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25035" w:rsidRDefault="00025035">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400"/>
        <w:gridCol w:w="4315"/>
      </w:tblGrid>
      <w:tr w:rsidR="00025035" w14:paraId="3D1D75D1" w14:textId="77777777">
        <w:tc>
          <w:tcPr>
            <w:tcW w:w="4541" w:type="dxa"/>
            <w:gridSpan w:val="2"/>
          </w:tcPr>
          <w:p w14:paraId="00000002" w14:textId="77777777" w:rsidR="00025035" w:rsidRDefault="00A67CAE">
            <w:pPr>
              <w:rPr>
                <w:rFonts w:ascii="Times New Roman" w:eastAsia="Times New Roman" w:hAnsi="Times New Roman" w:cs="Times New Roman"/>
              </w:rPr>
            </w:pPr>
            <w:bookmarkStart w:id="0" w:name="_heading=h.gjdgxs" w:colFirst="0" w:colLast="0"/>
            <w:bookmarkEnd w:id="0"/>
            <w:r>
              <w:rPr>
                <w:noProof/>
              </w:rPr>
              <w:drawing>
                <wp:anchor distT="0" distB="0" distL="114300" distR="114300" simplePos="0" relativeHeight="251658240" behindDoc="0" locked="0" layoutInCell="1" hidden="0" allowOverlap="1" wp14:anchorId="6103520E" wp14:editId="576FCCF5">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898525" cy="887095"/>
                          </a:xfrm>
                          <a:prstGeom prst="rect">
                            <a:avLst/>
                          </a:prstGeom>
                          <a:ln/>
                        </pic:spPr>
                      </pic:pic>
                    </a:graphicData>
                  </a:graphic>
                </wp:anchor>
              </w:drawing>
            </w:r>
          </w:p>
          <w:p w14:paraId="00000003" w14:textId="77777777" w:rsidR="00025035" w:rsidRDefault="00025035">
            <w:pPr>
              <w:rPr>
                <w:rFonts w:ascii="Times New Roman" w:eastAsia="Times New Roman" w:hAnsi="Times New Roman" w:cs="Times New Roman"/>
              </w:rPr>
            </w:pPr>
          </w:p>
          <w:p w14:paraId="00000004" w14:textId="77777777" w:rsidR="00025035" w:rsidRDefault="00025035">
            <w:pPr>
              <w:rPr>
                <w:rFonts w:ascii="Times New Roman" w:eastAsia="Times New Roman" w:hAnsi="Times New Roman" w:cs="Times New Roman"/>
              </w:rPr>
            </w:pPr>
          </w:p>
        </w:tc>
        <w:tc>
          <w:tcPr>
            <w:tcW w:w="4315" w:type="dxa"/>
          </w:tcPr>
          <w:p w14:paraId="00000009" w14:textId="77777777" w:rsidR="00025035" w:rsidRDefault="00A67CAE">
            <w:pPr>
              <w:rPr>
                <w:rFonts w:ascii="Times New Roman" w:eastAsia="Times New Roman" w:hAnsi="Times New Roman" w:cs="Times New Roman"/>
                <w:b/>
              </w:rPr>
            </w:pPr>
            <w:r>
              <w:rPr>
                <w:rFonts w:ascii="Times New Roman" w:eastAsia="Times New Roman" w:hAnsi="Times New Roman" w:cs="Times New Roman"/>
                <w:b/>
              </w:rPr>
              <w:t>CRC # Session</w:t>
            </w:r>
          </w:p>
          <w:p w14:paraId="0000000A"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t>Country name:</w:t>
            </w:r>
          </w:p>
          <w:p w14:paraId="0000000B" w14:textId="12F9DACE" w:rsidR="00025035" w:rsidRDefault="003C5C8D">
            <w:pPr>
              <w:rPr>
                <w:rFonts w:ascii="Times New Roman" w:eastAsia="Times New Roman" w:hAnsi="Times New Roman" w:cs="Times New Roman"/>
              </w:rPr>
            </w:pPr>
            <w:r>
              <w:rPr>
                <w:rFonts w:ascii="Times New Roman" w:eastAsia="Times New Roman" w:hAnsi="Times New Roman" w:cs="Times New Roman"/>
              </w:rPr>
              <w:t>Kyrgyzstan</w:t>
            </w:r>
          </w:p>
        </w:tc>
      </w:tr>
      <w:tr w:rsidR="00025035" w14:paraId="4E84FA6B" w14:textId="77777777">
        <w:tc>
          <w:tcPr>
            <w:tcW w:w="8856" w:type="dxa"/>
            <w:gridSpan w:val="3"/>
          </w:tcPr>
          <w:p w14:paraId="0000000F" w14:textId="77777777" w:rsidR="00025035" w:rsidRDefault="00025035">
            <w:pPr>
              <w:jc w:val="both"/>
              <w:rPr>
                <w:rFonts w:ascii="Times New Roman" w:eastAsia="Times New Roman" w:hAnsi="Times New Roman" w:cs="Times New Roman"/>
                <w:color w:val="222222"/>
                <w:highlight w:val="white"/>
              </w:rPr>
            </w:pPr>
          </w:p>
          <w:p w14:paraId="00000010" w14:textId="77777777" w:rsidR="00025035" w:rsidRDefault="00A67CAE">
            <w:pPr>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Appropriate pre-trial detention times for children</w:t>
            </w:r>
          </w:p>
          <w:p w14:paraId="00000011" w14:textId="77777777" w:rsidR="00025035" w:rsidRDefault="00025035">
            <w:pPr>
              <w:jc w:val="both"/>
              <w:rPr>
                <w:rFonts w:ascii="Times New Roman" w:eastAsia="Times New Roman" w:hAnsi="Times New Roman" w:cs="Times New Roman"/>
                <w:color w:val="222222"/>
                <w:highlight w:val="white"/>
              </w:rPr>
            </w:pPr>
          </w:p>
          <w:p w14:paraId="00000012" w14:textId="77777777" w:rsidR="00025035" w:rsidRDefault="00A67CAE">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Cluster of rights:</w:t>
            </w:r>
          </w:p>
          <w:p w14:paraId="00000013" w14:textId="77777777" w:rsidR="00025035" w:rsidRDefault="00A67CAE">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0000014" w14:textId="77777777" w:rsidR="00025035" w:rsidRDefault="00A67CAE">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Convention Against Torture Article 2</w:t>
            </w:r>
          </w:p>
          <w:p w14:paraId="00000015" w14:textId="77777777" w:rsidR="00025035" w:rsidRDefault="00A67CAE">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Areas of concern:</w:t>
            </w:r>
          </w:p>
          <w:p w14:paraId="00000016" w14:textId="77777777" w:rsidR="00025035" w:rsidRDefault="00025035">
            <w:pPr>
              <w:jc w:val="both"/>
              <w:rPr>
                <w:rFonts w:ascii="Times New Roman" w:eastAsia="Times New Roman" w:hAnsi="Times New Roman" w:cs="Times New Roman"/>
                <w:color w:val="222222"/>
                <w:highlight w:val="white"/>
              </w:rPr>
            </w:pPr>
          </w:p>
          <w:p w14:paraId="00000017" w14:textId="77777777" w:rsidR="00025035" w:rsidRDefault="00A67CAE">
            <w:pPr>
              <w:jc w:val="both"/>
              <w:rPr>
                <w:rFonts w:ascii="Times New Roman" w:eastAsia="Times New Roman" w:hAnsi="Times New Roman" w:cs="Times New Roman"/>
              </w:rPr>
            </w:pPr>
            <w:bookmarkStart w:id="1" w:name="_heading=h.30j0zll" w:colFirst="0" w:colLast="0"/>
            <w:bookmarkEnd w:id="1"/>
            <w:r>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Pretrial detention is only permitted as a measure of last resort and for “</w:t>
            </w:r>
            <w:r>
              <w:rPr>
                <w:rFonts w:ascii="Times New Roman" w:eastAsia="Times New Roman" w:hAnsi="Times New Roman" w:cs="Times New Roman"/>
                <w:i/>
              </w:rPr>
              <w:t>the shortest appropriate period of time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However, there is no clarity around what is meant by an “</w:t>
            </w:r>
            <w:r>
              <w:rPr>
                <w:rFonts w:ascii="Times New Roman" w:eastAsia="Times New Roman" w:hAnsi="Times New Roman" w:cs="Times New Roman"/>
                <w:i/>
              </w:rPr>
              <w:t>appropriate period of time</w:t>
            </w:r>
            <w:r>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Committee additionally recommended that any such detention should be reviewed regularly by a competent body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These recommendations can and should be strengthened.</w:t>
            </w:r>
          </w:p>
          <w:p w14:paraId="00000018" w14:textId="77777777" w:rsidR="00025035" w:rsidRDefault="00025035">
            <w:pPr>
              <w:jc w:val="both"/>
              <w:rPr>
                <w:rFonts w:ascii="Times New Roman" w:eastAsia="Times New Roman" w:hAnsi="Times New Roman" w:cs="Times New Roman"/>
              </w:rPr>
            </w:pPr>
          </w:p>
          <w:p w14:paraId="00000019" w14:textId="77777777" w:rsidR="00025035" w:rsidRDefault="00A67CAE">
            <w:pPr>
              <w:jc w:val="both"/>
              <w:rPr>
                <w:rFonts w:ascii="Times New Roman" w:eastAsia="Times New Roman" w:hAnsi="Times New Roman" w:cs="Times New Roman"/>
              </w:rPr>
            </w:pPr>
            <w:bookmarkStart w:id="2" w:name="_heading=h.1fob9te" w:colFirst="0" w:colLast="0"/>
            <w:bookmarkEnd w:id="2"/>
            <w:r>
              <w:rPr>
                <w:rFonts w:ascii="Times New Roman" w:eastAsia="Times New Roman" w:hAnsi="Times New Roman" w:cs="Times New Roman"/>
              </w:rPr>
              <w:t>Defendants in pretrial detention are more likely to be abused, mistreated and tortured,</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imes New Roman" w:eastAsia="Times New Roman" w:hAnsi="Times New Roman" w:cs="Times New Roman"/>
              </w:rPr>
              <w:lastRenderedPageBreak/>
              <w:t>school drop-out, and drug use among children.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0000001A" w14:textId="77777777" w:rsidR="00025035" w:rsidRDefault="00025035">
            <w:pPr>
              <w:jc w:val="both"/>
              <w:rPr>
                <w:rFonts w:ascii="Times New Roman" w:eastAsia="Times New Roman" w:hAnsi="Times New Roman" w:cs="Times New Roman"/>
              </w:rPr>
            </w:pPr>
          </w:p>
          <w:p w14:paraId="0000001B" w14:textId="77777777" w:rsidR="00025035" w:rsidRDefault="00A67CAE">
            <w:pPr>
              <w:jc w:val="both"/>
              <w:rPr>
                <w:rFonts w:ascii="Times New Roman" w:eastAsia="Times New Roman" w:hAnsi="Times New Roman" w:cs="Times New Roman"/>
              </w:rPr>
            </w:pPr>
            <w:bookmarkStart w:id="3" w:name="_heading=h.3znysh7" w:colFirst="0" w:colLast="0"/>
            <w:bookmarkEnd w:id="3"/>
            <w:r>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0000001C" w14:textId="77777777" w:rsidR="00025035" w:rsidRDefault="00025035">
            <w:pPr>
              <w:jc w:val="both"/>
              <w:rPr>
                <w:rFonts w:ascii="Times New Roman" w:eastAsia="Times New Roman" w:hAnsi="Times New Roman" w:cs="Times New Roman"/>
              </w:rPr>
            </w:pPr>
          </w:p>
          <w:p w14:paraId="0000001D" w14:textId="77777777" w:rsidR="00025035" w:rsidRDefault="00A67CAE">
            <w:pPr>
              <w:jc w:val="both"/>
              <w:rPr>
                <w:rFonts w:ascii="Times New Roman" w:eastAsia="Times New Roman" w:hAnsi="Times New Roman" w:cs="Times New Roman"/>
              </w:rPr>
            </w:pPr>
            <w:r>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Pr>
                <w:rFonts w:ascii="Times New Roman" w:eastAsia="Times New Roman" w:hAnsi="Times New Roman" w:cs="Times New Roman"/>
                <w:i/>
              </w:rPr>
              <w:t>shortest appropriate time</w:t>
            </w:r>
            <w:r>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0000001E" w14:textId="77777777" w:rsidR="00025035" w:rsidRDefault="00025035">
            <w:pPr>
              <w:jc w:val="both"/>
              <w:rPr>
                <w:rFonts w:ascii="Times New Roman" w:eastAsia="Times New Roman" w:hAnsi="Times New Roman" w:cs="Times New Roman"/>
              </w:rPr>
            </w:pPr>
          </w:p>
          <w:p w14:paraId="0000001F" w14:textId="77777777" w:rsidR="00025035" w:rsidRDefault="00A67CAE">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Children in Pretrial Detention: Promoting Stronger International Time Limits</w:t>
            </w:r>
            <w:r>
              <w:rPr>
                <w:rFonts w:ascii="Times New Roman" w:eastAsia="Times New Roman" w:hAnsi="Times New Roman" w:cs="Times New Roman"/>
              </w:rPr>
              <w:t xml:space="preserve"> report serves as a baseline for the committee to expand on country practices regarding times of pre-trial detention of children. </w:t>
            </w:r>
          </w:p>
          <w:p w14:paraId="00000020" w14:textId="77777777" w:rsidR="00025035" w:rsidRDefault="00025035">
            <w:pPr>
              <w:jc w:val="both"/>
              <w:rPr>
                <w:rFonts w:ascii="Times New Roman" w:eastAsia="Times New Roman" w:hAnsi="Times New Roman" w:cs="Times New Roman"/>
              </w:rPr>
            </w:pPr>
          </w:p>
          <w:p w14:paraId="00000021" w14:textId="77777777" w:rsidR="00025035" w:rsidRDefault="00A67CAE">
            <w:pPr>
              <w:jc w:val="both"/>
              <w:rPr>
                <w:rFonts w:ascii="Times New Roman" w:eastAsia="Times New Roman" w:hAnsi="Times New Roman" w:cs="Times New Roman"/>
              </w:rPr>
            </w:pPr>
            <w:r>
              <w:rPr>
                <w:rFonts w:ascii="Times New Roman" w:eastAsia="Times New Roman" w:hAnsi="Times New Roman" w:cs="Times New Roman"/>
              </w:rPr>
              <w:t xml:space="preserve">State actors and civil society should be made aware that reducing the duration of pretrial detention for children is an urgent priority, and they need the tools to understand both </w:t>
            </w:r>
            <w:r>
              <w:rPr>
                <w:rFonts w:ascii="Times New Roman" w:eastAsia="Times New Roman" w:hAnsi="Times New Roman" w:cs="Times New Roman"/>
              </w:rPr>
              <w:lastRenderedPageBreak/>
              <w:t>effective practices which can reduce pretrial detention, as well as the governing international standards. This report represents an important step toward these goals.</w:t>
            </w:r>
          </w:p>
          <w:p w14:paraId="00000022" w14:textId="77777777" w:rsidR="00025035" w:rsidRDefault="00025035">
            <w:pPr>
              <w:rPr>
                <w:rFonts w:ascii="Times New Roman" w:eastAsia="Times New Roman" w:hAnsi="Times New Roman" w:cs="Times New Roman"/>
              </w:rPr>
            </w:pPr>
          </w:p>
          <w:p w14:paraId="00000023" w14:textId="77777777" w:rsidR="00025035" w:rsidRDefault="00025035">
            <w:pPr>
              <w:rPr>
                <w:rFonts w:ascii="Times New Roman" w:eastAsia="Times New Roman" w:hAnsi="Times New Roman" w:cs="Times New Roman"/>
              </w:rPr>
            </w:pPr>
            <w:bookmarkStart w:id="4" w:name="_heading=h.2et92p0" w:colFirst="0" w:colLast="0"/>
            <w:bookmarkEnd w:id="4"/>
          </w:p>
          <w:p w14:paraId="00000024" w14:textId="77777777" w:rsidR="00025035" w:rsidRDefault="00025035">
            <w:pPr>
              <w:jc w:val="both"/>
              <w:rPr>
                <w:rFonts w:ascii="Times New Roman" w:eastAsia="Times New Roman" w:hAnsi="Times New Roman" w:cs="Times New Roman"/>
                <w:color w:val="222222"/>
                <w:highlight w:val="white"/>
              </w:rPr>
            </w:pPr>
          </w:p>
          <w:p w14:paraId="00000025" w14:textId="77777777" w:rsidR="00025035" w:rsidRDefault="00A67CAE">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Methodology:</w:t>
            </w:r>
          </w:p>
          <w:p w14:paraId="00000026" w14:textId="77777777" w:rsidR="00025035" w:rsidRDefault="00025035">
            <w:pPr>
              <w:jc w:val="both"/>
              <w:rPr>
                <w:rFonts w:ascii="Times New Roman" w:eastAsia="Times New Roman" w:hAnsi="Times New Roman" w:cs="Times New Roman"/>
                <w:color w:val="222222"/>
                <w:highlight w:val="white"/>
              </w:rPr>
            </w:pPr>
          </w:p>
          <w:p w14:paraId="00000027" w14:textId="77777777" w:rsidR="00025035" w:rsidRDefault="00A67CAE">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0000028" w14:textId="77777777" w:rsidR="00025035" w:rsidRDefault="00025035">
            <w:pPr>
              <w:jc w:val="both"/>
              <w:rPr>
                <w:rFonts w:ascii="Times New Roman" w:eastAsia="Times New Roman" w:hAnsi="Times New Roman" w:cs="Times New Roman"/>
                <w:color w:val="222222"/>
                <w:highlight w:val="white"/>
              </w:rPr>
            </w:pPr>
          </w:p>
          <w:p w14:paraId="00000029" w14:textId="77777777" w:rsidR="00025035" w:rsidRDefault="00A67CAE">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0000002A" w14:textId="77777777" w:rsidR="00025035" w:rsidRDefault="00025035">
            <w:pPr>
              <w:jc w:val="both"/>
              <w:rPr>
                <w:rFonts w:ascii="Times New Roman" w:eastAsia="Times New Roman" w:hAnsi="Times New Roman" w:cs="Times New Roman"/>
                <w:color w:val="222222"/>
                <w:highlight w:val="white"/>
              </w:rPr>
            </w:pPr>
          </w:p>
          <w:p w14:paraId="0000002B" w14:textId="77777777" w:rsidR="00025035" w:rsidRDefault="00A67CAE">
            <w:pPr>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0000002C" w14:textId="77777777" w:rsidR="00025035" w:rsidRDefault="00025035">
            <w:pPr>
              <w:rPr>
                <w:rFonts w:ascii="Times New Roman" w:eastAsia="Times New Roman" w:hAnsi="Times New Roman" w:cs="Times New Roman"/>
              </w:rPr>
            </w:pPr>
          </w:p>
          <w:p w14:paraId="0000002D" w14:textId="77777777" w:rsidR="00025035" w:rsidRDefault="00A67CAE">
            <w:pPr>
              <w:jc w:val="both"/>
              <w:rPr>
                <w:rFonts w:ascii="Times New Roman" w:eastAsia="Times New Roman" w:hAnsi="Times New Roman" w:cs="Times New Roman"/>
              </w:rPr>
            </w:pPr>
            <w:r>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0000002E" w14:textId="77777777" w:rsidR="00025035" w:rsidRDefault="00025035">
            <w:pPr>
              <w:rPr>
                <w:rFonts w:ascii="Times New Roman" w:eastAsia="Times New Roman" w:hAnsi="Times New Roman" w:cs="Times New Roman"/>
              </w:rPr>
            </w:pPr>
          </w:p>
          <w:p w14:paraId="0000002F"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00000030" w14:textId="77777777" w:rsidR="00025035" w:rsidRDefault="00025035">
            <w:pPr>
              <w:rPr>
                <w:rFonts w:ascii="Times New Roman" w:eastAsia="Times New Roman" w:hAnsi="Times New Roman" w:cs="Times New Roman"/>
              </w:rPr>
            </w:pPr>
          </w:p>
          <w:p w14:paraId="00000031" w14:textId="77777777" w:rsidR="00025035" w:rsidRDefault="00A67CAE">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00000032" w14:textId="77777777" w:rsidR="00025035" w:rsidRDefault="00025035">
            <w:pPr>
              <w:jc w:val="both"/>
              <w:rPr>
                <w:rFonts w:ascii="Times New Roman" w:eastAsia="Times New Roman" w:hAnsi="Times New Roman" w:cs="Times New Roman"/>
                <w:color w:val="222222"/>
                <w:highlight w:val="white"/>
              </w:rPr>
            </w:pPr>
          </w:p>
          <w:p w14:paraId="00000033" w14:textId="77777777" w:rsidR="00025035" w:rsidRDefault="00025035">
            <w:pPr>
              <w:jc w:val="both"/>
              <w:rPr>
                <w:rFonts w:ascii="Times New Roman" w:eastAsia="Times New Roman" w:hAnsi="Times New Roman" w:cs="Times New Roman"/>
                <w:color w:val="222222"/>
                <w:highlight w:val="white"/>
              </w:rPr>
            </w:pPr>
          </w:p>
        </w:tc>
      </w:tr>
      <w:tr w:rsidR="00025035" w14:paraId="29A91167" w14:textId="77777777">
        <w:tc>
          <w:tcPr>
            <w:tcW w:w="8856" w:type="dxa"/>
            <w:gridSpan w:val="3"/>
          </w:tcPr>
          <w:p w14:paraId="173DD7AF" w14:textId="77777777" w:rsidR="00660FE7" w:rsidRDefault="00660FE7">
            <w:pPr>
              <w:jc w:val="center"/>
              <w:rPr>
                <w:rFonts w:ascii="Times New Roman" w:eastAsia="Times New Roman" w:hAnsi="Times New Roman" w:cs="Times New Roman"/>
              </w:rPr>
            </w:pPr>
          </w:p>
          <w:p w14:paraId="0000004E" w14:textId="2D079723" w:rsidR="00025035" w:rsidRDefault="003C5C8D">
            <w:pPr>
              <w:jc w:val="center"/>
              <w:rPr>
                <w:rFonts w:ascii="Times New Roman" w:eastAsia="Times New Roman" w:hAnsi="Times New Roman" w:cs="Times New Roman"/>
              </w:rPr>
            </w:pPr>
            <w:r>
              <w:rPr>
                <w:rFonts w:ascii="Times New Roman" w:eastAsia="Times New Roman" w:hAnsi="Times New Roman" w:cs="Times New Roman"/>
              </w:rPr>
              <w:lastRenderedPageBreak/>
              <w:t xml:space="preserve">Kyrgyzstan has a generally applicable </w:t>
            </w:r>
            <w:r w:rsidR="00660FE7">
              <w:rPr>
                <w:rFonts w:ascii="Times New Roman" w:eastAsia="Times New Roman" w:hAnsi="Times New Roman" w:cs="Times New Roman"/>
              </w:rPr>
              <w:t xml:space="preserve">crime based </w:t>
            </w:r>
            <w:r>
              <w:rPr>
                <w:rFonts w:ascii="Times New Roman" w:eastAsia="Times New Roman" w:hAnsi="Times New Roman" w:cs="Times New Roman"/>
              </w:rPr>
              <w:t xml:space="preserve">statutory pretrial detention period of </w:t>
            </w:r>
            <w:r w:rsidR="00660FE7">
              <w:rPr>
                <w:rFonts w:ascii="Times New Roman" w:eastAsia="Times New Roman" w:hAnsi="Times New Roman" w:cs="Times New Roman"/>
              </w:rPr>
              <w:t xml:space="preserve">a maximum of </w:t>
            </w:r>
            <w:r w:rsidRPr="00660FE7">
              <w:rPr>
                <w:rFonts w:ascii="Times New Roman" w:eastAsia="Times New Roman" w:hAnsi="Times New Roman" w:cs="Times New Roman"/>
                <w:b/>
              </w:rPr>
              <w:t>365 days</w:t>
            </w:r>
            <w:r w:rsidR="00660FE7">
              <w:rPr>
                <w:rFonts w:ascii="Times New Roman" w:eastAsia="Times New Roman" w:hAnsi="Times New Roman" w:cs="Times New Roman"/>
                <w:b/>
              </w:rPr>
              <w:t xml:space="preserve"> for children</w:t>
            </w:r>
            <w:r>
              <w:rPr>
                <w:rFonts w:ascii="Times New Roman" w:eastAsia="Times New Roman" w:hAnsi="Times New Roman" w:cs="Times New Roman"/>
              </w:rPr>
              <w:t xml:space="preserve">. The blanket maximum pretrial detention period is 60 days. This can be extended by up to one year if a judge deems it impossible to fully investigate within the 60-day period and there are no grounds for changing or altering the pretrial detention. </w:t>
            </w:r>
          </w:p>
        </w:tc>
      </w:tr>
      <w:tr w:rsidR="00025035" w14:paraId="560D5390" w14:textId="77777777">
        <w:tc>
          <w:tcPr>
            <w:tcW w:w="2141" w:type="dxa"/>
          </w:tcPr>
          <w:p w14:paraId="00000057"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lastRenderedPageBreak/>
              <w:t>Statute Citation</w:t>
            </w:r>
          </w:p>
        </w:tc>
        <w:tc>
          <w:tcPr>
            <w:tcW w:w="6715" w:type="dxa"/>
            <w:gridSpan w:val="2"/>
          </w:tcPr>
          <w:p w14:paraId="76DB334F" w14:textId="77777777" w:rsidR="00025035" w:rsidRDefault="003C5C8D">
            <w:pPr>
              <w:rPr>
                <w:rFonts w:ascii="Times New Roman" w:eastAsia="Times New Roman" w:hAnsi="Times New Roman" w:cs="Times New Roman"/>
              </w:rPr>
            </w:pPr>
            <w:r>
              <w:rPr>
                <w:rFonts w:ascii="Times New Roman" w:eastAsia="Times New Roman" w:hAnsi="Times New Roman" w:cs="Times New Roman"/>
              </w:rPr>
              <w:t>Code of Criminal Procedure Art. 114: Taking into custody as a sanction may be applied to a juvenile only in exceptional cases when it is caused by the repeated nature of public wrongs qualified as grave crimes, or by the charge in committing the particularly aggravated crimes.</w:t>
            </w:r>
          </w:p>
          <w:p w14:paraId="531222D3" w14:textId="77777777" w:rsidR="003C5C8D" w:rsidRDefault="003C5C8D">
            <w:pPr>
              <w:rPr>
                <w:rFonts w:ascii="Times New Roman" w:eastAsia="Times New Roman" w:hAnsi="Times New Roman" w:cs="Times New Roman"/>
              </w:rPr>
            </w:pPr>
          </w:p>
          <w:p w14:paraId="082CF77B" w14:textId="77777777" w:rsidR="003C5C8D" w:rsidRDefault="003C5C8D">
            <w:pPr>
              <w:rPr>
                <w:rFonts w:ascii="Times New Roman" w:eastAsia="Times New Roman" w:hAnsi="Times New Roman" w:cs="Times New Roman"/>
              </w:rPr>
            </w:pPr>
            <w:r>
              <w:rPr>
                <w:rFonts w:ascii="Times New Roman" w:eastAsia="Times New Roman" w:hAnsi="Times New Roman" w:cs="Times New Roman"/>
              </w:rPr>
              <w:t xml:space="preserve">Code of Criminal Procedure Art. 111: (1) The pre-trial restraint measure imposed during criminal proceedings shall be applied under a judicial warrant for a term of up to two months. </w:t>
            </w:r>
          </w:p>
          <w:p w14:paraId="7BC0D7EF" w14:textId="77777777" w:rsidR="003C5C8D" w:rsidRDefault="003C5C8D">
            <w:pPr>
              <w:rPr>
                <w:rFonts w:ascii="Times New Roman" w:eastAsia="Times New Roman" w:hAnsi="Times New Roman" w:cs="Times New Roman"/>
              </w:rPr>
            </w:pPr>
          </w:p>
          <w:p w14:paraId="1CA2BC79" w14:textId="77777777" w:rsidR="003C5C8D" w:rsidRDefault="003C5C8D">
            <w:pPr>
              <w:rPr>
                <w:rFonts w:ascii="Times New Roman" w:eastAsia="Times New Roman" w:hAnsi="Times New Roman" w:cs="Times New Roman"/>
              </w:rPr>
            </w:pPr>
            <w:r>
              <w:rPr>
                <w:rFonts w:ascii="Times New Roman" w:eastAsia="Times New Roman" w:hAnsi="Times New Roman" w:cs="Times New Roman"/>
              </w:rPr>
              <w:t>Code of Criminal Procedure Art. 393 (3): Taking into custody as a sanction, as well as detention may be applied to a minor under the age of sixteen only in exceptional cases if there are grounds specified in Articles 102, 103, 110, 114 of this Code.</w:t>
            </w:r>
          </w:p>
          <w:p w14:paraId="6F9CD8AE" w14:textId="77777777" w:rsidR="003C5C8D" w:rsidRDefault="003C5C8D">
            <w:pPr>
              <w:rPr>
                <w:rFonts w:ascii="Times New Roman" w:eastAsia="Times New Roman" w:hAnsi="Times New Roman" w:cs="Times New Roman"/>
              </w:rPr>
            </w:pPr>
          </w:p>
          <w:p w14:paraId="1CAF5CEB" w14:textId="77777777" w:rsidR="003C5C8D" w:rsidRDefault="003C5C8D">
            <w:pPr>
              <w:rPr>
                <w:rFonts w:ascii="Times New Roman" w:eastAsia="Times New Roman" w:hAnsi="Times New Roman" w:cs="Times New Roman"/>
              </w:rPr>
            </w:pPr>
            <w:r>
              <w:rPr>
                <w:rFonts w:ascii="Times New Roman" w:eastAsia="Times New Roman" w:hAnsi="Times New Roman" w:cs="Times New Roman"/>
              </w:rPr>
              <w:t xml:space="preserve">Code of Criminal Procedure Art. 111: (2) If it is impossible to complete a preliminary investigation within the two-month period and no grounds exist for altering or revoking the pre-trial restraint measure, a judge…may extend the time period: (1) for six months, (2) for nine months, (3) for one year. </w:t>
            </w:r>
          </w:p>
          <w:p w14:paraId="39A76C19" w14:textId="77777777" w:rsidR="003C5C8D" w:rsidRDefault="003C5C8D">
            <w:pPr>
              <w:rPr>
                <w:rFonts w:ascii="Times New Roman" w:eastAsia="Times New Roman" w:hAnsi="Times New Roman" w:cs="Times New Roman"/>
              </w:rPr>
            </w:pPr>
          </w:p>
          <w:p w14:paraId="7EADD6E5" w14:textId="77777777" w:rsidR="003C5C8D" w:rsidRDefault="003C5C8D">
            <w:pPr>
              <w:rPr>
                <w:rFonts w:ascii="Times New Roman" w:eastAsia="Times New Roman" w:hAnsi="Times New Roman" w:cs="Times New Roman"/>
              </w:rPr>
            </w:pPr>
            <w:r>
              <w:rPr>
                <w:rFonts w:ascii="Times New Roman" w:eastAsia="Times New Roman" w:hAnsi="Times New Roman" w:cs="Times New Roman"/>
              </w:rPr>
              <w:t>Code of Criminal Procedure Art. 101(2):</w:t>
            </w:r>
          </w:p>
          <w:p w14:paraId="2E2A57C5" w14:textId="77777777" w:rsidR="003C5C8D" w:rsidRPr="003C5C8D" w:rsidRDefault="003C5C8D" w:rsidP="003C5C8D">
            <w:pPr>
              <w:pStyle w:val="ListParagraph"/>
              <w:numPr>
                <w:ilvl w:val="0"/>
                <w:numId w:val="2"/>
              </w:numPr>
              <w:rPr>
                <w:rFonts w:ascii="Times New Roman" w:eastAsia="Times New Roman" w:hAnsi="Times New Roman" w:cs="Times New Roman"/>
                <w:sz w:val="24"/>
                <w:szCs w:val="24"/>
              </w:rPr>
            </w:pPr>
            <w:r w:rsidRPr="003C5C8D">
              <w:rPr>
                <w:rFonts w:ascii="Times New Roman" w:eastAsia="Times New Roman" w:hAnsi="Times New Roman" w:cs="Times New Roman"/>
                <w:sz w:val="24"/>
                <w:szCs w:val="24"/>
              </w:rPr>
              <w:t>Recognizance not to leave the place</w:t>
            </w:r>
          </w:p>
          <w:p w14:paraId="495A939B" w14:textId="77777777" w:rsidR="003C5C8D" w:rsidRPr="003C5C8D" w:rsidRDefault="003C5C8D" w:rsidP="003C5C8D">
            <w:pPr>
              <w:pStyle w:val="ListParagraph"/>
              <w:numPr>
                <w:ilvl w:val="0"/>
                <w:numId w:val="2"/>
              </w:numPr>
              <w:rPr>
                <w:rFonts w:ascii="Times New Roman" w:eastAsia="Times New Roman" w:hAnsi="Times New Roman" w:cs="Times New Roman"/>
                <w:sz w:val="24"/>
                <w:szCs w:val="24"/>
              </w:rPr>
            </w:pPr>
            <w:r w:rsidRPr="003C5C8D">
              <w:rPr>
                <w:rFonts w:ascii="Times New Roman" w:eastAsia="Times New Roman" w:hAnsi="Times New Roman" w:cs="Times New Roman"/>
                <w:sz w:val="24"/>
                <w:szCs w:val="24"/>
              </w:rPr>
              <w:t>Personal guarantee</w:t>
            </w:r>
          </w:p>
          <w:p w14:paraId="669F68F1" w14:textId="77777777" w:rsidR="003C5C8D" w:rsidRPr="003C5C8D" w:rsidRDefault="003C5C8D" w:rsidP="003C5C8D">
            <w:pPr>
              <w:pStyle w:val="ListParagraph"/>
              <w:numPr>
                <w:ilvl w:val="0"/>
                <w:numId w:val="2"/>
              </w:numPr>
              <w:rPr>
                <w:rFonts w:ascii="Times New Roman" w:eastAsia="Times New Roman" w:hAnsi="Times New Roman" w:cs="Times New Roman"/>
                <w:sz w:val="24"/>
                <w:szCs w:val="24"/>
              </w:rPr>
            </w:pPr>
            <w:r w:rsidRPr="003C5C8D">
              <w:rPr>
                <w:rFonts w:ascii="Times New Roman" w:eastAsia="Times New Roman" w:hAnsi="Times New Roman" w:cs="Times New Roman"/>
                <w:sz w:val="24"/>
                <w:szCs w:val="24"/>
              </w:rPr>
              <w:t>Transfer for the command probation</w:t>
            </w:r>
          </w:p>
          <w:p w14:paraId="563EE16A" w14:textId="77777777" w:rsidR="003C5C8D" w:rsidRPr="003C5C8D" w:rsidRDefault="003C5C8D" w:rsidP="003C5C8D">
            <w:pPr>
              <w:pStyle w:val="ListParagraph"/>
              <w:numPr>
                <w:ilvl w:val="0"/>
                <w:numId w:val="2"/>
              </w:numPr>
              <w:rPr>
                <w:rFonts w:ascii="Times New Roman" w:eastAsia="Times New Roman" w:hAnsi="Times New Roman" w:cs="Times New Roman"/>
                <w:sz w:val="24"/>
                <w:szCs w:val="24"/>
              </w:rPr>
            </w:pPr>
            <w:r w:rsidRPr="003C5C8D">
              <w:rPr>
                <w:rFonts w:ascii="Times New Roman" w:eastAsia="Times New Roman" w:hAnsi="Times New Roman" w:cs="Times New Roman"/>
                <w:sz w:val="24"/>
                <w:szCs w:val="24"/>
              </w:rPr>
              <w:t>Transfer of a juvenile under supervision of parents or persons, organizations substituting parents</w:t>
            </w:r>
          </w:p>
          <w:p w14:paraId="535B3335" w14:textId="5E6958B7" w:rsidR="003C5C8D" w:rsidRPr="003C5C8D" w:rsidRDefault="003C5C8D" w:rsidP="003C5C8D">
            <w:pPr>
              <w:pStyle w:val="ListParagraph"/>
              <w:numPr>
                <w:ilvl w:val="0"/>
                <w:numId w:val="2"/>
              </w:numPr>
              <w:rPr>
                <w:rFonts w:ascii="Times New Roman" w:eastAsia="Times New Roman" w:hAnsi="Times New Roman" w:cs="Times New Roman"/>
                <w:sz w:val="24"/>
                <w:szCs w:val="24"/>
              </w:rPr>
            </w:pPr>
            <w:r w:rsidRPr="003C5C8D">
              <w:rPr>
                <w:rFonts w:ascii="Times New Roman" w:eastAsia="Times New Roman" w:hAnsi="Times New Roman" w:cs="Times New Roman"/>
                <w:sz w:val="24"/>
                <w:szCs w:val="24"/>
              </w:rPr>
              <w:t>Bail</w:t>
            </w:r>
          </w:p>
          <w:p w14:paraId="49B39FCC" w14:textId="77777777" w:rsidR="003C5C8D" w:rsidRPr="003C5C8D" w:rsidRDefault="003C5C8D" w:rsidP="003C5C8D">
            <w:pPr>
              <w:pStyle w:val="ListParagraph"/>
              <w:numPr>
                <w:ilvl w:val="0"/>
                <w:numId w:val="2"/>
              </w:numPr>
              <w:rPr>
                <w:rFonts w:ascii="Times New Roman" w:eastAsia="Times New Roman" w:hAnsi="Times New Roman" w:cs="Times New Roman"/>
                <w:sz w:val="24"/>
                <w:szCs w:val="24"/>
              </w:rPr>
            </w:pPr>
            <w:r w:rsidRPr="003C5C8D">
              <w:rPr>
                <w:rFonts w:ascii="Times New Roman" w:eastAsia="Times New Roman" w:hAnsi="Times New Roman" w:cs="Times New Roman"/>
                <w:sz w:val="24"/>
                <w:szCs w:val="24"/>
              </w:rPr>
              <w:t>House arrest</w:t>
            </w:r>
          </w:p>
          <w:p w14:paraId="00000058" w14:textId="0B1E7371" w:rsidR="003C5C8D" w:rsidRPr="003C5C8D" w:rsidRDefault="003C5C8D" w:rsidP="003C5C8D">
            <w:pPr>
              <w:pStyle w:val="ListParagraph"/>
              <w:numPr>
                <w:ilvl w:val="0"/>
                <w:numId w:val="2"/>
              </w:numPr>
              <w:rPr>
                <w:rFonts w:ascii="Times New Roman" w:eastAsia="Times New Roman" w:hAnsi="Times New Roman" w:cs="Times New Roman"/>
              </w:rPr>
            </w:pPr>
            <w:r w:rsidRPr="003C5C8D">
              <w:rPr>
                <w:rFonts w:ascii="Times New Roman" w:eastAsia="Times New Roman" w:hAnsi="Times New Roman" w:cs="Times New Roman"/>
                <w:sz w:val="24"/>
                <w:szCs w:val="24"/>
              </w:rPr>
              <w:t>Taking into custody</w:t>
            </w:r>
          </w:p>
        </w:tc>
      </w:tr>
      <w:tr w:rsidR="00025035" w14:paraId="584BAF86" w14:textId="77777777">
        <w:tc>
          <w:tcPr>
            <w:tcW w:w="2141" w:type="dxa"/>
          </w:tcPr>
          <w:p w14:paraId="00000060"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t>JJI Recommendation</w:t>
            </w:r>
          </w:p>
        </w:tc>
        <w:tc>
          <w:tcPr>
            <w:tcW w:w="6715" w:type="dxa"/>
            <w:gridSpan w:val="2"/>
          </w:tcPr>
          <w:p w14:paraId="381D738D" w14:textId="77777777" w:rsidR="00025035" w:rsidRDefault="003C5C8D" w:rsidP="003C5C8D">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JJI recommends that Kyrgyzstan establish a 30-day maximum pretrial detention period for juveniles. </w:t>
            </w:r>
          </w:p>
          <w:p w14:paraId="0B4500E6" w14:textId="77777777" w:rsidR="003C5C8D" w:rsidRDefault="003C5C8D" w:rsidP="003C5C8D">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JJI recommends that the 30-day pretrial detention period only be extendable by a judge for a 30-day period and only when there are no other options.</w:t>
            </w:r>
          </w:p>
          <w:p w14:paraId="59439248" w14:textId="77777777" w:rsidR="003C5C8D" w:rsidRDefault="003C5C8D" w:rsidP="003C5C8D">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JJI recommends that once a child has been detained for the statutory maximum period, they be immediately placed in supervisory release.</w:t>
            </w:r>
          </w:p>
          <w:p w14:paraId="00000061" w14:textId="15EA852A" w:rsidR="003C5C8D" w:rsidRPr="003C5C8D" w:rsidRDefault="003C5C8D" w:rsidP="003C5C8D">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lastRenderedPageBreak/>
              <w:t xml:space="preserve">JJI recommends that Kyrgyzstan clarify the purpose and scope of pretrial detention in juveniles via statute. </w:t>
            </w:r>
          </w:p>
        </w:tc>
      </w:tr>
      <w:tr w:rsidR="00025035" w14:paraId="6A999D51" w14:textId="77777777">
        <w:tc>
          <w:tcPr>
            <w:tcW w:w="2141" w:type="dxa"/>
          </w:tcPr>
          <w:p w14:paraId="00000069"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lastRenderedPageBreak/>
              <w:t>Additional Information on the country</w:t>
            </w:r>
          </w:p>
        </w:tc>
        <w:tc>
          <w:tcPr>
            <w:tcW w:w="6715" w:type="dxa"/>
            <w:gridSpan w:val="2"/>
          </w:tcPr>
          <w:p w14:paraId="0000006A" w14:textId="7C73360B" w:rsidR="00025035" w:rsidRDefault="00660FE7">
            <w:pPr>
              <w:rPr>
                <w:rFonts w:ascii="Times New Roman" w:eastAsia="Times New Roman" w:hAnsi="Times New Roman" w:cs="Times New Roman"/>
              </w:rPr>
            </w:pPr>
            <w:r>
              <w:rPr>
                <w:rFonts w:ascii="Times New Roman" w:eastAsia="Times New Roman" w:hAnsi="Times New Roman" w:cs="Times New Roman"/>
              </w:rPr>
              <w:t>NA</w:t>
            </w:r>
          </w:p>
        </w:tc>
      </w:tr>
      <w:tr w:rsidR="00025035" w14:paraId="22350D03" w14:textId="77777777">
        <w:tc>
          <w:tcPr>
            <w:tcW w:w="2141" w:type="dxa"/>
          </w:tcPr>
          <w:p w14:paraId="00000072"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t xml:space="preserve">Lines of Inquiry related to children </w:t>
            </w:r>
            <w:proofErr w:type="spellStart"/>
            <w:r>
              <w:rPr>
                <w:rFonts w:ascii="Times New Roman" w:eastAsia="Times New Roman" w:hAnsi="Times New Roman" w:cs="Times New Roman"/>
              </w:rPr>
              <w:t>pre trial</w:t>
            </w:r>
            <w:proofErr w:type="spellEnd"/>
            <w:r>
              <w:rPr>
                <w:rFonts w:ascii="Times New Roman" w:eastAsia="Times New Roman" w:hAnsi="Times New Roman" w:cs="Times New Roman"/>
              </w:rPr>
              <w:t xml:space="preserve"> detention </w:t>
            </w:r>
          </w:p>
        </w:tc>
        <w:tc>
          <w:tcPr>
            <w:tcW w:w="6715" w:type="dxa"/>
            <w:gridSpan w:val="2"/>
          </w:tcPr>
          <w:p w14:paraId="00000073" w14:textId="77777777" w:rsidR="00025035" w:rsidRDefault="00A67CAE">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One or more if not already available:</w:t>
            </w:r>
          </w:p>
          <w:p w14:paraId="00000074" w14:textId="77777777" w:rsidR="00025035" w:rsidRDefault="00A67CAE">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average time children actually spend in pretrial detention.</w:t>
            </w:r>
          </w:p>
          <w:p w14:paraId="00000075" w14:textId="77777777" w:rsidR="00025035" w:rsidRDefault="00A67CAE">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number of children who spend longer than the maximum time in pretrial detention.</w:t>
            </w:r>
          </w:p>
          <w:p w14:paraId="00000076" w14:textId="77777777" w:rsidR="00025035" w:rsidRDefault="00A67CAE">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duration of pretrial detention as it varies by race, gender, religion or other relevant characteristics.</w:t>
            </w:r>
          </w:p>
          <w:p w14:paraId="00000077" w14:textId="77777777" w:rsidR="00025035" w:rsidRDefault="00A67CAE">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efforts to reduce the length of pretrial detention and expedite cases.</w:t>
            </w:r>
          </w:p>
          <w:p w14:paraId="00000078" w14:textId="77777777" w:rsidR="00025035" w:rsidRDefault="00A67CAE">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how appeals and other challenges affect duration of pretrial detention.</w:t>
            </w:r>
          </w:p>
          <w:p w14:paraId="00000079" w14:textId="77777777" w:rsidR="00025035" w:rsidRDefault="00A67CAE">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standards related to initial court appearance, determination of legality of initial detention, and judicial control over detention of children.</w:t>
            </w:r>
          </w:p>
          <w:p w14:paraId="0000007A" w14:textId="77777777" w:rsidR="00025035" w:rsidRDefault="00A67CAE">
            <w:pPr>
              <w:numPr>
                <w:ilvl w:val="1"/>
                <w:numId w:val="1"/>
              </w:num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oversight and children’s access to legal counsel within pretrial detention.</w:t>
            </w:r>
          </w:p>
          <w:p w14:paraId="0000007B" w14:textId="77777777" w:rsidR="00025035" w:rsidRDefault="00025035">
            <w:pPr>
              <w:rPr>
                <w:rFonts w:ascii="Times New Roman" w:eastAsia="Times New Roman" w:hAnsi="Times New Roman" w:cs="Times New Roman"/>
              </w:rPr>
            </w:pPr>
          </w:p>
        </w:tc>
      </w:tr>
      <w:tr w:rsidR="00025035" w14:paraId="6840E4BC" w14:textId="77777777">
        <w:tc>
          <w:tcPr>
            <w:tcW w:w="2141" w:type="dxa"/>
          </w:tcPr>
          <w:p w14:paraId="00000083" w14:textId="77777777" w:rsidR="00025035" w:rsidRDefault="00A67CAE">
            <w:pPr>
              <w:rPr>
                <w:rFonts w:ascii="Times New Roman" w:eastAsia="Times New Roman" w:hAnsi="Times New Roman" w:cs="Times New Roman"/>
              </w:rPr>
            </w:pPr>
            <w:r>
              <w:rPr>
                <w:rFonts w:ascii="Times New Roman" w:eastAsia="Times New Roman" w:hAnsi="Times New Roman" w:cs="Times New Roman"/>
              </w:rPr>
              <w:t>Link to Global Study</w:t>
            </w:r>
          </w:p>
        </w:tc>
        <w:tc>
          <w:tcPr>
            <w:tcW w:w="6715" w:type="dxa"/>
            <w:gridSpan w:val="2"/>
          </w:tcPr>
          <w:p w14:paraId="00000084" w14:textId="77777777" w:rsidR="00025035" w:rsidRDefault="00D55418">
            <w:pPr>
              <w:shd w:val="clear" w:color="auto" w:fill="FFFFFF"/>
              <w:rPr>
                <w:rFonts w:ascii="Arial" w:eastAsia="Arial" w:hAnsi="Arial" w:cs="Arial"/>
                <w:color w:val="222222"/>
              </w:rPr>
            </w:pPr>
            <w:hyperlink r:id="rId9">
              <w:r w:rsidR="00A67CAE">
                <w:rPr>
                  <w:rFonts w:ascii="Arial" w:eastAsia="Arial" w:hAnsi="Arial" w:cs="Arial"/>
                  <w:color w:val="1155CC"/>
                  <w:u w:val="single"/>
                </w:rPr>
                <w:br/>
                <w:t>https://jjimexico.org/ptd-report/</w:t>
              </w:r>
            </w:hyperlink>
          </w:p>
          <w:p w14:paraId="00000085" w14:textId="77777777" w:rsidR="00025035" w:rsidRDefault="00025035">
            <w:pPr>
              <w:rPr>
                <w:rFonts w:ascii="Times New Roman" w:eastAsia="Times New Roman" w:hAnsi="Times New Roman" w:cs="Times New Roman"/>
              </w:rPr>
            </w:pPr>
          </w:p>
        </w:tc>
      </w:tr>
    </w:tbl>
    <w:p w14:paraId="0000008D" w14:textId="77777777" w:rsidR="00025035" w:rsidRDefault="00025035">
      <w:pPr>
        <w:rPr>
          <w:rFonts w:ascii="Times New Roman" w:eastAsia="Times New Roman" w:hAnsi="Times New Roman" w:cs="Times New Roman"/>
        </w:rPr>
      </w:pPr>
    </w:p>
    <w:sectPr w:rsidR="00025035">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B0CBE" w14:textId="77777777" w:rsidR="007C1D61" w:rsidRDefault="007C1D61">
      <w:r>
        <w:separator/>
      </w:r>
    </w:p>
  </w:endnote>
  <w:endnote w:type="continuationSeparator" w:id="0">
    <w:p w14:paraId="0D2D8B69" w14:textId="77777777" w:rsidR="007C1D61" w:rsidRDefault="007C1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C7266" w14:textId="77777777" w:rsidR="007C1D61" w:rsidRDefault="007C1D61">
      <w:r>
        <w:separator/>
      </w:r>
    </w:p>
  </w:footnote>
  <w:footnote w:type="continuationSeparator" w:id="0">
    <w:p w14:paraId="7AC81090" w14:textId="77777777" w:rsidR="007C1D61" w:rsidRDefault="007C1D61">
      <w:r>
        <w:continuationSeparator/>
      </w:r>
    </w:p>
  </w:footnote>
  <w:footnote w:id="1">
    <w:p w14:paraId="0000008E" w14:textId="77777777" w:rsidR="00025035" w:rsidRDefault="00A67CAE">
      <w:pPr>
        <w:rPr>
          <w:sz w:val="20"/>
          <w:szCs w:val="20"/>
        </w:rPr>
      </w:pPr>
      <w:r>
        <w:rPr>
          <w:rStyle w:val="FootnoteReference"/>
        </w:rPr>
        <w:footnoteRef/>
      </w:r>
      <w:r>
        <w:rPr>
          <w:sz w:val="20"/>
          <w:szCs w:val="20"/>
        </w:rPr>
        <w:t xml:space="preserve"> Patrick Webb &amp; William Allen </w:t>
      </w:r>
      <w:proofErr w:type="spellStart"/>
      <w:r>
        <w:rPr>
          <w:sz w:val="20"/>
          <w:szCs w:val="20"/>
        </w:rPr>
        <w:t>Kritsonis</w:t>
      </w:r>
      <w:proofErr w:type="spellEnd"/>
      <w:r>
        <w:rPr>
          <w:sz w:val="20"/>
          <w:szCs w:val="20"/>
        </w:rPr>
        <w:t xml:space="preserve">, </w:t>
      </w:r>
      <w:r>
        <w:rPr>
          <w:i/>
          <w:sz w:val="20"/>
          <w:szCs w:val="20"/>
        </w:rPr>
        <w:t>Controlling those Kids: Social Control and the Use of Pretrial Detention among Youth in the United States of America: National Implications</w:t>
      </w:r>
      <w:r>
        <w:rPr>
          <w:sz w:val="20"/>
          <w:szCs w:val="20"/>
        </w:rPr>
        <w:t xml:space="preserve">, </w:t>
      </w:r>
      <w:r>
        <w:rPr>
          <w:smallCaps/>
          <w:sz w:val="20"/>
          <w:szCs w:val="20"/>
        </w:rPr>
        <w:t xml:space="preserve">ERIC </w:t>
      </w:r>
      <w:r>
        <w:rPr>
          <w:sz w:val="20"/>
          <w:szCs w:val="20"/>
        </w:rPr>
        <w:t xml:space="preserve">(Oct. 2006), https://eric.ed.gov/?id=ED493565. </w:t>
      </w:r>
    </w:p>
  </w:footnote>
  <w:footnote w:id="2">
    <w:p w14:paraId="0000008F" w14:textId="77777777" w:rsidR="00025035" w:rsidRDefault="00A67CAE">
      <w:pPr>
        <w:rPr>
          <w:sz w:val="20"/>
          <w:szCs w:val="20"/>
        </w:rPr>
      </w:pPr>
      <w:r>
        <w:rPr>
          <w:rStyle w:val="FootnoteReference"/>
        </w:rPr>
        <w:footnoteRef/>
      </w:r>
      <w:r>
        <w:rPr>
          <w:sz w:val="20"/>
          <w:szCs w:val="20"/>
        </w:rPr>
        <w:t xml:space="preserve"> G.A. Res. 44/25, Convention on the Rights of the Child, art. 37(b) (Nov. 20, 1989) [hereinafter CRC].</w:t>
      </w:r>
    </w:p>
  </w:footnote>
  <w:footnote w:id="3">
    <w:p w14:paraId="00000090" w14:textId="77777777" w:rsidR="00025035" w:rsidRDefault="00A67CAE">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0000091" w14:textId="77777777" w:rsidR="00025035" w:rsidRDefault="00A67CAE">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Id. </w:t>
      </w:r>
      <w:r>
        <w:rPr>
          <w:rFonts w:ascii="Times New Roman" w:eastAsia="Times New Roman" w:hAnsi="Times New Roman" w:cs="Times New Roman"/>
          <w:color w:val="000000"/>
          <w:sz w:val="20"/>
          <w:szCs w:val="20"/>
        </w:rPr>
        <w:t>¶ 83 (specifying that regular review is “preferably every two weeks”).</w:t>
      </w:r>
    </w:p>
  </w:footnote>
  <w:footnote w:id="5">
    <w:p w14:paraId="00000092" w14:textId="77777777" w:rsidR="00025035" w:rsidRDefault="00A67CAE">
      <w:pPr>
        <w:rPr>
          <w:sz w:val="20"/>
          <w:szCs w:val="20"/>
        </w:rPr>
      </w:pPr>
      <w:r>
        <w:rPr>
          <w:rStyle w:val="FootnoteReference"/>
        </w:rPr>
        <w:footnoteRef/>
      </w:r>
      <w:r>
        <w:rPr>
          <w:sz w:val="20"/>
          <w:szCs w:val="20"/>
        </w:rPr>
        <w:t xml:space="preserve"> Moritz </w:t>
      </w:r>
      <w:proofErr w:type="spellStart"/>
      <w:r>
        <w:rPr>
          <w:sz w:val="20"/>
          <w:szCs w:val="20"/>
        </w:rPr>
        <w:t>Birk</w:t>
      </w:r>
      <w:proofErr w:type="spellEnd"/>
      <w:r>
        <w:rPr>
          <w:sz w:val="20"/>
          <w:szCs w:val="20"/>
        </w:rPr>
        <w:t xml:space="preserve"> et. al., </w:t>
      </w:r>
      <w:r>
        <w:rPr>
          <w:i/>
          <w:sz w:val="20"/>
          <w:szCs w:val="20"/>
        </w:rPr>
        <w:t>Pretrial Detention and Torture: Why Pretrial Detainees Face the Greatest Risk</w:t>
      </w:r>
      <w:r>
        <w:rPr>
          <w:sz w:val="20"/>
          <w:szCs w:val="20"/>
        </w:rPr>
        <w:t xml:space="preserve">, 27, </w:t>
      </w:r>
      <w:r>
        <w:rPr>
          <w:smallCaps/>
          <w:sz w:val="20"/>
          <w:szCs w:val="20"/>
        </w:rPr>
        <w:t>Open Soc’y Found</w:t>
      </w:r>
      <w:r>
        <w:rPr>
          <w:sz w:val="20"/>
          <w:szCs w:val="20"/>
        </w:rPr>
        <w:t xml:space="preserve">. (2011)), </w:t>
      </w:r>
      <w:hyperlink r:id="rId1">
        <w:r>
          <w:rPr>
            <w:color w:val="000000"/>
            <w:sz w:val="20"/>
            <w:szCs w:val="20"/>
            <w:u w:val="single"/>
          </w:rPr>
          <w:t>https://www.opensocietyfoundations.org/sites/default/files/pretrial-detention-and-torture-06222011.pdf</w:t>
        </w:r>
      </w:hyperlink>
      <w:r>
        <w:rPr>
          <w:sz w:val="20"/>
          <w:szCs w:val="20"/>
        </w:rPr>
        <w:t xml:space="preserve">. </w:t>
      </w:r>
    </w:p>
  </w:footnote>
  <w:footnote w:id="6">
    <w:p w14:paraId="00000093" w14:textId="77777777" w:rsidR="00025035" w:rsidRDefault="00A67CAE">
      <w:pPr>
        <w:rPr>
          <w:sz w:val="20"/>
          <w:szCs w:val="20"/>
        </w:rPr>
      </w:pPr>
      <w:r>
        <w:rPr>
          <w:rStyle w:val="FootnoteReference"/>
        </w:rPr>
        <w:footnoteRef/>
      </w:r>
      <w:r>
        <w:rPr>
          <w:sz w:val="20"/>
          <w:szCs w:val="20"/>
        </w:rPr>
        <w:t xml:space="preserve"> Barry Holman &amp; Jason </w:t>
      </w:r>
      <w:proofErr w:type="spellStart"/>
      <w:r>
        <w:rPr>
          <w:sz w:val="20"/>
          <w:szCs w:val="20"/>
        </w:rPr>
        <w:t>Ziedenberg</w:t>
      </w:r>
      <w:proofErr w:type="spellEnd"/>
      <w:r>
        <w:rPr>
          <w:sz w:val="20"/>
          <w:szCs w:val="20"/>
        </w:rPr>
        <w:t xml:space="preserve">. </w:t>
      </w:r>
      <w:r>
        <w:rPr>
          <w:i/>
          <w:sz w:val="20"/>
          <w:szCs w:val="20"/>
        </w:rPr>
        <w:t>The Dangers of Detention: The Impact of Incarcerating Youth in Detention and Other Secure Facilities</w:t>
      </w:r>
      <w:r>
        <w:rPr>
          <w:sz w:val="20"/>
          <w:szCs w:val="20"/>
        </w:rPr>
        <w:t xml:space="preserve">, 3–10, </w:t>
      </w:r>
      <w:r>
        <w:rPr>
          <w:smallCaps/>
          <w:sz w:val="20"/>
          <w:szCs w:val="20"/>
        </w:rPr>
        <w:t xml:space="preserve">Just. </w:t>
      </w:r>
      <w:proofErr w:type="spellStart"/>
      <w:r>
        <w:rPr>
          <w:smallCaps/>
          <w:sz w:val="20"/>
          <w:szCs w:val="20"/>
        </w:rPr>
        <w:t>Pol’y</w:t>
      </w:r>
      <w:proofErr w:type="spellEnd"/>
      <w:r>
        <w:rPr>
          <w:smallCaps/>
          <w:sz w:val="20"/>
          <w:szCs w:val="20"/>
        </w:rPr>
        <w:t xml:space="preserve"> Inst.</w:t>
      </w:r>
      <w:r>
        <w:rPr>
          <w:sz w:val="20"/>
          <w:szCs w:val="20"/>
        </w:rPr>
        <w:t xml:space="preserve"> (Nov. 28, 2006), </w:t>
      </w:r>
      <w:hyperlink r:id="rId2">
        <w:r>
          <w:rPr>
            <w:color w:val="000000"/>
            <w:sz w:val="20"/>
            <w:szCs w:val="20"/>
            <w:u w:val="single"/>
          </w:rPr>
          <w:t>http://www.justicepolicy.org/images/upload/06-11_rep_dangersofdetention_jj.pdf</w:t>
        </w:r>
      </w:hyperlink>
      <w:r>
        <w:rPr>
          <w:sz w:val="20"/>
          <w:szCs w:val="20"/>
        </w:rPr>
        <w:t xml:space="preserve">. </w:t>
      </w:r>
    </w:p>
  </w:footnote>
  <w:footnote w:id="7">
    <w:p w14:paraId="00000094" w14:textId="77777777" w:rsidR="00025035" w:rsidRDefault="00A67CAE">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David E. Arredondo, </w:t>
      </w:r>
      <w:r>
        <w:rPr>
          <w:rFonts w:ascii="Times New Roman" w:eastAsia="Times New Roman" w:hAnsi="Times New Roman" w:cs="Times New Roman"/>
          <w:i/>
          <w:color w:val="000000"/>
          <w:sz w:val="20"/>
          <w:szCs w:val="20"/>
        </w:rPr>
        <w:t>Child Development, Children's Mental Health and the Juvenile Justice System: Principles for Effective Decision-Making</w:t>
      </w:r>
      <w:r>
        <w:rPr>
          <w:rFonts w:ascii="Times New Roman" w:eastAsia="Times New Roman" w:hAnsi="Times New Roman" w:cs="Times New Roman"/>
          <w:color w:val="000000"/>
          <w:sz w:val="20"/>
          <w:szCs w:val="20"/>
        </w:rPr>
        <w:t xml:space="preserve">, 14 </w:t>
      </w:r>
      <w:r>
        <w:rPr>
          <w:rFonts w:ascii="Times New Roman" w:eastAsia="Times New Roman" w:hAnsi="Times New Roman" w:cs="Times New Roman"/>
          <w:smallCaps/>
          <w:color w:val="000000"/>
          <w:sz w:val="20"/>
          <w:szCs w:val="20"/>
        </w:rPr>
        <w:t xml:space="preserve">Stan. L. &amp; </w:t>
      </w:r>
      <w:proofErr w:type="spellStart"/>
      <w:r>
        <w:rPr>
          <w:rFonts w:ascii="Times New Roman" w:eastAsia="Times New Roman" w:hAnsi="Times New Roman" w:cs="Times New Roman"/>
          <w:smallCaps/>
          <w:color w:val="000000"/>
          <w:sz w:val="20"/>
          <w:szCs w:val="20"/>
        </w:rPr>
        <w:t>Pol'y</w:t>
      </w:r>
      <w:proofErr w:type="spellEnd"/>
      <w:r>
        <w:rPr>
          <w:rFonts w:ascii="Times New Roman" w:eastAsia="Times New Roman" w:hAnsi="Times New Roman" w:cs="Times New Roman"/>
          <w:smallCaps/>
          <w:color w:val="000000"/>
          <w:sz w:val="20"/>
          <w:szCs w:val="20"/>
        </w:rPr>
        <w:t xml:space="preserve"> Rev</w:t>
      </w:r>
      <w:r>
        <w:rPr>
          <w:rFonts w:ascii="Times New Roman" w:eastAsia="Times New Roman" w:hAnsi="Times New Roman" w:cs="Times New Roman"/>
          <w:color w:val="000000"/>
          <w:sz w:val="20"/>
          <w:szCs w:val="20"/>
        </w:rPr>
        <w:t>. 13, 18–19 (2003).</w:t>
      </w:r>
    </w:p>
  </w:footnote>
  <w:footnote w:id="8">
    <w:p w14:paraId="00000095" w14:textId="77777777" w:rsidR="00025035" w:rsidRDefault="00A67CAE">
      <w:pPr>
        <w:rPr>
          <w:i/>
          <w:sz w:val="20"/>
          <w:szCs w:val="20"/>
        </w:rPr>
      </w:pPr>
      <w:r>
        <w:rPr>
          <w:rStyle w:val="FootnoteReference"/>
        </w:rPr>
        <w:footnoteRef/>
      </w:r>
      <w:r>
        <w:rPr>
          <w:sz w:val="20"/>
          <w:szCs w:val="20"/>
        </w:rPr>
        <w:t xml:space="preserve"> </w:t>
      </w:r>
      <w:r>
        <w:rPr>
          <w:i/>
          <w:sz w:val="20"/>
          <w:szCs w:val="20"/>
        </w:rPr>
        <w:t>E.g</w:t>
      </w:r>
      <w:r>
        <w:rPr>
          <w:sz w:val="20"/>
          <w:szCs w:val="20"/>
        </w:rPr>
        <w:t xml:space="preserve">. Marina </w:t>
      </w:r>
      <w:proofErr w:type="spellStart"/>
      <w:r>
        <w:rPr>
          <w:sz w:val="20"/>
          <w:szCs w:val="20"/>
        </w:rPr>
        <w:t>Ilminska</w:t>
      </w:r>
      <w:proofErr w:type="spellEnd"/>
      <w:r>
        <w:rPr>
          <w:sz w:val="20"/>
          <w:szCs w:val="20"/>
        </w:rPr>
        <w:t xml:space="preserve">, </w:t>
      </w:r>
      <w:r>
        <w:rPr>
          <w:i/>
          <w:sz w:val="20"/>
          <w:szCs w:val="20"/>
        </w:rPr>
        <w:t>Pretrial Detention of Juveniles: As Common as It Is Wrong</w:t>
      </w:r>
      <w:r>
        <w:rPr>
          <w:sz w:val="20"/>
          <w:szCs w:val="20"/>
        </w:rPr>
        <w:t xml:space="preserve">, </w:t>
      </w:r>
      <w:r>
        <w:rPr>
          <w:smallCaps/>
          <w:sz w:val="20"/>
          <w:szCs w:val="20"/>
        </w:rPr>
        <w:t>Open Soc’y Found.: Voices</w:t>
      </w:r>
      <w:r>
        <w:rPr>
          <w:sz w:val="20"/>
          <w:szCs w:val="20"/>
        </w:rPr>
        <w:t xml:space="preserve"> (Sept. 1, 2015), </w:t>
      </w:r>
      <w:hyperlink r:id="rId3">
        <w:r>
          <w:rPr>
            <w:color w:val="000000"/>
            <w:sz w:val="20"/>
            <w:szCs w:val="20"/>
            <w:u w:val="single"/>
          </w:rPr>
          <w:t>https://www.opensocietyfoundations.org/voices/pretrial-detention-juveniles-common-it-wrong</w:t>
        </w:r>
      </w:hyperlink>
      <w:r>
        <w:rPr>
          <w:sz w:val="20"/>
          <w:szCs w:val="20"/>
        </w:rPr>
        <w:t xml:space="preserve">. </w:t>
      </w:r>
    </w:p>
  </w:footnote>
  <w:footnote w:id="9">
    <w:p w14:paraId="00000096" w14:textId="77777777" w:rsidR="00025035" w:rsidRDefault="00A67CAE">
      <w:pPr>
        <w:rPr>
          <w:sz w:val="20"/>
          <w:szCs w:val="20"/>
        </w:rPr>
      </w:pPr>
      <w:r>
        <w:rPr>
          <w:rStyle w:val="FootnoteReference"/>
        </w:rPr>
        <w:footnoteRef/>
      </w:r>
      <w:r>
        <w:rPr>
          <w:sz w:val="20"/>
          <w:szCs w:val="20"/>
        </w:rPr>
        <w:t xml:space="preserve"> </w:t>
      </w:r>
      <w:r>
        <w:rPr>
          <w:i/>
          <w:sz w:val="20"/>
          <w:szCs w:val="20"/>
        </w:rPr>
        <w:t>E.g.</w:t>
      </w:r>
      <w:r>
        <w:rPr>
          <w:sz w:val="20"/>
          <w:szCs w:val="20"/>
        </w:rPr>
        <w:t xml:space="preserve">, </w:t>
      </w:r>
      <w:proofErr w:type="spellStart"/>
      <w:r>
        <w:rPr>
          <w:i/>
          <w:sz w:val="20"/>
          <w:szCs w:val="20"/>
        </w:rPr>
        <w:t>Diagnóstico</w:t>
      </w:r>
      <w:proofErr w:type="spellEnd"/>
      <w:r>
        <w:rPr>
          <w:i/>
          <w:sz w:val="20"/>
          <w:szCs w:val="20"/>
        </w:rPr>
        <w:t xml:space="preserve"> del Sistema de Justicia Para </w:t>
      </w:r>
      <w:proofErr w:type="spellStart"/>
      <w:r>
        <w:rPr>
          <w:i/>
          <w:sz w:val="20"/>
          <w:szCs w:val="20"/>
        </w:rPr>
        <w:t>Adolescentes</w:t>
      </w:r>
      <w:proofErr w:type="spellEnd"/>
      <w:r>
        <w:rPr>
          <w:i/>
          <w:sz w:val="20"/>
          <w:szCs w:val="20"/>
        </w:rPr>
        <w:t xml:space="preserve"> del Estado de Chihuahua: “</w:t>
      </w:r>
      <w:proofErr w:type="spellStart"/>
      <w:r>
        <w:rPr>
          <w:i/>
          <w:sz w:val="20"/>
          <w:szCs w:val="20"/>
        </w:rPr>
        <w:t>Buenas</w:t>
      </w:r>
      <w:proofErr w:type="spellEnd"/>
      <w:r>
        <w:rPr>
          <w:i/>
          <w:sz w:val="20"/>
          <w:szCs w:val="20"/>
        </w:rPr>
        <w:t xml:space="preserve"> </w:t>
      </w:r>
      <w:proofErr w:type="spellStart"/>
      <w:r>
        <w:rPr>
          <w:i/>
          <w:sz w:val="20"/>
          <w:szCs w:val="20"/>
        </w:rPr>
        <w:t>Prácticas</w:t>
      </w:r>
      <w:proofErr w:type="spellEnd"/>
      <w:r>
        <w:rPr>
          <w:i/>
          <w:sz w:val="20"/>
          <w:szCs w:val="20"/>
        </w:rPr>
        <w:t xml:space="preserve"> para las </w:t>
      </w:r>
      <w:proofErr w:type="spellStart"/>
      <w:r>
        <w:rPr>
          <w:i/>
          <w:sz w:val="20"/>
          <w:szCs w:val="20"/>
        </w:rPr>
        <w:t>Alternativas</w:t>
      </w:r>
      <w:proofErr w:type="spellEnd"/>
      <w:r>
        <w:rPr>
          <w:i/>
          <w:sz w:val="20"/>
          <w:szCs w:val="20"/>
        </w:rPr>
        <w:t xml:space="preserve"> a la </w:t>
      </w:r>
      <w:proofErr w:type="spellStart"/>
      <w:r>
        <w:rPr>
          <w:i/>
          <w:sz w:val="20"/>
          <w:szCs w:val="20"/>
        </w:rPr>
        <w:t>Detención</w:t>
      </w:r>
      <w:proofErr w:type="spellEnd"/>
      <w:r>
        <w:rPr>
          <w:i/>
          <w:sz w:val="20"/>
          <w:szCs w:val="20"/>
        </w:rPr>
        <w:t>”</w:t>
      </w:r>
      <w:r>
        <w:rPr>
          <w:sz w:val="20"/>
          <w:szCs w:val="20"/>
        </w:rPr>
        <w:t xml:space="preserve">, 8–10, </w:t>
      </w:r>
      <w:r>
        <w:rPr>
          <w:smallCaps/>
          <w:sz w:val="20"/>
          <w:szCs w:val="20"/>
        </w:rPr>
        <w:t xml:space="preserve">Justicia </w:t>
      </w:r>
      <w:proofErr w:type="spellStart"/>
      <w:r>
        <w:rPr>
          <w:smallCaps/>
          <w:sz w:val="20"/>
          <w:szCs w:val="20"/>
        </w:rPr>
        <w:t>Juvenil</w:t>
      </w:r>
      <w:proofErr w:type="spellEnd"/>
      <w:r>
        <w:rPr>
          <w:smallCaps/>
          <w:sz w:val="20"/>
          <w:szCs w:val="20"/>
        </w:rPr>
        <w:t xml:space="preserve"> Int’l</w:t>
      </w:r>
      <w:r>
        <w:rPr>
          <w:sz w:val="20"/>
          <w:szCs w:val="20"/>
        </w:rPr>
        <w:t xml:space="preserve"> (Sept. 2017) https://jjimexico.org/projects/chihuahua</w:t>
      </w:r>
      <w:r>
        <w:rPr>
          <w:color w:val="FF0000"/>
          <w:sz w:val="20"/>
          <w:szCs w:val="20"/>
        </w:rPr>
        <w:t xml:space="preserve"> </w:t>
      </w:r>
      <w:r>
        <w:rPr>
          <w:sz w:val="20"/>
          <w:szCs w:val="20"/>
        </w:rPr>
        <w:t xml:space="preserve">[hereinafter </w:t>
      </w:r>
      <w:proofErr w:type="spellStart"/>
      <w:r>
        <w:rPr>
          <w:i/>
          <w:sz w:val="20"/>
          <w:szCs w:val="20"/>
        </w:rPr>
        <w:t>Diagnóstico</w:t>
      </w:r>
      <w:proofErr w:type="spellEnd"/>
      <w:r>
        <w:rPr>
          <w:i/>
          <w:sz w:val="20"/>
          <w:szCs w:val="20"/>
        </w:rPr>
        <w:t xml:space="preserve"> 2017</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2D44A3"/>
    <w:multiLevelType w:val="hybridMultilevel"/>
    <w:tmpl w:val="5538DE2C"/>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9049E"/>
    <w:multiLevelType w:val="hybridMultilevel"/>
    <w:tmpl w:val="33C8FB60"/>
    <w:lvl w:ilvl="0" w:tplc="697043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352327"/>
    <w:multiLevelType w:val="multilevel"/>
    <w:tmpl w:val="8F4E433A"/>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035"/>
    <w:rsid w:val="00025035"/>
    <w:rsid w:val="002E6941"/>
    <w:rsid w:val="003C5C8D"/>
    <w:rsid w:val="00660FE7"/>
    <w:rsid w:val="007C1D61"/>
    <w:rsid w:val="00A67CAE"/>
    <w:rsid w:val="00D55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8C523"/>
  <w15:docId w15:val="{7225E621-BE98-A94A-8DD9-74F0E48F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xltQtMEjDTEkgOtDz2+3YpS97g==">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ED4CCF-C32F-412F-A40C-4BD131F8BF7E}"/>
</file>

<file path=customXml/itemProps3.xml><?xml version="1.0" encoding="utf-8"?>
<ds:datastoreItem xmlns:ds="http://schemas.openxmlformats.org/officeDocument/2006/customXml" ds:itemID="{8EFB4C62-3CAD-467C-BA1B-5C819796117B}"/>
</file>

<file path=customXml/itemProps4.xml><?xml version="1.0" encoding="utf-8"?>
<ds:datastoreItem xmlns:ds="http://schemas.openxmlformats.org/officeDocument/2006/customXml" ds:itemID="{9F7CC171-15E4-4A2E-949E-2E7C8BCF0A61}"/>
</file>

<file path=docProps/app.xml><?xml version="1.0" encoding="utf-8"?>
<Properties xmlns="http://schemas.openxmlformats.org/officeDocument/2006/extended-properties" xmlns:vt="http://schemas.openxmlformats.org/officeDocument/2006/docPropsVTypes">
  <Template>Normal.dotm</Template>
  <TotalTime>1</TotalTime>
  <Pages>5</Pages>
  <Words>1538</Words>
  <Characters>8767</Characters>
  <Application>Microsoft Office Word</Application>
  <DocSecurity>0</DocSecurity>
  <Lines>73</Lines>
  <Paragraphs>20</Paragraphs>
  <ScaleCrop>false</ScaleCrop>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FLECHE Isabelle</cp:lastModifiedBy>
  <cp:revision>2</cp:revision>
  <dcterms:created xsi:type="dcterms:W3CDTF">2022-11-11T15:51:00Z</dcterms:created>
  <dcterms:modified xsi:type="dcterms:W3CDTF">2022-11-11T15:51:00Z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