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4395A" w:rsidRDefault="00F10404">
      <w:pPr>
        <w:spacing w:after="0" w:line="240" w:lineRule="auto"/>
        <w:rPr>
          <w:rFonts w:ascii="Arial Narrow" w:eastAsia="Arial Narrow" w:hAnsi="Arial Narrow" w:cs="Arial Narrow"/>
          <w:sz w:val="24"/>
          <w:szCs w:val="24"/>
        </w:rPr>
      </w:pPr>
      <w:bookmarkStart w:id="0" w:name="_Hlk144824605"/>
      <w:r>
        <w:rPr>
          <w:noProof/>
        </w:rPr>
        <w:drawing>
          <wp:anchor distT="114300" distB="114300" distL="114300" distR="114300" simplePos="0" relativeHeight="251658240" behindDoc="0" locked="0" layoutInCell="1" hidden="0" allowOverlap="1" wp14:anchorId="262444EA" wp14:editId="5874855F">
            <wp:simplePos x="0" y="0"/>
            <wp:positionH relativeFrom="column">
              <wp:posOffset>2031472</wp:posOffset>
            </wp:positionH>
            <wp:positionV relativeFrom="paragraph">
              <wp:posOffset>-157067</wp:posOffset>
            </wp:positionV>
            <wp:extent cx="1549185" cy="914080"/>
            <wp:effectExtent l="0" t="0" r="0" b="0"/>
            <wp:wrapNone/>
            <wp:docPr id="6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t="14992" b="12113"/>
                    <a:stretch>
                      <a:fillRect/>
                    </a:stretch>
                  </pic:blipFill>
                  <pic:spPr>
                    <a:xfrm>
                      <a:off x="0" y="0"/>
                      <a:ext cx="1549185" cy="914080"/>
                    </a:xfrm>
                    <a:prstGeom prst="rect">
                      <a:avLst/>
                    </a:prstGeom>
                    <a:ln/>
                  </pic:spPr>
                </pic:pic>
              </a:graphicData>
            </a:graphic>
          </wp:anchor>
        </w:drawing>
      </w:r>
    </w:p>
    <w:p w14:paraId="00000002" w14:textId="77777777" w:rsidR="0074395A" w:rsidRDefault="0074395A">
      <w:pPr>
        <w:spacing w:after="0" w:line="240" w:lineRule="auto"/>
        <w:ind w:left="4366"/>
        <w:jc w:val="right"/>
        <w:rPr>
          <w:rFonts w:ascii="Arial Narrow" w:eastAsia="Arial Narrow" w:hAnsi="Arial Narrow" w:cs="Arial Narrow"/>
          <w:b/>
          <w:color w:val="000000"/>
          <w:sz w:val="24"/>
          <w:szCs w:val="24"/>
        </w:rPr>
      </w:pPr>
    </w:p>
    <w:p w14:paraId="00000003" w14:textId="77777777" w:rsidR="0074395A" w:rsidRDefault="0074395A">
      <w:pPr>
        <w:spacing w:after="0" w:line="240" w:lineRule="auto"/>
        <w:ind w:left="4366"/>
        <w:jc w:val="right"/>
        <w:rPr>
          <w:rFonts w:ascii="Arial Narrow" w:eastAsia="Arial Narrow" w:hAnsi="Arial Narrow" w:cs="Arial Narrow"/>
          <w:b/>
          <w:color w:val="000000"/>
          <w:sz w:val="24"/>
          <w:szCs w:val="24"/>
        </w:rPr>
      </w:pPr>
    </w:p>
    <w:p w14:paraId="00000004" w14:textId="77777777" w:rsidR="0074395A" w:rsidRDefault="0074395A">
      <w:pPr>
        <w:spacing w:after="0" w:line="240" w:lineRule="auto"/>
        <w:ind w:left="4366"/>
        <w:jc w:val="right"/>
        <w:rPr>
          <w:rFonts w:ascii="Arial Narrow" w:eastAsia="Arial Narrow" w:hAnsi="Arial Narrow" w:cs="Arial Narrow"/>
          <w:b/>
          <w:color w:val="000000"/>
          <w:sz w:val="24"/>
          <w:szCs w:val="24"/>
        </w:rPr>
      </w:pPr>
    </w:p>
    <w:p w14:paraId="00000005" w14:textId="77777777" w:rsidR="0074395A" w:rsidRDefault="0074395A">
      <w:pPr>
        <w:spacing w:after="0" w:line="240" w:lineRule="auto"/>
        <w:ind w:left="4366"/>
        <w:jc w:val="right"/>
        <w:rPr>
          <w:rFonts w:ascii="Arial Narrow" w:eastAsia="Arial Narrow" w:hAnsi="Arial Narrow" w:cs="Arial Narrow"/>
          <w:b/>
          <w:color w:val="000000"/>
          <w:sz w:val="24"/>
          <w:szCs w:val="24"/>
        </w:rPr>
      </w:pPr>
    </w:p>
    <w:p w14:paraId="00000006" w14:textId="7FBCF6E8" w:rsidR="0074395A" w:rsidRDefault="00F10404">
      <w:pPr>
        <w:spacing w:after="0" w:line="240" w:lineRule="auto"/>
        <w:ind w:left="4366"/>
        <w:jc w:val="right"/>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 xml:space="preserve">Ciudad de México, </w:t>
      </w:r>
      <w:r w:rsidR="00385249">
        <w:rPr>
          <w:rFonts w:ascii="Arial Narrow" w:eastAsia="Arial Narrow" w:hAnsi="Arial Narrow" w:cs="Arial Narrow"/>
          <w:b/>
          <w:color w:val="000000"/>
          <w:sz w:val="24"/>
          <w:szCs w:val="24"/>
        </w:rPr>
        <w:t>5</w:t>
      </w:r>
      <w:r>
        <w:rPr>
          <w:rFonts w:ascii="Arial Narrow" w:eastAsia="Arial Narrow" w:hAnsi="Arial Narrow" w:cs="Arial Narrow"/>
          <w:b/>
          <w:color w:val="000000"/>
          <w:sz w:val="24"/>
          <w:szCs w:val="24"/>
        </w:rPr>
        <w:t xml:space="preserve"> de septiembre de 2023.</w:t>
      </w:r>
    </w:p>
    <w:p w14:paraId="00000007" w14:textId="77777777" w:rsidR="0074395A" w:rsidRDefault="0074395A">
      <w:pPr>
        <w:spacing w:after="0" w:line="240" w:lineRule="auto"/>
        <w:ind w:left="4366"/>
        <w:jc w:val="both"/>
        <w:rPr>
          <w:rFonts w:ascii="Arial Narrow" w:eastAsia="Arial Narrow" w:hAnsi="Arial Narrow" w:cs="Arial Narrow"/>
          <w:b/>
          <w:color w:val="000000"/>
          <w:sz w:val="24"/>
          <w:szCs w:val="24"/>
        </w:rPr>
      </w:pPr>
    </w:p>
    <w:p w14:paraId="00000008" w14:textId="77777777" w:rsidR="0074395A" w:rsidRDefault="00685790">
      <w:pPr>
        <w:spacing w:after="0" w:line="240" w:lineRule="auto"/>
        <w:ind w:left="4366"/>
        <w:jc w:val="both"/>
        <w:rPr>
          <w:rFonts w:ascii="Arial Narrow" w:eastAsia="Arial Narrow" w:hAnsi="Arial Narrow" w:cs="Arial Narrow"/>
          <w:sz w:val="24"/>
          <w:szCs w:val="24"/>
        </w:rPr>
      </w:pPr>
      <w:sdt>
        <w:sdtPr>
          <w:tag w:val="goog_rdk_0"/>
          <w:id w:val="1784067049"/>
        </w:sdtPr>
        <w:sdtEndPr/>
        <w:sdtContent/>
      </w:sdt>
      <w:r w:rsidR="00F10404">
        <w:rPr>
          <w:rFonts w:ascii="Arial Narrow" w:eastAsia="Arial Narrow" w:hAnsi="Arial Narrow" w:cs="Arial Narrow"/>
          <w:b/>
          <w:color w:val="000000"/>
          <w:sz w:val="24"/>
          <w:szCs w:val="24"/>
        </w:rPr>
        <w:t>REF.: Contribución sobre la lista de cuestiones y preguntas previas a la presentación del décimo informe de México</w:t>
      </w:r>
    </w:p>
    <w:p w14:paraId="00000009" w14:textId="77777777" w:rsidR="0074395A" w:rsidRDefault="0074395A">
      <w:pPr>
        <w:spacing w:after="240" w:line="240" w:lineRule="auto"/>
        <w:rPr>
          <w:rFonts w:ascii="Arial Narrow" w:eastAsia="Arial Narrow" w:hAnsi="Arial Narrow" w:cs="Arial Narrow"/>
          <w:sz w:val="24"/>
          <w:szCs w:val="24"/>
        </w:rPr>
      </w:pPr>
    </w:p>
    <w:p w14:paraId="0000000A" w14:textId="77777777" w:rsidR="0074395A" w:rsidRDefault="00F10404">
      <w:pPr>
        <w:spacing w:after="0" w:line="240" w:lineRule="auto"/>
        <w:rPr>
          <w:rFonts w:ascii="Arial Narrow" w:eastAsia="Arial Narrow" w:hAnsi="Arial Narrow" w:cs="Arial Narrow"/>
          <w:sz w:val="24"/>
          <w:szCs w:val="24"/>
        </w:rPr>
      </w:pPr>
      <w:r>
        <w:rPr>
          <w:rFonts w:ascii="Arial Narrow" w:eastAsia="Arial Narrow" w:hAnsi="Arial Narrow" w:cs="Arial Narrow"/>
          <w:b/>
          <w:color w:val="000000"/>
          <w:sz w:val="24"/>
          <w:szCs w:val="24"/>
        </w:rPr>
        <w:t>Respetables integrantes del Grupo de Trabajo previo al 88º período de sesiones del Comité para la Eliminación de la Discriminación contra la Mujer,</w:t>
      </w:r>
    </w:p>
    <w:p w14:paraId="0000000B" w14:textId="77777777" w:rsidR="0074395A" w:rsidRDefault="0074395A">
      <w:pPr>
        <w:spacing w:after="0" w:line="240" w:lineRule="auto"/>
        <w:rPr>
          <w:rFonts w:ascii="Arial Narrow" w:eastAsia="Arial Narrow" w:hAnsi="Arial Narrow" w:cs="Arial Narrow"/>
          <w:sz w:val="24"/>
          <w:szCs w:val="24"/>
        </w:rPr>
      </w:pPr>
    </w:p>
    <w:p w14:paraId="0000000C" w14:textId="77777777" w:rsidR="0074395A" w:rsidRDefault="00F10404">
      <w:pPr>
        <w:jc w:val="both"/>
        <w:rPr>
          <w:rFonts w:ascii="Arial Narrow" w:eastAsia="Arial Narrow" w:hAnsi="Arial Narrow" w:cs="Arial Narrow"/>
          <w:sz w:val="24"/>
          <w:szCs w:val="24"/>
        </w:rPr>
      </w:pPr>
      <w:r>
        <w:rPr>
          <w:rFonts w:ascii="Arial Narrow" w:eastAsia="Arial Narrow" w:hAnsi="Arial Narrow" w:cs="Arial Narrow"/>
          <w:color w:val="000000"/>
          <w:sz w:val="24"/>
          <w:szCs w:val="24"/>
        </w:rPr>
        <w:t>Reciban un cordial saludo del Centro de Derechos Humanos Miguel Agustín Pro Juárez A.C. (Centro Prodh), organización mexicana no gubernamental de defensa y promoción de los derechos humanos, fundada en 1988 y con Estatus Consultivo ante el Consejo Económico y Social de las Naciones Unidas desde 2001. </w:t>
      </w:r>
      <w:r>
        <w:rPr>
          <w:rFonts w:ascii="Arial Narrow" w:eastAsia="Arial Narrow" w:hAnsi="Arial Narrow" w:cs="Arial Narrow"/>
          <w:sz w:val="24"/>
          <w:szCs w:val="24"/>
        </w:rPr>
        <w:t>En esta ocasión, nos dirigimos a ustedes atendiendo la invitación a las organizaciones no gubernamentales a presentar contribuciones escritas para la elaboración de cuestiones y preguntas dirigidas a los Estados Unidos Mexicanos (en adelante “el Estado”, “Estado mexicano” o “México”) previo a la presentación de su décimo informe al Comité para la Eliminación de la Discriminación contra la Mujer (en adelante “CEDAW” o “Comité”).</w:t>
      </w:r>
    </w:p>
    <w:p w14:paraId="0000000D" w14:textId="77777777" w:rsidR="0074395A" w:rsidRDefault="00F10404">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En sus casi 35 años de trabajo, en el Centro Prodh hemos acompañado a víctimas de graves violaciones a derechos humanos y en particular a mujeres víctimas de tortura y tortura sexual, así como sus familiares, documentando numerosos casos de esta naturaleza. Así, hemos representado y asesorado a mujeres sobrevivientes de tortura sexual ante los tribunales nacionales e instancias internacionales; y hemos documentado y publicado diversos informes sobre la práctica de la tortura sexual en México y la respuesta estatal</w:t>
      </w:r>
      <w:r>
        <w:rPr>
          <w:rFonts w:ascii="Arial Narrow" w:eastAsia="Arial Narrow" w:hAnsi="Arial Narrow" w:cs="Arial Narrow"/>
          <w:color w:val="000000"/>
          <w:sz w:val="24"/>
          <w:szCs w:val="24"/>
          <w:vertAlign w:val="superscript"/>
        </w:rPr>
        <w:footnoteReference w:id="1"/>
      </w:r>
      <w:r>
        <w:rPr>
          <w:rFonts w:ascii="Arial Narrow" w:eastAsia="Arial Narrow" w:hAnsi="Arial Narrow" w:cs="Arial Narrow"/>
          <w:color w:val="000000"/>
          <w:sz w:val="24"/>
          <w:szCs w:val="24"/>
        </w:rPr>
        <w:t>.</w:t>
      </w:r>
    </w:p>
    <w:p w14:paraId="0000000E" w14:textId="77777777" w:rsidR="0074395A" w:rsidRDefault="0074395A">
      <w:pPr>
        <w:spacing w:after="0" w:line="240" w:lineRule="auto"/>
        <w:jc w:val="both"/>
        <w:rPr>
          <w:rFonts w:ascii="Arial Narrow" w:eastAsia="Arial Narrow" w:hAnsi="Arial Narrow" w:cs="Arial Narrow"/>
          <w:color w:val="000000"/>
          <w:sz w:val="24"/>
          <w:szCs w:val="24"/>
        </w:rPr>
      </w:pPr>
    </w:p>
    <w:p w14:paraId="0000000F" w14:textId="77777777" w:rsidR="0074395A" w:rsidRDefault="00F10404">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Dado este panorama, a continuación, nos permitimos brindar al Grupo de Trabajo información sobre la persistencia de la tortura sexual contra mujeres en México, a fin de que esta problemática sea abordada en la lista de cuestiones y preguntas para el Estado mexicano de cara a su próximo informe.</w:t>
      </w:r>
    </w:p>
    <w:p w14:paraId="00000010" w14:textId="77777777" w:rsidR="0074395A" w:rsidRDefault="0074395A">
      <w:pPr>
        <w:spacing w:after="0" w:line="240" w:lineRule="auto"/>
        <w:jc w:val="both"/>
        <w:rPr>
          <w:rFonts w:ascii="Arial Narrow" w:eastAsia="Arial Narrow" w:hAnsi="Arial Narrow" w:cs="Arial Narrow"/>
          <w:sz w:val="24"/>
          <w:szCs w:val="24"/>
        </w:rPr>
      </w:pPr>
    </w:p>
    <w:p w14:paraId="00000011" w14:textId="77777777" w:rsidR="0074395A" w:rsidRDefault="00F10404">
      <w:pPr>
        <w:numPr>
          <w:ilvl w:val="0"/>
          <w:numId w:val="2"/>
        </w:numPr>
        <w:pBdr>
          <w:top w:val="nil"/>
          <w:left w:val="nil"/>
          <w:bottom w:val="nil"/>
          <w:right w:val="nil"/>
          <w:between w:val="nil"/>
        </w:pBdr>
        <w:jc w:val="both"/>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Consideraciones para la lista de cuestiones</w:t>
      </w:r>
    </w:p>
    <w:p w14:paraId="00000012" w14:textId="77777777" w:rsidR="0074395A" w:rsidRDefault="00F10404">
      <w:pPr>
        <w:jc w:val="both"/>
        <w:rPr>
          <w:rFonts w:ascii="Arial Narrow" w:eastAsia="Arial Narrow" w:hAnsi="Arial Narrow" w:cs="Arial Narrow"/>
          <w:sz w:val="24"/>
          <w:szCs w:val="24"/>
        </w:rPr>
      </w:pPr>
      <w:r>
        <w:rPr>
          <w:rFonts w:ascii="Arial Narrow" w:eastAsia="Arial Narrow" w:hAnsi="Arial Narrow" w:cs="Arial Narrow"/>
          <w:sz w:val="24"/>
          <w:szCs w:val="24"/>
        </w:rPr>
        <w:t>En sus últimas observaciones sobre el informe del Estado mexicano, de 26 de julio de 2017, el Comité reiteró su preocupación por la persistencia de la violencia contra las mujeres por razón de género, destacando particularmente la tortura sexual</w:t>
      </w:r>
      <w:r>
        <w:rPr>
          <w:rFonts w:ascii="Arial Narrow" w:eastAsia="Arial Narrow" w:hAnsi="Arial Narrow" w:cs="Arial Narrow"/>
          <w:sz w:val="24"/>
          <w:szCs w:val="24"/>
          <w:vertAlign w:val="superscript"/>
        </w:rPr>
        <w:footnoteReference w:id="2"/>
      </w:r>
      <w:r>
        <w:rPr>
          <w:rFonts w:ascii="Arial Narrow" w:eastAsia="Arial Narrow" w:hAnsi="Arial Narrow" w:cs="Arial Narrow"/>
          <w:sz w:val="24"/>
          <w:szCs w:val="24"/>
        </w:rPr>
        <w:t xml:space="preserve">. Así, recordó a México la Recomendación General núm. </w:t>
      </w:r>
      <w:r>
        <w:rPr>
          <w:rFonts w:ascii="Arial Narrow" w:eastAsia="Arial Narrow" w:hAnsi="Arial Narrow" w:cs="Arial Narrow"/>
          <w:sz w:val="24"/>
          <w:szCs w:val="24"/>
        </w:rPr>
        <w:lastRenderedPageBreak/>
        <w:t>35 –que subraya el derecho de las mujeres a la protección contra la tortura</w:t>
      </w:r>
      <w:r>
        <w:rPr>
          <w:rFonts w:ascii="Arial Narrow" w:eastAsia="Arial Narrow" w:hAnsi="Arial Narrow" w:cs="Arial Narrow"/>
          <w:sz w:val="24"/>
          <w:szCs w:val="24"/>
          <w:vertAlign w:val="superscript"/>
        </w:rPr>
        <w:footnoteReference w:id="3"/>
      </w:r>
      <w:r>
        <w:rPr>
          <w:rFonts w:ascii="Arial Narrow" w:eastAsia="Arial Narrow" w:hAnsi="Arial Narrow" w:cs="Arial Narrow"/>
          <w:sz w:val="24"/>
          <w:szCs w:val="24"/>
        </w:rPr>
        <w:t xml:space="preserve">–, y realizó una serie de </w:t>
      </w:r>
      <w:sdt>
        <w:sdtPr>
          <w:tag w:val="goog_rdk_1"/>
          <w:id w:val="-101571734"/>
        </w:sdtPr>
        <w:sdtEndPr/>
        <w:sdtContent/>
      </w:sdt>
      <w:r>
        <w:rPr>
          <w:rFonts w:ascii="Arial Narrow" w:eastAsia="Arial Narrow" w:hAnsi="Arial Narrow" w:cs="Arial Narrow"/>
          <w:sz w:val="24"/>
          <w:szCs w:val="24"/>
        </w:rPr>
        <w:t>recomendaciones dirigidas a combatir la violencia de género, entre ellas que adopte medidas urgentes para prevenir sus causas profundas, así como investigar, juzgar y sancionar a las personas responsables de delitos relacionados, incluidos agentes estatales</w:t>
      </w:r>
      <w:r>
        <w:rPr>
          <w:rFonts w:ascii="Arial Narrow" w:eastAsia="Arial Narrow" w:hAnsi="Arial Narrow" w:cs="Arial Narrow"/>
          <w:sz w:val="24"/>
          <w:szCs w:val="24"/>
          <w:vertAlign w:val="superscript"/>
        </w:rPr>
        <w:footnoteReference w:id="4"/>
      </w:r>
      <w:r>
        <w:rPr>
          <w:rFonts w:ascii="Arial Narrow" w:eastAsia="Arial Narrow" w:hAnsi="Arial Narrow" w:cs="Arial Narrow"/>
          <w:sz w:val="24"/>
          <w:szCs w:val="24"/>
        </w:rPr>
        <w:t>.</w:t>
      </w:r>
    </w:p>
    <w:p w14:paraId="511EAD47" w14:textId="77777777" w:rsidR="00122723" w:rsidRDefault="00F10404" w:rsidP="00122723">
      <w:pPr>
        <w:jc w:val="both"/>
        <w:rPr>
          <w:rFonts w:ascii="Arial Narrow" w:eastAsia="Arial Narrow" w:hAnsi="Arial Narrow" w:cs="Arial Narrow"/>
          <w:sz w:val="24"/>
          <w:szCs w:val="24"/>
        </w:rPr>
      </w:pPr>
      <w:r>
        <w:rPr>
          <w:rFonts w:ascii="Arial Narrow" w:eastAsia="Arial Narrow" w:hAnsi="Arial Narrow" w:cs="Arial Narrow"/>
          <w:sz w:val="24"/>
          <w:szCs w:val="24"/>
        </w:rPr>
        <w:t>Por su parte, el Comité contra la Tortura, en su lista de cuestiones de junio de 2022 para el octavo informe de México, solicitó al Estado brindar “datos estadísticos desglosados por sexo, edad, origen étnico o nacionalidad y lugar de detención, sobre las denuncias de actos de tortura, incluida la violencia sexual”</w:t>
      </w:r>
      <w:r>
        <w:rPr>
          <w:rFonts w:ascii="Arial Narrow" w:eastAsia="Arial Narrow" w:hAnsi="Arial Narrow" w:cs="Arial Narrow"/>
          <w:sz w:val="24"/>
          <w:szCs w:val="24"/>
          <w:vertAlign w:val="superscript"/>
        </w:rPr>
        <w:footnoteReference w:id="5"/>
      </w:r>
      <w:r>
        <w:rPr>
          <w:rFonts w:ascii="Arial Narrow" w:eastAsia="Arial Narrow" w:hAnsi="Arial Narrow" w:cs="Arial Narrow"/>
          <w:sz w:val="24"/>
          <w:szCs w:val="24"/>
        </w:rPr>
        <w:t>.</w:t>
      </w:r>
      <w:r w:rsidR="00122723">
        <w:rPr>
          <w:rFonts w:ascii="Arial Narrow" w:eastAsia="Arial Narrow" w:hAnsi="Arial Narrow" w:cs="Arial Narrow"/>
          <w:sz w:val="24"/>
          <w:szCs w:val="24"/>
        </w:rPr>
        <w:t xml:space="preserve"> </w:t>
      </w:r>
    </w:p>
    <w:p w14:paraId="00000013" w14:textId="1862FCA2" w:rsidR="0074395A" w:rsidRDefault="00122723" w:rsidP="00122723">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Sumado a lo anterior, cabe hacer alusión al informe de la </w:t>
      </w:r>
      <w:r w:rsidRPr="00122723">
        <w:rPr>
          <w:rFonts w:ascii="Arial Narrow" w:eastAsia="Arial Narrow" w:hAnsi="Arial Narrow" w:cs="Arial Narrow"/>
          <w:sz w:val="24"/>
          <w:szCs w:val="24"/>
        </w:rPr>
        <w:t>Relatora Especial sobre la violencia contra la mujer,</w:t>
      </w:r>
      <w:r>
        <w:rPr>
          <w:rFonts w:ascii="Arial Narrow" w:eastAsia="Arial Narrow" w:hAnsi="Arial Narrow" w:cs="Arial Narrow"/>
          <w:sz w:val="24"/>
          <w:szCs w:val="24"/>
        </w:rPr>
        <w:t xml:space="preserve"> relativo a l</w:t>
      </w:r>
      <w:r w:rsidRPr="00122723">
        <w:rPr>
          <w:rFonts w:ascii="Arial Narrow" w:eastAsia="Arial Narrow" w:hAnsi="Arial Narrow" w:cs="Arial Narrow"/>
          <w:sz w:val="24"/>
          <w:szCs w:val="24"/>
        </w:rPr>
        <w:t>a violación como una vulneración grave de los derechos humanos y</w:t>
      </w:r>
      <w:r>
        <w:rPr>
          <w:rFonts w:ascii="Arial Narrow" w:eastAsia="Arial Narrow" w:hAnsi="Arial Narrow" w:cs="Arial Narrow"/>
          <w:sz w:val="24"/>
          <w:szCs w:val="24"/>
        </w:rPr>
        <w:t xml:space="preserve"> </w:t>
      </w:r>
      <w:r w:rsidRPr="00122723">
        <w:rPr>
          <w:rFonts w:ascii="Arial Narrow" w:eastAsia="Arial Narrow" w:hAnsi="Arial Narrow" w:cs="Arial Narrow"/>
          <w:sz w:val="24"/>
          <w:szCs w:val="24"/>
        </w:rPr>
        <w:t>una manifestación de la violencia de género contra las</w:t>
      </w:r>
      <w:r>
        <w:rPr>
          <w:rFonts w:ascii="Arial Narrow" w:eastAsia="Arial Narrow" w:hAnsi="Arial Narrow" w:cs="Arial Narrow"/>
          <w:sz w:val="24"/>
          <w:szCs w:val="24"/>
        </w:rPr>
        <w:t xml:space="preserve"> </w:t>
      </w:r>
      <w:r w:rsidRPr="00122723">
        <w:rPr>
          <w:rFonts w:ascii="Arial Narrow" w:eastAsia="Arial Narrow" w:hAnsi="Arial Narrow" w:cs="Arial Narrow"/>
          <w:sz w:val="24"/>
          <w:szCs w:val="24"/>
        </w:rPr>
        <w:t xml:space="preserve">mujeres y las niñas, </w:t>
      </w:r>
      <w:r>
        <w:rPr>
          <w:rFonts w:ascii="Arial Narrow" w:eastAsia="Arial Narrow" w:hAnsi="Arial Narrow" w:cs="Arial Narrow"/>
          <w:sz w:val="24"/>
          <w:szCs w:val="24"/>
        </w:rPr>
        <w:t>en el que enfatiza la violación y la violencia sexual como tortura, recomendando a los Estados tomar acciones frente a ello</w:t>
      </w:r>
      <w:r w:rsidRPr="00122723">
        <w:rPr>
          <w:rFonts w:ascii="Arial Narrow" w:eastAsia="Arial Narrow" w:hAnsi="Arial Narrow" w:cs="Arial Narrow"/>
          <w:sz w:val="24"/>
          <w:szCs w:val="24"/>
        </w:rPr>
        <w:t xml:space="preserve"> </w:t>
      </w:r>
      <w:r>
        <w:rPr>
          <w:rFonts w:ascii="Arial Narrow" w:eastAsia="Arial Narrow" w:hAnsi="Arial Narrow" w:cs="Arial Narrow"/>
          <w:sz w:val="24"/>
          <w:szCs w:val="24"/>
        </w:rPr>
        <w:t>para garantizar los derechos de las mujeres</w:t>
      </w:r>
      <w:r>
        <w:rPr>
          <w:rStyle w:val="Refdenotaalpie"/>
          <w:rFonts w:ascii="Arial Narrow" w:eastAsia="Arial Narrow" w:hAnsi="Arial Narrow" w:cs="Arial Narrow"/>
          <w:sz w:val="24"/>
          <w:szCs w:val="24"/>
        </w:rPr>
        <w:footnoteReference w:id="6"/>
      </w:r>
      <w:r>
        <w:rPr>
          <w:rFonts w:ascii="Arial Narrow" w:eastAsia="Arial Narrow" w:hAnsi="Arial Narrow" w:cs="Arial Narrow"/>
          <w:sz w:val="24"/>
          <w:szCs w:val="24"/>
        </w:rPr>
        <w:t>.</w:t>
      </w:r>
    </w:p>
    <w:p w14:paraId="00000014" w14:textId="77777777" w:rsidR="0074395A" w:rsidRDefault="00F10404">
      <w:pPr>
        <w:jc w:val="both"/>
        <w:rPr>
          <w:rFonts w:ascii="Arial Narrow" w:eastAsia="Arial Narrow" w:hAnsi="Arial Narrow" w:cs="Arial Narrow"/>
          <w:sz w:val="24"/>
          <w:szCs w:val="24"/>
        </w:rPr>
      </w:pPr>
      <w:r>
        <w:rPr>
          <w:rFonts w:ascii="Arial Narrow" w:eastAsia="Arial Narrow" w:hAnsi="Arial Narrow" w:cs="Arial Narrow"/>
          <w:sz w:val="24"/>
          <w:szCs w:val="24"/>
        </w:rPr>
        <w:t>En este marco, consideramos fundamental que el CEDAW considere retomar en la lista de cuestiones los elementos que procedemos a desarrollar.</w:t>
      </w:r>
    </w:p>
    <w:p w14:paraId="00000015" w14:textId="77777777" w:rsidR="0074395A" w:rsidRDefault="00F10404">
      <w:pPr>
        <w:numPr>
          <w:ilvl w:val="0"/>
          <w:numId w:val="3"/>
        </w:numPr>
        <w:pBdr>
          <w:top w:val="nil"/>
          <w:left w:val="nil"/>
          <w:bottom w:val="nil"/>
          <w:right w:val="nil"/>
          <w:between w:val="nil"/>
        </w:pBdr>
        <w:rPr>
          <w:rFonts w:ascii="Arial Narrow" w:eastAsia="Arial Narrow" w:hAnsi="Arial Narrow" w:cs="Arial Narrow"/>
          <w:color w:val="000000"/>
          <w:sz w:val="24"/>
          <w:szCs w:val="24"/>
          <w:u w:val="single"/>
        </w:rPr>
      </w:pPr>
      <w:r>
        <w:rPr>
          <w:rFonts w:ascii="Arial Narrow" w:eastAsia="Arial Narrow" w:hAnsi="Arial Narrow" w:cs="Arial Narrow"/>
          <w:color w:val="000000"/>
          <w:sz w:val="24"/>
          <w:szCs w:val="24"/>
          <w:u w:val="single"/>
        </w:rPr>
        <w:t xml:space="preserve">Persistencia de la tortura sexual contra mujeres en México </w:t>
      </w:r>
    </w:p>
    <w:p w14:paraId="00000016" w14:textId="77777777" w:rsidR="0074395A" w:rsidRDefault="00F10404">
      <w:pPr>
        <w:jc w:val="both"/>
        <w:rPr>
          <w:rFonts w:ascii="Arial Narrow" w:eastAsia="Arial Narrow" w:hAnsi="Arial Narrow" w:cs="Arial Narrow"/>
          <w:sz w:val="24"/>
          <w:szCs w:val="24"/>
        </w:rPr>
      </w:pPr>
      <w:r>
        <w:rPr>
          <w:rFonts w:ascii="Arial Narrow" w:eastAsia="Arial Narrow" w:hAnsi="Arial Narrow" w:cs="Arial Narrow"/>
          <w:sz w:val="24"/>
          <w:szCs w:val="24"/>
        </w:rPr>
        <w:t>La tortura sigue siendo una práctica recurrente en México. De acuerdo con la más reciente Encuesta Nacional de Población Privada de la Libertad (ENPOL) del año 2021, 64.5% de la población privada de la libertad mencionó haber sufrido algún acto de violencia, realizado o permitido por la policía o autoridad, en el momento después de la detención hasta antes de llegar al Ministerio Público (MP)</w:t>
      </w:r>
      <w:r>
        <w:rPr>
          <w:rFonts w:ascii="Arial Narrow" w:eastAsia="Arial Narrow" w:hAnsi="Arial Narrow" w:cs="Arial Narrow"/>
          <w:sz w:val="24"/>
          <w:szCs w:val="24"/>
          <w:vertAlign w:val="superscript"/>
        </w:rPr>
        <w:footnoteReference w:id="7"/>
      </w:r>
      <w:r>
        <w:rPr>
          <w:rFonts w:ascii="Arial Narrow" w:eastAsia="Arial Narrow" w:hAnsi="Arial Narrow" w:cs="Arial Narrow"/>
          <w:sz w:val="24"/>
          <w:szCs w:val="24"/>
        </w:rPr>
        <w:t>. En el caso de las mujeres, 64.4% de las entrevistadas reportaron haber sufrido violencia por las autoridades en ese mismo momento</w:t>
      </w:r>
      <w:r>
        <w:rPr>
          <w:rFonts w:ascii="Arial Narrow" w:eastAsia="Arial Narrow" w:hAnsi="Arial Narrow" w:cs="Arial Narrow"/>
          <w:sz w:val="24"/>
          <w:szCs w:val="24"/>
          <w:vertAlign w:val="superscript"/>
        </w:rPr>
        <w:footnoteReference w:id="8"/>
      </w:r>
      <w:r>
        <w:rPr>
          <w:rFonts w:ascii="Arial Narrow" w:eastAsia="Arial Narrow" w:hAnsi="Arial Narrow" w:cs="Arial Narrow"/>
          <w:sz w:val="24"/>
          <w:szCs w:val="24"/>
        </w:rPr>
        <w:t>, mientras el 39.8% mencionó haber sufrido algún tipo de agresión física después de la detención, de las cuales 15.5% indicó haber recibido agresiones sexuales por las autoridades</w:t>
      </w:r>
      <w:r>
        <w:rPr>
          <w:rFonts w:ascii="Arial Narrow" w:eastAsia="Arial Narrow" w:hAnsi="Arial Narrow" w:cs="Arial Narrow"/>
          <w:sz w:val="24"/>
          <w:szCs w:val="24"/>
          <w:vertAlign w:val="superscript"/>
        </w:rPr>
        <w:footnoteReference w:id="9"/>
      </w:r>
      <w:r>
        <w:rPr>
          <w:rFonts w:ascii="Arial Narrow" w:eastAsia="Arial Narrow" w:hAnsi="Arial Narrow" w:cs="Arial Narrow"/>
          <w:sz w:val="24"/>
          <w:szCs w:val="24"/>
        </w:rPr>
        <w:t>.</w:t>
      </w:r>
    </w:p>
    <w:p w14:paraId="00000017" w14:textId="77777777" w:rsidR="0074395A" w:rsidRDefault="00F10404">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En su más reciente informe anual sobre México, la Comisión Interamericana de Derechos Humanos (CIDH) constató la falta de información suficiente por parte del Estado para demostrar una tendencia </w:t>
      </w:r>
      <w:r>
        <w:rPr>
          <w:rFonts w:ascii="Arial Narrow" w:eastAsia="Arial Narrow" w:hAnsi="Arial Narrow" w:cs="Arial Narrow"/>
          <w:sz w:val="24"/>
          <w:szCs w:val="24"/>
        </w:rPr>
        <w:lastRenderedPageBreak/>
        <w:t>a la baja en la práctica de la tortura</w:t>
      </w:r>
      <w:r>
        <w:rPr>
          <w:rFonts w:ascii="Arial Narrow" w:eastAsia="Arial Narrow" w:hAnsi="Arial Narrow" w:cs="Arial Narrow"/>
          <w:sz w:val="24"/>
          <w:szCs w:val="24"/>
          <w:vertAlign w:val="superscript"/>
        </w:rPr>
        <w:footnoteReference w:id="10"/>
      </w:r>
      <w:r>
        <w:rPr>
          <w:rFonts w:ascii="Arial Narrow" w:eastAsia="Arial Narrow" w:hAnsi="Arial Narrow" w:cs="Arial Narrow"/>
          <w:sz w:val="24"/>
          <w:szCs w:val="24"/>
        </w:rPr>
        <w:t>. Asimismo, la CIDH destacó que no existe evidencia que dé cuenta de una mejoría en la investigación y persecución de la tortura, como demuestran las escasas condenas o sentencias de tribunales internos por este delito, en comparación con la cantidad de casos denunciados ante las autoridades</w:t>
      </w:r>
      <w:r>
        <w:rPr>
          <w:rFonts w:ascii="Arial Narrow" w:eastAsia="Arial Narrow" w:hAnsi="Arial Narrow" w:cs="Arial Narrow"/>
          <w:sz w:val="24"/>
          <w:szCs w:val="24"/>
          <w:vertAlign w:val="superscript"/>
        </w:rPr>
        <w:footnoteReference w:id="11"/>
      </w:r>
      <w:r>
        <w:rPr>
          <w:rFonts w:ascii="Arial Narrow" w:eastAsia="Arial Narrow" w:hAnsi="Arial Narrow" w:cs="Arial Narrow"/>
          <w:sz w:val="24"/>
          <w:szCs w:val="24"/>
        </w:rPr>
        <w:t xml:space="preserve">. </w:t>
      </w:r>
    </w:p>
    <w:p w14:paraId="00000018" w14:textId="77777777" w:rsidR="0074395A" w:rsidRDefault="00F10404">
      <w:pPr>
        <w:jc w:val="both"/>
        <w:rPr>
          <w:rFonts w:ascii="Arial Narrow" w:eastAsia="Arial Narrow" w:hAnsi="Arial Narrow" w:cs="Arial Narrow"/>
          <w:sz w:val="24"/>
          <w:szCs w:val="24"/>
        </w:rPr>
      </w:pPr>
      <w:r>
        <w:rPr>
          <w:rFonts w:ascii="Arial Narrow" w:eastAsia="Arial Narrow" w:hAnsi="Arial Narrow" w:cs="Arial Narrow"/>
          <w:sz w:val="24"/>
          <w:szCs w:val="24"/>
        </w:rPr>
        <w:t>Es especialmente preocupante la tortura sexual contra mujeres, constatada en el Diagnóstico Nacional sobre Tortura Sexual Cometida Contra Mujeres Privadas de la Libertad en México, emitido en 2022 por la Secretaría de Gobernación (SEGOB)</w:t>
      </w:r>
      <w:r>
        <w:rPr>
          <w:rFonts w:ascii="Arial Narrow" w:eastAsia="Arial Narrow" w:hAnsi="Arial Narrow" w:cs="Arial Narrow"/>
          <w:sz w:val="24"/>
          <w:szCs w:val="24"/>
          <w:vertAlign w:val="superscript"/>
        </w:rPr>
        <w:footnoteReference w:id="12"/>
      </w:r>
      <w:r>
        <w:rPr>
          <w:rFonts w:ascii="Arial Narrow" w:eastAsia="Arial Narrow" w:hAnsi="Arial Narrow" w:cs="Arial Narrow"/>
          <w:sz w:val="24"/>
          <w:szCs w:val="24"/>
        </w:rPr>
        <w:t>. Dentro de los hallazgos más relevantes del Diagnóstico, derivados de más de mil 280 entrevistas a mujeres privadas de libertad de diferentes centros de reclusión del país, resalta que el 79.3% de las mujeres señalaron haber vivido tortura y otros tratos o penas crueles, inhumanos o degradantes, durante su arresto, traslado o estancia en el MP o en el centro penitenciario</w:t>
      </w:r>
      <w:r>
        <w:rPr>
          <w:rFonts w:ascii="Arial Narrow" w:eastAsia="Arial Narrow" w:hAnsi="Arial Narrow" w:cs="Arial Narrow"/>
          <w:sz w:val="24"/>
          <w:szCs w:val="24"/>
          <w:vertAlign w:val="superscript"/>
        </w:rPr>
        <w:footnoteReference w:id="13"/>
      </w:r>
      <w:r>
        <w:rPr>
          <w:rFonts w:ascii="Arial Narrow" w:eastAsia="Arial Narrow" w:hAnsi="Arial Narrow" w:cs="Arial Narrow"/>
          <w:sz w:val="24"/>
          <w:szCs w:val="24"/>
        </w:rPr>
        <w:t>; el 32.19% refirió explícitamente haber sufrido tortura sexual, mientras que un 11.64% se presume (por sus narraciones) que vivieron actos de tortura sexual sin haberla reconocido como tal</w:t>
      </w:r>
      <w:r>
        <w:rPr>
          <w:rFonts w:ascii="Arial Narrow" w:eastAsia="Arial Narrow" w:hAnsi="Arial Narrow" w:cs="Arial Narrow"/>
          <w:sz w:val="24"/>
          <w:szCs w:val="24"/>
          <w:vertAlign w:val="superscript"/>
        </w:rPr>
        <w:footnoteReference w:id="14"/>
      </w:r>
      <w:r>
        <w:rPr>
          <w:rFonts w:ascii="Arial Narrow" w:eastAsia="Arial Narrow" w:hAnsi="Arial Narrow" w:cs="Arial Narrow"/>
          <w:sz w:val="24"/>
          <w:szCs w:val="24"/>
        </w:rPr>
        <w:t>. Es decir, el 43.82% de las mujeres que fueron sometidas a actos de tortura enfrentaron actos con connotaciones de naturaleza sexual. Además, se señala que si bien la mayoría de los actos de tortura (el 39.68%) son cometidos por policías ministeriales y por elementos de las policías municipales (20.62%); también se admite que al menos el 5.7% fueron cometidos por policías federales y, más recientemente, un 2.18%, por la Guardia Nacional (GN), la entidad federal responsable de la seguridad pública</w:t>
      </w:r>
      <w:r>
        <w:rPr>
          <w:rFonts w:ascii="Arial Narrow" w:eastAsia="Arial Narrow" w:hAnsi="Arial Narrow" w:cs="Arial Narrow"/>
          <w:sz w:val="24"/>
          <w:szCs w:val="24"/>
          <w:vertAlign w:val="superscript"/>
        </w:rPr>
        <w:footnoteReference w:id="15"/>
      </w:r>
      <w:r>
        <w:rPr>
          <w:rFonts w:ascii="Arial Narrow" w:eastAsia="Arial Narrow" w:hAnsi="Arial Narrow" w:cs="Arial Narrow"/>
          <w:sz w:val="24"/>
          <w:szCs w:val="24"/>
        </w:rPr>
        <w:t xml:space="preserve">. </w:t>
      </w:r>
    </w:p>
    <w:p w14:paraId="00000019" w14:textId="77777777" w:rsidR="0074395A" w:rsidRDefault="00F10404">
      <w:pPr>
        <w:jc w:val="both"/>
        <w:rPr>
          <w:rFonts w:ascii="Arial Narrow" w:eastAsia="Arial Narrow" w:hAnsi="Arial Narrow" w:cs="Arial Narrow"/>
          <w:sz w:val="24"/>
          <w:szCs w:val="24"/>
        </w:rPr>
      </w:pPr>
      <w:r>
        <w:rPr>
          <w:rFonts w:ascii="Arial Narrow" w:eastAsia="Arial Narrow" w:hAnsi="Arial Narrow" w:cs="Arial Narrow"/>
          <w:sz w:val="24"/>
          <w:szCs w:val="24"/>
        </w:rPr>
        <w:t>También el Diagnóstico confirma que los actos de tortura sexual siguen siendo vigentes, ya que cerca de la mitad de las mujeres entrevistadas fueron detenidas entre el 2019 y el 2021; y contempla una serie de recomendaciones dirigidas a diversas instancias, incluyendo las fiscalías —estatales y la federal—, el Poder Judicial, instituciones de seguridad, organismos de derechos humanos, comisiones de atención a víctimas y el sistema penitenciario</w:t>
      </w:r>
      <w:r>
        <w:rPr>
          <w:rFonts w:ascii="Arial Narrow" w:eastAsia="Arial Narrow" w:hAnsi="Arial Narrow" w:cs="Arial Narrow"/>
          <w:sz w:val="24"/>
          <w:szCs w:val="24"/>
          <w:vertAlign w:val="superscript"/>
        </w:rPr>
        <w:footnoteReference w:id="16"/>
      </w:r>
      <w:r>
        <w:rPr>
          <w:rFonts w:ascii="Arial Narrow" w:eastAsia="Arial Narrow" w:hAnsi="Arial Narrow" w:cs="Arial Narrow"/>
          <w:sz w:val="24"/>
          <w:szCs w:val="24"/>
        </w:rPr>
        <w:t xml:space="preserve">. De lo recomendado, destaca la necesidad de atender proactivamente las denuncias realizadas por las mujeres, asegurar la debida investigación de los perpetradores, garantizar la exclusión de pruebas obtenidas bajo tortura, asegurar la debida atención en materia de salud —ya que en incontables ocasiones las mujeres refieren no recibir atención adecuada, y cuando lo hacen, son revictimizadas y se enfrentan a obstáculos y deficiencias—, así como dotar de recursos a las instancias encargadas en materia de tortura, incluyendo al Mecanismo de Seguimiento a Casos de Tortura Sexual, instalado en 2015 y cuyo objetivo es garantizar </w:t>
      </w:r>
      <w:r>
        <w:rPr>
          <w:rFonts w:ascii="Arial Narrow" w:eastAsia="Arial Narrow" w:hAnsi="Arial Narrow" w:cs="Arial Narrow"/>
          <w:sz w:val="24"/>
          <w:szCs w:val="24"/>
        </w:rPr>
        <w:lastRenderedPageBreak/>
        <w:t>la coordinación y actuación de las diferentes instituciones para la atención de los casos denunciados de tortura sexual</w:t>
      </w:r>
      <w:r>
        <w:rPr>
          <w:rFonts w:ascii="Arial Narrow" w:eastAsia="Arial Narrow" w:hAnsi="Arial Narrow" w:cs="Arial Narrow"/>
          <w:sz w:val="24"/>
          <w:szCs w:val="24"/>
          <w:vertAlign w:val="superscript"/>
        </w:rPr>
        <w:footnoteReference w:id="17"/>
      </w:r>
      <w:r>
        <w:rPr>
          <w:rFonts w:ascii="Arial Narrow" w:eastAsia="Arial Narrow" w:hAnsi="Arial Narrow" w:cs="Arial Narrow"/>
          <w:sz w:val="24"/>
          <w:szCs w:val="24"/>
        </w:rPr>
        <w:t>.</w:t>
      </w:r>
    </w:p>
    <w:p w14:paraId="0000001A" w14:textId="77777777" w:rsidR="0074395A" w:rsidRDefault="00F10404">
      <w:pPr>
        <w:jc w:val="both"/>
        <w:rPr>
          <w:rFonts w:ascii="Arial Narrow" w:eastAsia="Arial Narrow" w:hAnsi="Arial Narrow" w:cs="Arial Narrow"/>
          <w:sz w:val="24"/>
          <w:szCs w:val="24"/>
        </w:rPr>
      </w:pPr>
      <w:r>
        <w:rPr>
          <w:rFonts w:ascii="Arial Narrow" w:eastAsia="Arial Narrow" w:hAnsi="Arial Narrow" w:cs="Arial Narrow"/>
          <w:sz w:val="24"/>
          <w:szCs w:val="24"/>
        </w:rPr>
        <w:t>La práctica de la tortura sexual en México ha sido constatada por distintos órganos internacionales. El Comité contra la Tortura, en sus últimas observaciones sobre el informe del Estado mexicano instó a las autoridades a que los casos de tortura sexual contra mujeres y niñas –especialmente en los que hubo acciones u omisiones de agentes estatales– se investiguen exhaustivamente; que los responsables sean juzgados y sancionados, y las víctimas reparadas</w:t>
      </w:r>
      <w:r>
        <w:rPr>
          <w:rFonts w:ascii="Arial Narrow" w:eastAsia="Arial Narrow" w:hAnsi="Arial Narrow" w:cs="Arial Narrow"/>
          <w:sz w:val="24"/>
          <w:szCs w:val="24"/>
          <w:vertAlign w:val="superscript"/>
        </w:rPr>
        <w:footnoteReference w:id="18"/>
      </w:r>
      <w:r>
        <w:rPr>
          <w:rFonts w:ascii="Arial Narrow" w:eastAsia="Arial Narrow" w:hAnsi="Arial Narrow" w:cs="Arial Narrow"/>
          <w:sz w:val="24"/>
          <w:szCs w:val="24"/>
        </w:rPr>
        <w:t xml:space="preserve">. </w:t>
      </w:r>
    </w:p>
    <w:p w14:paraId="0000001B" w14:textId="07294398" w:rsidR="0074395A" w:rsidRDefault="00F10404">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Por su parte, la Corte Interamericana de Derechos Humanos (Corte IDH), en la Sentencia del </w:t>
      </w:r>
      <w:r>
        <w:rPr>
          <w:rFonts w:ascii="Arial Narrow" w:eastAsia="Arial Narrow" w:hAnsi="Arial Narrow" w:cs="Arial Narrow"/>
          <w:i/>
          <w:sz w:val="24"/>
          <w:szCs w:val="24"/>
        </w:rPr>
        <w:t>Caso Mujeres Víctimas de Violencia en Atenco</w:t>
      </w:r>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co-representado</w:t>
      </w:r>
      <w:proofErr w:type="spellEnd"/>
      <w:r>
        <w:rPr>
          <w:rFonts w:ascii="Arial Narrow" w:eastAsia="Arial Narrow" w:hAnsi="Arial Narrow" w:cs="Arial Narrow"/>
          <w:sz w:val="24"/>
          <w:szCs w:val="24"/>
        </w:rPr>
        <w:t xml:space="preserve"> por el Centro Prodh, constató que agentes estatales torturaron sexualmente a 11 mujeres, y por lo cual se ordenaron diversas medidas de reparación, entre ellas la investigación, juzgamiento y sanción de los responsables; y, a nivel estructural, la creación de un </w:t>
      </w:r>
      <w:r>
        <w:rPr>
          <w:rFonts w:ascii="Arial Narrow" w:eastAsia="Arial Narrow" w:hAnsi="Arial Narrow" w:cs="Arial Narrow"/>
          <w:color w:val="000000"/>
          <w:sz w:val="24"/>
          <w:szCs w:val="24"/>
        </w:rPr>
        <w:t xml:space="preserve">mecanismo de rendición de cuentas y monitoreo del uso de la fuerza de la GN </w:t>
      </w:r>
      <w:r>
        <w:rPr>
          <w:rFonts w:ascii="Arial Narrow" w:eastAsia="Arial Narrow" w:hAnsi="Arial Narrow" w:cs="Arial Narrow"/>
          <w:sz w:val="24"/>
          <w:szCs w:val="24"/>
        </w:rPr>
        <w:t xml:space="preserve">y el </w:t>
      </w:r>
      <w:r>
        <w:rPr>
          <w:rFonts w:ascii="Arial Narrow" w:eastAsia="Arial Narrow" w:hAnsi="Arial Narrow" w:cs="Arial Narrow"/>
          <w:color w:val="000000"/>
          <w:sz w:val="24"/>
          <w:szCs w:val="24"/>
        </w:rPr>
        <w:t xml:space="preserve">fortalecimiento del Mecanismo de Seguimiento de Casos de Tortura Sexual mencionado </w:t>
      </w:r>
      <w:r>
        <w:rPr>
          <w:rFonts w:ascii="Arial Narrow" w:eastAsia="Arial Narrow" w:hAnsi="Arial Narrow" w:cs="Arial Narrow"/>
          <w:i/>
          <w:color w:val="000000"/>
          <w:sz w:val="24"/>
          <w:szCs w:val="24"/>
        </w:rPr>
        <w:t>supra</w:t>
      </w:r>
      <w:r>
        <w:rPr>
          <w:rFonts w:ascii="Arial Narrow" w:eastAsia="Arial Narrow" w:hAnsi="Arial Narrow" w:cs="Arial Narrow"/>
          <w:color w:val="000000"/>
          <w:sz w:val="24"/>
          <w:szCs w:val="24"/>
          <w:vertAlign w:val="superscript"/>
        </w:rPr>
        <w:footnoteReference w:id="19"/>
      </w:r>
      <w:r>
        <w:rPr>
          <w:rFonts w:ascii="Arial Narrow" w:eastAsia="Arial Narrow" w:hAnsi="Arial Narrow" w:cs="Arial Narrow"/>
          <w:color w:val="000000"/>
          <w:sz w:val="24"/>
          <w:szCs w:val="24"/>
        </w:rPr>
        <w:t>.</w:t>
      </w:r>
      <w:r>
        <w:rPr>
          <w:rFonts w:ascii="Arial Narrow" w:eastAsia="Arial Narrow" w:hAnsi="Arial Narrow" w:cs="Arial Narrow"/>
          <w:sz w:val="24"/>
          <w:szCs w:val="24"/>
        </w:rPr>
        <w:t xml:space="preserve"> Hasta la fecha, estas medidas permanecen pendientes de cumplimiento, y particularmente en cuanto a la investigación, las víctimas han enfrentado diversos obstáculos por parte de las propias autoridades ministeriales que continúan obstaculizando la investigación, ante lo cual han tenido que interponer diversos recursos legales para impulsar el proceso</w:t>
      </w:r>
      <w:r>
        <w:rPr>
          <w:rFonts w:ascii="Arial Narrow" w:eastAsia="Arial Narrow" w:hAnsi="Arial Narrow" w:cs="Arial Narrow"/>
          <w:sz w:val="24"/>
          <w:szCs w:val="24"/>
          <w:vertAlign w:val="superscript"/>
        </w:rPr>
        <w:footnoteReference w:id="20"/>
      </w:r>
      <w:r>
        <w:rPr>
          <w:rFonts w:ascii="Arial Narrow" w:eastAsia="Arial Narrow" w:hAnsi="Arial Narrow" w:cs="Arial Narrow"/>
          <w:sz w:val="24"/>
          <w:szCs w:val="24"/>
        </w:rPr>
        <w:t>. Así, el Estado los hechos se mantienen impunes a más de 17 años de haber ocurrido.</w:t>
      </w:r>
    </w:p>
    <w:p w14:paraId="0000001C" w14:textId="77777777" w:rsidR="0074395A" w:rsidRDefault="00F10404">
      <w:pPr>
        <w:jc w:val="both"/>
        <w:rPr>
          <w:rFonts w:ascii="Arial Narrow" w:eastAsia="Arial Narrow" w:hAnsi="Arial Narrow" w:cs="Arial Narrow"/>
          <w:sz w:val="24"/>
          <w:szCs w:val="24"/>
        </w:rPr>
      </w:pPr>
      <w:r>
        <w:rPr>
          <w:rFonts w:ascii="Arial Narrow" w:eastAsia="Arial Narrow" w:hAnsi="Arial Narrow" w:cs="Arial Narrow"/>
          <w:sz w:val="24"/>
          <w:szCs w:val="24"/>
        </w:rPr>
        <w:t>A nivel local, la Comisión Nacional de los Derechos Humanos (CNDH) ha emitido diversas recomendaciones en las que constata la ocurrencia de tortura sexual, como las identificadas con los números 67VG/2022</w:t>
      </w:r>
      <w:r>
        <w:rPr>
          <w:rFonts w:ascii="Arial Narrow" w:eastAsia="Arial Narrow" w:hAnsi="Arial Narrow" w:cs="Arial Narrow"/>
          <w:sz w:val="24"/>
          <w:szCs w:val="24"/>
          <w:vertAlign w:val="superscript"/>
        </w:rPr>
        <w:footnoteReference w:id="21"/>
      </w:r>
      <w:r>
        <w:rPr>
          <w:rFonts w:ascii="Arial Narrow" w:eastAsia="Arial Narrow" w:hAnsi="Arial Narrow" w:cs="Arial Narrow"/>
          <w:sz w:val="24"/>
          <w:szCs w:val="24"/>
        </w:rPr>
        <w:t xml:space="preserve"> y la 51VG/2022</w:t>
      </w:r>
      <w:r>
        <w:rPr>
          <w:rFonts w:ascii="Arial Narrow" w:eastAsia="Arial Narrow" w:hAnsi="Arial Narrow" w:cs="Arial Narrow"/>
          <w:sz w:val="24"/>
          <w:szCs w:val="24"/>
          <w:vertAlign w:val="superscript"/>
        </w:rPr>
        <w:footnoteReference w:id="22"/>
      </w:r>
      <w:r>
        <w:rPr>
          <w:rFonts w:ascii="Arial Narrow" w:eastAsia="Arial Narrow" w:hAnsi="Arial Narrow" w:cs="Arial Narrow"/>
          <w:sz w:val="24"/>
          <w:szCs w:val="24"/>
        </w:rPr>
        <w:t xml:space="preserve">, ambas de 2022; y más recientemente, la Recomendación </w:t>
      </w:r>
      <w:r>
        <w:rPr>
          <w:rFonts w:ascii="Arial Narrow" w:eastAsia="Arial Narrow" w:hAnsi="Arial Narrow" w:cs="Arial Narrow"/>
          <w:sz w:val="24"/>
          <w:szCs w:val="24"/>
        </w:rPr>
        <w:lastRenderedPageBreak/>
        <w:t>118VG/2023 de julio de 2023</w:t>
      </w:r>
      <w:r>
        <w:rPr>
          <w:rFonts w:ascii="Arial Narrow" w:eastAsia="Arial Narrow" w:hAnsi="Arial Narrow" w:cs="Arial Narrow"/>
          <w:sz w:val="24"/>
          <w:szCs w:val="24"/>
          <w:vertAlign w:val="superscript"/>
        </w:rPr>
        <w:footnoteReference w:id="23"/>
      </w:r>
      <w:r>
        <w:rPr>
          <w:rFonts w:ascii="Arial Narrow" w:eastAsia="Arial Narrow" w:hAnsi="Arial Narrow" w:cs="Arial Narrow"/>
          <w:sz w:val="24"/>
          <w:szCs w:val="24"/>
        </w:rPr>
        <w:t xml:space="preserve">, en las que el órgano nacional constató la comisión de actos de tortura sexual en contra de diversas mujeres por parte de agentes de seguridad policiales y militares. </w:t>
      </w:r>
    </w:p>
    <w:p w14:paraId="0000001D" w14:textId="3476A2E0" w:rsidR="0074395A" w:rsidRDefault="00F10404">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En este panorama, desde el Centro Prodh hemos documentado numerosos casos de mujeres privadas arbitrariamente de la libertad que han sido víctimas de tortura, especialmente de carácter sexual. Muchas de ellas permanecen o han permanecido injustamente encarceladas durante años, mediante procesos penales en los que las autoridades </w:t>
      </w:r>
      <w:r w:rsidR="00385249">
        <w:rPr>
          <w:rFonts w:ascii="Arial Narrow" w:eastAsia="Arial Narrow" w:hAnsi="Arial Narrow" w:cs="Arial Narrow"/>
          <w:sz w:val="24"/>
          <w:szCs w:val="24"/>
        </w:rPr>
        <w:t>de procuración de justicia</w:t>
      </w:r>
      <w:r>
        <w:rPr>
          <w:rFonts w:ascii="Arial Narrow" w:eastAsia="Arial Narrow" w:hAnsi="Arial Narrow" w:cs="Arial Narrow"/>
          <w:sz w:val="24"/>
          <w:szCs w:val="24"/>
        </w:rPr>
        <w:t xml:space="preserve"> han tomado como base pruebas obtenidas mediante la tortura para procesarlas y/o condenarlas</w:t>
      </w:r>
      <w:r>
        <w:rPr>
          <w:rFonts w:ascii="Arial Narrow" w:eastAsia="Arial Narrow" w:hAnsi="Arial Narrow" w:cs="Arial Narrow"/>
          <w:sz w:val="24"/>
          <w:szCs w:val="24"/>
          <w:vertAlign w:val="superscript"/>
        </w:rPr>
        <w:footnoteReference w:id="24"/>
      </w:r>
      <w:r>
        <w:rPr>
          <w:rFonts w:ascii="Arial Narrow" w:eastAsia="Arial Narrow" w:hAnsi="Arial Narrow" w:cs="Arial Narrow"/>
          <w:sz w:val="24"/>
          <w:szCs w:val="24"/>
        </w:rPr>
        <w:t xml:space="preserve">. </w:t>
      </w:r>
    </w:p>
    <w:p w14:paraId="0000001E" w14:textId="77777777" w:rsidR="0074395A" w:rsidRDefault="00F10404">
      <w:pPr>
        <w:jc w:val="both"/>
        <w:rPr>
          <w:rFonts w:ascii="Arial Narrow" w:eastAsia="Arial Narrow" w:hAnsi="Arial Narrow" w:cs="Arial Narrow"/>
          <w:sz w:val="24"/>
          <w:szCs w:val="24"/>
        </w:rPr>
      </w:pPr>
      <w:r>
        <w:rPr>
          <w:rFonts w:ascii="Arial Narrow" w:eastAsia="Arial Narrow" w:hAnsi="Arial Narrow" w:cs="Arial Narrow"/>
          <w:sz w:val="24"/>
          <w:szCs w:val="24"/>
        </w:rPr>
        <w:t>Así, hemos constatado cómo la tortura en México, si bien es generalizada, su sexualización es una expresión diferenciada y recurrente contra las mujeres. De esta manera, hemos identificado ciertos patrones en esta práctica, como actos que constituyen violación o amenaza de cometerla; abuso sexual, actos violentos cometidos directamente en “zonas sexualizadas”; hostigamiento sexual, entre otros</w:t>
      </w:r>
      <w:r>
        <w:rPr>
          <w:rFonts w:ascii="Arial Narrow" w:eastAsia="Arial Narrow" w:hAnsi="Arial Narrow" w:cs="Arial Narrow"/>
          <w:sz w:val="24"/>
          <w:szCs w:val="24"/>
          <w:vertAlign w:val="superscript"/>
        </w:rPr>
        <w:footnoteReference w:id="25"/>
      </w:r>
      <w:r>
        <w:rPr>
          <w:rFonts w:ascii="Arial Narrow" w:eastAsia="Arial Narrow" w:hAnsi="Arial Narrow" w:cs="Arial Narrow"/>
          <w:sz w:val="24"/>
          <w:szCs w:val="24"/>
        </w:rPr>
        <w:t>.</w:t>
      </w:r>
    </w:p>
    <w:p w14:paraId="0000001F" w14:textId="77777777" w:rsidR="0074395A" w:rsidRDefault="00F10404">
      <w:pPr>
        <w:numPr>
          <w:ilvl w:val="0"/>
          <w:numId w:val="3"/>
        </w:numPr>
        <w:pBdr>
          <w:top w:val="nil"/>
          <w:left w:val="nil"/>
          <w:bottom w:val="nil"/>
          <w:right w:val="nil"/>
          <w:between w:val="nil"/>
        </w:pBd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u w:val="single"/>
        </w:rPr>
        <w:t>Falta de una respuesta estatal adecuada frente a la tortura sexual contra mujeres</w:t>
      </w:r>
    </w:p>
    <w:p w14:paraId="00000020" w14:textId="77777777" w:rsidR="0074395A" w:rsidRDefault="00F10404">
      <w:pPr>
        <w:jc w:val="both"/>
        <w:rPr>
          <w:rFonts w:ascii="Arial Narrow" w:eastAsia="Arial Narrow" w:hAnsi="Arial Narrow" w:cs="Arial Narrow"/>
          <w:color w:val="000000"/>
          <w:sz w:val="24"/>
          <w:szCs w:val="24"/>
        </w:rPr>
      </w:pPr>
      <w:r>
        <w:rPr>
          <w:rFonts w:ascii="Arial Narrow" w:eastAsia="Arial Narrow" w:hAnsi="Arial Narrow" w:cs="Arial Narrow"/>
          <w:sz w:val="24"/>
          <w:szCs w:val="24"/>
        </w:rPr>
        <w:t>Si bien en 2017 se publicó la a Ley General para Prevenir, Investigar y Sancionar la Tortura y Otros Tratos o Penas Crueles, Inhumanos o Degradantes su implementación sigue siendo deficiente</w:t>
      </w:r>
      <w:r>
        <w:rPr>
          <w:rFonts w:ascii="Arial Narrow" w:eastAsia="Arial Narrow" w:hAnsi="Arial Narrow" w:cs="Arial Narrow"/>
          <w:color w:val="000000"/>
          <w:sz w:val="24"/>
          <w:szCs w:val="24"/>
        </w:rPr>
        <w:t xml:space="preserve">, como constata la falta de publicación del Programa Nacional para Prevenir y Sancionar la Tortura, que, según la normativa, la </w:t>
      </w:r>
      <w:proofErr w:type="gramStart"/>
      <w:r>
        <w:rPr>
          <w:rFonts w:ascii="Arial Narrow" w:eastAsia="Arial Narrow" w:hAnsi="Arial Narrow" w:cs="Arial Narrow"/>
          <w:color w:val="000000"/>
          <w:sz w:val="24"/>
          <w:szCs w:val="24"/>
        </w:rPr>
        <w:t>Fiscalía General</w:t>
      </w:r>
      <w:proofErr w:type="gramEnd"/>
      <w:r>
        <w:rPr>
          <w:rFonts w:ascii="Arial Narrow" w:eastAsia="Arial Narrow" w:hAnsi="Arial Narrow" w:cs="Arial Narrow"/>
          <w:color w:val="000000"/>
          <w:sz w:val="24"/>
          <w:szCs w:val="24"/>
        </w:rPr>
        <w:t xml:space="preserve"> de la República (FGR) debía materializar desde diciembre de 2017</w:t>
      </w:r>
      <w:r>
        <w:rPr>
          <w:rFonts w:ascii="Arial Narrow" w:eastAsia="Arial Narrow" w:hAnsi="Arial Narrow" w:cs="Arial Narrow"/>
          <w:color w:val="000000"/>
          <w:sz w:val="24"/>
          <w:szCs w:val="24"/>
          <w:vertAlign w:val="superscript"/>
        </w:rPr>
        <w:footnoteReference w:id="26"/>
      </w:r>
      <w:r>
        <w:rPr>
          <w:rFonts w:ascii="Arial Narrow" w:eastAsia="Arial Narrow" w:hAnsi="Arial Narrow" w:cs="Arial Narrow"/>
          <w:color w:val="000000"/>
          <w:sz w:val="24"/>
          <w:szCs w:val="24"/>
        </w:rPr>
        <w:t xml:space="preserve">. </w:t>
      </w:r>
    </w:p>
    <w:p w14:paraId="00000021" w14:textId="77777777" w:rsidR="0074395A" w:rsidRDefault="00F10404">
      <w:pPr>
        <w:jc w:val="both"/>
        <w:rPr>
          <w:rFonts w:ascii="Arial Narrow" w:eastAsia="Arial Narrow" w:hAnsi="Arial Narrow" w:cs="Arial Narrow"/>
          <w:sz w:val="24"/>
          <w:szCs w:val="24"/>
        </w:rPr>
      </w:pPr>
      <w:r>
        <w:rPr>
          <w:rFonts w:ascii="Arial Narrow" w:eastAsia="Arial Narrow" w:hAnsi="Arial Narrow" w:cs="Arial Narrow"/>
          <w:sz w:val="24"/>
          <w:szCs w:val="24"/>
        </w:rPr>
        <w:t>Sobre el referido Mecanismo de Seguimiento a casos de tortura sexual, en marzo de 2023 se publicaron los lineamientos</w:t>
      </w:r>
      <w:r>
        <w:rPr>
          <w:rFonts w:ascii="Arial Narrow" w:eastAsia="Arial Narrow" w:hAnsi="Arial Narrow" w:cs="Arial Narrow"/>
          <w:sz w:val="24"/>
          <w:szCs w:val="24"/>
          <w:vertAlign w:val="superscript"/>
        </w:rPr>
        <w:footnoteReference w:id="27"/>
      </w:r>
      <w:r>
        <w:rPr>
          <w:rFonts w:ascii="Arial Narrow" w:eastAsia="Arial Narrow" w:hAnsi="Arial Narrow" w:cs="Arial Narrow"/>
          <w:sz w:val="24"/>
          <w:szCs w:val="24"/>
        </w:rPr>
        <w:t xml:space="preserve"> para su organización y funcionamiento, sin embargo, no ha operado apropiadamente y desde la publicación de los mismos sólo ha sesionado en una ocasión. El Mecanismo además es el encargado de publicar el ya mencionado Diagnóstico Nacional sobre Tortura Sexual, por lo que también debe generar rutas para la implementación de las recomendaciones que emanan del mismo. </w:t>
      </w:r>
    </w:p>
    <w:p w14:paraId="00000022" w14:textId="01EF738A" w:rsidR="0074395A" w:rsidRDefault="00F10404">
      <w:pPr>
        <w:jc w:val="both"/>
        <w:rPr>
          <w:rFonts w:ascii="Arial Narrow" w:eastAsia="Arial Narrow" w:hAnsi="Arial Narrow" w:cs="Arial Narrow"/>
          <w:sz w:val="24"/>
          <w:szCs w:val="24"/>
        </w:rPr>
      </w:pPr>
      <w:r>
        <w:rPr>
          <w:rFonts w:ascii="Arial Narrow" w:eastAsia="Arial Narrow" w:hAnsi="Arial Narrow" w:cs="Arial Narrow"/>
          <w:color w:val="000000"/>
          <w:sz w:val="24"/>
          <w:szCs w:val="24"/>
        </w:rPr>
        <w:lastRenderedPageBreak/>
        <w:t>Aunado a ello, el país no cuenta con una política efectiva de persecución penal de la tortura. Las fiscalías son incapaces de investigar adecuadamente este delito, careciendo de recursos y capacidades, teniendo entonces que ocho de cada 10 investigaciones inician porque juzgados dan vista a las autoridades ministeriales</w:t>
      </w:r>
      <w:r>
        <w:rPr>
          <w:rFonts w:ascii="Arial Narrow" w:eastAsia="Arial Narrow" w:hAnsi="Arial Narrow" w:cs="Arial Narrow"/>
          <w:color w:val="000000"/>
          <w:sz w:val="24"/>
          <w:szCs w:val="24"/>
          <w:vertAlign w:val="superscript"/>
        </w:rPr>
        <w:footnoteReference w:id="28"/>
      </w:r>
      <w:r>
        <w:rPr>
          <w:rFonts w:ascii="Arial Narrow" w:eastAsia="Arial Narrow" w:hAnsi="Arial Narrow" w:cs="Arial Narrow"/>
          <w:color w:val="000000"/>
          <w:sz w:val="24"/>
          <w:szCs w:val="24"/>
        </w:rPr>
        <w:t xml:space="preserve">. Así, según la información disponible, en 2022 </w:t>
      </w:r>
      <w:r>
        <w:rPr>
          <w:rFonts w:ascii="Arial Narrow" w:eastAsia="Arial Narrow" w:hAnsi="Arial Narrow" w:cs="Arial Narrow"/>
          <w:sz w:val="24"/>
          <w:szCs w:val="24"/>
        </w:rPr>
        <w:t xml:space="preserve">se emitieron en el país únicamente 10 sentencias por el delito de </w:t>
      </w:r>
      <w:proofErr w:type="gramStart"/>
      <w:r>
        <w:rPr>
          <w:rFonts w:ascii="Arial Narrow" w:eastAsia="Arial Narrow" w:hAnsi="Arial Narrow" w:cs="Arial Narrow"/>
          <w:sz w:val="24"/>
          <w:szCs w:val="24"/>
        </w:rPr>
        <w:t>tortura ,mientras</w:t>
      </w:r>
      <w:proofErr w:type="gramEnd"/>
      <w:r>
        <w:rPr>
          <w:rFonts w:ascii="Arial Narrow" w:eastAsia="Arial Narrow" w:hAnsi="Arial Narrow" w:cs="Arial Narrow"/>
          <w:sz w:val="24"/>
          <w:szCs w:val="24"/>
        </w:rPr>
        <w:t xml:space="preserve"> que en años recientes no se registra ninguna</w:t>
      </w:r>
      <w:r>
        <w:rPr>
          <w:rFonts w:ascii="Arial Narrow" w:eastAsia="Arial Narrow" w:hAnsi="Arial Narrow" w:cs="Arial Narrow"/>
          <w:sz w:val="24"/>
          <w:szCs w:val="24"/>
          <w:vertAlign w:val="superscript"/>
        </w:rPr>
        <w:footnoteReference w:id="29"/>
      </w:r>
      <w:r>
        <w:rPr>
          <w:rFonts w:ascii="Arial Narrow" w:eastAsia="Arial Narrow" w:hAnsi="Arial Narrow" w:cs="Arial Narrow"/>
          <w:sz w:val="24"/>
          <w:szCs w:val="24"/>
        </w:rPr>
        <w:t>.</w:t>
      </w:r>
    </w:p>
    <w:sdt>
      <w:sdtPr>
        <w:tag w:val="goog_rdk_9"/>
        <w:id w:val="-248198030"/>
      </w:sdtPr>
      <w:sdtEndPr/>
      <w:sdtContent>
        <w:p w14:paraId="00000023" w14:textId="77777777" w:rsidR="0074395A" w:rsidRDefault="00F10404">
          <w:pPr>
            <w:jc w:val="both"/>
            <w:rPr>
              <w:rFonts w:ascii="Arial Narrow" w:eastAsia="Arial Narrow" w:hAnsi="Arial Narrow" w:cs="Arial Narrow"/>
              <w:sz w:val="24"/>
              <w:szCs w:val="24"/>
            </w:rPr>
          </w:pPr>
          <w:r>
            <w:rPr>
              <w:rFonts w:ascii="Arial Narrow" w:eastAsia="Arial Narrow" w:hAnsi="Arial Narrow" w:cs="Arial Narrow"/>
              <w:sz w:val="24"/>
              <w:szCs w:val="24"/>
            </w:rPr>
            <w:t>En este marco, la falta de una política pública en la materia ha impedido la coordinación entre las autoridades, propiciando la comisión de la tortura y la tortura sexual. Recién en junio de 2023, la SEGOB publicó un documento denominado “Estrategia Nacional contra la Tortura”, que plantea líneas de acción para hacer frente a este fenómeno, incluyendo únicamente dos acciones en torno a la tortura sexual como tal, siendo estas el fortalecimiento de la colaboración de los tres poderes de gobierno en el Mecanismo de Seguimiento de casos de Tortura Sexual; y la realización de un diagnóstico sobre este fenómeno</w:t>
          </w:r>
          <w:r>
            <w:rPr>
              <w:rFonts w:ascii="Arial Narrow" w:eastAsia="Arial Narrow" w:hAnsi="Arial Narrow" w:cs="Arial Narrow"/>
              <w:sz w:val="24"/>
              <w:szCs w:val="24"/>
              <w:vertAlign w:val="superscript"/>
            </w:rPr>
            <w:footnoteReference w:id="30"/>
          </w:r>
          <w:r>
            <w:rPr>
              <w:rFonts w:ascii="Arial Narrow" w:eastAsia="Arial Narrow" w:hAnsi="Arial Narrow" w:cs="Arial Narrow"/>
              <w:sz w:val="24"/>
              <w:szCs w:val="24"/>
            </w:rPr>
            <w:t xml:space="preserve">. Sin embargo, no existe claridad sobre las acciones concretas que las autoridades realizarían para materializar las líneas propuestas; resaltando además que no se contemplan acciones específicas para atender a las mujeres que han sido víctimas de tortura sexual. </w:t>
          </w:r>
          <w:sdt>
            <w:sdtPr>
              <w:tag w:val="goog_rdk_8"/>
              <w:id w:val="-1552678414"/>
            </w:sdtPr>
            <w:sdtEndPr/>
            <w:sdtContent/>
          </w:sdt>
        </w:p>
      </w:sdtContent>
    </w:sdt>
    <w:p w14:paraId="00000024" w14:textId="68D1F5BE" w:rsidR="0074395A" w:rsidRPr="002974C6" w:rsidRDefault="00F10404">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En particular, no existen esquemas de rehabilitación </w:t>
      </w:r>
      <w:r w:rsidR="00385249">
        <w:rPr>
          <w:rFonts w:ascii="Arial Narrow" w:eastAsia="Arial Narrow" w:hAnsi="Arial Narrow" w:cs="Arial Narrow"/>
          <w:sz w:val="24"/>
          <w:szCs w:val="24"/>
        </w:rPr>
        <w:t>–</w:t>
      </w:r>
      <w:r>
        <w:rPr>
          <w:rFonts w:ascii="Arial Narrow" w:eastAsia="Arial Narrow" w:hAnsi="Arial Narrow" w:cs="Arial Narrow"/>
          <w:sz w:val="24"/>
          <w:szCs w:val="24"/>
        </w:rPr>
        <w:t>física y psicológica</w:t>
      </w:r>
      <w:r w:rsidR="00385249">
        <w:rPr>
          <w:rFonts w:ascii="Arial Narrow" w:eastAsia="Arial Narrow" w:hAnsi="Arial Narrow" w:cs="Arial Narrow"/>
          <w:sz w:val="24"/>
          <w:szCs w:val="24"/>
        </w:rPr>
        <w:t>–</w:t>
      </w:r>
      <w:r>
        <w:rPr>
          <w:rFonts w:ascii="Arial Narrow" w:eastAsia="Arial Narrow" w:hAnsi="Arial Narrow" w:cs="Arial Narrow"/>
          <w:sz w:val="24"/>
          <w:szCs w:val="24"/>
        </w:rPr>
        <w:t xml:space="preserve"> para mujeres sobrevivientes de tortura sexual, cuestión más preocupante en lo que respecta a aquellas privadas de la </w:t>
      </w:r>
      <w:sdt>
        <w:sdtPr>
          <w:tag w:val="goog_rdk_11"/>
          <w:id w:val="-1532949673"/>
        </w:sdtPr>
        <w:sdtEndPr/>
        <w:sdtContent/>
      </w:sdt>
      <w:r>
        <w:rPr>
          <w:rFonts w:ascii="Arial Narrow" w:eastAsia="Arial Narrow" w:hAnsi="Arial Narrow" w:cs="Arial Narrow"/>
          <w:sz w:val="24"/>
          <w:szCs w:val="24"/>
        </w:rPr>
        <w:t>libertad</w:t>
      </w:r>
      <w:r w:rsidR="002974C6">
        <w:rPr>
          <w:rStyle w:val="Refdenotaalpie"/>
          <w:rFonts w:ascii="Arial Narrow" w:eastAsia="Arial Narrow" w:hAnsi="Arial Narrow" w:cs="Arial Narrow"/>
          <w:sz w:val="24"/>
          <w:szCs w:val="24"/>
        </w:rPr>
        <w:footnoteReference w:id="31"/>
      </w:r>
      <w:r>
        <w:rPr>
          <w:rFonts w:ascii="Arial Narrow" w:eastAsia="Arial Narrow" w:hAnsi="Arial Narrow" w:cs="Arial Narrow"/>
          <w:sz w:val="24"/>
          <w:szCs w:val="24"/>
        </w:rPr>
        <w:t>. Incluso en el preferido caso “</w:t>
      </w:r>
      <w:sdt>
        <w:sdtPr>
          <w:tag w:val="goog_rdk_12"/>
          <w:id w:val="1898785588"/>
        </w:sdtPr>
        <w:sdtEndPr/>
        <w:sdtContent/>
      </w:sdt>
      <w:r>
        <w:rPr>
          <w:rFonts w:ascii="Arial Narrow" w:eastAsia="Arial Narrow" w:hAnsi="Arial Narrow" w:cs="Arial Narrow"/>
          <w:sz w:val="24"/>
          <w:szCs w:val="24"/>
        </w:rPr>
        <w:t xml:space="preserve">Atenco”, el Estado no ha logrado implementar </w:t>
      </w:r>
      <w:r w:rsidR="002974C6">
        <w:rPr>
          <w:rFonts w:ascii="Arial Narrow" w:eastAsia="Arial Narrow" w:hAnsi="Arial Narrow" w:cs="Arial Narrow"/>
          <w:sz w:val="24"/>
          <w:szCs w:val="24"/>
        </w:rPr>
        <w:t xml:space="preserve">adecuadamente </w:t>
      </w:r>
      <w:r>
        <w:rPr>
          <w:rFonts w:ascii="Arial Narrow" w:eastAsia="Arial Narrow" w:hAnsi="Arial Narrow" w:cs="Arial Narrow"/>
          <w:sz w:val="24"/>
          <w:szCs w:val="24"/>
        </w:rPr>
        <w:t>un esquema de atención médica y psicosocial que logre fungir como una verdadera medida de rehabilitación</w:t>
      </w:r>
      <w:r w:rsidR="002974C6">
        <w:rPr>
          <w:rStyle w:val="Refdenotaalpie"/>
          <w:rFonts w:ascii="Arial Narrow" w:eastAsia="Arial Narrow" w:hAnsi="Arial Narrow" w:cs="Arial Narrow"/>
          <w:sz w:val="24"/>
          <w:szCs w:val="24"/>
        </w:rPr>
        <w:footnoteReference w:id="32"/>
      </w:r>
      <w:r>
        <w:rPr>
          <w:rFonts w:ascii="Arial Narrow" w:eastAsia="Arial Narrow" w:hAnsi="Arial Narrow" w:cs="Arial Narrow"/>
          <w:sz w:val="24"/>
          <w:szCs w:val="24"/>
        </w:rPr>
        <w:t xml:space="preserve">.  </w:t>
      </w:r>
    </w:p>
    <w:p w14:paraId="00000025" w14:textId="77777777" w:rsidR="0074395A" w:rsidRDefault="00F10404">
      <w:pPr>
        <w:jc w:val="both"/>
        <w:rPr>
          <w:rFonts w:ascii="Arial Narrow" w:eastAsia="Arial Narrow" w:hAnsi="Arial Narrow" w:cs="Arial Narrow"/>
          <w:sz w:val="24"/>
          <w:szCs w:val="24"/>
        </w:rPr>
      </w:pPr>
      <w:r>
        <w:rPr>
          <w:rFonts w:ascii="Arial Narrow" w:eastAsia="Arial Narrow" w:hAnsi="Arial Narrow" w:cs="Arial Narrow"/>
          <w:sz w:val="24"/>
          <w:szCs w:val="24"/>
        </w:rPr>
        <w:t>Dado lo expuesto, nos permitimos proponer al Comité que en su lista de cuestiones requiera al Estado mexicano que informe lo siguiente:</w:t>
      </w:r>
    </w:p>
    <w:p w14:paraId="00000026" w14:textId="1D69398F" w:rsidR="0074395A" w:rsidRDefault="00F10404">
      <w:pPr>
        <w:numPr>
          <w:ilvl w:val="0"/>
          <w:numId w:val="1"/>
        </w:numPr>
        <w:pBdr>
          <w:top w:val="nil"/>
          <w:left w:val="nil"/>
          <w:bottom w:val="nil"/>
          <w:right w:val="nil"/>
          <w:between w:val="nil"/>
        </w:pBdr>
        <w:spacing w:after="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En el periodo de evaluación del CEDAW, ¿cuántas denuncias por tortura sexual cometida contra mujeres o niñas se han interpuesto ante las fiscalías a nivel local y federal?, </w:t>
      </w:r>
      <w:sdt>
        <w:sdtPr>
          <w:tag w:val="goog_rdk_16"/>
          <w:id w:val="1788938395"/>
          <w:showingPlcHdr/>
        </w:sdtPr>
        <w:sdtEndPr/>
        <w:sdtContent>
          <w:r w:rsidR="002974C6">
            <w:t xml:space="preserve">     </w:t>
          </w:r>
        </w:sdtContent>
      </w:sdt>
      <w:r>
        <w:rPr>
          <w:rFonts w:ascii="Arial Narrow" w:eastAsia="Arial Narrow" w:hAnsi="Arial Narrow" w:cs="Arial Narrow"/>
          <w:color w:val="000000"/>
          <w:sz w:val="24"/>
          <w:szCs w:val="24"/>
        </w:rPr>
        <w:t>, ¿en cuántos de los casos reportados se ha formulado imputación?, ¿en cuántos de ellos se ha juzgado y sancionado a la(s) persona(s) responsable(s)?</w:t>
      </w:r>
    </w:p>
    <w:p w14:paraId="00000027" w14:textId="6A905105" w:rsidR="0074395A" w:rsidRDefault="00F10404">
      <w:pPr>
        <w:numPr>
          <w:ilvl w:val="0"/>
          <w:numId w:val="1"/>
        </w:numPr>
        <w:pBdr>
          <w:top w:val="nil"/>
          <w:left w:val="nil"/>
          <w:bottom w:val="nil"/>
          <w:right w:val="nil"/>
          <w:between w:val="nil"/>
        </w:pBdr>
        <w:spacing w:after="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¿Cuál es el estado que guarda la investigación del </w:t>
      </w:r>
      <w:r>
        <w:rPr>
          <w:rFonts w:ascii="Arial Narrow" w:eastAsia="Arial Narrow" w:hAnsi="Arial Narrow" w:cs="Arial Narrow"/>
          <w:i/>
          <w:color w:val="000000"/>
          <w:sz w:val="24"/>
          <w:szCs w:val="24"/>
        </w:rPr>
        <w:t>Caso Mujeres Víctimas de Violencia en Atenco Vs. México</w:t>
      </w:r>
      <w:r>
        <w:rPr>
          <w:rFonts w:ascii="Arial Narrow" w:eastAsia="Arial Narrow" w:hAnsi="Arial Narrow" w:cs="Arial Narrow"/>
          <w:color w:val="000000"/>
          <w:sz w:val="24"/>
          <w:szCs w:val="24"/>
        </w:rPr>
        <w:t xml:space="preserve">? Y ¿qué acciones está llevando a cabo para asegurar que la investigación </w:t>
      </w:r>
      <w:r>
        <w:rPr>
          <w:rFonts w:ascii="Arial Narrow" w:eastAsia="Arial Narrow" w:hAnsi="Arial Narrow" w:cs="Arial Narrow"/>
          <w:color w:val="000000"/>
          <w:sz w:val="24"/>
          <w:szCs w:val="24"/>
        </w:rPr>
        <w:lastRenderedPageBreak/>
        <w:t xml:space="preserve">cumpla con los estándares y obligaciones internacionales en materia?, ¿qué medidas de rehabilitación han sido implementadas?, ¿qué acciones está implementando para cumplir con las medidas de reparación estructurales ordenadas en dicho caso?, ¿qué resultados ha mostrado el Mecanismo de Seguimiento de Casos de Tortura Sexual en la atención a mujeres y niñas víctimas de ese delito? ¿Cuántos casos ha analizado y dictaminado el Mecanismo de Seguimiento a casos de Tortura Sexual? ¿Qué acciones se han tomado en estos casos? </w:t>
      </w:r>
    </w:p>
    <w:p w14:paraId="00000028" w14:textId="77777777" w:rsidR="0074395A" w:rsidRDefault="00F10404">
      <w:pPr>
        <w:numPr>
          <w:ilvl w:val="0"/>
          <w:numId w:val="1"/>
        </w:numPr>
        <w:pBdr>
          <w:top w:val="nil"/>
          <w:left w:val="nil"/>
          <w:bottom w:val="nil"/>
          <w:right w:val="nil"/>
          <w:between w:val="nil"/>
        </w:pBd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¿Con qué políticas públicas cuenta el Estado mexicano para combatir de manera integral la práctica de la tortura sexual contra mujeres y niñas?, ¿qué acciones está llevando a cabo para implementar una política integral de investigación, juzgamiento y sanción del delito de tortura sexual cometida contra mujeres y niñas?</w:t>
      </w:r>
    </w:p>
    <w:p w14:paraId="00000029" w14:textId="0649CFFF" w:rsidR="0074395A" w:rsidRDefault="009713E6">
      <w:pPr>
        <w:jc w:val="both"/>
        <w:rPr>
          <w:rFonts w:ascii="Arial Narrow" w:eastAsia="Arial Narrow" w:hAnsi="Arial Narrow" w:cs="Arial Narrow"/>
          <w:sz w:val="24"/>
          <w:szCs w:val="24"/>
        </w:rPr>
      </w:pPr>
      <w:r>
        <w:rPr>
          <w:rFonts w:ascii="Arial Narrow" w:eastAsia="Arial Narrow" w:hAnsi="Arial Narrow" w:cs="Arial Narrow"/>
          <w:sz w:val="24"/>
          <w:szCs w:val="24"/>
        </w:rPr>
        <w:t>Finalmente, manifestamos nuestra autorización para que el presente</w:t>
      </w:r>
      <w:r w:rsidRPr="009713E6">
        <w:rPr>
          <w:rFonts w:ascii="Arial Narrow" w:eastAsia="Arial Narrow" w:hAnsi="Arial Narrow" w:cs="Arial Narrow"/>
          <w:sz w:val="24"/>
          <w:szCs w:val="24"/>
        </w:rPr>
        <w:t xml:space="preserve"> documento </w:t>
      </w:r>
      <w:r>
        <w:rPr>
          <w:rFonts w:ascii="Arial Narrow" w:eastAsia="Arial Narrow" w:hAnsi="Arial Narrow" w:cs="Arial Narrow"/>
          <w:sz w:val="24"/>
          <w:szCs w:val="24"/>
        </w:rPr>
        <w:t>sea</w:t>
      </w:r>
      <w:r w:rsidRPr="009713E6">
        <w:rPr>
          <w:rFonts w:ascii="Arial Narrow" w:eastAsia="Arial Narrow" w:hAnsi="Arial Narrow" w:cs="Arial Narrow"/>
          <w:sz w:val="24"/>
          <w:szCs w:val="24"/>
        </w:rPr>
        <w:t xml:space="preserve"> publica</w:t>
      </w:r>
      <w:r>
        <w:rPr>
          <w:rFonts w:ascii="Arial Narrow" w:eastAsia="Arial Narrow" w:hAnsi="Arial Narrow" w:cs="Arial Narrow"/>
          <w:sz w:val="24"/>
          <w:szCs w:val="24"/>
        </w:rPr>
        <w:t>do</w:t>
      </w:r>
      <w:r w:rsidR="00E135EE">
        <w:rPr>
          <w:rFonts w:ascii="Arial Narrow" w:eastAsia="Arial Narrow" w:hAnsi="Arial Narrow" w:cs="Arial Narrow"/>
          <w:sz w:val="24"/>
          <w:szCs w:val="24"/>
        </w:rPr>
        <w:t xml:space="preserve"> y divulgado</w:t>
      </w:r>
      <w:r w:rsidRPr="009713E6">
        <w:rPr>
          <w:rFonts w:ascii="Arial Narrow" w:eastAsia="Arial Narrow" w:hAnsi="Arial Narrow" w:cs="Arial Narrow"/>
          <w:sz w:val="24"/>
          <w:szCs w:val="24"/>
        </w:rPr>
        <w:t xml:space="preserve"> </w:t>
      </w:r>
      <w:r>
        <w:rPr>
          <w:rFonts w:ascii="Arial Narrow" w:eastAsia="Arial Narrow" w:hAnsi="Arial Narrow" w:cs="Arial Narrow"/>
          <w:sz w:val="24"/>
          <w:szCs w:val="24"/>
        </w:rPr>
        <w:t>según estime</w:t>
      </w:r>
      <w:r w:rsidRPr="009713E6">
        <w:rPr>
          <w:rFonts w:ascii="Arial Narrow" w:eastAsia="Arial Narrow" w:hAnsi="Arial Narrow" w:cs="Arial Narrow"/>
          <w:sz w:val="24"/>
          <w:szCs w:val="24"/>
        </w:rPr>
        <w:t xml:space="preserve"> </w:t>
      </w:r>
      <w:r>
        <w:rPr>
          <w:rFonts w:ascii="Arial Narrow" w:eastAsia="Arial Narrow" w:hAnsi="Arial Narrow" w:cs="Arial Narrow"/>
          <w:sz w:val="24"/>
          <w:szCs w:val="24"/>
        </w:rPr>
        <w:t xml:space="preserve">el Comité. </w:t>
      </w:r>
      <w:r w:rsidR="00F10404">
        <w:rPr>
          <w:rFonts w:ascii="Arial Narrow" w:eastAsia="Arial Narrow" w:hAnsi="Arial Narrow" w:cs="Arial Narrow"/>
          <w:sz w:val="24"/>
          <w:szCs w:val="24"/>
        </w:rPr>
        <w:t xml:space="preserve">En caso de requerir mayor información, por favor escriba al correo electrónico: </w:t>
      </w:r>
      <w:hyperlink r:id="rId10" w:history="1">
        <w:r w:rsidR="009C079E" w:rsidRPr="002D2206">
          <w:rPr>
            <w:rStyle w:val="Hipervnculo"/>
            <w:rFonts w:ascii="Arial Narrow" w:eastAsia="Arial Narrow" w:hAnsi="Arial Narrow" w:cs="Arial Narrow"/>
            <w:sz w:val="24"/>
            <w:szCs w:val="24"/>
          </w:rPr>
          <w:t>internacional@centroprodh.org.mx</w:t>
        </w:r>
      </w:hyperlink>
      <w:r w:rsidR="009C079E">
        <w:rPr>
          <w:rFonts w:ascii="Arial Narrow" w:eastAsia="Arial Narrow" w:hAnsi="Arial Narrow" w:cs="Arial Narrow"/>
          <w:color w:val="0563C1"/>
          <w:sz w:val="24"/>
          <w:szCs w:val="24"/>
          <w:u w:val="single"/>
        </w:rPr>
        <w:t xml:space="preserve"> </w:t>
      </w:r>
      <w:r w:rsidR="00F10404">
        <w:rPr>
          <w:rFonts w:ascii="Arial Narrow" w:eastAsia="Arial Narrow" w:hAnsi="Arial Narrow" w:cs="Arial Narrow"/>
          <w:sz w:val="24"/>
          <w:szCs w:val="24"/>
        </w:rPr>
        <w:t xml:space="preserve"> </w:t>
      </w:r>
    </w:p>
    <w:p w14:paraId="0000002A" w14:textId="77777777" w:rsidR="0074395A" w:rsidRDefault="00F10404">
      <w:pPr>
        <w:jc w:val="both"/>
        <w:rPr>
          <w:rFonts w:ascii="Arial Narrow" w:eastAsia="Arial Narrow" w:hAnsi="Arial Narrow" w:cs="Arial Narrow"/>
          <w:sz w:val="24"/>
          <w:szCs w:val="24"/>
        </w:rPr>
      </w:pPr>
      <w:r>
        <w:rPr>
          <w:rFonts w:ascii="Arial Narrow" w:eastAsia="Arial Narrow" w:hAnsi="Arial Narrow" w:cs="Arial Narrow"/>
          <w:sz w:val="24"/>
          <w:szCs w:val="24"/>
        </w:rPr>
        <w:t>Atentamente,</w:t>
      </w:r>
    </w:p>
    <w:p w14:paraId="0000002B" w14:textId="77777777" w:rsidR="0074395A" w:rsidRDefault="00F10404" w:rsidP="009C079E">
      <w:pPr>
        <w:jc w:val="center"/>
        <w:rPr>
          <w:rFonts w:ascii="Arial Narrow" w:eastAsia="Arial Narrow" w:hAnsi="Arial Narrow" w:cs="Arial Narrow"/>
          <w:b/>
          <w:i/>
          <w:sz w:val="24"/>
          <w:szCs w:val="24"/>
        </w:rPr>
      </w:pPr>
      <w:r>
        <w:rPr>
          <w:rFonts w:ascii="Arial Narrow" w:eastAsia="Arial Narrow" w:hAnsi="Arial Narrow" w:cs="Arial Narrow"/>
          <w:b/>
          <w:i/>
          <w:sz w:val="24"/>
          <w:szCs w:val="24"/>
        </w:rPr>
        <w:t>Centro de Derechos Humanos Miguel Agustín Pro Juárez</w:t>
      </w:r>
      <w:bookmarkEnd w:id="0"/>
    </w:p>
    <w:sectPr w:rsidR="0074395A">
      <w:footerReference w:type="default" r:id="rId11"/>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9AFAD" w14:textId="77777777" w:rsidR="00A56FE6" w:rsidRDefault="00F10404">
      <w:pPr>
        <w:spacing w:after="0" w:line="240" w:lineRule="auto"/>
      </w:pPr>
      <w:r>
        <w:separator/>
      </w:r>
    </w:p>
  </w:endnote>
  <w:endnote w:type="continuationSeparator" w:id="0">
    <w:p w14:paraId="7E4C31A4" w14:textId="77777777" w:rsidR="00A56FE6" w:rsidRDefault="00F10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9" w14:textId="060903EB" w:rsidR="0074395A" w:rsidRDefault="00F10404">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85249">
      <w:rPr>
        <w:noProof/>
        <w:color w:val="000000"/>
      </w:rPr>
      <w:t>1</w:t>
    </w:r>
    <w:r>
      <w:rPr>
        <w:color w:val="000000"/>
      </w:rPr>
      <w:fldChar w:fldCharType="end"/>
    </w:r>
  </w:p>
  <w:p w14:paraId="0000004A" w14:textId="77777777" w:rsidR="0074395A" w:rsidRDefault="0074395A">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ACCB9" w14:textId="77777777" w:rsidR="00A56FE6" w:rsidRDefault="00F10404">
      <w:pPr>
        <w:spacing w:after="0" w:line="240" w:lineRule="auto"/>
      </w:pPr>
      <w:r>
        <w:separator/>
      </w:r>
    </w:p>
  </w:footnote>
  <w:footnote w:type="continuationSeparator" w:id="0">
    <w:p w14:paraId="70189680" w14:textId="77777777" w:rsidR="00A56FE6" w:rsidRDefault="00F10404">
      <w:pPr>
        <w:spacing w:after="0" w:line="240" w:lineRule="auto"/>
      </w:pPr>
      <w:r>
        <w:continuationSeparator/>
      </w:r>
    </w:p>
  </w:footnote>
  <w:footnote w:id="1">
    <w:p w14:paraId="0000002C" w14:textId="77777777"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Nuestras publicaciones en materia se encuentran disponibles en nuestra página web en el siguiente enlace: </w:t>
      </w:r>
      <w:hyperlink r:id="rId1">
        <w:r w:rsidRPr="00122723">
          <w:rPr>
            <w:rFonts w:ascii="Arial Narrow" w:eastAsia="Arial Narrow" w:hAnsi="Arial Narrow" w:cs="Arial Narrow"/>
            <w:color w:val="0563C1"/>
            <w:sz w:val="20"/>
            <w:szCs w:val="20"/>
            <w:u w:val="single"/>
          </w:rPr>
          <w:t>http://centroprodh.org.mx/rompiendoelsilencio/category/materiales-de-prensa/publicaciones/</w:t>
        </w:r>
      </w:hyperlink>
      <w:r w:rsidRPr="00122723">
        <w:rPr>
          <w:rFonts w:ascii="Arial Narrow" w:eastAsia="Arial Narrow" w:hAnsi="Arial Narrow" w:cs="Arial Narrow"/>
          <w:color w:val="000000"/>
          <w:sz w:val="20"/>
          <w:szCs w:val="20"/>
        </w:rPr>
        <w:t xml:space="preserve"> </w:t>
      </w:r>
    </w:p>
  </w:footnote>
  <w:footnote w:id="2">
    <w:p w14:paraId="0000002D" w14:textId="77777777"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Comité para la Eliminación de la Discriminación contra la Mujer. </w:t>
      </w:r>
      <w:r w:rsidRPr="00122723">
        <w:rPr>
          <w:rFonts w:ascii="Arial Narrow" w:eastAsia="Arial Narrow" w:hAnsi="Arial Narrow" w:cs="Arial Narrow"/>
          <w:i/>
          <w:color w:val="000000"/>
          <w:sz w:val="20"/>
          <w:szCs w:val="20"/>
        </w:rPr>
        <w:t xml:space="preserve">Observaciones finales sobre el noveno informe periódico de México. </w:t>
      </w:r>
      <w:r w:rsidRPr="00122723">
        <w:rPr>
          <w:rFonts w:ascii="Arial Narrow" w:eastAsia="Arial Narrow" w:hAnsi="Arial Narrow" w:cs="Arial Narrow"/>
          <w:color w:val="000000"/>
          <w:sz w:val="20"/>
          <w:szCs w:val="20"/>
        </w:rPr>
        <w:t>CEDAW/C/MEX/CO/9. 25 de julio de 2018, párr. 23.</w:t>
      </w:r>
    </w:p>
  </w:footnote>
  <w:footnote w:id="3">
    <w:p w14:paraId="0000002E" w14:textId="77777777"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Comité para la Eliminación de la Discriminación contra la Mujer. </w:t>
      </w:r>
      <w:r w:rsidRPr="00122723">
        <w:rPr>
          <w:rFonts w:ascii="Arial Narrow" w:eastAsia="Arial Narrow" w:hAnsi="Arial Narrow" w:cs="Arial Narrow"/>
          <w:i/>
          <w:color w:val="000000"/>
          <w:sz w:val="20"/>
          <w:szCs w:val="20"/>
        </w:rPr>
        <w:t xml:space="preserve">Recomendación general </w:t>
      </w:r>
      <w:proofErr w:type="spellStart"/>
      <w:r w:rsidRPr="00122723">
        <w:rPr>
          <w:rFonts w:ascii="Arial Narrow" w:eastAsia="Arial Narrow" w:hAnsi="Arial Narrow" w:cs="Arial Narrow"/>
          <w:i/>
          <w:color w:val="000000"/>
          <w:sz w:val="20"/>
          <w:szCs w:val="20"/>
        </w:rPr>
        <w:t>num</w:t>
      </w:r>
      <w:proofErr w:type="spellEnd"/>
      <w:r w:rsidRPr="00122723">
        <w:rPr>
          <w:rFonts w:ascii="Arial Narrow" w:eastAsia="Arial Narrow" w:hAnsi="Arial Narrow" w:cs="Arial Narrow"/>
          <w:i/>
          <w:color w:val="000000"/>
          <w:sz w:val="20"/>
          <w:szCs w:val="20"/>
        </w:rPr>
        <w:t xml:space="preserve">. 35 sobre la violencia por razón de género contra la mujer, por la que se actualiza la recomendación general </w:t>
      </w:r>
      <w:proofErr w:type="spellStart"/>
      <w:r w:rsidRPr="00122723">
        <w:rPr>
          <w:rFonts w:ascii="Arial Narrow" w:eastAsia="Arial Narrow" w:hAnsi="Arial Narrow" w:cs="Arial Narrow"/>
          <w:i/>
          <w:color w:val="000000"/>
          <w:sz w:val="20"/>
          <w:szCs w:val="20"/>
        </w:rPr>
        <w:t>num</w:t>
      </w:r>
      <w:proofErr w:type="spellEnd"/>
      <w:r w:rsidRPr="00122723">
        <w:rPr>
          <w:rFonts w:ascii="Arial Narrow" w:eastAsia="Arial Narrow" w:hAnsi="Arial Narrow" w:cs="Arial Narrow"/>
          <w:i/>
          <w:color w:val="000000"/>
          <w:sz w:val="20"/>
          <w:szCs w:val="20"/>
        </w:rPr>
        <w:t xml:space="preserve">. 19. </w:t>
      </w:r>
      <w:r w:rsidRPr="00122723">
        <w:rPr>
          <w:rFonts w:ascii="Arial Narrow" w:eastAsia="Arial Narrow" w:hAnsi="Arial Narrow" w:cs="Arial Narrow"/>
          <w:color w:val="000000"/>
          <w:sz w:val="20"/>
          <w:szCs w:val="20"/>
        </w:rPr>
        <w:t>CEDAW/C/GC/35. 26 de junio de 2017, párr. 15.</w:t>
      </w:r>
    </w:p>
  </w:footnote>
  <w:footnote w:id="4">
    <w:p w14:paraId="0000002F" w14:textId="2F199326"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Comité para la Eliminación de la Discriminación contra la Mujer. </w:t>
      </w:r>
      <w:proofErr w:type="spellStart"/>
      <w:r w:rsidR="00122723">
        <w:rPr>
          <w:rFonts w:ascii="Arial Narrow" w:eastAsia="Arial Narrow" w:hAnsi="Arial Narrow" w:cs="Arial Narrow"/>
          <w:i/>
          <w:iCs/>
          <w:color w:val="000000"/>
          <w:sz w:val="20"/>
          <w:szCs w:val="20"/>
        </w:rPr>
        <w:t>Op</w:t>
      </w:r>
      <w:proofErr w:type="spellEnd"/>
      <w:r w:rsidR="00122723">
        <w:rPr>
          <w:rFonts w:ascii="Arial Narrow" w:eastAsia="Arial Narrow" w:hAnsi="Arial Narrow" w:cs="Arial Narrow"/>
          <w:i/>
          <w:iCs/>
          <w:color w:val="000000"/>
          <w:sz w:val="20"/>
          <w:szCs w:val="20"/>
        </w:rPr>
        <w:t xml:space="preserve">. Cit., </w:t>
      </w:r>
      <w:r w:rsidRPr="00122723">
        <w:rPr>
          <w:rFonts w:ascii="Arial Narrow" w:eastAsia="Arial Narrow" w:hAnsi="Arial Narrow" w:cs="Arial Narrow"/>
          <w:i/>
          <w:color w:val="000000"/>
          <w:sz w:val="20"/>
          <w:szCs w:val="20"/>
        </w:rPr>
        <w:t>Observaciones finales sobre el noveno informe periódico de México</w:t>
      </w:r>
      <w:r w:rsidRPr="00122723">
        <w:rPr>
          <w:rFonts w:ascii="Arial Narrow" w:eastAsia="Arial Narrow" w:hAnsi="Arial Narrow" w:cs="Arial Narrow"/>
          <w:color w:val="000000"/>
          <w:sz w:val="20"/>
          <w:szCs w:val="20"/>
        </w:rPr>
        <w:t>, párr. 24.</w:t>
      </w:r>
    </w:p>
  </w:footnote>
  <w:footnote w:id="5">
    <w:p w14:paraId="00000030" w14:textId="77777777"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Comité contra la Tortura. </w:t>
      </w:r>
      <w:r w:rsidRPr="00122723">
        <w:rPr>
          <w:rFonts w:ascii="Arial Narrow" w:eastAsia="Arial Narrow" w:hAnsi="Arial Narrow" w:cs="Arial Narrow"/>
          <w:i/>
          <w:color w:val="000000"/>
          <w:sz w:val="20"/>
          <w:szCs w:val="20"/>
        </w:rPr>
        <w:t>Información específica sobre la aplicación de los artículos 1 a 16 de la Convención, en particular respecto de las recomendaciones anteriores del Comité, Cuestiones identificadas para su seguimiento en las anteriores observaciones finales</w:t>
      </w:r>
      <w:r w:rsidRPr="00122723">
        <w:rPr>
          <w:rFonts w:ascii="Arial Narrow" w:eastAsia="Arial Narrow" w:hAnsi="Arial Narrow" w:cs="Arial Narrow"/>
          <w:color w:val="000000"/>
          <w:sz w:val="20"/>
          <w:szCs w:val="20"/>
        </w:rPr>
        <w:t>. CAT/C/MEX/QPR/8. 20 de junio de 2022, párr. 21.</w:t>
      </w:r>
    </w:p>
  </w:footnote>
  <w:footnote w:id="6">
    <w:p w14:paraId="288287D4" w14:textId="25A7E259" w:rsidR="00122723" w:rsidRPr="00122723" w:rsidRDefault="00122723" w:rsidP="00122723">
      <w:pPr>
        <w:pStyle w:val="Textonotapie"/>
        <w:jc w:val="both"/>
        <w:rPr>
          <w:rFonts w:ascii="Arial Narrow" w:hAnsi="Arial Narrow"/>
          <w:lang w:val="es-ES"/>
        </w:rPr>
      </w:pPr>
      <w:r w:rsidRPr="00122723">
        <w:rPr>
          <w:rStyle w:val="Refdenotaalpie"/>
          <w:rFonts w:ascii="Arial Narrow" w:hAnsi="Arial Narrow"/>
        </w:rPr>
        <w:footnoteRef/>
      </w:r>
      <w:r w:rsidRPr="00122723">
        <w:rPr>
          <w:rFonts w:ascii="Arial Narrow" w:hAnsi="Arial Narrow"/>
        </w:rPr>
        <w:t xml:space="preserve"> Informe de la Relatora Especial sobre la violencia contra la mujer, sus causas y consecuencias, </w:t>
      </w:r>
      <w:proofErr w:type="spellStart"/>
      <w:r w:rsidRPr="00122723">
        <w:rPr>
          <w:rFonts w:ascii="Arial Narrow" w:hAnsi="Arial Narrow"/>
        </w:rPr>
        <w:t>Dubravka</w:t>
      </w:r>
      <w:proofErr w:type="spellEnd"/>
      <w:r w:rsidRPr="00122723">
        <w:rPr>
          <w:rFonts w:ascii="Arial Narrow" w:hAnsi="Arial Narrow"/>
        </w:rPr>
        <w:t xml:space="preserve"> </w:t>
      </w:r>
      <w:proofErr w:type="spellStart"/>
      <w:r w:rsidRPr="00122723">
        <w:rPr>
          <w:rFonts w:ascii="Arial Narrow" w:hAnsi="Arial Narrow"/>
        </w:rPr>
        <w:t>Šimonović</w:t>
      </w:r>
      <w:proofErr w:type="spellEnd"/>
      <w:r w:rsidRPr="00122723">
        <w:rPr>
          <w:rFonts w:ascii="Arial Narrow" w:hAnsi="Arial Narrow"/>
        </w:rPr>
        <w:t xml:space="preserve">. </w:t>
      </w:r>
      <w:r w:rsidRPr="00122723">
        <w:rPr>
          <w:rFonts w:ascii="Arial Narrow" w:hAnsi="Arial Narrow"/>
          <w:i/>
          <w:iCs/>
        </w:rPr>
        <w:t>La violación como una vulneración grave, sistemática y generalizada de los derechos humanos, un delito y una manifestación de la violencia de género contra las mujeres y las niñas, y su prevención</w:t>
      </w:r>
      <w:r w:rsidRPr="00122723">
        <w:rPr>
          <w:rFonts w:ascii="Arial Narrow" w:hAnsi="Arial Narrow"/>
        </w:rPr>
        <w:t xml:space="preserve">. A/HRC/47/26. </w:t>
      </w:r>
    </w:p>
  </w:footnote>
  <w:footnote w:id="7">
    <w:p w14:paraId="00000031" w14:textId="77777777" w:rsidR="0074395A" w:rsidRPr="00122723" w:rsidRDefault="00F10404" w:rsidP="00122723">
      <w:pPr>
        <w:spacing w:line="240" w:lineRule="auto"/>
        <w:jc w:val="both"/>
        <w:rPr>
          <w:rFonts w:ascii="Arial Narrow" w:eastAsia="Arial Narrow" w:hAnsi="Arial Narrow" w:cs="Arial Narrow"/>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sz w:val="20"/>
          <w:szCs w:val="20"/>
        </w:rPr>
        <w:t xml:space="preserve"> INEGI. </w:t>
      </w:r>
      <w:r w:rsidRPr="00122723">
        <w:rPr>
          <w:rFonts w:ascii="Arial Narrow" w:eastAsia="Arial Narrow" w:hAnsi="Arial Narrow" w:cs="Arial Narrow"/>
          <w:i/>
          <w:sz w:val="20"/>
          <w:szCs w:val="20"/>
        </w:rPr>
        <w:t>Encuesta Nacional de Población Privada de la Libertad, ENPOL 2021: Principales Resultados,</w:t>
      </w:r>
      <w:r w:rsidRPr="00122723">
        <w:rPr>
          <w:rFonts w:ascii="Arial Narrow" w:eastAsia="Arial Narrow" w:hAnsi="Arial Narrow" w:cs="Arial Narrow"/>
          <w:sz w:val="20"/>
          <w:szCs w:val="20"/>
        </w:rPr>
        <w:t xml:space="preserve"> pág. 60. Disponible en: </w:t>
      </w:r>
      <w:hyperlink r:id="rId2">
        <w:r w:rsidRPr="00122723">
          <w:rPr>
            <w:rFonts w:ascii="Arial Narrow" w:eastAsia="Arial Narrow" w:hAnsi="Arial Narrow" w:cs="Arial Narrow"/>
            <w:color w:val="1155CC"/>
            <w:sz w:val="20"/>
            <w:szCs w:val="20"/>
            <w:u w:val="single"/>
          </w:rPr>
          <w:t>https://www.inegi.org.mx/contenidos/programas/enpol/2021/doc/enpol2021_presentacion_nacional.pdf</w:t>
        </w:r>
      </w:hyperlink>
      <w:r w:rsidRPr="00122723">
        <w:rPr>
          <w:rFonts w:ascii="Arial Narrow" w:eastAsia="Arial Narrow" w:hAnsi="Arial Narrow" w:cs="Arial Narrow"/>
          <w:sz w:val="20"/>
          <w:szCs w:val="20"/>
        </w:rPr>
        <w:t xml:space="preserve"> </w:t>
      </w:r>
    </w:p>
  </w:footnote>
  <w:footnote w:id="8">
    <w:p w14:paraId="00000032" w14:textId="3EA7FA2F"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00122723">
        <w:rPr>
          <w:rFonts w:ascii="Arial Narrow" w:eastAsia="Arial Narrow" w:hAnsi="Arial Narrow" w:cs="Arial Narrow"/>
          <w:color w:val="000000"/>
          <w:sz w:val="20"/>
          <w:szCs w:val="20"/>
        </w:rPr>
        <w:t xml:space="preserve"> </w:t>
      </w:r>
      <w:proofErr w:type="spellStart"/>
      <w:r w:rsidR="00122723">
        <w:rPr>
          <w:rFonts w:ascii="Arial Narrow" w:eastAsia="Arial Narrow" w:hAnsi="Arial Narrow" w:cs="Arial Narrow"/>
          <w:i/>
          <w:iCs/>
          <w:color w:val="000000"/>
          <w:sz w:val="20"/>
          <w:szCs w:val="20"/>
        </w:rPr>
        <w:t>Ibíd</w:t>
      </w:r>
      <w:proofErr w:type="spellEnd"/>
      <w:r w:rsidR="00122723">
        <w:rPr>
          <w:rFonts w:ascii="Arial Narrow" w:eastAsia="Arial Narrow" w:hAnsi="Arial Narrow" w:cs="Arial Narrow"/>
          <w:i/>
          <w:iCs/>
          <w:color w:val="000000"/>
          <w:sz w:val="20"/>
          <w:szCs w:val="20"/>
        </w:rPr>
        <w:t>.,</w:t>
      </w:r>
      <w:r w:rsidRPr="00122723">
        <w:rPr>
          <w:rFonts w:ascii="Arial Narrow" w:eastAsia="Arial Narrow" w:hAnsi="Arial Narrow" w:cs="Arial Narrow"/>
          <w:color w:val="000000"/>
          <w:sz w:val="20"/>
          <w:szCs w:val="20"/>
        </w:rPr>
        <w:t xml:space="preserve"> pág. 62.</w:t>
      </w:r>
    </w:p>
  </w:footnote>
  <w:footnote w:id="9">
    <w:p w14:paraId="00000033" w14:textId="6041BD85"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w:t>
      </w:r>
      <w:proofErr w:type="spellStart"/>
      <w:r w:rsidR="00122723">
        <w:rPr>
          <w:rFonts w:ascii="Arial Narrow" w:eastAsia="Arial Narrow" w:hAnsi="Arial Narrow" w:cs="Arial Narrow"/>
          <w:i/>
          <w:iCs/>
          <w:color w:val="000000"/>
          <w:sz w:val="20"/>
          <w:szCs w:val="20"/>
        </w:rPr>
        <w:t>Ibíd</w:t>
      </w:r>
      <w:proofErr w:type="spellEnd"/>
      <w:r w:rsidR="00122723">
        <w:rPr>
          <w:rFonts w:ascii="Arial Narrow" w:eastAsia="Arial Narrow" w:hAnsi="Arial Narrow" w:cs="Arial Narrow"/>
          <w:i/>
          <w:iCs/>
          <w:color w:val="000000"/>
          <w:sz w:val="20"/>
          <w:szCs w:val="20"/>
        </w:rPr>
        <w:t xml:space="preserve">., </w:t>
      </w:r>
      <w:r w:rsidRPr="00122723">
        <w:rPr>
          <w:rFonts w:ascii="Arial Narrow" w:eastAsia="Arial Narrow" w:hAnsi="Arial Narrow" w:cs="Arial Narrow"/>
          <w:color w:val="000000"/>
          <w:sz w:val="20"/>
          <w:szCs w:val="20"/>
        </w:rPr>
        <w:t>pág. 65.</w:t>
      </w:r>
    </w:p>
  </w:footnote>
  <w:footnote w:id="10">
    <w:p w14:paraId="00000034" w14:textId="77777777"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Comisión Interamericana de Derechos Humanos. </w:t>
      </w:r>
      <w:r w:rsidRPr="00122723">
        <w:rPr>
          <w:rFonts w:ascii="Arial Narrow" w:eastAsia="Arial Narrow" w:hAnsi="Arial Narrow" w:cs="Arial Narrow"/>
          <w:i/>
          <w:color w:val="000000"/>
          <w:sz w:val="20"/>
          <w:szCs w:val="20"/>
        </w:rPr>
        <w:t>Informe Anual de la Comisión Interamericana de Derechos Humanos 2022, Capítulo V, Séptimo Informe de seguimiento de recomendaciones formuladas por la CIDH en el Informe sobre situación de Derechos Humanos en México, OEA/</w:t>
      </w:r>
      <w:proofErr w:type="spellStart"/>
      <w:r w:rsidRPr="00122723">
        <w:rPr>
          <w:rFonts w:ascii="Arial Narrow" w:eastAsia="Arial Narrow" w:hAnsi="Arial Narrow" w:cs="Arial Narrow"/>
          <w:i/>
          <w:color w:val="000000"/>
          <w:sz w:val="20"/>
          <w:szCs w:val="20"/>
        </w:rPr>
        <w:t>Ser.L</w:t>
      </w:r>
      <w:proofErr w:type="spellEnd"/>
      <w:r w:rsidRPr="00122723">
        <w:rPr>
          <w:rFonts w:ascii="Arial Narrow" w:eastAsia="Arial Narrow" w:hAnsi="Arial Narrow" w:cs="Arial Narrow"/>
          <w:i/>
          <w:color w:val="000000"/>
          <w:sz w:val="20"/>
          <w:szCs w:val="20"/>
        </w:rPr>
        <w:t xml:space="preserve">/V/II. Doc. 50 </w:t>
      </w:r>
      <w:proofErr w:type="spellStart"/>
      <w:r w:rsidRPr="00122723">
        <w:rPr>
          <w:rFonts w:ascii="Arial Narrow" w:eastAsia="Arial Narrow" w:hAnsi="Arial Narrow" w:cs="Arial Narrow"/>
          <w:i/>
          <w:color w:val="000000"/>
          <w:sz w:val="20"/>
          <w:szCs w:val="20"/>
        </w:rPr>
        <w:t>rev.</w:t>
      </w:r>
      <w:proofErr w:type="spellEnd"/>
      <w:r w:rsidRPr="00122723">
        <w:rPr>
          <w:rFonts w:ascii="Arial Narrow" w:eastAsia="Arial Narrow" w:hAnsi="Arial Narrow" w:cs="Arial Narrow"/>
          <w:i/>
          <w:color w:val="000000"/>
          <w:sz w:val="20"/>
          <w:szCs w:val="20"/>
        </w:rPr>
        <w:t xml:space="preserve"> 1</w:t>
      </w:r>
      <w:r w:rsidRPr="00122723">
        <w:rPr>
          <w:rFonts w:ascii="Arial Narrow" w:eastAsia="Arial Narrow" w:hAnsi="Arial Narrow" w:cs="Arial Narrow"/>
          <w:color w:val="000000"/>
          <w:sz w:val="20"/>
          <w:szCs w:val="20"/>
        </w:rPr>
        <w:t xml:space="preserve">. 1 de abril de 2023, párr. 130. </w:t>
      </w:r>
      <w:hyperlink r:id="rId3">
        <w:r w:rsidRPr="00122723">
          <w:rPr>
            <w:rFonts w:ascii="Arial Narrow" w:eastAsia="Arial Narrow" w:hAnsi="Arial Narrow" w:cs="Arial Narrow"/>
            <w:color w:val="0563C1"/>
            <w:sz w:val="20"/>
            <w:szCs w:val="20"/>
            <w:u w:val="single"/>
          </w:rPr>
          <w:t>https://www.oas.org/es/cidh/docs/anual/2022/capitulos/14-IA2022_Cap_5_MX_ES.pdf</w:t>
        </w:r>
      </w:hyperlink>
      <w:r w:rsidRPr="00122723">
        <w:rPr>
          <w:rFonts w:ascii="Arial Narrow" w:eastAsia="Arial Narrow" w:hAnsi="Arial Narrow" w:cs="Arial Narrow"/>
          <w:color w:val="000000"/>
          <w:sz w:val="20"/>
          <w:szCs w:val="20"/>
        </w:rPr>
        <w:t xml:space="preserve"> </w:t>
      </w:r>
    </w:p>
  </w:footnote>
  <w:footnote w:id="11">
    <w:p w14:paraId="00000035" w14:textId="2DA12B15"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w:t>
      </w:r>
      <w:proofErr w:type="spellStart"/>
      <w:r w:rsidR="00122723">
        <w:rPr>
          <w:rFonts w:ascii="Arial Narrow" w:eastAsia="Arial Narrow" w:hAnsi="Arial Narrow" w:cs="Arial Narrow"/>
          <w:i/>
          <w:iCs/>
          <w:color w:val="000000"/>
          <w:sz w:val="20"/>
          <w:szCs w:val="20"/>
        </w:rPr>
        <w:t>Ibíd</w:t>
      </w:r>
      <w:proofErr w:type="spellEnd"/>
      <w:r w:rsidR="00122723">
        <w:rPr>
          <w:rFonts w:ascii="Arial Narrow" w:eastAsia="Arial Narrow" w:hAnsi="Arial Narrow" w:cs="Arial Narrow"/>
          <w:i/>
          <w:iCs/>
          <w:color w:val="000000"/>
          <w:sz w:val="20"/>
          <w:szCs w:val="20"/>
        </w:rPr>
        <w:t>.,</w:t>
      </w:r>
      <w:r w:rsidRPr="00122723">
        <w:rPr>
          <w:rFonts w:ascii="Arial Narrow" w:eastAsia="Arial Narrow" w:hAnsi="Arial Narrow" w:cs="Arial Narrow"/>
          <w:color w:val="000000"/>
          <w:sz w:val="20"/>
          <w:szCs w:val="20"/>
        </w:rPr>
        <w:t xml:space="preserve"> párr. 145. </w:t>
      </w:r>
    </w:p>
  </w:footnote>
  <w:footnote w:id="12">
    <w:p w14:paraId="00000036" w14:textId="77777777" w:rsidR="0074395A" w:rsidRPr="00122723" w:rsidRDefault="00F10404" w:rsidP="00122723">
      <w:pPr>
        <w:spacing w:line="240" w:lineRule="auto"/>
        <w:jc w:val="both"/>
        <w:rPr>
          <w:rFonts w:ascii="Arial Narrow" w:eastAsia="Arial Narrow" w:hAnsi="Arial Narrow" w:cs="Arial Narrow"/>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sz w:val="20"/>
          <w:szCs w:val="20"/>
        </w:rPr>
        <w:t xml:space="preserve"> SEGOB. </w:t>
      </w:r>
      <w:r w:rsidRPr="00122723">
        <w:rPr>
          <w:rFonts w:ascii="Arial Narrow" w:eastAsia="Arial Narrow" w:hAnsi="Arial Narrow" w:cs="Arial Narrow"/>
          <w:i/>
          <w:iCs/>
          <w:sz w:val="20"/>
          <w:szCs w:val="20"/>
        </w:rPr>
        <w:t>Diagnóstico Nacional sobre Tortura Sexual Cometida Contra Mujeres Privadas de la Libertad en México.</w:t>
      </w:r>
      <w:r w:rsidRPr="00122723">
        <w:rPr>
          <w:rFonts w:ascii="Arial Narrow" w:eastAsia="Arial Narrow" w:hAnsi="Arial Narrow" w:cs="Arial Narrow"/>
          <w:sz w:val="20"/>
          <w:szCs w:val="20"/>
        </w:rPr>
        <w:t xml:space="preserve"> 2022. Disponible en:</w:t>
      </w:r>
      <w:hyperlink r:id="rId4">
        <w:r w:rsidRPr="00122723">
          <w:rPr>
            <w:rFonts w:ascii="Arial Narrow" w:eastAsia="Arial Narrow" w:hAnsi="Arial Narrow" w:cs="Arial Narrow"/>
            <w:sz w:val="20"/>
            <w:szCs w:val="20"/>
          </w:rPr>
          <w:t xml:space="preserve"> </w:t>
        </w:r>
      </w:hyperlink>
      <w:hyperlink r:id="rId5">
        <w:r w:rsidRPr="00122723">
          <w:rPr>
            <w:rFonts w:ascii="Arial Narrow" w:eastAsia="Arial Narrow" w:hAnsi="Arial Narrow" w:cs="Arial Narrow"/>
            <w:color w:val="0000FF"/>
            <w:sz w:val="20"/>
            <w:szCs w:val="20"/>
            <w:u w:val="single"/>
          </w:rPr>
          <w:t>https://www.gob.mx/segob/documentos/diagnostico-nacional-sobre-tortura-sexual-cometida-contra-mujeres-privadas-de-la-libertad-en-mexico</w:t>
        </w:r>
      </w:hyperlink>
      <w:r w:rsidRPr="00122723">
        <w:rPr>
          <w:rFonts w:ascii="Arial Narrow" w:eastAsia="Arial Narrow" w:hAnsi="Arial Narrow" w:cs="Arial Narrow"/>
          <w:sz w:val="20"/>
          <w:szCs w:val="20"/>
        </w:rPr>
        <w:t xml:space="preserve">; y </w:t>
      </w:r>
      <w:r w:rsidRPr="00122723">
        <w:rPr>
          <w:rFonts w:ascii="Arial Narrow" w:eastAsia="Arial Narrow" w:hAnsi="Arial Narrow" w:cs="Arial Narrow"/>
          <w:i/>
          <w:sz w:val="20"/>
          <w:szCs w:val="20"/>
        </w:rPr>
        <w:t xml:space="preserve"> </w:t>
      </w:r>
      <w:r w:rsidRPr="00122723">
        <w:rPr>
          <w:rFonts w:ascii="Arial Narrow" w:eastAsia="Arial Narrow" w:hAnsi="Arial Narrow" w:cs="Arial Narrow"/>
          <w:sz w:val="20"/>
          <w:szCs w:val="20"/>
        </w:rPr>
        <w:t>Centro Prodh</w:t>
      </w:r>
      <w:r w:rsidRPr="00122723">
        <w:rPr>
          <w:rFonts w:ascii="Arial Narrow" w:eastAsia="Arial Narrow" w:hAnsi="Arial Narrow" w:cs="Arial Narrow"/>
          <w:i/>
          <w:sz w:val="20"/>
          <w:szCs w:val="20"/>
        </w:rPr>
        <w:t>. Reconoce SEGOB la existencia de Tortura Sexual como una práctica persistente contra mujeres</w:t>
      </w:r>
      <w:r w:rsidRPr="00122723">
        <w:rPr>
          <w:rFonts w:ascii="Arial Narrow" w:eastAsia="Arial Narrow" w:hAnsi="Arial Narrow" w:cs="Arial Narrow"/>
          <w:sz w:val="20"/>
          <w:szCs w:val="20"/>
        </w:rPr>
        <w:t xml:space="preserve">. 27 de junio de 2022. Disponible en:  </w:t>
      </w:r>
      <w:hyperlink r:id="rId6">
        <w:r w:rsidRPr="00122723">
          <w:rPr>
            <w:rFonts w:ascii="Arial Narrow" w:eastAsia="Arial Narrow" w:hAnsi="Arial Narrow" w:cs="Arial Narrow"/>
            <w:color w:val="1155CC"/>
            <w:sz w:val="20"/>
            <w:szCs w:val="20"/>
          </w:rPr>
          <w:t>https://centroprodh.org.mx/2022/06/27/reconoce-segob-la-existencia-de-tortura-sexual-como-una-practica-persistente-contra-mujeres/</w:t>
        </w:r>
      </w:hyperlink>
    </w:p>
  </w:footnote>
  <w:footnote w:id="13">
    <w:p w14:paraId="00000037" w14:textId="16E1867A"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w:t>
      </w:r>
      <w:proofErr w:type="spellStart"/>
      <w:r w:rsidR="00122723">
        <w:rPr>
          <w:rFonts w:ascii="Arial Narrow" w:eastAsia="Arial Narrow" w:hAnsi="Arial Narrow" w:cs="Arial Narrow"/>
          <w:i/>
          <w:iCs/>
          <w:color w:val="000000"/>
          <w:sz w:val="20"/>
          <w:szCs w:val="20"/>
        </w:rPr>
        <w:t>Ibíd</w:t>
      </w:r>
      <w:proofErr w:type="spellEnd"/>
      <w:r w:rsidR="00122723">
        <w:rPr>
          <w:rFonts w:ascii="Arial Narrow" w:eastAsia="Arial Narrow" w:hAnsi="Arial Narrow" w:cs="Arial Narrow"/>
          <w:i/>
          <w:iCs/>
          <w:color w:val="000000"/>
          <w:sz w:val="20"/>
          <w:szCs w:val="20"/>
        </w:rPr>
        <w:t xml:space="preserve">. </w:t>
      </w:r>
      <w:r w:rsidRPr="00122723">
        <w:rPr>
          <w:rFonts w:ascii="Arial Narrow" w:eastAsia="Arial Narrow" w:hAnsi="Arial Narrow" w:cs="Arial Narrow"/>
          <w:color w:val="000000"/>
          <w:sz w:val="20"/>
          <w:szCs w:val="20"/>
        </w:rPr>
        <w:t xml:space="preserve">SEGOB, pág. 104. </w:t>
      </w:r>
    </w:p>
  </w:footnote>
  <w:footnote w:id="14">
    <w:p w14:paraId="00000038" w14:textId="51C9A5B7"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w:t>
      </w:r>
      <w:proofErr w:type="spellStart"/>
      <w:r w:rsidR="00122723">
        <w:rPr>
          <w:rFonts w:ascii="Arial Narrow" w:eastAsia="Arial Narrow" w:hAnsi="Arial Narrow" w:cs="Arial Narrow"/>
          <w:i/>
          <w:iCs/>
          <w:color w:val="000000"/>
          <w:sz w:val="20"/>
          <w:szCs w:val="20"/>
        </w:rPr>
        <w:t>Ibíd</w:t>
      </w:r>
      <w:proofErr w:type="spellEnd"/>
      <w:r w:rsidR="00122723">
        <w:rPr>
          <w:rFonts w:ascii="Arial Narrow" w:eastAsia="Arial Narrow" w:hAnsi="Arial Narrow" w:cs="Arial Narrow"/>
          <w:i/>
          <w:iCs/>
          <w:color w:val="000000"/>
          <w:sz w:val="20"/>
          <w:szCs w:val="20"/>
        </w:rPr>
        <w:t>.,</w:t>
      </w:r>
      <w:r w:rsidRPr="00122723">
        <w:rPr>
          <w:rFonts w:ascii="Arial Narrow" w:eastAsia="Arial Narrow" w:hAnsi="Arial Narrow" w:cs="Arial Narrow"/>
          <w:color w:val="000000"/>
          <w:sz w:val="20"/>
          <w:szCs w:val="20"/>
        </w:rPr>
        <w:t xml:space="preserve"> pág. 113. </w:t>
      </w:r>
    </w:p>
  </w:footnote>
  <w:footnote w:id="15">
    <w:p w14:paraId="00000039" w14:textId="68B43713"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w:t>
      </w:r>
      <w:proofErr w:type="spellStart"/>
      <w:r w:rsidR="00122723">
        <w:rPr>
          <w:rFonts w:ascii="Arial Narrow" w:eastAsia="Arial Narrow" w:hAnsi="Arial Narrow" w:cs="Arial Narrow"/>
          <w:i/>
          <w:iCs/>
          <w:color w:val="000000"/>
          <w:sz w:val="20"/>
          <w:szCs w:val="20"/>
        </w:rPr>
        <w:t>Ibíd</w:t>
      </w:r>
      <w:proofErr w:type="spellEnd"/>
      <w:r w:rsidR="00122723">
        <w:rPr>
          <w:rFonts w:ascii="Arial Narrow" w:eastAsia="Arial Narrow" w:hAnsi="Arial Narrow" w:cs="Arial Narrow"/>
          <w:i/>
          <w:iCs/>
          <w:color w:val="000000"/>
          <w:sz w:val="20"/>
          <w:szCs w:val="20"/>
        </w:rPr>
        <w:t>.,</w:t>
      </w:r>
      <w:r w:rsidRPr="00122723">
        <w:rPr>
          <w:rFonts w:ascii="Arial Narrow" w:eastAsia="Arial Narrow" w:hAnsi="Arial Narrow" w:cs="Arial Narrow"/>
          <w:color w:val="000000"/>
          <w:sz w:val="20"/>
          <w:szCs w:val="20"/>
        </w:rPr>
        <w:t xml:space="preserve"> pág. 70.</w:t>
      </w:r>
    </w:p>
  </w:footnote>
  <w:footnote w:id="16">
    <w:p w14:paraId="0000003A" w14:textId="49232FFF"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w:t>
      </w:r>
      <w:proofErr w:type="spellStart"/>
      <w:r w:rsidR="00122723">
        <w:rPr>
          <w:rFonts w:ascii="Arial Narrow" w:eastAsia="Arial Narrow" w:hAnsi="Arial Narrow" w:cs="Arial Narrow"/>
          <w:i/>
          <w:iCs/>
          <w:color w:val="000000"/>
          <w:sz w:val="20"/>
          <w:szCs w:val="20"/>
        </w:rPr>
        <w:t>Ibíd</w:t>
      </w:r>
      <w:proofErr w:type="spellEnd"/>
      <w:r w:rsidR="00122723">
        <w:rPr>
          <w:rFonts w:ascii="Arial Narrow" w:eastAsia="Arial Narrow" w:hAnsi="Arial Narrow" w:cs="Arial Narrow"/>
          <w:i/>
          <w:iCs/>
          <w:color w:val="000000"/>
          <w:sz w:val="20"/>
          <w:szCs w:val="20"/>
        </w:rPr>
        <w:t>.,</w:t>
      </w:r>
      <w:r w:rsidRPr="00122723">
        <w:rPr>
          <w:rFonts w:ascii="Arial Narrow" w:eastAsia="Arial Narrow" w:hAnsi="Arial Narrow" w:cs="Arial Narrow"/>
          <w:color w:val="000000"/>
          <w:sz w:val="20"/>
          <w:szCs w:val="20"/>
        </w:rPr>
        <w:t xml:space="preserve"> pág. 181 y ss.</w:t>
      </w:r>
    </w:p>
  </w:footnote>
  <w:footnote w:id="17">
    <w:p w14:paraId="0000003B" w14:textId="729A0424" w:rsidR="0074395A" w:rsidRPr="00122723" w:rsidRDefault="00F10404" w:rsidP="00122723">
      <w:pPr>
        <w:pBdr>
          <w:top w:val="nil"/>
          <w:left w:val="nil"/>
          <w:bottom w:val="nil"/>
          <w:right w:val="nil"/>
          <w:between w:val="nil"/>
        </w:pBdr>
        <w:spacing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Gobierno de México. </w:t>
      </w:r>
      <w:r w:rsidRPr="00122723">
        <w:rPr>
          <w:rFonts w:ascii="Arial Narrow" w:eastAsia="Arial Narrow" w:hAnsi="Arial Narrow" w:cs="Arial Narrow"/>
          <w:i/>
          <w:color w:val="000000"/>
          <w:sz w:val="20"/>
          <w:szCs w:val="20"/>
        </w:rPr>
        <w:t xml:space="preserve">¿Qué es el Mecanismo de Seguimiento de Casos de Tortura Sexual Cometida contra las Mujeres? </w:t>
      </w:r>
      <w:r w:rsidRPr="00122723">
        <w:rPr>
          <w:rFonts w:ascii="Arial Narrow" w:eastAsia="Arial Narrow" w:hAnsi="Arial Narrow" w:cs="Arial Narrow"/>
          <w:color w:val="000000"/>
          <w:sz w:val="20"/>
          <w:szCs w:val="20"/>
        </w:rPr>
        <w:t xml:space="preserve">1 de junio de 2018. Disponible en: </w:t>
      </w:r>
      <w:hyperlink r:id="rId7" w:history="1">
        <w:r w:rsidR="00641595" w:rsidRPr="002D2206">
          <w:rPr>
            <w:rStyle w:val="Hipervnculo"/>
            <w:rFonts w:ascii="Arial Narrow" w:eastAsia="Arial Narrow" w:hAnsi="Arial Narrow" w:cs="Arial Narrow"/>
            <w:sz w:val="20"/>
            <w:szCs w:val="20"/>
          </w:rPr>
          <w:t>https://www.gob.mx/conavim/es/articulos/que-es-el-mecanismo-de-seguimiento-de-casos-de-tortura-sexual-cometida-contra-las-mujeres?idiom=es</w:t>
        </w:r>
      </w:hyperlink>
      <w:r w:rsidRPr="00122723">
        <w:rPr>
          <w:rFonts w:ascii="Arial Narrow" w:eastAsia="Arial Narrow" w:hAnsi="Arial Narrow" w:cs="Arial Narrow"/>
          <w:color w:val="000000"/>
          <w:sz w:val="20"/>
          <w:szCs w:val="20"/>
        </w:rPr>
        <w:t xml:space="preserve"> </w:t>
      </w:r>
    </w:p>
  </w:footnote>
  <w:footnote w:id="18">
    <w:p w14:paraId="0000003C" w14:textId="77777777"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Comité contra la Tortura. </w:t>
      </w:r>
      <w:r w:rsidRPr="00641595">
        <w:rPr>
          <w:rFonts w:ascii="Arial Narrow" w:eastAsia="Arial Narrow" w:hAnsi="Arial Narrow" w:cs="Arial Narrow"/>
          <w:i/>
          <w:iCs/>
          <w:color w:val="000000"/>
          <w:sz w:val="20"/>
          <w:szCs w:val="20"/>
        </w:rPr>
        <w:t>Observaciones finales sobre el séptimo informe periódico de México</w:t>
      </w:r>
      <w:r w:rsidRPr="00122723">
        <w:rPr>
          <w:rFonts w:ascii="Arial Narrow" w:eastAsia="Arial Narrow" w:hAnsi="Arial Narrow" w:cs="Arial Narrow"/>
          <w:color w:val="000000"/>
          <w:sz w:val="20"/>
          <w:szCs w:val="20"/>
        </w:rPr>
        <w:t xml:space="preserve">. CAT/C/MEX/CO/7. 24 de julio de 2019, </w:t>
      </w:r>
      <w:proofErr w:type="spellStart"/>
      <w:r w:rsidRPr="00122723">
        <w:rPr>
          <w:rFonts w:ascii="Arial Narrow" w:eastAsia="Arial Narrow" w:hAnsi="Arial Narrow" w:cs="Arial Narrow"/>
          <w:color w:val="000000"/>
          <w:sz w:val="20"/>
          <w:szCs w:val="20"/>
        </w:rPr>
        <w:t>párrs</w:t>
      </w:r>
      <w:proofErr w:type="spellEnd"/>
      <w:r w:rsidRPr="00122723">
        <w:rPr>
          <w:rFonts w:ascii="Arial Narrow" w:eastAsia="Arial Narrow" w:hAnsi="Arial Narrow" w:cs="Arial Narrow"/>
          <w:color w:val="000000"/>
          <w:sz w:val="20"/>
          <w:szCs w:val="20"/>
        </w:rPr>
        <w:t>. 58-59.</w:t>
      </w:r>
    </w:p>
  </w:footnote>
  <w:footnote w:id="19">
    <w:p w14:paraId="0000003D" w14:textId="77777777"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Corte IDH. </w:t>
      </w:r>
      <w:r w:rsidRPr="00641595">
        <w:rPr>
          <w:rFonts w:ascii="Arial Narrow" w:eastAsia="Arial Narrow" w:hAnsi="Arial Narrow" w:cs="Arial Narrow"/>
          <w:i/>
          <w:iCs/>
          <w:color w:val="000000"/>
          <w:sz w:val="20"/>
          <w:szCs w:val="20"/>
        </w:rPr>
        <w:t>Caso Mujeres Víctimas de Tortura Sexual en Atenco Vs. México</w:t>
      </w:r>
      <w:r w:rsidRPr="00122723">
        <w:rPr>
          <w:rFonts w:ascii="Arial Narrow" w:eastAsia="Arial Narrow" w:hAnsi="Arial Narrow" w:cs="Arial Narrow"/>
          <w:color w:val="000000"/>
          <w:sz w:val="20"/>
          <w:szCs w:val="20"/>
        </w:rPr>
        <w:t>. Excepción Preliminar, Fondo, Reparaciones y Costas. Sentencia de 28 de noviembre de 2018. Serie C No. 371.</w:t>
      </w:r>
    </w:p>
  </w:footnote>
  <w:footnote w:id="20">
    <w:p w14:paraId="0000003E" w14:textId="442AA9C4"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w:t>
      </w:r>
      <w:r w:rsidRPr="00641595">
        <w:rPr>
          <w:rFonts w:ascii="Arial Narrow" w:eastAsia="Arial Narrow" w:hAnsi="Arial Narrow" w:cs="Arial Narrow"/>
          <w:i/>
          <w:iCs/>
          <w:color w:val="000000"/>
          <w:sz w:val="20"/>
          <w:szCs w:val="20"/>
        </w:rPr>
        <w:t>Cfr</w:t>
      </w:r>
      <w:r w:rsidRPr="00122723">
        <w:rPr>
          <w:rFonts w:ascii="Arial Narrow" w:eastAsia="Arial Narrow" w:hAnsi="Arial Narrow" w:cs="Arial Narrow"/>
          <w:color w:val="000000"/>
          <w:sz w:val="20"/>
          <w:szCs w:val="20"/>
        </w:rPr>
        <w:t>. Centro Prodh</w:t>
      </w:r>
      <w:r w:rsidRPr="00122723">
        <w:rPr>
          <w:rFonts w:ascii="Arial Narrow" w:eastAsia="Arial Narrow" w:hAnsi="Arial Narrow" w:cs="Arial Narrow"/>
          <w:i/>
          <w:color w:val="000000"/>
          <w:sz w:val="20"/>
          <w:szCs w:val="20"/>
        </w:rPr>
        <w:t>. Mujeres del caso Atenco ganan amparo contra Fiscalía de Edomex</w:t>
      </w:r>
      <w:r w:rsidRPr="00122723">
        <w:rPr>
          <w:rFonts w:ascii="Arial Narrow" w:eastAsia="Arial Narrow" w:hAnsi="Arial Narrow" w:cs="Arial Narrow"/>
          <w:color w:val="000000"/>
          <w:sz w:val="20"/>
          <w:szCs w:val="20"/>
        </w:rPr>
        <w:t xml:space="preserve">. 29 de noviembre de 2020. Disponible en: </w:t>
      </w:r>
      <w:hyperlink r:id="rId8">
        <w:r w:rsidRPr="00122723">
          <w:rPr>
            <w:rFonts w:ascii="Arial Narrow" w:eastAsia="Arial Narrow" w:hAnsi="Arial Narrow" w:cs="Arial Narrow"/>
            <w:color w:val="0563C1"/>
            <w:sz w:val="20"/>
            <w:szCs w:val="20"/>
            <w:u w:val="single"/>
          </w:rPr>
          <w:t>https://centroprodh.org.mx/2020/11/29/mujeres-del-caso-atenco-ganan-amparo-contra-fiscalia-de-edomex/</w:t>
        </w:r>
      </w:hyperlink>
      <w:r w:rsidRPr="00122723">
        <w:rPr>
          <w:rFonts w:ascii="Arial Narrow" w:eastAsia="Arial Narrow" w:hAnsi="Arial Narrow" w:cs="Arial Narrow"/>
          <w:color w:val="000000"/>
          <w:sz w:val="20"/>
          <w:szCs w:val="20"/>
        </w:rPr>
        <w:t xml:space="preserve">; </w:t>
      </w:r>
      <w:r w:rsidRPr="00122723">
        <w:rPr>
          <w:rFonts w:ascii="Arial Narrow" w:eastAsia="Arial Narrow" w:hAnsi="Arial Narrow" w:cs="Arial Narrow"/>
          <w:i/>
          <w:color w:val="000000"/>
          <w:sz w:val="20"/>
          <w:szCs w:val="20"/>
        </w:rPr>
        <w:t>Fiscalía del Estado de México deberá remitir a FGR la investigación del caso Mujeres de Atenco</w:t>
      </w:r>
      <w:r w:rsidRPr="00122723">
        <w:rPr>
          <w:rFonts w:ascii="Arial Narrow" w:eastAsia="Arial Narrow" w:hAnsi="Arial Narrow" w:cs="Arial Narrow"/>
          <w:color w:val="000000"/>
          <w:sz w:val="20"/>
          <w:szCs w:val="20"/>
        </w:rPr>
        <w:t xml:space="preserve">. 19 de septiembre de 2021. Disponible en: </w:t>
      </w:r>
      <w:hyperlink r:id="rId9">
        <w:r w:rsidRPr="00122723">
          <w:rPr>
            <w:rFonts w:ascii="Arial Narrow" w:eastAsia="Arial Narrow" w:hAnsi="Arial Narrow" w:cs="Arial Narrow"/>
            <w:color w:val="0563C1"/>
            <w:sz w:val="20"/>
            <w:szCs w:val="20"/>
            <w:u w:val="single"/>
          </w:rPr>
          <w:t>https://centroprodh.org.mx/2021/09/19/fiscalia-del-estado-de-mexico-debera-remitir-a-fgr-la-investigacion-del-caso-mujeres-de-atenco/</w:t>
        </w:r>
      </w:hyperlink>
      <w:r w:rsidRPr="00122723">
        <w:rPr>
          <w:rFonts w:ascii="Arial Narrow" w:eastAsia="Arial Narrow" w:hAnsi="Arial Narrow" w:cs="Arial Narrow"/>
          <w:color w:val="000000"/>
          <w:sz w:val="20"/>
          <w:szCs w:val="20"/>
        </w:rPr>
        <w:t xml:space="preserve">; </w:t>
      </w:r>
      <w:r w:rsidRPr="00122723">
        <w:rPr>
          <w:rFonts w:ascii="Arial Narrow" w:eastAsia="Arial Narrow" w:hAnsi="Arial Narrow" w:cs="Arial Narrow"/>
          <w:i/>
          <w:color w:val="000000"/>
          <w:sz w:val="20"/>
          <w:szCs w:val="20"/>
        </w:rPr>
        <w:t>Mujeres de Atenco exigen a Fiscalía de Edomex que acate sentencia y remita investigación del caso a instancias federales</w:t>
      </w:r>
      <w:r w:rsidRPr="00122723">
        <w:rPr>
          <w:rFonts w:ascii="Arial Narrow" w:eastAsia="Arial Narrow" w:hAnsi="Arial Narrow" w:cs="Arial Narrow"/>
          <w:color w:val="000000"/>
          <w:sz w:val="20"/>
          <w:szCs w:val="20"/>
        </w:rPr>
        <w:t xml:space="preserve">. 11 de septiembre de 2022. Disponible en: </w:t>
      </w:r>
      <w:hyperlink r:id="rId10">
        <w:r w:rsidRPr="00122723">
          <w:rPr>
            <w:rFonts w:ascii="Arial Narrow" w:eastAsia="Arial Narrow" w:hAnsi="Arial Narrow" w:cs="Arial Narrow"/>
            <w:color w:val="0563C1"/>
            <w:sz w:val="20"/>
            <w:szCs w:val="20"/>
            <w:u w:val="single"/>
          </w:rPr>
          <w:t>https://centroprodh.org.mx/sididh4_0/2022/09/12/mujeres-de-atenco-exigen-a-fiscalia-de-edomex-que-acate-sentencia-y-remita-investigacion-del-caso-a-fgr/</w:t>
        </w:r>
      </w:hyperlink>
      <w:r w:rsidRPr="00122723">
        <w:rPr>
          <w:rFonts w:ascii="Arial Narrow" w:eastAsia="Arial Narrow" w:hAnsi="Arial Narrow" w:cs="Arial Narrow"/>
          <w:color w:val="000000"/>
          <w:sz w:val="20"/>
          <w:szCs w:val="20"/>
        </w:rPr>
        <w:t xml:space="preserve">; y </w:t>
      </w:r>
      <w:r w:rsidR="00641595">
        <w:rPr>
          <w:rFonts w:ascii="Arial Narrow" w:eastAsia="Arial Narrow" w:hAnsi="Arial Narrow" w:cs="Arial Narrow"/>
          <w:color w:val="000000"/>
          <w:sz w:val="20"/>
          <w:szCs w:val="20"/>
        </w:rPr>
        <w:t>Comisión Interamericana de Derechos Humanos</w:t>
      </w:r>
      <w:r w:rsidRPr="00122723">
        <w:rPr>
          <w:rFonts w:ascii="Arial Narrow" w:eastAsia="Arial Narrow" w:hAnsi="Arial Narrow" w:cs="Arial Narrow"/>
          <w:color w:val="000000"/>
          <w:sz w:val="20"/>
          <w:szCs w:val="20"/>
        </w:rPr>
        <w:t>.</w:t>
      </w:r>
      <w:r w:rsidR="00641595">
        <w:rPr>
          <w:rFonts w:ascii="Arial Narrow" w:eastAsia="Arial Narrow" w:hAnsi="Arial Narrow" w:cs="Arial Narrow"/>
          <w:color w:val="000000"/>
          <w:sz w:val="20"/>
          <w:szCs w:val="20"/>
        </w:rPr>
        <w:t xml:space="preserve"> </w:t>
      </w:r>
      <w:proofErr w:type="spellStart"/>
      <w:r w:rsidR="00641595">
        <w:rPr>
          <w:rFonts w:ascii="Arial Narrow" w:eastAsia="Arial Narrow" w:hAnsi="Arial Narrow" w:cs="Arial Narrow"/>
          <w:i/>
          <w:iCs/>
          <w:color w:val="000000"/>
          <w:sz w:val="20"/>
          <w:szCs w:val="20"/>
        </w:rPr>
        <w:t>Op</w:t>
      </w:r>
      <w:proofErr w:type="spellEnd"/>
      <w:r w:rsidR="00641595">
        <w:rPr>
          <w:rFonts w:ascii="Arial Narrow" w:eastAsia="Arial Narrow" w:hAnsi="Arial Narrow" w:cs="Arial Narrow"/>
          <w:i/>
          <w:iCs/>
          <w:color w:val="000000"/>
          <w:sz w:val="20"/>
          <w:szCs w:val="20"/>
        </w:rPr>
        <w:t>. Cit.,</w:t>
      </w:r>
      <w:r w:rsidRPr="00122723">
        <w:rPr>
          <w:rFonts w:ascii="Arial Narrow" w:eastAsia="Arial Narrow" w:hAnsi="Arial Narrow" w:cs="Arial Narrow"/>
          <w:color w:val="000000"/>
          <w:sz w:val="20"/>
          <w:szCs w:val="20"/>
        </w:rPr>
        <w:t xml:space="preserve"> </w:t>
      </w:r>
      <w:r w:rsidRPr="00122723">
        <w:rPr>
          <w:rFonts w:ascii="Arial Narrow" w:eastAsia="Arial Narrow" w:hAnsi="Arial Narrow" w:cs="Arial Narrow"/>
          <w:i/>
          <w:color w:val="000000"/>
          <w:sz w:val="20"/>
          <w:szCs w:val="20"/>
        </w:rPr>
        <w:t>Séptimo Informe de seguimiento de recomendaciones formuladas por la CIDH en el Informe sobre situación de Derechos Humanos en México</w:t>
      </w:r>
      <w:r w:rsidRPr="00122723">
        <w:rPr>
          <w:rFonts w:ascii="Arial Narrow" w:eastAsia="Arial Narrow" w:hAnsi="Arial Narrow" w:cs="Arial Narrow"/>
          <w:color w:val="000000"/>
          <w:sz w:val="20"/>
          <w:szCs w:val="20"/>
        </w:rPr>
        <w:t>, párr. 271.</w:t>
      </w:r>
    </w:p>
  </w:footnote>
  <w:footnote w:id="21">
    <w:p w14:paraId="0000003F" w14:textId="77777777"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CNDH</w:t>
      </w:r>
      <w:r w:rsidRPr="00122723">
        <w:rPr>
          <w:rFonts w:ascii="Arial Narrow" w:eastAsia="Arial Narrow" w:hAnsi="Arial Narrow" w:cs="Arial Narrow"/>
          <w:i/>
          <w:color w:val="000000"/>
          <w:sz w:val="20"/>
          <w:szCs w:val="20"/>
        </w:rPr>
        <w:t>. Recomendación No. 51VG/2022</w:t>
      </w:r>
      <w:r w:rsidRPr="00122723">
        <w:rPr>
          <w:rFonts w:ascii="Arial Narrow" w:eastAsia="Arial Narrow" w:hAnsi="Arial Narrow" w:cs="Arial Narrow"/>
          <w:color w:val="000000"/>
          <w:sz w:val="20"/>
          <w:szCs w:val="20"/>
        </w:rPr>
        <w:t xml:space="preserve">. 31 de enero de 2022. Disponible en: </w:t>
      </w:r>
      <w:hyperlink r:id="rId11">
        <w:r w:rsidRPr="00122723">
          <w:rPr>
            <w:rFonts w:ascii="Arial Narrow" w:eastAsia="Arial Narrow" w:hAnsi="Arial Narrow" w:cs="Arial Narrow"/>
            <w:color w:val="0563C1"/>
            <w:sz w:val="20"/>
            <w:szCs w:val="20"/>
            <w:u w:val="single"/>
          </w:rPr>
          <w:t>https://www.cndh.org.mx/sites/default/files/documentos/2022-02/RecVG_051.pdf</w:t>
        </w:r>
      </w:hyperlink>
      <w:r w:rsidRPr="00122723">
        <w:rPr>
          <w:rFonts w:ascii="Arial Narrow" w:eastAsia="Arial Narrow" w:hAnsi="Arial Narrow" w:cs="Arial Narrow"/>
          <w:color w:val="000000"/>
          <w:sz w:val="20"/>
          <w:szCs w:val="20"/>
        </w:rPr>
        <w:t xml:space="preserve"> </w:t>
      </w:r>
    </w:p>
  </w:footnote>
  <w:footnote w:id="22">
    <w:p w14:paraId="00000040" w14:textId="77777777"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CNDH</w:t>
      </w:r>
      <w:r w:rsidRPr="00122723">
        <w:rPr>
          <w:rFonts w:ascii="Arial Narrow" w:eastAsia="Arial Narrow" w:hAnsi="Arial Narrow" w:cs="Arial Narrow"/>
          <w:i/>
          <w:color w:val="000000"/>
          <w:sz w:val="20"/>
          <w:szCs w:val="20"/>
        </w:rPr>
        <w:t>. Recomendación No. 67VG/2022</w:t>
      </w:r>
      <w:r w:rsidRPr="00122723">
        <w:rPr>
          <w:rFonts w:ascii="Arial Narrow" w:eastAsia="Arial Narrow" w:hAnsi="Arial Narrow" w:cs="Arial Narrow"/>
          <w:color w:val="000000"/>
          <w:sz w:val="20"/>
          <w:szCs w:val="20"/>
        </w:rPr>
        <w:t xml:space="preserve">. 6 de septiembre de 2022. Disponible en: </w:t>
      </w:r>
      <w:hyperlink r:id="rId12">
        <w:r w:rsidRPr="00122723">
          <w:rPr>
            <w:rFonts w:ascii="Arial Narrow" w:eastAsia="Arial Narrow" w:hAnsi="Arial Narrow" w:cs="Arial Narrow"/>
            <w:color w:val="0563C1"/>
            <w:sz w:val="20"/>
            <w:szCs w:val="20"/>
            <w:u w:val="single"/>
          </w:rPr>
          <w:t>https://www.cndh.org.mx/sites/default/files/documentos/2022-09/RecVG_67.pdf</w:t>
        </w:r>
      </w:hyperlink>
      <w:r w:rsidRPr="00122723">
        <w:rPr>
          <w:rFonts w:ascii="Arial Narrow" w:eastAsia="Arial Narrow" w:hAnsi="Arial Narrow" w:cs="Arial Narrow"/>
          <w:color w:val="000000"/>
          <w:sz w:val="20"/>
          <w:szCs w:val="20"/>
        </w:rPr>
        <w:t xml:space="preserve"> </w:t>
      </w:r>
    </w:p>
  </w:footnote>
  <w:footnote w:id="23">
    <w:p w14:paraId="00000041" w14:textId="77777777"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CNDH. </w:t>
      </w:r>
      <w:r w:rsidRPr="00122723">
        <w:rPr>
          <w:rFonts w:ascii="Arial Narrow" w:eastAsia="Arial Narrow" w:hAnsi="Arial Narrow" w:cs="Arial Narrow"/>
          <w:i/>
          <w:color w:val="000000"/>
          <w:sz w:val="20"/>
          <w:szCs w:val="20"/>
        </w:rPr>
        <w:t>Recomendación No. 118VG/2023</w:t>
      </w:r>
      <w:r w:rsidRPr="00122723">
        <w:rPr>
          <w:rFonts w:ascii="Arial Narrow" w:eastAsia="Arial Narrow" w:hAnsi="Arial Narrow" w:cs="Arial Narrow"/>
          <w:color w:val="000000"/>
          <w:sz w:val="20"/>
          <w:szCs w:val="20"/>
        </w:rPr>
        <w:t xml:space="preserve">. 31 de julio de 2023. Disponible en: </w:t>
      </w:r>
      <w:hyperlink r:id="rId13">
        <w:r w:rsidRPr="00122723">
          <w:rPr>
            <w:rFonts w:ascii="Arial Narrow" w:eastAsia="Arial Narrow" w:hAnsi="Arial Narrow" w:cs="Arial Narrow"/>
            <w:color w:val="0563C1"/>
            <w:sz w:val="20"/>
            <w:szCs w:val="20"/>
            <w:u w:val="single"/>
          </w:rPr>
          <w:t>https://www.cndh.org.mx/index.php/index.php/documento/recomendacion-por-violaciones-graves-118vg2023</w:t>
        </w:r>
      </w:hyperlink>
      <w:r w:rsidRPr="00122723">
        <w:rPr>
          <w:rFonts w:ascii="Arial Narrow" w:eastAsia="Arial Narrow" w:hAnsi="Arial Narrow" w:cs="Arial Narrow"/>
          <w:color w:val="000000"/>
          <w:sz w:val="20"/>
          <w:szCs w:val="20"/>
        </w:rPr>
        <w:t xml:space="preserve">   </w:t>
      </w:r>
    </w:p>
  </w:footnote>
  <w:footnote w:id="24">
    <w:p w14:paraId="00000042" w14:textId="7EBFF71D"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Centro Prodh. </w:t>
      </w:r>
      <w:r w:rsidRPr="00641595">
        <w:rPr>
          <w:rFonts w:ascii="Arial Narrow" w:eastAsia="Arial Narrow" w:hAnsi="Arial Narrow" w:cs="Arial Narrow"/>
          <w:i/>
          <w:iCs/>
          <w:color w:val="000000"/>
          <w:sz w:val="20"/>
          <w:szCs w:val="20"/>
        </w:rPr>
        <w:t>Mujeres con la frente en alto: informe sobre la tortura sexual en México y la respuesta del Estado. Noviembre de 2018</w:t>
      </w:r>
      <w:r w:rsidRPr="00122723">
        <w:rPr>
          <w:rFonts w:ascii="Arial Narrow" w:eastAsia="Arial Narrow" w:hAnsi="Arial Narrow" w:cs="Arial Narrow"/>
          <w:color w:val="000000"/>
          <w:sz w:val="20"/>
          <w:szCs w:val="20"/>
        </w:rPr>
        <w:t xml:space="preserve">. Disponible en: </w:t>
      </w:r>
      <w:hyperlink r:id="rId14">
        <w:r w:rsidRPr="00122723">
          <w:rPr>
            <w:rFonts w:ascii="Arial Narrow" w:eastAsia="Arial Narrow" w:hAnsi="Arial Narrow" w:cs="Arial Narrow"/>
            <w:color w:val="0563C1"/>
            <w:sz w:val="20"/>
            <w:szCs w:val="20"/>
            <w:u w:val="single"/>
          </w:rPr>
          <w:t>https://centroprodh.org.mx/wp-content/uploads/2018/11/ITS_Full_digitalversion.pdf</w:t>
        </w:r>
      </w:hyperlink>
      <w:r w:rsidRPr="00122723">
        <w:rPr>
          <w:rFonts w:ascii="Arial Narrow" w:eastAsia="Arial Narrow" w:hAnsi="Arial Narrow" w:cs="Arial Narrow"/>
          <w:color w:val="000000"/>
          <w:sz w:val="20"/>
          <w:szCs w:val="20"/>
        </w:rPr>
        <w:t xml:space="preserve"> ; y </w:t>
      </w:r>
      <w:r w:rsidRPr="00641595">
        <w:rPr>
          <w:rFonts w:ascii="Arial Narrow" w:eastAsia="Arial Narrow" w:hAnsi="Arial Narrow" w:cs="Arial Narrow"/>
          <w:i/>
          <w:iCs/>
          <w:color w:val="000000"/>
          <w:sz w:val="20"/>
          <w:szCs w:val="20"/>
        </w:rPr>
        <w:t>K</w:t>
      </w:r>
      <w:r w:rsidR="00685790">
        <w:rPr>
          <w:rFonts w:ascii="Arial Narrow" w:eastAsia="Arial Narrow" w:hAnsi="Arial Narrow" w:cs="Arial Narrow"/>
          <w:i/>
          <w:iCs/>
          <w:color w:val="000000"/>
          <w:sz w:val="20"/>
          <w:szCs w:val="20"/>
        </w:rPr>
        <w:t>.O</w:t>
      </w:r>
      <w:r w:rsidRPr="00641595">
        <w:rPr>
          <w:rFonts w:ascii="Arial Narrow" w:eastAsia="Arial Narrow" w:hAnsi="Arial Narrow" w:cs="Arial Narrow"/>
          <w:i/>
          <w:iCs/>
          <w:color w:val="000000"/>
          <w:sz w:val="20"/>
          <w:szCs w:val="20"/>
        </w:rPr>
        <w:t xml:space="preserve"> #JusticiaParaK</w:t>
      </w:r>
      <w:r w:rsidR="00685790">
        <w:rPr>
          <w:rFonts w:ascii="Arial Narrow" w:eastAsia="Arial Narrow" w:hAnsi="Arial Narrow" w:cs="Arial Narrow"/>
          <w:i/>
          <w:iCs/>
          <w:color w:val="000000"/>
          <w:sz w:val="20"/>
          <w:szCs w:val="20"/>
        </w:rPr>
        <w:t>.</w:t>
      </w:r>
      <w:r w:rsidRPr="00641595">
        <w:rPr>
          <w:rFonts w:ascii="Arial Narrow" w:eastAsia="Arial Narrow" w:hAnsi="Arial Narrow" w:cs="Arial Narrow"/>
          <w:i/>
          <w:iCs/>
          <w:color w:val="000000"/>
          <w:sz w:val="20"/>
          <w:szCs w:val="20"/>
        </w:rPr>
        <w:t>: sobrevivir a la tortura y a la discriminación de género</w:t>
      </w:r>
      <w:r w:rsidRPr="00122723">
        <w:rPr>
          <w:rFonts w:ascii="Arial Narrow" w:eastAsia="Arial Narrow" w:hAnsi="Arial Narrow" w:cs="Arial Narrow"/>
          <w:color w:val="000000"/>
          <w:sz w:val="20"/>
          <w:szCs w:val="20"/>
        </w:rPr>
        <w:t xml:space="preserve">. Disponible en: </w:t>
      </w:r>
      <w:hyperlink r:id="rId15">
        <w:r w:rsidRPr="00122723">
          <w:rPr>
            <w:rFonts w:ascii="Arial Narrow" w:eastAsia="Arial Narrow" w:hAnsi="Arial Narrow" w:cs="Arial Narrow"/>
            <w:color w:val="0563C1"/>
            <w:sz w:val="20"/>
            <w:szCs w:val="20"/>
            <w:u w:val="single"/>
          </w:rPr>
          <w:t>https://centroprodh.org.mx/keren-ordonez/</w:t>
        </w:r>
      </w:hyperlink>
      <w:r w:rsidRPr="00122723">
        <w:rPr>
          <w:rFonts w:ascii="Arial Narrow" w:eastAsia="Arial Narrow" w:hAnsi="Arial Narrow" w:cs="Arial Narrow"/>
          <w:color w:val="000000"/>
          <w:sz w:val="20"/>
          <w:szCs w:val="20"/>
        </w:rPr>
        <w:t xml:space="preserve"> </w:t>
      </w:r>
    </w:p>
  </w:footnote>
  <w:footnote w:id="25">
    <w:p w14:paraId="00000043" w14:textId="3F536E00"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Véase: Centro Prodh.</w:t>
      </w:r>
      <w:r w:rsidR="00641595">
        <w:rPr>
          <w:rFonts w:ascii="Arial Narrow" w:eastAsia="Arial Narrow" w:hAnsi="Arial Narrow" w:cs="Arial Narrow"/>
          <w:color w:val="000000"/>
          <w:sz w:val="20"/>
          <w:szCs w:val="20"/>
        </w:rPr>
        <w:t xml:space="preserve"> </w:t>
      </w:r>
      <w:proofErr w:type="spellStart"/>
      <w:r w:rsidR="00641595">
        <w:rPr>
          <w:rFonts w:ascii="Arial Narrow" w:eastAsia="Arial Narrow" w:hAnsi="Arial Narrow" w:cs="Arial Narrow"/>
          <w:i/>
          <w:iCs/>
          <w:color w:val="000000"/>
          <w:sz w:val="20"/>
          <w:szCs w:val="20"/>
        </w:rPr>
        <w:t>Op</w:t>
      </w:r>
      <w:proofErr w:type="spellEnd"/>
      <w:r w:rsidR="00641595">
        <w:rPr>
          <w:rFonts w:ascii="Arial Narrow" w:eastAsia="Arial Narrow" w:hAnsi="Arial Narrow" w:cs="Arial Narrow"/>
          <w:i/>
          <w:iCs/>
          <w:color w:val="000000"/>
          <w:sz w:val="20"/>
          <w:szCs w:val="20"/>
        </w:rPr>
        <w:t>. Cit.,</w:t>
      </w:r>
      <w:r w:rsidRPr="00122723">
        <w:rPr>
          <w:rFonts w:ascii="Arial Narrow" w:eastAsia="Arial Narrow" w:hAnsi="Arial Narrow" w:cs="Arial Narrow"/>
          <w:color w:val="000000"/>
          <w:sz w:val="20"/>
          <w:szCs w:val="20"/>
        </w:rPr>
        <w:t xml:space="preserve"> </w:t>
      </w:r>
      <w:r w:rsidRPr="00641595">
        <w:rPr>
          <w:rFonts w:ascii="Arial Narrow" w:eastAsia="Arial Narrow" w:hAnsi="Arial Narrow" w:cs="Arial Narrow"/>
          <w:i/>
          <w:iCs/>
          <w:color w:val="000000"/>
          <w:sz w:val="20"/>
          <w:szCs w:val="20"/>
        </w:rPr>
        <w:t>Mujeres con la frente en alto: informe sobre la tortura sexual en México y la respuesta del Estado</w:t>
      </w:r>
      <w:r w:rsidRPr="00122723">
        <w:rPr>
          <w:rFonts w:ascii="Arial Narrow" w:eastAsia="Arial Narrow" w:hAnsi="Arial Narrow" w:cs="Arial Narrow"/>
          <w:color w:val="000000"/>
          <w:sz w:val="20"/>
          <w:szCs w:val="20"/>
        </w:rPr>
        <w:t>.</w:t>
      </w:r>
      <w:r w:rsidR="00641595" w:rsidRPr="00122723">
        <w:rPr>
          <w:rFonts w:ascii="Arial Narrow" w:eastAsia="Arial Narrow" w:hAnsi="Arial Narrow" w:cs="Arial Narrow"/>
          <w:color w:val="000000"/>
          <w:sz w:val="20"/>
          <w:szCs w:val="20"/>
        </w:rPr>
        <w:t xml:space="preserve"> </w:t>
      </w:r>
    </w:p>
  </w:footnote>
  <w:footnote w:id="26">
    <w:p w14:paraId="00000044" w14:textId="7EAFDF0C"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En sus Observaciones Finales de 2019, el Comité contra la Tortura instó a México a concluir este proceso y que lo haga de forma colaborativa. En diciembre de 2020, en audiencia pública ante la Comisión Interamericana de Derechos Humanos, representantes del Estado afirmaron que “</w:t>
      </w:r>
      <w:r w:rsidRPr="00122723">
        <w:rPr>
          <w:rFonts w:ascii="Arial Narrow" w:eastAsia="Arial Narrow" w:hAnsi="Arial Narrow" w:cs="Arial Narrow"/>
          <w:i/>
          <w:color w:val="000000"/>
          <w:sz w:val="20"/>
          <w:szCs w:val="20"/>
        </w:rPr>
        <w:t>el diagnóstico y la información completa del Programa Nacional concluyó el 15 de octubre de 2019</w:t>
      </w:r>
      <w:r w:rsidRPr="00122723">
        <w:rPr>
          <w:rFonts w:ascii="Arial Narrow" w:eastAsia="Arial Narrow" w:hAnsi="Arial Narrow" w:cs="Arial Narrow"/>
          <w:color w:val="000000"/>
          <w:sz w:val="20"/>
          <w:szCs w:val="20"/>
        </w:rPr>
        <w:t>”, que tomó en cuenta “</w:t>
      </w:r>
      <w:r w:rsidRPr="00122723">
        <w:rPr>
          <w:rFonts w:ascii="Arial Narrow" w:eastAsia="Arial Narrow" w:hAnsi="Arial Narrow" w:cs="Arial Narrow"/>
          <w:i/>
          <w:color w:val="000000"/>
          <w:sz w:val="20"/>
          <w:szCs w:val="20"/>
        </w:rPr>
        <w:t>las recomendaciones que el CAT formuló al Estado en el marco de la sustentación de su séptimo informe periódico en 2019</w:t>
      </w:r>
      <w:r w:rsidRPr="00122723">
        <w:rPr>
          <w:rFonts w:ascii="Arial Narrow" w:eastAsia="Arial Narrow" w:hAnsi="Arial Narrow" w:cs="Arial Narrow"/>
          <w:color w:val="000000"/>
          <w:sz w:val="20"/>
          <w:szCs w:val="20"/>
        </w:rPr>
        <w:t xml:space="preserve">” y en el que participaron organizaciones de la sociedad civil. Comité contra la Tortura. (24 de julio de 2019). </w:t>
      </w:r>
      <w:r w:rsidRPr="00122723">
        <w:rPr>
          <w:rFonts w:ascii="Arial Narrow" w:eastAsia="Arial Narrow" w:hAnsi="Arial Narrow" w:cs="Arial Narrow"/>
          <w:i/>
          <w:color w:val="000000"/>
          <w:sz w:val="20"/>
          <w:szCs w:val="20"/>
        </w:rPr>
        <w:t>Observaciones finales sobre el séptimo informe periódico de México, CAT/C/MEX/CO/7.</w:t>
      </w:r>
      <w:r w:rsidRPr="00122723">
        <w:rPr>
          <w:rFonts w:ascii="Arial Narrow" w:eastAsia="Arial Narrow" w:hAnsi="Arial Narrow" w:cs="Arial Narrow"/>
          <w:color w:val="000000"/>
          <w:sz w:val="20"/>
          <w:szCs w:val="20"/>
        </w:rPr>
        <w:t xml:space="preserve"> </w:t>
      </w:r>
    </w:p>
  </w:footnote>
  <w:footnote w:id="27">
    <w:p w14:paraId="00000045" w14:textId="50C92C47" w:rsidR="0074395A" w:rsidRPr="00122723" w:rsidRDefault="00F10404" w:rsidP="00122723">
      <w:pPr>
        <w:spacing w:line="240" w:lineRule="auto"/>
        <w:jc w:val="both"/>
        <w:rPr>
          <w:rFonts w:ascii="Arial Narrow" w:eastAsia="Arial Narrow" w:hAnsi="Arial Narrow" w:cs="Arial Narrow"/>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sz w:val="20"/>
          <w:szCs w:val="20"/>
        </w:rPr>
        <w:t xml:space="preserve"> Diario Oficial de la Federación. </w:t>
      </w:r>
      <w:r w:rsidRPr="00122723">
        <w:rPr>
          <w:rFonts w:ascii="Arial Narrow" w:eastAsia="Arial Narrow" w:hAnsi="Arial Narrow" w:cs="Arial Narrow"/>
          <w:i/>
          <w:sz w:val="20"/>
          <w:szCs w:val="20"/>
        </w:rPr>
        <w:t>Lineamientos para la organización y funcionamiento del Mecanismo de Seguimiento de Casos de Tortura Sexual Cometida contra las Mujeres</w:t>
      </w:r>
      <w:r w:rsidRPr="00122723">
        <w:rPr>
          <w:rFonts w:ascii="Arial Narrow" w:eastAsia="Arial Narrow" w:hAnsi="Arial Narrow" w:cs="Arial Narrow"/>
          <w:sz w:val="20"/>
          <w:szCs w:val="20"/>
        </w:rPr>
        <w:t xml:space="preserve">. 24 de marzo de 2023. Disponible en:  </w:t>
      </w:r>
      <w:r w:rsidRPr="00122723">
        <w:rPr>
          <w:rFonts w:ascii="Arial Narrow" w:eastAsia="Arial Narrow" w:hAnsi="Arial Narrow" w:cs="Arial Narrow"/>
          <w:color w:val="1155CC"/>
          <w:sz w:val="20"/>
          <w:szCs w:val="20"/>
          <w:u w:val="single"/>
        </w:rPr>
        <w:t>https://www.dof.gob.mx/nota_detalle.php?codigo=5683785&amp;fecha=24/03/2023#gsc.tab=0</w:t>
      </w:r>
    </w:p>
  </w:footnote>
  <w:footnote w:id="28">
    <w:p w14:paraId="00000046" w14:textId="77777777"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De conformidad con información recabada por el Observatorio contra la tortura según los datos correspondientes a 12 estados que aportaron información en 2021, de los 32 estados que conforman el país. Observatorio contra la Tortura (2021). </w:t>
      </w:r>
      <w:r w:rsidRPr="00122723">
        <w:rPr>
          <w:rFonts w:ascii="Arial Narrow" w:eastAsia="Arial Narrow" w:hAnsi="Arial Narrow" w:cs="Arial Narrow"/>
          <w:i/>
          <w:color w:val="000000"/>
          <w:sz w:val="20"/>
          <w:szCs w:val="20"/>
        </w:rPr>
        <w:t xml:space="preserve">Indicadores sobre investigación del delito de tortura. </w:t>
      </w:r>
      <w:hyperlink r:id="rId16">
        <w:r w:rsidRPr="00122723">
          <w:rPr>
            <w:rFonts w:ascii="Arial Narrow" w:eastAsia="Arial Narrow" w:hAnsi="Arial Narrow" w:cs="Arial Narrow"/>
            <w:color w:val="0563C1"/>
            <w:sz w:val="20"/>
            <w:szCs w:val="20"/>
            <w:u w:val="single"/>
          </w:rPr>
          <w:t>https://indicadores.sintortura.org/estadisticas?indicador=5d2e34da1cf9946518e32e77&amp;periodo=2018&amp;rubro=5d2e34d8e0d76664f3cc608b</w:t>
        </w:r>
      </w:hyperlink>
    </w:p>
  </w:footnote>
  <w:footnote w:id="29">
    <w:p w14:paraId="00000047" w14:textId="77777777" w:rsidR="0074395A" w:rsidRPr="00122723" w:rsidRDefault="00F10404" w:rsidP="0012272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22723">
        <w:rPr>
          <w:rFonts w:ascii="Arial Narrow" w:hAnsi="Arial Narrow"/>
          <w:sz w:val="20"/>
          <w:szCs w:val="20"/>
          <w:vertAlign w:val="superscript"/>
        </w:rPr>
        <w:footnoteRef/>
      </w:r>
      <w:r w:rsidRPr="00122723">
        <w:rPr>
          <w:rFonts w:ascii="Arial Narrow" w:eastAsia="Arial Narrow" w:hAnsi="Arial Narrow" w:cs="Arial Narrow"/>
          <w:color w:val="000000"/>
          <w:sz w:val="20"/>
          <w:szCs w:val="20"/>
        </w:rPr>
        <w:t xml:space="preserve"> Cuatro a nivel federal y seis en el fuero estatal. Véase: Observatorio contra la tortura. </w:t>
      </w:r>
      <w:r w:rsidRPr="00122723">
        <w:rPr>
          <w:rFonts w:ascii="Arial Narrow" w:eastAsia="Arial Narrow" w:hAnsi="Arial Narrow" w:cs="Arial Narrow"/>
          <w:i/>
          <w:color w:val="000000"/>
          <w:sz w:val="20"/>
          <w:szCs w:val="20"/>
        </w:rPr>
        <w:t>Número de sentencias por delito de tortura</w:t>
      </w:r>
      <w:r w:rsidRPr="00122723">
        <w:rPr>
          <w:rFonts w:ascii="Arial Narrow" w:eastAsia="Arial Narrow" w:hAnsi="Arial Narrow" w:cs="Arial Narrow"/>
          <w:color w:val="000000"/>
          <w:sz w:val="20"/>
          <w:szCs w:val="20"/>
        </w:rPr>
        <w:t xml:space="preserve">. 2022. Disponible en: </w:t>
      </w:r>
      <w:hyperlink r:id="rId17">
        <w:r w:rsidRPr="00122723">
          <w:rPr>
            <w:rFonts w:ascii="Arial Narrow" w:eastAsia="Arial Narrow" w:hAnsi="Arial Narrow" w:cs="Arial Narrow"/>
            <w:color w:val="0563C1"/>
            <w:sz w:val="20"/>
            <w:szCs w:val="20"/>
            <w:u w:val="single"/>
          </w:rPr>
          <w:t>https://indicadores.sintortura.org/estadisticas?indicador=5dbb3cd430a67a061350e267&amp;periodo=2022&amp;rubro=5d2e34d8e0d76664f3cc608c</w:t>
        </w:r>
      </w:hyperlink>
      <w:r w:rsidRPr="00122723">
        <w:rPr>
          <w:rFonts w:ascii="Arial Narrow" w:eastAsia="Arial Narrow" w:hAnsi="Arial Narrow" w:cs="Arial Narrow"/>
          <w:color w:val="000000"/>
          <w:sz w:val="20"/>
          <w:szCs w:val="20"/>
        </w:rPr>
        <w:t xml:space="preserve"> </w:t>
      </w:r>
    </w:p>
  </w:footnote>
  <w:footnote w:id="30">
    <w:p w14:paraId="00000048" w14:textId="7DD07183" w:rsidR="0074395A" w:rsidRPr="00122723" w:rsidRDefault="00F10404" w:rsidP="00122723">
      <w:pPr>
        <w:pBdr>
          <w:top w:val="nil"/>
          <w:left w:val="nil"/>
          <w:bottom w:val="nil"/>
          <w:right w:val="nil"/>
          <w:between w:val="nil"/>
        </w:pBdr>
        <w:spacing w:after="0" w:line="240" w:lineRule="auto"/>
        <w:jc w:val="both"/>
        <w:rPr>
          <w:rFonts w:ascii="Arial Narrow" w:hAnsi="Arial Narrow"/>
          <w:color w:val="000000"/>
          <w:sz w:val="20"/>
          <w:szCs w:val="20"/>
        </w:rPr>
      </w:pPr>
      <w:r w:rsidRPr="00122723">
        <w:rPr>
          <w:rFonts w:ascii="Arial Narrow" w:hAnsi="Arial Narrow"/>
          <w:sz w:val="20"/>
          <w:szCs w:val="20"/>
          <w:vertAlign w:val="superscript"/>
        </w:rPr>
        <w:footnoteRef/>
      </w:r>
      <w:r w:rsidRPr="00122723">
        <w:rPr>
          <w:rFonts w:ascii="Arial Narrow" w:hAnsi="Arial Narrow"/>
          <w:color w:val="000000"/>
          <w:sz w:val="20"/>
          <w:szCs w:val="20"/>
        </w:rPr>
        <w:t xml:space="preserve"> </w:t>
      </w:r>
      <w:r w:rsidR="00641595">
        <w:rPr>
          <w:rFonts w:ascii="Arial Narrow" w:hAnsi="Arial Narrow"/>
          <w:color w:val="000000"/>
          <w:sz w:val="20"/>
          <w:szCs w:val="20"/>
        </w:rPr>
        <w:t xml:space="preserve">Gobierno de México. </w:t>
      </w:r>
      <w:r w:rsidRPr="00641595">
        <w:rPr>
          <w:rFonts w:ascii="Arial Narrow" w:hAnsi="Arial Narrow"/>
          <w:i/>
          <w:iCs/>
          <w:color w:val="000000"/>
          <w:sz w:val="20"/>
          <w:szCs w:val="20"/>
        </w:rPr>
        <w:t>Estrategia Nacional Contra la Tortura 2023</w:t>
      </w:r>
      <w:r w:rsidR="00641595">
        <w:rPr>
          <w:rFonts w:ascii="Arial Narrow" w:hAnsi="Arial Narrow"/>
          <w:color w:val="000000"/>
          <w:sz w:val="20"/>
          <w:szCs w:val="20"/>
        </w:rPr>
        <w:t>,</w:t>
      </w:r>
      <w:r w:rsidRPr="00122723">
        <w:rPr>
          <w:rFonts w:ascii="Arial Narrow" w:hAnsi="Arial Narrow"/>
          <w:color w:val="000000"/>
          <w:sz w:val="20"/>
          <w:szCs w:val="20"/>
        </w:rPr>
        <w:t xml:space="preserve"> Líneas de acción 23 y 59. Disponible en:  </w:t>
      </w:r>
      <w:hyperlink r:id="rId18">
        <w:r w:rsidRPr="00122723">
          <w:rPr>
            <w:rFonts w:ascii="Arial Narrow" w:hAnsi="Arial Narrow"/>
            <w:color w:val="0563C1"/>
            <w:sz w:val="20"/>
            <w:szCs w:val="20"/>
            <w:u w:val="single"/>
          </w:rPr>
          <w:t>https://www.gob.mx/cms/uploads/attachment/file/834930/Estrategia_Nacional_contra_la_Tortura_2023_lectura_compressed.pdf</w:t>
        </w:r>
      </w:hyperlink>
      <w:r w:rsidRPr="00122723">
        <w:rPr>
          <w:rFonts w:ascii="Arial Narrow" w:hAnsi="Arial Narrow"/>
          <w:color w:val="000000"/>
          <w:sz w:val="20"/>
          <w:szCs w:val="20"/>
        </w:rPr>
        <w:t xml:space="preserve"> </w:t>
      </w:r>
    </w:p>
  </w:footnote>
  <w:footnote w:id="31">
    <w:p w14:paraId="10C5DCFB" w14:textId="70DBBCF1" w:rsidR="002974C6" w:rsidRPr="00122723" w:rsidRDefault="002974C6" w:rsidP="00122723">
      <w:pPr>
        <w:pStyle w:val="Textonotapie"/>
        <w:jc w:val="both"/>
        <w:rPr>
          <w:rFonts w:ascii="Arial Narrow" w:hAnsi="Arial Narrow"/>
          <w:lang w:val="es-ES"/>
        </w:rPr>
      </w:pPr>
      <w:r w:rsidRPr="00122723">
        <w:rPr>
          <w:rStyle w:val="Refdenotaalpie"/>
          <w:rFonts w:ascii="Arial Narrow" w:hAnsi="Arial Narrow"/>
        </w:rPr>
        <w:footnoteRef/>
      </w:r>
      <w:r w:rsidRPr="00122723">
        <w:rPr>
          <w:rFonts w:ascii="Arial Narrow" w:hAnsi="Arial Narrow"/>
        </w:rPr>
        <w:t xml:space="preserve"> </w:t>
      </w:r>
      <w:r w:rsidRPr="00122723">
        <w:rPr>
          <w:rFonts w:ascii="Arial Narrow" w:hAnsi="Arial Narrow"/>
          <w:i/>
          <w:iCs/>
        </w:rPr>
        <w:t>Cfr.</w:t>
      </w:r>
      <w:r w:rsidRPr="00122723">
        <w:rPr>
          <w:rFonts w:ascii="Arial Narrow" w:hAnsi="Arial Narrow"/>
        </w:rPr>
        <w:t xml:space="preserve"> </w:t>
      </w:r>
      <w:r w:rsidRPr="00122723">
        <w:rPr>
          <w:rFonts w:ascii="Arial Narrow" w:eastAsia="Arial Narrow" w:hAnsi="Arial Narrow" w:cs="Arial Narrow"/>
        </w:rPr>
        <w:t>SEGOB.</w:t>
      </w:r>
      <w:r w:rsidR="00641595">
        <w:rPr>
          <w:rFonts w:ascii="Arial Narrow" w:eastAsia="Arial Narrow" w:hAnsi="Arial Narrow" w:cs="Arial Narrow"/>
        </w:rPr>
        <w:t xml:space="preserve"> </w:t>
      </w:r>
      <w:proofErr w:type="spellStart"/>
      <w:r w:rsidR="00641595">
        <w:rPr>
          <w:rFonts w:ascii="Arial Narrow" w:eastAsia="Arial Narrow" w:hAnsi="Arial Narrow" w:cs="Arial Narrow"/>
          <w:i/>
          <w:iCs/>
        </w:rPr>
        <w:t>Op</w:t>
      </w:r>
      <w:proofErr w:type="spellEnd"/>
      <w:r w:rsidR="00641595">
        <w:rPr>
          <w:rFonts w:ascii="Arial Narrow" w:eastAsia="Arial Narrow" w:hAnsi="Arial Narrow" w:cs="Arial Narrow"/>
          <w:i/>
          <w:iCs/>
        </w:rPr>
        <w:t>. Cit.,</w:t>
      </w:r>
      <w:r w:rsidRPr="00122723">
        <w:rPr>
          <w:rFonts w:ascii="Arial Narrow" w:eastAsia="Arial Narrow" w:hAnsi="Arial Narrow" w:cs="Arial Narrow"/>
        </w:rPr>
        <w:t xml:space="preserve"> </w:t>
      </w:r>
      <w:r w:rsidRPr="00641595">
        <w:rPr>
          <w:rFonts w:ascii="Arial Narrow" w:eastAsia="Arial Narrow" w:hAnsi="Arial Narrow" w:cs="Arial Narrow"/>
          <w:i/>
          <w:iCs/>
        </w:rPr>
        <w:t>Diagnóstico Nacional sobre Tortura Sexual Cometida Contra Mujeres Privadas de la Libertad en México</w:t>
      </w:r>
      <w:r w:rsidRPr="00122723">
        <w:rPr>
          <w:rFonts w:ascii="Arial Narrow" w:eastAsia="Arial Narrow" w:hAnsi="Arial Narrow" w:cs="Arial Narrow"/>
        </w:rPr>
        <w:t xml:space="preserve">, págs. 190-191. </w:t>
      </w:r>
    </w:p>
  </w:footnote>
  <w:footnote w:id="32">
    <w:p w14:paraId="59CD6F36" w14:textId="5EB3788B" w:rsidR="002974C6" w:rsidRPr="00122723" w:rsidRDefault="002974C6" w:rsidP="00122723">
      <w:pPr>
        <w:pStyle w:val="Textonotapie"/>
        <w:jc w:val="both"/>
        <w:rPr>
          <w:rFonts w:ascii="Arial Narrow" w:hAnsi="Arial Narrow"/>
          <w:lang w:val="es-ES"/>
        </w:rPr>
      </w:pPr>
      <w:r w:rsidRPr="00122723">
        <w:rPr>
          <w:rStyle w:val="Refdenotaalpie"/>
          <w:rFonts w:ascii="Arial Narrow" w:hAnsi="Arial Narrow"/>
        </w:rPr>
        <w:footnoteRef/>
      </w:r>
      <w:r w:rsidRPr="00122723">
        <w:rPr>
          <w:rFonts w:ascii="Arial Narrow" w:hAnsi="Arial Narrow"/>
        </w:rPr>
        <w:t xml:space="preserve"> Centro Prodh. </w:t>
      </w:r>
      <w:r w:rsidRPr="00122723">
        <w:rPr>
          <w:rFonts w:ascii="Arial Narrow" w:hAnsi="Arial Narrow"/>
          <w:i/>
          <w:iCs/>
        </w:rPr>
        <w:t>A 15 años y a pesar de una sentencia internacional, sigue la impunidad</w:t>
      </w:r>
      <w:r w:rsidRPr="00122723">
        <w:rPr>
          <w:rFonts w:ascii="Arial Narrow" w:hAnsi="Arial Narrow"/>
        </w:rPr>
        <w:t xml:space="preserve">. 2 de mayo de 2021. Disponible en: </w:t>
      </w:r>
      <w:hyperlink r:id="rId19" w:history="1">
        <w:r w:rsidRPr="00122723">
          <w:rPr>
            <w:rStyle w:val="Hipervnculo"/>
            <w:rFonts w:ascii="Arial Narrow" w:hAnsi="Arial Narrow"/>
          </w:rPr>
          <w:t>https://centroprodh.org.mx/2021/05/02/a-15-anos-y-a-pesar-de-una-sentencia-internacional-sigue-la-impunidad/</w:t>
        </w:r>
      </w:hyperlink>
      <w:r w:rsidRPr="00122723">
        <w:rPr>
          <w:rFonts w:ascii="Arial Narrow" w:hAnsi="Arial Narrow"/>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9B7565"/>
    <w:multiLevelType w:val="multilevel"/>
    <w:tmpl w:val="F97C9AD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5F30240"/>
    <w:multiLevelType w:val="multilevel"/>
    <w:tmpl w:val="E35006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7384811"/>
    <w:multiLevelType w:val="multilevel"/>
    <w:tmpl w:val="13980BD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5A"/>
    <w:rsid w:val="00122723"/>
    <w:rsid w:val="002974C6"/>
    <w:rsid w:val="002D41BC"/>
    <w:rsid w:val="00385249"/>
    <w:rsid w:val="00641595"/>
    <w:rsid w:val="00685790"/>
    <w:rsid w:val="0074395A"/>
    <w:rsid w:val="00953971"/>
    <w:rsid w:val="009713E6"/>
    <w:rsid w:val="009C079E"/>
    <w:rsid w:val="00A56FE6"/>
    <w:rsid w:val="00E135EE"/>
    <w:rsid w:val="00F1040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365E6"/>
  <w15:docId w15:val="{F0A43706-7E50-4425-87B3-26D41219B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notapie">
    <w:name w:val="footnote text"/>
    <w:basedOn w:val="Normal"/>
    <w:link w:val="TextonotapieCar"/>
    <w:uiPriority w:val="99"/>
    <w:semiHidden/>
    <w:unhideWhenUsed/>
    <w:rsid w:val="001827D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827D7"/>
    <w:rPr>
      <w:sz w:val="20"/>
      <w:szCs w:val="20"/>
    </w:rPr>
  </w:style>
  <w:style w:type="character" w:styleId="Refdenotaalpie">
    <w:name w:val="footnote reference"/>
    <w:basedOn w:val="Fuentedeprrafopredeter"/>
    <w:uiPriority w:val="99"/>
    <w:semiHidden/>
    <w:unhideWhenUsed/>
    <w:rsid w:val="001827D7"/>
    <w:rPr>
      <w:vertAlign w:val="superscript"/>
    </w:rPr>
  </w:style>
  <w:style w:type="character" w:styleId="Refdecomentario">
    <w:name w:val="annotation reference"/>
    <w:basedOn w:val="Fuentedeprrafopredeter"/>
    <w:uiPriority w:val="99"/>
    <w:semiHidden/>
    <w:unhideWhenUsed/>
    <w:rsid w:val="00AF69F1"/>
    <w:rPr>
      <w:sz w:val="16"/>
      <w:szCs w:val="16"/>
    </w:rPr>
  </w:style>
  <w:style w:type="paragraph" w:styleId="Textocomentario">
    <w:name w:val="annotation text"/>
    <w:basedOn w:val="Normal"/>
    <w:link w:val="TextocomentarioCar"/>
    <w:uiPriority w:val="99"/>
    <w:semiHidden/>
    <w:unhideWhenUsed/>
    <w:rsid w:val="00AF69F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F69F1"/>
    <w:rPr>
      <w:sz w:val="20"/>
      <w:szCs w:val="20"/>
    </w:rPr>
  </w:style>
  <w:style w:type="paragraph" w:styleId="Asuntodelcomentario">
    <w:name w:val="annotation subject"/>
    <w:basedOn w:val="Textocomentario"/>
    <w:next w:val="Textocomentario"/>
    <w:link w:val="AsuntodelcomentarioCar"/>
    <w:uiPriority w:val="99"/>
    <w:semiHidden/>
    <w:unhideWhenUsed/>
    <w:rsid w:val="00AF69F1"/>
    <w:rPr>
      <w:b/>
      <w:bCs/>
    </w:rPr>
  </w:style>
  <w:style w:type="character" w:customStyle="1" w:styleId="AsuntodelcomentarioCar">
    <w:name w:val="Asunto del comentario Car"/>
    <w:basedOn w:val="TextocomentarioCar"/>
    <w:link w:val="Asuntodelcomentario"/>
    <w:uiPriority w:val="99"/>
    <w:semiHidden/>
    <w:rsid w:val="00AF69F1"/>
    <w:rPr>
      <w:b/>
      <w:bCs/>
      <w:sz w:val="20"/>
      <w:szCs w:val="20"/>
    </w:rPr>
  </w:style>
  <w:style w:type="paragraph" w:styleId="NormalWeb">
    <w:name w:val="Normal (Web)"/>
    <w:basedOn w:val="Normal"/>
    <w:uiPriority w:val="99"/>
    <w:semiHidden/>
    <w:unhideWhenUsed/>
    <w:rsid w:val="00494CA4"/>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basedOn w:val="Fuentedeprrafopredeter"/>
    <w:uiPriority w:val="99"/>
    <w:unhideWhenUsed/>
    <w:rsid w:val="00625374"/>
    <w:rPr>
      <w:color w:val="0563C1" w:themeColor="hyperlink"/>
      <w:u w:val="single"/>
    </w:rPr>
  </w:style>
  <w:style w:type="character" w:styleId="Mencinsinresolver">
    <w:name w:val="Unresolved Mention"/>
    <w:basedOn w:val="Fuentedeprrafopredeter"/>
    <w:uiPriority w:val="99"/>
    <w:semiHidden/>
    <w:unhideWhenUsed/>
    <w:rsid w:val="00625374"/>
    <w:rPr>
      <w:color w:val="605E5C"/>
      <w:shd w:val="clear" w:color="auto" w:fill="E1DFDD"/>
    </w:rPr>
  </w:style>
  <w:style w:type="paragraph" w:styleId="Prrafodelista">
    <w:name w:val="List Paragraph"/>
    <w:basedOn w:val="Normal"/>
    <w:uiPriority w:val="34"/>
    <w:qFormat/>
    <w:rsid w:val="00CB3D6D"/>
    <w:pPr>
      <w:ind w:left="720"/>
      <w:contextualSpacing/>
    </w:pPr>
  </w:style>
  <w:style w:type="paragraph" w:styleId="Textonotaalfinal">
    <w:name w:val="endnote text"/>
    <w:basedOn w:val="Normal"/>
    <w:link w:val="TextonotaalfinalCar"/>
    <w:uiPriority w:val="99"/>
    <w:semiHidden/>
    <w:unhideWhenUsed/>
    <w:rsid w:val="00B07D63"/>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B07D63"/>
    <w:rPr>
      <w:sz w:val="20"/>
      <w:szCs w:val="20"/>
    </w:rPr>
  </w:style>
  <w:style w:type="character" w:styleId="Refdenotaalfinal">
    <w:name w:val="endnote reference"/>
    <w:basedOn w:val="Fuentedeprrafopredeter"/>
    <w:uiPriority w:val="99"/>
    <w:semiHidden/>
    <w:unhideWhenUsed/>
    <w:rsid w:val="00B07D63"/>
    <w:rPr>
      <w:vertAlign w:val="superscript"/>
    </w:rPr>
  </w:style>
  <w:style w:type="character" w:styleId="Hipervnculovisitado">
    <w:name w:val="FollowedHyperlink"/>
    <w:basedOn w:val="Fuentedeprrafopredeter"/>
    <w:uiPriority w:val="99"/>
    <w:semiHidden/>
    <w:unhideWhenUsed/>
    <w:rsid w:val="00745DB3"/>
    <w:rPr>
      <w:color w:val="954F72" w:themeColor="followedHyperlink"/>
      <w:u w:val="single"/>
    </w:rPr>
  </w:style>
  <w:style w:type="paragraph" w:styleId="Encabezado">
    <w:name w:val="header"/>
    <w:basedOn w:val="Normal"/>
    <w:link w:val="EncabezadoCar"/>
    <w:uiPriority w:val="99"/>
    <w:unhideWhenUsed/>
    <w:rsid w:val="002A336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A3360"/>
  </w:style>
  <w:style w:type="paragraph" w:styleId="Piedepgina">
    <w:name w:val="footer"/>
    <w:basedOn w:val="Normal"/>
    <w:link w:val="PiedepginaCar"/>
    <w:uiPriority w:val="99"/>
    <w:unhideWhenUsed/>
    <w:rsid w:val="002A336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A3360"/>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ternacional@centroprodh.org.mx" TargetMode="External"/><Relationship Id="rId4" Type="http://schemas.openxmlformats.org/officeDocument/2006/relationships/styles" Target="style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centroprodh.org.mx/2020/11/29/mujeres-del-caso-atenco-ganan-amparo-contra-fiscalia-de-edomex/" TargetMode="External"/><Relationship Id="rId13" Type="http://schemas.openxmlformats.org/officeDocument/2006/relationships/hyperlink" Target="https://www.cndh.org.mx/index.php/index.php/documento/recomendacion-por-violaciones-graves-118vg2023" TargetMode="External"/><Relationship Id="rId18" Type="http://schemas.openxmlformats.org/officeDocument/2006/relationships/hyperlink" Target="https://www.gob.mx/cms/uploads/attachment/file/834930/Estrategia_Nacional_contra_la_Tortura_2023_lectura_compressed.pdf" TargetMode="External"/><Relationship Id="rId3" Type="http://schemas.openxmlformats.org/officeDocument/2006/relationships/hyperlink" Target="https://www.oas.org/es/cidh/docs/anual/2022/capitulos/14-IA2022_Cap_5_MX_ES.pdf" TargetMode="External"/><Relationship Id="rId7" Type="http://schemas.openxmlformats.org/officeDocument/2006/relationships/hyperlink" Target="https://www.gob.mx/conavim/es/articulos/que-es-el-mecanismo-de-seguimiento-de-casos-de-tortura-sexual-cometida-contra-las-mujeres?idiom=es" TargetMode="External"/><Relationship Id="rId12" Type="http://schemas.openxmlformats.org/officeDocument/2006/relationships/hyperlink" Target="https://www.cndh.org.mx/sites/default/files/documentos/2022-09/RecVG_67.pdf" TargetMode="External"/><Relationship Id="rId17" Type="http://schemas.openxmlformats.org/officeDocument/2006/relationships/hyperlink" Target="https://indicadores.sintortura.org/estadisticas?indicador=5dbb3cd430a67a061350e267&amp;periodo=2022&amp;rubro=5d2e34d8e0d76664f3cc608c" TargetMode="External"/><Relationship Id="rId2" Type="http://schemas.openxmlformats.org/officeDocument/2006/relationships/hyperlink" Target="https://www.inegi.org.mx/contenidos/programas/enpol/2021/doc/enpol2021_presentacion_nacional.pdf" TargetMode="External"/><Relationship Id="rId16" Type="http://schemas.openxmlformats.org/officeDocument/2006/relationships/hyperlink" Target="https://indicadores.sintortura.org/estadisticas?indicador=5d2e34da1cf9946518e32e77&amp;periodo=2018&amp;rubro=5d2e34d8e0d76664f3cc608b" TargetMode="External"/><Relationship Id="rId1" Type="http://schemas.openxmlformats.org/officeDocument/2006/relationships/hyperlink" Target="http://centroprodh.org.mx/rompiendoelsilencio/category/materiales-de-prensa/publicaciones/" TargetMode="External"/><Relationship Id="rId6" Type="http://schemas.openxmlformats.org/officeDocument/2006/relationships/hyperlink" Target="https://centroprodh.org.mx/2022/06/27/reconoce-segob-la-existencia-de-tortura-sexual-como-una-practica-persistente-contra-mujeres/" TargetMode="External"/><Relationship Id="rId11" Type="http://schemas.openxmlformats.org/officeDocument/2006/relationships/hyperlink" Target="https://www.cndh.org.mx/sites/default/files/documentos/2022-02/RecVG_051.pdf" TargetMode="External"/><Relationship Id="rId5" Type="http://schemas.openxmlformats.org/officeDocument/2006/relationships/hyperlink" Target="https://www.gob.mx/segob/documentos/diagnostico-nacional-sobre-tortura-sexual-cometida-contra-mujeres-privadas-de-la-libertad-en-mexico" TargetMode="External"/><Relationship Id="rId15" Type="http://schemas.openxmlformats.org/officeDocument/2006/relationships/hyperlink" Target="https://centroprodh.org.mx/keren-ordonez/" TargetMode="External"/><Relationship Id="rId10" Type="http://schemas.openxmlformats.org/officeDocument/2006/relationships/hyperlink" Target="https://centroprodh.org.mx/sididh4_0/2022/09/12/mujeres-de-atenco-exigen-a-fiscalia-de-edomex-que-acate-sentencia-y-remita-investigacion-del-caso-a-fgr/" TargetMode="External"/><Relationship Id="rId19" Type="http://schemas.openxmlformats.org/officeDocument/2006/relationships/hyperlink" Target="https://centroprodh.org.mx/2021/05/02/a-15-anos-y-a-pesar-de-una-sentencia-internacional-sigue-la-impunidad/" TargetMode="External"/><Relationship Id="rId4" Type="http://schemas.openxmlformats.org/officeDocument/2006/relationships/hyperlink" Target="https://www.gob.mx/segob/documentos/diagnostico-nacional-sobre-tortura-sexual-cometida-contra-mujeres-privadas-de-la-libertad-en-mexico" TargetMode="External"/><Relationship Id="rId9" Type="http://schemas.openxmlformats.org/officeDocument/2006/relationships/hyperlink" Target="https://centroprodh.org.mx/2021/09/19/fiscalia-del-estado-de-mexico-debera-remitir-a-fgr-la-investigacion-del-caso-mujeres-de-atenco/" TargetMode="External"/><Relationship Id="rId14" Type="http://schemas.openxmlformats.org/officeDocument/2006/relationships/hyperlink" Target="https://centroprodh.org.mx/wp-content/uploads/2018/11/ITS_Full_digitalversion.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WByXF1BQflXNC+z3XI/tKFnxwg==">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</go:docsCustomData>
</go:gDocsCustomXmlDataStorage>
</file>

<file path=customXml/itemProps1.xml><?xml version="1.0" encoding="utf-8"?>
<ds:datastoreItem xmlns:ds="http://schemas.openxmlformats.org/officeDocument/2006/customXml" ds:itemID="{A0414A29-5B3D-435B-BCB3-CFAEA3B436E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2263</Words>
  <Characters>12452</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Centro Prodh</Company>
  <LinksUpToDate>false</LinksUpToDate>
  <CharactersWithSpaces>14686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Eduardo Guerrero Lomelí</dc:creator>
  <cp:lastModifiedBy>Eduardo Guerrero Lomelí</cp:lastModifiedBy>
  <cp:revision>3</cp:revision>
  <dcterms:created xsi:type="dcterms:W3CDTF">2023-09-06T00:36:00Z</dcterms:created>
  <dcterms:modified xsi:type="dcterms:W3CDTF">2023-09-11T17:39:00Z</dcterms:modified>
</cp:coreProperties>
</file>