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C5D27" w14:textId="77777777" w:rsidR="00E92655" w:rsidRPr="009E3B7B" w:rsidRDefault="00E92655" w:rsidP="00E92655">
      <w:pPr>
        <w:pStyle w:val="NormalWeb"/>
        <w:tabs>
          <w:tab w:val="center" w:pos="4680"/>
          <w:tab w:val="left" w:pos="7361"/>
        </w:tabs>
        <w:spacing w:before="0" w:beforeAutospacing="0" w:after="240" w:afterAutospacing="0"/>
        <w:jc w:val="center"/>
        <w:rPr>
          <w:rFonts w:ascii="Arial" w:hAnsi="Arial" w:cs="Arial"/>
          <w:b/>
          <w:lang w:val="es-CO"/>
        </w:rPr>
      </w:pPr>
      <w:bookmarkStart w:id="0" w:name="_GoBack"/>
      <w:bookmarkEnd w:id="0"/>
      <w:r w:rsidRPr="009E3B7B">
        <w:rPr>
          <w:rFonts w:ascii="Arial" w:hAnsi="Arial" w:cs="Arial"/>
          <w:b/>
          <w:lang w:val="es-CO"/>
        </w:rPr>
        <w:t>ANEXOS</w:t>
      </w:r>
    </w:p>
    <w:p w14:paraId="528E7131" w14:textId="77777777" w:rsidR="00E92655" w:rsidRDefault="00E92655" w:rsidP="00E92655">
      <w:pPr>
        <w:spacing w:after="0" w:line="240" w:lineRule="auto"/>
        <w:jc w:val="center"/>
        <w:rPr>
          <w:rFonts w:ascii="Arial" w:hAnsi="Arial" w:cs="Arial"/>
          <w:b/>
          <w:sz w:val="24"/>
          <w:szCs w:val="24"/>
          <w:lang w:val="es-CO"/>
        </w:rPr>
      </w:pPr>
      <w:r w:rsidRPr="00F8390F">
        <w:rPr>
          <w:rFonts w:ascii="Arial" w:hAnsi="Arial" w:cs="Arial"/>
          <w:b/>
          <w:sz w:val="24"/>
          <w:szCs w:val="24"/>
          <w:lang w:val="es-CO"/>
        </w:rPr>
        <w:t>Tabla 1</w:t>
      </w:r>
    </w:p>
    <w:p w14:paraId="3D993E57" w14:textId="77777777" w:rsidR="00E92655" w:rsidRDefault="00E92655" w:rsidP="00E92655">
      <w:pPr>
        <w:spacing w:after="0" w:line="240" w:lineRule="auto"/>
        <w:jc w:val="center"/>
        <w:rPr>
          <w:rFonts w:ascii="Arial" w:hAnsi="Arial" w:cs="Arial"/>
          <w:b/>
          <w:sz w:val="24"/>
          <w:szCs w:val="24"/>
          <w:lang w:val="es-CO"/>
        </w:rPr>
      </w:pPr>
    </w:p>
    <w:p w14:paraId="3AF96BC5" w14:textId="77777777" w:rsidR="00E92655" w:rsidRDefault="00E92655" w:rsidP="00E92655">
      <w:pPr>
        <w:spacing w:after="0" w:line="240" w:lineRule="auto"/>
        <w:jc w:val="center"/>
        <w:rPr>
          <w:rFonts w:ascii="Arial" w:hAnsi="Arial" w:cs="Arial"/>
          <w:b/>
          <w:sz w:val="24"/>
          <w:szCs w:val="24"/>
          <w:lang w:val="es-CO"/>
        </w:rPr>
      </w:pPr>
      <w:r>
        <w:rPr>
          <w:rFonts w:ascii="Arial" w:hAnsi="Arial" w:cs="Arial"/>
          <w:b/>
          <w:sz w:val="24"/>
          <w:szCs w:val="24"/>
          <w:lang w:val="es-CO"/>
        </w:rPr>
        <w:t>Acciones Preventivas</w:t>
      </w:r>
    </w:p>
    <w:p w14:paraId="0DA82815" w14:textId="77777777" w:rsidR="00E92655" w:rsidRPr="00F8390F" w:rsidRDefault="00E92655" w:rsidP="00E92655">
      <w:pPr>
        <w:spacing w:after="0" w:line="240" w:lineRule="auto"/>
        <w:jc w:val="center"/>
        <w:rPr>
          <w:rFonts w:ascii="Arial" w:hAnsi="Arial" w:cs="Arial"/>
          <w:b/>
          <w:sz w:val="24"/>
          <w:szCs w:val="24"/>
          <w:lang w:val="es-CO"/>
        </w:rPr>
      </w:pPr>
    </w:p>
    <w:tbl>
      <w:tblPr>
        <w:tblStyle w:val="TableGrid"/>
        <w:tblW w:w="0" w:type="auto"/>
        <w:jc w:val="center"/>
        <w:tblLook w:val="04A0" w:firstRow="1" w:lastRow="0" w:firstColumn="1" w:lastColumn="0" w:noHBand="0" w:noVBand="1"/>
      </w:tblPr>
      <w:tblGrid>
        <w:gridCol w:w="4531"/>
        <w:gridCol w:w="1134"/>
        <w:gridCol w:w="993"/>
        <w:gridCol w:w="992"/>
        <w:gridCol w:w="1178"/>
      </w:tblGrid>
      <w:tr w:rsidR="00E92655" w:rsidRPr="009E3B7B" w14:paraId="1662C629" w14:textId="77777777" w:rsidTr="009533D1">
        <w:trPr>
          <w:jc w:val="center"/>
        </w:trPr>
        <w:tc>
          <w:tcPr>
            <w:tcW w:w="4531" w:type="dxa"/>
          </w:tcPr>
          <w:p w14:paraId="071653FF"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Medidas preventivas</w:t>
            </w:r>
          </w:p>
        </w:tc>
        <w:tc>
          <w:tcPr>
            <w:tcW w:w="1134" w:type="dxa"/>
          </w:tcPr>
          <w:p w14:paraId="7EA1111C"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18</w:t>
            </w:r>
          </w:p>
        </w:tc>
        <w:tc>
          <w:tcPr>
            <w:tcW w:w="993" w:type="dxa"/>
          </w:tcPr>
          <w:p w14:paraId="041A5736"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15</w:t>
            </w:r>
          </w:p>
        </w:tc>
        <w:tc>
          <w:tcPr>
            <w:tcW w:w="992" w:type="dxa"/>
          </w:tcPr>
          <w:p w14:paraId="019065CC"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27</w:t>
            </w:r>
          </w:p>
        </w:tc>
        <w:tc>
          <w:tcPr>
            <w:tcW w:w="1178" w:type="dxa"/>
          </w:tcPr>
          <w:p w14:paraId="1B9DF8E9"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60</w:t>
            </w:r>
          </w:p>
        </w:tc>
      </w:tr>
      <w:tr w:rsidR="00E92655" w:rsidRPr="009E3B7B" w14:paraId="6FDAE890" w14:textId="77777777" w:rsidTr="009533D1">
        <w:trPr>
          <w:jc w:val="center"/>
        </w:trPr>
        <w:tc>
          <w:tcPr>
            <w:tcW w:w="4531" w:type="dxa"/>
          </w:tcPr>
          <w:p w14:paraId="6658C4C2"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Activación Ruta</w:t>
            </w:r>
          </w:p>
        </w:tc>
        <w:tc>
          <w:tcPr>
            <w:tcW w:w="1134" w:type="dxa"/>
          </w:tcPr>
          <w:p w14:paraId="76812EF6"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6</w:t>
            </w:r>
          </w:p>
        </w:tc>
        <w:tc>
          <w:tcPr>
            <w:tcW w:w="993" w:type="dxa"/>
          </w:tcPr>
          <w:p w14:paraId="54F38BDA"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8</w:t>
            </w:r>
          </w:p>
        </w:tc>
        <w:tc>
          <w:tcPr>
            <w:tcW w:w="992" w:type="dxa"/>
          </w:tcPr>
          <w:p w14:paraId="1E490709"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9</w:t>
            </w:r>
          </w:p>
        </w:tc>
        <w:tc>
          <w:tcPr>
            <w:tcW w:w="1178" w:type="dxa"/>
          </w:tcPr>
          <w:p w14:paraId="729F99C4"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23</w:t>
            </w:r>
          </w:p>
        </w:tc>
      </w:tr>
      <w:tr w:rsidR="00E92655" w:rsidRPr="009E3B7B" w14:paraId="3109E846" w14:textId="77777777" w:rsidTr="009533D1">
        <w:trPr>
          <w:jc w:val="center"/>
        </w:trPr>
        <w:tc>
          <w:tcPr>
            <w:tcW w:w="4531" w:type="dxa"/>
          </w:tcPr>
          <w:p w14:paraId="3C18DFF6"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Escenarios de Coordinación Interagencial</w:t>
            </w:r>
          </w:p>
        </w:tc>
        <w:tc>
          <w:tcPr>
            <w:tcW w:w="1134" w:type="dxa"/>
          </w:tcPr>
          <w:p w14:paraId="2154BFC1"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6579</w:t>
            </w:r>
          </w:p>
        </w:tc>
        <w:tc>
          <w:tcPr>
            <w:tcW w:w="993" w:type="dxa"/>
          </w:tcPr>
          <w:p w14:paraId="4B4D0B5B"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3973</w:t>
            </w:r>
          </w:p>
        </w:tc>
        <w:tc>
          <w:tcPr>
            <w:tcW w:w="992" w:type="dxa"/>
          </w:tcPr>
          <w:p w14:paraId="65B97D65"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3014</w:t>
            </w:r>
          </w:p>
        </w:tc>
        <w:tc>
          <w:tcPr>
            <w:tcW w:w="1178" w:type="dxa"/>
          </w:tcPr>
          <w:p w14:paraId="180C75A5"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13566</w:t>
            </w:r>
          </w:p>
        </w:tc>
      </w:tr>
      <w:tr w:rsidR="00E92655" w:rsidRPr="009E3B7B" w14:paraId="3C73B408" w14:textId="77777777" w:rsidTr="009533D1">
        <w:trPr>
          <w:jc w:val="center"/>
        </w:trPr>
        <w:tc>
          <w:tcPr>
            <w:tcW w:w="4531" w:type="dxa"/>
          </w:tcPr>
          <w:p w14:paraId="64209B25"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Interlocuciones</w:t>
            </w:r>
          </w:p>
        </w:tc>
        <w:tc>
          <w:tcPr>
            <w:tcW w:w="1134" w:type="dxa"/>
          </w:tcPr>
          <w:p w14:paraId="51ECD2DA"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172</w:t>
            </w:r>
          </w:p>
        </w:tc>
        <w:tc>
          <w:tcPr>
            <w:tcW w:w="993" w:type="dxa"/>
          </w:tcPr>
          <w:p w14:paraId="0561CB11"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76</w:t>
            </w:r>
          </w:p>
        </w:tc>
        <w:tc>
          <w:tcPr>
            <w:tcW w:w="992" w:type="dxa"/>
          </w:tcPr>
          <w:p w14:paraId="13B804CC"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70</w:t>
            </w:r>
          </w:p>
        </w:tc>
        <w:tc>
          <w:tcPr>
            <w:tcW w:w="1178" w:type="dxa"/>
          </w:tcPr>
          <w:p w14:paraId="159CD3BD"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318</w:t>
            </w:r>
          </w:p>
        </w:tc>
      </w:tr>
      <w:tr w:rsidR="00E92655" w:rsidRPr="009E3B7B" w14:paraId="22724EBF" w14:textId="77777777" w:rsidTr="009533D1">
        <w:trPr>
          <w:jc w:val="center"/>
        </w:trPr>
        <w:tc>
          <w:tcPr>
            <w:tcW w:w="4531" w:type="dxa"/>
          </w:tcPr>
          <w:p w14:paraId="3DCE5D7D"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Actividades, Programas, Campañas y Atención</w:t>
            </w:r>
          </w:p>
        </w:tc>
        <w:tc>
          <w:tcPr>
            <w:tcW w:w="1134" w:type="dxa"/>
          </w:tcPr>
          <w:p w14:paraId="30E5624C"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5049</w:t>
            </w:r>
          </w:p>
        </w:tc>
        <w:tc>
          <w:tcPr>
            <w:tcW w:w="993" w:type="dxa"/>
          </w:tcPr>
          <w:p w14:paraId="6AF8C7F0"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4905</w:t>
            </w:r>
          </w:p>
        </w:tc>
        <w:tc>
          <w:tcPr>
            <w:tcW w:w="992" w:type="dxa"/>
          </w:tcPr>
          <w:p w14:paraId="651B2338"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7653</w:t>
            </w:r>
          </w:p>
        </w:tc>
        <w:tc>
          <w:tcPr>
            <w:tcW w:w="1178" w:type="dxa"/>
          </w:tcPr>
          <w:p w14:paraId="5D22FDDF" w14:textId="77777777" w:rsidR="00E92655" w:rsidRPr="009E3B7B" w:rsidRDefault="00E92655" w:rsidP="009533D1">
            <w:pPr>
              <w:jc w:val="center"/>
              <w:rPr>
                <w:rFonts w:ascii="Arial" w:hAnsi="Arial" w:cs="Arial"/>
                <w:sz w:val="24"/>
                <w:szCs w:val="24"/>
              </w:rPr>
            </w:pPr>
            <w:r w:rsidRPr="009E3B7B">
              <w:rPr>
                <w:rFonts w:ascii="Arial" w:hAnsi="Arial" w:cs="Arial"/>
                <w:sz w:val="24"/>
                <w:szCs w:val="24"/>
              </w:rPr>
              <w:t>17603</w:t>
            </w:r>
          </w:p>
        </w:tc>
      </w:tr>
    </w:tbl>
    <w:p w14:paraId="1643BD19" w14:textId="77777777" w:rsidR="00E92655" w:rsidRPr="009E3B7B" w:rsidRDefault="00E92655" w:rsidP="00E92655">
      <w:pPr>
        <w:jc w:val="center"/>
        <w:rPr>
          <w:rFonts w:ascii="Arial" w:hAnsi="Arial" w:cs="Arial"/>
          <w:sz w:val="20"/>
          <w:szCs w:val="24"/>
          <w:lang w:val="es-CO"/>
        </w:rPr>
      </w:pPr>
      <w:r>
        <w:rPr>
          <w:rFonts w:ascii="Arial" w:hAnsi="Arial" w:cs="Arial"/>
          <w:sz w:val="20"/>
          <w:szCs w:val="24"/>
          <w:lang w:val="es-CO"/>
        </w:rPr>
        <w:t>Fuente: Ministerio de Defensa Nacional, 2021. Periodo: 2018-2020</w:t>
      </w:r>
    </w:p>
    <w:p w14:paraId="3FBA150A" w14:textId="77777777" w:rsidR="00E92655" w:rsidRPr="00A37034" w:rsidRDefault="00E92655" w:rsidP="00E92655">
      <w:pPr>
        <w:spacing w:line="240" w:lineRule="auto"/>
        <w:jc w:val="both"/>
        <w:rPr>
          <w:rFonts w:ascii="Arial" w:hAnsi="Arial" w:cs="Arial"/>
          <w:sz w:val="24"/>
          <w:szCs w:val="24"/>
          <w:lang w:val="es-CO"/>
        </w:rPr>
      </w:pPr>
      <w:r w:rsidRPr="00A37034">
        <w:rPr>
          <w:rFonts w:ascii="Arial" w:hAnsi="Arial" w:cs="Arial"/>
          <w:bCs/>
          <w:sz w:val="24"/>
          <w:szCs w:val="24"/>
          <w:lang w:val="es-CO"/>
        </w:rPr>
        <w:t>Mediante la activación de la ruta interinstitucional del 2018 al 2020, en</w:t>
      </w:r>
      <w:r w:rsidRPr="00A37034">
        <w:rPr>
          <w:rFonts w:ascii="Arial" w:hAnsi="Arial" w:cs="Arial"/>
          <w:sz w:val="24"/>
          <w:szCs w:val="24"/>
          <w:lang w:val="es-CO"/>
        </w:rPr>
        <w:t xml:space="preserve"> 23 oportunidades se han implementado 60 medidas preventivas orientadas al desarrollo de evaluaciones de riesgo por parte de la Unidad Nacional de Protección (UNP), como entidad responsable de la implementación de medidas de protección en favor de la población Líder Mujer, entre otras actividades preventivas.</w:t>
      </w:r>
    </w:p>
    <w:p w14:paraId="60C5F9DF" w14:textId="77777777" w:rsidR="00E92655" w:rsidRDefault="00E92655" w:rsidP="00E92655">
      <w:pPr>
        <w:jc w:val="center"/>
        <w:rPr>
          <w:rFonts w:ascii="Arial" w:hAnsi="Arial" w:cs="Arial"/>
          <w:b/>
          <w:sz w:val="24"/>
          <w:szCs w:val="24"/>
          <w:lang w:val="es-CO"/>
        </w:rPr>
      </w:pPr>
      <w:r w:rsidRPr="00F72DDD">
        <w:rPr>
          <w:rFonts w:ascii="Arial" w:hAnsi="Arial" w:cs="Arial"/>
          <w:b/>
          <w:sz w:val="24"/>
          <w:szCs w:val="24"/>
          <w:lang w:val="es-CO"/>
        </w:rPr>
        <w:t>Tabla 2</w:t>
      </w:r>
    </w:p>
    <w:p w14:paraId="260FC6AA" w14:textId="77777777" w:rsidR="00E92655" w:rsidRPr="00F72DDD" w:rsidRDefault="00E92655" w:rsidP="00E92655">
      <w:pPr>
        <w:jc w:val="center"/>
        <w:rPr>
          <w:rFonts w:ascii="Arial" w:hAnsi="Arial" w:cs="Arial"/>
          <w:b/>
          <w:sz w:val="24"/>
          <w:szCs w:val="24"/>
          <w:lang w:val="es-CO"/>
        </w:rPr>
      </w:pPr>
      <w:r w:rsidRPr="00EA1B11">
        <w:rPr>
          <w:rFonts w:ascii="Arial" w:hAnsi="Arial" w:cs="Arial"/>
          <w:b/>
          <w:bCs/>
          <w:sz w:val="24"/>
          <w:szCs w:val="24"/>
          <w:lang w:val="es-CO"/>
        </w:rPr>
        <w:t>Espacios Territoriales de Capacitación y Reincorporación (ETCR)</w:t>
      </w:r>
    </w:p>
    <w:tbl>
      <w:tblPr>
        <w:tblStyle w:val="TableGrid"/>
        <w:tblW w:w="8924" w:type="dxa"/>
        <w:jc w:val="center"/>
        <w:tblLook w:val="04A0" w:firstRow="1" w:lastRow="0" w:firstColumn="1" w:lastColumn="0" w:noHBand="0" w:noVBand="1"/>
      </w:tblPr>
      <w:tblGrid>
        <w:gridCol w:w="2974"/>
        <w:gridCol w:w="2975"/>
        <w:gridCol w:w="2975"/>
      </w:tblGrid>
      <w:tr w:rsidR="00E92655" w:rsidRPr="00F72DDD" w14:paraId="0CA19BC7" w14:textId="77777777" w:rsidTr="009533D1">
        <w:trPr>
          <w:trHeight w:val="264"/>
          <w:jc w:val="center"/>
        </w:trPr>
        <w:tc>
          <w:tcPr>
            <w:tcW w:w="2974" w:type="dxa"/>
          </w:tcPr>
          <w:p w14:paraId="46453BC1" w14:textId="77777777" w:rsidR="00E92655" w:rsidRPr="00F72DDD" w:rsidRDefault="00E92655" w:rsidP="009533D1">
            <w:pPr>
              <w:jc w:val="center"/>
              <w:rPr>
                <w:rFonts w:ascii="Arial" w:hAnsi="Arial" w:cs="Arial"/>
                <w:b/>
                <w:sz w:val="24"/>
                <w:szCs w:val="24"/>
              </w:rPr>
            </w:pPr>
            <w:r w:rsidRPr="00F72DDD">
              <w:rPr>
                <w:rFonts w:ascii="Arial" w:hAnsi="Arial" w:cs="Arial"/>
                <w:sz w:val="24"/>
                <w:szCs w:val="24"/>
              </w:rPr>
              <w:t>DEPARTAMENTO</w:t>
            </w:r>
          </w:p>
        </w:tc>
        <w:tc>
          <w:tcPr>
            <w:tcW w:w="2975" w:type="dxa"/>
          </w:tcPr>
          <w:p w14:paraId="69122657" w14:textId="77777777" w:rsidR="00E92655" w:rsidRPr="00F72DDD" w:rsidRDefault="00E92655" w:rsidP="009533D1">
            <w:pPr>
              <w:jc w:val="center"/>
              <w:rPr>
                <w:rFonts w:ascii="Arial" w:hAnsi="Arial" w:cs="Arial"/>
                <w:b/>
                <w:sz w:val="24"/>
                <w:szCs w:val="24"/>
              </w:rPr>
            </w:pPr>
            <w:r w:rsidRPr="00F72DDD">
              <w:rPr>
                <w:rFonts w:ascii="Arial" w:hAnsi="Arial" w:cs="Arial"/>
                <w:sz w:val="24"/>
                <w:szCs w:val="24"/>
              </w:rPr>
              <w:t>MUNICIPIO</w:t>
            </w:r>
          </w:p>
        </w:tc>
        <w:tc>
          <w:tcPr>
            <w:tcW w:w="2975" w:type="dxa"/>
          </w:tcPr>
          <w:p w14:paraId="7855BF87" w14:textId="77777777" w:rsidR="00E92655" w:rsidRPr="00F72DDD" w:rsidRDefault="00E92655" w:rsidP="009533D1">
            <w:pPr>
              <w:jc w:val="center"/>
              <w:rPr>
                <w:rFonts w:ascii="Arial" w:hAnsi="Arial" w:cs="Arial"/>
                <w:b/>
                <w:sz w:val="24"/>
                <w:szCs w:val="24"/>
              </w:rPr>
            </w:pPr>
            <w:r w:rsidRPr="00F72DDD">
              <w:rPr>
                <w:rFonts w:ascii="Arial" w:hAnsi="Arial" w:cs="Arial"/>
                <w:sz w:val="24"/>
                <w:szCs w:val="24"/>
              </w:rPr>
              <w:t>VEREDA</w:t>
            </w:r>
          </w:p>
        </w:tc>
      </w:tr>
      <w:tr w:rsidR="00E92655" w:rsidRPr="00F72DDD" w14:paraId="722EB65B" w14:textId="77777777" w:rsidTr="009533D1">
        <w:trPr>
          <w:trHeight w:val="264"/>
          <w:jc w:val="center"/>
        </w:trPr>
        <w:tc>
          <w:tcPr>
            <w:tcW w:w="2974" w:type="dxa"/>
            <w:vMerge w:val="restart"/>
          </w:tcPr>
          <w:p w14:paraId="2EE1CCFA"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Tolima</w:t>
            </w:r>
          </w:p>
        </w:tc>
        <w:tc>
          <w:tcPr>
            <w:tcW w:w="2975" w:type="dxa"/>
          </w:tcPr>
          <w:p w14:paraId="278168B1"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Icononzo</w:t>
            </w:r>
          </w:p>
        </w:tc>
        <w:tc>
          <w:tcPr>
            <w:tcW w:w="2975" w:type="dxa"/>
          </w:tcPr>
          <w:p w14:paraId="2A9A07EC"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Fila</w:t>
            </w:r>
          </w:p>
        </w:tc>
      </w:tr>
      <w:tr w:rsidR="00E92655" w:rsidRPr="00F72DDD" w14:paraId="42879674" w14:textId="77777777" w:rsidTr="009533D1">
        <w:trPr>
          <w:trHeight w:val="140"/>
          <w:jc w:val="center"/>
        </w:trPr>
        <w:tc>
          <w:tcPr>
            <w:tcW w:w="2974" w:type="dxa"/>
            <w:vMerge/>
          </w:tcPr>
          <w:p w14:paraId="0516C829" w14:textId="77777777" w:rsidR="00E92655" w:rsidRPr="00F72DDD" w:rsidRDefault="00E92655" w:rsidP="009533D1">
            <w:pPr>
              <w:jc w:val="center"/>
              <w:rPr>
                <w:rFonts w:ascii="Arial" w:hAnsi="Arial" w:cs="Arial"/>
                <w:sz w:val="24"/>
                <w:szCs w:val="24"/>
              </w:rPr>
            </w:pPr>
          </w:p>
        </w:tc>
        <w:tc>
          <w:tcPr>
            <w:tcW w:w="2975" w:type="dxa"/>
          </w:tcPr>
          <w:p w14:paraId="56096D30"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Planadas</w:t>
            </w:r>
          </w:p>
        </w:tc>
        <w:tc>
          <w:tcPr>
            <w:tcW w:w="2975" w:type="dxa"/>
          </w:tcPr>
          <w:p w14:paraId="42AEAF4B"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El Jordán</w:t>
            </w:r>
          </w:p>
        </w:tc>
      </w:tr>
      <w:tr w:rsidR="00E92655" w:rsidRPr="00F72DDD" w14:paraId="1BA899FC" w14:textId="77777777" w:rsidTr="009533D1">
        <w:trPr>
          <w:trHeight w:val="264"/>
          <w:jc w:val="center"/>
        </w:trPr>
        <w:tc>
          <w:tcPr>
            <w:tcW w:w="2974" w:type="dxa"/>
            <w:vMerge w:val="restart"/>
          </w:tcPr>
          <w:p w14:paraId="66A3C18C"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Caquetá</w:t>
            </w:r>
          </w:p>
        </w:tc>
        <w:tc>
          <w:tcPr>
            <w:tcW w:w="2975" w:type="dxa"/>
          </w:tcPr>
          <w:p w14:paraId="3344F6CB"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San Vicente del Caguán</w:t>
            </w:r>
          </w:p>
        </w:tc>
        <w:tc>
          <w:tcPr>
            <w:tcW w:w="2975" w:type="dxa"/>
          </w:tcPr>
          <w:p w14:paraId="77BCA8E7"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Miravalle</w:t>
            </w:r>
          </w:p>
        </w:tc>
      </w:tr>
      <w:tr w:rsidR="00E92655" w:rsidRPr="00F72DDD" w14:paraId="1CBE6D6F" w14:textId="77777777" w:rsidTr="009533D1">
        <w:trPr>
          <w:trHeight w:val="140"/>
          <w:jc w:val="center"/>
        </w:trPr>
        <w:tc>
          <w:tcPr>
            <w:tcW w:w="2974" w:type="dxa"/>
            <w:vMerge/>
          </w:tcPr>
          <w:p w14:paraId="2E2819F6" w14:textId="77777777" w:rsidR="00E92655" w:rsidRPr="00F72DDD" w:rsidRDefault="00E92655" w:rsidP="009533D1">
            <w:pPr>
              <w:jc w:val="center"/>
              <w:rPr>
                <w:rFonts w:ascii="Arial" w:hAnsi="Arial" w:cs="Arial"/>
                <w:sz w:val="24"/>
                <w:szCs w:val="24"/>
              </w:rPr>
            </w:pPr>
          </w:p>
        </w:tc>
        <w:tc>
          <w:tcPr>
            <w:tcW w:w="2975" w:type="dxa"/>
          </w:tcPr>
          <w:p w14:paraId="5378BBCC"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Montañita</w:t>
            </w:r>
          </w:p>
        </w:tc>
        <w:tc>
          <w:tcPr>
            <w:tcW w:w="2975" w:type="dxa"/>
          </w:tcPr>
          <w:p w14:paraId="59C95B3F"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Agua Bonita</w:t>
            </w:r>
          </w:p>
        </w:tc>
      </w:tr>
      <w:tr w:rsidR="00E92655" w:rsidRPr="00F72DDD" w14:paraId="0152A799" w14:textId="77777777" w:rsidTr="009533D1">
        <w:trPr>
          <w:trHeight w:val="264"/>
          <w:jc w:val="center"/>
        </w:trPr>
        <w:tc>
          <w:tcPr>
            <w:tcW w:w="2974" w:type="dxa"/>
          </w:tcPr>
          <w:p w14:paraId="5079043B"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Putumayo</w:t>
            </w:r>
          </w:p>
        </w:tc>
        <w:tc>
          <w:tcPr>
            <w:tcW w:w="2975" w:type="dxa"/>
          </w:tcPr>
          <w:p w14:paraId="4DA41B28"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Puerto Asís</w:t>
            </w:r>
          </w:p>
        </w:tc>
        <w:tc>
          <w:tcPr>
            <w:tcW w:w="2975" w:type="dxa"/>
          </w:tcPr>
          <w:p w14:paraId="2BB2B190"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Pradera</w:t>
            </w:r>
          </w:p>
        </w:tc>
      </w:tr>
      <w:tr w:rsidR="00E92655" w:rsidRPr="00F72DDD" w14:paraId="5E480371" w14:textId="77777777" w:rsidTr="009533D1">
        <w:trPr>
          <w:trHeight w:val="264"/>
          <w:jc w:val="center"/>
        </w:trPr>
        <w:tc>
          <w:tcPr>
            <w:tcW w:w="2974" w:type="dxa"/>
            <w:vMerge w:val="restart"/>
          </w:tcPr>
          <w:p w14:paraId="5AF45A98"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Cauca</w:t>
            </w:r>
          </w:p>
        </w:tc>
        <w:tc>
          <w:tcPr>
            <w:tcW w:w="2975" w:type="dxa"/>
          </w:tcPr>
          <w:p w14:paraId="6B445408"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Miranda</w:t>
            </w:r>
          </w:p>
        </w:tc>
        <w:tc>
          <w:tcPr>
            <w:tcW w:w="2975" w:type="dxa"/>
          </w:tcPr>
          <w:p w14:paraId="3758A1E8"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Monterredondo</w:t>
            </w:r>
          </w:p>
        </w:tc>
      </w:tr>
      <w:tr w:rsidR="00E92655" w:rsidRPr="00F72DDD" w14:paraId="48F21367" w14:textId="77777777" w:rsidTr="009533D1">
        <w:trPr>
          <w:trHeight w:val="140"/>
          <w:jc w:val="center"/>
        </w:trPr>
        <w:tc>
          <w:tcPr>
            <w:tcW w:w="2974" w:type="dxa"/>
            <w:vMerge/>
          </w:tcPr>
          <w:p w14:paraId="0BB8EECE" w14:textId="77777777" w:rsidR="00E92655" w:rsidRPr="00F72DDD" w:rsidRDefault="00E92655" w:rsidP="009533D1">
            <w:pPr>
              <w:jc w:val="center"/>
              <w:rPr>
                <w:rFonts w:ascii="Arial" w:hAnsi="Arial" w:cs="Arial"/>
                <w:sz w:val="24"/>
                <w:szCs w:val="24"/>
              </w:rPr>
            </w:pPr>
          </w:p>
        </w:tc>
        <w:tc>
          <w:tcPr>
            <w:tcW w:w="2975" w:type="dxa"/>
          </w:tcPr>
          <w:p w14:paraId="50AE05C3"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Buenos Aires</w:t>
            </w:r>
          </w:p>
        </w:tc>
        <w:tc>
          <w:tcPr>
            <w:tcW w:w="2975" w:type="dxa"/>
          </w:tcPr>
          <w:p w14:paraId="3F1FFB22"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Ceral</w:t>
            </w:r>
          </w:p>
        </w:tc>
      </w:tr>
      <w:tr w:rsidR="00E92655" w:rsidRPr="00F72DDD" w14:paraId="2C6152CF" w14:textId="77777777" w:rsidTr="009533D1">
        <w:trPr>
          <w:trHeight w:val="140"/>
          <w:jc w:val="center"/>
        </w:trPr>
        <w:tc>
          <w:tcPr>
            <w:tcW w:w="2974" w:type="dxa"/>
            <w:vMerge/>
          </w:tcPr>
          <w:p w14:paraId="09DF3E46" w14:textId="77777777" w:rsidR="00E92655" w:rsidRPr="00F72DDD" w:rsidRDefault="00E92655" w:rsidP="009533D1">
            <w:pPr>
              <w:jc w:val="center"/>
              <w:rPr>
                <w:rFonts w:ascii="Arial" w:hAnsi="Arial" w:cs="Arial"/>
                <w:sz w:val="24"/>
                <w:szCs w:val="24"/>
              </w:rPr>
            </w:pPr>
          </w:p>
        </w:tc>
        <w:tc>
          <w:tcPr>
            <w:tcW w:w="2975" w:type="dxa"/>
          </w:tcPr>
          <w:p w14:paraId="5464AD77"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Caldono</w:t>
            </w:r>
          </w:p>
        </w:tc>
        <w:tc>
          <w:tcPr>
            <w:tcW w:w="2975" w:type="dxa"/>
          </w:tcPr>
          <w:p w14:paraId="355F8440"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Los Monos</w:t>
            </w:r>
          </w:p>
        </w:tc>
      </w:tr>
      <w:tr w:rsidR="00E92655" w:rsidRPr="00F72DDD" w14:paraId="1096D172" w14:textId="77777777" w:rsidTr="009533D1">
        <w:trPr>
          <w:trHeight w:val="140"/>
          <w:jc w:val="center"/>
        </w:trPr>
        <w:tc>
          <w:tcPr>
            <w:tcW w:w="2974" w:type="dxa"/>
            <w:vMerge/>
          </w:tcPr>
          <w:p w14:paraId="2CB29496" w14:textId="77777777" w:rsidR="00E92655" w:rsidRPr="00F72DDD" w:rsidRDefault="00E92655" w:rsidP="009533D1">
            <w:pPr>
              <w:jc w:val="center"/>
              <w:rPr>
                <w:rFonts w:ascii="Arial" w:hAnsi="Arial" w:cs="Arial"/>
                <w:sz w:val="24"/>
                <w:szCs w:val="24"/>
              </w:rPr>
            </w:pPr>
          </w:p>
        </w:tc>
        <w:tc>
          <w:tcPr>
            <w:tcW w:w="2975" w:type="dxa"/>
          </w:tcPr>
          <w:p w14:paraId="59FAF99C"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El Patía</w:t>
            </w:r>
          </w:p>
        </w:tc>
        <w:tc>
          <w:tcPr>
            <w:tcW w:w="2975" w:type="dxa"/>
          </w:tcPr>
          <w:p w14:paraId="0C46BB94"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El Estrecho</w:t>
            </w:r>
          </w:p>
        </w:tc>
      </w:tr>
      <w:tr w:rsidR="00E92655" w:rsidRPr="00F72DDD" w14:paraId="3A0AB938" w14:textId="77777777" w:rsidTr="009533D1">
        <w:trPr>
          <w:trHeight w:val="264"/>
          <w:jc w:val="center"/>
        </w:trPr>
        <w:tc>
          <w:tcPr>
            <w:tcW w:w="2974" w:type="dxa"/>
          </w:tcPr>
          <w:p w14:paraId="04EDAA21"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Nariño</w:t>
            </w:r>
          </w:p>
        </w:tc>
        <w:tc>
          <w:tcPr>
            <w:tcW w:w="2975" w:type="dxa"/>
          </w:tcPr>
          <w:p w14:paraId="2CA471CE"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Tumaco</w:t>
            </w:r>
          </w:p>
        </w:tc>
        <w:tc>
          <w:tcPr>
            <w:tcW w:w="2975" w:type="dxa"/>
          </w:tcPr>
          <w:p w14:paraId="3BAEC00E"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Variante</w:t>
            </w:r>
          </w:p>
        </w:tc>
      </w:tr>
      <w:tr w:rsidR="00E92655" w:rsidRPr="00F72DDD" w14:paraId="09F4682F" w14:textId="77777777" w:rsidTr="009533D1">
        <w:trPr>
          <w:trHeight w:val="264"/>
          <w:jc w:val="center"/>
        </w:trPr>
        <w:tc>
          <w:tcPr>
            <w:tcW w:w="2974" w:type="dxa"/>
          </w:tcPr>
          <w:p w14:paraId="487074E8"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Norte de Santander</w:t>
            </w:r>
          </w:p>
        </w:tc>
        <w:tc>
          <w:tcPr>
            <w:tcW w:w="2975" w:type="dxa"/>
          </w:tcPr>
          <w:p w14:paraId="1D41C0C6"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Tibú</w:t>
            </w:r>
          </w:p>
        </w:tc>
        <w:tc>
          <w:tcPr>
            <w:tcW w:w="2975" w:type="dxa"/>
          </w:tcPr>
          <w:p w14:paraId="7E8D3342"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Caño Indio</w:t>
            </w:r>
          </w:p>
        </w:tc>
      </w:tr>
      <w:tr w:rsidR="00E92655" w:rsidRPr="00F72DDD" w14:paraId="5EEA0915" w14:textId="77777777" w:rsidTr="009533D1">
        <w:trPr>
          <w:trHeight w:val="264"/>
          <w:jc w:val="center"/>
        </w:trPr>
        <w:tc>
          <w:tcPr>
            <w:tcW w:w="2974" w:type="dxa"/>
          </w:tcPr>
          <w:p w14:paraId="004D9AA3"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Arauca</w:t>
            </w:r>
          </w:p>
        </w:tc>
        <w:tc>
          <w:tcPr>
            <w:tcW w:w="2975" w:type="dxa"/>
          </w:tcPr>
          <w:p w14:paraId="3C31FE3C"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Arauquita</w:t>
            </w:r>
          </w:p>
        </w:tc>
        <w:tc>
          <w:tcPr>
            <w:tcW w:w="2975" w:type="dxa"/>
          </w:tcPr>
          <w:p w14:paraId="64F32547"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Filipinas</w:t>
            </w:r>
          </w:p>
        </w:tc>
      </w:tr>
      <w:tr w:rsidR="00E92655" w:rsidRPr="00F72DDD" w14:paraId="355C4836" w14:textId="77777777" w:rsidTr="009533D1">
        <w:trPr>
          <w:trHeight w:val="264"/>
          <w:jc w:val="center"/>
        </w:trPr>
        <w:tc>
          <w:tcPr>
            <w:tcW w:w="2974" w:type="dxa"/>
            <w:vMerge w:val="restart"/>
          </w:tcPr>
          <w:p w14:paraId="536B40DF"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Antioquia</w:t>
            </w:r>
          </w:p>
        </w:tc>
        <w:tc>
          <w:tcPr>
            <w:tcW w:w="2975" w:type="dxa"/>
          </w:tcPr>
          <w:p w14:paraId="54A48779"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Anorí</w:t>
            </w:r>
          </w:p>
        </w:tc>
        <w:tc>
          <w:tcPr>
            <w:tcW w:w="2975" w:type="dxa"/>
          </w:tcPr>
          <w:p w14:paraId="46EE0C57"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Plancha</w:t>
            </w:r>
          </w:p>
        </w:tc>
      </w:tr>
      <w:tr w:rsidR="00E92655" w:rsidRPr="00F72DDD" w14:paraId="2CED66F1" w14:textId="77777777" w:rsidTr="009533D1">
        <w:trPr>
          <w:trHeight w:val="140"/>
          <w:jc w:val="center"/>
        </w:trPr>
        <w:tc>
          <w:tcPr>
            <w:tcW w:w="2974" w:type="dxa"/>
            <w:vMerge/>
          </w:tcPr>
          <w:p w14:paraId="304B1AF5" w14:textId="77777777" w:rsidR="00E92655" w:rsidRPr="00F72DDD" w:rsidRDefault="00E92655" w:rsidP="009533D1">
            <w:pPr>
              <w:jc w:val="center"/>
              <w:rPr>
                <w:rFonts w:ascii="Arial" w:hAnsi="Arial" w:cs="Arial"/>
                <w:sz w:val="24"/>
                <w:szCs w:val="24"/>
              </w:rPr>
            </w:pPr>
          </w:p>
        </w:tc>
        <w:tc>
          <w:tcPr>
            <w:tcW w:w="2975" w:type="dxa"/>
          </w:tcPr>
          <w:p w14:paraId="4C55EC97"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Remedios</w:t>
            </w:r>
          </w:p>
        </w:tc>
        <w:tc>
          <w:tcPr>
            <w:tcW w:w="2975" w:type="dxa"/>
          </w:tcPr>
          <w:p w14:paraId="1762308E"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Carrizal</w:t>
            </w:r>
          </w:p>
        </w:tc>
      </w:tr>
      <w:tr w:rsidR="00E92655" w:rsidRPr="00F72DDD" w14:paraId="51ADE177" w14:textId="77777777" w:rsidTr="009533D1">
        <w:trPr>
          <w:trHeight w:val="264"/>
          <w:jc w:val="center"/>
        </w:trPr>
        <w:tc>
          <w:tcPr>
            <w:tcW w:w="2974" w:type="dxa"/>
            <w:vMerge w:val="restart"/>
          </w:tcPr>
          <w:p w14:paraId="2A92FD99"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Urabá</w:t>
            </w:r>
          </w:p>
        </w:tc>
        <w:tc>
          <w:tcPr>
            <w:tcW w:w="2975" w:type="dxa"/>
          </w:tcPr>
          <w:p w14:paraId="6417AC73"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Ituango</w:t>
            </w:r>
          </w:p>
        </w:tc>
        <w:tc>
          <w:tcPr>
            <w:tcW w:w="2975" w:type="dxa"/>
          </w:tcPr>
          <w:p w14:paraId="7B3F97C2"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Sa</w:t>
            </w:r>
            <w:r>
              <w:rPr>
                <w:rFonts w:ascii="Arial" w:hAnsi="Arial" w:cs="Arial"/>
                <w:sz w:val="24"/>
                <w:szCs w:val="24"/>
              </w:rPr>
              <w:t>n</w:t>
            </w:r>
            <w:r w:rsidRPr="00F72DDD">
              <w:rPr>
                <w:rFonts w:ascii="Arial" w:hAnsi="Arial" w:cs="Arial"/>
                <w:sz w:val="24"/>
                <w:szCs w:val="24"/>
              </w:rPr>
              <w:t>ta Lucía</w:t>
            </w:r>
          </w:p>
        </w:tc>
      </w:tr>
      <w:tr w:rsidR="00E92655" w:rsidRPr="00F72DDD" w14:paraId="6E4B3A9B" w14:textId="77777777" w:rsidTr="009533D1">
        <w:trPr>
          <w:trHeight w:val="140"/>
          <w:jc w:val="center"/>
        </w:trPr>
        <w:tc>
          <w:tcPr>
            <w:tcW w:w="2974" w:type="dxa"/>
            <w:vMerge/>
          </w:tcPr>
          <w:p w14:paraId="16AF72F7" w14:textId="77777777" w:rsidR="00E92655" w:rsidRPr="00F72DDD" w:rsidRDefault="00E92655" w:rsidP="009533D1">
            <w:pPr>
              <w:jc w:val="center"/>
              <w:rPr>
                <w:rFonts w:ascii="Arial" w:hAnsi="Arial" w:cs="Arial"/>
                <w:sz w:val="24"/>
                <w:szCs w:val="24"/>
              </w:rPr>
            </w:pPr>
          </w:p>
        </w:tc>
        <w:tc>
          <w:tcPr>
            <w:tcW w:w="2975" w:type="dxa"/>
          </w:tcPr>
          <w:p w14:paraId="63DA3450"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Dabeiba</w:t>
            </w:r>
          </w:p>
        </w:tc>
        <w:tc>
          <w:tcPr>
            <w:tcW w:w="2975" w:type="dxa"/>
          </w:tcPr>
          <w:p w14:paraId="4515BEF3"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Llanogrande</w:t>
            </w:r>
          </w:p>
        </w:tc>
      </w:tr>
      <w:tr w:rsidR="00E92655" w:rsidRPr="00F72DDD" w14:paraId="2B9627B3" w14:textId="77777777" w:rsidTr="009533D1">
        <w:trPr>
          <w:trHeight w:val="140"/>
          <w:jc w:val="center"/>
        </w:trPr>
        <w:tc>
          <w:tcPr>
            <w:tcW w:w="2974" w:type="dxa"/>
            <w:vMerge/>
          </w:tcPr>
          <w:p w14:paraId="57142D57" w14:textId="77777777" w:rsidR="00E92655" w:rsidRPr="00F72DDD" w:rsidRDefault="00E92655" w:rsidP="009533D1">
            <w:pPr>
              <w:jc w:val="center"/>
              <w:rPr>
                <w:rFonts w:ascii="Arial" w:hAnsi="Arial" w:cs="Arial"/>
                <w:sz w:val="24"/>
                <w:szCs w:val="24"/>
              </w:rPr>
            </w:pPr>
          </w:p>
        </w:tc>
        <w:tc>
          <w:tcPr>
            <w:tcW w:w="2975" w:type="dxa"/>
          </w:tcPr>
          <w:p w14:paraId="3C1C4523"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Río Sucio</w:t>
            </w:r>
          </w:p>
        </w:tc>
        <w:tc>
          <w:tcPr>
            <w:tcW w:w="2975" w:type="dxa"/>
          </w:tcPr>
          <w:p w14:paraId="23952416"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Las Brisas</w:t>
            </w:r>
          </w:p>
        </w:tc>
      </w:tr>
      <w:tr w:rsidR="00E92655" w:rsidRPr="00F72DDD" w14:paraId="0052A14D" w14:textId="77777777" w:rsidTr="009533D1">
        <w:trPr>
          <w:trHeight w:val="264"/>
          <w:jc w:val="center"/>
        </w:trPr>
        <w:tc>
          <w:tcPr>
            <w:tcW w:w="2974" w:type="dxa"/>
            <w:vMerge w:val="restart"/>
          </w:tcPr>
          <w:p w14:paraId="3A7DD159"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Meta</w:t>
            </w:r>
          </w:p>
        </w:tc>
        <w:tc>
          <w:tcPr>
            <w:tcW w:w="2975" w:type="dxa"/>
          </w:tcPr>
          <w:p w14:paraId="07D51C93"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Vistahermosa</w:t>
            </w:r>
          </w:p>
        </w:tc>
        <w:tc>
          <w:tcPr>
            <w:tcW w:w="2975" w:type="dxa"/>
          </w:tcPr>
          <w:p w14:paraId="15B5F3B2"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Reforma</w:t>
            </w:r>
          </w:p>
        </w:tc>
      </w:tr>
      <w:tr w:rsidR="00E92655" w:rsidRPr="00F72DDD" w14:paraId="78B76758" w14:textId="77777777" w:rsidTr="009533D1">
        <w:trPr>
          <w:trHeight w:val="140"/>
          <w:jc w:val="center"/>
        </w:trPr>
        <w:tc>
          <w:tcPr>
            <w:tcW w:w="2974" w:type="dxa"/>
            <w:vMerge/>
          </w:tcPr>
          <w:p w14:paraId="7D02ABD5" w14:textId="77777777" w:rsidR="00E92655" w:rsidRPr="00F72DDD" w:rsidRDefault="00E92655" w:rsidP="009533D1">
            <w:pPr>
              <w:jc w:val="center"/>
              <w:rPr>
                <w:rFonts w:ascii="Arial" w:hAnsi="Arial" w:cs="Arial"/>
                <w:sz w:val="24"/>
                <w:szCs w:val="24"/>
              </w:rPr>
            </w:pPr>
          </w:p>
        </w:tc>
        <w:tc>
          <w:tcPr>
            <w:tcW w:w="2975" w:type="dxa"/>
          </w:tcPr>
          <w:p w14:paraId="6A8718AB"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Mesetas</w:t>
            </w:r>
          </w:p>
        </w:tc>
        <w:tc>
          <w:tcPr>
            <w:tcW w:w="2975" w:type="dxa"/>
          </w:tcPr>
          <w:p w14:paraId="5BCA3DF3"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Guajira</w:t>
            </w:r>
          </w:p>
        </w:tc>
      </w:tr>
      <w:tr w:rsidR="00E92655" w:rsidRPr="00F72DDD" w14:paraId="6DA118AA" w14:textId="77777777" w:rsidTr="009533D1">
        <w:trPr>
          <w:trHeight w:val="140"/>
          <w:jc w:val="center"/>
        </w:trPr>
        <w:tc>
          <w:tcPr>
            <w:tcW w:w="2974" w:type="dxa"/>
            <w:vMerge/>
          </w:tcPr>
          <w:p w14:paraId="2F049388" w14:textId="77777777" w:rsidR="00E92655" w:rsidRPr="00F72DDD" w:rsidRDefault="00E92655" w:rsidP="009533D1">
            <w:pPr>
              <w:jc w:val="center"/>
              <w:rPr>
                <w:rFonts w:ascii="Arial" w:hAnsi="Arial" w:cs="Arial"/>
                <w:sz w:val="24"/>
                <w:szCs w:val="24"/>
              </w:rPr>
            </w:pPr>
          </w:p>
        </w:tc>
        <w:tc>
          <w:tcPr>
            <w:tcW w:w="2975" w:type="dxa"/>
          </w:tcPr>
          <w:p w14:paraId="5D9C85EC"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Macarena</w:t>
            </w:r>
          </w:p>
        </w:tc>
        <w:tc>
          <w:tcPr>
            <w:tcW w:w="2975" w:type="dxa"/>
          </w:tcPr>
          <w:p w14:paraId="58CA8D71"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Yarí</w:t>
            </w:r>
          </w:p>
        </w:tc>
      </w:tr>
      <w:tr w:rsidR="00E92655" w:rsidRPr="00F72DDD" w14:paraId="329629CC" w14:textId="77777777" w:rsidTr="009533D1">
        <w:trPr>
          <w:trHeight w:val="264"/>
          <w:jc w:val="center"/>
        </w:trPr>
        <w:tc>
          <w:tcPr>
            <w:tcW w:w="2974" w:type="dxa"/>
          </w:tcPr>
          <w:p w14:paraId="583C322F"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Guaviare</w:t>
            </w:r>
          </w:p>
        </w:tc>
        <w:tc>
          <w:tcPr>
            <w:tcW w:w="2975" w:type="dxa"/>
          </w:tcPr>
          <w:p w14:paraId="185E1BCE"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San José del Guaviare</w:t>
            </w:r>
          </w:p>
        </w:tc>
        <w:tc>
          <w:tcPr>
            <w:tcW w:w="2975" w:type="dxa"/>
          </w:tcPr>
          <w:p w14:paraId="6D5D626F"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Charras</w:t>
            </w:r>
          </w:p>
        </w:tc>
      </w:tr>
      <w:tr w:rsidR="00E92655" w:rsidRPr="00F72DDD" w14:paraId="65F007DD" w14:textId="77777777" w:rsidTr="009533D1">
        <w:trPr>
          <w:trHeight w:val="264"/>
          <w:jc w:val="center"/>
        </w:trPr>
        <w:tc>
          <w:tcPr>
            <w:tcW w:w="2974" w:type="dxa"/>
          </w:tcPr>
          <w:p w14:paraId="45CE391F"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Guajira</w:t>
            </w:r>
          </w:p>
        </w:tc>
        <w:tc>
          <w:tcPr>
            <w:tcW w:w="2975" w:type="dxa"/>
          </w:tcPr>
          <w:p w14:paraId="13723514"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Fonseca</w:t>
            </w:r>
          </w:p>
        </w:tc>
        <w:tc>
          <w:tcPr>
            <w:tcW w:w="2975" w:type="dxa"/>
          </w:tcPr>
          <w:p w14:paraId="1F6AF970"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Pondores</w:t>
            </w:r>
          </w:p>
        </w:tc>
      </w:tr>
      <w:tr w:rsidR="00E92655" w:rsidRPr="00F72DDD" w14:paraId="65DF00CA" w14:textId="77777777" w:rsidTr="009533D1">
        <w:trPr>
          <w:trHeight w:val="277"/>
          <w:jc w:val="center"/>
        </w:trPr>
        <w:tc>
          <w:tcPr>
            <w:tcW w:w="2974" w:type="dxa"/>
          </w:tcPr>
          <w:p w14:paraId="446AA2BE"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Cesar</w:t>
            </w:r>
          </w:p>
        </w:tc>
        <w:tc>
          <w:tcPr>
            <w:tcW w:w="2975" w:type="dxa"/>
          </w:tcPr>
          <w:p w14:paraId="49F23DB9"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La Paz</w:t>
            </w:r>
          </w:p>
        </w:tc>
        <w:tc>
          <w:tcPr>
            <w:tcW w:w="2975" w:type="dxa"/>
          </w:tcPr>
          <w:p w14:paraId="6D36AEDB" w14:textId="77777777" w:rsidR="00E92655" w:rsidRPr="00F72DDD" w:rsidRDefault="00E92655" w:rsidP="009533D1">
            <w:pPr>
              <w:jc w:val="center"/>
              <w:rPr>
                <w:rFonts w:ascii="Arial" w:hAnsi="Arial" w:cs="Arial"/>
                <w:sz w:val="24"/>
                <w:szCs w:val="24"/>
              </w:rPr>
            </w:pPr>
            <w:r w:rsidRPr="00F72DDD">
              <w:rPr>
                <w:rFonts w:ascii="Arial" w:hAnsi="Arial" w:cs="Arial"/>
                <w:sz w:val="24"/>
                <w:szCs w:val="24"/>
              </w:rPr>
              <w:t>San José de Oriente</w:t>
            </w:r>
          </w:p>
        </w:tc>
      </w:tr>
    </w:tbl>
    <w:p w14:paraId="372E41B1" w14:textId="77777777" w:rsidR="00E92655" w:rsidRPr="00176D33" w:rsidRDefault="00E92655" w:rsidP="00E92655">
      <w:pPr>
        <w:jc w:val="center"/>
        <w:rPr>
          <w:rFonts w:ascii="Arial" w:hAnsi="Arial" w:cs="Arial"/>
          <w:lang w:val="es-CO"/>
        </w:rPr>
      </w:pPr>
      <w:r w:rsidRPr="00176D33">
        <w:rPr>
          <w:rFonts w:ascii="Arial" w:hAnsi="Arial" w:cs="Arial"/>
          <w:sz w:val="20"/>
          <w:szCs w:val="20"/>
          <w:lang w:val="es-CO"/>
        </w:rPr>
        <w:t>Fuente: Ministerio de Defensa Nacional, 2021</w:t>
      </w:r>
      <w:r w:rsidRPr="00176D33">
        <w:rPr>
          <w:rFonts w:ascii="Arial" w:hAnsi="Arial" w:cs="Arial"/>
          <w:lang w:val="es-CO"/>
        </w:rPr>
        <w:t>.</w:t>
      </w:r>
    </w:p>
    <w:p w14:paraId="049AE3E5" w14:textId="77777777" w:rsidR="00E92655" w:rsidRPr="00F37519" w:rsidRDefault="00E92655" w:rsidP="00E92655">
      <w:pPr>
        <w:spacing w:line="240" w:lineRule="auto"/>
        <w:jc w:val="both"/>
        <w:rPr>
          <w:rFonts w:ascii="Arial" w:hAnsi="Arial" w:cs="Arial"/>
          <w:sz w:val="24"/>
          <w:szCs w:val="24"/>
          <w:lang w:val="es-CO"/>
        </w:rPr>
      </w:pPr>
      <w:r w:rsidRPr="00677194">
        <w:rPr>
          <w:rFonts w:ascii="Arial" w:hAnsi="Arial" w:cs="Arial"/>
          <w:sz w:val="24"/>
          <w:szCs w:val="24"/>
          <w:lang w:val="es-CO"/>
        </w:rPr>
        <w:t>El objeto</w:t>
      </w:r>
      <w:r>
        <w:rPr>
          <w:rFonts w:ascii="Arial" w:hAnsi="Arial" w:cs="Arial"/>
          <w:sz w:val="24"/>
          <w:szCs w:val="24"/>
          <w:lang w:val="es-CO"/>
        </w:rPr>
        <w:t xml:space="preserve"> de que las UBICAR presten servicios en los ETCR</w:t>
      </w:r>
      <w:r w:rsidRPr="00677194">
        <w:rPr>
          <w:rFonts w:ascii="Arial" w:hAnsi="Arial" w:cs="Arial"/>
          <w:sz w:val="24"/>
          <w:szCs w:val="24"/>
          <w:lang w:val="es-CO"/>
        </w:rPr>
        <w:t xml:space="preserve"> es contribuir en la implementación de las medidas que garanticen la seguridad de los lideres/as, defensores/ y excombatientes de las FARC que se encuentran en proceso de reinco</w:t>
      </w:r>
      <w:r>
        <w:rPr>
          <w:rFonts w:ascii="Arial" w:hAnsi="Arial" w:cs="Arial"/>
          <w:sz w:val="24"/>
          <w:szCs w:val="24"/>
          <w:lang w:val="es-CO"/>
        </w:rPr>
        <w:t>rporación</w:t>
      </w:r>
      <w:r w:rsidRPr="00677194">
        <w:rPr>
          <w:rFonts w:ascii="Arial" w:hAnsi="Arial" w:cs="Arial"/>
          <w:sz w:val="24"/>
          <w:szCs w:val="24"/>
          <w:lang w:val="es-CO"/>
        </w:rPr>
        <w:t xml:space="preserve">. </w:t>
      </w:r>
      <w:r w:rsidRPr="00F37519">
        <w:rPr>
          <w:rFonts w:ascii="Arial" w:hAnsi="Arial" w:cs="Arial"/>
          <w:sz w:val="24"/>
          <w:szCs w:val="24"/>
          <w:lang w:val="es-CO"/>
        </w:rPr>
        <w:t>Es importante resaltar que los efectivos de policía desplegados en siete de las UBICAR cuentan con formación especializada y certificada en género, al igual que en rutas de atención y formación de formadores para replicar dichos conocimientos</w:t>
      </w:r>
      <w:r w:rsidRPr="00F37519">
        <w:rPr>
          <w:rStyle w:val="FootnoteReference"/>
          <w:rFonts w:ascii="Arial" w:hAnsi="Arial" w:cs="Arial"/>
          <w:sz w:val="24"/>
          <w:szCs w:val="24"/>
          <w:lang w:val="es-CO"/>
        </w:rPr>
        <w:footnoteReference w:id="1"/>
      </w:r>
      <w:r w:rsidRPr="00F37519">
        <w:rPr>
          <w:rFonts w:ascii="Arial" w:hAnsi="Arial" w:cs="Arial"/>
          <w:sz w:val="24"/>
          <w:szCs w:val="24"/>
          <w:lang w:val="es-CO"/>
        </w:rPr>
        <w:t>. Ello, en el marco del proyecto de Enfoque de Género en el Servicio de Policía, implementado en conjunto por la Policía Nacional e INTERPEACE, y el apoyo del Fondo Multidonante de las Naciones Unidas para el Posconflicto</w:t>
      </w:r>
      <w:r w:rsidRPr="00F37519">
        <w:rPr>
          <w:rStyle w:val="FootnoteReference"/>
          <w:rFonts w:ascii="Arial" w:hAnsi="Arial" w:cs="Arial"/>
          <w:sz w:val="24"/>
          <w:szCs w:val="24"/>
          <w:lang w:val="es-CO"/>
        </w:rPr>
        <w:footnoteReference w:id="2"/>
      </w:r>
      <w:r w:rsidRPr="00F37519">
        <w:rPr>
          <w:rFonts w:ascii="Arial" w:hAnsi="Arial" w:cs="Arial"/>
          <w:sz w:val="24"/>
          <w:szCs w:val="24"/>
          <w:lang w:val="es-CO"/>
        </w:rPr>
        <w:t>.</w:t>
      </w:r>
    </w:p>
    <w:p w14:paraId="45256B55" w14:textId="77777777" w:rsidR="00E92655" w:rsidRPr="00677194" w:rsidRDefault="00E92655" w:rsidP="00E92655">
      <w:pPr>
        <w:spacing w:line="240" w:lineRule="auto"/>
        <w:jc w:val="both"/>
        <w:rPr>
          <w:rFonts w:ascii="Arial" w:hAnsi="Arial" w:cs="Arial"/>
          <w:sz w:val="24"/>
          <w:szCs w:val="24"/>
          <w:lang w:val="es-CO"/>
        </w:rPr>
      </w:pPr>
    </w:p>
    <w:p w14:paraId="47937CFC"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Gráfica 1</w:t>
      </w:r>
    </w:p>
    <w:p w14:paraId="002EB8FA" w14:textId="77777777" w:rsidR="00E92655" w:rsidRPr="00570AC6" w:rsidRDefault="00E92655" w:rsidP="00E92655">
      <w:pPr>
        <w:spacing w:line="240" w:lineRule="auto"/>
        <w:ind w:left="317" w:hanging="317"/>
        <w:jc w:val="center"/>
        <w:rPr>
          <w:rFonts w:ascii="Arial" w:hAnsi="Arial" w:cs="Arial"/>
          <w:b/>
          <w:bCs/>
          <w:sz w:val="24"/>
          <w:szCs w:val="24"/>
          <w:lang w:val="es-CO"/>
        </w:rPr>
      </w:pPr>
      <w:r w:rsidRPr="00570AC6">
        <w:rPr>
          <w:rFonts w:ascii="Arial" w:hAnsi="Arial" w:cs="Arial"/>
          <w:b/>
          <w:bCs/>
          <w:sz w:val="24"/>
          <w:szCs w:val="24"/>
          <w:lang w:val="es-CO"/>
        </w:rPr>
        <w:t>Planes de Acción para la Transformacional Regional (PATR)</w:t>
      </w:r>
    </w:p>
    <w:p w14:paraId="1B7AF1BD" w14:textId="77777777" w:rsidR="00E92655" w:rsidRPr="00570AC6" w:rsidRDefault="00E92655" w:rsidP="00E92655">
      <w:pPr>
        <w:spacing w:line="240" w:lineRule="auto"/>
        <w:ind w:left="317" w:hanging="317"/>
        <w:jc w:val="both"/>
        <w:rPr>
          <w:rFonts w:ascii="Arial" w:hAnsi="Arial" w:cs="Arial"/>
          <w:b/>
          <w:sz w:val="24"/>
          <w:szCs w:val="24"/>
          <w:lang w:val="es-CO"/>
        </w:rPr>
      </w:pPr>
      <w:r w:rsidRPr="00570AC6">
        <w:rPr>
          <w:rFonts w:ascii="Arial" w:hAnsi="Arial" w:cs="Arial"/>
          <w:b/>
          <w:noProof/>
          <w:sz w:val="24"/>
          <w:szCs w:val="24"/>
          <w:lang w:val="en-GB" w:eastAsia="en-GB"/>
        </w:rPr>
        <w:drawing>
          <wp:inline distT="0" distB="0" distL="0" distR="0" wp14:anchorId="54A2EE04" wp14:editId="0991E04E">
            <wp:extent cx="5503653" cy="2097718"/>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3535" cy="2097673"/>
                    </a:xfrm>
                    <a:prstGeom prst="rect">
                      <a:avLst/>
                    </a:prstGeom>
                    <a:noFill/>
                    <a:ln>
                      <a:noFill/>
                    </a:ln>
                  </pic:spPr>
                </pic:pic>
              </a:graphicData>
            </a:graphic>
          </wp:inline>
        </w:drawing>
      </w:r>
    </w:p>
    <w:p w14:paraId="5698ABDD" w14:textId="77777777" w:rsidR="00E92655" w:rsidRPr="00705A15" w:rsidRDefault="00E92655" w:rsidP="00E92655">
      <w:pPr>
        <w:spacing w:line="240" w:lineRule="auto"/>
        <w:ind w:left="317" w:hanging="317"/>
        <w:jc w:val="center"/>
        <w:rPr>
          <w:rFonts w:ascii="Arial" w:hAnsi="Arial" w:cs="Arial"/>
          <w:sz w:val="20"/>
          <w:szCs w:val="20"/>
          <w:lang w:val="es-CO"/>
        </w:rPr>
      </w:pPr>
      <w:r w:rsidRPr="00705A15">
        <w:rPr>
          <w:rFonts w:ascii="Arial" w:hAnsi="Arial" w:cs="Arial"/>
          <w:sz w:val="20"/>
          <w:szCs w:val="20"/>
          <w:lang w:val="es-CO"/>
        </w:rPr>
        <w:t>Fuente: CPEC, 2021.</w:t>
      </w:r>
    </w:p>
    <w:p w14:paraId="3A061B19" w14:textId="77777777" w:rsidR="00E92655" w:rsidRDefault="00E92655" w:rsidP="00E92655">
      <w:pPr>
        <w:spacing w:line="240" w:lineRule="auto"/>
        <w:jc w:val="both"/>
        <w:rPr>
          <w:rFonts w:ascii="Arial" w:hAnsi="Arial" w:cs="Arial"/>
          <w:b/>
          <w:sz w:val="24"/>
          <w:szCs w:val="24"/>
          <w:lang w:val="es-CO"/>
        </w:rPr>
      </w:pPr>
      <w:r w:rsidRPr="00F37519">
        <w:rPr>
          <w:rFonts w:ascii="Arial" w:hAnsi="Arial" w:cs="Arial"/>
          <w:sz w:val="24"/>
          <w:szCs w:val="24"/>
          <w:lang w:val="es-CO"/>
        </w:rPr>
        <w:t xml:space="preserve">Estas iniciativas recogen visiones de la comunidad, y centran los esfuerzos de desarrollo en las necesidades identificadas y expresadas por la población. Además, en las zonas PDET, el Gobierno Nacional, de la mano del sector privado, los gobiernos locales, las comunidades, los grupos étnicos y la cooperación internacional, ha puesto en marcha diversas estrategias dirigidas al desarrollo de proyectos de infraestructura para el </w:t>
      </w:r>
      <w:r w:rsidRPr="00F37519">
        <w:rPr>
          <w:rFonts w:ascii="Arial" w:hAnsi="Arial" w:cs="Arial"/>
          <w:sz w:val="24"/>
          <w:szCs w:val="24"/>
          <w:lang w:val="es-CO"/>
        </w:rPr>
        <w:lastRenderedPageBreak/>
        <w:t>mejoramiento de vías, agua potable, alcantarillado, suministro de energía, salud y educación.</w:t>
      </w:r>
    </w:p>
    <w:p w14:paraId="174A5172" w14:textId="77777777" w:rsidR="00E92655" w:rsidRPr="004150F6"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Tabla 3</w:t>
      </w:r>
    </w:p>
    <w:p w14:paraId="19234135"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noProof/>
          <w:sz w:val="24"/>
          <w:szCs w:val="24"/>
          <w:lang w:val="en-GB" w:eastAsia="en-GB"/>
        </w:rPr>
        <w:drawing>
          <wp:inline distT="0" distB="0" distL="0" distR="0" wp14:anchorId="3C56C370" wp14:editId="679474E1">
            <wp:extent cx="4933315" cy="101028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3315" cy="1010285"/>
                    </a:xfrm>
                    <a:prstGeom prst="rect">
                      <a:avLst/>
                    </a:prstGeom>
                    <a:noFill/>
                    <a:ln>
                      <a:noFill/>
                    </a:ln>
                  </pic:spPr>
                </pic:pic>
              </a:graphicData>
            </a:graphic>
          </wp:inline>
        </w:drawing>
      </w:r>
    </w:p>
    <w:p w14:paraId="788949F8"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noProof/>
          <w:sz w:val="24"/>
          <w:szCs w:val="24"/>
          <w:lang w:val="en-GB" w:eastAsia="en-GB"/>
        </w:rPr>
        <w:drawing>
          <wp:inline distT="0" distB="0" distL="0" distR="0" wp14:anchorId="4554C9BC" wp14:editId="60CBFDA6">
            <wp:extent cx="4933315" cy="143510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3315" cy="1435100"/>
                    </a:xfrm>
                    <a:prstGeom prst="rect">
                      <a:avLst/>
                    </a:prstGeom>
                    <a:noFill/>
                    <a:ln>
                      <a:noFill/>
                    </a:ln>
                  </pic:spPr>
                </pic:pic>
              </a:graphicData>
            </a:graphic>
          </wp:inline>
        </w:drawing>
      </w:r>
    </w:p>
    <w:p w14:paraId="45E7A661" w14:textId="77777777" w:rsidR="00E92655" w:rsidRPr="00705A15" w:rsidRDefault="00E92655" w:rsidP="00E92655">
      <w:pPr>
        <w:spacing w:line="240" w:lineRule="auto"/>
        <w:ind w:left="317" w:hanging="317"/>
        <w:jc w:val="center"/>
        <w:rPr>
          <w:rFonts w:ascii="Arial" w:hAnsi="Arial" w:cs="Arial"/>
          <w:sz w:val="20"/>
          <w:szCs w:val="20"/>
          <w:lang w:val="es-CO"/>
        </w:rPr>
      </w:pPr>
      <w:r w:rsidRPr="00705A15">
        <w:rPr>
          <w:rFonts w:ascii="Arial" w:hAnsi="Arial" w:cs="Arial"/>
          <w:sz w:val="20"/>
          <w:szCs w:val="20"/>
          <w:lang w:val="es-CO"/>
        </w:rPr>
        <w:t>Fuente: CPEC, 2021.</w:t>
      </w:r>
    </w:p>
    <w:p w14:paraId="62E6B7AB" w14:textId="77777777" w:rsidR="00E92655" w:rsidRDefault="00E92655" w:rsidP="00E92655">
      <w:pPr>
        <w:spacing w:line="240" w:lineRule="auto"/>
        <w:jc w:val="both"/>
        <w:rPr>
          <w:rFonts w:ascii="Arial" w:hAnsi="Arial" w:cs="Arial"/>
          <w:sz w:val="24"/>
          <w:szCs w:val="24"/>
          <w:lang w:val="es-CO"/>
        </w:rPr>
      </w:pPr>
      <w:r>
        <w:rPr>
          <w:rFonts w:ascii="Arial" w:hAnsi="Arial" w:cs="Arial"/>
          <w:sz w:val="24"/>
          <w:szCs w:val="24"/>
          <w:lang w:val="es-CO"/>
        </w:rPr>
        <w:t xml:space="preserve">La </w:t>
      </w:r>
      <w:r w:rsidRPr="00005BBC">
        <w:rPr>
          <w:rFonts w:ascii="Arial" w:hAnsi="Arial" w:cs="Arial"/>
          <w:sz w:val="24"/>
          <w:szCs w:val="24"/>
          <w:lang w:val="es-CO"/>
        </w:rPr>
        <w:t xml:space="preserve">caja de herramientas de género </w:t>
      </w:r>
      <w:r>
        <w:rPr>
          <w:rFonts w:ascii="Arial" w:hAnsi="Arial" w:cs="Arial"/>
          <w:sz w:val="24"/>
          <w:szCs w:val="24"/>
          <w:lang w:val="es-CO"/>
        </w:rPr>
        <w:t>implementada por la ART dio c</w:t>
      </w:r>
      <w:r w:rsidRPr="00005BBC">
        <w:rPr>
          <w:rFonts w:ascii="Arial" w:hAnsi="Arial" w:cs="Arial"/>
          <w:sz w:val="24"/>
          <w:szCs w:val="24"/>
          <w:lang w:val="es-CO"/>
        </w:rPr>
        <w:t>omo resultado</w:t>
      </w:r>
      <w:r>
        <w:rPr>
          <w:rFonts w:ascii="Arial" w:hAnsi="Arial" w:cs="Arial"/>
          <w:sz w:val="24"/>
          <w:szCs w:val="24"/>
          <w:lang w:val="es-CO"/>
        </w:rPr>
        <w:t xml:space="preserve"> </w:t>
      </w:r>
      <w:r w:rsidRPr="00005BBC">
        <w:rPr>
          <w:rFonts w:ascii="Arial" w:hAnsi="Arial" w:cs="Arial"/>
          <w:sz w:val="24"/>
          <w:szCs w:val="24"/>
          <w:lang w:val="es-CO"/>
        </w:rPr>
        <w:t>que las propuestas de las mujeres y organizaciones de mujeres quedaran recogidas en 4.606 iniciativas con etiqueta de género y mujer rural de los PATR</w:t>
      </w:r>
      <w:r>
        <w:rPr>
          <w:rFonts w:ascii="Arial" w:hAnsi="Arial" w:cs="Arial"/>
          <w:sz w:val="24"/>
          <w:szCs w:val="24"/>
          <w:lang w:val="es-CO"/>
        </w:rPr>
        <w:t xml:space="preserve">, </w:t>
      </w:r>
      <w:r w:rsidRPr="00005BBC">
        <w:rPr>
          <w:rFonts w:ascii="Arial" w:hAnsi="Arial" w:cs="Arial"/>
          <w:sz w:val="24"/>
          <w:szCs w:val="24"/>
          <w:lang w:val="es-CO"/>
        </w:rPr>
        <w:t>equivalente al 14% del to</w:t>
      </w:r>
      <w:r>
        <w:rPr>
          <w:rFonts w:ascii="Arial" w:hAnsi="Arial" w:cs="Arial"/>
          <w:sz w:val="24"/>
          <w:szCs w:val="24"/>
          <w:lang w:val="es-CO"/>
        </w:rPr>
        <w:t>tal de las iniciativas. Estas</w:t>
      </w:r>
      <w:r w:rsidRPr="00005BBC">
        <w:rPr>
          <w:rFonts w:ascii="Arial" w:hAnsi="Arial" w:cs="Arial"/>
          <w:sz w:val="24"/>
          <w:szCs w:val="24"/>
          <w:lang w:val="es-CO"/>
        </w:rPr>
        <w:t xml:space="preserve"> resultan clave para transformar la vida de las mujeres con obras en </w:t>
      </w:r>
      <w:r>
        <w:rPr>
          <w:rFonts w:ascii="Arial" w:hAnsi="Arial" w:cs="Arial"/>
          <w:sz w:val="24"/>
          <w:szCs w:val="24"/>
          <w:lang w:val="es-CO"/>
        </w:rPr>
        <w:t xml:space="preserve">diversos sectores sociales </w:t>
      </w:r>
      <w:r w:rsidRPr="00005BBC">
        <w:rPr>
          <w:rFonts w:ascii="Arial" w:hAnsi="Arial" w:cs="Arial"/>
          <w:sz w:val="24"/>
          <w:szCs w:val="24"/>
          <w:lang w:val="es-CO"/>
        </w:rPr>
        <w:t>en 170 de los municipios más vulnerables del país</w:t>
      </w:r>
      <w:r>
        <w:rPr>
          <w:rStyle w:val="FootnoteReference"/>
          <w:rFonts w:ascii="Arial" w:hAnsi="Arial" w:cs="Arial"/>
          <w:sz w:val="24"/>
          <w:szCs w:val="24"/>
          <w:lang w:val="es-CO"/>
        </w:rPr>
        <w:footnoteReference w:id="3"/>
      </w:r>
      <w:r w:rsidRPr="00005BBC">
        <w:rPr>
          <w:rFonts w:ascii="Arial" w:hAnsi="Arial" w:cs="Arial"/>
          <w:sz w:val="24"/>
          <w:szCs w:val="24"/>
          <w:lang w:val="es-CO"/>
        </w:rPr>
        <w:t>.</w:t>
      </w:r>
    </w:p>
    <w:p w14:paraId="4821128E"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Tabla 4</w:t>
      </w:r>
    </w:p>
    <w:p w14:paraId="37D1BFF5"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noProof/>
          <w:sz w:val="24"/>
          <w:szCs w:val="24"/>
          <w:lang w:val="en-GB" w:eastAsia="en-GB"/>
        </w:rPr>
        <w:drawing>
          <wp:inline distT="0" distB="0" distL="0" distR="0" wp14:anchorId="0CCEA6AB" wp14:editId="6EDCAE08">
            <wp:extent cx="4925695" cy="2070100"/>
            <wp:effectExtent l="0" t="0" r="825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5695" cy="2070100"/>
                    </a:xfrm>
                    <a:prstGeom prst="rect">
                      <a:avLst/>
                    </a:prstGeom>
                    <a:noFill/>
                    <a:ln>
                      <a:noFill/>
                    </a:ln>
                  </pic:spPr>
                </pic:pic>
              </a:graphicData>
            </a:graphic>
          </wp:inline>
        </w:drawing>
      </w:r>
    </w:p>
    <w:p w14:paraId="04BDE2D7"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noProof/>
          <w:sz w:val="24"/>
          <w:szCs w:val="24"/>
          <w:lang w:val="en-GB" w:eastAsia="en-GB"/>
        </w:rPr>
        <w:drawing>
          <wp:inline distT="0" distB="0" distL="0" distR="0" wp14:anchorId="230D66CA" wp14:editId="542D0CDA">
            <wp:extent cx="4912360" cy="3253740"/>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2360" cy="3253740"/>
                    </a:xfrm>
                    <a:prstGeom prst="rect">
                      <a:avLst/>
                    </a:prstGeom>
                    <a:noFill/>
                    <a:ln>
                      <a:noFill/>
                    </a:ln>
                  </pic:spPr>
                </pic:pic>
              </a:graphicData>
            </a:graphic>
          </wp:inline>
        </w:drawing>
      </w:r>
    </w:p>
    <w:p w14:paraId="03B3F480" w14:textId="77777777" w:rsidR="00E92655" w:rsidRPr="00705A15" w:rsidRDefault="00E92655" w:rsidP="00E92655">
      <w:pPr>
        <w:spacing w:line="240" w:lineRule="auto"/>
        <w:ind w:left="317" w:hanging="317"/>
        <w:jc w:val="center"/>
        <w:rPr>
          <w:rFonts w:ascii="Arial" w:hAnsi="Arial" w:cs="Arial"/>
          <w:sz w:val="20"/>
          <w:szCs w:val="20"/>
          <w:lang w:val="es-CO"/>
        </w:rPr>
      </w:pPr>
      <w:r w:rsidRPr="00705A15">
        <w:rPr>
          <w:rFonts w:ascii="Arial" w:hAnsi="Arial" w:cs="Arial"/>
          <w:sz w:val="20"/>
          <w:szCs w:val="20"/>
          <w:lang w:val="es-CO"/>
        </w:rPr>
        <w:t>Fuente: CPEC, 2021.</w:t>
      </w:r>
    </w:p>
    <w:p w14:paraId="29B7944A" w14:textId="77777777" w:rsidR="00E92655" w:rsidRDefault="00E92655" w:rsidP="00E92655">
      <w:pPr>
        <w:spacing w:line="240" w:lineRule="auto"/>
        <w:ind w:left="317" w:hanging="317"/>
        <w:jc w:val="center"/>
        <w:rPr>
          <w:rFonts w:ascii="Arial" w:hAnsi="Arial" w:cs="Arial"/>
          <w:b/>
          <w:sz w:val="24"/>
          <w:szCs w:val="24"/>
          <w:lang w:val="es-CO"/>
        </w:rPr>
      </w:pPr>
    </w:p>
    <w:p w14:paraId="02C0A0CC" w14:textId="77777777" w:rsidR="00E92655" w:rsidRPr="009E3B7B"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Tabla 5</w:t>
      </w:r>
      <w:r w:rsidRPr="009E3B7B">
        <w:rPr>
          <w:rFonts w:ascii="Arial" w:hAnsi="Arial" w:cs="Arial"/>
          <w:b/>
          <w:sz w:val="24"/>
          <w:szCs w:val="24"/>
          <w:lang w:val="es-CO"/>
        </w:rPr>
        <w:t>:</w:t>
      </w:r>
    </w:p>
    <w:p w14:paraId="32E55148" w14:textId="77777777" w:rsidR="00E92655" w:rsidRPr="009E3B7B" w:rsidRDefault="00E92655" w:rsidP="00E92655">
      <w:pPr>
        <w:spacing w:line="240" w:lineRule="auto"/>
        <w:ind w:left="317" w:hanging="317"/>
        <w:jc w:val="center"/>
        <w:rPr>
          <w:rFonts w:ascii="Arial" w:hAnsi="Arial" w:cs="Arial"/>
          <w:b/>
          <w:sz w:val="24"/>
          <w:szCs w:val="24"/>
          <w:lang w:val="es-CO"/>
        </w:rPr>
      </w:pPr>
      <w:r w:rsidRPr="009E3B7B">
        <w:rPr>
          <w:rFonts w:ascii="Arial" w:hAnsi="Arial" w:cs="Arial"/>
          <w:b/>
          <w:sz w:val="24"/>
          <w:szCs w:val="24"/>
          <w:lang w:val="es-CO"/>
        </w:rPr>
        <w:t xml:space="preserve">Resumen total asistencia talleres Protocolo </w:t>
      </w:r>
      <w:r>
        <w:rPr>
          <w:rFonts w:ascii="Arial" w:hAnsi="Arial" w:cs="Arial"/>
          <w:b/>
          <w:sz w:val="24"/>
          <w:szCs w:val="24"/>
          <w:lang w:val="es-CO"/>
        </w:rPr>
        <w:t>de Violencia Sexual (VSX)</w:t>
      </w:r>
    </w:p>
    <w:p w14:paraId="226C0037" w14:textId="77777777" w:rsidR="00E92655" w:rsidRPr="009E3B7B" w:rsidRDefault="00E92655" w:rsidP="00E92655">
      <w:pPr>
        <w:spacing w:line="240" w:lineRule="auto"/>
        <w:ind w:left="317" w:hanging="317"/>
        <w:jc w:val="center"/>
        <w:rPr>
          <w:rFonts w:ascii="Arial" w:hAnsi="Arial" w:cs="Arial"/>
          <w:b/>
          <w:sz w:val="24"/>
          <w:szCs w:val="24"/>
          <w:lang w:val="es-CO"/>
        </w:rPr>
      </w:pPr>
      <w:r w:rsidRPr="009E3B7B">
        <w:rPr>
          <w:rFonts w:ascii="Arial" w:hAnsi="Arial" w:cs="Arial"/>
          <w:b/>
          <w:noProof/>
          <w:sz w:val="24"/>
          <w:szCs w:val="24"/>
          <w:lang w:val="en-GB" w:eastAsia="en-GB"/>
        </w:rPr>
        <w:drawing>
          <wp:inline distT="0" distB="0" distL="0" distR="0" wp14:anchorId="5F52ED3F" wp14:editId="0B6472DD">
            <wp:extent cx="5943600" cy="1607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607820"/>
                    </a:xfrm>
                    <a:prstGeom prst="rect">
                      <a:avLst/>
                    </a:prstGeom>
                    <a:noFill/>
                    <a:ln>
                      <a:noFill/>
                    </a:ln>
                  </pic:spPr>
                </pic:pic>
              </a:graphicData>
            </a:graphic>
          </wp:inline>
        </w:drawing>
      </w:r>
    </w:p>
    <w:p w14:paraId="24510C48" w14:textId="77777777" w:rsidR="00E92655" w:rsidRPr="009E3B7B" w:rsidRDefault="00E92655" w:rsidP="00E92655">
      <w:pPr>
        <w:spacing w:line="240" w:lineRule="auto"/>
        <w:ind w:left="317" w:hanging="317"/>
        <w:jc w:val="center"/>
        <w:rPr>
          <w:rFonts w:ascii="Arial" w:hAnsi="Arial" w:cs="Arial"/>
          <w:b/>
          <w:sz w:val="24"/>
          <w:szCs w:val="24"/>
          <w:lang w:val="es-CO"/>
        </w:rPr>
      </w:pPr>
      <w:r>
        <w:rPr>
          <w:rFonts w:ascii="Arial" w:hAnsi="Arial" w:cs="Arial"/>
          <w:b/>
          <w:noProof/>
          <w:sz w:val="24"/>
          <w:szCs w:val="24"/>
          <w:lang w:val="en-GB" w:eastAsia="en-GB"/>
        </w:rPr>
        <w:drawing>
          <wp:inline distT="0" distB="0" distL="0" distR="0" wp14:anchorId="27974E1F" wp14:editId="729CB9D3">
            <wp:extent cx="5934710" cy="259651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4710" cy="2596515"/>
                    </a:xfrm>
                    <a:prstGeom prst="rect">
                      <a:avLst/>
                    </a:prstGeom>
                    <a:noFill/>
                    <a:ln>
                      <a:noFill/>
                    </a:ln>
                  </pic:spPr>
                </pic:pic>
              </a:graphicData>
            </a:graphic>
          </wp:inline>
        </w:drawing>
      </w:r>
    </w:p>
    <w:p w14:paraId="5450F8E0" w14:textId="77777777" w:rsidR="00E92655" w:rsidRPr="007B24E9" w:rsidRDefault="00E92655" w:rsidP="00E92655">
      <w:pPr>
        <w:spacing w:line="240" w:lineRule="auto"/>
        <w:ind w:left="317" w:hanging="317"/>
        <w:jc w:val="center"/>
        <w:rPr>
          <w:rFonts w:ascii="Arial" w:hAnsi="Arial" w:cs="Arial"/>
          <w:sz w:val="20"/>
          <w:szCs w:val="20"/>
          <w:lang w:val="es-CO"/>
        </w:rPr>
      </w:pPr>
      <w:r w:rsidRPr="007B24E9">
        <w:rPr>
          <w:rFonts w:ascii="Arial" w:hAnsi="Arial" w:cs="Arial"/>
          <w:sz w:val="20"/>
          <w:szCs w:val="20"/>
          <w:lang w:val="es-CO"/>
        </w:rPr>
        <w:t>Fuente: Fiscalía General de la Nación, 2021.</w:t>
      </w:r>
    </w:p>
    <w:p w14:paraId="41689798" w14:textId="77777777" w:rsidR="00E92655" w:rsidRPr="00F8390F"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Tabla 6</w:t>
      </w:r>
    </w:p>
    <w:p w14:paraId="648C8379" w14:textId="77777777" w:rsidR="00E92655" w:rsidRPr="009E3B7B" w:rsidRDefault="00E92655" w:rsidP="00E92655">
      <w:pPr>
        <w:spacing w:line="240" w:lineRule="auto"/>
        <w:ind w:left="317" w:hanging="317"/>
        <w:jc w:val="center"/>
        <w:rPr>
          <w:rFonts w:ascii="Arial" w:hAnsi="Arial" w:cs="Arial"/>
          <w:b/>
          <w:sz w:val="24"/>
          <w:szCs w:val="24"/>
          <w:lang w:val="es-CO"/>
        </w:rPr>
      </w:pPr>
      <w:r>
        <w:rPr>
          <w:rFonts w:ascii="Arial" w:hAnsi="Arial" w:cs="Arial"/>
          <w:b/>
          <w:noProof/>
          <w:sz w:val="24"/>
          <w:szCs w:val="24"/>
          <w:lang w:val="en-GB" w:eastAsia="en-GB"/>
        </w:rPr>
        <w:drawing>
          <wp:inline distT="0" distB="0" distL="0" distR="0" wp14:anchorId="0191C732" wp14:editId="5093803C">
            <wp:extent cx="5943600" cy="17659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765935"/>
                    </a:xfrm>
                    <a:prstGeom prst="rect">
                      <a:avLst/>
                    </a:prstGeom>
                    <a:noFill/>
                    <a:ln>
                      <a:noFill/>
                    </a:ln>
                  </pic:spPr>
                </pic:pic>
              </a:graphicData>
            </a:graphic>
          </wp:inline>
        </w:drawing>
      </w:r>
    </w:p>
    <w:p w14:paraId="7D9CB050" w14:textId="77777777" w:rsidR="00E92655" w:rsidRPr="007B24E9" w:rsidRDefault="00E92655" w:rsidP="00E92655">
      <w:pPr>
        <w:spacing w:line="240" w:lineRule="auto"/>
        <w:ind w:left="317" w:hanging="317"/>
        <w:jc w:val="center"/>
        <w:rPr>
          <w:rFonts w:ascii="Arial" w:hAnsi="Arial" w:cs="Arial"/>
          <w:sz w:val="20"/>
          <w:szCs w:val="20"/>
          <w:lang w:val="es-CO"/>
        </w:rPr>
      </w:pPr>
      <w:r w:rsidRPr="007B24E9">
        <w:rPr>
          <w:rFonts w:ascii="Arial" w:hAnsi="Arial" w:cs="Arial"/>
          <w:sz w:val="20"/>
          <w:szCs w:val="20"/>
          <w:lang w:val="es-CO"/>
        </w:rPr>
        <w:t>Fuente: Fiscalía General de la Nación, 2021.</w:t>
      </w:r>
    </w:p>
    <w:p w14:paraId="7F24FAD3" w14:textId="77777777" w:rsidR="00E92655" w:rsidRPr="00B40898" w:rsidRDefault="00E92655" w:rsidP="00E92655">
      <w:pPr>
        <w:spacing w:line="240" w:lineRule="auto"/>
        <w:jc w:val="both"/>
        <w:rPr>
          <w:rFonts w:ascii="Arial" w:hAnsi="Arial" w:cs="Arial"/>
          <w:sz w:val="24"/>
          <w:szCs w:val="24"/>
          <w:lang w:val="es-CO"/>
        </w:rPr>
      </w:pPr>
      <w:r w:rsidRPr="00B40898">
        <w:rPr>
          <w:rFonts w:ascii="Arial" w:hAnsi="Arial" w:cs="Arial"/>
          <w:sz w:val="24"/>
          <w:szCs w:val="24"/>
          <w:lang w:val="es-CO"/>
        </w:rPr>
        <w:t>La oferta de estos cursos permitió que 609 servidores de la entidad con diferentes cargos y funciones, y adscritos a 33 Direcciones Seccionales recibieran la formación en relación con las denuncias de violencia sexual.</w:t>
      </w:r>
    </w:p>
    <w:p w14:paraId="48B763F7" w14:textId="77777777" w:rsidR="00E92655" w:rsidRDefault="00E92655" w:rsidP="00E92655">
      <w:pPr>
        <w:spacing w:line="240" w:lineRule="auto"/>
        <w:ind w:left="317" w:hanging="317"/>
        <w:jc w:val="center"/>
        <w:rPr>
          <w:rFonts w:ascii="Arial" w:hAnsi="Arial" w:cs="Arial"/>
          <w:b/>
          <w:sz w:val="24"/>
          <w:szCs w:val="24"/>
          <w:lang w:val="es-CO"/>
        </w:rPr>
      </w:pPr>
    </w:p>
    <w:p w14:paraId="3E82E98D" w14:textId="77777777" w:rsidR="00E92655" w:rsidRDefault="00E92655" w:rsidP="00E92655">
      <w:pPr>
        <w:spacing w:line="240" w:lineRule="auto"/>
        <w:ind w:left="317" w:hanging="317"/>
        <w:jc w:val="center"/>
        <w:rPr>
          <w:rFonts w:ascii="Arial" w:hAnsi="Arial" w:cs="Arial"/>
          <w:b/>
          <w:sz w:val="24"/>
          <w:szCs w:val="24"/>
          <w:lang w:val="es-CO"/>
        </w:rPr>
      </w:pPr>
    </w:p>
    <w:p w14:paraId="3F469280" w14:textId="77777777" w:rsidR="00E92655" w:rsidRDefault="00E92655" w:rsidP="00E92655">
      <w:pPr>
        <w:spacing w:line="240" w:lineRule="auto"/>
        <w:ind w:left="317" w:hanging="317"/>
        <w:jc w:val="center"/>
        <w:rPr>
          <w:rFonts w:ascii="Arial" w:hAnsi="Arial" w:cs="Arial"/>
          <w:b/>
          <w:sz w:val="24"/>
          <w:szCs w:val="24"/>
          <w:lang w:val="es-CO"/>
        </w:rPr>
      </w:pPr>
    </w:p>
    <w:p w14:paraId="116F0EE5" w14:textId="77777777" w:rsidR="00E92655" w:rsidRDefault="00E92655" w:rsidP="00E92655">
      <w:pPr>
        <w:spacing w:line="240" w:lineRule="auto"/>
        <w:ind w:left="317" w:hanging="317"/>
        <w:jc w:val="center"/>
        <w:rPr>
          <w:rFonts w:ascii="Arial" w:hAnsi="Arial" w:cs="Arial"/>
          <w:b/>
          <w:sz w:val="24"/>
          <w:szCs w:val="24"/>
          <w:lang w:val="es-CO"/>
        </w:rPr>
      </w:pPr>
    </w:p>
    <w:p w14:paraId="6C9B2B39" w14:textId="77777777" w:rsidR="00E92655" w:rsidRDefault="00E92655" w:rsidP="00E92655">
      <w:pPr>
        <w:spacing w:line="240" w:lineRule="auto"/>
        <w:ind w:left="317" w:hanging="317"/>
        <w:jc w:val="center"/>
        <w:rPr>
          <w:rFonts w:ascii="Arial" w:hAnsi="Arial" w:cs="Arial"/>
          <w:b/>
          <w:sz w:val="24"/>
          <w:szCs w:val="24"/>
          <w:lang w:val="es-CO"/>
        </w:rPr>
      </w:pPr>
    </w:p>
    <w:p w14:paraId="17D62737" w14:textId="77777777" w:rsidR="00E92655" w:rsidRDefault="00E92655" w:rsidP="00E92655">
      <w:pPr>
        <w:spacing w:line="240" w:lineRule="auto"/>
        <w:ind w:left="317" w:hanging="317"/>
        <w:jc w:val="center"/>
        <w:rPr>
          <w:rFonts w:ascii="Arial" w:hAnsi="Arial" w:cs="Arial"/>
          <w:b/>
          <w:sz w:val="24"/>
          <w:szCs w:val="24"/>
          <w:lang w:val="es-CO"/>
        </w:rPr>
      </w:pPr>
    </w:p>
    <w:p w14:paraId="0DAB260D"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Tabla 7</w:t>
      </w:r>
    </w:p>
    <w:p w14:paraId="79DF759E" w14:textId="77777777" w:rsidR="00E92655" w:rsidRPr="009E3B7B" w:rsidRDefault="00E92655" w:rsidP="00E92655">
      <w:pPr>
        <w:spacing w:line="240" w:lineRule="auto"/>
        <w:ind w:left="317" w:hanging="317"/>
        <w:jc w:val="center"/>
        <w:rPr>
          <w:rFonts w:ascii="Arial" w:hAnsi="Arial" w:cs="Arial"/>
          <w:b/>
          <w:sz w:val="24"/>
          <w:szCs w:val="24"/>
          <w:lang w:val="es-CO"/>
        </w:rPr>
      </w:pPr>
      <w:r>
        <w:rPr>
          <w:rFonts w:ascii="Arial" w:hAnsi="Arial" w:cs="Arial"/>
          <w:b/>
          <w:noProof/>
          <w:sz w:val="24"/>
          <w:szCs w:val="24"/>
          <w:lang w:val="en-GB" w:eastAsia="en-GB"/>
        </w:rPr>
        <w:drawing>
          <wp:inline distT="0" distB="0" distL="0" distR="0" wp14:anchorId="45AB6B0B" wp14:editId="5C3663DB">
            <wp:extent cx="5943600" cy="29165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916555"/>
                    </a:xfrm>
                    <a:prstGeom prst="rect">
                      <a:avLst/>
                    </a:prstGeom>
                    <a:noFill/>
                    <a:ln>
                      <a:noFill/>
                    </a:ln>
                  </pic:spPr>
                </pic:pic>
              </a:graphicData>
            </a:graphic>
          </wp:inline>
        </w:drawing>
      </w:r>
    </w:p>
    <w:p w14:paraId="0CB037BF" w14:textId="77777777" w:rsidR="00E92655" w:rsidRPr="007B24E9" w:rsidRDefault="00E92655" w:rsidP="00E92655">
      <w:pPr>
        <w:spacing w:line="240" w:lineRule="auto"/>
        <w:ind w:left="317" w:hanging="317"/>
        <w:jc w:val="center"/>
        <w:rPr>
          <w:rFonts w:ascii="Arial" w:hAnsi="Arial" w:cs="Arial"/>
          <w:sz w:val="20"/>
          <w:szCs w:val="20"/>
          <w:lang w:val="es-CO"/>
        </w:rPr>
      </w:pPr>
      <w:r w:rsidRPr="007B24E9">
        <w:rPr>
          <w:rFonts w:ascii="Arial" w:hAnsi="Arial" w:cs="Arial"/>
          <w:sz w:val="20"/>
          <w:szCs w:val="20"/>
          <w:lang w:val="es-CO"/>
        </w:rPr>
        <w:t>Fuente: Fiscalía General de la Nación, 2021.</w:t>
      </w:r>
    </w:p>
    <w:p w14:paraId="5F574BEA" w14:textId="77777777" w:rsidR="00E92655" w:rsidRPr="00413566" w:rsidRDefault="00E92655" w:rsidP="00E92655">
      <w:pPr>
        <w:spacing w:line="240" w:lineRule="auto"/>
        <w:jc w:val="both"/>
        <w:rPr>
          <w:rFonts w:ascii="Arial" w:hAnsi="Arial" w:cs="Arial"/>
          <w:sz w:val="24"/>
          <w:szCs w:val="24"/>
          <w:lang w:val="es-CO"/>
        </w:rPr>
      </w:pPr>
      <w:r w:rsidRPr="00E67DB7">
        <w:rPr>
          <w:rFonts w:ascii="Arial" w:hAnsi="Arial" w:cs="Arial"/>
          <w:sz w:val="24"/>
          <w:szCs w:val="24"/>
          <w:lang w:val="es-CO"/>
        </w:rPr>
        <w:t>Los contenidos aportan elementos para el entendimiento de las violencias contra las mujeres basadas en género y orientación sexual, el fortalecimiento de la investigación y sanción de estos delitos en el marco del principio de la debida diligencia. También se basan en el diagnóstico de los factores de riesgo de feminicidio.</w:t>
      </w:r>
    </w:p>
    <w:p w14:paraId="33082C52" w14:textId="77777777" w:rsidR="00E92655" w:rsidRDefault="00E92655" w:rsidP="00E92655">
      <w:pPr>
        <w:spacing w:line="240" w:lineRule="auto"/>
        <w:ind w:left="317" w:hanging="317"/>
        <w:jc w:val="center"/>
        <w:rPr>
          <w:rFonts w:ascii="Arial" w:hAnsi="Arial" w:cs="Arial"/>
          <w:b/>
          <w:sz w:val="24"/>
          <w:szCs w:val="24"/>
          <w:lang w:val="es-CO"/>
        </w:rPr>
      </w:pPr>
    </w:p>
    <w:p w14:paraId="5B99173C" w14:textId="77777777" w:rsidR="00E92655" w:rsidRDefault="00E92655" w:rsidP="00E92655">
      <w:pPr>
        <w:spacing w:line="240" w:lineRule="auto"/>
        <w:ind w:left="317" w:hanging="317"/>
        <w:jc w:val="center"/>
        <w:rPr>
          <w:rFonts w:ascii="Arial" w:hAnsi="Arial" w:cs="Arial"/>
          <w:b/>
          <w:sz w:val="24"/>
          <w:szCs w:val="24"/>
          <w:lang w:val="es-CO"/>
        </w:rPr>
      </w:pPr>
    </w:p>
    <w:p w14:paraId="1B1D43A6" w14:textId="77777777" w:rsidR="00E92655" w:rsidRDefault="00E92655" w:rsidP="00E92655">
      <w:pPr>
        <w:spacing w:line="240" w:lineRule="auto"/>
        <w:ind w:left="317" w:hanging="317"/>
        <w:jc w:val="center"/>
        <w:rPr>
          <w:rFonts w:ascii="Arial" w:hAnsi="Arial" w:cs="Arial"/>
          <w:b/>
          <w:sz w:val="24"/>
          <w:szCs w:val="24"/>
          <w:lang w:val="es-CO"/>
        </w:rPr>
      </w:pPr>
    </w:p>
    <w:p w14:paraId="4CB8EB87" w14:textId="77777777" w:rsidR="00E92655" w:rsidRDefault="00E92655" w:rsidP="00E92655">
      <w:pPr>
        <w:spacing w:line="240" w:lineRule="auto"/>
        <w:ind w:left="317" w:hanging="317"/>
        <w:jc w:val="center"/>
        <w:rPr>
          <w:rFonts w:ascii="Arial" w:hAnsi="Arial" w:cs="Arial"/>
          <w:b/>
          <w:sz w:val="24"/>
          <w:szCs w:val="24"/>
          <w:lang w:val="es-CO"/>
        </w:rPr>
      </w:pPr>
    </w:p>
    <w:p w14:paraId="6D308B08" w14:textId="77777777" w:rsidR="00E92655" w:rsidRDefault="00E92655" w:rsidP="00E92655">
      <w:pPr>
        <w:spacing w:line="240" w:lineRule="auto"/>
        <w:ind w:left="317" w:hanging="317"/>
        <w:jc w:val="center"/>
        <w:rPr>
          <w:rFonts w:ascii="Arial" w:hAnsi="Arial" w:cs="Arial"/>
          <w:b/>
          <w:sz w:val="24"/>
          <w:szCs w:val="24"/>
          <w:lang w:val="es-CO"/>
        </w:rPr>
      </w:pPr>
    </w:p>
    <w:p w14:paraId="7A52AECF" w14:textId="77777777" w:rsidR="00E92655" w:rsidRDefault="00E92655" w:rsidP="00E92655">
      <w:pPr>
        <w:spacing w:line="240" w:lineRule="auto"/>
        <w:ind w:left="317" w:hanging="317"/>
        <w:jc w:val="center"/>
        <w:rPr>
          <w:rFonts w:ascii="Arial" w:hAnsi="Arial" w:cs="Arial"/>
          <w:b/>
          <w:sz w:val="24"/>
          <w:szCs w:val="24"/>
          <w:lang w:val="es-CO"/>
        </w:rPr>
      </w:pPr>
    </w:p>
    <w:p w14:paraId="5109339C" w14:textId="77777777" w:rsidR="00E92655" w:rsidRDefault="00E92655" w:rsidP="00E92655">
      <w:pPr>
        <w:spacing w:line="240" w:lineRule="auto"/>
        <w:ind w:left="317" w:hanging="317"/>
        <w:jc w:val="center"/>
        <w:rPr>
          <w:rFonts w:ascii="Arial" w:hAnsi="Arial" w:cs="Arial"/>
          <w:b/>
          <w:sz w:val="24"/>
          <w:szCs w:val="24"/>
          <w:lang w:val="es-CO"/>
        </w:rPr>
      </w:pPr>
    </w:p>
    <w:p w14:paraId="690DBD9D" w14:textId="77777777" w:rsidR="00E92655" w:rsidRDefault="00E92655" w:rsidP="00E92655">
      <w:pPr>
        <w:spacing w:line="240" w:lineRule="auto"/>
        <w:ind w:left="317" w:hanging="317"/>
        <w:jc w:val="center"/>
        <w:rPr>
          <w:rFonts w:ascii="Arial" w:hAnsi="Arial" w:cs="Arial"/>
          <w:b/>
          <w:sz w:val="24"/>
          <w:szCs w:val="24"/>
          <w:lang w:val="es-CO"/>
        </w:rPr>
      </w:pPr>
    </w:p>
    <w:p w14:paraId="4F3016FC" w14:textId="77777777" w:rsidR="00E92655" w:rsidRDefault="00E92655" w:rsidP="00E92655">
      <w:pPr>
        <w:spacing w:line="240" w:lineRule="auto"/>
        <w:ind w:left="317" w:hanging="317"/>
        <w:jc w:val="center"/>
        <w:rPr>
          <w:rFonts w:ascii="Arial" w:hAnsi="Arial" w:cs="Arial"/>
          <w:b/>
          <w:sz w:val="24"/>
          <w:szCs w:val="24"/>
          <w:lang w:val="es-CO"/>
        </w:rPr>
      </w:pPr>
    </w:p>
    <w:p w14:paraId="02EEB16B" w14:textId="77777777" w:rsidR="00E92655" w:rsidRDefault="00E92655" w:rsidP="00E92655">
      <w:pPr>
        <w:spacing w:line="240" w:lineRule="auto"/>
        <w:ind w:left="317" w:hanging="317"/>
        <w:jc w:val="center"/>
        <w:rPr>
          <w:rFonts w:ascii="Arial" w:hAnsi="Arial" w:cs="Arial"/>
          <w:b/>
          <w:sz w:val="24"/>
          <w:szCs w:val="24"/>
          <w:lang w:val="es-CO"/>
        </w:rPr>
      </w:pPr>
    </w:p>
    <w:p w14:paraId="1A19109E" w14:textId="77777777" w:rsidR="00E92655" w:rsidRDefault="00E92655" w:rsidP="00E92655">
      <w:pPr>
        <w:spacing w:line="240" w:lineRule="auto"/>
        <w:ind w:left="317" w:hanging="317"/>
        <w:jc w:val="center"/>
        <w:rPr>
          <w:rFonts w:ascii="Arial" w:hAnsi="Arial" w:cs="Arial"/>
          <w:b/>
          <w:sz w:val="24"/>
          <w:szCs w:val="24"/>
          <w:lang w:val="es-CO"/>
        </w:rPr>
      </w:pPr>
    </w:p>
    <w:p w14:paraId="4E9F4076" w14:textId="77777777" w:rsidR="00E92655" w:rsidRDefault="00E92655" w:rsidP="00E92655">
      <w:pPr>
        <w:spacing w:line="240" w:lineRule="auto"/>
        <w:ind w:left="317" w:hanging="317"/>
        <w:jc w:val="center"/>
        <w:rPr>
          <w:rFonts w:ascii="Arial" w:hAnsi="Arial" w:cs="Arial"/>
          <w:b/>
          <w:sz w:val="24"/>
          <w:szCs w:val="24"/>
          <w:lang w:val="es-CO"/>
        </w:rPr>
      </w:pPr>
    </w:p>
    <w:p w14:paraId="4E78CF26"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Tabla 8</w:t>
      </w:r>
    </w:p>
    <w:p w14:paraId="0BAFCE4F" w14:textId="77777777" w:rsidR="00E92655" w:rsidRDefault="00E92655" w:rsidP="00E92655">
      <w:pPr>
        <w:spacing w:line="240" w:lineRule="auto"/>
        <w:ind w:left="317" w:hanging="317"/>
        <w:jc w:val="center"/>
        <w:rPr>
          <w:rFonts w:ascii="Arial" w:hAnsi="Arial" w:cs="Arial"/>
          <w:b/>
          <w:sz w:val="24"/>
          <w:szCs w:val="24"/>
          <w:lang w:val="es-CO"/>
        </w:rPr>
      </w:pPr>
      <w:r>
        <w:rPr>
          <w:rFonts w:ascii="Arial" w:hAnsi="Arial" w:cs="Arial"/>
          <w:b/>
          <w:sz w:val="24"/>
          <w:szCs w:val="24"/>
          <w:lang w:val="es-CO"/>
        </w:rPr>
        <w:t>Relación de participantes en videoconferencias relacionadas con la violencia sexual 2020</w:t>
      </w:r>
    </w:p>
    <w:p w14:paraId="728A5695" w14:textId="77777777" w:rsidR="00E92655" w:rsidRDefault="00E92655" w:rsidP="00E92655">
      <w:pPr>
        <w:spacing w:line="240" w:lineRule="auto"/>
        <w:ind w:left="317" w:hanging="317"/>
        <w:jc w:val="both"/>
        <w:rPr>
          <w:rFonts w:ascii="Arial" w:hAnsi="Arial" w:cs="Arial"/>
          <w:b/>
          <w:sz w:val="24"/>
          <w:szCs w:val="24"/>
          <w:lang w:val="es-CO"/>
        </w:rPr>
      </w:pPr>
      <w:r>
        <w:rPr>
          <w:rFonts w:ascii="Arial" w:hAnsi="Arial" w:cs="Arial"/>
          <w:b/>
          <w:noProof/>
          <w:sz w:val="24"/>
          <w:szCs w:val="24"/>
          <w:lang w:val="en-GB" w:eastAsia="en-GB"/>
        </w:rPr>
        <w:drawing>
          <wp:inline distT="0" distB="0" distL="0" distR="0" wp14:anchorId="2DA1A0C0" wp14:editId="2CA0B793">
            <wp:extent cx="5943523" cy="3121573"/>
            <wp:effectExtent l="0" t="0" r="63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121614"/>
                    </a:xfrm>
                    <a:prstGeom prst="rect">
                      <a:avLst/>
                    </a:prstGeom>
                    <a:noFill/>
                    <a:ln>
                      <a:noFill/>
                    </a:ln>
                  </pic:spPr>
                </pic:pic>
              </a:graphicData>
            </a:graphic>
          </wp:inline>
        </w:drawing>
      </w:r>
    </w:p>
    <w:p w14:paraId="40288093" w14:textId="77777777" w:rsidR="00E92655" w:rsidRPr="00AE0FB8" w:rsidRDefault="00E92655" w:rsidP="00E92655">
      <w:pPr>
        <w:spacing w:line="240" w:lineRule="auto"/>
        <w:ind w:left="317" w:hanging="317"/>
        <w:jc w:val="center"/>
        <w:rPr>
          <w:rFonts w:ascii="Arial" w:hAnsi="Arial" w:cs="Arial"/>
          <w:b/>
          <w:lang w:val="es-CO"/>
        </w:rPr>
      </w:pPr>
      <w:r w:rsidRPr="007B24E9">
        <w:rPr>
          <w:rFonts w:ascii="Arial" w:hAnsi="Arial" w:cs="Arial"/>
          <w:sz w:val="20"/>
          <w:szCs w:val="20"/>
          <w:lang w:val="es-CO"/>
        </w:rPr>
        <w:t>Fuente: Fiscalía General de la Nación, 2021.</w:t>
      </w:r>
    </w:p>
    <w:p w14:paraId="6CD95759" w14:textId="77777777" w:rsidR="00E92655" w:rsidRPr="00755840" w:rsidRDefault="00E92655" w:rsidP="00E92655">
      <w:pPr>
        <w:spacing w:line="240" w:lineRule="auto"/>
        <w:jc w:val="both"/>
        <w:rPr>
          <w:rFonts w:ascii="Arial" w:hAnsi="Arial" w:cs="Arial"/>
          <w:sz w:val="24"/>
          <w:szCs w:val="24"/>
          <w:lang w:val="es-CO"/>
        </w:rPr>
      </w:pPr>
      <w:r>
        <w:rPr>
          <w:rFonts w:ascii="Arial" w:hAnsi="Arial" w:cs="Arial"/>
          <w:sz w:val="24"/>
          <w:szCs w:val="24"/>
          <w:lang w:val="es-CO"/>
        </w:rPr>
        <w:t>En</w:t>
      </w:r>
      <w:r w:rsidRPr="00755840">
        <w:rPr>
          <w:rFonts w:ascii="Arial" w:hAnsi="Arial" w:cs="Arial"/>
          <w:sz w:val="24"/>
          <w:szCs w:val="24"/>
          <w:lang w:val="es-CO"/>
        </w:rPr>
        <w:t xml:space="preserve"> atención a la situación de emergencia sanitaria, se programaron conferencias virtuales dirigidas a receptores de denuncia, investigadores, asistentes de fiscal y fiscales. Estas actividades formativas tuvieron como propósito, brindar herramientas a través de la socialización de buenas prácticas en temas puntuales, que contribuyan a que los servidores puedan ejercer de manera efectiva su labor con enfoque de género, durante las medidas de aislamiento. </w:t>
      </w:r>
    </w:p>
    <w:p w14:paraId="68F8EA44" w14:textId="77777777" w:rsidR="00E92655" w:rsidRPr="000F2A45" w:rsidRDefault="00E92655" w:rsidP="00E92655">
      <w:pPr>
        <w:jc w:val="center"/>
        <w:rPr>
          <w:rFonts w:ascii="Arial" w:hAnsi="Arial" w:cs="Arial"/>
          <w:b/>
          <w:sz w:val="24"/>
          <w:szCs w:val="24"/>
          <w:lang w:val="es-CO"/>
        </w:rPr>
      </w:pPr>
      <w:r w:rsidRPr="000F2A45">
        <w:rPr>
          <w:rFonts w:ascii="Arial" w:hAnsi="Arial" w:cs="Arial"/>
          <w:b/>
          <w:sz w:val="24"/>
          <w:szCs w:val="24"/>
          <w:lang w:val="es-CO"/>
        </w:rPr>
        <w:t>Tabla 9</w:t>
      </w:r>
    </w:p>
    <w:p w14:paraId="30401323" w14:textId="77777777" w:rsidR="00E92655" w:rsidRDefault="00E92655" w:rsidP="00E92655">
      <w:pPr>
        <w:spacing w:line="240" w:lineRule="auto"/>
        <w:jc w:val="both"/>
        <w:rPr>
          <w:rFonts w:ascii="Arial" w:hAnsi="Arial" w:cs="Arial"/>
          <w:sz w:val="24"/>
          <w:szCs w:val="24"/>
          <w:lang w:val="es-CO"/>
        </w:rPr>
      </w:pPr>
    </w:p>
    <w:tbl>
      <w:tblPr>
        <w:tblStyle w:val="TableGrid"/>
        <w:tblW w:w="0" w:type="auto"/>
        <w:jc w:val="center"/>
        <w:tblLook w:val="04A0" w:firstRow="1" w:lastRow="0" w:firstColumn="1" w:lastColumn="0" w:noHBand="0" w:noVBand="1"/>
      </w:tblPr>
      <w:tblGrid>
        <w:gridCol w:w="1765"/>
        <w:gridCol w:w="1765"/>
        <w:gridCol w:w="1766"/>
        <w:gridCol w:w="1766"/>
        <w:gridCol w:w="1766"/>
      </w:tblGrid>
      <w:tr w:rsidR="00E92655" w:rsidRPr="000630D4" w14:paraId="7C4A6B63" w14:textId="77777777" w:rsidTr="009533D1">
        <w:trPr>
          <w:jc w:val="center"/>
        </w:trPr>
        <w:tc>
          <w:tcPr>
            <w:tcW w:w="8828" w:type="dxa"/>
            <w:gridSpan w:val="5"/>
          </w:tcPr>
          <w:p w14:paraId="252AF6CA" w14:textId="77777777" w:rsidR="00E92655" w:rsidRPr="006D4159" w:rsidRDefault="00E92655" w:rsidP="009533D1">
            <w:pPr>
              <w:jc w:val="center"/>
              <w:rPr>
                <w:rFonts w:ascii="Arial" w:hAnsi="Arial" w:cs="Arial"/>
                <w:b/>
                <w:sz w:val="24"/>
                <w:szCs w:val="24"/>
              </w:rPr>
            </w:pPr>
            <w:r w:rsidRPr="006D4159">
              <w:rPr>
                <w:rFonts w:ascii="Arial" w:hAnsi="Arial" w:cs="Arial"/>
                <w:sz w:val="24"/>
                <w:szCs w:val="24"/>
              </w:rPr>
              <w:t>ACCIONES DE PREVENCIÓN, VIGILANCIA Y CONTROL</w:t>
            </w:r>
          </w:p>
        </w:tc>
      </w:tr>
      <w:tr w:rsidR="00E92655" w:rsidRPr="00851B2F" w14:paraId="3EB6C1D5" w14:textId="77777777" w:rsidTr="009533D1">
        <w:trPr>
          <w:jc w:val="center"/>
        </w:trPr>
        <w:tc>
          <w:tcPr>
            <w:tcW w:w="1765" w:type="dxa"/>
          </w:tcPr>
          <w:p w14:paraId="4E06A428" w14:textId="77777777" w:rsidR="00E92655" w:rsidRPr="00A8173A" w:rsidRDefault="00E92655" w:rsidP="009533D1">
            <w:pPr>
              <w:jc w:val="center"/>
              <w:rPr>
                <w:rFonts w:ascii="Arial" w:hAnsi="Arial" w:cs="Arial"/>
                <w:b/>
                <w:sz w:val="24"/>
                <w:szCs w:val="24"/>
              </w:rPr>
            </w:pPr>
            <w:r w:rsidRPr="00A8173A">
              <w:rPr>
                <w:rFonts w:ascii="Arial" w:hAnsi="Arial" w:cs="Arial"/>
                <w:sz w:val="24"/>
                <w:szCs w:val="24"/>
              </w:rPr>
              <w:t>2018</w:t>
            </w:r>
          </w:p>
        </w:tc>
        <w:tc>
          <w:tcPr>
            <w:tcW w:w="1765" w:type="dxa"/>
          </w:tcPr>
          <w:p w14:paraId="6FD481A6" w14:textId="77777777" w:rsidR="00E92655" w:rsidRPr="00851B2F" w:rsidRDefault="00E92655" w:rsidP="009533D1">
            <w:pPr>
              <w:jc w:val="center"/>
              <w:rPr>
                <w:rFonts w:ascii="Arial" w:hAnsi="Arial" w:cs="Arial"/>
                <w:b/>
                <w:sz w:val="24"/>
                <w:szCs w:val="24"/>
              </w:rPr>
            </w:pPr>
            <w:r w:rsidRPr="00851B2F">
              <w:rPr>
                <w:rFonts w:ascii="Arial" w:hAnsi="Arial" w:cs="Arial"/>
                <w:b/>
                <w:sz w:val="24"/>
                <w:szCs w:val="24"/>
              </w:rPr>
              <w:t>2019</w:t>
            </w:r>
          </w:p>
        </w:tc>
        <w:tc>
          <w:tcPr>
            <w:tcW w:w="1766" w:type="dxa"/>
          </w:tcPr>
          <w:p w14:paraId="467EA574" w14:textId="77777777" w:rsidR="00E92655" w:rsidRPr="00851B2F" w:rsidRDefault="00E92655" w:rsidP="009533D1">
            <w:pPr>
              <w:jc w:val="center"/>
              <w:rPr>
                <w:rFonts w:ascii="Arial" w:hAnsi="Arial" w:cs="Arial"/>
                <w:b/>
                <w:sz w:val="24"/>
                <w:szCs w:val="24"/>
              </w:rPr>
            </w:pPr>
            <w:r w:rsidRPr="00851B2F">
              <w:rPr>
                <w:rFonts w:ascii="Arial" w:hAnsi="Arial" w:cs="Arial"/>
                <w:b/>
                <w:sz w:val="24"/>
                <w:szCs w:val="24"/>
              </w:rPr>
              <w:t>2020</w:t>
            </w:r>
          </w:p>
        </w:tc>
        <w:tc>
          <w:tcPr>
            <w:tcW w:w="1766" w:type="dxa"/>
          </w:tcPr>
          <w:p w14:paraId="039E3F91" w14:textId="77777777" w:rsidR="00E92655" w:rsidRPr="00851B2F" w:rsidRDefault="00E92655" w:rsidP="009533D1">
            <w:pPr>
              <w:jc w:val="center"/>
              <w:rPr>
                <w:rFonts w:ascii="Arial" w:hAnsi="Arial" w:cs="Arial"/>
                <w:b/>
                <w:sz w:val="24"/>
                <w:szCs w:val="24"/>
              </w:rPr>
            </w:pPr>
            <w:r w:rsidRPr="00851B2F">
              <w:rPr>
                <w:rFonts w:ascii="Arial" w:hAnsi="Arial" w:cs="Arial"/>
                <w:b/>
                <w:sz w:val="24"/>
                <w:szCs w:val="24"/>
              </w:rPr>
              <w:t>Acciones</w:t>
            </w:r>
          </w:p>
        </w:tc>
        <w:tc>
          <w:tcPr>
            <w:tcW w:w="1766" w:type="dxa"/>
          </w:tcPr>
          <w:p w14:paraId="68F94AC8" w14:textId="77777777" w:rsidR="00E92655" w:rsidRPr="00851B2F" w:rsidRDefault="00E92655" w:rsidP="009533D1">
            <w:pPr>
              <w:jc w:val="center"/>
              <w:rPr>
                <w:rFonts w:ascii="Arial" w:hAnsi="Arial" w:cs="Arial"/>
                <w:b/>
                <w:sz w:val="24"/>
                <w:szCs w:val="24"/>
              </w:rPr>
            </w:pPr>
            <w:r w:rsidRPr="00851B2F">
              <w:rPr>
                <w:rFonts w:ascii="Arial" w:hAnsi="Arial" w:cs="Arial"/>
                <w:b/>
                <w:sz w:val="24"/>
                <w:szCs w:val="24"/>
              </w:rPr>
              <w:t>Beneficiado</w:t>
            </w:r>
          </w:p>
        </w:tc>
      </w:tr>
      <w:tr w:rsidR="00E92655" w:rsidRPr="00851B2F" w14:paraId="4CBA7424" w14:textId="77777777" w:rsidTr="009533D1">
        <w:trPr>
          <w:jc w:val="center"/>
        </w:trPr>
        <w:tc>
          <w:tcPr>
            <w:tcW w:w="1765" w:type="dxa"/>
          </w:tcPr>
          <w:p w14:paraId="0436E6CB" w14:textId="77777777" w:rsidR="00E92655" w:rsidRPr="00A8173A" w:rsidRDefault="00E92655" w:rsidP="009533D1">
            <w:pPr>
              <w:jc w:val="center"/>
              <w:rPr>
                <w:rFonts w:ascii="Arial" w:hAnsi="Arial" w:cs="Arial"/>
                <w:sz w:val="24"/>
                <w:szCs w:val="24"/>
              </w:rPr>
            </w:pPr>
            <w:r w:rsidRPr="00A8173A">
              <w:rPr>
                <w:rFonts w:ascii="Arial" w:hAnsi="Arial" w:cs="Arial"/>
                <w:sz w:val="24"/>
                <w:szCs w:val="24"/>
              </w:rPr>
              <w:t>13.791</w:t>
            </w:r>
          </w:p>
        </w:tc>
        <w:tc>
          <w:tcPr>
            <w:tcW w:w="1765" w:type="dxa"/>
          </w:tcPr>
          <w:p w14:paraId="4940A820" w14:textId="77777777" w:rsidR="00E92655" w:rsidRPr="00851B2F" w:rsidRDefault="00E92655" w:rsidP="009533D1">
            <w:pPr>
              <w:jc w:val="center"/>
              <w:rPr>
                <w:rFonts w:ascii="Arial" w:hAnsi="Arial" w:cs="Arial"/>
                <w:sz w:val="24"/>
                <w:szCs w:val="24"/>
              </w:rPr>
            </w:pPr>
            <w:r w:rsidRPr="00851B2F">
              <w:rPr>
                <w:rFonts w:ascii="Arial" w:hAnsi="Arial" w:cs="Arial"/>
                <w:sz w:val="24"/>
                <w:szCs w:val="24"/>
              </w:rPr>
              <w:t>12.983</w:t>
            </w:r>
          </w:p>
        </w:tc>
        <w:tc>
          <w:tcPr>
            <w:tcW w:w="1766" w:type="dxa"/>
          </w:tcPr>
          <w:p w14:paraId="507EBE2C" w14:textId="77777777" w:rsidR="00E92655" w:rsidRPr="00851B2F" w:rsidRDefault="00E92655" w:rsidP="009533D1">
            <w:pPr>
              <w:jc w:val="center"/>
              <w:rPr>
                <w:rFonts w:ascii="Arial" w:hAnsi="Arial" w:cs="Arial"/>
                <w:sz w:val="24"/>
                <w:szCs w:val="24"/>
              </w:rPr>
            </w:pPr>
            <w:r w:rsidRPr="00851B2F">
              <w:rPr>
                <w:rFonts w:ascii="Arial" w:hAnsi="Arial" w:cs="Arial"/>
                <w:sz w:val="24"/>
                <w:szCs w:val="24"/>
              </w:rPr>
              <w:t>10.729</w:t>
            </w:r>
          </w:p>
        </w:tc>
        <w:tc>
          <w:tcPr>
            <w:tcW w:w="1766" w:type="dxa"/>
          </w:tcPr>
          <w:p w14:paraId="29528310" w14:textId="77777777" w:rsidR="00E92655" w:rsidRPr="00851B2F" w:rsidRDefault="00E92655" w:rsidP="009533D1">
            <w:pPr>
              <w:jc w:val="center"/>
              <w:rPr>
                <w:rFonts w:ascii="Arial" w:hAnsi="Arial" w:cs="Arial"/>
                <w:sz w:val="24"/>
                <w:szCs w:val="24"/>
              </w:rPr>
            </w:pPr>
            <w:r w:rsidRPr="00851B2F">
              <w:rPr>
                <w:rFonts w:ascii="Arial" w:hAnsi="Arial" w:cs="Arial"/>
                <w:sz w:val="24"/>
                <w:szCs w:val="24"/>
              </w:rPr>
              <w:t>37.503</w:t>
            </w:r>
          </w:p>
        </w:tc>
        <w:tc>
          <w:tcPr>
            <w:tcW w:w="1766" w:type="dxa"/>
          </w:tcPr>
          <w:p w14:paraId="5D7AD7ED" w14:textId="77777777" w:rsidR="00E92655" w:rsidRPr="00851B2F" w:rsidRDefault="00E92655" w:rsidP="009533D1">
            <w:pPr>
              <w:jc w:val="center"/>
              <w:rPr>
                <w:rFonts w:ascii="Arial" w:hAnsi="Arial" w:cs="Arial"/>
                <w:sz w:val="24"/>
                <w:szCs w:val="24"/>
              </w:rPr>
            </w:pPr>
            <w:r w:rsidRPr="00851B2F">
              <w:rPr>
                <w:rFonts w:ascii="Arial" w:hAnsi="Arial" w:cs="Arial"/>
                <w:sz w:val="24"/>
                <w:szCs w:val="24"/>
              </w:rPr>
              <w:t>672.244</w:t>
            </w:r>
          </w:p>
        </w:tc>
      </w:tr>
    </w:tbl>
    <w:p w14:paraId="28066923" w14:textId="77777777" w:rsidR="00E92655" w:rsidRDefault="00E92655" w:rsidP="00E92655">
      <w:pPr>
        <w:spacing w:after="0" w:line="240" w:lineRule="auto"/>
        <w:jc w:val="center"/>
        <w:rPr>
          <w:rFonts w:ascii="Arial" w:hAnsi="Arial" w:cs="Arial"/>
          <w:sz w:val="20"/>
          <w:szCs w:val="20"/>
          <w:lang w:val="es-CO"/>
        </w:rPr>
      </w:pPr>
      <w:r w:rsidRPr="00176D33">
        <w:rPr>
          <w:rFonts w:ascii="Arial" w:hAnsi="Arial" w:cs="Arial"/>
          <w:sz w:val="20"/>
          <w:szCs w:val="20"/>
          <w:lang w:val="es-CO"/>
        </w:rPr>
        <w:t xml:space="preserve">Fuente: Sistema de Información Estadística Delictiva </w:t>
      </w:r>
    </w:p>
    <w:p w14:paraId="18FC3850" w14:textId="77777777" w:rsidR="00E92655" w:rsidRDefault="00E92655" w:rsidP="00E92655">
      <w:pPr>
        <w:spacing w:after="0" w:line="240" w:lineRule="auto"/>
        <w:jc w:val="center"/>
        <w:rPr>
          <w:rFonts w:ascii="Arial" w:hAnsi="Arial" w:cs="Arial"/>
          <w:sz w:val="20"/>
          <w:szCs w:val="20"/>
          <w:lang w:val="es-CO"/>
        </w:rPr>
      </w:pPr>
      <w:r w:rsidRPr="00176D33">
        <w:rPr>
          <w:rFonts w:ascii="Arial" w:hAnsi="Arial" w:cs="Arial"/>
          <w:sz w:val="20"/>
          <w:szCs w:val="20"/>
          <w:lang w:val="es-CO"/>
        </w:rPr>
        <w:t>Contravencional y Operativo de la Policía (SIEDCO)</w:t>
      </w:r>
    </w:p>
    <w:p w14:paraId="1F090B50" w14:textId="77777777" w:rsidR="00E92655" w:rsidRPr="000D2689" w:rsidRDefault="00E92655" w:rsidP="00E92655">
      <w:pPr>
        <w:pStyle w:val="xxmsonormal"/>
        <w:jc w:val="both"/>
        <w:rPr>
          <w:rFonts w:ascii="Arial" w:hAnsi="Arial" w:cs="Arial"/>
        </w:rPr>
      </w:pPr>
    </w:p>
    <w:p w14:paraId="3903C305" w14:textId="77777777" w:rsidR="00E92655" w:rsidRDefault="00E92655" w:rsidP="00E92655">
      <w:pPr>
        <w:spacing w:line="240" w:lineRule="auto"/>
        <w:jc w:val="both"/>
        <w:rPr>
          <w:rFonts w:ascii="Arial" w:hAnsi="Arial" w:cs="Arial"/>
          <w:sz w:val="24"/>
          <w:szCs w:val="24"/>
          <w:lang w:val="es-CO"/>
        </w:rPr>
      </w:pPr>
      <w:r>
        <w:rPr>
          <w:rFonts w:ascii="Arial" w:hAnsi="Arial" w:cs="Arial"/>
          <w:sz w:val="24"/>
          <w:szCs w:val="24"/>
          <w:lang w:val="es-CO"/>
        </w:rPr>
        <w:t xml:space="preserve">Entre las iniciativas que implementa el Ministerio de Defensa Nacional en materia de prevención del reclutamiento de menores de edad por parte de grupos armados al margen de la ley, se destaca </w:t>
      </w:r>
      <w:r w:rsidRPr="00851B2F">
        <w:rPr>
          <w:rFonts w:ascii="Arial" w:hAnsi="Arial" w:cs="Arial"/>
          <w:sz w:val="24"/>
          <w:szCs w:val="24"/>
          <w:lang w:val="es-CO"/>
        </w:rPr>
        <w:t>la Estrategia de Protección a la Inf</w:t>
      </w:r>
      <w:r>
        <w:rPr>
          <w:rFonts w:ascii="Arial" w:hAnsi="Arial" w:cs="Arial"/>
          <w:sz w:val="24"/>
          <w:szCs w:val="24"/>
          <w:lang w:val="es-CO"/>
        </w:rPr>
        <w:t xml:space="preserve">ancia y Adolescencia (EINFA) y </w:t>
      </w:r>
      <w:r w:rsidRPr="00851B2F">
        <w:rPr>
          <w:rFonts w:ascii="Arial" w:hAnsi="Arial" w:cs="Arial"/>
          <w:sz w:val="24"/>
          <w:szCs w:val="24"/>
          <w:lang w:val="es-CO"/>
        </w:rPr>
        <w:t>el progr</w:t>
      </w:r>
      <w:r>
        <w:rPr>
          <w:rFonts w:ascii="Arial" w:hAnsi="Arial" w:cs="Arial"/>
          <w:sz w:val="24"/>
          <w:szCs w:val="24"/>
          <w:lang w:val="es-CO"/>
        </w:rPr>
        <w:t xml:space="preserve">ama denominado “Abre tus Ojos”. Este último </w:t>
      </w:r>
      <w:r w:rsidRPr="00851B2F">
        <w:rPr>
          <w:rFonts w:ascii="Arial" w:hAnsi="Arial" w:cs="Arial"/>
          <w:sz w:val="24"/>
          <w:szCs w:val="24"/>
          <w:lang w:val="es-CO"/>
        </w:rPr>
        <w:t>da a conocer la grave afectación que genera el reclutamiento ilícito por parte de grupos arm</w:t>
      </w:r>
      <w:r>
        <w:rPr>
          <w:rFonts w:ascii="Arial" w:hAnsi="Arial" w:cs="Arial"/>
          <w:sz w:val="24"/>
          <w:szCs w:val="24"/>
          <w:lang w:val="es-CO"/>
        </w:rPr>
        <w:t>ados y cuenta con canales para que la ciudadanía denuncie</w:t>
      </w:r>
      <w:r w:rsidRPr="00851B2F">
        <w:rPr>
          <w:rFonts w:ascii="Arial" w:hAnsi="Arial" w:cs="Arial"/>
          <w:sz w:val="24"/>
          <w:szCs w:val="24"/>
          <w:lang w:val="es-CO"/>
        </w:rPr>
        <w:t xml:space="preserve"> cuando se tenga conocimiento </w:t>
      </w:r>
      <w:r>
        <w:rPr>
          <w:rFonts w:ascii="Arial" w:hAnsi="Arial" w:cs="Arial"/>
          <w:sz w:val="24"/>
          <w:szCs w:val="24"/>
          <w:lang w:val="es-CO"/>
        </w:rPr>
        <w:t>de un caso de esta naturaleza, a las líneas</w:t>
      </w:r>
      <w:r w:rsidRPr="00851B2F">
        <w:rPr>
          <w:rFonts w:ascii="Arial" w:hAnsi="Arial" w:cs="Arial"/>
          <w:sz w:val="24"/>
          <w:szCs w:val="24"/>
          <w:lang w:val="es-CO"/>
        </w:rPr>
        <w:t xml:space="preserve"> telefónicas 123 </w:t>
      </w:r>
      <w:r>
        <w:rPr>
          <w:rFonts w:ascii="Arial" w:hAnsi="Arial" w:cs="Arial"/>
          <w:sz w:val="24"/>
          <w:szCs w:val="24"/>
          <w:lang w:val="es-CO"/>
        </w:rPr>
        <w:t xml:space="preserve">de la </w:t>
      </w:r>
      <w:r w:rsidRPr="00851B2F">
        <w:rPr>
          <w:rFonts w:ascii="Arial" w:hAnsi="Arial" w:cs="Arial"/>
          <w:sz w:val="24"/>
          <w:szCs w:val="24"/>
          <w:lang w:val="es-CO"/>
        </w:rPr>
        <w:t>Policía Nacional y</w:t>
      </w:r>
      <w:r>
        <w:rPr>
          <w:rFonts w:ascii="Arial" w:hAnsi="Arial" w:cs="Arial"/>
          <w:sz w:val="24"/>
          <w:szCs w:val="24"/>
          <w:lang w:val="es-CO"/>
        </w:rPr>
        <w:t xml:space="preserve"> a</w:t>
      </w:r>
      <w:r w:rsidRPr="00851B2F">
        <w:rPr>
          <w:rFonts w:ascii="Arial" w:hAnsi="Arial" w:cs="Arial"/>
          <w:sz w:val="24"/>
          <w:szCs w:val="24"/>
          <w:lang w:val="es-CO"/>
        </w:rPr>
        <w:t xml:space="preserve"> la línea 141 del </w:t>
      </w:r>
      <w:r>
        <w:rPr>
          <w:rFonts w:ascii="Arial" w:hAnsi="Arial" w:cs="Arial"/>
          <w:sz w:val="24"/>
          <w:szCs w:val="24"/>
          <w:lang w:val="es-CO"/>
        </w:rPr>
        <w:t>ICBF</w:t>
      </w:r>
      <w:r w:rsidRPr="00851B2F">
        <w:rPr>
          <w:rFonts w:ascii="Arial" w:hAnsi="Arial" w:cs="Arial"/>
          <w:sz w:val="24"/>
          <w:szCs w:val="24"/>
          <w:lang w:val="es-CO"/>
        </w:rPr>
        <w:t xml:space="preserve">. </w:t>
      </w:r>
    </w:p>
    <w:p w14:paraId="605D712E" w14:textId="77777777" w:rsidR="00E92655" w:rsidRPr="00367E95" w:rsidRDefault="00E92655" w:rsidP="00E92655">
      <w:pPr>
        <w:rPr>
          <w:lang w:val="es-CO"/>
        </w:rPr>
      </w:pPr>
    </w:p>
    <w:p w14:paraId="7BCBCDCB" w14:textId="77777777" w:rsidR="004C08B4" w:rsidRPr="001B15D7" w:rsidRDefault="004C08B4" w:rsidP="001B15D7">
      <w:pPr>
        <w:spacing w:after="240" w:line="240" w:lineRule="auto"/>
        <w:ind w:right="5"/>
        <w:jc w:val="center"/>
        <w:rPr>
          <w:rFonts w:ascii="Arial" w:hAnsi="Arial" w:cs="Arial"/>
          <w:sz w:val="24"/>
          <w:szCs w:val="24"/>
          <w:lang w:val="es-CO"/>
        </w:rPr>
      </w:pPr>
    </w:p>
    <w:sectPr w:rsidR="004C08B4" w:rsidRPr="001B15D7">
      <w:headerReference w:type="default" r:id="rId18"/>
      <w:pgSz w:w="12240" w:h="15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12601" w16cex:dateUtc="2021-02-25T00:22:00Z"/>
  <w16cex:commentExtensible w16cex:durableId="23E12665" w16cex:dateUtc="2021-02-25T0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8A59449" w16cid:durableId="23E12601"/>
  <w16cid:commentId w16cid:paraId="570E7141" w16cid:durableId="23E1266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83BF9" w14:textId="77777777" w:rsidR="000F3347" w:rsidRDefault="000F3347" w:rsidP="0081550E">
      <w:pPr>
        <w:spacing w:after="0" w:line="240" w:lineRule="auto"/>
      </w:pPr>
      <w:r>
        <w:separator/>
      </w:r>
    </w:p>
  </w:endnote>
  <w:endnote w:type="continuationSeparator" w:id="0">
    <w:p w14:paraId="3574BBCC" w14:textId="77777777" w:rsidR="000F3347" w:rsidRDefault="000F3347" w:rsidP="00815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76C37" w14:textId="77777777" w:rsidR="000F3347" w:rsidRDefault="000F3347" w:rsidP="0081550E">
      <w:pPr>
        <w:spacing w:after="0" w:line="240" w:lineRule="auto"/>
      </w:pPr>
      <w:r>
        <w:separator/>
      </w:r>
    </w:p>
  </w:footnote>
  <w:footnote w:type="continuationSeparator" w:id="0">
    <w:p w14:paraId="13103E36" w14:textId="77777777" w:rsidR="000F3347" w:rsidRDefault="000F3347" w:rsidP="0081550E">
      <w:pPr>
        <w:spacing w:after="0" w:line="240" w:lineRule="auto"/>
      </w:pPr>
      <w:r>
        <w:continuationSeparator/>
      </w:r>
    </w:p>
  </w:footnote>
  <w:footnote w:id="1">
    <w:p w14:paraId="41B934C9" w14:textId="77777777" w:rsidR="00E92655" w:rsidRPr="00A03FA2" w:rsidRDefault="00E92655" w:rsidP="00E92655">
      <w:pPr>
        <w:pStyle w:val="FootnoteText"/>
        <w:jc w:val="both"/>
        <w:rPr>
          <w:rFonts w:ascii="Arial" w:hAnsi="Arial" w:cs="Arial"/>
          <w:lang w:val="es-CO"/>
        </w:rPr>
      </w:pPr>
      <w:r w:rsidRPr="00A03FA2">
        <w:rPr>
          <w:rStyle w:val="FootnoteReference"/>
          <w:rFonts w:ascii="Arial" w:hAnsi="Arial" w:cs="Arial"/>
        </w:rPr>
        <w:footnoteRef/>
      </w:r>
      <w:r>
        <w:rPr>
          <w:rFonts w:ascii="Arial" w:hAnsi="Arial" w:cs="Arial"/>
        </w:rPr>
        <w:t xml:space="preserve"> Se ha trabajado en el m</w:t>
      </w:r>
      <w:r w:rsidRPr="00A03FA2">
        <w:rPr>
          <w:rFonts w:ascii="Arial" w:hAnsi="Arial" w:cs="Arial"/>
        </w:rPr>
        <w:t xml:space="preserve">ejoramiento en el acceso a servicios de las mujeres mediante la estrategia Enfoque de Género en el Servicio </w:t>
      </w:r>
      <w:r>
        <w:rPr>
          <w:rFonts w:ascii="Arial" w:hAnsi="Arial" w:cs="Arial"/>
        </w:rPr>
        <w:t xml:space="preserve">de Policía en 7 </w:t>
      </w:r>
      <w:r w:rsidRPr="00A03FA2">
        <w:rPr>
          <w:rFonts w:ascii="Arial" w:hAnsi="Arial" w:cs="Arial"/>
        </w:rPr>
        <w:t xml:space="preserve">municipios: Fonseca – Pondores (Guajira:); La Paz – San José de Oriente (Cesar); Anorí (Antioquía); Planadas – El Jordán (Tolima); Caldono – Los Monos (Cauca); Vistahermosa – La Reforma (Meta);  San Vicente del Caguán – Mira Valle (Caquetá). </w:t>
      </w:r>
      <w:r>
        <w:rPr>
          <w:rFonts w:ascii="Arial" w:hAnsi="Arial" w:cs="Arial"/>
        </w:rPr>
        <w:t>MDN</w:t>
      </w:r>
      <w:r w:rsidRPr="00A03FA2">
        <w:rPr>
          <w:rFonts w:ascii="Arial" w:hAnsi="Arial" w:cs="Arial"/>
        </w:rPr>
        <w:t>, 2021.</w:t>
      </w:r>
    </w:p>
  </w:footnote>
  <w:footnote w:id="2">
    <w:p w14:paraId="792AE506" w14:textId="77777777" w:rsidR="00E92655" w:rsidRPr="00A03FA2" w:rsidRDefault="00E92655" w:rsidP="00E92655">
      <w:pPr>
        <w:pStyle w:val="FootnoteText"/>
        <w:jc w:val="both"/>
        <w:rPr>
          <w:rFonts w:ascii="Arial" w:hAnsi="Arial" w:cs="Arial"/>
        </w:rPr>
      </w:pPr>
      <w:r w:rsidRPr="00A03FA2">
        <w:rPr>
          <w:rStyle w:val="FootnoteReference"/>
          <w:rFonts w:ascii="Arial" w:hAnsi="Arial" w:cs="Arial"/>
        </w:rPr>
        <w:footnoteRef/>
      </w:r>
      <w:r w:rsidRPr="00A03FA2">
        <w:rPr>
          <w:rFonts w:ascii="Arial" w:hAnsi="Arial" w:cs="Arial"/>
        </w:rPr>
        <w:t xml:space="preserve"> Ibíd.</w:t>
      </w:r>
    </w:p>
  </w:footnote>
  <w:footnote w:id="3">
    <w:p w14:paraId="7DA1077E" w14:textId="77777777" w:rsidR="00E92655" w:rsidRPr="00A03FA2" w:rsidRDefault="00E92655" w:rsidP="00E92655">
      <w:pPr>
        <w:pStyle w:val="FootnoteText"/>
        <w:rPr>
          <w:rFonts w:ascii="Arial" w:hAnsi="Arial" w:cs="Arial"/>
        </w:rPr>
      </w:pPr>
      <w:r w:rsidRPr="00A03FA2">
        <w:rPr>
          <w:rStyle w:val="FootnoteReference"/>
          <w:rFonts w:ascii="Arial" w:hAnsi="Arial" w:cs="Arial"/>
        </w:rPr>
        <w:footnoteRef/>
      </w:r>
      <w:r w:rsidRPr="00A03FA2">
        <w:rPr>
          <w:rFonts w:ascii="Arial" w:hAnsi="Arial" w:cs="Arial"/>
        </w:rPr>
        <w:t xml:space="preserve"> Ibíd.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C1289" w14:textId="77777777" w:rsidR="0081550E" w:rsidRDefault="0081550E">
    <w:pPr>
      <w:pStyle w:val="Header"/>
    </w:pPr>
    <w:r>
      <w:rPr>
        <w:noProof/>
        <w:lang w:val="en-GB" w:eastAsia="en-GB"/>
      </w:rPr>
      <w:drawing>
        <wp:inline distT="0" distB="0" distL="0" distR="0" wp14:anchorId="2A0D73A0" wp14:editId="6119805D">
          <wp:extent cx="2825750" cy="552450"/>
          <wp:effectExtent l="0" t="0" r="0" b="0"/>
          <wp:docPr id="6" name="Imagen 2"/>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stretch/>
                </pic:blipFill>
                <pic:spPr>
                  <a:xfrm>
                    <a:off x="0" y="0"/>
                    <a:ext cx="2825285" cy="552359"/>
                  </a:xfrm>
                  <a:prstGeom prst="rect">
                    <a:avLst/>
                  </a:prstGeom>
                  <a:ln>
                    <a:noFill/>
                  </a:ln>
                </pic:spPr>
              </pic:pic>
            </a:graphicData>
          </a:graphic>
        </wp:inline>
      </w:drawing>
    </w:r>
  </w:p>
  <w:p w14:paraId="10A0011E" w14:textId="77777777" w:rsidR="0081550E" w:rsidRDefault="00815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56218"/>
    <w:multiLevelType w:val="hybridMultilevel"/>
    <w:tmpl w:val="4454B3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E227E"/>
    <w:multiLevelType w:val="hybridMultilevel"/>
    <w:tmpl w:val="47F01548"/>
    <w:lvl w:ilvl="0" w:tplc="C1F0C3C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331AF"/>
    <w:multiLevelType w:val="hybridMultilevel"/>
    <w:tmpl w:val="04C42320"/>
    <w:lvl w:ilvl="0" w:tplc="6D469D9C">
      <w:start w:val="3"/>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FB10E9"/>
    <w:multiLevelType w:val="hybridMultilevel"/>
    <w:tmpl w:val="DAEE8B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D2C49"/>
    <w:multiLevelType w:val="hybridMultilevel"/>
    <w:tmpl w:val="1D6875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9F3F28"/>
    <w:multiLevelType w:val="hybridMultilevel"/>
    <w:tmpl w:val="103C3EFA"/>
    <w:lvl w:ilvl="0" w:tplc="4D868038">
      <w:start w:val="1"/>
      <w:numFmt w:val="lowerRoman"/>
      <w:lvlText w:val="%1."/>
      <w:lvlJc w:val="left"/>
      <w:pPr>
        <w:ind w:left="1004" w:hanging="72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B546364"/>
    <w:multiLevelType w:val="hybridMultilevel"/>
    <w:tmpl w:val="86947484"/>
    <w:lvl w:ilvl="0" w:tplc="0409001B">
      <w:start w:val="1"/>
      <w:numFmt w:val="lowerRoman"/>
      <w:lvlText w:val="%1."/>
      <w:lvlJc w:val="right"/>
      <w:pPr>
        <w:ind w:left="252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DE84EC8"/>
    <w:multiLevelType w:val="hybridMultilevel"/>
    <w:tmpl w:val="3D98797A"/>
    <w:lvl w:ilvl="0" w:tplc="18E09D12">
      <w:start w:val="1"/>
      <w:numFmt w:val="decimal"/>
      <w:lvlText w:val="%1."/>
      <w:lvlJc w:val="left"/>
      <w:pPr>
        <w:ind w:left="360" w:hanging="360"/>
      </w:pPr>
      <w:rPr>
        <w:rFonts w:cs="Arial"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2C4556F"/>
    <w:multiLevelType w:val="hybridMultilevel"/>
    <w:tmpl w:val="5B984A38"/>
    <w:lvl w:ilvl="0" w:tplc="0B7E62BC">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592F37"/>
    <w:multiLevelType w:val="hybridMultilevel"/>
    <w:tmpl w:val="4DECBB1A"/>
    <w:lvl w:ilvl="0" w:tplc="2612FAD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112DC"/>
    <w:multiLevelType w:val="hybridMultilevel"/>
    <w:tmpl w:val="50181D2C"/>
    <w:lvl w:ilvl="0" w:tplc="0C0A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1BB6F19"/>
    <w:multiLevelType w:val="hybridMultilevel"/>
    <w:tmpl w:val="B2528EF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6B07EA"/>
    <w:multiLevelType w:val="hybridMultilevel"/>
    <w:tmpl w:val="A7E0E484"/>
    <w:lvl w:ilvl="0" w:tplc="5274BF84">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6900F75"/>
    <w:multiLevelType w:val="hybridMultilevel"/>
    <w:tmpl w:val="5B5C5BA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E132EC4"/>
    <w:multiLevelType w:val="hybridMultilevel"/>
    <w:tmpl w:val="C838C4F8"/>
    <w:lvl w:ilvl="0" w:tplc="EBDC0B2A">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6EDA7B23"/>
    <w:multiLevelType w:val="hybridMultilevel"/>
    <w:tmpl w:val="85E41D52"/>
    <w:lvl w:ilvl="0" w:tplc="2BBE9E74">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4F43A2"/>
    <w:multiLevelType w:val="hybridMultilevel"/>
    <w:tmpl w:val="BCAC939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DA61B8C"/>
    <w:multiLevelType w:val="hybridMultilevel"/>
    <w:tmpl w:val="030C1D72"/>
    <w:lvl w:ilvl="0" w:tplc="C78CEB6A">
      <w:start w:val="5"/>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2"/>
  </w:num>
  <w:num w:numId="4">
    <w:abstractNumId w:val="16"/>
  </w:num>
  <w:num w:numId="5">
    <w:abstractNumId w:val="13"/>
  </w:num>
  <w:num w:numId="6">
    <w:abstractNumId w:val="14"/>
  </w:num>
  <w:num w:numId="7">
    <w:abstractNumId w:val="15"/>
  </w:num>
  <w:num w:numId="8">
    <w:abstractNumId w:val="8"/>
  </w:num>
  <w:num w:numId="9">
    <w:abstractNumId w:val="9"/>
  </w:num>
  <w:num w:numId="10">
    <w:abstractNumId w:val="2"/>
  </w:num>
  <w:num w:numId="11">
    <w:abstractNumId w:val="17"/>
  </w:num>
  <w:num w:numId="12">
    <w:abstractNumId w:val="5"/>
  </w:num>
  <w:num w:numId="13">
    <w:abstractNumId w:val="10"/>
  </w:num>
  <w:num w:numId="14">
    <w:abstractNumId w:val="7"/>
  </w:num>
  <w:num w:numId="15">
    <w:abstractNumId w:val="3"/>
  </w:num>
  <w:num w:numId="16">
    <w:abstractNumId w:val="4"/>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0E"/>
    <w:rsid w:val="000136B5"/>
    <w:rsid w:val="000630D4"/>
    <w:rsid w:val="00084D90"/>
    <w:rsid w:val="000F3347"/>
    <w:rsid w:val="0011566E"/>
    <w:rsid w:val="001400C8"/>
    <w:rsid w:val="00141BC0"/>
    <w:rsid w:val="00186979"/>
    <w:rsid w:val="001B15D7"/>
    <w:rsid w:val="001B65AB"/>
    <w:rsid w:val="001E1E61"/>
    <w:rsid w:val="001E737C"/>
    <w:rsid w:val="001F1021"/>
    <w:rsid w:val="00214315"/>
    <w:rsid w:val="00223FA2"/>
    <w:rsid w:val="0026255A"/>
    <w:rsid w:val="00280013"/>
    <w:rsid w:val="002935C7"/>
    <w:rsid w:val="002E73A1"/>
    <w:rsid w:val="003650EB"/>
    <w:rsid w:val="003D3D29"/>
    <w:rsid w:val="003F2EA9"/>
    <w:rsid w:val="00471B16"/>
    <w:rsid w:val="004C08B4"/>
    <w:rsid w:val="004F017D"/>
    <w:rsid w:val="004F50E3"/>
    <w:rsid w:val="0050264B"/>
    <w:rsid w:val="005116F8"/>
    <w:rsid w:val="00527E08"/>
    <w:rsid w:val="00574CFA"/>
    <w:rsid w:val="00591261"/>
    <w:rsid w:val="005B3E33"/>
    <w:rsid w:val="00660F97"/>
    <w:rsid w:val="00677194"/>
    <w:rsid w:val="006E5664"/>
    <w:rsid w:val="006F69A0"/>
    <w:rsid w:val="007D3A3A"/>
    <w:rsid w:val="0081550E"/>
    <w:rsid w:val="008504C8"/>
    <w:rsid w:val="00875A06"/>
    <w:rsid w:val="00921712"/>
    <w:rsid w:val="00932995"/>
    <w:rsid w:val="00996AE3"/>
    <w:rsid w:val="009E4F76"/>
    <w:rsid w:val="00A101C0"/>
    <w:rsid w:val="00AF2956"/>
    <w:rsid w:val="00B26330"/>
    <w:rsid w:val="00B41337"/>
    <w:rsid w:val="00B60303"/>
    <w:rsid w:val="00B97C6C"/>
    <w:rsid w:val="00CA7BE4"/>
    <w:rsid w:val="00CB33C3"/>
    <w:rsid w:val="00D554F2"/>
    <w:rsid w:val="00D77852"/>
    <w:rsid w:val="00D93785"/>
    <w:rsid w:val="00E92655"/>
    <w:rsid w:val="00EB131B"/>
    <w:rsid w:val="00F37519"/>
    <w:rsid w:val="00FD6B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41F4A"/>
  <w15:docId w15:val="{F02047D4-361B-426D-981F-552F13D51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5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5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550E"/>
  </w:style>
  <w:style w:type="paragraph" w:styleId="Footer">
    <w:name w:val="footer"/>
    <w:basedOn w:val="Normal"/>
    <w:link w:val="FooterChar"/>
    <w:uiPriority w:val="99"/>
    <w:unhideWhenUsed/>
    <w:rsid w:val="008155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550E"/>
  </w:style>
  <w:style w:type="paragraph" w:styleId="BalloonText">
    <w:name w:val="Balloon Text"/>
    <w:basedOn w:val="Normal"/>
    <w:link w:val="BalloonTextChar"/>
    <w:uiPriority w:val="99"/>
    <w:semiHidden/>
    <w:unhideWhenUsed/>
    <w:rsid w:val="008155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50E"/>
    <w:rPr>
      <w:rFonts w:ascii="Tahoma" w:hAnsi="Tahoma" w:cs="Tahoma"/>
      <w:sz w:val="16"/>
      <w:szCs w:val="16"/>
    </w:rPr>
  </w:style>
  <w:style w:type="paragraph" w:styleId="ListParagraph">
    <w:name w:val="List Paragraph"/>
    <w:aliases w:val="Párrafo de lista1,EITI list,Bolita,BOLA,BOLADEF,Bullet,HOJA,Párrafo de lista4,Párrafo de lista3,Párrafo de lista21,Guión,Listeafsnit1,Parágrafo da Lista1,Normal. Viñetas,Lista1 Car,lp1,List Paragraph11,Scitum normal,Elabora"/>
    <w:basedOn w:val="Normal"/>
    <w:link w:val="ListParagraphChar"/>
    <w:uiPriority w:val="34"/>
    <w:qFormat/>
    <w:rsid w:val="0081550E"/>
    <w:pPr>
      <w:ind w:left="720"/>
      <w:contextualSpacing/>
    </w:pPr>
  </w:style>
  <w:style w:type="character" w:customStyle="1" w:styleId="ListParagraphChar">
    <w:name w:val="List Paragraph Char"/>
    <w:aliases w:val="Párrafo de lista1 Char,EITI list Char,Bolita Char,BOLA Char,BOLADEF Char,Bullet Char,HOJA Char,Párrafo de lista4 Char,Párrafo de lista3 Char,Párrafo de lista21 Char,Guión Char,Listeafsnit1 Char,Parágrafo da Lista1 Char,lp1 Char"/>
    <w:link w:val="ListParagraph"/>
    <w:uiPriority w:val="34"/>
    <w:qFormat/>
    <w:rsid w:val="0081550E"/>
  </w:style>
  <w:style w:type="paragraph" w:styleId="FootnoteText">
    <w:name w:val="footnote text"/>
    <w:basedOn w:val="Normal"/>
    <w:link w:val="FootnoteTextChar"/>
    <w:uiPriority w:val="99"/>
    <w:semiHidden/>
    <w:unhideWhenUsed/>
    <w:rsid w:val="003650EB"/>
    <w:pPr>
      <w:spacing w:after="0" w:line="240" w:lineRule="auto"/>
    </w:pPr>
    <w:rPr>
      <w:rFonts w:ascii="Times New Roman" w:eastAsia="Times New Roman" w:hAnsi="Times New Roman" w:cs="Times New Roman"/>
      <w:sz w:val="20"/>
      <w:szCs w:val="20"/>
      <w:lang w:val="es-ES_tradnl" w:eastAsia="es-ES_tradnl"/>
    </w:rPr>
  </w:style>
  <w:style w:type="character" w:customStyle="1" w:styleId="FootnoteTextChar">
    <w:name w:val="Footnote Text Char"/>
    <w:basedOn w:val="DefaultParagraphFont"/>
    <w:link w:val="FootnoteText"/>
    <w:uiPriority w:val="99"/>
    <w:semiHidden/>
    <w:rsid w:val="003650EB"/>
    <w:rPr>
      <w:rFonts w:ascii="Times New Roman" w:eastAsia="Times New Roman" w:hAnsi="Times New Roman" w:cs="Times New Roman"/>
      <w:sz w:val="20"/>
      <w:szCs w:val="20"/>
      <w:lang w:val="es-ES_tradnl" w:eastAsia="es-ES_tradnl"/>
    </w:rPr>
  </w:style>
  <w:style w:type="character" w:styleId="FootnoteReference">
    <w:name w:val="footnote reference"/>
    <w:basedOn w:val="DefaultParagraphFont"/>
    <w:uiPriority w:val="99"/>
    <w:semiHidden/>
    <w:unhideWhenUsed/>
    <w:rsid w:val="003650EB"/>
    <w:rPr>
      <w:vertAlign w:val="superscript"/>
    </w:rPr>
  </w:style>
  <w:style w:type="paragraph" w:styleId="NormalWeb">
    <w:name w:val="Normal (Web)"/>
    <w:basedOn w:val="Normal"/>
    <w:uiPriority w:val="99"/>
    <w:unhideWhenUsed/>
    <w:rsid w:val="002143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normal">
    <w:name w:val="x_x_msonormal"/>
    <w:basedOn w:val="Normal"/>
    <w:rsid w:val="00214315"/>
    <w:pPr>
      <w:spacing w:after="0" w:line="240" w:lineRule="auto"/>
    </w:pPr>
    <w:rPr>
      <w:rFonts w:ascii="Times New Roman" w:hAnsi="Times New Roman" w:cs="Times New Roman"/>
      <w:sz w:val="24"/>
      <w:szCs w:val="24"/>
      <w:lang w:val="es-CO" w:eastAsia="es-CO"/>
    </w:rPr>
  </w:style>
  <w:style w:type="table" w:styleId="MediumShading2-Accent5">
    <w:name w:val="Medium Shading 2 Accent 5"/>
    <w:basedOn w:val="TableNormal"/>
    <w:uiPriority w:val="64"/>
    <w:rsid w:val="0021431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4F017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E9265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93785"/>
    <w:rPr>
      <w:sz w:val="16"/>
      <w:szCs w:val="16"/>
    </w:rPr>
  </w:style>
  <w:style w:type="paragraph" w:styleId="CommentText">
    <w:name w:val="annotation text"/>
    <w:basedOn w:val="Normal"/>
    <w:link w:val="CommentTextChar"/>
    <w:uiPriority w:val="99"/>
    <w:semiHidden/>
    <w:unhideWhenUsed/>
    <w:rsid w:val="00D93785"/>
    <w:pPr>
      <w:spacing w:line="240" w:lineRule="auto"/>
    </w:pPr>
    <w:rPr>
      <w:sz w:val="20"/>
      <w:szCs w:val="20"/>
    </w:rPr>
  </w:style>
  <w:style w:type="character" w:customStyle="1" w:styleId="CommentTextChar">
    <w:name w:val="Comment Text Char"/>
    <w:basedOn w:val="DefaultParagraphFont"/>
    <w:link w:val="CommentText"/>
    <w:uiPriority w:val="99"/>
    <w:semiHidden/>
    <w:rsid w:val="00D93785"/>
    <w:rPr>
      <w:sz w:val="20"/>
      <w:szCs w:val="20"/>
    </w:rPr>
  </w:style>
  <w:style w:type="paragraph" w:styleId="CommentSubject">
    <w:name w:val="annotation subject"/>
    <w:basedOn w:val="CommentText"/>
    <w:next w:val="CommentText"/>
    <w:link w:val="CommentSubjectChar"/>
    <w:uiPriority w:val="99"/>
    <w:semiHidden/>
    <w:unhideWhenUsed/>
    <w:rsid w:val="00D93785"/>
    <w:rPr>
      <w:b/>
      <w:bCs/>
    </w:rPr>
  </w:style>
  <w:style w:type="character" w:customStyle="1" w:styleId="CommentSubjectChar">
    <w:name w:val="Comment Subject Char"/>
    <w:basedOn w:val="CommentTextChar"/>
    <w:link w:val="CommentSubject"/>
    <w:uiPriority w:val="99"/>
    <w:semiHidden/>
    <w:rsid w:val="00D937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26"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microsoft.com/office/2018/08/relationships/commentsExtensible" Target="commentsExtensible.xml"/><Relationship Id="rId28"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7"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B8B8EB-D412-47CD-B5A0-875E5DBB89A1}">
  <ds:schemaRefs>
    <ds:schemaRef ds:uri="http://schemas.openxmlformats.org/officeDocument/2006/bibliography"/>
  </ds:schemaRefs>
</ds:datastoreItem>
</file>

<file path=customXml/itemProps2.xml><?xml version="1.0" encoding="utf-8"?>
<ds:datastoreItem xmlns:ds="http://schemas.openxmlformats.org/officeDocument/2006/customXml" ds:itemID="{F6FA02B6-856E-4BDD-AC87-238051E17305}"/>
</file>

<file path=customXml/itemProps3.xml><?xml version="1.0" encoding="utf-8"?>
<ds:datastoreItem xmlns:ds="http://schemas.openxmlformats.org/officeDocument/2006/customXml" ds:itemID="{99C3B4C7-8611-4249-ADD2-3BD2BCE96EB9}"/>
</file>

<file path=customXml/itemProps4.xml><?xml version="1.0" encoding="utf-8"?>
<ds:datastoreItem xmlns:ds="http://schemas.openxmlformats.org/officeDocument/2006/customXml" ds:itemID="{B336277F-8722-4AFC-A166-DE808AE77881}"/>
</file>

<file path=docProps/app.xml><?xml version="1.0" encoding="utf-8"?>
<Properties xmlns="http://schemas.openxmlformats.org/officeDocument/2006/extended-properties" xmlns:vt="http://schemas.openxmlformats.org/officeDocument/2006/docPropsVTypes">
  <Template>Normal.dotm</Template>
  <TotalTime>0</TotalTime>
  <Pages>11</Pages>
  <Words>826</Words>
  <Characters>4714</Characters>
  <Application>Microsoft Office Word</Application>
  <DocSecurity>4</DocSecurity>
  <Lines>39</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dc:creator>
  <cp:lastModifiedBy>BOIT James</cp:lastModifiedBy>
  <cp:revision>2</cp:revision>
  <dcterms:created xsi:type="dcterms:W3CDTF">2021-03-18T11:11:00Z</dcterms:created>
  <dcterms:modified xsi:type="dcterms:W3CDTF">2021-03-18T11:11:00Z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