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2F4AE" w14:textId="25734D4B" w:rsidR="00F73E0B" w:rsidRDefault="00F73E0B"/>
    <w:p w14:paraId="025C2AF1" w14:textId="77777777" w:rsidR="00873699" w:rsidRDefault="00873699"/>
    <w:p w14:paraId="6AC4D049" w14:textId="1B775F4E" w:rsidR="00F73E0B" w:rsidRDefault="00F73E0B"/>
    <w:p w14:paraId="4D9004A2" w14:textId="290E97C4" w:rsidR="00F73E0B" w:rsidRDefault="00F73E0B"/>
    <w:p w14:paraId="2FE0F6AC" w14:textId="6463EE5D" w:rsidR="00F73E0B" w:rsidRDefault="00F73E0B"/>
    <w:p w14:paraId="68BC435E" w14:textId="19716855" w:rsidR="00F73E0B" w:rsidRDefault="00F73E0B"/>
    <w:p w14:paraId="2EBC5009" w14:textId="77777777" w:rsidR="00F73E0B" w:rsidRDefault="00F73E0B"/>
    <w:sdt>
      <w:sdtPr>
        <w:id w:val="-1606483254"/>
        <w:docPartObj>
          <w:docPartGallery w:val="Cover Pages"/>
          <w:docPartUnique/>
        </w:docPartObj>
      </w:sdtPr>
      <w:sdtEndPr>
        <w:rPr>
          <w:b/>
          <w:sz w:val="44"/>
          <w:szCs w:val="28"/>
          <w:lang w:val="en-US"/>
        </w:rPr>
      </w:sdtEndPr>
      <w:sdtContent>
        <w:p w14:paraId="5E4B1848" w14:textId="62E2AA17" w:rsidR="00F73E0B" w:rsidRDefault="00F73E0B" w:rsidP="00F73E0B">
          <w:pPr>
            <w:jc w:val="center"/>
            <w:rPr>
              <w:rFonts w:cs="Arial"/>
              <w:b/>
              <w:sz w:val="48"/>
              <w:szCs w:val="48"/>
              <w:lang w:val="en-US"/>
            </w:rPr>
          </w:pPr>
          <w:r w:rsidRPr="001028E4">
            <w:rPr>
              <w:rFonts w:cs="Arial"/>
              <w:b/>
              <w:sz w:val="48"/>
              <w:szCs w:val="48"/>
              <w:lang w:val="en-US"/>
            </w:rPr>
            <w:t>Canadian Human Rights Commission</w:t>
          </w:r>
        </w:p>
        <w:p w14:paraId="01EF62D1" w14:textId="77777777" w:rsidR="00F73E0B" w:rsidRPr="001028E4" w:rsidRDefault="00F73E0B" w:rsidP="00F73E0B">
          <w:pPr>
            <w:jc w:val="center"/>
            <w:rPr>
              <w:rFonts w:cs="Arial"/>
              <w:b/>
              <w:sz w:val="48"/>
              <w:szCs w:val="48"/>
              <w:lang w:val="en-US"/>
            </w:rPr>
          </w:pPr>
        </w:p>
        <w:p w14:paraId="57AEAB8A" w14:textId="0392F25C" w:rsidR="00F73E0B" w:rsidRPr="001D28D2" w:rsidRDefault="00F73E0B" w:rsidP="00F73E0B">
          <w:pPr>
            <w:jc w:val="center"/>
            <w:rPr>
              <w:rFonts w:cs="Arial"/>
              <w:b/>
              <w:sz w:val="40"/>
              <w:szCs w:val="40"/>
              <w:lang w:val="en-US"/>
            </w:rPr>
          </w:pPr>
          <w:r>
            <w:rPr>
              <w:rFonts w:cs="Arial"/>
              <w:b/>
              <w:sz w:val="40"/>
              <w:szCs w:val="40"/>
              <w:lang w:val="en-US"/>
            </w:rPr>
            <w:t xml:space="preserve">Submission to the </w:t>
          </w:r>
          <w:r w:rsidR="00880208">
            <w:rPr>
              <w:rFonts w:cs="Arial"/>
              <w:b/>
              <w:sz w:val="40"/>
              <w:szCs w:val="40"/>
              <w:lang w:val="en-US"/>
            </w:rPr>
            <w:t xml:space="preserve">Committee on </w:t>
          </w:r>
          <w:r w:rsidR="002F361E">
            <w:rPr>
              <w:rFonts w:cs="Arial"/>
              <w:b/>
              <w:sz w:val="40"/>
              <w:szCs w:val="40"/>
              <w:lang w:val="en-US"/>
            </w:rPr>
            <w:t>Rights of Persons with Disabilities</w:t>
          </w:r>
          <w:r>
            <w:rPr>
              <w:rFonts w:cs="Arial"/>
              <w:b/>
              <w:sz w:val="40"/>
              <w:szCs w:val="40"/>
              <w:lang w:val="en-US"/>
            </w:rPr>
            <w:t xml:space="preserve"> </w:t>
          </w:r>
          <w:r w:rsidR="00FE1073">
            <w:rPr>
              <w:rFonts w:cs="Arial"/>
              <w:b/>
              <w:sz w:val="40"/>
              <w:szCs w:val="40"/>
              <w:lang w:val="en-US"/>
            </w:rPr>
            <w:t>on the occasion of Canada’s 2</w:t>
          </w:r>
          <w:r w:rsidR="00FE1073" w:rsidRPr="00FE1073">
            <w:rPr>
              <w:rFonts w:cs="Arial"/>
              <w:b/>
              <w:sz w:val="40"/>
              <w:szCs w:val="40"/>
              <w:vertAlign w:val="superscript"/>
              <w:lang w:val="en-US"/>
            </w:rPr>
            <w:t>nd</w:t>
          </w:r>
          <w:r w:rsidR="00FE1073">
            <w:rPr>
              <w:rFonts w:cs="Arial"/>
              <w:b/>
              <w:sz w:val="40"/>
              <w:szCs w:val="40"/>
              <w:lang w:val="en-US"/>
            </w:rPr>
            <w:t xml:space="preserve"> and 3</w:t>
          </w:r>
          <w:r w:rsidR="00FE1073" w:rsidRPr="00FE1073">
            <w:rPr>
              <w:rFonts w:cs="Arial"/>
              <w:b/>
              <w:sz w:val="40"/>
              <w:szCs w:val="40"/>
              <w:vertAlign w:val="superscript"/>
              <w:lang w:val="en-US"/>
            </w:rPr>
            <w:t>rd</w:t>
          </w:r>
          <w:r w:rsidR="00FE1073">
            <w:rPr>
              <w:rFonts w:cs="Arial"/>
              <w:b/>
              <w:sz w:val="40"/>
              <w:szCs w:val="40"/>
              <w:lang w:val="en-US"/>
            </w:rPr>
            <w:t xml:space="preserve"> Periodic Review</w:t>
          </w:r>
        </w:p>
        <w:p w14:paraId="2DD2798D" w14:textId="77777777" w:rsidR="00F73E0B" w:rsidRDefault="00F73E0B">
          <w:pPr>
            <w:rPr>
              <w:b/>
              <w:sz w:val="44"/>
              <w:szCs w:val="28"/>
              <w:lang w:val="en-US"/>
            </w:rPr>
          </w:pPr>
        </w:p>
        <w:p w14:paraId="250055D7" w14:textId="71D75873" w:rsidR="00F73E0B" w:rsidRDefault="00F73E0B">
          <w:pPr>
            <w:rPr>
              <w:b/>
              <w:sz w:val="44"/>
              <w:szCs w:val="28"/>
              <w:lang w:val="en-US"/>
            </w:rPr>
          </w:pPr>
        </w:p>
        <w:p w14:paraId="6D693600" w14:textId="78499283" w:rsidR="00F73E0B" w:rsidRDefault="00F73E0B">
          <w:pPr>
            <w:rPr>
              <w:b/>
              <w:sz w:val="44"/>
              <w:szCs w:val="28"/>
              <w:lang w:val="en-US"/>
            </w:rPr>
          </w:pPr>
        </w:p>
        <w:p w14:paraId="398696D0" w14:textId="77777777" w:rsidR="00F73E0B" w:rsidRDefault="00F73E0B">
          <w:pPr>
            <w:rPr>
              <w:b/>
              <w:sz w:val="44"/>
              <w:szCs w:val="28"/>
              <w:lang w:val="en-US"/>
            </w:rPr>
          </w:pPr>
        </w:p>
        <w:p w14:paraId="18E9EFA6" w14:textId="571B7858" w:rsidR="00F73E0B" w:rsidRPr="001028E4" w:rsidRDefault="002F361E" w:rsidP="00F73E0B">
          <w:pPr>
            <w:rPr>
              <w:rFonts w:cs="Arial"/>
              <w:b/>
              <w:sz w:val="32"/>
              <w:lang w:val="en-US"/>
            </w:rPr>
          </w:pPr>
          <w:r>
            <w:rPr>
              <w:rFonts w:cs="Arial"/>
              <w:b/>
              <w:sz w:val="32"/>
              <w:lang w:val="en-US"/>
            </w:rPr>
            <w:t>January 2025</w:t>
          </w:r>
        </w:p>
        <w:p w14:paraId="7A984558" w14:textId="77777777" w:rsidR="00503749" w:rsidRDefault="003C5EE1" w:rsidP="00503749">
          <w:pPr>
            <w:rPr>
              <w:b/>
              <w:sz w:val="44"/>
              <w:szCs w:val="28"/>
              <w:lang w:val="en-US"/>
            </w:rPr>
          </w:pPr>
          <w:r>
            <w:rPr>
              <w:b/>
              <w:sz w:val="44"/>
              <w:szCs w:val="28"/>
              <w:lang w:val="en-US"/>
            </w:rPr>
            <w:br w:type="page"/>
          </w:r>
        </w:p>
      </w:sdtContent>
    </w:sdt>
    <w:bookmarkStart w:id="0" w:name="_Toc160006416" w:displacedByCustomXml="prev"/>
    <w:bookmarkStart w:id="1" w:name="_Toc174373007" w:displacedByCustomXml="prev"/>
    <w:p w14:paraId="4244BBC7" w14:textId="5AF2E9EB" w:rsidR="00503749" w:rsidRDefault="00503749" w:rsidP="00503749">
      <w:pPr>
        <w:pStyle w:val="Heading1"/>
        <w:numPr>
          <w:ilvl w:val="0"/>
          <w:numId w:val="0"/>
        </w:numPr>
        <w:tabs>
          <w:tab w:val="right" w:leader="dot" w:pos="9350"/>
        </w:tabs>
        <w:ind w:left="720" w:hanging="720"/>
      </w:pPr>
      <w:bookmarkStart w:id="2" w:name="_Toc187841544"/>
      <w:r>
        <w:lastRenderedPageBreak/>
        <w:t>T</w:t>
      </w:r>
      <w:r w:rsidR="0086544E">
        <w:t>able</w:t>
      </w:r>
      <w:r>
        <w:t xml:space="preserve"> </w:t>
      </w:r>
      <w:r w:rsidR="0086544E">
        <w:t>of</w:t>
      </w:r>
      <w:r>
        <w:t xml:space="preserve"> C</w:t>
      </w:r>
      <w:r w:rsidR="0086544E">
        <w:t>ontents</w:t>
      </w:r>
      <w:bookmarkEnd w:id="2"/>
    </w:p>
    <w:p w14:paraId="7C8AD34A" w14:textId="67A133B4" w:rsidR="00A97929" w:rsidRDefault="00503749">
      <w:pPr>
        <w:pStyle w:val="TOC1"/>
        <w:tabs>
          <w:tab w:val="right" w:leader="dot" w:pos="9350"/>
        </w:tabs>
        <w:rPr>
          <w:rFonts w:asciiTheme="minorHAnsi" w:eastAsiaTheme="minorEastAsia" w:hAnsiTheme="minorHAnsi"/>
          <w:noProof/>
          <w:kern w:val="2"/>
          <w:szCs w:val="24"/>
          <w:lang w:val="en-US"/>
          <w14:ligatures w14:val="standardContextual"/>
        </w:rPr>
      </w:pPr>
      <w:r>
        <w:fldChar w:fldCharType="begin"/>
      </w:r>
      <w:r>
        <w:instrText xml:space="preserve"> TOC \o "1-2" \h \z \u </w:instrText>
      </w:r>
      <w:r>
        <w:fldChar w:fldCharType="separate"/>
      </w:r>
      <w:hyperlink w:anchor="_Toc187841544" w:history="1">
        <w:r w:rsidR="00A97929" w:rsidRPr="002003D0">
          <w:rPr>
            <w:rStyle w:val="Hyperlink"/>
            <w:noProof/>
          </w:rPr>
          <w:t>Table of Contents</w:t>
        </w:r>
        <w:r w:rsidR="00A97929">
          <w:rPr>
            <w:noProof/>
            <w:webHidden/>
          </w:rPr>
          <w:tab/>
        </w:r>
        <w:r w:rsidR="00A97929">
          <w:rPr>
            <w:noProof/>
            <w:webHidden/>
          </w:rPr>
          <w:fldChar w:fldCharType="begin"/>
        </w:r>
        <w:r w:rsidR="00A97929">
          <w:rPr>
            <w:noProof/>
            <w:webHidden/>
          </w:rPr>
          <w:instrText xml:space="preserve"> PAGEREF _Toc187841544 \h </w:instrText>
        </w:r>
        <w:r w:rsidR="00A97929">
          <w:rPr>
            <w:noProof/>
            <w:webHidden/>
          </w:rPr>
        </w:r>
        <w:r w:rsidR="00A97929">
          <w:rPr>
            <w:noProof/>
            <w:webHidden/>
          </w:rPr>
          <w:fldChar w:fldCharType="separate"/>
        </w:r>
        <w:r w:rsidR="00A97929">
          <w:rPr>
            <w:noProof/>
            <w:webHidden/>
          </w:rPr>
          <w:t>1</w:t>
        </w:r>
        <w:r w:rsidR="00A97929">
          <w:rPr>
            <w:noProof/>
            <w:webHidden/>
          </w:rPr>
          <w:fldChar w:fldCharType="end"/>
        </w:r>
      </w:hyperlink>
    </w:p>
    <w:p w14:paraId="74D8BFE1" w14:textId="4B8C7E99"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45" w:history="1">
        <w:r w:rsidRPr="002003D0">
          <w:rPr>
            <w:rStyle w:val="Hyperlink"/>
            <w:noProof/>
          </w:rPr>
          <w:t>1. The Canadian Human Rights Commission (Article 33)</w:t>
        </w:r>
        <w:r>
          <w:rPr>
            <w:noProof/>
            <w:webHidden/>
          </w:rPr>
          <w:tab/>
        </w:r>
        <w:r>
          <w:rPr>
            <w:noProof/>
            <w:webHidden/>
          </w:rPr>
          <w:fldChar w:fldCharType="begin"/>
        </w:r>
        <w:r>
          <w:rPr>
            <w:noProof/>
            <w:webHidden/>
          </w:rPr>
          <w:instrText xml:space="preserve"> PAGEREF _Toc187841545 \h </w:instrText>
        </w:r>
        <w:r>
          <w:rPr>
            <w:noProof/>
            <w:webHidden/>
          </w:rPr>
        </w:r>
        <w:r>
          <w:rPr>
            <w:noProof/>
            <w:webHidden/>
          </w:rPr>
          <w:fldChar w:fldCharType="separate"/>
        </w:r>
        <w:r>
          <w:rPr>
            <w:noProof/>
            <w:webHidden/>
          </w:rPr>
          <w:t>3</w:t>
        </w:r>
        <w:r>
          <w:rPr>
            <w:noProof/>
            <w:webHidden/>
          </w:rPr>
          <w:fldChar w:fldCharType="end"/>
        </w:r>
      </w:hyperlink>
    </w:p>
    <w:p w14:paraId="3A4620A3" w14:textId="20135997"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46" w:history="1">
        <w:r w:rsidRPr="002003D0">
          <w:rPr>
            <w:rStyle w:val="Hyperlink"/>
            <w:noProof/>
          </w:rPr>
          <w:t>2. Context</w:t>
        </w:r>
        <w:r>
          <w:rPr>
            <w:noProof/>
            <w:webHidden/>
          </w:rPr>
          <w:tab/>
        </w:r>
        <w:r>
          <w:rPr>
            <w:noProof/>
            <w:webHidden/>
          </w:rPr>
          <w:fldChar w:fldCharType="begin"/>
        </w:r>
        <w:r>
          <w:rPr>
            <w:noProof/>
            <w:webHidden/>
          </w:rPr>
          <w:instrText xml:space="preserve"> PAGEREF _Toc187841546 \h </w:instrText>
        </w:r>
        <w:r>
          <w:rPr>
            <w:noProof/>
            <w:webHidden/>
          </w:rPr>
        </w:r>
        <w:r>
          <w:rPr>
            <w:noProof/>
            <w:webHidden/>
          </w:rPr>
          <w:fldChar w:fldCharType="separate"/>
        </w:r>
        <w:r>
          <w:rPr>
            <w:noProof/>
            <w:webHidden/>
          </w:rPr>
          <w:t>3</w:t>
        </w:r>
        <w:r>
          <w:rPr>
            <w:noProof/>
            <w:webHidden/>
          </w:rPr>
          <w:fldChar w:fldCharType="end"/>
        </w:r>
      </w:hyperlink>
    </w:p>
    <w:p w14:paraId="2F5ED778" w14:textId="72B0B719"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47" w:history="1">
        <w:r w:rsidRPr="002003D0">
          <w:rPr>
            <w:rStyle w:val="Hyperlink"/>
            <w:noProof/>
          </w:rPr>
          <w:t>3. Medical Assistance in Dying (Articles 5, 8, 10, 17, 19)</w:t>
        </w:r>
        <w:r>
          <w:rPr>
            <w:noProof/>
            <w:webHidden/>
          </w:rPr>
          <w:tab/>
        </w:r>
        <w:r>
          <w:rPr>
            <w:noProof/>
            <w:webHidden/>
          </w:rPr>
          <w:fldChar w:fldCharType="begin"/>
        </w:r>
        <w:r>
          <w:rPr>
            <w:noProof/>
            <w:webHidden/>
          </w:rPr>
          <w:instrText xml:space="preserve"> PAGEREF _Toc187841547 \h </w:instrText>
        </w:r>
        <w:r>
          <w:rPr>
            <w:noProof/>
            <w:webHidden/>
          </w:rPr>
        </w:r>
        <w:r>
          <w:rPr>
            <w:noProof/>
            <w:webHidden/>
          </w:rPr>
          <w:fldChar w:fldCharType="separate"/>
        </w:r>
        <w:r>
          <w:rPr>
            <w:noProof/>
            <w:webHidden/>
          </w:rPr>
          <w:t>5</w:t>
        </w:r>
        <w:r>
          <w:rPr>
            <w:noProof/>
            <w:webHidden/>
          </w:rPr>
          <w:fldChar w:fldCharType="end"/>
        </w:r>
      </w:hyperlink>
    </w:p>
    <w:p w14:paraId="647CF0A8" w14:textId="214D7B71"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48" w:history="1">
        <w:r w:rsidRPr="002003D0">
          <w:rPr>
            <w:rStyle w:val="Hyperlink"/>
            <w:noProof/>
            <w:lang w:val="en-US"/>
          </w:rPr>
          <w:t>4. Adequate Standard of Living and Social Protection (Article 28)</w:t>
        </w:r>
        <w:r>
          <w:rPr>
            <w:noProof/>
            <w:webHidden/>
          </w:rPr>
          <w:tab/>
        </w:r>
        <w:r>
          <w:rPr>
            <w:noProof/>
            <w:webHidden/>
          </w:rPr>
          <w:fldChar w:fldCharType="begin"/>
        </w:r>
        <w:r>
          <w:rPr>
            <w:noProof/>
            <w:webHidden/>
          </w:rPr>
          <w:instrText xml:space="preserve"> PAGEREF _Toc187841548 \h </w:instrText>
        </w:r>
        <w:r>
          <w:rPr>
            <w:noProof/>
            <w:webHidden/>
          </w:rPr>
        </w:r>
        <w:r>
          <w:rPr>
            <w:noProof/>
            <w:webHidden/>
          </w:rPr>
          <w:fldChar w:fldCharType="separate"/>
        </w:r>
        <w:r>
          <w:rPr>
            <w:noProof/>
            <w:webHidden/>
          </w:rPr>
          <w:t>7</w:t>
        </w:r>
        <w:r>
          <w:rPr>
            <w:noProof/>
            <w:webHidden/>
          </w:rPr>
          <w:fldChar w:fldCharType="end"/>
        </w:r>
      </w:hyperlink>
    </w:p>
    <w:p w14:paraId="2829439C" w14:textId="600A10E2"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49" w:history="1">
        <w:r w:rsidRPr="002003D0">
          <w:rPr>
            <w:rStyle w:val="Hyperlink"/>
            <w:noProof/>
          </w:rPr>
          <w:t>4.1</w:t>
        </w:r>
        <w:r>
          <w:rPr>
            <w:rFonts w:asciiTheme="minorHAnsi" w:eastAsiaTheme="minorEastAsia" w:hAnsiTheme="minorHAnsi"/>
            <w:noProof/>
            <w:kern w:val="2"/>
            <w:szCs w:val="24"/>
            <w:lang w:val="en-US"/>
            <w14:ligatures w14:val="standardContextual"/>
          </w:rPr>
          <w:tab/>
        </w:r>
        <w:r w:rsidRPr="002003D0">
          <w:rPr>
            <w:rStyle w:val="Hyperlink"/>
            <w:noProof/>
          </w:rPr>
          <w:t>Financial supports</w:t>
        </w:r>
        <w:r>
          <w:rPr>
            <w:noProof/>
            <w:webHidden/>
          </w:rPr>
          <w:tab/>
        </w:r>
        <w:r>
          <w:rPr>
            <w:noProof/>
            <w:webHidden/>
          </w:rPr>
          <w:fldChar w:fldCharType="begin"/>
        </w:r>
        <w:r>
          <w:rPr>
            <w:noProof/>
            <w:webHidden/>
          </w:rPr>
          <w:instrText xml:space="preserve"> PAGEREF _Toc187841549 \h </w:instrText>
        </w:r>
        <w:r>
          <w:rPr>
            <w:noProof/>
            <w:webHidden/>
          </w:rPr>
        </w:r>
        <w:r>
          <w:rPr>
            <w:noProof/>
            <w:webHidden/>
          </w:rPr>
          <w:fldChar w:fldCharType="separate"/>
        </w:r>
        <w:r>
          <w:rPr>
            <w:noProof/>
            <w:webHidden/>
          </w:rPr>
          <w:t>7</w:t>
        </w:r>
        <w:r>
          <w:rPr>
            <w:noProof/>
            <w:webHidden/>
          </w:rPr>
          <w:fldChar w:fldCharType="end"/>
        </w:r>
      </w:hyperlink>
    </w:p>
    <w:p w14:paraId="521384B3" w14:textId="1D1458F4"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50" w:history="1">
        <w:r w:rsidRPr="002003D0">
          <w:rPr>
            <w:rStyle w:val="Hyperlink"/>
            <w:noProof/>
            <w:lang w:val="en-US"/>
          </w:rPr>
          <w:t>5. Housing (Articles 19, 23, 28)</w:t>
        </w:r>
        <w:r>
          <w:rPr>
            <w:noProof/>
            <w:webHidden/>
          </w:rPr>
          <w:tab/>
        </w:r>
        <w:r>
          <w:rPr>
            <w:noProof/>
            <w:webHidden/>
          </w:rPr>
          <w:fldChar w:fldCharType="begin"/>
        </w:r>
        <w:r>
          <w:rPr>
            <w:noProof/>
            <w:webHidden/>
          </w:rPr>
          <w:instrText xml:space="preserve"> PAGEREF _Toc187841550 \h </w:instrText>
        </w:r>
        <w:r>
          <w:rPr>
            <w:noProof/>
            <w:webHidden/>
          </w:rPr>
        </w:r>
        <w:r>
          <w:rPr>
            <w:noProof/>
            <w:webHidden/>
          </w:rPr>
          <w:fldChar w:fldCharType="separate"/>
        </w:r>
        <w:r>
          <w:rPr>
            <w:noProof/>
            <w:webHidden/>
          </w:rPr>
          <w:t>8</w:t>
        </w:r>
        <w:r>
          <w:rPr>
            <w:noProof/>
            <w:webHidden/>
          </w:rPr>
          <w:fldChar w:fldCharType="end"/>
        </w:r>
      </w:hyperlink>
    </w:p>
    <w:p w14:paraId="51D69660" w14:textId="775AE799"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51" w:history="1">
        <w:r w:rsidRPr="002003D0">
          <w:rPr>
            <w:rStyle w:val="Hyperlink"/>
            <w:noProof/>
          </w:rPr>
          <w:t>5.1</w:t>
        </w:r>
        <w:r>
          <w:rPr>
            <w:rFonts w:asciiTheme="minorHAnsi" w:eastAsiaTheme="minorEastAsia" w:hAnsiTheme="minorHAnsi"/>
            <w:noProof/>
            <w:kern w:val="2"/>
            <w:szCs w:val="24"/>
            <w:lang w:val="en-US"/>
            <w14:ligatures w14:val="standardContextual"/>
          </w:rPr>
          <w:tab/>
        </w:r>
        <w:r w:rsidRPr="002003D0">
          <w:rPr>
            <w:rStyle w:val="Hyperlink"/>
            <w:noProof/>
          </w:rPr>
          <w:t>Monitoring framework and key findings</w:t>
        </w:r>
        <w:r>
          <w:rPr>
            <w:noProof/>
            <w:webHidden/>
          </w:rPr>
          <w:tab/>
        </w:r>
        <w:r>
          <w:rPr>
            <w:noProof/>
            <w:webHidden/>
          </w:rPr>
          <w:fldChar w:fldCharType="begin"/>
        </w:r>
        <w:r>
          <w:rPr>
            <w:noProof/>
            <w:webHidden/>
          </w:rPr>
          <w:instrText xml:space="preserve"> PAGEREF _Toc187841551 \h </w:instrText>
        </w:r>
        <w:r>
          <w:rPr>
            <w:noProof/>
            <w:webHidden/>
          </w:rPr>
        </w:r>
        <w:r>
          <w:rPr>
            <w:noProof/>
            <w:webHidden/>
          </w:rPr>
          <w:fldChar w:fldCharType="separate"/>
        </w:r>
        <w:r>
          <w:rPr>
            <w:noProof/>
            <w:webHidden/>
          </w:rPr>
          <w:t>9</w:t>
        </w:r>
        <w:r>
          <w:rPr>
            <w:noProof/>
            <w:webHidden/>
          </w:rPr>
          <w:fldChar w:fldCharType="end"/>
        </w:r>
      </w:hyperlink>
    </w:p>
    <w:p w14:paraId="3053C86D" w14:textId="054BF071"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52" w:history="1">
        <w:r w:rsidRPr="002003D0">
          <w:rPr>
            <w:rStyle w:val="Hyperlink"/>
            <w:noProof/>
          </w:rPr>
          <w:t>5.2</w:t>
        </w:r>
        <w:r>
          <w:rPr>
            <w:rFonts w:asciiTheme="minorHAnsi" w:eastAsiaTheme="minorEastAsia" w:hAnsiTheme="minorHAnsi"/>
            <w:noProof/>
            <w:kern w:val="2"/>
            <w:szCs w:val="24"/>
            <w:lang w:val="en-US"/>
            <w14:ligatures w14:val="standardContextual"/>
          </w:rPr>
          <w:tab/>
        </w:r>
        <w:r w:rsidRPr="002003D0">
          <w:rPr>
            <w:rStyle w:val="Hyperlink"/>
            <w:noProof/>
          </w:rPr>
          <w:t>Data gaps</w:t>
        </w:r>
        <w:r>
          <w:rPr>
            <w:noProof/>
            <w:webHidden/>
          </w:rPr>
          <w:tab/>
        </w:r>
        <w:r>
          <w:rPr>
            <w:noProof/>
            <w:webHidden/>
          </w:rPr>
          <w:fldChar w:fldCharType="begin"/>
        </w:r>
        <w:r>
          <w:rPr>
            <w:noProof/>
            <w:webHidden/>
          </w:rPr>
          <w:instrText xml:space="preserve"> PAGEREF _Toc187841552 \h </w:instrText>
        </w:r>
        <w:r>
          <w:rPr>
            <w:noProof/>
            <w:webHidden/>
          </w:rPr>
        </w:r>
        <w:r>
          <w:rPr>
            <w:noProof/>
            <w:webHidden/>
          </w:rPr>
          <w:fldChar w:fldCharType="separate"/>
        </w:r>
        <w:r>
          <w:rPr>
            <w:noProof/>
            <w:webHidden/>
          </w:rPr>
          <w:t>10</w:t>
        </w:r>
        <w:r>
          <w:rPr>
            <w:noProof/>
            <w:webHidden/>
          </w:rPr>
          <w:fldChar w:fldCharType="end"/>
        </w:r>
      </w:hyperlink>
    </w:p>
    <w:p w14:paraId="193CD87D" w14:textId="2ECA6C9E"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53" w:history="1">
        <w:r w:rsidRPr="002003D0">
          <w:rPr>
            <w:rStyle w:val="Hyperlink"/>
            <w:noProof/>
            <w:lang w:val="en-US"/>
          </w:rPr>
          <w:t>6. Employment (Articles 27, 28)</w:t>
        </w:r>
        <w:r>
          <w:rPr>
            <w:noProof/>
            <w:webHidden/>
          </w:rPr>
          <w:tab/>
        </w:r>
        <w:r>
          <w:rPr>
            <w:noProof/>
            <w:webHidden/>
          </w:rPr>
          <w:fldChar w:fldCharType="begin"/>
        </w:r>
        <w:r>
          <w:rPr>
            <w:noProof/>
            <w:webHidden/>
          </w:rPr>
          <w:instrText xml:space="preserve"> PAGEREF _Toc187841553 \h </w:instrText>
        </w:r>
        <w:r>
          <w:rPr>
            <w:noProof/>
            <w:webHidden/>
          </w:rPr>
        </w:r>
        <w:r>
          <w:rPr>
            <w:noProof/>
            <w:webHidden/>
          </w:rPr>
          <w:fldChar w:fldCharType="separate"/>
        </w:r>
        <w:r>
          <w:rPr>
            <w:noProof/>
            <w:webHidden/>
          </w:rPr>
          <w:t>11</w:t>
        </w:r>
        <w:r>
          <w:rPr>
            <w:noProof/>
            <w:webHidden/>
          </w:rPr>
          <w:fldChar w:fldCharType="end"/>
        </w:r>
      </w:hyperlink>
    </w:p>
    <w:p w14:paraId="4E49F38C" w14:textId="415E1778"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54" w:history="1">
        <w:r w:rsidRPr="002003D0">
          <w:rPr>
            <w:rStyle w:val="Hyperlink"/>
            <w:noProof/>
          </w:rPr>
          <w:t>6.1</w:t>
        </w:r>
        <w:r>
          <w:rPr>
            <w:rFonts w:asciiTheme="minorHAnsi" w:eastAsiaTheme="minorEastAsia" w:hAnsiTheme="minorHAnsi"/>
            <w:noProof/>
            <w:kern w:val="2"/>
            <w:szCs w:val="24"/>
            <w:lang w:val="en-US"/>
            <w14:ligatures w14:val="standardContextual"/>
          </w:rPr>
          <w:tab/>
        </w:r>
        <w:r w:rsidRPr="002003D0">
          <w:rPr>
            <w:rStyle w:val="Hyperlink"/>
            <w:noProof/>
          </w:rPr>
          <w:t xml:space="preserve">Pay equity </w:t>
        </w:r>
        <w:r>
          <w:rPr>
            <w:noProof/>
            <w:webHidden/>
          </w:rPr>
          <w:tab/>
        </w:r>
        <w:r>
          <w:rPr>
            <w:noProof/>
            <w:webHidden/>
          </w:rPr>
          <w:fldChar w:fldCharType="begin"/>
        </w:r>
        <w:r>
          <w:rPr>
            <w:noProof/>
            <w:webHidden/>
          </w:rPr>
          <w:instrText xml:space="preserve"> PAGEREF _Toc187841554 \h </w:instrText>
        </w:r>
        <w:r>
          <w:rPr>
            <w:noProof/>
            <w:webHidden/>
          </w:rPr>
        </w:r>
        <w:r>
          <w:rPr>
            <w:noProof/>
            <w:webHidden/>
          </w:rPr>
          <w:fldChar w:fldCharType="separate"/>
        </w:r>
        <w:r>
          <w:rPr>
            <w:noProof/>
            <w:webHidden/>
          </w:rPr>
          <w:t>12</w:t>
        </w:r>
        <w:r>
          <w:rPr>
            <w:noProof/>
            <w:webHidden/>
          </w:rPr>
          <w:fldChar w:fldCharType="end"/>
        </w:r>
      </w:hyperlink>
    </w:p>
    <w:p w14:paraId="06112E49" w14:textId="364B4380"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55" w:history="1">
        <w:r w:rsidRPr="002003D0">
          <w:rPr>
            <w:rStyle w:val="Hyperlink"/>
            <w:noProof/>
          </w:rPr>
          <w:t>6.2</w:t>
        </w:r>
        <w:r>
          <w:rPr>
            <w:rFonts w:asciiTheme="minorHAnsi" w:eastAsiaTheme="minorEastAsia" w:hAnsiTheme="minorHAnsi"/>
            <w:noProof/>
            <w:kern w:val="2"/>
            <w:szCs w:val="24"/>
            <w:lang w:val="en-US"/>
            <w14:ligatures w14:val="standardContextual"/>
          </w:rPr>
          <w:tab/>
        </w:r>
        <w:r w:rsidRPr="002003D0">
          <w:rPr>
            <w:rStyle w:val="Hyperlink"/>
            <w:noProof/>
          </w:rPr>
          <w:t>Employment equity</w:t>
        </w:r>
        <w:r>
          <w:rPr>
            <w:noProof/>
            <w:webHidden/>
          </w:rPr>
          <w:tab/>
        </w:r>
        <w:r>
          <w:rPr>
            <w:noProof/>
            <w:webHidden/>
          </w:rPr>
          <w:fldChar w:fldCharType="begin"/>
        </w:r>
        <w:r>
          <w:rPr>
            <w:noProof/>
            <w:webHidden/>
          </w:rPr>
          <w:instrText xml:space="preserve"> PAGEREF _Toc187841555 \h </w:instrText>
        </w:r>
        <w:r>
          <w:rPr>
            <w:noProof/>
            <w:webHidden/>
          </w:rPr>
        </w:r>
        <w:r>
          <w:rPr>
            <w:noProof/>
            <w:webHidden/>
          </w:rPr>
          <w:fldChar w:fldCharType="separate"/>
        </w:r>
        <w:r>
          <w:rPr>
            <w:noProof/>
            <w:webHidden/>
          </w:rPr>
          <w:t>13</w:t>
        </w:r>
        <w:r>
          <w:rPr>
            <w:noProof/>
            <w:webHidden/>
          </w:rPr>
          <w:fldChar w:fldCharType="end"/>
        </w:r>
      </w:hyperlink>
    </w:p>
    <w:p w14:paraId="5C2953A0" w14:textId="3CF6D660"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56" w:history="1">
        <w:r w:rsidRPr="002003D0">
          <w:rPr>
            <w:rStyle w:val="Hyperlink"/>
            <w:noProof/>
          </w:rPr>
          <w:t>6.3</w:t>
        </w:r>
        <w:r>
          <w:rPr>
            <w:rFonts w:asciiTheme="minorHAnsi" w:eastAsiaTheme="minorEastAsia" w:hAnsiTheme="minorHAnsi"/>
            <w:noProof/>
            <w:kern w:val="2"/>
            <w:szCs w:val="24"/>
            <w:lang w:val="en-US"/>
            <w14:ligatures w14:val="standardContextual"/>
          </w:rPr>
          <w:tab/>
        </w:r>
        <w:r w:rsidRPr="002003D0">
          <w:rPr>
            <w:rStyle w:val="Hyperlink"/>
            <w:noProof/>
          </w:rPr>
          <w:t>Sheltered workshops</w:t>
        </w:r>
        <w:r>
          <w:rPr>
            <w:noProof/>
            <w:webHidden/>
          </w:rPr>
          <w:tab/>
        </w:r>
        <w:r>
          <w:rPr>
            <w:noProof/>
            <w:webHidden/>
          </w:rPr>
          <w:fldChar w:fldCharType="begin"/>
        </w:r>
        <w:r>
          <w:rPr>
            <w:noProof/>
            <w:webHidden/>
          </w:rPr>
          <w:instrText xml:space="preserve"> PAGEREF _Toc187841556 \h </w:instrText>
        </w:r>
        <w:r>
          <w:rPr>
            <w:noProof/>
            <w:webHidden/>
          </w:rPr>
        </w:r>
        <w:r>
          <w:rPr>
            <w:noProof/>
            <w:webHidden/>
          </w:rPr>
          <w:fldChar w:fldCharType="separate"/>
        </w:r>
        <w:r>
          <w:rPr>
            <w:noProof/>
            <w:webHidden/>
          </w:rPr>
          <w:t>14</w:t>
        </w:r>
        <w:r>
          <w:rPr>
            <w:noProof/>
            <w:webHidden/>
          </w:rPr>
          <w:fldChar w:fldCharType="end"/>
        </w:r>
      </w:hyperlink>
    </w:p>
    <w:p w14:paraId="387A084D" w14:textId="2B720771"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57" w:history="1">
        <w:r w:rsidRPr="002003D0">
          <w:rPr>
            <w:rStyle w:val="Hyperlink"/>
            <w:noProof/>
            <w:lang w:val="en-US"/>
          </w:rPr>
          <w:t>7. Education (Article 24)</w:t>
        </w:r>
        <w:r>
          <w:rPr>
            <w:noProof/>
            <w:webHidden/>
          </w:rPr>
          <w:tab/>
        </w:r>
        <w:r>
          <w:rPr>
            <w:noProof/>
            <w:webHidden/>
          </w:rPr>
          <w:fldChar w:fldCharType="begin"/>
        </w:r>
        <w:r>
          <w:rPr>
            <w:noProof/>
            <w:webHidden/>
          </w:rPr>
          <w:instrText xml:space="preserve"> PAGEREF _Toc187841557 \h </w:instrText>
        </w:r>
        <w:r>
          <w:rPr>
            <w:noProof/>
            <w:webHidden/>
          </w:rPr>
        </w:r>
        <w:r>
          <w:rPr>
            <w:noProof/>
            <w:webHidden/>
          </w:rPr>
          <w:fldChar w:fldCharType="separate"/>
        </w:r>
        <w:r>
          <w:rPr>
            <w:noProof/>
            <w:webHidden/>
          </w:rPr>
          <w:t>15</w:t>
        </w:r>
        <w:r>
          <w:rPr>
            <w:noProof/>
            <w:webHidden/>
          </w:rPr>
          <w:fldChar w:fldCharType="end"/>
        </w:r>
      </w:hyperlink>
    </w:p>
    <w:p w14:paraId="3C9D5062" w14:textId="43A9CF48"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58" w:history="1">
        <w:r w:rsidRPr="002003D0">
          <w:rPr>
            <w:rStyle w:val="Hyperlink"/>
            <w:noProof/>
          </w:rPr>
          <w:t>8. Accessibility (Article 9)</w:t>
        </w:r>
        <w:r>
          <w:rPr>
            <w:noProof/>
            <w:webHidden/>
          </w:rPr>
          <w:tab/>
        </w:r>
        <w:r>
          <w:rPr>
            <w:noProof/>
            <w:webHidden/>
          </w:rPr>
          <w:fldChar w:fldCharType="begin"/>
        </w:r>
        <w:r>
          <w:rPr>
            <w:noProof/>
            <w:webHidden/>
          </w:rPr>
          <w:instrText xml:space="preserve"> PAGEREF _Toc187841558 \h </w:instrText>
        </w:r>
        <w:r>
          <w:rPr>
            <w:noProof/>
            <w:webHidden/>
          </w:rPr>
        </w:r>
        <w:r>
          <w:rPr>
            <w:noProof/>
            <w:webHidden/>
          </w:rPr>
          <w:fldChar w:fldCharType="separate"/>
        </w:r>
        <w:r>
          <w:rPr>
            <w:noProof/>
            <w:webHidden/>
          </w:rPr>
          <w:t>16</w:t>
        </w:r>
        <w:r>
          <w:rPr>
            <w:noProof/>
            <w:webHidden/>
          </w:rPr>
          <w:fldChar w:fldCharType="end"/>
        </w:r>
      </w:hyperlink>
    </w:p>
    <w:p w14:paraId="7A219458" w14:textId="7B12F311"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59" w:history="1">
        <w:r w:rsidRPr="002003D0">
          <w:rPr>
            <w:rStyle w:val="Hyperlink"/>
            <w:noProof/>
          </w:rPr>
          <w:t>8.1</w:t>
        </w:r>
        <w:r>
          <w:rPr>
            <w:rFonts w:asciiTheme="minorHAnsi" w:eastAsiaTheme="minorEastAsia" w:hAnsiTheme="minorHAnsi"/>
            <w:noProof/>
            <w:kern w:val="2"/>
            <w:szCs w:val="24"/>
            <w:lang w:val="en-US"/>
            <w14:ligatures w14:val="standardContextual"/>
          </w:rPr>
          <w:tab/>
        </w:r>
        <w:r w:rsidRPr="002003D0">
          <w:rPr>
            <w:rStyle w:val="Hyperlink"/>
            <w:noProof/>
          </w:rPr>
          <w:t>Accessibility legislation</w:t>
        </w:r>
        <w:r>
          <w:rPr>
            <w:noProof/>
            <w:webHidden/>
          </w:rPr>
          <w:tab/>
        </w:r>
        <w:r>
          <w:rPr>
            <w:noProof/>
            <w:webHidden/>
          </w:rPr>
          <w:fldChar w:fldCharType="begin"/>
        </w:r>
        <w:r>
          <w:rPr>
            <w:noProof/>
            <w:webHidden/>
          </w:rPr>
          <w:instrText xml:space="preserve"> PAGEREF _Toc187841559 \h </w:instrText>
        </w:r>
        <w:r>
          <w:rPr>
            <w:noProof/>
            <w:webHidden/>
          </w:rPr>
        </w:r>
        <w:r>
          <w:rPr>
            <w:noProof/>
            <w:webHidden/>
          </w:rPr>
          <w:fldChar w:fldCharType="separate"/>
        </w:r>
        <w:r>
          <w:rPr>
            <w:noProof/>
            <w:webHidden/>
          </w:rPr>
          <w:t>17</w:t>
        </w:r>
        <w:r>
          <w:rPr>
            <w:noProof/>
            <w:webHidden/>
          </w:rPr>
          <w:fldChar w:fldCharType="end"/>
        </w:r>
      </w:hyperlink>
    </w:p>
    <w:p w14:paraId="7544DE84" w14:textId="650E54C4"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60" w:history="1">
        <w:r w:rsidRPr="002003D0">
          <w:rPr>
            <w:rStyle w:val="Hyperlink"/>
            <w:noProof/>
          </w:rPr>
          <w:t>8.2</w:t>
        </w:r>
        <w:r>
          <w:rPr>
            <w:rFonts w:asciiTheme="minorHAnsi" w:eastAsiaTheme="minorEastAsia" w:hAnsiTheme="minorHAnsi"/>
            <w:noProof/>
            <w:kern w:val="2"/>
            <w:szCs w:val="24"/>
            <w:lang w:val="en-US"/>
            <w14:ligatures w14:val="standardContextual"/>
          </w:rPr>
          <w:tab/>
        </w:r>
        <w:r w:rsidRPr="002003D0">
          <w:rPr>
            <w:rStyle w:val="Hyperlink"/>
            <w:noProof/>
          </w:rPr>
          <w:t>Transportation</w:t>
        </w:r>
        <w:r>
          <w:rPr>
            <w:noProof/>
            <w:webHidden/>
          </w:rPr>
          <w:tab/>
        </w:r>
        <w:r>
          <w:rPr>
            <w:noProof/>
            <w:webHidden/>
          </w:rPr>
          <w:fldChar w:fldCharType="begin"/>
        </w:r>
        <w:r>
          <w:rPr>
            <w:noProof/>
            <w:webHidden/>
          </w:rPr>
          <w:instrText xml:space="preserve"> PAGEREF _Toc187841560 \h </w:instrText>
        </w:r>
        <w:r>
          <w:rPr>
            <w:noProof/>
            <w:webHidden/>
          </w:rPr>
        </w:r>
        <w:r>
          <w:rPr>
            <w:noProof/>
            <w:webHidden/>
          </w:rPr>
          <w:fldChar w:fldCharType="separate"/>
        </w:r>
        <w:r>
          <w:rPr>
            <w:noProof/>
            <w:webHidden/>
          </w:rPr>
          <w:t>19</w:t>
        </w:r>
        <w:r>
          <w:rPr>
            <w:noProof/>
            <w:webHidden/>
          </w:rPr>
          <w:fldChar w:fldCharType="end"/>
        </w:r>
      </w:hyperlink>
    </w:p>
    <w:p w14:paraId="6E19532E" w14:textId="4DAAFFDD"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61" w:history="1">
        <w:r w:rsidRPr="002003D0">
          <w:rPr>
            <w:rStyle w:val="Hyperlink"/>
            <w:noProof/>
            <w:lang w:val="en-US"/>
          </w:rPr>
          <w:t>9. Access to Health (Articles 17, 25)</w:t>
        </w:r>
        <w:r>
          <w:rPr>
            <w:noProof/>
            <w:webHidden/>
          </w:rPr>
          <w:tab/>
        </w:r>
        <w:r>
          <w:rPr>
            <w:noProof/>
            <w:webHidden/>
          </w:rPr>
          <w:fldChar w:fldCharType="begin"/>
        </w:r>
        <w:r>
          <w:rPr>
            <w:noProof/>
            <w:webHidden/>
          </w:rPr>
          <w:instrText xml:space="preserve"> PAGEREF _Toc187841561 \h </w:instrText>
        </w:r>
        <w:r>
          <w:rPr>
            <w:noProof/>
            <w:webHidden/>
          </w:rPr>
        </w:r>
        <w:r>
          <w:rPr>
            <w:noProof/>
            <w:webHidden/>
          </w:rPr>
          <w:fldChar w:fldCharType="separate"/>
        </w:r>
        <w:r>
          <w:rPr>
            <w:noProof/>
            <w:webHidden/>
          </w:rPr>
          <w:t>20</w:t>
        </w:r>
        <w:r>
          <w:rPr>
            <w:noProof/>
            <w:webHidden/>
          </w:rPr>
          <w:fldChar w:fldCharType="end"/>
        </w:r>
      </w:hyperlink>
    </w:p>
    <w:p w14:paraId="5C98F4D5" w14:textId="3B8ECBAA"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62" w:history="1">
        <w:r w:rsidRPr="002003D0">
          <w:rPr>
            <w:rStyle w:val="Hyperlink"/>
            <w:noProof/>
          </w:rPr>
          <w:t>9.1</w:t>
        </w:r>
        <w:r>
          <w:rPr>
            <w:rFonts w:asciiTheme="minorHAnsi" w:eastAsiaTheme="minorEastAsia" w:hAnsiTheme="minorHAnsi"/>
            <w:noProof/>
            <w:kern w:val="2"/>
            <w:szCs w:val="24"/>
            <w:lang w:val="en-US"/>
            <w14:ligatures w14:val="standardContextual"/>
          </w:rPr>
          <w:tab/>
        </w:r>
        <w:r w:rsidRPr="002003D0">
          <w:rPr>
            <w:rStyle w:val="Hyperlink"/>
            <w:noProof/>
          </w:rPr>
          <w:t>Barriers to health care</w:t>
        </w:r>
        <w:r>
          <w:rPr>
            <w:noProof/>
            <w:webHidden/>
          </w:rPr>
          <w:tab/>
        </w:r>
        <w:r>
          <w:rPr>
            <w:noProof/>
            <w:webHidden/>
          </w:rPr>
          <w:fldChar w:fldCharType="begin"/>
        </w:r>
        <w:r>
          <w:rPr>
            <w:noProof/>
            <w:webHidden/>
          </w:rPr>
          <w:instrText xml:space="preserve"> PAGEREF _Toc187841562 \h </w:instrText>
        </w:r>
        <w:r>
          <w:rPr>
            <w:noProof/>
            <w:webHidden/>
          </w:rPr>
        </w:r>
        <w:r>
          <w:rPr>
            <w:noProof/>
            <w:webHidden/>
          </w:rPr>
          <w:fldChar w:fldCharType="separate"/>
        </w:r>
        <w:r>
          <w:rPr>
            <w:noProof/>
            <w:webHidden/>
          </w:rPr>
          <w:t>20</w:t>
        </w:r>
        <w:r>
          <w:rPr>
            <w:noProof/>
            <w:webHidden/>
          </w:rPr>
          <w:fldChar w:fldCharType="end"/>
        </w:r>
      </w:hyperlink>
    </w:p>
    <w:p w14:paraId="72F58996" w14:textId="1B45AC77"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63" w:history="1">
        <w:r w:rsidRPr="002003D0">
          <w:rPr>
            <w:rStyle w:val="Hyperlink"/>
            <w:noProof/>
          </w:rPr>
          <w:t>9.2</w:t>
        </w:r>
        <w:r>
          <w:rPr>
            <w:rFonts w:asciiTheme="minorHAnsi" w:eastAsiaTheme="minorEastAsia" w:hAnsiTheme="minorHAnsi"/>
            <w:noProof/>
            <w:kern w:val="2"/>
            <w:szCs w:val="24"/>
            <w:lang w:val="en-US"/>
            <w14:ligatures w14:val="standardContextual"/>
          </w:rPr>
          <w:tab/>
        </w:r>
        <w:r w:rsidRPr="002003D0">
          <w:rPr>
            <w:rStyle w:val="Hyperlink"/>
            <w:noProof/>
          </w:rPr>
          <w:t>Reproductive health justice</w:t>
        </w:r>
        <w:r>
          <w:rPr>
            <w:noProof/>
            <w:webHidden/>
          </w:rPr>
          <w:tab/>
        </w:r>
        <w:r>
          <w:rPr>
            <w:noProof/>
            <w:webHidden/>
          </w:rPr>
          <w:fldChar w:fldCharType="begin"/>
        </w:r>
        <w:r>
          <w:rPr>
            <w:noProof/>
            <w:webHidden/>
          </w:rPr>
          <w:instrText xml:space="preserve"> PAGEREF _Toc187841563 \h </w:instrText>
        </w:r>
        <w:r>
          <w:rPr>
            <w:noProof/>
            <w:webHidden/>
          </w:rPr>
        </w:r>
        <w:r>
          <w:rPr>
            <w:noProof/>
            <w:webHidden/>
          </w:rPr>
          <w:fldChar w:fldCharType="separate"/>
        </w:r>
        <w:r>
          <w:rPr>
            <w:noProof/>
            <w:webHidden/>
          </w:rPr>
          <w:t>22</w:t>
        </w:r>
        <w:r>
          <w:rPr>
            <w:noProof/>
            <w:webHidden/>
          </w:rPr>
          <w:fldChar w:fldCharType="end"/>
        </w:r>
      </w:hyperlink>
    </w:p>
    <w:p w14:paraId="50AC2325" w14:textId="25584C2B"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64" w:history="1">
        <w:r w:rsidRPr="002003D0">
          <w:rPr>
            <w:rStyle w:val="Hyperlink"/>
            <w:noProof/>
          </w:rPr>
          <w:t>10. Climate Justice (Article 11)</w:t>
        </w:r>
        <w:r>
          <w:rPr>
            <w:noProof/>
            <w:webHidden/>
          </w:rPr>
          <w:tab/>
        </w:r>
        <w:r>
          <w:rPr>
            <w:noProof/>
            <w:webHidden/>
          </w:rPr>
          <w:fldChar w:fldCharType="begin"/>
        </w:r>
        <w:r>
          <w:rPr>
            <w:noProof/>
            <w:webHidden/>
          </w:rPr>
          <w:instrText xml:space="preserve"> PAGEREF _Toc187841564 \h </w:instrText>
        </w:r>
        <w:r>
          <w:rPr>
            <w:noProof/>
            <w:webHidden/>
          </w:rPr>
        </w:r>
        <w:r>
          <w:rPr>
            <w:noProof/>
            <w:webHidden/>
          </w:rPr>
          <w:fldChar w:fldCharType="separate"/>
        </w:r>
        <w:r>
          <w:rPr>
            <w:noProof/>
            <w:webHidden/>
          </w:rPr>
          <w:t>24</w:t>
        </w:r>
        <w:r>
          <w:rPr>
            <w:noProof/>
            <w:webHidden/>
          </w:rPr>
          <w:fldChar w:fldCharType="end"/>
        </w:r>
      </w:hyperlink>
    </w:p>
    <w:p w14:paraId="76CD32C2" w14:textId="7FB5D651"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65" w:history="1">
        <w:r w:rsidRPr="002003D0">
          <w:rPr>
            <w:rStyle w:val="Hyperlink"/>
            <w:noProof/>
            <w:lang w:val="en-US"/>
          </w:rPr>
          <w:t>11. Legal Capacity (Article 12)</w:t>
        </w:r>
        <w:r>
          <w:rPr>
            <w:noProof/>
            <w:webHidden/>
          </w:rPr>
          <w:tab/>
        </w:r>
        <w:r>
          <w:rPr>
            <w:noProof/>
            <w:webHidden/>
          </w:rPr>
          <w:fldChar w:fldCharType="begin"/>
        </w:r>
        <w:r>
          <w:rPr>
            <w:noProof/>
            <w:webHidden/>
          </w:rPr>
          <w:instrText xml:space="preserve"> PAGEREF _Toc187841565 \h </w:instrText>
        </w:r>
        <w:r>
          <w:rPr>
            <w:noProof/>
            <w:webHidden/>
          </w:rPr>
        </w:r>
        <w:r>
          <w:rPr>
            <w:noProof/>
            <w:webHidden/>
          </w:rPr>
          <w:fldChar w:fldCharType="separate"/>
        </w:r>
        <w:r>
          <w:rPr>
            <w:noProof/>
            <w:webHidden/>
          </w:rPr>
          <w:t>25</w:t>
        </w:r>
        <w:r>
          <w:rPr>
            <w:noProof/>
            <w:webHidden/>
          </w:rPr>
          <w:fldChar w:fldCharType="end"/>
        </w:r>
      </w:hyperlink>
    </w:p>
    <w:p w14:paraId="39212108" w14:textId="498A6F76"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66" w:history="1">
        <w:r w:rsidRPr="002003D0">
          <w:rPr>
            <w:rStyle w:val="Hyperlink"/>
            <w:noProof/>
            <w:lang w:val="en-US"/>
          </w:rPr>
          <w:t>12. People Deprived of Their Liberty (Articles 14, 15, 17, 19)</w:t>
        </w:r>
        <w:r>
          <w:rPr>
            <w:noProof/>
            <w:webHidden/>
          </w:rPr>
          <w:tab/>
        </w:r>
        <w:r>
          <w:rPr>
            <w:noProof/>
            <w:webHidden/>
          </w:rPr>
          <w:fldChar w:fldCharType="begin"/>
        </w:r>
        <w:r>
          <w:rPr>
            <w:noProof/>
            <w:webHidden/>
          </w:rPr>
          <w:instrText xml:space="preserve"> PAGEREF _Toc187841566 \h </w:instrText>
        </w:r>
        <w:r>
          <w:rPr>
            <w:noProof/>
            <w:webHidden/>
          </w:rPr>
        </w:r>
        <w:r>
          <w:rPr>
            <w:noProof/>
            <w:webHidden/>
          </w:rPr>
          <w:fldChar w:fldCharType="separate"/>
        </w:r>
        <w:r>
          <w:rPr>
            <w:noProof/>
            <w:webHidden/>
          </w:rPr>
          <w:t>27</w:t>
        </w:r>
        <w:r>
          <w:rPr>
            <w:noProof/>
            <w:webHidden/>
          </w:rPr>
          <w:fldChar w:fldCharType="end"/>
        </w:r>
      </w:hyperlink>
    </w:p>
    <w:p w14:paraId="46FD00C1" w14:textId="0C130642"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67" w:history="1">
        <w:r w:rsidRPr="002003D0">
          <w:rPr>
            <w:rStyle w:val="Hyperlink"/>
            <w:noProof/>
          </w:rPr>
          <w:t>12.1</w:t>
        </w:r>
        <w:r>
          <w:rPr>
            <w:rFonts w:asciiTheme="minorHAnsi" w:eastAsiaTheme="minorEastAsia" w:hAnsiTheme="minorHAnsi"/>
            <w:noProof/>
            <w:kern w:val="2"/>
            <w:szCs w:val="24"/>
            <w:lang w:val="en-US"/>
            <w14:ligatures w14:val="standardContextual"/>
          </w:rPr>
          <w:tab/>
        </w:r>
        <w:r w:rsidRPr="002003D0">
          <w:rPr>
            <w:rStyle w:val="Hyperlink"/>
            <w:noProof/>
          </w:rPr>
          <w:t>Federal justice system</w:t>
        </w:r>
        <w:r>
          <w:rPr>
            <w:noProof/>
            <w:webHidden/>
          </w:rPr>
          <w:tab/>
        </w:r>
        <w:r>
          <w:rPr>
            <w:noProof/>
            <w:webHidden/>
          </w:rPr>
          <w:fldChar w:fldCharType="begin"/>
        </w:r>
        <w:r>
          <w:rPr>
            <w:noProof/>
            <w:webHidden/>
          </w:rPr>
          <w:instrText xml:space="preserve"> PAGEREF _Toc187841567 \h </w:instrText>
        </w:r>
        <w:r>
          <w:rPr>
            <w:noProof/>
            <w:webHidden/>
          </w:rPr>
        </w:r>
        <w:r>
          <w:rPr>
            <w:noProof/>
            <w:webHidden/>
          </w:rPr>
          <w:fldChar w:fldCharType="separate"/>
        </w:r>
        <w:r>
          <w:rPr>
            <w:noProof/>
            <w:webHidden/>
          </w:rPr>
          <w:t>27</w:t>
        </w:r>
        <w:r>
          <w:rPr>
            <w:noProof/>
            <w:webHidden/>
          </w:rPr>
          <w:fldChar w:fldCharType="end"/>
        </w:r>
      </w:hyperlink>
    </w:p>
    <w:p w14:paraId="7312C593" w14:textId="2ABCD03C"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68" w:history="1">
        <w:r w:rsidRPr="002003D0">
          <w:rPr>
            <w:rStyle w:val="Hyperlink"/>
            <w:noProof/>
          </w:rPr>
          <w:t>12.2</w:t>
        </w:r>
        <w:r>
          <w:rPr>
            <w:rFonts w:asciiTheme="minorHAnsi" w:eastAsiaTheme="minorEastAsia" w:hAnsiTheme="minorHAnsi"/>
            <w:noProof/>
            <w:kern w:val="2"/>
            <w:szCs w:val="24"/>
            <w:lang w:val="en-US"/>
            <w14:ligatures w14:val="standardContextual"/>
          </w:rPr>
          <w:tab/>
        </w:r>
        <w:r w:rsidRPr="002003D0">
          <w:rPr>
            <w:rStyle w:val="Hyperlink"/>
            <w:noProof/>
          </w:rPr>
          <w:t>Institutionalization</w:t>
        </w:r>
        <w:r>
          <w:rPr>
            <w:noProof/>
            <w:webHidden/>
          </w:rPr>
          <w:tab/>
        </w:r>
        <w:r>
          <w:rPr>
            <w:noProof/>
            <w:webHidden/>
          </w:rPr>
          <w:fldChar w:fldCharType="begin"/>
        </w:r>
        <w:r>
          <w:rPr>
            <w:noProof/>
            <w:webHidden/>
          </w:rPr>
          <w:instrText xml:space="preserve"> PAGEREF _Toc187841568 \h </w:instrText>
        </w:r>
        <w:r>
          <w:rPr>
            <w:noProof/>
            <w:webHidden/>
          </w:rPr>
        </w:r>
        <w:r>
          <w:rPr>
            <w:noProof/>
            <w:webHidden/>
          </w:rPr>
          <w:fldChar w:fldCharType="separate"/>
        </w:r>
        <w:r>
          <w:rPr>
            <w:noProof/>
            <w:webHidden/>
          </w:rPr>
          <w:t>30</w:t>
        </w:r>
        <w:r>
          <w:rPr>
            <w:noProof/>
            <w:webHidden/>
          </w:rPr>
          <w:fldChar w:fldCharType="end"/>
        </w:r>
      </w:hyperlink>
    </w:p>
    <w:p w14:paraId="323293F6" w14:textId="32171A34"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69" w:history="1">
        <w:r w:rsidRPr="002003D0">
          <w:rPr>
            <w:rStyle w:val="Hyperlink"/>
            <w:noProof/>
          </w:rPr>
          <w:t>12.3</w:t>
        </w:r>
        <w:r>
          <w:rPr>
            <w:rFonts w:asciiTheme="minorHAnsi" w:eastAsiaTheme="minorEastAsia" w:hAnsiTheme="minorHAnsi"/>
            <w:noProof/>
            <w:kern w:val="2"/>
            <w:szCs w:val="24"/>
            <w:lang w:val="en-US"/>
            <w14:ligatures w14:val="standardContextual"/>
          </w:rPr>
          <w:tab/>
        </w:r>
        <w:r w:rsidRPr="002003D0">
          <w:rPr>
            <w:rStyle w:val="Hyperlink"/>
            <w:noProof/>
          </w:rPr>
          <w:t>Ratifying the Optional Protocol to the Convention against Torture</w:t>
        </w:r>
        <w:r>
          <w:rPr>
            <w:noProof/>
            <w:webHidden/>
          </w:rPr>
          <w:tab/>
        </w:r>
        <w:r>
          <w:rPr>
            <w:noProof/>
            <w:webHidden/>
          </w:rPr>
          <w:fldChar w:fldCharType="begin"/>
        </w:r>
        <w:r>
          <w:rPr>
            <w:noProof/>
            <w:webHidden/>
          </w:rPr>
          <w:instrText xml:space="preserve"> PAGEREF _Toc187841569 \h </w:instrText>
        </w:r>
        <w:r>
          <w:rPr>
            <w:noProof/>
            <w:webHidden/>
          </w:rPr>
        </w:r>
        <w:r>
          <w:rPr>
            <w:noProof/>
            <w:webHidden/>
          </w:rPr>
          <w:fldChar w:fldCharType="separate"/>
        </w:r>
        <w:r>
          <w:rPr>
            <w:noProof/>
            <w:webHidden/>
          </w:rPr>
          <w:t>31</w:t>
        </w:r>
        <w:r>
          <w:rPr>
            <w:noProof/>
            <w:webHidden/>
          </w:rPr>
          <w:fldChar w:fldCharType="end"/>
        </w:r>
      </w:hyperlink>
    </w:p>
    <w:p w14:paraId="59630C13" w14:textId="5254E471"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70" w:history="1">
        <w:r w:rsidRPr="002003D0">
          <w:rPr>
            <w:rStyle w:val="Hyperlink"/>
            <w:noProof/>
            <w:lang w:val="en-US"/>
          </w:rPr>
          <w:t>13. Indigenous People with Disabilities (Articles 5, 6, 7, 17, 19)</w:t>
        </w:r>
        <w:r>
          <w:rPr>
            <w:noProof/>
            <w:webHidden/>
          </w:rPr>
          <w:tab/>
        </w:r>
        <w:r>
          <w:rPr>
            <w:noProof/>
            <w:webHidden/>
          </w:rPr>
          <w:fldChar w:fldCharType="begin"/>
        </w:r>
        <w:r>
          <w:rPr>
            <w:noProof/>
            <w:webHidden/>
          </w:rPr>
          <w:instrText xml:space="preserve"> PAGEREF _Toc187841570 \h </w:instrText>
        </w:r>
        <w:r>
          <w:rPr>
            <w:noProof/>
            <w:webHidden/>
          </w:rPr>
        </w:r>
        <w:r>
          <w:rPr>
            <w:noProof/>
            <w:webHidden/>
          </w:rPr>
          <w:fldChar w:fldCharType="separate"/>
        </w:r>
        <w:r>
          <w:rPr>
            <w:noProof/>
            <w:webHidden/>
          </w:rPr>
          <w:t>32</w:t>
        </w:r>
        <w:r>
          <w:rPr>
            <w:noProof/>
            <w:webHidden/>
          </w:rPr>
          <w:fldChar w:fldCharType="end"/>
        </w:r>
      </w:hyperlink>
    </w:p>
    <w:p w14:paraId="47D30839" w14:textId="7C67B198"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71" w:history="1">
        <w:r w:rsidRPr="002003D0">
          <w:rPr>
            <w:rStyle w:val="Hyperlink"/>
            <w:noProof/>
          </w:rPr>
          <w:t>13.1</w:t>
        </w:r>
        <w:r>
          <w:rPr>
            <w:rFonts w:asciiTheme="minorHAnsi" w:eastAsiaTheme="minorEastAsia" w:hAnsiTheme="minorHAnsi"/>
            <w:noProof/>
            <w:kern w:val="2"/>
            <w:szCs w:val="24"/>
            <w:lang w:val="en-US"/>
            <w14:ligatures w14:val="standardContextual"/>
          </w:rPr>
          <w:tab/>
        </w:r>
        <w:r w:rsidRPr="002003D0">
          <w:rPr>
            <w:rStyle w:val="Hyperlink"/>
            <w:noProof/>
          </w:rPr>
          <w:t>Equitable and adequate services</w:t>
        </w:r>
        <w:r>
          <w:rPr>
            <w:noProof/>
            <w:webHidden/>
          </w:rPr>
          <w:tab/>
        </w:r>
        <w:r>
          <w:rPr>
            <w:noProof/>
            <w:webHidden/>
          </w:rPr>
          <w:fldChar w:fldCharType="begin"/>
        </w:r>
        <w:r>
          <w:rPr>
            <w:noProof/>
            <w:webHidden/>
          </w:rPr>
          <w:instrText xml:space="preserve"> PAGEREF _Toc187841571 \h </w:instrText>
        </w:r>
        <w:r>
          <w:rPr>
            <w:noProof/>
            <w:webHidden/>
          </w:rPr>
        </w:r>
        <w:r>
          <w:rPr>
            <w:noProof/>
            <w:webHidden/>
          </w:rPr>
          <w:fldChar w:fldCharType="separate"/>
        </w:r>
        <w:r>
          <w:rPr>
            <w:noProof/>
            <w:webHidden/>
          </w:rPr>
          <w:t>32</w:t>
        </w:r>
        <w:r>
          <w:rPr>
            <w:noProof/>
            <w:webHidden/>
          </w:rPr>
          <w:fldChar w:fldCharType="end"/>
        </w:r>
      </w:hyperlink>
    </w:p>
    <w:p w14:paraId="05EF4BF3" w14:textId="61807503"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72" w:history="1">
        <w:r w:rsidRPr="002003D0">
          <w:rPr>
            <w:rStyle w:val="Hyperlink"/>
            <w:noProof/>
          </w:rPr>
          <w:t>13.2</w:t>
        </w:r>
        <w:r>
          <w:rPr>
            <w:rFonts w:asciiTheme="minorHAnsi" w:eastAsiaTheme="minorEastAsia" w:hAnsiTheme="minorHAnsi"/>
            <w:noProof/>
            <w:kern w:val="2"/>
            <w:szCs w:val="24"/>
            <w:lang w:val="en-US"/>
            <w14:ligatures w14:val="standardContextual"/>
          </w:rPr>
          <w:tab/>
        </w:r>
        <w:r w:rsidRPr="002003D0">
          <w:rPr>
            <w:rStyle w:val="Hyperlink"/>
            <w:noProof/>
          </w:rPr>
          <w:t>Child and youth suicide</w:t>
        </w:r>
        <w:r>
          <w:rPr>
            <w:noProof/>
            <w:webHidden/>
          </w:rPr>
          <w:tab/>
        </w:r>
        <w:r>
          <w:rPr>
            <w:noProof/>
            <w:webHidden/>
          </w:rPr>
          <w:fldChar w:fldCharType="begin"/>
        </w:r>
        <w:r>
          <w:rPr>
            <w:noProof/>
            <w:webHidden/>
          </w:rPr>
          <w:instrText xml:space="preserve"> PAGEREF _Toc187841572 \h </w:instrText>
        </w:r>
        <w:r>
          <w:rPr>
            <w:noProof/>
            <w:webHidden/>
          </w:rPr>
        </w:r>
        <w:r>
          <w:rPr>
            <w:noProof/>
            <w:webHidden/>
          </w:rPr>
          <w:fldChar w:fldCharType="separate"/>
        </w:r>
        <w:r>
          <w:rPr>
            <w:noProof/>
            <w:webHidden/>
          </w:rPr>
          <w:t>34</w:t>
        </w:r>
        <w:r>
          <w:rPr>
            <w:noProof/>
            <w:webHidden/>
          </w:rPr>
          <w:fldChar w:fldCharType="end"/>
        </w:r>
      </w:hyperlink>
    </w:p>
    <w:p w14:paraId="48416991" w14:textId="2C106710"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73" w:history="1">
        <w:r w:rsidRPr="002003D0">
          <w:rPr>
            <w:rStyle w:val="Hyperlink"/>
            <w:noProof/>
          </w:rPr>
          <w:t>13.3</w:t>
        </w:r>
        <w:r>
          <w:rPr>
            <w:rFonts w:asciiTheme="minorHAnsi" w:eastAsiaTheme="minorEastAsia" w:hAnsiTheme="minorHAnsi"/>
            <w:noProof/>
            <w:kern w:val="2"/>
            <w:szCs w:val="24"/>
            <w:lang w:val="en-US"/>
            <w14:ligatures w14:val="standardContextual"/>
          </w:rPr>
          <w:tab/>
        </w:r>
        <w:r w:rsidRPr="002003D0">
          <w:rPr>
            <w:rStyle w:val="Hyperlink"/>
            <w:noProof/>
          </w:rPr>
          <w:t>Missing and Murdered Indigenous Women, Girls, Two-Spirit and Gender Diverse People</w:t>
        </w:r>
        <w:r>
          <w:rPr>
            <w:noProof/>
            <w:webHidden/>
          </w:rPr>
          <w:tab/>
        </w:r>
        <w:r>
          <w:rPr>
            <w:noProof/>
            <w:webHidden/>
          </w:rPr>
          <w:fldChar w:fldCharType="begin"/>
        </w:r>
        <w:r>
          <w:rPr>
            <w:noProof/>
            <w:webHidden/>
          </w:rPr>
          <w:instrText xml:space="preserve"> PAGEREF _Toc187841573 \h </w:instrText>
        </w:r>
        <w:r>
          <w:rPr>
            <w:noProof/>
            <w:webHidden/>
          </w:rPr>
        </w:r>
        <w:r>
          <w:rPr>
            <w:noProof/>
            <w:webHidden/>
          </w:rPr>
          <w:fldChar w:fldCharType="separate"/>
        </w:r>
        <w:r>
          <w:rPr>
            <w:noProof/>
            <w:webHidden/>
          </w:rPr>
          <w:t>35</w:t>
        </w:r>
        <w:r>
          <w:rPr>
            <w:noProof/>
            <w:webHidden/>
          </w:rPr>
          <w:fldChar w:fldCharType="end"/>
        </w:r>
      </w:hyperlink>
    </w:p>
    <w:p w14:paraId="107BB3AC" w14:textId="7A716D7F"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74" w:history="1">
        <w:r w:rsidRPr="002003D0">
          <w:rPr>
            <w:rStyle w:val="Hyperlink"/>
            <w:noProof/>
          </w:rPr>
          <w:t>14. Women with Disabilities (Article 6)</w:t>
        </w:r>
        <w:r>
          <w:rPr>
            <w:noProof/>
            <w:webHidden/>
          </w:rPr>
          <w:tab/>
        </w:r>
        <w:r>
          <w:rPr>
            <w:noProof/>
            <w:webHidden/>
          </w:rPr>
          <w:fldChar w:fldCharType="begin"/>
        </w:r>
        <w:r>
          <w:rPr>
            <w:noProof/>
            <w:webHidden/>
          </w:rPr>
          <w:instrText xml:space="preserve"> PAGEREF _Toc187841574 \h </w:instrText>
        </w:r>
        <w:r>
          <w:rPr>
            <w:noProof/>
            <w:webHidden/>
          </w:rPr>
        </w:r>
        <w:r>
          <w:rPr>
            <w:noProof/>
            <w:webHidden/>
          </w:rPr>
          <w:fldChar w:fldCharType="separate"/>
        </w:r>
        <w:r>
          <w:rPr>
            <w:noProof/>
            <w:webHidden/>
          </w:rPr>
          <w:t>37</w:t>
        </w:r>
        <w:r>
          <w:rPr>
            <w:noProof/>
            <w:webHidden/>
          </w:rPr>
          <w:fldChar w:fldCharType="end"/>
        </w:r>
      </w:hyperlink>
    </w:p>
    <w:p w14:paraId="74A898B6" w14:textId="04948AAA"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75" w:history="1">
        <w:r w:rsidRPr="002003D0">
          <w:rPr>
            <w:rStyle w:val="Hyperlink"/>
            <w:noProof/>
          </w:rPr>
          <w:t>15. Other Issues</w:t>
        </w:r>
        <w:r>
          <w:rPr>
            <w:noProof/>
            <w:webHidden/>
          </w:rPr>
          <w:tab/>
        </w:r>
        <w:r>
          <w:rPr>
            <w:noProof/>
            <w:webHidden/>
          </w:rPr>
          <w:fldChar w:fldCharType="begin"/>
        </w:r>
        <w:r>
          <w:rPr>
            <w:noProof/>
            <w:webHidden/>
          </w:rPr>
          <w:instrText xml:space="preserve"> PAGEREF _Toc187841575 \h </w:instrText>
        </w:r>
        <w:r>
          <w:rPr>
            <w:noProof/>
            <w:webHidden/>
          </w:rPr>
        </w:r>
        <w:r>
          <w:rPr>
            <w:noProof/>
            <w:webHidden/>
          </w:rPr>
          <w:fldChar w:fldCharType="separate"/>
        </w:r>
        <w:r>
          <w:rPr>
            <w:noProof/>
            <w:webHidden/>
          </w:rPr>
          <w:t>37</w:t>
        </w:r>
        <w:r>
          <w:rPr>
            <w:noProof/>
            <w:webHidden/>
          </w:rPr>
          <w:fldChar w:fldCharType="end"/>
        </w:r>
      </w:hyperlink>
    </w:p>
    <w:p w14:paraId="02F7660C" w14:textId="153EB56F"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76" w:history="1">
        <w:r w:rsidRPr="002003D0">
          <w:rPr>
            <w:rStyle w:val="Hyperlink"/>
            <w:noProof/>
          </w:rPr>
          <w:t>15.1</w:t>
        </w:r>
        <w:r>
          <w:rPr>
            <w:rFonts w:asciiTheme="minorHAnsi" w:eastAsiaTheme="minorEastAsia" w:hAnsiTheme="minorHAnsi"/>
            <w:noProof/>
            <w:kern w:val="2"/>
            <w:szCs w:val="24"/>
            <w:lang w:val="en-US"/>
            <w14:ligatures w14:val="standardContextual"/>
          </w:rPr>
          <w:tab/>
        </w:r>
        <w:r w:rsidRPr="002003D0">
          <w:rPr>
            <w:rStyle w:val="Hyperlink"/>
            <w:noProof/>
          </w:rPr>
          <w:t>Older people with disabilities</w:t>
        </w:r>
        <w:r>
          <w:rPr>
            <w:noProof/>
            <w:webHidden/>
          </w:rPr>
          <w:tab/>
        </w:r>
        <w:r>
          <w:rPr>
            <w:noProof/>
            <w:webHidden/>
          </w:rPr>
          <w:fldChar w:fldCharType="begin"/>
        </w:r>
        <w:r>
          <w:rPr>
            <w:noProof/>
            <w:webHidden/>
          </w:rPr>
          <w:instrText xml:space="preserve"> PAGEREF _Toc187841576 \h </w:instrText>
        </w:r>
        <w:r>
          <w:rPr>
            <w:noProof/>
            <w:webHidden/>
          </w:rPr>
        </w:r>
        <w:r>
          <w:rPr>
            <w:noProof/>
            <w:webHidden/>
          </w:rPr>
          <w:fldChar w:fldCharType="separate"/>
        </w:r>
        <w:r>
          <w:rPr>
            <w:noProof/>
            <w:webHidden/>
          </w:rPr>
          <w:t>38</w:t>
        </w:r>
        <w:r>
          <w:rPr>
            <w:noProof/>
            <w:webHidden/>
          </w:rPr>
          <w:fldChar w:fldCharType="end"/>
        </w:r>
      </w:hyperlink>
    </w:p>
    <w:p w14:paraId="68128B6F" w14:textId="75A2800B" w:rsidR="00A97929" w:rsidRDefault="00A97929">
      <w:pPr>
        <w:pStyle w:val="TOC2"/>
        <w:tabs>
          <w:tab w:val="left" w:pos="960"/>
          <w:tab w:val="right" w:leader="dot" w:pos="9350"/>
        </w:tabs>
        <w:rPr>
          <w:rFonts w:asciiTheme="minorHAnsi" w:eastAsiaTheme="minorEastAsia" w:hAnsiTheme="minorHAnsi"/>
          <w:noProof/>
          <w:kern w:val="2"/>
          <w:szCs w:val="24"/>
          <w:lang w:val="en-US"/>
          <w14:ligatures w14:val="standardContextual"/>
        </w:rPr>
      </w:pPr>
      <w:hyperlink w:anchor="_Toc187841577" w:history="1">
        <w:r w:rsidRPr="002003D0">
          <w:rPr>
            <w:rStyle w:val="Hyperlink"/>
            <w:noProof/>
          </w:rPr>
          <w:t>15.2</w:t>
        </w:r>
        <w:r>
          <w:rPr>
            <w:rFonts w:asciiTheme="minorHAnsi" w:eastAsiaTheme="minorEastAsia" w:hAnsiTheme="minorHAnsi"/>
            <w:noProof/>
            <w:kern w:val="2"/>
            <w:szCs w:val="24"/>
            <w:lang w:val="en-US"/>
            <w14:ligatures w14:val="standardContextual"/>
          </w:rPr>
          <w:tab/>
        </w:r>
        <w:r w:rsidRPr="002003D0">
          <w:rPr>
            <w:rStyle w:val="Hyperlink"/>
            <w:noProof/>
          </w:rPr>
          <w:t>Technology and Artificial Intelligence (AI)</w:t>
        </w:r>
        <w:r>
          <w:rPr>
            <w:noProof/>
            <w:webHidden/>
          </w:rPr>
          <w:tab/>
        </w:r>
        <w:r>
          <w:rPr>
            <w:noProof/>
            <w:webHidden/>
          </w:rPr>
          <w:fldChar w:fldCharType="begin"/>
        </w:r>
        <w:r>
          <w:rPr>
            <w:noProof/>
            <w:webHidden/>
          </w:rPr>
          <w:instrText xml:space="preserve"> PAGEREF _Toc187841577 \h </w:instrText>
        </w:r>
        <w:r>
          <w:rPr>
            <w:noProof/>
            <w:webHidden/>
          </w:rPr>
        </w:r>
        <w:r>
          <w:rPr>
            <w:noProof/>
            <w:webHidden/>
          </w:rPr>
          <w:fldChar w:fldCharType="separate"/>
        </w:r>
        <w:r>
          <w:rPr>
            <w:noProof/>
            <w:webHidden/>
          </w:rPr>
          <w:t>39</w:t>
        </w:r>
        <w:r>
          <w:rPr>
            <w:noProof/>
            <w:webHidden/>
          </w:rPr>
          <w:fldChar w:fldCharType="end"/>
        </w:r>
      </w:hyperlink>
    </w:p>
    <w:p w14:paraId="2A7C208E" w14:textId="45B51CC8" w:rsidR="00A97929" w:rsidRDefault="00A97929">
      <w:pPr>
        <w:pStyle w:val="TOC1"/>
        <w:tabs>
          <w:tab w:val="right" w:leader="dot" w:pos="9350"/>
        </w:tabs>
        <w:rPr>
          <w:rFonts w:asciiTheme="minorHAnsi" w:eastAsiaTheme="minorEastAsia" w:hAnsiTheme="minorHAnsi"/>
          <w:noProof/>
          <w:kern w:val="2"/>
          <w:szCs w:val="24"/>
          <w:lang w:val="en-US"/>
          <w14:ligatures w14:val="standardContextual"/>
        </w:rPr>
      </w:pPr>
      <w:hyperlink w:anchor="_Toc187841578" w:history="1">
        <w:r w:rsidRPr="002003D0">
          <w:rPr>
            <w:rStyle w:val="Hyperlink"/>
            <w:noProof/>
          </w:rPr>
          <w:t>16. Canada’s Implementation of International Human Rights Obligations</w:t>
        </w:r>
        <w:r>
          <w:rPr>
            <w:noProof/>
            <w:webHidden/>
          </w:rPr>
          <w:tab/>
        </w:r>
        <w:r>
          <w:rPr>
            <w:noProof/>
            <w:webHidden/>
          </w:rPr>
          <w:fldChar w:fldCharType="begin"/>
        </w:r>
        <w:r>
          <w:rPr>
            <w:noProof/>
            <w:webHidden/>
          </w:rPr>
          <w:instrText xml:space="preserve"> PAGEREF _Toc187841578 \h </w:instrText>
        </w:r>
        <w:r>
          <w:rPr>
            <w:noProof/>
            <w:webHidden/>
          </w:rPr>
        </w:r>
        <w:r>
          <w:rPr>
            <w:noProof/>
            <w:webHidden/>
          </w:rPr>
          <w:fldChar w:fldCharType="separate"/>
        </w:r>
        <w:r>
          <w:rPr>
            <w:noProof/>
            <w:webHidden/>
          </w:rPr>
          <w:t>40</w:t>
        </w:r>
        <w:r>
          <w:rPr>
            <w:noProof/>
            <w:webHidden/>
          </w:rPr>
          <w:fldChar w:fldCharType="end"/>
        </w:r>
      </w:hyperlink>
    </w:p>
    <w:p w14:paraId="37A8EFC7" w14:textId="76F9C265" w:rsidR="00664DDF" w:rsidRDefault="00503749">
      <w:pPr>
        <w:rPr>
          <w:rFonts w:cs="Arial"/>
          <w:b/>
          <w:bCs/>
          <w:sz w:val="32"/>
          <w:szCs w:val="32"/>
        </w:rPr>
      </w:pPr>
      <w:r>
        <w:fldChar w:fldCharType="end"/>
      </w:r>
      <w:r w:rsidR="00664DDF">
        <w:br w:type="page"/>
      </w:r>
    </w:p>
    <w:p w14:paraId="3EF69322" w14:textId="428D1878" w:rsidR="008F2070" w:rsidRPr="00E73436" w:rsidRDefault="008F2070" w:rsidP="001D28D2">
      <w:pPr>
        <w:pStyle w:val="Heading1"/>
      </w:pPr>
      <w:bookmarkStart w:id="3" w:name="_Toc183602893"/>
      <w:bookmarkStart w:id="4" w:name="_Toc183602984"/>
      <w:bookmarkStart w:id="5" w:name="_Toc187841545"/>
      <w:r w:rsidRPr="001D349F">
        <w:lastRenderedPageBreak/>
        <w:t>T</w:t>
      </w:r>
      <w:r w:rsidR="0086544E">
        <w:t>he</w:t>
      </w:r>
      <w:r w:rsidRPr="001D349F">
        <w:t xml:space="preserve"> C</w:t>
      </w:r>
      <w:r w:rsidR="0086544E">
        <w:t>anadian</w:t>
      </w:r>
      <w:r w:rsidRPr="001D349F">
        <w:t xml:space="preserve"> H</w:t>
      </w:r>
      <w:r w:rsidR="0086544E">
        <w:t>uman</w:t>
      </w:r>
      <w:r w:rsidRPr="001D349F">
        <w:t xml:space="preserve"> R</w:t>
      </w:r>
      <w:r w:rsidR="0086544E">
        <w:t>ights</w:t>
      </w:r>
      <w:r w:rsidRPr="001D349F">
        <w:t xml:space="preserve"> C</w:t>
      </w:r>
      <w:bookmarkEnd w:id="1"/>
      <w:bookmarkEnd w:id="0"/>
      <w:r w:rsidR="0086544E">
        <w:t>ommission</w:t>
      </w:r>
      <w:r w:rsidR="002F361E">
        <w:t xml:space="preserve"> (A</w:t>
      </w:r>
      <w:r w:rsidR="0086544E">
        <w:t>rticle</w:t>
      </w:r>
      <w:r w:rsidR="002F361E">
        <w:t xml:space="preserve"> 33)</w:t>
      </w:r>
      <w:bookmarkEnd w:id="3"/>
      <w:bookmarkEnd w:id="4"/>
      <w:bookmarkEnd w:id="5"/>
    </w:p>
    <w:p w14:paraId="073C0765" w14:textId="77777777" w:rsidR="0067794C" w:rsidRPr="0067794C" w:rsidRDefault="0067794C" w:rsidP="0067794C">
      <w:pPr>
        <w:spacing w:line="240" w:lineRule="auto"/>
        <w:contextualSpacing/>
        <w:rPr>
          <w:rFonts w:cs="Arial"/>
          <w:szCs w:val="24"/>
        </w:rPr>
      </w:pPr>
      <w:r w:rsidRPr="0067794C">
        <w:rPr>
          <w:rFonts w:cs="Arial"/>
          <w:szCs w:val="24"/>
        </w:rPr>
        <w:t xml:space="preserve">The Canadian Human Rights Commission (CHRC) is Canada’s national human rights institution. It has been accredited “A-status” by the Global Alliance of National Human Rights Institutions since 1999 and, most recently, in 2023. </w:t>
      </w:r>
    </w:p>
    <w:p w14:paraId="24F45E9F" w14:textId="77777777" w:rsidR="0067794C" w:rsidRPr="0067794C" w:rsidRDefault="0067794C" w:rsidP="0067794C">
      <w:pPr>
        <w:spacing w:line="240" w:lineRule="auto"/>
        <w:contextualSpacing/>
        <w:rPr>
          <w:rFonts w:cs="Arial"/>
          <w:szCs w:val="24"/>
        </w:rPr>
      </w:pPr>
    </w:p>
    <w:p w14:paraId="4DDEC4B1" w14:textId="652468FF" w:rsidR="0067794C" w:rsidRPr="0067794C" w:rsidRDefault="0067794C" w:rsidP="0067794C">
      <w:pPr>
        <w:spacing w:line="240" w:lineRule="auto"/>
        <w:contextualSpacing/>
        <w:rPr>
          <w:rFonts w:cs="Arial"/>
          <w:szCs w:val="24"/>
        </w:rPr>
      </w:pPr>
      <w:r w:rsidRPr="0067794C">
        <w:rPr>
          <w:rFonts w:cs="Arial"/>
          <w:szCs w:val="24"/>
        </w:rPr>
        <w:t>Established by Parliament through the Canadian Human Rights Act (CHRA) in 1977</w:t>
      </w:r>
      <w:r>
        <w:rPr>
          <w:rFonts w:cs="Arial"/>
          <w:szCs w:val="24"/>
        </w:rPr>
        <w:t>,</w:t>
      </w:r>
      <w:r w:rsidRPr="002F361E">
        <w:rPr>
          <w:rStyle w:val="FootnoteReference"/>
          <w:rFonts w:cs="Arial"/>
          <w:szCs w:val="24"/>
        </w:rPr>
        <w:footnoteReference w:id="1"/>
      </w:r>
      <w:r w:rsidRPr="0067794C">
        <w:rPr>
          <w:rFonts w:cs="Arial"/>
          <w:szCs w:val="24"/>
        </w:rPr>
        <w:t xml:space="preserve"> the Commission has a broad mandate to promote and protect human rights and freedoms in Canada. Operating at arm’s length from the federal government, our mission is to promote an inclusive Canada where every person is free to claim their human rights and create the life that they wish for themselves. Together, we work towards a Canada where everyone can be included, and live a life of dignity, justice and respect — free from discrimination. </w:t>
      </w:r>
    </w:p>
    <w:p w14:paraId="762C865A" w14:textId="77777777" w:rsidR="0067794C" w:rsidRPr="0067794C" w:rsidRDefault="0067794C" w:rsidP="0067794C">
      <w:pPr>
        <w:spacing w:line="240" w:lineRule="auto"/>
        <w:contextualSpacing/>
        <w:rPr>
          <w:rFonts w:cs="Arial"/>
          <w:szCs w:val="24"/>
        </w:rPr>
      </w:pPr>
    </w:p>
    <w:p w14:paraId="252B128C" w14:textId="19A86EC3" w:rsidR="0067794C" w:rsidRPr="0067794C" w:rsidRDefault="0067794C" w:rsidP="0067794C">
      <w:pPr>
        <w:spacing w:line="240" w:lineRule="auto"/>
        <w:contextualSpacing/>
        <w:rPr>
          <w:rFonts w:cs="Arial"/>
          <w:szCs w:val="24"/>
        </w:rPr>
      </w:pPr>
      <w:r w:rsidRPr="0067794C">
        <w:rPr>
          <w:rFonts w:cs="Arial"/>
          <w:szCs w:val="24"/>
        </w:rPr>
        <w:t xml:space="preserve">We do this in three main ways: We advocate for human rights in Canada; </w:t>
      </w:r>
      <w:r w:rsidR="00B3244F" w:rsidRPr="00B3244F">
        <w:rPr>
          <w:rFonts w:cs="Arial"/>
          <w:szCs w:val="24"/>
        </w:rPr>
        <w:t>we monitor and enforce regulated entities’ compliance with the requirements under the Accessible Canada Act, the Pay Equity Act and the Employment Equity Act</w:t>
      </w:r>
      <w:r w:rsidRPr="0067794C">
        <w:rPr>
          <w:rFonts w:cs="Arial"/>
          <w:szCs w:val="24"/>
        </w:rPr>
        <w:t xml:space="preserve">; and we </w:t>
      </w:r>
      <w:r w:rsidR="00312DB1">
        <w:rPr>
          <w:rFonts w:cs="Arial"/>
          <w:szCs w:val="24"/>
        </w:rPr>
        <w:t xml:space="preserve">screen and, where possible, </w:t>
      </w:r>
      <w:r w:rsidR="00C9254D">
        <w:rPr>
          <w:rFonts w:cs="Arial"/>
          <w:szCs w:val="24"/>
        </w:rPr>
        <w:t xml:space="preserve">help </w:t>
      </w:r>
      <w:r w:rsidR="00312DB1">
        <w:rPr>
          <w:rFonts w:cs="Arial"/>
          <w:szCs w:val="24"/>
        </w:rPr>
        <w:t xml:space="preserve">resolve </w:t>
      </w:r>
      <w:r w:rsidRPr="0067794C">
        <w:rPr>
          <w:rFonts w:cs="Arial"/>
          <w:szCs w:val="24"/>
        </w:rPr>
        <w:t>human rights complaints from people in Canada who believe they have experienced discrimination.</w:t>
      </w:r>
    </w:p>
    <w:p w14:paraId="455578B9" w14:textId="77777777" w:rsidR="002F361E" w:rsidRPr="002F361E" w:rsidRDefault="002F361E" w:rsidP="002F361E">
      <w:pPr>
        <w:spacing w:after="0" w:line="240" w:lineRule="auto"/>
        <w:contextualSpacing/>
        <w:rPr>
          <w:rFonts w:cs="Arial"/>
          <w:szCs w:val="24"/>
        </w:rPr>
      </w:pPr>
    </w:p>
    <w:p w14:paraId="7B051B3C" w14:textId="799EE535" w:rsidR="002F361E" w:rsidRPr="002F361E" w:rsidRDefault="002F361E" w:rsidP="00C364E7">
      <w:pPr>
        <w:spacing w:after="0" w:line="240" w:lineRule="auto"/>
        <w:contextualSpacing/>
        <w:rPr>
          <w:rFonts w:cs="Arial"/>
          <w:szCs w:val="24"/>
        </w:rPr>
      </w:pPr>
      <w:r w:rsidRPr="002F361E">
        <w:rPr>
          <w:rFonts w:cs="Arial"/>
          <w:szCs w:val="24"/>
        </w:rPr>
        <w:t xml:space="preserve">In 2019, the CHRC </w:t>
      </w:r>
      <w:r w:rsidR="0067794C" w:rsidRPr="0067794C">
        <w:rPr>
          <w:rFonts w:cs="Arial"/>
          <w:szCs w:val="24"/>
        </w:rPr>
        <w:t>was designated as a body responsible for monitoring the Government of Canada’s implementation of the United Nations Convention on the Rights of Persons with Disabilities (CRPD), in accordance with article 33.2 of the Convention.</w:t>
      </w:r>
      <w:r w:rsidR="00C364E7">
        <w:rPr>
          <w:rFonts w:cs="Arial"/>
          <w:szCs w:val="24"/>
        </w:rPr>
        <w:t xml:space="preserve"> </w:t>
      </w:r>
      <w:r w:rsidR="00C364E7" w:rsidRPr="00C364E7">
        <w:rPr>
          <w:rFonts w:cs="Arial"/>
          <w:szCs w:val="24"/>
          <w:lang w:val="en-US"/>
        </w:rPr>
        <w:t>While this responsibility was legislated in section 28.1 of the CHRA, the funding provided for this mandate sunset after five years, and officially ended on March 31</w:t>
      </w:r>
      <w:r w:rsidR="00C364E7" w:rsidRPr="00C364E7">
        <w:rPr>
          <w:rFonts w:cs="Arial"/>
          <w:szCs w:val="24"/>
          <w:vertAlign w:val="superscript"/>
          <w:lang w:val="en-US"/>
        </w:rPr>
        <w:t>st</w:t>
      </w:r>
      <w:r w:rsidR="00C364E7" w:rsidRPr="00C364E7">
        <w:rPr>
          <w:rFonts w:cs="Arial"/>
          <w:szCs w:val="24"/>
          <w:lang w:val="en-US"/>
        </w:rPr>
        <w:t>, 2024.</w:t>
      </w:r>
      <w:r w:rsidR="00C364E7" w:rsidRPr="00C364E7">
        <w:rPr>
          <w:rFonts w:cs="Arial"/>
          <w:szCs w:val="24"/>
        </w:rPr>
        <w:t xml:space="preserve"> </w:t>
      </w:r>
      <w:r w:rsidR="00833C16">
        <w:rPr>
          <w:rFonts w:cs="Arial"/>
          <w:szCs w:val="24"/>
        </w:rPr>
        <w:t>Although</w:t>
      </w:r>
      <w:r w:rsidR="00C364E7">
        <w:rPr>
          <w:rFonts w:cs="Arial"/>
          <w:szCs w:val="24"/>
        </w:rPr>
        <w:t xml:space="preserve"> the CHRC’s commitment to disability rights advocacy continues, </w:t>
      </w:r>
      <w:r w:rsidR="00833C16">
        <w:rPr>
          <w:rFonts w:cs="Arial"/>
          <w:szCs w:val="24"/>
        </w:rPr>
        <w:t xml:space="preserve">the present funding situation has impacted the scope of what the CHRC </w:t>
      </w:r>
      <w:r w:rsidR="00A80A31">
        <w:rPr>
          <w:rFonts w:cs="Arial"/>
          <w:szCs w:val="24"/>
        </w:rPr>
        <w:t>is able to</w:t>
      </w:r>
      <w:r w:rsidR="00833C16">
        <w:rPr>
          <w:rFonts w:cs="Arial"/>
          <w:szCs w:val="24"/>
        </w:rPr>
        <w:t xml:space="preserve"> do in its role as this monitoring body. </w:t>
      </w:r>
      <w:r w:rsidR="00833C16" w:rsidRPr="00DC6208">
        <w:rPr>
          <w:rFonts w:cs="Arial"/>
          <w:szCs w:val="24"/>
        </w:rPr>
        <w:t>Despite the CHRC’s request for permanent funding,</w:t>
      </w:r>
      <w:r w:rsidR="00833C16" w:rsidRPr="00DC6208">
        <w:rPr>
          <w:rFonts w:cs="Arial"/>
          <w:szCs w:val="24"/>
          <w:lang w:val="en-US"/>
        </w:rPr>
        <w:t xml:space="preserve"> at present, there has been no indication that this funding will be renewed</w:t>
      </w:r>
      <w:r w:rsidRPr="00DC6208">
        <w:rPr>
          <w:rFonts w:cs="Arial"/>
          <w:szCs w:val="24"/>
        </w:rPr>
        <w:t>.</w:t>
      </w:r>
    </w:p>
    <w:p w14:paraId="0DF2B853" w14:textId="77777777" w:rsidR="002F361E" w:rsidRPr="002F361E" w:rsidRDefault="002F361E" w:rsidP="002F361E">
      <w:pPr>
        <w:spacing w:after="0" w:line="240" w:lineRule="auto"/>
        <w:contextualSpacing/>
        <w:rPr>
          <w:rFonts w:cs="Arial"/>
          <w:szCs w:val="24"/>
        </w:rPr>
      </w:pPr>
    </w:p>
    <w:p w14:paraId="2A5A2B9F" w14:textId="00025448" w:rsidR="001D28D2" w:rsidRDefault="002F361E" w:rsidP="00E73436">
      <w:pPr>
        <w:spacing w:after="0" w:line="240" w:lineRule="auto"/>
        <w:contextualSpacing/>
      </w:pPr>
      <w:r w:rsidRPr="002F361E">
        <w:rPr>
          <w:rFonts w:cs="Arial"/>
          <w:szCs w:val="24"/>
        </w:rPr>
        <w:t>The CHRC is committed to working with the Government of Canada as well as domestic and international partners</w:t>
      </w:r>
      <w:r w:rsidR="00833C16">
        <w:rPr>
          <w:rFonts w:cs="Arial"/>
          <w:szCs w:val="24"/>
        </w:rPr>
        <w:t xml:space="preserve"> and stakeholders</w:t>
      </w:r>
      <w:r w:rsidRPr="002F361E">
        <w:rPr>
          <w:rFonts w:cs="Arial"/>
          <w:szCs w:val="24"/>
        </w:rPr>
        <w:t xml:space="preserve"> to ensure continued progress in the protection of human rights, including Canada’s implementation of the rights and obligations enshrined in the </w:t>
      </w:r>
      <w:r w:rsidR="0082509D">
        <w:rPr>
          <w:rFonts w:cs="Arial"/>
          <w:szCs w:val="24"/>
        </w:rPr>
        <w:t>CRPD</w:t>
      </w:r>
      <w:r w:rsidRPr="002F361E">
        <w:rPr>
          <w:rFonts w:cs="Arial"/>
          <w:szCs w:val="24"/>
        </w:rPr>
        <w:t xml:space="preserve">. </w:t>
      </w:r>
      <w:r w:rsidRPr="002F361E">
        <w:t xml:space="preserve">In the spirit of constructive engagement, the CHRC </w:t>
      </w:r>
      <w:r w:rsidR="00833C16">
        <w:t xml:space="preserve">submits this report </w:t>
      </w:r>
      <w:r w:rsidRPr="002F361E">
        <w:t xml:space="preserve">to the </w:t>
      </w:r>
      <w:r w:rsidR="007B566E">
        <w:t>Committee on the Rights of Persons with Disabilities</w:t>
      </w:r>
      <w:r w:rsidRPr="002F361E">
        <w:t xml:space="preserve"> </w:t>
      </w:r>
      <w:r w:rsidR="00833C16">
        <w:t>on the occasion</w:t>
      </w:r>
      <w:r w:rsidR="007B566E">
        <w:t xml:space="preserve"> of Canada’s 2</w:t>
      </w:r>
      <w:r w:rsidR="007B566E" w:rsidRPr="007B566E">
        <w:rPr>
          <w:vertAlign w:val="superscript"/>
        </w:rPr>
        <w:t>nd</w:t>
      </w:r>
      <w:r w:rsidR="007B566E">
        <w:t xml:space="preserve"> and 3</w:t>
      </w:r>
      <w:r w:rsidR="007B566E" w:rsidRPr="007B566E">
        <w:rPr>
          <w:vertAlign w:val="superscript"/>
        </w:rPr>
        <w:t>rd</w:t>
      </w:r>
      <w:r w:rsidR="007B566E">
        <w:t xml:space="preserve"> periodic reviews.</w:t>
      </w:r>
    </w:p>
    <w:p w14:paraId="2F786D7A" w14:textId="77777777" w:rsidR="00316F96" w:rsidRPr="00E73436" w:rsidRDefault="00316F96" w:rsidP="00E73436">
      <w:pPr>
        <w:spacing w:after="0" w:line="240" w:lineRule="auto"/>
        <w:contextualSpacing/>
        <w:rPr>
          <w:rFonts w:cs="Arial"/>
          <w:szCs w:val="24"/>
        </w:rPr>
      </w:pPr>
    </w:p>
    <w:p w14:paraId="4CDE8EFC" w14:textId="6B4A12B0" w:rsidR="00316F96" w:rsidRDefault="00316F96" w:rsidP="00A85C41">
      <w:pPr>
        <w:pStyle w:val="Heading1"/>
      </w:pPr>
      <w:bookmarkStart w:id="6" w:name="_Toc187841546"/>
      <w:bookmarkStart w:id="7" w:name="_Toc183602894"/>
      <w:bookmarkStart w:id="8" w:name="_Toc183602985"/>
      <w:r>
        <w:t>C</w:t>
      </w:r>
      <w:r w:rsidR="0086544E">
        <w:t>ontext</w:t>
      </w:r>
      <w:bookmarkEnd w:id="6"/>
    </w:p>
    <w:p w14:paraId="48EB1F77" w14:textId="641A6857" w:rsidR="00F74742" w:rsidRPr="00F60136" w:rsidRDefault="00F74742" w:rsidP="00F74742">
      <w:pPr>
        <w:spacing w:line="240" w:lineRule="auto"/>
      </w:pPr>
      <w:r>
        <w:rPr>
          <w:rFonts w:cs="Arial"/>
          <w:szCs w:val="24"/>
        </w:rPr>
        <w:lastRenderedPageBreak/>
        <w:t xml:space="preserve">In 2020, the CHRC, in its role as the National Monitoring Mechanism for the CRPD, undertook a public engagement process with </w:t>
      </w:r>
      <w:r w:rsidRPr="00F60136">
        <w:rPr>
          <w:rFonts w:cs="Arial"/>
          <w:szCs w:val="24"/>
        </w:rPr>
        <w:t>people with disabilities across Canada, with organizations that advocate on their behalf, and with families and caregivers of people with disabilities.</w:t>
      </w:r>
      <w:r>
        <w:rPr>
          <w:rStyle w:val="FootnoteReference"/>
          <w:rFonts w:cs="Arial"/>
          <w:szCs w:val="24"/>
        </w:rPr>
        <w:footnoteReference w:id="2"/>
      </w:r>
      <w:r w:rsidRPr="00F60136">
        <w:rPr>
          <w:rFonts w:cs="Arial"/>
          <w:szCs w:val="24"/>
        </w:rPr>
        <w:t> </w:t>
      </w:r>
      <w:r>
        <w:rPr>
          <w:rFonts w:cs="Arial"/>
          <w:szCs w:val="24"/>
        </w:rPr>
        <w:t xml:space="preserve">Through this process, people with disabilities shared their experiences and ideas to address the barriers they face. </w:t>
      </w:r>
      <w:r>
        <w:rPr>
          <w:rFonts w:cs="Arial"/>
        </w:rPr>
        <w:t xml:space="preserve">Participants shared </w:t>
      </w:r>
      <w:r w:rsidRPr="00E77017">
        <w:rPr>
          <w:rFonts w:cs="Arial"/>
        </w:rPr>
        <w:t>that discrimination and unfair treatment are experienced by people with</w:t>
      </w:r>
      <w:r>
        <w:rPr>
          <w:rFonts w:cs="Arial"/>
        </w:rPr>
        <w:t xml:space="preserve"> disabilities in many </w:t>
      </w:r>
      <w:r w:rsidRPr="00E77017">
        <w:rPr>
          <w:rFonts w:cs="Arial"/>
        </w:rPr>
        <w:t>aspects of their lives</w:t>
      </w:r>
      <w:r>
        <w:t>. Participants emphasized that there needs to be a focus</w:t>
      </w:r>
      <w:r w:rsidRPr="009A4044">
        <w:t xml:space="preserve"> on changing societal attitudes and behaviours towards people with disabilities</w:t>
      </w:r>
      <w:r>
        <w:t xml:space="preserve"> through awareness-raising, public education and training</w:t>
      </w:r>
      <w:r w:rsidRPr="009A4044">
        <w:t xml:space="preserve">. </w:t>
      </w:r>
      <w:r w:rsidRPr="00ED3882">
        <w:t xml:space="preserve">Participants also shared that their top three </w:t>
      </w:r>
      <w:r w:rsidR="00ED3882" w:rsidRPr="00ED3882">
        <w:t>issues or areas of concern were poverty, housing, and work and employment.</w:t>
      </w:r>
    </w:p>
    <w:p w14:paraId="7F22ED32" w14:textId="56A0E895" w:rsidR="00F74742" w:rsidRDefault="00F74742" w:rsidP="00F74742">
      <w:pPr>
        <w:spacing w:after="0" w:line="240" w:lineRule="auto"/>
        <w:contextualSpacing/>
        <w:rPr>
          <w:rFonts w:cs="Arial"/>
          <w:szCs w:val="24"/>
        </w:rPr>
      </w:pPr>
      <w:r w:rsidDel="006F4455">
        <w:rPr>
          <w:rFonts w:cs="Arial"/>
          <w:szCs w:val="24"/>
          <w:lang w:val="en-US"/>
        </w:rPr>
        <w:t>Generally, a</w:t>
      </w:r>
      <w:r w:rsidDel="006F4455">
        <w:rPr>
          <w:rFonts w:cs="Arial"/>
          <w:szCs w:val="24"/>
        </w:rPr>
        <w:t>cross Canada,</w:t>
      </w:r>
      <w:r w:rsidRPr="005D64B7" w:rsidDel="006F4455">
        <w:rPr>
          <w:rFonts w:cs="Arial"/>
          <w:szCs w:val="24"/>
        </w:rPr>
        <w:t xml:space="preserve"> more complaints of discrimination</w:t>
      </w:r>
      <w:r w:rsidDel="006F4455">
        <w:rPr>
          <w:rFonts w:cs="Arial"/>
          <w:szCs w:val="24"/>
        </w:rPr>
        <w:t xml:space="preserve"> cite the ground of disability than any other prohibited ground of discrimination.</w:t>
      </w:r>
      <w:r w:rsidDel="006F4455">
        <w:rPr>
          <w:rStyle w:val="FootnoteReference"/>
          <w:rFonts w:cs="Arial"/>
          <w:szCs w:val="24"/>
        </w:rPr>
        <w:footnoteReference w:id="3"/>
      </w:r>
      <w:r w:rsidDel="006F4455">
        <w:rPr>
          <w:rFonts w:cs="Arial"/>
          <w:szCs w:val="24"/>
        </w:rPr>
        <w:t xml:space="preserve"> </w:t>
      </w:r>
      <w:r>
        <w:rPr>
          <w:rFonts w:cs="Arial"/>
          <w:szCs w:val="24"/>
        </w:rPr>
        <w:t>Recent trends also indicate that the proportion of disability-related complaints related to mental health are increasing in comparison to those related to physical disabilities. At the CHRC, between 2019-2024</w:t>
      </w:r>
      <w:r>
        <w:rPr>
          <w:rStyle w:val="FootnoteReference"/>
          <w:rFonts w:cs="Arial"/>
          <w:szCs w:val="24"/>
        </w:rPr>
        <w:footnoteReference w:id="4"/>
      </w:r>
      <w:r>
        <w:rPr>
          <w:rFonts w:cs="Arial"/>
          <w:szCs w:val="24"/>
        </w:rPr>
        <w:t>, 51% of accepted complaints cited disability, and 49% of these were related to mental health. Of all disability complaints, a majority are related to employment.</w:t>
      </w:r>
    </w:p>
    <w:p w14:paraId="79F2969D" w14:textId="77777777" w:rsidR="00F74742" w:rsidRDefault="00F74742" w:rsidP="00F74742">
      <w:pPr>
        <w:spacing w:after="0" w:line="240" w:lineRule="auto"/>
        <w:contextualSpacing/>
        <w:rPr>
          <w:rFonts w:cs="Arial"/>
          <w:szCs w:val="24"/>
        </w:rPr>
      </w:pPr>
    </w:p>
    <w:p w14:paraId="4000197C" w14:textId="58528772" w:rsidR="00256055" w:rsidRDefault="00F74742" w:rsidP="00F74742">
      <w:pPr>
        <w:spacing w:after="0" w:line="240" w:lineRule="auto"/>
        <w:contextualSpacing/>
        <w:rPr>
          <w:rFonts w:cs="Arial"/>
          <w:szCs w:val="24"/>
        </w:rPr>
      </w:pPr>
      <w:r>
        <w:rPr>
          <w:rFonts w:cs="Arial"/>
          <w:szCs w:val="24"/>
        </w:rPr>
        <w:t>Many complaints cite more than one ground of discrimination.</w:t>
      </w:r>
      <w:r>
        <w:rPr>
          <w:rStyle w:val="FootnoteReference"/>
          <w:rFonts w:cs="Arial"/>
          <w:szCs w:val="24"/>
        </w:rPr>
        <w:footnoteReference w:id="5"/>
      </w:r>
      <w:r>
        <w:rPr>
          <w:rFonts w:cs="Arial"/>
          <w:szCs w:val="24"/>
        </w:rPr>
        <w:t xml:space="preserve"> People with disabilities who also belong to other marginalized groups face compounded discrimination and systemic barriers. </w:t>
      </w:r>
      <w:r w:rsidR="00256055">
        <w:rPr>
          <w:rFonts w:cs="Arial"/>
          <w:szCs w:val="24"/>
        </w:rPr>
        <w:t xml:space="preserve">Applying an intersectional lens on disability </w:t>
      </w:r>
      <w:r w:rsidR="00256055" w:rsidRPr="002E5A79">
        <w:rPr>
          <w:rFonts w:cs="Arial"/>
          <w:szCs w:val="24"/>
        </w:rPr>
        <w:t>reveals that community-based approaches that address both disability and social identity are crucial for effective policy-making​</w:t>
      </w:r>
      <w:r w:rsidR="00256055">
        <w:rPr>
          <w:rFonts w:cs="Arial"/>
          <w:szCs w:val="24"/>
        </w:rPr>
        <w:t>.</w:t>
      </w:r>
      <w:r w:rsidR="00256055">
        <w:rPr>
          <w:rStyle w:val="FootnoteReference"/>
          <w:rFonts w:cs="Arial"/>
          <w:szCs w:val="24"/>
        </w:rPr>
        <w:footnoteReference w:id="6"/>
      </w:r>
    </w:p>
    <w:p w14:paraId="72888A88" w14:textId="77777777" w:rsidR="00256055" w:rsidRDefault="00256055" w:rsidP="00F74742">
      <w:pPr>
        <w:spacing w:after="0" w:line="240" w:lineRule="auto"/>
        <w:contextualSpacing/>
        <w:rPr>
          <w:rFonts w:cs="Arial"/>
          <w:szCs w:val="24"/>
        </w:rPr>
      </w:pPr>
    </w:p>
    <w:p w14:paraId="6A890430" w14:textId="6DFDAA78" w:rsidR="00F74742" w:rsidRDefault="00256055" w:rsidP="00F74742">
      <w:pPr>
        <w:spacing w:after="0" w:line="240" w:lineRule="auto"/>
        <w:contextualSpacing/>
        <w:rPr>
          <w:rFonts w:cs="Arial"/>
          <w:szCs w:val="24"/>
        </w:rPr>
      </w:pPr>
      <w:r>
        <w:rPr>
          <w:rFonts w:cs="Arial"/>
          <w:szCs w:val="24"/>
        </w:rPr>
        <w:t>However</w:t>
      </w:r>
      <w:r w:rsidR="00ED3882">
        <w:rPr>
          <w:rFonts w:cs="Arial"/>
          <w:szCs w:val="24"/>
          <w:lang w:val="en-US"/>
        </w:rPr>
        <w:t xml:space="preserve">, </w:t>
      </w:r>
      <w:r w:rsidR="00F74742">
        <w:rPr>
          <w:rFonts w:cs="Arial"/>
          <w:szCs w:val="24"/>
        </w:rPr>
        <w:t xml:space="preserve">the CHRC is concerned that </w:t>
      </w:r>
      <w:r w:rsidR="006F4455">
        <w:rPr>
          <w:rFonts w:cs="Arial"/>
          <w:szCs w:val="24"/>
        </w:rPr>
        <w:t xml:space="preserve">certain </w:t>
      </w:r>
      <w:r w:rsidR="00F74742">
        <w:rPr>
          <w:rFonts w:cs="Arial"/>
          <w:szCs w:val="24"/>
        </w:rPr>
        <w:t>groups tend to be un- and underrepresented in the collection of data, leading to gaps in the understanding of the needs and realities of people with disabilities across disadvantaged groups.</w:t>
      </w:r>
      <w:r>
        <w:rPr>
          <w:rFonts w:cs="Arial"/>
          <w:szCs w:val="24"/>
        </w:rPr>
        <w:t xml:space="preserve"> For instance, </w:t>
      </w:r>
      <w:r>
        <w:t>t</w:t>
      </w:r>
      <w:r w:rsidRPr="009E324C">
        <w:t xml:space="preserve">here are a multitude of reasons why people may choose not to file a discrimination complaint, and therefore it is unclear from these statistics whether disability-based discrimination is truly more prevalent than other forms of discrimination in Canada, or whether other forms of discrimination (such as discrimination based on </w:t>
      </w:r>
      <w:r w:rsidRPr="009E324C">
        <w:lastRenderedPageBreak/>
        <w:t>race, religion, gender identity or expression</w:t>
      </w:r>
      <w:r>
        <w:t>, or sexual orientation</w:t>
      </w:r>
      <w:r w:rsidRPr="009E324C">
        <w:t>) simply go underreported.</w:t>
      </w:r>
      <w:r>
        <w:rPr>
          <w:rFonts w:cs="Arial"/>
          <w:szCs w:val="24"/>
        </w:rPr>
        <w:t xml:space="preserve"> </w:t>
      </w:r>
    </w:p>
    <w:p w14:paraId="257288B8" w14:textId="77777777" w:rsidR="00F74742" w:rsidRDefault="00F74742" w:rsidP="00F74742">
      <w:pPr>
        <w:spacing w:after="0" w:line="240" w:lineRule="auto"/>
        <w:contextualSpacing/>
        <w:rPr>
          <w:rFonts w:cs="Arial"/>
          <w:szCs w:val="24"/>
        </w:rPr>
      </w:pPr>
    </w:p>
    <w:p w14:paraId="35F3C82C" w14:textId="77777777" w:rsidR="00F74742" w:rsidRDefault="00F74742" w:rsidP="00F74742">
      <w:pPr>
        <w:spacing w:after="0" w:line="240" w:lineRule="auto"/>
        <w:contextualSpacing/>
        <w:rPr>
          <w:rFonts w:cs="Arial"/>
          <w:szCs w:val="24"/>
        </w:rPr>
      </w:pPr>
      <w:r>
        <w:rPr>
          <w:rFonts w:cs="Arial"/>
          <w:szCs w:val="24"/>
        </w:rPr>
        <w:t>The CHRC has heard from rights holders</w:t>
      </w:r>
      <w:r>
        <w:rPr>
          <w:rStyle w:val="FootnoteReference"/>
          <w:rFonts w:cs="Arial"/>
          <w:szCs w:val="24"/>
        </w:rPr>
        <w:footnoteReference w:id="7"/>
      </w:r>
      <w:r>
        <w:rPr>
          <w:rFonts w:cs="Arial"/>
          <w:szCs w:val="24"/>
        </w:rPr>
        <w:t xml:space="preserve"> that across jurisdictions, people with disabilities continue to encounter barriers to mechanisms for accessing justice and equality, including a lack of awareness or knowledge about existing recourse and support mechanisms, lengthy wait times to have issues resolved, financial barriers, communication barriers,</w:t>
      </w:r>
      <w:r>
        <w:rPr>
          <w:rStyle w:val="FootnoteReference"/>
          <w:rFonts w:cs="Arial"/>
          <w:szCs w:val="24"/>
        </w:rPr>
        <w:footnoteReference w:id="8"/>
      </w:r>
      <w:r>
        <w:rPr>
          <w:rFonts w:cs="Arial"/>
          <w:szCs w:val="24"/>
        </w:rPr>
        <w:t xml:space="preserve"> and other limitations. </w:t>
      </w:r>
    </w:p>
    <w:p w14:paraId="645304D7" w14:textId="77777777" w:rsidR="00F74742" w:rsidRDefault="00F74742" w:rsidP="00F74742">
      <w:pPr>
        <w:spacing w:after="0" w:line="240" w:lineRule="auto"/>
        <w:contextualSpacing/>
        <w:rPr>
          <w:rFonts w:cs="Arial"/>
          <w:szCs w:val="24"/>
        </w:rPr>
      </w:pPr>
    </w:p>
    <w:p w14:paraId="5FEDA989" w14:textId="77777777" w:rsidR="00F74742" w:rsidRDefault="00F74742" w:rsidP="00F74742">
      <w:pPr>
        <w:spacing w:after="0" w:line="240" w:lineRule="auto"/>
        <w:contextualSpacing/>
        <w:rPr>
          <w:rFonts w:cs="Arial"/>
          <w:szCs w:val="24"/>
        </w:rPr>
      </w:pPr>
      <w:r>
        <w:rPr>
          <w:rFonts w:cs="Arial"/>
          <w:szCs w:val="24"/>
        </w:rPr>
        <w:t xml:space="preserve">Many rights holders have expressed a lack of trust in institutions (such as courts and policing systems) stemming from a history of structural and institutional discrimination, ableism, stigmatization and mistreatment of people with disabilities. This lack of trust is further compounded by concerns from rights holders and disability advocates that priorities focused on improving the lives of people with disabilities often lack timely action and implementation. </w:t>
      </w:r>
    </w:p>
    <w:p w14:paraId="3B8DC928" w14:textId="77777777" w:rsidR="00F74742" w:rsidRDefault="00F74742" w:rsidP="00F74742">
      <w:pPr>
        <w:spacing w:after="0" w:line="240" w:lineRule="auto"/>
        <w:contextualSpacing/>
        <w:rPr>
          <w:rFonts w:cs="Arial"/>
          <w:szCs w:val="24"/>
        </w:rPr>
      </w:pPr>
    </w:p>
    <w:p w14:paraId="496ADBF2" w14:textId="4304923F" w:rsidR="00F74742" w:rsidRDefault="00F74742" w:rsidP="00F74742">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0C4AC8">
        <w:rPr>
          <w:rFonts w:cs="Arial"/>
          <w:b/>
          <w:bCs/>
          <w:szCs w:val="24"/>
          <w:lang w:val="en-US"/>
        </w:rPr>
        <w:t xml:space="preserve">Recommendation </w:t>
      </w:r>
      <w:r>
        <w:rPr>
          <w:rFonts w:cs="Arial"/>
          <w:b/>
          <w:bCs/>
          <w:szCs w:val="24"/>
          <w:lang w:val="en-US"/>
        </w:rPr>
        <w:t>#</w:t>
      </w:r>
      <w:r w:rsidR="00F30961">
        <w:rPr>
          <w:rFonts w:cs="Arial"/>
          <w:b/>
          <w:bCs/>
          <w:szCs w:val="24"/>
          <w:lang w:val="en-US"/>
        </w:rPr>
        <w:t>1</w:t>
      </w:r>
      <w:r w:rsidRPr="000C4AC8">
        <w:rPr>
          <w:rFonts w:cs="Arial"/>
          <w:b/>
          <w:bCs/>
          <w:szCs w:val="24"/>
          <w:lang w:val="en-US"/>
        </w:rPr>
        <w:t xml:space="preserve">: </w:t>
      </w:r>
      <w:r w:rsidRPr="000C4AC8">
        <w:rPr>
          <w:rFonts w:cs="Arial"/>
          <w:szCs w:val="24"/>
          <w:lang w:val="en-US"/>
        </w:rPr>
        <w:t xml:space="preserve">That Canada </w:t>
      </w:r>
      <w:r>
        <w:rPr>
          <w:rFonts w:cs="Arial"/>
          <w:szCs w:val="24"/>
          <w:lang w:val="en-US"/>
        </w:rPr>
        <w:t>apply an intersectional and inclusive lens to policy-making and data collection efforts by meaningfully including members of disability communities who share diverse and intersectional lived experiences.</w:t>
      </w:r>
    </w:p>
    <w:p w14:paraId="22E2A2AE" w14:textId="431FE299" w:rsidR="00316F96" w:rsidRPr="00F74742" w:rsidRDefault="00F74742" w:rsidP="00F74742">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C73FCE">
        <w:rPr>
          <w:rFonts w:cs="Arial"/>
          <w:b/>
          <w:bCs/>
          <w:szCs w:val="24"/>
        </w:rPr>
        <w:t>Recommendation #</w:t>
      </w:r>
      <w:r w:rsidR="00F30961">
        <w:rPr>
          <w:rFonts w:cs="Arial"/>
          <w:b/>
          <w:bCs/>
          <w:szCs w:val="24"/>
        </w:rPr>
        <w:t>2</w:t>
      </w:r>
      <w:r w:rsidRPr="00C73FCE">
        <w:rPr>
          <w:rFonts w:cs="Arial"/>
          <w:b/>
          <w:bCs/>
          <w:szCs w:val="24"/>
        </w:rPr>
        <w:t>:</w:t>
      </w:r>
      <w:r w:rsidRPr="00C73FCE">
        <w:rPr>
          <w:rFonts w:cs="Arial"/>
          <w:szCs w:val="24"/>
        </w:rPr>
        <w:t xml:space="preserve"> </w:t>
      </w:r>
      <w:r>
        <w:rPr>
          <w:rFonts w:cs="Arial"/>
          <w:szCs w:val="24"/>
        </w:rPr>
        <w:t>That Canada renew efforts to foster a relationship of trust with disability communities by: investing in meaningful engagement practices; raising awareness about the diverse experiences and lived realities of people with disabilities; taking action to meaningfully improve outcomes for people with disabilities; and improving investment in accessible and inclusive anti-discrimination mechanisms.</w:t>
      </w:r>
    </w:p>
    <w:p w14:paraId="7EF51E56" w14:textId="59FB76CB" w:rsidR="00A85C41" w:rsidRDefault="002F361E" w:rsidP="00A85C41">
      <w:pPr>
        <w:pStyle w:val="Heading1"/>
      </w:pPr>
      <w:bookmarkStart w:id="9" w:name="_Toc187841547"/>
      <w:r>
        <w:t>M</w:t>
      </w:r>
      <w:r w:rsidR="0086544E">
        <w:t>edical</w:t>
      </w:r>
      <w:r>
        <w:t xml:space="preserve"> A</w:t>
      </w:r>
      <w:r w:rsidR="0086544E">
        <w:t>ssistance</w:t>
      </w:r>
      <w:r>
        <w:t xml:space="preserve"> </w:t>
      </w:r>
      <w:r w:rsidR="0086544E">
        <w:t>in</w:t>
      </w:r>
      <w:r>
        <w:t xml:space="preserve"> D</w:t>
      </w:r>
      <w:r w:rsidR="0086544E">
        <w:t>ying</w:t>
      </w:r>
      <w:r>
        <w:t xml:space="preserve"> (A</w:t>
      </w:r>
      <w:r w:rsidR="0086544E">
        <w:t>rticles</w:t>
      </w:r>
      <w:r>
        <w:t xml:space="preserve"> 5, 8, 10, 17, 19)</w:t>
      </w:r>
      <w:bookmarkEnd w:id="7"/>
      <w:bookmarkEnd w:id="8"/>
      <w:bookmarkEnd w:id="9"/>
    </w:p>
    <w:p w14:paraId="4782E549" w14:textId="1035CB7A" w:rsidR="00065096" w:rsidRDefault="00065096" w:rsidP="00A85C41">
      <w:pPr>
        <w:spacing w:line="240" w:lineRule="auto"/>
      </w:pPr>
      <w:r w:rsidRPr="00065096">
        <w:t>Canada</w:t>
      </w:r>
      <w:r w:rsidR="0035113D">
        <w:t xml:space="preserve"> amended its</w:t>
      </w:r>
      <w:r w:rsidRPr="00065096">
        <w:t xml:space="preserve"> Criminal Code </w:t>
      </w:r>
      <w:r w:rsidR="0035113D">
        <w:t xml:space="preserve">in 2021 to expand access to </w:t>
      </w:r>
      <w:r w:rsidRPr="00065096">
        <w:t>Medical Assistance in Dying (MA</w:t>
      </w:r>
      <w:r w:rsidR="004317ED">
        <w:t>i</w:t>
      </w:r>
      <w:r w:rsidRPr="00065096">
        <w:t>D).</w:t>
      </w:r>
      <w:r>
        <w:rPr>
          <w:rStyle w:val="FootnoteReference"/>
        </w:rPr>
        <w:footnoteReference w:id="9"/>
      </w:r>
      <w:r w:rsidRPr="00065096">
        <w:t xml:space="preserve"> </w:t>
      </w:r>
      <w:r w:rsidR="0035113D">
        <w:t>MA</w:t>
      </w:r>
      <w:r w:rsidR="004317ED">
        <w:t>i</w:t>
      </w:r>
      <w:r w:rsidR="0035113D">
        <w:t>D is now available to people with “</w:t>
      </w:r>
      <w:r w:rsidR="0035113D" w:rsidRPr="0035113D">
        <w:t>grievous and irremediable medical condition</w:t>
      </w:r>
      <w:r w:rsidR="0035113D">
        <w:t>s” whose natural death is not “reasonably foreseeable”. A</w:t>
      </w:r>
      <w:r w:rsidR="004751AF">
        <w:t xml:space="preserve">dvocates </w:t>
      </w:r>
      <w:r w:rsidR="0035113D">
        <w:t>and ex</w:t>
      </w:r>
      <w:r w:rsidR="00E9224D">
        <w:t>p</w:t>
      </w:r>
      <w:r w:rsidR="0035113D">
        <w:t>erts</w:t>
      </w:r>
      <w:r w:rsidR="004751AF">
        <w:t xml:space="preserve"> in Canada and internationally continue to </w:t>
      </w:r>
      <w:r w:rsidR="00AE0E75">
        <w:t>raise significant human rights concerns</w:t>
      </w:r>
      <w:r w:rsidR="004751AF">
        <w:t xml:space="preserve"> </w:t>
      </w:r>
      <w:r w:rsidR="004751AF" w:rsidRPr="004751AF">
        <w:t>posed by the proposed and ongoing expansion of MAiD</w:t>
      </w:r>
      <w:r w:rsidR="004751AF">
        <w:t xml:space="preserve">. </w:t>
      </w:r>
    </w:p>
    <w:p w14:paraId="7CC327C8" w14:textId="034C548E" w:rsidR="0031329C" w:rsidRDefault="004751AF" w:rsidP="00A85C41">
      <w:pPr>
        <w:spacing w:line="240" w:lineRule="auto"/>
      </w:pPr>
      <w:r>
        <w:t>The</w:t>
      </w:r>
      <w:r w:rsidR="00065096" w:rsidRPr="00065096">
        <w:t xml:space="preserve"> CHRC remains </w:t>
      </w:r>
      <w:r>
        <w:t xml:space="preserve">deeply </w:t>
      </w:r>
      <w:r w:rsidR="00065096" w:rsidRPr="00065096">
        <w:t>concerned</w:t>
      </w:r>
      <w:r w:rsidR="0041525F">
        <w:t xml:space="preserve"> </w:t>
      </w:r>
      <w:r w:rsidR="0041525F" w:rsidRPr="0041525F">
        <w:t xml:space="preserve">by </w:t>
      </w:r>
      <w:r w:rsidR="000F24B4">
        <w:t xml:space="preserve">ongoing </w:t>
      </w:r>
      <w:r w:rsidR="0041525F" w:rsidRPr="0041525F">
        <w:t xml:space="preserve">reports that people with disabilities are </w:t>
      </w:r>
      <w:r w:rsidR="00E9224D">
        <w:t xml:space="preserve">turning to </w:t>
      </w:r>
      <w:r w:rsidR="0041525F" w:rsidRPr="0041525F">
        <w:t>MAiD because they cannot access the basic supports and services they need to live with dignity.</w:t>
      </w:r>
      <w:r w:rsidR="00065096" w:rsidRPr="00065096">
        <w:t xml:space="preserve"> </w:t>
      </w:r>
      <w:r w:rsidR="00E9224D">
        <w:t>M</w:t>
      </w:r>
      <w:r w:rsidR="0041525F">
        <w:t>any people with disabilities</w:t>
      </w:r>
      <w:r w:rsidR="0041525F" w:rsidRPr="0041525F">
        <w:t xml:space="preserve"> </w:t>
      </w:r>
      <w:r w:rsidR="006B4463">
        <w:t xml:space="preserve">continue to be </w:t>
      </w:r>
      <w:r w:rsidR="00E9224D">
        <w:t xml:space="preserve">forced to live in institutions due to </w:t>
      </w:r>
      <w:r w:rsidR="006B4463">
        <w:t>a</w:t>
      </w:r>
      <w:r w:rsidR="00E9224D">
        <w:t xml:space="preserve"> lack of community-based supports and accessible housing. Many </w:t>
      </w:r>
      <w:r w:rsidR="0041525F" w:rsidRPr="0041525F">
        <w:lastRenderedPageBreak/>
        <w:t xml:space="preserve">cannot </w:t>
      </w:r>
      <w:r w:rsidR="00E9224D">
        <w:t xml:space="preserve">access </w:t>
      </w:r>
      <w:r w:rsidR="0041525F" w:rsidRPr="0041525F">
        <w:t>health care</w:t>
      </w:r>
      <w:r w:rsidR="00E9224D">
        <w:t>, medication, equipment</w:t>
      </w:r>
      <w:r w:rsidR="0041525F" w:rsidRPr="0041525F">
        <w:t xml:space="preserve"> </w:t>
      </w:r>
      <w:r w:rsidR="00E9224D">
        <w:t xml:space="preserve">and supports </w:t>
      </w:r>
      <w:r w:rsidR="0041525F" w:rsidRPr="0041525F">
        <w:t xml:space="preserve">they need </w:t>
      </w:r>
      <w:r w:rsidR="00E9224D">
        <w:t>due to financial</w:t>
      </w:r>
      <w:r w:rsidR="006B4463">
        <w:t xml:space="preserve"> </w:t>
      </w:r>
      <w:r w:rsidR="00E9224D">
        <w:t>and other barriers</w:t>
      </w:r>
      <w:r w:rsidR="0041525F" w:rsidRPr="0041525F">
        <w:t xml:space="preserve">. </w:t>
      </w:r>
      <w:r w:rsidR="006B4463">
        <w:t>T</w:t>
      </w:r>
      <w:r w:rsidR="0041525F" w:rsidRPr="0041525F">
        <w:t>h</w:t>
      </w:r>
      <w:r w:rsidR="006B4463">
        <w:t>is situation has worsened with th</w:t>
      </w:r>
      <w:r w:rsidR="0041525F" w:rsidRPr="0041525F">
        <w:t xml:space="preserve">e lingering effects of the </w:t>
      </w:r>
      <w:r w:rsidR="00E9224D">
        <w:t xml:space="preserve">COVID-19 </w:t>
      </w:r>
      <w:r w:rsidR="0041525F" w:rsidRPr="0041525F">
        <w:t>pandemic</w:t>
      </w:r>
      <w:r w:rsidR="006B4463">
        <w:t xml:space="preserve"> and</w:t>
      </w:r>
      <w:r w:rsidR="0041525F" w:rsidRPr="0041525F">
        <w:t xml:space="preserve"> </w:t>
      </w:r>
      <w:r w:rsidR="00284F6C">
        <w:t>an</w:t>
      </w:r>
      <w:r w:rsidR="0041525F" w:rsidRPr="0041525F">
        <w:t xml:space="preserve"> ongoing </w:t>
      </w:r>
      <w:r w:rsidR="00284F6C">
        <w:t xml:space="preserve">nationwide </w:t>
      </w:r>
      <w:r w:rsidR="0041525F" w:rsidRPr="0041525F">
        <w:t>housing crisis</w:t>
      </w:r>
      <w:r w:rsidR="006B4463">
        <w:t>.</w:t>
      </w:r>
      <w:r w:rsidR="00CC7BAD">
        <w:t xml:space="preserve"> </w:t>
      </w:r>
      <w:r w:rsidR="006B4463">
        <w:t>Fac</w:t>
      </w:r>
      <w:r w:rsidR="00727D76">
        <w:t>ed with</w:t>
      </w:r>
      <w:r w:rsidR="006B4463">
        <w:t xml:space="preserve"> </w:t>
      </w:r>
      <w:r w:rsidR="00727D76">
        <w:t>systemic inequalities</w:t>
      </w:r>
      <w:r w:rsidR="006B4463">
        <w:t xml:space="preserve">, some people with disabilities are accessing MAID because they feel they </w:t>
      </w:r>
      <w:r w:rsidR="0078722A">
        <w:t xml:space="preserve">do not have </w:t>
      </w:r>
      <w:r w:rsidR="006B4463">
        <w:t>any other options</w:t>
      </w:r>
      <w:r w:rsidR="00065096" w:rsidRPr="00065096">
        <w:t xml:space="preserve">. </w:t>
      </w:r>
    </w:p>
    <w:p w14:paraId="59323440" w14:textId="6839F875" w:rsidR="005B2F40" w:rsidRDefault="00B72F21" w:rsidP="00A85C41">
      <w:pPr>
        <w:spacing w:line="240" w:lineRule="auto"/>
      </w:pPr>
      <w:r>
        <w:t>A</w:t>
      </w:r>
      <w:r w:rsidR="00065096" w:rsidRPr="00065096">
        <w:t xml:space="preserve">ccessing MAiD should not </w:t>
      </w:r>
      <w:r w:rsidR="00727D76">
        <w:t xml:space="preserve">be the result of this inequality, </w:t>
      </w:r>
      <w:r w:rsidR="00065096" w:rsidRPr="00065096">
        <w:t xml:space="preserve">nor should it be </w:t>
      </w:r>
      <w:r w:rsidR="00727D76">
        <w:t>the end result of</w:t>
      </w:r>
      <w:r w:rsidR="00065096" w:rsidRPr="00065096">
        <w:t xml:space="preserve"> </w:t>
      </w:r>
      <w:r w:rsidR="00727D76">
        <w:t>the</w:t>
      </w:r>
      <w:r w:rsidR="00065096" w:rsidRPr="00065096">
        <w:t xml:space="preserve"> State’s failure to fulfill its human rights obligations under the </w:t>
      </w:r>
      <w:r w:rsidR="008D14C5">
        <w:t>CRPD</w:t>
      </w:r>
      <w:r w:rsidR="00065096" w:rsidRPr="00065096">
        <w:t xml:space="preserve">, </w:t>
      </w:r>
      <w:r w:rsidR="008D14C5" w:rsidRPr="008D14C5">
        <w:t>the International Covenant on Economic, Social and Cultural Rights</w:t>
      </w:r>
      <w:r w:rsidR="008D14C5">
        <w:t xml:space="preserve">, </w:t>
      </w:r>
      <w:r w:rsidR="00065096" w:rsidRPr="00065096">
        <w:t xml:space="preserve">the Canadian Charter of Rights and Freedoms, or human rights </w:t>
      </w:r>
      <w:r w:rsidR="008D14C5">
        <w:t>legislation</w:t>
      </w:r>
      <w:r w:rsidR="00065096" w:rsidRPr="00065096">
        <w:t xml:space="preserve">. </w:t>
      </w:r>
    </w:p>
    <w:p w14:paraId="530D2DC7" w14:textId="74681077" w:rsidR="004751AF" w:rsidRPr="004751AF" w:rsidRDefault="004751AF" w:rsidP="004751AF">
      <w:pPr>
        <w:spacing w:line="240" w:lineRule="auto"/>
        <w:rPr>
          <w:lang w:val="en-US"/>
        </w:rPr>
      </w:pPr>
      <w:r w:rsidRPr="004751AF">
        <w:rPr>
          <w:lang w:val="en-US"/>
        </w:rPr>
        <w:t xml:space="preserve">As the Government takes a critical look at the expansion of MAiD, </w:t>
      </w:r>
      <w:r w:rsidR="004317ED" w:rsidRPr="004751AF">
        <w:rPr>
          <w:lang w:val="en-US"/>
        </w:rPr>
        <w:t>t</w:t>
      </w:r>
      <w:r w:rsidR="004317ED">
        <w:rPr>
          <w:lang w:val="en-US"/>
        </w:rPr>
        <w:t>h</w:t>
      </w:r>
      <w:r w:rsidR="004317ED" w:rsidRPr="004751AF">
        <w:rPr>
          <w:lang w:val="en-US"/>
        </w:rPr>
        <w:t>e</w:t>
      </w:r>
      <w:r w:rsidRPr="004751AF">
        <w:rPr>
          <w:lang w:val="en-US"/>
        </w:rPr>
        <w:t xml:space="preserve"> C</w:t>
      </w:r>
      <w:r w:rsidR="008D14C5">
        <w:rPr>
          <w:lang w:val="en-US"/>
        </w:rPr>
        <w:t>HRC</w:t>
      </w:r>
      <w:r w:rsidRPr="004751AF">
        <w:rPr>
          <w:lang w:val="en-US"/>
        </w:rPr>
        <w:t xml:space="preserve"> </w:t>
      </w:r>
      <w:r w:rsidR="0031329C">
        <w:rPr>
          <w:lang w:val="en-US"/>
        </w:rPr>
        <w:t xml:space="preserve">urges </w:t>
      </w:r>
      <w:r w:rsidR="00727D76">
        <w:rPr>
          <w:lang w:val="en-US"/>
        </w:rPr>
        <w:t>it</w:t>
      </w:r>
      <w:r w:rsidR="004317ED">
        <w:rPr>
          <w:lang w:val="en-US"/>
        </w:rPr>
        <w:t xml:space="preserve"> </w:t>
      </w:r>
      <w:r w:rsidRPr="004751AF">
        <w:rPr>
          <w:lang w:val="en-US"/>
        </w:rPr>
        <w:t>to conduct a thorough examination of what has happened since the coming into force of the existing legislation.</w:t>
      </w:r>
      <w:r w:rsidR="00B72F21">
        <w:rPr>
          <w:rStyle w:val="FootnoteReference"/>
          <w:lang w:val="en-US"/>
        </w:rPr>
        <w:footnoteReference w:id="10"/>
      </w:r>
      <w:r w:rsidRPr="004751AF">
        <w:rPr>
          <w:lang w:val="en-US"/>
        </w:rPr>
        <w:t xml:space="preserve"> This </w:t>
      </w:r>
      <w:r w:rsidR="00727D76">
        <w:rPr>
          <w:lang w:val="en-US"/>
        </w:rPr>
        <w:t>needs to</w:t>
      </w:r>
      <w:r w:rsidR="00727D76" w:rsidRPr="004751AF">
        <w:rPr>
          <w:lang w:val="en-US"/>
        </w:rPr>
        <w:t xml:space="preserve"> </w:t>
      </w:r>
      <w:r w:rsidRPr="004751AF">
        <w:rPr>
          <w:lang w:val="en-US"/>
        </w:rPr>
        <w:t xml:space="preserve">include collecting the evidence and testimony necessary </w:t>
      </w:r>
      <w:r w:rsidR="00727D76">
        <w:rPr>
          <w:lang w:val="en-US"/>
        </w:rPr>
        <w:t>to fully understand</w:t>
      </w:r>
      <w:r w:rsidRPr="004751AF">
        <w:rPr>
          <w:lang w:val="en-US"/>
        </w:rPr>
        <w:t xml:space="preserve"> who is accessing MA</w:t>
      </w:r>
      <w:r w:rsidR="004317ED">
        <w:rPr>
          <w:lang w:val="en-US"/>
        </w:rPr>
        <w:t>i</w:t>
      </w:r>
      <w:r w:rsidRPr="004751AF">
        <w:rPr>
          <w:lang w:val="en-US"/>
        </w:rPr>
        <w:t>D and why</w:t>
      </w:r>
      <w:r w:rsidR="00727D76">
        <w:rPr>
          <w:lang w:val="en-US"/>
        </w:rPr>
        <w:t xml:space="preserve">. This is a crucial step </w:t>
      </w:r>
      <w:r w:rsidRPr="004751AF">
        <w:rPr>
          <w:lang w:val="en-US"/>
        </w:rPr>
        <w:t>in identify</w:t>
      </w:r>
      <w:r w:rsidR="00727D76">
        <w:rPr>
          <w:lang w:val="en-US"/>
        </w:rPr>
        <w:t>ing</w:t>
      </w:r>
      <w:r w:rsidRPr="004751AF">
        <w:rPr>
          <w:lang w:val="en-US"/>
        </w:rPr>
        <w:t xml:space="preserve"> and put</w:t>
      </w:r>
      <w:r w:rsidR="00727D76">
        <w:rPr>
          <w:lang w:val="en-US"/>
        </w:rPr>
        <w:t>ting</w:t>
      </w:r>
      <w:r w:rsidRPr="004751AF">
        <w:rPr>
          <w:lang w:val="en-US"/>
        </w:rPr>
        <w:t xml:space="preserve"> in place the </w:t>
      </w:r>
      <w:r w:rsidR="00727D76">
        <w:rPr>
          <w:lang w:val="en-US"/>
        </w:rPr>
        <w:t>required</w:t>
      </w:r>
      <w:r w:rsidR="00727D76" w:rsidRPr="004751AF">
        <w:rPr>
          <w:lang w:val="en-US"/>
        </w:rPr>
        <w:t xml:space="preserve"> </w:t>
      </w:r>
      <w:r w:rsidRPr="004751AF">
        <w:rPr>
          <w:lang w:val="en-US"/>
        </w:rPr>
        <w:t>safeguards</w:t>
      </w:r>
      <w:r w:rsidR="00727D76">
        <w:rPr>
          <w:lang w:val="en-US"/>
        </w:rPr>
        <w:t xml:space="preserve"> to</w:t>
      </w:r>
      <w:r w:rsidRPr="004751AF">
        <w:rPr>
          <w:lang w:val="en-US"/>
        </w:rPr>
        <w:t xml:space="preserve"> </w:t>
      </w:r>
      <w:r w:rsidR="00727D76">
        <w:rPr>
          <w:lang w:val="en-US"/>
        </w:rPr>
        <w:t>ensure that people are not making this decision as a result of human rights harms that should have been addressed in other ways</w:t>
      </w:r>
      <w:r w:rsidRPr="004751AF">
        <w:rPr>
          <w:lang w:val="en-US"/>
        </w:rPr>
        <w:t>.</w:t>
      </w:r>
    </w:p>
    <w:p w14:paraId="3BA21EC2" w14:textId="574C9BEB" w:rsidR="004751AF" w:rsidRPr="004751AF" w:rsidRDefault="008D14C5" w:rsidP="004751AF">
      <w:pPr>
        <w:spacing w:line="240" w:lineRule="auto"/>
        <w:rPr>
          <w:lang w:val="en-US"/>
        </w:rPr>
      </w:pPr>
      <w:r>
        <w:rPr>
          <w:lang w:val="en-US"/>
        </w:rPr>
        <w:t>The CHRC has</w:t>
      </w:r>
      <w:r w:rsidR="004751AF" w:rsidRPr="004751AF">
        <w:rPr>
          <w:lang w:val="en-US"/>
        </w:rPr>
        <w:t xml:space="preserve"> heard from advocates that </w:t>
      </w:r>
      <w:r w:rsidR="00B72F21">
        <w:rPr>
          <w:lang w:val="en-US"/>
        </w:rPr>
        <w:t xml:space="preserve">engagement </w:t>
      </w:r>
      <w:r w:rsidR="004751AF" w:rsidRPr="004751AF">
        <w:rPr>
          <w:lang w:val="en-US"/>
        </w:rPr>
        <w:t xml:space="preserve">with </w:t>
      </w:r>
      <w:r w:rsidR="00B72F21">
        <w:rPr>
          <w:lang w:val="en-US"/>
        </w:rPr>
        <w:t>Indigenous</w:t>
      </w:r>
      <w:r w:rsidR="00B72F21">
        <w:rPr>
          <w:rStyle w:val="FootnoteReference"/>
          <w:lang w:val="en-US"/>
        </w:rPr>
        <w:footnoteReference w:id="11"/>
      </w:r>
      <w:r w:rsidR="00B72F21">
        <w:rPr>
          <w:lang w:val="en-US"/>
        </w:rPr>
        <w:t xml:space="preserve"> </w:t>
      </w:r>
      <w:r w:rsidR="00FD6AF1">
        <w:rPr>
          <w:lang w:val="en-US"/>
        </w:rPr>
        <w:t>people</w:t>
      </w:r>
      <w:r w:rsidR="005E1C7D">
        <w:rPr>
          <w:lang w:val="en-US"/>
        </w:rPr>
        <w:t xml:space="preserve">s – First Nations, Inuit and </w:t>
      </w:r>
      <w:r w:rsidR="005E1C7D" w:rsidRPr="005E1C7D">
        <w:t>Métis</w:t>
      </w:r>
      <w:r w:rsidR="005E1C7D">
        <w:t xml:space="preserve"> –</w:t>
      </w:r>
      <w:r w:rsidR="002B6ECA">
        <w:t xml:space="preserve"> </w:t>
      </w:r>
      <w:r w:rsidR="004751AF" w:rsidRPr="004751AF">
        <w:rPr>
          <w:lang w:val="en-US"/>
        </w:rPr>
        <w:t xml:space="preserve">has been insufficient to date. </w:t>
      </w:r>
      <w:r>
        <w:rPr>
          <w:lang w:val="en-US"/>
        </w:rPr>
        <w:t>The CHRC has also</w:t>
      </w:r>
      <w:r w:rsidR="004751AF" w:rsidRPr="004751AF">
        <w:rPr>
          <w:lang w:val="en-US"/>
        </w:rPr>
        <w:t xml:space="preserve"> heard that the views of some experts and those with lived experience who have expressed concern with the expansion of MA</w:t>
      </w:r>
      <w:r w:rsidR="004317ED">
        <w:rPr>
          <w:lang w:val="en-US"/>
        </w:rPr>
        <w:t>i</w:t>
      </w:r>
      <w:r w:rsidR="004751AF" w:rsidRPr="004751AF">
        <w:rPr>
          <w:lang w:val="en-US"/>
        </w:rPr>
        <w:t xml:space="preserve">D have been marginalized. </w:t>
      </w:r>
      <w:r>
        <w:rPr>
          <w:lang w:val="en-US"/>
        </w:rPr>
        <w:t>Canada</w:t>
      </w:r>
      <w:r w:rsidR="004751AF" w:rsidRPr="004751AF">
        <w:rPr>
          <w:lang w:val="en-US"/>
        </w:rPr>
        <w:t xml:space="preserve"> must ensure that </w:t>
      </w:r>
      <w:r w:rsidR="004317ED">
        <w:rPr>
          <w:lang w:val="en-US"/>
        </w:rPr>
        <w:t>Indigenous peoples</w:t>
      </w:r>
      <w:r w:rsidR="004751AF" w:rsidRPr="004751AF">
        <w:rPr>
          <w:lang w:val="en-US"/>
        </w:rPr>
        <w:t>, and those that are most vulnerable are listened to and their experiences are valued.</w:t>
      </w:r>
    </w:p>
    <w:p w14:paraId="716002EC" w14:textId="4685DD64" w:rsidR="004751AF" w:rsidRPr="008D14C5" w:rsidRDefault="008D14C5" w:rsidP="00A85C41">
      <w:pPr>
        <w:spacing w:line="240" w:lineRule="auto"/>
        <w:rPr>
          <w:rFonts w:cs="Arial"/>
          <w:lang w:val="en-US"/>
        </w:rPr>
      </w:pPr>
      <w:r w:rsidRPr="008D14C5">
        <w:rPr>
          <w:rFonts w:cs="Arial"/>
          <w:lang w:val="en-US"/>
        </w:rPr>
        <w:t>The CHRC maintains that i</w:t>
      </w:r>
      <w:r w:rsidR="004751AF" w:rsidRPr="004751AF">
        <w:rPr>
          <w:rFonts w:cs="Arial"/>
          <w:lang w:val="en-US"/>
        </w:rPr>
        <w:t>n an era where we recognize the right to die with dignity, we must do more to realize the right to live with dignity.</w:t>
      </w:r>
    </w:p>
    <w:p w14:paraId="13374928" w14:textId="3B986611" w:rsidR="002F361E" w:rsidRDefault="00A85C41" w:rsidP="00967448">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A278AB">
        <w:rPr>
          <w:rFonts w:cs="Arial"/>
          <w:b/>
          <w:bCs/>
          <w:szCs w:val="24"/>
        </w:rPr>
        <w:t xml:space="preserve">Recommendation </w:t>
      </w:r>
      <w:r w:rsidR="00CB7542">
        <w:rPr>
          <w:rFonts w:cs="Arial"/>
          <w:b/>
          <w:bCs/>
          <w:szCs w:val="24"/>
        </w:rPr>
        <w:t>#</w:t>
      </w:r>
      <w:r w:rsidR="00F30961">
        <w:rPr>
          <w:rFonts w:cs="Arial"/>
          <w:b/>
          <w:bCs/>
          <w:szCs w:val="24"/>
        </w:rPr>
        <w:t>3</w:t>
      </w:r>
      <w:r w:rsidRPr="00A278AB">
        <w:rPr>
          <w:rFonts w:cs="Arial"/>
          <w:b/>
          <w:bCs/>
          <w:szCs w:val="24"/>
        </w:rPr>
        <w:t>:</w:t>
      </w:r>
      <w:r w:rsidRPr="00A278AB">
        <w:rPr>
          <w:rFonts w:cs="Arial"/>
          <w:szCs w:val="24"/>
        </w:rPr>
        <w:t xml:space="preserve"> </w:t>
      </w:r>
      <w:r w:rsidR="004751AF">
        <w:rPr>
          <w:rFonts w:cs="Arial"/>
          <w:szCs w:val="24"/>
        </w:rPr>
        <w:t xml:space="preserve">That </w:t>
      </w:r>
      <w:r w:rsidR="005624DA">
        <w:rPr>
          <w:rFonts w:cs="Arial"/>
          <w:szCs w:val="24"/>
        </w:rPr>
        <w:t xml:space="preserve">before taking further action on its expansion, </w:t>
      </w:r>
      <w:r w:rsidR="004751AF">
        <w:rPr>
          <w:rFonts w:cs="Arial"/>
          <w:szCs w:val="24"/>
        </w:rPr>
        <w:t xml:space="preserve">Canada </w:t>
      </w:r>
      <w:r w:rsidR="002C20E7">
        <w:rPr>
          <w:rFonts w:cs="Arial"/>
          <w:szCs w:val="24"/>
        </w:rPr>
        <w:t>conduct a critical and thorough examination of what has happened since</w:t>
      </w:r>
      <w:r w:rsidR="0031329C">
        <w:rPr>
          <w:rFonts w:cs="Arial"/>
          <w:szCs w:val="24"/>
        </w:rPr>
        <w:t xml:space="preserve"> the coming into force of</w:t>
      </w:r>
      <w:r w:rsidR="002C20E7">
        <w:rPr>
          <w:rFonts w:cs="Arial"/>
          <w:szCs w:val="24"/>
        </w:rPr>
        <w:t xml:space="preserve"> MA</w:t>
      </w:r>
      <w:r w:rsidR="0031329C">
        <w:rPr>
          <w:rFonts w:cs="Arial"/>
          <w:szCs w:val="24"/>
        </w:rPr>
        <w:t>i</w:t>
      </w:r>
      <w:r w:rsidR="002C20E7">
        <w:rPr>
          <w:rFonts w:cs="Arial"/>
          <w:szCs w:val="24"/>
        </w:rPr>
        <w:t xml:space="preserve">D </w:t>
      </w:r>
      <w:r w:rsidR="00B72F21">
        <w:rPr>
          <w:rFonts w:cs="Arial"/>
          <w:szCs w:val="24"/>
        </w:rPr>
        <w:t>legislation</w:t>
      </w:r>
      <w:r w:rsidR="005624DA">
        <w:rPr>
          <w:rFonts w:cs="Arial"/>
          <w:szCs w:val="24"/>
        </w:rPr>
        <w:t xml:space="preserve">, </w:t>
      </w:r>
      <w:r w:rsidR="000335F7">
        <w:rPr>
          <w:rFonts w:cs="Arial"/>
          <w:szCs w:val="24"/>
        </w:rPr>
        <w:t>including</w:t>
      </w:r>
      <w:r w:rsidR="008D14C5">
        <w:rPr>
          <w:rFonts w:cs="Arial"/>
          <w:szCs w:val="24"/>
        </w:rPr>
        <w:t xml:space="preserve"> by </w:t>
      </w:r>
      <w:r w:rsidR="00220E83">
        <w:rPr>
          <w:rFonts w:cs="Arial"/>
          <w:szCs w:val="24"/>
        </w:rPr>
        <w:t xml:space="preserve">collecting the evidence and testimony necessary so that there is a clear understanding of who is accessing MAiD and why, and by </w:t>
      </w:r>
      <w:r w:rsidR="008D14C5">
        <w:rPr>
          <w:rFonts w:cs="Arial"/>
          <w:szCs w:val="24"/>
        </w:rPr>
        <w:t xml:space="preserve">ensuring that the experiences </w:t>
      </w:r>
      <w:r w:rsidR="00D77008" w:rsidRPr="001F53DB">
        <w:rPr>
          <w:rFonts w:cs="Arial"/>
          <w:szCs w:val="24"/>
        </w:rPr>
        <w:t>and concerns</w:t>
      </w:r>
      <w:r w:rsidR="00D77008">
        <w:rPr>
          <w:rFonts w:cs="Arial"/>
          <w:szCs w:val="24"/>
        </w:rPr>
        <w:t xml:space="preserve"> </w:t>
      </w:r>
      <w:r w:rsidR="008D14C5">
        <w:rPr>
          <w:rFonts w:cs="Arial"/>
          <w:szCs w:val="24"/>
        </w:rPr>
        <w:t>of those who are most marginalized are listened to</w:t>
      </w:r>
      <w:r w:rsidR="001F53DB">
        <w:rPr>
          <w:rFonts w:cs="Arial"/>
          <w:szCs w:val="24"/>
        </w:rPr>
        <w:t>,</w:t>
      </w:r>
      <w:r w:rsidR="00896BE6">
        <w:rPr>
          <w:rFonts w:cs="Arial"/>
          <w:szCs w:val="24"/>
        </w:rPr>
        <w:t xml:space="preserve"> </w:t>
      </w:r>
      <w:r w:rsidR="008D14C5">
        <w:rPr>
          <w:rFonts w:cs="Arial"/>
          <w:szCs w:val="24"/>
        </w:rPr>
        <w:t>valued</w:t>
      </w:r>
      <w:r w:rsidR="00896BE6">
        <w:rPr>
          <w:rFonts w:cs="Arial"/>
          <w:szCs w:val="24"/>
        </w:rPr>
        <w:t xml:space="preserve"> and addressed</w:t>
      </w:r>
      <w:r w:rsidR="002C20E7">
        <w:rPr>
          <w:rFonts w:cs="Arial"/>
          <w:szCs w:val="24"/>
        </w:rPr>
        <w:t xml:space="preserve">. </w:t>
      </w:r>
    </w:p>
    <w:p w14:paraId="10948A04" w14:textId="4CC261A0" w:rsidR="006F4455" w:rsidRDefault="006F4455" w:rsidP="006F4455">
      <w:pPr>
        <w:pStyle w:val="Heading1"/>
        <w:rPr>
          <w:lang w:val="en-US"/>
        </w:rPr>
      </w:pPr>
      <w:bookmarkStart w:id="10" w:name="_Toc183602913"/>
      <w:bookmarkStart w:id="11" w:name="_Toc183603004"/>
      <w:bookmarkStart w:id="12" w:name="_Toc187841548"/>
      <w:bookmarkStart w:id="13" w:name="_Toc183602908"/>
      <w:bookmarkStart w:id="14" w:name="_Toc183602999"/>
      <w:bookmarkStart w:id="15" w:name="_Toc183602896"/>
      <w:bookmarkStart w:id="16" w:name="_Toc183602987"/>
      <w:r>
        <w:rPr>
          <w:lang w:val="en-US"/>
        </w:rPr>
        <w:lastRenderedPageBreak/>
        <w:t>A</w:t>
      </w:r>
      <w:r w:rsidR="0086544E">
        <w:rPr>
          <w:lang w:val="en-US"/>
        </w:rPr>
        <w:t>dequate</w:t>
      </w:r>
      <w:r>
        <w:rPr>
          <w:lang w:val="en-US"/>
        </w:rPr>
        <w:t xml:space="preserve"> S</w:t>
      </w:r>
      <w:r w:rsidR="0086544E">
        <w:rPr>
          <w:lang w:val="en-US"/>
        </w:rPr>
        <w:t>tandard</w:t>
      </w:r>
      <w:r>
        <w:rPr>
          <w:lang w:val="en-US"/>
        </w:rPr>
        <w:t xml:space="preserve"> </w:t>
      </w:r>
      <w:r w:rsidR="0086544E">
        <w:rPr>
          <w:lang w:val="en-US"/>
        </w:rPr>
        <w:t>of</w:t>
      </w:r>
      <w:r>
        <w:rPr>
          <w:lang w:val="en-US"/>
        </w:rPr>
        <w:t xml:space="preserve"> L</w:t>
      </w:r>
      <w:r w:rsidR="0086544E">
        <w:rPr>
          <w:lang w:val="en-US"/>
        </w:rPr>
        <w:t>iving</w:t>
      </w:r>
      <w:r>
        <w:rPr>
          <w:lang w:val="en-US"/>
        </w:rPr>
        <w:t xml:space="preserve"> </w:t>
      </w:r>
      <w:r w:rsidR="0086544E">
        <w:rPr>
          <w:lang w:val="en-US"/>
        </w:rPr>
        <w:t>and</w:t>
      </w:r>
      <w:r>
        <w:rPr>
          <w:lang w:val="en-US"/>
        </w:rPr>
        <w:t xml:space="preserve"> S</w:t>
      </w:r>
      <w:r w:rsidR="0086544E">
        <w:rPr>
          <w:lang w:val="en-US"/>
        </w:rPr>
        <w:t>ocial</w:t>
      </w:r>
      <w:r>
        <w:rPr>
          <w:lang w:val="en-US"/>
        </w:rPr>
        <w:t xml:space="preserve"> P</w:t>
      </w:r>
      <w:r w:rsidR="0086544E">
        <w:rPr>
          <w:lang w:val="en-US"/>
        </w:rPr>
        <w:t>rotection</w:t>
      </w:r>
      <w:r>
        <w:rPr>
          <w:lang w:val="en-US"/>
        </w:rPr>
        <w:t xml:space="preserve"> (A</w:t>
      </w:r>
      <w:r w:rsidR="0086544E">
        <w:rPr>
          <w:lang w:val="en-US"/>
        </w:rPr>
        <w:t>rticle</w:t>
      </w:r>
      <w:r>
        <w:rPr>
          <w:lang w:val="en-US"/>
        </w:rPr>
        <w:t xml:space="preserve"> 28)</w:t>
      </w:r>
      <w:bookmarkEnd w:id="10"/>
      <w:bookmarkEnd w:id="11"/>
      <w:bookmarkEnd w:id="12"/>
    </w:p>
    <w:p w14:paraId="2D7F6963" w14:textId="77777777" w:rsidR="006F4455" w:rsidRDefault="006F4455" w:rsidP="006F4455">
      <w:pPr>
        <w:pStyle w:val="Heading2"/>
        <w:ind w:left="567" w:hanging="567"/>
      </w:pPr>
      <w:bookmarkStart w:id="17" w:name="_Toc183602914"/>
      <w:bookmarkStart w:id="18" w:name="_Toc183603005"/>
      <w:bookmarkStart w:id="19" w:name="_Toc187841549"/>
      <w:r>
        <w:t>Financial supports</w:t>
      </w:r>
      <w:bookmarkEnd w:id="17"/>
      <w:bookmarkEnd w:id="18"/>
      <w:bookmarkEnd w:id="19"/>
    </w:p>
    <w:p w14:paraId="0BFABBB5" w14:textId="77777777" w:rsidR="006F4455" w:rsidRDefault="006F4455" w:rsidP="006F4455">
      <w:pPr>
        <w:spacing w:before="120" w:after="120" w:line="240" w:lineRule="auto"/>
        <w:rPr>
          <w:lang w:val="en-US"/>
        </w:rPr>
      </w:pPr>
      <w:r>
        <w:t xml:space="preserve">The CHRC remains very concerned by the disproportionate number of people with disabilities living in poverty. </w:t>
      </w:r>
      <w:r w:rsidRPr="00AB056C">
        <w:t xml:space="preserve">People with disabilities in Canada are twice as likely to live in poverty </w:t>
      </w:r>
      <w:r>
        <w:t>as</w:t>
      </w:r>
      <w:r w:rsidRPr="00AB056C">
        <w:t xml:space="preserve"> people without disabilities.</w:t>
      </w:r>
      <w:r w:rsidRPr="00AB056C">
        <w:rPr>
          <w:rStyle w:val="FootnoteReference"/>
        </w:rPr>
        <w:footnoteReference w:id="12"/>
      </w:r>
      <w:r w:rsidRPr="00AB056C">
        <w:t xml:space="preserve"> </w:t>
      </w:r>
    </w:p>
    <w:p w14:paraId="2CFFBFD5" w14:textId="77777777" w:rsidR="006F4455" w:rsidRDefault="006F4455" w:rsidP="006F4455">
      <w:pPr>
        <w:spacing w:before="120" w:after="120" w:line="240" w:lineRule="auto"/>
        <w:rPr>
          <w:lang w:val="en-US"/>
        </w:rPr>
      </w:pPr>
      <w:r w:rsidRPr="00322B3E">
        <w:rPr>
          <w:lang w:val="en-US"/>
        </w:rPr>
        <w:t xml:space="preserve">Many people with disabilities were excluded from </w:t>
      </w:r>
      <w:r>
        <w:rPr>
          <w:lang w:val="en-US"/>
        </w:rPr>
        <w:t xml:space="preserve">federal </w:t>
      </w:r>
      <w:r w:rsidRPr="00322B3E">
        <w:rPr>
          <w:lang w:val="en-US"/>
        </w:rPr>
        <w:t>income support</w:t>
      </w:r>
      <w:r>
        <w:rPr>
          <w:lang w:val="en-US"/>
        </w:rPr>
        <w:t>s</w:t>
      </w:r>
      <w:r w:rsidRPr="00322B3E">
        <w:rPr>
          <w:lang w:val="en-US"/>
        </w:rPr>
        <w:t xml:space="preserve"> </w:t>
      </w:r>
      <w:r>
        <w:rPr>
          <w:lang w:val="en-US"/>
        </w:rPr>
        <w:t>for</w:t>
      </w:r>
      <w:r w:rsidRPr="00322B3E">
        <w:rPr>
          <w:lang w:val="en-US"/>
        </w:rPr>
        <w:t xml:space="preserve"> workers during the C</w:t>
      </w:r>
      <w:r>
        <w:rPr>
          <w:lang w:val="en-US"/>
        </w:rPr>
        <w:t>OVID</w:t>
      </w:r>
      <w:r w:rsidRPr="00322B3E">
        <w:rPr>
          <w:lang w:val="en-US"/>
        </w:rPr>
        <w:t>-19 pandemic.</w:t>
      </w:r>
      <w:r w:rsidRPr="00322B3E">
        <w:rPr>
          <w:rStyle w:val="FootnoteReference"/>
          <w:lang w:val="en-US"/>
        </w:rPr>
        <w:footnoteReference w:id="13"/>
      </w:r>
      <w:r w:rsidRPr="00322B3E">
        <w:rPr>
          <w:lang w:val="en-US"/>
        </w:rPr>
        <w:t xml:space="preserve"> </w:t>
      </w:r>
      <w:r>
        <w:rPr>
          <w:lang w:val="en-US"/>
        </w:rPr>
        <w:t>While the CHRC acknowledges that the government eventually provided a o</w:t>
      </w:r>
      <w:r w:rsidRPr="008C4F84">
        <w:rPr>
          <w:lang w:val="en-US"/>
        </w:rPr>
        <w:t xml:space="preserve">ne-time </w:t>
      </w:r>
      <w:r>
        <w:rPr>
          <w:lang w:val="en-US"/>
        </w:rPr>
        <w:t xml:space="preserve">($600) </w:t>
      </w:r>
      <w:r w:rsidRPr="008C4F84">
        <w:rPr>
          <w:lang w:val="en-US"/>
        </w:rPr>
        <w:t>payment to pe</w:t>
      </w:r>
      <w:r>
        <w:rPr>
          <w:lang w:val="en-US"/>
        </w:rPr>
        <w:t>ople</w:t>
      </w:r>
      <w:r w:rsidRPr="008C4F84">
        <w:rPr>
          <w:lang w:val="en-US"/>
        </w:rPr>
        <w:t xml:space="preserve"> with disabilities </w:t>
      </w:r>
      <w:r>
        <w:rPr>
          <w:lang w:val="en-US"/>
        </w:rPr>
        <w:t>for COVID-related expenses,</w:t>
      </w:r>
      <w:r>
        <w:rPr>
          <w:rStyle w:val="FootnoteReference"/>
          <w:lang w:val="en-US"/>
        </w:rPr>
        <w:footnoteReference w:id="14"/>
      </w:r>
      <w:r>
        <w:rPr>
          <w:lang w:val="en-US"/>
        </w:rPr>
        <w:t xml:space="preserve"> advocates emphasized that this amount was inadequate, and criticized the slow rollout and limited eligibility criteria for this payment.</w:t>
      </w:r>
      <w:r>
        <w:rPr>
          <w:rStyle w:val="FootnoteReference"/>
          <w:lang w:val="en-US"/>
        </w:rPr>
        <w:footnoteReference w:id="15"/>
      </w:r>
    </w:p>
    <w:p w14:paraId="6A6F273E" w14:textId="77777777" w:rsidR="006F4455" w:rsidRPr="00AB056C" w:rsidRDefault="006F4455" w:rsidP="006F4455">
      <w:pPr>
        <w:spacing w:before="120" w:after="120" w:line="240" w:lineRule="auto"/>
      </w:pPr>
      <w:r>
        <w:t>T</w:t>
      </w:r>
      <w:r w:rsidRPr="00AB056C">
        <w:t xml:space="preserve">he CHRC </w:t>
      </w:r>
      <w:r>
        <w:t>welcomes</w:t>
      </w:r>
      <w:r w:rsidRPr="00AB056C">
        <w:t xml:space="preserve"> th</w:t>
      </w:r>
      <w:r>
        <w:t>e</w:t>
      </w:r>
      <w:r w:rsidRPr="00AB056C">
        <w:t xml:space="preserve"> </w:t>
      </w:r>
      <w:r>
        <w:t xml:space="preserve">new </w:t>
      </w:r>
      <w:r w:rsidRPr="00AB056C">
        <w:t>Canada Disability Benefit (CDB)</w:t>
      </w:r>
      <w:r>
        <w:t xml:space="preserve"> program, which </w:t>
      </w:r>
      <w:r w:rsidRPr="00AB056C">
        <w:t>aims to support the financial security of people with disabilities.</w:t>
      </w:r>
      <w:r w:rsidRPr="00AB056C">
        <w:rPr>
          <w:rStyle w:val="FootnoteReference"/>
        </w:rPr>
        <w:footnoteReference w:id="16"/>
      </w:r>
      <w:r w:rsidRPr="00AB056C">
        <w:t xml:space="preserve"> </w:t>
      </w:r>
      <w:r>
        <w:t>However, the CHRC is</w:t>
      </w:r>
      <w:r w:rsidRPr="00AB056C">
        <w:t xml:space="preserve"> concerned </w:t>
      </w:r>
      <w:r>
        <w:t>that t</w:t>
      </w:r>
      <w:r w:rsidRPr="00AB056C">
        <w:t xml:space="preserve">he </w:t>
      </w:r>
      <w:r>
        <w:t xml:space="preserve">maximum </w:t>
      </w:r>
      <w:r w:rsidRPr="00AB056C">
        <w:t xml:space="preserve">amount </w:t>
      </w:r>
      <w:r>
        <w:t xml:space="preserve">of the CDB </w:t>
      </w:r>
      <w:r w:rsidRPr="00AB056C">
        <w:t xml:space="preserve">($2400 per year) is far too low to lift people with disabilities out of poverty and </w:t>
      </w:r>
      <w:r>
        <w:t>enable</w:t>
      </w:r>
      <w:r w:rsidRPr="00AB056C">
        <w:t xml:space="preserve"> them to live with dignity.</w:t>
      </w:r>
      <w:r w:rsidRPr="00AB056C">
        <w:rPr>
          <w:rStyle w:val="FootnoteReference"/>
        </w:rPr>
        <w:footnoteReference w:id="17"/>
      </w:r>
      <w:r w:rsidRPr="00AB056C">
        <w:t xml:space="preserve"> </w:t>
      </w:r>
      <w:r>
        <w:t xml:space="preserve">The CHRC is also concerned that the </w:t>
      </w:r>
      <w:r w:rsidRPr="00AB056C">
        <w:t>eligibility criteria would exclude many people with disabilities</w:t>
      </w:r>
      <w:r>
        <w:t xml:space="preserve">, such as those who are ineligible for the federal Disability Tax Credit which excludes </w:t>
      </w:r>
      <w:r>
        <w:lastRenderedPageBreak/>
        <w:t>certain types of disabilities,</w:t>
      </w:r>
      <w:r w:rsidRPr="00AB056C">
        <w:rPr>
          <w:rStyle w:val="FootnoteReference"/>
        </w:rPr>
        <w:footnoteReference w:id="18"/>
      </w:r>
      <w:r w:rsidRPr="00AB056C">
        <w:t xml:space="preserve"> and </w:t>
      </w:r>
      <w:r>
        <w:t xml:space="preserve">that </w:t>
      </w:r>
      <w:r>
        <w:rPr>
          <w:lang w:val="en-US"/>
        </w:rPr>
        <w:t xml:space="preserve">CDB recipients’ </w:t>
      </w:r>
      <w:r w:rsidRPr="00AB056C">
        <w:rPr>
          <w:lang w:val="en-US"/>
        </w:rPr>
        <w:t>other income supports</w:t>
      </w:r>
      <w:r>
        <w:rPr>
          <w:lang w:val="en-US"/>
        </w:rPr>
        <w:t xml:space="preserve"> – many of which already fall short of the official poverty threshold – could be reduced based on CDB income</w:t>
      </w:r>
      <w:r w:rsidRPr="00AB056C">
        <w:rPr>
          <w:lang w:val="en-US"/>
        </w:rPr>
        <w:t>.</w:t>
      </w:r>
      <w:r w:rsidRPr="00AB056C">
        <w:rPr>
          <w:rStyle w:val="FootnoteReference"/>
          <w:lang w:val="en-US"/>
        </w:rPr>
        <w:footnoteReference w:id="19"/>
      </w:r>
      <w:r w:rsidRPr="00AB056C">
        <w:rPr>
          <w:lang w:val="en-US"/>
        </w:rPr>
        <w:t xml:space="preserve"> </w:t>
      </w:r>
      <w:r>
        <w:t>The CHRC has</w:t>
      </w:r>
      <w:r w:rsidRPr="00AB056C">
        <w:t xml:space="preserve"> encouraged Canada to </w:t>
      </w:r>
      <w:r>
        <w:t xml:space="preserve">significantly enhance </w:t>
      </w:r>
      <w:r w:rsidRPr="00AB056C">
        <w:t xml:space="preserve">the CDB to </w:t>
      </w:r>
      <w:r>
        <w:t>provide an adequate standard of living for all people with disabilities</w:t>
      </w:r>
      <w:r w:rsidRPr="00AB056C">
        <w:t>.</w:t>
      </w:r>
    </w:p>
    <w:p w14:paraId="45415FB2" w14:textId="09D34FEB" w:rsidR="006F4455" w:rsidRPr="004563C1" w:rsidRDefault="006F4455" w:rsidP="006F4455">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AB056C">
        <w:rPr>
          <w:rFonts w:cs="Arial"/>
          <w:b/>
          <w:bCs/>
          <w:szCs w:val="24"/>
        </w:rPr>
        <w:t>Recommendation #</w:t>
      </w:r>
      <w:r w:rsidR="00F30961">
        <w:rPr>
          <w:rFonts w:cs="Arial"/>
          <w:b/>
          <w:bCs/>
          <w:szCs w:val="24"/>
        </w:rPr>
        <w:t>4</w:t>
      </w:r>
      <w:r w:rsidRPr="00AB056C">
        <w:rPr>
          <w:rFonts w:cs="Arial"/>
          <w:b/>
          <w:bCs/>
          <w:szCs w:val="24"/>
        </w:rPr>
        <w:t xml:space="preserve">: </w:t>
      </w:r>
      <w:r w:rsidRPr="00AB056C">
        <w:rPr>
          <w:rFonts w:cs="Arial"/>
          <w:szCs w:val="24"/>
        </w:rPr>
        <w:t xml:space="preserve">That Canada significantly strengthen the Canada Disability Benefit Regulations to ensure that this new program </w:t>
      </w:r>
      <w:r>
        <w:rPr>
          <w:rFonts w:cs="Arial"/>
          <w:szCs w:val="24"/>
        </w:rPr>
        <w:t>meaningfully contributes to lifting</w:t>
      </w:r>
      <w:r w:rsidRPr="00AB056C">
        <w:rPr>
          <w:rFonts w:cs="Arial"/>
          <w:szCs w:val="24"/>
        </w:rPr>
        <w:t xml:space="preserve"> all people with disabilities out of poverty and enabl</w:t>
      </w:r>
      <w:r>
        <w:rPr>
          <w:rFonts w:cs="Arial"/>
          <w:szCs w:val="24"/>
        </w:rPr>
        <w:t>ing</w:t>
      </w:r>
      <w:r w:rsidRPr="00AB056C">
        <w:rPr>
          <w:rFonts w:cs="Arial"/>
          <w:szCs w:val="24"/>
        </w:rPr>
        <w:t xml:space="preserve"> them to live with dignity. </w:t>
      </w:r>
    </w:p>
    <w:p w14:paraId="4B17BCB2" w14:textId="263F1BBA" w:rsidR="006F4455" w:rsidRDefault="006F4455" w:rsidP="006F4455">
      <w:pPr>
        <w:pStyle w:val="Heading1"/>
        <w:rPr>
          <w:lang w:val="en-US"/>
        </w:rPr>
      </w:pPr>
      <w:bookmarkStart w:id="20" w:name="_Toc183602915"/>
      <w:bookmarkStart w:id="21" w:name="_Toc183603006"/>
      <w:bookmarkStart w:id="22" w:name="_Toc187841550"/>
      <w:bookmarkStart w:id="23" w:name="_Hlk181894542"/>
      <w:r>
        <w:rPr>
          <w:lang w:val="en-US"/>
        </w:rPr>
        <w:t>H</w:t>
      </w:r>
      <w:r w:rsidR="0086544E">
        <w:rPr>
          <w:lang w:val="en-US"/>
        </w:rPr>
        <w:t>ousing</w:t>
      </w:r>
      <w:r>
        <w:rPr>
          <w:lang w:val="en-US"/>
        </w:rPr>
        <w:t xml:space="preserve"> (A</w:t>
      </w:r>
      <w:r w:rsidR="0086544E">
        <w:rPr>
          <w:lang w:val="en-US"/>
        </w:rPr>
        <w:t>rticles</w:t>
      </w:r>
      <w:r>
        <w:rPr>
          <w:lang w:val="en-US"/>
        </w:rPr>
        <w:t xml:space="preserve"> 19, 23, 28)</w:t>
      </w:r>
      <w:bookmarkEnd w:id="20"/>
      <w:bookmarkEnd w:id="21"/>
      <w:bookmarkEnd w:id="22"/>
    </w:p>
    <w:p w14:paraId="68AECAEF" w14:textId="3EE8A439" w:rsidR="006F4455" w:rsidRDefault="006F4455" w:rsidP="006F4455">
      <w:pPr>
        <w:spacing w:before="120" w:after="120" w:line="240" w:lineRule="auto"/>
        <w:rPr>
          <w:szCs w:val="24"/>
        </w:rPr>
      </w:pPr>
      <w:r>
        <w:rPr>
          <w:rFonts w:cs="Arial"/>
          <w:szCs w:val="24"/>
          <w:lang w:val="en"/>
        </w:rPr>
        <w:t xml:space="preserve">The CHRC is deeply concerned about the right to adequate housing for people with disabilities. </w:t>
      </w:r>
      <w:r w:rsidRPr="008C7EEF">
        <w:rPr>
          <w:rFonts w:cs="Arial"/>
          <w:szCs w:val="24"/>
          <w:lang w:val="en"/>
        </w:rPr>
        <w:t xml:space="preserve">Through </w:t>
      </w:r>
      <w:r>
        <w:rPr>
          <w:rFonts w:cs="Arial"/>
          <w:szCs w:val="24"/>
          <w:lang w:val="en"/>
        </w:rPr>
        <w:t xml:space="preserve">the CHRC’s public engagement with people with disabilities, </w:t>
      </w:r>
      <w:r>
        <w:rPr>
          <w:rFonts w:cs="Arial"/>
          <w:szCs w:val="24"/>
        </w:rPr>
        <w:t>people shared</w:t>
      </w:r>
      <w:r w:rsidRPr="008C7EEF">
        <w:rPr>
          <w:rFonts w:cs="Arial"/>
          <w:szCs w:val="24"/>
        </w:rPr>
        <w:t xml:space="preserve"> </w:t>
      </w:r>
      <w:r>
        <w:rPr>
          <w:rFonts w:cs="Arial"/>
          <w:szCs w:val="24"/>
        </w:rPr>
        <w:t xml:space="preserve">that </w:t>
      </w:r>
      <w:r w:rsidRPr="008C7EEF">
        <w:rPr>
          <w:rFonts w:cs="Arial"/>
          <w:szCs w:val="24"/>
        </w:rPr>
        <w:t xml:space="preserve">they face </w:t>
      </w:r>
      <w:r>
        <w:rPr>
          <w:rFonts w:cs="Arial"/>
          <w:szCs w:val="24"/>
        </w:rPr>
        <w:t>countless</w:t>
      </w:r>
      <w:r w:rsidRPr="008C7EEF">
        <w:rPr>
          <w:rFonts w:cs="Arial"/>
          <w:szCs w:val="24"/>
        </w:rPr>
        <w:t xml:space="preserve"> barriers</w:t>
      </w:r>
      <w:r>
        <w:rPr>
          <w:rFonts w:cs="Arial"/>
          <w:szCs w:val="24"/>
        </w:rPr>
        <w:t xml:space="preserve"> and inadequate supports to access </w:t>
      </w:r>
      <w:r w:rsidRPr="008C7EEF">
        <w:rPr>
          <w:rFonts w:cs="Arial"/>
          <w:szCs w:val="24"/>
        </w:rPr>
        <w:t>housing</w:t>
      </w:r>
      <w:r>
        <w:rPr>
          <w:rFonts w:cs="Arial"/>
          <w:szCs w:val="24"/>
        </w:rPr>
        <w:t xml:space="preserve"> that meets their needs</w:t>
      </w:r>
      <w:r w:rsidRPr="008C7EEF">
        <w:rPr>
          <w:rFonts w:cs="Arial"/>
          <w:szCs w:val="24"/>
        </w:rPr>
        <w:t>.</w:t>
      </w:r>
      <w:r>
        <w:rPr>
          <w:rFonts w:cs="Arial"/>
          <w:szCs w:val="24"/>
        </w:rPr>
        <w:t xml:space="preserve"> As previously mentioned, some people with disabilities are turning to MAiD because they can’t access housing and supports that enable them to live in the community with dignity and independence.</w:t>
      </w:r>
      <w:r w:rsidRPr="008C7EEF">
        <w:rPr>
          <w:rStyle w:val="FootnoteReference"/>
          <w:rFonts w:cs="Arial"/>
          <w:szCs w:val="24"/>
        </w:rPr>
        <w:footnoteReference w:id="20"/>
      </w:r>
      <w:r>
        <w:rPr>
          <w:szCs w:val="24"/>
        </w:rPr>
        <w:t xml:space="preserve"> </w:t>
      </w:r>
    </w:p>
    <w:p w14:paraId="14AC1D9A" w14:textId="77777777" w:rsidR="006F4455" w:rsidRDefault="006F4455" w:rsidP="006F4455">
      <w:pPr>
        <w:spacing w:before="120" w:after="120" w:line="240" w:lineRule="auto"/>
        <w:rPr>
          <w:rFonts w:cs="Arial"/>
        </w:rPr>
      </w:pPr>
      <w:r>
        <w:rPr>
          <w:rFonts w:cs="Arial"/>
          <w:szCs w:val="24"/>
        </w:rPr>
        <w:t xml:space="preserve">To better understand these realities, </w:t>
      </w:r>
      <w:r>
        <w:rPr>
          <w:rFonts w:cs="Arial"/>
          <w:szCs w:val="24"/>
          <w:lang w:val="en"/>
        </w:rPr>
        <w:t>t</w:t>
      </w:r>
      <w:r w:rsidRPr="007F50F9">
        <w:rPr>
          <w:rFonts w:cs="Arial"/>
          <w:szCs w:val="24"/>
          <w:lang w:val="en"/>
        </w:rPr>
        <w:t xml:space="preserve">he CHRC and the Office of the </w:t>
      </w:r>
      <w:r>
        <w:rPr>
          <w:rFonts w:cs="Arial"/>
          <w:szCs w:val="24"/>
          <w:lang w:val="en"/>
        </w:rPr>
        <w:t>Federal Housing Advocate (OFHA)</w:t>
      </w:r>
      <w:r w:rsidRPr="009E529B">
        <w:rPr>
          <w:rStyle w:val="FootnoteReference"/>
          <w:rFonts w:cs="Arial"/>
          <w:szCs w:val="24"/>
        </w:rPr>
        <w:t xml:space="preserve"> </w:t>
      </w:r>
      <w:r>
        <w:rPr>
          <w:rStyle w:val="FootnoteReference"/>
          <w:rFonts w:cs="Arial"/>
          <w:szCs w:val="24"/>
        </w:rPr>
        <w:footnoteReference w:id="21"/>
      </w:r>
      <w:r>
        <w:rPr>
          <w:rFonts w:cs="Arial"/>
          <w:szCs w:val="24"/>
          <w:lang w:val="en"/>
        </w:rPr>
        <w:t xml:space="preserve"> </w:t>
      </w:r>
      <w:r w:rsidRPr="007F50F9">
        <w:rPr>
          <w:rFonts w:cs="Arial"/>
          <w:szCs w:val="24"/>
          <w:lang w:val="en"/>
        </w:rPr>
        <w:t xml:space="preserve">have been working together to </w:t>
      </w:r>
      <w:r>
        <w:rPr>
          <w:rFonts w:cs="Arial"/>
          <w:szCs w:val="24"/>
          <w:lang w:val="en"/>
        </w:rPr>
        <w:t xml:space="preserve">track Canada’s implementation of </w:t>
      </w:r>
      <w:r w:rsidRPr="007F50F9">
        <w:rPr>
          <w:rFonts w:cs="Arial"/>
          <w:szCs w:val="24"/>
        </w:rPr>
        <w:t>the right to adequate housing for people with disabilities in Canada</w:t>
      </w:r>
      <w:r>
        <w:rPr>
          <w:rFonts w:cs="Arial"/>
          <w:szCs w:val="24"/>
        </w:rPr>
        <w:t xml:space="preserve"> through an innovative monitoring framework informed by engagements with people with disabilities and experts</w:t>
      </w:r>
      <w:r w:rsidRPr="007F50F9">
        <w:rPr>
          <w:rFonts w:cs="Arial"/>
          <w:szCs w:val="24"/>
        </w:rPr>
        <w:t>.</w:t>
      </w:r>
      <w:r>
        <w:rPr>
          <w:rStyle w:val="FootnoteReference"/>
          <w:rFonts w:cs="Arial"/>
          <w:szCs w:val="24"/>
          <w:lang w:val="en"/>
        </w:rPr>
        <w:footnoteReference w:id="22"/>
      </w:r>
    </w:p>
    <w:p w14:paraId="29F84A34" w14:textId="77777777" w:rsidR="006F4455" w:rsidRDefault="006F4455" w:rsidP="006F4455">
      <w:pPr>
        <w:pStyle w:val="Heading2"/>
        <w:ind w:left="567" w:hanging="567"/>
      </w:pPr>
      <w:bookmarkStart w:id="24" w:name="_Toc187841551"/>
      <w:r>
        <w:lastRenderedPageBreak/>
        <w:t>Monitoring framework and key findings</w:t>
      </w:r>
      <w:r w:rsidRPr="00D8643A">
        <w:rPr>
          <w:rStyle w:val="FootnoteReference"/>
          <w:b w:val="0"/>
          <w:bCs w:val="0"/>
        </w:rPr>
        <w:footnoteReference w:id="23"/>
      </w:r>
      <w:bookmarkEnd w:id="24"/>
    </w:p>
    <w:p w14:paraId="35437BA4" w14:textId="77777777" w:rsidR="006F4455" w:rsidRPr="00331B0B" w:rsidRDefault="006F4455" w:rsidP="006F4455">
      <w:pPr>
        <w:pStyle w:val="FootnoteText"/>
        <w:spacing w:before="120" w:after="120"/>
        <w:rPr>
          <w:rFonts w:cs="Arial"/>
          <w:sz w:val="24"/>
          <w:szCs w:val="24"/>
        </w:rPr>
      </w:pPr>
      <w:r>
        <w:rPr>
          <w:rFonts w:cs="Arial"/>
          <w:sz w:val="24"/>
          <w:szCs w:val="24"/>
          <w:lang w:val="en-US"/>
        </w:rPr>
        <w:t>The CHRC and OFHA</w:t>
      </w:r>
      <w:r w:rsidRPr="00331B0B">
        <w:rPr>
          <w:rFonts w:cs="Arial"/>
          <w:sz w:val="24"/>
          <w:szCs w:val="24"/>
        </w:rPr>
        <w:t xml:space="preserve"> are tracking </w:t>
      </w:r>
      <w:r>
        <w:rPr>
          <w:rFonts w:cs="Arial"/>
          <w:sz w:val="24"/>
          <w:szCs w:val="24"/>
        </w:rPr>
        <w:t xml:space="preserve">eleven </w:t>
      </w:r>
      <w:r w:rsidRPr="00331B0B">
        <w:rPr>
          <w:rFonts w:cs="Arial"/>
          <w:sz w:val="24"/>
          <w:szCs w:val="24"/>
        </w:rPr>
        <w:t>key areas of housing for people with disabilities</w:t>
      </w:r>
      <w:r>
        <w:rPr>
          <w:rStyle w:val="FootnoteReference"/>
          <w:rFonts w:cs="Arial"/>
          <w:sz w:val="24"/>
          <w:szCs w:val="24"/>
        </w:rPr>
        <w:footnoteReference w:id="24"/>
      </w:r>
      <w:r w:rsidRPr="00331B0B">
        <w:rPr>
          <w:rFonts w:cs="Arial"/>
          <w:sz w:val="24"/>
          <w:szCs w:val="24"/>
        </w:rPr>
        <w:t xml:space="preserve"> </w:t>
      </w:r>
      <w:r>
        <w:rPr>
          <w:sz w:val="24"/>
          <w:szCs w:val="24"/>
        </w:rPr>
        <w:t>u</w:t>
      </w:r>
      <w:r w:rsidRPr="00331B0B">
        <w:rPr>
          <w:sz w:val="24"/>
          <w:szCs w:val="24"/>
        </w:rPr>
        <w:t>sing publicly available data from Statistics Canada</w:t>
      </w:r>
      <w:r>
        <w:rPr>
          <w:sz w:val="24"/>
          <w:szCs w:val="24"/>
        </w:rPr>
        <w:t>. The</w:t>
      </w:r>
      <w:r w:rsidRPr="00331B0B">
        <w:rPr>
          <w:sz w:val="24"/>
          <w:szCs w:val="24"/>
        </w:rPr>
        <w:t xml:space="preserve"> findings to date confirm what people with disabilities have been saying for years: </w:t>
      </w:r>
      <w:r w:rsidRPr="00331B0B">
        <w:rPr>
          <w:rFonts w:cs="Arial"/>
          <w:sz w:val="24"/>
          <w:szCs w:val="24"/>
        </w:rPr>
        <w:t>people with disabilities have poorer housing outcomes than people without disabilities</w:t>
      </w:r>
      <w:r>
        <w:rPr>
          <w:rFonts w:cs="Arial"/>
          <w:sz w:val="24"/>
          <w:szCs w:val="24"/>
        </w:rPr>
        <w:t xml:space="preserve">. More specifically, the findings indicate that, when </w:t>
      </w:r>
      <w:r w:rsidRPr="00331B0B">
        <w:rPr>
          <w:rFonts w:cs="Arial"/>
          <w:sz w:val="24"/>
          <w:szCs w:val="24"/>
        </w:rPr>
        <w:t xml:space="preserve">compared to people without disabilities, people with disabilities are: </w:t>
      </w:r>
      <w:r>
        <w:rPr>
          <w:rFonts w:cs="Arial"/>
          <w:sz w:val="24"/>
          <w:szCs w:val="24"/>
        </w:rPr>
        <w:t xml:space="preserve"> </w:t>
      </w:r>
    </w:p>
    <w:p w14:paraId="78EB18BE" w14:textId="541B97CF" w:rsidR="006F4455" w:rsidRPr="00D82702" w:rsidRDefault="006F4455" w:rsidP="006F4455">
      <w:pPr>
        <w:numPr>
          <w:ilvl w:val="0"/>
          <w:numId w:val="15"/>
        </w:numPr>
        <w:spacing w:line="240" w:lineRule="auto"/>
        <w:rPr>
          <w:sz w:val="22"/>
        </w:rPr>
      </w:pPr>
      <w:r w:rsidRPr="00B83205">
        <w:rPr>
          <w:rFonts w:cs="Arial"/>
          <w:szCs w:val="24"/>
        </w:rPr>
        <w:t xml:space="preserve">four times more likely to experience homelessness, and </w:t>
      </w:r>
      <w:r w:rsidR="00C9254D">
        <w:rPr>
          <w:rFonts w:cs="Arial"/>
          <w:szCs w:val="24"/>
        </w:rPr>
        <w:t>more than twice</w:t>
      </w:r>
      <w:r w:rsidRPr="00B83205">
        <w:rPr>
          <w:rFonts w:cs="Arial"/>
          <w:szCs w:val="24"/>
        </w:rPr>
        <w:t xml:space="preserve"> </w:t>
      </w:r>
      <w:r w:rsidR="00C9254D">
        <w:rPr>
          <w:rFonts w:cs="Arial"/>
          <w:szCs w:val="24"/>
        </w:rPr>
        <w:t>as</w:t>
      </w:r>
      <w:r w:rsidRPr="00B83205">
        <w:rPr>
          <w:rFonts w:cs="Arial"/>
          <w:szCs w:val="24"/>
        </w:rPr>
        <w:t xml:space="preserve"> likely to experience hidden homelessness.</w:t>
      </w:r>
      <w:r>
        <w:rPr>
          <w:rStyle w:val="FootnoteReference"/>
          <w:rFonts w:cs="Arial"/>
          <w:szCs w:val="24"/>
        </w:rPr>
        <w:footnoteReference w:id="25"/>
      </w:r>
      <w:r w:rsidRPr="00B83205">
        <w:rPr>
          <w:rFonts w:cs="Arial"/>
          <w:szCs w:val="24"/>
        </w:rPr>
        <w:t xml:space="preserve"> </w:t>
      </w:r>
    </w:p>
    <w:p w14:paraId="6E212CE1" w14:textId="77777777" w:rsidR="006F4455" w:rsidRPr="001453C6" w:rsidRDefault="006F4455" w:rsidP="006F4455">
      <w:pPr>
        <w:numPr>
          <w:ilvl w:val="0"/>
          <w:numId w:val="15"/>
        </w:numPr>
        <w:spacing w:line="240" w:lineRule="auto"/>
      </w:pPr>
      <w:r w:rsidRPr="001453C6">
        <w:t xml:space="preserve">more likely to experience homelessness because of violence or abuse, </w:t>
      </w:r>
      <w:r>
        <w:t xml:space="preserve">particularly </w:t>
      </w:r>
      <w:r w:rsidRPr="001453C6">
        <w:t>for women with disabilities.</w:t>
      </w:r>
    </w:p>
    <w:p w14:paraId="09C39752" w14:textId="77777777" w:rsidR="006F4455" w:rsidRPr="00D82702" w:rsidRDefault="006F4455" w:rsidP="006F4455">
      <w:pPr>
        <w:pStyle w:val="FootnoteText"/>
        <w:numPr>
          <w:ilvl w:val="0"/>
          <w:numId w:val="15"/>
        </w:numPr>
        <w:spacing w:before="120" w:after="120"/>
        <w:rPr>
          <w:rFonts w:cs="Arial"/>
          <w:sz w:val="24"/>
          <w:szCs w:val="24"/>
        </w:rPr>
      </w:pPr>
      <w:r w:rsidRPr="00DC38B7">
        <w:rPr>
          <w:rFonts w:cs="Arial"/>
          <w:sz w:val="24"/>
          <w:szCs w:val="24"/>
        </w:rPr>
        <w:t>more likely to live in unaffordable housing, and almost twice as likely to live in core housing need.</w:t>
      </w:r>
      <w:r w:rsidRPr="00DC38B7">
        <w:rPr>
          <w:rStyle w:val="FootnoteReference"/>
          <w:rFonts w:cs="Arial"/>
          <w:sz w:val="24"/>
          <w:szCs w:val="24"/>
        </w:rPr>
        <w:footnoteReference w:id="26"/>
      </w:r>
      <w:r w:rsidRPr="00DC38B7">
        <w:rPr>
          <w:rFonts w:cs="Arial"/>
          <w:sz w:val="24"/>
          <w:szCs w:val="24"/>
        </w:rPr>
        <w:t xml:space="preserve"> </w:t>
      </w:r>
    </w:p>
    <w:p w14:paraId="2F90E7B4" w14:textId="77777777" w:rsidR="006F4455" w:rsidRDefault="006F4455" w:rsidP="006F4455">
      <w:pPr>
        <w:numPr>
          <w:ilvl w:val="0"/>
          <w:numId w:val="15"/>
        </w:numPr>
        <w:spacing w:line="240" w:lineRule="auto"/>
      </w:pPr>
      <w:r w:rsidRPr="001453C6">
        <w:t xml:space="preserve">more likely to miss a rent or mortgage payment because of financial issues. </w:t>
      </w:r>
    </w:p>
    <w:p w14:paraId="65159FBB" w14:textId="77777777" w:rsidR="006F4455" w:rsidRDefault="006F4455" w:rsidP="006F4455">
      <w:pPr>
        <w:pStyle w:val="FootnoteText"/>
        <w:numPr>
          <w:ilvl w:val="0"/>
          <w:numId w:val="15"/>
        </w:numPr>
        <w:spacing w:before="120" w:after="120"/>
        <w:rPr>
          <w:rFonts w:cs="Arial"/>
          <w:sz w:val="24"/>
          <w:szCs w:val="24"/>
        </w:rPr>
      </w:pPr>
      <w:r w:rsidRPr="006D04AF">
        <w:rPr>
          <w:rFonts w:cs="Arial"/>
          <w:sz w:val="24"/>
          <w:szCs w:val="24"/>
        </w:rPr>
        <w:t>less likely to own their homes.</w:t>
      </w:r>
    </w:p>
    <w:p w14:paraId="099DC3BF" w14:textId="77777777" w:rsidR="006F4455" w:rsidRPr="001453C6" w:rsidRDefault="006F4455" w:rsidP="006F4455">
      <w:pPr>
        <w:numPr>
          <w:ilvl w:val="0"/>
          <w:numId w:val="15"/>
        </w:numPr>
        <w:spacing w:line="240" w:lineRule="auto"/>
      </w:pPr>
      <w:r w:rsidRPr="001453C6">
        <w:t>more likely to be forced to move for economic reasons, including financial hardship related to the COVID-19 pandemic. Financial hardship is also a main reason that people with disabilities are forced into homelessness.</w:t>
      </w:r>
    </w:p>
    <w:p w14:paraId="046B1EB4" w14:textId="77777777" w:rsidR="006F4455" w:rsidRPr="00F31C40" w:rsidRDefault="006F4455" w:rsidP="006F4455">
      <w:pPr>
        <w:pStyle w:val="FootnoteText"/>
        <w:numPr>
          <w:ilvl w:val="0"/>
          <w:numId w:val="15"/>
        </w:numPr>
        <w:spacing w:before="120" w:after="120"/>
        <w:rPr>
          <w:rFonts w:cs="Arial"/>
          <w:sz w:val="24"/>
          <w:szCs w:val="24"/>
          <w:lang w:val="en-US"/>
        </w:rPr>
      </w:pPr>
      <w:r>
        <w:rPr>
          <w:rFonts w:cs="Arial"/>
          <w:sz w:val="24"/>
          <w:szCs w:val="24"/>
        </w:rPr>
        <w:t xml:space="preserve">more likely to </w:t>
      </w:r>
      <w:r w:rsidRPr="00F31C40">
        <w:rPr>
          <w:rFonts w:cs="Arial"/>
          <w:sz w:val="24"/>
          <w:szCs w:val="24"/>
        </w:rPr>
        <w:t xml:space="preserve">wait longer to access subsidized </w:t>
      </w:r>
      <w:r w:rsidRPr="000415C8">
        <w:rPr>
          <w:rFonts w:cs="Arial"/>
          <w:sz w:val="24"/>
          <w:szCs w:val="24"/>
        </w:rPr>
        <w:t xml:space="preserve">housing. Indigenous people with disabilities </w:t>
      </w:r>
      <w:r w:rsidRPr="000415C8">
        <w:rPr>
          <w:rFonts w:eastAsia="Times New Roman" w:cs="Arial"/>
          <w:sz w:val="24"/>
          <w:szCs w:val="24"/>
        </w:rPr>
        <w:t xml:space="preserve">are more likely to be on waitlists for subsidized housing than Indigenous people without disabilities, and they </w:t>
      </w:r>
      <w:r w:rsidRPr="000415C8">
        <w:rPr>
          <w:rFonts w:cs="Arial"/>
          <w:sz w:val="24"/>
          <w:szCs w:val="24"/>
        </w:rPr>
        <w:t xml:space="preserve">spend longer on waitlists for subsidized housing. </w:t>
      </w:r>
    </w:p>
    <w:p w14:paraId="1C85883B" w14:textId="77777777" w:rsidR="006F4455" w:rsidRPr="00A01DA5" w:rsidRDefault="006F4455" w:rsidP="006F4455">
      <w:pPr>
        <w:pStyle w:val="ListParagraph"/>
        <w:numPr>
          <w:ilvl w:val="0"/>
          <w:numId w:val="15"/>
        </w:numPr>
        <w:spacing w:line="240" w:lineRule="auto"/>
        <w:rPr>
          <w:rFonts w:cs="Arial"/>
          <w:szCs w:val="24"/>
        </w:rPr>
      </w:pPr>
      <w:r w:rsidRPr="001453C6">
        <w:lastRenderedPageBreak/>
        <w:t>more likely to have unsafe drinking water, poor air quality, pest infestations, and issues with mould or mildew in their homes</w:t>
      </w:r>
      <w:r>
        <w:t xml:space="preserve">. Compared to Indigenous people without disabilities, </w:t>
      </w:r>
      <w:r w:rsidRPr="00A4230A">
        <w:rPr>
          <w:szCs w:val="24"/>
        </w:rPr>
        <w:t xml:space="preserve">Indigenous people with disabilities </w:t>
      </w:r>
      <w:r>
        <w:rPr>
          <w:szCs w:val="24"/>
        </w:rPr>
        <w:t xml:space="preserve">are </w:t>
      </w:r>
      <w:r w:rsidRPr="00A4230A">
        <w:rPr>
          <w:szCs w:val="24"/>
        </w:rPr>
        <w:t xml:space="preserve">more likely to have </w:t>
      </w:r>
      <w:r w:rsidRPr="001453C6">
        <w:rPr>
          <w:szCs w:val="24"/>
        </w:rPr>
        <w:t>issues with mould or mildew</w:t>
      </w:r>
      <w:r w:rsidRPr="00A4230A">
        <w:rPr>
          <w:szCs w:val="24"/>
        </w:rPr>
        <w:t xml:space="preserve">, pest infestations, and more likely to have lived in homes that needed major repairs. </w:t>
      </w:r>
      <w:r w:rsidRPr="001453C6">
        <w:rPr>
          <w:szCs w:val="24"/>
        </w:rPr>
        <w:t> </w:t>
      </w:r>
    </w:p>
    <w:p w14:paraId="49C7F2AF" w14:textId="77777777" w:rsidR="006F4455" w:rsidRPr="001453C6" w:rsidRDefault="006F4455" w:rsidP="006F4455">
      <w:pPr>
        <w:numPr>
          <w:ilvl w:val="0"/>
          <w:numId w:val="15"/>
        </w:numPr>
        <w:spacing w:line="240" w:lineRule="auto"/>
      </w:pPr>
      <w:r w:rsidRPr="001453C6">
        <w:t>more likely to live in homes that need major repairs, including plumbing that doesn’t work, electrical wiring issues or structural issues.</w:t>
      </w:r>
    </w:p>
    <w:p w14:paraId="16B606B5" w14:textId="77777777" w:rsidR="006F4455" w:rsidRPr="001453C6" w:rsidRDefault="006F4455" w:rsidP="006F4455">
      <w:pPr>
        <w:numPr>
          <w:ilvl w:val="0"/>
          <w:numId w:val="15"/>
        </w:numPr>
        <w:spacing w:line="240" w:lineRule="auto"/>
      </w:pPr>
      <w:r w:rsidRPr="001453C6">
        <w:t>more likely to live in subsidized housing.</w:t>
      </w:r>
      <w:r>
        <w:rPr>
          <w:rStyle w:val="FootnoteReference"/>
        </w:rPr>
        <w:footnoteReference w:id="27"/>
      </w:r>
      <w:r w:rsidRPr="001453C6">
        <w:t xml:space="preserve"> </w:t>
      </w:r>
    </w:p>
    <w:p w14:paraId="602C0D24" w14:textId="2236617B" w:rsidR="006F4455" w:rsidRPr="001453C6" w:rsidRDefault="006F4455" w:rsidP="006F4455">
      <w:pPr>
        <w:numPr>
          <w:ilvl w:val="0"/>
          <w:numId w:val="15"/>
        </w:numPr>
        <w:spacing w:line="240" w:lineRule="auto"/>
      </w:pPr>
      <w:r w:rsidRPr="001453C6">
        <w:t>less likely to feel safe and secure at home</w:t>
      </w:r>
      <w:r>
        <w:t xml:space="preserve"> or when they leave their homes</w:t>
      </w:r>
      <w:r w:rsidRPr="001453C6">
        <w:t>.</w:t>
      </w:r>
      <w:r>
        <w:t xml:space="preserve"> </w:t>
      </w:r>
    </w:p>
    <w:p w14:paraId="1501118C" w14:textId="77777777" w:rsidR="006F4455" w:rsidRPr="001453C6" w:rsidRDefault="006F4455" w:rsidP="006F4455">
      <w:pPr>
        <w:numPr>
          <w:ilvl w:val="0"/>
          <w:numId w:val="15"/>
        </w:numPr>
        <w:spacing w:line="240" w:lineRule="auto"/>
      </w:pPr>
      <w:r w:rsidRPr="001453C6">
        <w:t xml:space="preserve">less likely to feel like part of their communities than people without disabilities. </w:t>
      </w:r>
    </w:p>
    <w:p w14:paraId="650AD7D0" w14:textId="77777777" w:rsidR="006F4455" w:rsidRPr="00A4230A" w:rsidRDefault="006F4455" w:rsidP="006F4455">
      <w:pPr>
        <w:pStyle w:val="FootnoteText"/>
        <w:spacing w:before="120" w:after="120"/>
        <w:rPr>
          <w:rFonts w:cs="Arial"/>
          <w:sz w:val="24"/>
          <w:szCs w:val="24"/>
          <w:lang w:val="en-US"/>
        </w:rPr>
      </w:pPr>
      <w:r>
        <w:rPr>
          <w:sz w:val="24"/>
          <w:szCs w:val="24"/>
          <w:lang w:val="en-US"/>
        </w:rPr>
        <w:t>The</w:t>
      </w:r>
      <w:r w:rsidRPr="00A4230A">
        <w:rPr>
          <w:sz w:val="24"/>
          <w:szCs w:val="24"/>
          <w:lang w:val="en-US"/>
        </w:rPr>
        <w:t xml:space="preserve"> findings also indicate that: </w:t>
      </w:r>
    </w:p>
    <w:p w14:paraId="6C0629FD" w14:textId="77777777" w:rsidR="006F4455" w:rsidRPr="00A4230A" w:rsidRDefault="006F4455" w:rsidP="006F4455">
      <w:pPr>
        <w:pStyle w:val="FootnoteText"/>
        <w:numPr>
          <w:ilvl w:val="0"/>
          <w:numId w:val="15"/>
        </w:numPr>
        <w:spacing w:before="120" w:after="120"/>
        <w:rPr>
          <w:rFonts w:cs="Arial"/>
          <w:sz w:val="24"/>
          <w:szCs w:val="24"/>
        </w:rPr>
      </w:pPr>
      <w:r w:rsidRPr="00A4230A">
        <w:rPr>
          <w:rFonts w:cs="Arial"/>
          <w:sz w:val="24"/>
          <w:szCs w:val="24"/>
        </w:rPr>
        <w:t xml:space="preserve">Many people with disabilities in Canada </w:t>
      </w:r>
      <w:r>
        <w:rPr>
          <w:rFonts w:cs="Arial"/>
          <w:sz w:val="24"/>
          <w:szCs w:val="24"/>
        </w:rPr>
        <w:t xml:space="preserve">are unable to choose their place of residence and </w:t>
      </w:r>
      <w:r w:rsidRPr="00A4230A">
        <w:rPr>
          <w:rFonts w:cs="Arial"/>
          <w:sz w:val="24"/>
          <w:szCs w:val="24"/>
        </w:rPr>
        <w:t xml:space="preserve">live in institutions, such as group homes and long-term care homes (i.e. nursing / seniors’ homes). </w:t>
      </w:r>
    </w:p>
    <w:p w14:paraId="4385D089" w14:textId="77777777" w:rsidR="006F4455" w:rsidRPr="00A4230A" w:rsidRDefault="006F4455" w:rsidP="006F4455">
      <w:pPr>
        <w:pStyle w:val="ListParagraph"/>
        <w:numPr>
          <w:ilvl w:val="0"/>
          <w:numId w:val="15"/>
        </w:numPr>
        <w:spacing w:line="240" w:lineRule="auto"/>
        <w:rPr>
          <w:szCs w:val="24"/>
        </w:rPr>
      </w:pPr>
      <w:r w:rsidRPr="00A4230A">
        <w:rPr>
          <w:szCs w:val="24"/>
        </w:rPr>
        <w:t>Many</w:t>
      </w:r>
      <w:r w:rsidRPr="00A4230A">
        <w:rPr>
          <w:b/>
          <w:bCs/>
          <w:szCs w:val="24"/>
        </w:rPr>
        <w:t xml:space="preserve"> </w:t>
      </w:r>
      <w:r w:rsidRPr="00A4230A">
        <w:rPr>
          <w:szCs w:val="24"/>
        </w:rPr>
        <w:t xml:space="preserve">people with disabilities said they don’t get the </w:t>
      </w:r>
      <w:r>
        <w:rPr>
          <w:szCs w:val="24"/>
        </w:rPr>
        <w:t xml:space="preserve">personal assistance necessary </w:t>
      </w:r>
      <w:r w:rsidRPr="00A4230A">
        <w:rPr>
          <w:szCs w:val="24"/>
        </w:rPr>
        <w:t>to live independently, such as help with bathing, cooking, cleaning, or shopping.</w:t>
      </w:r>
    </w:p>
    <w:p w14:paraId="7F9DFAE5" w14:textId="77777777" w:rsidR="006F4455" w:rsidRPr="00C8065D" w:rsidRDefault="006F4455" w:rsidP="006F4455">
      <w:pPr>
        <w:pStyle w:val="FootnoteText"/>
        <w:numPr>
          <w:ilvl w:val="0"/>
          <w:numId w:val="15"/>
        </w:numPr>
        <w:spacing w:before="120" w:after="120"/>
        <w:rPr>
          <w:rFonts w:cs="Arial"/>
          <w:sz w:val="24"/>
          <w:szCs w:val="24"/>
          <w:lang w:val="en-US"/>
        </w:rPr>
      </w:pPr>
      <w:r w:rsidRPr="00A4230A">
        <w:rPr>
          <w:rFonts w:cs="Arial"/>
          <w:sz w:val="24"/>
          <w:szCs w:val="24"/>
        </w:rPr>
        <w:t>Many people with disabilities lack housing that meets their accessibility needs. Homelessness and domestic violence shelters also have physical barriers and lack accessible spaces for people with disabilities.</w:t>
      </w:r>
      <w:r w:rsidRPr="00A4230A">
        <w:rPr>
          <w:rStyle w:val="FootnoteReference"/>
          <w:rFonts w:cs="Arial"/>
          <w:sz w:val="24"/>
          <w:szCs w:val="24"/>
        </w:rPr>
        <w:footnoteReference w:id="28"/>
      </w:r>
    </w:p>
    <w:p w14:paraId="6AAF2F4E" w14:textId="77777777" w:rsidR="006F4455" w:rsidRPr="00C123A9" w:rsidRDefault="006F4455" w:rsidP="006F4455">
      <w:pPr>
        <w:pStyle w:val="ListParagraph"/>
        <w:numPr>
          <w:ilvl w:val="0"/>
          <w:numId w:val="15"/>
        </w:numPr>
        <w:spacing w:line="240" w:lineRule="auto"/>
        <w:rPr>
          <w:szCs w:val="24"/>
        </w:rPr>
      </w:pPr>
      <w:r w:rsidRPr="00A4230A">
        <w:rPr>
          <w:szCs w:val="24"/>
        </w:rPr>
        <w:t xml:space="preserve">People with disabilities have trouble accessing government services because of where they live and because transportation isn’t accessible. </w:t>
      </w:r>
    </w:p>
    <w:p w14:paraId="5DB6B6F3" w14:textId="77777777" w:rsidR="006F4455" w:rsidRDefault="006F4455" w:rsidP="006F4455">
      <w:pPr>
        <w:pStyle w:val="Heading2"/>
        <w:ind w:left="567" w:hanging="567"/>
      </w:pPr>
      <w:bookmarkStart w:id="26" w:name="_Toc183602917"/>
      <w:bookmarkStart w:id="27" w:name="_Toc183603008"/>
      <w:bookmarkStart w:id="28" w:name="_Toc187841552"/>
      <w:r w:rsidRPr="00325B55">
        <w:t xml:space="preserve">Data </w:t>
      </w:r>
      <w:r>
        <w:t>g</w:t>
      </w:r>
      <w:r w:rsidRPr="00325B55">
        <w:t>aps</w:t>
      </w:r>
      <w:bookmarkEnd w:id="26"/>
      <w:bookmarkEnd w:id="27"/>
      <w:bookmarkEnd w:id="28"/>
    </w:p>
    <w:p w14:paraId="45956C88" w14:textId="77777777" w:rsidR="006F4455" w:rsidRDefault="006F4455" w:rsidP="006F4455">
      <w:pPr>
        <w:spacing w:line="240" w:lineRule="auto"/>
        <w:rPr>
          <w:rFonts w:cs="Arial"/>
          <w:szCs w:val="24"/>
        </w:rPr>
      </w:pPr>
      <w:r w:rsidRPr="005E1DE1">
        <w:rPr>
          <w:rFonts w:cs="Arial"/>
          <w:szCs w:val="24"/>
        </w:rPr>
        <w:t xml:space="preserve">Through </w:t>
      </w:r>
      <w:r>
        <w:rPr>
          <w:rFonts w:cs="Arial"/>
          <w:szCs w:val="24"/>
        </w:rPr>
        <w:t>this</w:t>
      </w:r>
      <w:r w:rsidRPr="005E1DE1">
        <w:rPr>
          <w:rFonts w:cs="Arial"/>
          <w:szCs w:val="24"/>
        </w:rPr>
        <w:t xml:space="preserve"> </w:t>
      </w:r>
      <w:r>
        <w:rPr>
          <w:rFonts w:cs="Arial"/>
          <w:szCs w:val="24"/>
        </w:rPr>
        <w:t xml:space="preserve">monitoring framework, the CHRC and OFHA have identified several significant data </w:t>
      </w:r>
      <w:r w:rsidRPr="005E1DE1">
        <w:rPr>
          <w:rFonts w:cs="Arial"/>
          <w:szCs w:val="24"/>
        </w:rPr>
        <w:t>gaps</w:t>
      </w:r>
      <w:r>
        <w:rPr>
          <w:rFonts w:cs="Arial"/>
          <w:szCs w:val="24"/>
        </w:rPr>
        <w:t>. For example:</w:t>
      </w:r>
      <w:r w:rsidRPr="005E1DE1">
        <w:rPr>
          <w:rFonts w:cs="Arial"/>
          <w:szCs w:val="24"/>
        </w:rPr>
        <w:t xml:space="preserve"> </w:t>
      </w:r>
    </w:p>
    <w:p w14:paraId="10717899" w14:textId="77777777" w:rsidR="006F4455" w:rsidRPr="00697934" w:rsidRDefault="006F4455" w:rsidP="006F4455">
      <w:pPr>
        <w:pStyle w:val="FootnoteText"/>
        <w:numPr>
          <w:ilvl w:val="0"/>
          <w:numId w:val="15"/>
        </w:numPr>
        <w:spacing w:before="120" w:after="120"/>
        <w:rPr>
          <w:rFonts w:cs="Arial"/>
          <w:sz w:val="24"/>
          <w:szCs w:val="24"/>
        </w:rPr>
      </w:pPr>
      <w:r w:rsidRPr="00697934">
        <w:rPr>
          <w:rFonts w:cs="Arial"/>
          <w:sz w:val="24"/>
          <w:szCs w:val="24"/>
        </w:rPr>
        <w:t xml:space="preserve">the following groups of people with disabilities are often excluded from national surveys: people living in institutions; people experiencing homelessness; children </w:t>
      </w:r>
      <w:r w:rsidRPr="00697934">
        <w:rPr>
          <w:rFonts w:cs="Arial"/>
          <w:sz w:val="24"/>
          <w:szCs w:val="24"/>
        </w:rPr>
        <w:lastRenderedPageBreak/>
        <w:t xml:space="preserve">with disabilities; people living in Northern and rural areas; and First Nations people living on reserves. </w:t>
      </w:r>
    </w:p>
    <w:p w14:paraId="6C2C3B3A" w14:textId="77777777" w:rsidR="006F4455" w:rsidRPr="00697934" w:rsidRDefault="006F4455" w:rsidP="006F4455">
      <w:pPr>
        <w:pStyle w:val="FootnoteText"/>
        <w:numPr>
          <w:ilvl w:val="0"/>
          <w:numId w:val="15"/>
        </w:numPr>
        <w:spacing w:before="120" w:after="120"/>
        <w:rPr>
          <w:rFonts w:cs="Arial"/>
          <w:sz w:val="24"/>
          <w:szCs w:val="24"/>
        </w:rPr>
      </w:pPr>
      <w:r w:rsidRPr="00697934">
        <w:rPr>
          <w:rFonts w:cs="Arial"/>
          <w:sz w:val="24"/>
          <w:szCs w:val="24"/>
        </w:rPr>
        <w:t xml:space="preserve">Some surveys focus primarily on people with physical disabilities. </w:t>
      </w:r>
    </w:p>
    <w:p w14:paraId="77E9225E" w14:textId="77777777" w:rsidR="006F4455" w:rsidRPr="00697934" w:rsidRDefault="006F4455" w:rsidP="006F4455">
      <w:pPr>
        <w:pStyle w:val="FootnoteText"/>
        <w:numPr>
          <w:ilvl w:val="0"/>
          <w:numId w:val="15"/>
        </w:numPr>
        <w:spacing w:before="120" w:after="120"/>
        <w:rPr>
          <w:rFonts w:cs="Arial"/>
          <w:sz w:val="24"/>
          <w:szCs w:val="24"/>
        </w:rPr>
      </w:pPr>
      <w:r w:rsidRPr="00697934">
        <w:rPr>
          <w:rFonts w:cs="Arial"/>
          <w:sz w:val="24"/>
          <w:szCs w:val="24"/>
        </w:rPr>
        <w:t>National surveys do not ask whether people have housing that meets their cultural needs.</w:t>
      </w:r>
    </w:p>
    <w:p w14:paraId="45D86B8E" w14:textId="77777777" w:rsidR="006F4455" w:rsidRPr="00697934" w:rsidRDefault="006F4455" w:rsidP="006F4455">
      <w:pPr>
        <w:pStyle w:val="FootnoteText"/>
        <w:numPr>
          <w:ilvl w:val="0"/>
          <w:numId w:val="15"/>
        </w:numPr>
        <w:spacing w:before="120" w:after="120"/>
        <w:rPr>
          <w:rFonts w:cs="Arial"/>
          <w:sz w:val="24"/>
          <w:szCs w:val="24"/>
        </w:rPr>
      </w:pPr>
      <w:r w:rsidRPr="00697934">
        <w:rPr>
          <w:rFonts w:cs="Arial"/>
          <w:sz w:val="24"/>
          <w:szCs w:val="24"/>
        </w:rPr>
        <w:t xml:space="preserve">Survey data is not always disaggregated. </w:t>
      </w:r>
    </w:p>
    <w:p w14:paraId="1AA306B9" w14:textId="77777777" w:rsidR="006F4455" w:rsidRPr="00CA6DB4" w:rsidRDefault="006F4455" w:rsidP="006F4455">
      <w:pPr>
        <w:spacing w:line="240" w:lineRule="auto"/>
        <w:rPr>
          <w:rFonts w:cs="Arial"/>
          <w:szCs w:val="24"/>
        </w:rPr>
      </w:pPr>
      <w:r w:rsidRPr="00CA6DB4">
        <w:rPr>
          <w:rFonts w:cs="Arial"/>
          <w:szCs w:val="24"/>
        </w:rPr>
        <w:t xml:space="preserve">The CHRC echoes concerns shared by advocates and rights holders that a lack of inclusive data collection practices has resulted in a dearth of disaggregated data, limiting understandings of the realities faced by people with disabilities who have diverse and intersecting identities. These data gaps make it difficult to assess the full extent to which all people with disabilities have housing that meets their needs. The CHRC and OFHA continue to advocate for Canada to address these data gaps. </w:t>
      </w:r>
    </w:p>
    <w:p w14:paraId="7B459C67" w14:textId="3E4EBBBC" w:rsidR="006F4455" w:rsidRDefault="006F4455" w:rsidP="006F4455">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7F75DB">
        <w:rPr>
          <w:rFonts w:cs="Arial"/>
          <w:b/>
          <w:bCs/>
          <w:szCs w:val="24"/>
        </w:rPr>
        <w:t>Recommendation #</w:t>
      </w:r>
      <w:r w:rsidR="00F30961">
        <w:rPr>
          <w:rFonts w:cs="Arial"/>
          <w:b/>
          <w:bCs/>
          <w:szCs w:val="24"/>
        </w:rPr>
        <w:t>5</w:t>
      </w:r>
      <w:r w:rsidRPr="007F75DB">
        <w:rPr>
          <w:rFonts w:cs="Arial"/>
          <w:b/>
          <w:bCs/>
          <w:szCs w:val="24"/>
        </w:rPr>
        <w:t>:</w:t>
      </w:r>
      <w:r w:rsidRPr="007F75DB">
        <w:rPr>
          <w:rFonts w:cs="Arial"/>
          <w:szCs w:val="24"/>
        </w:rPr>
        <w:t xml:space="preserve"> That Canada </w:t>
      </w:r>
      <w:r>
        <w:rPr>
          <w:rFonts w:cs="Arial"/>
          <w:szCs w:val="24"/>
        </w:rPr>
        <w:t xml:space="preserve">ensure all </w:t>
      </w:r>
      <w:r w:rsidRPr="007F75DB">
        <w:rPr>
          <w:rFonts w:cs="Arial"/>
          <w:szCs w:val="24"/>
        </w:rPr>
        <w:t xml:space="preserve">people with disabilities </w:t>
      </w:r>
      <w:r>
        <w:rPr>
          <w:rFonts w:cs="Arial"/>
          <w:szCs w:val="24"/>
        </w:rPr>
        <w:t>can</w:t>
      </w:r>
      <w:r w:rsidRPr="007F75DB">
        <w:rPr>
          <w:rFonts w:cs="Arial"/>
          <w:szCs w:val="24"/>
        </w:rPr>
        <w:t xml:space="preserve"> </w:t>
      </w:r>
      <w:r>
        <w:rPr>
          <w:rFonts w:cs="Arial"/>
          <w:szCs w:val="24"/>
        </w:rPr>
        <w:t>fully exercise their human right to adequate housing, including by:</w:t>
      </w:r>
      <w:r w:rsidRPr="007F75DB">
        <w:rPr>
          <w:rFonts w:cs="Arial"/>
          <w:szCs w:val="24"/>
        </w:rPr>
        <w:t xml:space="preserve"> </w:t>
      </w:r>
      <w:r>
        <w:rPr>
          <w:rFonts w:cs="Arial"/>
          <w:szCs w:val="24"/>
        </w:rPr>
        <w:t xml:space="preserve">ensuring people with disabilities have autonomy over their living situations; </w:t>
      </w:r>
      <w:r w:rsidRPr="007F75DB">
        <w:rPr>
          <w:rFonts w:cs="Arial"/>
          <w:szCs w:val="24"/>
        </w:rPr>
        <w:t xml:space="preserve">providing </w:t>
      </w:r>
      <w:r>
        <w:rPr>
          <w:rFonts w:cs="Arial"/>
          <w:szCs w:val="24"/>
        </w:rPr>
        <w:t>adequate community-based supports to enable people with disabilities to live with dignity and independence; ensuring people with disabilities have housing that is inclusive, accessible, affordable, habitable, suitable, secure, safe and culturally adequate; and preventing housing discrimination.</w:t>
      </w:r>
      <w:r w:rsidRPr="007F75DB">
        <w:rPr>
          <w:rFonts w:cs="Arial"/>
          <w:szCs w:val="24"/>
        </w:rPr>
        <w:t xml:space="preserve"> </w:t>
      </w:r>
    </w:p>
    <w:p w14:paraId="388E1A46" w14:textId="0A1FBBE3" w:rsidR="006F4455" w:rsidRPr="007F75DB" w:rsidRDefault="006F4455" w:rsidP="006F4455">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7F75DB">
        <w:rPr>
          <w:rFonts w:cs="Arial"/>
          <w:b/>
          <w:bCs/>
          <w:szCs w:val="24"/>
        </w:rPr>
        <w:t>Recommendation #</w:t>
      </w:r>
      <w:r w:rsidR="00F30961">
        <w:rPr>
          <w:rFonts w:cs="Arial"/>
          <w:b/>
          <w:bCs/>
          <w:szCs w:val="24"/>
        </w:rPr>
        <w:t>6</w:t>
      </w:r>
      <w:r w:rsidRPr="007F75DB">
        <w:rPr>
          <w:rFonts w:cs="Arial"/>
          <w:b/>
          <w:bCs/>
          <w:szCs w:val="24"/>
        </w:rPr>
        <w:t xml:space="preserve">: </w:t>
      </w:r>
      <w:r w:rsidRPr="00FD3DC1">
        <w:rPr>
          <w:rFonts w:cs="Arial"/>
          <w:szCs w:val="24"/>
        </w:rPr>
        <w:t>That Canada</w:t>
      </w:r>
      <w:r>
        <w:rPr>
          <w:rFonts w:cs="Arial"/>
          <w:b/>
          <w:bCs/>
          <w:szCs w:val="24"/>
        </w:rPr>
        <w:t xml:space="preserve"> </w:t>
      </w:r>
      <w:r>
        <w:rPr>
          <w:rFonts w:cs="Arial"/>
          <w:szCs w:val="24"/>
        </w:rPr>
        <w:t xml:space="preserve">take steps to protect people with disabilities from evictions, </w:t>
      </w:r>
      <w:r w:rsidRPr="00FD3DC1">
        <w:rPr>
          <w:rFonts w:cs="Arial"/>
          <w:szCs w:val="24"/>
        </w:rPr>
        <w:t>address the root causes of homelessness</w:t>
      </w:r>
      <w:r>
        <w:rPr>
          <w:rFonts w:cs="Arial"/>
          <w:szCs w:val="24"/>
        </w:rPr>
        <w:t xml:space="preserve"> and e</w:t>
      </w:r>
      <w:r w:rsidRPr="001167D5">
        <w:rPr>
          <w:rFonts w:cs="Arial"/>
          <w:szCs w:val="24"/>
        </w:rPr>
        <w:t xml:space="preserve">nsure that emergency shelters and services are </w:t>
      </w:r>
      <w:r>
        <w:rPr>
          <w:rFonts w:cs="Arial"/>
          <w:szCs w:val="24"/>
        </w:rPr>
        <w:t>accessible for</w:t>
      </w:r>
      <w:r w:rsidRPr="001167D5">
        <w:rPr>
          <w:rFonts w:cs="Arial"/>
          <w:szCs w:val="24"/>
        </w:rPr>
        <w:t xml:space="preserve"> people with disabilities.</w:t>
      </w:r>
    </w:p>
    <w:p w14:paraId="3E92B6D6" w14:textId="6992F4AA" w:rsidR="006F4455" w:rsidRPr="00CF6E83" w:rsidRDefault="006F4455" w:rsidP="006F4455">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CF6E83">
        <w:rPr>
          <w:rFonts w:cs="Arial"/>
          <w:b/>
          <w:bCs/>
          <w:szCs w:val="24"/>
        </w:rPr>
        <w:t>Recommendation #</w:t>
      </w:r>
      <w:r w:rsidR="00F30961">
        <w:rPr>
          <w:rFonts w:cs="Arial"/>
          <w:b/>
          <w:bCs/>
          <w:szCs w:val="24"/>
        </w:rPr>
        <w:t>7</w:t>
      </w:r>
      <w:r w:rsidRPr="00CF6E83">
        <w:rPr>
          <w:rFonts w:cs="Arial"/>
          <w:b/>
          <w:bCs/>
          <w:szCs w:val="24"/>
        </w:rPr>
        <w:t xml:space="preserve">: </w:t>
      </w:r>
      <w:r w:rsidRPr="00FD3DC1">
        <w:rPr>
          <w:rFonts w:cs="Arial"/>
          <w:szCs w:val="24"/>
        </w:rPr>
        <w:t xml:space="preserve">That </w:t>
      </w:r>
      <w:r w:rsidRPr="00CF6E83">
        <w:rPr>
          <w:rFonts w:cs="Arial"/>
          <w:szCs w:val="24"/>
        </w:rPr>
        <w:t xml:space="preserve">Canada review </w:t>
      </w:r>
      <w:r>
        <w:rPr>
          <w:rFonts w:cs="Arial"/>
          <w:szCs w:val="24"/>
        </w:rPr>
        <w:t xml:space="preserve">its laws, regulations, policies and </w:t>
      </w:r>
      <w:r w:rsidRPr="00CF6E83">
        <w:rPr>
          <w:rFonts w:cs="Arial"/>
          <w:szCs w:val="24"/>
        </w:rPr>
        <w:t xml:space="preserve">programs that </w:t>
      </w:r>
      <w:r>
        <w:rPr>
          <w:rFonts w:cs="Arial"/>
          <w:szCs w:val="24"/>
        </w:rPr>
        <w:t>perpetuate barriers to housing for people with disabilities, this includes strengthening the accessibility requirements in the National Building Code and the accessibility targets in N</w:t>
      </w:r>
      <w:r w:rsidRPr="00CF6E83">
        <w:rPr>
          <w:rFonts w:cs="Arial"/>
          <w:szCs w:val="24"/>
        </w:rPr>
        <w:t xml:space="preserve">ational Housing Strategy </w:t>
      </w:r>
      <w:r>
        <w:rPr>
          <w:rFonts w:cs="Arial"/>
          <w:szCs w:val="24"/>
        </w:rPr>
        <w:t>programs</w:t>
      </w:r>
      <w:r w:rsidRPr="00CF6E83">
        <w:rPr>
          <w:rFonts w:cs="Arial"/>
          <w:szCs w:val="24"/>
        </w:rPr>
        <w:t>.</w:t>
      </w:r>
    </w:p>
    <w:p w14:paraId="1D7D0D8E" w14:textId="6447B937" w:rsidR="006F4455" w:rsidRPr="007F75DB" w:rsidRDefault="006F4455" w:rsidP="006F4455">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7F75DB">
        <w:rPr>
          <w:rFonts w:cs="Arial"/>
          <w:b/>
          <w:bCs/>
          <w:szCs w:val="24"/>
        </w:rPr>
        <w:t>Recommendation #</w:t>
      </w:r>
      <w:r w:rsidR="00F30961">
        <w:rPr>
          <w:rFonts w:cs="Arial"/>
          <w:b/>
          <w:bCs/>
          <w:szCs w:val="24"/>
        </w:rPr>
        <w:t>8</w:t>
      </w:r>
      <w:r w:rsidRPr="007F75DB">
        <w:rPr>
          <w:rFonts w:cs="Arial"/>
          <w:b/>
          <w:bCs/>
          <w:szCs w:val="24"/>
        </w:rPr>
        <w:t xml:space="preserve">: </w:t>
      </w:r>
      <w:r w:rsidRPr="007F75DB">
        <w:rPr>
          <w:rFonts w:cs="Arial"/>
          <w:szCs w:val="24"/>
        </w:rPr>
        <w:t xml:space="preserve">That Canada </w:t>
      </w:r>
      <w:r>
        <w:rPr>
          <w:rFonts w:cs="Arial"/>
          <w:szCs w:val="24"/>
        </w:rPr>
        <w:t xml:space="preserve">improve its data collection about the housing experiences of people with disabilities, including by ensuring that all people with disabilities are included in national surveys, such as people living in institutions, children with disabilities, people experiencing homelessness and hidden homelessness, people living in Northern and rural areas, and First Nations people living on reserves. </w:t>
      </w:r>
    </w:p>
    <w:p w14:paraId="5187756B" w14:textId="7D327729" w:rsidR="006F4455" w:rsidRDefault="006F4455" w:rsidP="006F4455">
      <w:pPr>
        <w:pStyle w:val="Heading1"/>
        <w:rPr>
          <w:lang w:val="en-US"/>
        </w:rPr>
      </w:pPr>
      <w:bookmarkStart w:id="29" w:name="_Toc187841553"/>
      <w:bookmarkEnd w:id="23"/>
      <w:r>
        <w:rPr>
          <w:lang w:val="en-US"/>
        </w:rPr>
        <w:t>E</w:t>
      </w:r>
      <w:r w:rsidR="0086544E">
        <w:rPr>
          <w:lang w:val="en-US"/>
        </w:rPr>
        <w:t>mployment</w:t>
      </w:r>
      <w:r>
        <w:rPr>
          <w:lang w:val="en-US"/>
        </w:rPr>
        <w:t xml:space="preserve"> (A</w:t>
      </w:r>
      <w:r w:rsidR="0086544E">
        <w:rPr>
          <w:lang w:val="en-US"/>
        </w:rPr>
        <w:t>rticles</w:t>
      </w:r>
      <w:r>
        <w:rPr>
          <w:lang w:val="en-US"/>
        </w:rPr>
        <w:t xml:space="preserve"> 27, 28)</w:t>
      </w:r>
      <w:bookmarkEnd w:id="13"/>
      <w:bookmarkEnd w:id="14"/>
      <w:bookmarkEnd w:id="29"/>
    </w:p>
    <w:p w14:paraId="54B07731" w14:textId="77777777" w:rsidR="006F4455" w:rsidRDefault="006F4455" w:rsidP="006F4455">
      <w:pPr>
        <w:spacing w:line="240" w:lineRule="auto"/>
        <w:rPr>
          <w:lang w:val="en-US"/>
        </w:rPr>
      </w:pPr>
      <w:r w:rsidRPr="00A11C85">
        <w:t>In Canada, people with disabilities continue to face barriers</w:t>
      </w:r>
      <w:r>
        <w:t xml:space="preserve">, </w:t>
      </w:r>
      <w:r w:rsidRPr="00A11C85">
        <w:t>stigma</w:t>
      </w:r>
      <w:r>
        <w:t xml:space="preserve"> and ableist attitudes</w:t>
      </w:r>
      <w:r w:rsidRPr="00A11C85">
        <w:t xml:space="preserve"> in seeking work, in being fully included in the workplace, in accessing necessary accommodations, and in advancing their careers. </w:t>
      </w:r>
    </w:p>
    <w:p w14:paraId="10D96D2B" w14:textId="77777777" w:rsidR="006F4455" w:rsidRDefault="006F4455" w:rsidP="006F4455">
      <w:pPr>
        <w:spacing w:line="240" w:lineRule="auto"/>
      </w:pPr>
      <w:r w:rsidRPr="008F4E31">
        <w:rPr>
          <w:lang w:val="en-US"/>
        </w:rPr>
        <w:t>Despite many people with disabilities being willing and able to work, they continue to face high unemployment rates and limited access to inclusive workplaces.</w:t>
      </w:r>
      <w:r>
        <w:rPr>
          <w:lang w:val="en-US"/>
        </w:rPr>
        <w:t xml:space="preserve"> </w:t>
      </w:r>
      <w:r>
        <w:t xml:space="preserve">In 2022, the </w:t>
      </w:r>
      <w:r>
        <w:lastRenderedPageBreak/>
        <w:t xml:space="preserve">unemployment rate for people with disabilities was 6.9%, nearly twice the rate as for those without disabilities (3.8%). One in five people with a disability who were employed (20.3%) worked part-time in 2022, compared with 16.2% among those without disabilities. Hourly wages for employees with disabilities were 5.5% less than for those without disabilities, with the disparity increasing as the severity of the disability increased. </w:t>
      </w:r>
      <w:r>
        <w:rPr>
          <w:rStyle w:val="FootnoteReference"/>
        </w:rPr>
        <w:footnoteReference w:id="29"/>
      </w:r>
    </w:p>
    <w:p w14:paraId="003DC059" w14:textId="77777777" w:rsidR="006F4455" w:rsidRDefault="006F4455" w:rsidP="006F4455">
      <w:pPr>
        <w:pStyle w:val="Heading2"/>
        <w:ind w:left="567" w:hanging="567"/>
      </w:pPr>
      <w:bookmarkStart w:id="30" w:name="_Toc183602909"/>
      <w:bookmarkStart w:id="31" w:name="_Toc183603000"/>
      <w:bookmarkStart w:id="32" w:name="_Toc187841554"/>
      <w:r>
        <w:t xml:space="preserve">Pay equity </w:t>
      </w:r>
      <w:bookmarkEnd w:id="30"/>
      <w:bookmarkEnd w:id="31"/>
      <w:bookmarkEnd w:id="32"/>
    </w:p>
    <w:p w14:paraId="5C08D2DF" w14:textId="77777777" w:rsidR="006F4455" w:rsidRPr="00E17355" w:rsidRDefault="006F4455" w:rsidP="006F4455">
      <w:pPr>
        <w:spacing w:line="240" w:lineRule="auto"/>
        <w:rPr>
          <w:rFonts w:cs="Arial"/>
        </w:rPr>
      </w:pPr>
      <w:r w:rsidRPr="00E17355">
        <w:rPr>
          <w:rFonts w:cs="Arial"/>
        </w:rPr>
        <w:t>Pay equity is an important factor in reducing the portion of the gender wage gap that is attributable to the historic undervaluation of women’s work and in advancing the rights of pe</w:t>
      </w:r>
      <w:r>
        <w:rPr>
          <w:rFonts w:cs="Arial"/>
        </w:rPr>
        <w:t xml:space="preserve">ople </w:t>
      </w:r>
      <w:r w:rsidRPr="00E17355">
        <w:rPr>
          <w:rFonts w:cs="Arial"/>
        </w:rPr>
        <w:t xml:space="preserve">with disabilities to work on an equal basis with others. </w:t>
      </w:r>
    </w:p>
    <w:p w14:paraId="598EAC39" w14:textId="77777777" w:rsidR="006F4455" w:rsidRPr="00E17355" w:rsidRDefault="006F4455" w:rsidP="006F4455">
      <w:pPr>
        <w:spacing w:line="240" w:lineRule="auto"/>
      </w:pPr>
      <w:r w:rsidRPr="00E17355">
        <w:rPr>
          <w:rFonts w:cs="Arial"/>
        </w:rPr>
        <w:t>Despite progress, the gender wage gap remains a persistent problem in Canada. In 2023, for every $1.00 a man earned, a women earned 87 cents.</w:t>
      </w:r>
      <w:r w:rsidRPr="00E17355">
        <w:rPr>
          <w:rStyle w:val="FootnoteReference"/>
          <w:rFonts w:cs="Arial"/>
        </w:rPr>
        <w:footnoteReference w:id="30"/>
      </w:r>
      <w:r w:rsidRPr="00E17355">
        <w:rPr>
          <w:rFonts w:cs="Arial"/>
        </w:rPr>
        <w:t xml:space="preserve"> The gender wage gap is even more pronounced for women with </w:t>
      </w:r>
      <w:r w:rsidRPr="00E17355">
        <w:t>disabilities, due to intersecting gender and disability-based discrimination. Recent data reveals that women with disabilities earn approximately 20% less than men with disabilities and approximately 14% less than women without disabilities.</w:t>
      </w:r>
      <w:r w:rsidRPr="00E17355">
        <w:rPr>
          <w:rStyle w:val="FootnoteReference"/>
        </w:rPr>
        <w:footnoteReference w:id="31"/>
      </w:r>
      <w:r w:rsidRPr="00E17355">
        <w:t xml:space="preserve"> </w:t>
      </w:r>
      <w:r w:rsidRPr="00E17355">
        <w:rPr>
          <w:rFonts w:cs="Arial"/>
        </w:rPr>
        <w:t xml:space="preserve">Other identity factors, such as age, race or Indigenous status, also have the effect of exacerbating the wage gap between </w:t>
      </w:r>
      <w:r w:rsidRPr="00E17355">
        <w:t>pe</w:t>
      </w:r>
      <w:r>
        <w:t>ople</w:t>
      </w:r>
      <w:r w:rsidRPr="00E17355">
        <w:t xml:space="preserve"> with and without disabilities. </w:t>
      </w:r>
    </w:p>
    <w:p w14:paraId="5171EE8F" w14:textId="77777777" w:rsidR="006F4455" w:rsidRPr="00E17355" w:rsidRDefault="006F4455" w:rsidP="006F4455">
      <w:pPr>
        <w:spacing w:line="240" w:lineRule="auto"/>
        <w:rPr>
          <w:rFonts w:cs="Arial"/>
        </w:rPr>
      </w:pPr>
      <w:r w:rsidRPr="00E17355">
        <w:rPr>
          <w:rFonts w:cs="Arial"/>
        </w:rPr>
        <w:t>Women with disabilities are overrepresented in low-wage, part-time, or precarious employment.</w:t>
      </w:r>
      <w:r w:rsidRPr="00E17355">
        <w:rPr>
          <w:rStyle w:val="FootnoteReference"/>
          <w:rFonts w:cs="Arial"/>
        </w:rPr>
        <w:footnoteReference w:id="32"/>
      </w:r>
      <w:r w:rsidRPr="00E17355">
        <w:rPr>
          <w:rFonts w:cs="Arial"/>
        </w:rPr>
        <w:t xml:space="preserve"> These roles often lack access to comprehensive workplace protections, training, and career advancement opportunities. </w:t>
      </w:r>
      <w:r>
        <w:rPr>
          <w:rFonts w:cs="Arial"/>
        </w:rPr>
        <w:t>In addition</w:t>
      </w:r>
      <w:r w:rsidRPr="00E17355">
        <w:rPr>
          <w:rFonts w:cs="Arial"/>
        </w:rPr>
        <w:t xml:space="preserve">, limited access to adaptive technologies and workplace accommodations can prevent women with disabilities from pursuing careers in higher-paying sectors, pushing many of them into undervalued and lower-paid positions. </w:t>
      </w:r>
    </w:p>
    <w:p w14:paraId="1AD9B45A" w14:textId="77777777" w:rsidR="006F4455" w:rsidRPr="00E17355" w:rsidRDefault="006F4455" w:rsidP="006F4455">
      <w:pPr>
        <w:spacing w:line="240" w:lineRule="auto"/>
        <w:rPr>
          <w:rFonts w:cs="Arial"/>
        </w:rPr>
      </w:pPr>
      <w:r>
        <w:rPr>
          <w:rFonts w:cs="Arial"/>
        </w:rPr>
        <w:lastRenderedPageBreak/>
        <w:t>S</w:t>
      </w:r>
      <w:r w:rsidRPr="00E17355">
        <w:rPr>
          <w:rFonts w:cs="Arial"/>
        </w:rPr>
        <w:t>tereotypes and biases about both gender and disability can</w:t>
      </w:r>
      <w:r>
        <w:rPr>
          <w:rFonts w:cs="Arial"/>
        </w:rPr>
        <w:t xml:space="preserve"> also</w:t>
      </w:r>
      <w:r w:rsidRPr="00E17355">
        <w:rPr>
          <w:rFonts w:cs="Arial"/>
        </w:rPr>
        <w:t xml:space="preserve"> result in the undervaluation of work typically performed by women with disabilities, even when their roles demand skills and responsibilities comparable to higher-paid positions.</w:t>
      </w:r>
      <w:r w:rsidRPr="00E17355">
        <w:rPr>
          <w:rStyle w:val="FootnoteReference"/>
          <w:rFonts w:cs="Arial"/>
        </w:rPr>
        <w:footnoteReference w:id="33"/>
      </w:r>
    </w:p>
    <w:p w14:paraId="2CE8905A" w14:textId="77777777" w:rsidR="006F4455" w:rsidRPr="00E17355" w:rsidRDefault="006F4455" w:rsidP="006F4455">
      <w:pPr>
        <w:spacing w:line="240" w:lineRule="auto"/>
        <w:rPr>
          <w:rFonts w:cs="Arial"/>
        </w:rPr>
      </w:pPr>
      <w:r>
        <w:rPr>
          <w:rFonts w:cs="Arial"/>
        </w:rPr>
        <w:t>While Canada has made some progress through the enactment of the Pay Equity Act,</w:t>
      </w:r>
      <w:r w:rsidRPr="00E17355">
        <w:rPr>
          <w:rFonts w:cs="Arial"/>
        </w:rPr>
        <w:t xml:space="preserve"> the current approach to pay equity is not able to: </w:t>
      </w:r>
    </w:p>
    <w:p w14:paraId="70F69440" w14:textId="77777777" w:rsidR="006F4455" w:rsidRPr="00E17355" w:rsidRDefault="006F4455" w:rsidP="006F4455">
      <w:pPr>
        <w:pStyle w:val="ListParagraph"/>
        <w:numPr>
          <w:ilvl w:val="1"/>
          <w:numId w:val="6"/>
        </w:numPr>
        <w:spacing w:before="240" w:line="240" w:lineRule="auto"/>
        <w:rPr>
          <w:rFonts w:cs="Arial"/>
          <w:lang w:val="en-US"/>
        </w:rPr>
      </w:pPr>
      <w:r w:rsidRPr="00E17355">
        <w:rPr>
          <w:rFonts w:cs="Arial"/>
        </w:rPr>
        <w:t xml:space="preserve">Provide comprehensive data on </w:t>
      </w:r>
      <w:r>
        <w:rPr>
          <w:rFonts w:cs="Arial"/>
        </w:rPr>
        <w:t xml:space="preserve">the </w:t>
      </w:r>
      <w:r w:rsidRPr="00E17355">
        <w:rPr>
          <w:rFonts w:cs="Arial"/>
        </w:rPr>
        <w:t xml:space="preserve">impact </w:t>
      </w:r>
      <w:r>
        <w:rPr>
          <w:rFonts w:cs="Arial"/>
        </w:rPr>
        <w:t xml:space="preserve">of pay equity legislation </w:t>
      </w:r>
      <w:r w:rsidRPr="00E17355">
        <w:rPr>
          <w:rFonts w:cs="Arial"/>
        </w:rPr>
        <w:t>on diverse groups, like women with disabilities, or insights into the intersectional complexities</w:t>
      </w:r>
      <w:r w:rsidRPr="00E17355">
        <w:rPr>
          <w:rStyle w:val="FootnoteReference"/>
          <w:rFonts w:cs="Arial"/>
          <w:lang w:val="en-US"/>
        </w:rPr>
        <w:footnoteReference w:id="34"/>
      </w:r>
      <w:r w:rsidRPr="00E17355">
        <w:rPr>
          <w:rFonts w:cs="Arial"/>
        </w:rPr>
        <w:t xml:space="preserve"> of the wage gap.</w:t>
      </w:r>
    </w:p>
    <w:p w14:paraId="3EA246FF" w14:textId="77777777" w:rsidR="006F4455" w:rsidRPr="00E17355" w:rsidRDefault="006F4455" w:rsidP="006F4455">
      <w:pPr>
        <w:pStyle w:val="ListParagraph"/>
        <w:numPr>
          <w:ilvl w:val="1"/>
          <w:numId w:val="6"/>
        </w:numPr>
        <w:spacing w:before="240" w:line="240" w:lineRule="auto"/>
        <w:rPr>
          <w:rFonts w:cs="Arial"/>
          <w:lang w:val="en-US"/>
        </w:rPr>
      </w:pPr>
      <w:r w:rsidRPr="00E17355">
        <w:rPr>
          <w:rFonts w:cs="Arial"/>
        </w:rPr>
        <w:t>Reflect variations in policies and legislation</w:t>
      </w:r>
      <w:r w:rsidRPr="00E17355">
        <w:rPr>
          <w:rStyle w:val="FootnoteReference"/>
          <w:rFonts w:cs="Arial"/>
          <w:lang w:val="en-US"/>
        </w:rPr>
        <w:footnoteReference w:id="35"/>
      </w:r>
      <w:r w:rsidRPr="00E17355">
        <w:rPr>
          <w:rFonts w:cs="Arial"/>
        </w:rPr>
        <w:t xml:space="preserve"> across jurisdictions, where pay equity only applies to the private sector workforce at the federal level and in the provinces of Ontario and Quebec. </w:t>
      </w:r>
    </w:p>
    <w:p w14:paraId="728A8644" w14:textId="2D424BBE" w:rsidR="006F4455" w:rsidRDefault="006F4455" w:rsidP="006F4455">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pPr>
      <w:r w:rsidRPr="000A680E">
        <w:rPr>
          <w:b/>
          <w:bCs/>
        </w:rPr>
        <w:t>Recommendation #</w:t>
      </w:r>
      <w:r w:rsidR="00F30961">
        <w:rPr>
          <w:b/>
          <w:bCs/>
        </w:rPr>
        <w:t>9</w:t>
      </w:r>
      <w:r w:rsidRPr="000A680E">
        <w:rPr>
          <w:b/>
          <w:bCs/>
        </w:rPr>
        <w:t>:</w:t>
      </w:r>
      <w:r w:rsidRPr="00E17355">
        <w:t xml:space="preserve"> That Canada continue its ongoing efforts with Statistics Canada in collecting and publishing more data on pay disparities disaggregated by gender, disability, race and other intersecting factors. </w:t>
      </w:r>
      <w:r>
        <w:t xml:space="preserve">For example, that the federal government carry out the additional research necessary to broaden the understanding of the reasons for systemic patterns of wage discrimination against racialized people, Indigenous people and people with disabilities, with a view to expanding the federal Pay Equity Act beyond sex and gender. </w:t>
      </w:r>
    </w:p>
    <w:p w14:paraId="474DD28B" w14:textId="7FFAE148" w:rsidR="006F4455" w:rsidRPr="000A680E" w:rsidRDefault="006F4455" w:rsidP="006F4455">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pPr>
      <w:r w:rsidRPr="000A680E">
        <w:rPr>
          <w:b/>
          <w:bCs/>
        </w:rPr>
        <w:t>Recommendation #</w:t>
      </w:r>
      <w:r w:rsidR="00F30961">
        <w:rPr>
          <w:b/>
          <w:bCs/>
        </w:rPr>
        <w:t>10</w:t>
      </w:r>
      <w:r w:rsidRPr="000A680E">
        <w:rPr>
          <w:b/>
          <w:bCs/>
        </w:rPr>
        <w:t>:</w:t>
      </w:r>
      <w:r>
        <w:t xml:space="preserve"> That Canada i</w:t>
      </w:r>
      <w:r w:rsidRPr="00F1580C">
        <w:t>mprove national data collection on the gender wage gap to permit the analysis of the differences between federally, provincially and territorially regulated workplaces.</w:t>
      </w:r>
    </w:p>
    <w:p w14:paraId="0F92F172" w14:textId="77777777" w:rsidR="006F4455" w:rsidRDefault="006F4455" w:rsidP="006F4455">
      <w:pPr>
        <w:pStyle w:val="Heading2"/>
        <w:ind w:left="567" w:hanging="567"/>
      </w:pPr>
      <w:bookmarkStart w:id="33" w:name="_Toc183602910"/>
      <w:bookmarkStart w:id="34" w:name="_Toc183603001"/>
      <w:bookmarkStart w:id="35" w:name="_Toc187841555"/>
      <w:r>
        <w:t>Employment equity</w:t>
      </w:r>
      <w:bookmarkEnd w:id="33"/>
      <w:bookmarkEnd w:id="34"/>
      <w:bookmarkEnd w:id="35"/>
      <w:r>
        <w:t xml:space="preserve">  </w:t>
      </w:r>
    </w:p>
    <w:p w14:paraId="134558D1" w14:textId="77777777" w:rsidR="006F4455" w:rsidRDefault="006F4455" w:rsidP="006F4455">
      <w:pPr>
        <w:spacing w:line="240" w:lineRule="auto"/>
      </w:pPr>
      <w:r>
        <w:lastRenderedPageBreak/>
        <w:t xml:space="preserve">The CHRC has observed </w:t>
      </w:r>
      <w:r w:rsidRPr="00CA620E">
        <w:t>very little progress in the representation of pe</w:t>
      </w:r>
      <w:r>
        <w:t>ople</w:t>
      </w:r>
      <w:r w:rsidRPr="00CA620E">
        <w:t xml:space="preserve"> with disabilities</w:t>
      </w:r>
      <w:r>
        <w:t xml:space="preserve"> in the federally-regulated workforce. In a recent audit</w:t>
      </w:r>
      <w:r>
        <w:rPr>
          <w:rStyle w:val="FootnoteReference"/>
        </w:rPr>
        <w:footnoteReference w:id="36"/>
      </w:r>
      <w:r>
        <w:t xml:space="preserve"> examining representation of people with disabilities in the communications sector – a large proportion of the federally-regulated workforce – r</w:t>
      </w:r>
      <w:r w:rsidRPr="00292721">
        <w:t>epresentation of people with disabilities (3.7%) remains much lower than their availability rates of 9.1%.</w:t>
      </w:r>
      <w:r>
        <w:t xml:space="preserve"> O</w:t>
      </w:r>
      <w:r w:rsidRPr="00A32CB0">
        <w:t xml:space="preserve">nly half of the employers who participated </w:t>
      </w:r>
      <w:r>
        <w:t xml:space="preserve">in the survey </w:t>
      </w:r>
      <w:r w:rsidRPr="00A32CB0">
        <w:t>reported that their workplaces were accessible and barrier-free</w:t>
      </w:r>
      <w:r>
        <w:t>, and d</w:t>
      </w:r>
      <w:r w:rsidRPr="00A32CB0">
        <w:t>espite</w:t>
      </w:r>
      <w:r>
        <w:t xml:space="preserve"> some</w:t>
      </w:r>
      <w:r w:rsidRPr="00A32CB0">
        <w:t xml:space="preserve"> promising </w:t>
      </w:r>
      <w:r>
        <w:t xml:space="preserve">employment equity </w:t>
      </w:r>
      <w:r w:rsidRPr="00A32CB0">
        <w:t xml:space="preserve">initiatives, </w:t>
      </w:r>
      <w:r>
        <w:t>many of these organizations</w:t>
      </w:r>
      <w:r w:rsidRPr="00A32CB0">
        <w:t xml:space="preserve"> lack</w:t>
      </w:r>
      <w:r>
        <w:t>ed</w:t>
      </w:r>
      <w:r w:rsidRPr="00A32CB0">
        <w:t xml:space="preserve"> an accountability framework to monitor the implementation and success of </w:t>
      </w:r>
      <w:r>
        <w:t>their employment equity plan.</w:t>
      </w:r>
    </w:p>
    <w:p w14:paraId="666CF874" w14:textId="77777777" w:rsidR="006F4455" w:rsidRDefault="006F4455" w:rsidP="006F4455">
      <w:pPr>
        <w:pStyle w:val="Heading3"/>
      </w:pPr>
      <w:bookmarkStart w:id="36" w:name="_Toc183602911"/>
      <w:bookmarkStart w:id="37" w:name="_Toc183603002"/>
      <w:r>
        <w:t>Review of Employment Equity Act (EEA)</w:t>
      </w:r>
      <w:bookmarkEnd w:id="36"/>
      <w:bookmarkEnd w:id="37"/>
    </w:p>
    <w:p w14:paraId="7D84729F" w14:textId="77777777" w:rsidR="006F4455" w:rsidRDefault="006F4455" w:rsidP="006F4455">
      <w:pPr>
        <w:spacing w:line="240" w:lineRule="auto"/>
      </w:pPr>
      <w:r>
        <w:t xml:space="preserve">Canada’s federal employment equity legislation is currently under review, providing an opportunity for Canada to enshrine commitments to improving outcomes for people with disabilities in federally-regulated employment sectors. </w:t>
      </w:r>
    </w:p>
    <w:p w14:paraId="5D2E40F6" w14:textId="77777777" w:rsidR="006F4455" w:rsidRDefault="006F4455" w:rsidP="006F4455">
      <w:pPr>
        <w:spacing w:line="240" w:lineRule="auto"/>
      </w:pPr>
      <w:r>
        <w:t xml:space="preserve">While Canada’s commitment to </w:t>
      </w:r>
      <w:r w:rsidRPr="00C240A3">
        <w:t xml:space="preserve">aligning the </w:t>
      </w:r>
      <w:r>
        <w:t xml:space="preserve">EEA’s </w:t>
      </w:r>
      <w:r w:rsidRPr="00C240A3">
        <w:t>definition of "persons with disabilities" with th</w:t>
      </w:r>
      <w:r>
        <w:t>e definition found in the</w:t>
      </w:r>
      <w:r w:rsidRPr="00C240A3">
        <w:t xml:space="preserve"> Accessible Canada Act</w:t>
      </w:r>
      <w:r>
        <w:rPr>
          <w:rStyle w:val="FootnoteReference"/>
        </w:rPr>
        <w:footnoteReference w:id="37"/>
      </w:r>
      <w:r>
        <w:t xml:space="preserve"> is a promising development, the CHRC recognizes that in order to obtain </w:t>
      </w:r>
      <w:r w:rsidRPr="000E0D3F">
        <w:t xml:space="preserve">a holistic understanding of </w:t>
      </w:r>
      <w:r>
        <w:t xml:space="preserve">how people with disabilities experience the federal employment landscape, new and creative approaches are required. The CHRC has recommended that an amended EEA must </w:t>
      </w:r>
      <w:r w:rsidRPr="000128EA">
        <w:t xml:space="preserve">include qualitative data collection requirements </w:t>
      </w:r>
      <w:r>
        <w:t xml:space="preserve">and </w:t>
      </w:r>
      <w:r w:rsidRPr="00A6096E">
        <w:t xml:space="preserve">should disaggregate </w:t>
      </w:r>
      <w:r w:rsidRPr="00753B6D">
        <w:t xml:space="preserve">the group currently designated as “persons with disabilities” in the EEA </w:t>
      </w:r>
      <w:r w:rsidRPr="00A6096E">
        <w:t>to better reflect the</w:t>
      </w:r>
      <w:r>
        <w:t>ir</w:t>
      </w:r>
      <w:r w:rsidRPr="00A6096E">
        <w:t xml:space="preserve"> diverse experiences</w:t>
      </w:r>
      <w:r>
        <w:t>, and so that employers, regulators and the public can better understand how historical, current and emerging barriers to employment affect people with disabilities</w:t>
      </w:r>
      <w:r w:rsidRPr="000128EA">
        <w:t>.</w:t>
      </w:r>
    </w:p>
    <w:p w14:paraId="527EF94E" w14:textId="20153700" w:rsidR="006F4455" w:rsidRPr="00CF649B" w:rsidRDefault="006F4455" w:rsidP="006F4455">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Pr>
          <w:rFonts w:cs="Arial"/>
          <w:b/>
          <w:bCs/>
          <w:szCs w:val="24"/>
          <w:lang w:val="en-US"/>
        </w:rPr>
        <w:t>Recommendation #</w:t>
      </w:r>
      <w:r w:rsidR="00F30961">
        <w:rPr>
          <w:rFonts w:cs="Arial"/>
          <w:b/>
          <w:bCs/>
          <w:szCs w:val="24"/>
          <w:lang w:val="en-US"/>
        </w:rPr>
        <w:t>11</w:t>
      </w:r>
      <w:r>
        <w:rPr>
          <w:rFonts w:cs="Arial"/>
          <w:b/>
          <w:bCs/>
          <w:szCs w:val="24"/>
          <w:lang w:val="en-US"/>
        </w:rPr>
        <w:t>:</w:t>
      </w:r>
      <w:r>
        <w:rPr>
          <w:rFonts w:cs="Arial"/>
          <w:szCs w:val="24"/>
          <w:lang w:val="en-US"/>
        </w:rPr>
        <w:t xml:space="preserve"> That Canada ensure an amended Employment Equity Act include </w:t>
      </w:r>
      <w:r w:rsidRPr="000128EA">
        <w:t>qualitative data collection requirements</w:t>
      </w:r>
      <w:r>
        <w:t xml:space="preserve"> and disaggregate the group currently designated as “persons with disabilities” to facilitate a better understanding of how historical, current and emerging </w:t>
      </w:r>
      <w:r>
        <w:rPr>
          <w:rFonts w:cs="Arial"/>
          <w:szCs w:val="24"/>
          <w:lang w:val="en-US"/>
        </w:rPr>
        <w:t>barriers to employment affect people with disabilities.</w:t>
      </w:r>
      <w:r w:rsidRPr="00D811D5">
        <w:t xml:space="preserve"> </w:t>
      </w:r>
    </w:p>
    <w:p w14:paraId="6C2EFA4D" w14:textId="77777777" w:rsidR="006F4455" w:rsidRPr="00ED04D0" w:rsidRDefault="006F4455" w:rsidP="006F4455">
      <w:pPr>
        <w:pStyle w:val="Heading2"/>
        <w:ind w:left="567" w:hanging="567"/>
      </w:pPr>
      <w:bookmarkStart w:id="38" w:name="_Toc183602912"/>
      <w:bookmarkStart w:id="39" w:name="_Toc183603003"/>
      <w:bookmarkStart w:id="40" w:name="_Toc187841556"/>
      <w:r>
        <w:t>Sheltered workshops</w:t>
      </w:r>
      <w:bookmarkEnd w:id="38"/>
      <w:bookmarkEnd w:id="39"/>
      <w:bookmarkEnd w:id="40"/>
      <w:r>
        <w:t xml:space="preserve"> </w:t>
      </w:r>
    </w:p>
    <w:p w14:paraId="61455B6D" w14:textId="77777777" w:rsidR="006F4455" w:rsidRPr="003614EE" w:rsidRDefault="006F4455" w:rsidP="006F4455">
      <w:pPr>
        <w:spacing w:line="240" w:lineRule="auto"/>
        <w:rPr>
          <w:rFonts w:cs="Arial"/>
          <w:szCs w:val="24"/>
        </w:rPr>
      </w:pPr>
      <w:r w:rsidRPr="003614EE">
        <w:rPr>
          <w:rFonts w:cs="Arial"/>
          <w:szCs w:val="24"/>
        </w:rPr>
        <w:t xml:space="preserve">Canada has engaged in the </w:t>
      </w:r>
      <w:r>
        <w:rPr>
          <w:rFonts w:cs="Arial"/>
          <w:szCs w:val="24"/>
        </w:rPr>
        <w:t xml:space="preserve">labour </w:t>
      </w:r>
      <w:r w:rsidRPr="003614EE">
        <w:rPr>
          <w:rFonts w:cs="Arial"/>
          <w:szCs w:val="24"/>
        </w:rPr>
        <w:t>exploitation of people with disabilities through “sheltered workshops”.</w:t>
      </w:r>
      <w:r w:rsidRPr="003614EE">
        <w:rPr>
          <w:rStyle w:val="FootnoteReference"/>
          <w:rFonts w:cs="Arial"/>
          <w:szCs w:val="24"/>
        </w:rPr>
        <w:footnoteReference w:id="38"/>
      </w:r>
      <w:r w:rsidRPr="003614EE">
        <w:rPr>
          <w:rFonts w:cs="Arial"/>
          <w:szCs w:val="24"/>
        </w:rPr>
        <w:t xml:space="preserve"> While sheltered workshops are intended to teach individuals </w:t>
      </w:r>
      <w:r w:rsidRPr="003614EE">
        <w:rPr>
          <w:rFonts w:cs="Arial"/>
          <w:szCs w:val="24"/>
        </w:rPr>
        <w:lastRenderedPageBreak/>
        <w:t xml:space="preserve">marketable skills and improve their employability, </w:t>
      </w:r>
      <w:r>
        <w:rPr>
          <w:rFonts w:cs="Arial"/>
          <w:szCs w:val="24"/>
        </w:rPr>
        <w:t>there are</w:t>
      </w:r>
      <w:r w:rsidRPr="003614EE">
        <w:rPr>
          <w:rFonts w:cs="Arial"/>
          <w:szCs w:val="24"/>
        </w:rPr>
        <w:t xml:space="preserve"> very low transition rates into the competitive job market.</w:t>
      </w:r>
      <w:r w:rsidRPr="00074215">
        <w:rPr>
          <w:rStyle w:val="FootnoteReference"/>
          <w:rFonts w:cs="Arial"/>
          <w:szCs w:val="24"/>
        </w:rPr>
        <w:t xml:space="preserve"> </w:t>
      </w:r>
      <w:r w:rsidRPr="003614EE">
        <w:rPr>
          <w:rStyle w:val="FootnoteReference"/>
          <w:rFonts w:cs="Arial"/>
          <w:szCs w:val="24"/>
        </w:rPr>
        <w:footnoteReference w:id="39"/>
      </w:r>
      <w:r w:rsidRPr="003614EE">
        <w:rPr>
          <w:rFonts w:cs="Arial"/>
          <w:szCs w:val="24"/>
        </w:rPr>
        <w:t xml:space="preserve"> </w:t>
      </w:r>
      <w:r>
        <w:rPr>
          <w:rFonts w:cs="Arial"/>
          <w:szCs w:val="24"/>
        </w:rPr>
        <w:t>The CHRC notes that while sheltered</w:t>
      </w:r>
      <w:r w:rsidRPr="003614EE">
        <w:rPr>
          <w:rFonts w:cs="Arial"/>
          <w:szCs w:val="24"/>
        </w:rPr>
        <w:t xml:space="preserve"> workshops have been closing across Canada</w:t>
      </w:r>
      <w:r>
        <w:rPr>
          <w:rFonts w:cs="Arial"/>
          <w:szCs w:val="24"/>
        </w:rPr>
        <w:t>, t</w:t>
      </w:r>
      <w:r w:rsidRPr="003614EE">
        <w:rPr>
          <w:rFonts w:cs="Arial"/>
          <w:szCs w:val="24"/>
        </w:rPr>
        <w:t xml:space="preserve">hey still remain in operation in some parts of the country. There is little data available on exactly how many people with disabilities are working in sheltered workshops today. </w:t>
      </w:r>
    </w:p>
    <w:p w14:paraId="3CD13D63" w14:textId="77777777" w:rsidR="006F4455" w:rsidRDefault="006F4455" w:rsidP="006F4455">
      <w:pPr>
        <w:spacing w:line="240" w:lineRule="auto"/>
        <w:rPr>
          <w:rFonts w:cs="Arial"/>
          <w:szCs w:val="24"/>
        </w:rPr>
      </w:pPr>
      <w:r>
        <w:rPr>
          <w:rFonts w:cs="Arial"/>
          <w:szCs w:val="24"/>
        </w:rPr>
        <w:t>The CHRC is concerned that s</w:t>
      </w:r>
      <w:r w:rsidRPr="003614EE">
        <w:rPr>
          <w:rFonts w:cs="Arial"/>
          <w:szCs w:val="24"/>
        </w:rPr>
        <w:t>ome employers continue to use “sheltered work” practices, which engage people with disabilities without giving them access to benefits required under employment standards law such as minimum wage</w:t>
      </w:r>
      <w:r w:rsidRPr="003614EE">
        <w:rPr>
          <w:rStyle w:val="FootnoteReference"/>
          <w:rFonts w:cs="Arial"/>
          <w:szCs w:val="24"/>
        </w:rPr>
        <w:footnoteReference w:id="40"/>
      </w:r>
      <w:r w:rsidRPr="003614EE">
        <w:rPr>
          <w:rFonts w:cs="Arial"/>
          <w:szCs w:val="24"/>
        </w:rPr>
        <w:t xml:space="preserve"> or vacation pay.</w:t>
      </w:r>
      <w:r w:rsidRPr="003614EE">
        <w:rPr>
          <w:rStyle w:val="FootnoteReference"/>
          <w:rFonts w:cs="Arial"/>
          <w:szCs w:val="24"/>
        </w:rPr>
        <w:footnoteReference w:id="41"/>
      </w:r>
      <w:r>
        <w:rPr>
          <w:rFonts w:cs="Arial"/>
          <w:szCs w:val="24"/>
        </w:rPr>
        <w:t xml:space="preserve"> </w:t>
      </w:r>
      <w:r w:rsidRPr="003614EE">
        <w:rPr>
          <w:rFonts w:cs="Arial"/>
          <w:szCs w:val="24"/>
        </w:rPr>
        <w:t>Sheltered work perpetuates the impoverishment and isolation of people with disabilities</w:t>
      </w:r>
      <w:r>
        <w:rPr>
          <w:rFonts w:cs="Arial"/>
          <w:szCs w:val="24"/>
        </w:rPr>
        <w:t xml:space="preserve">, </w:t>
      </w:r>
      <w:r w:rsidRPr="003614EE">
        <w:rPr>
          <w:rFonts w:cs="Arial"/>
          <w:szCs w:val="24"/>
        </w:rPr>
        <w:t>contributes to the</w:t>
      </w:r>
      <w:r>
        <w:rPr>
          <w:rFonts w:cs="Arial"/>
          <w:szCs w:val="24"/>
        </w:rPr>
        <w:t>ir</w:t>
      </w:r>
      <w:r w:rsidRPr="003614EE">
        <w:rPr>
          <w:rFonts w:cs="Arial"/>
          <w:szCs w:val="24"/>
        </w:rPr>
        <w:t xml:space="preserve"> segregation</w:t>
      </w:r>
      <w:r>
        <w:rPr>
          <w:rFonts w:cs="Arial"/>
          <w:szCs w:val="24"/>
        </w:rPr>
        <w:t>,</w:t>
      </w:r>
      <w:r w:rsidRPr="003614EE">
        <w:rPr>
          <w:rFonts w:cs="Arial"/>
          <w:szCs w:val="24"/>
        </w:rPr>
        <w:t xml:space="preserve"> and perpetuates stigmas about the</w:t>
      </w:r>
      <w:r>
        <w:rPr>
          <w:rFonts w:cs="Arial"/>
          <w:szCs w:val="24"/>
        </w:rPr>
        <w:t>ir</w:t>
      </w:r>
      <w:r w:rsidRPr="003614EE">
        <w:rPr>
          <w:rFonts w:cs="Arial"/>
          <w:szCs w:val="24"/>
        </w:rPr>
        <w:t xml:space="preserve"> ability to participate in the mainstream labour market. These factors increase vulnerability to neglect, abuse, exploitation and mistreatment. </w:t>
      </w:r>
    </w:p>
    <w:p w14:paraId="422CE22C" w14:textId="1F244443" w:rsidR="006F4455" w:rsidRPr="00ED04D0" w:rsidRDefault="006F4455" w:rsidP="006F4455">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Pr>
          <w:rFonts w:cs="Arial"/>
          <w:b/>
          <w:bCs/>
          <w:szCs w:val="24"/>
          <w:lang w:val="en-US"/>
        </w:rPr>
        <w:t>Recommendation #</w:t>
      </w:r>
      <w:r w:rsidR="00F30961">
        <w:rPr>
          <w:rFonts w:cs="Arial"/>
          <w:b/>
          <w:bCs/>
          <w:szCs w:val="24"/>
          <w:lang w:val="en-US"/>
        </w:rPr>
        <w:t>12</w:t>
      </w:r>
      <w:r>
        <w:rPr>
          <w:rFonts w:cs="Arial"/>
          <w:b/>
          <w:bCs/>
          <w:szCs w:val="24"/>
          <w:lang w:val="en-US"/>
        </w:rPr>
        <w:t xml:space="preserve">: </w:t>
      </w:r>
      <w:r w:rsidRPr="0025644A">
        <w:rPr>
          <w:rFonts w:cs="Arial"/>
          <w:szCs w:val="24"/>
          <w:lang w:val="en-US"/>
        </w:rPr>
        <w:t>That Canada</w:t>
      </w:r>
      <w:r>
        <w:rPr>
          <w:rFonts w:cs="Arial"/>
          <w:b/>
          <w:bCs/>
          <w:szCs w:val="24"/>
          <w:lang w:val="en-US"/>
        </w:rPr>
        <w:t xml:space="preserve"> </w:t>
      </w:r>
      <w:r>
        <w:rPr>
          <w:rFonts w:cs="Arial"/>
          <w:szCs w:val="24"/>
          <w:lang w:val="en-US"/>
        </w:rPr>
        <w:t xml:space="preserve">prevent the exploitation of people with disabilities in labour, including through the use of sheltered work practices.  </w:t>
      </w:r>
    </w:p>
    <w:p w14:paraId="6D3073C6" w14:textId="7C5BB755" w:rsidR="006F4455" w:rsidRDefault="006F4455" w:rsidP="006F4455">
      <w:pPr>
        <w:pStyle w:val="Heading1"/>
        <w:spacing w:before="240"/>
        <w:rPr>
          <w:lang w:val="en-US"/>
        </w:rPr>
      </w:pPr>
      <w:bookmarkStart w:id="41" w:name="_Toc183602918"/>
      <w:bookmarkStart w:id="42" w:name="_Toc183603009"/>
      <w:bookmarkStart w:id="43" w:name="_Toc187841557"/>
      <w:r>
        <w:rPr>
          <w:lang w:val="en-US"/>
        </w:rPr>
        <w:t>E</w:t>
      </w:r>
      <w:r w:rsidR="0086544E">
        <w:rPr>
          <w:lang w:val="en-US"/>
        </w:rPr>
        <w:t>ducation</w:t>
      </w:r>
      <w:r>
        <w:rPr>
          <w:lang w:val="en-US"/>
        </w:rPr>
        <w:t xml:space="preserve"> (A</w:t>
      </w:r>
      <w:r w:rsidR="0086544E">
        <w:rPr>
          <w:lang w:val="en-US"/>
        </w:rPr>
        <w:t>rticle</w:t>
      </w:r>
      <w:r>
        <w:rPr>
          <w:lang w:val="en-US"/>
        </w:rPr>
        <w:t xml:space="preserve"> 24)</w:t>
      </w:r>
      <w:bookmarkEnd w:id="41"/>
      <w:bookmarkEnd w:id="42"/>
      <w:bookmarkEnd w:id="43"/>
    </w:p>
    <w:p w14:paraId="76D65E60" w14:textId="77777777" w:rsidR="006F4455" w:rsidRPr="009715CE" w:rsidRDefault="006F4455" w:rsidP="006F4455">
      <w:pPr>
        <w:spacing w:line="240" w:lineRule="auto"/>
        <w:rPr>
          <w:rFonts w:cs="Arial"/>
          <w:szCs w:val="24"/>
        </w:rPr>
      </w:pPr>
      <w:bookmarkStart w:id="44" w:name="_Toc183602919"/>
      <w:r w:rsidRPr="00084EAC">
        <w:t>Children with disabilities continue to face systemic social and institutional barriers while trying to access education</w:t>
      </w:r>
      <w:r>
        <w:t xml:space="preserve">. This </w:t>
      </w:r>
      <w:r w:rsidRPr="00084EAC">
        <w:t>negative</w:t>
      </w:r>
      <w:r>
        <w:t>ly</w:t>
      </w:r>
      <w:r w:rsidRPr="00084EAC">
        <w:t xml:space="preserve"> impac</w:t>
      </w:r>
      <w:r>
        <w:t>ts</w:t>
      </w:r>
      <w:r w:rsidRPr="00084EAC">
        <w:t xml:space="preserve"> the</w:t>
      </w:r>
      <w:r>
        <w:t>ir</w:t>
      </w:r>
      <w:r w:rsidRPr="00084EAC">
        <w:t xml:space="preserve"> educational attainment, training, employment, career path and overall well-being. </w:t>
      </w:r>
      <w:bookmarkEnd w:id="44"/>
    </w:p>
    <w:p w14:paraId="18EF7500" w14:textId="77777777" w:rsidR="006F4455" w:rsidRPr="0010125D" w:rsidRDefault="006F4455" w:rsidP="006F4455">
      <w:pPr>
        <w:spacing w:line="240" w:lineRule="auto"/>
      </w:pPr>
      <w:r w:rsidRPr="0010125D">
        <w:t xml:space="preserve">The impacts of the pandemic, such as school closures, shifts to online learning and reductions in services, have both amplified these existing barriers and posed unique and compounded challenges for children and youth with disabilities and their families. </w:t>
      </w:r>
      <w:r>
        <w:t>D</w:t>
      </w:r>
      <w:r w:rsidRPr="0010125D">
        <w:t xml:space="preserve">uring the pandemic, parents of children with disabilities were </w:t>
      </w:r>
      <w:r>
        <w:t>more likely</w:t>
      </w:r>
      <w:r w:rsidRPr="0010125D">
        <w:t xml:space="preserve"> to be very or </w:t>
      </w:r>
      <w:r w:rsidRPr="0010125D">
        <w:lastRenderedPageBreak/>
        <w:t>extremely concerned for their children’s academic success</w:t>
      </w:r>
      <w:r>
        <w:t xml:space="preserve"> and </w:t>
      </w:r>
      <w:r w:rsidRPr="0010125D">
        <w:t xml:space="preserve">mental health, compared </w:t>
      </w:r>
      <w:r>
        <w:t>to</w:t>
      </w:r>
      <w:r w:rsidRPr="0010125D">
        <w:t xml:space="preserve"> parents of children without disabilities</w:t>
      </w:r>
      <w:r>
        <w:t>.</w:t>
      </w:r>
      <w:r>
        <w:rPr>
          <w:rStyle w:val="FootnoteReference"/>
        </w:rPr>
        <w:footnoteReference w:id="42"/>
      </w:r>
    </w:p>
    <w:p w14:paraId="356838AC" w14:textId="77777777" w:rsidR="006F4455" w:rsidRDefault="006F4455" w:rsidP="006F4455">
      <w:pPr>
        <w:spacing w:line="240" w:lineRule="auto"/>
        <w:rPr>
          <w:b/>
          <w:bCs/>
        </w:rPr>
      </w:pPr>
      <w:bookmarkStart w:id="45" w:name="_Toc183602920"/>
      <w:r w:rsidRPr="00084EAC">
        <w:t>According to a 2022 inquiry report on human rights issues affecting students with reading disabilities by the Ontario Human Rights Commission,</w:t>
      </w:r>
      <w:r>
        <w:rPr>
          <w:rStyle w:val="FootnoteReference"/>
        </w:rPr>
        <w:footnoteReference w:id="43"/>
      </w:r>
      <w:r>
        <w:t xml:space="preserve"> </w:t>
      </w:r>
      <w:r w:rsidRPr="00084EAC">
        <w:t>students with reading</w:t>
      </w:r>
      <w:r>
        <w:t xml:space="preserve"> </w:t>
      </w:r>
      <w:r w:rsidRPr="0010125D">
        <w:t>disabilities are more likely to drop out of school, less likely to go on to post-secondary education, and tend to take longer to finish programs they enroll in. The report found that these effects can have a negative impact on employment, leading to lower incomes, poverty and homelessness and higher rates of involvement in crime and incarceration. Adults with dyslexia also told the inquiry about the long-term effects of not learning to read, including mental health and substance abuse issues and negative impacts on their employment.</w:t>
      </w:r>
      <w:bookmarkEnd w:id="45"/>
    </w:p>
    <w:p w14:paraId="7A52F6BF" w14:textId="77777777" w:rsidR="006F4455" w:rsidRDefault="006F4455" w:rsidP="006F4455">
      <w:pPr>
        <w:spacing w:line="240" w:lineRule="auto"/>
        <w:rPr>
          <w:rFonts w:cs="Arial"/>
          <w:szCs w:val="24"/>
        </w:rPr>
      </w:pPr>
      <w:r w:rsidRPr="003715B5">
        <w:t>Similarly, a 2023 study</w:t>
      </w:r>
      <w:r w:rsidRPr="003715B5">
        <w:rPr>
          <w:rStyle w:val="FootnoteReference"/>
        </w:rPr>
        <w:footnoteReference w:id="44"/>
      </w:r>
      <w:r w:rsidRPr="003715B5">
        <w:t xml:space="preserve"> from the human rights commission of Quebec found that, due to a lack of specialized personnel to support teachers and students with disabilities, just over 1 in 4 students with disabilities in Quebec leave high school prematurely</w:t>
      </w:r>
      <w:r w:rsidRPr="00FF7DA0">
        <w:t>, having obtained neither a diploma nor any qualifications.</w:t>
      </w:r>
    </w:p>
    <w:p w14:paraId="5BD0FC8A" w14:textId="77777777" w:rsidR="006F4455" w:rsidRPr="00F55BEF" w:rsidRDefault="006F4455" w:rsidP="006F4455">
      <w:pPr>
        <w:spacing w:line="240" w:lineRule="auto"/>
        <w:rPr>
          <w:rFonts w:cs="Arial"/>
          <w:szCs w:val="24"/>
        </w:rPr>
      </w:pPr>
      <w:r w:rsidRPr="00074578">
        <w:rPr>
          <w:rFonts w:cs="Arial"/>
          <w:szCs w:val="24"/>
        </w:rPr>
        <w:t>The CHRC remains concerned over the lack of disability accommodation and support in Canada’s schools, the experiences of children with disabilities who are bullied and excluded at school due to their disability, and the lack of appropriate services and funding for children with disabilities in the education system.</w:t>
      </w:r>
    </w:p>
    <w:p w14:paraId="7B751D69" w14:textId="69864409" w:rsidR="006F4455" w:rsidRPr="00207C9F" w:rsidRDefault="006F4455" w:rsidP="006F4455">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Pr>
          <w:rFonts w:cs="Arial"/>
          <w:b/>
          <w:bCs/>
          <w:szCs w:val="24"/>
          <w:lang w:val="en-US"/>
        </w:rPr>
        <w:t>Recommendation #</w:t>
      </w:r>
      <w:r w:rsidR="00F30961">
        <w:rPr>
          <w:rFonts w:cs="Arial"/>
          <w:b/>
          <w:bCs/>
          <w:szCs w:val="24"/>
          <w:lang w:val="en-US"/>
        </w:rPr>
        <w:t>13</w:t>
      </w:r>
      <w:r>
        <w:rPr>
          <w:rFonts w:cs="Arial"/>
          <w:b/>
          <w:bCs/>
          <w:szCs w:val="24"/>
          <w:lang w:val="en-US"/>
        </w:rPr>
        <w:t xml:space="preserve">: </w:t>
      </w:r>
      <w:r w:rsidRPr="0010125D">
        <w:t>That Canada address systemic social and institutional barriers to education for children and youth with disabilities. These efforts should include fostering inclusive, supportive and accessible learning environments. These efforts should also ensure coordination between the various jurisdictions in Canada in relation to these issues</w:t>
      </w:r>
      <w:r>
        <w:t>.</w:t>
      </w:r>
    </w:p>
    <w:p w14:paraId="08EB673C" w14:textId="6399CBAF" w:rsidR="00AA5246" w:rsidRDefault="00AA5246" w:rsidP="00AA5246">
      <w:pPr>
        <w:pStyle w:val="Heading1"/>
      </w:pPr>
      <w:bookmarkStart w:id="46" w:name="_Toc183602897"/>
      <w:bookmarkStart w:id="47" w:name="_Toc183602988"/>
      <w:bookmarkStart w:id="48" w:name="_Toc187841558"/>
      <w:r>
        <w:t>A</w:t>
      </w:r>
      <w:r w:rsidR="0086544E">
        <w:t>ccessibility</w:t>
      </w:r>
      <w:r>
        <w:t xml:space="preserve"> (A</w:t>
      </w:r>
      <w:r w:rsidR="0086544E">
        <w:t>rticle</w:t>
      </w:r>
      <w:r>
        <w:t xml:space="preserve"> 9)</w:t>
      </w:r>
      <w:bookmarkEnd w:id="46"/>
      <w:bookmarkEnd w:id="47"/>
      <w:bookmarkEnd w:id="48"/>
    </w:p>
    <w:p w14:paraId="49E4245D" w14:textId="77777777" w:rsidR="00AA5246" w:rsidRDefault="00AA5246" w:rsidP="00AA5246">
      <w:pPr>
        <w:spacing w:line="240" w:lineRule="auto"/>
      </w:pPr>
      <w:r w:rsidRPr="00FC3BCB">
        <w:t>Accessibility remains a pre-eminent concern for p</w:t>
      </w:r>
      <w:r>
        <w:t>eople</w:t>
      </w:r>
      <w:r w:rsidRPr="00FC3BCB">
        <w:t xml:space="preserve"> with disabilities in Canada. </w:t>
      </w:r>
      <w:r>
        <w:t>Through the CHRC’s engagement with people with disabilities, people have shared that they continue to face numerous accessibility barriers in all aspects of their lives, including in buildings and public spaces, at school, in the workplace, in transportation, and when voting.</w:t>
      </w:r>
    </w:p>
    <w:p w14:paraId="5053ED22" w14:textId="77777777" w:rsidR="00AA5246" w:rsidRDefault="00AA5246" w:rsidP="00AA5246">
      <w:pPr>
        <w:pStyle w:val="Heading2"/>
        <w:ind w:left="567" w:hanging="567"/>
      </w:pPr>
      <w:bookmarkStart w:id="49" w:name="_Toc187841559"/>
      <w:r>
        <w:lastRenderedPageBreak/>
        <w:t>Accessibility legislation</w:t>
      </w:r>
      <w:bookmarkEnd w:id="49"/>
    </w:p>
    <w:p w14:paraId="3EBD1A07" w14:textId="77777777" w:rsidR="00AA5246" w:rsidRDefault="00AA5246" w:rsidP="00AA5246">
      <w:pPr>
        <w:spacing w:line="240" w:lineRule="auto"/>
      </w:pPr>
      <w:r>
        <w:rPr>
          <w:lang w:val="en-US"/>
        </w:rPr>
        <w:t>While the CHRC acknowledges that it has been five years since the passage of the Accessible Canada Act (ACA), the CHRC remains concerned that concrete obligations have yet to be established as they relate to the priority areas identified in section 5 of the legislation.</w:t>
      </w:r>
      <w:r>
        <w:rPr>
          <w:rStyle w:val="FootnoteReference"/>
          <w:lang w:val="en-US"/>
        </w:rPr>
        <w:footnoteReference w:id="45"/>
      </w:r>
      <w:r>
        <w:rPr>
          <w:lang w:val="en-US"/>
        </w:rPr>
        <w:t xml:space="preserve"> The CHRC notes that in order to be in compliance with upcoming regulations and obligations, </w:t>
      </w:r>
      <w:r>
        <w:t>o</w:t>
      </w:r>
      <w:r w:rsidRPr="00E77DBC">
        <w:t xml:space="preserve">rganizations need to be aware of what is coming next to be able to properly prepare, plan, consult, develop and implement necessary actions. </w:t>
      </w:r>
      <w:r>
        <w:t xml:space="preserve">The CHRC further notes that </w:t>
      </w:r>
      <w:r w:rsidRPr="00E77DBC">
        <w:t>rights holders require better information o</w:t>
      </w:r>
      <w:r>
        <w:t>n</w:t>
      </w:r>
      <w:r w:rsidRPr="00E77DBC">
        <w:t xml:space="preserve"> next steps and timelines</w:t>
      </w:r>
      <w:r>
        <w:t>, which</w:t>
      </w:r>
      <w:r w:rsidRPr="00E77DBC">
        <w:t xml:space="preserve"> will </w:t>
      </w:r>
      <w:r>
        <w:t xml:space="preserve">also </w:t>
      </w:r>
      <w:r w:rsidRPr="00E77DBC">
        <w:t>ensure their readiness for consultations.</w:t>
      </w:r>
    </w:p>
    <w:p w14:paraId="779C4EDD" w14:textId="77777777" w:rsidR="00AA5246" w:rsidRDefault="00AA5246" w:rsidP="00AA5246">
      <w:pPr>
        <w:spacing w:line="240" w:lineRule="auto"/>
      </w:pPr>
      <w:r>
        <w:t>The CHRC recognizes that k</w:t>
      </w:r>
      <w:r w:rsidRPr="00E77DBC">
        <w:t>nowledge about accessibility is evolving and the complexity associated with achieving accessibility ranges depending on a variety of factors. New regulations must acknowledge these challenges and facilitate conducive environments and supports if they are to be successfully implemented.</w:t>
      </w:r>
      <w:r>
        <w:t xml:space="preserve"> However, m</w:t>
      </w:r>
      <w:r w:rsidRPr="001106DC">
        <w:t>any organizations have already fallen behind in fulfilling their initial obligations under the first sets of ACA related regulations. Additional regulations in the priority areas are needed, but without proper resources and supports, new requirements may result in increased non-compliance and widespread challenges for organizations responsible for oversight, leaving the objective of an accessible Canada unfulfilled.</w:t>
      </w:r>
    </w:p>
    <w:p w14:paraId="428A69B3" w14:textId="77777777" w:rsidR="00AA5246" w:rsidRPr="009F3A40" w:rsidRDefault="00AA5246" w:rsidP="00AA5246">
      <w:pPr>
        <w:spacing w:line="240" w:lineRule="auto"/>
        <w:rPr>
          <w:lang w:val="en-US"/>
        </w:rPr>
      </w:pPr>
      <w:r w:rsidRPr="00ED3882">
        <w:t>The CHRC also notes that some jurisdictions in Canada have not yet adopted accessibility legislation, and that provincial accessibility laws differ in their scope and their enforcement schemes.</w:t>
      </w:r>
      <w:r w:rsidRPr="00ED3882">
        <w:rPr>
          <w:rStyle w:val="FootnoteReference"/>
        </w:rPr>
        <w:footnoteReference w:id="46"/>
      </w:r>
      <w:r w:rsidRPr="00ED3882">
        <w:t xml:space="preserve"> T</w:t>
      </w:r>
      <w:r w:rsidRPr="00ED3882">
        <w:rPr>
          <w:lang w:val="en-US"/>
        </w:rPr>
        <w:t>he CHRC encourages Canada to ensure greater coordination and uniformity in accessibility requirements across the country.</w:t>
      </w:r>
    </w:p>
    <w:p w14:paraId="5305C3C7" w14:textId="57C76A8E" w:rsidR="00AA5246" w:rsidRPr="001316E4" w:rsidRDefault="00AA5246" w:rsidP="00AA5246">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Pr>
          <w:rFonts w:cs="Arial"/>
          <w:b/>
          <w:bCs/>
          <w:szCs w:val="24"/>
        </w:rPr>
        <w:t>Recommendation #</w:t>
      </w:r>
      <w:r w:rsidR="00F30961">
        <w:rPr>
          <w:rFonts w:cs="Arial"/>
          <w:b/>
          <w:bCs/>
          <w:szCs w:val="24"/>
        </w:rPr>
        <w:t>14</w:t>
      </w:r>
      <w:r>
        <w:rPr>
          <w:rFonts w:cs="Arial"/>
          <w:b/>
          <w:bCs/>
          <w:szCs w:val="24"/>
        </w:rPr>
        <w:t xml:space="preserve">: </w:t>
      </w:r>
      <w:r>
        <w:rPr>
          <w:rFonts w:cs="Arial"/>
          <w:szCs w:val="24"/>
        </w:rPr>
        <w:t xml:space="preserve">That Canada </w:t>
      </w:r>
      <w:r w:rsidRPr="001106DC">
        <w:rPr>
          <w:rFonts w:cs="Arial"/>
          <w:szCs w:val="24"/>
        </w:rPr>
        <w:t>develop and share a plan with timelines on how it will enact and implement regulations relevant to each of the areas under section 5 of the A</w:t>
      </w:r>
      <w:r w:rsidR="00911B5E">
        <w:rPr>
          <w:rFonts w:cs="Arial"/>
          <w:szCs w:val="24"/>
        </w:rPr>
        <w:t>ccessible Canada Act</w:t>
      </w:r>
      <w:r w:rsidRPr="001106DC">
        <w:rPr>
          <w:rFonts w:cs="Arial"/>
          <w:szCs w:val="24"/>
        </w:rPr>
        <w:t xml:space="preserve"> in a timely manner, </w:t>
      </w:r>
      <w:r>
        <w:rPr>
          <w:rFonts w:cs="Arial"/>
          <w:szCs w:val="24"/>
        </w:rPr>
        <w:t>as well as the</w:t>
      </w:r>
      <w:r w:rsidRPr="001106DC">
        <w:rPr>
          <w:rFonts w:cs="Arial"/>
          <w:szCs w:val="24"/>
        </w:rPr>
        <w:t xml:space="preserve"> measures </w:t>
      </w:r>
      <w:r>
        <w:rPr>
          <w:rFonts w:cs="Arial"/>
          <w:szCs w:val="24"/>
        </w:rPr>
        <w:t xml:space="preserve">that </w:t>
      </w:r>
      <w:r w:rsidRPr="001106DC">
        <w:rPr>
          <w:rFonts w:cs="Arial"/>
          <w:szCs w:val="24"/>
        </w:rPr>
        <w:t>will be taken to ensure that organizations are supported in meeting their obligations.</w:t>
      </w:r>
    </w:p>
    <w:p w14:paraId="1F349BA3" w14:textId="77777777" w:rsidR="00AA5246" w:rsidRDefault="00AA5246" w:rsidP="00AA5246">
      <w:pPr>
        <w:spacing w:line="240" w:lineRule="auto"/>
      </w:pPr>
      <w:r w:rsidRPr="00A376A5">
        <w:t xml:space="preserve">The </w:t>
      </w:r>
      <w:r>
        <w:t>CHRC notes that the Accessible Canada Regulations (</w:t>
      </w:r>
      <w:r w:rsidRPr="00A376A5">
        <w:t>ACR</w:t>
      </w:r>
      <w:r>
        <w:t>)</w:t>
      </w:r>
      <w:r w:rsidRPr="00A376A5">
        <w:t xml:space="preserve"> included a five-year exemption for First Nations communities</w:t>
      </w:r>
      <w:r>
        <w:t xml:space="preserve"> – until 2026 –</w:t>
      </w:r>
      <w:r w:rsidRPr="00A376A5">
        <w:t xml:space="preserve"> </w:t>
      </w:r>
      <w:r>
        <w:t>to</w:t>
      </w:r>
      <w:r w:rsidRPr="00A376A5">
        <w:t xml:space="preserve"> consult First Nations people </w:t>
      </w:r>
      <w:r w:rsidRPr="00A376A5">
        <w:lastRenderedPageBreak/>
        <w:t>on reserve</w:t>
      </w:r>
      <w:r>
        <w:rPr>
          <w:rStyle w:val="FootnoteReference"/>
        </w:rPr>
        <w:footnoteReference w:id="47"/>
      </w:r>
      <w:r w:rsidRPr="00A376A5">
        <w:t xml:space="preserve"> on how the ACA could contribute to a barrier-free environment in their communities.</w:t>
      </w:r>
      <w:r>
        <w:t xml:space="preserve"> </w:t>
      </w:r>
    </w:p>
    <w:p w14:paraId="404376BC" w14:textId="77777777" w:rsidR="00AA5246" w:rsidRDefault="00AA5246" w:rsidP="00AA5246">
      <w:pPr>
        <w:spacing w:line="240" w:lineRule="auto"/>
        <w:rPr>
          <w:rFonts w:cs="Arial"/>
          <w:bdr w:val="none" w:sz="0" w:space="0" w:color="auto" w:frame="1"/>
        </w:rPr>
      </w:pPr>
      <w:r>
        <w:rPr>
          <w:rFonts w:cs="Arial"/>
          <w:bdr w:val="none" w:sz="0" w:space="0" w:color="auto" w:frame="1"/>
        </w:rPr>
        <w:t>However, the CHRC has heard concerns from advocates that the exemption may have the potential impact of leaving many First Nations people with disabilities without protections enjoyed by members of other disability communities. Advocates have shared that some First Nations may not be able to comply with existing accessibility legislation due to the chronic and systemic underfunding of First Nations health, infrastructure and housing services.</w:t>
      </w:r>
      <w:r>
        <w:rPr>
          <w:rStyle w:val="FootnoteReference"/>
        </w:rPr>
        <w:footnoteReference w:id="48"/>
      </w:r>
      <w:r>
        <w:rPr>
          <w:rFonts w:cs="Arial"/>
          <w:bdr w:val="none" w:sz="0" w:space="0" w:color="auto" w:frame="1"/>
        </w:rPr>
        <w:t xml:space="preserve"> There are additional concerns over the lack of clarity on the possible application of the ACA to First Nations, including conflicts with principles of self-governance and self-determination. These concerns may further perpetuate the systemic inequality currently experienced by so many First Nations people with disabilities.</w:t>
      </w:r>
    </w:p>
    <w:p w14:paraId="772EDED0" w14:textId="77777777" w:rsidR="00AA5246" w:rsidRDefault="00AA5246" w:rsidP="00AA5246">
      <w:pPr>
        <w:spacing w:after="0" w:line="240" w:lineRule="auto"/>
        <w:contextualSpacing/>
        <w:rPr>
          <w:rFonts w:eastAsia="Times New Roman" w:cs="Arial"/>
          <w:iCs/>
          <w:szCs w:val="24"/>
        </w:rPr>
      </w:pPr>
      <w:r w:rsidRPr="00CE69F5">
        <w:rPr>
          <w:rFonts w:cs="Arial"/>
        </w:rPr>
        <w:t>The CHRC recognizes and respects Indigenous peoples’ inherent right to self-determination</w:t>
      </w:r>
      <w:r>
        <w:rPr>
          <w:rFonts w:cs="Arial"/>
        </w:rPr>
        <w:t>. A</w:t>
      </w:r>
      <w:r w:rsidRPr="00CE69F5">
        <w:rPr>
          <w:rFonts w:cs="Arial"/>
        </w:rPr>
        <w:t xml:space="preserve">ny legislation </w:t>
      </w:r>
      <w:r>
        <w:rPr>
          <w:rFonts w:cs="Arial"/>
        </w:rPr>
        <w:t xml:space="preserve">affecting </w:t>
      </w:r>
      <w:r w:rsidRPr="00CE69F5">
        <w:rPr>
          <w:rFonts w:cs="Arial"/>
        </w:rPr>
        <w:t>Indigenous peoples</w:t>
      </w:r>
      <w:r>
        <w:rPr>
          <w:rFonts w:cs="Arial"/>
        </w:rPr>
        <w:t xml:space="preserve"> and their governments</w:t>
      </w:r>
      <w:r w:rsidRPr="00CE69F5">
        <w:rPr>
          <w:rFonts w:cs="Arial"/>
        </w:rPr>
        <w:t xml:space="preserve"> should be </w:t>
      </w:r>
      <w:r>
        <w:rPr>
          <w:rFonts w:cs="Arial"/>
        </w:rPr>
        <w:t>modeled</w:t>
      </w:r>
      <w:r w:rsidRPr="00CE69F5">
        <w:rPr>
          <w:rFonts w:cs="Arial"/>
        </w:rPr>
        <w:t xml:space="preserve"> </w:t>
      </w:r>
      <w:r>
        <w:rPr>
          <w:rFonts w:cs="Arial"/>
        </w:rPr>
        <w:t xml:space="preserve">after </w:t>
      </w:r>
      <w:r w:rsidRPr="00CE69F5">
        <w:rPr>
          <w:rFonts w:cs="Arial"/>
        </w:rPr>
        <w:t>their own values and traditions.</w:t>
      </w:r>
      <w:r>
        <w:t xml:space="preserve"> The CHRC further recognizes that it is necessary to take </w:t>
      </w:r>
      <w:r>
        <w:rPr>
          <w:rFonts w:cs="Arial"/>
        </w:rPr>
        <w:t>a</w:t>
      </w:r>
      <w:r w:rsidRPr="00D36261">
        <w:rPr>
          <w:rFonts w:cs="Arial"/>
        </w:rPr>
        <w:t xml:space="preserve"> tailored approach to the application of accessibility standards </w:t>
      </w:r>
      <w:r>
        <w:rPr>
          <w:rFonts w:cs="Arial"/>
        </w:rPr>
        <w:t>for Indigenous peoples in order to</w:t>
      </w:r>
      <w:r w:rsidRPr="00D36261">
        <w:rPr>
          <w:rFonts w:cs="Arial"/>
        </w:rPr>
        <w:t xml:space="preserve"> meet the unique needs </w:t>
      </w:r>
      <w:r>
        <w:rPr>
          <w:rFonts w:cs="Arial"/>
        </w:rPr>
        <w:t xml:space="preserve">of each community, and that </w:t>
      </w:r>
      <w:r w:rsidRPr="00F15CF8">
        <w:rPr>
          <w:rFonts w:eastAsia="Times New Roman" w:cs="Arial"/>
          <w:color w:val="000000"/>
          <w:lang w:eastAsia="en-CA"/>
        </w:rPr>
        <w:t xml:space="preserve">Indigenous </w:t>
      </w:r>
      <w:r>
        <w:rPr>
          <w:rFonts w:eastAsia="Times New Roman" w:cs="Arial"/>
          <w:color w:val="000000"/>
          <w:lang w:eastAsia="en-CA"/>
        </w:rPr>
        <w:t>peoples with disabilities themselves</w:t>
      </w:r>
      <w:r w:rsidRPr="00F15CF8">
        <w:rPr>
          <w:rFonts w:eastAsia="Times New Roman" w:cs="Arial"/>
          <w:color w:val="000000"/>
          <w:lang w:eastAsia="en-CA"/>
        </w:rPr>
        <w:t xml:space="preserve"> </w:t>
      </w:r>
      <w:r>
        <w:rPr>
          <w:rFonts w:eastAsia="Times New Roman" w:cs="Arial"/>
          <w:color w:val="000000"/>
          <w:lang w:eastAsia="en-CA"/>
        </w:rPr>
        <w:t>must lead and inform how accessibility standards</w:t>
      </w:r>
      <w:r w:rsidRPr="00F15CF8">
        <w:rPr>
          <w:rFonts w:eastAsia="Times New Roman" w:cs="Arial"/>
          <w:color w:val="000000"/>
          <w:lang w:eastAsia="en-CA"/>
        </w:rPr>
        <w:t xml:space="preserve"> </w:t>
      </w:r>
      <w:r>
        <w:rPr>
          <w:rFonts w:eastAsia="Times New Roman" w:cs="Arial"/>
          <w:color w:val="000000"/>
          <w:lang w:eastAsia="en-CA"/>
        </w:rPr>
        <w:t>are applied in their communities to ensure their needs are being fully met</w:t>
      </w:r>
      <w:r w:rsidRPr="00F15CF8">
        <w:rPr>
          <w:rFonts w:eastAsia="Times New Roman" w:cs="Arial"/>
          <w:color w:val="000000"/>
          <w:lang w:eastAsia="en-CA"/>
        </w:rPr>
        <w:t>.</w:t>
      </w:r>
      <w:r>
        <w:rPr>
          <w:rFonts w:cs="Arial"/>
        </w:rPr>
        <w:t xml:space="preserve"> </w:t>
      </w:r>
      <w:r>
        <w:rPr>
          <w:rFonts w:eastAsia="Times New Roman" w:cs="Arial"/>
          <w:iCs/>
          <w:szCs w:val="24"/>
        </w:rPr>
        <w:t xml:space="preserve">Any </w:t>
      </w:r>
      <w:r w:rsidRPr="004841DB">
        <w:rPr>
          <w:rFonts w:eastAsia="Times New Roman" w:cs="Arial"/>
          <w:iCs/>
          <w:szCs w:val="24"/>
        </w:rPr>
        <w:t xml:space="preserve">accessibility system </w:t>
      </w:r>
      <w:r w:rsidRPr="00666907">
        <w:rPr>
          <w:rFonts w:cs="Arial"/>
          <w:szCs w:val="24"/>
        </w:rPr>
        <w:t xml:space="preserve">must </w:t>
      </w:r>
      <w:r>
        <w:rPr>
          <w:rFonts w:cs="Arial"/>
          <w:szCs w:val="24"/>
        </w:rPr>
        <w:t xml:space="preserve">take </w:t>
      </w:r>
      <w:r w:rsidRPr="00666907">
        <w:rPr>
          <w:rFonts w:cs="Arial"/>
          <w:szCs w:val="24"/>
        </w:rPr>
        <w:t>an intersectional approach</w:t>
      </w:r>
      <w:r>
        <w:rPr>
          <w:rFonts w:cs="Arial"/>
          <w:szCs w:val="24"/>
        </w:rPr>
        <w:t xml:space="preserve"> </w:t>
      </w:r>
      <w:r w:rsidRPr="00666907">
        <w:rPr>
          <w:rFonts w:cs="Arial"/>
          <w:szCs w:val="24"/>
        </w:rPr>
        <w:t>wherever possible</w:t>
      </w:r>
      <w:r>
        <w:rPr>
          <w:rFonts w:cs="Arial"/>
          <w:szCs w:val="24"/>
        </w:rPr>
        <w:t xml:space="preserve"> </w:t>
      </w:r>
      <w:r>
        <w:rPr>
          <w:rFonts w:eastAsia="Times New Roman" w:cs="Arial"/>
          <w:iCs/>
          <w:szCs w:val="24"/>
        </w:rPr>
        <w:t xml:space="preserve">in order to address gaps in protection and to ensure consistency with the principles of the United Nations Declaration on the Rights of Indigenous Peoples. </w:t>
      </w:r>
    </w:p>
    <w:p w14:paraId="5C26CD91" w14:textId="77777777" w:rsidR="00AA5246" w:rsidRPr="00633171" w:rsidRDefault="00AA5246" w:rsidP="00AA5246">
      <w:pPr>
        <w:spacing w:after="0" w:line="240" w:lineRule="auto"/>
        <w:contextualSpacing/>
        <w:rPr>
          <w:rFonts w:eastAsia="Times New Roman" w:cs="Arial"/>
          <w:iCs/>
          <w:szCs w:val="24"/>
        </w:rPr>
      </w:pPr>
    </w:p>
    <w:p w14:paraId="57A92531" w14:textId="34EE0160" w:rsidR="00AA5246" w:rsidRPr="00305BC1" w:rsidRDefault="00AA5246" w:rsidP="00AA5246">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Pr>
          <w:rFonts w:cs="Arial"/>
          <w:b/>
          <w:bCs/>
          <w:szCs w:val="24"/>
        </w:rPr>
        <w:t>Recommendation #</w:t>
      </w:r>
      <w:r w:rsidR="00F30961">
        <w:rPr>
          <w:rFonts w:cs="Arial"/>
          <w:b/>
          <w:bCs/>
          <w:szCs w:val="24"/>
        </w:rPr>
        <w:t>15</w:t>
      </w:r>
      <w:r>
        <w:rPr>
          <w:rFonts w:cs="Arial"/>
          <w:b/>
          <w:bCs/>
          <w:szCs w:val="24"/>
        </w:rPr>
        <w:t xml:space="preserve">: </w:t>
      </w:r>
      <w:r>
        <w:rPr>
          <w:rFonts w:cs="Arial"/>
          <w:szCs w:val="24"/>
        </w:rPr>
        <w:t xml:space="preserve">That Canada </w:t>
      </w:r>
      <w:r w:rsidRPr="00ED0399">
        <w:rPr>
          <w:rFonts w:cs="Arial"/>
          <w:szCs w:val="24"/>
        </w:rPr>
        <w:t xml:space="preserve">provide details regarding plans to </w:t>
      </w:r>
      <w:r>
        <w:rPr>
          <w:rFonts w:cs="Arial"/>
          <w:szCs w:val="24"/>
        </w:rPr>
        <w:t xml:space="preserve">close the infrastructure gap and </w:t>
      </w:r>
      <w:r w:rsidRPr="00ED0399">
        <w:rPr>
          <w:rFonts w:cs="Arial"/>
          <w:szCs w:val="24"/>
        </w:rPr>
        <w:t xml:space="preserve">ensure that accessibility legislation applicable to First Nations communities is implemented, including details of steps being taken to ensure that </w:t>
      </w:r>
      <w:r>
        <w:rPr>
          <w:rFonts w:cs="Arial"/>
          <w:szCs w:val="24"/>
        </w:rPr>
        <w:t xml:space="preserve">any </w:t>
      </w:r>
      <w:r w:rsidRPr="00ED0399">
        <w:rPr>
          <w:rFonts w:cs="Arial"/>
          <w:szCs w:val="24"/>
        </w:rPr>
        <w:t>such legislation is consistent with the principles of the United Nations Declaration on the Rights of Indigenous Peoples</w:t>
      </w:r>
      <w:r>
        <w:rPr>
          <w:rFonts w:cs="Arial"/>
          <w:szCs w:val="24"/>
        </w:rPr>
        <w:t>.</w:t>
      </w:r>
    </w:p>
    <w:p w14:paraId="0F04A9C3" w14:textId="77777777" w:rsidR="00AA5246" w:rsidRDefault="00AA5246" w:rsidP="00AA5246">
      <w:pPr>
        <w:pStyle w:val="Heading2"/>
        <w:ind w:left="567" w:hanging="567"/>
      </w:pPr>
      <w:bookmarkStart w:id="50" w:name="_Toc183602931"/>
      <w:bookmarkStart w:id="51" w:name="_Toc183603020"/>
      <w:bookmarkStart w:id="52" w:name="_Toc187841560"/>
      <w:r w:rsidRPr="00201945">
        <w:lastRenderedPageBreak/>
        <w:t>Transportation</w:t>
      </w:r>
      <w:bookmarkEnd w:id="50"/>
      <w:bookmarkEnd w:id="51"/>
      <w:bookmarkEnd w:id="52"/>
    </w:p>
    <w:p w14:paraId="40F152F7" w14:textId="77777777" w:rsidR="00AA5246" w:rsidRDefault="00AA5246" w:rsidP="00AA5246">
      <w:pPr>
        <w:spacing w:line="240" w:lineRule="auto"/>
        <w:rPr>
          <w:rFonts w:cs="Arial"/>
          <w:color w:val="222222"/>
          <w:szCs w:val="24"/>
          <w:lang w:eastAsia="en-CA"/>
        </w:rPr>
      </w:pPr>
      <w:r>
        <w:rPr>
          <w:rFonts w:cs="Arial"/>
          <w:color w:val="222222"/>
          <w:szCs w:val="24"/>
          <w:lang w:eastAsia="en-CA"/>
        </w:rPr>
        <w:t>Despite recent laws and regulations designed to protect the rights of people with disabilities to accessible transportation in Canada</w:t>
      </w:r>
      <w:r>
        <w:rPr>
          <w:rStyle w:val="FootnoteReference"/>
          <w:color w:val="222222"/>
          <w:lang w:eastAsia="en-CA"/>
        </w:rPr>
        <w:footnoteReference w:id="49"/>
      </w:r>
      <w:r>
        <w:rPr>
          <w:rFonts w:cs="Arial"/>
          <w:color w:val="222222"/>
          <w:szCs w:val="24"/>
          <w:lang w:eastAsia="en-CA"/>
        </w:rPr>
        <w:t xml:space="preserve">, the CHRC notes that people </w:t>
      </w:r>
      <w:r w:rsidRPr="00832EFA">
        <w:rPr>
          <w:rFonts w:cs="Arial"/>
          <w:color w:val="222222"/>
          <w:szCs w:val="24"/>
          <w:lang w:eastAsia="en-CA"/>
        </w:rPr>
        <w:t>with disabilities continue to face barriers and discrimination when travelling.</w:t>
      </w:r>
      <w:r>
        <w:rPr>
          <w:rStyle w:val="FootnoteReference"/>
        </w:rPr>
        <w:footnoteReference w:id="50"/>
      </w:r>
      <w:r>
        <w:rPr>
          <w:rFonts w:cs="Arial"/>
          <w:color w:val="222222"/>
          <w:szCs w:val="24"/>
          <w:lang w:eastAsia="en-CA"/>
        </w:rPr>
        <w:t xml:space="preserve"> This has been highlighted by recent media reports detailing some of the difficulties that travellers with disabilities continue to face.</w:t>
      </w:r>
      <w:r>
        <w:rPr>
          <w:rStyle w:val="FootnoteReference"/>
        </w:rPr>
        <w:footnoteReference w:id="51"/>
      </w:r>
    </w:p>
    <w:p w14:paraId="05089F42" w14:textId="77777777" w:rsidR="00AA5246" w:rsidRPr="00201945" w:rsidRDefault="00AA5246" w:rsidP="00AA5246">
      <w:pPr>
        <w:spacing w:line="240" w:lineRule="auto"/>
        <w:rPr>
          <w:rStyle w:val="Hyperlink"/>
          <w:rFonts w:cs="Arial"/>
          <w:szCs w:val="24"/>
        </w:rPr>
      </w:pPr>
      <w:r>
        <w:rPr>
          <w:rFonts w:cs="Arial"/>
          <w:color w:val="222222"/>
          <w:szCs w:val="24"/>
          <w:lang w:eastAsia="en-CA"/>
        </w:rPr>
        <w:t>The CHRC emphasizes that accessible transportation is fundamental to people’s work, family lives, leisure activities and wellbeing. Many</w:t>
      </w:r>
      <w:r w:rsidRPr="00201945">
        <w:rPr>
          <w:rFonts w:cs="Arial"/>
          <w:szCs w:val="24"/>
        </w:rPr>
        <w:t xml:space="preserve"> people with disabilities rely on mobility aids, service animals and assistive technologies when travelling</w:t>
      </w:r>
      <w:r>
        <w:rPr>
          <w:rFonts w:cs="Arial"/>
          <w:szCs w:val="24"/>
        </w:rPr>
        <w:t>. As such,</w:t>
      </w:r>
      <w:r w:rsidRPr="00201945">
        <w:rPr>
          <w:rFonts w:cs="Arial"/>
          <w:szCs w:val="24"/>
        </w:rPr>
        <w:t xml:space="preserve"> a lost or damaged mobility device robs people of their dignity, mobility and independence, and can pose a risk to their health. </w:t>
      </w:r>
      <w:r>
        <w:rPr>
          <w:rFonts w:cs="Arial"/>
          <w:szCs w:val="24"/>
        </w:rPr>
        <w:t>In many cases, it may also be a violation of fundamental human rights. The CHRC maintains that greater</w:t>
      </w:r>
      <w:r w:rsidRPr="00201945">
        <w:rPr>
          <w:rFonts w:cs="Arial"/>
          <w:szCs w:val="24"/>
        </w:rPr>
        <w:t xml:space="preserve"> care and attention must be given to people who rely on mobility aids, service animals and assistive technologies when travelling. </w:t>
      </w:r>
    </w:p>
    <w:p w14:paraId="36D24C11" w14:textId="77777777" w:rsidR="00AA5246" w:rsidRDefault="00AA5246" w:rsidP="00AA5246">
      <w:pPr>
        <w:spacing w:line="240" w:lineRule="auto"/>
        <w:rPr>
          <w:rFonts w:cs="Arial"/>
          <w:szCs w:val="24"/>
        </w:rPr>
      </w:pPr>
      <w:r>
        <w:rPr>
          <w:rFonts w:cs="Arial"/>
          <w:szCs w:val="24"/>
          <w:lang w:val="en"/>
        </w:rPr>
        <w:t>Calls for accountability from disability communities have</w:t>
      </w:r>
      <w:r w:rsidRPr="00201945">
        <w:rPr>
          <w:rFonts w:cs="Arial"/>
          <w:color w:val="222222"/>
          <w:szCs w:val="24"/>
          <w:shd w:val="clear" w:color="auto" w:fill="FFFFFF"/>
        </w:rPr>
        <w:t xml:space="preserve"> prompted </w:t>
      </w:r>
      <w:r>
        <w:rPr>
          <w:rFonts w:cs="Arial"/>
          <w:color w:val="222222"/>
          <w:szCs w:val="24"/>
          <w:shd w:val="clear" w:color="auto" w:fill="FFFFFF"/>
        </w:rPr>
        <w:t>Canada</w:t>
      </w:r>
      <w:r w:rsidRPr="00201945">
        <w:rPr>
          <w:rFonts w:cs="Arial"/>
          <w:color w:val="222222"/>
          <w:szCs w:val="24"/>
          <w:shd w:val="clear" w:color="auto" w:fill="FFFFFF"/>
        </w:rPr>
        <w:t xml:space="preserve"> to </w:t>
      </w:r>
      <w:r>
        <w:rPr>
          <w:rFonts w:cs="Arial"/>
          <w:color w:val="222222"/>
          <w:szCs w:val="24"/>
          <w:shd w:val="clear" w:color="auto" w:fill="FFFFFF"/>
        </w:rPr>
        <w:t>investigate the issue of accessible transportation for people with disabilities. At meetings</w:t>
      </w:r>
      <w:r>
        <w:rPr>
          <w:rFonts w:cs="Arial"/>
          <w:szCs w:val="24"/>
          <w:lang w:val="en"/>
        </w:rPr>
        <w:t xml:space="preserve"> held by the </w:t>
      </w:r>
      <w:r w:rsidRPr="00201945">
        <w:rPr>
          <w:rFonts w:cs="Arial"/>
          <w:szCs w:val="24"/>
        </w:rPr>
        <w:t>House of Commons</w:t>
      </w:r>
      <w:r>
        <w:rPr>
          <w:rFonts w:cs="Arial"/>
          <w:szCs w:val="24"/>
        </w:rPr>
        <w:t xml:space="preserve"> </w:t>
      </w:r>
      <w:r w:rsidRPr="00201945">
        <w:rPr>
          <w:rFonts w:cs="Arial"/>
          <w:szCs w:val="24"/>
        </w:rPr>
        <w:t>Standing Committee on Transport, Infrastructure and Communities</w:t>
      </w:r>
      <w:r>
        <w:rPr>
          <w:rFonts w:cs="Arial"/>
          <w:szCs w:val="24"/>
        </w:rPr>
        <w:t>,</w:t>
      </w:r>
      <w:r>
        <w:rPr>
          <w:rStyle w:val="FootnoteReference"/>
          <w:rFonts w:cs="Arial"/>
          <w:szCs w:val="24"/>
        </w:rPr>
        <w:footnoteReference w:id="52"/>
      </w:r>
      <w:r w:rsidRPr="00201945">
        <w:rPr>
          <w:rFonts w:cs="Arial"/>
          <w:szCs w:val="24"/>
        </w:rPr>
        <w:t xml:space="preserve"> </w:t>
      </w:r>
      <w:r>
        <w:rPr>
          <w:rFonts w:cs="Arial"/>
          <w:szCs w:val="24"/>
        </w:rPr>
        <w:t xml:space="preserve">advocates </w:t>
      </w:r>
      <w:r w:rsidRPr="00201945">
        <w:rPr>
          <w:rFonts w:cs="Arial"/>
          <w:szCs w:val="24"/>
        </w:rPr>
        <w:t>called for policy, process and operational changes to remove barriers for travellers with disabilities.</w:t>
      </w:r>
      <w:r>
        <w:rPr>
          <w:rStyle w:val="FootnoteReference"/>
        </w:rPr>
        <w:footnoteReference w:id="53"/>
      </w:r>
      <w:r w:rsidRPr="00201945">
        <w:rPr>
          <w:rFonts w:cs="Arial"/>
          <w:szCs w:val="24"/>
        </w:rPr>
        <w:t xml:space="preserve"> </w:t>
      </w:r>
    </w:p>
    <w:p w14:paraId="3CBCFEA5" w14:textId="77777777" w:rsidR="00AA5246" w:rsidRDefault="00AA5246" w:rsidP="00AA5246">
      <w:pPr>
        <w:spacing w:line="240" w:lineRule="auto"/>
        <w:rPr>
          <w:rFonts w:cs="Arial"/>
          <w:color w:val="0F0F0F"/>
          <w:szCs w:val="24"/>
          <w:shd w:val="clear" w:color="auto" w:fill="FFFFFF"/>
        </w:rPr>
      </w:pPr>
      <w:r>
        <w:rPr>
          <w:rFonts w:cs="Arial"/>
          <w:szCs w:val="24"/>
        </w:rPr>
        <w:lastRenderedPageBreak/>
        <w:t>Advocates</w:t>
      </w:r>
      <w:r w:rsidRPr="00201945">
        <w:rPr>
          <w:rFonts w:cs="Arial"/>
          <w:szCs w:val="24"/>
        </w:rPr>
        <w:t xml:space="preserve"> also </w:t>
      </w:r>
      <w:r>
        <w:rPr>
          <w:rFonts w:cs="Arial"/>
          <w:szCs w:val="24"/>
        </w:rPr>
        <w:t xml:space="preserve">called </w:t>
      </w:r>
      <w:r w:rsidRPr="00201945">
        <w:rPr>
          <w:rFonts w:cs="Arial"/>
          <w:szCs w:val="24"/>
        </w:rPr>
        <w:t>for</w:t>
      </w:r>
      <w:r>
        <w:rPr>
          <w:rFonts w:cs="Arial"/>
          <w:szCs w:val="24"/>
        </w:rPr>
        <w:t xml:space="preserve"> consistent</w:t>
      </w:r>
      <w:r w:rsidRPr="00201945">
        <w:rPr>
          <w:rFonts w:cs="Arial"/>
          <w:szCs w:val="24"/>
        </w:rPr>
        <w:t xml:space="preserve"> training </w:t>
      </w:r>
      <w:r>
        <w:rPr>
          <w:rFonts w:cs="Arial"/>
          <w:szCs w:val="24"/>
        </w:rPr>
        <w:t>across the sector</w:t>
      </w:r>
      <w:r>
        <w:rPr>
          <w:rStyle w:val="FootnoteReference"/>
          <w:rFonts w:cs="Arial"/>
          <w:szCs w:val="24"/>
        </w:rPr>
        <w:footnoteReference w:id="54"/>
      </w:r>
      <w:r>
        <w:rPr>
          <w:rFonts w:cs="Arial"/>
          <w:szCs w:val="24"/>
        </w:rPr>
        <w:t xml:space="preserve"> </w:t>
      </w:r>
      <w:r w:rsidRPr="00201945">
        <w:rPr>
          <w:rFonts w:cs="Arial"/>
          <w:color w:val="0F0F0F"/>
          <w:szCs w:val="24"/>
          <w:shd w:val="clear" w:color="auto" w:fill="FFFFFF"/>
        </w:rPr>
        <w:t>regarding the needs and requirements of passengers with disabilities</w:t>
      </w:r>
      <w:r>
        <w:rPr>
          <w:rFonts w:cs="Arial"/>
          <w:color w:val="0F0F0F"/>
          <w:szCs w:val="24"/>
          <w:shd w:val="clear" w:color="auto" w:fill="FFFFFF"/>
        </w:rPr>
        <w:t>, as well as improved oversight, increased access to justice for travellers, penalties for non-compliant service providers, and mechanisms to identify existing barriers and prevent new ones</w:t>
      </w:r>
      <w:r w:rsidRPr="00201945">
        <w:rPr>
          <w:rFonts w:cs="Arial"/>
          <w:color w:val="0F0F0F"/>
          <w:szCs w:val="24"/>
          <w:shd w:val="clear" w:color="auto" w:fill="FFFFFF"/>
        </w:rPr>
        <w:t>.</w:t>
      </w:r>
      <w:r w:rsidRPr="00201945">
        <w:rPr>
          <w:rFonts w:cs="Arial"/>
          <w:szCs w:val="24"/>
        </w:rPr>
        <w:t xml:space="preserve"> </w:t>
      </w:r>
      <w:bookmarkStart w:id="53" w:name="Para8355645"/>
      <w:bookmarkEnd w:id="53"/>
    </w:p>
    <w:p w14:paraId="3981CAF2" w14:textId="77777777" w:rsidR="00AA5246" w:rsidRDefault="00AA5246" w:rsidP="00AA5246">
      <w:pPr>
        <w:spacing w:line="240" w:lineRule="auto"/>
        <w:rPr>
          <w:rFonts w:cs="Arial"/>
          <w:color w:val="0F0F0F"/>
          <w:szCs w:val="24"/>
          <w:shd w:val="clear" w:color="auto" w:fill="FFFFFF"/>
        </w:rPr>
      </w:pPr>
      <w:r>
        <w:rPr>
          <w:rFonts w:cs="Arial"/>
          <w:color w:val="0F0F0F"/>
          <w:szCs w:val="24"/>
          <w:shd w:val="clear" w:color="auto" w:fill="FFFFFF"/>
        </w:rPr>
        <w:t xml:space="preserve">The CHRC supports calls made by disability communities to remove barriers and improve conditions for people with disabilities when travelling, </w:t>
      </w:r>
      <w:r w:rsidRPr="00F55BEF">
        <w:rPr>
          <w:rFonts w:cs="Arial"/>
          <w:color w:val="0F0F0F"/>
          <w:szCs w:val="24"/>
          <w:shd w:val="clear" w:color="auto" w:fill="FFFFFF"/>
        </w:rPr>
        <w:t>including by eliminating structural and individualized ableism in the transportation sector</w:t>
      </w:r>
      <w:r>
        <w:rPr>
          <w:rFonts w:cs="Arial"/>
          <w:color w:val="0F0F0F"/>
          <w:szCs w:val="24"/>
          <w:shd w:val="clear" w:color="auto" w:fill="FFFFFF"/>
        </w:rPr>
        <w:t xml:space="preserve">. </w:t>
      </w:r>
    </w:p>
    <w:p w14:paraId="435378EF" w14:textId="6C8C8D48" w:rsidR="00AA5246" w:rsidRPr="002E2679" w:rsidRDefault="00AA5246" w:rsidP="00AA5246">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Pr>
          <w:rFonts w:cs="Arial"/>
          <w:b/>
          <w:bCs/>
          <w:szCs w:val="24"/>
          <w:lang w:val="en-US"/>
        </w:rPr>
        <w:t>Recommendation #</w:t>
      </w:r>
      <w:r w:rsidR="00F30961">
        <w:rPr>
          <w:rFonts w:cs="Arial"/>
          <w:b/>
          <w:bCs/>
          <w:szCs w:val="24"/>
          <w:lang w:val="en-US"/>
        </w:rPr>
        <w:t>16</w:t>
      </w:r>
      <w:r>
        <w:rPr>
          <w:rFonts w:cs="Arial"/>
          <w:b/>
          <w:bCs/>
          <w:szCs w:val="24"/>
          <w:lang w:val="en-US"/>
        </w:rPr>
        <w:t xml:space="preserve">: </w:t>
      </w:r>
      <w:r w:rsidRPr="008C5AE6">
        <w:rPr>
          <w:rFonts w:cs="Arial"/>
          <w:szCs w:val="24"/>
          <w:lang w:val="en-US"/>
        </w:rPr>
        <w:t>That Canada protect the rights of people with disabilities when travelling, including by removing barriers and addressing ableism and discrimination in the transportation sector, so that all people with disabilities are able to travel freely, independently and with dignity.</w:t>
      </w:r>
    </w:p>
    <w:p w14:paraId="6B169659" w14:textId="480B5077" w:rsidR="00AA5246" w:rsidRDefault="00AA5246" w:rsidP="00AA5246">
      <w:pPr>
        <w:pStyle w:val="Heading1"/>
        <w:rPr>
          <w:lang w:val="en-US"/>
        </w:rPr>
      </w:pPr>
      <w:bookmarkStart w:id="54" w:name="_Toc183602905"/>
      <w:bookmarkStart w:id="55" w:name="_Toc183602996"/>
      <w:bookmarkStart w:id="56" w:name="_Toc187841561"/>
      <w:r>
        <w:rPr>
          <w:lang w:val="en-US"/>
        </w:rPr>
        <w:t>A</w:t>
      </w:r>
      <w:r w:rsidR="0086544E">
        <w:rPr>
          <w:lang w:val="en-US"/>
        </w:rPr>
        <w:t>ccess</w:t>
      </w:r>
      <w:r>
        <w:rPr>
          <w:lang w:val="en-US"/>
        </w:rPr>
        <w:t xml:space="preserve"> </w:t>
      </w:r>
      <w:r w:rsidR="0086544E">
        <w:rPr>
          <w:lang w:val="en-US"/>
        </w:rPr>
        <w:t>to</w:t>
      </w:r>
      <w:r>
        <w:rPr>
          <w:lang w:val="en-US"/>
        </w:rPr>
        <w:t xml:space="preserve"> H</w:t>
      </w:r>
      <w:r w:rsidR="0086544E">
        <w:rPr>
          <w:lang w:val="en-US"/>
        </w:rPr>
        <w:t>ealth</w:t>
      </w:r>
      <w:r>
        <w:rPr>
          <w:lang w:val="en-US"/>
        </w:rPr>
        <w:t xml:space="preserve"> (A</w:t>
      </w:r>
      <w:r w:rsidR="0086544E">
        <w:rPr>
          <w:lang w:val="en-US"/>
        </w:rPr>
        <w:t>rticles</w:t>
      </w:r>
      <w:r>
        <w:rPr>
          <w:lang w:val="en-US"/>
        </w:rPr>
        <w:t xml:space="preserve"> 17, 25)</w:t>
      </w:r>
      <w:bookmarkEnd w:id="54"/>
      <w:bookmarkEnd w:id="55"/>
      <w:bookmarkEnd w:id="56"/>
    </w:p>
    <w:p w14:paraId="5C92B9DC" w14:textId="77777777" w:rsidR="00AA5246" w:rsidRDefault="00AA5246" w:rsidP="00AA5246">
      <w:pPr>
        <w:pStyle w:val="Heading2"/>
        <w:ind w:left="567" w:hanging="567"/>
      </w:pPr>
      <w:bookmarkStart w:id="57" w:name="_Toc187841562"/>
      <w:bookmarkStart w:id="58" w:name="_Toc183602906"/>
      <w:bookmarkStart w:id="59" w:name="_Toc183602997"/>
      <w:r>
        <w:t>Barriers to health care</w:t>
      </w:r>
      <w:bookmarkEnd w:id="57"/>
      <w:r>
        <w:t xml:space="preserve"> </w:t>
      </w:r>
      <w:bookmarkEnd w:id="58"/>
      <w:bookmarkEnd w:id="59"/>
    </w:p>
    <w:p w14:paraId="03F10B8F" w14:textId="77777777" w:rsidR="00AA5246" w:rsidRDefault="00AA5246" w:rsidP="00AA5246">
      <w:pPr>
        <w:spacing w:line="240" w:lineRule="auto"/>
        <w:rPr>
          <w:lang w:val="en-US"/>
        </w:rPr>
      </w:pPr>
      <w:r>
        <w:rPr>
          <w:lang w:val="en-US"/>
        </w:rPr>
        <w:t>People with disabilities experience many barriers to accessing safe, quality and timely health care.</w:t>
      </w:r>
      <w:r>
        <w:rPr>
          <w:rStyle w:val="FootnoteReference"/>
          <w:lang w:val="en-US"/>
        </w:rPr>
        <w:footnoteReference w:id="55"/>
      </w:r>
      <w:r>
        <w:rPr>
          <w:lang w:val="en-US"/>
        </w:rPr>
        <w:t xml:space="preserve"> This includes barriers that are attitudinal (e.g. ableism, “medical model” and assumptions about people’s capacity and preferences); physical (e.g. inaccessible medical clinics and equipment); financial (e.g. the lack of public funding for treatment and medications); and communicational (e.g. complex language and a lack of sign language interpreters). People also experience barriers related to technology and transportation (e.g. inaccessible transit systems and unreliable internet access), especially in Northern and rural areas. Other barriers include long waitlists, rushed appointments</w:t>
      </w:r>
      <w:r>
        <w:t xml:space="preserve">, </w:t>
      </w:r>
      <w:r>
        <w:rPr>
          <w:lang w:val="en-US"/>
        </w:rPr>
        <w:t>an overreliance on sedation and forced treatment, and a “one-size-fits-most” approach to mental health care.</w:t>
      </w:r>
      <w:r>
        <w:rPr>
          <w:rStyle w:val="FootnoteReference"/>
          <w:lang w:val="en-US"/>
        </w:rPr>
        <w:footnoteReference w:id="56"/>
      </w:r>
      <w:r>
        <w:rPr>
          <w:lang w:val="en-US"/>
        </w:rPr>
        <w:t xml:space="preserve"> </w:t>
      </w:r>
    </w:p>
    <w:p w14:paraId="5155303C" w14:textId="77777777" w:rsidR="00AA5246" w:rsidRDefault="00AA5246" w:rsidP="00AA5246">
      <w:pPr>
        <w:spacing w:line="240" w:lineRule="auto"/>
        <w:rPr>
          <w:lang w:val="en-US"/>
        </w:rPr>
      </w:pPr>
      <w:r>
        <w:rPr>
          <w:rFonts w:cs="Arial"/>
          <w:szCs w:val="24"/>
        </w:rPr>
        <w:lastRenderedPageBreak/>
        <w:t>Some people with disabilities face additional barriers in health care resulting from their intersectional identities. Indigenous and other racialized people have reported encountering racism, including structural and systemic racism, when accessing health care. This can include assumptions being made about patients’ needs based on stereotypes, misdiagnoses based on stigma, and a lack of adequate supports. This can be life-threatening or even result in death from preventable causes.</w:t>
      </w:r>
      <w:r>
        <w:rPr>
          <w:rStyle w:val="FootnoteReference"/>
          <w:rFonts w:cs="Arial"/>
          <w:szCs w:val="24"/>
        </w:rPr>
        <w:footnoteReference w:id="57"/>
      </w:r>
      <w:r>
        <w:rPr>
          <w:rFonts w:cs="Arial"/>
          <w:szCs w:val="24"/>
        </w:rPr>
        <w:t xml:space="preserve"> </w:t>
      </w:r>
    </w:p>
    <w:p w14:paraId="4C284BFB" w14:textId="77777777" w:rsidR="00AA5246" w:rsidRDefault="00AA5246" w:rsidP="00AA5246">
      <w:pPr>
        <w:spacing w:line="240" w:lineRule="auto"/>
        <w:rPr>
          <w:lang w:val="en-US"/>
        </w:rPr>
      </w:pPr>
      <w:r>
        <w:rPr>
          <w:lang w:val="en-US"/>
        </w:rPr>
        <w:t>Existing barriers and inequalities were exacerbated during the COVID-19 pandemic.</w:t>
      </w:r>
      <w:r>
        <w:rPr>
          <w:rStyle w:val="FootnoteReference"/>
          <w:lang w:val="en-US"/>
        </w:rPr>
        <w:footnoteReference w:id="58"/>
      </w:r>
      <w:r>
        <w:rPr>
          <w:lang w:val="en-US"/>
        </w:rPr>
        <w:t xml:space="preserve"> Some people with disabilities were denied access to essential supports, services, and equipment during lockdown measures.</w:t>
      </w:r>
      <w:r>
        <w:rPr>
          <w:rStyle w:val="FootnoteReference"/>
          <w:lang w:val="en-US"/>
        </w:rPr>
        <w:footnoteReference w:id="59"/>
      </w:r>
      <w:r>
        <w:rPr>
          <w:lang w:val="en-US"/>
        </w:rPr>
        <w:t xml:space="preserve"> Some provinces adopted “triage protocols” to determine how to prioritize patients if medical facilities and equipment were overstretched.</w:t>
      </w:r>
      <w:r>
        <w:rPr>
          <w:rStyle w:val="FootnoteReference"/>
          <w:lang w:val="en-US"/>
        </w:rPr>
        <w:footnoteReference w:id="60"/>
      </w:r>
      <w:r>
        <w:rPr>
          <w:lang w:val="en-US"/>
        </w:rPr>
        <w:t xml:space="preserve"> Ableist assumptions and biases in the development and implementation of these protocols could result in people with disabilities being denied access to life-saving care. The lack of transparency regarding these protocols is also deeply concerning. The CHRC echoes disability communities’ calls to ensure that the needs of people with disabilities are prioritized when planning for and responding to health emergencies.</w:t>
      </w:r>
      <w:r>
        <w:rPr>
          <w:rStyle w:val="FootnoteReference"/>
          <w:lang w:val="en-US"/>
        </w:rPr>
        <w:footnoteReference w:id="61"/>
      </w:r>
    </w:p>
    <w:p w14:paraId="40F7C263" w14:textId="77777777" w:rsidR="00AA5246" w:rsidRDefault="00AA5246" w:rsidP="00AA5246">
      <w:pPr>
        <w:spacing w:line="240" w:lineRule="auto"/>
      </w:pPr>
      <w:r>
        <w:lastRenderedPageBreak/>
        <w:t>M</w:t>
      </w:r>
      <w:r w:rsidRPr="006F4512">
        <w:t>ental health issues</w:t>
      </w:r>
      <w:r>
        <w:t xml:space="preserve"> have</w:t>
      </w:r>
      <w:r w:rsidRPr="006F4512">
        <w:t xml:space="preserve"> significantly increased since the start of the COVID-19 pandemic, </w:t>
      </w:r>
      <w:r>
        <w:t>exacerbated by anxieties related to increasing economic stressors and housing and food insecurity.</w:t>
      </w:r>
      <w:r>
        <w:rPr>
          <w:rStyle w:val="FootnoteReference"/>
        </w:rPr>
        <w:footnoteReference w:id="62"/>
      </w:r>
      <w:r w:rsidRPr="006F4512">
        <w:t xml:space="preserve"> </w:t>
      </w:r>
      <w:r>
        <w:t>However, s</w:t>
      </w:r>
      <w:r w:rsidRPr="006F4512">
        <w:t>tigma, financial barriers, staffing shortages and long waitlists</w:t>
      </w:r>
      <w:r>
        <w:t xml:space="preserve"> continue to prevent many people from accessing mental health care</w:t>
      </w:r>
      <w:r w:rsidRPr="006F4512">
        <w:t>.</w:t>
      </w:r>
    </w:p>
    <w:p w14:paraId="7BE92082" w14:textId="77777777" w:rsidR="00AA5246" w:rsidRDefault="00AA5246" w:rsidP="00AA5246">
      <w:pPr>
        <w:spacing w:line="240" w:lineRule="auto"/>
      </w:pPr>
      <w:r>
        <w:rPr>
          <w:lang w:val="en-US"/>
        </w:rPr>
        <w:t xml:space="preserve">There is also a significant link between substance use disorders and mental illness. </w:t>
      </w:r>
      <w:r w:rsidRPr="00E20BE9">
        <w:t>A</w:t>
      </w:r>
      <w:r>
        <w:t>ccording to the Centre for Addiction and Mental Health, a</w:t>
      </w:r>
      <w:r w:rsidRPr="00E20BE9">
        <w:t>t least 20% of people with a mental illness have a co-occurring substance use disorder</w:t>
      </w:r>
      <w:r>
        <w:t>.</w:t>
      </w:r>
      <w:r>
        <w:rPr>
          <w:rStyle w:val="FootnoteReference"/>
        </w:rPr>
        <w:footnoteReference w:id="63"/>
      </w:r>
      <w:r>
        <w:t xml:space="preserve"> </w:t>
      </w:r>
      <w:r w:rsidRPr="006F4512">
        <w:t>In the midst of an ongoing opioid crisis, people with substance use disorders face unique barriers and stigma in accessing care</w:t>
      </w:r>
      <w:r>
        <w:t xml:space="preserve"> due to </w:t>
      </w:r>
      <w:r w:rsidRPr="006F4512">
        <w:t xml:space="preserve">a </w:t>
      </w:r>
      <w:r>
        <w:t>lack</w:t>
      </w:r>
      <w:r w:rsidRPr="006F4512">
        <w:t xml:space="preserve"> of accessible, affordable, trauma-informed, and harm reduction-based supports and services in the community. </w:t>
      </w:r>
      <w:r w:rsidRPr="002D4A7A">
        <w:t xml:space="preserve">The CHRC </w:t>
      </w:r>
      <w:r>
        <w:t xml:space="preserve">supports </w:t>
      </w:r>
      <w:r w:rsidRPr="002D4A7A">
        <w:t>calls to improve timely access to mental health and addiction care.</w:t>
      </w:r>
      <w:r w:rsidRPr="002D4A7A">
        <w:rPr>
          <w:rStyle w:val="FootnoteReference"/>
        </w:rPr>
        <w:footnoteReference w:id="64"/>
      </w:r>
    </w:p>
    <w:p w14:paraId="3991258B" w14:textId="1AC9812C" w:rsidR="00AA5246" w:rsidRDefault="00AA5246" w:rsidP="00AA5246">
      <w:pPr>
        <w:spacing w:line="240" w:lineRule="auto"/>
        <w:rPr>
          <w:lang w:val="en-US"/>
        </w:rPr>
      </w:pPr>
      <w:r w:rsidRPr="00794205">
        <w:t>People with disabilities should be included in the development of health care policies and programs to ensure that their needs and perspectives are reflected. Biases and assumptions about disability should not limit access to health care and medical information. Treatment options should be presented in a balanced, non-directive manner that allows patients to make free and informed decisions</w:t>
      </w:r>
      <w:r w:rsidR="00414ADC">
        <w:t>.</w:t>
      </w:r>
    </w:p>
    <w:p w14:paraId="105A2B54" w14:textId="155E7949" w:rsidR="00AA5246" w:rsidRPr="00414ADC" w:rsidRDefault="00AA5246" w:rsidP="00414ADC">
      <w:pPr>
        <w:pStyle w:val="NoSpacing"/>
        <w:pBdr>
          <w:top w:val="single" w:sz="12" w:space="1" w:color="auto"/>
          <w:left w:val="single" w:sz="12" w:space="4" w:color="auto"/>
          <w:bottom w:val="single" w:sz="12" w:space="1" w:color="auto"/>
          <w:right w:val="single" w:sz="12" w:space="4" w:color="auto"/>
        </w:pBdr>
        <w:shd w:val="clear" w:color="auto" w:fill="DEEAF6" w:themeFill="accent1" w:themeFillTint="33"/>
        <w:rPr>
          <w:rFonts w:ascii="Arial" w:hAnsi="Arial" w:cs="Arial"/>
          <w:sz w:val="24"/>
          <w:szCs w:val="24"/>
        </w:rPr>
      </w:pPr>
      <w:r w:rsidRPr="00414ADC">
        <w:rPr>
          <w:rFonts w:ascii="Arial" w:hAnsi="Arial" w:cs="Arial"/>
          <w:b/>
          <w:bCs/>
          <w:sz w:val="24"/>
          <w:szCs w:val="24"/>
        </w:rPr>
        <w:t>Recommendation #</w:t>
      </w:r>
      <w:r w:rsidR="00F30961">
        <w:rPr>
          <w:rFonts w:ascii="Arial" w:hAnsi="Arial" w:cs="Arial"/>
          <w:b/>
          <w:bCs/>
          <w:sz w:val="24"/>
          <w:szCs w:val="24"/>
        </w:rPr>
        <w:t>17</w:t>
      </w:r>
      <w:r w:rsidRPr="00414ADC">
        <w:rPr>
          <w:rFonts w:ascii="Arial" w:hAnsi="Arial" w:cs="Arial"/>
          <w:b/>
          <w:bCs/>
          <w:sz w:val="24"/>
          <w:szCs w:val="24"/>
        </w:rPr>
        <w:t xml:space="preserve">: </w:t>
      </w:r>
      <w:r w:rsidRPr="00414ADC">
        <w:rPr>
          <w:rFonts w:ascii="Arial" w:hAnsi="Arial" w:cs="Arial"/>
          <w:sz w:val="24"/>
          <w:szCs w:val="24"/>
        </w:rPr>
        <w:t>That Canada address barriers to health care for people with disabilities, and meaningfully include people with disabilities in health care-related policymaking.</w:t>
      </w:r>
    </w:p>
    <w:p w14:paraId="3D0F1C5B" w14:textId="77777777" w:rsidR="00414ADC" w:rsidRDefault="00414ADC" w:rsidP="00414ADC">
      <w:pPr>
        <w:pStyle w:val="NoSpacing"/>
        <w:pBdr>
          <w:top w:val="single" w:sz="12" w:space="1" w:color="auto"/>
          <w:left w:val="single" w:sz="12" w:space="4" w:color="auto"/>
          <w:bottom w:val="single" w:sz="12" w:space="1" w:color="auto"/>
          <w:right w:val="single" w:sz="12" w:space="4" w:color="auto"/>
        </w:pBdr>
        <w:shd w:val="clear" w:color="auto" w:fill="DEEAF6" w:themeFill="accent1" w:themeFillTint="33"/>
        <w:rPr>
          <w:rFonts w:cs="Arial"/>
          <w:szCs w:val="24"/>
        </w:rPr>
      </w:pPr>
    </w:p>
    <w:p w14:paraId="6E3CE338" w14:textId="46A8308F" w:rsidR="00AA5246" w:rsidRPr="00522BB1" w:rsidRDefault="00AA5246" w:rsidP="00AA5246">
      <w:pPr>
        <w:pStyle w:val="NoSpacing"/>
        <w:pBdr>
          <w:top w:val="single" w:sz="12" w:space="1" w:color="auto"/>
          <w:left w:val="single" w:sz="12" w:space="4" w:color="auto"/>
          <w:bottom w:val="single" w:sz="12" w:space="1" w:color="auto"/>
          <w:right w:val="single" w:sz="12" w:space="4" w:color="auto"/>
        </w:pBdr>
        <w:shd w:val="clear" w:color="auto" w:fill="DEEAF6" w:themeFill="accent1" w:themeFillTint="33"/>
        <w:rPr>
          <w:rFonts w:ascii="Arial" w:hAnsi="Arial" w:cs="Arial"/>
          <w:sz w:val="24"/>
          <w:szCs w:val="24"/>
        </w:rPr>
      </w:pPr>
      <w:r>
        <w:rPr>
          <w:rFonts w:ascii="Arial" w:hAnsi="Arial" w:cs="Arial"/>
          <w:b/>
          <w:bCs/>
          <w:sz w:val="24"/>
          <w:szCs w:val="24"/>
        </w:rPr>
        <w:t xml:space="preserve">Recommendation </w:t>
      </w:r>
      <w:r>
        <w:rPr>
          <w:rFonts w:ascii="Arial" w:hAnsi="Arial" w:cs="Arial"/>
          <w:b/>
          <w:bCs/>
          <w:sz w:val="24"/>
          <w:szCs w:val="24"/>
          <w:lang w:val="en-CA"/>
        </w:rPr>
        <w:t>#</w:t>
      </w:r>
      <w:r w:rsidR="00F30961">
        <w:rPr>
          <w:rFonts w:ascii="Arial" w:hAnsi="Arial" w:cs="Arial"/>
          <w:b/>
          <w:bCs/>
          <w:sz w:val="24"/>
          <w:szCs w:val="24"/>
          <w:lang w:val="en-CA"/>
        </w:rPr>
        <w:t>18</w:t>
      </w:r>
      <w:r>
        <w:rPr>
          <w:rFonts w:ascii="Arial" w:hAnsi="Arial" w:cs="Arial"/>
          <w:b/>
          <w:bCs/>
          <w:sz w:val="24"/>
          <w:szCs w:val="24"/>
          <w:lang w:val="en-CA"/>
        </w:rPr>
        <w:t xml:space="preserve">: </w:t>
      </w:r>
      <w:r w:rsidRPr="00522BB1">
        <w:rPr>
          <w:rFonts w:ascii="Arial" w:hAnsi="Arial" w:cs="Arial"/>
          <w:sz w:val="24"/>
          <w:szCs w:val="24"/>
        </w:rPr>
        <w:t xml:space="preserve">That Canada improve timely access to mental health and addiction care, including by increasing funding to support services, and addressing contributing issues such as poverty, housing and food insecurity. These efforts should ensure coordination between the various jurisdictions in Canada. </w:t>
      </w:r>
    </w:p>
    <w:p w14:paraId="30E5D3E8" w14:textId="77777777" w:rsidR="00AA5246" w:rsidRDefault="00AA5246" w:rsidP="00AA5246">
      <w:pPr>
        <w:pStyle w:val="Heading2"/>
        <w:ind w:left="567" w:hanging="567"/>
      </w:pPr>
      <w:bookmarkStart w:id="60" w:name="_Toc183602907"/>
      <w:bookmarkStart w:id="61" w:name="_Toc183602998"/>
      <w:bookmarkStart w:id="62" w:name="_Toc187841563"/>
      <w:r>
        <w:t>Reproductive health justice</w:t>
      </w:r>
      <w:bookmarkEnd w:id="60"/>
      <w:bookmarkEnd w:id="61"/>
      <w:bookmarkEnd w:id="62"/>
    </w:p>
    <w:p w14:paraId="7BFF28CB" w14:textId="77777777" w:rsidR="00AA5246" w:rsidRDefault="00AA5246" w:rsidP="00AA5246">
      <w:pPr>
        <w:spacing w:line="240" w:lineRule="auto"/>
        <w:rPr>
          <w:rFonts w:cs="Arial"/>
          <w:szCs w:val="24"/>
          <w:lang w:val="en-US"/>
        </w:rPr>
      </w:pPr>
      <w:r w:rsidRPr="00262BB7">
        <w:rPr>
          <w:rFonts w:cs="Arial"/>
          <w:szCs w:val="24"/>
        </w:rPr>
        <w:t>Historically, policies of sterilization in Canada existed under the guise of public health, where sterilization was a condition of release from mental health institutions. These policies disproportionately affected Indigenous women.</w:t>
      </w:r>
      <w:r w:rsidRPr="00262BB7">
        <w:rPr>
          <w:rStyle w:val="FootnoteReference"/>
          <w:rFonts w:cs="Arial"/>
        </w:rPr>
        <w:footnoteReference w:id="65"/>
      </w:r>
      <w:r w:rsidRPr="00262BB7">
        <w:rPr>
          <w:rFonts w:cs="Arial"/>
          <w:szCs w:val="24"/>
          <w:lang w:val="en-US"/>
        </w:rPr>
        <w:t xml:space="preserve"> </w:t>
      </w:r>
      <w:r>
        <w:rPr>
          <w:rFonts w:cs="Arial"/>
          <w:szCs w:val="24"/>
          <w:lang w:val="en-US"/>
        </w:rPr>
        <w:t xml:space="preserve">Other groups </w:t>
      </w:r>
      <w:r>
        <w:rPr>
          <w:rFonts w:cs="Arial"/>
          <w:szCs w:val="24"/>
          <w:lang w:val="en-US"/>
        </w:rPr>
        <w:lastRenderedPageBreak/>
        <w:t xml:space="preserve">disproportionately affected include </w:t>
      </w:r>
      <w:r w:rsidRPr="005C4609">
        <w:rPr>
          <w:rFonts w:cs="Arial"/>
          <w:szCs w:val="24"/>
          <w:lang w:val="en-US"/>
        </w:rPr>
        <w:t xml:space="preserve">Black and racialized women, </w:t>
      </w:r>
      <w:r>
        <w:rPr>
          <w:rFonts w:cs="Arial"/>
          <w:szCs w:val="24"/>
          <w:lang w:val="en-US"/>
        </w:rPr>
        <w:t>people</w:t>
      </w:r>
      <w:r w:rsidRPr="005C4609">
        <w:rPr>
          <w:rFonts w:cs="Arial"/>
          <w:szCs w:val="24"/>
          <w:lang w:val="en-US"/>
        </w:rPr>
        <w:t xml:space="preserve"> with disabilities, intersex children and</w:t>
      </w:r>
      <w:r>
        <w:rPr>
          <w:rFonts w:cs="Arial"/>
          <w:szCs w:val="24"/>
          <w:lang w:val="en-US"/>
        </w:rPr>
        <w:t xml:space="preserve"> </w:t>
      </w:r>
      <w:r w:rsidRPr="005C4609">
        <w:rPr>
          <w:rFonts w:cs="Arial"/>
          <w:szCs w:val="24"/>
          <w:lang w:val="en-US"/>
        </w:rPr>
        <w:t xml:space="preserve">institutionalized </w:t>
      </w:r>
      <w:r>
        <w:rPr>
          <w:rFonts w:cs="Arial"/>
          <w:szCs w:val="24"/>
          <w:lang w:val="en-US"/>
        </w:rPr>
        <w:t>people.</w:t>
      </w:r>
      <w:r>
        <w:rPr>
          <w:rStyle w:val="FootnoteReference"/>
          <w:rFonts w:cs="Arial"/>
          <w:szCs w:val="24"/>
          <w:lang w:val="en-US"/>
        </w:rPr>
        <w:footnoteReference w:id="66"/>
      </w:r>
      <w:r>
        <w:rPr>
          <w:rFonts w:cs="Arial"/>
          <w:szCs w:val="24"/>
          <w:lang w:val="en-US"/>
        </w:rPr>
        <w:t xml:space="preserve"> </w:t>
      </w:r>
    </w:p>
    <w:p w14:paraId="06CCF8D3" w14:textId="77777777" w:rsidR="00AA5246" w:rsidRDefault="00AA5246" w:rsidP="00AA5246">
      <w:pPr>
        <w:spacing w:line="240" w:lineRule="auto"/>
        <w:rPr>
          <w:rFonts w:cs="Arial"/>
          <w:szCs w:val="24"/>
          <w:lang w:val="en-US"/>
        </w:rPr>
      </w:pPr>
      <w:r>
        <w:rPr>
          <w:rFonts w:cs="Arial"/>
          <w:szCs w:val="24"/>
        </w:rPr>
        <w:t>The CHRC remains concerned by reports that</w:t>
      </w:r>
      <w:r w:rsidRPr="00CB49E7">
        <w:rPr>
          <w:rFonts w:cs="Arial"/>
          <w:szCs w:val="24"/>
        </w:rPr>
        <w:t xml:space="preserve"> the practice of forced or coerced sterilization continues to this day.</w:t>
      </w:r>
      <w:r>
        <w:rPr>
          <w:rFonts w:cs="Arial"/>
          <w:szCs w:val="24"/>
          <w:lang w:val="en-US"/>
        </w:rPr>
        <w:t xml:space="preserve"> Survivors of</w:t>
      </w:r>
      <w:r w:rsidRPr="00262BB7">
        <w:rPr>
          <w:rFonts w:cs="Arial"/>
          <w:szCs w:val="24"/>
          <w:lang w:val="en-US"/>
        </w:rPr>
        <w:t xml:space="preserve"> coerced sterilization suffer from </w:t>
      </w:r>
      <w:r>
        <w:rPr>
          <w:rFonts w:cs="Arial"/>
          <w:szCs w:val="24"/>
          <w:lang w:val="en-US"/>
        </w:rPr>
        <w:t>associated</w:t>
      </w:r>
      <w:r w:rsidRPr="00262BB7">
        <w:rPr>
          <w:rFonts w:cs="Arial"/>
          <w:szCs w:val="24"/>
          <w:lang w:val="en-US"/>
        </w:rPr>
        <w:t xml:space="preserve"> ailments and </w:t>
      </w:r>
      <w:r>
        <w:rPr>
          <w:rFonts w:cs="Arial"/>
          <w:szCs w:val="24"/>
          <w:lang w:val="en-US"/>
        </w:rPr>
        <w:t>may</w:t>
      </w:r>
      <w:r w:rsidRPr="00262BB7">
        <w:rPr>
          <w:rFonts w:cs="Arial"/>
          <w:szCs w:val="24"/>
          <w:lang w:val="en-US"/>
        </w:rPr>
        <w:t xml:space="preserve"> </w:t>
      </w:r>
      <w:r>
        <w:rPr>
          <w:rFonts w:cs="Arial"/>
          <w:szCs w:val="24"/>
          <w:lang w:val="en-US"/>
        </w:rPr>
        <w:t>avoid</w:t>
      </w:r>
      <w:r w:rsidRPr="00262BB7">
        <w:rPr>
          <w:rFonts w:cs="Arial"/>
          <w:szCs w:val="24"/>
          <w:lang w:val="en-US"/>
        </w:rPr>
        <w:t xml:space="preserve"> preventive healthcare services due to profound mistrust of the healthcare system and its authorities.</w:t>
      </w:r>
      <w:r w:rsidRPr="00262BB7">
        <w:rPr>
          <w:rStyle w:val="FootnoteReference"/>
          <w:rFonts w:cs="Arial"/>
          <w:lang w:val="en-US"/>
        </w:rPr>
        <w:footnoteReference w:id="67"/>
      </w:r>
      <w:r>
        <w:rPr>
          <w:rFonts w:cs="Arial"/>
          <w:szCs w:val="24"/>
          <w:lang w:val="en-US"/>
        </w:rPr>
        <w:t xml:space="preserve"> </w:t>
      </w:r>
    </w:p>
    <w:p w14:paraId="00725A8C" w14:textId="77777777" w:rsidR="00AA5246" w:rsidRDefault="00AA5246" w:rsidP="00AA5246">
      <w:pPr>
        <w:spacing w:line="240" w:lineRule="auto"/>
        <w:rPr>
          <w:rFonts w:cs="Arial"/>
          <w:szCs w:val="24"/>
        </w:rPr>
      </w:pPr>
      <w:r>
        <w:rPr>
          <w:rFonts w:cs="Arial"/>
          <w:szCs w:val="24"/>
          <w:lang w:val="en-US"/>
        </w:rPr>
        <w:t>A</w:t>
      </w:r>
      <w:r w:rsidRPr="00BD2679">
        <w:rPr>
          <w:rFonts w:cs="Arial"/>
          <w:szCs w:val="24"/>
          <w:lang w:val="en-US"/>
        </w:rPr>
        <w:t xml:space="preserve"> 2022 report from the Standing Senate Committee on Human Rights recommended</w:t>
      </w:r>
      <w:r>
        <w:rPr>
          <w:rFonts w:cs="Arial"/>
          <w:szCs w:val="24"/>
          <w:lang w:val="en-US"/>
        </w:rPr>
        <w:t xml:space="preserve"> that Canada take </w:t>
      </w:r>
      <w:r w:rsidRPr="00F04898">
        <w:rPr>
          <w:rFonts w:cs="Arial"/>
          <w:szCs w:val="24"/>
          <w:lang w:val="en-US"/>
        </w:rPr>
        <w:t>legislative and policy measures to prevent forced or coerced sterilization, including by taking steps to address racism, ableism and other forms of discrimination in health care settings, and providing support to people seeking recourse and care.</w:t>
      </w:r>
      <w:r>
        <w:rPr>
          <w:rStyle w:val="FootnoteReference"/>
          <w:rFonts w:cs="Arial"/>
          <w:szCs w:val="24"/>
          <w:lang w:val="en-US"/>
        </w:rPr>
        <w:footnoteReference w:id="68"/>
      </w:r>
      <w:r w:rsidRPr="00430954">
        <w:rPr>
          <w:rStyle w:val="FootnoteReference"/>
          <w:rFonts w:cs="Arial"/>
          <w:szCs w:val="24"/>
        </w:rPr>
        <w:t xml:space="preserve"> </w:t>
      </w:r>
    </w:p>
    <w:p w14:paraId="3E08608F" w14:textId="012FD8CD" w:rsidR="00AA5246" w:rsidRPr="00084EAC" w:rsidRDefault="00AA5246" w:rsidP="00AA5246">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Pr>
          <w:rFonts w:cs="Arial"/>
          <w:b/>
          <w:bCs/>
          <w:szCs w:val="24"/>
          <w:lang w:val="en-US"/>
        </w:rPr>
        <w:t>Recommendation #</w:t>
      </w:r>
      <w:r w:rsidR="00F30961">
        <w:rPr>
          <w:rFonts w:cs="Arial"/>
          <w:b/>
          <w:bCs/>
          <w:szCs w:val="24"/>
          <w:lang w:val="en-US"/>
        </w:rPr>
        <w:t>19</w:t>
      </w:r>
      <w:r>
        <w:rPr>
          <w:rFonts w:cs="Arial"/>
          <w:b/>
          <w:bCs/>
          <w:szCs w:val="24"/>
          <w:lang w:val="en-US"/>
        </w:rPr>
        <w:t xml:space="preserve">: </w:t>
      </w:r>
      <w:r w:rsidRPr="0025644A">
        <w:rPr>
          <w:rFonts w:cs="Arial"/>
          <w:szCs w:val="24"/>
          <w:lang w:val="en-US"/>
        </w:rPr>
        <w:t>That Canada</w:t>
      </w:r>
      <w:r>
        <w:rPr>
          <w:rFonts w:cs="Arial"/>
          <w:b/>
          <w:bCs/>
          <w:szCs w:val="24"/>
          <w:lang w:val="en-US"/>
        </w:rPr>
        <w:t xml:space="preserve"> </w:t>
      </w:r>
      <w:r>
        <w:rPr>
          <w:rFonts w:cs="Arial"/>
          <w:szCs w:val="24"/>
          <w:lang w:val="en-US"/>
        </w:rPr>
        <w:t xml:space="preserve">implement the recommendations of the Standing Senate Committee on Human Rights to end forced or coerced sterilization and ensure redress, support and justice for survivors. </w:t>
      </w:r>
    </w:p>
    <w:p w14:paraId="626D3487" w14:textId="77777777" w:rsidR="00AA5246" w:rsidRDefault="00AA5246" w:rsidP="00AA5246">
      <w:pPr>
        <w:spacing w:line="240" w:lineRule="auto"/>
      </w:pPr>
      <w:r>
        <w:t>The CHRC remains concerned about barriers encountered by trans and gender-diverse people with disabilities in accessing quality health care. A report published by Trans PULSE Canada in 2023</w:t>
      </w:r>
      <w:r>
        <w:rPr>
          <w:rStyle w:val="FootnoteReference"/>
        </w:rPr>
        <w:footnoteReference w:id="69"/>
      </w:r>
      <w:r>
        <w:t xml:space="preserve"> revealed that trans and non-binary participants who self-identified as disabled were significantly more likely to have unmet health care needs, to have experienced discrimination or exclusion within the trans and non-binary communities due to their disability, to have avoided the diagnosis of a health issue for fear it would impact their access to gender-affirming care, and to have reported considering suicide in the past year. </w:t>
      </w:r>
    </w:p>
    <w:p w14:paraId="1284F789" w14:textId="77777777" w:rsidR="00AA5246" w:rsidRDefault="00AA5246" w:rsidP="00AA5246">
      <w:pPr>
        <w:spacing w:line="240" w:lineRule="auto"/>
      </w:pPr>
      <w:r>
        <w:t xml:space="preserve">According to this report, while people commonly experience affordability and travel barriers to gender-affirming care, trans and non-binary people with disabilities are even more likely to be unable to afford treatment or unable to travel than their counterparts without disabilities. Some also reported being denied gender-affirming care because of their disability. </w:t>
      </w:r>
    </w:p>
    <w:p w14:paraId="12190A1B" w14:textId="77777777" w:rsidR="00AA5246" w:rsidRDefault="00AA5246" w:rsidP="00AA5246">
      <w:pPr>
        <w:spacing w:line="240" w:lineRule="auto"/>
      </w:pPr>
      <w:r>
        <w:lastRenderedPageBreak/>
        <w:t>Trans and non-binary people with disabilities were also more likely to experience other barriers to health in comparison to their counterparts: they are more likely to struggle to meet monthly housing costs, they are less likely to experience a strong sense of belonging or community, and they are more likely to experience violence and harassment.</w:t>
      </w:r>
    </w:p>
    <w:p w14:paraId="65A55E49" w14:textId="6E622103" w:rsidR="00AA5246" w:rsidRPr="00127637" w:rsidRDefault="00AA5246" w:rsidP="00AA5246">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Pr>
          <w:rFonts w:cs="Arial"/>
          <w:b/>
          <w:bCs/>
          <w:szCs w:val="24"/>
          <w:lang w:val="en-US"/>
        </w:rPr>
        <w:t>Recommendation #</w:t>
      </w:r>
      <w:r w:rsidR="00F30961">
        <w:rPr>
          <w:rFonts w:cs="Arial"/>
          <w:b/>
          <w:bCs/>
          <w:szCs w:val="24"/>
          <w:lang w:val="en-US"/>
        </w:rPr>
        <w:t>20</w:t>
      </w:r>
      <w:r>
        <w:rPr>
          <w:rFonts w:cs="Arial"/>
          <w:b/>
          <w:bCs/>
          <w:szCs w:val="24"/>
          <w:lang w:val="en-US"/>
        </w:rPr>
        <w:t xml:space="preserve">: </w:t>
      </w:r>
      <w:r w:rsidRPr="0025644A">
        <w:rPr>
          <w:rFonts w:cs="Arial"/>
          <w:szCs w:val="24"/>
          <w:lang w:val="en-US"/>
        </w:rPr>
        <w:t>That Canada</w:t>
      </w:r>
      <w:r>
        <w:rPr>
          <w:rFonts w:cs="Arial"/>
          <w:b/>
          <w:bCs/>
          <w:szCs w:val="24"/>
          <w:lang w:val="en-US"/>
        </w:rPr>
        <w:t xml:space="preserve"> </w:t>
      </w:r>
      <w:r>
        <w:rPr>
          <w:rFonts w:cs="Arial"/>
          <w:szCs w:val="24"/>
          <w:lang w:val="en-US"/>
        </w:rPr>
        <w:t xml:space="preserve">meaningfully improve the health and well-being of trans and gender diverse people with disabilities, and support research, policies and interventions to this effect. </w:t>
      </w:r>
    </w:p>
    <w:p w14:paraId="3AB11FC8" w14:textId="4005C7C2" w:rsidR="00AA5246" w:rsidRDefault="00AA5246" w:rsidP="00AA5246">
      <w:pPr>
        <w:pStyle w:val="Heading1"/>
      </w:pPr>
      <w:bookmarkStart w:id="63" w:name="_Toc183602927"/>
      <w:bookmarkStart w:id="64" w:name="_Toc183603016"/>
      <w:bookmarkStart w:id="65" w:name="_Toc187841564"/>
      <w:r>
        <w:t>C</w:t>
      </w:r>
      <w:r w:rsidR="0086544E">
        <w:t>limate</w:t>
      </w:r>
      <w:r>
        <w:t xml:space="preserve"> J</w:t>
      </w:r>
      <w:r w:rsidR="0086544E">
        <w:t>ustice</w:t>
      </w:r>
      <w:r>
        <w:t xml:space="preserve"> (A</w:t>
      </w:r>
      <w:r w:rsidR="0086544E">
        <w:t>rticle</w:t>
      </w:r>
      <w:r>
        <w:t xml:space="preserve"> 11)</w:t>
      </w:r>
      <w:bookmarkEnd w:id="63"/>
      <w:bookmarkEnd w:id="64"/>
      <w:bookmarkEnd w:id="65"/>
    </w:p>
    <w:p w14:paraId="381D119A" w14:textId="77777777" w:rsidR="00AA5246" w:rsidRDefault="00AA5246" w:rsidP="00AA5246">
      <w:pPr>
        <w:spacing w:line="240" w:lineRule="auto"/>
      </w:pPr>
      <w:r w:rsidRPr="001974F1">
        <w:t>The ongoing climate crisis</w:t>
      </w:r>
      <w:r>
        <w:t>, as well as proposed mitigation solutions and strategies,</w:t>
      </w:r>
      <w:r w:rsidRPr="001974F1">
        <w:t xml:space="preserve"> ha</w:t>
      </w:r>
      <w:r>
        <w:t xml:space="preserve">ve unique and disproportionate impacts on people with disabilities. </w:t>
      </w:r>
    </w:p>
    <w:p w14:paraId="4E390188" w14:textId="77777777" w:rsidR="00AA5246" w:rsidRDefault="00AA5246" w:rsidP="00AA5246">
      <w:pPr>
        <w:spacing w:line="240" w:lineRule="auto"/>
      </w:pPr>
      <w:r>
        <w:t>As people with disabilities face significant barriers to human rights including financial security, transportation, healthcare, and humanitarian assistance, their vulnerability to the effects of climate change is also disproportionate.</w:t>
      </w:r>
      <w:r>
        <w:rPr>
          <w:rStyle w:val="FootnoteReference"/>
        </w:rPr>
        <w:footnoteReference w:id="70"/>
      </w:r>
      <w:r>
        <w:t xml:space="preserve"> For example, during an extreme heat wave in British Columbia in summer 2021, older people and people with disabilities were overwhelmingly overrepresented among heat-related deaths.</w:t>
      </w:r>
      <w:r>
        <w:rPr>
          <w:rStyle w:val="FootnoteReference"/>
        </w:rPr>
        <w:footnoteReference w:id="71"/>
      </w:r>
      <w:r>
        <w:t xml:space="preserve"> </w:t>
      </w:r>
    </w:p>
    <w:p w14:paraId="7BFCAE45" w14:textId="4ADF0656" w:rsidR="00AA5246" w:rsidRDefault="00A70D53" w:rsidP="00AA5246">
      <w:pPr>
        <w:spacing w:line="240" w:lineRule="auto"/>
        <w:rPr>
          <w:rFonts w:cs="Arial"/>
          <w:szCs w:val="24"/>
        </w:rPr>
      </w:pPr>
      <w:r w:rsidRPr="00970B58">
        <w:t>Long-term health impacts as a result of environmental racism may also contribute to disabilities.</w:t>
      </w:r>
      <w:r>
        <w:t xml:space="preserve"> For instance, </w:t>
      </w:r>
      <w:r w:rsidR="00AA5246" w:rsidRPr="00140E2A">
        <w:rPr>
          <w:rFonts w:eastAsia="Calibri" w:cs="Arial"/>
          <w:szCs w:val="24"/>
        </w:rPr>
        <w:t xml:space="preserve">Indigenous, Black and other racialized communities often experience environmental racism, whereby polluting industries and environmentally hazardous activities such as landfills, trash incinerators, coal plants and toxic waste dumps are disproportionately located near their </w:t>
      </w:r>
      <w:r w:rsidR="00AA5246">
        <w:rPr>
          <w:rFonts w:eastAsia="Calibri" w:cs="Arial"/>
          <w:szCs w:val="24"/>
        </w:rPr>
        <w:t>communities</w:t>
      </w:r>
      <w:r w:rsidR="00AA5246" w:rsidRPr="00140E2A">
        <w:rPr>
          <w:rFonts w:eastAsia="Calibri" w:cs="Arial"/>
          <w:szCs w:val="24"/>
        </w:rPr>
        <w:t>.</w:t>
      </w:r>
      <w:r w:rsidR="00AA5246" w:rsidRPr="00140E2A">
        <w:rPr>
          <w:rStyle w:val="FootnoteReference"/>
          <w:rFonts w:eastAsia="Calibri" w:cs="Arial"/>
          <w:szCs w:val="24"/>
        </w:rPr>
        <w:footnoteReference w:id="72"/>
      </w:r>
      <w:r w:rsidR="00AA5246" w:rsidRPr="00140E2A">
        <w:rPr>
          <w:rFonts w:eastAsia="Calibri" w:cs="Arial"/>
          <w:szCs w:val="24"/>
        </w:rPr>
        <w:t xml:space="preserve"> </w:t>
      </w:r>
      <w:r w:rsidR="00AA5246">
        <w:rPr>
          <w:rFonts w:cs="Arial"/>
          <w:szCs w:val="24"/>
        </w:rPr>
        <w:t>Continuous</w:t>
      </w:r>
      <w:r w:rsidR="00AA5246" w:rsidRPr="00140E2A">
        <w:rPr>
          <w:rFonts w:cs="Arial"/>
          <w:szCs w:val="24"/>
        </w:rPr>
        <w:t xml:space="preserve"> exposure</w:t>
      </w:r>
      <w:r w:rsidR="00AA5246">
        <w:rPr>
          <w:rFonts w:cs="Arial"/>
          <w:szCs w:val="24"/>
        </w:rPr>
        <w:t xml:space="preserve"> to industry-generated pollutants</w:t>
      </w:r>
      <w:r w:rsidR="00AA5246" w:rsidRPr="00140E2A">
        <w:rPr>
          <w:rFonts w:cs="Arial"/>
          <w:szCs w:val="24"/>
        </w:rPr>
        <w:t xml:space="preserve"> can lead to negative health impacts and, in some instances, life-threatening illnesses.</w:t>
      </w:r>
      <w:r w:rsidR="00AA5246" w:rsidRPr="00140E2A">
        <w:rPr>
          <w:rStyle w:val="FootnoteReference"/>
          <w:rFonts w:cs="Arial"/>
          <w:szCs w:val="24"/>
        </w:rPr>
        <w:footnoteReference w:id="73"/>
      </w:r>
      <w:r w:rsidR="00AA5246" w:rsidRPr="00140E2A">
        <w:rPr>
          <w:rFonts w:cs="Arial"/>
          <w:szCs w:val="24"/>
        </w:rPr>
        <w:t xml:space="preserve"> </w:t>
      </w:r>
    </w:p>
    <w:p w14:paraId="226D3532" w14:textId="4F7673A5" w:rsidR="00AA5246" w:rsidRPr="004158AD" w:rsidRDefault="00AA5246" w:rsidP="00AA5246">
      <w:pPr>
        <w:spacing w:line="240" w:lineRule="auto"/>
        <w:rPr>
          <w:rFonts w:cs="Arial"/>
          <w:color w:val="000000"/>
          <w:szCs w:val="24"/>
        </w:rPr>
      </w:pPr>
      <w:r w:rsidRPr="00140E2A">
        <w:rPr>
          <w:rFonts w:eastAsia="Calibri" w:cs="Arial"/>
          <w:szCs w:val="24"/>
        </w:rPr>
        <w:lastRenderedPageBreak/>
        <w:t xml:space="preserve">For example, several polluting industries located </w:t>
      </w:r>
      <w:r>
        <w:rPr>
          <w:rFonts w:eastAsia="Calibri" w:cs="Arial"/>
          <w:szCs w:val="24"/>
        </w:rPr>
        <w:t>in or proximal</w:t>
      </w:r>
      <w:r w:rsidRPr="00140E2A">
        <w:rPr>
          <w:rFonts w:eastAsia="Calibri" w:cs="Arial"/>
          <w:szCs w:val="24"/>
        </w:rPr>
        <w:t xml:space="preserve"> to Mi’kmaq and African Nova Scotian communities, have exposed residents to numerous health risks</w:t>
      </w:r>
      <w:r>
        <w:rPr>
          <w:rFonts w:eastAsia="Calibri" w:cs="Arial"/>
          <w:szCs w:val="24"/>
        </w:rPr>
        <w:t xml:space="preserve"> including</w:t>
      </w:r>
      <w:r w:rsidRPr="00140E2A">
        <w:rPr>
          <w:rFonts w:eastAsia="Calibri" w:cs="Arial"/>
          <w:szCs w:val="24"/>
        </w:rPr>
        <w:t xml:space="preserve"> an increased risk of consuming unsafe drinking water contaminated from industrial discharge and runoff of toxic wastes. This contributes to poorer health outcomes</w:t>
      </w:r>
      <w:r w:rsidR="001A0362">
        <w:rPr>
          <w:rFonts w:eastAsia="Calibri" w:cs="Arial"/>
          <w:szCs w:val="24"/>
        </w:rPr>
        <w:t>, as communities experiencing environmental racism are</w:t>
      </w:r>
      <w:r w:rsidRPr="00140E2A">
        <w:rPr>
          <w:rFonts w:eastAsia="Calibri" w:cs="Arial"/>
          <w:szCs w:val="24"/>
        </w:rPr>
        <w:t xml:space="preserve"> disproportionately </w:t>
      </w:r>
      <w:r w:rsidR="001A0362">
        <w:rPr>
          <w:rFonts w:eastAsia="Calibri" w:cs="Arial"/>
          <w:szCs w:val="24"/>
        </w:rPr>
        <w:t xml:space="preserve">impacted by </w:t>
      </w:r>
      <w:r>
        <w:rPr>
          <w:rFonts w:eastAsia="Calibri" w:cs="Arial"/>
          <w:szCs w:val="24"/>
        </w:rPr>
        <w:t>high</w:t>
      </w:r>
      <w:r w:rsidR="001A0362">
        <w:rPr>
          <w:rFonts w:eastAsia="Calibri" w:cs="Arial"/>
          <w:szCs w:val="24"/>
        </w:rPr>
        <w:t>er</w:t>
      </w:r>
      <w:r w:rsidRPr="00140E2A">
        <w:rPr>
          <w:rFonts w:eastAsia="Calibri" w:cs="Arial"/>
          <w:szCs w:val="24"/>
        </w:rPr>
        <w:t xml:space="preserve"> rates of cancer, among other chronic illnesses and deaths.</w:t>
      </w:r>
      <w:r w:rsidRPr="00140E2A">
        <w:rPr>
          <w:rStyle w:val="FootnoteReference"/>
          <w:rFonts w:eastAsia="Calibri" w:cs="Arial"/>
          <w:szCs w:val="24"/>
        </w:rPr>
        <w:footnoteReference w:id="74"/>
      </w:r>
      <w:r w:rsidRPr="00140E2A">
        <w:rPr>
          <w:rFonts w:eastAsia="Calibri" w:cs="Arial"/>
          <w:szCs w:val="24"/>
        </w:rPr>
        <w:t xml:space="preserve"> </w:t>
      </w:r>
      <w:r w:rsidR="00970B58">
        <w:rPr>
          <w:rFonts w:eastAsia="Calibri" w:cs="Arial"/>
          <w:szCs w:val="24"/>
        </w:rPr>
        <w:t>For instance, e</w:t>
      </w:r>
      <w:r w:rsidRPr="00140E2A">
        <w:rPr>
          <w:rFonts w:eastAsia="Calibri" w:cs="Arial"/>
          <w:szCs w:val="24"/>
        </w:rPr>
        <w:t xml:space="preserve">ven decades after contamination, </w:t>
      </w:r>
      <w:r w:rsidRPr="00140E2A">
        <w:rPr>
          <w:rFonts w:cs="Arial"/>
          <w:color w:val="000000"/>
          <w:szCs w:val="24"/>
        </w:rPr>
        <w:t>mercury poisoning</w:t>
      </w:r>
      <w:r w:rsidR="00970B58">
        <w:rPr>
          <w:rFonts w:cs="Arial"/>
          <w:color w:val="000000"/>
          <w:szCs w:val="24"/>
        </w:rPr>
        <w:t xml:space="preserve"> </w:t>
      </w:r>
      <w:r w:rsidRPr="00140E2A">
        <w:rPr>
          <w:rFonts w:cs="Arial"/>
          <w:color w:val="000000"/>
          <w:szCs w:val="24"/>
        </w:rPr>
        <w:t xml:space="preserve">is still affecting the </w:t>
      </w:r>
      <w:r w:rsidR="00970B58">
        <w:rPr>
          <w:rFonts w:cs="Arial"/>
          <w:color w:val="000000"/>
          <w:szCs w:val="24"/>
        </w:rPr>
        <w:t>Grassy Narrows First Nation</w:t>
      </w:r>
      <w:r w:rsidRPr="00140E2A">
        <w:rPr>
          <w:rFonts w:cs="Arial"/>
          <w:color w:val="000000"/>
          <w:szCs w:val="24"/>
        </w:rPr>
        <w:t>.</w:t>
      </w:r>
      <w:r w:rsidRPr="00140E2A">
        <w:rPr>
          <w:rStyle w:val="FootnoteReference"/>
          <w:rFonts w:cs="Arial"/>
          <w:color w:val="000000"/>
          <w:szCs w:val="24"/>
        </w:rPr>
        <w:footnoteReference w:id="75"/>
      </w:r>
      <w:r w:rsidR="003C4CCB">
        <w:rPr>
          <w:rFonts w:cs="Arial"/>
          <w:color w:val="000000"/>
          <w:szCs w:val="24"/>
        </w:rPr>
        <w:t xml:space="preserve"> </w:t>
      </w:r>
      <w:r w:rsidR="00970B58">
        <w:rPr>
          <w:rFonts w:cs="Arial"/>
          <w:szCs w:val="24"/>
        </w:rPr>
        <w:t>The CHRC welcomes recent legislative efforts to direct attention to and address environmental racism and encourages the continuation of this work.</w:t>
      </w:r>
      <w:r w:rsidR="00970B58">
        <w:rPr>
          <w:rStyle w:val="FootnoteReference"/>
          <w:rFonts w:cs="Arial"/>
          <w:szCs w:val="24"/>
        </w:rPr>
        <w:footnoteReference w:id="76"/>
      </w:r>
    </w:p>
    <w:p w14:paraId="529E8871" w14:textId="43ADCB45" w:rsidR="00AA5246" w:rsidRDefault="00AA5246" w:rsidP="00AA5246">
      <w:pPr>
        <w:spacing w:line="240" w:lineRule="auto"/>
      </w:pPr>
      <w:r>
        <w:t xml:space="preserve">The CHRC shares concerns that existing mitigation, preparedness and response policies and practices with respect to the ongoing climate crisis are not inclusive of the needs of people with disabilities in Canada. According to a report from the </w:t>
      </w:r>
      <w:r w:rsidRPr="001974F1">
        <w:t>Disability Inclusive Climate Action Research Program at the McGill Centre for Human Rights &amp; Legal Pluralism</w:t>
      </w:r>
      <w:r>
        <w:t>, climate change policies and programs in Canada fail to adequately and meaningfully account for the needs and realities of people with disabilities.</w:t>
      </w:r>
      <w:r>
        <w:rPr>
          <w:rStyle w:val="FootnoteReference"/>
        </w:rPr>
        <w:footnoteReference w:id="77"/>
      </w:r>
      <w:r>
        <w:t xml:space="preserve"> </w:t>
      </w:r>
    </w:p>
    <w:p w14:paraId="26E5499E" w14:textId="3EEA61FB" w:rsidR="00AA5246" w:rsidRDefault="00AA5246" w:rsidP="00AA5246">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bookmarkStart w:id="66" w:name="_Hlk182836804"/>
      <w:r>
        <w:rPr>
          <w:rFonts w:cs="Arial"/>
          <w:b/>
          <w:bCs/>
          <w:szCs w:val="24"/>
        </w:rPr>
        <w:t>Recommendation #</w:t>
      </w:r>
      <w:r w:rsidR="00F30961">
        <w:rPr>
          <w:rFonts w:cs="Arial"/>
          <w:b/>
          <w:bCs/>
          <w:szCs w:val="24"/>
        </w:rPr>
        <w:t>21</w:t>
      </w:r>
      <w:r>
        <w:rPr>
          <w:rFonts w:cs="Arial"/>
          <w:b/>
          <w:bCs/>
          <w:szCs w:val="24"/>
        </w:rPr>
        <w:t xml:space="preserve">: </w:t>
      </w:r>
      <w:r>
        <w:rPr>
          <w:rFonts w:cs="Arial"/>
          <w:szCs w:val="24"/>
        </w:rPr>
        <w:t>That Canada ensure that climate and environmental action and emergency initiatives, policies and programs meaningfully include people with disabilities, as well as Indigenous peoples and other disproportionately impacted populations, at all stages of planning, implementation, and evaluation.</w:t>
      </w:r>
    </w:p>
    <w:p w14:paraId="7F9BAC3D" w14:textId="24D5E3D1" w:rsidR="000940BF" w:rsidRDefault="000940BF" w:rsidP="000940BF">
      <w:pPr>
        <w:pStyle w:val="Heading1"/>
        <w:rPr>
          <w:lang w:val="en-US"/>
        </w:rPr>
      </w:pPr>
      <w:bookmarkStart w:id="67" w:name="_Toc183602925"/>
      <w:bookmarkStart w:id="68" w:name="_Toc183603014"/>
      <w:bookmarkStart w:id="69" w:name="_Toc187841565"/>
      <w:bookmarkStart w:id="70" w:name="_Toc183602899"/>
      <w:bookmarkStart w:id="71" w:name="_Toc183602990"/>
      <w:bookmarkEnd w:id="15"/>
      <w:bookmarkEnd w:id="16"/>
      <w:bookmarkEnd w:id="66"/>
      <w:r>
        <w:rPr>
          <w:lang w:val="en-US"/>
        </w:rPr>
        <w:t>L</w:t>
      </w:r>
      <w:r w:rsidR="0086544E">
        <w:rPr>
          <w:lang w:val="en-US"/>
        </w:rPr>
        <w:t>egal</w:t>
      </w:r>
      <w:r>
        <w:rPr>
          <w:lang w:val="en-US"/>
        </w:rPr>
        <w:t xml:space="preserve"> C</w:t>
      </w:r>
      <w:r w:rsidR="0086544E">
        <w:rPr>
          <w:lang w:val="en-US"/>
        </w:rPr>
        <w:t>apacity</w:t>
      </w:r>
      <w:r>
        <w:rPr>
          <w:lang w:val="en-US"/>
        </w:rPr>
        <w:t xml:space="preserve"> (A</w:t>
      </w:r>
      <w:r w:rsidR="0086544E">
        <w:rPr>
          <w:lang w:val="en-US"/>
        </w:rPr>
        <w:t>rticle</w:t>
      </w:r>
      <w:r>
        <w:rPr>
          <w:lang w:val="en-US"/>
        </w:rPr>
        <w:t xml:space="preserve"> 12)</w:t>
      </w:r>
      <w:bookmarkEnd w:id="67"/>
      <w:bookmarkEnd w:id="68"/>
      <w:bookmarkEnd w:id="69"/>
    </w:p>
    <w:p w14:paraId="122BA4F0" w14:textId="77777777" w:rsidR="000940BF" w:rsidRDefault="000940BF" w:rsidP="000940BF">
      <w:pPr>
        <w:spacing w:line="240" w:lineRule="auto"/>
        <w:contextualSpacing/>
        <w:rPr>
          <w:rFonts w:cs="Arial"/>
          <w:szCs w:val="24"/>
          <w:lang w:val="en-US"/>
        </w:rPr>
      </w:pPr>
      <w:r>
        <w:rPr>
          <w:rFonts w:cs="Arial"/>
          <w:szCs w:val="24"/>
          <w:lang w:val="en-US"/>
        </w:rPr>
        <w:lastRenderedPageBreak/>
        <w:t>The CHRC acknowledges that Canada’s ratification of the CRPD included an interpretive declaration and conditional reservation with respect to article 12. This reservation broadly states that Canada reserves the right to continue to use substitute decision-making arrangements in appropriate circumstances and subject to appropriate and effective safeguards.</w:t>
      </w:r>
      <w:r>
        <w:rPr>
          <w:rStyle w:val="FootnoteReference"/>
          <w:rFonts w:cs="Arial"/>
          <w:szCs w:val="24"/>
          <w:lang w:val="en-US"/>
        </w:rPr>
        <w:footnoteReference w:id="78"/>
      </w:r>
      <w:r>
        <w:rPr>
          <w:rFonts w:cs="Arial"/>
          <w:szCs w:val="24"/>
          <w:lang w:val="en-US"/>
        </w:rPr>
        <w:t xml:space="preserve"> </w:t>
      </w:r>
    </w:p>
    <w:p w14:paraId="2F633992" w14:textId="77777777" w:rsidR="000940BF" w:rsidRDefault="000940BF" w:rsidP="000940BF">
      <w:pPr>
        <w:spacing w:line="240" w:lineRule="auto"/>
        <w:contextualSpacing/>
        <w:rPr>
          <w:rFonts w:cs="Arial"/>
          <w:szCs w:val="24"/>
          <w:lang w:val="en-US"/>
        </w:rPr>
      </w:pPr>
    </w:p>
    <w:p w14:paraId="0CA45A3A" w14:textId="77777777" w:rsidR="000940BF" w:rsidRDefault="000940BF" w:rsidP="000940BF">
      <w:pPr>
        <w:spacing w:line="240" w:lineRule="auto"/>
        <w:contextualSpacing/>
        <w:rPr>
          <w:rFonts w:cs="Arial"/>
          <w:szCs w:val="24"/>
          <w:lang w:val="en-US"/>
        </w:rPr>
      </w:pPr>
      <w:r>
        <w:rPr>
          <w:rFonts w:cs="Arial"/>
          <w:szCs w:val="24"/>
          <w:lang w:val="en-US"/>
        </w:rPr>
        <w:t xml:space="preserve">As previously mentioned to this Committee, people with disabilities and organizations that advocate on their behalf have called on Canada to withdraw this reservation. </w:t>
      </w:r>
    </w:p>
    <w:p w14:paraId="182621CA" w14:textId="77777777" w:rsidR="000940BF" w:rsidRDefault="000940BF" w:rsidP="000940BF">
      <w:pPr>
        <w:spacing w:line="240" w:lineRule="auto"/>
        <w:contextualSpacing/>
        <w:rPr>
          <w:rFonts w:cs="Arial"/>
          <w:szCs w:val="24"/>
          <w:lang w:val="en-US"/>
        </w:rPr>
      </w:pPr>
    </w:p>
    <w:p w14:paraId="09EAF723" w14:textId="77777777" w:rsidR="000940BF" w:rsidRDefault="000940BF" w:rsidP="000940BF">
      <w:pPr>
        <w:spacing w:line="240" w:lineRule="auto"/>
        <w:contextualSpacing/>
        <w:rPr>
          <w:rFonts w:cs="Arial"/>
          <w:szCs w:val="24"/>
          <w:lang w:val="en-US"/>
        </w:rPr>
      </w:pPr>
      <w:r w:rsidRPr="00242E7E">
        <w:rPr>
          <w:rFonts w:cs="Arial"/>
          <w:szCs w:val="24"/>
          <w:lang w:val="en-US"/>
        </w:rPr>
        <w:t xml:space="preserve">The </w:t>
      </w:r>
      <w:r>
        <w:rPr>
          <w:rFonts w:cs="Arial"/>
          <w:szCs w:val="24"/>
          <w:lang w:val="en-US"/>
        </w:rPr>
        <w:t xml:space="preserve">denial </w:t>
      </w:r>
      <w:r w:rsidRPr="00AE1BF5">
        <w:rPr>
          <w:rFonts w:cs="Arial"/>
          <w:szCs w:val="24"/>
          <w:lang w:val="en-US"/>
        </w:rPr>
        <w:t xml:space="preserve">of legal capacity prevents people with disabilities from fully exercising </w:t>
      </w:r>
      <w:r>
        <w:rPr>
          <w:rFonts w:cs="Arial"/>
          <w:szCs w:val="24"/>
          <w:lang w:val="en-US"/>
        </w:rPr>
        <w:t xml:space="preserve">their </w:t>
      </w:r>
      <w:r w:rsidRPr="00AE1BF5">
        <w:rPr>
          <w:rFonts w:cs="Arial"/>
          <w:szCs w:val="24"/>
          <w:lang w:val="en-US"/>
        </w:rPr>
        <w:t xml:space="preserve">self-determination and </w:t>
      </w:r>
      <w:r>
        <w:rPr>
          <w:rFonts w:cs="Arial"/>
          <w:szCs w:val="24"/>
          <w:lang w:val="en-US"/>
        </w:rPr>
        <w:t>autonomy</w:t>
      </w:r>
      <w:r w:rsidRPr="00AE1BF5">
        <w:rPr>
          <w:rFonts w:cs="Arial"/>
          <w:szCs w:val="24"/>
          <w:lang w:val="en-US"/>
        </w:rPr>
        <w:t>.</w:t>
      </w:r>
      <w:r w:rsidRPr="00AE1BF5">
        <w:rPr>
          <w:rStyle w:val="FootnoteReference"/>
          <w:rFonts w:cs="Arial"/>
          <w:szCs w:val="24"/>
          <w:lang w:val="en-US"/>
        </w:rPr>
        <w:footnoteReference w:id="79"/>
      </w:r>
      <w:r w:rsidRPr="00AE1BF5">
        <w:rPr>
          <w:rFonts w:cs="Arial"/>
          <w:szCs w:val="24"/>
          <w:lang w:val="en-US"/>
        </w:rPr>
        <w:t xml:space="preserve"> </w:t>
      </w:r>
      <w:r>
        <w:rPr>
          <w:rFonts w:cs="Arial"/>
          <w:szCs w:val="24"/>
          <w:lang w:val="en-US"/>
        </w:rPr>
        <w:t>The CHRC notes that, since Canada ratified the CRPD, access to and recognition of supported decision-making regimes remains uneven across the country.</w:t>
      </w:r>
      <w:r>
        <w:rPr>
          <w:rStyle w:val="FootnoteReference"/>
          <w:rFonts w:cs="Arial"/>
          <w:szCs w:val="24"/>
          <w:lang w:val="en-US"/>
        </w:rPr>
        <w:footnoteReference w:id="80"/>
      </w:r>
      <w:r>
        <w:rPr>
          <w:rFonts w:cs="Arial"/>
          <w:szCs w:val="24"/>
          <w:lang w:val="en-US"/>
        </w:rPr>
        <w:t xml:space="preserve"> As a result, many people with disabilities, in particular people with psychosocial and/or intellectual and developmental disabilities, continue to be denied their legal capacity. </w:t>
      </w:r>
    </w:p>
    <w:p w14:paraId="1617A866" w14:textId="77777777" w:rsidR="000940BF" w:rsidRDefault="000940BF" w:rsidP="000940BF">
      <w:pPr>
        <w:spacing w:line="240" w:lineRule="auto"/>
        <w:contextualSpacing/>
        <w:rPr>
          <w:rFonts w:cs="Arial"/>
          <w:szCs w:val="24"/>
          <w:lang w:val="en-US"/>
        </w:rPr>
      </w:pPr>
    </w:p>
    <w:p w14:paraId="24A40AC0" w14:textId="77777777" w:rsidR="000940BF" w:rsidRDefault="000940BF" w:rsidP="000940BF">
      <w:pPr>
        <w:spacing w:line="240" w:lineRule="auto"/>
        <w:contextualSpacing/>
        <w:rPr>
          <w:rFonts w:cs="Arial"/>
          <w:szCs w:val="24"/>
          <w:lang w:val="en-US"/>
        </w:rPr>
      </w:pPr>
      <w:r>
        <w:rPr>
          <w:rFonts w:cs="Arial"/>
          <w:szCs w:val="24"/>
          <w:lang w:val="en-US"/>
        </w:rPr>
        <w:t xml:space="preserve">The </w:t>
      </w:r>
      <w:r w:rsidRPr="00242E7E">
        <w:rPr>
          <w:rFonts w:cs="Arial"/>
          <w:szCs w:val="24"/>
          <w:lang w:val="en-US"/>
        </w:rPr>
        <w:t xml:space="preserve">CHRC </w:t>
      </w:r>
      <w:r>
        <w:rPr>
          <w:rFonts w:cs="Arial"/>
          <w:szCs w:val="24"/>
          <w:lang w:val="en-US"/>
        </w:rPr>
        <w:t xml:space="preserve">notes that </w:t>
      </w:r>
      <w:r w:rsidRPr="00AE1BF5">
        <w:rPr>
          <w:rFonts w:cs="Arial"/>
          <w:szCs w:val="24"/>
          <w:lang w:val="en-US"/>
        </w:rPr>
        <w:t xml:space="preserve">legal capacity regimes </w:t>
      </w:r>
      <w:r>
        <w:rPr>
          <w:rFonts w:cs="Arial"/>
          <w:szCs w:val="24"/>
          <w:lang w:val="en-US"/>
        </w:rPr>
        <w:t xml:space="preserve">must follow </w:t>
      </w:r>
      <w:r w:rsidRPr="00242E7E">
        <w:rPr>
          <w:rFonts w:cs="Arial"/>
          <w:szCs w:val="24"/>
          <w:lang w:val="en-US"/>
        </w:rPr>
        <w:t>human rights principles</w:t>
      </w:r>
      <w:r>
        <w:rPr>
          <w:rFonts w:cs="Arial"/>
          <w:szCs w:val="24"/>
          <w:lang w:val="en-US"/>
        </w:rPr>
        <w:t>. These regimes should preserve people’s autonomy and respect their will and preferences to the greatest extent possible</w:t>
      </w:r>
      <w:r w:rsidRPr="00242E7E">
        <w:rPr>
          <w:rFonts w:cs="Arial"/>
          <w:szCs w:val="24"/>
          <w:lang w:val="en-US"/>
        </w:rPr>
        <w:t>.</w:t>
      </w:r>
      <w:r w:rsidRPr="00242E7E">
        <w:rPr>
          <w:rStyle w:val="FootnoteReference"/>
          <w:rFonts w:cs="Arial"/>
          <w:szCs w:val="24"/>
          <w:lang w:val="en"/>
        </w:rPr>
        <w:footnoteReference w:id="81"/>
      </w:r>
      <w:r>
        <w:rPr>
          <w:lang w:val="en"/>
        </w:rPr>
        <w:t xml:space="preserve"> </w:t>
      </w:r>
      <w:r>
        <w:rPr>
          <w:rFonts w:cs="Arial"/>
          <w:szCs w:val="24"/>
          <w:lang w:val="en-US"/>
        </w:rPr>
        <w:t>Fully implementing a</w:t>
      </w:r>
      <w:r w:rsidRPr="00330372">
        <w:rPr>
          <w:rFonts w:cs="Arial"/>
          <w:szCs w:val="24"/>
          <w:lang w:val="en-US"/>
        </w:rPr>
        <w:t xml:space="preserve">rticle 12 </w:t>
      </w:r>
      <w:r>
        <w:rPr>
          <w:rFonts w:cs="Arial"/>
          <w:szCs w:val="24"/>
          <w:lang w:val="en-US"/>
        </w:rPr>
        <w:t>would require</w:t>
      </w:r>
      <w:r w:rsidRPr="00330372">
        <w:rPr>
          <w:rFonts w:cs="Arial"/>
          <w:szCs w:val="24"/>
          <w:lang w:val="en-US"/>
        </w:rPr>
        <w:t xml:space="preserve"> </w:t>
      </w:r>
      <w:r>
        <w:rPr>
          <w:rFonts w:cs="Arial"/>
          <w:szCs w:val="24"/>
          <w:lang w:val="en-US"/>
        </w:rPr>
        <w:t xml:space="preserve">Canada to </w:t>
      </w:r>
      <w:r w:rsidRPr="00330372">
        <w:rPr>
          <w:rFonts w:cs="Arial"/>
          <w:szCs w:val="24"/>
          <w:lang w:val="en-US"/>
        </w:rPr>
        <w:t>replac</w:t>
      </w:r>
      <w:r>
        <w:rPr>
          <w:rFonts w:cs="Arial"/>
          <w:szCs w:val="24"/>
          <w:lang w:val="en-US"/>
        </w:rPr>
        <w:t>e</w:t>
      </w:r>
      <w:r w:rsidRPr="00330372">
        <w:rPr>
          <w:rFonts w:cs="Arial"/>
          <w:szCs w:val="24"/>
          <w:lang w:val="en-US"/>
        </w:rPr>
        <w:t xml:space="preserve"> substituted decision-making regimes with </w:t>
      </w:r>
      <w:r>
        <w:rPr>
          <w:rFonts w:cs="Arial"/>
          <w:szCs w:val="24"/>
          <w:lang w:val="en-US"/>
        </w:rPr>
        <w:t>supported decision-making regimes, and ensure that appropriate and effective safeguards are in place to prevent abuse, including regular and independent reviews of measures that limit people’s legal capacity. It would also require Canada to ensure that people</w:t>
      </w:r>
      <w:r w:rsidRPr="00242E7E">
        <w:rPr>
          <w:rFonts w:cs="Arial"/>
          <w:szCs w:val="24"/>
        </w:rPr>
        <w:t xml:space="preserve"> with </w:t>
      </w:r>
      <w:r>
        <w:rPr>
          <w:rFonts w:cs="Arial"/>
          <w:szCs w:val="24"/>
        </w:rPr>
        <w:t xml:space="preserve">disabilities have access to the supports and accommodations they need to exercise their legal capacity, including access to legally recognized support networks that can </w:t>
      </w:r>
      <w:r w:rsidRPr="00242E7E">
        <w:rPr>
          <w:rFonts w:cs="Arial"/>
          <w:szCs w:val="24"/>
        </w:rPr>
        <w:t xml:space="preserve">assist </w:t>
      </w:r>
      <w:r>
        <w:rPr>
          <w:rFonts w:cs="Arial"/>
          <w:szCs w:val="24"/>
        </w:rPr>
        <w:t>people in making decisions, when needed</w:t>
      </w:r>
      <w:r w:rsidRPr="00242E7E">
        <w:rPr>
          <w:rFonts w:cs="Arial"/>
          <w:szCs w:val="24"/>
        </w:rPr>
        <w:t>.</w:t>
      </w:r>
      <w:r>
        <w:rPr>
          <w:rStyle w:val="FootnoteReference"/>
          <w:rFonts w:cs="Arial"/>
          <w:szCs w:val="24"/>
        </w:rPr>
        <w:footnoteReference w:id="82"/>
      </w:r>
      <w:r>
        <w:rPr>
          <w:rFonts w:cs="Arial"/>
          <w:szCs w:val="24"/>
        </w:rPr>
        <w:t xml:space="preserve"> </w:t>
      </w:r>
    </w:p>
    <w:p w14:paraId="443D3C58" w14:textId="77777777" w:rsidR="000940BF" w:rsidRDefault="000940BF" w:rsidP="000940BF">
      <w:pPr>
        <w:spacing w:after="0"/>
      </w:pPr>
    </w:p>
    <w:p w14:paraId="7C40D894" w14:textId="4C235DD6" w:rsidR="000940BF" w:rsidRPr="00D0327A" w:rsidRDefault="000940BF" w:rsidP="000940BF">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Pr>
          <w:rFonts w:cs="Arial"/>
          <w:b/>
          <w:bCs/>
          <w:szCs w:val="24"/>
          <w:lang w:val="en-US"/>
        </w:rPr>
        <w:lastRenderedPageBreak/>
        <w:t>Recommendation #</w:t>
      </w:r>
      <w:r w:rsidR="00F30961">
        <w:rPr>
          <w:rFonts w:cs="Arial"/>
          <w:b/>
          <w:bCs/>
          <w:szCs w:val="24"/>
          <w:lang w:val="en-US"/>
        </w:rPr>
        <w:t>22</w:t>
      </w:r>
      <w:r>
        <w:rPr>
          <w:rFonts w:cs="Arial"/>
          <w:b/>
          <w:bCs/>
          <w:szCs w:val="24"/>
          <w:lang w:val="en-US"/>
        </w:rPr>
        <w:t xml:space="preserve">: </w:t>
      </w:r>
      <w:r w:rsidRPr="00F24D4F">
        <w:t xml:space="preserve">That Canada </w:t>
      </w:r>
      <w:r w:rsidRPr="00FB1268">
        <w:t xml:space="preserve">provide information on the steps </w:t>
      </w:r>
      <w:r>
        <w:t>it</w:t>
      </w:r>
      <w:r w:rsidRPr="00FB1268">
        <w:t xml:space="preserve"> has taken to move towards full implementation of article 12</w:t>
      </w:r>
      <w:r>
        <w:t xml:space="preserve"> and ensure coordination across jurisdictions on legal capacity issues</w:t>
      </w:r>
      <w:r w:rsidRPr="00FB1268">
        <w:t xml:space="preserve">. </w:t>
      </w:r>
    </w:p>
    <w:p w14:paraId="6AEF2EA9" w14:textId="3112C1C6" w:rsidR="002F361E" w:rsidRDefault="002F361E" w:rsidP="00ED0399">
      <w:pPr>
        <w:pStyle w:val="Heading1"/>
        <w:spacing w:before="240"/>
        <w:rPr>
          <w:lang w:val="en-US"/>
        </w:rPr>
      </w:pPr>
      <w:bookmarkStart w:id="72" w:name="_Toc187841566"/>
      <w:r>
        <w:rPr>
          <w:lang w:val="en-US"/>
        </w:rPr>
        <w:t>P</w:t>
      </w:r>
      <w:r w:rsidR="0086544E">
        <w:rPr>
          <w:lang w:val="en-US"/>
        </w:rPr>
        <w:t>eople</w:t>
      </w:r>
      <w:r>
        <w:rPr>
          <w:lang w:val="en-US"/>
        </w:rPr>
        <w:t xml:space="preserve"> D</w:t>
      </w:r>
      <w:r w:rsidR="0086544E">
        <w:rPr>
          <w:lang w:val="en-US"/>
        </w:rPr>
        <w:t>eprived</w:t>
      </w:r>
      <w:r>
        <w:rPr>
          <w:lang w:val="en-US"/>
        </w:rPr>
        <w:t xml:space="preserve"> </w:t>
      </w:r>
      <w:r w:rsidR="0086544E">
        <w:rPr>
          <w:lang w:val="en-US"/>
        </w:rPr>
        <w:t>of</w:t>
      </w:r>
      <w:r>
        <w:rPr>
          <w:lang w:val="en-US"/>
        </w:rPr>
        <w:t xml:space="preserve"> T</w:t>
      </w:r>
      <w:r w:rsidR="0086544E">
        <w:rPr>
          <w:lang w:val="en-US"/>
        </w:rPr>
        <w:t>heir</w:t>
      </w:r>
      <w:r>
        <w:rPr>
          <w:lang w:val="en-US"/>
        </w:rPr>
        <w:t xml:space="preserve"> L</w:t>
      </w:r>
      <w:r w:rsidR="0086544E">
        <w:rPr>
          <w:lang w:val="en-US"/>
        </w:rPr>
        <w:t>iberty</w:t>
      </w:r>
      <w:r>
        <w:rPr>
          <w:lang w:val="en-US"/>
        </w:rPr>
        <w:t xml:space="preserve"> (A</w:t>
      </w:r>
      <w:r w:rsidR="0086544E">
        <w:rPr>
          <w:lang w:val="en-US"/>
        </w:rPr>
        <w:t>rticles</w:t>
      </w:r>
      <w:r>
        <w:rPr>
          <w:lang w:val="en-US"/>
        </w:rPr>
        <w:t xml:space="preserve"> 14, 15, 17, 19)</w:t>
      </w:r>
      <w:bookmarkEnd w:id="70"/>
      <w:bookmarkEnd w:id="71"/>
      <w:bookmarkEnd w:id="72"/>
    </w:p>
    <w:p w14:paraId="45587205" w14:textId="5C8CCD25" w:rsidR="002F361E" w:rsidRDefault="00A60CBC" w:rsidP="00D8643A">
      <w:pPr>
        <w:pStyle w:val="Heading2"/>
        <w:ind w:left="567" w:hanging="567"/>
      </w:pPr>
      <w:bookmarkStart w:id="73" w:name="_Toc183602900"/>
      <w:bookmarkStart w:id="74" w:name="_Toc183602991"/>
      <w:bookmarkStart w:id="75" w:name="_Toc187841567"/>
      <w:r>
        <w:t xml:space="preserve">Federal </w:t>
      </w:r>
      <w:r w:rsidR="00BE3BD9">
        <w:t xml:space="preserve">justice </w:t>
      </w:r>
      <w:r>
        <w:t>system</w:t>
      </w:r>
      <w:bookmarkEnd w:id="73"/>
      <w:bookmarkEnd w:id="74"/>
      <w:bookmarkEnd w:id="75"/>
    </w:p>
    <w:p w14:paraId="50066699" w14:textId="3A11DEAE" w:rsidR="007A0CD6" w:rsidRDefault="007A0CD6" w:rsidP="007A0CD6">
      <w:pPr>
        <w:spacing w:line="240" w:lineRule="auto"/>
      </w:pPr>
      <w:r w:rsidRPr="007A0CD6">
        <w:t>A web of complex and intersecting factors lie at the root of the “pipeline to prison” or to other places of detention, and the over-incarceration of certain segments of the population. These factors include</w:t>
      </w:r>
      <w:r w:rsidR="007D1CD9">
        <w:t xml:space="preserve"> </w:t>
      </w:r>
      <w:r w:rsidRPr="007A0CD6">
        <w:t>historical disadvantage; systemic and institutional racism; colonization and the residential school system</w:t>
      </w:r>
      <w:r w:rsidR="00660551">
        <w:rPr>
          <w:rStyle w:val="FootnoteReference"/>
        </w:rPr>
        <w:footnoteReference w:id="83"/>
      </w:r>
      <w:r w:rsidRPr="007A0CD6">
        <w:t>; discrimination and violence; racial bias and stereotyping that perpetuate everyday racial injustices; socio-economic disparity, including rising levels of homelessness and encampments, inadequate housing, and a lack of educational and employment opportunities; a lack of appropriate and culturally-relevant health and community services and supports; and</w:t>
      </w:r>
      <w:r>
        <w:t xml:space="preserve"> </w:t>
      </w:r>
      <w:r w:rsidRPr="007A0CD6">
        <w:t>over-policing of certain groups including Indigenous, Black and other racialized individuals, people with mental health disabilities, and those experiencing homelessness.</w:t>
      </w:r>
    </w:p>
    <w:p w14:paraId="0D729CC3" w14:textId="5E204BD6" w:rsidR="007A0CD6" w:rsidRDefault="007A0CD6" w:rsidP="007A0CD6">
      <w:pPr>
        <w:spacing w:line="240" w:lineRule="auto"/>
      </w:pPr>
      <w:r>
        <w:t>The CHRC remains deeply concerned over an</w:t>
      </w:r>
      <w:r w:rsidRPr="007A0CD6">
        <w:t xml:space="preserve"> increasing number of reports of injurious and deadly interactions between police and Indigenous, Black and other racialized individuals, often with mental health disabilities. Police are often first responders in situations involving people with mental health disabilities and have considerable discretion around how to respond, which can lead to the criminalization – and subsequently the institutionalization – of people with mental health disabilities and those in vulnerable circumstances. This has led to recent calls for systemic reform to policing services across Canada.</w:t>
      </w:r>
    </w:p>
    <w:p w14:paraId="14D795E5" w14:textId="5C8FCE10" w:rsidR="003F4E2F" w:rsidRDefault="00051DC2" w:rsidP="007A0CD6">
      <w:pPr>
        <w:spacing w:line="240" w:lineRule="auto"/>
      </w:pPr>
      <w:r>
        <w:t>T</w:t>
      </w:r>
      <w:r w:rsidR="00CC25BD" w:rsidRPr="00CC25BD">
        <w:t>he CHRC</w:t>
      </w:r>
      <w:r>
        <w:t xml:space="preserve"> also</w:t>
      </w:r>
      <w:r w:rsidR="00CC25BD" w:rsidRPr="00CC25BD">
        <w:t xml:space="preserve"> notes that additional disparities in Canada’s criminal justice system can contribute to the overincarceration of certain </w:t>
      </w:r>
      <w:r>
        <w:t>groups</w:t>
      </w:r>
      <w:r w:rsidR="00CC25BD" w:rsidRPr="00CC25BD">
        <w:t>.</w:t>
      </w:r>
      <w:r w:rsidR="00CC25BD">
        <w:t xml:space="preserve"> For instance, </w:t>
      </w:r>
      <w:r w:rsidR="00CC25BD" w:rsidRPr="00CC25BD">
        <w:t xml:space="preserve">despite needing more treatment-based alternatives, most individuals with mental health disabilities proceed through regular </w:t>
      </w:r>
      <w:r w:rsidR="00873F73">
        <w:t xml:space="preserve">and </w:t>
      </w:r>
      <w:r w:rsidR="006949B9">
        <w:t>complex</w:t>
      </w:r>
      <w:r w:rsidR="006949B9" w:rsidRPr="00CC25BD">
        <w:t xml:space="preserve"> </w:t>
      </w:r>
      <w:r w:rsidR="00CC25BD" w:rsidRPr="00CC25BD">
        <w:t>court processes</w:t>
      </w:r>
      <w:r w:rsidR="006949B9">
        <w:t xml:space="preserve"> without necessary supports</w:t>
      </w:r>
      <w:r w:rsidR="00CC25BD" w:rsidRPr="00CC25BD">
        <w:t>, often exacerbating the challenges they face and further enmeshing them in a criminal justice system that is not designed to meet their needs.</w:t>
      </w:r>
      <w:r w:rsidR="00CC25BD">
        <w:rPr>
          <w:rStyle w:val="FootnoteReference"/>
        </w:rPr>
        <w:footnoteReference w:id="84"/>
      </w:r>
    </w:p>
    <w:p w14:paraId="2AE32413" w14:textId="0BFDA0E5" w:rsidR="007555E8" w:rsidRDefault="00847B90" w:rsidP="00847B90">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Pr>
          <w:rFonts w:cs="Arial"/>
          <w:b/>
          <w:bCs/>
          <w:szCs w:val="24"/>
          <w:lang w:val="en-US"/>
        </w:rPr>
        <w:lastRenderedPageBreak/>
        <w:t>Recommendation #</w:t>
      </w:r>
      <w:r w:rsidR="00F30961">
        <w:rPr>
          <w:rFonts w:cs="Arial"/>
          <w:b/>
          <w:bCs/>
          <w:szCs w:val="24"/>
          <w:lang w:val="en-US"/>
        </w:rPr>
        <w:t>23</w:t>
      </w:r>
      <w:r>
        <w:rPr>
          <w:rFonts w:cs="Arial"/>
          <w:b/>
          <w:bCs/>
          <w:szCs w:val="24"/>
          <w:lang w:val="en-US"/>
        </w:rPr>
        <w:t xml:space="preserve">: </w:t>
      </w:r>
      <w:r w:rsidRPr="0025644A">
        <w:rPr>
          <w:rFonts w:cs="Arial"/>
          <w:szCs w:val="24"/>
          <w:lang w:val="en-US"/>
        </w:rPr>
        <w:t>That Canada</w:t>
      </w:r>
      <w:r>
        <w:rPr>
          <w:rFonts w:cs="Arial"/>
          <w:b/>
          <w:bCs/>
          <w:szCs w:val="24"/>
          <w:lang w:val="en-US"/>
        </w:rPr>
        <w:t xml:space="preserve"> </w:t>
      </w:r>
      <w:r>
        <w:rPr>
          <w:rFonts w:cs="Arial"/>
          <w:szCs w:val="24"/>
          <w:lang w:val="en-US"/>
        </w:rPr>
        <w:t>take a disability inclusive approach to reforms to the criminal justice system</w:t>
      </w:r>
      <w:r w:rsidR="00E40540">
        <w:rPr>
          <w:rFonts w:cs="Arial"/>
          <w:szCs w:val="24"/>
          <w:lang w:val="en-US"/>
        </w:rPr>
        <w:t xml:space="preserve"> – </w:t>
      </w:r>
      <w:r>
        <w:rPr>
          <w:rFonts w:cs="Arial"/>
          <w:szCs w:val="24"/>
          <w:lang w:val="en-US"/>
        </w:rPr>
        <w:t>including in policing practices and court proceedings</w:t>
      </w:r>
      <w:r w:rsidR="00E40540">
        <w:rPr>
          <w:rFonts w:cs="Arial"/>
          <w:szCs w:val="24"/>
          <w:lang w:val="en-US"/>
        </w:rPr>
        <w:t xml:space="preserve"> – </w:t>
      </w:r>
      <w:r>
        <w:rPr>
          <w:rFonts w:cs="Arial"/>
          <w:szCs w:val="24"/>
          <w:lang w:val="en-US"/>
        </w:rPr>
        <w:t>to address the disproportionate and negative impacts on groups in vulnerable circumstances</w:t>
      </w:r>
      <w:r w:rsidR="00E40540">
        <w:rPr>
          <w:rFonts w:cs="Arial"/>
          <w:szCs w:val="24"/>
          <w:lang w:val="en-US"/>
        </w:rPr>
        <w:t>,</w:t>
      </w:r>
      <w:r>
        <w:rPr>
          <w:rFonts w:cs="Arial"/>
          <w:szCs w:val="24"/>
          <w:lang w:val="en-US"/>
        </w:rPr>
        <w:t xml:space="preserve"> such as individuals with mental health disabilities</w:t>
      </w:r>
      <w:r w:rsidR="00E268E4">
        <w:rPr>
          <w:rFonts w:cs="Arial"/>
          <w:szCs w:val="24"/>
          <w:lang w:val="en-US"/>
        </w:rPr>
        <w:t>.</w:t>
      </w:r>
      <w:r>
        <w:rPr>
          <w:rFonts w:cs="Arial"/>
          <w:szCs w:val="24"/>
          <w:lang w:val="en-US"/>
        </w:rPr>
        <w:t xml:space="preserve"> </w:t>
      </w:r>
    </w:p>
    <w:p w14:paraId="19150418" w14:textId="53B2ABA9" w:rsidR="00A60CBC" w:rsidRPr="00A60CBC" w:rsidRDefault="00A60CBC" w:rsidP="00A60CBC">
      <w:pPr>
        <w:pStyle w:val="Heading3"/>
      </w:pPr>
      <w:bookmarkStart w:id="76" w:name="_Toc183602901"/>
      <w:bookmarkStart w:id="77" w:name="_Toc183602992"/>
      <w:r w:rsidRPr="00A60CBC">
        <w:t>Prison</w:t>
      </w:r>
      <w:r w:rsidR="00185E04">
        <w:t>er</w:t>
      </w:r>
      <w:r w:rsidRPr="00A60CBC">
        <w:t xml:space="preserve">s </w:t>
      </w:r>
      <w:r w:rsidR="00185E04">
        <w:t>with disabilities</w:t>
      </w:r>
      <w:bookmarkEnd w:id="76"/>
      <w:bookmarkEnd w:id="77"/>
    </w:p>
    <w:p w14:paraId="1CE97693" w14:textId="5D210A14" w:rsidR="008D009B" w:rsidRDefault="00A60CBC" w:rsidP="00BF5F8F">
      <w:pPr>
        <w:spacing w:line="240" w:lineRule="auto"/>
      </w:pPr>
      <w:r w:rsidRPr="00DD0EBA">
        <w:t>The CHRC notes that the proportion of prisoners with disabilities continues to increase in federal prisons</w:t>
      </w:r>
      <w:r w:rsidR="00BE3BD9">
        <w:t>, with mental health disabilities more prevalent in Canadian prisons than in the general population</w:t>
      </w:r>
      <w:r>
        <w:t>.</w:t>
      </w:r>
      <w:r w:rsidRPr="00DD0EBA">
        <w:t xml:space="preserve"> </w:t>
      </w:r>
      <w:r w:rsidR="00051DC2">
        <w:t>T</w:t>
      </w:r>
      <w:r w:rsidR="00BE3BD9">
        <w:t xml:space="preserve">hose </w:t>
      </w:r>
      <w:r w:rsidR="00BE3BD9" w:rsidRPr="00BE3BD9">
        <w:t xml:space="preserve">with mental health disabilities are </w:t>
      </w:r>
      <w:r w:rsidR="00BE3BD9">
        <w:t>amongst</w:t>
      </w:r>
      <w:r w:rsidR="00BE3BD9" w:rsidRPr="00BE3BD9">
        <w:t xml:space="preserve"> the most vulnerable populations within </w:t>
      </w:r>
      <w:r w:rsidR="00BE3BD9">
        <w:t>prisons</w:t>
      </w:r>
      <w:r w:rsidR="00BE3BD9" w:rsidRPr="00BE3BD9">
        <w:t xml:space="preserve">. </w:t>
      </w:r>
      <w:r w:rsidR="005C4F66">
        <w:t>However</w:t>
      </w:r>
      <w:r>
        <w:t xml:space="preserve">, </w:t>
      </w:r>
      <w:r w:rsidRPr="00104A01">
        <w:t xml:space="preserve">prisons lack the appropriate capacity, resources and infrastructure </w:t>
      </w:r>
      <w:r>
        <w:t>to meet the needs of this growing and diverse population</w:t>
      </w:r>
      <w:r w:rsidR="003A0D2D">
        <w:t>.</w:t>
      </w:r>
      <w:r w:rsidR="004B3298">
        <w:t xml:space="preserve"> M</w:t>
      </w:r>
      <w:r w:rsidRPr="00104A01">
        <w:t xml:space="preserve">any are incarcerated in settings that are ill-equipped to respond appropriately to their symptoms and behaviours, which can often exacerbate their mental health disabilities. </w:t>
      </w:r>
    </w:p>
    <w:p w14:paraId="43E8A0C3" w14:textId="19C8DE72" w:rsidR="00BE3BD9" w:rsidRDefault="00BE3BD9" w:rsidP="00BF5F8F">
      <w:pPr>
        <w:spacing w:line="240" w:lineRule="auto"/>
      </w:pPr>
      <w:r>
        <w:t>T</w:t>
      </w:r>
      <w:r w:rsidRPr="00DD0EBA">
        <w:t>he</w:t>
      </w:r>
      <w:r>
        <w:t xml:space="preserve"> issue</w:t>
      </w:r>
      <w:r w:rsidRPr="00DD0EBA">
        <w:t xml:space="preserve"> is particularly acute in </w:t>
      </w:r>
      <w:r>
        <w:t>prisons</w:t>
      </w:r>
      <w:r w:rsidRPr="00DD0EBA">
        <w:t xml:space="preserve"> designated for women, </w:t>
      </w:r>
      <w:r>
        <w:t>where</w:t>
      </w:r>
      <w:r w:rsidRPr="00DD0EBA">
        <w:t xml:space="preserve"> the vast majority of</w:t>
      </w:r>
      <w:r>
        <w:t xml:space="preserve"> the population has</w:t>
      </w:r>
      <w:r w:rsidRPr="00DD0EBA">
        <w:t xml:space="preserve"> a mental health disorder. These women are more likely to be placed in maximum security and a significant number engage in chronic</w:t>
      </w:r>
      <w:r w:rsidR="00051DC2">
        <w:t xml:space="preserve"> </w:t>
      </w:r>
      <w:r w:rsidRPr="00DD0EBA">
        <w:t>self-injurious or suicidal behaviour.</w:t>
      </w:r>
      <w:r w:rsidRPr="00DD0EBA">
        <w:rPr>
          <w:vertAlign w:val="superscript"/>
        </w:rPr>
        <w:footnoteReference w:id="85"/>
      </w:r>
      <w:r>
        <w:t xml:space="preserve"> The Office of the Correctional Investigator (OCI) has underscored how this systemic problem disproportionately affects Indigenous women, noting that “</w:t>
      </w:r>
      <w:r w:rsidRPr="008F5DEF">
        <w:t>nearly all federally sentenced Indigenous women have a current or lifetime diagnosis of a mental disorder and are identified as having moderate to high substance-abuse needs</w:t>
      </w:r>
      <w:r>
        <w:t>.”</w:t>
      </w:r>
      <w:r>
        <w:rPr>
          <w:rStyle w:val="FootnoteReference"/>
        </w:rPr>
        <w:footnoteReference w:id="86"/>
      </w:r>
    </w:p>
    <w:p w14:paraId="1C871F3A" w14:textId="5D6D265A" w:rsidR="003756F2" w:rsidRDefault="003756F2" w:rsidP="00BF5F8F">
      <w:pPr>
        <w:spacing w:line="240" w:lineRule="auto"/>
      </w:pPr>
      <w:r>
        <w:t>Use of force incidents are also prevalent among federal prisoners with mental health disabilities. In its</w:t>
      </w:r>
      <w:r w:rsidRPr="00104A01">
        <w:t xml:space="preserve"> 2017-2018 </w:t>
      </w:r>
      <w:r>
        <w:t>Annual Report, the OCI</w:t>
      </w:r>
      <w:r w:rsidRPr="00104A01">
        <w:t xml:space="preserve"> </w:t>
      </w:r>
      <w:r>
        <w:t>reported</w:t>
      </w:r>
      <w:r w:rsidRPr="00104A01">
        <w:t xml:space="preserve"> that 41% of the use of force incidents reported between October 2016 and February 2018 involved at least one person with documented mental health</w:t>
      </w:r>
      <w:r>
        <w:t xml:space="preserve"> issues.</w:t>
      </w:r>
      <w:r>
        <w:rPr>
          <w:rStyle w:val="FootnoteReference"/>
        </w:rPr>
        <w:footnoteReference w:id="87"/>
      </w:r>
      <w:r>
        <w:t xml:space="preserve"> </w:t>
      </w:r>
      <w:r w:rsidR="00DC3834">
        <w:t>However</w:t>
      </w:r>
      <w:r>
        <w:t>, the OCI has also found that there is a “lack of reliable administrative mental health indicators available” which presents challenges in accurately tracking the proportion of people with mental health disabilities involved in use of force incidents.</w:t>
      </w:r>
      <w:r>
        <w:rPr>
          <w:rStyle w:val="FootnoteReference"/>
        </w:rPr>
        <w:footnoteReference w:id="88"/>
      </w:r>
    </w:p>
    <w:p w14:paraId="3C9D9DE6" w14:textId="4221EF65" w:rsidR="00A60CBC" w:rsidRDefault="00A60CBC" w:rsidP="00BF5F8F">
      <w:pPr>
        <w:spacing w:line="240" w:lineRule="auto"/>
      </w:pPr>
      <w:r w:rsidRPr="00303984">
        <w:t>Prisoners with other disabilities,</w:t>
      </w:r>
      <w:r w:rsidRPr="00104A01">
        <w:t xml:space="preserve"> as well as aging and older prisoners, are also vulnerable to victimization, and often reside in facilities that are inaccessible and ill-equipped to manage their health care needs. This has serious impacts on their health, safety, dignity and human rights.</w:t>
      </w:r>
    </w:p>
    <w:p w14:paraId="03327808" w14:textId="407BF4B2" w:rsidR="002F361E" w:rsidRDefault="00A60CBC" w:rsidP="00BF5F8F">
      <w:pPr>
        <w:spacing w:line="240" w:lineRule="auto"/>
      </w:pPr>
      <w:r w:rsidRPr="00DD0EBA">
        <w:rPr>
          <w:lang w:val="en"/>
        </w:rPr>
        <w:lastRenderedPageBreak/>
        <w:t>In 2019, the CHRC and OCI released a joint report</w:t>
      </w:r>
      <w:r w:rsidRPr="00DD0EBA">
        <w:rPr>
          <w:vertAlign w:val="superscript"/>
          <w:lang w:val="en"/>
        </w:rPr>
        <w:footnoteReference w:id="89"/>
      </w:r>
      <w:r w:rsidRPr="00DD0EBA">
        <w:rPr>
          <w:lang w:val="en"/>
        </w:rPr>
        <w:t xml:space="preserve"> highlighting</w:t>
      </w:r>
      <w:r w:rsidRPr="00DD0EBA">
        <w:t xml:space="preserve"> challenges associated with older prisoners, including the management of chronic health conditions, accessibility and </w:t>
      </w:r>
      <w:r w:rsidR="00FE04AD">
        <w:t xml:space="preserve">disability </w:t>
      </w:r>
      <w:r w:rsidRPr="00DD0EBA">
        <w:t>accommodation</w:t>
      </w:r>
      <w:r w:rsidR="00FE04AD">
        <w:t>s</w:t>
      </w:r>
      <w:r>
        <w:t xml:space="preserve">. </w:t>
      </w:r>
      <w:r w:rsidR="00FE04AD">
        <w:t>Amongst this growing population of prisoners, m</w:t>
      </w:r>
      <w:r>
        <w:t>any are living with multiple physical, cognitive and/or mental health disabilities.</w:t>
      </w:r>
    </w:p>
    <w:p w14:paraId="24BDB611" w14:textId="6DE51D89" w:rsidR="00BE3BD9" w:rsidRDefault="00BE3BD9" w:rsidP="00BE3BD9">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Pr>
          <w:rFonts w:cs="Arial"/>
          <w:b/>
          <w:bCs/>
          <w:szCs w:val="24"/>
        </w:rPr>
        <w:t>Recommendation #</w:t>
      </w:r>
      <w:r w:rsidR="00F30961">
        <w:rPr>
          <w:rFonts w:cs="Arial"/>
          <w:b/>
          <w:bCs/>
          <w:szCs w:val="24"/>
        </w:rPr>
        <w:t>24</w:t>
      </w:r>
      <w:r>
        <w:rPr>
          <w:rFonts w:cs="Arial"/>
          <w:b/>
          <w:bCs/>
          <w:szCs w:val="24"/>
        </w:rPr>
        <w:t xml:space="preserve">: </w:t>
      </w:r>
      <w:r>
        <w:rPr>
          <w:rFonts w:cs="Arial"/>
          <w:szCs w:val="24"/>
        </w:rPr>
        <w:t>That Canada</w:t>
      </w:r>
      <w:r w:rsidR="003756F2">
        <w:rPr>
          <w:rFonts w:cs="Arial"/>
          <w:szCs w:val="24"/>
        </w:rPr>
        <w:t xml:space="preserve"> take urgent and meaningful action to </w:t>
      </w:r>
      <w:r w:rsidR="004D3F83">
        <w:rPr>
          <w:rFonts w:cs="Arial"/>
          <w:szCs w:val="24"/>
        </w:rPr>
        <w:t xml:space="preserve">address the disproportionate use of force on individuals experiencing mental health disabilities, and </w:t>
      </w:r>
      <w:r w:rsidR="003756F2">
        <w:rPr>
          <w:rFonts w:cs="Arial"/>
          <w:szCs w:val="24"/>
        </w:rPr>
        <w:t xml:space="preserve">implement recommendations made </w:t>
      </w:r>
      <w:r w:rsidR="00BF5F8F">
        <w:rPr>
          <w:rFonts w:cs="Arial"/>
          <w:szCs w:val="24"/>
        </w:rPr>
        <w:t xml:space="preserve">by </w:t>
      </w:r>
      <w:r w:rsidR="003756F2">
        <w:rPr>
          <w:rFonts w:cs="Arial"/>
          <w:szCs w:val="24"/>
        </w:rPr>
        <w:t>various committees, oversight bodies and advocates to improve access to timely, ongoing</w:t>
      </w:r>
      <w:r w:rsidR="004D3F83">
        <w:rPr>
          <w:rFonts w:cs="Arial"/>
          <w:szCs w:val="24"/>
        </w:rPr>
        <w:t>,</w:t>
      </w:r>
      <w:r w:rsidR="003756F2">
        <w:rPr>
          <w:rFonts w:cs="Arial"/>
          <w:szCs w:val="24"/>
        </w:rPr>
        <w:t xml:space="preserve"> </w:t>
      </w:r>
      <w:r w:rsidR="004D3F83">
        <w:rPr>
          <w:rFonts w:cs="Arial"/>
          <w:szCs w:val="24"/>
        </w:rPr>
        <w:t xml:space="preserve">data-informed </w:t>
      </w:r>
      <w:r w:rsidR="003756F2">
        <w:rPr>
          <w:rFonts w:cs="Arial"/>
          <w:szCs w:val="24"/>
        </w:rPr>
        <w:t>and culturally responsive mental health treatment for individuals incarcerated in federal prisons</w:t>
      </w:r>
      <w:r w:rsidR="004D3F83">
        <w:rPr>
          <w:rFonts w:cs="Arial"/>
          <w:szCs w:val="24"/>
        </w:rPr>
        <w:t xml:space="preserve">. </w:t>
      </w:r>
    </w:p>
    <w:p w14:paraId="2E14B7D4" w14:textId="221468E9" w:rsidR="006C555C" w:rsidRPr="006C555C" w:rsidRDefault="006C555C" w:rsidP="00BE3BD9">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6762F4">
        <w:rPr>
          <w:rFonts w:cs="Arial"/>
          <w:b/>
          <w:bCs/>
          <w:szCs w:val="24"/>
        </w:rPr>
        <w:t>Recommendation #</w:t>
      </w:r>
      <w:r w:rsidR="00F30961">
        <w:rPr>
          <w:rFonts w:cs="Arial"/>
          <w:b/>
          <w:bCs/>
          <w:szCs w:val="24"/>
        </w:rPr>
        <w:t>25</w:t>
      </w:r>
      <w:r w:rsidRPr="006762F4">
        <w:rPr>
          <w:rFonts w:cs="Arial"/>
          <w:b/>
          <w:bCs/>
          <w:szCs w:val="24"/>
        </w:rPr>
        <w:t>:</w:t>
      </w:r>
      <w:r>
        <w:rPr>
          <w:rFonts w:cs="Arial"/>
          <w:szCs w:val="24"/>
        </w:rPr>
        <w:t xml:space="preserve"> </w:t>
      </w:r>
      <w:r w:rsidRPr="006762F4">
        <w:rPr>
          <w:rFonts w:cs="Arial"/>
          <w:szCs w:val="24"/>
        </w:rPr>
        <w:t xml:space="preserve">That Canada </w:t>
      </w:r>
      <w:r>
        <w:rPr>
          <w:rFonts w:cs="Arial"/>
          <w:szCs w:val="24"/>
        </w:rPr>
        <w:t>take action to ensure that infrastructure and programming meets the accessibility and accommodation needs of all prisoners, including aging and older prisoners and prisoners with multiple disabilities.</w:t>
      </w:r>
    </w:p>
    <w:p w14:paraId="1877228A" w14:textId="4AC2EC9C" w:rsidR="003756F2" w:rsidRDefault="003756F2" w:rsidP="00185E04">
      <w:pPr>
        <w:spacing w:line="240" w:lineRule="auto"/>
      </w:pPr>
      <w:r w:rsidRPr="00DD0EBA">
        <w:t xml:space="preserve">The CHRC </w:t>
      </w:r>
      <w:r w:rsidR="00E36D39">
        <w:t xml:space="preserve">notes that some progress has been made with respect to </w:t>
      </w:r>
      <w:r w:rsidRPr="00DD0EBA">
        <w:t xml:space="preserve">accommodation of substance </w:t>
      </w:r>
      <w:r>
        <w:t>use disorders</w:t>
      </w:r>
      <w:r w:rsidRPr="00DD0EBA">
        <w:t xml:space="preserve"> in federal corrections, and the provision of adequate and appropriate health care in such situations</w:t>
      </w:r>
      <w:r w:rsidR="00E36D39">
        <w:t>.</w:t>
      </w:r>
      <w:r w:rsidR="003068EA">
        <w:t xml:space="preserve"> </w:t>
      </w:r>
      <w:r w:rsidR="004F7DFB">
        <w:t xml:space="preserve">This progress has </w:t>
      </w:r>
      <w:r>
        <w:t>help</w:t>
      </w:r>
      <w:r w:rsidR="004F7DFB">
        <w:t>ed</w:t>
      </w:r>
      <w:r>
        <w:t xml:space="preserve"> address </w:t>
      </w:r>
      <w:r w:rsidRPr="00DD0EBA">
        <w:t xml:space="preserve">concerns that federal prisoners with opioid use disorders </w:t>
      </w:r>
      <w:r>
        <w:t>experience</w:t>
      </w:r>
      <w:r w:rsidRPr="00DD0EBA">
        <w:t xml:space="preserve"> greater risk of fatal overdose, and HIV or hepatitis C infection because of barriers to treatment</w:t>
      </w:r>
      <w:r>
        <w:t>, including</w:t>
      </w:r>
      <w:r w:rsidRPr="00DD0EBA">
        <w:t xml:space="preserve"> lack of adequate harm reduction initiatives and psychosocial therapy.</w:t>
      </w:r>
      <w:r>
        <w:t xml:space="preserve"> Through </w:t>
      </w:r>
      <w:r w:rsidRPr="00A938EC">
        <w:t xml:space="preserve">a collaborative agreement </w:t>
      </w:r>
      <w:r>
        <w:t>between Prisoners’ Legal Services,</w:t>
      </w:r>
      <w:r w:rsidRPr="00A938EC">
        <w:t xml:space="preserve"> </w:t>
      </w:r>
      <w:r>
        <w:t xml:space="preserve">the CHRC, </w:t>
      </w:r>
      <w:r w:rsidRPr="00A938EC">
        <w:t>and the Correctional Service of Canada (CSC)</w:t>
      </w:r>
      <w:r>
        <w:t>, CSC has made several commitments</w:t>
      </w:r>
      <w:r w:rsidRPr="00A938EC">
        <w:t xml:space="preserve"> to improve health services for people in custody with an opioid use disorder.</w:t>
      </w:r>
      <w:r>
        <w:rPr>
          <w:rStyle w:val="FootnoteReference"/>
        </w:rPr>
        <w:footnoteReference w:id="90"/>
      </w:r>
      <w:r w:rsidRPr="00A938EC">
        <w:t xml:space="preserve"> </w:t>
      </w:r>
      <w:r>
        <w:t xml:space="preserve">The CHRC </w:t>
      </w:r>
      <w:r w:rsidRPr="00516D27">
        <w:t xml:space="preserve">continues to monitor CSC’s progress in addressing the opioid crisis in </w:t>
      </w:r>
      <w:r>
        <w:t>f</w:t>
      </w:r>
      <w:r w:rsidRPr="00516D27">
        <w:t>ederal correctional institutions</w:t>
      </w:r>
      <w:r w:rsidR="009C50B1">
        <w:t>, including its development and implementation of</w:t>
      </w:r>
      <w:r w:rsidRPr="00516D27">
        <w:t xml:space="preserve"> evidence-based, culturally appropriate psychosocial treatments and support strategies.</w:t>
      </w:r>
      <w:r>
        <w:t xml:space="preserve"> </w:t>
      </w:r>
    </w:p>
    <w:p w14:paraId="29DC4FE0" w14:textId="77777777" w:rsidR="00A60CBC" w:rsidRDefault="00A60CBC" w:rsidP="00185E04">
      <w:pPr>
        <w:pStyle w:val="Heading3"/>
        <w:spacing w:line="240" w:lineRule="auto"/>
      </w:pPr>
      <w:bookmarkStart w:id="78" w:name="_Toc183602902"/>
      <w:bookmarkStart w:id="79" w:name="_Toc183602993"/>
      <w:r>
        <w:t>Structured Intervention Units (SIU)</w:t>
      </w:r>
      <w:bookmarkEnd w:id="78"/>
      <w:bookmarkEnd w:id="79"/>
    </w:p>
    <w:p w14:paraId="03F106C4" w14:textId="30E17CEF" w:rsidR="00A60CBC" w:rsidRDefault="00A60CBC" w:rsidP="00185E04">
      <w:pPr>
        <w:spacing w:line="240" w:lineRule="auto"/>
      </w:pPr>
      <w:r w:rsidRPr="00672659">
        <w:t>The CHRC remains deeply concerned by reports that prisoners being held in</w:t>
      </w:r>
      <w:r>
        <w:t xml:space="preserve"> </w:t>
      </w:r>
      <w:r w:rsidRPr="00672659">
        <w:t>“Structured Intervention Units” (SIUs) continue to experience conditions of solitary</w:t>
      </w:r>
      <w:r>
        <w:t xml:space="preserve"> </w:t>
      </w:r>
      <w:r w:rsidRPr="00672659">
        <w:t>confinement. Of</w:t>
      </w:r>
      <w:r>
        <w:t xml:space="preserve"> particular</w:t>
      </w:r>
      <w:r w:rsidRPr="00672659">
        <w:t xml:space="preserve"> concern </w:t>
      </w:r>
      <w:r>
        <w:t>is</w:t>
      </w:r>
      <w:r w:rsidRPr="00672659">
        <w:t xml:space="preserve"> the high prevalence of mental health disabilities among those</w:t>
      </w:r>
      <w:r>
        <w:t xml:space="preserve"> </w:t>
      </w:r>
      <w:r w:rsidRPr="00672659">
        <w:t>admitted to</w:t>
      </w:r>
      <w:r>
        <w:t xml:space="preserve"> </w:t>
      </w:r>
      <w:r w:rsidRPr="00672659">
        <w:t>and held in</w:t>
      </w:r>
      <w:r>
        <w:t xml:space="preserve"> </w:t>
      </w:r>
      <w:r w:rsidRPr="00672659">
        <w:t>SIUs</w:t>
      </w:r>
      <w:r>
        <w:t xml:space="preserve"> and the length of their stays </w:t>
      </w:r>
      <w:r w:rsidR="004B3298">
        <w:t>compared to those of others</w:t>
      </w:r>
      <w:r w:rsidRPr="00672659">
        <w:t>.</w:t>
      </w:r>
      <w:r>
        <w:rPr>
          <w:rStyle w:val="FootnoteReference"/>
        </w:rPr>
        <w:footnoteReference w:id="91"/>
      </w:r>
      <w:r w:rsidRPr="00672659">
        <w:t xml:space="preserve"> The SIU regime gives wide discretion to the </w:t>
      </w:r>
      <w:r>
        <w:t xml:space="preserve">CSC </w:t>
      </w:r>
      <w:r w:rsidRPr="00672659">
        <w:t xml:space="preserve">to decide whether, </w:t>
      </w:r>
      <w:r w:rsidRPr="00672659">
        <w:lastRenderedPageBreak/>
        <w:t>when and for how long a prisoner should be</w:t>
      </w:r>
      <w:r>
        <w:t xml:space="preserve"> </w:t>
      </w:r>
      <w:r w:rsidRPr="00672659">
        <w:t>confined in isolated and</w:t>
      </w:r>
      <w:r>
        <w:t xml:space="preserve"> </w:t>
      </w:r>
      <w:r w:rsidRPr="00672659">
        <w:t>restrictive conditions.</w:t>
      </w:r>
    </w:p>
    <w:p w14:paraId="509D3E21" w14:textId="2C73205A" w:rsidR="00A60CBC" w:rsidRDefault="00A60CBC" w:rsidP="00185E04">
      <w:pPr>
        <w:spacing w:line="240" w:lineRule="auto"/>
      </w:pPr>
      <w:r>
        <w:t>T</w:t>
      </w:r>
      <w:r w:rsidRPr="00496BF8">
        <w:t>he CHRC</w:t>
      </w:r>
      <w:r>
        <w:t xml:space="preserve"> maintains</w:t>
      </w:r>
      <w:r w:rsidRPr="00496BF8">
        <w:t xml:space="preserve"> that </w:t>
      </w:r>
      <w:r>
        <w:t xml:space="preserve">sustained </w:t>
      </w:r>
      <w:r w:rsidRPr="00496BF8">
        <w:t xml:space="preserve">independent external </w:t>
      </w:r>
      <w:r>
        <w:t>oversight</w:t>
      </w:r>
      <w:r w:rsidRPr="00496BF8">
        <w:t xml:space="preserve"> is critical to ensuring that the human rights of </w:t>
      </w:r>
      <w:r>
        <w:t xml:space="preserve">people held in SIUs </w:t>
      </w:r>
      <w:r w:rsidRPr="00496BF8">
        <w:t>are protected.</w:t>
      </w:r>
      <w:r>
        <w:rPr>
          <w:rStyle w:val="FootnoteReference"/>
        </w:rPr>
        <w:footnoteReference w:id="92"/>
      </w:r>
      <w:r>
        <w:t xml:space="preserve"> </w:t>
      </w:r>
      <w:r w:rsidR="008E7D51">
        <w:t>While a</w:t>
      </w:r>
      <w:r>
        <w:t xml:space="preserve"> separate SIU Implementation Advisory Panel was put in place to review and evaluate the system in its first years of operation, the Panel</w:t>
      </w:r>
      <w:r w:rsidR="008C20F1">
        <w:t xml:space="preserve"> is mandated to expire with no guarantee of renewal</w:t>
      </w:r>
      <w:r w:rsidR="006762F4">
        <w:t>.</w:t>
      </w:r>
      <w:r>
        <w:t xml:space="preserve"> </w:t>
      </w:r>
      <w:r w:rsidR="006762F4">
        <w:t>In addition, the Panel’s</w:t>
      </w:r>
      <w:r>
        <w:t xml:space="preserve"> most recent Annual Report</w:t>
      </w:r>
      <w:r w:rsidR="006762F4">
        <w:t xml:space="preserve"> </w:t>
      </w:r>
      <w:r>
        <w:t>conclud</w:t>
      </w:r>
      <w:r w:rsidR="006762F4">
        <w:t>ed</w:t>
      </w:r>
      <w:r>
        <w:t xml:space="preserve"> that there have been “</w:t>
      </w:r>
      <w:r w:rsidRPr="00117B07">
        <w:t>no meaningful or consistent improvements in operations over four years.</w:t>
      </w:r>
      <w:r>
        <w:t>”</w:t>
      </w:r>
      <w:r>
        <w:rPr>
          <w:rStyle w:val="FootnoteReference"/>
        </w:rPr>
        <w:footnoteReference w:id="93"/>
      </w:r>
      <w:r>
        <w:t xml:space="preserve"> </w:t>
      </w:r>
    </w:p>
    <w:p w14:paraId="126EC604" w14:textId="556A2FF5" w:rsidR="00805B89" w:rsidRDefault="00805B89" w:rsidP="00805B89">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Pr>
          <w:rFonts w:cs="Arial"/>
          <w:b/>
          <w:bCs/>
          <w:szCs w:val="24"/>
        </w:rPr>
        <w:t>Recommendation #</w:t>
      </w:r>
      <w:r w:rsidR="00F30961">
        <w:rPr>
          <w:rFonts w:cs="Arial"/>
          <w:b/>
          <w:bCs/>
          <w:szCs w:val="24"/>
        </w:rPr>
        <w:t>26</w:t>
      </w:r>
      <w:r>
        <w:rPr>
          <w:rFonts w:cs="Arial"/>
          <w:b/>
          <w:bCs/>
          <w:szCs w:val="24"/>
        </w:rPr>
        <w:t xml:space="preserve">: </w:t>
      </w:r>
      <w:r>
        <w:rPr>
          <w:rFonts w:cs="Arial"/>
          <w:szCs w:val="24"/>
        </w:rPr>
        <w:t xml:space="preserve">That Canada take steps to ensure that the </w:t>
      </w:r>
      <w:r w:rsidRPr="00805B89">
        <w:rPr>
          <w:rFonts w:cs="Arial"/>
          <w:szCs w:val="24"/>
        </w:rPr>
        <w:t>current SIU regime does not continue to create conditions of de facto solitary confinement for prisoners</w:t>
      </w:r>
      <w:r>
        <w:rPr>
          <w:rFonts w:cs="Arial"/>
          <w:szCs w:val="24"/>
        </w:rPr>
        <w:t xml:space="preserve">, including those with mental health disabilities. </w:t>
      </w:r>
    </w:p>
    <w:p w14:paraId="5B5BBACA" w14:textId="18A408CB" w:rsidR="00805B89" w:rsidRPr="00805B89" w:rsidRDefault="00805B89" w:rsidP="00805B89">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Pr>
          <w:rFonts w:cs="Arial"/>
          <w:b/>
          <w:bCs/>
          <w:szCs w:val="24"/>
        </w:rPr>
        <w:t>Recommendation #</w:t>
      </w:r>
      <w:r w:rsidR="00F30961">
        <w:rPr>
          <w:rFonts w:cs="Arial"/>
          <w:b/>
          <w:bCs/>
          <w:szCs w:val="24"/>
        </w:rPr>
        <w:t>27</w:t>
      </w:r>
      <w:r>
        <w:rPr>
          <w:rFonts w:cs="Arial"/>
          <w:b/>
          <w:bCs/>
          <w:szCs w:val="24"/>
        </w:rPr>
        <w:t xml:space="preserve">: </w:t>
      </w:r>
      <w:r>
        <w:rPr>
          <w:rFonts w:cs="Arial"/>
          <w:szCs w:val="24"/>
        </w:rPr>
        <w:t xml:space="preserve">That Canada establish an effective independent oversight body to monitor the operation of the SIU regime. </w:t>
      </w:r>
    </w:p>
    <w:p w14:paraId="6BA1C67D" w14:textId="00EC4377" w:rsidR="002F361E" w:rsidRDefault="002F361E" w:rsidP="00D8643A">
      <w:pPr>
        <w:pStyle w:val="Heading2"/>
        <w:ind w:left="567" w:hanging="567"/>
      </w:pPr>
      <w:bookmarkStart w:id="80" w:name="_Toc183602903"/>
      <w:bookmarkStart w:id="81" w:name="_Toc183602994"/>
      <w:bookmarkStart w:id="82" w:name="_Toc187841568"/>
      <w:r>
        <w:t>Institutionalization</w:t>
      </w:r>
      <w:bookmarkEnd w:id="80"/>
      <w:bookmarkEnd w:id="81"/>
      <w:bookmarkEnd w:id="82"/>
    </w:p>
    <w:p w14:paraId="4327B13A" w14:textId="77777777" w:rsidR="006A153F" w:rsidRDefault="001055BD" w:rsidP="001055BD">
      <w:pPr>
        <w:keepLines/>
        <w:spacing w:before="120" w:after="120" w:line="240" w:lineRule="auto"/>
      </w:pPr>
      <w:r w:rsidRPr="001055BD">
        <w:t xml:space="preserve">Many people with disabilities are </w:t>
      </w:r>
      <w:r w:rsidR="001F5F95">
        <w:t>forced to live in institutions</w:t>
      </w:r>
      <w:r w:rsidRPr="001055BD">
        <w:t xml:space="preserve"> due to </w:t>
      </w:r>
      <w:r w:rsidR="00EE18FF">
        <w:t xml:space="preserve">a lack of </w:t>
      </w:r>
      <w:r w:rsidRPr="001055BD">
        <w:t xml:space="preserve">community-based supports and accessible housing options. </w:t>
      </w:r>
      <w:r w:rsidR="001F5F95">
        <w:t>In addition to being deprived of their autonomy and their right to live independently in their communities, p</w:t>
      </w:r>
      <w:r w:rsidRPr="001055BD">
        <w:t xml:space="preserve">eople </w:t>
      </w:r>
      <w:r w:rsidR="001F5F95">
        <w:t xml:space="preserve">who are institutionalized are </w:t>
      </w:r>
      <w:r w:rsidRPr="001055BD">
        <w:t>at greater risk of experiencing violence and being exposed to health risks, such as COVID-19.</w:t>
      </w:r>
      <w:r w:rsidRPr="001055BD">
        <w:rPr>
          <w:rStyle w:val="FootnoteReference"/>
        </w:rPr>
        <w:footnoteReference w:id="94"/>
      </w:r>
      <w:r w:rsidR="00343539" w:rsidRPr="00343539">
        <w:t xml:space="preserve"> </w:t>
      </w:r>
    </w:p>
    <w:p w14:paraId="05CB7909" w14:textId="5682DC03" w:rsidR="001055BD" w:rsidRPr="001055BD" w:rsidRDefault="00343539" w:rsidP="001055BD">
      <w:pPr>
        <w:keepLines/>
        <w:spacing w:before="120" w:after="120" w:line="240" w:lineRule="auto"/>
      </w:pPr>
      <w:r>
        <w:lastRenderedPageBreak/>
        <w:t>Canada’s deinstitutionalization efforts have been slow and uneven across the country.</w:t>
      </w:r>
      <w:r w:rsidR="006A1625">
        <w:t xml:space="preserve"> </w:t>
      </w:r>
      <w:r w:rsidR="006A1625" w:rsidRPr="00FF38E8">
        <w:rPr>
          <w:lang w:val="en-US"/>
        </w:rPr>
        <w:t xml:space="preserve">For example, </w:t>
      </w:r>
      <w:r w:rsidR="006A1625" w:rsidRPr="00EB703D">
        <w:rPr>
          <w:lang w:val="en-US"/>
        </w:rPr>
        <w:t>in response to a human right</w:t>
      </w:r>
      <w:r w:rsidR="006A1625">
        <w:rPr>
          <w:lang w:val="en-US"/>
        </w:rPr>
        <w:t>s</w:t>
      </w:r>
      <w:r w:rsidR="006A1625" w:rsidRPr="00EB703D">
        <w:rPr>
          <w:lang w:val="en-US"/>
        </w:rPr>
        <w:t xml:space="preserve"> complaint filed in 2014, a court found in 2021 that the province of Nova Scotia had systemically discriminated against people with disabilities by unnecessarily institutionalizing them, subjecting them to indefinite wait times to receive services, and forcibly removing them to remote areas.</w:t>
      </w:r>
      <w:r>
        <w:rPr>
          <w:rStyle w:val="FootnoteReference"/>
        </w:rPr>
        <w:footnoteReference w:id="95"/>
      </w:r>
      <w:r w:rsidR="006A1625">
        <w:rPr>
          <w:lang w:val="en-US"/>
        </w:rPr>
        <w:t xml:space="preserve"> </w:t>
      </w:r>
      <w:r w:rsidR="006A1625" w:rsidRPr="00FF38E8">
        <w:rPr>
          <w:lang w:val="en-US"/>
        </w:rPr>
        <w:t xml:space="preserve">The systemic remedy in this case included a </w:t>
      </w:r>
      <w:r w:rsidR="006A1625" w:rsidRPr="00FF38E8">
        <w:t>5-year plan for the government to deinstitutionalize people with disabilities</w:t>
      </w:r>
      <w:r w:rsidR="006A153F">
        <w:t>. H</w:t>
      </w:r>
      <w:r w:rsidR="006A1625">
        <w:t>owever, a</w:t>
      </w:r>
      <w:r w:rsidR="006A1625" w:rsidRPr="00EB703D">
        <w:rPr>
          <w:lang w:val="en-US"/>
        </w:rPr>
        <w:t>n independent</w:t>
      </w:r>
      <w:r w:rsidR="006A1625" w:rsidRPr="00FF38E8">
        <w:rPr>
          <w:lang w:val="en-US"/>
        </w:rPr>
        <w:t xml:space="preserve"> monitoring report published in 2024 found </w:t>
      </w:r>
      <w:r w:rsidR="006A1625">
        <w:rPr>
          <w:lang w:val="en-US"/>
        </w:rPr>
        <w:t xml:space="preserve">that </w:t>
      </w:r>
      <w:r w:rsidR="006A1625" w:rsidRPr="00EB703D">
        <w:rPr>
          <w:lang w:val="en-US"/>
        </w:rPr>
        <w:t>the province’s p</w:t>
      </w:r>
      <w:r w:rsidR="006A1625" w:rsidRPr="00FF38E8">
        <w:rPr>
          <w:lang w:val="en-US"/>
        </w:rPr>
        <w:t xml:space="preserve">rogress </w:t>
      </w:r>
      <w:r w:rsidR="006A1625" w:rsidRPr="00EB703D">
        <w:rPr>
          <w:lang w:val="en-US"/>
        </w:rPr>
        <w:t>in implementing this plan h</w:t>
      </w:r>
      <w:r w:rsidR="006A1625" w:rsidRPr="00FF38E8">
        <w:rPr>
          <w:lang w:val="en-US"/>
        </w:rPr>
        <w:t>as been slow and uneven</w:t>
      </w:r>
      <w:r w:rsidR="006A1625">
        <w:rPr>
          <w:lang w:val="en-US"/>
        </w:rPr>
        <w:t xml:space="preserve"> to date</w:t>
      </w:r>
      <w:r w:rsidR="006A1625" w:rsidRPr="00FF38E8">
        <w:rPr>
          <w:lang w:val="en-US"/>
        </w:rPr>
        <w:t>.</w:t>
      </w:r>
      <w:r w:rsidR="006A1625">
        <w:rPr>
          <w:rStyle w:val="FootnoteReference"/>
          <w:lang w:val="en-US"/>
        </w:rPr>
        <w:footnoteReference w:id="96"/>
      </w:r>
    </w:p>
    <w:p w14:paraId="69EEF228" w14:textId="071D796C" w:rsidR="001055BD" w:rsidRPr="001055BD" w:rsidRDefault="00A978B7" w:rsidP="001055BD">
      <w:pPr>
        <w:keepLines/>
        <w:spacing w:before="120" w:after="120" w:line="240" w:lineRule="auto"/>
      </w:pPr>
      <w:r>
        <w:t>The CHRC has been advocating to improve data collection and transparency on people who are institutionalized</w:t>
      </w:r>
      <w:r w:rsidR="000B2E5D">
        <w:t>,</w:t>
      </w:r>
      <w:r>
        <w:t xml:space="preserve"> as </w:t>
      </w:r>
      <w:r w:rsidR="00C37950">
        <w:t xml:space="preserve">Canada </w:t>
      </w:r>
      <w:r w:rsidR="001055BD" w:rsidRPr="001055BD">
        <w:rPr>
          <w:rFonts w:cs="Arial"/>
          <w:szCs w:val="24"/>
        </w:rPr>
        <w:t>lack</w:t>
      </w:r>
      <w:r w:rsidR="00C37950">
        <w:rPr>
          <w:rFonts w:cs="Arial"/>
          <w:szCs w:val="24"/>
        </w:rPr>
        <w:t xml:space="preserve">s </w:t>
      </w:r>
      <w:r w:rsidR="001055BD" w:rsidRPr="001055BD">
        <w:rPr>
          <w:rFonts w:cs="Arial"/>
          <w:szCs w:val="24"/>
        </w:rPr>
        <w:t xml:space="preserve">comprehensive </w:t>
      </w:r>
      <w:r w:rsidR="00C5147C">
        <w:rPr>
          <w:rFonts w:cs="Arial"/>
          <w:szCs w:val="24"/>
        </w:rPr>
        <w:t xml:space="preserve">and reliable </w:t>
      </w:r>
      <w:r w:rsidR="005F4767" w:rsidRPr="001055BD">
        <w:rPr>
          <w:rFonts w:cs="Arial"/>
          <w:szCs w:val="24"/>
        </w:rPr>
        <w:t>data</w:t>
      </w:r>
      <w:r w:rsidR="005F4767">
        <w:rPr>
          <w:rFonts w:cs="Arial"/>
          <w:szCs w:val="24"/>
        </w:rPr>
        <w:t xml:space="preserve"> in this area</w:t>
      </w:r>
      <w:r w:rsidR="001055BD" w:rsidRPr="001055BD">
        <w:rPr>
          <w:rFonts w:cs="Arial"/>
          <w:szCs w:val="24"/>
        </w:rPr>
        <w:t>.</w:t>
      </w:r>
      <w:r w:rsidR="001055BD" w:rsidRPr="001055BD">
        <w:t xml:space="preserve"> </w:t>
      </w:r>
      <w:r w:rsidR="00C37950">
        <w:t>Since p</w:t>
      </w:r>
      <w:r w:rsidR="00C37950" w:rsidRPr="001055BD">
        <w:t xml:space="preserve">eople living in institutions are excluded from most national surveys, </w:t>
      </w:r>
      <w:r w:rsidR="00C5147C">
        <w:t xml:space="preserve">it is currently </w:t>
      </w:r>
      <w:r w:rsidR="00343539">
        <w:t>difficult</w:t>
      </w:r>
      <w:r w:rsidR="00C5147C">
        <w:t xml:space="preserve"> to ascertain how many</w:t>
      </w:r>
      <w:r w:rsidR="00C37950" w:rsidRPr="001055BD">
        <w:t xml:space="preserve"> people with disabilities </w:t>
      </w:r>
      <w:r w:rsidR="00C5147C">
        <w:t xml:space="preserve">are </w:t>
      </w:r>
      <w:r w:rsidR="00C37950" w:rsidRPr="001055BD">
        <w:t xml:space="preserve">living </w:t>
      </w:r>
      <w:r w:rsidR="00C5147C">
        <w:t>in</w:t>
      </w:r>
      <w:r w:rsidR="000B2E5D">
        <w:t>:</w:t>
      </w:r>
      <w:r w:rsidR="00C5147C">
        <w:t xml:space="preserve"> large institutions; </w:t>
      </w:r>
      <w:r w:rsidR="00C37950" w:rsidRPr="001055BD">
        <w:t xml:space="preserve">hospitals; prisons and correctional facilities; immigration detention centres and shelters for refugees; child welfare systems; and homeless </w:t>
      </w:r>
      <w:r w:rsidR="00C37950">
        <w:t xml:space="preserve">and emergency </w:t>
      </w:r>
      <w:r w:rsidR="00C37950" w:rsidRPr="001055BD">
        <w:t>shelters.</w:t>
      </w:r>
      <w:r w:rsidR="00C37950" w:rsidRPr="001055BD">
        <w:rPr>
          <w:rStyle w:val="FootnoteReference"/>
        </w:rPr>
        <w:footnoteReference w:id="97"/>
      </w:r>
      <w:r w:rsidR="00C37950" w:rsidRPr="001055BD">
        <w:t xml:space="preserve"> </w:t>
      </w:r>
      <w:r w:rsidR="00C37950">
        <w:t>According to the</w:t>
      </w:r>
      <w:r w:rsidR="00C825C3">
        <w:t xml:space="preserve"> 2021</w:t>
      </w:r>
      <w:r w:rsidR="00C37950">
        <w:t xml:space="preserve"> </w:t>
      </w:r>
      <w:r w:rsidR="001055BD" w:rsidRPr="001055BD">
        <w:t>Census, 61 710 people liv</w:t>
      </w:r>
      <w:r w:rsidR="00C37950">
        <w:t>ed</w:t>
      </w:r>
      <w:r w:rsidR="001055BD" w:rsidRPr="001055BD">
        <w:t xml:space="preserve"> in group homes for people with disabilities and addictions</w:t>
      </w:r>
      <w:r w:rsidR="00C5147C">
        <w:t xml:space="preserve">, and </w:t>
      </w:r>
      <w:r w:rsidR="001055BD" w:rsidRPr="001055BD">
        <w:t>7590 people under age 55 liv</w:t>
      </w:r>
      <w:r w:rsidR="00C37950">
        <w:t>ed</w:t>
      </w:r>
      <w:r w:rsidR="001055BD" w:rsidRPr="001055BD">
        <w:t xml:space="preserve"> in long-term care facilities</w:t>
      </w:r>
      <w:r w:rsidR="00C5147C">
        <w:t>.</w:t>
      </w:r>
      <w:r w:rsidR="00C5147C">
        <w:rPr>
          <w:rStyle w:val="FootnoteReference"/>
        </w:rPr>
        <w:footnoteReference w:id="98"/>
      </w:r>
      <w:r w:rsidR="00C5147C">
        <w:t xml:space="preserve"> Since long-term care facilities are </w:t>
      </w:r>
      <w:r w:rsidR="00C37950">
        <w:t>primarily designed for older people</w:t>
      </w:r>
      <w:r w:rsidR="00C5147C">
        <w:t xml:space="preserve">, </w:t>
      </w:r>
      <w:r w:rsidR="00EF1F97" w:rsidRPr="007A425E">
        <w:t>the CHRC maintains that</w:t>
      </w:r>
      <w:r w:rsidR="00EF1F97">
        <w:t xml:space="preserve"> </w:t>
      </w:r>
      <w:r w:rsidR="00C5147C">
        <w:t>they are not an appropriate housing option for young people with disabilities</w:t>
      </w:r>
      <w:r w:rsidR="001055BD" w:rsidRPr="001055BD">
        <w:t xml:space="preserve">. </w:t>
      </w:r>
    </w:p>
    <w:p w14:paraId="0ECCE8F6" w14:textId="49341F6A" w:rsidR="001055BD" w:rsidRPr="001055BD" w:rsidRDefault="001055BD" w:rsidP="001055BD">
      <w:pPr>
        <w:keepLines/>
        <w:spacing w:before="120" w:after="120" w:line="240" w:lineRule="auto"/>
      </w:pPr>
      <w:r w:rsidRPr="001055BD">
        <w:rPr>
          <w:rFonts w:cs="Arial"/>
          <w:szCs w:val="24"/>
        </w:rPr>
        <w:t>M</w:t>
      </w:r>
      <w:r w:rsidRPr="001055BD">
        <w:t xml:space="preserve">any people with disabilities are </w:t>
      </w:r>
      <w:r w:rsidR="000B2E5D">
        <w:t xml:space="preserve">also </w:t>
      </w:r>
      <w:r w:rsidRPr="001055BD">
        <w:t xml:space="preserve">involuntarily detained in </w:t>
      </w:r>
      <w:r w:rsidR="00C5147C">
        <w:t xml:space="preserve">mental health </w:t>
      </w:r>
      <w:r w:rsidRPr="001055BD">
        <w:t xml:space="preserve">facilities under mental health and guardianship laws. </w:t>
      </w:r>
      <w:r w:rsidR="00C5147C">
        <w:t xml:space="preserve">The CHRC is </w:t>
      </w:r>
      <w:r w:rsidR="00C5147C" w:rsidRPr="001055BD">
        <w:t xml:space="preserve">concerned </w:t>
      </w:r>
      <w:r w:rsidR="000B2E5D">
        <w:t xml:space="preserve">about reports </w:t>
      </w:r>
      <w:r w:rsidR="00C5147C" w:rsidRPr="001055BD">
        <w:t xml:space="preserve">that some provinces </w:t>
      </w:r>
      <w:r w:rsidR="00C5147C">
        <w:t xml:space="preserve">are </w:t>
      </w:r>
      <w:r w:rsidR="00C5147C" w:rsidRPr="001055BD">
        <w:t>plan</w:t>
      </w:r>
      <w:r w:rsidR="00C5147C">
        <w:t>ning</w:t>
      </w:r>
      <w:r w:rsidR="00C5147C" w:rsidRPr="001055BD">
        <w:t xml:space="preserve"> to expand involuntary detention and treatment of people with mental health and substance use issues.</w:t>
      </w:r>
      <w:r w:rsidR="00374324">
        <w:rPr>
          <w:rStyle w:val="FootnoteReference"/>
        </w:rPr>
        <w:footnoteReference w:id="99"/>
      </w:r>
      <w:r w:rsidR="00C5147C">
        <w:t xml:space="preserve"> </w:t>
      </w:r>
      <w:r w:rsidR="00A26986">
        <w:t>The CHRC</w:t>
      </w:r>
      <w:r w:rsidR="00C5147C">
        <w:t xml:space="preserve"> also </w:t>
      </w:r>
      <w:r w:rsidR="00904C74">
        <w:t xml:space="preserve">remains </w:t>
      </w:r>
      <w:r w:rsidR="00C5147C" w:rsidRPr="001055BD">
        <w:t xml:space="preserve">concerned </w:t>
      </w:r>
      <w:r w:rsidR="00904C74">
        <w:t>over the</w:t>
      </w:r>
      <w:r w:rsidR="00C5147C" w:rsidRPr="001055BD">
        <w:rPr>
          <w:rFonts w:cs="Arial"/>
          <w:szCs w:val="24"/>
        </w:rPr>
        <w:t xml:space="preserve"> lack </w:t>
      </w:r>
      <w:r w:rsidR="00904C74">
        <w:rPr>
          <w:rFonts w:cs="Arial"/>
          <w:szCs w:val="24"/>
        </w:rPr>
        <w:t xml:space="preserve">of </w:t>
      </w:r>
      <w:r w:rsidR="00C5147C" w:rsidRPr="001055BD">
        <w:rPr>
          <w:rFonts w:cs="Arial"/>
          <w:szCs w:val="24"/>
        </w:rPr>
        <w:t xml:space="preserve">independent monitoring and oversight of </w:t>
      </w:r>
      <w:r w:rsidR="00C5147C">
        <w:rPr>
          <w:rFonts w:cs="Arial"/>
          <w:szCs w:val="24"/>
        </w:rPr>
        <w:t>mental health facilities</w:t>
      </w:r>
      <w:r w:rsidR="00904C74">
        <w:rPr>
          <w:rFonts w:cs="Arial"/>
          <w:szCs w:val="24"/>
        </w:rPr>
        <w:t xml:space="preserve"> in Canada</w:t>
      </w:r>
      <w:r w:rsidR="00C5147C" w:rsidRPr="001055BD">
        <w:rPr>
          <w:rFonts w:cs="Arial"/>
          <w:szCs w:val="24"/>
        </w:rPr>
        <w:t xml:space="preserve">. </w:t>
      </w:r>
    </w:p>
    <w:p w14:paraId="48E0173F" w14:textId="3CD01935" w:rsidR="001055BD" w:rsidRPr="001055BD" w:rsidRDefault="001055BD" w:rsidP="001055BD">
      <w:pPr>
        <w:pStyle w:val="NoSpacing"/>
        <w:pBdr>
          <w:top w:val="single" w:sz="12" w:space="1" w:color="auto"/>
          <w:left w:val="single" w:sz="12" w:space="4" w:color="auto"/>
          <w:bottom w:val="single" w:sz="12" w:space="1" w:color="auto"/>
          <w:right w:val="single" w:sz="12" w:space="4" w:color="auto"/>
        </w:pBdr>
        <w:shd w:val="clear" w:color="auto" w:fill="DEEAF6" w:themeFill="accent1" w:themeFillTint="33"/>
        <w:rPr>
          <w:rFonts w:ascii="Arial" w:hAnsi="Arial" w:cs="Arial"/>
          <w:sz w:val="24"/>
          <w:szCs w:val="24"/>
          <w:lang w:val="en-CA"/>
        </w:rPr>
      </w:pPr>
      <w:r w:rsidRPr="001055BD">
        <w:rPr>
          <w:rFonts w:ascii="Arial" w:hAnsi="Arial" w:cs="Arial"/>
          <w:b/>
          <w:bCs/>
          <w:sz w:val="24"/>
          <w:szCs w:val="24"/>
        </w:rPr>
        <w:t>Recommendation #</w:t>
      </w:r>
      <w:r w:rsidR="00F30961">
        <w:rPr>
          <w:rFonts w:ascii="Arial" w:hAnsi="Arial" w:cs="Arial"/>
          <w:b/>
          <w:bCs/>
          <w:sz w:val="24"/>
          <w:szCs w:val="24"/>
        </w:rPr>
        <w:t>28</w:t>
      </w:r>
      <w:r w:rsidRPr="001055BD">
        <w:rPr>
          <w:rFonts w:ascii="Arial" w:hAnsi="Arial" w:cs="Arial"/>
          <w:b/>
          <w:bCs/>
          <w:sz w:val="24"/>
          <w:szCs w:val="24"/>
        </w:rPr>
        <w:t xml:space="preserve">: </w:t>
      </w:r>
      <w:r w:rsidRPr="001055BD">
        <w:rPr>
          <w:rFonts w:ascii="Arial" w:hAnsi="Arial" w:cs="Arial"/>
          <w:sz w:val="24"/>
          <w:szCs w:val="24"/>
        </w:rPr>
        <w:t>That Canada</w:t>
      </w:r>
      <w:r w:rsidR="00CB775B">
        <w:rPr>
          <w:rFonts w:ascii="Arial" w:hAnsi="Arial" w:cs="Arial"/>
          <w:sz w:val="24"/>
          <w:szCs w:val="24"/>
        </w:rPr>
        <w:t xml:space="preserve"> </w:t>
      </w:r>
      <w:r w:rsidR="00CB775B" w:rsidRPr="001055BD">
        <w:rPr>
          <w:rFonts w:ascii="Arial" w:hAnsi="Arial" w:cs="Arial"/>
          <w:sz w:val="24"/>
          <w:szCs w:val="24"/>
        </w:rPr>
        <w:t xml:space="preserve">provide adequate community-based supports to </w:t>
      </w:r>
      <w:r w:rsidR="002313E5">
        <w:rPr>
          <w:rFonts w:ascii="Arial" w:hAnsi="Arial" w:cs="Arial"/>
          <w:sz w:val="24"/>
          <w:szCs w:val="24"/>
        </w:rPr>
        <w:t>ensure that appropriate alternatives to</w:t>
      </w:r>
      <w:r w:rsidRPr="001055BD">
        <w:rPr>
          <w:rFonts w:ascii="Arial" w:hAnsi="Arial" w:cs="Arial"/>
          <w:b/>
          <w:bCs/>
          <w:sz w:val="24"/>
          <w:szCs w:val="24"/>
        </w:rPr>
        <w:t xml:space="preserve"> </w:t>
      </w:r>
      <w:r w:rsidRPr="001055BD">
        <w:rPr>
          <w:rFonts w:ascii="Arial" w:hAnsi="Arial" w:cs="Arial"/>
          <w:sz w:val="24"/>
          <w:szCs w:val="24"/>
        </w:rPr>
        <w:t xml:space="preserve">institutionalization </w:t>
      </w:r>
      <w:r w:rsidR="002313E5">
        <w:rPr>
          <w:rFonts w:ascii="Arial" w:hAnsi="Arial" w:cs="Arial"/>
          <w:sz w:val="24"/>
          <w:szCs w:val="24"/>
        </w:rPr>
        <w:t>are available for</w:t>
      </w:r>
      <w:r w:rsidRPr="001055BD">
        <w:rPr>
          <w:rFonts w:ascii="Arial" w:hAnsi="Arial" w:cs="Arial"/>
          <w:sz w:val="24"/>
          <w:szCs w:val="24"/>
        </w:rPr>
        <w:t xml:space="preserve"> people with disabilities</w:t>
      </w:r>
      <w:r w:rsidR="00414ADC">
        <w:rPr>
          <w:rFonts w:ascii="Arial" w:hAnsi="Arial" w:cs="Arial"/>
          <w:sz w:val="24"/>
          <w:szCs w:val="24"/>
        </w:rPr>
        <w:t xml:space="preserve"> so that they can live with dignity and independence in their communities</w:t>
      </w:r>
      <w:r w:rsidRPr="001055BD">
        <w:rPr>
          <w:rFonts w:ascii="Arial" w:hAnsi="Arial" w:cs="Arial"/>
          <w:sz w:val="24"/>
          <w:szCs w:val="24"/>
        </w:rPr>
        <w:t xml:space="preserve">. </w:t>
      </w:r>
    </w:p>
    <w:p w14:paraId="72580540" w14:textId="107AEFB7" w:rsidR="002F361E" w:rsidRDefault="00AD1C57" w:rsidP="00D8643A">
      <w:pPr>
        <w:pStyle w:val="Heading2"/>
        <w:ind w:left="567" w:hanging="567"/>
      </w:pPr>
      <w:bookmarkStart w:id="83" w:name="_Toc187841569"/>
      <w:bookmarkStart w:id="84" w:name="_Toc183602904"/>
      <w:bookmarkStart w:id="85" w:name="_Toc183602995"/>
      <w:r>
        <w:t>Ratif</w:t>
      </w:r>
      <w:r w:rsidR="00083AFC">
        <w:t>ying</w:t>
      </w:r>
      <w:r>
        <w:t xml:space="preserve"> t</w:t>
      </w:r>
      <w:r w:rsidR="002F361E">
        <w:t xml:space="preserve">he Optional Protocol to the Convention </w:t>
      </w:r>
      <w:r>
        <w:t>a</w:t>
      </w:r>
      <w:r w:rsidR="002F361E">
        <w:t>gainst Torture</w:t>
      </w:r>
      <w:bookmarkEnd w:id="83"/>
      <w:r w:rsidR="00C634FF">
        <w:t xml:space="preserve"> </w:t>
      </w:r>
      <w:bookmarkEnd w:id="84"/>
      <w:bookmarkEnd w:id="85"/>
    </w:p>
    <w:p w14:paraId="7626EA97" w14:textId="12E44C5F" w:rsidR="0027014F" w:rsidRDefault="0027014F" w:rsidP="0027014F">
      <w:pPr>
        <w:pStyle w:val="NoSpacing"/>
        <w:rPr>
          <w:rFonts w:ascii="Arial" w:hAnsi="Arial" w:cs="Arial"/>
          <w:sz w:val="24"/>
          <w:szCs w:val="24"/>
        </w:rPr>
      </w:pPr>
      <w:r>
        <w:rPr>
          <w:rFonts w:ascii="Arial" w:hAnsi="Arial" w:cs="Arial"/>
          <w:sz w:val="24"/>
          <w:szCs w:val="24"/>
        </w:rPr>
        <w:t xml:space="preserve">To align Canada with international standards on independent oversight of places of deprivation of liberty, the CHRC continues to call on Canada to ratify </w:t>
      </w:r>
      <w:r w:rsidRPr="001B1D78">
        <w:rPr>
          <w:rFonts w:ascii="Arial" w:hAnsi="Arial" w:cs="Arial"/>
          <w:sz w:val="24"/>
          <w:szCs w:val="24"/>
        </w:rPr>
        <w:t xml:space="preserve">the </w:t>
      </w:r>
      <w:r w:rsidRPr="00402166">
        <w:rPr>
          <w:rFonts w:ascii="Arial" w:hAnsi="Arial" w:cs="Arial"/>
          <w:sz w:val="24"/>
          <w:szCs w:val="24"/>
        </w:rPr>
        <w:t xml:space="preserve">Optional </w:t>
      </w:r>
      <w:r w:rsidRPr="00402166">
        <w:rPr>
          <w:rFonts w:ascii="Arial" w:hAnsi="Arial" w:cs="Arial"/>
          <w:sz w:val="24"/>
          <w:szCs w:val="24"/>
        </w:rPr>
        <w:lastRenderedPageBreak/>
        <w:t>Protocol to the Convention against Torture (OPCAT)</w:t>
      </w:r>
      <w:r>
        <w:rPr>
          <w:rFonts w:ascii="Arial" w:hAnsi="Arial" w:cs="Arial"/>
          <w:sz w:val="24"/>
          <w:szCs w:val="24"/>
        </w:rPr>
        <w:t xml:space="preserve">. The OPCAT </w:t>
      </w:r>
      <w:r w:rsidRPr="001B1D78">
        <w:rPr>
          <w:rFonts w:ascii="Arial" w:hAnsi="Arial" w:cs="Arial"/>
          <w:sz w:val="24"/>
          <w:szCs w:val="24"/>
        </w:rPr>
        <w:t>could offer a framework for more consistent and proactive human rights protections for people who are detained across all jurisdictions</w:t>
      </w:r>
      <w:r>
        <w:rPr>
          <w:rFonts w:ascii="Arial" w:hAnsi="Arial" w:cs="Arial"/>
          <w:sz w:val="24"/>
          <w:szCs w:val="24"/>
        </w:rPr>
        <w:t>.</w:t>
      </w:r>
      <w:r>
        <w:rPr>
          <w:rStyle w:val="FootnoteReference"/>
          <w:rFonts w:ascii="Arial" w:hAnsi="Arial" w:cs="Arial"/>
          <w:sz w:val="24"/>
          <w:szCs w:val="24"/>
        </w:rPr>
        <w:footnoteReference w:id="100"/>
      </w:r>
      <w:r>
        <w:rPr>
          <w:rFonts w:ascii="Arial" w:hAnsi="Arial" w:cs="Arial"/>
          <w:sz w:val="24"/>
          <w:szCs w:val="24"/>
        </w:rPr>
        <w:t xml:space="preserve"> Despite </w:t>
      </w:r>
      <w:r w:rsidRPr="003B4461">
        <w:rPr>
          <w:rFonts w:ascii="Arial" w:hAnsi="Arial" w:cs="Arial"/>
          <w:sz w:val="24"/>
          <w:szCs w:val="24"/>
        </w:rPr>
        <w:t>Canada’s commitment to prioritize the ratification of OPCAT</w:t>
      </w:r>
      <w:r>
        <w:rPr>
          <w:rFonts w:ascii="Arial" w:hAnsi="Arial" w:cs="Arial"/>
          <w:sz w:val="24"/>
          <w:szCs w:val="24"/>
        </w:rPr>
        <w:t xml:space="preserve"> during its most recent Universal Periodic Review, further </w:t>
      </w:r>
      <w:r w:rsidR="00E46A94">
        <w:rPr>
          <w:rFonts w:ascii="Arial" w:hAnsi="Arial" w:cs="Arial"/>
          <w:sz w:val="24"/>
          <w:szCs w:val="24"/>
        </w:rPr>
        <w:t xml:space="preserve">information on steps taken to move towards this </w:t>
      </w:r>
      <w:r>
        <w:rPr>
          <w:rFonts w:ascii="Arial" w:hAnsi="Arial" w:cs="Arial"/>
          <w:sz w:val="24"/>
          <w:szCs w:val="24"/>
        </w:rPr>
        <w:t xml:space="preserve">have yet to be provided. </w:t>
      </w:r>
    </w:p>
    <w:p w14:paraId="4E02A408" w14:textId="77777777" w:rsidR="0027014F" w:rsidRDefault="0027014F" w:rsidP="0027014F">
      <w:pPr>
        <w:pStyle w:val="NoSpacing"/>
        <w:rPr>
          <w:rFonts w:ascii="Arial" w:hAnsi="Arial" w:cs="Arial"/>
          <w:b/>
          <w:bCs/>
          <w:sz w:val="24"/>
          <w:szCs w:val="24"/>
        </w:rPr>
      </w:pPr>
    </w:p>
    <w:p w14:paraId="565BA670" w14:textId="034C8A3F" w:rsidR="0027014F" w:rsidRDefault="0027014F" w:rsidP="0027014F">
      <w:pPr>
        <w:pStyle w:val="NoSpacing"/>
        <w:pBdr>
          <w:top w:val="single" w:sz="12" w:space="1" w:color="auto"/>
          <w:left w:val="single" w:sz="12" w:space="4" w:color="auto"/>
          <w:bottom w:val="single" w:sz="12" w:space="1" w:color="auto"/>
          <w:right w:val="single" w:sz="12" w:space="4" w:color="auto"/>
        </w:pBdr>
        <w:shd w:val="clear" w:color="auto" w:fill="DEEAF6" w:themeFill="accent1" w:themeFillTint="33"/>
        <w:rPr>
          <w:rFonts w:ascii="Arial" w:hAnsi="Arial" w:cs="Arial"/>
          <w:sz w:val="24"/>
          <w:szCs w:val="24"/>
        </w:rPr>
      </w:pPr>
      <w:r>
        <w:rPr>
          <w:rFonts w:ascii="Arial" w:hAnsi="Arial" w:cs="Arial"/>
          <w:b/>
          <w:bCs/>
          <w:sz w:val="24"/>
          <w:szCs w:val="24"/>
        </w:rPr>
        <w:t>Recommendation #</w:t>
      </w:r>
      <w:r w:rsidR="00F30961">
        <w:rPr>
          <w:rFonts w:ascii="Arial" w:hAnsi="Arial" w:cs="Arial"/>
          <w:b/>
          <w:bCs/>
          <w:sz w:val="24"/>
          <w:szCs w:val="24"/>
        </w:rPr>
        <w:t>29</w:t>
      </w:r>
      <w:r>
        <w:rPr>
          <w:rFonts w:ascii="Arial" w:hAnsi="Arial" w:cs="Arial"/>
          <w:b/>
          <w:bCs/>
          <w:sz w:val="24"/>
          <w:szCs w:val="24"/>
        </w:rPr>
        <w:t xml:space="preserve">: </w:t>
      </w:r>
      <w:r>
        <w:rPr>
          <w:rFonts w:ascii="Arial" w:hAnsi="Arial" w:cs="Arial"/>
          <w:sz w:val="24"/>
          <w:szCs w:val="24"/>
        </w:rPr>
        <w:t>That Canada sign</w:t>
      </w:r>
      <w:r>
        <w:rPr>
          <w:rFonts w:ascii="Arial-BoldMT" w:eastAsiaTheme="minorHAnsi" w:hAnsi="Arial-BoldMT"/>
          <w:color w:val="000000"/>
          <w:sz w:val="24"/>
          <w:szCs w:val="24"/>
          <w:lang w:val="en-CA"/>
        </w:rPr>
        <w:t>, ratif</w:t>
      </w:r>
      <w:r w:rsidR="00F00EF9">
        <w:rPr>
          <w:rFonts w:ascii="Arial-BoldMT" w:eastAsiaTheme="minorHAnsi" w:hAnsi="Arial-BoldMT"/>
          <w:color w:val="000000"/>
          <w:sz w:val="24"/>
          <w:szCs w:val="24"/>
          <w:lang w:val="en-CA"/>
        </w:rPr>
        <w:t>y</w:t>
      </w:r>
      <w:r>
        <w:rPr>
          <w:rFonts w:ascii="Arial-BoldMT" w:eastAsiaTheme="minorHAnsi" w:hAnsi="Arial-BoldMT"/>
          <w:color w:val="000000"/>
          <w:sz w:val="24"/>
          <w:szCs w:val="24"/>
          <w:lang w:val="en-CA"/>
        </w:rPr>
        <w:t xml:space="preserve"> and implement </w:t>
      </w:r>
      <w:r w:rsidRPr="0012780D">
        <w:rPr>
          <w:rFonts w:ascii="Arial-BoldMT" w:eastAsiaTheme="minorHAnsi" w:hAnsi="Arial-BoldMT"/>
          <w:color w:val="000000"/>
          <w:sz w:val="24"/>
          <w:szCs w:val="24"/>
          <w:lang w:val="en-CA"/>
        </w:rPr>
        <w:t xml:space="preserve">the OPCAT without delay, including by designating an appropriate National Preventive Mechanism to ensure ongoing and enhanced independent oversight, monitoring and reporting in all places of detention. </w:t>
      </w:r>
    </w:p>
    <w:p w14:paraId="09861861" w14:textId="77777777" w:rsidR="00C634FF" w:rsidRDefault="00C634FF" w:rsidP="000756CA">
      <w:pPr>
        <w:spacing w:after="0"/>
        <w:rPr>
          <w:lang w:val="en-US"/>
        </w:rPr>
      </w:pPr>
    </w:p>
    <w:p w14:paraId="60299EA4" w14:textId="78D448A3" w:rsidR="00C634FF" w:rsidRDefault="00207C9F" w:rsidP="00C634FF">
      <w:pPr>
        <w:pStyle w:val="Heading1"/>
        <w:rPr>
          <w:lang w:val="en-US"/>
        </w:rPr>
      </w:pPr>
      <w:bookmarkStart w:id="86" w:name="_Toc183602921"/>
      <w:bookmarkStart w:id="87" w:name="_Toc183603010"/>
      <w:bookmarkStart w:id="88" w:name="_Toc187841570"/>
      <w:r>
        <w:rPr>
          <w:lang w:val="en-US"/>
        </w:rPr>
        <w:t>I</w:t>
      </w:r>
      <w:r w:rsidR="0086544E">
        <w:rPr>
          <w:lang w:val="en-US"/>
        </w:rPr>
        <w:t>ndigenous</w:t>
      </w:r>
      <w:r w:rsidR="00C634FF">
        <w:rPr>
          <w:lang w:val="en-US"/>
        </w:rPr>
        <w:t xml:space="preserve"> P</w:t>
      </w:r>
      <w:r w:rsidR="00A97929">
        <w:rPr>
          <w:lang w:val="en-US"/>
        </w:rPr>
        <w:t>eople</w:t>
      </w:r>
      <w:r w:rsidR="00C634FF">
        <w:rPr>
          <w:lang w:val="en-US"/>
        </w:rPr>
        <w:t xml:space="preserve"> </w:t>
      </w:r>
      <w:r w:rsidR="00A97929">
        <w:rPr>
          <w:lang w:val="en-US"/>
        </w:rPr>
        <w:t>with</w:t>
      </w:r>
      <w:r w:rsidR="00C634FF">
        <w:rPr>
          <w:lang w:val="en-US"/>
        </w:rPr>
        <w:t xml:space="preserve"> D</w:t>
      </w:r>
      <w:r w:rsidR="00A97929">
        <w:rPr>
          <w:lang w:val="en-US"/>
        </w:rPr>
        <w:t>isabilities</w:t>
      </w:r>
      <w:r w:rsidR="00C634FF">
        <w:rPr>
          <w:lang w:val="en-US"/>
        </w:rPr>
        <w:t xml:space="preserve"> (A</w:t>
      </w:r>
      <w:r w:rsidR="00A97929">
        <w:rPr>
          <w:lang w:val="en-US"/>
        </w:rPr>
        <w:t>rticles</w:t>
      </w:r>
      <w:r w:rsidR="00C634FF">
        <w:rPr>
          <w:lang w:val="en-US"/>
        </w:rPr>
        <w:t xml:space="preserve"> 5, 6, 7, 17, 19)</w:t>
      </w:r>
      <w:bookmarkEnd w:id="86"/>
      <w:bookmarkEnd w:id="87"/>
      <w:bookmarkEnd w:id="88"/>
    </w:p>
    <w:p w14:paraId="4F7214C8" w14:textId="4A9E854F" w:rsidR="001C6B93" w:rsidRDefault="001C6B93" w:rsidP="001C6B93">
      <w:pPr>
        <w:spacing w:line="240" w:lineRule="auto"/>
      </w:pPr>
      <w:r w:rsidRPr="00262BB7">
        <w:rPr>
          <w:rFonts w:cs="Arial"/>
          <w:szCs w:val="24"/>
        </w:rPr>
        <w:t>The CHRC views the situation of Indigenous people</w:t>
      </w:r>
      <w:r w:rsidR="00F47D3F">
        <w:rPr>
          <w:rFonts w:cs="Arial"/>
          <w:szCs w:val="24"/>
        </w:rPr>
        <w:t>s</w:t>
      </w:r>
      <w:r w:rsidRPr="00262BB7">
        <w:rPr>
          <w:rFonts w:cs="Arial"/>
          <w:szCs w:val="24"/>
        </w:rPr>
        <w:t xml:space="preserve"> as one of the most pressing human rights issues facing Canada today. </w:t>
      </w:r>
      <w:r>
        <w:rPr>
          <w:rFonts w:cs="Arial"/>
          <w:szCs w:val="24"/>
        </w:rPr>
        <w:t>Indigenous</w:t>
      </w:r>
      <w:r w:rsidRPr="00262BB7">
        <w:rPr>
          <w:rFonts w:cs="Arial"/>
          <w:szCs w:val="24"/>
        </w:rPr>
        <w:t xml:space="preserve"> peoples in Canada</w:t>
      </w:r>
      <w:r>
        <w:rPr>
          <w:rFonts w:cs="Arial"/>
          <w:szCs w:val="24"/>
        </w:rPr>
        <w:t xml:space="preserve"> </w:t>
      </w:r>
      <w:r w:rsidRPr="00262BB7">
        <w:rPr>
          <w:rFonts w:cs="Arial"/>
          <w:szCs w:val="24"/>
        </w:rPr>
        <w:t>continue to be significantly disadvantaged in terms of education, employment and access to basic needs such as water, food security and housing.</w:t>
      </w:r>
      <w:r>
        <w:rPr>
          <w:rFonts w:cs="Arial"/>
          <w:szCs w:val="24"/>
        </w:rPr>
        <w:t xml:space="preserve"> These disadvantages are compounded for Indigenous peoples with disabilities. </w:t>
      </w:r>
      <w:r w:rsidR="000F7B9A">
        <w:t>W</w:t>
      </w:r>
      <w:r w:rsidR="000F7B9A" w:rsidDel="005A51CB">
        <w:t>hile the rate of disability is significantly higher among off-reserve First Nations and Métis populations compared to non-Indigenous groups,</w:t>
      </w:r>
      <w:r w:rsidR="000F7B9A" w:rsidDel="005A51CB">
        <w:rPr>
          <w:rStyle w:val="FootnoteReference"/>
        </w:rPr>
        <w:footnoteReference w:id="101"/>
      </w:r>
      <w:r w:rsidR="000F7B9A" w:rsidDel="005A51CB">
        <w:t xml:space="preserve"> seeking services forces Indigenous people to adopt a colonial conceptualization of disability, as the concept of disability as understood in Western settings does not exist in some Indigenous cultures.</w:t>
      </w:r>
      <w:r w:rsidR="000F7B9A" w:rsidDel="005A51CB">
        <w:rPr>
          <w:rStyle w:val="FootnoteReference"/>
        </w:rPr>
        <w:footnoteReference w:id="102"/>
      </w:r>
    </w:p>
    <w:p w14:paraId="669425DB" w14:textId="77777777" w:rsidR="001C6B93" w:rsidRDefault="001C6B93" w:rsidP="00D8643A">
      <w:pPr>
        <w:pStyle w:val="Heading2"/>
        <w:ind w:left="567" w:hanging="567"/>
      </w:pPr>
      <w:bookmarkStart w:id="89" w:name="_Toc183602922"/>
      <w:bookmarkStart w:id="90" w:name="_Toc183603011"/>
      <w:bookmarkStart w:id="91" w:name="_Toc187841571"/>
      <w:r>
        <w:t>Equitable and adequate services</w:t>
      </w:r>
      <w:bookmarkEnd w:id="89"/>
      <w:bookmarkEnd w:id="90"/>
      <w:bookmarkEnd w:id="91"/>
    </w:p>
    <w:p w14:paraId="35E0C65C" w14:textId="562D59BD" w:rsidR="002E354A" w:rsidRPr="002E47BB" w:rsidRDefault="004E3B45" w:rsidP="002E47BB">
      <w:pPr>
        <w:spacing w:line="240" w:lineRule="auto"/>
      </w:pPr>
      <w:r w:rsidDel="005A51CB">
        <w:t>Indigenous-led and -provided services often receive restrictive funding that diminishes their ability to serve their communities. Many seeking services do not have the resources necessary to navigate complex systems and programs, and may encounter racism compounded with ableism and other discrimination.</w:t>
      </w:r>
      <w:r w:rsidDel="005A51CB">
        <w:rPr>
          <w:rStyle w:val="FootnoteReference"/>
        </w:rPr>
        <w:footnoteReference w:id="103"/>
      </w:r>
      <w:r w:rsidDel="005A51CB">
        <w:t xml:space="preserve"> </w:t>
      </w:r>
    </w:p>
    <w:p w14:paraId="24F5D075" w14:textId="6F320425" w:rsidR="004B3E30" w:rsidRDefault="001C6B93" w:rsidP="00B942C9">
      <w:pPr>
        <w:spacing w:before="240" w:line="240" w:lineRule="auto"/>
        <w:contextualSpacing/>
        <w:rPr>
          <w:rFonts w:cs="Arial"/>
          <w:lang w:val="en-US"/>
        </w:rPr>
      </w:pPr>
      <w:r>
        <w:rPr>
          <w:rFonts w:cs="Arial"/>
          <w:lang w:val="en-US"/>
        </w:rPr>
        <w:lastRenderedPageBreak/>
        <w:t xml:space="preserve">The CHRC has received many complaints concerning service delivery, most notably concerning child and family services. </w:t>
      </w:r>
      <w:r>
        <w:t xml:space="preserve">A </w:t>
      </w:r>
      <w:r w:rsidRPr="002120EE">
        <w:t>landmark 2016 Canadian Human Rights Tribunal decision</w:t>
      </w:r>
      <w:r>
        <w:t xml:space="preserve"> on a complaint filed by the First Nations Child and Family Caring Society and the Assembly of First Nations</w:t>
      </w:r>
      <w:r w:rsidRPr="002120EE">
        <w:t xml:space="preserve"> found </w:t>
      </w:r>
      <w:r>
        <w:t xml:space="preserve">that </w:t>
      </w:r>
      <w:r w:rsidRPr="002120EE">
        <w:t>Canada was discriminating against First Nations children and families in the provision of services.</w:t>
      </w:r>
      <w:r>
        <w:rPr>
          <w:rStyle w:val="FootnoteReference"/>
          <w:rFonts w:cs="Arial"/>
          <w:lang w:val="en-US"/>
        </w:rPr>
        <w:footnoteReference w:id="104"/>
      </w:r>
      <w:r w:rsidR="004A3C6D">
        <w:t xml:space="preserve"> </w:t>
      </w:r>
      <w:r w:rsidR="004A3C6D">
        <w:rPr>
          <w:rFonts w:cs="Arial"/>
          <w:szCs w:val="24"/>
        </w:rPr>
        <w:t xml:space="preserve">It also found the government liable for failing to properly implement Jordan’s Principle – a child-first principle that promotes substantive equality by ensuring First Nations children get the services they need, taking into account their geographic, historical and cultural circumstances. </w:t>
      </w:r>
      <w:r w:rsidR="004A3C6D" w:rsidRPr="00155AF1">
        <w:rPr>
          <w:rFonts w:cs="Arial"/>
          <w:szCs w:val="24"/>
        </w:rPr>
        <w:t>Most recently, Canada was ordered by the Canadian Human Rights Tribunal to address a backlog of requests under Jordan's Principle, in which some children wait for months to receive the care they need.</w:t>
      </w:r>
      <w:r w:rsidR="004A3C6D" w:rsidRPr="00155AF1">
        <w:rPr>
          <w:rStyle w:val="FootnoteReference"/>
          <w:rFonts w:cs="Arial"/>
          <w:szCs w:val="24"/>
        </w:rPr>
        <w:footnoteReference w:id="105"/>
      </w:r>
      <w:r>
        <w:rPr>
          <w:rFonts w:cs="Arial"/>
          <w:lang w:val="en-US"/>
        </w:rPr>
        <w:t xml:space="preserve"> </w:t>
      </w:r>
    </w:p>
    <w:p w14:paraId="012A44E3" w14:textId="77777777" w:rsidR="00FD04E1" w:rsidRDefault="00FD04E1" w:rsidP="00B942C9">
      <w:pPr>
        <w:spacing w:before="240" w:line="240" w:lineRule="auto"/>
        <w:contextualSpacing/>
        <w:rPr>
          <w:rFonts w:cs="Arial"/>
          <w:szCs w:val="24"/>
          <w:lang w:val="en-US"/>
        </w:rPr>
      </w:pPr>
    </w:p>
    <w:p w14:paraId="569B1E0E" w14:textId="50C96C81" w:rsidR="00B942C9" w:rsidRDefault="00B942C9" w:rsidP="00B942C9">
      <w:pPr>
        <w:spacing w:before="240" w:line="240" w:lineRule="auto"/>
        <w:contextualSpacing/>
        <w:rPr>
          <w:rFonts w:cs="Arial"/>
          <w:szCs w:val="24"/>
          <w:lang w:val="en-US"/>
        </w:rPr>
      </w:pPr>
      <w:r>
        <w:rPr>
          <w:rFonts w:cs="Arial"/>
          <w:szCs w:val="24"/>
          <w:lang w:val="en-US"/>
        </w:rPr>
        <w:t>Indigenous children with disabilities in Canada continue to be removed from their homes because of the lack of appropriate support services in Indigenous communities. Some families are afraid of reporting the disability status of a relative due to the risk of separation.</w:t>
      </w:r>
      <w:r>
        <w:rPr>
          <w:rStyle w:val="FootnoteReference"/>
          <w:rFonts w:cs="Arial"/>
          <w:szCs w:val="24"/>
          <w:lang w:val="en-US"/>
        </w:rPr>
        <w:footnoteReference w:id="106"/>
      </w:r>
      <w:r>
        <w:rPr>
          <w:rFonts w:cs="Arial"/>
          <w:szCs w:val="24"/>
          <w:lang w:val="en-US"/>
        </w:rPr>
        <w:t xml:space="preserve"> </w:t>
      </w:r>
    </w:p>
    <w:p w14:paraId="3AC303AF" w14:textId="77777777" w:rsidR="000C4C85" w:rsidRPr="00B942C9" w:rsidRDefault="000C4C85" w:rsidP="00B942C9">
      <w:pPr>
        <w:spacing w:before="240" w:line="240" w:lineRule="auto"/>
        <w:contextualSpacing/>
        <w:rPr>
          <w:rFonts w:cs="Arial"/>
          <w:szCs w:val="24"/>
          <w:lang w:val="en-US"/>
        </w:rPr>
      </w:pPr>
    </w:p>
    <w:p w14:paraId="3A743C07" w14:textId="0284442D" w:rsidR="001C6B93" w:rsidRDefault="001C6B93" w:rsidP="002E47BB">
      <w:pPr>
        <w:spacing w:line="240" w:lineRule="auto"/>
        <w:contextualSpacing/>
        <w:rPr>
          <w:rFonts w:cs="Arial"/>
          <w:szCs w:val="24"/>
          <w:lang w:val="en-US"/>
        </w:rPr>
      </w:pPr>
      <w:r w:rsidRPr="00053CE5">
        <w:rPr>
          <w:rFonts w:cs="Arial"/>
          <w:szCs w:val="24"/>
        </w:rPr>
        <w:t>The CHRC has received a number of complaints filed by or on behalf of Indigenous</w:t>
      </w:r>
      <w:r>
        <w:rPr>
          <w:rFonts w:cs="Arial"/>
          <w:szCs w:val="24"/>
        </w:rPr>
        <w:t xml:space="preserve"> </w:t>
      </w:r>
      <w:r w:rsidRPr="00CE1062">
        <w:rPr>
          <w:rFonts w:cs="Arial"/>
          <w:szCs w:val="24"/>
        </w:rPr>
        <w:t>children and families,</w:t>
      </w:r>
      <w:r w:rsidRPr="00053CE5">
        <w:rPr>
          <w:rFonts w:cs="Arial"/>
          <w:szCs w:val="24"/>
        </w:rPr>
        <w:t xml:space="preserve"> relating to </w:t>
      </w:r>
      <w:r>
        <w:rPr>
          <w:rFonts w:cs="Arial"/>
          <w:szCs w:val="24"/>
        </w:rPr>
        <w:t xml:space="preserve">the availability of and funding for </w:t>
      </w:r>
      <w:r w:rsidRPr="00053CE5">
        <w:rPr>
          <w:rFonts w:cs="Arial"/>
          <w:szCs w:val="24"/>
        </w:rPr>
        <w:t xml:space="preserve">a </w:t>
      </w:r>
      <w:r>
        <w:rPr>
          <w:rFonts w:cs="Arial"/>
          <w:szCs w:val="24"/>
        </w:rPr>
        <w:t xml:space="preserve">broad range of public services delivered on reserve. </w:t>
      </w:r>
      <w:r w:rsidR="002E47BB" w:rsidRPr="002E47BB">
        <w:rPr>
          <w:rFonts w:cs="Arial"/>
          <w:szCs w:val="24"/>
        </w:rPr>
        <w:t>As an example, an Ontario First Nation filed a human rights complaint alleging that the federal government discriminates by failing to provide sufficient funding and supports to enable the delivery of appropriate special education services to First Nations children with disability-related education needs who live on reserve in Ontario</w:t>
      </w:r>
      <w:r w:rsidR="002E47BB">
        <w:rPr>
          <w:rFonts w:cs="Arial"/>
          <w:szCs w:val="24"/>
        </w:rPr>
        <w:t>.</w:t>
      </w:r>
      <w:r w:rsidDel="002E354A">
        <w:rPr>
          <w:rStyle w:val="FootnoteReference"/>
          <w:rFonts w:cs="Arial"/>
          <w:szCs w:val="24"/>
          <w:lang w:val="en-US"/>
        </w:rPr>
        <w:footnoteReference w:id="107"/>
      </w:r>
      <w:r w:rsidRPr="002E47BB" w:rsidDel="002E354A">
        <w:rPr>
          <w:rFonts w:cs="Arial"/>
          <w:szCs w:val="24"/>
          <w:lang w:val="en-US"/>
        </w:rPr>
        <w:t xml:space="preserve"> </w:t>
      </w:r>
    </w:p>
    <w:p w14:paraId="62138D63" w14:textId="77777777" w:rsidR="008A1082" w:rsidRDefault="008A1082" w:rsidP="002E47BB">
      <w:pPr>
        <w:spacing w:line="240" w:lineRule="auto"/>
        <w:contextualSpacing/>
        <w:rPr>
          <w:rFonts w:cs="Arial"/>
          <w:szCs w:val="24"/>
          <w:lang w:val="en-US"/>
        </w:rPr>
      </w:pPr>
    </w:p>
    <w:p w14:paraId="340DD73F" w14:textId="17EFD583" w:rsidR="008A1082" w:rsidRPr="008A1082" w:rsidRDefault="008A1082" w:rsidP="008A1082">
      <w:pPr>
        <w:spacing w:after="0" w:line="240" w:lineRule="auto"/>
        <w:rPr>
          <w:rFonts w:cs="Arial"/>
          <w:lang w:val="en-US"/>
        </w:rPr>
      </w:pPr>
      <w:r>
        <w:rPr>
          <w:rFonts w:cs="Arial"/>
          <w:szCs w:val="24"/>
          <w:lang w:val="en-US"/>
        </w:rPr>
        <w:t>T</w:t>
      </w:r>
      <w:r w:rsidRPr="00262BB7">
        <w:rPr>
          <w:rFonts w:cs="Arial"/>
          <w:szCs w:val="24"/>
          <w:lang w:val="en-US"/>
        </w:rPr>
        <w:t xml:space="preserve">he chronic underfunding </w:t>
      </w:r>
      <w:r>
        <w:rPr>
          <w:rFonts w:cs="Arial"/>
          <w:szCs w:val="24"/>
          <w:lang w:val="en-US"/>
        </w:rPr>
        <w:t xml:space="preserve">of </w:t>
      </w:r>
      <w:r w:rsidRPr="00262BB7">
        <w:rPr>
          <w:rFonts w:cs="Arial"/>
          <w:szCs w:val="24"/>
          <w:lang w:val="en-US"/>
        </w:rPr>
        <w:t>essential services</w:t>
      </w:r>
      <w:r>
        <w:rPr>
          <w:rFonts w:cs="Arial"/>
          <w:szCs w:val="24"/>
          <w:lang w:val="en-US"/>
        </w:rPr>
        <w:t xml:space="preserve"> </w:t>
      </w:r>
      <w:r w:rsidRPr="00262BB7">
        <w:rPr>
          <w:rFonts w:cs="Arial"/>
          <w:szCs w:val="24"/>
          <w:lang w:val="en-US"/>
        </w:rPr>
        <w:t>and the many health disparities facing Indigenous communities can be attributed to the legacy of colonialism and the intergenerational effects of trauma and genocide.</w:t>
      </w:r>
      <w:r w:rsidRPr="00262BB7">
        <w:rPr>
          <w:rStyle w:val="FootnoteReference"/>
          <w:rFonts w:cs="Arial"/>
          <w:lang w:val="en-US"/>
        </w:rPr>
        <w:footnoteReference w:id="108"/>
      </w:r>
      <w:r>
        <w:rPr>
          <w:rFonts w:cs="Arial"/>
          <w:lang w:val="en-US"/>
        </w:rPr>
        <w:t xml:space="preserve"> </w:t>
      </w:r>
      <w:r>
        <w:rPr>
          <w:rFonts w:cs="Arial"/>
          <w:szCs w:val="24"/>
          <w:lang w:val="en-US"/>
        </w:rPr>
        <w:t>According to the Final Report of the National Inquiry on Missing and Murdered Indigenous Women and Girls</w:t>
      </w:r>
      <w:r>
        <w:rPr>
          <w:rStyle w:val="FootnoteReference"/>
          <w:rFonts w:cs="Arial"/>
          <w:szCs w:val="24"/>
          <w:lang w:val="en-US"/>
        </w:rPr>
        <w:footnoteReference w:id="109"/>
      </w:r>
      <w:r>
        <w:rPr>
          <w:rFonts w:cs="Arial"/>
          <w:szCs w:val="24"/>
          <w:lang w:val="en-US"/>
        </w:rPr>
        <w:t xml:space="preserve"> (the Report), </w:t>
      </w:r>
      <w:r w:rsidR="00E703CD">
        <w:rPr>
          <w:rFonts w:cs="Arial"/>
          <w:szCs w:val="24"/>
          <w:lang w:val="en-US"/>
        </w:rPr>
        <w:t xml:space="preserve">when </w:t>
      </w:r>
      <w:r w:rsidRPr="00312540">
        <w:rPr>
          <w:rFonts w:cs="Arial"/>
          <w:szCs w:val="24"/>
        </w:rPr>
        <w:t xml:space="preserve">compared with those who did not attend residential school, residential school survivors are more likely to suffer various physical and mental health problems, to report higher levels of psychological distress and poorer self-rated health, and to be diagnosed with various chronic health conditions. Although access to culturally appropriate and relevant services was identified as one of the most important factors for healing for residential school survivors, </w:t>
      </w:r>
      <w:r w:rsidRPr="00312540">
        <w:rPr>
          <w:rFonts w:cs="Arial"/>
          <w:szCs w:val="24"/>
          <w:lang w:val="en-US"/>
        </w:rPr>
        <w:t>the</w:t>
      </w:r>
      <w:r>
        <w:rPr>
          <w:rFonts w:cs="Arial"/>
          <w:szCs w:val="24"/>
          <w:lang w:val="en-US"/>
        </w:rPr>
        <w:t xml:space="preserve"> Report found that 1) there are not enough culturally</w:t>
      </w:r>
      <w:r w:rsidR="00E703CD">
        <w:rPr>
          <w:rFonts w:cs="Arial"/>
          <w:szCs w:val="24"/>
          <w:lang w:val="en-US"/>
        </w:rPr>
        <w:t>-</w:t>
      </w:r>
      <w:r>
        <w:rPr>
          <w:rFonts w:cs="Arial"/>
          <w:szCs w:val="24"/>
          <w:lang w:val="en-US"/>
        </w:rPr>
        <w:t xml:space="preserve">relevant treatment and healing centres for Indigenous people across Canada, and 2) stable, sufficient and reliable funding is a barrier for those that do exist. </w:t>
      </w:r>
    </w:p>
    <w:p w14:paraId="3340C605" w14:textId="77777777" w:rsidR="002E47BB" w:rsidRPr="002E47BB" w:rsidDel="002E354A" w:rsidRDefault="002E47BB" w:rsidP="002E47BB">
      <w:pPr>
        <w:spacing w:line="240" w:lineRule="auto"/>
        <w:contextualSpacing/>
        <w:rPr>
          <w:rFonts w:cs="Arial"/>
          <w:szCs w:val="24"/>
          <w:lang w:val="en-US"/>
        </w:rPr>
      </w:pPr>
    </w:p>
    <w:p w14:paraId="35F3373A" w14:textId="497AAB91" w:rsidR="001C6B93" w:rsidRDefault="001C6B93" w:rsidP="001C6B93">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Pr>
          <w:rFonts w:cs="Arial"/>
          <w:b/>
          <w:bCs/>
          <w:szCs w:val="24"/>
        </w:rPr>
        <w:t>Recommendation #</w:t>
      </w:r>
      <w:r w:rsidR="00F30961">
        <w:rPr>
          <w:rFonts w:cs="Arial"/>
          <w:b/>
          <w:bCs/>
          <w:szCs w:val="24"/>
        </w:rPr>
        <w:t>30</w:t>
      </w:r>
      <w:r>
        <w:rPr>
          <w:rFonts w:cs="Arial"/>
          <w:b/>
          <w:bCs/>
          <w:szCs w:val="24"/>
        </w:rPr>
        <w:t xml:space="preserve">: </w:t>
      </w:r>
      <w:r>
        <w:rPr>
          <w:rFonts w:cs="Arial"/>
          <w:szCs w:val="24"/>
        </w:rPr>
        <w:t>That Canada ensure that services for Indigenous people with disabilities are equitable, adequate and culturally appropriate</w:t>
      </w:r>
      <w:bookmarkStart w:id="92" w:name="_Toc174371126"/>
      <w:bookmarkStart w:id="93" w:name="_Toc174373030"/>
      <w:bookmarkStart w:id="94" w:name="_Toc174371127"/>
      <w:bookmarkStart w:id="95" w:name="_Toc174373031"/>
      <w:bookmarkStart w:id="96" w:name="_Toc174371128"/>
      <w:bookmarkStart w:id="97" w:name="_Toc174373032"/>
      <w:bookmarkEnd w:id="92"/>
      <w:bookmarkEnd w:id="93"/>
      <w:bookmarkEnd w:id="94"/>
      <w:bookmarkEnd w:id="95"/>
      <w:bookmarkEnd w:id="96"/>
      <w:bookmarkEnd w:id="97"/>
      <w:r>
        <w:rPr>
          <w:rFonts w:cs="Arial"/>
          <w:szCs w:val="24"/>
        </w:rPr>
        <w:t>. Canada should ensure that First Nations, Inuit and Métis people have access to services that are relevant to and appropriate for them, based on their distinct culture and identity, and are empowered to stay in their communities while receiving care.</w:t>
      </w:r>
    </w:p>
    <w:p w14:paraId="4E9A805D" w14:textId="77777777" w:rsidR="001C6B93" w:rsidRDefault="001C6B93" w:rsidP="009715CE">
      <w:pPr>
        <w:spacing w:line="240" w:lineRule="auto"/>
      </w:pPr>
      <w:r>
        <w:t>The availability of comprehensive and disaggregated data on Indigenous people with disabilities is limited, obfuscating understandings of the experiences and needs of these groups. This contributes to barriers and disparities, and impacts the ability of community members to effectively advocate for and implement community-based solutions.</w:t>
      </w:r>
    </w:p>
    <w:p w14:paraId="183B56E4" w14:textId="2222633F" w:rsidR="001C6B93" w:rsidRPr="00045AAF" w:rsidRDefault="001C6B93" w:rsidP="001C6B93">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0D2A81">
        <w:rPr>
          <w:rFonts w:cs="Arial"/>
          <w:b/>
          <w:bCs/>
          <w:szCs w:val="24"/>
        </w:rPr>
        <w:t>Recommendation #</w:t>
      </w:r>
      <w:r w:rsidR="00F30961">
        <w:rPr>
          <w:rFonts w:cs="Arial"/>
          <w:b/>
          <w:bCs/>
          <w:szCs w:val="24"/>
        </w:rPr>
        <w:t>31</w:t>
      </w:r>
      <w:r w:rsidRPr="000D2A81">
        <w:rPr>
          <w:rFonts w:cs="Arial"/>
          <w:b/>
          <w:bCs/>
          <w:szCs w:val="24"/>
        </w:rPr>
        <w:t>:</w:t>
      </w:r>
      <w:r>
        <w:rPr>
          <w:rFonts w:cs="Arial"/>
          <w:szCs w:val="24"/>
        </w:rPr>
        <w:t xml:space="preserve"> That Canada invest in improved data-collection practices. This includes by meaningfully including Indigenous peoples in data collection and transparency efforts, adequately funding disaggregated data collection to ensure data reflects the intersectional experiences of diverse groups, and ensuring data is clearly communicated and easily accessible to rights holders.</w:t>
      </w:r>
    </w:p>
    <w:p w14:paraId="378119E8" w14:textId="77777777" w:rsidR="001C6B93" w:rsidRPr="00353E37" w:rsidRDefault="001C6B93" w:rsidP="00D8643A">
      <w:pPr>
        <w:pStyle w:val="Heading2"/>
        <w:ind w:left="567" w:hanging="567"/>
      </w:pPr>
      <w:bookmarkStart w:id="98" w:name="_Toc183602923"/>
      <w:bookmarkStart w:id="99" w:name="_Toc183603012"/>
      <w:bookmarkStart w:id="100" w:name="_Toc187841572"/>
      <w:r>
        <w:t>Child and youth suicide</w:t>
      </w:r>
      <w:bookmarkEnd w:id="98"/>
      <w:bookmarkEnd w:id="99"/>
      <w:bookmarkEnd w:id="100"/>
    </w:p>
    <w:p w14:paraId="6ECBB225" w14:textId="217DA331" w:rsidR="001C6B93" w:rsidRDefault="001C6B93" w:rsidP="001C6B93">
      <w:pPr>
        <w:spacing w:line="240" w:lineRule="auto"/>
        <w:contextualSpacing/>
        <w:rPr>
          <w:rFonts w:cs="Arial"/>
          <w:szCs w:val="24"/>
          <w:lang w:val="en-US"/>
        </w:rPr>
      </w:pPr>
      <w:r>
        <w:rPr>
          <w:rFonts w:cs="Arial"/>
          <w:szCs w:val="24"/>
          <w:lang w:val="en-US"/>
        </w:rPr>
        <w:t xml:space="preserve">Indigenous youth in Canada experience disproportionately high rates of suicide and suicidal ideation in comparison to their non-Indigenous counterparts. In 1995, a special report published by the Royal Commission on Aboriginal Peoples estimated that the rate of suicide among Indigenous youth was five (5) to six (6) times higher than among </w:t>
      </w:r>
      <w:r>
        <w:rPr>
          <w:rFonts w:cs="Arial"/>
          <w:szCs w:val="24"/>
          <w:lang w:val="en-US"/>
        </w:rPr>
        <w:lastRenderedPageBreak/>
        <w:t>non-Indigenous youth in Canada.</w:t>
      </w:r>
      <w:r>
        <w:rPr>
          <w:rStyle w:val="FootnoteReference"/>
          <w:rFonts w:cs="Arial"/>
          <w:szCs w:val="24"/>
          <w:lang w:val="en-US"/>
        </w:rPr>
        <w:footnoteReference w:id="110"/>
      </w:r>
      <w:r w:rsidR="0066117D">
        <w:rPr>
          <w:rFonts w:cs="Arial"/>
          <w:szCs w:val="24"/>
          <w:lang w:val="en-US"/>
        </w:rPr>
        <w:t xml:space="preserve"> </w:t>
      </w:r>
      <w:r>
        <w:rPr>
          <w:rFonts w:cs="Arial"/>
          <w:szCs w:val="24"/>
          <w:lang w:val="en-US"/>
        </w:rPr>
        <w:t>Over the past three decades, these figures have remained largely unchanged, with Indigenous youth</w:t>
      </w:r>
      <w:r w:rsidR="00184633">
        <w:rPr>
          <w:rFonts w:cs="Arial"/>
          <w:szCs w:val="24"/>
          <w:lang w:val="en-US"/>
        </w:rPr>
        <w:t xml:space="preserve"> </w:t>
      </w:r>
      <w:r>
        <w:rPr>
          <w:rFonts w:cs="Arial"/>
          <w:szCs w:val="24"/>
          <w:lang w:val="en-US"/>
        </w:rPr>
        <w:t>continuing to be at high risk of suicide.</w:t>
      </w:r>
      <w:r>
        <w:rPr>
          <w:rStyle w:val="FootnoteReference"/>
          <w:rFonts w:cs="Arial"/>
          <w:szCs w:val="24"/>
          <w:lang w:val="en-US"/>
        </w:rPr>
        <w:footnoteReference w:id="111"/>
      </w:r>
      <w:r>
        <w:rPr>
          <w:rFonts w:cs="Arial"/>
          <w:szCs w:val="24"/>
          <w:lang w:val="en-US"/>
        </w:rPr>
        <w:t xml:space="preserve"> </w:t>
      </w:r>
      <w:r w:rsidR="00184633">
        <w:rPr>
          <w:rFonts w:cs="Arial"/>
          <w:szCs w:val="24"/>
        </w:rPr>
        <w:t xml:space="preserve">Inuit </w:t>
      </w:r>
      <w:r w:rsidR="005F5404">
        <w:rPr>
          <w:rFonts w:cs="Arial"/>
          <w:szCs w:val="24"/>
        </w:rPr>
        <w:t>communities</w:t>
      </w:r>
      <w:r w:rsidR="00184633">
        <w:rPr>
          <w:rFonts w:cs="Arial"/>
          <w:szCs w:val="24"/>
        </w:rPr>
        <w:t xml:space="preserve"> are particularly at risk, and experience a rate of suicide </w:t>
      </w:r>
      <w:r w:rsidR="00184633" w:rsidRPr="00184633">
        <w:rPr>
          <w:rFonts w:cs="Arial"/>
          <w:szCs w:val="24"/>
        </w:rPr>
        <w:t>approximately nine times higher than the non-Indigenous rate</w:t>
      </w:r>
      <w:r w:rsidR="00184633">
        <w:rPr>
          <w:rFonts w:cs="Arial"/>
          <w:szCs w:val="24"/>
        </w:rPr>
        <w:t>.</w:t>
      </w:r>
      <w:r w:rsidR="00184633">
        <w:rPr>
          <w:rStyle w:val="FootnoteReference"/>
          <w:rFonts w:cs="Arial"/>
          <w:szCs w:val="24"/>
        </w:rPr>
        <w:footnoteReference w:id="112"/>
      </w:r>
    </w:p>
    <w:p w14:paraId="177E1F9E" w14:textId="77777777" w:rsidR="001C6B93" w:rsidRDefault="001C6B93" w:rsidP="001C6B93">
      <w:pPr>
        <w:spacing w:line="240" w:lineRule="auto"/>
        <w:contextualSpacing/>
        <w:rPr>
          <w:rFonts w:cs="Arial"/>
          <w:szCs w:val="24"/>
          <w:lang w:val="en-US"/>
        </w:rPr>
      </w:pPr>
    </w:p>
    <w:p w14:paraId="5C8FB2B5" w14:textId="5503D1B2" w:rsidR="001C6B93" w:rsidRDefault="001C6B93" w:rsidP="001C6B93">
      <w:pPr>
        <w:spacing w:after="0" w:line="240" w:lineRule="auto"/>
        <w:rPr>
          <w:rFonts w:cs="Arial"/>
          <w:szCs w:val="24"/>
        </w:rPr>
      </w:pPr>
      <w:r>
        <w:rPr>
          <w:rFonts w:cs="Arial"/>
          <w:szCs w:val="24"/>
          <w:lang w:val="en-US"/>
        </w:rPr>
        <w:t>The reasons for these disproportionately high rates are many and multi-faceted.</w:t>
      </w:r>
      <w:r w:rsidR="007A0877">
        <w:rPr>
          <w:rStyle w:val="FootnoteReference"/>
          <w:rFonts w:cs="Arial"/>
          <w:szCs w:val="24"/>
          <w:lang w:val="en-US"/>
        </w:rPr>
        <w:footnoteReference w:id="113"/>
      </w:r>
      <w:r>
        <w:rPr>
          <w:rFonts w:cs="Arial"/>
          <w:szCs w:val="24"/>
          <w:lang w:val="en-US"/>
        </w:rPr>
        <w:t xml:space="preserve"> </w:t>
      </w:r>
      <w:r w:rsidRPr="002E75E7">
        <w:rPr>
          <w:rFonts w:cs="Arial"/>
          <w:szCs w:val="24"/>
        </w:rPr>
        <w:t>For example, the lingering effects of the residential school system, the manner in which child welfare</w:t>
      </w:r>
      <w:r>
        <w:rPr>
          <w:rFonts w:cs="Arial"/>
          <w:szCs w:val="24"/>
        </w:rPr>
        <w:t xml:space="preserve"> and mental health</w:t>
      </w:r>
      <w:r w:rsidRPr="002E75E7">
        <w:rPr>
          <w:rFonts w:cs="Arial"/>
          <w:szCs w:val="24"/>
        </w:rPr>
        <w:t xml:space="preserve"> services are delivered, </w:t>
      </w:r>
      <w:r>
        <w:rPr>
          <w:rFonts w:cs="Arial"/>
          <w:szCs w:val="24"/>
        </w:rPr>
        <w:t xml:space="preserve">the social and economic marginalization of Indigenous peoples more broadly, </w:t>
      </w:r>
      <w:r w:rsidRPr="002E75E7">
        <w:rPr>
          <w:rFonts w:cs="Arial"/>
          <w:szCs w:val="24"/>
        </w:rPr>
        <w:t xml:space="preserve">and a variety of structural issues all </w:t>
      </w:r>
      <w:r>
        <w:rPr>
          <w:rFonts w:cs="Arial"/>
          <w:szCs w:val="24"/>
        </w:rPr>
        <w:t>contribute to this situation.</w:t>
      </w:r>
    </w:p>
    <w:p w14:paraId="0FC7C072" w14:textId="77777777" w:rsidR="001C6B93" w:rsidRDefault="001C6B93" w:rsidP="001C6B93">
      <w:pPr>
        <w:spacing w:after="0" w:line="240" w:lineRule="auto"/>
        <w:rPr>
          <w:rFonts w:cs="Arial"/>
          <w:szCs w:val="24"/>
        </w:rPr>
      </w:pPr>
    </w:p>
    <w:p w14:paraId="7D2E7E19" w14:textId="513D6045" w:rsidR="001C6B93" w:rsidRPr="00067087" w:rsidRDefault="001C6B93" w:rsidP="001C6B93">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sidRPr="00067087">
        <w:rPr>
          <w:rFonts w:cs="Arial"/>
          <w:b/>
          <w:bCs/>
          <w:szCs w:val="24"/>
          <w:lang w:val="en-US"/>
        </w:rPr>
        <w:t xml:space="preserve">Recommendation </w:t>
      </w:r>
      <w:r w:rsidRPr="00067087">
        <w:rPr>
          <w:rFonts w:cs="Arial"/>
          <w:b/>
          <w:bCs/>
          <w:szCs w:val="24"/>
        </w:rPr>
        <w:t>#</w:t>
      </w:r>
      <w:r w:rsidR="00F30961">
        <w:rPr>
          <w:rFonts w:cs="Arial"/>
          <w:b/>
          <w:bCs/>
          <w:szCs w:val="24"/>
        </w:rPr>
        <w:t>32</w:t>
      </w:r>
      <w:r w:rsidRPr="00067087">
        <w:rPr>
          <w:rFonts w:cs="Arial"/>
          <w:b/>
          <w:bCs/>
          <w:szCs w:val="24"/>
        </w:rPr>
        <w:t xml:space="preserve">: </w:t>
      </w:r>
      <w:r w:rsidRPr="00067087">
        <w:rPr>
          <w:rFonts w:cs="Arial"/>
          <w:szCs w:val="24"/>
        </w:rPr>
        <w:t xml:space="preserve">That Canada </w:t>
      </w:r>
      <w:r w:rsidR="0066117D">
        <w:rPr>
          <w:rFonts w:cs="Arial"/>
          <w:szCs w:val="24"/>
        </w:rPr>
        <w:t>support the prevention</w:t>
      </w:r>
      <w:r>
        <w:rPr>
          <w:rFonts w:cs="Arial"/>
          <w:szCs w:val="24"/>
        </w:rPr>
        <w:t xml:space="preserve"> of Indigenous youth suicide, including by ensuring </w:t>
      </w:r>
      <w:r w:rsidRPr="00067087">
        <w:rPr>
          <w:rFonts w:cs="Arial"/>
          <w:bCs/>
          <w:szCs w:val="24"/>
        </w:rPr>
        <w:t>culturally-appropriate mental health services are</w:t>
      </w:r>
      <w:r>
        <w:rPr>
          <w:rFonts w:cs="Arial"/>
          <w:bCs/>
          <w:szCs w:val="24"/>
        </w:rPr>
        <w:t xml:space="preserve"> </w:t>
      </w:r>
      <w:r w:rsidR="00BE404A">
        <w:rPr>
          <w:rFonts w:cs="Arial"/>
          <w:bCs/>
          <w:szCs w:val="24"/>
        </w:rPr>
        <w:t xml:space="preserve">both available and </w:t>
      </w:r>
      <w:r>
        <w:rPr>
          <w:rFonts w:cs="Arial"/>
          <w:bCs/>
          <w:szCs w:val="24"/>
        </w:rPr>
        <w:t xml:space="preserve">adequately resourced </w:t>
      </w:r>
      <w:r w:rsidRPr="00067087">
        <w:rPr>
          <w:rFonts w:cs="Arial"/>
          <w:bCs/>
          <w:szCs w:val="24"/>
        </w:rPr>
        <w:t>in Indigenous communities</w:t>
      </w:r>
      <w:r>
        <w:rPr>
          <w:rFonts w:cs="Arial"/>
          <w:bCs/>
          <w:szCs w:val="24"/>
        </w:rPr>
        <w:t xml:space="preserve"> and urban centres</w:t>
      </w:r>
      <w:r w:rsidRPr="00067087">
        <w:rPr>
          <w:rFonts w:cs="Arial"/>
          <w:bCs/>
          <w:szCs w:val="24"/>
        </w:rPr>
        <w:t>.</w:t>
      </w:r>
    </w:p>
    <w:p w14:paraId="7BA8771F" w14:textId="77777777" w:rsidR="001C6B93" w:rsidRDefault="001C6B93" w:rsidP="00D8643A">
      <w:pPr>
        <w:pStyle w:val="Heading2"/>
        <w:ind w:left="567" w:hanging="567"/>
      </w:pPr>
      <w:bookmarkStart w:id="101" w:name="_Toc183602924"/>
      <w:bookmarkStart w:id="102" w:name="_Toc183603013"/>
      <w:bookmarkStart w:id="103" w:name="_Toc187841573"/>
      <w:r>
        <w:t>Missing and Murdered Indigenous Women, Girls, Two-Spirit and Gender Diverse People</w:t>
      </w:r>
      <w:bookmarkEnd w:id="101"/>
      <w:bookmarkEnd w:id="102"/>
      <w:bookmarkEnd w:id="103"/>
    </w:p>
    <w:p w14:paraId="08EECBCA" w14:textId="74C55A41" w:rsidR="001C6B93" w:rsidRDefault="001C6B93" w:rsidP="001C6B93">
      <w:pPr>
        <w:spacing w:line="240" w:lineRule="auto"/>
        <w:rPr>
          <w:lang w:val="en-US"/>
        </w:rPr>
      </w:pPr>
      <w:r>
        <w:rPr>
          <w:lang w:val="en-US"/>
        </w:rPr>
        <w:t>Indigenous women and gender diverse people with disabilities face unique and compounded barriers to human rights. Indigenous women, girls, Two-Spirit</w:t>
      </w:r>
      <w:r>
        <w:rPr>
          <w:rStyle w:val="FootnoteReference"/>
          <w:lang w:val="en-US"/>
        </w:rPr>
        <w:footnoteReference w:id="114"/>
      </w:r>
      <w:r>
        <w:rPr>
          <w:lang w:val="en-US"/>
        </w:rPr>
        <w:t xml:space="preserve"> and </w:t>
      </w:r>
      <w:r>
        <w:rPr>
          <w:lang w:val="en-US"/>
        </w:rPr>
        <w:lastRenderedPageBreak/>
        <w:t>gender diverse people are far more likely to face gender-based violence than other groups in Canada. This risk is compounded for Indigenous women, girls, Two-Spirit and gender diverse people with disabilities. Support for disability and access to health care are some of the most common reasons for First Nations people to move away from their communities to an urban centre, increasing their vulnerability to violence and abuse.</w:t>
      </w:r>
      <w:r>
        <w:rPr>
          <w:rStyle w:val="FootnoteReference"/>
          <w:lang w:val="en-US"/>
        </w:rPr>
        <w:footnoteReference w:id="115"/>
      </w:r>
      <w:r>
        <w:rPr>
          <w:lang w:val="en-US"/>
        </w:rPr>
        <w:t xml:space="preserve"> A history of mistreatment, abuse, and structural racism, </w:t>
      </w:r>
      <w:r w:rsidR="001E55EA">
        <w:rPr>
          <w:rFonts w:cs="Arial"/>
          <w:szCs w:val="24"/>
        </w:rPr>
        <w:t>has contributed</w:t>
      </w:r>
      <w:r>
        <w:rPr>
          <w:rFonts w:cs="Arial"/>
          <w:szCs w:val="24"/>
        </w:rPr>
        <w:t xml:space="preserve"> to a relationship of mistrust between Indigenous peoples and the justice and healthcare systems</w:t>
      </w:r>
      <w:r w:rsidR="00414358">
        <w:rPr>
          <w:rFonts w:cs="Arial"/>
          <w:szCs w:val="24"/>
        </w:rPr>
        <w:t>, which</w:t>
      </w:r>
      <w:r>
        <w:rPr>
          <w:rFonts w:cs="Arial"/>
          <w:szCs w:val="24"/>
        </w:rPr>
        <w:t xml:space="preserve"> further contributes to vulnerability.</w:t>
      </w:r>
    </w:p>
    <w:p w14:paraId="4C0CAAAC" w14:textId="77AD13D2" w:rsidR="001C6B93" w:rsidRDefault="001C6B93" w:rsidP="001C6B93">
      <w:pPr>
        <w:spacing w:line="240" w:lineRule="auto"/>
        <w:rPr>
          <w:lang w:val="en-US"/>
        </w:rPr>
      </w:pPr>
      <w:r>
        <w:rPr>
          <w:lang w:val="en-US"/>
        </w:rPr>
        <w:t xml:space="preserve">In </w:t>
      </w:r>
      <w:r w:rsidR="007A2F01">
        <w:rPr>
          <w:lang w:val="en-US"/>
        </w:rPr>
        <w:t xml:space="preserve">its </w:t>
      </w:r>
      <w:r>
        <w:rPr>
          <w:lang w:val="en-US"/>
        </w:rPr>
        <w:t xml:space="preserve">Final Report, the National Inquiry into Missing and Murdered Indigenous Women and Girls makes several recommendations to address the ongoing epidemic of violence faced by Indigenous </w:t>
      </w:r>
      <w:r w:rsidR="007A0877">
        <w:rPr>
          <w:lang w:val="en-US"/>
        </w:rPr>
        <w:t>individuals</w:t>
      </w:r>
      <w:r>
        <w:rPr>
          <w:lang w:val="en-US"/>
        </w:rPr>
        <w:t>, including by improving access to supports and addressing structural racism in the justice and healthcare systems.</w:t>
      </w:r>
      <w:r w:rsidR="0066117D">
        <w:rPr>
          <w:rStyle w:val="FootnoteReference"/>
          <w:lang w:val="en-US"/>
        </w:rPr>
        <w:footnoteReference w:id="116"/>
      </w:r>
    </w:p>
    <w:p w14:paraId="1CFC5B5C" w14:textId="5C9F3C07" w:rsidR="001C6B93" w:rsidRPr="0064363F" w:rsidRDefault="00414358" w:rsidP="001C6B93">
      <w:pPr>
        <w:spacing w:line="240" w:lineRule="auto"/>
        <w:rPr>
          <w:rFonts w:cs="Arial"/>
          <w:szCs w:val="24"/>
          <w:lang w:val="en-US"/>
        </w:rPr>
      </w:pPr>
      <w:r>
        <w:rPr>
          <w:rFonts w:cs="Arial"/>
          <w:szCs w:val="24"/>
          <w:lang w:val="en-US"/>
        </w:rPr>
        <w:t>Indigenous peoples have called for the establishment of Indigenous</w:t>
      </w:r>
      <w:r w:rsidR="00715E94">
        <w:rPr>
          <w:rFonts w:cs="Arial"/>
          <w:szCs w:val="24"/>
          <w:lang w:val="en-US"/>
        </w:rPr>
        <w:t>-specific</w:t>
      </w:r>
      <w:r>
        <w:rPr>
          <w:rFonts w:cs="Arial"/>
          <w:szCs w:val="24"/>
          <w:lang w:val="en-US"/>
        </w:rPr>
        <w:t xml:space="preserve"> human rights mechanism</w:t>
      </w:r>
      <w:r w:rsidR="00715E94">
        <w:rPr>
          <w:rFonts w:cs="Arial"/>
          <w:szCs w:val="24"/>
          <w:lang w:val="en-US"/>
        </w:rPr>
        <w:t>s</w:t>
      </w:r>
      <w:r>
        <w:rPr>
          <w:rFonts w:cs="Arial"/>
          <w:szCs w:val="24"/>
          <w:lang w:val="en-US"/>
        </w:rPr>
        <w:t xml:space="preserve"> to help address the unique and compounded barriers they face in accessing justice, including those reference</w:t>
      </w:r>
      <w:r w:rsidR="00643E0F">
        <w:rPr>
          <w:rFonts w:cs="Arial"/>
          <w:szCs w:val="24"/>
          <w:lang w:val="en-US"/>
        </w:rPr>
        <w:t>d</w:t>
      </w:r>
      <w:r>
        <w:rPr>
          <w:rFonts w:cs="Arial"/>
          <w:szCs w:val="24"/>
          <w:lang w:val="en-US"/>
        </w:rPr>
        <w:t xml:space="preserve"> above. </w:t>
      </w:r>
      <w:r w:rsidR="001C6B93">
        <w:rPr>
          <w:rFonts w:cs="Arial"/>
          <w:szCs w:val="24"/>
          <w:lang w:val="en-US"/>
        </w:rPr>
        <w:t xml:space="preserve">In 2023, </w:t>
      </w:r>
      <w:r w:rsidR="001C6B93" w:rsidRPr="0064363F">
        <w:rPr>
          <w:rFonts w:cs="Arial"/>
          <w:szCs w:val="24"/>
          <w:lang w:val="en-US"/>
        </w:rPr>
        <w:t xml:space="preserve">Canada appointed a Ministerial Special Representative </w:t>
      </w:r>
      <w:r w:rsidR="001C6B93">
        <w:rPr>
          <w:rFonts w:cs="Arial"/>
          <w:szCs w:val="24"/>
          <w:lang w:val="en-US"/>
        </w:rPr>
        <w:t>who</w:t>
      </w:r>
      <w:r w:rsidR="001C6B93" w:rsidRPr="0064363F">
        <w:rPr>
          <w:rFonts w:cs="Arial"/>
          <w:szCs w:val="24"/>
          <w:lang w:val="en-US"/>
        </w:rPr>
        <w:t xml:space="preserve"> </w:t>
      </w:r>
      <w:r w:rsidR="001C6B93">
        <w:rPr>
          <w:rFonts w:cs="Arial"/>
          <w:szCs w:val="24"/>
          <w:lang w:val="en-US"/>
        </w:rPr>
        <w:t xml:space="preserve">provided comprehensive recommendations on </w:t>
      </w:r>
      <w:r w:rsidR="001C6B93" w:rsidRPr="00AB6537">
        <w:rPr>
          <w:rFonts w:cs="Arial"/>
          <w:szCs w:val="24"/>
        </w:rPr>
        <w:t>the creation of an Indigenous and Human Rights Ombudsperson</w:t>
      </w:r>
      <w:r w:rsidR="001C6B93">
        <w:rPr>
          <w:rFonts w:cs="Arial"/>
          <w:szCs w:val="24"/>
          <w:lang w:val="en-US"/>
        </w:rPr>
        <w:t xml:space="preserve"> to the Government in a May 2024 </w:t>
      </w:r>
      <w:r w:rsidR="001C6B93" w:rsidRPr="0064363F">
        <w:rPr>
          <w:rFonts w:cs="Arial"/>
          <w:szCs w:val="24"/>
          <w:lang w:val="en-US"/>
        </w:rPr>
        <w:t>report</w:t>
      </w:r>
      <w:r w:rsidR="001C6B93">
        <w:rPr>
          <w:rFonts w:cs="Arial"/>
          <w:szCs w:val="24"/>
          <w:lang w:val="en-US"/>
        </w:rPr>
        <w:t>.</w:t>
      </w:r>
      <w:r w:rsidR="001C6B93" w:rsidRPr="0064363F">
        <w:rPr>
          <w:rFonts w:cs="Arial"/>
          <w:szCs w:val="24"/>
          <w:vertAlign w:val="superscript"/>
          <w:lang w:val="en-US"/>
        </w:rPr>
        <w:footnoteReference w:id="117"/>
      </w:r>
      <w:r w:rsidR="001C6B93">
        <w:rPr>
          <w:rFonts w:cs="Arial"/>
          <w:szCs w:val="24"/>
          <w:lang w:val="en-US"/>
        </w:rPr>
        <w:t xml:space="preserve"> The CHRC </w:t>
      </w:r>
      <w:r w:rsidR="001C6B93" w:rsidRPr="00A32D6C">
        <w:rPr>
          <w:rFonts w:cs="Arial"/>
          <w:szCs w:val="24"/>
          <w:lang w:val="en-US"/>
        </w:rPr>
        <w:t>fully supports the creation of</w:t>
      </w:r>
      <w:r w:rsidR="001C6B93">
        <w:rPr>
          <w:rFonts w:cs="Arial"/>
          <w:szCs w:val="24"/>
          <w:lang w:val="en-US"/>
        </w:rPr>
        <w:t xml:space="preserve"> specific </w:t>
      </w:r>
      <w:r w:rsidR="001C6B93" w:rsidRPr="00A32D6C">
        <w:rPr>
          <w:rFonts w:cs="Arial"/>
          <w:szCs w:val="24"/>
          <w:lang w:val="en-US"/>
        </w:rPr>
        <w:t>human rights mechanisms for Indigenous peoples in Canada</w:t>
      </w:r>
      <w:r w:rsidR="001C6B93">
        <w:rPr>
          <w:rFonts w:cs="Arial"/>
          <w:szCs w:val="24"/>
          <w:lang w:val="en-US"/>
        </w:rPr>
        <w:t>.</w:t>
      </w:r>
      <w:r w:rsidR="001C6B93">
        <w:rPr>
          <w:rStyle w:val="FootnoteReference"/>
          <w:rFonts w:cs="Arial"/>
          <w:szCs w:val="24"/>
          <w:lang w:val="en-US"/>
        </w:rPr>
        <w:footnoteReference w:id="118"/>
      </w:r>
    </w:p>
    <w:p w14:paraId="184987DB" w14:textId="73CBF492" w:rsidR="001C6B93" w:rsidRDefault="001C6B93" w:rsidP="001C6B93">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0C4AC8">
        <w:rPr>
          <w:rFonts w:cs="Arial"/>
          <w:b/>
          <w:bCs/>
          <w:szCs w:val="24"/>
          <w:lang w:val="en-US"/>
        </w:rPr>
        <w:t xml:space="preserve">Recommendation </w:t>
      </w:r>
      <w:r>
        <w:rPr>
          <w:rFonts w:cs="Arial"/>
          <w:b/>
          <w:bCs/>
          <w:szCs w:val="24"/>
          <w:lang w:val="en-US"/>
        </w:rPr>
        <w:t>#</w:t>
      </w:r>
      <w:r w:rsidR="00F30961">
        <w:rPr>
          <w:rFonts w:cs="Arial"/>
          <w:b/>
          <w:bCs/>
          <w:szCs w:val="24"/>
          <w:lang w:val="en-US"/>
        </w:rPr>
        <w:t>33</w:t>
      </w:r>
      <w:r w:rsidRPr="000C4AC8">
        <w:rPr>
          <w:rFonts w:cs="Arial"/>
          <w:b/>
          <w:bCs/>
          <w:szCs w:val="24"/>
          <w:lang w:val="en-US"/>
        </w:rPr>
        <w:t xml:space="preserve">: </w:t>
      </w:r>
      <w:r w:rsidRPr="000C4AC8">
        <w:rPr>
          <w:rFonts w:cs="Arial"/>
          <w:szCs w:val="24"/>
          <w:lang w:val="en-US"/>
        </w:rPr>
        <w:t xml:space="preserve">That Canada </w:t>
      </w:r>
      <w:r>
        <w:rPr>
          <w:rFonts w:cs="Arial"/>
          <w:szCs w:val="24"/>
          <w:lang w:val="en-US"/>
        </w:rPr>
        <w:t xml:space="preserve">fully implement the recommendations of the Final Report of the National Inquiry into Missing and Murdered Indigenous Women and Girls. </w:t>
      </w:r>
    </w:p>
    <w:p w14:paraId="03808D0B" w14:textId="3D9A5B79" w:rsidR="007A2099" w:rsidRPr="00843B2E" w:rsidRDefault="001C6B93" w:rsidP="00843B2E">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64363F">
        <w:rPr>
          <w:rFonts w:cs="Arial"/>
          <w:b/>
          <w:bCs/>
          <w:szCs w:val="24"/>
          <w:lang w:val="en-US"/>
        </w:rPr>
        <w:t xml:space="preserve">Recommendation </w:t>
      </w:r>
      <w:r>
        <w:rPr>
          <w:rFonts w:cs="Arial"/>
          <w:b/>
          <w:bCs/>
          <w:szCs w:val="24"/>
          <w:lang w:val="en-US"/>
        </w:rPr>
        <w:t>#</w:t>
      </w:r>
      <w:r w:rsidR="00F30961">
        <w:rPr>
          <w:rFonts w:cs="Arial"/>
          <w:b/>
          <w:bCs/>
          <w:szCs w:val="24"/>
          <w:lang w:val="en-US"/>
        </w:rPr>
        <w:t>34</w:t>
      </w:r>
      <w:r w:rsidRPr="0064363F">
        <w:rPr>
          <w:rFonts w:cs="Arial"/>
          <w:b/>
          <w:bCs/>
          <w:szCs w:val="24"/>
          <w:lang w:val="en-US"/>
        </w:rPr>
        <w:t>:</w:t>
      </w:r>
      <w:r w:rsidRPr="0064363F">
        <w:rPr>
          <w:rFonts w:cs="Arial"/>
          <w:szCs w:val="24"/>
          <w:lang w:val="en-US"/>
        </w:rPr>
        <w:t xml:space="preserve"> That Canada </w:t>
      </w:r>
      <w:r>
        <w:rPr>
          <w:rFonts w:cs="Arial"/>
          <w:szCs w:val="24"/>
          <w:lang w:val="en-US"/>
        </w:rPr>
        <w:t>implement</w:t>
      </w:r>
      <w:r w:rsidRPr="0064363F">
        <w:rPr>
          <w:rFonts w:cs="Arial"/>
          <w:szCs w:val="24"/>
          <w:lang w:val="en-US"/>
        </w:rPr>
        <w:t xml:space="preserve"> the recommendations </w:t>
      </w:r>
      <w:r>
        <w:rPr>
          <w:rFonts w:cs="Arial"/>
          <w:szCs w:val="24"/>
          <w:lang w:val="en-US"/>
        </w:rPr>
        <w:t xml:space="preserve">made by </w:t>
      </w:r>
      <w:r w:rsidRPr="0064363F">
        <w:rPr>
          <w:rFonts w:cs="Arial"/>
          <w:szCs w:val="24"/>
          <w:lang w:val="en-US"/>
        </w:rPr>
        <w:t xml:space="preserve">the Ministerial Special Representative </w:t>
      </w:r>
      <w:r>
        <w:rPr>
          <w:rFonts w:cs="Arial"/>
          <w:szCs w:val="24"/>
          <w:lang w:val="en-US"/>
        </w:rPr>
        <w:t>without delay</w:t>
      </w:r>
      <w:r w:rsidRPr="0064363F">
        <w:rPr>
          <w:rFonts w:cs="Arial"/>
          <w:szCs w:val="24"/>
          <w:lang w:val="en-US"/>
        </w:rPr>
        <w:t>.</w:t>
      </w:r>
      <w:r>
        <w:rPr>
          <w:rFonts w:cs="Arial"/>
          <w:szCs w:val="24"/>
          <w:lang w:val="en-US"/>
        </w:rPr>
        <w:t xml:space="preserve">  </w:t>
      </w:r>
      <w:r w:rsidR="00EA1FCC">
        <w:rPr>
          <w:rFonts w:cs="Arial"/>
          <w:szCs w:val="24"/>
          <w:lang w:val="en-US"/>
        </w:rPr>
        <w:t xml:space="preserve"> </w:t>
      </w:r>
    </w:p>
    <w:p w14:paraId="0C1C2E53" w14:textId="6E33E152" w:rsidR="00F713AE" w:rsidRPr="00A3298F" w:rsidRDefault="00F713AE" w:rsidP="00F713AE">
      <w:pPr>
        <w:pStyle w:val="Heading1"/>
      </w:pPr>
      <w:bookmarkStart w:id="104" w:name="_Toc187841574"/>
      <w:bookmarkStart w:id="105" w:name="_Toc183602928"/>
      <w:bookmarkStart w:id="106" w:name="_Toc183603017"/>
      <w:r>
        <w:lastRenderedPageBreak/>
        <w:t>W</w:t>
      </w:r>
      <w:r w:rsidR="00A97929">
        <w:t>omen</w:t>
      </w:r>
      <w:r>
        <w:t xml:space="preserve"> </w:t>
      </w:r>
      <w:r w:rsidR="00A97929">
        <w:t>with</w:t>
      </w:r>
      <w:r>
        <w:t xml:space="preserve"> D</w:t>
      </w:r>
      <w:r w:rsidR="00A97929">
        <w:t>isabilities</w:t>
      </w:r>
      <w:r>
        <w:t xml:space="preserve"> (A</w:t>
      </w:r>
      <w:r w:rsidR="00A97929">
        <w:t>rticle</w:t>
      </w:r>
      <w:r>
        <w:t xml:space="preserve"> 6)</w:t>
      </w:r>
      <w:bookmarkEnd w:id="104"/>
    </w:p>
    <w:p w14:paraId="3029D608" w14:textId="77777777" w:rsidR="00F713AE" w:rsidRPr="000C4AC8" w:rsidRDefault="00F713AE" w:rsidP="00F713AE">
      <w:pPr>
        <w:spacing w:before="240" w:line="240" w:lineRule="auto"/>
        <w:rPr>
          <w:rFonts w:cs="Arial"/>
          <w:szCs w:val="24"/>
        </w:rPr>
      </w:pPr>
      <w:r>
        <w:rPr>
          <w:rFonts w:cs="Arial"/>
          <w:szCs w:val="24"/>
          <w:lang w:val="en-US"/>
        </w:rPr>
        <w:t>T</w:t>
      </w:r>
      <w:r w:rsidRPr="000C4AC8">
        <w:rPr>
          <w:rFonts w:cs="Arial"/>
          <w:szCs w:val="24"/>
          <w:lang w:val="en-US"/>
        </w:rPr>
        <w:t>he prevalence of disability</w:t>
      </w:r>
      <w:r>
        <w:rPr>
          <w:rFonts w:cs="Arial"/>
          <w:szCs w:val="24"/>
          <w:lang w:val="en-US"/>
        </w:rPr>
        <w:t xml:space="preserve"> in Canada</w:t>
      </w:r>
      <w:r w:rsidRPr="000C4AC8">
        <w:rPr>
          <w:rFonts w:cs="Arial"/>
          <w:szCs w:val="24"/>
          <w:lang w:val="en-US"/>
        </w:rPr>
        <w:t xml:space="preserve"> is higher for women compared to men (30% versus 24%)</w:t>
      </w:r>
      <w:r>
        <w:rPr>
          <w:rFonts w:cs="Arial"/>
          <w:szCs w:val="24"/>
          <w:lang w:val="en-US"/>
        </w:rPr>
        <w:t>.</w:t>
      </w:r>
      <w:r w:rsidRPr="000C4AC8">
        <w:rPr>
          <w:rFonts w:cs="Arial"/>
          <w:szCs w:val="24"/>
          <w:vertAlign w:val="superscript"/>
          <w:lang w:val="en-US"/>
        </w:rPr>
        <w:footnoteReference w:id="119"/>
      </w:r>
      <w:r w:rsidRPr="000C4AC8">
        <w:rPr>
          <w:rFonts w:cs="Arial"/>
          <w:szCs w:val="24"/>
          <w:lang w:val="en-US"/>
        </w:rPr>
        <w:t xml:space="preserve"> Women with disabilities experience</w:t>
      </w:r>
      <w:r>
        <w:rPr>
          <w:rFonts w:cs="Arial"/>
          <w:szCs w:val="24"/>
          <w:lang w:val="en-US"/>
        </w:rPr>
        <w:t xml:space="preserve"> unique</w:t>
      </w:r>
      <w:r w:rsidRPr="000C4AC8">
        <w:rPr>
          <w:rFonts w:cs="Arial"/>
          <w:szCs w:val="24"/>
          <w:lang w:val="en-US"/>
        </w:rPr>
        <w:t xml:space="preserve"> systemic barriers </w:t>
      </w:r>
      <w:r>
        <w:rPr>
          <w:rFonts w:cs="Arial"/>
          <w:szCs w:val="24"/>
          <w:lang w:val="en-US"/>
        </w:rPr>
        <w:t>and</w:t>
      </w:r>
      <w:r w:rsidRPr="000C4AC8">
        <w:rPr>
          <w:rFonts w:cs="Arial"/>
          <w:szCs w:val="24"/>
          <w:lang w:val="en-US"/>
        </w:rPr>
        <w:t xml:space="preserve"> soci</w:t>
      </w:r>
      <w:r>
        <w:rPr>
          <w:rFonts w:cs="Arial"/>
          <w:szCs w:val="24"/>
          <w:lang w:val="en-US"/>
        </w:rPr>
        <w:t>o-</w:t>
      </w:r>
      <w:r w:rsidRPr="000C4AC8">
        <w:rPr>
          <w:rFonts w:cs="Arial"/>
          <w:szCs w:val="24"/>
          <w:lang w:val="en-US"/>
        </w:rPr>
        <w:t>economic disadvantage that negatively impact their well-being.</w:t>
      </w:r>
      <w:r w:rsidRPr="000C4AC8" w:rsidDel="00C66EEA">
        <w:rPr>
          <w:rFonts w:cs="Arial"/>
          <w:szCs w:val="24"/>
          <w:lang w:val="en-US"/>
        </w:rPr>
        <w:t xml:space="preserve"> </w:t>
      </w:r>
    </w:p>
    <w:p w14:paraId="5004CD5E" w14:textId="1F8A6421" w:rsidR="00F713AE" w:rsidRDefault="00F713AE" w:rsidP="00F713AE">
      <w:pPr>
        <w:spacing w:line="240" w:lineRule="auto"/>
        <w:rPr>
          <w:rFonts w:cs="Arial"/>
          <w:szCs w:val="24"/>
          <w:lang w:val="en-US"/>
        </w:rPr>
      </w:pPr>
      <w:r>
        <w:rPr>
          <w:rFonts w:cs="Arial"/>
          <w:szCs w:val="24"/>
          <w:lang w:val="en-US"/>
        </w:rPr>
        <w:t>Women with disabilities have</w:t>
      </w:r>
      <w:r w:rsidRPr="000C4AC8">
        <w:rPr>
          <w:rFonts w:cs="Arial"/>
          <w:szCs w:val="24"/>
          <w:lang w:val="en-US"/>
        </w:rPr>
        <w:t xml:space="preserve"> a pronounced income gap and higher rates of poverty</w:t>
      </w:r>
      <w:r>
        <w:rPr>
          <w:rFonts w:cs="Arial"/>
          <w:szCs w:val="24"/>
          <w:lang w:val="en-US"/>
        </w:rPr>
        <w:t xml:space="preserve"> compared to </w:t>
      </w:r>
      <w:r w:rsidR="00333435">
        <w:rPr>
          <w:rFonts w:cs="Arial"/>
          <w:szCs w:val="24"/>
          <w:lang w:val="en-US"/>
        </w:rPr>
        <w:t xml:space="preserve">both </w:t>
      </w:r>
      <w:r w:rsidR="00D35BC1">
        <w:rPr>
          <w:rFonts w:cs="Arial"/>
          <w:szCs w:val="24"/>
          <w:lang w:val="en-US"/>
        </w:rPr>
        <w:t xml:space="preserve">other people with disabilities and </w:t>
      </w:r>
      <w:r w:rsidR="00333435">
        <w:rPr>
          <w:rFonts w:cs="Arial"/>
          <w:szCs w:val="24"/>
          <w:lang w:val="en-US"/>
        </w:rPr>
        <w:t xml:space="preserve">women without disabilities </w:t>
      </w:r>
      <w:r>
        <w:rPr>
          <w:rFonts w:cs="Arial"/>
          <w:szCs w:val="24"/>
          <w:lang w:val="en-US"/>
        </w:rPr>
        <w:t>due to barriers in education and employment</w:t>
      </w:r>
      <w:r w:rsidRPr="000C4AC8">
        <w:rPr>
          <w:rFonts w:cs="Arial"/>
          <w:szCs w:val="24"/>
          <w:lang w:val="en-US"/>
        </w:rPr>
        <w:t xml:space="preserve">. During an engagement event </w:t>
      </w:r>
      <w:r>
        <w:rPr>
          <w:rFonts w:cs="Arial"/>
          <w:szCs w:val="24"/>
          <w:lang w:val="en-US"/>
        </w:rPr>
        <w:t xml:space="preserve">with the CHRC </w:t>
      </w:r>
      <w:r w:rsidRPr="000C4AC8">
        <w:rPr>
          <w:rFonts w:cs="Arial"/>
          <w:szCs w:val="24"/>
          <w:lang w:val="en-US"/>
        </w:rPr>
        <w:t xml:space="preserve">in 2022, women with disabilities </w:t>
      </w:r>
      <w:r>
        <w:rPr>
          <w:rFonts w:cs="Arial"/>
          <w:szCs w:val="24"/>
          <w:lang w:val="en-US"/>
        </w:rPr>
        <w:t xml:space="preserve">shared that they </w:t>
      </w:r>
      <w:r w:rsidRPr="000C4AC8">
        <w:rPr>
          <w:rFonts w:cs="Arial"/>
          <w:szCs w:val="24"/>
          <w:lang w:val="en-US"/>
        </w:rPr>
        <w:t xml:space="preserve">often </w:t>
      </w:r>
      <w:r>
        <w:rPr>
          <w:rFonts w:cs="Arial"/>
          <w:szCs w:val="24"/>
          <w:lang w:val="en-US"/>
        </w:rPr>
        <w:t>feel</w:t>
      </w:r>
      <w:r w:rsidRPr="000C4AC8">
        <w:rPr>
          <w:rFonts w:cs="Arial"/>
          <w:szCs w:val="24"/>
          <w:lang w:val="en-US"/>
        </w:rPr>
        <w:t xml:space="preserve"> financially and legally disempowered</w:t>
      </w:r>
      <w:r>
        <w:rPr>
          <w:rFonts w:cs="Arial"/>
          <w:szCs w:val="24"/>
          <w:lang w:val="en-US"/>
        </w:rPr>
        <w:t>, which limits their independence, security and autonomy</w:t>
      </w:r>
      <w:r w:rsidRPr="000C4AC8">
        <w:rPr>
          <w:rFonts w:cs="Arial"/>
          <w:szCs w:val="24"/>
          <w:lang w:val="en-US"/>
        </w:rPr>
        <w:t>.</w:t>
      </w:r>
      <w:r w:rsidRPr="000C4AC8">
        <w:rPr>
          <w:rFonts w:cs="Arial"/>
          <w:szCs w:val="24"/>
          <w:vertAlign w:val="superscript"/>
          <w:lang w:val="en-US"/>
        </w:rPr>
        <w:footnoteReference w:id="120"/>
      </w:r>
      <w:r w:rsidRPr="000C4AC8">
        <w:rPr>
          <w:rFonts w:cs="Arial"/>
          <w:szCs w:val="24"/>
          <w:lang w:val="en-US"/>
        </w:rPr>
        <w:t xml:space="preserve"> </w:t>
      </w:r>
      <w:r>
        <w:rPr>
          <w:rFonts w:cs="Arial"/>
          <w:szCs w:val="24"/>
          <w:lang w:val="en-US"/>
        </w:rPr>
        <w:t>For example, t</w:t>
      </w:r>
      <w:r w:rsidRPr="00845CC7">
        <w:rPr>
          <w:rFonts w:cs="Arial"/>
          <w:szCs w:val="24"/>
          <w:lang w:val="en-US"/>
        </w:rPr>
        <w:t xml:space="preserve">hey risk having their </w:t>
      </w:r>
      <w:r>
        <w:rPr>
          <w:rFonts w:cs="Arial"/>
          <w:szCs w:val="24"/>
          <w:lang w:val="en-US"/>
        </w:rPr>
        <w:t>income supports</w:t>
      </w:r>
      <w:r w:rsidRPr="00845CC7">
        <w:rPr>
          <w:rFonts w:cs="Arial"/>
          <w:szCs w:val="24"/>
          <w:lang w:val="en-US"/>
        </w:rPr>
        <w:t xml:space="preserve"> </w:t>
      </w:r>
      <w:r>
        <w:rPr>
          <w:rFonts w:cs="Arial"/>
          <w:szCs w:val="24"/>
          <w:lang w:val="en-US"/>
        </w:rPr>
        <w:t xml:space="preserve">reduced </w:t>
      </w:r>
      <w:r w:rsidRPr="00845CC7">
        <w:rPr>
          <w:rFonts w:cs="Arial"/>
          <w:szCs w:val="24"/>
          <w:lang w:val="en-US"/>
        </w:rPr>
        <w:t>if they</w:t>
      </w:r>
      <w:r>
        <w:rPr>
          <w:rFonts w:cs="Arial"/>
          <w:szCs w:val="24"/>
          <w:lang w:val="en-US"/>
        </w:rPr>
        <w:t xml:space="preserve"> choose to</w:t>
      </w:r>
      <w:r w:rsidRPr="00845CC7">
        <w:rPr>
          <w:rFonts w:cs="Arial"/>
          <w:szCs w:val="24"/>
          <w:lang w:val="en-US"/>
        </w:rPr>
        <w:t xml:space="preserve"> </w:t>
      </w:r>
      <w:r>
        <w:rPr>
          <w:rFonts w:cs="Arial"/>
          <w:szCs w:val="24"/>
          <w:lang w:val="en-US"/>
        </w:rPr>
        <w:t>live</w:t>
      </w:r>
      <w:r w:rsidRPr="00845CC7">
        <w:rPr>
          <w:rFonts w:cs="Arial"/>
          <w:szCs w:val="24"/>
          <w:lang w:val="en-US"/>
        </w:rPr>
        <w:t xml:space="preserve"> with their partners. </w:t>
      </w:r>
      <w:r>
        <w:rPr>
          <w:rFonts w:cs="Arial"/>
          <w:szCs w:val="24"/>
          <w:lang w:val="en-US"/>
        </w:rPr>
        <w:t xml:space="preserve">Conversely, they may have difficulty leaving abusive relationships if they are </w:t>
      </w:r>
      <w:r w:rsidRPr="00845CC7">
        <w:rPr>
          <w:rFonts w:cs="Arial"/>
          <w:szCs w:val="24"/>
          <w:lang w:val="en-US"/>
        </w:rPr>
        <w:t>financially dependent on their partners.</w:t>
      </w:r>
      <w:r>
        <w:rPr>
          <w:rFonts w:cs="Arial"/>
          <w:szCs w:val="24"/>
          <w:lang w:val="en-US"/>
        </w:rPr>
        <w:t xml:space="preserve"> </w:t>
      </w:r>
    </w:p>
    <w:p w14:paraId="63476E88" w14:textId="77777777" w:rsidR="00F713AE" w:rsidRPr="000C4AC8" w:rsidRDefault="00F713AE" w:rsidP="00F713AE">
      <w:pPr>
        <w:spacing w:line="240" w:lineRule="auto"/>
        <w:rPr>
          <w:rFonts w:cs="Arial"/>
          <w:szCs w:val="24"/>
          <w:lang w:val="en-US"/>
        </w:rPr>
      </w:pPr>
      <w:r>
        <w:rPr>
          <w:rFonts w:cs="Arial"/>
          <w:szCs w:val="24"/>
          <w:lang w:val="en-US"/>
        </w:rPr>
        <w:t xml:space="preserve">Women with disabilities also face barriers in the legal system, </w:t>
      </w:r>
      <w:r w:rsidRPr="004C3636">
        <w:rPr>
          <w:rFonts w:cs="Arial"/>
          <w:szCs w:val="24"/>
          <w:lang w:val="en-US"/>
        </w:rPr>
        <w:t xml:space="preserve">such as </w:t>
      </w:r>
      <w:r>
        <w:rPr>
          <w:rFonts w:cs="Arial"/>
          <w:szCs w:val="24"/>
          <w:lang w:val="en-US"/>
        </w:rPr>
        <w:t xml:space="preserve">communication barriers and ableist </w:t>
      </w:r>
      <w:r w:rsidRPr="004C3636">
        <w:rPr>
          <w:rFonts w:cs="Arial"/>
          <w:szCs w:val="24"/>
          <w:lang w:val="en-US"/>
        </w:rPr>
        <w:t>assumptions about their capacity</w:t>
      </w:r>
      <w:r>
        <w:rPr>
          <w:rFonts w:cs="Arial"/>
          <w:szCs w:val="24"/>
          <w:lang w:val="en-US"/>
        </w:rPr>
        <w:t>. These factors</w:t>
      </w:r>
      <w:r w:rsidRPr="000C4AC8">
        <w:rPr>
          <w:rFonts w:cs="Arial"/>
          <w:szCs w:val="24"/>
          <w:lang w:val="en-US"/>
        </w:rPr>
        <w:t xml:space="preserve"> increase their vulnerability to violence and exploitation, including trafficking</w:t>
      </w:r>
      <w:r>
        <w:rPr>
          <w:rFonts w:cs="Arial"/>
          <w:szCs w:val="24"/>
          <w:lang w:val="en-US"/>
        </w:rPr>
        <w:t xml:space="preserve">. </w:t>
      </w:r>
      <w:r>
        <w:rPr>
          <w:lang w:val="en-US"/>
        </w:rPr>
        <w:t>Am</w:t>
      </w:r>
      <w:r w:rsidRPr="00401D9A">
        <w:rPr>
          <w:lang w:val="en-US"/>
        </w:rPr>
        <w:t xml:space="preserve">ong people who had been in an intimate partnership, 55% of women with disabilities reported </w:t>
      </w:r>
      <w:r>
        <w:rPr>
          <w:lang w:val="en-US"/>
        </w:rPr>
        <w:t xml:space="preserve">having </w:t>
      </w:r>
      <w:r w:rsidRPr="00401D9A">
        <w:rPr>
          <w:lang w:val="en-US"/>
        </w:rPr>
        <w:t>experienc</w:t>
      </w:r>
      <w:r>
        <w:rPr>
          <w:lang w:val="en-US"/>
        </w:rPr>
        <w:t>ed</w:t>
      </w:r>
      <w:r w:rsidRPr="00401D9A">
        <w:rPr>
          <w:lang w:val="en-US"/>
        </w:rPr>
        <w:t xml:space="preserve"> </w:t>
      </w:r>
      <w:r>
        <w:rPr>
          <w:lang w:val="en-US"/>
        </w:rPr>
        <w:t>a</w:t>
      </w:r>
      <w:r w:rsidRPr="00401D9A">
        <w:rPr>
          <w:lang w:val="en-US"/>
        </w:rPr>
        <w:t xml:space="preserve"> form of </w:t>
      </w:r>
      <w:r>
        <w:rPr>
          <w:lang w:val="en-US"/>
        </w:rPr>
        <w:t>intimate partner violence</w:t>
      </w:r>
      <w:r w:rsidRPr="00401D9A">
        <w:rPr>
          <w:lang w:val="en-US"/>
        </w:rPr>
        <w:t>.</w:t>
      </w:r>
      <w:r>
        <w:rPr>
          <w:lang w:val="en-US"/>
        </w:rPr>
        <w:t xml:space="preserve"> </w:t>
      </w:r>
      <w:r>
        <w:rPr>
          <w:rFonts w:cs="Arial"/>
          <w:szCs w:val="24"/>
          <w:lang w:val="en-US"/>
        </w:rPr>
        <w:t>These risks are heightened</w:t>
      </w:r>
      <w:r w:rsidRPr="000C4AC8">
        <w:rPr>
          <w:rFonts w:cs="Arial"/>
          <w:szCs w:val="24"/>
          <w:lang w:val="en-US"/>
        </w:rPr>
        <w:t xml:space="preserve"> for people </w:t>
      </w:r>
      <w:r>
        <w:rPr>
          <w:rFonts w:cs="Arial"/>
          <w:szCs w:val="24"/>
          <w:lang w:val="en-US"/>
        </w:rPr>
        <w:t>experiencing</w:t>
      </w:r>
      <w:r w:rsidRPr="000C4AC8">
        <w:rPr>
          <w:rFonts w:cs="Arial"/>
          <w:szCs w:val="24"/>
          <w:lang w:val="en-US"/>
        </w:rPr>
        <w:t xml:space="preserve"> intersectional forms of oppression.</w:t>
      </w:r>
      <w:r w:rsidRPr="00062D6B">
        <w:rPr>
          <w:rFonts w:cs="Arial"/>
          <w:szCs w:val="24"/>
          <w:vertAlign w:val="superscript"/>
          <w:lang w:val="en-US"/>
        </w:rPr>
        <w:footnoteReference w:id="121"/>
      </w:r>
    </w:p>
    <w:p w14:paraId="46683A03" w14:textId="24C96504" w:rsidR="00F713AE" w:rsidRPr="000C4AC8" w:rsidRDefault="00F713AE" w:rsidP="00F713AE">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0C4AC8">
        <w:rPr>
          <w:rFonts w:cs="Arial"/>
          <w:b/>
          <w:bCs/>
          <w:szCs w:val="24"/>
          <w:lang w:val="en-US"/>
        </w:rPr>
        <w:t xml:space="preserve">Recommendation </w:t>
      </w:r>
      <w:r>
        <w:rPr>
          <w:rFonts w:cs="Arial"/>
          <w:b/>
          <w:bCs/>
          <w:szCs w:val="24"/>
          <w:lang w:val="en-US"/>
        </w:rPr>
        <w:t>#</w:t>
      </w:r>
      <w:r w:rsidR="00F30961">
        <w:rPr>
          <w:rFonts w:cs="Arial"/>
          <w:b/>
          <w:bCs/>
          <w:szCs w:val="24"/>
          <w:lang w:val="en-US"/>
        </w:rPr>
        <w:t>35</w:t>
      </w:r>
      <w:r w:rsidRPr="000C4AC8">
        <w:rPr>
          <w:rFonts w:cs="Arial"/>
          <w:b/>
          <w:bCs/>
          <w:szCs w:val="24"/>
          <w:lang w:val="en-US"/>
        </w:rPr>
        <w:t xml:space="preserve">: </w:t>
      </w:r>
      <w:r w:rsidRPr="000C4AC8">
        <w:rPr>
          <w:rFonts w:cs="Arial"/>
          <w:szCs w:val="24"/>
          <w:lang w:val="en-US"/>
        </w:rPr>
        <w:t xml:space="preserve">That Canada </w:t>
      </w:r>
      <w:r>
        <w:rPr>
          <w:rFonts w:cs="Arial"/>
          <w:szCs w:val="24"/>
          <w:lang w:val="en-US"/>
        </w:rPr>
        <w:t xml:space="preserve">ensure </w:t>
      </w:r>
      <w:r w:rsidRPr="000C4AC8">
        <w:rPr>
          <w:rFonts w:cs="Arial"/>
          <w:szCs w:val="24"/>
          <w:lang w:val="en-US"/>
        </w:rPr>
        <w:t xml:space="preserve">women with disabilities </w:t>
      </w:r>
      <w:r>
        <w:rPr>
          <w:rFonts w:cs="Arial"/>
          <w:szCs w:val="24"/>
          <w:lang w:val="en-US"/>
        </w:rPr>
        <w:t>have adequate financial supports that are</w:t>
      </w:r>
      <w:r w:rsidRPr="000C4AC8">
        <w:rPr>
          <w:rFonts w:cs="Arial"/>
          <w:szCs w:val="24"/>
          <w:lang w:val="en-US"/>
        </w:rPr>
        <w:t xml:space="preserve"> not impacted by their relationship status or living arrangements.</w:t>
      </w:r>
    </w:p>
    <w:p w14:paraId="2786606E" w14:textId="2BD6C351" w:rsidR="00F713AE" w:rsidRPr="00123ACC" w:rsidRDefault="00F713AE" w:rsidP="00F713AE">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sidRPr="000C4AC8">
        <w:rPr>
          <w:rFonts w:cs="Arial"/>
          <w:b/>
          <w:bCs/>
          <w:szCs w:val="24"/>
          <w:lang w:val="en-US"/>
        </w:rPr>
        <w:t xml:space="preserve">Recommendation </w:t>
      </w:r>
      <w:r>
        <w:rPr>
          <w:rFonts w:cs="Arial"/>
          <w:b/>
          <w:bCs/>
          <w:szCs w:val="24"/>
          <w:lang w:val="en-US"/>
        </w:rPr>
        <w:t>#</w:t>
      </w:r>
      <w:r w:rsidR="00F30961">
        <w:rPr>
          <w:rFonts w:cs="Arial"/>
          <w:b/>
          <w:bCs/>
          <w:szCs w:val="24"/>
          <w:lang w:val="en-US"/>
        </w:rPr>
        <w:t>36</w:t>
      </w:r>
      <w:r w:rsidRPr="000C4AC8">
        <w:rPr>
          <w:rFonts w:cs="Arial"/>
          <w:b/>
          <w:bCs/>
          <w:szCs w:val="24"/>
          <w:lang w:val="en-US"/>
        </w:rPr>
        <w:t xml:space="preserve">: </w:t>
      </w:r>
      <w:r w:rsidRPr="000C4AC8">
        <w:rPr>
          <w:rFonts w:cs="Arial"/>
          <w:szCs w:val="24"/>
          <w:lang w:val="en-US"/>
        </w:rPr>
        <w:t xml:space="preserve">That Canada remove barriers in the legal system and support the legal </w:t>
      </w:r>
      <w:r>
        <w:rPr>
          <w:rFonts w:cs="Arial"/>
          <w:szCs w:val="24"/>
          <w:lang w:val="en-US"/>
        </w:rPr>
        <w:t xml:space="preserve">and financial </w:t>
      </w:r>
      <w:r w:rsidRPr="000C4AC8">
        <w:rPr>
          <w:rFonts w:cs="Arial"/>
          <w:szCs w:val="24"/>
          <w:lang w:val="en-US"/>
        </w:rPr>
        <w:t xml:space="preserve">empowerment of </w:t>
      </w:r>
      <w:r>
        <w:rPr>
          <w:rFonts w:cs="Arial"/>
          <w:szCs w:val="24"/>
          <w:lang w:val="en-US"/>
        </w:rPr>
        <w:t>women</w:t>
      </w:r>
      <w:r w:rsidRPr="000C4AC8">
        <w:rPr>
          <w:rFonts w:cs="Arial"/>
          <w:szCs w:val="24"/>
          <w:lang w:val="en-US"/>
        </w:rPr>
        <w:t xml:space="preserve"> with disabilities</w:t>
      </w:r>
      <w:r>
        <w:rPr>
          <w:rFonts w:cs="Arial"/>
          <w:szCs w:val="24"/>
          <w:lang w:val="en-US"/>
        </w:rPr>
        <w:t>.</w:t>
      </w:r>
    </w:p>
    <w:p w14:paraId="3F252248" w14:textId="1560D01A" w:rsidR="00C634FF" w:rsidRDefault="00C634FF" w:rsidP="00C634FF">
      <w:pPr>
        <w:pStyle w:val="Heading1"/>
      </w:pPr>
      <w:bookmarkStart w:id="107" w:name="_Toc187841575"/>
      <w:r>
        <w:t>O</w:t>
      </w:r>
      <w:r w:rsidR="00A97929">
        <w:t>ther</w:t>
      </w:r>
      <w:r>
        <w:t xml:space="preserve"> I</w:t>
      </w:r>
      <w:bookmarkEnd w:id="105"/>
      <w:bookmarkEnd w:id="106"/>
      <w:r w:rsidR="00A97929">
        <w:t>ssues</w:t>
      </w:r>
      <w:bookmarkEnd w:id="107"/>
    </w:p>
    <w:p w14:paraId="75307E5A" w14:textId="2F2195F5" w:rsidR="004563C1" w:rsidRDefault="004563C1" w:rsidP="00D8643A">
      <w:pPr>
        <w:pStyle w:val="Heading2"/>
        <w:ind w:left="567" w:hanging="567"/>
      </w:pPr>
      <w:bookmarkStart w:id="108" w:name="_Toc187841576"/>
      <w:bookmarkStart w:id="109" w:name="_Toc183602929"/>
      <w:bookmarkStart w:id="110" w:name="_Toc183603018"/>
      <w:r>
        <w:t>Older people with disabilities</w:t>
      </w:r>
      <w:bookmarkEnd w:id="108"/>
      <w:r>
        <w:t xml:space="preserve"> </w:t>
      </w:r>
      <w:r w:rsidR="008B3FCE" w:rsidRPr="008B3FCE">
        <w:t xml:space="preserve"> </w:t>
      </w:r>
      <w:bookmarkEnd w:id="109"/>
      <w:bookmarkEnd w:id="110"/>
    </w:p>
    <w:p w14:paraId="739E90F7" w14:textId="6A0B533D" w:rsidR="00947DF1" w:rsidRDefault="00947DF1" w:rsidP="005F5C82">
      <w:pPr>
        <w:spacing w:line="240" w:lineRule="auto"/>
      </w:pPr>
      <w:r>
        <w:lastRenderedPageBreak/>
        <w:t>The CHRC remains deeply concerned about the barriers faced by older people with disabilities. In Canada, older people are more likely to have a disability</w:t>
      </w:r>
      <w:r>
        <w:rPr>
          <w:rStyle w:val="FootnoteReference"/>
        </w:rPr>
        <w:footnoteReference w:id="122"/>
      </w:r>
      <w:r>
        <w:t xml:space="preserve"> and face intersectional forms of discrimination</w:t>
      </w:r>
      <w:r w:rsidR="0064049B">
        <w:t xml:space="preserve">, </w:t>
      </w:r>
      <w:r w:rsidR="00547360">
        <w:t>including</w:t>
      </w:r>
      <w:r w:rsidR="0064049B">
        <w:t xml:space="preserve"> ageism and ableism,</w:t>
      </w:r>
      <w:r>
        <w:t xml:space="preserve"> as a result.  </w:t>
      </w:r>
    </w:p>
    <w:p w14:paraId="252C43D3" w14:textId="5935C8D0" w:rsidR="00947DF1" w:rsidRDefault="00947DF1" w:rsidP="005F5C82">
      <w:pPr>
        <w:widowControl w:val="0"/>
        <w:autoSpaceDE w:val="0"/>
        <w:autoSpaceDN w:val="0"/>
        <w:spacing w:after="0" w:line="240" w:lineRule="auto"/>
        <w:rPr>
          <w:szCs w:val="24"/>
        </w:rPr>
      </w:pPr>
      <w:r w:rsidRPr="00D30D1D">
        <w:rPr>
          <w:szCs w:val="24"/>
        </w:rPr>
        <w:t>Older</w:t>
      </w:r>
      <w:r>
        <w:rPr>
          <w:szCs w:val="24"/>
        </w:rPr>
        <w:t xml:space="preserve"> people with disabilities in Canada</w:t>
      </w:r>
      <w:r w:rsidRPr="00D30D1D">
        <w:rPr>
          <w:szCs w:val="24"/>
        </w:rPr>
        <w:t xml:space="preserve"> remain one of the most vulnerable populations—especially, those who live alone.</w:t>
      </w:r>
      <w:r w:rsidRPr="00D30D1D">
        <w:rPr>
          <w:rStyle w:val="FootnoteReference"/>
          <w:szCs w:val="24"/>
        </w:rPr>
        <w:footnoteReference w:id="123"/>
      </w:r>
      <w:r w:rsidRPr="00D30D1D">
        <w:rPr>
          <w:szCs w:val="24"/>
        </w:rPr>
        <w:t xml:space="preserve"> </w:t>
      </w:r>
      <w:r w:rsidR="00414ADC">
        <w:rPr>
          <w:szCs w:val="24"/>
        </w:rPr>
        <w:t>Older people with disabilities face disproportionate financial burdens, and t</w:t>
      </w:r>
      <w:r w:rsidR="00A3151A">
        <w:rPr>
          <w:szCs w:val="24"/>
        </w:rPr>
        <w:t>hose</w:t>
      </w:r>
      <w:r>
        <w:rPr>
          <w:szCs w:val="24"/>
        </w:rPr>
        <w:t xml:space="preserve"> </w:t>
      </w:r>
      <w:r w:rsidRPr="00D30D1D">
        <w:rPr>
          <w:szCs w:val="24"/>
        </w:rPr>
        <w:t>reporting financial need are at heightened risk of experiencing abuse, violence, and/or mistreatment.</w:t>
      </w:r>
      <w:r w:rsidRPr="00D30D1D">
        <w:rPr>
          <w:rStyle w:val="FootnoteReference"/>
          <w:szCs w:val="24"/>
        </w:rPr>
        <w:footnoteReference w:id="124"/>
      </w:r>
      <w:r w:rsidRPr="00D30D1D">
        <w:rPr>
          <w:szCs w:val="24"/>
        </w:rPr>
        <w:t xml:space="preserve"> </w:t>
      </w:r>
      <w:r>
        <w:rPr>
          <w:szCs w:val="24"/>
        </w:rPr>
        <w:t>They are also more likely to experience social isolation and loneliness, resulting in poor physical and mental health outcomes.</w:t>
      </w:r>
      <w:r>
        <w:rPr>
          <w:rStyle w:val="FootnoteReference"/>
          <w:szCs w:val="24"/>
        </w:rPr>
        <w:footnoteReference w:id="125"/>
      </w:r>
      <w:r>
        <w:rPr>
          <w:szCs w:val="24"/>
        </w:rPr>
        <w:t xml:space="preserve"> This is particularly likely among single adults, women, immigrants, and those living in rural areas,</w:t>
      </w:r>
      <w:r>
        <w:rPr>
          <w:rStyle w:val="FootnoteReference"/>
          <w:szCs w:val="24"/>
        </w:rPr>
        <w:footnoteReference w:id="126"/>
      </w:r>
      <w:r>
        <w:rPr>
          <w:szCs w:val="24"/>
        </w:rPr>
        <w:t xml:space="preserve"> and is contributed to in part by a lack of effective and accessible social inclusion programs as well as a lack of comprehensive data on the efficacy and uptake of these programs.</w:t>
      </w:r>
      <w:r>
        <w:rPr>
          <w:rStyle w:val="FootnoteReference"/>
          <w:szCs w:val="24"/>
        </w:rPr>
        <w:footnoteReference w:id="127"/>
      </w:r>
      <w:r>
        <w:rPr>
          <w:szCs w:val="24"/>
        </w:rPr>
        <w:t xml:space="preserve"> </w:t>
      </w:r>
    </w:p>
    <w:p w14:paraId="2E32C54D" w14:textId="77777777" w:rsidR="00947DF1" w:rsidRDefault="00947DF1" w:rsidP="005F5C82">
      <w:pPr>
        <w:widowControl w:val="0"/>
        <w:autoSpaceDE w:val="0"/>
        <w:autoSpaceDN w:val="0"/>
        <w:spacing w:after="0" w:line="240" w:lineRule="auto"/>
        <w:rPr>
          <w:szCs w:val="24"/>
        </w:rPr>
      </w:pPr>
    </w:p>
    <w:p w14:paraId="310683E7" w14:textId="1934B1B3" w:rsidR="00414ADC" w:rsidRDefault="00C90879" w:rsidP="005F5C82">
      <w:pPr>
        <w:widowControl w:val="0"/>
        <w:autoSpaceDE w:val="0"/>
        <w:autoSpaceDN w:val="0"/>
        <w:spacing w:after="0" w:line="240" w:lineRule="auto"/>
        <w:rPr>
          <w:szCs w:val="24"/>
        </w:rPr>
      </w:pPr>
      <w:r>
        <w:rPr>
          <w:szCs w:val="24"/>
        </w:rPr>
        <w:t xml:space="preserve">These human rights concerns are, in part, enabled by the existing gaps within international and domestic human rights systems. </w:t>
      </w:r>
      <w:r w:rsidR="00947DF1" w:rsidRPr="0085600D">
        <w:rPr>
          <w:szCs w:val="24"/>
        </w:rPr>
        <w:t xml:space="preserve">As highlighted by the Office of the High Commissioner for Human Rights, the international legal framework on the human rights of older people remains fragmented and incomplete, with evident gaps in protections. </w:t>
      </w:r>
      <w:r w:rsidR="00463078">
        <w:rPr>
          <w:szCs w:val="24"/>
        </w:rPr>
        <w:t>T</w:t>
      </w:r>
      <w:r w:rsidR="00B066DD">
        <w:rPr>
          <w:szCs w:val="24"/>
        </w:rPr>
        <w:t xml:space="preserve">he CHRC notes that in May 2024, the </w:t>
      </w:r>
      <w:r w:rsidR="00E932B2">
        <w:rPr>
          <w:szCs w:val="24"/>
        </w:rPr>
        <w:t xml:space="preserve">UN </w:t>
      </w:r>
      <w:r w:rsidR="00B066DD">
        <w:rPr>
          <w:szCs w:val="24"/>
        </w:rPr>
        <w:t>O</w:t>
      </w:r>
      <w:r w:rsidR="00E932B2">
        <w:rPr>
          <w:szCs w:val="24"/>
        </w:rPr>
        <w:t xml:space="preserve">pen </w:t>
      </w:r>
      <w:r w:rsidR="00B066DD">
        <w:rPr>
          <w:szCs w:val="24"/>
        </w:rPr>
        <w:t>E</w:t>
      </w:r>
      <w:r w:rsidR="00E932B2">
        <w:rPr>
          <w:szCs w:val="24"/>
        </w:rPr>
        <w:t xml:space="preserve">nded </w:t>
      </w:r>
      <w:r w:rsidR="00B066DD">
        <w:rPr>
          <w:szCs w:val="24"/>
        </w:rPr>
        <w:t>W</w:t>
      </w:r>
      <w:r w:rsidR="00E932B2">
        <w:rPr>
          <w:szCs w:val="24"/>
        </w:rPr>
        <w:t xml:space="preserve">orking </w:t>
      </w:r>
      <w:r w:rsidR="00B066DD">
        <w:rPr>
          <w:szCs w:val="24"/>
        </w:rPr>
        <w:t>G</w:t>
      </w:r>
      <w:r w:rsidR="00E932B2">
        <w:rPr>
          <w:szCs w:val="24"/>
        </w:rPr>
        <w:t xml:space="preserve">roup on </w:t>
      </w:r>
      <w:r w:rsidR="00B066DD">
        <w:rPr>
          <w:szCs w:val="24"/>
        </w:rPr>
        <w:t>A</w:t>
      </w:r>
      <w:r w:rsidR="00E932B2">
        <w:rPr>
          <w:szCs w:val="24"/>
        </w:rPr>
        <w:t>geing</w:t>
      </w:r>
      <w:r w:rsidR="00B066DD">
        <w:rPr>
          <w:szCs w:val="24"/>
        </w:rPr>
        <w:t xml:space="preserve"> provided recommendations to address this gap, including by recommending an international legally binding instrument to ensure the recognition of the rights of older people</w:t>
      </w:r>
      <w:r w:rsidR="00B066DD" w:rsidRPr="00B066DD">
        <w:rPr>
          <w:szCs w:val="24"/>
        </w:rPr>
        <w:t>.</w:t>
      </w:r>
      <w:r w:rsidR="00947DF1" w:rsidRPr="009479DA">
        <w:rPr>
          <w:rStyle w:val="FootnoteReference"/>
          <w:szCs w:val="24"/>
        </w:rPr>
        <w:footnoteReference w:id="128"/>
      </w:r>
      <w:r w:rsidR="00947DF1">
        <w:rPr>
          <w:szCs w:val="24"/>
        </w:rPr>
        <w:t xml:space="preserve"> </w:t>
      </w:r>
      <w:r w:rsidR="00B066DD">
        <w:rPr>
          <w:szCs w:val="24"/>
        </w:rPr>
        <w:t xml:space="preserve">The CHRC </w:t>
      </w:r>
      <w:r w:rsidR="00947DF1" w:rsidRPr="00D30D1D">
        <w:rPr>
          <w:szCs w:val="24"/>
        </w:rPr>
        <w:t>amplifies the calls of rights</w:t>
      </w:r>
      <w:r w:rsidR="00947DF1">
        <w:rPr>
          <w:szCs w:val="24"/>
        </w:rPr>
        <w:t xml:space="preserve"> </w:t>
      </w:r>
      <w:r w:rsidR="00947DF1" w:rsidRPr="00D30D1D">
        <w:rPr>
          <w:szCs w:val="24"/>
        </w:rPr>
        <w:t>holders and human rights advocates to</w:t>
      </w:r>
      <w:r w:rsidR="00947DF1">
        <w:rPr>
          <w:szCs w:val="24"/>
        </w:rPr>
        <w:t xml:space="preserve"> </w:t>
      </w:r>
      <w:r w:rsidR="00947DF1" w:rsidRPr="0085600D">
        <w:rPr>
          <w:szCs w:val="24"/>
        </w:rPr>
        <w:t>include explicit recognition of older people in international human rights law</w:t>
      </w:r>
      <w:r w:rsidR="00ED1157">
        <w:rPr>
          <w:szCs w:val="24"/>
        </w:rPr>
        <w:t xml:space="preserve"> in order to better protect and address the unique barriers they face</w:t>
      </w:r>
      <w:r w:rsidR="00947DF1">
        <w:rPr>
          <w:szCs w:val="24"/>
        </w:rPr>
        <w:t>.</w:t>
      </w:r>
      <w:r w:rsidR="00F05337">
        <w:rPr>
          <w:szCs w:val="24"/>
        </w:rPr>
        <w:t xml:space="preserve"> </w:t>
      </w:r>
      <w:r w:rsidR="002F35F8">
        <w:rPr>
          <w:szCs w:val="24"/>
        </w:rPr>
        <w:t xml:space="preserve">  </w:t>
      </w:r>
    </w:p>
    <w:p w14:paraId="06BDAE1C" w14:textId="77777777" w:rsidR="009479DA" w:rsidRDefault="009479DA" w:rsidP="005F5C82">
      <w:pPr>
        <w:widowControl w:val="0"/>
        <w:autoSpaceDE w:val="0"/>
        <w:autoSpaceDN w:val="0"/>
        <w:spacing w:after="0" w:line="240" w:lineRule="auto"/>
        <w:rPr>
          <w:szCs w:val="24"/>
        </w:rPr>
      </w:pPr>
    </w:p>
    <w:p w14:paraId="64756F4A" w14:textId="30EEEF03" w:rsidR="009479DA" w:rsidRPr="009479DA" w:rsidRDefault="009479DA" w:rsidP="009479DA">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Pr>
          <w:rFonts w:cs="Arial"/>
          <w:b/>
          <w:bCs/>
          <w:szCs w:val="24"/>
        </w:rPr>
        <w:lastRenderedPageBreak/>
        <w:t>Recommendation #</w:t>
      </w:r>
      <w:r w:rsidR="00F30961">
        <w:rPr>
          <w:rFonts w:cs="Arial"/>
          <w:b/>
          <w:bCs/>
          <w:szCs w:val="24"/>
        </w:rPr>
        <w:t>37</w:t>
      </w:r>
      <w:r>
        <w:rPr>
          <w:rFonts w:cs="Arial"/>
          <w:b/>
          <w:bCs/>
          <w:szCs w:val="24"/>
        </w:rPr>
        <w:t xml:space="preserve">: </w:t>
      </w:r>
      <w:r>
        <w:rPr>
          <w:rFonts w:cs="Arial"/>
          <w:szCs w:val="24"/>
        </w:rPr>
        <w:t xml:space="preserve">That Canada engage in opportunities that promote, protect and ensure the rights of older people, including by supporting the explicit recognition of older people in international human rights law. </w:t>
      </w:r>
      <w:r w:rsidRPr="00CD29F9">
        <w:rPr>
          <w:rFonts w:cs="Arial"/>
          <w:szCs w:val="24"/>
        </w:rPr>
        <w:t xml:space="preserve"> </w:t>
      </w:r>
    </w:p>
    <w:p w14:paraId="402209AD" w14:textId="6BC9271C" w:rsidR="008B3FCE" w:rsidRDefault="008E7E02" w:rsidP="00D8643A">
      <w:pPr>
        <w:pStyle w:val="Heading2"/>
        <w:ind w:left="567" w:hanging="567"/>
      </w:pPr>
      <w:bookmarkStart w:id="111" w:name="_Toc187841577"/>
      <w:bookmarkStart w:id="112" w:name="_Toc183602930"/>
      <w:bookmarkStart w:id="113" w:name="_Toc183603019"/>
      <w:r>
        <w:t xml:space="preserve">Technology and </w:t>
      </w:r>
      <w:r w:rsidR="008B3FCE" w:rsidRPr="008B3FCE">
        <w:t>A</w:t>
      </w:r>
      <w:r>
        <w:t>rtificial Intelligence</w:t>
      </w:r>
      <w:r w:rsidR="0072058C">
        <w:t xml:space="preserve"> (AI)</w:t>
      </w:r>
      <w:bookmarkEnd w:id="111"/>
      <w:r w:rsidR="008B3FCE" w:rsidRPr="008B3FCE">
        <w:t xml:space="preserve"> </w:t>
      </w:r>
      <w:bookmarkEnd w:id="112"/>
      <w:bookmarkEnd w:id="113"/>
    </w:p>
    <w:p w14:paraId="6AAFC651" w14:textId="36EF6AAF" w:rsidR="007202EC" w:rsidRDefault="007202EC" w:rsidP="007202EC">
      <w:pPr>
        <w:spacing w:after="0" w:line="240" w:lineRule="auto"/>
      </w:pPr>
      <w:r w:rsidRPr="00532E01">
        <w:t xml:space="preserve">The CHRC acknowledges that </w:t>
      </w:r>
      <w:r>
        <w:t>AI</w:t>
      </w:r>
      <w:r w:rsidRPr="00532E01">
        <w:t xml:space="preserve"> has the potential to provide useful tools and many benefits to society when developed and deployed responsibly, using a human rights-based approach</w:t>
      </w:r>
      <w:r w:rsidR="007F1F18">
        <w:t>,</w:t>
      </w:r>
      <w:r w:rsidR="00376728">
        <w:t xml:space="preserve"> but also presents a number of potential risks and human rights concerns</w:t>
      </w:r>
      <w:r w:rsidRPr="00532E01">
        <w:t>.</w:t>
      </w:r>
      <w:r>
        <w:t xml:space="preserve"> </w:t>
      </w:r>
    </w:p>
    <w:p w14:paraId="74580556" w14:textId="77777777" w:rsidR="007202EC" w:rsidRDefault="007202EC" w:rsidP="007202EC">
      <w:pPr>
        <w:spacing w:after="0" w:line="240" w:lineRule="auto"/>
      </w:pPr>
    </w:p>
    <w:p w14:paraId="575F2D90" w14:textId="154094AA" w:rsidR="009F7F22" w:rsidRDefault="009F7F22" w:rsidP="009F7F22">
      <w:pPr>
        <w:spacing w:after="0" w:line="240" w:lineRule="auto"/>
      </w:pPr>
      <w:r>
        <w:t>As noted by the Special Rapporteur</w:t>
      </w:r>
      <w:r w:rsidR="00376728">
        <w:t xml:space="preserve"> on the Rights of Persons with Disabilities</w:t>
      </w:r>
      <w:r>
        <w:t>, AI driven technologies “</w:t>
      </w:r>
      <w:r w:rsidRPr="00AC4DC7">
        <w:t>offer enormous opportunities for disability inclusion.</w:t>
      </w:r>
      <w:r>
        <w:t>”</w:t>
      </w:r>
      <w:r w:rsidRPr="00AC4DC7">
        <w:t> </w:t>
      </w:r>
      <w:r w:rsidR="007F1F18">
        <w:t>However,</w:t>
      </w:r>
      <w:r>
        <w:t xml:space="preserve"> </w:t>
      </w:r>
      <w:r w:rsidR="00006F1E">
        <w:t>without ongoing engagement and participation of people with disabilities in the design, development and deployment phases of AI systems, these</w:t>
      </w:r>
      <w:r>
        <w:t xml:space="preserve"> systems also have the potential to reinforce and amplify existing patterns of discrimination.</w:t>
      </w:r>
      <w:r w:rsidR="008E3CDB">
        <w:rPr>
          <w:rStyle w:val="FootnoteReference"/>
        </w:rPr>
        <w:footnoteReference w:id="129"/>
      </w:r>
      <w:r>
        <w:t xml:space="preserve"> For example, the use of AI tools to sort and screen candidates for employment can have the effect of further exclusion when data sets that describe a successful candidate reflect existing biases and lack representation of people with disabilities. This can reinforce cycles of poverty and other forms of systemic disadvantage experienced by members of disability communities in ways that are difficult to detect.</w:t>
      </w:r>
      <w:r>
        <w:rPr>
          <w:rStyle w:val="FootnoteReference"/>
        </w:rPr>
        <w:footnoteReference w:id="130"/>
      </w:r>
    </w:p>
    <w:p w14:paraId="7963CE44" w14:textId="77777777" w:rsidR="009F7F22" w:rsidRDefault="009F7F22" w:rsidP="009F7F22">
      <w:pPr>
        <w:spacing w:after="0" w:line="240" w:lineRule="auto"/>
      </w:pPr>
    </w:p>
    <w:p w14:paraId="5B303A7E" w14:textId="02C1313D" w:rsidR="009F7F22" w:rsidRDefault="009F7F22" w:rsidP="009F7F22">
      <w:pPr>
        <w:spacing w:after="0" w:line="240" w:lineRule="auto"/>
      </w:pPr>
      <w:r w:rsidRPr="00006F1E">
        <w:t>A host of new assessment tools, guidelines, voluntary codes of conduct, directives and proposed legislation are being developed</w:t>
      </w:r>
      <w:r w:rsidR="00F23FED">
        <w:t xml:space="preserve"> to </w:t>
      </w:r>
      <w:r w:rsidR="008E3CDB">
        <w:t xml:space="preserve">address limited regulation </w:t>
      </w:r>
      <w:r w:rsidR="00B931F2">
        <w:t xml:space="preserve">surrounding emerging technologies </w:t>
      </w:r>
      <w:r w:rsidR="008E3CDB">
        <w:t>in the</w:t>
      </w:r>
      <w:r w:rsidR="00F23FED">
        <w:t xml:space="preserve"> tech industr</w:t>
      </w:r>
      <w:r w:rsidR="008E3CDB">
        <w:t>y</w:t>
      </w:r>
      <w:r w:rsidR="000E104E">
        <w:t>.</w:t>
      </w:r>
      <w:r w:rsidRPr="00006F1E">
        <w:rPr>
          <w:rStyle w:val="FootnoteReference"/>
        </w:rPr>
        <w:footnoteReference w:id="131"/>
      </w:r>
      <w:r w:rsidRPr="00006F1E">
        <w:t xml:space="preserve"> </w:t>
      </w:r>
      <w:r w:rsidR="000E104E">
        <w:t>The CHRC notes that these</w:t>
      </w:r>
      <w:r w:rsidR="005A22D4">
        <w:t xml:space="preserve"> developments</w:t>
      </w:r>
      <w:r w:rsidR="000E104E">
        <w:t xml:space="preserve"> </w:t>
      </w:r>
      <w:r w:rsidR="005A22D4">
        <w:t>result in</w:t>
      </w:r>
      <w:r w:rsidR="000E104E">
        <w:t xml:space="preserve"> </w:t>
      </w:r>
      <w:r w:rsidRPr="00006F1E">
        <w:t xml:space="preserve">an expanding patchwork of safeguards for people with </w:t>
      </w:r>
      <w:r w:rsidRPr="00006F1E">
        <w:lastRenderedPageBreak/>
        <w:t>disabilities with no clear accountabilities or pathways for access to justice.</w:t>
      </w:r>
      <w:r w:rsidR="00006F1E" w:rsidRPr="00006F1E">
        <w:t xml:space="preserve"> </w:t>
      </w:r>
      <w:r w:rsidRPr="00006F1E">
        <w:t>The CHRC shares the serious concerns of rights holders, advocates and experts about how rapidly</w:t>
      </w:r>
      <w:r w:rsidR="00C90879">
        <w:t>-</w:t>
      </w:r>
      <w:r w:rsidRPr="00006F1E">
        <w:t>evolving AI systems have the potential to further erode privacy and negatively impact human rights in the absence of a robust and comprehensive legal and policy framework.</w:t>
      </w:r>
    </w:p>
    <w:p w14:paraId="1FD31901" w14:textId="77777777" w:rsidR="00F94DBB" w:rsidRDefault="00F94DBB" w:rsidP="00F94DBB">
      <w:pPr>
        <w:spacing w:after="0" w:line="240" w:lineRule="auto"/>
      </w:pPr>
    </w:p>
    <w:p w14:paraId="007307B8" w14:textId="1B5BA286" w:rsidR="00F94DBB" w:rsidRDefault="00F23FED" w:rsidP="00F94DBB">
      <w:pPr>
        <w:spacing w:after="0" w:line="240" w:lineRule="auto"/>
      </w:pPr>
      <w:r>
        <w:t>I</w:t>
      </w:r>
      <w:r w:rsidR="00EE20B3">
        <w:t>t is critical for</w:t>
      </w:r>
      <w:r w:rsidR="00F94DBB">
        <w:t xml:space="preserve"> governments and private industry to engage meaningfully with disability communities in the research, development and regulation of AI systems.</w:t>
      </w:r>
    </w:p>
    <w:p w14:paraId="0F5DC4DB" w14:textId="77777777" w:rsidR="00414866" w:rsidRDefault="00414866" w:rsidP="00414866">
      <w:pPr>
        <w:spacing w:after="0" w:line="240" w:lineRule="auto"/>
      </w:pPr>
    </w:p>
    <w:p w14:paraId="3F156153" w14:textId="6C00AE0C" w:rsidR="007649A7" w:rsidRDefault="007649A7" w:rsidP="007649A7">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rPr>
      </w:pPr>
      <w:r>
        <w:rPr>
          <w:rFonts w:cs="Arial"/>
          <w:b/>
          <w:bCs/>
          <w:szCs w:val="24"/>
        </w:rPr>
        <w:t>Recommendation #</w:t>
      </w:r>
      <w:r w:rsidR="00F30961">
        <w:rPr>
          <w:rFonts w:cs="Arial"/>
          <w:b/>
          <w:bCs/>
          <w:szCs w:val="24"/>
        </w:rPr>
        <w:t>38</w:t>
      </w:r>
      <w:r>
        <w:rPr>
          <w:rFonts w:cs="Arial"/>
          <w:b/>
          <w:bCs/>
          <w:szCs w:val="24"/>
        </w:rPr>
        <w:t xml:space="preserve">: </w:t>
      </w:r>
      <w:r>
        <w:rPr>
          <w:rFonts w:cs="Arial"/>
          <w:szCs w:val="24"/>
        </w:rPr>
        <w:t>That Canada</w:t>
      </w:r>
      <w:r w:rsidR="00AC6768">
        <w:rPr>
          <w:rFonts w:cs="Arial"/>
          <w:szCs w:val="24"/>
        </w:rPr>
        <w:t xml:space="preserve"> prioritize the adoption of a comprehensive </w:t>
      </w:r>
      <w:r w:rsidR="00AC6768" w:rsidRPr="00CD29F9">
        <w:rPr>
          <w:rFonts w:cs="Arial"/>
          <w:szCs w:val="24"/>
        </w:rPr>
        <w:t xml:space="preserve">legal and regulatory framework </w:t>
      </w:r>
      <w:r w:rsidR="00AC6768">
        <w:rPr>
          <w:rFonts w:cs="Arial"/>
          <w:szCs w:val="24"/>
        </w:rPr>
        <w:t xml:space="preserve">for AI governance </w:t>
      </w:r>
      <w:r w:rsidR="00AC6768" w:rsidRPr="00CD29F9">
        <w:rPr>
          <w:rFonts w:cs="Arial"/>
          <w:szCs w:val="24"/>
        </w:rPr>
        <w:t>that is consistent with its domestic and international human rights obligations</w:t>
      </w:r>
      <w:r w:rsidR="00AC6768">
        <w:rPr>
          <w:rFonts w:cs="Arial"/>
          <w:szCs w:val="24"/>
        </w:rPr>
        <w:t>, including meaningful and ongoing engagement with disability communities.</w:t>
      </w:r>
      <w:r w:rsidR="00AC6768" w:rsidRPr="00CD29F9">
        <w:rPr>
          <w:rFonts w:cs="Arial"/>
          <w:szCs w:val="24"/>
        </w:rPr>
        <w:t xml:space="preserve"> </w:t>
      </w:r>
    </w:p>
    <w:p w14:paraId="40892D21" w14:textId="4022F993" w:rsidR="00F24D4F" w:rsidRDefault="00F24D4F" w:rsidP="00F24D4F">
      <w:pPr>
        <w:pStyle w:val="Heading1"/>
      </w:pPr>
      <w:bookmarkStart w:id="114" w:name="_Toc187841578"/>
      <w:bookmarkStart w:id="115" w:name="_Toc183602932"/>
      <w:bookmarkStart w:id="116" w:name="_Toc183603021"/>
      <w:r>
        <w:t>C</w:t>
      </w:r>
      <w:r w:rsidR="00A97929">
        <w:t xml:space="preserve">anada’s </w:t>
      </w:r>
      <w:r>
        <w:t>I</w:t>
      </w:r>
      <w:r w:rsidR="00A97929">
        <w:t>mplementation</w:t>
      </w:r>
      <w:r>
        <w:t xml:space="preserve"> </w:t>
      </w:r>
      <w:r w:rsidR="00A97929">
        <w:t>of</w:t>
      </w:r>
      <w:r>
        <w:t xml:space="preserve"> I</w:t>
      </w:r>
      <w:r w:rsidR="00A97929">
        <w:t>nternational</w:t>
      </w:r>
      <w:r>
        <w:t xml:space="preserve"> H</w:t>
      </w:r>
      <w:r w:rsidR="00A97929">
        <w:t>uman</w:t>
      </w:r>
      <w:r>
        <w:t xml:space="preserve"> R</w:t>
      </w:r>
      <w:r w:rsidR="00A97929">
        <w:t xml:space="preserve">ights </w:t>
      </w:r>
      <w:r>
        <w:t>O</w:t>
      </w:r>
      <w:r w:rsidR="00A97929">
        <w:t>bligations</w:t>
      </w:r>
      <w:bookmarkEnd w:id="114"/>
      <w:r>
        <w:t xml:space="preserve"> </w:t>
      </w:r>
      <w:bookmarkEnd w:id="115"/>
      <w:bookmarkEnd w:id="116"/>
    </w:p>
    <w:p w14:paraId="5C89EA87" w14:textId="22EB4B6E" w:rsidR="00F24D4F" w:rsidRDefault="00F24D4F" w:rsidP="00F24D4F">
      <w:pPr>
        <w:spacing w:before="240" w:line="240" w:lineRule="auto"/>
      </w:pPr>
      <w:r w:rsidRPr="00F24D4F">
        <w:t xml:space="preserve">The CHRC </w:t>
      </w:r>
      <w:r w:rsidR="006C4532">
        <w:t xml:space="preserve">remains concerned about Canada’s lack of progress in implementing the recommendations that have come from the international human rights system, including those made by this Committee. The CHRC is of the view that tackling the structural inadequacies and practical ineffectiveness of the current system for implementation of Canada’s international human rights obligations would play a significant role in addressing this issue. </w:t>
      </w:r>
    </w:p>
    <w:p w14:paraId="10C791E6" w14:textId="3C5A3D0C" w:rsidR="00F24D4F" w:rsidRDefault="00F24D4F" w:rsidP="00F24D4F">
      <w:pPr>
        <w:spacing w:before="240" w:line="240" w:lineRule="auto"/>
      </w:pPr>
      <w:r w:rsidRPr="00F24D4F">
        <w:t xml:space="preserve">While the CHRC welcomes its designation as the body responsible for monitoring the Government of Canada’s implementation of the </w:t>
      </w:r>
      <w:r>
        <w:t>CRPD</w:t>
      </w:r>
      <w:r w:rsidRPr="00F24D4F">
        <w:t xml:space="preserve">, the CHRC remains concerned that the current system continues to perpetuate a patchwork approach to progress without a foundational structure of monitoring and implementation of interdependent, interrelated, and indivisible human rights. </w:t>
      </w:r>
      <w:r w:rsidR="00F203DF">
        <w:t xml:space="preserve">For instance, through the CHRC’s engagement with people with disabilities, people shared that it is difficult to keep up with how the CRPD is being </w:t>
      </w:r>
      <w:r w:rsidR="00897681">
        <w:t>implemented</w:t>
      </w:r>
      <w:r w:rsidR="00F203DF">
        <w:t xml:space="preserve"> in Canada and how it affects people’s daily lives. People shared that they want to see the CRPD put into action. </w:t>
      </w:r>
      <w:r w:rsidR="00C90879">
        <w:t>A</w:t>
      </w:r>
      <w:r w:rsidR="00C95300">
        <w:t>n overwhelming majority also shared that they felt that Canada is doing a poor job at both promoting and protecting the rights of people with disabilities.</w:t>
      </w:r>
      <w:r w:rsidR="00C95300">
        <w:rPr>
          <w:rStyle w:val="FootnoteReference"/>
        </w:rPr>
        <w:footnoteReference w:id="132"/>
      </w:r>
      <w:r w:rsidR="00C95300">
        <w:t xml:space="preserve"> </w:t>
      </w:r>
      <w:r w:rsidR="00C90879">
        <w:t>The</w:t>
      </w:r>
      <w:r w:rsidRPr="00F24D4F">
        <w:t xml:space="preserve"> CHRC believes strongly that, in order to effectively implement the recommendations made to Canada during this and other reviews, it is imperative that substantial, meaningful and coordinated progress be made in ensuring a robust implementation and monitoring framework.</w:t>
      </w:r>
      <w:r w:rsidR="00C922A7">
        <w:t xml:space="preserve"> </w:t>
      </w:r>
      <w:r w:rsidR="007B7A75">
        <w:t xml:space="preserve"> </w:t>
      </w:r>
    </w:p>
    <w:p w14:paraId="67F82616" w14:textId="5960E58D" w:rsidR="00C62F6E" w:rsidRDefault="00C62F6E" w:rsidP="00EA0404">
      <w:pPr>
        <w:spacing w:before="240" w:line="240" w:lineRule="auto"/>
      </w:pPr>
      <w:r>
        <w:t xml:space="preserve">In November 2024, the CHRC appeared before the Subcommittee on International Human Rights </w:t>
      </w:r>
      <w:r w:rsidRPr="00C62F6E">
        <w:t>as a part of their study on the implementation of Canada’s Universal Periodic Review</w:t>
      </w:r>
      <w:r>
        <w:t>. During this appearance</w:t>
      </w:r>
      <w:r w:rsidR="001F3D33">
        <w:t xml:space="preserve">, </w:t>
      </w:r>
      <w:r>
        <w:t xml:space="preserve">the CHRC </w:t>
      </w:r>
      <w:r w:rsidR="000331B3" w:rsidRPr="000331B3">
        <w:t>express</w:t>
      </w:r>
      <w:r w:rsidR="000331B3">
        <w:t xml:space="preserve">ed its support for a joint </w:t>
      </w:r>
      <w:r w:rsidR="000331B3">
        <w:lastRenderedPageBreak/>
        <w:t xml:space="preserve">recommendation – made by civil society and human rights advocates – </w:t>
      </w:r>
      <w:r w:rsidR="000331B3" w:rsidRPr="000331B3">
        <w:t xml:space="preserve">for Canada to take the lead in working with provincial and territorial governments to develop and adopt a </w:t>
      </w:r>
      <w:r w:rsidR="006C4532">
        <w:t xml:space="preserve">new </w:t>
      </w:r>
      <w:r w:rsidR="000331B3">
        <w:t>n</w:t>
      </w:r>
      <w:r w:rsidR="000331B3" w:rsidRPr="000331B3">
        <w:t xml:space="preserve">ational </w:t>
      </w:r>
      <w:r w:rsidR="000331B3">
        <w:t>f</w:t>
      </w:r>
      <w:r w:rsidR="000331B3" w:rsidRPr="000331B3">
        <w:t xml:space="preserve">ramework for </w:t>
      </w:r>
      <w:r w:rsidR="000331B3">
        <w:t>i</w:t>
      </w:r>
      <w:r w:rsidR="000331B3" w:rsidRPr="000331B3">
        <w:t xml:space="preserve">nternational </w:t>
      </w:r>
      <w:r w:rsidR="000331B3">
        <w:t>h</w:t>
      </w:r>
      <w:r w:rsidR="000331B3" w:rsidRPr="000331B3">
        <w:t>uman</w:t>
      </w:r>
      <w:r w:rsidR="000331B3">
        <w:t xml:space="preserve"> r</w:t>
      </w:r>
      <w:r w:rsidR="000331B3" w:rsidRPr="000331B3">
        <w:t xml:space="preserve">ights </w:t>
      </w:r>
      <w:r w:rsidR="000331B3">
        <w:t>i</w:t>
      </w:r>
      <w:r w:rsidR="000331B3" w:rsidRPr="000331B3">
        <w:t>mplementation</w:t>
      </w:r>
      <w:r w:rsidR="000331B3">
        <w:t xml:space="preserve">. </w:t>
      </w:r>
      <w:r w:rsidR="006A3076">
        <w:t xml:space="preserve">The CHRC supports </w:t>
      </w:r>
      <w:r w:rsidR="00C90879">
        <w:t>the position taken by</w:t>
      </w:r>
      <w:r w:rsidR="006A3076">
        <w:t xml:space="preserve"> civil society partners that such a framework should include: </w:t>
      </w:r>
    </w:p>
    <w:p w14:paraId="3E76A32D" w14:textId="01BF99E3" w:rsidR="006A3076" w:rsidRPr="00D709DE" w:rsidRDefault="006A3076" w:rsidP="00115ADD">
      <w:pPr>
        <w:numPr>
          <w:ilvl w:val="0"/>
          <w:numId w:val="13"/>
        </w:numPr>
        <w:spacing w:after="0" w:line="240" w:lineRule="auto"/>
        <w:contextualSpacing/>
        <w:rPr>
          <w:rFonts w:cs="Arial"/>
        </w:rPr>
      </w:pPr>
      <w:r w:rsidRPr="00D709DE">
        <w:rPr>
          <w:rFonts w:cs="Arial"/>
        </w:rPr>
        <w:t xml:space="preserve">clear public commitments to international human rights implementation from all </w:t>
      </w:r>
      <w:r>
        <w:rPr>
          <w:rFonts w:cs="Arial"/>
        </w:rPr>
        <w:t>federal, provincial and territorial</w:t>
      </w:r>
      <w:r w:rsidRPr="00D709DE">
        <w:rPr>
          <w:rFonts w:cs="Arial"/>
        </w:rPr>
        <w:t xml:space="preserve"> governments; </w:t>
      </w:r>
    </w:p>
    <w:p w14:paraId="685ED94D" w14:textId="286458EB" w:rsidR="006A3076" w:rsidRPr="00D709DE" w:rsidRDefault="006A3076" w:rsidP="00115ADD">
      <w:pPr>
        <w:numPr>
          <w:ilvl w:val="0"/>
          <w:numId w:val="13"/>
        </w:numPr>
        <w:spacing w:after="0" w:line="240" w:lineRule="auto"/>
        <w:contextualSpacing/>
        <w:rPr>
          <w:rFonts w:cs="Arial"/>
        </w:rPr>
      </w:pPr>
      <w:r w:rsidRPr="00D709DE">
        <w:rPr>
          <w:rFonts w:cs="Arial"/>
        </w:rPr>
        <w:t xml:space="preserve">adoption of </w:t>
      </w:r>
      <w:r>
        <w:rPr>
          <w:rFonts w:cs="Arial"/>
        </w:rPr>
        <w:t>federal, provincial and territorial</w:t>
      </w:r>
      <w:r w:rsidRPr="00D709DE">
        <w:rPr>
          <w:rFonts w:cs="Arial"/>
        </w:rPr>
        <w:t xml:space="preserve"> laws enshrining the obligations, mechanisms, and public reporting requirements related to implementation;</w:t>
      </w:r>
    </w:p>
    <w:p w14:paraId="19C344A7" w14:textId="10BB5AD6" w:rsidR="006A3076" w:rsidRPr="00D709DE" w:rsidRDefault="006A3076" w:rsidP="00115ADD">
      <w:pPr>
        <w:numPr>
          <w:ilvl w:val="0"/>
          <w:numId w:val="13"/>
        </w:numPr>
        <w:spacing w:after="0" w:line="240" w:lineRule="auto"/>
        <w:contextualSpacing/>
        <w:rPr>
          <w:rFonts w:cs="Arial"/>
        </w:rPr>
      </w:pPr>
      <w:r w:rsidRPr="00D709DE">
        <w:rPr>
          <w:rFonts w:cs="Arial"/>
        </w:rPr>
        <w:t>improved consultation and engagement processes with Indigenous Peoples’ organizations, civil society, and human rights commissions; </w:t>
      </w:r>
    </w:p>
    <w:p w14:paraId="732D80CC" w14:textId="3C7B35FD" w:rsidR="006A3076" w:rsidRPr="00D709DE" w:rsidRDefault="006A3076" w:rsidP="00115ADD">
      <w:pPr>
        <w:numPr>
          <w:ilvl w:val="0"/>
          <w:numId w:val="13"/>
        </w:numPr>
        <w:spacing w:after="0" w:line="240" w:lineRule="auto"/>
        <w:contextualSpacing/>
        <w:rPr>
          <w:rFonts w:cs="Arial"/>
        </w:rPr>
      </w:pPr>
      <w:r w:rsidRPr="00D709DE">
        <w:rPr>
          <w:rFonts w:cs="Arial"/>
        </w:rPr>
        <w:t>an enhanced role for Parliament and legislatures; and</w:t>
      </w:r>
    </w:p>
    <w:p w14:paraId="44ECBEC8" w14:textId="4C494913" w:rsidR="006A3076" w:rsidRDefault="006A3076" w:rsidP="00115ADD">
      <w:pPr>
        <w:numPr>
          <w:ilvl w:val="0"/>
          <w:numId w:val="13"/>
        </w:numPr>
        <w:spacing w:after="0" w:line="240" w:lineRule="auto"/>
        <w:contextualSpacing/>
        <w:rPr>
          <w:rFonts w:cs="Arial"/>
        </w:rPr>
      </w:pPr>
      <w:r w:rsidRPr="00D709DE">
        <w:rPr>
          <w:rFonts w:cs="Arial"/>
        </w:rPr>
        <w:t>increased resourcing, including to support civil society.</w:t>
      </w:r>
      <w:r w:rsidR="003C7027">
        <w:rPr>
          <w:rFonts w:cs="Arial"/>
        </w:rPr>
        <w:t xml:space="preserve"> </w:t>
      </w:r>
    </w:p>
    <w:p w14:paraId="0BBAB9CB" w14:textId="77777777" w:rsidR="006A3076" w:rsidRPr="006A3076" w:rsidRDefault="006A3076" w:rsidP="006A3076">
      <w:pPr>
        <w:spacing w:after="0" w:line="240" w:lineRule="auto"/>
        <w:ind w:left="720"/>
        <w:contextualSpacing/>
        <w:rPr>
          <w:rFonts w:cs="Arial"/>
        </w:rPr>
      </w:pPr>
    </w:p>
    <w:p w14:paraId="6450078C" w14:textId="6E2942C3" w:rsidR="002F361E" w:rsidRPr="00EB5CE7" w:rsidRDefault="00F24D4F" w:rsidP="00EB5CE7">
      <w:pPr>
        <w:pBdr>
          <w:top w:val="single" w:sz="12" w:space="1" w:color="auto"/>
          <w:left w:val="single" w:sz="12" w:space="4" w:color="auto"/>
          <w:bottom w:val="single" w:sz="12" w:space="1" w:color="auto"/>
          <w:right w:val="single" w:sz="12" w:space="4" w:color="auto"/>
        </w:pBdr>
        <w:shd w:val="clear" w:color="auto" w:fill="DEEAF6" w:themeFill="accent1" w:themeFillTint="33"/>
        <w:spacing w:line="240" w:lineRule="auto"/>
        <w:rPr>
          <w:rFonts w:cs="Arial"/>
          <w:szCs w:val="24"/>
          <w:lang w:val="en-US"/>
        </w:rPr>
      </w:pPr>
      <w:r>
        <w:rPr>
          <w:rFonts w:cs="Arial"/>
          <w:b/>
          <w:bCs/>
          <w:szCs w:val="24"/>
          <w:lang w:val="en-US"/>
        </w:rPr>
        <w:t>Recommendation #</w:t>
      </w:r>
      <w:r w:rsidR="00F30961">
        <w:rPr>
          <w:rFonts w:cs="Arial"/>
          <w:b/>
          <w:bCs/>
          <w:szCs w:val="24"/>
          <w:lang w:val="en-US"/>
        </w:rPr>
        <w:t>39</w:t>
      </w:r>
      <w:r>
        <w:rPr>
          <w:rFonts w:cs="Arial"/>
          <w:b/>
          <w:bCs/>
          <w:szCs w:val="24"/>
          <w:lang w:val="en-US"/>
        </w:rPr>
        <w:t xml:space="preserve">: </w:t>
      </w:r>
      <w:r w:rsidRPr="00F24D4F">
        <w:t xml:space="preserve">That Canada </w:t>
      </w:r>
      <w:r w:rsidR="000331B3">
        <w:t xml:space="preserve">work with provincial and territorial governments to develop and adopt a national framework for international human rights implementation. </w:t>
      </w:r>
    </w:p>
    <w:sectPr w:rsidR="002F361E" w:rsidRPr="00EB5CE7" w:rsidSect="006C32A5">
      <w:footerReference w:type="default" r:id="rId8"/>
      <w:headerReference w:type="firs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1AC3C" w14:textId="66127C9E" w:rsidR="00F62F42" w:rsidRDefault="00F62F42" w:rsidP="00F71FA3">
      <w:pPr>
        <w:spacing w:after="0" w:line="240" w:lineRule="auto"/>
      </w:pPr>
      <w:r>
        <w:separator/>
      </w:r>
    </w:p>
    <w:p w14:paraId="7104EEE1" w14:textId="77777777" w:rsidR="00E73436" w:rsidRDefault="00E73436"/>
  </w:endnote>
  <w:endnote w:type="continuationSeparator" w:id="0">
    <w:p w14:paraId="44E5F1AC" w14:textId="5630642C" w:rsidR="00F62F42" w:rsidRDefault="00F62F42" w:rsidP="00F71FA3">
      <w:pPr>
        <w:spacing w:after="0" w:line="240" w:lineRule="auto"/>
      </w:pPr>
      <w:r>
        <w:continuationSeparator/>
      </w:r>
    </w:p>
    <w:p w14:paraId="78E74954" w14:textId="77777777" w:rsidR="00E73436" w:rsidRDefault="00E734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Arial-Italic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9678701"/>
      <w:docPartObj>
        <w:docPartGallery w:val="Page Numbers (Bottom of Page)"/>
        <w:docPartUnique/>
      </w:docPartObj>
    </w:sdtPr>
    <w:sdtEndPr>
      <w:rPr>
        <w:noProof/>
      </w:rPr>
    </w:sdtEndPr>
    <w:sdtContent>
      <w:p w14:paraId="36B09190" w14:textId="7DCE32AD" w:rsidR="007B7BD4" w:rsidRDefault="007B7BD4" w:rsidP="004F45F9">
        <w:pPr>
          <w:pStyle w:val="Footer"/>
          <w:ind w:left="3960" w:firstLine="4680"/>
        </w:pPr>
        <w:r>
          <w:fldChar w:fldCharType="begin"/>
        </w:r>
        <w:r>
          <w:instrText xml:space="preserve"> PAGE   \* MERGEFORMAT </w:instrText>
        </w:r>
        <w:r>
          <w:fldChar w:fldCharType="separate"/>
        </w:r>
        <w:r w:rsidR="00951FEA">
          <w:rPr>
            <w:noProof/>
          </w:rPr>
          <w:t>1</w:t>
        </w:r>
        <w:r>
          <w:rPr>
            <w:noProof/>
          </w:rPr>
          <w:fldChar w:fldCharType="end"/>
        </w:r>
      </w:p>
    </w:sdtContent>
  </w:sdt>
  <w:p w14:paraId="7450FF6F" w14:textId="77777777" w:rsidR="007B7BD4" w:rsidRDefault="007B7BD4">
    <w:pPr>
      <w:pStyle w:val="Footer"/>
    </w:pPr>
  </w:p>
  <w:p w14:paraId="6ECFD853" w14:textId="77777777" w:rsidR="006222D2" w:rsidRDefault="006222D2"/>
  <w:p w14:paraId="575F0228" w14:textId="77777777" w:rsidR="00E73436" w:rsidRDefault="00E7343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72722" w14:textId="77777777" w:rsidR="00F62F42" w:rsidRDefault="00F62F42" w:rsidP="00F71FA3">
      <w:pPr>
        <w:spacing w:after="0" w:line="240" w:lineRule="auto"/>
      </w:pPr>
      <w:r>
        <w:separator/>
      </w:r>
    </w:p>
    <w:p w14:paraId="24ED5B19" w14:textId="77777777" w:rsidR="00E73436" w:rsidRDefault="00E73436"/>
  </w:footnote>
  <w:footnote w:type="continuationSeparator" w:id="0">
    <w:p w14:paraId="4F29786C" w14:textId="62C27126" w:rsidR="00F62F42" w:rsidRDefault="00F62F42" w:rsidP="00F71FA3">
      <w:pPr>
        <w:spacing w:after="0" w:line="240" w:lineRule="auto"/>
      </w:pPr>
      <w:r>
        <w:continuationSeparator/>
      </w:r>
    </w:p>
    <w:p w14:paraId="20A5D5B1" w14:textId="77777777" w:rsidR="00E73436" w:rsidRDefault="00E73436"/>
  </w:footnote>
  <w:footnote w:id="1">
    <w:p w14:paraId="313AD413" w14:textId="77777777" w:rsidR="0067794C" w:rsidRPr="009F58C5" w:rsidRDefault="0067794C" w:rsidP="0067794C">
      <w:pPr>
        <w:pStyle w:val="NoSpacing"/>
        <w:rPr>
          <w:rFonts w:ascii="Arial" w:hAnsi="Arial" w:cs="Arial"/>
          <w:sz w:val="20"/>
          <w:szCs w:val="20"/>
        </w:rPr>
      </w:pPr>
      <w:r w:rsidRPr="009F58C5">
        <w:rPr>
          <w:rStyle w:val="FootnoteReference"/>
          <w:rFonts w:ascii="Arial" w:hAnsi="Arial" w:cs="Arial"/>
          <w:sz w:val="20"/>
          <w:szCs w:val="20"/>
        </w:rPr>
        <w:footnoteRef/>
      </w:r>
      <w:r w:rsidRPr="009F58C5">
        <w:rPr>
          <w:rFonts w:ascii="Arial" w:hAnsi="Arial" w:cs="Arial"/>
          <w:sz w:val="20"/>
          <w:szCs w:val="20"/>
        </w:rPr>
        <w:t xml:space="preserve"> Available at: </w:t>
      </w:r>
      <w:hyperlink r:id="rId1" w:history="1">
        <w:r w:rsidRPr="009F58C5">
          <w:rPr>
            <w:rStyle w:val="Hyperlink"/>
            <w:rFonts w:ascii="Arial" w:hAnsi="Arial" w:cs="Arial"/>
            <w:sz w:val="20"/>
            <w:szCs w:val="20"/>
          </w:rPr>
          <w:t>laws-lois.justice.gc.ca/PDF/H-6.pdf</w:t>
        </w:r>
      </w:hyperlink>
      <w:r w:rsidRPr="009F58C5">
        <w:rPr>
          <w:rFonts w:ascii="Arial" w:hAnsi="Arial" w:cs="Arial"/>
          <w:sz w:val="20"/>
          <w:szCs w:val="20"/>
        </w:rPr>
        <w:t xml:space="preserve">. Although Canada’s human rights laws are not part of the Constitution, they are considered “quasi-constitutional” in nature, meaning that all other laws must be interpreted in a manner consistent with human rights law.  </w:t>
      </w:r>
    </w:p>
  </w:footnote>
  <w:footnote w:id="2">
    <w:p w14:paraId="02C1A709" w14:textId="5F151639" w:rsidR="00F74742" w:rsidRPr="009F58C5" w:rsidRDefault="00F74742" w:rsidP="00F74742">
      <w:pPr>
        <w:pStyle w:val="FootnoteText"/>
        <w:rPr>
          <w:lang w:val="en-US"/>
        </w:rPr>
      </w:pPr>
      <w:r w:rsidRPr="009F58C5">
        <w:rPr>
          <w:rStyle w:val="FootnoteReference"/>
        </w:rPr>
        <w:footnoteRef/>
      </w:r>
      <w:r w:rsidRPr="009F58C5">
        <w:t xml:space="preserve"> </w:t>
      </w:r>
      <w:r w:rsidRPr="009F58C5">
        <w:rPr>
          <w:lang w:val="en-US"/>
        </w:rPr>
        <w:t xml:space="preserve">The full plain language summary report of what people shared during this public engagement process is available at: </w:t>
      </w:r>
      <w:hyperlink r:id="rId2" w:history="1">
        <w:r w:rsidR="00E0354E" w:rsidRPr="009F58C5">
          <w:rPr>
            <w:rStyle w:val="Hyperlink"/>
          </w:rPr>
          <w:t>https://www.chrc-ccdp.gc.ca/resources/publications/what-we-did-and-what-we-learned-monitoring-disability-rights</w:t>
        </w:r>
      </w:hyperlink>
      <w:r w:rsidR="00E0354E" w:rsidRPr="009F58C5">
        <w:t xml:space="preserve">. </w:t>
      </w:r>
    </w:p>
  </w:footnote>
  <w:footnote w:id="3">
    <w:p w14:paraId="5A31A8C2" w14:textId="78E8840F" w:rsidR="00F74742" w:rsidRPr="009F58C5" w:rsidRDefault="00F74742" w:rsidP="00F74742">
      <w:pPr>
        <w:pStyle w:val="FootnoteText"/>
      </w:pPr>
      <w:r w:rsidRPr="009F58C5">
        <w:rPr>
          <w:rStyle w:val="FootnoteReference"/>
        </w:rPr>
        <w:footnoteRef/>
      </w:r>
      <w:r w:rsidRPr="009F58C5">
        <w:t xml:space="preserve"> This information is reliant on complaints data from the CHRC as well as commissions across provincial and territorial jurisdictions. </w:t>
      </w:r>
    </w:p>
  </w:footnote>
  <w:footnote w:id="4">
    <w:p w14:paraId="3E2405ED" w14:textId="77777777" w:rsidR="00F74742" w:rsidRPr="009F58C5" w:rsidRDefault="00F74742" w:rsidP="00F74742">
      <w:pPr>
        <w:pStyle w:val="FootnoteText"/>
      </w:pPr>
      <w:r w:rsidRPr="009F58C5">
        <w:rPr>
          <w:rStyle w:val="FootnoteReference"/>
        </w:rPr>
        <w:footnoteRef/>
      </w:r>
      <w:r w:rsidRPr="009F58C5">
        <w:t xml:space="preserve"> Until November 6, 2024.</w:t>
      </w:r>
    </w:p>
  </w:footnote>
  <w:footnote w:id="5">
    <w:p w14:paraId="070431B6" w14:textId="77777777" w:rsidR="00F74742" w:rsidRPr="009F58C5" w:rsidRDefault="00F74742" w:rsidP="00F74742">
      <w:pPr>
        <w:pStyle w:val="FootnoteText"/>
      </w:pPr>
      <w:r w:rsidRPr="009F58C5">
        <w:rPr>
          <w:rStyle w:val="FootnoteReference"/>
        </w:rPr>
        <w:footnoteRef/>
      </w:r>
      <w:r w:rsidRPr="009F58C5">
        <w:t xml:space="preserve"> </w:t>
      </w:r>
      <w:r w:rsidRPr="009F58C5">
        <w:rPr>
          <w:rFonts w:cs="Arial"/>
          <w:szCs w:val="24"/>
        </w:rPr>
        <w:t>Of the disability-related complaints citing more than one ground, the majority cited race and national or ethnic origin. Other commonly cited facets of identity in intersection with disability include sex, age, family status, and Indigeneity.</w:t>
      </w:r>
    </w:p>
  </w:footnote>
  <w:footnote w:id="6">
    <w:p w14:paraId="759EF6AA" w14:textId="77777777" w:rsidR="00256055" w:rsidRPr="009F58C5" w:rsidRDefault="00256055" w:rsidP="00256055">
      <w:pPr>
        <w:pStyle w:val="FootnoteText"/>
      </w:pPr>
      <w:r w:rsidRPr="009F58C5">
        <w:rPr>
          <w:rStyle w:val="FootnoteReference"/>
        </w:rPr>
        <w:footnoteRef/>
      </w:r>
      <w:r w:rsidRPr="009F58C5">
        <w:t xml:space="preserve"> Rajan, D., Serious problems experienced by diverse people with disabilities: Western Canada a qualitative study, (2021), available at: </w:t>
      </w:r>
      <w:hyperlink r:id="rId3" w:history="1">
        <w:r w:rsidRPr="009F58C5">
          <w:rPr>
            <w:rStyle w:val="Hyperlink"/>
          </w:rPr>
          <w:t>https://www.justice.gc.ca/eng/rp-pr/jr/pwdwc-phcw/docs/RSD_RR2021_Persons_with_Disabilities_Western_Canada_EN.pdf</w:t>
        </w:r>
      </w:hyperlink>
      <w:r w:rsidRPr="009F58C5">
        <w:t xml:space="preserve">. </w:t>
      </w:r>
    </w:p>
  </w:footnote>
  <w:footnote w:id="7">
    <w:p w14:paraId="1401E545" w14:textId="17555F12" w:rsidR="00F74742" w:rsidRPr="009F58C5" w:rsidRDefault="00F74742" w:rsidP="00F74742">
      <w:pPr>
        <w:pStyle w:val="FootnoteText"/>
      </w:pPr>
      <w:r w:rsidRPr="009F58C5">
        <w:rPr>
          <w:rStyle w:val="FootnoteReference"/>
        </w:rPr>
        <w:footnoteRef/>
      </w:r>
      <w:r w:rsidRPr="009F58C5">
        <w:t xml:space="preserve"> Rights holders shared their thoughts during an engagement event with people with disabilities, their families and caregivers in 2022. See the full report here: </w:t>
      </w:r>
      <w:hyperlink r:id="rId4" w:history="1">
        <w:r w:rsidR="00E0354E" w:rsidRPr="009F58C5">
          <w:rPr>
            <w:rStyle w:val="Hyperlink"/>
          </w:rPr>
          <w:t>https://www.chrc-ccdp.gc.ca/resources/publications/what-we-learned-housing-people-disabilities</w:t>
        </w:r>
      </w:hyperlink>
      <w:r w:rsidR="00E0354E" w:rsidRPr="009F58C5">
        <w:t xml:space="preserve">. </w:t>
      </w:r>
    </w:p>
  </w:footnote>
  <w:footnote w:id="8">
    <w:p w14:paraId="27C53DCB" w14:textId="77777777" w:rsidR="00F74742" w:rsidRPr="009F58C5" w:rsidRDefault="00F74742" w:rsidP="00F74742">
      <w:pPr>
        <w:pStyle w:val="FootnoteText"/>
      </w:pPr>
      <w:r w:rsidRPr="009F58C5">
        <w:rPr>
          <w:rStyle w:val="FootnoteReference"/>
        </w:rPr>
        <w:footnoteRef/>
      </w:r>
      <w:r w:rsidRPr="009F58C5">
        <w:t xml:space="preserve"> Communication barriers can include </w:t>
      </w:r>
      <w:r w:rsidRPr="009F58C5">
        <w:rPr>
          <w:rFonts w:cs="Arial"/>
          <w:szCs w:val="24"/>
        </w:rPr>
        <w:t>a lack of sign language interpretation or plain language resources.</w:t>
      </w:r>
    </w:p>
  </w:footnote>
  <w:footnote w:id="9">
    <w:p w14:paraId="1018AA41" w14:textId="4A2E3407" w:rsidR="00065096" w:rsidRPr="009F58C5" w:rsidRDefault="00065096">
      <w:pPr>
        <w:pStyle w:val="FootnoteText"/>
        <w:rPr>
          <w:lang w:val="en-US"/>
        </w:rPr>
      </w:pPr>
      <w:r w:rsidRPr="009F58C5">
        <w:rPr>
          <w:rStyle w:val="FootnoteReference"/>
        </w:rPr>
        <w:footnoteRef/>
      </w:r>
      <w:r w:rsidRPr="009F58C5">
        <w:t xml:space="preserve"> Available at: </w:t>
      </w:r>
      <w:hyperlink r:id="rId5" w:history="1">
        <w:r w:rsidRPr="009F58C5">
          <w:rPr>
            <w:rStyle w:val="Hyperlink"/>
          </w:rPr>
          <w:t>https://parl.ca/Content/Bills/432/Government/C-7/C-7_4/C-7_4.PDF</w:t>
        </w:r>
      </w:hyperlink>
      <w:r w:rsidRPr="009F58C5">
        <w:t xml:space="preserve">. </w:t>
      </w:r>
    </w:p>
  </w:footnote>
  <w:footnote w:id="10">
    <w:p w14:paraId="7DFEFEFE" w14:textId="75884DEF" w:rsidR="00B72F21" w:rsidRPr="009F58C5" w:rsidRDefault="00B72F21">
      <w:pPr>
        <w:pStyle w:val="FootnoteText"/>
      </w:pPr>
      <w:r w:rsidRPr="009F58C5">
        <w:rPr>
          <w:rStyle w:val="FootnoteReference"/>
        </w:rPr>
        <w:footnoteRef/>
      </w:r>
      <w:r w:rsidRPr="009F58C5">
        <w:t xml:space="preserve"> See: </w:t>
      </w:r>
      <w:hyperlink r:id="rId6" w:history="1">
        <w:r w:rsidR="00E0354E" w:rsidRPr="009F58C5">
          <w:rPr>
            <w:rStyle w:val="Hyperlink"/>
          </w:rPr>
          <w:t>https://www.chrc-ccdp.gc.ca/resources/newsroom/ending-ones-life-must-be-true-and-informed-choice</w:t>
        </w:r>
      </w:hyperlink>
      <w:r w:rsidR="00E0354E" w:rsidRPr="009F58C5">
        <w:t>.</w:t>
      </w:r>
      <w:r w:rsidR="00D5258F" w:rsidRPr="009F58C5">
        <w:t xml:space="preserve"> </w:t>
      </w:r>
    </w:p>
  </w:footnote>
  <w:footnote w:id="11">
    <w:p w14:paraId="00B7A011" w14:textId="544DE8E6" w:rsidR="00B72F21" w:rsidRPr="009F58C5" w:rsidRDefault="00B72F21">
      <w:pPr>
        <w:pStyle w:val="FootnoteText"/>
      </w:pPr>
      <w:r w:rsidRPr="009F58C5">
        <w:rPr>
          <w:rStyle w:val="FootnoteReference"/>
        </w:rPr>
        <w:footnoteRef/>
      </w:r>
      <w:r w:rsidRPr="009F58C5">
        <w:t xml:space="preserve"> </w:t>
      </w:r>
      <w:r w:rsidR="00F47D3F" w:rsidRPr="009F58C5">
        <w:t>The term “Indigenous” or “Indigenous peoples” is used throughout this submission to refer to First Nations, Inuit and Métis peoples in Canada. The CHRC recognizes that rights holders have advocated for a distinctions-based approach to discussions on the rights of Indigenous peoples. First Nations, Inuit and Métis peoples experience distinct realities, have different needs, and should not be considered a monolithic group. The CHRC also recognizes the diversity of individuals and lived experiences within Indigenous communities, whether individuals live in their traditional territories or not. Where distinctions regarding specific groups can be made, this specification will be provided.</w:t>
      </w:r>
    </w:p>
  </w:footnote>
  <w:footnote w:id="12">
    <w:p w14:paraId="2D0670E6" w14:textId="77777777" w:rsidR="006F4455" w:rsidRPr="009F58C5" w:rsidRDefault="006F4455" w:rsidP="006F4455">
      <w:pPr>
        <w:pStyle w:val="FootnoteText"/>
      </w:pPr>
      <w:r w:rsidRPr="009F58C5">
        <w:rPr>
          <w:rStyle w:val="FootnoteReference"/>
        </w:rPr>
        <w:footnoteRef/>
      </w:r>
      <w:r w:rsidRPr="009F58C5">
        <w:t xml:space="preserve"> In 2021, 16.5% of people with disabilities lived in poverty, compared to 8.6% of people without disabilities. See: Statistics Canada, 2021 Canadian Income Survey, Table 11-10-0090-01 - Poverty and low-income statistics by disability status. </w:t>
      </w:r>
      <w:hyperlink r:id="rId7" w:history="1">
        <w:r w:rsidRPr="009F58C5">
          <w:rPr>
            <w:rStyle w:val="Hyperlink"/>
          </w:rPr>
          <w:t>https://www150.statcan.gc.ca/t1/tbl1/en/tv.action?pid=1110009001</w:t>
        </w:r>
      </w:hyperlink>
      <w:r w:rsidRPr="009F58C5">
        <w:t xml:space="preserve">. </w:t>
      </w:r>
    </w:p>
  </w:footnote>
  <w:footnote w:id="13">
    <w:p w14:paraId="6B25EB70" w14:textId="77777777" w:rsidR="006F4455" w:rsidRPr="009F58C5" w:rsidRDefault="006F4455" w:rsidP="006F4455">
      <w:pPr>
        <w:pStyle w:val="FootnoteText"/>
      </w:pPr>
      <w:r w:rsidRPr="009F58C5">
        <w:rPr>
          <w:rStyle w:val="FootnoteReference"/>
        </w:rPr>
        <w:footnoteRef/>
      </w:r>
      <w:r w:rsidRPr="009F58C5">
        <w:t xml:space="preserve"> T</w:t>
      </w:r>
      <w:r w:rsidRPr="009F58C5">
        <w:rPr>
          <w:lang w:val="en-US"/>
        </w:rPr>
        <w:t xml:space="preserve">he Canada Emergency Response Benefit (CERB) </w:t>
      </w:r>
      <w:r w:rsidRPr="009F58C5">
        <w:t xml:space="preserve">provided workers with $500 per week for up to 28 weeks. See: </w:t>
      </w:r>
      <w:hyperlink r:id="rId8" w:history="1">
        <w:r w:rsidRPr="009F58C5">
          <w:rPr>
            <w:rStyle w:val="Hyperlink"/>
          </w:rPr>
          <w:t>www.canada.ca/en/services/benefits/ei/cerb-application.html</w:t>
        </w:r>
      </w:hyperlink>
      <w:r w:rsidRPr="009F58C5">
        <w:t xml:space="preserve">. People with disabilities who were not employed were excluded from this benefit. </w:t>
      </w:r>
    </w:p>
  </w:footnote>
  <w:footnote w:id="14">
    <w:p w14:paraId="28C61742" w14:textId="77777777" w:rsidR="006F4455" w:rsidRPr="009F58C5" w:rsidRDefault="006F4455" w:rsidP="006F4455">
      <w:pPr>
        <w:pStyle w:val="FootnoteText"/>
      </w:pPr>
      <w:r w:rsidRPr="009F58C5">
        <w:rPr>
          <w:rStyle w:val="FootnoteReference"/>
        </w:rPr>
        <w:footnoteRef/>
      </w:r>
      <w:r w:rsidRPr="009F58C5">
        <w:t xml:space="preserve"> One-time payment to persons with disabilities: </w:t>
      </w:r>
      <w:hyperlink r:id="rId9" w:history="1">
        <w:r w:rsidRPr="009F58C5">
          <w:rPr>
            <w:rStyle w:val="Hyperlink"/>
          </w:rPr>
          <w:t>www.canada.ca/en/services/benefits/one-time-payment-persons-disabilities.html</w:t>
        </w:r>
      </w:hyperlink>
      <w:r w:rsidRPr="009F58C5">
        <w:t xml:space="preserve">. </w:t>
      </w:r>
    </w:p>
  </w:footnote>
  <w:footnote w:id="15">
    <w:p w14:paraId="52770449" w14:textId="77777777" w:rsidR="006F4455" w:rsidRPr="009F58C5" w:rsidRDefault="006F4455" w:rsidP="006F4455">
      <w:pPr>
        <w:pStyle w:val="FootnoteText"/>
      </w:pPr>
      <w:r w:rsidRPr="009F58C5">
        <w:rPr>
          <w:rStyle w:val="FootnoteReference"/>
        </w:rPr>
        <w:footnoteRef/>
      </w:r>
      <w:r w:rsidRPr="009F58C5">
        <w:t xml:space="preserve"> See: Harris, K. (September 18, 2020). Federal COVID-19 supports for Canadians with disabilities are too little, too late. CBC News. </w:t>
      </w:r>
      <w:hyperlink r:id="rId10" w:history="1">
        <w:r w:rsidRPr="009F58C5">
          <w:rPr>
            <w:rStyle w:val="Hyperlink"/>
          </w:rPr>
          <w:t>www.cbc.ca/news/politics/canadians-with-disabilities-government-covid19-pandemic-1.5728343</w:t>
        </w:r>
      </w:hyperlink>
      <w:r w:rsidRPr="009F58C5">
        <w:t xml:space="preserve">. </w:t>
      </w:r>
    </w:p>
  </w:footnote>
  <w:footnote w:id="16">
    <w:p w14:paraId="3AEC3F09" w14:textId="77777777" w:rsidR="006F4455" w:rsidRPr="009F58C5" w:rsidRDefault="006F4455" w:rsidP="006F4455">
      <w:pPr>
        <w:pStyle w:val="FootnoteText"/>
      </w:pPr>
      <w:r w:rsidRPr="009F58C5">
        <w:rPr>
          <w:rStyle w:val="FootnoteReference"/>
        </w:rPr>
        <w:footnoteRef/>
      </w:r>
      <w:r w:rsidRPr="009F58C5">
        <w:t xml:space="preserve"> See: Canada Disability Benefit Act, S.C. 2023, c. 17: </w:t>
      </w:r>
      <w:hyperlink r:id="rId11" w:history="1">
        <w:r w:rsidRPr="009F58C5">
          <w:rPr>
            <w:rStyle w:val="Hyperlink"/>
          </w:rPr>
          <w:t>https://laws-lois.justice.gc.ca/eng/acts/c-3.45/page-1.html</w:t>
        </w:r>
      </w:hyperlink>
      <w:r w:rsidRPr="009F58C5">
        <w:rPr>
          <w:rStyle w:val="Hyperlink"/>
          <w:u w:val="none"/>
        </w:rPr>
        <w:t xml:space="preserve"> </w:t>
      </w:r>
      <w:r w:rsidRPr="009F58C5">
        <w:t xml:space="preserve">and draft Canada Disability Benefit Regulations (as of June 29, 2024): </w:t>
      </w:r>
      <w:hyperlink r:id="rId12" w:history="1">
        <w:r w:rsidRPr="009F58C5">
          <w:rPr>
            <w:rStyle w:val="Hyperlink"/>
          </w:rPr>
          <w:t>www.gazette.gc.ca/rp-pr/p1/2024/2024-06-29/html/reg2-eng.html</w:t>
        </w:r>
      </w:hyperlink>
    </w:p>
  </w:footnote>
  <w:footnote w:id="17">
    <w:p w14:paraId="143AFFEF" w14:textId="77777777" w:rsidR="006F4455" w:rsidRPr="009F58C5" w:rsidRDefault="006F4455" w:rsidP="006F4455">
      <w:pPr>
        <w:pStyle w:val="FootnoteText"/>
      </w:pPr>
      <w:r w:rsidRPr="009F58C5">
        <w:rPr>
          <w:rStyle w:val="FootnoteReference"/>
        </w:rPr>
        <w:footnoteRef/>
      </w:r>
      <w:r w:rsidRPr="009F58C5">
        <w:t xml:space="preserve"> </w:t>
      </w:r>
      <w:r w:rsidRPr="009F58C5">
        <w:rPr>
          <w:lang w:val="en-US"/>
        </w:rPr>
        <w:t xml:space="preserve">A recent Report Card on Disability Poverty in Canada noted that disability poverty rates are rising, gave Canada a failing grade, and called for the CDB amount to be tripled. See: </w:t>
      </w:r>
      <w:hyperlink r:id="rId13" w:history="1">
        <w:r w:rsidRPr="009F58C5">
          <w:rPr>
            <w:rStyle w:val="Hyperlink"/>
            <w:lang w:val="en-US"/>
          </w:rPr>
          <w:t>www.disabilitywithoutpoverty.ca/wp-content/uploads/2024/12/FINAL-Disability-Poverty-Report-Card-English_compressed.pdf</w:t>
        </w:r>
      </w:hyperlink>
      <w:r w:rsidRPr="009F58C5">
        <w:rPr>
          <w:lang w:val="en-US"/>
        </w:rPr>
        <w:t xml:space="preserve">. An analysis by an independent advisor to Parliament also concluded that the CDB should be significantly increased. See: Office of the Parliamentary Budget Officer, Canada Disability Benefit: Model and Scenarios (Nov 2023): </w:t>
      </w:r>
      <w:hyperlink r:id="rId14" w:history="1">
        <w:r w:rsidRPr="009F58C5">
          <w:rPr>
            <w:rStyle w:val="Hyperlink"/>
            <w:lang w:val="en-US"/>
          </w:rPr>
          <w:t>www.pbo-dpb.ca/en/publications/RP-2324-019-S--canada-disability-benefit-model-scenarios--prestation-canadienne-personnes-handicapees-modele-scenarios</w:t>
        </w:r>
      </w:hyperlink>
      <w:r w:rsidRPr="009F58C5">
        <w:rPr>
          <w:lang w:val="en-US"/>
        </w:rPr>
        <w:t xml:space="preserve"> [PBO Report].</w:t>
      </w:r>
      <w:r w:rsidRPr="009F58C5">
        <w:rPr>
          <w:lang w:val="en-GB"/>
        </w:rPr>
        <w:t xml:space="preserve"> The </w:t>
      </w:r>
      <w:r w:rsidRPr="009F58C5">
        <w:rPr>
          <w:lang w:val="en-US"/>
        </w:rPr>
        <w:t xml:space="preserve">CHRC </w:t>
      </w:r>
      <w:r w:rsidRPr="009F58C5">
        <w:rPr>
          <w:lang w:val="en-GB"/>
        </w:rPr>
        <w:t xml:space="preserve">has also called for the CDB to use an </w:t>
      </w:r>
      <w:r w:rsidRPr="009F58C5">
        <w:rPr>
          <w:lang w:val="en-US"/>
        </w:rPr>
        <w:t>individual income test</w:t>
      </w:r>
      <w:r w:rsidRPr="009F58C5">
        <w:rPr>
          <w:lang w:val="en-GB"/>
        </w:rPr>
        <w:t xml:space="preserve"> rather than a spousal income test, since spousal income tests can create financial dependency and limit people’s autonomy.</w:t>
      </w:r>
    </w:p>
  </w:footnote>
  <w:footnote w:id="18">
    <w:p w14:paraId="36792820" w14:textId="77777777" w:rsidR="006F4455" w:rsidRPr="009F58C5" w:rsidRDefault="006F4455" w:rsidP="006F4455">
      <w:pPr>
        <w:pStyle w:val="FootnoteText"/>
        <w:rPr>
          <w:lang w:val="en-US"/>
        </w:rPr>
      </w:pPr>
      <w:r w:rsidRPr="009F58C5">
        <w:rPr>
          <w:rStyle w:val="FootnoteReference"/>
        </w:rPr>
        <w:footnoteRef/>
      </w:r>
      <w:r w:rsidRPr="009F58C5">
        <w:t xml:space="preserve"> To access the CDB, people would need to be eligible for the federal Disability Tax Credit (DTC). Certain types of disabilities are excluded from the DTC (e.g. pain-related and episodic disabilities), and many people face barriers when applying for the DTC. For example, people face barriers in accessing physicians and paying for the mandatory medical assessments. Since the DTC is a non-refundable tax credit, people with a low income cannot benefit from the DTC. The CHRC has therefore encouraged the government to work with disability communities to find a more inclusive and accessible process to determine eligibility for the CDB. </w:t>
      </w:r>
    </w:p>
  </w:footnote>
  <w:footnote w:id="19">
    <w:p w14:paraId="61052538" w14:textId="7FEFFBE4" w:rsidR="006F4455" w:rsidRPr="009F58C5" w:rsidRDefault="006F4455" w:rsidP="006F4455">
      <w:pPr>
        <w:pStyle w:val="FootnoteText"/>
        <w:rPr>
          <w:lang w:val="en-US"/>
        </w:rPr>
      </w:pPr>
      <w:r w:rsidRPr="009F58C5">
        <w:rPr>
          <w:rStyle w:val="FootnoteReference"/>
        </w:rPr>
        <w:footnoteRef/>
      </w:r>
      <w:r w:rsidRPr="009F58C5">
        <w:t xml:space="preserve"> For example, </w:t>
      </w:r>
      <w:r w:rsidRPr="009F58C5">
        <w:rPr>
          <w:lang w:val="en-US"/>
        </w:rPr>
        <w:t xml:space="preserve">federal, provincial and territorial income benefits and private insurance payments could be reduced based on CDB income. Provincial and territorial income supports already </w:t>
      </w:r>
      <w:r w:rsidRPr="009F58C5">
        <w:t xml:space="preserve">fall short of the official poverty threshold by 40 percent </w:t>
      </w:r>
      <w:r w:rsidRPr="009F58C5">
        <w:rPr>
          <w:lang w:val="en-US"/>
        </w:rPr>
        <w:t xml:space="preserve">on average. See: PBO Report, supra note </w:t>
      </w:r>
      <w:r w:rsidR="00E0354E" w:rsidRPr="009F58C5">
        <w:rPr>
          <w:lang w:val="en-US"/>
        </w:rPr>
        <w:t>17</w:t>
      </w:r>
      <w:r w:rsidRPr="009F58C5">
        <w:rPr>
          <w:lang w:val="en-US"/>
        </w:rPr>
        <w:t xml:space="preserve">. </w:t>
      </w:r>
      <w:r w:rsidRPr="009F58C5">
        <w:t>The CDB should supplement existing supports, not replace them.</w:t>
      </w:r>
    </w:p>
  </w:footnote>
  <w:footnote w:id="20">
    <w:p w14:paraId="6916A09E" w14:textId="77777777" w:rsidR="006F4455" w:rsidRPr="009F58C5" w:rsidRDefault="006F4455" w:rsidP="006F4455">
      <w:pPr>
        <w:pStyle w:val="FootnoteText"/>
        <w:rPr>
          <w:lang w:val="en-US"/>
        </w:rPr>
      </w:pPr>
      <w:r w:rsidRPr="009F58C5">
        <w:rPr>
          <w:rStyle w:val="FootnoteReference"/>
        </w:rPr>
        <w:footnoteRef/>
      </w:r>
      <w:r w:rsidRPr="009F58C5">
        <w:t xml:space="preserve"> supra note 10.</w:t>
      </w:r>
    </w:p>
  </w:footnote>
  <w:footnote w:id="21">
    <w:p w14:paraId="241CC343" w14:textId="1593EA56" w:rsidR="006F4455" w:rsidRPr="009F58C5" w:rsidRDefault="006F4455" w:rsidP="006F4455">
      <w:pPr>
        <w:pStyle w:val="FootnoteText"/>
      </w:pPr>
      <w:r w:rsidRPr="009F58C5">
        <w:rPr>
          <w:rStyle w:val="FootnoteReference"/>
        </w:rPr>
        <w:footnoteRef/>
      </w:r>
      <w:r w:rsidRPr="009F58C5">
        <w:t xml:space="preserve"> </w:t>
      </w:r>
      <w:r w:rsidRPr="009F58C5">
        <w:rPr>
          <w:rFonts w:cs="Arial"/>
          <w:lang w:val="en"/>
        </w:rPr>
        <w:t xml:space="preserve">The National Housing Strategy Act enshrined the human right to adequate housing in domestic law in 2019. See: </w:t>
      </w:r>
      <w:hyperlink r:id="rId15" w:history="1">
        <w:r w:rsidRPr="009F58C5">
          <w:rPr>
            <w:rStyle w:val="Hyperlink"/>
          </w:rPr>
          <w:t>https://laws-lois.justice.gc.ca/eng/acts/n-11.2/FullText.html</w:t>
        </w:r>
      </w:hyperlink>
      <w:r w:rsidRPr="009F58C5">
        <w:rPr>
          <w:rStyle w:val="Hyperlink"/>
        </w:rPr>
        <w:t>.</w:t>
      </w:r>
      <w:r w:rsidRPr="009F58C5">
        <w:rPr>
          <w:rFonts w:cs="Arial"/>
          <w:sz w:val="24"/>
          <w:szCs w:val="24"/>
          <w:lang w:val="en"/>
        </w:rPr>
        <w:t xml:space="preserve"> </w:t>
      </w:r>
      <w:r w:rsidRPr="009F58C5">
        <w:t xml:space="preserve">The Act also created the role of the Advocate, with the mandate to monitor Canada’s National Housing Strategy, engage with rights holders and civil society, receive submissions and produce reports with recommendations on systemic housing issues. See: </w:t>
      </w:r>
      <w:hyperlink r:id="rId16" w:history="1">
        <w:r w:rsidR="00480524" w:rsidRPr="009F58C5">
          <w:rPr>
            <w:rStyle w:val="Hyperlink"/>
          </w:rPr>
          <w:t>https://www.chrc-ccdp.gc.ca/individuals/right-housing</w:t>
        </w:r>
      </w:hyperlink>
      <w:r w:rsidR="00480524" w:rsidRPr="009F58C5">
        <w:t>.</w:t>
      </w:r>
    </w:p>
  </w:footnote>
  <w:footnote w:id="22">
    <w:p w14:paraId="7E7BB076" w14:textId="2ADA3C3E" w:rsidR="006F4455" w:rsidRPr="009F58C5" w:rsidRDefault="006F4455" w:rsidP="006F4455">
      <w:pPr>
        <w:pStyle w:val="FootnoteText"/>
      </w:pPr>
      <w:r w:rsidRPr="009F58C5">
        <w:rPr>
          <w:rStyle w:val="FootnoteReference"/>
        </w:rPr>
        <w:footnoteRef/>
      </w:r>
      <w:r w:rsidRPr="009F58C5">
        <w:t xml:space="preserve"> Available at: </w:t>
      </w:r>
      <w:hyperlink r:id="rId17" w:history="1">
        <w:r w:rsidR="006552CF" w:rsidRPr="009F58C5">
          <w:rPr>
            <w:rStyle w:val="Hyperlink"/>
          </w:rPr>
          <w:t>https://www.chrc-ccdp.gc.ca/resources/publications/monitoring-the-right-housing-people-disabilities</w:t>
        </w:r>
      </w:hyperlink>
      <w:r w:rsidR="006552CF" w:rsidRPr="009F58C5">
        <w:t xml:space="preserve">. </w:t>
      </w:r>
      <w:r w:rsidRPr="009F58C5">
        <w:t xml:space="preserve"> </w:t>
      </w:r>
    </w:p>
  </w:footnote>
  <w:footnote w:id="23">
    <w:p w14:paraId="6A2D97E0" w14:textId="34F7499E" w:rsidR="006F4455" w:rsidRPr="009F58C5" w:rsidRDefault="006F4455" w:rsidP="006F4455">
      <w:pPr>
        <w:pStyle w:val="FootnoteText"/>
      </w:pPr>
      <w:r w:rsidRPr="009F58C5">
        <w:rPr>
          <w:rStyle w:val="FootnoteReference"/>
        </w:rPr>
        <w:footnoteRef/>
      </w:r>
      <w:r w:rsidRPr="009F58C5">
        <w:t xml:space="preserve"> </w:t>
      </w:r>
      <w:r w:rsidR="00B3244F" w:rsidRPr="009F58C5">
        <w:t xml:space="preserve">Available at: </w:t>
      </w:r>
      <w:hyperlink r:id="rId18" w:history="1">
        <w:r w:rsidR="00B3244F" w:rsidRPr="009F58C5">
          <w:rPr>
            <w:rStyle w:val="Hyperlink"/>
          </w:rPr>
          <w:t>https://www.chrc-ccdp.gc.ca/sites/default/files/documents/the-right-to-housing-for-people-with-disabilities-monitoring-framework.pdf</w:t>
        </w:r>
      </w:hyperlink>
      <w:r w:rsidR="00B3244F" w:rsidRPr="009F58C5">
        <w:t xml:space="preserve">. </w:t>
      </w:r>
    </w:p>
  </w:footnote>
  <w:footnote w:id="24">
    <w:p w14:paraId="722853B3" w14:textId="77777777" w:rsidR="006F4455" w:rsidRPr="009F58C5" w:rsidRDefault="006F4455" w:rsidP="006F4455">
      <w:pPr>
        <w:pStyle w:val="FootnoteText"/>
        <w:rPr>
          <w:rFonts w:cs="Arial"/>
          <w:sz w:val="24"/>
          <w:szCs w:val="24"/>
        </w:rPr>
      </w:pPr>
      <w:r w:rsidRPr="009F58C5">
        <w:rPr>
          <w:rStyle w:val="FootnoteReference"/>
        </w:rPr>
        <w:footnoteRef/>
      </w:r>
      <w:r w:rsidRPr="009F58C5">
        <w:t xml:space="preserve"> The eleven areas are: </w:t>
      </w:r>
      <w:r w:rsidRPr="009F58C5">
        <w:rPr>
          <w:rFonts w:cs="Arial"/>
        </w:rPr>
        <w:t>institutionalization; homelessness; discrimination and dignity; accessibility; availability of supports and services; affordability; security of tenure; safety; habitability; location; and cultural adequacy. These areas reflect the United Nations’ seven elements of the right to adequate housing, as well as more disability-specific elements drawn from the CRPD and engagement with rights holders.</w:t>
      </w:r>
      <w:r w:rsidRPr="009F58C5">
        <w:rPr>
          <w:rFonts w:cs="Arial"/>
          <w:sz w:val="24"/>
          <w:szCs w:val="24"/>
        </w:rPr>
        <w:t xml:space="preserve"> </w:t>
      </w:r>
    </w:p>
  </w:footnote>
  <w:footnote w:id="25">
    <w:p w14:paraId="101FE660" w14:textId="77777777" w:rsidR="006F4455" w:rsidRPr="009F58C5" w:rsidRDefault="006F4455" w:rsidP="006F4455">
      <w:pPr>
        <w:pStyle w:val="FootnoteText"/>
      </w:pPr>
      <w:r w:rsidRPr="009F58C5">
        <w:rPr>
          <w:rStyle w:val="FootnoteReference"/>
        </w:rPr>
        <w:footnoteRef/>
      </w:r>
      <w:r w:rsidRPr="009F58C5">
        <w:t xml:space="preserve"> Hidden homelessness is when people are temporarily housed, but they don’t have their own place. For example, people sometimes stay with strangers, family, or friends. This is also called “couch surfing”.</w:t>
      </w:r>
    </w:p>
  </w:footnote>
  <w:footnote w:id="26">
    <w:p w14:paraId="32D5BD87" w14:textId="77777777" w:rsidR="006F4455" w:rsidRPr="009F58C5" w:rsidRDefault="006F4455" w:rsidP="006F4455">
      <w:pPr>
        <w:pStyle w:val="FootnoteText"/>
      </w:pPr>
      <w:r w:rsidRPr="009F58C5">
        <w:rPr>
          <w:rStyle w:val="FootnoteReference"/>
        </w:rPr>
        <w:footnoteRef/>
      </w:r>
      <w:r w:rsidRPr="009F58C5">
        <w:t xml:space="preserve"> </w:t>
      </w:r>
      <w:r w:rsidRPr="009F58C5">
        <w:rPr>
          <w:lang w:val="en-US"/>
        </w:rPr>
        <w:t xml:space="preserve">In Canada, housing is considered “affordable” if it costs less than 30% of a household’s before-tax income. </w:t>
      </w:r>
      <w:r w:rsidRPr="009F58C5">
        <w:t xml:space="preserve">People are in “core housing need” if they live in housing that is unaffordable, inadequate or unsuitable, and they can’t afford to move to housing nearby that is affordable, adequate and suitable. Housing is considered “adequate” if it does not require major repairs. Housing is considered “suitable” if it has </w:t>
      </w:r>
      <w:r w:rsidRPr="009F58C5">
        <w:rPr>
          <w:lang w:val="en-US"/>
        </w:rPr>
        <w:t xml:space="preserve">enough bedrooms for the size and composition of the household, based on the National Occupancy Standard guidelines: </w:t>
      </w:r>
      <w:hyperlink r:id="rId19" w:history="1">
        <w:r w:rsidRPr="009F58C5">
          <w:rPr>
            <w:rStyle w:val="Hyperlink"/>
            <w:lang w:val="en-US"/>
          </w:rPr>
          <w:t>www.cmhc-schl.gc.ca/professionals/industry-innovation-and-leadership/industry-expertise/affordable-housing/provincial-territorial-agreements/investment-in-affordable-housing/national-occupancy-standard</w:t>
        </w:r>
      </w:hyperlink>
    </w:p>
  </w:footnote>
  <w:footnote w:id="27">
    <w:p w14:paraId="4CD4B6EA" w14:textId="77777777" w:rsidR="006F4455" w:rsidRPr="009F58C5" w:rsidRDefault="006F4455" w:rsidP="006F4455">
      <w:pPr>
        <w:pStyle w:val="FootnoteText"/>
      </w:pPr>
      <w:r w:rsidRPr="009F58C5">
        <w:rPr>
          <w:rStyle w:val="FootnoteReference"/>
        </w:rPr>
        <w:footnoteRef/>
      </w:r>
      <w:r w:rsidRPr="009F58C5">
        <w:t xml:space="preserve"> This includes housing with rent geared to people’s income, as well as social, public, government and non-profit housing, and households with rent supplements or housing allowances.</w:t>
      </w:r>
    </w:p>
  </w:footnote>
  <w:footnote w:id="28">
    <w:p w14:paraId="177A04CE" w14:textId="74B8410F" w:rsidR="006F4455" w:rsidRPr="009F58C5" w:rsidRDefault="006F4455" w:rsidP="006F4455">
      <w:pPr>
        <w:pStyle w:val="FootnoteText"/>
      </w:pPr>
      <w:r w:rsidRPr="009F58C5">
        <w:rPr>
          <w:rStyle w:val="FootnoteReference"/>
        </w:rPr>
        <w:footnoteRef/>
      </w:r>
      <w:r w:rsidRPr="009F58C5">
        <w:t xml:space="preserve"> </w:t>
      </w:r>
      <w:bookmarkStart w:id="25" w:name="_Hlk185851138"/>
      <w:r w:rsidRPr="009F58C5">
        <w:rPr>
          <w:rFonts w:cs="Arial"/>
        </w:rPr>
        <w:t xml:space="preserve">The Advocate’s review of homeless encampments in 2024 noted that most emergency </w:t>
      </w:r>
      <w:r w:rsidRPr="009F58C5">
        <w:rPr>
          <w:rFonts w:cs="Arial"/>
          <w:lang w:val="en-US"/>
        </w:rPr>
        <w:t xml:space="preserve">and domestic violence </w:t>
      </w:r>
      <w:r w:rsidRPr="009F58C5">
        <w:rPr>
          <w:rFonts w:cs="Arial"/>
        </w:rPr>
        <w:t xml:space="preserve">shelters </w:t>
      </w:r>
      <w:r w:rsidRPr="009F58C5">
        <w:rPr>
          <w:rFonts w:cs="Arial"/>
          <w:lang w:val="en-US"/>
        </w:rPr>
        <w:t xml:space="preserve">in Canada have physical barriers for people with disabilities. They also lack appropriate and accessible spaces for people with mental health, sensory and environmental disabilities. </w:t>
      </w:r>
      <w:r w:rsidRPr="009F58C5">
        <w:t xml:space="preserve">Read the Advocate’s Review of Homeless Encampments from 2024: </w:t>
      </w:r>
      <w:bookmarkEnd w:id="25"/>
      <w:r w:rsidR="00480524" w:rsidRPr="009F58C5">
        <w:fldChar w:fldCharType="begin"/>
      </w:r>
      <w:r w:rsidR="00480524" w:rsidRPr="009F58C5">
        <w:instrText>HYPERLINK "https://www.chrc-ccdp.gc.ca/publications/upholding-dignity-and-human-rights-federal-housing-advocates-review-homeless"</w:instrText>
      </w:r>
      <w:r w:rsidR="00480524" w:rsidRPr="009F58C5">
        <w:fldChar w:fldCharType="separate"/>
      </w:r>
      <w:r w:rsidR="00480524" w:rsidRPr="009F58C5">
        <w:rPr>
          <w:rStyle w:val="Hyperlink"/>
        </w:rPr>
        <w:t>https://www.chrc-ccdp.gc.ca/publications/upholding-dignity-and-human-rights-federal-housing-advocates-review-homeless</w:t>
      </w:r>
      <w:r w:rsidR="00480524" w:rsidRPr="009F58C5">
        <w:fldChar w:fldCharType="end"/>
      </w:r>
      <w:r w:rsidR="00480524" w:rsidRPr="009F58C5">
        <w:t xml:space="preserve">. </w:t>
      </w:r>
    </w:p>
  </w:footnote>
  <w:footnote w:id="29">
    <w:p w14:paraId="4C870A26" w14:textId="77777777" w:rsidR="006F4455" w:rsidRPr="009F58C5" w:rsidRDefault="006F4455" w:rsidP="006F4455">
      <w:pPr>
        <w:pStyle w:val="FootnoteText"/>
      </w:pPr>
      <w:r w:rsidRPr="009F58C5">
        <w:rPr>
          <w:rStyle w:val="FootnoteReference"/>
        </w:rPr>
        <w:footnoteRef/>
      </w:r>
      <w:r w:rsidRPr="009F58C5">
        <w:t xml:space="preserve"> See: Statistics Canada. Labour force status for persons aged 25 to 64 years with and without a disability, 2017 and 2022. </w:t>
      </w:r>
      <w:hyperlink r:id="rId20" w:history="1">
        <w:r w:rsidRPr="009F58C5">
          <w:rPr>
            <w:rStyle w:val="Hyperlink"/>
          </w:rPr>
          <w:t>https://www150.statcan.gc.ca/n1/daily-quotidien/231201/cg-b003-eng.htm</w:t>
        </w:r>
      </w:hyperlink>
      <w:r w:rsidRPr="009F58C5">
        <w:t xml:space="preserve">. See also: Statistics Canada. (August 30, 2023). Labour market characteristics of persons with and without disabilities in 2022: Results from the Labour Force Survey. </w:t>
      </w:r>
      <w:hyperlink r:id="rId21" w:history="1">
        <w:r w:rsidRPr="009F58C5">
          <w:rPr>
            <w:rStyle w:val="Hyperlink"/>
          </w:rPr>
          <w:t>https://www150.statcan.gc.ca/n1/daily-quotidien/230830/dq230830a-eng.htm</w:t>
        </w:r>
      </w:hyperlink>
      <w:r w:rsidRPr="009F58C5">
        <w:rPr>
          <w:rStyle w:val="Hyperlink"/>
        </w:rPr>
        <w:t xml:space="preserve">. </w:t>
      </w:r>
    </w:p>
  </w:footnote>
  <w:footnote w:id="30">
    <w:p w14:paraId="739D405F" w14:textId="77777777" w:rsidR="006F4455" w:rsidRPr="009F58C5" w:rsidRDefault="006F4455" w:rsidP="006F4455">
      <w:pPr>
        <w:pStyle w:val="FootnoteText"/>
      </w:pPr>
      <w:r w:rsidRPr="009F58C5">
        <w:rPr>
          <w:rStyle w:val="FootnoteReference"/>
        </w:rPr>
        <w:footnoteRef/>
      </w:r>
      <w:r w:rsidRPr="009F58C5">
        <w:t xml:space="preserve"> </w:t>
      </w:r>
      <w:r w:rsidRPr="009F58C5">
        <w:rPr>
          <w:lang w:val="en-US"/>
        </w:rPr>
        <w:t xml:space="preserve">Statistics Canada. Table 14-10-0417-01. Employee wages by occupation, annual. DOI: </w:t>
      </w:r>
      <w:hyperlink r:id="rId22" w:history="1">
        <w:r w:rsidRPr="009F58C5">
          <w:rPr>
            <w:rStyle w:val="Hyperlink"/>
          </w:rPr>
          <w:t>https://doi.org/10.25318/1410041701-eng</w:t>
        </w:r>
      </w:hyperlink>
      <w:r w:rsidRPr="009F58C5">
        <w:rPr>
          <w:rStyle w:val="Hyperlink"/>
        </w:rPr>
        <w:t xml:space="preserve">. </w:t>
      </w:r>
    </w:p>
  </w:footnote>
  <w:footnote w:id="31">
    <w:p w14:paraId="72BB8447" w14:textId="77777777" w:rsidR="006F4455" w:rsidRPr="009F58C5" w:rsidRDefault="006F4455" w:rsidP="006F4455">
      <w:pPr>
        <w:spacing w:after="0" w:line="240" w:lineRule="auto"/>
        <w:rPr>
          <w:rFonts w:cs="Arial"/>
        </w:rPr>
      </w:pPr>
      <w:r w:rsidRPr="009F58C5">
        <w:rPr>
          <w:rStyle w:val="FootnoteReference"/>
          <w:sz w:val="20"/>
          <w:szCs w:val="20"/>
        </w:rPr>
        <w:footnoteRef/>
      </w:r>
      <w:r w:rsidRPr="009F58C5">
        <w:rPr>
          <w:sz w:val="20"/>
          <w:szCs w:val="20"/>
        </w:rPr>
        <w:t xml:space="preserve"> </w:t>
      </w:r>
      <w:r w:rsidRPr="009F58C5">
        <w:rPr>
          <w:rFonts w:cs="Arial"/>
          <w:sz w:val="20"/>
          <w:szCs w:val="20"/>
        </w:rPr>
        <w:t xml:space="preserve">McDiarmid, C. (June 27, 2023). Earnings Pay Gap among Persons with and without Disabilities, 2019. Statistics Canada. </w:t>
      </w:r>
      <w:hyperlink r:id="rId23" w:history="1">
        <w:r w:rsidRPr="009F58C5">
          <w:rPr>
            <w:rStyle w:val="Hyperlink"/>
            <w:rFonts w:cs="Arial"/>
            <w:sz w:val="20"/>
            <w:szCs w:val="20"/>
          </w:rPr>
          <w:t>https://www150.statcan.gc.ca/n1/pub/89-654-x/89-654-x2023002-eng.htm</w:t>
        </w:r>
      </w:hyperlink>
      <w:r w:rsidRPr="009F58C5">
        <w:rPr>
          <w:rFonts w:cs="Arial"/>
          <w:sz w:val="20"/>
          <w:szCs w:val="20"/>
        </w:rPr>
        <w:t xml:space="preserve">. </w:t>
      </w:r>
    </w:p>
  </w:footnote>
  <w:footnote w:id="32">
    <w:p w14:paraId="1ECE9D18" w14:textId="6B8C9896" w:rsidR="006F4455" w:rsidRPr="009F58C5" w:rsidRDefault="006F4455" w:rsidP="006F4455">
      <w:pPr>
        <w:pStyle w:val="FootnoteText"/>
      </w:pPr>
      <w:r w:rsidRPr="009F58C5">
        <w:rPr>
          <w:rStyle w:val="FootnoteReference"/>
        </w:rPr>
        <w:footnoteRef/>
      </w:r>
      <w:r w:rsidRPr="009F58C5">
        <w:t xml:space="preserve"> Schimmele, C., Jeon, S.-H., Arim, R. (October 27, 2021). Work experiences of women with disabilities. Statistics Canada. </w:t>
      </w:r>
      <w:hyperlink r:id="rId24" w:history="1">
        <w:r w:rsidRPr="009F58C5">
          <w:rPr>
            <w:rStyle w:val="Hyperlink"/>
          </w:rPr>
          <w:t>https://www150.statcan.gc.ca/n1/pub/36-28-0001/2021010/article/00004-eng.htm</w:t>
        </w:r>
      </w:hyperlink>
      <w:r w:rsidRPr="009F58C5">
        <w:rPr>
          <w:rFonts w:cstheme="minorHAnsi"/>
        </w:rPr>
        <w:t xml:space="preserve">. See also note </w:t>
      </w:r>
      <w:r w:rsidR="006552CF" w:rsidRPr="009F58C5">
        <w:rPr>
          <w:rFonts w:cstheme="minorHAnsi"/>
        </w:rPr>
        <w:t>31</w:t>
      </w:r>
      <w:r w:rsidRPr="009F58C5">
        <w:rPr>
          <w:rFonts w:cstheme="minorHAnsi"/>
        </w:rPr>
        <w:t>.</w:t>
      </w:r>
    </w:p>
  </w:footnote>
  <w:footnote w:id="33">
    <w:p w14:paraId="776D5A96" w14:textId="77777777" w:rsidR="006F4455" w:rsidRPr="009F58C5" w:rsidRDefault="006F4455" w:rsidP="006F4455">
      <w:pPr>
        <w:pStyle w:val="FootnoteText"/>
      </w:pPr>
      <w:r w:rsidRPr="009F58C5">
        <w:rPr>
          <w:rStyle w:val="FootnoteReference"/>
        </w:rPr>
        <w:footnoteRef/>
      </w:r>
      <w:r w:rsidRPr="009F58C5">
        <w:t xml:space="preserve"> Vlachou, A., Kalaitzi, V. (2021). The triple nexus of gender, disability and employment: who counts depends on who is counted?. University of Sheffield. </w:t>
      </w:r>
      <w:hyperlink r:id="rId25" w:history="1">
        <w:r w:rsidRPr="009F58C5">
          <w:rPr>
            <w:rStyle w:val="Hyperlink"/>
          </w:rPr>
          <w:t>https://www.sheffield.ac.uk/ihuman/news/triple-nexus-gender-disability-and-employment-who-counts-depends-who-counted</w:t>
        </w:r>
      </w:hyperlink>
      <w:r w:rsidRPr="009F58C5">
        <w:t xml:space="preserve"> </w:t>
      </w:r>
    </w:p>
  </w:footnote>
  <w:footnote w:id="34">
    <w:p w14:paraId="39392786" w14:textId="77777777" w:rsidR="006F4455" w:rsidRPr="009F58C5" w:rsidRDefault="006F4455" w:rsidP="006F4455">
      <w:pPr>
        <w:pStyle w:val="FootnoteText"/>
      </w:pPr>
      <w:r w:rsidRPr="009F58C5">
        <w:rPr>
          <w:rStyle w:val="FootnoteReference"/>
        </w:rPr>
        <w:footnoteRef/>
      </w:r>
      <w:r w:rsidRPr="009F58C5">
        <w:t xml:space="preserve"> </w:t>
      </w:r>
      <w:r w:rsidRPr="009F58C5">
        <w:rPr>
          <w:lang w:val="en-US"/>
        </w:rPr>
        <w:t xml:space="preserve">See for example: The gender wage gap. (2019). Gender and the economy. Retrieved from: </w:t>
      </w:r>
      <w:hyperlink r:id="rId26" w:history="1">
        <w:r w:rsidRPr="009F58C5">
          <w:rPr>
            <w:rStyle w:val="Hyperlink"/>
            <w:lang w:val="en-US"/>
          </w:rPr>
          <w:t>https://www.gendereconomy.org/the-gender-wage-gap/</w:t>
        </w:r>
      </w:hyperlink>
      <w:r w:rsidRPr="009F58C5">
        <w:rPr>
          <w:lang w:val="en-US"/>
        </w:rPr>
        <w:t xml:space="preserve">; Fortin, N. (April 21, 2019). Increasing earnings inequality and the gender pay gap in Canada: Prospects for convergence. Canadian Journal of Economics; </w:t>
      </w:r>
      <w:r w:rsidRPr="009F58C5">
        <w:t xml:space="preserve">Bonikowska, A., Drolet, M., and Fortin, N. (March 7, 2019). Earnings inequality and the gender pay gap in Canada: The role of women’s under-representation among top earners. Statistics Canada. </w:t>
      </w:r>
      <w:hyperlink r:id="rId27" w:history="1">
        <w:r w:rsidRPr="009F58C5">
          <w:rPr>
            <w:rStyle w:val="Hyperlink"/>
          </w:rPr>
          <w:t>https://epe.lac-bac.gc.ca/100/201/301/weekly_acquisitions_list-ef/2019/19-10/publications.gc.ca/collections/collection_2019/statcan/11-626-x/11-626-x2019002-eng.pdf</w:t>
        </w:r>
      </w:hyperlink>
      <w:r w:rsidRPr="009F58C5">
        <w:t xml:space="preserve">; Gupata, N., Singh, P., Balcom, S. A. (25 July 2022). When pay equity policy is not enough: Persistence of the gender wage gap among health, education, and STEM professionals in Canada, 2006-2016. Canadian Studies in Population. </w:t>
      </w:r>
      <w:hyperlink r:id="rId28" w:history="1">
        <w:r w:rsidRPr="009F58C5">
          <w:rPr>
            <w:rStyle w:val="Hyperlink"/>
          </w:rPr>
          <w:t>https://link.springer.com/article/10.1007/s42650-022-00069-z</w:t>
        </w:r>
      </w:hyperlink>
      <w:r w:rsidRPr="009F58C5">
        <w:t>.</w:t>
      </w:r>
    </w:p>
  </w:footnote>
  <w:footnote w:id="35">
    <w:p w14:paraId="60AE2368" w14:textId="77777777" w:rsidR="006F4455" w:rsidRPr="009F58C5" w:rsidRDefault="006F4455" w:rsidP="006F4455">
      <w:pPr>
        <w:pStyle w:val="FootnoteText"/>
      </w:pPr>
      <w:r w:rsidRPr="009F58C5">
        <w:rPr>
          <w:rStyle w:val="FootnoteReference"/>
        </w:rPr>
        <w:footnoteRef/>
      </w:r>
      <w:r w:rsidRPr="009F58C5">
        <w:t xml:space="preserve"> For example, non-legislative and legislative measures that address:</w:t>
      </w:r>
      <w:r w:rsidRPr="009F58C5">
        <w:rPr>
          <w:rFonts w:cs="Arial"/>
          <w:sz w:val="24"/>
          <w:szCs w:val="24"/>
        </w:rPr>
        <w:t xml:space="preserve"> </w:t>
      </w:r>
      <w:r w:rsidRPr="009F58C5">
        <w:t xml:space="preserve">pay equity, pay transparency, employment equity, labour standards, affordable childcare, affordable post-secondary education and specialized certification programs, and gendered stereotypes. </w:t>
      </w:r>
    </w:p>
  </w:footnote>
  <w:footnote w:id="36">
    <w:p w14:paraId="139143EC" w14:textId="3143AB79" w:rsidR="006F4455" w:rsidRPr="009F58C5" w:rsidRDefault="006F4455" w:rsidP="006F4455">
      <w:pPr>
        <w:pStyle w:val="FootnoteText"/>
      </w:pPr>
      <w:r w:rsidRPr="009F58C5">
        <w:rPr>
          <w:rStyle w:val="FootnoteReference"/>
        </w:rPr>
        <w:footnoteRef/>
      </w:r>
      <w:r w:rsidRPr="009F58C5">
        <w:t xml:space="preserve"> Available at: </w:t>
      </w:r>
      <w:hyperlink r:id="rId29" w:history="1">
        <w:r w:rsidR="006552CF" w:rsidRPr="009F58C5">
          <w:rPr>
            <w:rStyle w:val="Hyperlink"/>
          </w:rPr>
          <w:t>https://www.chrc-ccdp.gc.ca/resources/publications/horizontal-audit-the-communications-sector-improving-representation-people</w:t>
        </w:r>
      </w:hyperlink>
      <w:r w:rsidR="006552CF" w:rsidRPr="009F58C5">
        <w:t xml:space="preserve">. </w:t>
      </w:r>
      <w:r w:rsidRPr="009F58C5">
        <w:t xml:space="preserve"> </w:t>
      </w:r>
    </w:p>
  </w:footnote>
  <w:footnote w:id="37">
    <w:p w14:paraId="46E760DE" w14:textId="77777777" w:rsidR="006F4455" w:rsidRPr="009F58C5" w:rsidRDefault="006F4455" w:rsidP="006F4455">
      <w:pPr>
        <w:pStyle w:val="FootnoteText"/>
      </w:pPr>
      <w:r w:rsidRPr="009F58C5">
        <w:rPr>
          <w:rStyle w:val="FootnoteReference"/>
        </w:rPr>
        <w:footnoteRef/>
      </w:r>
      <w:r w:rsidRPr="009F58C5">
        <w:t xml:space="preserve"> See: </w:t>
      </w:r>
      <w:hyperlink r:id="rId30" w:history="1">
        <w:r w:rsidRPr="009F58C5">
          <w:rPr>
            <w:rStyle w:val="Hyperlink"/>
          </w:rPr>
          <w:t>https://www.canada.ca/en/employment-social-development/corporate/portfolio/labour/programs/employment-equity/consultation-act-modernization.html</w:t>
        </w:r>
      </w:hyperlink>
      <w:r w:rsidRPr="009F58C5">
        <w:t xml:space="preserve"> </w:t>
      </w:r>
    </w:p>
  </w:footnote>
  <w:footnote w:id="38">
    <w:p w14:paraId="357BFDF7" w14:textId="77777777" w:rsidR="006F4455" w:rsidRPr="009F58C5" w:rsidRDefault="006F4455" w:rsidP="006F4455">
      <w:pPr>
        <w:pStyle w:val="FootnoteText"/>
      </w:pPr>
      <w:r w:rsidRPr="009F58C5">
        <w:rPr>
          <w:rStyle w:val="FootnoteReference"/>
        </w:rPr>
        <w:footnoteRef/>
      </w:r>
      <w:r w:rsidRPr="009F58C5">
        <w:t xml:space="preserve"> For instance, Remembrance Day poppies, which are worn across Canada every November to commemorate Remembrance Day, were produced until 1996 by veterans with disabilities. After 1996, production changed to employ prison laborers through CORCAN, and people with intellectual and developmental disabilities in a sheltered workshop at a rate of $0.01 per poppy. From: Linton, M. (4 Nov 2021). A penny a poppy. </w:t>
      </w:r>
      <w:r w:rsidRPr="009F58C5">
        <w:rPr>
          <w:iCs/>
        </w:rPr>
        <w:t>Briarpatch Magazine.</w:t>
      </w:r>
      <w:r w:rsidRPr="009F58C5">
        <w:t xml:space="preserve"> </w:t>
      </w:r>
      <w:hyperlink r:id="rId31" w:history="1">
        <w:r w:rsidRPr="009F58C5">
          <w:rPr>
            <w:rStyle w:val="Hyperlink"/>
          </w:rPr>
          <w:t>https://briarpatchmagazine.com/articles/view/sheltered-workshops-poppies-disabled-workers</w:t>
        </w:r>
      </w:hyperlink>
      <w:r w:rsidRPr="009F58C5">
        <w:t xml:space="preserve">. There is more information also available in the Toronto Star’s 2015 investigation on sheltered workshops, available here: </w:t>
      </w:r>
      <w:hyperlink r:id="rId32" w:history="1">
        <w:r w:rsidRPr="009F58C5">
          <w:rPr>
            <w:rStyle w:val="Hyperlink"/>
          </w:rPr>
          <w:t>https://www.thestar.com/news/gta/2015/11/02/sheltered-workshops-a-blessing-for-developmentally-challenged-or-slave-labour.html</w:t>
        </w:r>
      </w:hyperlink>
      <w:r w:rsidRPr="009F58C5">
        <w:t xml:space="preserve">. </w:t>
      </w:r>
    </w:p>
  </w:footnote>
  <w:footnote w:id="39">
    <w:p w14:paraId="70CAB3FC" w14:textId="77777777" w:rsidR="006F4455" w:rsidRPr="009F58C5" w:rsidRDefault="006F4455" w:rsidP="006F4455">
      <w:pPr>
        <w:pStyle w:val="FootnoteText"/>
      </w:pPr>
      <w:r w:rsidRPr="009F58C5">
        <w:rPr>
          <w:rStyle w:val="FootnoteReference"/>
        </w:rPr>
        <w:footnoteRef/>
      </w:r>
      <w:r w:rsidRPr="009F58C5">
        <w:t xml:space="preserve"> Inclusion Canada. (June 2011). </w:t>
      </w:r>
      <w:r w:rsidRPr="009F58C5">
        <w:rPr>
          <w:iCs/>
        </w:rPr>
        <w:t xml:space="preserve">Achieving social and economic inclusion: From segregation to ‘employment first’. </w:t>
      </w:r>
      <w:hyperlink r:id="rId33" w:history="1">
        <w:r w:rsidRPr="009F58C5">
          <w:rPr>
            <w:rStyle w:val="Hyperlink"/>
          </w:rPr>
          <w:t>https://inclusioncanada.ca/wp-content/uploads/2018/05/Achieving-social-and-economic-inclusion_0.pdf</w:t>
        </w:r>
      </w:hyperlink>
      <w:r w:rsidRPr="009F58C5">
        <w:t xml:space="preserve">. </w:t>
      </w:r>
    </w:p>
  </w:footnote>
  <w:footnote w:id="40">
    <w:p w14:paraId="2B67C0C9" w14:textId="77777777" w:rsidR="006F4455" w:rsidRPr="009F58C5" w:rsidRDefault="006F4455" w:rsidP="006F4455">
      <w:pPr>
        <w:pStyle w:val="FootnoteText"/>
      </w:pPr>
      <w:r w:rsidRPr="009F58C5">
        <w:rPr>
          <w:rStyle w:val="FootnoteReference"/>
        </w:rPr>
        <w:footnoteRef/>
      </w:r>
      <w:r w:rsidRPr="009F58C5">
        <w:t xml:space="preserve"> In some cases, sheltered workshops may pay people with disabilities as little as $1.26 per hour, contributing to their continued marginalization and impoverishment. See: Spagnuolo, N, &amp; Earle, K. (4 July 2017). Updates from the long road to deinstitutionalization. Canadian Centre for Policy Alternatives. </w:t>
      </w:r>
      <w:hyperlink r:id="rId34" w:history="1">
        <w:r w:rsidRPr="009F58C5">
          <w:rPr>
            <w:rStyle w:val="Hyperlink"/>
          </w:rPr>
          <w:t>https://policyalternatives.ca/publications/monitor/freeing-our-people</w:t>
        </w:r>
      </w:hyperlink>
      <w:r w:rsidRPr="009F58C5">
        <w:t>.</w:t>
      </w:r>
    </w:p>
  </w:footnote>
  <w:footnote w:id="41">
    <w:p w14:paraId="465BAAC6" w14:textId="77777777" w:rsidR="006F4455" w:rsidRPr="009F58C5" w:rsidRDefault="006F4455" w:rsidP="006F4455">
      <w:pPr>
        <w:pStyle w:val="FootnoteText"/>
      </w:pPr>
      <w:r w:rsidRPr="009F58C5">
        <w:rPr>
          <w:rStyle w:val="FootnoteReference"/>
        </w:rPr>
        <w:footnoteRef/>
      </w:r>
      <w:r w:rsidRPr="009F58C5">
        <w:t xml:space="preserve"> Institute for Research and Development in Society. (2021). Help Wanted: Ending sheltered work in Canada. </w:t>
      </w:r>
      <w:hyperlink r:id="rId35" w:history="1">
        <w:r w:rsidRPr="009F58C5">
          <w:rPr>
            <w:rStyle w:val="Hyperlink"/>
          </w:rPr>
          <w:t>https://irisinstitute.ca/wp-content/uploads/sites/2/2021/09/Help-wanted-Full-Report-EN.pdf</w:t>
        </w:r>
      </w:hyperlink>
      <w:r w:rsidRPr="009F58C5">
        <w:t xml:space="preserve">. </w:t>
      </w:r>
    </w:p>
  </w:footnote>
  <w:footnote w:id="42">
    <w:p w14:paraId="56F638D5" w14:textId="77777777" w:rsidR="006F4455" w:rsidRPr="009F58C5" w:rsidRDefault="006F4455" w:rsidP="006F4455">
      <w:pPr>
        <w:pStyle w:val="FootnoteText"/>
      </w:pPr>
      <w:r w:rsidRPr="009F58C5">
        <w:rPr>
          <w:rStyle w:val="FootnoteReference"/>
        </w:rPr>
        <w:footnoteRef/>
      </w:r>
      <w:r w:rsidRPr="009F58C5">
        <w:t xml:space="preserve"> Statistics Canada. (August 27, 2020). The impact of the COVID-19 pandemic on Canadian families of children with disabilities. </w:t>
      </w:r>
      <w:hyperlink r:id="rId36" w:history="1">
        <w:r w:rsidRPr="009F58C5">
          <w:rPr>
            <w:rStyle w:val="Hyperlink"/>
          </w:rPr>
          <w:t>https://www150.statcan.gc.ca/n1/pub/45-28-0001/2020001/article/00066-eng.pdf</w:t>
        </w:r>
      </w:hyperlink>
      <w:r w:rsidRPr="009F58C5">
        <w:t xml:space="preserve">. </w:t>
      </w:r>
    </w:p>
  </w:footnote>
  <w:footnote w:id="43">
    <w:p w14:paraId="3EEF2E9A" w14:textId="77777777" w:rsidR="006F4455" w:rsidRPr="009F58C5" w:rsidRDefault="006F4455" w:rsidP="006F4455">
      <w:pPr>
        <w:pStyle w:val="FootnoteText"/>
      </w:pPr>
      <w:r w:rsidRPr="009F58C5">
        <w:rPr>
          <w:rStyle w:val="FootnoteReference"/>
        </w:rPr>
        <w:footnoteRef/>
      </w:r>
      <w:r w:rsidRPr="009F58C5">
        <w:t xml:space="preserve"> Available at: </w:t>
      </w:r>
      <w:hyperlink r:id="rId37" w:history="1">
        <w:r w:rsidRPr="009F58C5">
          <w:rPr>
            <w:rStyle w:val="Hyperlink"/>
          </w:rPr>
          <w:t>https://www.ohrc.on.ca/en/right-to-read-inquiry-report</w:t>
        </w:r>
      </w:hyperlink>
      <w:r w:rsidRPr="009F58C5">
        <w:t xml:space="preserve">. </w:t>
      </w:r>
    </w:p>
  </w:footnote>
  <w:footnote w:id="44">
    <w:p w14:paraId="78DBA102" w14:textId="77777777" w:rsidR="006F4455" w:rsidRPr="009F58C5" w:rsidRDefault="006F4455" w:rsidP="006F4455">
      <w:pPr>
        <w:pStyle w:val="FootnoteText"/>
      </w:pPr>
      <w:r w:rsidRPr="009F58C5">
        <w:rPr>
          <w:rStyle w:val="FootnoteReference"/>
        </w:rPr>
        <w:footnoteRef/>
      </w:r>
      <w:r w:rsidRPr="009F58C5">
        <w:rPr>
          <w:lang w:val="fr-CA"/>
        </w:rPr>
        <w:t xml:space="preserve"> Commission des droits de la personne et des droits de la jeunesse. (2023). Le respect des droits des élèves HDAA : un état de lieu, Daniel Ducharme et Johanne Magloire, avec la collab. de Me Karina Montminy, (Cat. 2.120-12.61.1). </w:t>
      </w:r>
      <w:hyperlink r:id="rId38" w:history="1">
        <w:r w:rsidRPr="009F58C5">
          <w:rPr>
            <w:rStyle w:val="Hyperlink"/>
          </w:rPr>
          <w:t>https://www.cdpdj.qc.ca/storage/app/media/publications/synthese_colloque-EHDAA.pdf</w:t>
        </w:r>
      </w:hyperlink>
      <w:r w:rsidRPr="009F58C5">
        <w:t xml:space="preserve">. </w:t>
      </w:r>
    </w:p>
  </w:footnote>
  <w:footnote w:id="45">
    <w:p w14:paraId="349D9A49" w14:textId="77777777" w:rsidR="00AA5246" w:rsidRPr="009F58C5" w:rsidRDefault="00AA5246" w:rsidP="00AA5246">
      <w:pPr>
        <w:pStyle w:val="FootnoteText"/>
      </w:pPr>
      <w:r w:rsidRPr="009F58C5">
        <w:rPr>
          <w:rStyle w:val="FootnoteReference"/>
        </w:rPr>
        <w:footnoteRef/>
      </w:r>
      <w:r w:rsidRPr="009F58C5">
        <w:t xml:space="preserve"> These priority areas are as follows: employment; the built environment; information and communication technologies; communication, other than information and communication technologies; the procurement of goods, services and facilities; the design and delivery of programs and services; transportation; and areas designated under regulations made under paragraph 117(1)(b). </w:t>
      </w:r>
    </w:p>
  </w:footnote>
  <w:footnote w:id="46">
    <w:p w14:paraId="0975FAC1" w14:textId="58EA1C66" w:rsidR="00AA5246" w:rsidRPr="009F58C5" w:rsidRDefault="00AA5246" w:rsidP="00AA5246">
      <w:pPr>
        <w:pStyle w:val="FootnoteText"/>
      </w:pPr>
      <w:r w:rsidRPr="009F58C5">
        <w:rPr>
          <w:rStyle w:val="FootnoteReference"/>
        </w:rPr>
        <w:footnoteRef/>
      </w:r>
      <w:r w:rsidRPr="009F58C5">
        <w:t xml:space="preserve"> The following provinces have adopted accessibility legislation: Quebec (2004); Ontario (2005); Manitoba (2013); Nova Scotia (2017); British Columbia (2021); Newfoundland (2021); Saskatchewan (2023); and New Brunswick (2024). These laws vary in their scope and application. For example, the laws in British Columbia, Saskatchewan and Quebec only apply to the public sector, and Quebec’s law does not include enforcement measures or provide a framework for developing accessibility standards.</w:t>
      </w:r>
    </w:p>
  </w:footnote>
  <w:footnote w:id="47">
    <w:p w14:paraId="0E217DBB" w14:textId="77777777" w:rsidR="00AA5246" w:rsidRPr="009F58C5" w:rsidRDefault="00AA5246" w:rsidP="00AA5246">
      <w:pPr>
        <w:pStyle w:val="FootnoteText"/>
      </w:pPr>
      <w:r w:rsidRPr="009F58C5">
        <w:rPr>
          <w:rStyle w:val="FootnoteReference"/>
        </w:rPr>
        <w:footnoteRef/>
      </w:r>
      <w:r w:rsidRPr="009F58C5">
        <w:t xml:space="preserve"> A reserve is land set aside by the Canadian government for use by First Nations peoples. Reserves are managed under the Indian Act. Reserve lands represent a small fraction of the traditional territories First Nations had before European colonization. See: Irwin, R. (May 31, 2011). Reserves in Canada. The Canadian Encyclopedia. </w:t>
      </w:r>
      <w:hyperlink r:id="rId39" w:history="1">
        <w:r w:rsidRPr="009F58C5">
          <w:rPr>
            <w:rStyle w:val="Hyperlink"/>
          </w:rPr>
          <w:t>https://www.thecanadianencyclopedia.ca/en/article/aboriginal-reserves</w:t>
        </w:r>
      </w:hyperlink>
      <w:r w:rsidRPr="009F58C5">
        <w:t xml:space="preserve">.  According to the 2021 Census of Canada, about 37.5% of Registered Indians live on reserve and 62.5% live off reserve. Overall, 48.0% of Registered Indians live in urban areas. See: Indigenous Services Canada. An update on the socio-economic gaps between Indigenous Peoples and the non-Indigenous population in Canada: Highlights from the 2021 Census. </w:t>
      </w:r>
      <w:hyperlink r:id="rId40" w:anchor="chp2-2" w:history="1">
        <w:r w:rsidRPr="009F58C5">
          <w:rPr>
            <w:rStyle w:val="Hyperlink"/>
          </w:rPr>
          <w:t>https://www.sac-isc.gc.ca/eng/1690909773300/1690909797208#chp2-2</w:t>
        </w:r>
      </w:hyperlink>
      <w:r w:rsidRPr="009F58C5">
        <w:t>.</w:t>
      </w:r>
    </w:p>
  </w:footnote>
  <w:footnote w:id="48">
    <w:p w14:paraId="35E12A94" w14:textId="77777777" w:rsidR="00AA5246" w:rsidRPr="009F58C5" w:rsidRDefault="00AA5246" w:rsidP="00AA5246">
      <w:pPr>
        <w:pStyle w:val="FootnoteText"/>
      </w:pPr>
      <w:r w:rsidRPr="009F58C5">
        <w:rPr>
          <w:rStyle w:val="FootnoteReference"/>
        </w:rPr>
        <w:footnoteRef/>
      </w:r>
      <w:r w:rsidRPr="009F58C5">
        <w:t xml:space="preserve"> See: Assembly of First Nations. (March 2023). Closing the Infrastructure Gap by 2030: A Collaborative and Comprehensive Cost Estimate Identifying the Infrastructure Investment Needs of First Nations in Canada. </w:t>
      </w:r>
      <w:hyperlink r:id="rId41" w:history="1">
        <w:r w:rsidRPr="009F58C5">
          <w:rPr>
            <w:rStyle w:val="Hyperlink"/>
            <w:lang w:val="en-US"/>
          </w:rPr>
          <w:t>https://afn.ca/economy-infrastructure/infrastructure/closing-the-infrastructure-gap/</w:t>
        </w:r>
      </w:hyperlink>
      <w:r w:rsidRPr="009F58C5">
        <w:t xml:space="preserve">. </w:t>
      </w:r>
    </w:p>
  </w:footnote>
  <w:footnote w:id="49">
    <w:p w14:paraId="1A2B39B9" w14:textId="77777777" w:rsidR="00AA5246" w:rsidRPr="009F58C5" w:rsidRDefault="00AA5246" w:rsidP="00AA5246">
      <w:pPr>
        <w:pStyle w:val="FootnoteText"/>
      </w:pPr>
      <w:r w:rsidRPr="009F58C5">
        <w:rPr>
          <w:rStyle w:val="FootnoteReference"/>
        </w:rPr>
        <w:footnoteRef/>
      </w:r>
      <w:r w:rsidRPr="009F58C5">
        <w:t xml:space="preserve"> For instance: the Accessible Canada Act aims to identify, remove and prevent accessibility barriers in seven priority areas within federal jurisdiction, including transportation (airlines, as well as rail, road and marine transportation providers that cross provincial or international borders). See: </w:t>
      </w:r>
      <w:hyperlink r:id="rId42" w:anchor="h-1153414" w:history="1">
        <w:r w:rsidRPr="009F58C5">
          <w:rPr>
            <w:rStyle w:val="Hyperlink"/>
          </w:rPr>
          <w:t>https://laws-lois.justice.gc.ca/eng/acts/A-0.6/page-1.html#h-1153414</w:t>
        </w:r>
      </w:hyperlink>
      <w:r w:rsidRPr="009F58C5">
        <w:t xml:space="preserve">. The Accessible Transportation for Persons with Disabilities Regulations, enacted in June 2019, protect the human rights of people with disabilities to an accessible transportation network by providing legally binding requirements across different modes of transportation – air, passenger rail, marine and bus, as well as security and border screening. See: </w:t>
      </w:r>
      <w:hyperlink r:id="rId43" w:history="1">
        <w:r w:rsidRPr="009F58C5">
          <w:rPr>
            <w:rStyle w:val="Hyperlink"/>
          </w:rPr>
          <w:t>https://laws-lois.justice.gc.ca/eng/Regulations/SOR-2019-244/index.html</w:t>
        </w:r>
      </w:hyperlink>
      <w:r w:rsidRPr="009F58C5">
        <w:t xml:space="preserve">. The Accessible Transportation Planning and Reporting Regulations, enacted in December 2021, were developed to proactively identify and remove barriers for people with disabilities who use services offered by federally regulated transportation service providers, as well as prevent new barriers from emerging. See: </w:t>
      </w:r>
      <w:hyperlink r:id="rId44" w:history="1">
        <w:r w:rsidRPr="009F58C5">
          <w:rPr>
            <w:rStyle w:val="Hyperlink"/>
          </w:rPr>
          <w:t>https://laws-lois.justice.gc.ca/eng/regulations/SOR-2021-243/FullText.html</w:t>
        </w:r>
      </w:hyperlink>
      <w:r w:rsidRPr="009F58C5">
        <w:rPr>
          <w:rStyle w:val="Hyperlink"/>
        </w:rPr>
        <w:t xml:space="preserve">. </w:t>
      </w:r>
    </w:p>
  </w:footnote>
  <w:footnote w:id="50">
    <w:p w14:paraId="07522C67" w14:textId="79ACD74E" w:rsidR="00AA5246" w:rsidRPr="009F58C5" w:rsidRDefault="00AA5246" w:rsidP="00AA5246">
      <w:pPr>
        <w:pStyle w:val="FootnoteText"/>
      </w:pPr>
      <w:r w:rsidRPr="009F58C5">
        <w:rPr>
          <w:rStyle w:val="FootnoteReference"/>
        </w:rPr>
        <w:footnoteRef/>
      </w:r>
      <w:r w:rsidRPr="009F58C5">
        <w:t xml:space="preserve"> The CHRC released a statement on barriers in transportation, (October 2022). See: </w:t>
      </w:r>
      <w:hyperlink r:id="rId45" w:history="1">
        <w:r w:rsidR="005076D3" w:rsidRPr="009F58C5">
          <w:rPr>
            <w:rStyle w:val="Hyperlink"/>
          </w:rPr>
          <w:t>https://www.chrc-ccdp.gc.ca/resources/newsroom/people-disabilities-bearing-brunt-travel-woes</w:t>
        </w:r>
      </w:hyperlink>
      <w:r w:rsidR="005076D3" w:rsidRPr="009F58C5">
        <w:t xml:space="preserve">. </w:t>
      </w:r>
      <w:r w:rsidRPr="009F58C5">
        <w:t xml:space="preserve"> </w:t>
      </w:r>
    </w:p>
  </w:footnote>
  <w:footnote w:id="51">
    <w:p w14:paraId="767E15C0" w14:textId="77777777" w:rsidR="00AA5246" w:rsidRPr="009F58C5" w:rsidRDefault="00AA5246" w:rsidP="00AA5246">
      <w:pPr>
        <w:pStyle w:val="FootnoteText"/>
        <w:rPr>
          <w:lang w:val="en"/>
        </w:rPr>
      </w:pPr>
      <w:r w:rsidRPr="009F58C5">
        <w:rPr>
          <w:rStyle w:val="FootnoteReference"/>
        </w:rPr>
        <w:footnoteRef/>
      </w:r>
      <w:r w:rsidRPr="009F58C5">
        <w:t xml:space="preserve"> See: Ghoussoub, M. (November 2, 2023). </w:t>
      </w:r>
      <w:r w:rsidRPr="009F58C5">
        <w:rPr>
          <w:lang w:val="en"/>
        </w:rPr>
        <w:t xml:space="preserve">Air Canada says it violated disability regulations when passenger in wheelchair made to drag himself off plane. CBC News. </w:t>
      </w:r>
      <w:hyperlink r:id="rId46" w:history="1">
        <w:r w:rsidRPr="009F58C5">
          <w:rPr>
            <w:rStyle w:val="Hyperlink"/>
            <w:lang w:val="en"/>
          </w:rPr>
          <w:t>https://www.cbc.ca/news/canada/british-columbia/air-canada-disability-act-1.7017059</w:t>
        </w:r>
      </w:hyperlink>
      <w:r w:rsidRPr="009F58C5">
        <w:rPr>
          <w:lang w:val="en"/>
        </w:rPr>
        <w:t xml:space="preserve">. See also: McDonald, J., Dhanraj, T., Cowley, J. (November 1, 2024). Air Canada promised to become more accessible. But hidden cameras show it's still falling short. CBC News. </w:t>
      </w:r>
      <w:hyperlink r:id="rId47" w:history="1">
        <w:r w:rsidRPr="009F58C5">
          <w:rPr>
            <w:rStyle w:val="Hyperlink"/>
            <w:lang w:val="en"/>
          </w:rPr>
          <w:t>https://www.cbc.ca/news/marketplace/air-canada-promises-accessible-transit-hidden-camera-1.7369146</w:t>
        </w:r>
      </w:hyperlink>
      <w:r w:rsidRPr="009F58C5">
        <w:rPr>
          <w:lang w:val="en"/>
        </w:rPr>
        <w:t xml:space="preserve">. </w:t>
      </w:r>
    </w:p>
  </w:footnote>
  <w:footnote w:id="52">
    <w:p w14:paraId="5E1558A4" w14:textId="77777777" w:rsidR="00AA5246" w:rsidRPr="009F58C5" w:rsidRDefault="00AA5246" w:rsidP="00AA5246">
      <w:pPr>
        <w:pStyle w:val="FootnoteText"/>
      </w:pPr>
      <w:r w:rsidRPr="009F58C5">
        <w:rPr>
          <w:rStyle w:val="FootnoteReference"/>
        </w:rPr>
        <w:footnoteRef/>
      </w:r>
      <w:r w:rsidRPr="009F58C5">
        <w:t xml:space="preserve"> The final report of the Committee was published in December 2024, and is available at: </w:t>
      </w:r>
      <w:hyperlink r:id="rId48" w:history="1">
        <w:r w:rsidRPr="009F58C5">
          <w:rPr>
            <w:rStyle w:val="Hyperlink"/>
          </w:rPr>
          <w:t>https://www.ourcommons.ca/documentviewer/en/44-1/TRAN/report-21</w:t>
        </w:r>
      </w:hyperlink>
      <w:r w:rsidRPr="009F58C5">
        <w:t xml:space="preserve">.  </w:t>
      </w:r>
    </w:p>
  </w:footnote>
  <w:footnote w:id="53">
    <w:p w14:paraId="73F66903" w14:textId="77777777" w:rsidR="00AA5246" w:rsidRPr="009F58C5" w:rsidRDefault="00AA5246" w:rsidP="00AA5246">
      <w:pPr>
        <w:pStyle w:val="FootnoteText"/>
      </w:pPr>
      <w:r w:rsidRPr="009F58C5">
        <w:rPr>
          <w:rStyle w:val="FootnoteReference"/>
        </w:rPr>
        <w:footnoteRef/>
      </w:r>
      <w:r w:rsidRPr="009F58C5">
        <w:t xml:space="preserve"> </w:t>
      </w:r>
      <w:r w:rsidRPr="009F58C5">
        <w:rPr>
          <w:rFonts w:cs="Arial"/>
          <w:szCs w:val="24"/>
        </w:rPr>
        <w:t xml:space="preserve">Key measures called for include: clear communications about available services; standardized and accessible disability and accommodation forms and the retention of this information; improved wayfinding tools for blind and low-vision people; </w:t>
      </w:r>
      <w:r w:rsidRPr="009F58C5">
        <w:rPr>
          <w:rFonts w:cs="Arial"/>
          <w:color w:val="000000"/>
          <w:szCs w:val="24"/>
          <w:shd w:val="clear" w:color="auto" w:fill="FFFFFF"/>
        </w:rPr>
        <w:t xml:space="preserve">recognition that mobility devices, such as </w:t>
      </w:r>
      <w:r w:rsidRPr="009F58C5">
        <w:rPr>
          <w:rFonts w:cs="Arial"/>
          <w:color w:val="0F0F0F"/>
          <w:szCs w:val="24"/>
          <w:shd w:val="clear" w:color="auto" w:fill="FFFFFF"/>
        </w:rPr>
        <w:t>wheelchairs</w:t>
      </w:r>
      <w:r w:rsidRPr="009F58C5">
        <w:rPr>
          <w:rFonts w:cs="Arial"/>
          <w:color w:val="000000"/>
          <w:szCs w:val="24"/>
          <w:shd w:val="clear" w:color="auto" w:fill="FFFFFF"/>
        </w:rPr>
        <w:t xml:space="preserve">, white canes, guide dogs and service animals are </w:t>
      </w:r>
      <w:r w:rsidRPr="009F58C5">
        <w:rPr>
          <w:rFonts w:cs="Arial"/>
          <w:color w:val="0F0F0F"/>
          <w:szCs w:val="24"/>
          <w:shd w:val="clear" w:color="auto" w:fill="FFFFFF"/>
        </w:rPr>
        <w:t>an extension of th</w:t>
      </w:r>
      <w:r w:rsidRPr="009F58C5">
        <w:rPr>
          <w:rFonts w:cs="Arial"/>
          <w:color w:val="000000"/>
          <w:szCs w:val="24"/>
          <w:shd w:val="clear" w:color="auto" w:fill="FFFFFF"/>
        </w:rPr>
        <w:t>eir</w:t>
      </w:r>
      <w:r w:rsidRPr="009F58C5">
        <w:rPr>
          <w:rFonts w:cs="Arial"/>
          <w:color w:val="0F0F0F"/>
          <w:szCs w:val="24"/>
          <w:shd w:val="clear" w:color="auto" w:fill="FFFFFF"/>
        </w:rPr>
        <w:t xml:space="preserve"> body</w:t>
      </w:r>
      <w:r w:rsidRPr="009F58C5">
        <w:rPr>
          <w:rFonts w:cs="Arial"/>
          <w:color w:val="000000"/>
          <w:szCs w:val="24"/>
          <w:shd w:val="clear" w:color="auto" w:fill="FFFFFF"/>
        </w:rPr>
        <w:t xml:space="preserve">; improved </w:t>
      </w:r>
      <w:r w:rsidRPr="009F58C5">
        <w:rPr>
          <w:rFonts w:cs="Arial"/>
          <w:szCs w:val="24"/>
        </w:rPr>
        <w:t>communication, policies and procedures to protect people with food allergies</w:t>
      </w:r>
      <w:r w:rsidRPr="009F58C5">
        <w:rPr>
          <w:rFonts w:cs="Arial"/>
          <w:color w:val="0F0F0F"/>
          <w:szCs w:val="24"/>
          <w:shd w:val="clear" w:color="auto" w:fill="FFFFFF"/>
        </w:rPr>
        <w:t>; establishment of a one-stop disability fast-action helpline; application of the one person-one fare rule to international flights;</w:t>
      </w:r>
      <w:r w:rsidRPr="009F58C5">
        <w:rPr>
          <w:rFonts w:cs="Arial"/>
          <w:szCs w:val="24"/>
        </w:rPr>
        <w:t xml:space="preserve"> comprehensive audits of built environments by independent accessibility experts; fully accessible aircraft so that travellers with disabilities can remain in their own wheelchairs and access washrooms.</w:t>
      </w:r>
    </w:p>
  </w:footnote>
  <w:footnote w:id="54">
    <w:p w14:paraId="4F278556" w14:textId="77777777" w:rsidR="00AA5246" w:rsidRPr="009F58C5" w:rsidRDefault="00AA5246" w:rsidP="00AA5246">
      <w:pPr>
        <w:pStyle w:val="FootnoteText"/>
      </w:pPr>
      <w:r w:rsidRPr="009F58C5">
        <w:rPr>
          <w:rStyle w:val="FootnoteReference"/>
        </w:rPr>
        <w:footnoteRef/>
      </w:r>
      <w:r w:rsidRPr="009F58C5">
        <w:t xml:space="preserve"> For example: training </w:t>
      </w:r>
      <w:r w:rsidRPr="009F58C5">
        <w:rPr>
          <w:rFonts w:cs="Arial"/>
          <w:szCs w:val="24"/>
        </w:rPr>
        <w:t>for airline, airport and security personnel, as well as catering companies.</w:t>
      </w:r>
    </w:p>
  </w:footnote>
  <w:footnote w:id="55">
    <w:p w14:paraId="5493AA78" w14:textId="77777777" w:rsidR="00AA5246" w:rsidRPr="009F58C5" w:rsidRDefault="00AA5246" w:rsidP="00AA5246">
      <w:pPr>
        <w:pStyle w:val="FootnoteText"/>
      </w:pPr>
      <w:r w:rsidRPr="009F58C5">
        <w:rPr>
          <w:rStyle w:val="FootnoteReference"/>
        </w:rPr>
        <w:footnoteRef/>
      </w:r>
      <w:r w:rsidRPr="009F58C5">
        <w:t xml:space="preserve"> A recent survey conducted by Unity Health Toronto found that, across Canada, more than one in five people do not have regular access to a primary care doctor or nurse practitioner. In some provinces, as many as one third of people are unable to access a primary care provider. This is more common among people who are low-income, racialized, or generally in poor health. While this is an issue for all, this can be particularly problematic for people with disabilities who may have complex care needs. See: Duong, D., Vogel, L. (April 24, 2023). National survey highlights worsening primary care access. Canadian Medical Association Journal. </w:t>
      </w:r>
      <w:hyperlink r:id="rId49" w:history="1">
        <w:r w:rsidRPr="009F58C5">
          <w:rPr>
            <w:rStyle w:val="Hyperlink"/>
          </w:rPr>
          <w:t>https://doi.org/10.1503/cmaj.1096049</w:t>
        </w:r>
      </w:hyperlink>
      <w:r w:rsidRPr="009F58C5">
        <w:t xml:space="preserve">. </w:t>
      </w:r>
    </w:p>
  </w:footnote>
  <w:footnote w:id="56">
    <w:p w14:paraId="3FFFA36C" w14:textId="77777777" w:rsidR="00AA5246" w:rsidRPr="009F58C5" w:rsidRDefault="00AA5246" w:rsidP="00AA5246">
      <w:pPr>
        <w:pStyle w:val="FootnoteText"/>
      </w:pPr>
      <w:r w:rsidRPr="009F58C5">
        <w:rPr>
          <w:rStyle w:val="FootnoteReference"/>
        </w:rPr>
        <w:footnoteRef/>
      </w:r>
      <w:r w:rsidRPr="009F58C5">
        <w:t xml:space="preserve"> See: Inclusion Canada, Position on Access to Healthcare, (February 2024), available at: </w:t>
      </w:r>
      <w:hyperlink r:id="rId50" w:history="1">
        <w:r w:rsidRPr="009F58C5">
          <w:rPr>
            <w:rStyle w:val="Hyperlink"/>
          </w:rPr>
          <w:t>https://inclusioncanada.ca/wp-content/uploads/2024/02/Access-to-Healthcare-Position-Statement.pdf</w:t>
        </w:r>
      </w:hyperlink>
      <w:r w:rsidRPr="009F58C5">
        <w:t xml:space="preserve">. </w:t>
      </w:r>
    </w:p>
  </w:footnote>
  <w:footnote w:id="57">
    <w:p w14:paraId="4D2D3A4E" w14:textId="77777777" w:rsidR="00AA5246" w:rsidRPr="009F58C5" w:rsidRDefault="00AA5246" w:rsidP="00AA5246">
      <w:pPr>
        <w:pStyle w:val="FootnoteText"/>
      </w:pPr>
      <w:r w:rsidRPr="009F58C5">
        <w:rPr>
          <w:rStyle w:val="FootnoteReference"/>
        </w:rPr>
        <w:footnoteRef/>
      </w:r>
      <w:r w:rsidRPr="009F58C5">
        <w:t xml:space="preserve"> The existence of systemic and structural racism and other forms of discrimination in Canada’s health sector is well documented, particularly among Black and Indigenous patients. In September 2020, the case of Joyce Echaquan, a 37-year-old Atikamekw woman who died in a Quebec hospital amid staff who taunted her with racist remarks and insults, gained notoriety across the country and brought attention to the issue nationwide. This has prompted calls from advocates and community members to address the dangers and barriers faced by Indigenous and racialized people in the health sector. See: Ontario Human Rights Commission. (November 1, 2020). Why it’s dangerous to be disabled and Indigenous in Canada. </w:t>
      </w:r>
      <w:hyperlink r:id="rId51" w:history="1">
        <w:r w:rsidRPr="009F58C5">
          <w:rPr>
            <w:rStyle w:val="Hyperlink"/>
          </w:rPr>
          <w:t>https://www3.ohrc.on.ca/en/news-center/opinion-editorial-nationalnewswatchcom-why-its-dangerous-be-disabled-and-indigenous</w:t>
        </w:r>
      </w:hyperlink>
      <w:r w:rsidRPr="009F58C5">
        <w:t xml:space="preserve">. See also: The Canadian Press. (March 13, 2024). ‘Racism at the hospital is still happening’: B.C. First Nation. </w:t>
      </w:r>
      <w:hyperlink r:id="rId52" w:history="1">
        <w:r w:rsidRPr="009F58C5">
          <w:rPr>
            <w:rStyle w:val="Hyperlink"/>
          </w:rPr>
          <w:t>https://globalnews.ca/news/10355024/racism-health-care-interior-b-c-first-nation/</w:t>
        </w:r>
      </w:hyperlink>
      <w:r w:rsidRPr="009F58C5">
        <w:t xml:space="preserve">. </w:t>
      </w:r>
    </w:p>
  </w:footnote>
  <w:footnote w:id="58">
    <w:p w14:paraId="5B229488" w14:textId="77777777" w:rsidR="00AA5246" w:rsidRPr="009F58C5" w:rsidRDefault="00AA5246" w:rsidP="00AA5246">
      <w:pPr>
        <w:pStyle w:val="FootnoteText"/>
        <w:rPr>
          <w:lang w:val="en-US"/>
        </w:rPr>
      </w:pPr>
      <w:r w:rsidRPr="009F58C5">
        <w:rPr>
          <w:rStyle w:val="FootnoteReference"/>
        </w:rPr>
        <w:footnoteRef/>
      </w:r>
      <w:r w:rsidRPr="009F58C5">
        <w:t xml:space="preserve"> </w:t>
      </w:r>
      <w:r w:rsidRPr="009F58C5">
        <w:rPr>
          <w:lang w:val="en-US"/>
        </w:rPr>
        <w:t xml:space="preserve">For example, see: Disability Inclusion Analysis of Lessons Learned and Best Practices of the Government of Canada’s Response to the COVID-19 Pandemic: </w:t>
      </w:r>
    </w:p>
    <w:p w14:paraId="58A90936" w14:textId="77777777" w:rsidR="00AA5246" w:rsidRPr="009F58C5" w:rsidRDefault="00AA5246" w:rsidP="00AA5246">
      <w:pPr>
        <w:pStyle w:val="FootnoteText"/>
      </w:pPr>
      <w:hyperlink r:id="rId53" w:history="1">
        <w:r w:rsidRPr="009F58C5">
          <w:rPr>
            <w:rStyle w:val="Hyperlink"/>
            <w:lang w:val="en-US"/>
          </w:rPr>
          <w:t>https://liveworkwell.ca/sites/default/files/pageuploads/DisabilityInclusionAnalysisCOVID-19_Final_031621_protected.pdf</w:t>
        </w:r>
      </w:hyperlink>
      <w:r w:rsidRPr="009F58C5">
        <w:rPr>
          <w:lang w:val="en-US"/>
        </w:rPr>
        <w:t xml:space="preserve">; </w:t>
      </w:r>
      <w:r w:rsidRPr="009F58C5">
        <w:t xml:space="preserve">Health impacts of the COVID-19 pandemic among Canadians living with disabilities, Canadian Journal of Disability Studies (2023): </w:t>
      </w:r>
      <w:hyperlink r:id="rId54" w:history="1">
        <w:r w:rsidRPr="009F58C5">
          <w:rPr>
            <w:rStyle w:val="Hyperlink"/>
          </w:rPr>
          <w:t>https://cjds.uwaterloo.ca/index.php/cjds/article/view/1009/1174</w:t>
        </w:r>
      </w:hyperlink>
      <w:r w:rsidRPr="009F58C5">
        <w:t xml:space="preserve">; Abilities Centre, COVID-19 Disability Survey: </w:t>
      </w:r>
      <w:hyperlink r:id="rId55" w:history="1">
        <w:r w:rsidRPr="009F58C5">
          <w:rPr>
            <w:rStyle w:val="Hyperlink"/>
          </w:rPr>
          <w:t>https://abilitiescentre.org/Abilities/media/Documents/Covid-survey-report-Dec-18_1.pdf</w:t>
        </w:r>
      </w:hyperlink>
      <w:r w:rsidRPr="009F58C5">
        <w:t xml:space="preserve">; and Statistics Canada, Impacts of COVID-19 on persons with disabilities: </w:t>
      </w:r>
      <w:hyperlink r:id="rId56" w:history="1">
        <w:r w:rsidRPr="009F58C5">
          <w:rPr>
            <w:rStyle w:val="Hyperlink"/>
          </w:rPr>
          <w:t>https://www150.statcan.gc.ca/n1/daily-quotidien/200827/dq200827c-eng.htm</w:t>
        </w:r>
      </w:hyperlink>
      <w:r w:rsidRPr="009F58C5">
        <w:t xml:space="preserve">. </w:t>
      </w:r>
    </w:p>
  </w:footnote>
  <w:footnote w:id="59">
    <w:p w14:paraId="67D3345B" w14:textId="77777777" w:rsidR="00AA5246" w:rsidRPr="009F58C5" w:rsidRDefault="00AA5246" w:rsidP="00AA5246">
      <w:pPr>
        <w:pStyle w:val="FootnoteText"/>
      </w:pPr>
      <w:r w:rsidRPr="009F58C5">
        <w:rPr>
          <w:rStyle w:val="FootnoteReference"/>
        </w:rPr>
        <w:footnoteRef/>
      </w:r>
      <w:r w:rsidRPr="009F58C5">
        <w:t xml:space="preserve"> For example, see: </w:t>
      </w:r>
      <w:hyperlink r:id="rId57" w:history="1">
        <w:r w:rsidRPr="009F58C5">
          <w:rPr>
            <w:rStyle w:val="Hyperlink"/>
          </w:rPr>
          <w:t>www.cbc.ca/news/canada/british-columbia/woman-disability-dies-white-rock-hospital-covid-19-1.5543468</w:t>
        </w:r>
      </w:hyperlink>
      <w:r w:rsidRPr="009F58C5">
        <w:t xml:space="preserve"> and </w:t>
      </w:r>
      <w:hyperlink r:id="rId58" w:history="1">
        <w:r w:rsidRPr="009F58C5">
          <w:rPr>
            <w:rStyle w:val="Hyperlink"/>
          </w:rPr>
          <w:t>www.cbc.ca/news/health/covid-19-impact-on-canadians-with-disabilities-1.5525332</w:t>
        </w:r>
      </w:hyperlink>
      <w:r w:rsidRPr="009F58C5">
        <w:t xml:space="preserve">. </w:t>
      </w:r>
    </w:p>
  </w:footnote>
  <w:footnote w:id="60">
    <w:p w14:paraId="2C8C7BCC" w14:textId="77777777" w:rsidR="00AA5246" w:rsidRPr="009F58C5" w:rsidRDefault="00AA5246" w:rsidP="00AA5246">
      <w:pPr>
        <w:pStyle w:val="FootnoteText"/>
      </w:pPr>
      <w:r w:rsidRPr="009F58C5">
        <w:rPr>
          <w:rStyle w:val="FootnoteReference"/>
        </w:rPr>
        <w:footnoteRef/>
      </w:r>
      <w:r w:rsidRPr="009F58C5">
        <w:t xml:space="preserve"> See: </w:t>
      </w:r>
      <w:hyperlink r:id="rId59" w:history="1">
        <w:r w:rsidRPr="009F58C5">
          <w:rPr>
            <w:rStyle w:val="Hyperlink"/>
          </w:rPr>
          <w:t>https://www3.ohrc.on.ca/en/news-center/new-letter-minister-health-critical-care-triage-protocol</w:t>
        </w:r>
      </w:hyperlink>
      <w:r w:rsidRPr="009F58C5">
        <w:t xml:space="preserve"> and </w:t>
      </w:r>
      <w:hyperlink r:id="rId60" w:history="1">
        <w:r w:rsidRPr="009F58C5">
          <w:rPr>
            <w:rStyle w:val="Hyperlink"/>
          </w:rPr>
          <w:t>https://archdisabilitylaw.ca/wp-content/uploads/2020/04/April-8-2020-Open-Letter-Ontarios-COVID-19-Triage-Protocol-PDF.pdf</w:t>
        </w:r>
      </w:hyperlink>
      <w:r w:rsidRPr="009F58C5">
        <w:rPr>
          <w:rStyle w:val="Hyperlink"/>
        </w:rPr>
        <w:t>.</w:t>
      </w:r>
    </w:p>
  </w:footnote>
  <w:footnote w:id="61">
    <w:p w14:paraId="24761ACD" w14:textId="77777777" w:rsidR="00AA5246" w:rsidRPr="009F58C5" w:rsidRDefault="00AA5246" w:rsidP="00AA5246">
      <w:pPr>
        <w:pStyle w:val="FootnoteText"/>
      </w:pPr>
      <w:r w:rsidRPr="009F58C5">
        <w:rPr>
          <w:rStyle w:val="FootnoteReference"/>
        </w:rPr>
        <w:footnoteRef/>
      </w:r>
      <w:r w:rsidRPr="009F58C5">
        <w:t xml:space="preserve"> Recommendations to the Canadian Government from Disability Related Organizations in Canada (2020): </w:t>
      </w:r>
      <w:hyperlink r:id="rId61" w:history="1">
        <w:r w:rsidRPr="009F58C5">
          <w:rPr>
            <w:rStyle w:val="Hyperlink"/>
          </w:rPr>
          <w:t>https://archdisabilitylaw.ca/covid-19-and-disability-recommendations-to-the-canadian-government-from-disability-related-organizations-in-canada-march-24-2020/</w:t>
        </w:r>
      </w:hyperlink>
      <w:r w:rsidRPr="009F58C5">
        <w:rPr>
          <w:lang w:val="en-US"/>
        </w:rPr>
        <w:t>.</w:t>
      </w:r>
    </w:p>
  </w:footnote>
  <w:footnote w:id="62">
    <w:p w14:paraId="61EEEE35" w14:textId="77777777" w:rsidR="00AA5246" w:rsidRPr="009F58C5" w:rsidRDefault="00AA5246" w:rsidP="00AA5246">
      <w:pPr>
        <w:pStyle w:val="FootnoteText"/>
      </w:pPr>
      <w:r w:rsidRPr="009F58C5">
        <w:rPr>
          <w:rStyle w:val="FootnoteReference"/>
        </w:rPr>
        <w:footnoteRef/>
      </w:r>
      <w:r w:rsidRPr="009F58C5">
        <w:t xml:space="preserve"> Canadian Institute for Health Information, Canadians report increasing need for mental health care alongside barriers to access, (21 March 2024), available at: </w:t>
      </w:r>
      <w:hyperlink r:id="rId62" w:history="1">
        <w:r w:rsidRPr="009F58C5">
          <w:rPr>
            <w:rStyle w:val="Hyperlink"/>
          </w:rPr>
          <w:t>https://www.cihi.ca/en/canadians-report-increasing-need-for-mental-health-care-alongside-barriers-to-access</w:t>
        </w:r>
      </w:hyperlink>
      <w:r w:rsidRPr="009F58C5">
        <w:t>.</w:t>
      </w:r>
    </w:p>
  </w:footnote>
  <w:footnote w:id="63">
    <w:p w14:paraId="263548E3" w14:textId="77777777" w:rsidR="00AA5246" w:rsidRPr="009F58C5" w:rsidRDefault="00AA5246" w:rsidP="00AA5246">
      <w:pPr>
        <w:pStyle w:val="FootnoteText"/>
      </w:pPr>
      <w:r w:rsidRPr="009F58C5">
        <w:rPr>
          <w:rStyle w:val="FootnoteReference"/>
        </w:rPr>
        <w:footnoteRef/>
      </w:r>
      <w:r w:rsidRPr="009F58C5">
        <w:t xml:space="preserve"> Centre for Addiction and Mental Health, Mental Illness and Addiction: Facts and Statistics, available at: </w:t>
      </w:r>
      <w:hyperlink r:id="rId63" w:history="1">
        <w:r w:rsidRPr="009F58C5">
          <w:rPr>
            <w:rStyle w:val="Hyperlink"/>
          </w:rPr>
          <w:t>https://www.camh.ca/en/driving-change/the-crisis-is-real/mental-health-statistics</w:t>
        </w:r>
      </w:hyperlink>
      <w:r w:rsidRPr="009F58C5">
        <w:t xml:space="preserve">. </w:t>
      </w:r>
    </w:p>
  </w:footnote>
  <w:footnote w:id="64">
    <w:p w14:paraId="6539F9F0" w14:textId="77777777" w:rsidR="00AA5246" w:rsidRPr="009F58C5" w:rsidRDefault="00AA5246" w:rsidP="00AA5246">
      <w:pPr>
        <w:pStyle w:val="FootnoteText"/>
      </w:pPr>
      <w:r w:rsidRPr="009F58C5">
        <w:rPr>
          <w:rStyle w:val="FootnoteReference"/>
        </w:rPr>
        <w:footnoteRef/>
      </w:r>
      <w:r w:rsidRPr="009F58C5">
        <w:t xml:space="preserve"> Canadian Mental Health Association, The State of Mental Health in Canada 2024, (November 2024), available at: </w:t>
      </w:r>
      <w:hyperlink r:id="rId64" w:history="1">
        <w:r w:rsidRPr="009F58C5">
          <w:rPr>
            <w:rStyle w:val="Hyperlink"/>
          </w:rPr>
          <w:t>https://cmha.ca/wp-content/uploads/2024/11/CMHA-State-of-Mental-Health-2024-report.pdf</w:t>
        </w:r>
      </w:hyperlink>
      <w:r w:rsidRPr="009F58C5">
        <w:t>.</w:t>
      </w:r>
    </w:p>
  </w:footnote>
  <w:footnote w:id="65">
    <w:p w14:paraId="7C366558" w14:textId="77777777" w:rsidR="00AA5246" w:rsidRPr="009F58C5" w:rsidRDefault="00AA5246" w:rsidP="00AA5246">
      <w:pPr>
        <w:pStyle w:val="FootnoteText"/>
        <w:rPr>
          <w:rFonts w:cs="Arial"/>
        </w:rPr>
      </w:pPr>
      <w:r w:rsidRPr="009F58C5">
        <w:rPr>
          <w:rStyle w:val="FootnoteReference"/>
          <w:rFonts w:cs="Arial"/>
        </w:rPr>
        <w:footnoteRef/>
      </w:r>
      <w:r w:rsidRPr="009F58C5">
        <w:rPr>
          <w:rFonts w:cs="Arial"/>
        </w:rPr>
        <w:t xml:space="preserve"> See: Reclaiming Power and Place: The Final Report of the National Inquiry into Missing and Murdered Indigenous Women and Girls. (June 2019). </w:t>
      </w:r>
      <w:hyperlink r:id="rId65" w:history="1">
        <w:r w:rsidRPr="009F58C5">
          <w:rPr>
            <w:rStyle w:val="Hyperlink"/>
            <w:rFonts w:cs="Arial"/>
          </w:rPr>
          <w:t>https://www.mmiwg-ffada.ca/final-report/</w:t>
        </w:r>
      </w:hyperlink>
      <w:r w:rsidRPr="009F58C5">
        <w:rPr>
          <w:rFonts w:cs="Arial"/>
        </w:rPr>
        <w:t xml:space="preserve">. See Volume 1a, Chapter 6: </w:t>
      </w:r>
      <w:r w:rsidRPr="009F58C5">
        <w:rPr>
          <w:rFonts w:cs="Arial"/>
          <w:iCs/>
        </w:rPr>
        <w:t>Confronting Oppression – Right to Health</w:t>
      </w:r>
      <w:r w:rsidRPr="009F58C5">
        <w:rPr>
          <w:rFonts w:cs="Arial"/>
        </w:rPr>
        <w:t>, for the health-related aspects of the report.</w:t>
      </w:r>
    </w:p>
  </w:footnote>
  <w:footnote w:id="66">
    <w:p w14:paraId="4DDAD628" w14:textId="77777777" w:rsidR="00AA5246" w:rsidRPr="009F58C5" w:rsidRDefault="00AA5246" w:rsidP="00AA5246">
      <w:pPr>
        <w:pStyle w:val="FootnoteText"/>
      </w:pPr>
      <w:r w:rsidRPr="009F58C5">
        <w:rPr>
          <w:rStyle w:val="FootnoteReference"/>
        </w:rPr>
        <w:footnoteRef/>
      </w:r>
      <w:r w:rsidRPr="009F58C5">
        <w:t xml:space="preserve"> See: Report of the Standing Senate Committee on Human Rights. (July 2022). The Scars that We Carry: Forced and Coerced Sterilization of Persons in Canada – Part II. </w:t>
      </w:r>
      <w:hyperlink r:id="rId66" w:history="1">
        <w:r w:rsidRPr="009F58C5">
          <w:rPr>
            <w:rStyle w:val="Hyperlink"/>
          </w:rPr>
          <w:t>https://publications.gc.ca/collections/collection_2022/sen/yc32-0/YC32-0-441-4-eng.pdf</w:t>
        </w:r>
      </w:hyperlink>
      <w:r w:rsidRPr="009F58C5">
        <w:t xml:space="preserve">.  </w:t>
      </w:r>
    </w:p>
  </w:footnote>
  <w:footnote w:id="67">
    <w:p w14:paraId="5F5699AA" w14:textId="7E6D1BCB" w:rsidR="00AA5246" w:rsidRPr="009F58C5" w:rsidRDefault="00AA5246" w:rsidP="00AA5246">
      <w:pPr>
        <w:pStyle w:val="FootnoteText"/>
        <w:rPr>
          <w:rFonts w:cs="Arial"/>
        </w:rPr>
      </w:pPr>
      <w:r w:rsidRPr="009F58C5">
        <w:rPr>
          <w:rStyle w:val="FootnoteReference"/>
          <w:rFonts w:cs="Arial"/>
        </w:rPr>
        <w:footnoteRef/>
      </w:r>
      <w:r w:rsidRPr="009F58C5">
        <w:rPr>
          <w:rFonts w:cs="Arial"/>
        </w:rPr>
        <w:t xml:space="preserve"> Boyer, Y., &amp; Bartlett, J., Saskatoon Regional Health Authority. (July 11, 2017).</w:t>
      </w:r>
      <w:r w:rsidRPr="009F58C5">
        <w:rPr>
          <w:rFonts w:cs="Arial"/>
          <w:i/>
          <w:iCs/>
        </w:rPr>
        <w:t xml:space="preserve"> </w:t>
      </w:r>
      <w:r w:rsidRPr="009F58C5">
        <w:rPr>
          <w:rFonts w:cs="Arial"/>
        </w:rPr>
        <w:t xml:space="preserve">External Review: Tubal Ligation in the Saskatoon Health Region: The Lived Experience of Aboriginal Women, 2017, available at:  </w:t>
      </w:r>
      <w:hyperlink r:id="rId67" w:history="1">
        <w:r w:rsidRPr="009F58C5">
          <w:rPr>
            <w:rStyle w:val="Hyperlink"/>
            <w:rFonts w:cs="Arial"/>
          </w:rPr>
          <w:t>https://senatorboyer.ca/wp-content/uploads/2021/09/Tubal-Ligation-in-the-Saskatoon-Health-Region-the-Lived-Experience-of-Aboriginal-Women-Boyer-and-Bartlett-July-11-2017.pdf</w:t>
        </w:r>
      </w:hyperlink>
      <w:r w:rsidRPr="009F58C5">
        <w:rPr>
          <w:rFonts w:cs="Arial"/>
        </w:rPr>
        <w:t xml:space="preserve">. See also note </w:t>
      </w:r>
      <w:r w:rsidR="005076D3" w:rsidRPr="009F58C5">
        <w:rPr>
          <w:rFonts w:cs="Arial"/>
        </w:rPr>
        <w:t>66</w:t>
      </w:r>
      <w:r w:rsidRPr="009F58C5">
        <w:rPr>
          <w:rFonts w:cs="Arial"/>
        </w:rPr>
        <w:t>.</w:t>
      </w:r>
    </w:p>
  </w:footnote>
  <w:footnote w:id="68">
    <w:p w14:paraId="1852067F" w14:textId="5B9A2C14" w:rsidR="00AA5246" w:rsidRPr="009F58C5" w:rsidRDefault="00AA5246" w:rsidP="00AA5246">
      <w:pPr>
        <w:pStyle w:val="FootnoteText"/>
      </w:pPr>
      <w:r w:rsidRPr="009F58C5">
        <w:rPr>
          <w:rStyle w:val="FootnoteReference"/>
        </w:rPr>
        <w:footnoteRef/>
      </w:r>
      <w:r w:rsidRPr="009F58C5">
        <w:t xml:space="preserve"> supra note </w:t>
      </w:r>
      <w:r w:rsidR="005076D3" w:rsidRPr="009F58C5">
        <w:t>66</w:t>
      </w:r>
      <w:r w:rsidRPr="009F58C5">
        <w:t xml:space="preserve">. </w:t>
      </w:r>
    </w:p>
  </w:footnote>
  <w:footnote w:id="69">
    <w:p w14:paraId="1DCFF3A8" w14:textId="77777777" w:rsidR="00AA5246" w:rsidRPr="009F58C5" w:rsidRDefault="00AA5246" w:rsidP="00AA5246">
      <w:pPr>
        <w:pStyle w:val="FootnoteText"/>
      </w:pPr>
      <w:r w:rsidRPr="009F58C5">
        <w:rPr>
          <w:rStyle w:val="FootnoteReference"/>
        </w:rPr>
        <w:footnoteRef/>
      </w:r>
      <w:r w:rsidRPr="009F58C5">
        <w:t xml:space="preserve"> See: Trans PULSE Canada. (December 2023). Health and Well-Being Among Disabled Trans and Non-Binary People. </w:t>
      </w:r>
      <w:hyperlink r:id="rId68" w:history="1">
        <w:r w:rsidRPr="009F58C5">
          <w:rPr>
            <w:rStyle w:val="Hyperlink"/>
          </w:rPr>
          <w:t>https://transpulsecanada.ca/results/report-health-and-well-being-among-disabled-trans-and-non-binary-people/</w:t>
        </w:r>
      </w:hyperlink>
      <w:r w:rsidRPr="009F58C5">
        <w:t xml:space="preserve">. </w:t>
      </w:r>
    </w:p>
  </w:footnote>
  <w:footnote w:id="70">
    <w:p w14:paraId="49697E03" w14:textId="77777777" w:rsidR="00AA5246" w:rsidRPr="009F58C5" w:rsidRDefault="00AA5246" w:rsidP="00AA5246">
      <w:pPr>
        <w:pStyle w:val="FootnoteText"/>
      </w:pPr>
      <w:r w:rsidRPr="009F58C5">
        <w:rPr>
          <w:rStyle w:val="FootnoteReference"/>
        </w:rPr>
        <w:footnoteRef/>
      </w:r>
      <w:r w:rsidRPr="009F58C5">
        <w:t xml:space="preserve"> See: The Rights of Persons with Disabilities in the Context of the UN Framework Convention on Climate Change. (December 2019). Center for International Environmental Law (CIEL), Council of Canadians with Disabilities (CCD), and Inclusiva. </w:t>
      </w:r>
      <w:hyperlink r:id="rId69" w:history="1">
        <w:r w:rsidRPr="009F58C5">
          <w:rPr>
            <w:rStyle w:val="Hyperlink"/>
          </w:rPr>
          <w:t>https://www.disabilityinclusiveclimate.org/researcheng/project-one-ephnc-76974</w:t>
        </w:r>
      </w:hyperlink>
      <w:r w:rsidRPr="009F58C5">
        <w:t xml:space="preserve">. </w:t>
      </w:r>
    </w:p>
  </w:footnote>
  <w:footnote w:id="71">
    <w:p w14:paraId="6F14072A" w14:textId="77777777" w:rsidR="00AA5246" w:rsidRPr="009F58C5" w:rsidRDefault="00AA5246" w:rsidP="00AA5246">
      <w:pPr>
        <w:pStyle w:val="FootnoteText"/>
      </w:pPr>
      <w:r w:rsidRPr="009F58C5">
        <w:rPr>
          <w:rStyle w:val="FootnoteReference"/>
        </w:rPr>
        <w:footnoteRef/>
      </w:r>
      <w:r w:rsidRPr="009F58C5">
        <w:t xml:space="preserve"> See: Human Rights Watch. (October 2021). Canada: Disastrous Impact of Extreme Heat.  </w:t>
      </w:r>
      <w:hyperlink r:id="rId70" w:anchor=":~:text=People%20interviewed%20by%20Human%20Rights%20Watch%20described%20symptoms%20of%20heat,%2C%20breathing%20difficulties%2C%20and%20weakness" w:history="1">
        <w:r w:rsidRPr="009F58C5">
          <w:rPr>
            <w:rStyle w:val="Hyperlink"/>
          </w:rPr>
          <w:t>https://www.hrw.org/news/2021/10/05/canada-disastrous-impact-extreme-heat#:~:text=People%20interviewed%20by%20Human%20Rights%20Watch%20described%20symptoms%20of%20heat,%2C%20breathing%20difficulties%2C%20and%20weakness</w:t>
        </w:r>
      </w:hyperlink>
      <w:r w:rsidRPr="009F58C5">
        <w:t xml:space="preserve">. </w:t>
      </w:r>
    </w:p>
  </w:footnote>
  <w:footnote w:id="72">
    <w:p w14:paraId="6E63BA6F" w14:textId="77777777" w:rsidR="00AA5246" w:rsidRPr="009F58C5" w:rsidRDefault="00AA5246" w:rsidP="00AA5246">
      <w:pPr>
        <w:pStyle w:val="FootnoteText"/>
        <w:rPr>
          <w:rFonts w:cs="Arial"/>
        </w:rPr>
      </w:pPr>
      <w:r w:rsidRPr="009F58C5">
        <w:rPr>
          <w:rStyle w:val="FootnoteReference"/>
          <w:rFonts w:cs="Arial"/>
        </w:rPr>
        <w:footnoteRef/>
      </w:r>
      <w:r w:rsidRPr="009F58C5">
        <w:rPr>
          <w:rFonts w:cs="Arial"/>
        </w:rPr>
        <w:t xml:space="preserve"> Waldron, I. R.G. (2016). </w:t>
      </w:r>
      <w:r w:rsidRPr="009F58C5">
        <w:rPr>
          <w:rFonts w:cs="Arial"/>
          <w:iCs/>
        </w:rPr>
        <w:t xml:space="preserve">Experiences of Environmental Health Inequities in African Nova Scotian Communities. </w:t>
      </w:r>
      <w:hyperlink r:id="rId71" w:history="1">
        <w:r w:rsidRPr="009F58C5">
          <w:rPr>
            <w:rStyle w:val="Hyperlink"/>
            <w:rFonts w:cs="Arial"/>
          </w:rPr>
          <w:t>https://www.enrichproject.org/wp-content/uploads/2016/10/Final-Environmental-Racism-Report.pdf</w:t>
        </w:r>
      </w:hyperlink>
      <w:r w:rsidRPr="009F58C5">
        <w:rPr>
          <w:rFonts w:cs="Arial"/>
        </w:rPr>
        <w:t xml:space="preserve">. </w:t>
      </w:r>
    </w:p>
  </w:footnote>
  <w:footnote w:id="73">
    <w:p w14:paraId="02F42EFC" w14:textId="77777777" w:rsidR="00AA5246" w:rsidRPr="009F58C5" w:rsidRDefault="00AA5246" w:rsidP="00AA5246">
      <w:pPr>
        <w:pStyle w:val="FootnoteText"/>
        <w:rPr>
          <w:rFonts w:cs="Arial"/>
        </w:rPr>
      </w:pPr>
      <w:r w:rsidRPr="009F58C5">
        <w:rPr>
          <w:rStyle w:val="FootnoteReference"/>
          <w:rFonts w:cs="Arial"/>
        </w:rPr>
        <w:footnoteRef/>
      </w:r>
      <w:r w:rsidRPr="009F58C5">
        <w:rPr>
          <w:rFonts w:cs="Arial"/>
        </w:rPr>
        <w:t xml:space="preserve"> National Collaborating Centre for Determinants of Health. (2017). Learning from Practice: Advocacy for health equity - Environmental racism. Antigonish, NS: National Collaborating Centre for Determinants of Health, St. Francis Xavier University. </w:t>
      </w:r>
      <w:hyperlink r:id="rId72" w:history="1">
        <w:r w:rsidRPr="009F58C5">
          <w:rPr>
            <w:rStyle w:val="Hyperlink"/>
            <w:rFonts w:cs="Arial"/>
          </w:rPr>
          <w:t>https://nccdh.ca/resources/entry/learning-from-practice-advocacy-for-health-equity-environmental-racism</w:t>
        </w:r>
      </w:hyperlink>
      <w:r w:rsidRPr="009F58C5">
        <w:rPr>
          <w:rFonts w:cs="Arial"/>
        </w:rPr>
        <w:t xml:space="preserve">. </w:t>
      </w:r>
    </w:p>
  </w:footnote>
  <w:footnote w:id="74">
    <w:p w14:paraId="6CBB3A5C" w14:textId="28CC7435" w:rsidR="00AA5246" w:rsidRPr="009F58C5" w:rsidRDefault="00AA5246" w:rsidP="00AA5246">
      <w:pPr>
        <w:pStyle w:val="FootnoteText"/>
        <w:rPr>
          <w:rFonts w:cs="Arial"/>
        </w:rPr>
      </w:pPr>
      <w:r w:rsidRPr="009F58C5">
        <w:rPr>
          <w:rStyle w:val="FootnoteReference"/>
          <w:rFonts w:cs="Arial"/>
        </w:rPr>
        <w:footnoteRef/>
      </w:r>
      <w:r w:rsidRPr="009F58C5">
        <w:rPr>
          <w:rFonts w:cs="Arial"/>
        </w:rPr>
        <w:t xml:space="preserve"> </w:t>
      </w:r>
      <w:r w:rsidRPr="009F58C5">
        <w:rPr>
          <w:rFonts w:cs="Arial"/>
          <w:iCs/>
        </w:rPr>
        <w:t xml:space="preserve">supra note </w:t>
      </w:r>
      <w:r w:rsidR="005076D3" w:rsidRPr="009F58C5">
        <w:rPr>
          <w:rFonts w:cs="Arial"/>
          <w:iCs/>
        </w:rPr>
        <w:t>72</w:t>
      </w:r>
      <w:r w:rsidRPr="009F58C5">
        <w:rPr>
          <w:rFonts w:cs="Arial"/>
          <w:iCs/>
        </w:rPr>
        <w:t>. For example, see Lincolnville, a small African Nova Scotian rural community, with first and second-generation landfills. This community represents one of the more serious cases of environmental racism in Nova Scotia. Also, as part of the Commission’s Fast Talk on Environmental Racism in Canada (April 2024), experts shared accounts of their fight for clean water in a historically Black community that relies on dug wells and whose water supply is contaminated as a result of environmental racism. Safe drinking water pipelines connecting to nearby communities bypass the Black community completely. Experts reported that communities are left without infrastructure for clean water, sewer systems, sustainable housing, and accessible roads to get in and out of their community, which compounds the disparities experienced from environmental racism. Moreover, several participants shared stories of high rates of</w:t>
      </w:r>
      <w:r w:rsidRPr="009F58C5">
        <w:rPr>
          <w:rFonts w:cs="Arial"/>
        </w:rPr>
        <w:t xml:space="preserve"> chronic illness, such as cancer and respiratory illnesses, in impacted communities. </w:t>
      </w:r>
      <w:hyperlink r:id="rId73" w:history="1">
        <w:r w:rsidR="002B00B4" w:rsidRPr="009F58C5">
          <w:rPr>
            <w:rStyle w:val="Hyperlink"/>
          </w:rPr>
          <w:t>https://www.chrc-ccdp.gc.ca/resources/publications/fast-talk-environmental-racism-canada</w:t>
        </w:r>
      </w:hyperlink>
      <w:r w:rsidR="002B00B4" w:rsidRPr="009F58C5">
        <w:t>.</w:t>
      </w:r>
      <w:r w:rsidRPr="009F58C5">
        <w:rPr>
          <w:rFonts w:cs="Arial"/>
        </w:rPr>
        <w:t xml:space="preserve"> </w:t>
      </w:r>
    </w:p>
  </w:footnote>
  <w:footnote w:id="75">
    <w:p w14:paraId="65BAB9D5" w14:textId="77777777" w:rsidR="00AA5246" w:rsidRPr="009F58C5" w:rsidRDefault="00AA5246" w:rsidP="00AA5246">
      <w:pPr>
        <w:pStyle w:val="FootnoteText"/>
        <w:rPr>
          <w:rFonts w:cs="Arial"/>
        </w:rPr>
      </w:pPr>
      <w:r w:rsidRPr="009F58C5">
        <w:rPr>
          <w:rStyle w:val="FootnoteReference"/>
          <w:rFonts w:cs="Arial"/>
        </w:rPr>
        <w:footnoteRef/>
      </w:r>
      <w:r w:rsidRPr="009F58C5">
        <w:rPr>
          <w:rFonts w:cs="Arial"/>
        </w:rPr>
        <w:t xml:space="preserve"> Kabatay, J. (17 March 2022). New study adds to body of proof connecting mercury poisoning to health issues in Grassy Narrows. CBC News. </w:t>
      </w:r>
      <w:hyperlink r:id="rId74" w:anchor=":~:text=It's%20still%20happening%20today.,how%20far%20this%20poisoning%20goes.%22" w:history="1">
        <w:r w:rsidRPr="009F58C5">
          <w:rPr>
            <w:rStyle w:val="Hyperlink"/>
            <w:rFonts w:cs="Arial"/>
          </w:rPr>
          <w:t>https://www.cbc.ca/news/canada/thunder-bay/grassy-narrows-mercury-poisoining-study</w:t>
        </w:r>
      </w:hyperlink>
      <w:r w:rsidRPr="009F58C5">
        <w:rPr>
          <w:rStyle w:val="Hyperlink"/>
          <w:rFonts w:cs="Arial"/>
        </w:rPr>
        <w:t>.</w:t>
      </w:r>
    </w:p>
  </w:footnote>
  <w:footnote w:id="76">
    <w:p w14:paraId="558ECB60" w14:textId="77777777" w:rsidR="00970B58" w:rsidRPr="009F58C5" w:rsidRDefault="00970B58" w:rsidP="00970B58">
      <w:pPr>
        <w:pStyle w:val="FootnoteText"/>
      </w:pPr>
      <w:r w:rsidRPr="009F58C5">
        <w:rPr>
          <w:rStyle w:val="FootnoteReference"/>
          <w:rFonts w:cs="Arial"/>
        </w:rPr>
        <w:footnoteRef/>
      </w:r>
      <w:r w:rsidRPr="009F58C5">
        <w:rPr>
          <w:rFonts w:cs="Arial"/>
        </w:rPr>
        <w:t xml:space="preserve"> See for example the recently passed Act respecting the development of a national strategy to assess, prevent and address environmental racism and to advance environmental justice, which received royal assent in June 2024, available at: </w:t>
      </w:r>
      <w:hyperlink r:id="rId75" w:history="1">
        <w:r w:rsidRPr="009F58C5">
          <w:rPr>
            <w:rStyle w:val="Hyperlink"/>
            <w:rFonts w:cs="Arial"/>
          </w:rPr>
          <w:t>www.parl.ca/LegisInfo/en/bill/44-1/c-226</w:t>
        </w:r>
      </w:hyperlink>
      <w:r w:rsidRPr="009F58C5">
        <w:rPr>
          <w:rFonts w:cs="Arial"/>
        </w:rPr>
        <w:t>.</w:t>
      </w:r>
    </w:p>
  </w:footnote>
  <w:footnote w:id="77">
    <w:p w14:paraId="308EA09A" w14:textId="77777777" w:rsidR="00AA5246" w:rsidRPr="009F58C5" w:rsidRDefault="00AA5246" w:rsidP="00AA5246">
      <w:pPr>
        <w:pStyle w:val="FootnoteText"/>
      </w:pPr>
      <w:r w:rsidRPr="009F58C5">
        <w:rPr>
          <w:rStyle w:val="FootnoteReference"/>
        </w:rPr>
        <w:footnoteRef/>
      </w:r>
      <w:r w:rsidRPr="009F58C5">
        <w:t xml:space="preserve"> See: Jodoin, S., Bowie-Edwards, A., Ananthamoorthy, N., Paquet, R., (November 2022). Disability Rights in Canadian Climate Policies: Status Report. </w:t>
      </w:r>
      <w:hyperlink r:id="rId76" w:history="1">
        <w:r w:rsidRPr="009F58C5">
          <w:rPr>
            <w:rStyle w:val="Hyperlink"/>
          </w:rPr>
          <w:t>https://www.disabilityinclusiveclimate.org/researcheng/dicarp-analysis-disability-report</w:t>
        </w:r>
      </w:hyperlink>
      <w:r w:rsidRPr="009F58C5">
        <w:t xml:space="preserve">. </w:t>
      </w:r>
    </w:p>
  </w:footnote>
  <w:footnote w:id="78">
    <w:p w14:paraId="52229804" w14:textId="77777777" w:rsidR="000940BF" w:rsidRPr="009F58C5" w:rsidRDefault="000940BF" w:rsidP="000940BF">
      <w:pPr>
        <w:pStyle w:val="FootnoteText"/>
        <w:rPr>
          <w:rFonts w:cs="Arial"/>
        </w:rPr>
      </w:pPr>
      <w:r w:rsidRPr="009F58C5">
        <w:rPr>
          <w:rStyle w:val="FootnoteReference"/>
          <w:rFonts w:cs="Arial"/>
        </w:rPr>
        <w:footnoteRef/>
      </w:r>
      <w:r w:rsidRPr="009F58C5">
        <w:rPr>
          <w:rFonts w:cs="Arial"/>
        </w:rPr>
        <w:t xml:space="preserve"> See: </w:t>
      </w:r>
      <w:hyperlink r:id="rId77" w:history="1">
        <w:r w:rsidRPr="009F58C5">
          <w:rPr>
            <w:rStyle w:val="Hyperlink"/>
            <w:rFonts w:cs="Arial"/>
          </w:rPr>
          <w:t>https://treaties.un.org/doc/Publication/MTDSG/Volume%20I/Chapter%20IV/IV-15.en.pdf</w:t>
        </w:r>
      </w:hyperlink>
      <w:r w:rsidRPr="009F58C5">
        <w:rPr>
          <w:rFonts w:cs="Arial"/>
        </w:rPr>
        <w:t>.</w:t>
      </w:r>
    </w:p>
  </w:footnote>
  <w:footnote w:id="79">
    <w:p w14:paraId="142EB03E" w14:textId="77777777" w:rsidR="000940BF" w:rsidRPr="009F58C5" w:rsidRDefault="000940BF" w:rsidP="000940BF">
      <w:pPr>
        <w:pStyle w:val="FootnoteText"/>
      </w:pPr>
      <w:r w:rsidRPr="009F58C5">
        <w:rPr>
          <w:rStyle w:val="FootnoteReference"/>
        </w:rPr>
        <w:footnoteRef/>
      </w:r>
      <w:r w:rsidRPr="009F58C5">
        <w:t xml:space="preserve"> See: Inclusion Canada. Legal Capacity. </w:t>
      </w:r>
      <w:hyperlink r:id="rId78" w:history="1">
        <w:r w:rsidRPr="009F58C5">
          <w:rPr>
            <w:rStyle w:val="Hyperlink"/>
          </w:rPr>
          <w:t>https://inclusioncanada.ca/campaign/legal-capacity/</w:t>
        </w:r>
      </w:hyperlink>
      <w:r w:rsidRPr="009F58C5">
        <w:t xml:space="preserve"> </w:t>
      </w:r>
    </w:p>
  </w:footnote>
  <w:footnote w:id="80">
    <w:p w14:paraId="5E2BE562" w14:textId="77777777" w:rsidR="000940BF" w:rsidRPr="009F58C5" w:rsidRDefault="000940BF" w:rsidP="000940BF">
      <w:pPr>
        <w:pStyle w:val="FootnoteText"/>
      </w:pPr>
      <w:r w:rsidRPr="009F58C5">
        <w:rPr>
          <w:rStyle w:val="FootnoteReference"/>
        </w:rPr>
        <w:footnoteRef/>
      </w:r>
      <w:r w:rsidRPr="009F58C5">
        <w:t xml:space="preserve"> </w:t>
      </w:r>
      <w:r w:rsidRPr="009F58C5">
        <w:rPr>
          <w:rFonts w:cs="Arial"/>
          <w:szCs w:val="24"/>
          <w:lang w:val="en-US"/>
        </w:rPr>
        <w:t>Substitute decision-making regimes, such as guardianship, continue to be used across the country</w:t>
      </w:r>
      <w:r w:rsidRPr="009F58C5">
        <w:t xml:space="preserve">. For example, see the province of Ontario’s policy on guardianship: </w:t>
      </w:r>
      <w:hyperlink r:id="rId79" w:history="1">
        <w:r w:rsidRPr="009F58C5">
          <w:rPr>
            <w:rStyle w:val="Hyperlink"/>
          </w:rPr>
          <w:t>www.ontario.ca/page/guardianship</w:t>
        </w:r>
      </w:hyperlink>
      <w:r w:rsidRPr="009F58C5">
        <w:rPr>
          <w:rStyle w:val="Hyperlink"/>
        </w:rPr>
        <w:t xml:space="preserve">. </w:t>
      </w:r>
      <w:r w:rsidRPr="009F58C5">
        <w:t>Recent positive developments in the implementation of article 12 include Quebec’s recognition of supported decision-making in 2020 through the introduction of a regime called “assistance measures”, and New Brunswick’s adoption of t</w:t>
      </w:r>
      <w:r w:rsidRPr="009F58C5">
        <w:rPr>
          <w:lang w:val="en-US"/>
        </w:rPr>
        <w:t xml:space="preserve">he Supported Decision-Making and Representation Act in 2022. See: </w:t>
      </w:r>
      <w:hyperlink r:id="rId80" w:history="1">
        <w:r w:rsidRPr="009F58C5">
          <w:rPr>
            <w:rStyle w:val="Hyperlink"/>
            <w:lang w:val="en-US"/>
          </w:rPr>
          <w:t>www.quebec.ca/en/justice-and-civil-status/legal-protection/assistance-measure</w:t>
        </w:r>
      </w:hyperlink>
      <w:r w:rsidRPr="009F58C5">
        <w:rPr>
          <w:lang w:val="en-US"/>
        </w:rPr>
        <w:t xml:space="preserve"> and </w:t>
      </w:r>
      <w:hyperlink r:id="rId81" w:history="1">
        <w:r w:rsidRPr="009F58C5">
          <w:rPr>
            <w:rStyle w:val="Hyperlink"/>
            <w:lang w:val="en-US"/>
          </w:rPr>
          <w:t>www.inclusionnb.ca/the-supported-decision-making-and-representation-act/</w:t>
        </w:r>
      </w:hyperlink>
      <w:r w:rsidRPr="009F58C5">
        <w:rPr>
          <w:lang w:val="en-US"/>
        </w:rPr>
        <w:t>.</w:t>
      </w:r>
    </w:p>
  </w:footnote>
  <w:footnote w:id="81">
    <w:p w14:paraId="550BB68B" w14:textId="77777777" w:rsidR="000940BF" w:rsidRPr="009F58C5" w:rsidRDefault="000940BF" w:rsidP="000940BF">
      <w:pPr>
        <w:pStyle w:val="FootnoteText"/>
        <w:rPr>
          <w:rFonts w:cs="Arial"/>
        </w:rPr>
      </w:pPr>
      <w:r w:rsidRPr="009F58C5">
        <w:rPr>
          <w:rStyle w:val="FootnoteReference"/>
          <w:rFonts w:cs="Arial"/>
        </w:rPr>
        <w:footnoteRef/>
      </w:r>
      <w:r w:rsidRPr="009F58C5">
        <w:rPr>
          <w:rFonts w:cs="Arial"/>
        </w:rPr>
        <w:t xml:space="preserve"> See: Ontario Human Rights Commission. Consent and capacity. </w:t>
      </w:r>
      <w:hyperlink r:id="rId82" w:history="1">
        <w:r w:rsidRPr="009F58C5">
          <w:rPr>
            <w:rStyle w:val="Hyperlink"/>
            <w:rFonts w:cs="Arial"/>
          </w:rPr>
          <w:t>www.ohrc.on.ca/en/policy-preventing-discrimination-based-mental-health-disabilities-and-addictions/16-consent-and-capacity</w:t>
        </w:r>
      </w:hyperlink>
      <w:r w:rsidRPr="009F58C5">
        <w:rPr>
          <w:rFonts w:cs="Arial"/>
        </w:rPr>
        <w:t>.</w:t>
      </w:r>
    </w:p>
  </w:footnote>
  <w:footnote w:id="82">
    <w:p w14:paraId="3D66D973" w14:textId="77777777" w:rsidR="000940BF" w:rsidRPr="009F58C5" w:rsidRDefault="000940BF" w:rsidP="000940BF">
      <w:pPr>
        <w:pStyle w:val="FootnoteText"/>
        <w:rPr>
          <w:lang w:val="en-US"/>
        </w:rPr>
      </w:pPr>
      <w:r w:rsidRPr="009F58C5">
        <w:rPr>
          <w:rStyle w:val="FootnoteReference"/>
        </w:rPr>
        <w:footnoteRef/>
      </w:r>
      <w:r w:rsidRPr="009F58C5">
        <w:t xml:space="preserve"> </w:t>
      </w:r>
      <w:r w:rsidRPr="009F58C5">
        <w:rPr>
          <w:lang w:val="en-US"/>
        </w:rPr>
        <w:t xml:space="preserve">For a more fulsome discussion of this issue, see Inclusion Canada’s Revised Legal Capacity Position Statement: </w:t>
      </w:r>
      <w:hyperlink r:id="rId83" w:history="1">
        <w:r w:rsidRPr="009F58C5">
          <w:rPr>
            <w:rStyle w:val="Hyperlink"/>
            <w:lang w:val="en-US"/>
          </w:rPr>
          <w:t>https://inclusioncanada.ca/wp-content/uploads/2022/08/Jul22-Position-Legal-Capacity-2.pdf</w:t>
        </w:r>
      </w:hyperlink>
      <w:r w:rsidRPr="009F58C5">
        <w:rPr>
          <w:lang w:val="en-US"/>
        </w:rPr>
        <w:t xml:space="preserve"> </w:t>
      </w:r>
    </w:p>
  </w:footnote>
  <w:footnote w:id="83">
    <w:p w14:paraId="5CB69A7F" w14:textId="764AFAB7" w:rsidR="00660551" w:rsidRPr="009F58C5" w:rsidRDefault="00660551">
      <w:pPr>
        <w:pStyle w:val="FootnoteText"/>
      </w:pPr>
      <w:r w:rsidRPr="009F58C5">
        <w:rPr>
          <w:rStyle w:val="FootnoteReference"/>
        </w:rPr>
        <w:footnoteRef/>
      </w:r>
      <w:r w:rsidRPr="009F58C5">
        <w:t xml:space="preserve"> For over 150 years, residential schools operated in Canada. More than 150,000 children attended these schools. Many never returned. Often underfunded and overcrowded, these schools were used as a tool of assimilation by the Canadian state and churches. Thousands of students suffered physical and sexual abuse. All suffered from loneliness and a longing to be home with their families. The damages inflicted by these schools continue to this day. See:</w:t>
      </w:r>
      <w:r w:rsidR="006A1625" w:rsidRPr="009F58C5">
        <w:t xml:space="preserve"> National Centre for Truth and Reconciliation. Our Mandate. </w:t>
      </w:r>
      <w:hyperlink r:id="rId84" w:history="1">
        <w:r w:rsidR="006A1625" w:rsidRPr="009F58C5">
          <w:rPr>
            <w:rStyle w:val="Hyperlink"/>
          </w:rPr>
          <w:t>https://nctr.ca/about/about-the-nctr/our-mandate/</w:t>
        </w:r>
      </w:hyperlink>
      <w:r w:rsidR="006A1625" w:rsidRPr="009F58C5">
        <w:t xml:space="preserve">. </w:t>
      </w:r>
    </w:p>
  </w:footnote>
  <w:footnote w:id="84">
    <w:p w14:paraId="239C698E" w14:textId="5C36C514" w:rsidR="00CC25BD" w:rsidRPr="009F58C5" w:rsidRDefault="00CC25BD">
      <w:pPr>
        <w:pStyle w:val="FootnoteText"/>
      </w:pPr>
      <w:r w:rsidRPr="009F58C5">
        <w:rPr>
          <w:rStyle w:val="FootnoteReference"/>
        </w:rPr>
        <w:footnoteRef/>
      </w:r>
      <w:r w:rsidRPr="009F58C5">
        <w:t xml:space="preserve"> See: John Howard Society of Ontario</w:t>
      </w:r>
      <w:r w:rsidR="006A1625" w:rsidRPr="009F58C5">
        <w:t xml:space="preserve">. (2021). </w:t>
      </w:r>
      <w:r w:rsidRPr="009F58C5">
        <w:t xml:space="preserve">Broken Record: The Continued </w:t>
      </w:r>
      <w:r w:rsidR="006540E5" w:rsidRPr="009F58C5">
        <w:t>Criminalization</w:t>
      </w:r>
      <w:r w:rsidRPr="009F58C5">
        <w:t xml:space="preserve"> of Mental Health Issues</w:t>
      </w:r>
      <w:r w:rsidR="006A1625" w:rsidRPr="009F58C5">
        <w:t>.</w:t>
      </w:r>
      <w:r w:rsidRPr="009F58C5">
        <w:t xml:space="preserve"> </w:t>
      </w:r>
      <w:hyperlink r:id="rId85" w:history="1">
        <w:r w:rsidRPr="009F58C5">
          <w:rPr>
            <w:rStyle w:val="Hyperlink"/>
          </w:rPr>
          <w:t>https://johnhoward.on.ca/wp-content/uploads/2021/01/Broken-Record.pdf</w:t>
        </w:r>
      </w:hyperlink>
      <w:r w:rsidRPr="009F58C5">
        <w:t xml:space="preserve">. </w:t>
      </w:r>
    </w:p>
  </w:footnote>
  <w:footnote w:id="85">
    <w:p w14:paraId="4E6C24BE" w14:textId="29BCA464" w:rsidR="00BE3BD9" w:rsidRPr="009F58C5" w:rsidRDefault="00BE3BD9" w:rsidP="00BE3BD9">
      <w:pPr>
        <w:pStyle w:val="FootnoteText"/>
        <w:rPr>
          <w:rFonts w:cs="Arial"/>
        </w:rPr>
      </w:pPr>
      <w:r w:rsidRPr="009F58C5">
        <w:rPr>
          <w:rStyle w:val="FootnoteReference"/>
          <w:rFonts w:cs="Arial"/>
        </w:rPr>
        <w:footnoteRef/>
      </w:r>
      <w:r w:rsidRPr="009F58C5">
        <w:rPr>
          <w:rFonts w:cs="Arial"/>
        </w:rPr>
        <w:t xml:space="preserve"> </w:t>
      </w:r>
      <w:r w:rsidR="006A1625" w:rsidRPr="009F58C5">
        <w:rPr>
          <w:rFonts w:cs="Arial"/>
        </w:rPr>
        <w:t xml:space="preserve">See: </w:t>
      </w:r>
      <w:r w:rsidRPr="009F58C5">
        <w:rPr>
          <w:rFonts w:cs="Arial"/>
        </w:rPr>
        <w:t xml:space="preserve">OCI Annual Report 2017-2018 </w:t>
      </w:r>
      <w:r w:rsidR="006A1625" w:rsidRPr="009F58C5">
        <w:rPr>
          <w:rFonts w:cs="Arial"/>
        </w:rPr>
        <w:t>(</w:t>
      </w:r>
      <w:r w:rsidRPr="009F58C5">
        <w:rPr>
          <w:rFonts w:cs="Arial"/>
        </w:rPr>
        <w:t>p. 87</w:t>
      </w:r>
      <w:r w:rsidR="006A1625" w:rsidRPr="009F58C5">
        <w:rPr>
          <w:rFonts w:cs="Arial"/>
        </w:rPr>
        <w:t>).</w:t>
      </w:r>
      <w:r w:rsidRPr="009F58C5">
        <w:rPr>
          <w:rFonts w:cs="Arial"/>
        </w:rPr>
        <w:t xml:space="preserve"> </w:t>
      </w:r>
      <w:hyperlink r:id="rId86" w:history="1">
        <w:r w:rsidRPr="009F58C5">
          <w:rPr>
            <w:rStyle w:val="Hyperlink"/>
            <w:rFonts w:cs="Arial"/>
          </w:rPr>
          <w:t>www.oci-bec.gc.ca/cnt/rpt/pdf/annrpt/annrpt20172018-eng.pdf</w:t>
        </w:r>
      </w:hyperlink>
      <w:r w:rsidR="006A1625" w:rsidRPr="009F58C5">
        <w:rPr>
          <w:rFonts w:cs="Arial"/>
        </w:rPr>
        <w:t xml:space="preserve">. See also: </w:t>
      </w:r>
      <w:r w:rsidRPr="009F58C5">
        <w:rPr>
          <w:rFonts w:cs="Arial"/>
        </w:rPr>
        <w:t xml:space="preserve">OCI Annual Report 2016-2017 </w:t>
      </w:r>
      <w:r w:rsidR="006A1625" w:rsidRPr="009F58C5">
        <w:rPr>
          <w:rFonts w:cs="Arial"/>
        </w:rPr>
        <w:t>(</w:t>
      </w:r>
      <w:r w:rsidRPr="009F58C5">
        <w:rPr>
          <w:rFonts w:cs="Arial"/>
        </w:rPr>
        <w:t>p. 62</w:t>
      </w:r>
      <w:r w:rsidR="006A1625" w:rsidRPr="009F58C5">
        <w:rPr>
          <w:rFonts w:cs="Arial"/>
        </w:rPr>
        <w:t>).</w:t>
      </w:r>
      <w:r w:rsidRPr="009F58C5">
        <w:rPr>
          <w:rFonts w:cs="Arial"/>
        </w:rPr>
        <w:t xml:space="preserve"> </w:t>
      </w:r>
      <w:hyperlink r:id="rId87" w:history="1">
        <w:r w:rsidRPr="009F58C5">
          <w:rPr>
            <w:rStyle w:val="Hyperlink"/>
            <w:rFonts w:cs="Arial"/>
          </w:rPr>
          <w:t>www.oci-bec.gc.ca/cnt/rpt/index-eng.aspx</w:t>
        </w:r>
      </w:hyperlink>
      <w:r w:rsidRPr="009F58C5">
        <w:rPr>
          <w:rFonts w:cs="Arial"/>
        </w:rPr>
        <w:t>.</w:t>
      </w:r>
    </w:p>
  </w:footnote>
  <w:footnote w:id="86">
    <w:p w14:paraId="25CA66F0" w14:textId="4D7E0A2D" w:rsidR="00BE3BD9" w:rsidRPr="009F58C5" w:rsidRDefault="00BE3BD9" w:rsidP="00BE3BD9">
      <w:pPr>
        <w:pStyle w:val="FootnoteText"/>
      </w:pPr>
      <w:r w:rsidRPr="009F58C5">
        <w:rPr>
          <w:rStyle w:val="FootnoteReference"/>
        </w:rPr>
        <w:footnoteRef/>
      </w:r>
      <w:r w:rsidRPr="009F58C5">
        <w:t xml:space="preserve"> </w:t>
      </w:r>
      <w:r w:rsidR="006A1625" w:rsidRPr="009F58C5">
        <w:t xml:space="preserve">See: </w:t>
      </w:r>
      <w:r w:rsidRPr="009F58C5">
        <w:rPr>
          <w:rFonts w:cs="Arial"/>
        </w:rPr>
        <w:t xml:space="preserve">OCI Annual Report 2020-2021 </w:t>
      </w:r>
      <w:r w:rsidR="006A1625" w:rsidRPr="009F58C5">
        <w:rPr>
          <w:rFonts w:cs="Arial"/>
        </w:rPr>
        <w:t>(</w:t>
      </w:r>
      <w:r w:rsidRPr="009F58C5">
        <w:rPr>
          <w:rFonts w:cs="Arial"/>
        </w:rPr>
        <w:t>p. 42</w:t>
      </w:r>
      <w:r w:rsidR="006A1625" w:rsidRPr="009F58C5">
        <w:rPr>
          <w:rFonts w:cs="Arial"/>
        </w:rPr>
        <w:t>).</w:t>
      </w:r>
      <w:r w:rsidRPr="009F58C5">
        <w:rPr>
          <w:rFonts w:cs="Arial"/>
        </w:rPr>
        <w:t xml:space="preserve"> </w:t>
      </w:r>
      <w:hyperlink r:id="rId88" w:history="1">
        <w:r w:rsidRPr="009F58C5">
          <w:rPr>
            <w:rStyle w:val="Hyperlink"/>
            <w:rFonts w:cs="Arial"/>
          </w:rPr>
          <w:t>https://oci-bec.gc.ca/sites/default/files/2023-06/annrpt20202021-eng.pdf</w:t>
        </w:r>
      </w:hyperlink>
      <w:r w:rsidRPr="009F58C5">
        <w:rPr>
          <w:rFonts w:cs="Arial"/>
        </w:rPr>
        <w:t xml:space="preserve"> </w:t>
      </w:r>
    </w:p>
  </w:footnote>
  <w:footnote w:id="87">
    <w:p w14:paraId="320F9F6B" w14:textId="6D5FFB90" w:rsidR="003756F2" w:rsidRPr="009F58C5" w:rsidRDefault="003756F2" w:rsidP="003756F2">
      <w:pPr>
        <w:pStyle w:val="FootnoteText"/>
      </w:pPr>
      <w:r w:rsidRPr="009F58C5">
        <w:rPr>
          <w:rStyle w:val="FootnoteReference"/>
        </w:rPr>
        <w:footnoteRef/>
      </w:r>
      <w:r w:rsidRPr="009F58C5">
        <w:t xml:space="preserve"> </w:t>
      </w:r>
      <w:r w:rsidR="006A1625" w:rsidRPr="009F58C5">
        <w:t>See</w:t>
      </w:r>
      <w:r w:rsidR="00487732" w:rsidRPr="009F58C5">
        <w:t xml:space="preserve">: </w:t>
      </w:r>
      <w:hyperlink r:id="rId89" w:anchor="s4" w:history="1">
        <w:r w:rsidR="00487732" w:rsidRPr="009F58C5">
          <w:rPr>
            <w:rStyle w:val="Hyperlink"/>
          </w:rPr>
          <w:t>https://oci-bec.gc.ca/en/content/office-correctional-investigator-annual-report-2017-2018#s4</w:t>
        </w:r>
      </w:hyperlink>
      <w:r w:rsidRPr="009F58C5">
        <w:t xml:space="preserve"> </w:t>
      </w:r>
    </w:p>
  </w:footnote>
  <w:footnote w:id="88">
    <w:p w14:paraId="1C639EE5" w14:textId="3B163BB2" w:rsidR="003756F2" w:rsidRPr="009F58C5" w:rsidRDefault="003756F2" w:rsidP="003756F2">
      <w:pPr>
        <w:pStyle w:val="FootnoteText"/>
        <w:rPr>
          <w:lang w:val="en-US"/>
        </w:rPr>
      </w:pPr>
      <w:r w:rsidRPr="009F58C5">
        <w:rPr>
          <w:rStyle w:val="FootnoteReference"/>
        </w:rPr>
        <w:footnoteRef/>
      </w:r>
      <w:r w:rsidRPr="009F58C5">
        <w:rPr>
          <w:lang w:val="en-US"/>
        </w:rPr>
        <w:t xml:space="preserve"> </w:t>
      </w:r>
      <w:r w:rsidR="006A1625" w:rsidRPr="009F58C5">
        <w:rPr>
          <w:lang w:val="en-US"/>
        </w:rPr>
        <w:t>See:</w:t>
      </w:r>
      <w:r w:rsidR="00487732" w:rsidRPr="009F58C5">
        <w:rPr>
          <w:lang w:val="en-US"/>
        </w:rPr>
        <w:t xml:space="preserve"> </w:t>
      </w:r>
      <w:hyperlink r:id="rId90" w:anchor="s4" w:history="1">
        <w:r w:rsidR="00487732" w:rsidRPr="009F58C5">
          <w:rPr>
            <w:rStyle w:val="Hyperlink"/>
            <w:lang w:val="en-US"/>
          </w:rPr>
          <w:t>https://oci-bec.gc.ca/en/content/office-correctional-investigator-annual-report-2020-2021#s4</w:t>
        </w:r>
      </w:hyperlink>
      <w:r w:rsidRPr="009F58C5">
        <w:rPr>
          <w:lang w:val="en-US"/>
        </w:rPr>
        <w:t xml:space="preserve"> </w:t>
      </w:r>
    </w:p>
  </w:footnote>
  <w:footnote w:id="89">
    <w:p w14:paraId="1A2978C9" w14:textId="4FC2BC10" w:rsidR="00A60CBC" w:rsidRPr="009F58C5" w:rsidRDefault="00A60CBC" w:rsidP="00A60CBC">
      <w:pPr>
        <w:pStyle w:val="FootnoteText"/>
        <w:rPr>
          <w:rFonts w:cs="Arial"/>
        </w:rPr>
      </w:pPr>
      <w:r w:rsidRPr="009F58C5">
        <w:rPr>
          <w:rStyle w:val="FootnoteReference"/>
          <w:rFonts w:cs="Arial"/>
        </w:rPr>
        <w:footnoteRef/>
      </w:r>
      <w:r w:rsidRPr="009F58C5">
        <w:rPr>
          <w:rFonts w:cs="Arial"/>
        </w:rPr>
        <w:t xml:space="preserve"> </w:t>
      </w:r>
      <w:r w:rsidR="006A1625" w:rsidRPr="009F58C5">
        <w:rPr>
          <w:rFonts w:cs="Arial"/>
        </w:rPr>
        <w:t>See</w:t>
      </w:r>
      <w:r w:rsidRPr="009F58C5">
        <w:rPr>
          <w:rFonts w:cs="Arial"/>
        </w:rPr>
        <w:t xml:space="preserve">: </w:t>
      </w:r>
      <w:hyperlink r:id="rId91" w:history="1">
        <w:r w:rsidR="002B00B4" w:rsidRPr="009F58C5">
          <w:rPr>
            <w:rStyle w:val="Hyperlink"/>
          </w:rPr>
          <w:t>https://www.chrc-ccdp.gc.ca/resources/publications/aging-and-dying-prison-investigation-the-experiences-older-individuals-0</w:t>
        </w:r>
      </w:hyperlink>
      <w:r w:rsidR="002B00B4" w:rsidRPr="009F58C5">
        <w:t>.</w:t>
      </w:r>
    </w:p>
  </w:footnote>
  <w:footnote w:id="90">
    <w:p w14:paraId="68D42F7F" w14:textId="3499DD6D" w:rsidR="003756F2" w:rsidRPr="009F58C5" w:rsidRDefault="003756F2" w:rsidP="003756F2">
      <w:pPr>
        <w:pStyle w:val="FootnoteText"/>
      </w:pPr>
      <w:r w:rsidRPr="009F58C5">
        <w:rPr>
          <w:rStyle w:val="FootnoteReference"/>
        </w:rPr>
        <w:footnoteRef/>
      </w:r>
      <w:r w:rsidRPr="009F58C5">
        <w:t xml:space="preserve"> </w:t>
      </w:r>
      <w:r w:rsidR="00C73156" w:rsidRPr="009F58C5">
        <w:t xml:space="preserve">See: </w:t>
      </w:r>
      <w:hyperlink r:id="rId92" w:history="1">
        <w:r w:rsidR="002B00B4" w:rsidRPr="009F58C5">
          <w:rPr>
            <w:rStyle w:val="Hyperlink"/>
          </w:rPr>
          <w:t>https://www.chrc-ccdp.gc.ca/resources/newsroom/improved-health-services-people-opioid-use-disorder-federal-institutions</w:t>
        </w:r>
      </w:hyperlink>
      <w:r w:rsidR="002B00B4" w:rsidRPr="009F58C5">
        <w:t xml:space="preserve">. </w:t>
      </w:r>
    </w:p>
  </w:footnote>
  <w:footnote w:id="91">
    <w:p w14:paraId="3C84BB36" w14:textId="78CBD554" w:rsidR="00A60CBC" w:rsidRPr="009F58C5" w:rsidRDefault="00A60CBC" w:rsidP="00A60CBC">
      <w:pPr>
        <w:pStyle w:val="FootnoteText"/>
      </w:pPr>
      <w:r w:rsidRPr="009F58C5">
        <w:rPr>
          <w:rStyle w:val="FootnoteReference"/>
        </w:rPr>
        <w:footnoteRef/>
      </w:r>
      <w:r w:rsidRPr="009F58C5">
        <w:t xml:space="preserve"> See: Structured Intervention Unit Implementation Advisory Panel, 2022/23 Annual Report, July 2024</w:t>
      </w:r>
      <w:r w:rsidR="006A1625" w:rsidRPr="009F58C5">
        <w:t>.</w:t>
      </w:r>
      <w:r w:rsidRPr="009F58C5">
        <w:t xml:space="preserve"> </w:t>
      </w:r>
      <w:hyperlink r:id="rId93" w:anchor="s224" w:history="1">
        <w:r w:rsidRPr="009F58C5">
          <w:rPr>
            <w:rStyle w:val="Hyperlink"/>
          </w:rPr>
          <w:t>https://www.publicsafety.gc.ca/cnt/rsrcs/pblctns/2024-siu-iap-nnlrpt-2023-24/index-en.aspx#s224</w:t>
        </w:r>
      </w:hyperlink>
      <w:r w:rsidRPr="009F58C5">
        <w:t xml:space="preserve"> </w:t>
      </w:r>
    </w:p>
  </w:footnote>
  <w:footnote w:id="92">
    <w:p w14:paraId="4B0EC81B" w14:textId="7EF7A01B" w:rsidR="00A60CBC" w:rsidRPr="009F58C5" w:rsidRDefault="00A60CBC" w:rsidP="00A60CBC">
      <w:pPr>
        <w:pStyle w:val="FootnoteText"/>
      </w:pPr>
      <w:r w:rsidRPr="009F58C5">
        <w:rPr>
          <w:rStyle w:val="FootnoteReference"/>
        </w:rPr>
        <w:footnoteRef/>
      </w:r>
      <w:r w:rsidRPr="009F58C5">
        <w:t xml:space="preserve"> </w:t>
      </w:r>
      <w:r w:rsidR="004B3298" w:rsidRPr="009F58C5">
        <w:t xml:space="preserve">While the amended legislation does provide for some external review through Independent External Decision Makers, their involvement in a case is only triggered after a person has been confined in a SIU for 90 consecutive days. </w:t>
      </w:r>
      <w:r w:rsidR="00C73156" w:rsidRPr="009F58C5">
        <w:t xml:space="preserve">See: </w:t>
      </w:r>
      <w:hyperlink r:id="rId94" w:history="1">
        <w:r w:rsidR="00C73156" w:rsidRPr="009F58C5">
          <w:rPr>
            <w:rStyle w:val="Hyperlink"/>
          </w:rPr>
          <w:t>https://www.publicsafety.gc.ca/cnt/cntrng-crm/crrctns/iedm-dei-en.aspx</w:t>
        </w:r>
      </w:hyperlink>
      <w:r w:rsidR="006A1625" w:rsidRPr="009F58C5">
        <w:t>.</w:t>
      </w:r>
    </w:p>
  </w:footnote>
  <w:footnote w:id="93">
    <w:p w14:paraId="111F8436" w14:textId="5C98F920" w:rsidR="00A60CBC" w:rsidRPr="009F58C5" w:rsidRDefault="00A60CBC" w:rsidP="00A60CBC">
      <w:pPr>
        <w:pStyle w:val="FootnoteText"/>
      </w:pPr>
      <w:r w:rsidRPr="009F58C5">
        <w:rPr>
          <w:rStyle w:val="FootnoteReference"/>
        </w:rPr>
        <w:footnoteRef/>
      </w:r>
      <w:r w:rsidRPr="009F58C5">
        <w:t xml:space="preserve"> </w:t>
      </w:r>
      <w:r w:rsidR="006A1625" w:rsidRPr="009F58C5">
        <w:t xml:space="preserve">supra note </w:t>
      </w:r>
      <w:r w:rsidR="006E6132" w:rsidRPr="009F58C5">
        <w:t>91</w:t>
      </w:r>
      <w:r w:rsidR="006A1625" w:rsidRPr="009F58C5">
        <w:t>.</w:t>
      </w:r>
    </w:p>
  </w:footnote>
  <w:footnote w:id="94">
    <w:p w14:paraId="50A47A4A" w14:textId="71BC0E4D" w:rsidR="001055BD" w:rsidRPr="009F58C5" w:rsidRDefault="001055BD" w:rsidP="001055BD">
      <w:pPr>
        <w:pStyle w:val="FootnoteText"/>
      </w:pPr>
      <w:r w:rsidRPr="009F58C5">
        <w:rPr>
          <w:rStyle w:val="FootnoteReference"/>
        </w:rPr>
        <w:footnoteRef/>
      </w:r>
      <w:r w:rsidRPr="009F58C5">
        <w:t xml:space="preserve"> </w:t>
      </w:r>
      <w:r w:rsidR="00E84665" w:rsidRPr="009F58C5">
        <w:t xml:space="preserve">For example, the effects of the first and second waves of COVID-19 </w:t>
      </w:r>
      <w:r w:rsidR="00D719E4" w:rsidRPr="009F58C5">
        <w:t xml:space="preserve">before priority access to vaccines was implemented in long-term care and retirement facilities </w:t>
      </w:r>
      <w:r w:rsidR="00E84665" w:rsidRPr="009F58C5">
        <w:t xml:space="preserve">were described by the Canadian Institute of Health Information as “devastating”. See: </w:t>
      </w:r>
      <w:hyperlink r:id="rId95" w:history="1">
        <w:r w:rsidR="00E84665" w:rsidRPr="009F58C5">
          <w:rPr>
            <w:rStyle w:val="Hyperlink"/>
          </w:rPr>
          <w:t>https://www.cihi.ca/en/covid-19-resources/impact-of-covid-19-on-canadas-health-care-systems/long-term-care</w:t>
        </w:r>
      </w:hyperlink>
      <w:r w:rsidR="00E84665" w:rsidRPr="009F58C5">
        <w:t xml:space="preserve">. </w:t>
      </w:r>
      <w:r w:rsidR="002E353E" w:rsidRPr="009F58C5">
        <w:t>For first-hand accounts of survivors of institutions</w:t>
      </w:r>
      <w:r w:rsidR="00EE18FF" w:rsidRPr="009F58C5">
        <w:t xml:space="preserve">, see: Megan Linton, Invisible Institutions Podcast (2022): </w:t>
      </w:r>
      <w:hyperlink r:id="rId96" w:anchor="is" w:history="1">
        <w:r w:rsidR="00EE18FF" w:rsidRPr="009F58C5">
          <w:rPr>
            <w:rStyle w:val="Hyperlink"/>
          </w:rPr>
          <w:t>https://invisibleinstitutions.com</w:t>
        </w:r>
      </w:hyperlink>
      <w:r w:rsidR="00EE18FF" w:rsidRPr="009F58C5">
        <w:t xml:space="preserve">; Inclusion Canada et al, Truths of Institutionalization: Past and Present (2021): </w:t>
      </w:r>
      <w:hyperlink r:id="rId97" w:history="1">
        <w:r w:rsidR="00EE18FF" w:rsidRPr="009F58C5">
          <w:rPr>
            <w:rStyle w:val="Hyperlink"/>
          </w:rPr>
          <w:t>https://truthsofinstitutionalization.ca</w:t>
        </w:r>
      </w:hyperlink>
      <w:r w:rsidR="00EE18FF" w:rsidRPr="009F58C5">
        <w:t xml:space="preserve">; Survivors of the Huronia Regional Centre, Remember Every Name: </w:t>
      </w:r>
      <w:hyperlink r:id="rId98" w:history="1">
        <w:r w:rsidR="00EE18FF" w:rsidRPr="009F58C5">
          <w:rPr>
            <w:rStyle w:val="Hyperlink"/>
          </w:rPr>
          <w:t>www.remembereveryname.ca/the-history</w:t>
        </w:r>
      </w:hyperlink>
      <w:r w:rsidR="00EE18FF" w:rsidRPr="009F58C5">
        <w:t xml:space="preserve">; L’Arche Toronto, Listen to My Story (2018): </w:t>
      </w:r>
      <w:hyperlink r:id="rId99" w:history="1">
        <w:r w:rsidR="00EE18FF" w:rsidRPr="009F58C5">
          <w:rPr>
            <w:rStyle w:val="Hyperlink"/>
          </w:rPr>
          <w:t>www.exclusiontobelonging.ca/</w:t>
        </w:r>
      </w:hyperlink>
      <w:r w:rsidR="00EE18FF" w:rsidRPr="009F58C5">
        <w:t xml:space="preserve">; National Task Force on Deinstitutionalization: </w:t>
      </w:r>
      <w:hyperlink r:id="rId100" w:history="1">
        <w:r w:rsidR="00EE18FF" w:rsidRPr="009F58C5">
          <w:rPr>
            <w:rStyle w:val="Hyperlink"/>
          </w:rPr>
          <w:t>www.institutionwatch.ca</w:t>
        </w:r>
      </w:hyperlink>
      <w:r w:rsidR="00EE18FF" w:rsidRPr="009F58C5">
        <w:t xml:space="preserve">; and Eugenics Archives: </w:t>
      </w:r>
      <w:hyperlink r:id="rId101" w:history="1">
        <w:r w:rsidR="00EE18FF" w:rsidRPr="009F58C5">
          <w:rPr>
            <w:rStyle w:val="Hyperlink"/>
          </w:rPr>
          <w:t>www.eugenicsarchive.ca/our-stories</w:t>
        </w:r>
      </w:hyperlink>
      <w:r w:rsidR="00EE18FF" w:rsidRPr="009F58C5">
        <w:t>.</w:t>
      </w:r>
    </w:p>
  </w:footnote>
  <w:footnote w:id="95">
    <w:p w14:paraId="58EF1ACC" w14:textId="3DC7A455" w:rsidR="00343539" w:rsidRPr="009F58C5" w:rsidRDefault="00343539">
      <w:pPr>
        <w:pStyle w:val="FootnoteText"/>
        <w:rPr>
          <w:lang w:val="en-US"/>
        </w:rPr>
      </w:pPr>
      <w:r w:rsidRPr="009F58C5">
        <w:rPr>
          <w:rStyle w:val="FootnoteReference"/>
        </w:rPr>
        <w:footnoteRef/>
      </w:r>
      <w:r w:rsidRPr="009F58C5">
        <w:t xml:space="preserve"> </w:t>
      </w:r>
      <w:r w:rsidR="00C70AE9" w:rsidRPr="009F58C5">
        <w:rPr>
          <w:lang w:val="en-US"/>
        </w:rPr>
        <w:t xml:space="preserve">See: Disability Rights Coalition v. Nova Scotia (Attorney General), 2021 NSCA 70 (CanLII): </w:t>
      </w:r>
      <w:hyperlink r:id="rId102" w:history="1">
        <w:r w:rsidR="00C76354" w:rsidRPr="009F58C5">
          <w:rPr>
            <w:rStyle w:val="Hyperlink"/>
            <w:lang w:val="en-US"/>
          </w:rPr>
          <w:t>www.canlii.org/en/ns/nsca/doc/2021/2021nsca70/2021nsca70.html</w:t>
        </w:r>
      </w:hyperlink>
      <w:r w:rsidR="00C76354" w:rsidRPr="009F58C5">
        <w:rPr>
          <w:lang w:val="en-US"/>
        </w:rPr>
        <w:t xml:space="preserve">. </w:t>
      </w:r>
    </w:p>
  </w:footnote>
  <w:footnote w:id="96">
    <w:p w14:paraId="689C93EF" w14:textId="2EF82912" w:rsidR="006A1625" w:rsidRPr="009F58C5" w:rsidRDefault="006A1625">
      <w:pPr>
        <w:pStyle w:val="FootnoteText"/>
      </w:pPr>
      <w:r w:rsidRPr="009F58C5">
        <w:rPr>
          <w:rStyle w:val="FootnoteReference"/>
        </w:rPr>
        <w:footnoteRef/>
      </w:r>
      <w:r w:rsidRPr="009F58C5">
        <w:t xml:space="preserve"> </w:t>
      </w:r>
      <w:r w:rsidRPr="009F58C5">
        <w:rPr>
          <w:lang w:val="en-US"/>
        </w:rPr>
        <w:t xml:space="preserve">See: </w:t>
      </w:r>
      <w:hyperlink r:id="rId103" w:history="1">
        <w:r w:rsidRPr="009F58C5">
          <w:rPr>
            <w:rStyle w:val="Hyperlink"/>
            <w:lang w:val="en-US"/>
          </w:rPr>
          <w:t>https://humanrights.novascotia.ca/sites/default/files/monitoring_report_year_one.pdf</w:t>
        </w:r>
      </w:hyperlink>
      <w:r w:rsidRPr="009F58C5">
        <w:rPr>
          <w:lang w:val="en-US"/>
        </w:rPr>
        <w:t>.</w:t>
      </w:r>
    </w:p>
  </w:footnote>
  <w:footnote w:id="97">
    <w:p w14:paraId="13DDF21C" w14:textId="31BC4A18" w:rsidR="00C37950" w:rsidRPr="009F58C5" w:rsidRDefault="00C37950" w:rsidP="00C37950">
      <w:pPr>
        <w:pStyle w:val="FootnoteText"/>
      </w:pPr>
      <w:r w:rsidRPr="009F58C5">
        <w:rPr>
          <w:rStyle w:val="FootnoteReference"/>
        </w:rPr>
        <w:footnoteRef/>
      </w:r>
      <w:r w:rsidRPr="009F58C5">
        <w:t xml:space="preserve"> The CHRC tried to obtain data</w:t>
      </w:r>
      <w:r w:rsidR="00AB22C3" w:rsidRPr="009F58C5">
        <w:t xml:space="preserve"> on people living in institutions</w:t>
      </w:r>
      <w:r w:rsidRPr="009F58C5">
        <w:t xml:space="preserve"> for its Monitoring Framework on the Right to Adequate Housing for People with Disabilities</w:t>
      </w:r>
      <w:r w:rsidR="00AB22C3" w:rsidRPr="009F58C5">
        <w:t>, but this data is not currently collected through national surveys</w:t>
      </w:r>
      <w:r w:rsidRPr="009F58C5">
        <w:t xml:space="preserve">. See section </w:t>
      </w:r>
      <w:r w:rsidR="006E6132" w:rsidRPr="009F58C5">
        <w:t>5</w:t>
      </w:r>
      <w:r w:rsidRPr="009F58C5">
        <w:t xml:space="preserve"> of this report for more information about the CHRC’s Framework. </w:t>
      </w:r>
    </w:p>
  </w:footnote>
  <w:footnote w:id="98">
    <w:p w14:paraId="0D6DA152" w14:textId="77777777" w:rsidR="00C5147C" w:rsidRPr="009F58C5" w:rsidRDefault="00C5147C" w:rsidP="00C5147C">
      <w:pPr>
        <w:pStyle w:val="FootnoteText"/>
      </w:pPr>
      <w:r w:rsidRPr="009F58C5">
        <w:rPr>
          <w:rStyle w:val="FootnoteReference"/>
        </w:rPr>
        <w:footnoteRef/>
      </w:r>
      <w:r w:rsidRPr="009F58C5">
        <w:t xml:space="preserve"> These numbers are head counts of residents in these institutions on the day of the Census. </w:t>
      </w:r>
    </w:p>
  </w:footnote>
  <w:footnote w:id="99">
    <w:p w14:paraId="42313CD8" w14:textId="67338AE2" w:rsidR="00374324" w:rsidRPr="009F58C5" w:rsidRDefault="00374324">
      <w:pPr>
        <w:pStyle w:val="FootnoteText"/>
        <w:rPr>
          <w:lang w:val="en"/>
        </w:rPr>
      </w:pPr>
      <w:r w:rsidRPr="009F58C5">
        <w:rPr>
          <w:rStyle w:val="FootnoteReference"/>
        </w:rPr>
        <w:footnoteRef/>
      </w:r>
      <w:r w:rsidRPr="009F58C5">
        <w:t xml:space="preserve"> For example, see: </w:t>
      </w:r>
      <w:hyperlink r:id="rId104" w:history="1">
        <w:r w:rsidRPr="009F58C5">
          <w:rPr>
            <w:rStyle w:val="Hyperlink"/>
          </w:rPr>
          <w:t>www.cbc.ca/news/canada/british-columbia/bc-involuntary-care-addiction-1.7324079</w:t>
        </w:r>
      </w:hyperlink>
      <w:r w:rsidRPr="009F58C5">
        <w:t xml:space="preserve"> </w:t>
      </w:r>
    </w:p>
  </w:footnote>
  <w:footnote w:id="100">
    <w:p w14:paraId="150D073C" w14:textId="7C5CC23F" w:rsidR="0027014F" w:rsidRPr="009F58C5" w:rsidRDefault="0027014F" w:rsidP="0027014F">
      <w:pPr>
        <w:pStyle w:val="FootnoteText"/>
      </w:pPr>
      <w:r w:rsidRPr="009F58C5">
        <w:rPr>
          <w:rStyle w:val="FootnoteReference"/>
        </w:rPr>
        <w:footnoteRef/>
      </w:r>
      <w:r w:rsidRPr="009F58C5">
        <w:t xml:space="preserve"> For a more fulsome understanding of the CHRC’s call to ratify the OPCAT, see our joint open letter with the </w:t>
      </w:r>
      <w:r w:rsidRPr="009F58C5">
        <w:rPr>
          <w:rFonts w:cs="Arial"/>
        </w:rPr>
        <w:t>Office of the Correctional Investigator</w:t>
      </w:r>
      <w:r w:rsidRPr="009F58C5">
        <w:t>, (November 1, 2023)</w:t>
      </w:r>
      <w:r w:rsidR="00AB00C5" w:rsidRPr="009F58C5">
        <w:t>:</w:t>
      </w:r>
      <w:r w:rsidRPr="009F58C5">
        <w:t xml:space="preserve"> </w:t>
      </w:r>
      <w:hyperlink r:id="rId105" w:history="1">
        <w:r w:rsidR="006E6132" w:rsidRPr="009F58C5">
          <w:rPr>
            <w:rStyle w:val="Hyperlink"/>
          </w:rPr>
          <w:t>https://www.chrc-ccdp.gc.ca/resources/publications/chrc-and-oci-open-letter-calling-canadas-ratification-the-opcat</w:t>
        </w:r>
      </w:hyperlink>
      <w:r w:rsidR="006E6132" w:rsidRPr="009F58C5">
        <w:t xml:space="preserve">. </w:t>
      </w:r>
      <w:r w:rsidRPr="009F58C5">
        <w:t xml:space="preserve"> </w:t>
      </w:r>
    </w:p>
  </w:footnote>
  <w:footnote w:id="101">
    <w:p w14:paraId="30F0934A" w14:textId="77777777" w:rsidR="000F7B9A" w:rsidRPr="009F58C5" w:rsidRDefault="000F7B9A" w:rsidP="000F7B9A">
      <w:pPr>
        <w:pStyle w:val="FootnoteText"/>
      </w:pPr>
      <w:r w:rsidRPr="009F58C5">
        <w:rPr>
          <w:rStyle w:val="FootnoteReference"/>
        </w:rPr>
        <w:footnoteRef/>
      </w:r>
      <w:r w:rsidRPr="009F58C5">
        <w:t xml:space="preserve"> Hahmann, T. (December 12, 2019). Indigenous people with disabilities in Canada: First Nations people living off reserve, Métis and Inuit aged 15 years and older. Statistics Canada. </w:t>
      </w:r>
      <w:hyperlink r:id="rId106" w:history="1">
        <w:r w:rsidRPr="009F58C5">
          <w:rPr>
            <w:rStyle w:val="Hyperlink"/>
          </w:rPr>
          <w:t>https://www150.statcan.gc.ca/n1/pub/89-653-x/89-653-x2019005-eng.htm</w:t>
        </w:r>
      </w:hyperlink>
      <w:r w:rsidRPr="009F58C5">
        <w:t xml:space="preserve">. </w:t>
      </w:r>
    </w:p>
  </w:footnote>
  <w:footnote w:id="102">
    <w:p w14:paraId="184F3C9A" w14:textId="77777777" w:rsidR="000F7B9A" w:rsidRPr="009F58C5" w:rsidRDefault="000F7B9A" w:rsidP="000F7B9A">
      <w:pPr>
        <w:pStyle w:val="FootnoteText"/>
      </w:pPr>
      <w:r w:rsidRPr="009F58C5">
        <w:rPr>
          <w:rStyle w:val="FootnoteReference"/>
        </w:rPr>
        <w:footnoteRef/>
      </w:r>
      <w:r w:rsidRPr="009F58C5">
        <w:t xml:space="preserve"> See: No Such Word as Disability, Destigmatizing Disability: Native Women’s Association of Canada Magazine, Issue 25, (May 2024). Native Women’s Association of Canada. </w:t>
      </w:r>
      <w:hyperlink r:id="rId107" w:history="1">
        <w:r w:rsidRPr="009F58C5">
          <w:rPr>
            <w:rStyle w:val="Hyperlink"/>
          </w:rPr>
          <w:t>https://www.nwac.ca/assets-documents/Magazine-ISSUE-25.pdf</w:t>
        </w:r>
      </w:hyperlink>
      <w:r w:rsidRPr="009F58C5">
        <w:t xml:space="preserve">. </w:t>
      </w:r>
    </w:p>
  </w:footnote>
  <w:footnote w:id="103">
    <w:p w14:paraId="18ACAA6A" w14:textId="77777777" w:rsidR="004E3B45" w:rsidRPr="009F58C5" w:rsidRDefault="004E3B45" w:rsidP="004E3B45">
      <w:pPr>
        <w:pStyle w:val="FootnoteText"/>
      </w:pPr>
      <w:r w:rsidRPr="009F58C5">
        <w:rPr>
          <w:rStyle w:val="FootnoteReference"/>
        </w:rPr>
        <w:footnoteRef/>
      </w:r>
      <w:r w:rsidRPr="009F58C5">
        <w:t xml:space="preserve"> For example, Indigenous people seeking health care services off reserve frequently report experiencing racism, which can lead to negative and even life-threatening or fatal outcomes. In their response to the report of the Truth and Reconciliation Commission of Canada, the Canadian Psychological Association and the Psychology Foundation of Canada noted that psychologists are more likely to misdiagnose Indigenous clients. Access to services is often contingent upon diagnosis in Western settings, forcing Indigenous patients to choose between accessing services, and seeking culturally relevant and community-provided care. See: </w:t>
      </w:r>
      <w:hyperlink r:id="rId108" w:history="1">
        <w:r w:rsidRPr="009F58C5">
          <w:rPr>
            <w:rStyle w:val="Hyperlink"/>
          </w:rPr>
          <w:t>https://cpa.ca/docs/File/Task_Forces/TRC%20Task%20Force%20Report_FINAL.pdf</w:t>
        </w:r>
      </w:hyperlink>
      <w:r w:rsidRPr="009F58C5">
        <w:t xml:space="preserve">. </w:t>
      </w:r>
    </w:p>
  </w:footnote>
  <w:footnote w:id="104">
    <w:p w14:paraId="14945CF1" w14:textId="77777777" w:rsidR="001C6B93" w:rsidRPr="009F58C5" w:rsidRDefault="001C6B93" w:rsidP="001C6B93">
      <w:pPr>
        <w:pStyle w:val="FootnoteText"/>
      </w:pPr>
      <w:r w:rsidRPr="009F58C5">
        <w:rPr>
          <w:rStyle w:val="FootnoteReference"/>
        </w:rPr>
        <w:footnoteRef/>
      </w:r>
      <w:r w:rsidRPr="009F58C5">
        <w:t xml:space="preserve"> See all Canadian Human Rights Tribunal rulings related to this complaint: </w:t>
      </w:r>
      <w:hyperlink r:id="rId109" w:history="1">
        <w:r w:rsidRPr="009F58C5">
          <w:rPr>
            <w:rStyle w:val="Hyperlink"/>
          </w:rPr>
          <w:t>https://fncaringsociety.com/i-am-witness/chrt-orders</w:t>
        </w:r>
      </w:hyperlink>
      <w:r w:rsidRPr="009F58C5">
        <w:t xml:space="preserve">.  </w:t>
      </w:r>
    </w:p>
  </w:footnote>
  <w:footnote w:id="105">
    <w:p w14:paraId="2D19F181" w14:textId="1E5BC808" w:rsidR="004A3C6D" w:rsidRPr="009F58C5" w:rsidRDefault="004A3C6D">
      <w:pPr>
        <w:pStyle w:val="FootnoteText"/>
      </w:pPr>
      <w:r w:rsidRPr="009F58C5">
        <w:rPr>
          <w:rStyle w:val="FootnoteReference"/>
        </w:rPr>
        <w:footnoteRef/>
      </w:r>
      <w:r w:rsidRPr="009F58C5">
        <w:t xml:space="preserve"> The Canadian Press</w:t>
      </w:r>
      <w:r w:rsidR="00D46576" w:rsidRPr="009F58C5">
        <w:t xml:space="preserve"> (November 22, 2024).</w:t>
      </w:r>
      <w:r w:rsidRPr="009F58C5">
        <w:t xml:space="preserve"> Canada ordered to address Jordan's Principle backlog, find new solutions</w:t>
      </w:r>
      <w:r w:rsidR="00D46576" w:rsidRPr="009F58C5">
        <w:t>.</w:t>
      </w:r>
      <w:r w:rsidRPr="009F58C5">
        <w:t xml:space="preserve"> Toronto Star</w:t>
      </w:r>
      <w:r w:rsidR="00D46576" w:rsidRPr="009F58C5">
        <w:t>.</w:t>
      </w:r>
      <w:r w:rsidRPr="009F58C5">
        <w:t xml:space="preserve"> </w:t>
      </w:r>
      <w:hyperlink r:id="rId110" w:anchor=":~:text=%E2%80%9CThere%20is%20a%20backlog%20of,10" w:history="1">
        <w:r w:rsidRPr="009F58C5">
          <w:rPr>
            <w:rStyle w:val="Hyperlink"/>
          </w:rPr>
          <w:t>https://www.thestar.com/politics/federal/canada-ordered-to-address-jordans-principle-backlog-find-new-solutions/article_cb61497b-f334-5177-9936-25678284a774.html#:~:text=%E2%80%9CThere%20is%20a%20backlog%20of,10</w:t>
        </w:r>
      </w:hyperlink>
      <w:r w:rsidRPr="009F58C5">
        <w:t xml:space="preserve">. </w:t>
      </w:r>
    </w:p>
  </w:footnote>
  <w:footnote w:id="106">
    <w:p w14:paraId="5AA9E1B4" w14:textId="3DDB449A" w:rsidR="00B942C9" w:rsidRPr="009F58C5" w:rsidRDefault="00B942C9" w:rsidP="00B942C9">
      <w:pPr>
        <w:pStyle w:val="FootnoteText"/>
        <w:rPr>
          <w:rFonts w:cs="Arial"/>
        </w:rPr>
      </w:pPr>
      <w:r w:rsidRPr="009F58C5">
        <w:rPr>
          <w:rStyle w:val="FootnoteReference"/>
          <w:rFonts w:cs="Arial"/>
        </w:rPr>
        <w:footnoteRef/>
      </w:r>
      <w:r w:rsidRPr="009F58C5">
        <w:rPr>
          <w:rFonts w:cs="Arial"/>
        </w:rPr>
        <w:t xml:space="preserve"> This was reported on in 2019 by the Special Rapporteur on the Rights of Persons with Disabilities. See: UNGA</w:t>
      </w:r>
      <w:r w:rsidR="00D46576" w:rsidRPr="009F58C5">
        <w:rPr>
          <w:rFonts w:cs="Arial"/>
        </w:rPr>
        <w:t>. (December 19, 2019).</w:t>
      </w:r>
      <w:r w:rsidRPr="009F58C5">
        <w:rPr>
          <w:rFonts w:cs="Arial"/>
        </w:rPr>
        <w:t xml:space="preserve"> </w:t>
      </w:r>
      <w:r w:rsidRPr="009F58C5">
        <w:rPr>
          <w:rFonts w:cs="Arial"/>
          <w:iCs/>
        </w:rPr>
        <w:t>Report of the Special Rapporteur on the Rights of Persons with Disabilities, 43</w:t>
      </w:r>
      <w:r w:rsidRPr="009F58C5">
        <w:rPr>
          <w:rFonts w:cs="Arial"/>
          <w:iCs/>
          <w:vertAlign w:val="superscript"/>
        </w:rPr>
        <w:t>rd</w:t>
      </w:r>
      <w:r w:rsidRPr="009F58C5">
        <w:rPr>
          <w:rFonts w:cs="Arial"/>
        </w:rPr>
        <w:t xml:space="preserve"> Sess, Item 3, UN Doc A/HRC/43/41/Add.2</w:t>
      </w:r>
      <w:r w:rsidR="00D46576" w:rsidRPr="009F58C5">
        <w:rPr>
          <w:rFonts w:cs="Arial"/>
        </w:rPr>
        <w:t xml:space="preserve">. </w:t>
      </w:r>
      <w:hyperlink r:id="rId111" w:history="1">
        <w:r w:rsidRPr="009F58C5">
          <w:rPr>
            <w:rStyle w:val="Hyperlink"/>
            <w:rFonts w:cs="Arial"/>
          </w:rPr>
          <w:t>https://www.un.org/en/ga/search/view_doc.asp?symbol=A%2FHRC%2F43%2F41%2FAdd.2&amp;fbclid=IwAR0Gb4QSg77QsjYA67r2JhJATr4Vm-7ulvb2ofcUAyxUED2aXyctAsU9jgQ</w:t>
        </w:r>
      </w:hyperlink>
    </w:p>
  </w:footnote>
  <w:footnote w:id="107">
    <w:p w14:paraId="6F6DA007" w14:textId="0BB1A85C" w:rsidR="001C6B93" w:rsidRPr="009F58C5" w:rsidRDefault="001C6B93" w:rsidP="001C6B93">
      <w:pPr>
        <w:pStyle w:val="FootnoteText"/>
        <w:rPr>
          <w:rFonts w:cs="Arial"/>
        </w:rPr>
      </w:pPr>
      <w:r w:rsidRPr="009F58C5">
        <w:rPr>
          <w:rStyle w:val="FootnoteReference"/>
          <w:rFonts w:cs="Arial"/>
        </w:rPr>
        <w:footnoteRef/>
      </w:r>
      <w:r w:rsidRPr="009F58C5">
        <w:rPr>
          <w:rFonts w:cs="Arial"/>
        </w:rPr>
        <w:t xml:space="preserve"> The Canadian Human Rights Tribunal has issued preliminary rulings on a complaint alleging that Canada is failing to meet </w:t>
      </w:r>
      <w:r w:rsidRPr="009F58C5">
        <w:rPr>
          <w:rFonts w:cs="Arial"/>
          <w:color w:val="000000"/>
          <w:spacing w:val="-3"/>
        </w:rPr>
        <w:t xml:space="preserve">the standard of substantive equality with respect to First Nations education in Ontario: </w:t>
      </w:r>
      <w:r w:rsidRPr="009F58C5">
        <w:rPr>
          <w:rFonts w:cs="Arial"/>
          <w:iCs/>
          <w:color w:val="000000"/>
          <w:spacing w:val="-3"/>
        </w:rPr>
        <w:t>MCFN v. AGC,</w:t>
      </w:r>
      <w:r w:rsidRPr="009F58C5">
        <w:rPr>
          <w:rFonts w:cs="Arial"/>
          <w:i/>
          <w:color w:val="000000"/>
          <w:spacing w:val="-3"/>
        </w:rPr>
        <w:t xml:space="preserve"> </w:t>
      </w:r>
      <w:hyperlink r:id="rId112" w:history="1">
        <w:r w:rsidR="00440066" w:rsidRPr="009F58C5">
          <w:rPr>
            <w:rStyle w:val="Hyperlink"/>
            <w:rFonts w:cs="Arial"/>
          </w:rPr>
          <w:t xml:space="preserve">2021 </w:t>
        </w:r>
        <w:r w:rsidR="00440066" w:rsidRPr="009F58C5">
          <w:rPr>
            <w:rStyle w:val="Hyperlink"/>
            <w:rFonts w:cs="Arial"/>
            <w:spacing w:val="-3"/>
          </w:rPr>
          <w:t>CHRT 31</w:t>
        </w:r>
      </w:hyperlink>
      <w:r w:rsidRPr="009F58C5">
        <w:rPr>
          <w:rFonts w:cs="Arial"/>
          <w:color w:val="000000"/>
          <w:spacing w:val="-3"/>
        </w:rPr>
        <w:t>;</w:t>
      </w:r>
      <w:r w:rsidRPr="009F58C5">
        <w:rPr>
          <w:rFonts w:cs="Arial"/>
        </w:rPr>
        <w:t xml:space="preserve"> </w:t>
      </w:r>
      <w:r w:rsidRPr="009F58C5">
        <w:rPr>
          <w:rFonts w:cs="Arial"/>
          <w:iCs/>
        </w:rPr>
        <w:t>Mississaugas of the Credit First Nation v. Attorney General of Canada,</w:t>
      </w:r>
      <w:r w:rsidRPr="009F58C5">
        <w:rPr>
          <w:rFonts w:cs="Arial"/>
        </w:rPr>
        <w:t xml:space="preserve"> </w:t>
      </w:r>
      <w:hyperlink r:id="rId113" w:history="1">
        <w:r w:rsidRPr="009F58C5">
          <w:rPr>
            <w:rStyle w:val="Hyperlink"/>
            <w:rFonts w:cs="Arial"/>
          </w:rPr>
          <w:t>2021 CHRT 37</w:t>
        </w:r>
      </w:hyperlink>
      <w:r w:rsidRPr="009F58C5">
        <w:rPr>
          <w:rFonts w:cs="Arial"/>
        </w:rPr>
        <w:t>.</w:t>
      </w:r>
    </w:p>
  </w:footnote>
  <w:footnote w:id="108">
    <w:p w14:paraId="1636F80C" w14:textId="77777777" w:rsidR="008A1082" w:rsidRPr="009F58C5" w:rsidRDefault="008A1082" w:rsidP="008A1082">
      <w:pPr>
        <w:pStyle w:val="FootnoteText"/>
        <w:rPr>
          <w:rFonts w:cs="Arial"/>
        </w:rPr>
      </w:pPr>
      <w:r w:rsidRPr="009F58C5">
        <w:rPr>
          <w:rStyle w:val="FootnoteReference"/>
          <w:rFonts w:cs="Arial"/>
        </w:rPr>
        <w:footnoteRef/>
      </w:r>
      <w:r w:rsidRPr="009F58C5">
        <w:rPr>
          <w:rFonts w:cs="Arial"/>
        </w:rPr>
        <w:t xml:space="preserve"> See: Reclaiming Power and Place: The Final Report of the National Inquiry into Missing and Murdered Indigenous Women and Girls. (June 2019). </w:t>
      </w:r>
      <w:hyperlink r:id="rId114" w:history="1">
        <w:r w:rsidRPr="009F58C5">
          <w:rPr>
            <w:rStyle w:val="Hyperlink"/>
            <w:rFonts w:cs="Arial"/>
          </w:rPr>
          <w:t>https://www.mmiwg-ffada.ca/final-report/</w:t>
        </w:r>
      </w:hyperlink>
      <w:r w:rsidRPr="009F58C5">
        <w:rPr>
          <w:rFonts w:cs="Arial"/>
        </w:rPr>
        <w:t xml:space="preserve">. See Volume 1a, Chapter 6: </w:t>
      </w:r>
      <w:r w:rsidRPr="009F58C5">
        <w:rPr>
          <w:rFonts w:cs="Arial"/>
          <w:iCs/>
        </w:rPr>
        <w:t>Confronting Oppression – Right to Health</w:t>
      </w:r>
      <w:r w:rsidRPr="009F58C5">
        <w:rPr>
          <w:rFonts w:cs="Arial"/>
        </w:rPr>
        <w:t>, for the health-related aspects of the report.</w:t>
      </w:r>
    </w:p>
  </w:footnote>
  <w:footnote w:id="109">
    <w:p w14:paraId="55D6943D" w14:textId="77777777" w:rsidR="008A1082" w:rsidRPr="009F58C5" w:rsidRDefault="008A1082" w:rsidP="008A1082">
      <w:pPr>
        <w:pStyle w:val="FootnoteText"/>
      </w:pPr>
      <w:r w:rsidRPr="009F58C5">
        <w:rPr>
          <w:rStyle w:val="FootnoteReference"/>
        </w:rPr>
        <w:footnoteRef/>
      </w:r>
      <w:r w:rsidRPr="009F58C5">
        <w:t xml:space="preserve"> Available at: </w:t>
      </w:r>
      <w:hyperlink r:id="rId115" w:history="1">
        <w:r w:rsidRPr="009F58C5">
          <w:rPr>
            <w:rStyle w:val="Hyperlink"/>
          </w:rPr>
          <w:t>https://www.mmiwg-ffada.ca/final-report/</w:t>
        </w:r>
      </w:hyperlink>
      <w:r w:rsidRPr="009F58C5">
        <w:t xml:space="preserve">. </w:t>
      </w:r>
    </w:p>
  </w:footnote>
  <w:footnote w:id="110">
    <w:p w14:paraId="7D3E80CC" w14:textId="77777777" w:rsidR="001C6B93" w:rsidRPr="009F58C5" w:rsidRDefault="001C6B93" w:rsidP="001C6B93">
      <w:pPr>
        <w:pStyle w:val="FootnoteText"/>
        <w:rPr>
          <w:rFonts w:cs="Arial"/>
        </w:rPr>
      </w:pPr>
      <w:r w:rsidRPr="009F58C5">
        <w:rPr>
          <w:rStyle w:val="FootnoteReference"/>
          <w:rFonts w:cs="Arial"/>
        </w:rPr>
        <w:footnoteRef/>
      </w:r>
      <w:r w:rsidRPr="009F58C5">
        <w:rPr>
          <w:rFonts w:cs="Arial"/>
        </w:rPr>
        <w:t xml:space="preserve"> Royal Commission on Aboriginal Peoples, Choosing Life: Special Report on Suicide Among Aboriginal People, 1995, available at: </w:t>
      </w:r>
      <w:hyperlink r:id="rId116" w:history="1">
        <w:r w:rsidRPr="009F58C5">
          <w:rPr>
            <w:rStyle w:val="Hyperlink"/>
            <w:rFonts w:cs="Arial"/>
          </w:rPr>
          <w:t>http://data2.archives.ca/rcap/pdf/rcap-459.pdf</w:t>
        </w:r>
      </w:hyperlink>
      <w:r w:rsidRPr="009F58C5">
        <w:rPr>
          <w:rStyle w:val="Hyperlink"/>
          <w:rFonts w:cs="Arial"/>
        </w:rPr>
        <w:t xml:space="preserve">. </w:t>
      </w:r>
      <w:r w:rsidRPr="009F58C5">
        <w:rPr>
          <w:rFonts w:cs="Arial"/>
        </w:rPr>
        <w:t xml:space="preserve">  </w:t>
      </w:r>
    </w:p>
  </w:footnote>
  <w:footnote w:id="111">
    <w:p w14:paraId="61E00AAB" w14:textId="77777777" w:rsidR="001C6B93" w:rsidRPr="009F58C5" w:rsidRDefault="001C6B93" w:rsidP="001C6B93">
      <w:pPr>
        <w:pStyle w:val="FootnoteText"/>
        <w:rPr>
          <w:rFonts w:cs="Arial"/>
        </w:rPr>
      </w:pPr>
      <w:r w:rsidRPr="009F58C5">
        <w:rPr>
          <w:rStyle w:val="FootnoteReference"/>
          <w:rFonts w:cs="Arial"/>
        </w:rPr>
        <w:footnoteRef/>
      </w:r>
      <w:r w:rsidRPr="009F58C5">
        <w:rPr>
          <w:rFonts w:cs="Arial"/>
        </w:rPr>
        <w:t xml:space="preserve"> See: Canadian Mental Health Association, The State of Mental Health in Canada 2024, available at: </w:t>
      </w:r>
      <w:hyperlink r:id="rId117" w:anchor="documents" w:history="1">
        <w:r w:rsidRPr="009F58C5">
          <w:rPr>
            <w:rStyle w:val="Hyperlink"/>
            <w:rFonts w:cs="Arial"/>
          </w:rPr>
          <w:t>https://cmha.ca/what-we-do/policy-research/state-of-mental-health-in-canada/#documents</w:t>
        </w:r>
      </w:hyperlink>
      <w:r w:rsidRPr="009F58C5">
        <w:rPr>
          <w:rFonts w:cs="Arial"/>
        </w:rPr>
        <w:t xml:space="preserve">. See also: Anderson, T., Chapter 4: Indigenous Youth in Canada, (December 2021), Statistics Canada, available at: </w:t>
      </w:r>
      <w:hyperlink r:id="rId118" w:history="1">
        <w:r w:rsidRPr="009F58C5">
          <w:rPr>
            <w:rStyle w:val="Hyperlink"/>
            <w:rFonts w:cs="Arial"/>
          </w:rPr>
          <w:t>https://www150.statcan.gc.ca/n1/pub/42-28-0001/2021001/article/00004-eng.htm</w:t>
        </w:r>
      </w:hyperlink>
      <w:r w:rsidRPr="009F58C5">
        <w:rPr>
          <w:rFonts w:cs="Arial"/>
        </w:rPr>
        <w:t xml:space="preserve">. </w:t>
      </w:r>
    </w:p>
  </w:footnote>
  <w:footnote w:id="112">
    <w:p w14:paraId="1E713EED" w14:textId="443F6DA6" w:rsidR="00184633" w:rsidRPr="009F58C5" w:rsidRDefault="00184633">
      <w:pPr>
        <w:pStyle w:val="FootnoteText"/>
      </w:pPr>
      <w:r w:rsidRPr="009F58C5">
        <w:rPr>
          <w:rStyle w:val="FootnoteReference"/>
        </w:rPr>
        <w:footnoteRef/>
      </w:r>
      <w:r w:rsidRPr="009F58C5">
        <w:t xml:space="preserve"> See: Kumar, M., Tjepkema, M., Suicide among First Nations people, Métis and Inuit (2011-2016): Findings from the 2011 Canadian Census Health and Environment Cohort (CanCHEC), Statistics Canada, (28 June 2019), available at: </w:t>
      </w:r>
      <w:hyperlink r:id="rId119" w:history="1">
        <w:r w:rsidRPr="009F58C5">
          <w:rPr>
            <w:rStyle w:val="Hyperlink"/>
          </w:rPr>
          <w:t>https://www150.statcan.gc.ca/n1/pub/99-011-x/99-011-x2019001-eng.htm</w:t>
        </w:r>
      </w:hyperlink>
      <w:r w:rsidRPr="009F58C5">
        <w:t>.</w:t>
      </w:r>
    </w:p>
  </w:footnote>
  <w:footnote w:id="113">
    <w:p w14:paraId="0E90742E" w14:textId="72F84AF5" w:rsidR="007A0877" w:rsidRPr="009F58C5" w:rsidRDefault="007A0877">
      <w:pPr>
        <w:pStyle w:val="FootnoteText"/>
      </w:pPr>
      <w:r w:rsidRPr="009F58C5">
        <w:rPr>
          <w:rStyle w:val="FootnoteReference"/>
        </w:rPr>
        <w:footnoteRef/>
      </w:r>
      <w:r w:rsidRPr="009F58C5">
        <w:t xml:space="preserve"> Socioeconomic factors, including household income, labour force status, level of education, marital status and geographic factors such as living on or off reserve (First Nations people) and community size (Inuit) accounted for a notable proportion of the disparity in risk of death by suicide among First Nations people (78%), Métis (37%) and Inuit (40%) adults, 25 years or older. However, due to limitations of the data, the role of other previously-identified factors such as historical and intergenerational trauma, community distress, cultural continuity, family strength and mental wellness were not explored here. See: Kumar, M., Tjepkema, M.</w:t>
      </w:r>
      <w:r w:rsidR="000A5C36" w:rsidRPr="009F58C5">
        <w:t xml:space="preserve"> (June 28, 2019).</w:t>
      </w:r>
      <w:r w:rsidRPr="009F58C5">
        <w:t xml:space="preserve"> Suicide among First Nations people, Métis and Inuit (2011-2016): Findings from the 2011 Canadian Census Health and Environment Cohort (CanCHEC)</w:t>
      </w:r>
      <w:r w:rsidR="000A5C36" w:rsidRPr="009F58C5">
        <w:t>.</w:t>
      </w:r>
      <w:r w:rsidRPr="009F58C5">
        <w:t xml:space="preserve"> Statistics Canada</w:t>
      </w:r>
      <w:r w:rsidR="000A5C36" w:rsidRPr="009F58C5">
        <w:t>.</w:t>
      </w:r>
      <w:r w:rsidRPr="009F58C5">
        <w:t xml:space="preserve"> </w:t>
      </w:r>
      <w:hyperlink r:id="rId120" w:history="1">
        <w:r w:rsidRPr="009F58C5">
          <w:rPr>
            <w:rStyle w:val="Hyperlink"/>
          </w:rPr>
          <w:t>https://www150.statcan.gc.ca/n1/pub/99-011-x/99-011-x2019001-eng.htm</w:t>
        </w:r>
      </w:hyperlink>
      <w:r w:rsidRPr="009F58C5">
        <w:t xml:space="preserve">. </w:t>
      </w:r>
    </w:p>
  </w:footnote>
  <w:footnote w:id="114">
    <w:p w14:paraId="6B062600" w14:textId="77777777" w:rsidR="001C6B93" w:rsidRPr="009F58C5" w:rsidRDefault="001C6B93" w:rsidP="001C6B93">
      <w:pPr>
        <w:pStyle w:val="FootnoteText"/>
      </w:pPr>
      <w:r w:rsidRPr="009F58C5">
        <w:rPr>
          <w:rStyle w:val="FootnoteReference"/>
        </w:rPr>
        <w:footnoteRef/>
      </w:r>
      <w:r w:rsidRPr="009F58C5">
        <w:t xml:space="preserve"> As explained in a report by the Native Women’s Association of Canada: “Two-Spirit is a</w:t>
      </w:r>
      <w:r w:rsidRPr="009F58C5">
        <w:rPr>
          <w:lang w:val="en-US"/>
        </w:rPr>
        <w:t xml:space="preserve"> term that incorporates Indigenous views of gender and sexual diversity and encompasses sexual, gender, cultural and spiritual identity. The term was coined in 1990 by Myra Laramee at a gathering of Native American and Indigenous LGBTQQIA+ people in Manitoba. The term is a translation of the Anishinaabemowin</w:t>
      </w:r>
      <w:r w:rsidRPr="009F58C5">
        <w:rPr>
          <w:lang w:val="en-US"/>
        </w:rPr>
        <w:br/>
        <w:t xml:space="preserve">term </w:t>
      </w:r>
      <w:r w:rsidRPr="009F58C5">
        <w:rPr>
          <w:i/>
          <w:iCs/>
          <w:lang w:val="en-US"/>
        </w:rPr>
        <w:t>niizh manidoowag</w:t>
      </w:r>
      <w:r w:rsidRPr="009F58C5">
        <w:rPr>
          <w:lang w:val="en-US"/>
        </w:rPr>
        <w:t xml:space="preserve">, “two spirits.” It may be used among some Indigenous communities/peoples, rather than, or in addition to identifying as LGBTQQIA+, although not all sexual and gender diverse Indigenous people consider themselves to be Two-Spirit. Though suppressed through the process of colonization, a Two-Spirit person may have specific roles containing cultural knowledge and governance structures. These roles may vary and are specific to each individual community. Due to cultural and spiritual context, the term Two-Spirit should only be used for Indigenous people.” See: Native Women’s Association of Canada. (2024). Final Report: Adequate housing for Indigenous Two-Spirit, transgender, non-binary, and gender-diverse people. </w:t>
      </w:r>
      <w:hyperlink r:id="rId121" w:history="1">
        <w:r w:rsidRPr="009F58C5">
          <w:rPr>
            <w:rStyle w:val="Hyperlink"/>
            <w:lang w:val="en-US"/>
          </w:rPr>
          <w:t>https://nwac.ca/assets-documents/Final_Report_Adequate_Housing_for_Indigenous_People.pdf</w:t>
        </w:r>
      </w:hyperlink>
      <w:r w:rsidRPr="009F58C5">
        <w:rPr>
          <w:lang w:val="en-US"/>
        </w:rPr>
        <w:t>.</w:t>
      </w:r>
    </w:p>
  </w:footnote>
  <w:footnote w:id="115">
    <w:p w14:paraId="65ECACB5" w14:textId="77777777" w:rsidR="001C6B93" w:rsidRPr="009F58C5" w:rsidRDefault="001C6B93" w:rsidP="001C6B93">
      <w:pPr>
        <w:pStyle w:val="FootnoteText"/>
      </w:pPr>
      <w:r w:rsidRPr="009F58C5">
        <w:rPr>
          <w:rStyle w:val="FootnoteReference"/>
        </w:rPr>
        <w:footnoteRef/>
      </w:r>
      <w:r w:rsidRPr="009F58C5">
        <w:t xml:space="preserve"> From the Final Report of the National Inquiry into Missing and Murdered Indigenous Women and Girls, available at: </w:t>
      </w:r>
      <w:hyperlink r:id="rId122" w:history="1">
        <w:r w:rsidRPr="009F58C5">
          <w:rPr>
            <w:rStyle w:val="Hyperlink"/>
          </w:rPr>
          <w:t>https://www.mmiwg-ffada.ca/final-report/</w:t>
        </w:r>
      </w:hyperlink>
      <w:r w:rsidRPr="009F58C5">
        <w:t>. The section on urban migration can be found in Volume 1a, p. 446.</w:t>
      </w:r>
    </w:p>
  </w:footnote>
  <w:footnote w:id="116">
    <w:p w14:paraId="166394D3" w14:textId="65BD310D" w:rsidR="0066117D" w:rsidRPr="009F58C5" w:rsidRDefault="0066117D">
      <w:pPr>
        <w:pStyle w:val="FootnoteText"/>
      </w:pPr>
      <w:r w:rsidRPr="009F58C5">
        <w:rPr>
          <w:rStyle w:val="FootnoteReference"/>
        </w:rPr>
        <w:footnoteRef/>
      </w:r>
      <w:r w:rsidRPr="009F58C5">
        <w:t xml:space="preserve"> </w:t>
      </w:r>
      <w:r w:rsidR="00576FAC" w:rsidRPr="009F58C5">
        <w:t>supra note 10</w:t>
      </w:r>
      <w:r w:rsidR="006E6132" w:rsidRPr="009F58C5">
        <w:t>9</w:t>
      </w:r>
      <w:r w:rsidRPr="009F58C5">
        <w:t xml:space="preserve">. </w:t>
      </w:r>
    </w:p>
  </w:footnote>
  <w:footnote w:id="117">
    <w:p w14:paraId="00D7F294" w14:textId="77777777" w:rsidR="001C6B93" w:rsidRPr="009F58C5" w:rsidRDefault="001C6B93" w:rsidP="001C6B93">
      <w:pPr>
        <w:pStyle w:val="FootnoteText"/>
        <w:rPr>
          <w:lang w:val="en-US"/>
        </w:rPr>
      </w:pPr>
      <w:r w:rsidRPr="009F58C5">
        <w:rPr>
          <w:rStyle w:val="FootnoteReference"/>
        </w:rPr>
        <w:footnoteRef/>
      </w:r>
      <w:r w:rsidRPr="009F58C5">
        <w:t xml:space="preserve"> This action was taken in response to Call for Justice 1.7 in the Final Report of the National Inquiry into Missing and Murdered Indigenous Women and Girls. </w:t>
      </w:r>
      <w:r w:rsidRPr="009F58C5">
        <w:rPr>
          <w:lang w:val="en-US"/>
        </w:rPr>
        <w:t xml:space="preserve">The Ministerial Special Representative’s final report and recommendations is available at: </w:t>
      </w:r>
      <w:hyperlink r:id="rId123" w:history="1">
        <w:r w:rsidRPr="009F58C5">
          <w:rPr>
            <w:rStyle w:val="Hyperlink"/>
            <w:lang w:val="en-US"/>
          </w:rPr>
          <w:t>https://www.rcaanc-cirnac.gc.ca/eng/1717103903695/1717103981609</w:t>
        </w:r>
      </w:hyperlink>
      <w:r w:rsidRPr="009F58C5">
        <w:rPr>
          <w:lang w:val="en-US"/>
        </w:rPr>
        <w:t xml:space="preserve">. </w:t>
      </w:r>
    </w:p>
  </w:footnote>
  <w:footnote w:id="118">
    <w:p w14:paraId="7781D7FA" w14:textId="6CD01BC7" w:rsidR="001C6B93" w:rsidRPr="009F58C5" w:rsidRDefault="001C6B93" w:rsidP="001C6B93">
      <w:pPr>
        <w:pStyle w:val="FootnoteText"/>
        <w:rPr>
          <w:lang w:val="en-US"/>
        </w:rPr>
      </w:pPr>
      <w:r w:rsidRPr="009F58C5">
        <w:rPr>
          <w:rStyle w:val="FootnoteReference"/>
        </w:rPr>
        <w:footnoteRef/>
      </w:r>
      <w:r w:rsidRPr="009F58C5">
        <w:t xml:space="preserve"> </w:t>
      </w:r>
      <w:r w:rsidRPr="009F58C5">
        <w:rPr>
          <w:lang w:val="en-US"/>
        </w:rPr>
        <w:t xml:space="preserve">See: </w:t>
      </w:r>
      <w:hyperlink r:id="rId124" w:history="1">
        <w:r w:rsidR="006E6132" w:rsidRPr="009F58C5">
          <w:rPr>
            <w:rStyle w:val="Hyperlink"/>
          </w:rPr>
          <w:t>https://www.chrc-ccdp.gc.ca/resources/newsroom/independent-indigenous-human-rights-system-overdue</w:t>
        </w:r>
      </w:hyperlink>
      <w:r w:rsidR="006E6132" w:rsidRPr="009F58C5">
        <w:t>.</w:t>
      </w:r>
      <w:r w:rsidR="00226589" w:rsidRPr="009F58C5">
        <w:rPr>
          <w:lang w:val="en-US"/>
        </w:rPr>
        <w:t xml:space="preserve"> </w:t>
      </w:r>
      <w:r w:rsidR="005E558C" w:rsidRPr="009F58C5">
        <w:rPr>
          <w:lang w:val="en-US"/>
        </w:rPr>
        <w:t xml:space="preserve">See also: </w:t>
      </w:r>
      <w:r w:rsidR="00226589" w:rsidRPr="009F58C5">
        <w:rPr>
          <w:lang w:val="en-US"/>
        </w:rPr>
        <w:t>Standing Senate Committee on Indigenous Peoples</w:t>
      </w:r>
      <w:r w:rsidR="005E558C" w:rsidRPr="009F58C5">
        <w:rPr>
          <w:lang w:val="en-US"/>
        </w:rPr>
        <w:t xml:space="preserve">. (December 2024). </w:t>
      </w:r>
      <w:r w:rsidR="00226589" w:rsidRPr="009F58C5">
        <w:t xml:space="preserve">Respected and Protected: Towards the establishment of an Indigenous human rights </w:t>
      </w:r>
      <w:r w:rsidR="005E558C" w:rsidRPr="009F58C5">
        <w:t>framework.</w:t>
      </w:r>
      <w:r w:rsidR="00796D4E" w:rsidRPr="009F58C5">
        <w:t xml:space="preserve"> </w:t>
      </w:r>
      <w:hyperlink r:id="rId125" w:history="1">
        <w:r w:rsidR="00796D4E" w:rsidRPr="009F58C5">
          <w:rPr>
            <w:rStyle w:val="Hyperlink"/>
          </w:rPr>
          <w:t>https://sencanada.ca/en/info-page/parl-44-1/appa-indigenous-human-rights-framework/</w:t>
        </w:r>
      </w:hyperlink>
      <w:r w:rsidR="00796D4E" w:rsidRPr="009F58C5">
        <w:t xml:space="preserve">. </w:t>
      </w:r>
    </w:p>
  </w:footnote>
  <w:footnote w:id="119">
    <w:p w14:paraId="3E174A4E" w14:textId="77777777" w:rsidR="00F713AE" w:rsidRPr="009F58C5" w:rsidRDefault="00F713AE" w:rsidP="00F713AE">
      <w:pPr>
        <w:pStyle w:val="FootnoteText"/>
      </w:pPr>
      <w:r w:rsidRPr="009F58C5">
        <w:rPr>
          <w:rStyle w:val="FootnoteReference"/>
        </w:rPr>
        <w:footnoteRef/>
      </w:r>
      <w:r w:rsidRPr="009F58C5">
        <w:t xml:space="preserve"> Statistics Canada. (December 1, 2023). Canadian Survey on Disability. </w:t>
      </w:r>
      <w:hyperlink r:id="rId126" w:history="1">
        <w:r w:rsidRPr="009F58C5">
          <w:rPr>
            <w:rStyle w:val="Hyperlink"/>
          </w:rPr>
          <w:t>https://www150.statcan.gc.ca/n1/daily-quotidien/231201/dq231201b-eng.htm</w:t>
        </w:r>
      </w:hyperlink>
      <w:r w:rsidRPr="009F58C5">
        <w:t xml:space="preserve">. </w:t>
      </w:r>
    </w:p>
  </w:footnote>
  <w:footnote w:id="120">
    <w:p w14:paraId="1E8A6463" w14:textId="7F3C1B78" w:rsidR="00F713AE" w:rsidRPr="009F58C5" w:rsidRDefault="00F713AE" w:rsidP="00F713AE">
      <w:pPr>
        <w:pStyle w:val="FootnoteText"/>
      </w:pPr>
      <w:r w:rsidRPr="009F58C5">
        <w:rPr>
          <w:rStyle w:val="FootnoteReference"/>
        </w:rPr>
        <w:footnoteRef/>
      </w:r>
      <w:r w:rsidRPr="009F58C5">
        <w:t xml:space="preserve"> supra note </w:t>
      </w:r>
      <w:r w:rsidR="006E6132" w:rsidRPr="009F58C5">
        <w:t>7</w:t>
      </w:r>
      <w:r w:rsidRPr="009F58C5">
        <w:t xml:space="preserve">. </w:t>
      </w:r>
    </w:p>
  </w:footnote>
  <w:footnote w:id="121">
    <w:p w14:paraId="3E39D978" w14:textId="77777777" w:rsidR="00F713AE" w:rsidRPr="009F58C5" w:rsidRDefault="00F713AE" w:rsidP="00F713AE">
      <w:pPr>
        <w:pStyle w:val="FootnoteText"/>
      </w:pPr>
      <w:r w:rsidRPr="009F58C5">
        <w:rPr>
          <w:rStyle w:val="FootnoteReference"/>
        </w:rPr>
        <w:footnoteRef/>
      </w:r>
      <w:r w:rsidRPr="009F58C5">
        <w:rPr>
          <w:lang w:val="en-US"/>
        </w:rPr>
        <w:t xml:space="preserve"> Factors contributing to violence include: poverty; lack of access to sexual health education and resources; lack of access to justice; lack of support in exercising independence and autonomy; and systemic ableism in the justice and health care systems. See: Savage, L. (</w:t>
      </w:r>
      <w:r w:rsidRPr="009F58C5">
        <w:t xml:space="preserve">April 26, 2021). Intimate partner violence: Experiences of women with disabilities in Canada, 2018. </w:t>
      </w:r>
      <w:hyperlink r:id="rId127" w:history="1">
        <w:r w:rsidRPr="009F58C5">
          <w:rPr>
            <w:rStyle w:val="Hyperlink"/>
          </w:rPr>
          <w:t>www150.statcan.gc.ca/n1/pub/85-002-x/2021001/article/00006-eng.htm</w:t>
        </w:r>
      </w:hyperlink>
      <w:r w:rsidRPr="009F58C5">
        <w:t xml:space="preserve">. See also: DisAbled Women’s Network of Canada. (May 11, 2023). Parliamentary Brief on Human Trafficking. </w:t>
      </w:r>
      <w:hyperlink r:id="rId128" w:history="1">
        <w:r w:rsidRPr="009F58C5">
          <w:rPr>
            <w:rStyle w:val="Hyperlink"/>
          </w:rPr>
          <w:t>https://dawncanada.net/media/uploads/page_data/page-63/FEWO_Human_Trafficking_Parliamentary_Brief-May11_2023-LONG_EN_BH.pdf</w:t>
        </w:r>
      </w:hyperlink>
      <w:r w:rsidRPr="009F58C5">
        <w:t>.</w:t>
      </w:r>
    </w:p>
  </w:footnote>
  <w:footnote w:id="122">
    <w:p w14:paraId="1A799F4F" w14:textId="45E863CE" w:rsidR="00947DF1" w:rsidRPr="009F58C5" w:rsidRDefault="00947DF1" w:rsidP="00947DF1">
      <w:pPr>
        <w:pStyle w:val="FootnoteText"/>
      </w:pPr>
      <w:r w:rsidRPr="009F58C5">
        <w:rPr>
          <w:rStyle w:val="FootnoteReference"/>
        </w:rPr>
        <w:footnoteRef/>
      </w:r>
      <w:r w:rsidRPr="009F58C5">
        <w:t xml:space="preserve"> See</w:t>
      </w:r>
      <w:r w:rsidR="00337FCB" w:rsidRPr="009F58C5">
        <w:t>:</w:t>
      </w:r>
      <w:r w:rsidRPr="009F58C5">
        <w:t xml:space="preserve"> Statistics Canada</w:t>
      </w:r>
      <w:r w:rsidR="00337FCB" w:rsidRPr="009F58C5">
        <w:t>.</w:t>
      </w:r>
      <w:r w:rsidRPr="009F58C5">
        <w:t xml:space="preserve"> (2023)</w:t>
      </w:r>
      <w:r w:rsidR="00337FCB" w:rsidRPr="009F58C5">
        <w:t>.</w:t>
      </w:r>
      <w:r w:rsidRPr="009F58C5">
        <w:t xml:space="preserve"> Canadian Survey on Disability, 2017 to 2022. </w:t>
      </w:r>
      <w:hyperlink r:id="rId129" w:history="1">
        <w:r w:rsidRPr="009F58C5">
          <w:rPr>
            <w:rStyle w:val="Hyperlink"/>
          </w:rPr>
          <w:t>https://www150.statcan.gc.ca/n1/daily-quotidien/231201/dq231201b-eng.htm</w:t>
        </w:r>
      </w:hyperlink>
      <w:r w:rsidRPr="009F58C5">
        <w:t xml:space="preserve"> </w:t>
      </w:r>
    </w:p>
  </w:footnote>
  <w:footnote w:id="123">
    <w:p w14:paraId="46E15066" w14:textId="1941B5DE" w:rsidR="00947DF1" w:rsidRPr="009F58C5" w:rsidRDefault="00947DF1" w:rsidP="00947DF1">
      <w:pPr>
        <w:pStyle w:val="FootnoteText"/>
      </w:pPr>
      <w:r w:rsidRPr="009F58C5">
        <w:rPr>
          <w:rStyle w:val="FootnoteReference"/>
        </w:rPr>
        <w:footnoteRef/>
      </w:r>
      <w:r w:rsidRPr="009F58C5">
        <w:t xml:space="preserve"> See</w:t>
      </w:r>
      <w:r w:rsidR="00337FCB" w:rsidRPr="009F58C5">
        <w:t xml:space="preserve">: </w:t>
      </w:r>
      <w:r w:rsidRPr="009F58C5">
        <w:rPr>
          <w:color w:val="0A0A0A"/>
          <w:shd w:val="clear" w:color="auto" w:fill="FCFCFC"/>
        </w:rPr>
        <w:t>Statistics Canada</w:t>
      </w:r>
      <w:r w:rsidR="00337FCB" w:rsidRPr="009F58C5">
        <w:rPr>
          <w:color w:val="0A0A0A"/>
          <w:shd w:val="clear" w:color="auto" w:fill="FCFCFC"/>
        </w:rPr>
        <w:t xml:space="preserve">. </w:t>
      </w:r>
      <w:r w:rsidRPr="009F58C5">
        <w:rPr>
          <w:color w:val="0A0A0A"/>
          <w:shd w:val="clear" w:color="auto" w:fill="FCFCFC"/>
        </w:rPr>
        <w:t xml:space="preserve">(2019). Canadian Income Survey, 2017. </w:t>
      </w:r>
      <w:hyperlink r:id="rId130" w:history="1">
        <w:r w:rsidRPr="009F58C5">
          <w:rPr>
            <w:rStyle w:val="Hyperlink"/>
            <w:bdr w:val="none" w:sz="0" w:space="0" w:color="auto" w:frame="1"/>
            <w:shd w:val="clear" w:color="auto" w:fill="FCFCFC"/>
          </w:rPr>
          <w:t>https://www150.statcan.gc.ca/n1/daily-quotidien/190226/dq190226b-eng.htm</w:t>
        </w:r>
      </w:hyperlink>
      <w:r w:rsidRPr="009F58C5">
        <w:t xml:space="preserve"> </w:t>
      </w:r>
    </w:p>
  </w:footnote>
  <w:footnote w:id="124">
    <w:p w14:paraId="4CD62375" w14:textId="34C25959" w:rsidR="00947DF1" w:rsidRPr="009F58C5" w:rsidRDefault="00947DF1" w:rsidP="00947DF1">
      <w:pPr>
        <w:pStyle w:val="FootnoteText"/>
      </w:pPr>
      <w:r w:rsidRPr="009F58C5">
        <w:rPr>
          <w:rStyle w:val="FootnoteReference"/>
        </w:rPr>
        <w:footnoteRef/>
      </w:r>
      <w:r w:rsidRPr="009F58C5">
        <w:t xml:space="preserve"> See: </w:t>
      </w:r>
      <w:r w:rsidR="00337FCB" w:rsidRPr="009F58C5">
        <w:t xml:space="preserve">Burnes, D. et al. (2022). </w:t>
      </w:r>
      <w:r w:rsidRPr="009F58C5">
        <w:t>Elder abuse prevalence and risk factors: findings from the Canadian Longitudinal Study on Aging</w:t>
      </w:r>
      <w:r w:rsidR="00337FCB" w:rsidRPr="009F58C5">
        <w:t xml:space="preserve">. </w:t>
      </w:r>
      <w:hyperlink r:id="rId131" w:history="1">
        <w:r w:rsidRPr="009F58C5">
          <w:rPr>
            <w:rStyle w:val="Hyperlink"/>
          </w:rPr>
          <w:t>https://www.nature.com/articles/s43587-022-00280-2</w:t>
        </w:r>
      </w:hyperlink>
      <w:r w:rsidRPr="009F58C5">
        <w:t xml:space="preserve"> </w:t>
      </w:r>
    </w:p>
  </w:footnote>
  <w:footnote w:id="125">
    <w:p w14:paraId="4E1B2781" w14:textId="7E08CBE3" w:rsidR="00947DF1" w:rsidRPr="009F58C5" w:rsidRDefault="00947DF1" w:rsidP="00947DF1">
      <w:pPr>
        <w:pStyle w:val="FootnoteText"/>
      </w:pPr>
      <w:r w:rsidRPr="009F58C5">
        <w:rPr>
          <w:rStyle w:val="FootnoteReference"/>
        </w:rPr>
        <w:footnoteRef/>
      </w:r>
      <w:r w:rsidRPr="009F58C5">
        <w:t xml:space="preserve"> National Institute on Ageing</w:t>
      </w:r>
      <w:r w:rsidR="00337FCB" w:rsidRPr="009F58C5">
        <w:t xml:space="preserve">. (December 2023). </w:t>
      </w:r>
      <w:r w:rsidRPr="009F58C5">
        <w:t>Understanding the Factors Driving the Epidemic of Social Isolation and Loneliness among Older Canadians</w:t>
      </w:r>
      <w:r w:rsidR="00337FCB" w:rsidRPr="009F58C5">
        <w:t xml:space="preserve">. </w:t>
      </w:r>
      <w:hyperlink r:id="rId132" w:history="1">
        <w:r w:rsidRPr="009F58C5">
          <w:rPr>
            <w:rStyle w:val="Hyperlink"/>
          </w:rPr>
          <w:t>https://static1.squarespace.com/static/5c2fa7b03917eed9b5a436d8/t/656df1d1ec26dd2770e599f3/1701704146039/NIA_SIReportNOV30.pdf</w:t>
        </w:r>
      </w:hyperlink>
      <w:r w:rsidRPr="009F58C5">
        <w:t xml:space="preserve">. </w:t>
      </w:r>
    </w:p>
  </w:footnote>
  <w:footnote w:id="126">
    <w:p w14:paraId="02C75E34" w14:textId="147399EC" w:rsidR="00947DF1" w:rsidRPr="009F58C5" w:rsidRDefault="00947DF1" w:rsidP="00947DF1">
      <w:pPr>
        <w:pStyle w:val="FootnoteText"/>
      </w:pPr>
      <w:r w:rsidRPr="009F58C5">
        <w:rPr>
          <w:rStyle w:val="FootnoteReference"/>
        </w:rPr>
        <w:footnoteRef/>
      </w:r>
      <w:r w:rsidRPr="009F58C5">
        <w:t xml:space="preserve"> Statistics Canada</w:t>
      </w:r>
      <w:r w:rsidR="00337FCB" w:rsidRPr="009F58C5">
        <w:t xml:space="preserve">. (November 2023). </w:t>
      </w:r>
      <w:r w:rsidRPr="009F58C5">
        <w:t>A look at loneliness among seniors</w:t>
      </w:r>
      <w:r w:rsidR="00337FCB" w:rsidRPr="009F58C5">
        <w:t xml:space="preserve">. </w:t>
      </w:r>
      <w:hyperlink r:id="rId133" w:history="1">
        <w:r w:rsidRPr="009F58C5">
          <w:rPr>
            <w:rStyle w:val="Hyperlink"/>
          </w:rPr>
          <w:t>https://www.statcan.gc.ca/o1/en/plus/4881-look-loneliness-among-seniors</w:t>
        </w:r>
      </w:hyperlink>
      <w:r w:rsidRPr="009F58C5">
        <w:t xml:space="preserve">. </w:t>
      </w:r>
    </w:p>
  </w:footnote>
  <w:footnote w:id="127">
    <w:p w14:paraId="3575984E" w14:textId="5C90A50A" w:rsidR="00947DF1" w:rsidRPr="009F58C5" w:rsidRDefault="00947DF1" w:rsidP="00947DF1">
      <w:pPr>
        <w:pStyle w:val="FootnoteText"/>
      </w:pPr>
      <w:r w:rsidRPr="009F58C5">
        <w:rPr>
          <w:rStyle w:val="FootnoteReference"/>
        </w:rPr>
        <w:footnoteRef/>
      </w:r>
      <w:r w:rsidRPr="009F58C5">
        <w:t xml:space="preserve"> National Institute on Ageing</w:t>
      </w:r>
      <w:r w:rsidR="00337FCB" w:rsidRPr="009F58C5">
        <w:t xml:space="preserve">. (December 2023). </w:t>
      </w:r>
      <w:r w:rsidRPr="009F58C5">
        <w:t>Understanding the Factors Driving the Epidemic of Social Isolation and Loneliness among Older Canadians</w:t>
      </w:r>
      <w:r w:rsidR="00337FCB" w:rsidRPr="009F58C5">
        <w:t xml:space="preserve">. </w:t>
      </w:r>
      <w:hyperlink r:id="rId134" w:history="1">
        <w:r w:rsidRPr="009F58C5">
          <w:rPr>
            <w:rStyle w:val="Hyperlink"/>
          </w:rPr>
          <w:t>https://static1.squarespace.com/static/5c2fa7b03917eed9b5a436d8/t/656df1d1ec26dd2770e599f3/1701704146039/NIA_SIReportNOV30.pdf</w:t>
        </w:r>
      </w:hyperlink>
      <w:r w:rsidRPr="009F58C5">
        <w:t>.</w:t>
      </w:r>
    </w:p>
  </w:footnote>
  <w:footnote w:id="128">
    <w:p w14:paraId="7B60B0A4" w14:textId="51011CCE" w:rsidR="00947DF1" w:rsidRPr="009F58C5" w:rsidRDefault="00947DF1" w:rsidP="00947DF1">
      <w:pPr>
        <w:pStyle w:val="FootnoteText"/>
      </w:pPr>
      <w:r w:rsidRPr="009F58C5">
        <w:rPr>
          <w:rStyle w:val="FootnoteReference"/>
        </w:rPr>
        <w:footnoteRef/>
      </w:r>
      <w:r w:rsidRPr="009F58C5">
        <w:t xml:space="preserve"> See: Open-Ended Working Group on Ageing</w:t>
      </w:r>
      <w:r w:rsidR="00337FCB" w:rsidRPr="009F58C5">
        <w:t>.</w:t>
      </w:r>
      <w:r w:rsidRPr="009F58C5">
        <w:rPr>
          <w:i/>
          <w:iCs/>
        </w:rPr>
        <w:t> </w:t>
      </w:r>
      <w:r w:rsidRPr="009F58C5">
        <w:t>Report of the Open-Ended Working Group on Ageing on its fourteenth session</w:t>
      </w:r>
      <w:r w:rsidR="00337FCB" w:rsidRPr="009F58C5">
        <w:t>.</w:t>
      </w:r>
      <w:r w:rsidRPr="009F58C5">
        <w:t xml:space="preserve"> A/AC.278/2024/2, Fourteenth Session, Agenda Item Eight, Supplement Number</w:t>
      </w:r>
      <w:r w:rsidR="00337FCB" w:rsidRPr="009F58C5">
        <w:t>.</w:t>
      </w:r>
    </w:p>
    <w:p w14:paraId="47657F49" w14:textId="77777777" w:rsidR="00947DF1" w:rsidRPr="009F58C5" w:rsidRDefault="00947DF1" w:rsidP="00947DF1">
      <w:pPr>
        <w:pStyle w:val="FootnoteText"/>
      </w:pPr>
      <w:r w:rsidRPr="009F58C5">
        <w:t xml:space="preserve"> </w:t>
      </w:r>
      <w:hyperlink r:id="rId135" w:history="1">
        <w:r w:rsidRPr="009F58C5">
          <w:rPr>
            <w:rStyle w:val="Hyperlink"/>
          </w:rPr>
          <w:t>https://documents.un.org/doc/undoc/gen/n24/154/55/pdf/n2415455.pdf</w:t>
        </w:r>
      </w:hyperlink>
      <w:r w:rsidRPr="009F58C5">
        <w:t xml:space="preserve"> </w:t>
      </w:r>
    </w:p>
  </w:footnote>
  <w:footnote w:id="129">
    <w:p w14:paraId="2C6ED28A" w14:textId="77777777" w:rsidR="008E3CDB" w:rsidRPr="009F58C5" w:rsidRDefault="008E3CDB" w:rsidP="008E3CDB">
      <w:pPr>
        <w:pStyle w:val="FootnoteText"/>
        <w:rPr>
          <w:lang w:val="en-US"/>
        </w:rPr>
      </w:pPr>
      <w:r w:rsidRPr="009F58C5">
        <w:rPr>
          <w:rStyle w:val="FootnoteReference"/>
        </w:rPr>
        <w:footnoteRef/>
      </w:r>
      <w:r w:rsidRPr="009F58C5">
        <w:rPr>
          <w:lang w:val="en-US"/>
        </w:rPr>
        <w:t xml:space="preserve"> Available at: </w:t>
      </w:r>
      <w:hyperlink r:id="rId136" w:history="1">
        <w:r w:rsidRPr="009F58C5">
          <w:rPr>
            <w:rStyle w:val="Hyperlink"/>
            <w:lang w:val="en-US"/>
          </w:rPr>
          <w:t>https://srdisability.org/thematic-reports/artificial-intelligence-and-the-rights-of-persons-with-disabilities/</w:t>
        </w:r>
      </w:hyperlink>
      <w:r w:rsidRPr="009F58C5">
        <w:rPr>
          <w:lang w:val="en-US"/>
        </w:rPr>
        <w:t xml:space="preserve"> </w:t>
      </w:r>
    </w:p>
  </w:footnote>
  <w:footnote w:id="130">
    <w:p w14:paraId="70F0F2E6" w14:textId="2979DB28" w:rsidR="009F7F22" w:rsidRPr="009F58C5" w:rsidRDefault="009F7F22" w:rsidP="009F7F22">
      <w:pPr>
        <w:pStyle w:val="FootnoteText"/>
      </w:pPr>
      <w:r w:rsidRPr="009F58C5">
        <w:rPr>
          <w:rStyle w:val="FootnoteReference"/>
        </w:rPr>
        <w:footnoteRef/>
      </w:r>
      <w:r w:rsidRPr="009F58C5">
        <w:t xml:space="preserve"> </w:t>
      </w:r>
      <w:r w:rsidR="00337FCB" w:rsidRPr="009F58C5">
        <w:t>ibid.</w:t>
      </w:r>
      <w:r w:rsidR="001F3C4A" w:rsidRPr="009F58C5">
        <w:t xml:space="preserve"> </w:t>
      </w:r>
    </w:p>
  </w:footnote>
  <w:footnote w:id="131">
    <w:p w14:paraId="66A348CE" w14:textId="70BBCBF7" w:rsidR="009F7F22" w:rsidRPr="009F58C5" w:rsidRDefault="009F7F22" w:rsidP="009F7F22">
      <w:pPr>
        <w:pStyle w:val="FootnoteText"/>
      </w:pPr>
      <w:r w:rsidRPr="009F58C5">
        <w:rPr>
          <w:rStyle w:val="FootnoteReference"/>
        </w:rPr>
        <w:footnoteRef/>
      </w:r>
      <w:r w:rsidRPr="009F58C5">
        <w:t xml:space="preserve"> See Law Commission of Ontario’s Human Rights AI Impact Assessment</w:t>
      </w:r>
      <w:r w:rsidR="009B037B" w:rsidRPr="009F58C5">
        <w:t xml:space="preserve">, </w:t>
      </w:r>
      <w:hyperlink r:id="rId137" w:history="1">
        <w:r w:rsidR="009B037B" w:rsidRPr="009F58C5">
          <w:rPr>
            <w:rStyle w:val="Hyperlink"/>
          </w:rPr>
          <w:t>https://www.lco-cdo.org/wp-content/uploads/2024/11/LCO-Human-Rights-AI-Impact-Assessment-EN.pdf</w:t>
        </w:r>
      </w:hyperlink>
      <w:r w:rsidRPr="009F58C5">
        <w:t>;</w:t>
      </w:r>
      <w:r w:rsidR="009B037B" w:rsidRPr="009F58C5">
        <w:t xml:space="preserve"> Government of Canada’s </w:t>
      </w:r>
      <w:r w:rsidRPr="009F58C5">
        <w:t>Algorithmic Impact Assessment too</w:t>
      </w:r>
      <w:r w:rsidR="00E94421" w:rsidRPr="009F58C5">
        <w:t>l</w:t>
      </w:r>
      <w:r w:rsidR="009B037B" w:rsidRPr="009F58C5">
        <w:t xml:space="preserve">, </w:t>
      </w:r>
      <w:hyperlink r:id="rId138" w:history="1">
        <w:r w:rsidR="009B037B" w:rsidRPr="009F58C5">
          <w:rPr>
            <w:rStyle w:val="Hyperlink"/>
          </w:rPr>
          <w:t>https://www.canada.ca/en/government/system/digital-government/digital-government-innovations/responsible-use-ai/algorithmic-impact-assessment.html</w:t>
        </w:r>
      </w:hyperlink>
      <w:r w:rsidRPr="009F58C5">
        <w:t>;</w:t>
      </w:r>
      <w:r w:rsidR="009B037B" w:rsidRPr="009F58C5">
        <w:t xml:space="preserve"> Accessibility Standards Canada’s </w:t>
      </w:r>
      <w:r w:rsidRPr="009F58C5">
        <w:t>Accessible and Equitable Artificial Intelligence Systems - Technical Guide</w:t>
      </w:r>
      <w:r w:rsidR="009B037B" w:rsidRPr="009F58C5">
        <w:t xml:space="preserve">, </w:t>
      </w:r>
      <w:hyperlink r:id="rId139" w:anchor="s1" w:history="1">
        <w:r w:rsidR="009B037B" w:rsidRPr="009F58C5">
          <w:rPr>
            <w:rStyle w:val="Hyperlink"/>
          </w:rPr>
          <w:t>https://accessible.canada.ca/centre-of-expertise/information-and-communication-technologies/technical-guide-accessible-artificial-intelligence-systems#s1</w:t>
        </w:r>
      </w:hyperlink>
      <w:r w:rsidRPr="009F58C5">
        <w:t>;</w:t>
      </w:r>
      <w:r w:rsidR="00BD15AE" w:rsidRPr="009F58C5">
        <w:t xml:space="preserve"> Government of Canada’s</w:t>
      </w:r>
      <w:r w:rsidR="009B037B" w:rsidRPr="009F58C5">
        <w:t xml:space="preserve"> </w:t>
      </w:r>
      <w:r w:rsidRPr="009F58C5">
        <w:t>Directive on Automated Decision-Maki</w:t>
      </w:r>
      <w:r w:rsidR="00BD15AE" w:rsidRPr="009F58C5">
        <w:t xml:space="preserve">ng, </w:t>
      </w:r>
      <w:hyperlink r:id="rId140" w:history="1">
        <w:r w:rsidR="00BD15AE" w:rsidRPr="009F58C5">
          <w:rPr>
            <w:rStyle w:val="Hyperlink"/>
          </w:rPr>
          <w:t>https://www.tbs-sct.canada.ca/pol/doc-eng.aspx?id=32592</w:t>
        </w:r>
      </w:hyperlink>
      <w:r w:rsidRPr="009F58C5">
        <w:t>;</w:t>
      </w:r>
      <w:r w:rsidR="00BD15AE" w:rsidRPr="009F58C5">
        <w:t xml:space="preserve"> Innovation, Science and Economic Development Canada’s Voluntary Code of Conduct on the Responsible Development and Management of Advanced Generative AI Systems, </w:t>
      </w:r>
      <w:hyperlink r:id="rId141" w:history="1">
        <w:r w:rsidR="00BD15AE" w:rsidRPr="009F58C5">
          <w:rPr>
            <w:rStyle w:val="Hyperlink"/>
          </w:rPr>
          <w:t>https://ised-isde.canada.ca/site/ised/en/voluntary-code-conduct-responsible-development-and-management-advanced-generative-ai-systems</w:t>
        </w:r>
      </w:hyperlink>
      <w:r w:rsidRPr="009F58C5">
        <w:rPr>
          <w:rStyle w:val="Hyperlink"/>
          <w:u w:val="none"/>
        </w:rPr>
        <w:t>;</w:t>
      </w:r>
      <w:r w:rsidR="00BD15AE" w:rsidRPr="009F58C5">
        <w:t xml:space="preserve"> and, Innovation, Science and Economic Development Canada, (November 12, 2024), News Release: Canada launches Canadian Artificial Intelligence Safety Institute, </w:t>
      </w:r>
      <w:hyperlink r:id="rId142" w:history="1">
        <w:r w:rsidR="00BD15AE" w:rsidRPr="009F58C5">
          <w:rPr>
            <w:rStyle w:val="Hyperlink"/>
          </w:rPr>
          <w:t>https://www.canada.ca/en/innovation-science-economic-development/news/2024/11/canada-launches-canadian-artificial-intelligence-safety-institute.html</w:t>
        </w:r>
      </w:hyperlink>
      <w:r w:rsidR="00BD15AE" w:rsidRPr="009F58C5">
        <w:t xml:space="preserve">. </w:t>
      </w:r>
    </w:p>
  </w:footnote>
  <w:footnote w:id="132">
    <w:p w14:paraId="15A43A90" w14:textId="6B9EA657" w:rsidR="00C95300" w:rsidRPr="00C95300" w:rsidRDefault="00C95300">
      <w:pPr>
        <w:pStyle w:val="FootnoteText"/>
        <w:rPr>
          <w:lang w:val="en-US"/>
        </w:rPr>
      </w:pPr>
      <w:r w:rsidRPr="009F58C5">
        <w:rPr>
          <w:rStyle w:val="FootnoteReference"/>
        </w:rPr>
        <w:footnoteRef/>
      </w:r>
      <w:r w:rsidR="00BD15AE" w:rsidRPr="009F58C5">
        <w:t xml:space="preserve"> supra note </w:t>
      </w:r>
      <w:r w:rsidR="00B14CD6" w:rsidRPr="009F58C5">
        <w:t>2</w:t>
      </w:r>
      <w:r w:rsidR="00BD15AE" w:rsidRPr="009F58C5">
        <w:t>.</w:t>
      </w:r>
      <w:r>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2FEB3" w14:textId="010346F9" w:rsidR="00F73E0B" w:rsidRDefault="00F73E0B">
    <w:pPr>
      <w:pStyle w:val="Header"/>
    </w:pPr>
    <w:r>
      <w:rPr>
        <w:noProof/>
        <w:lang w:eastAsia="en-CA"/>
      </w:rPr>
      <w:drawing>
        <wp:anchor distT="0" distB="0" distL="114300" distR="114300" simplePos="0" relativeHeight="251659264" behindDoc="1" locked="0" layoutInCell="1" allowOverlap="1" wp14:anchorId="7DBE6F22" wp14:editId="4138917D">
          <wp:simplePos x="0" y="0"/>
          <wp:positionH relativeFrom="page">
            <wp:posOffset>9525</wp:posOffset>
          </wp:positionH>
          <wp:positionV relativeFrom="paragraph">
            <wp:posOffset>-457835</wp:posOffset>
          </wp:positionV>
          <wp:extent cx="7763510" cy="10126980"/>
          <wp:effectExtent l="0" t="0" r="8890" b="7620"/>
          <wp:wrapNone/>
          <wp:docPr id="3" name="Image 2" descr="Cover page with a black banner at the top containing the Canadian Human Rights Commission logo and two colored triangles at the bottom. On the right side, it is inscribed &quot;Human Right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Cover page with a black banner at the top containing the Canadian Human Rights Commission logo and two colored triangles at the bottom. On the right side, it is inscribed &quot;Human Rights&quot;."/>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63510" cy="101269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5884"/>
    <w:multiLevelType w:val="hybridMultilevel"/>
    <w:tmpl w:val="211CAC72"/>
    <w:lvl w:ilvl="0" w:tplc="056A121E">
      <w:start w:val="1"/>
      <w:numFmt w:val="bullet"/>
      <w:lvlText w:val=""/>
      <w:lvlJc w:val="left"/>
      <w:pPr>
        <w:ind w:left="1440" w:hanging="360"/>
      </w:pPr>
      <w:rPr>
        <w:rFonts w:ascii="Symbol" w:hAnsi="Symbol"/>
      </w:rPr>
    </w:lvl>
    <w:lvl w:ilvl="1" w:tplc="835496A2">
      <w:start w:val="1"/>
      <w:numFmt w:val="bullet"/>
      <w:lvlText w:val=""/>
      <w:lvlJc w:val="left"/>
      <w:pPr>
        <w:ind w:left="1440" w:hanging="360"/>
      </w:pPr>
      <w:rPr>
        <w:rFonts w:ascii="Symbol" w:hAnsi="Symbol"/>
      </w:rPr>
    </w:lvl>
    <w:lvl w:ilvl="2" w:tplc="47AAC9BC">
      <w:start w:val="1"/>
      <w:numFmt w:val="bullet"/>
      <w:lvlText w:val=""/>
      <w:lvlJc w:val="left"/>
      <w:pPr>
        <w:ind w:left="1440" w:hanging="360"/>
      </w:pPr>
      <w:rPr>
        <w:rFonts w:ascii="Symbol" w:hAnsi="Symbol"/>
      </w:rPr>
    </w:lvl>
    <w:lvl w:ilvl="3" w:tplc="E728999E">
      <w:start w:val="1"/>
      <w:numFmt w:val="bullet"/>
      <w:lvlText w:val=""/>
      <w:lvlJc w:val="left"/>
      <w:pPr>
        <w:ind w:left="1440" w:hanging="360"/>
      </w:pPr>
      <w:rPr>
        <w:rFonts w:ascii="Symbol" w:hAnsi="Symbol"/>
      </w:rPr>
    </w:lvl>
    <w:lvl w:ilvl="4" w:tplc="B548FF00">
      <w:start w:val="1"/>
      <w:numFmt w:val="bullet"/>
      <w:lvlText w:val=""/>
      <w:lvlJc w:val="left"/>
      <w:pPr>
        <w:ind w:left="1440" w:hanging="360"/>
      </w:pPr>
      <w:rPr>
        <w:rFonts w:ascii="Symbol" w:hAnsi="Symbol"/>
      </w:rPr>
    </w:lvl>
    <w:lvl w:ilvl="5" w:tplc="5DD880EA">
      <w:start w:val="1"/>
      <w:numFmt w:val="bullet"/>
      <w:lvlText w:val=""/>
      <w:lvlJc w:val="left"/>
      <w:pPr>
        <w:ind w:left="1440" w:hanging="360"/>
      </w:pPr>
      <w:rPr>
        <w:rFonts w:ascii="Symbol" w:hAnsi="Symbol"/>
      </w:rPr>
    </w:lvl>
    <w:lvl w:ilvl="6" w:tplc="0E94A812">
      <w:start w:val="1"/>
      <w:numFmt w:val="bullet"/>
      <w:lvlText w:val=""/>
      <w:lvlJc w:val="left"/>
      <w:pPr>
        <w:ind w:left="1440" w:hanging="360"/>
      </w:pPr>
      <w:rPr>
        <w:rFonts w:ascii="Symbol" w:hAnsi="Symbol"/>
      </w:rPr>
    </w:lvl>
    <w:lvl w:ilvl="7" w:tplc="2D80E0B0">
      <w:start w:val="1"/>
      <w:numFmt w:val="bullet"/>
      <w:lvlText w:val=""/>
      <w:lvlJc w:val="left"/>
      <w:pPr>
        <w:ind w:left="1440" w:hanging="360"/>
      </w:pPr>
      <w:rPr>
        <w:rFonts w:ascii="Symbol" w:hAnsi="Symbol"/>
      </w:rPr>
    </w:lvl>
    <w:lvl w:ilvl="8" w:tplc="7812B99E">
      <w:start w:val="1"/>
      <w:numFmt w:val="bullet"/>
      <w:lvlText w:val=""/>
      <w:lvlJc w:val="left"/>
      <w:pPr>
        <w:ind w:left="1440" w:hanging="360"/>
      </w:pPr>
      <w:rPr>
        <w:rFonts w:ascii="Symbol" w:hAnsi="Symbol"/>
      </w:rPr>
    </w:lvl>
  </w:abstractNum>
  <w:abstractNum w:abstractNumId="1" w15:restartNumberingAfterBreak="0">
    <w:nsid w:val="02AF2F99"/>
    <w:multiLevelType w:val="multilevel"/>
    <w:tmpl w:val="A0185566"/>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C86AFF"/>
    <w:multiLevelType w:val="hybridMultilevel"/>
    <w:tmpl w:val="0F3E0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4B95E5F"/>
    <w:multiLevelType w:val="hybridMultilevel"/>
    <w:tmpl w:val="D7A674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C7768B0"/>
    <w:multiLevelType w:val="hybridMultilevel"/>
    <w:tmpl w:val="BCE64C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14D6980"/>
    <w:multiLevelType w:val="hybridMultilevel"/>
    <w:tmpl w:val="21CE4870"/>
    <w:lvl w:ilvl="0" w:tplc="724669F8">
      <w:start w:val="1"/>
      <w:numFmt w:val="decimal"/>
      <w:lvlText w:val="%1."/>
      <w:lvlJc w:val="left"/>
      <w:pPr>
        <w:ind w:left="1020" w:hanging="360"/>
      </w:pPr>
    </w:lvl>
    <w:lvl w:ilvl="1" w:tplc="D7C895D8">
      <w:start w:val="1"/>
      <w:numFmt w:val="decimal"/>
      <w:lvlText w:val="%2."/>
      <w:lvlJc w:val="left"/>
      <w:pPr>
        <w:ind w:left="1020" w:hanging="360"/>
      </w:pPr>
    </w:lvl>
    <w:lvl w:ilvl="2" w:tplc="FAF8B548">
      <w:start w:val="1"/>
      <w:numFmt w:val="decimal"/>
      <w:lvlText w:val="%3."/>
      <w:lvlJc w:val="left"/>
      <w:pPr>
        <w:ind w:left="1020" w:hanging="360"/>
      </w:pPr>
    </w:lvl>
    <w:lvl w:ilvl="3" w:tplc="3FA63FF8">
      <w:start w:val="1"/>
      <w:numFmt w:val="decimal"/>
      <w:lvlText w:val="%4."/>
      <w:lvlJc w:val="left"/>
      <w:pPr>
        <w:ind w:left="1020" w:hanging="360"/>
      </w:pPr>
    </w:lvl>
    <w:lvl w:ilvl="4" w:tplc="5FD4C376">
      <w:start w:val="1"/>
      <w:numFmt w:val="decimal"/>
      <w:lvlText w:val="%5."/>
      <w:lvlJc w:val="left"/>
      <w:pPr>
        <w:ind w:left="1020" w:hanging="360"/>
      </w:pPr>
    </w:lvl>
    <w:lvl w:ilvl="5" w:tplc="3158791C">
      <w:start w:val="1"/>
      <w:numFmt w:val="decimal"/>
      <w:lvlText w:val="%6."/>
      <w:lvlJc w:val="left"/>
      <w:pPr>
        <w:ind w:left="1020" w:hanging="360"/>
      </w:pPr>
    </w:lvl>
    <w:lvl w:ilvl="6" w:tplc="91B69D12">
      <w:start w:val="1"/>
      <w:numFmt w:val="decimal"/>
      <w:lvlText w:val="%7."/>
      <w:lvlJc w:val="left"/>
      <w:pPr>
        <w:ind w:left="1020" w:hanging="360"/>
      </w:pPr>
    </w:lvl>
    <w:lvl w:ilvl="7" w:tplc="34DAFA54">
      <w:start w:val="1"/>
      <w:numFmt w:val="decimal"/>
      <w:lvlText w:val="%8."/>
      <w:lvlJc w:val="left"/>
      <w:pPr>
        <w:ind w:left="1020" w:hanging="360"/>
      </w:pPr>
    </w:lvl>
    <w:lvl w:ilvl="8" w:tplc="F94C8CA6">
      <w:start w:val="1"/>
      <w:numFmt w:val="decimal"/>
      <w:lvlText w:val="%9."/>
      <w:lvlJc w:val="left"/>
      <w:pPr>
        <w:ind w:left="1020" w:hanging="360"/>
      </w:pPr>
    </w:lvl>
  </w:abstractNum>
  <w:abstractNum w:abstractNumId="6" w15:restartNumberingAfterBreak="0">
    <w:nsid w:val="12EB6EF2"/>
    <w:multiLevelType w:val="hybridMultilevel"/>
    <w:tmpl w:val="0CC2AB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C9E00DD"/>
    <w:multiLevelType w:val="hybridMultilevel"/>
    <w:tmpl w:val="A99C550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210A23F1"/>
    <w:multiLevelType w:val="hybridMultilevel"/>
    <w:tmpl w:val="3CD080CC"/>
    <w:lvl w:ilvl="0" w:tplc="A7785B90">
      <w:start w:val="1"/>
      <w:numFmt w:val="decimal"/>
      <w:lvlText w:val="%1."/>
      <w:lvlJc w:val="left"/>
      <w:pPr>
        <w:ind w:left="1020" w:hanging="360"/>
      </w:pPr>
    </w:lvl>
    <w:lvl w:ilvl="1" w:tplc="188C3608">
      <w:start w:val="1"/>
      <w:numFmt w:val="decimal"/>
      <w:lvlText w:val="%2."/>
      <w:lvlJc w:val="left"/>
      <w:pPr>
        <w:ind w:left="1020" w:hanging="360"/>
      </w:pPr>
    </w:lvl>
    <w:lvl w:ilvl="2" w:tplc="52A4DDE8">
      <w:start w:val="1"/>
      <w:numFmt w:val="decimal"/>
      <w:lvlText w:val="%3."/>
      <w:lvlJc w:val="left"/>
      <w:pPr>
        <w:ind w:left="1020" w:hanging="360"/>
      </w:pPr>
    </w:lvl>
    <w:lvl w:ilvl="3" w:tplc="A000D0AC">
      <w:start w:val="1"/>
      <w:numFmt w:val="decimal"/>
      <w:lvlText w:val="%4."/>
      <w:lvlJc w:val="left"/>
      <w:pPr>
        <w:ind w:left="1020" w:hanging="360"/>
      </w:pPr>
    </w:lvl>
    <w:lvl w:ilvl="4" w:tplc="03F6407A">
      <w:start w:val="1"/>
      <w:numFmt w:val="decimal"/>
      <w:lvlText w:val="%5."/>
      <w:lvlJc w:val="left"/>
      <w:pPr>
        <w:ind w:left="1020" w:hanging="360"/>
      </w:pPr>
    </w:lvl>
    <w:lvl w:ilvl="5" w:tplc="0DC4971E">
      <w:start w:val="1"/>
      <w:numFmt w:val="decimal"/>
      <w:lvlText w:val="%6."/>
      <w:lvlJc w:val="left"/>
      <w:pPr>
        <w:ind w:left="1020" w:hanging="360"/>
      </w:pPr>
    </w:lvl>
    <w:lvl w:ilvl="6" w:tplc="C818F932">
      <w:start w:val="1"/>
      <w:numFmt w:val="decimal"/>
      <w:lvlText w:val="%7."/>
      <w:lvlJc w:val="left"/>
      <w:pPr>
        <w:ind w:left="1020" w:hanging="360"/>
      </w:pPr>
    </w:lvl>
    <w:lvl w:ilvl="7" w:tplc="B2169F2C">
      <w:start w:val="1"/>
      <w:numFmt w:val="decimal"/>
      <w:lvlText w:val="%8."/>
      <w:lvlJc w:val="left"/>
      <w:pPr>
        <w:ind w:left="1020" w:hanging="360"/>
      </w:pPr>
    </w:lvl>
    <w:lvl w:ilvl="8" w:tplc="EAB6FF86">
      <w:start w:val="1"/>
      <w:numFmt w:val="decimal"/>
      <w:lvlText w:val="%9."/>
      <w:lvlJc w:val="left"/>
      <w:pPr>
        <w:ind w:left="1020" w:hanging="360"/>
      </w:pPr>
    </w:lvl>
  </w:abstractNum>
  <w:abstractNum w:abstractNumId="9" w15:restartNumberingAfterBreak="0">
    <w:nsid w:val="24BB537E"/>
    <w:multiLevelType w:val="hybridMultilevel"/>
    <w:tmpl w:val="B96E2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9526D82"/>
    <w:multiLevelType w:val="multilevel"/>
    <w:tmpl w:val="EB70B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153FE0"/>
    <w:multiLevelType w:val="hybridMultilevel"/>
    <w:tmpl w:val="27648708"/>
    <w:lvl w:ilvl="0" w:tplc="B7DAC342">
      <w:start w:val="1"/>
      <w:numFmt w:val="bullet"/>
      <w:lvlText w:val=""/>
      <w:lvlJc w:val="left"/>
      <w:pPr>
        <w:ind w:left="1080" w:hanging="360"/>
      </w:pPr>
      <w:rPr>
        <w:rFonts w:ascii="Symbol" w:hAnsi="Symbol"/>
      </w:rPr>
    </w:lvl>
    <w:lvl w:ilvl="1" w:tplc="6C20A390">
      <w:start w:val="1"/>
      <w:numFmt w:val="bullet"/>
      <w:lvlText w:val=""/>
      <w:lvlJc w:val="left"/>
      <w:pPr>
        <w:ind w:left="1080" w:hanging="360"/>
      </w:pPr>
      <w:rPr>
        <w:rFonts w:ascii="Symbol" w:hAnsi="Symbol"/>
      </w:rPr>
    </w:lvl>
    <w:lvl w:ilvl="2" w:tplc="C5D4E048">
      <w:start w:val="1"/>
      <w:numFmt w:val="bullet"/>
      <w:lvlText w:val=""/>
      <w:lvlJc w:val="left"/>
      <w:pPr>
        <w:ind w:left="1800" w:hanging="360"/>
      </w:pPr>
      <w:rPr>
        <w:rFonts w:ascii="Symbol" w:hAnsi="Symbol"/>
      </w:rPr>
    </w:lvl>
    <w:lvl w:ilvl="3" w:tplc="9BE2CB58">
      <w:start w:val="1"/>
      <w:numFmt w:val="bullet"/>
      <w:lvlText w:val=""/>
      <w:lvlJc w:val="left"/>
      <w:pPr>
        <w:ind w:left="1080" w:hanging="360"/>
      </w:pPr>
      <w:rPr>
        <w:rFonts w:ascii="Symbol" w:hAnsi="Symbol"/>
      </w:rPr>
    </w:lvl>
    <w:lvl w:ilvl="4" w:tplc="9ACE5928">
      <w:start w:val="1"/>
      <w:numFmt w:val="bullet"/>
      <w:lvlText w:val=""/>
      <w:lvlJc w:val="left"/>
      <w:pPr>
        <w:ind w:left="1080" w:hanging="360"/>
      </w:pPr>
      <w:rPr>
        <w:rFonts w:ascii="Symbol" w:hAnsi="Symbol"/>
      </w:rPr>
    </w:lvl>
    <w:lvl w:ilvl="5" w:tplc="C43A7E84">
      <w:start w:val="1"/>
      <w:numFmt w:val="bullet"/>
      <w:lvlText w:val=""/>
      <w:lvlJc w:val="left"/>
      <w:pPr>
        <w:ind w:left="1080" w:hanging="360"/>
      </w:pPr>
      <w:rPr>
        <w:rFonts w:ascii="Symbol" w:hAnsi="Symbol"/>
      </w:rPr>
    </w:lvl>
    <w:lvl w:ilvl="6" w:tplc="0A1C2962">
      <w:start w:val="1"/>
      <w:numFmt w:val="bullet"/>
      <w:lvlText w:val=""/>
      <w:lvlJc w:val="left"/>
      <w:pPr>
        <w:ind w:left="1080" w:hanging="360"/>
      </w:pPr>
      <w:rPr>
        <w:rFonts w:ascii="Symbol" w:hAnsi="Symbol"/>
      </w:rPr>
    </w:lvl>
    <w:lvl w:ilvl="7" w:tplc="D7347F34">
      <w:start w:val="1"/>
      <w:numFmt w:val="bullet"/>
      <w:lvlText w:val=""/>
      <w:lvlJc w:val="left"/>
      <w:pPr>
        <w:ind w:left="1080" w:hanging="360"/>
      </w:pPr>
      <w:rPr>
        <w:rFonts w:ascii="Symbol" w:hAnsi="Symbol"/>
      </w:rPr>
    </w:lvl>
    <w:lvl w:ilvl="8" w:tplc="607CCEAC">
      <w:start w:val="1"/>
      <w:numFmt w:val="bullet"/>
      <w:lvlText w:val=""/>
      <w:lvlJc w:val="left"/>
      <w:pPr>
        <w:ind w:left="1080" w:hanging="360"/>
      </w:pPr>
      <w:rPr>
        <w:rFonts w:ascii="Symbol" w:hAnsi="Symbol"/>
      </w:rPr>
    </w:lvl>
  </w:abstractNum>
  <w:abstractNum w:abstractNumId="12" w15:restartNumberingAfterBreak="0">
    <w:nsid w:val="31316618"/>
    <w:multiLevelType w:val="hybridMultilevel"/>
    <w:tmpl w:val="EBFCA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1A07E84"/>
    <w:multiLevelType w:val="hybridMultilevel"/>
    <w:tmpl w:val="897AAE1A"/>
    <w:lvl w:ilvl="0" w:tplc="37BA583C">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3B6792D"/>
    <w:multiLevelType w:val="hybridMultilevel"/>
    <w:tmpl w:val="80244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6A17897"/>
    <w:multiLevelType w:val="multilevel"/>
    <w:tmpl w:val="16A64BE2"/>
    <w:lvl w:ilvl="0">
      <w:start w:val="1"/>
      <w:numFmt w:val="decimal"/>
      <w:pStyle w:val="Heading1"/>
      <w:suff w:val="space"/>
      <w:lvlText w:val="%1."/>
      <w:lvlJc w:val="left"/>
      <w:pPr>
        <w:ind w:left="720" w:hanging="720"/>
      </w:pPr>
      <w:rPr>
        <w:rFonts w:hint="default"/>
      </w:rPr>
    </w:lvl>
    <w:lvl w:ilvl="1">
      <w:start w:val="1"/>
      <w:numFmt w:val="decimal"/>
      <w:pStyle w:val="Heading2"/>
      <w:isLgl/>
      <w:lvlText w:val="%1.%2"/>
      <w:lvlJc w:val="left"/>
      <w:pPr>
        <w:ind w:left="2295" w:hanging="405"/>
      </w:pPr>
      <w:rPr>
        <w:rFonts w:hint="default"/>
      </w:rPr>
    </w:lvl>
    <w:lvl w:ilvl="2">
      <w:start w:val="1"/>
      <w:numFmt w:val="decimal"/>
      <w:isLgl/>
      <w:lvlText w:val="%1.%2.%3"/>
      <w:lvlJc w:val="left"/>
      <w:pPr>
        <w:ind w:left="2610" w:hanging="720"/>
      </w:pPr>
      <w:rPr>
        <w:rFonts w:hint="default"/>
      </w:rPr>
    </w:lvl>
    <w:lvl w:ilvl="3">
      <w:start w:val="1"/>
      <w:numFmt w:val="decimal"/>
      <w:isLgl/>
      <w:lvlText w:val="%1.%2.%3.%4"/>
      <w:lvlJc w:val="left"/>
      <w:pPr>
        <w:ind w:left="2970" w:hanging="1080"/>
      </w:pPr>
      <w:rPr>
        <w:rFonts w:hint="default"/>
      </w:rPr>
    </w:lvl>
    <w:lvl w:ilvl="4">
      <w:start w:val="1"/>
      <w:numFmt w:val="decimal"/>
      <w:isLgl/>
      <w:lvlText w:val="%1.%2.%3.%4.%5"/>
      <w:lvlJc w:val="left"/>
      <w:pPr>
        <w:ind w:left="2970" w:hanging="1080"/>
      </w:pPr>
      <w:rPr>
        <w:rFonts w:hint="default"/>
      </w:rPr>
    </w:lvl>
    <w:lvl w:ilvl="5">
      <w:start w:val="1"/>
      <w:numFmt w:val="decimal"/>
      <w:isLgl/>
      <w:lvlText w:val="%1.%2.%3.%4.%5.%6"/>
      <w:lvlJc w:val="left"/>
      <w:pPr>
        <w:ind w:left="3330" w:hanging="144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690" w:hanging="1800"/>
      </w:pPr>
      <w:rPr>
        <w:rFonts w:hint="default"/>
      </w:rPr>
    </w:lvl>
    <w:lvl w:ilvl="8">
      <w:start w:val="1"/>
      <w:numFmt w:val="decimal"/>
      <w:isLgl/>
      <w:lvlText w:val="%1.%2.%3.%4.%5.%6.%7.%8.%9"/>
      <w:lvlJc w:val="left"/>
      <w:pPr>
        <w:ind w:left="3690" w:hanging="1800"/>
      </w:pPr>
      <w:rPr>
        <w:rFonts w:hint="default"/>
      </w:rPr>
    </w:lvl>
  </w:abstractNum>
  <w:abstractNum w:abstractNumId="16" w15:restartNumberingAfterBreak="0">
    <w:nsid w:val="6F1A007C"/>
    <w:multiLevelType w:val="hybridMultilevel"/>
    <w:tmpl w:val="A9AA662A"/>
    <w:lvl w:ilvl="0" w:tplc="4B02069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492299"/>
    <w:multiLevelType w:val="hybridMultilevel"/>
    <w:tmpl w:val="B7EEC3E0"/>
    <w:lvl w:ilvl="0" w:tplc="565ED492">
      <w:numFmt w:val="bullet"/>
      <w:lvlText w:val=""/>
      <w:lvlJc w:val="left"/>
      <w:pPr>
        <w:ind w:left="459" w:hanging="360"/>
      </w:pPr>
      <w:rPr>
        <w:rFonts w:ascii="Symbol" w:eastAsiaTheme="minorHAnsi" w:hAnsi="Symbol" w:cs="Arial" w:hint="default"/>
      </w:rPr>
    </w:lvl>
    <w:lvl w:ilvl="1" w:tplc="10090001">
      <w:start w:val="1"/>
      <w:numFmt w:val="bullet"/>
      <w:lvlText w:val=""/>
      <w:lvlJc w:val="left"/>
      <w:pPr>
        <w:ind w:left="1179" w:hanging="360"/>
      </w:pPr>
      <w:rPr>
        <w:rFonts w:ascii="Symbol" w:hAnsi="Symbol" w:hint="default"/>
      </w:rPr>
    </w:lvl>
    <w:lvl w:ilvl="2" w:tplc="10090005">
      <w:start w:val="1"/>
      <w:numFmt w:val="bullet"/>
      <w:lvlText w:val=""/>
      <w:lvlJc w:val="left"/>
      <w:pPr>
        <w:ind w:left="1899" w:hanging="360"/>
      </w:pPr>
      <w:rPr>
        <w:rFonts w:ascii="Wingdings" w:hAnsi="Wingdings" w:hint="default"/>
      </w:rPr>
    </w:lvl>
    <w:lvl w:ilvl="3" w:tplc="10090001">
      <w:start w:val="1"/>
      <w:numFmt w:val="bullet"/>
      <w:lvlText w:val=""/>
      <w:lvlJc w:val="left"/>
      <w:pPr>
        <w:ind w:left="2619" w:hanging="360"/>
      </w:pPr>
      <w:rPr>
        <w:rFonts w:ascii="Symbol" w:hAnsi="Symbol" w:hint="default"/>
      </w:rPr>
    </w:lvl>
    <w:lvl w:ilvl="4" w:tplc="10090003">
      <w:start w:val="1"/>
      <w:numFmt w:val="bullet"/>
      <w:lvlText w:val="o"/>
      <w:lvlJc w:val="left"/>
      <w:pPr>
        <w:ind w:left="3339" w:hanging="360"/>
      </w:pPr>
      <w:rPr>
        <w:rFonts w:ascii="Courier New" w:hAnsi="Courier New" w:cs="Courier New" w:hint="default"/>
      </w:rPr>
    </w:lvl>
    <w:lvl w:ilvl="5" w:tplc="10090005" w:tentative="1">
      <w:start w:val="1"/>
      <w:numFmt w:val="bullet"/>
      <w:lvlText w:val=""/>
      <w:lvlJc w:val="left"/>
      <w:pPr>
        <w:ind w:left="4059" w:hanging="360"/>
      </w:pPr>
      <w:rPr>
        <w:rFonts w:ascii="Wingdings" w:hAnsi="Wingdings" w:hint="default"/>
      </w:rPr>
    </w:lvl>
    <w:lvl w:ilvl="6" w:tplc="10090001" w:tentative="1">
      <w:start w:val="1"/>
      <w:numFmt w:val="bullet"/>
      <w:lvlText w:val=""/>
      <w:lvlJc w:val="left"/>
      <w:pPr>
        <w:ind w:left="4779" w:hanging="360"/>
      </w:pPr>
      <w:rPr>
        <w:rFonts w:ascii="Symbol" w:hAnsi="Symbol" w:hint="default"/>
      </w:rPr>
    </w:lvl>
    <w:lvl w:ilvl="7" w:tplc="10090003" w:tentative="1">
      <w:start w:val="1"/>
      <w:numFmt w:val="bullet"/>
      <w:lvlText w:val="o"/>
      <w:lvlJc w:val="left"/>
      <w:pPr>
        <w:ind w:left="5499" w:hanging="360"/>
      </w:pPr>
      <w:rPr>
        <w:rFonts w:ascii="Courier New" w:hAnsi="Courier New" w:cs="Courier New" w:hint="default"/>
      </w:rPr>
    </w:lvl>
    <w:lvl w:ilvl="8" w:tplc="10090005" w:tentative="1">
      <w:start w:val="1"/>
      <w:numFmt w:val="bullet"/>
      <w:lvlText w:val=""/>
      <w:lvlJc w:val="left"/>
      <w:pPr>
        <w:ind w:left="6219" w:hanging="360"/>
      </w:pPr>
      <w:rPr>
        <w:rFonts w:ascii="Wingdings" w:hAnsi="Wingdings" w:hint="default"/>
      </w:rPr>
    </w:lvl>
  </w:abstractNum>
  <w:abstractNum w:abstractNumId="18" w15:restartNumberingAfterBreak="0">
    <w:nsid w:val="78215170"/>
    <w:multiLevelType w:val="multilevel"/>
    <w:tmpl w:val="EC288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6021563">
    <w:abstractNumId w:val="15"/>
  </w:num>
  <w:num w:numId="2" w16cid:durableId="218790693">
    <w:abstractNumId w:val="11"/>
  </w:num>
  <w:num w:numId="3" w16cid:durableId="843015350">
    <w:abstractNumId w:val="0"/>
  </w:num>
  <w:num w:numId="4" w16cid:durableId="1947300630">
    <w:abstractNumId w:val="3"/>
  </w:num>
  <w:num w:numId="5" w16cid:durableId="30805846">
    <w:abstractNumId w:val="2"/>
  </w:num>
  <w:num w:numId="6" w16cid:durableId="696583051">
    <w:abstractNumId w:val="17"/>
  </w:num>
  <w:num w:numId="7" w16cid:durableId="500202327">
    <w:abstractNumId w:val="9"/>
  </w:num>
  <w:num w:numId="8" w16cid:durableId="769086277">
    <w:abstractNumId w:val="1"/>
  </w:num>
  <w:num w:numId="9" w16cid:durableId="193227536">
    <w:abstractNumId w:val="16"/>
  </w:num>
  <w:num w:numId="10" w16cid:durableId="1255937852">
    <w:abstractNumId w:val="7"/>
  </w:num>
  <w:num w:numId="11" w16cid:durableId="641080184">
    <w:abstractNumId w:val="14"/>
  </w:num>
  <w:num w:numId="12" w16cid:durableId="937365989">
    <w:abstractNumId w:val="12"/>
  </w:num>
  <w:num w:numId="13" w16cid:durableId="6642598">
    <w:abstractNumId w:val="10"/>
  </w:num>
  <w:num w:numId="14" w16cid:durableId="1530483289">
    <w:abstractNumId w:val="6"/>
  </w:num>
  <w:num w:numId="15" w16cid:durableId="1827936122">
    <w:abstractNumId w:val="18"/>
  </w:num>
  <w:num w:numId="16" w16cid:durableId="53243094">
    <w:abstractNumId w:val="4"/>
  </w:num>
  <w:num w:numId="17" w16cid:durableId="1568109657">
    <w:abstractNumId w:val="15"/>
  </w:num>
  <w:num w:numId="18" w16cid:durableId="314453320">
    <w:abstractNumId w:val="15"/>
  </w:num>
  <w:num w:numId="19" w16cid:durableId="1454014344">
    <w:abstractNumId w:val="15"/>
  </w:num>
  <w:num w:numId="20" w16cid:durableId="1037588758">
    <w:abstractNumId w:val="15"/>
  </w:num>
  <w:num w:numId="21" w16cid:durableId="827406787">
    <w:abstractNumId w:val="15"/>
  </w:num>
  <w:num w:numId="22" w16cid:durableId="355353410">
    <w:abstractNumId w:val="15"/>
  </w:num>
  <w:num w:numId="23" w16cid:durableId="1495300441">
    <w:abstractNumId w:val="15"/>
  </w:num>
  <w:num w:numId="24" w16cid:durableId="593973541">
    <w:abstractNumId w:val="15"/>
  </w:num>
  <w:num w:numId="25" w16cid:durableId="1673986975">
    <w:abstractNumId w:val="15"/>
  </w:num>
  <w:num w:numId="26" w16cid:durableId="555702691">
    <w:abstractNumId w:val="15"/>
  </w:num>
  <w:num w:numId="27" w16cid:durableId="1522471641">
    <w:abstractNumId w:val="15"/>
  </w:num>
  <w:num w:numId="28" w16cid:durableId="371466561">
    <w:abstractNumId w:val="15"/>
  </w:num>
  <w:num w:numId="29" w16cid:durableId="534738387">
    <w:abstractNumId w:val="15"/>
  </w:num>
  <w:num w:numId="30" w16cid:durableId="2137412350">
    <w:abstractNumId w:val="15"/>
  </w:num>
  <w:num w:numId="31" w16cid:durableId="1632977381">
    <w:abstractNumId w:val="15"/>
  </w:num>
  <w:num w:numId="32" w16cid:durableId="1752657466">
    <w:abstractNumId w:val="15"/>
  </w:num>
  <w:num w:numId="33" w16cid:durableId="1109853288">
    <w:abstractNumId w:val="15"/>
  </w:num>
  <w:num w:numId="34" w16cid:durableId="1342394525">
    <w:abstractNumId w:val="15"/>
  </w:num>
  <w:num w:numId="35" w16cid:durableId="881862473">
    <w:abstractNumId w:val="15"/>
  </w:num>
  <w:num w:numId="36" w16cid:durableId="720328476">
    <w:abstractNumId w:val="13"/>
  </w:num>
  <w:num w:numId="37" w16cid:durableId="948119135">
    <w:abstractNumId w:val="8"/>
  </w:num>
  <w:num w:numId="38" w16cid:durableId="788474406">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CA" w:vendorID="64" w:dllVersion="6" w:nlCheck="1" w:checkStyle="0"/>
  <w:activeWritingStyle w:appName="MSWord" w:lang="en-CA" w:vendorID="64" w:dllVersion="6" w:nlCheck="1" w:checkStyle="1"/>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CA" w:vendorID="64" w:dllVersion="0" w:nlCheck="1" w:checkStyle="0"/>
  <w:activeWritingStyle w:appName="MSWord" w:lang="fr-CA" w:vendorID="64" w:dllVersion="0" w:nlCheck="1" w:checkStyle="0"/>
  <w:activeWritingStyle w:appName="MSWord" w:lang="fr-FR" w:vendorID="64" w:dllVersion="0" w:nlCheck="1" w:checkStyle="0"/>
  <w:activeWritingStyle w:appName="MSWord" w:lang="en-GB" w:vendorID="64" w:dllVersion="0"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0E2"/>
    <w:rsid w:val="000004F4"/>
    <w:rsid w:val="00001625"/>
    <w:rsid w:val="00001691"/>
    <w:rsid w:val="00001B64"/>
    <w:rsid w:val="00002313"/>
    <w:rsid w:val="000026E7"/>
    <w:rsid w:val="00002BC6"/>
    <w:rsid w:val="0000303E"/>
    <w:rsid w:val="0000325E"/>
    <w:rsid w:val="00003AC5"/>
    <w:rsid w:val="0000487C"/>
    <w:rsid w:val="000048CF"/>
    <w:rsid w:val="00005014"/>
    <w:rsid w:val="000053E2"/>
    <w:rsid w:val="00005846"/>
    <w:rsid w:val="00005BFD"/>
    <w:rsid w:val="000061C9"/>
    <w:rsid w:val="000068E4"/>
    <w:rsid w:val="00006F1E"/>
    <w:rsid w:val="00007276"/>
    <w:rsid w:val="000077E8"/>
    <w:rsid w:val="00007B1C"/>
    <w:rsid w:val="00007B78"/>
    <w:rsid w:val="00010097"/>
    <w:rsid w:val="000103C6"/>
    <w:rsid w:val="0001040A"/>
    <w:rsid w:val="0001153B"/>
    <w:rsid w:val="00011B62"/>
    <w:rsid w:val="00012307"/>
    <w:rsid w:val="000130E2"/>
    <w:rsid w:val="00013513"/>
    <w:rsid w:val="000135F7"/>
    <w:rsid w:val="0001363C"/>
    <w:rsid w:val="000142AF"/>
    <w:rsid w:val="00014DAC"/>
    <w:rsid w:val="00014DC2"/>
    <w:rsid w:val="00016189"/>
    <w:rsid w:val="000167E0"/>
    <w:rsid w:val="00017DC9"/>
    <w:rsid w:val="00020924"/>
    <w:rsid w:val="00021016"/>
    <w:rsid w:val="000214D9"/>
    <w:rsid w:val="00022BE2"/>
    <w:rsid w:val="000230B2"/>
    <w:rsid w:val="0002372C"/>
    <w:rsid w:val="000246A3"/>
    <w:rsid w:val="00025769"/>
    <w:rsid w:val="00026CDA"/>
    <w:rsid w:val="00026E32"/>
    <w:rsid w:val="00026FC2"/>
    <w:rsid w:val="000274ED"/>
    <w:rsid w:val="00027A09"/>
    <w:rsid w:val="000306E8"/>
    <w:rsid w:val="000309F9"/>
    <w:rsid w:val="000319E4"/>
    <w:rsid w:val="00032A77"/>
    <w:rsid w:val="00032F26"/>
    <w:rsid w:val="000331B3"/>
    <w:rsid w:val="000335F7"/>
    <w:rsid w:val="00033CE3"/>
    <w:rsid w:val="00034B8C"/>
    <w:rsid w:val="00034F4A"/>
    <w:rsid w:val="000359BB"/>
    <w:rsid w:val="000359C4"/>
    <w:rsid w:val="00035A87"/>
    <w:rsid w:val="00035EED"/>
    <w:rsid w:val="000360D6"/>
    <w:rsid w:val="000365FF"/>
    <w:rsid w:val="0003732C"/>
    <w:rsid w:val="00037367"/>
    <w:rsid w:val="000401FA"/>
    <w:rsid w:val="00040BBF"/>
    <w:rsid w:val="000414E8"/>
    <w:rsid w:val="000422B1"/>
    <w:rsid w:val="000423FC"/>
    <w:rsid w:val="00042716"/>
    <w:rsid w:val="00042AC0"/>
    <w:rsid w:val="00042C8A"/>
    <w:rsid w:val="0004319A"/>
    <w:rsid w:val="000434B3"/>
    <w:rsid w:val="00043967"/>
    <w:rsid w:val="000444EC"/>
    <w:rsid w:val="000445EF"/>
    <w:rsid w:val="00045929"/>
    <w:rsid w:val="00045A4D"/>
    <w:rsid w:val="00045AAF"/>
    <w:rsid w:val="00045EE6"/>
    <w:rsid w:val="00045F6A"/>
    <w:rsid w:val="000464A5"/>
    <w:rsid w:val="000467D7"/>
    <w:rsid w:val="00046E4F"/>
    <w:rsid w:val="000470AC"/>
    <w:rsid w:val="00047F86"/>
    <w:rsid w:val="0005079A"/>
    <w:rsid w:val="0005093D"/>
    <w:rsid w:val="00050C72"/>
    <w:rsid w:val="00051490"/>
    <w:rsid w:val="00051522"/>
    <w:rsid w:val="000517FA"/>
    <w:rsid w:val="00051D0E"/>
    <w:rsid w:val="00051DC2"/>
    <w:rsid w:val="0005354C"/>
    <w:rsid w:val="00054E5E"/>
    <w:rsid w:val="00055635"/>
    <w:rsid w:val="000557EC"/>
    <w:rsid w:val="00055CC5"/>
    <w:rsid w:val="00055EC3"/>
    <w:rsid w:val="00055F80"/>
    <w:rsid w:val="000571DB"/>
    <w:rsid w:val="0005774A"/>
    <w:rsid w:val="00057A31"/>
    <w:rsid w:val="0006046E"/>
    <w:rsid w:val="0006086C"/>
    <w:rsid w:val="00062D6B"/>
    <w:rsid w:val="00062FA1"/>
    <w:rsid w:val="00063744"/>
    <w:rsid w:val="00063C2D"/>
    <w:rsid w:val="00063D67"/>
    <w:rsid w:val="00063E5B"/>
    <w:rsid w:val="00063E6A"/>
    <w:rsid w:val="00064375"/>
    <w:rsid w:val="00064712"/>
    <w:rsid w:val="00064A5C"/>
    <w:rsid w:val="00064E9F"/>
    <w:rsid w:val="00064F41"/>
    <w:rsid w:val="00065096"/>
    <w:rsid w:val="00065803"/>
    <w:rsid w:val="00065E87"/>
    <w:rsid w:val="00067087"/>
    <w:rsid w:val="000673A6"/>
    <w:rsid w:val="0006795E"/>
    <w:rsid w:val="00070304"/>
    <w:rsid w:val="00070771"/>
    <w:rsid w:val="000708A3"/>
    <w:rsid w:val="000711C3"/>
    <w:rsid w:val="00073059"/>
    <w:rsid w:val="0007357A"/>
    <w:rsid w:val="00073CBC"/>
    <w:rsid w:val="00073E0A"/>
    <w:rsid w:val="00074215"/>
    <w:rsid w:val="000744EF"/>
    <w:rsid w:val="000756CA"/>
    <w:rsid w:val="00075A79"/>
    <w:rsid w:val="000764F9"/>
    <w:rsid w:val="0007745E"/>
    <w:rsid w:val="00077506"/>
    <w:rsid w:val="00077BD2"/>
    <w:rsid w:val="00077C96"/>
    <w:rsid w:val="00077DAF"/>
    <w:rsid w:val="000800A1"/>
    <w:rsid w:val="000812BA"/>
    <w:rsid w:val="00082817"/>
    <w:rsid w:val="00083AFC"/>
    <w:rsid w:val="0008495C"/>
    <w:rsid w:val="00084EAC"/>
    <w:rsid w:val="00085499"/>
    <w:rsid w:val="000858E4"/>
    <w:rsid w:val="00085FC1"/>
    <w:rsid w:val="00086161"/>
    <w:rsid w:val="000873D2"/>
    <w:rsid w:val="00087D0C"/>
    <w:rsid w:val="0009052D"/>
    <w:rsid w:val="00090DDE"/>
    <w:rsid w:val="00090F0E"/>
    <w:rsid w:val="000916A8"/>
    <w:rsid w:val="000917EE"/>
    <w:rsid w:val="000925C8"/>
    <w:rsid w:val="00093908"/>
    <w:rsid w:val="000940BF"/>
    <w:rsid w:val="000951E4"/>
    <w:rsid w:val="000969F2"/>
    <w:rsid w:val="000975CD"/>
    <w:rsid w:val="000977C0"/>
    <w:rsid w:val="000A03AE"/>
    <w:rsid w:val="000A06ED"/>
    <w:rsid w:val="000A07C6"/>
    <w:rsid w:val="000A13A2"/>
    <w:rsid w:val="000A17E1"/>
    <w:rsid w:val="000A3206"/>
    <w:rsid w:val="000A3267"/>
    <w:rsid w:val="000A3C7A"/>
    <w:rsid w:val="000A4385"/>
    <w:rsid w:val="000A4654"/>
    <w:rsid w:val="000A5989"/>
    <w:rsid w:val="000A5C36"/>
    <w:rsid w:val="000A680E"/>
    <w:rsid w:val="000A6C56"/>
    <w:rsid w:val="000A7319"/>
    <w:rsid w:val="000A78A0"/>
    <w:rsid w:val="000A79BD"/>
    <w:rsid w:val="000B096D"/>
    <w:rsid w:val="000B0EF7"/>
    <w:rsid w:val="000B12A0"/>
    <w:rsid w:val="000B28ED"/>
    <w:rsid w:val="000B2E5D"/>
    <w:rsid w:val="000B361E"/>
    <w:rsid w:val="000B3A58"/>
    <w:rsid w:val="000B450E"/>
    <w:rsid w:val="000B483F"/>
    <w:rsid w:val="000B51FF"/>
    <w:rsid w:val="000B5FB5"/>
    <w:rsid w:val="000B68A8"/>
    <w:rsid w:val="000B6DF6"/>
    <w:rsid w:val="000B7BA0"/>
    <w:rsid w:val="000C0C5E"/>
    <w:rsid w:val="000C1203"/>
    <w:rsid w:val="000C1711"/>
    <w:rsid w:val="000C27AE"/>
    <w:rsid w:val="000C30D3"/>
    <w:rsid w:val="000C3CC8"/>
    <w:rsid w:val="000C4433"/>
    <w:rsid w:val="000C4680"/>
    <w:rsid w:val="000C470E"/>
    <w:rsid w:val="000C4AC8"/>
    <w:rsid w:val="000C4C85"/>
    <w:rsid w:val="000C680A"/>
    <w:rsid w:val="000C6C48"/>
    <w:rsid w:val="000D076D"/>
    <w:rsid w:val="000D0E23"/>
    <w:rsid w:val="000D0F9F"/>
    <w:rsid w:val="000D13C7"/>
    <w:rsid w:val="000D2697"/>
    <w:rsid w:val="000D2A81"/>
    <w:rsid w:val="000D332A"/>
    <w:rsid w:val="000D3837"/>
    <w:rsid w:val="000D432E"/>
    <w:rsid w:val="000D683B"/>
    <w:rsid w:val="000D6C55"/>
    <w:rsid w:val="000D6F36"/>
    <w:rsid w:val="000E09FF"/>
    <w:rsid w:val="000E0B36"/>
    <w:rsid w:val="000E104E"/>
    <w:rsid w:val="000E116C"/>
    <w:rsid w:val="000E193D"/>
    <w:rsid w:val="000E1B90"/>
    <w:rsid w:val="000E1CED"/>
    <w:rsid w:val="000E23FA"/>
    <w:rsid w:val="000E2713"/>
    <w:rsid w:val="000E2BB8"/>
    <w:rsid w:val="000E2C96"/>
    <w:rsid w:val="000E3339"/>
    <w:rsid w:val="000E5728"/>
    <w:rsid w:val="000E603B"/>
    <w:rsid w:val="000E6418"/>
    <w:rsid w:val="000E6589"/>
    <w:rsid w:val="000E6B57"/>
    <w:rsid w:val="000E6F32"/>
    <w:rsid w:val="000F0154"/>
    <w:rsid w:val="000F0813"/>
    <w:rsid w:val="000F23E2"/>
    <w:rsid w:val="000F24B4"/>
    <w:rsid w:val="000F3542"/>
    <w:rsid w:val="000F37DD"/>
    <w:rsid w:val="000F38BE"/>
    <w:rsid w:val="000F3FE5"/>
    <w:rsid w:val="000F431A"/>
    <w:rsid w:val="000F48A2"/>
    <w:rsid w:val="000F5DF7"/>
    <w:rsid w:val="000F608D"/>
    <w:rsid w:val="000F68A3"/>
    <w:rsid w:val="000F68FD"/>
    <w:rsid w:val="000F69B7"/>
    <w:rsid w:val="000F6E4E"/>
    <w:rsid w:val="000F74EE"/>
    <w:rsid w:val="000F7565"/>
    <w:rsid w:val="000F78E2"/>
    <w:rsid w:val="000F7B9A"/>
    <w:rsid w:val="00101103"/>
    <w:rsid w:val="0010125D"/>
    <w:rsid w:val="0010158E"/>
    <w:rsid w:val="001027BC"/>
    <w:rsid w:val="001028E4"/>
    <w:rsid w:val="00102DEB"/>
    <w:rsid w:val="00102EF5"/>
    <w:rsid w:val="001038C6"/>
    <w:rsid w:val="00103DCA"/>
    <w:rsid w:val="00104356"/>
    <w:rsid w:val="00104473"/>
    <w:rsid w:val="0010518D"/>
    <w:rsid w:val="001055BD"/>
    <w:rsid w:val="00105CB0"/>
    <w:rsid w:val="00106054"/>
    <w:rsid w:val="00106664"/>
    <w:rsid w:val="0010699A"/>
    <w:rsid w:val="00107E00"/>
    <w:rsid w:val="00110240"/>
    <w:rsid w:val="001106DC"/>
    <w:rsid w:val="00110846"/>
    <w:rsid w:val="00110B66"/>
    <w:rsid w:val="00110CDD"/>
    <w:rsid w:val="00111597"/>
    <w:rsid w:val="001116A2"/>
    <w:rsid w:val="00111714"/>
    <w:rsid w:val="00111824"/>
    <w:rsid w:val="00111A2C"/>
    <w:rsid w:val="00111E2F"/>
    <w:rsid w:val="0011230D"/>
    <w:rsid w:val="00112379"/>
    <w:rsid w:val="00112C45"/>
    <w:rsid w:val="001132D9"/>
    <w:rsid w:val="001136C8"/>
    <w:rsid w:val="001143E4"/>
    <w:rsid w:val="001148C2"/>
    <w:rsid w:val="00114CE1"/>
    <w:rsid w:val="00115209"/>
    <w:rsid w:val="001154C2"/>
    <w:rsid w:val="00115555"/>
    <w:rsid w:val="00115ADD"/>
    <w:rsid w:val="0011736B"/>
    <w:rsid w:val="001173B0"/>
    <w:rsid w:val="00117CA0"/>
    <w:rsid w:val="00120561"/>
    <w:rsid w:val="00120A62"/>
    <w:rsid w:val="00120C77"/>
    <w:rsid w:val="0012110C"/>
    <w:rsid w:val="0012123B"/>
    <w:rsid w:val="001216F8"/>
    <w:rsid w:val="00122FDB"/>
    <w:rsid w:val="00123A79"/>
    <w:rsid w:val="00123ACC"/>
    <w:rsid w:val="001244F5"/>
    <w:rsid w:val="00124D9A"/>
    <w:rsid w:val="00125224"/>
    <w:rsid w:val="00125B37"/>
    <w:rsid w:val="00127069"/>
    <w:rsid w:val="00127201"/>
    <w:rsid w:val="00127637"/>
    <w:rsid w:val="0012780D"/>
    <w:rsid w:val="001313D6"/>
    <w:rsid w:val="00131411"/>
    <w:rsid w:val="0013165C"/>
    <w:rsid w:val="001316E4"/>
    <w:rsid w:val="00131E2C"/>
    <w:rsid w:val="00132092"/>
    <w:rsid w:val="00133C78"/>
    <w:rsid w:val="00134F23"/>
    <w:rsid w:val="0013530B"/>
    <w:rsid w:val="00135F22"/>
    <w:rsid w:val="00136440"/>
    <w:rsid w:val="001369A1"/>
    <w:rsid w:val="00136F2A"/>
    <w:rsid w:val="00137ED0"/>
    <w:rsid w:val="0014045F"/>
    <w:rsid w:val="00140467"/>
    <w:rsid w:val="00140722"/>
    <w:rsid w:val="001416B8"/>
    <w:rsid w:val="00141BD2"/>
    <w:rsid w:val="00142067"/>
    <w:rsid w:val="001423C8"/>
    <w:rsid w:val="001426F1"/>
    <w:rsid w:val="00143DB9"/>
    <w:rsid w:val="00144B95"/>
    <w:rsid w:val="00144CF2"/>
    <w:rsid w:val="00145785"/>
    <w:rsid w:val="00146C3A"/>
    <w:rsid w:val="0014766B"/>
    <w:rsid w:val="001508BA"/>
    <w:rsid w:val="00150937"/>
    <w:rsid w:val="001509DB"/>
    <w:rsid w:val="00150AF3"/>
    <w:rsid w:val="00150CA6"/>
    <w:rsid w:val="001520D5"/>
    <w:rsid w:val="00152CB2"/>
    <w:rsid w:val="001530DD"/>
    <w:rsid w:val="00153140"/>
    <w:rsid w:val="00153D36"/>
    <w:rsid w:val="00154661"/>
    <w:rsid w:val="001547A6"/>
    <w:rsid w:val="00154B5F"/>
    <w:rsid w:val="001556E3"/>
    <w:rsid w:val="00155703"/>
    <w:rsid w:val="00155AF1"/>
    <w:rsid w:val="001560A3"/>
    <w:rsid w:val="0015652F"/>
    <w:rsid w:val="00156E12"/>
    <w:rsid w:val="00157347"/>
    <w:rsid w:val="00160DC5"/>
    <w:rsid w:val="00161893"/>
    <w:rsid w:val="00161AE1"/>
    <w:rsid w:val="00162563"/>
    <w:rsid w:val="001627CB"/>
    <w:rsid w:val="00162D6B"/>
    <w:rsid w:val="0016319C"/>
    <w:rsid w:val="0016347A"/>
    <w:rsid w:val="001634C4"/>
    <w:rsid w:val="00163F3D"/>
    <w:rsid w:val="0016408A"/>
    <w:rsid w:val="00164774"/>
    <w:rsid w:val="00164B08"/>
    <w:rsid w:val="00164B8D"/>
    <w:rsid w:val="00164BFA"/>
    <w:rsid w:val="001659A6"/>
    <w:rsid w:val="00166072"/>
    <w:rsid w:val="00166136"/>
    <w:rsid w:val="00166F39"/>
    <w:rsid w:val="00167409"/>
    <w:rsid w:val="00167940"/>
    <w:rsid w:val="00167A62"/>
    <w:rsid w:val="00170017"/>
    <w:rsid w:val="00170DD9"/>
    <w:rsid w:val="00170E2B"/>
    <w:rsid w:val="00171839"/>
    <w:rsid w:val="00171AFB"/>
    <w:rsid w:val="00171C2A"/>
    <w:rsid w:val="00172872"/>
    <w:rsid w:val="00172F68"/>
    <w:rsid w:val="00173608"/>
    <w:rsid w:val="00173DF9"/>
    <w:rsid w:val="0017699F"/>
    <w:rsid w:val="001770E0"/>
    <w:rsid w:val="00177B10"/>
    <w:rsid w:val="00180F95"/>
    <w:rsid w:val="00181288"/>
    <w:rsid w:val="00181A6C"/>
    <w:rsid w:val="00182394"/>
    <w:rsid w:val="00182709"/>
    <w:rsid w:val="001831BF"/>
    <w:rsid w:val="00183AA9"/>
    <w:rsid w:val="0018445B"/>
    <w:rsid w:val="00184514"/>
    <w:rsid w:val="00184633"/>
    <w:rsid w:val="0018509F"/>
    <w:rsid w:val="00185E04"/>
    <w:rsid w:val="001864B2"/>
    <w:rsid w:val="00186CCD"/>
    <w:rsid w:val="00187223"/>
    <w:rsid w:val="00187225"/>
    <w:rsid w:val="00187253"/>
    <w:rsid w:val="00187A50"/>
    <w:rsid w:val="00187C41"/>
    <w:rsid w:val="001904CF"/>
    <w:rsid w:val="001905A1"/>
    <w:rsid w:val="00191623"/>
    <w:rsid w:val="00191E55"/>
    <w:rsid w:val="00192292"/>
    <w:rsid w:val="001926D2"/>
    <w:rsid w:val="00192812"/>
    <w:rsid w:val="00194196"/>
    <w:rsid w:val="00194C05"/>
    <w:rsid w:val="00195889"/>
    <w:rsid w:val="00196E93"/>
    <w:rsid w:val="00197478"/>
    <w:rsid w:val="001974F1"/>
    <w:rsid w:val="00197EF0"/>
    <w:rsid w:val="001A0362"/>
    <w:rsid w:val="001A0A10"/>
    <w:rsid w:val="001A0E88"/>
    <w:rsid w:val="001A1AA5"/>
    <w:rsid w:val="001A27B5"/>
    <w:rsid w:val="001A29E1"/>
    <w:rsid w:val="001A3679"/>
    <w:rsid w:val="001A50D0"/>
    <w:rsid w:val="001A522C"/>
    <w:rsid w:val="001A550E"/>
    <w:rsid w:val="001A6353"/>
    <w:rsid w:val="001A6E54"/>
    <w:rsid w:val="001A77CF"/>
    <w:rsid w:val="001B0811"/>
    <w:rsid w:val="001B0E85"/>
    <w:rsid w:val="001B15E6"/>
    <w:rsid w:val="001B1D78"/>
    <w:rsid w:val="001B309F"/>
    <w:rsid w:val="001B465E"/>
    <w:rsid w:val="001B62F4"/>
    <w:rsid w:val="001B634D"/>
    <w:rsid w:val="001B7796"/>
    <w:rsid w:val="001B7FB0"/>
    <w:rsid w:val="001C058A"/>
    <w:rsid w:val="001C08B5"/>
    <w:rsid w:val="001C0A4F"/>
    <w:rsid w:val="001C0B5C"/>
    <w:rsid w:val="001C1D7B"/>
    <w:rsid w:val="001C2034"/>
    <w:rsid w:val="001C208C"/>
    <w:rsid w:val="001C2E8C"/>
    <w:rsid w:val="001C3221"/>
    <w:rsid w:val="001C4802"/>
    <w:rsid w:val="001C4D0C"/>
    <w:rsid w:val="001C53EF"/>
    <w:rsid w:val="001C6214"/>
    <w:rsid w:val="001C641A"/>
    <w:rsid w:val="001C67A0"/>
    <w:rsid w:val="001C69B6"/>
    <w:rsid w:val="001C6B93"/>
    <w:rsid w:val="001C6BC1"/>
    <w:rsid w:val="001C6C0E"/>
    <w:rsid w:val="001C768E"/>
    <w:rsid w:val="001C78B7"/>
    <w:rsid w:val="001C79A7"/>
    <w:rsid w:val="001C7A1C"/>
    <w:rsid w:val="001C7BDE"/>
    <w:rsid w:val="001C7E29"/>
    <w:rsid w:val="001D029C"/>
    <w:rsid w:val="001D034C"/>
    <w:rsid w:val="001D059A"/>
    <w:rsid w:val="001D2577"/>
    <w:rsid w:val="001D28D2"/>
    <w:rsid w:val="001D359F"/>
    <w:rsid w:val="001D3673"/>
    <w:rsid w:val="001D37FF"/>
    <w:rsid w:val="001D5244"/>
    <w:rsid w:val="001D58DE"/>
    <w:rsid w:val="001D5A91"/>
    <w:rsid w:val="001D5D1B"/>
    <w:rsid w:val="001D61C3"/>
    <w:rsid w:val="001D6264"/>
    <w:rsid w:val="001D73F4"/>
    <w:rsid w:val="001D76AA"/>
    <w:rsid w:val="001E0766"/>
    <w:rsid w:val="001E0BF4"/>
    <w:rsid w:val="001E0F75"/>
    <w:rsid w:val="001E1327"/>
    <w:rsid w:val="001E166F"/>
    <w:rsid w:val="001E39A4"/>
    <w:rsid w:val="001E42E9"/>
    <w:rsid w:val="001E43C7"/>
    <w:rsid w:val="001E4F77"/>
    <w:rsid w:val="001E55EA"/>
    <w:rsid w:val="001E6301"/>
    <w:rsid w:val="001E6454"/>
    <w:rsid w:val="001E6626"/>
    <w:rsid w:val="001E6F49"/>
    <w:rsid w:val="001E75C2"/>
    <w:rsid w:val="001F11E5"/>
    <w:rsid w:val="001F2CAA"/>
    <w:rsid w:val="001F2E41"/>
    <w:rsid w:val="001F30FB"/>
    <w:rsid w:val="001F3C4A"/>
    <w:rsid w:val="001F3D33"/>
    <w:rsid w:val="001F4916"/>
    <w:rsid w:val="001F53DB"/>
    <w:rsid w:val="001F5885"/>
    <w:rsid w:val="001F594B"/>
    <w:rsid w:val="001F5F95"/>
    <w:rsid w:val="001F786B"/>
    <w:rsid w:val="001F7AF7"/>
    <w:rsid w:val="0020051C"/>
    <w:rsid w:val="002006A7"/>
    <w:rsid w:val="00201945"/>
    <w:rsid w:val="00201FFE"/>
    <w:rsid w:val="002022A2"/>
    <w:rsid w:val="0020256F"/>
    <w:rsid w:val="002028E0"/>
    <w:rsid w:val="002033FC"/>
    <w:rsid w:val="00203576"/>
    <w:rsid w:val="00204B80"/>
    <w:rsid w:val="00204DAC"/>
    <w:rsid w:val="002050FB"/>
    <w:rsid w:val="002058D6"/>
    <w:rsid w:val="0020605F"/>
    <w:rsid w:val="00206A3C"/>
    <w:rsid w:val="00206AAF"/>
    <w:rsid w:val="00206BE3"/>
    <w:rsid w:val="002071BD"/>
    <w:rsid w:val="00207351"/>
    <w:rsid w:val="002076C2"/>
    <w:rsid w:val="00207C85"/>
    <w:rsid w:val="00207C9E"/>
    <w:rsid w:val="00207C9F"/>
    <w:rsid w:val="00210272"/>
    <w:rsid w:val="00210B90"/>
    <w:rsid w:val="002110DA"/>
    <w:rsid w:val="0021137C"/>
    <w:rsid w:val="0021207E"/>
    <w:rsid w:val="002120EE"/>
    <w:rsid w:val="00212580"/>
    <w:rsid w:val="00212DAD"/>
    <w:rsid w:val="002135D6"/>
    <w:rsid w:val="00214628"/>
    <w:rsid w:val="00214719"/>
    <w:rsid w:val="00215343"/>
    <w:rsid w:val="002168CA"/>
    <w:rsid w:val="00216EDB"/>
    <w:rsid w:val="00217024"/>
    <w:rsid w:val="00217720"/>
    <w:rsid w:val="002200B1"/>
    <w:rsid w:val="00220E83"/>
    <w:rsid w:val="00221797"/>
    <w:rsid w:val="00222045"/>
    <w:rsid w:val="002230BD"/>
    <w:rsid w:val="002234F8"/>
    <w:rsid w:val="0022376D"/>
    <w:rsid w:val="00223F2A"/>
    <w:rsid w:val="00224849"/>
    <w:rsid w:val="00224BFF"/>
    <w:rsid w:val="00225D34"/>
    <w:rsid w:val="00225E8D"/>
    <w:rsid w:val="00226589"/>
    <w:rsid w:val="002268B3"/>
    <w:rsid w:val="00227199"/>
    <w:rsid w:val="00230DD4"/>
    <w:rsid w:val="00231276"/>
    <w:rsid w:val="002313E5"/>
    <w:rsid w:val="002316D9"/>
    <w:rsid w:val="002322CC"/>
    <w:rsid w:val="002323B7"/>
    <w:rsid w:val="002324F3"/>
    <w:rsid w:val="00232FD0"/>
    <w:rsid w:val="00233DAD"/>
    <w:rsid w:val="00234142"/>
    <w:rsid w:val="002350E2"/>
    <w:rsid w:val="002366BE"/>
    <w:rsid w:val="00240A20"/>
    <w:rsid w:val="002418C5"/>
    <w:rsid w:val="0024208D"/>
    <w:rsid w:val="00242822"/>
    <w:rsid w:val="00243538"/>
    <w:rsid w:val="002437B3"/>
    <w:rsid w:val="00243ECC"/>
    <w:rsid w:val="0024417E"/>
    <w:rsid w:val="00244CD3"/>
    <w:rsid w:val="00245227"/>
    <w:rsid w:val="00245242"/>
    <w:rsid w:val="0024601F"/>
    <w:rsid w:val="00246798"/>
    <w:rsid w:val="00250115"/>
    <w:rsid w:val="00250F77"/>
    <w:rsid w:val="00251B26"/>
    <w:rsid w:val="00251EFA"/>
    <w:rsid w:val="00253D2D"/>
    <w:rsid w:val="0025453F"/>
    <w:rsid w:val="002545C4"/>
    <w:rsid w:val="00254BC6"/>
    <w:rsid w:val="00255798"/>
    <w:rsid w:val="00255E90"/>
    <w:rsid w:val="00256055"/>
    <w:rsid w:val="002560D1"/>
    <w:rsid w:val="0025644A"/>
    <w:rsid w:val="00256E74"/>
    <w:rsid w:val="002572AE"/>
    <w:rsid w:val="00260906"/>
    <w:rsid w:val="00260A5A"/>
    <w:rsid w:val="00260A6D"/>
    <w:rsid w:val="0026111F"/>
    <w:rsid w:val="00261A19"/>
    <w:rsid w:val="00261E8D"/>
    <w:rsid w:val="00262130"/>
    <w:rsid w:val="00263674"/>
    <w:rsid w:val="002641B6"/>
    <w:rsid w:val="002646DE"/>
    <w:rsid w:val="00264726"/>
    <w:rsid w:val="00264DB3"/>
    <w:rsid w:val="002650B2"/>
    <w:rsid w:val="00265295"/>
    <w:rsid w:val="00265A48"/>
    <w:rsid w:val="002666BA"/>
    <w:rsid w:val="00266A9A"/>
    <w:rsid w:val="00266B05"/>
    <w:rsid w:val="002676B0"/>
    <w:rsid w:val="00267B0D"/>
    <w:rsid w:val="0027014F"/>
    <w:rsid w:val="0027092F"/>
    <w:rsid w:val="00270A32"/>
    <w:rsid w:val="00271CB3"/>
    <w:rsid w:val="00272317"/>
    <w:rsid w:val="002725CD"/>
    <w:rsid w:val="00272BA2"/>
    <w:rsid w:val="0027391F"/>
    <w:rsid w:val="002739BD"/>
    <w:rsid w:val="0027466C"/>
    <w:rsid w:val="00275954"/>
    <w:rsid w:val="002759F5"/>
    <w:rsid w:val="00275CFC"/>
    <w:rsid w:val="00275EC6"/>
    <w:rsid w:val="00275F52"/>
    <w:rsid w:val="002770D0"/>
    <w:rsid w:val="0027765E"/>
    <w:rsid w:val="00280EE2"/>
    <w:rsid w:val="002816CF"/>
    <w:rsid w:val="00281BA7"/>
    <w:rsid w:val="002821B9"/>
    <w:rsid w:val="002847D7"/>
    <w:rsid w:val="0028483F"/>
    <w:rsid w:val="00284F6C"/>
    <w:rsid w:val="00285B3A"/>
    <w:rsid w:val="0028667D"/>
    <w:rsid w:val="00286887"/>
    <w:rsid w:val="00286916"/>
    <w:rsid w:val="00287351"/>
    <w:rsid w:val="002902B2"/>
    <w:rsid w:val="002906A7"/>
    <w:rsid w:val="0029156F"/>
    <w:rsid w:val="002915EF"/>
    <w:rsid w:val="00291612"/>
    <w:rsid w:val="002917FA"/>
    <w:rsid w:val="002918DA"/>
    <w:rsid w:val="00291AEA"/>
    <w:rsid w:val="00291E37"/>
    <w:rsid w:val="00292442"/>
    <w:rsid w:val="00292473"/>
    <w:rsid w:val="00292485"/>
    <w:rsid w:val="00292566"/>
    <w:rsid w:val="00292588"/>
    <w:rsid w:val="0029281D"/>
    <w:rsid w:val="002932B6"/>
    <w:rsid w:val="00293664"/>
    <w:rsid w:val="00293A86"/>
    <w:rsid w:val="00293D0F"/>
    <w:rsid w:val="0029455E"/>
    <w:rsid w:val="00295101"/>
    <w:rsid w:val="002967B8"/>
    <w:rsid w:val="002971B7"/>
    <w:rsid w:val="002975EE"/>
    <w:rsid w:val="00297917"/>
    <w:rsid w:val="00297B2E"/>
    <w:rsid w:val="002A0DB5"/>
    <w:rsid w:val="002A0E73"/>
    <w:rsid w:val="002A133B"/>
    <w:rsid w:val="002A15E1"/>
    <w:rsid w:val="002A15E4"/>
    <w:rsid w:val="002A1EE2"/>
    <w:rsid w:val="002A2525"/>
    <w:rsid w:val="002A321F"/>
    <w:rsid w:val="002A35A4"/>
    <w:rsid w:val="002A3E3B"/>
    <w:rsid w:val="002A479F"/>
    <w:rsid w:val="002A47F4"/>
    <w:rsid w:val="002A54E9"/>
    <w:rsid w:val="002A59D3"/>
    <w:rsid w:val="002A5EAB"/>
    <w:rsid w:val="002A6668"/>
    <w:rsid w:val="002A71C6"/>
    <w:rsid w:val="002A78B3"/>
    <w:rsid w:val="002B00B4"/>
    <w:rsid w:val="002B093C"/>
    <w:rsid w:val="002B0CDC"/>
    <w:rsid w:val="002B0DF3"/>
    <w:rsid w:val="002B12D5"/>
    <w:rsid w:val="002B225F"/>
    <w:rsid w:val="002B2B26"/>
    <w:rsid w:val="002B2E03"/>
    <w:rsid w:val="002B30FE"/>
    <w:rsid w:val="002B34A2"/>
    <w:rsid w:val="002B3AF6"/>
    <w:rsid w:val="002B46A2"/>
    <w:rsid w:val="002B4972"/>
    <w:rsid w:val="002B600C"/>
    <w:rsid w:val="002B6204"/>
    <w:rsid w:val="002B6ECA"/>
    <w:rsid w:val="002B6F09"/>
    <w:rsid w:val="002B6FC3"/>
    <w:rsid w:val="002B6FD4"/>
    <w:rsid w:val="002B720E"/>
    <w:rsid w:val="002C0021"/>
    <w:rsid w:val="002C0E62"/>
    <w:rsid w:val="002C1C9C"/>
    <w:rsid w:val="002C1D24"/>
    <w:rsid w:val="002C20E7"/>
    <w:rsid w:val="002C3030"/>
    <w:rsid w:val="002C39A1"/>
    <w:rsid w:val="002C40FD"/>
    <w:rsid w:val="002C42D1"/>
    <w:rsid w:val="002C4737"/>
    <w:rsid w:val="002C4C91"/>
    <w:rsid w:val="002C5584"/>
    <w:rsid w:val="002C582C"/>
    <w:rsid w:val="002C5D3D"/>
    <w:rsid w:val="002C7272"/>
    <w:rsid w:val="002C7AFA"/>
    <w:rsid w:val="002C7FA8"/>
    <w:rsid w:val="002D05CB"/>
    <w:rsid w:val="002D0AFF"/>
    <w:rsid w:val="002D1445"/>
    <w:rsid w:val="002D185E"/>
    <w:rsid w:val="002D1EFE"/>
    <w:rsid w:val="002D219F"/>
    <w:rsid w:val="002D2741"/>
    <w:rsid w:val="002D2F43"/>
    <w:rsid w:val="002D384B"/>
    <w:rsid w:val="002D3BB5"/>
    <w:rsid w:val="002D4A7A"/>
    <w:rsid w:val="002D56C1"/>
    <w:rsid w:val="002D575B"/>
    <w:rsid w:val="002D70D7"/>
    <w:rsid w:val="002D744D"/>
    <w:rsid w:val="002D7A03"/>
    <w:rsid w:val="002E0535"/>
    <w:rsid w:val="002E1237"/>
    <w:rsid w:val="002E144E"/>
    <w:rsid w:val="002E171B"/>
    <w:rsid w:val="002E2315"/>
    <w:rsid w:val="002E2679"/>
    <w:rsid w:val="002E284A"/>
    <w:rsid w:val="002E2FEF"/>
    <w:rsid w:val="002E353E"/>
    <w:rsid w:val="002E354A"/>
    <w:rsid w:val="002E360C"/>
    <w:rsid w:val="002E36C1"/>
    <w:rsid w:val="002E38F0"/>
    <w:rsid w:val="002E4332"/>
    <w:rsid w:val="002E47BB"/>
    <w:rsid w:val="002E5A79"/>
    <w:rsid w:val="002E629C"/>
    <w:rsid w:val="002E643E"/>
    <w:rsid w:val="002E687F"/>
    <w:rsid w:val="002E6926"/>
    <w:rsid w:val="002E7238"/>
    <w:rsid w:val="002E7615"/>
    <w:rsid w:val="002E7623"/>
    <w:rsid w:val="002F1DB3"/>
    <w:rsid w:val="002F21AE"/>
    <w:rsid w:val="002F35F8"/>
    <w:rsid w:val="002F361E"/>
    <w:rsid w:val="002F38B6"/>
    <w:rsid w:val="002F3CF2"/>
    <w:rsid w:val="002F4E20"/>
    <w:rsid w:val="002F5B82"/>
    <w:rsid w:val="002F7CC2"/>
    <w:rsid w:val="0030020F"/>
    <w:rsid w:val="00300A8A"/>
    <w:rsid w:val="00300BFE"/>
    <w:rsid w:val="00301017"/>
    <w:rsid w:val="00302EBC"/>
    <w:rsid w:val="00303984"/>
    <w:rsid w:val="003040ED"/>
    <w:rsid w:val="00304209"/>
    <w:rsid w:val="00304D76"/>
    <w:rsid w:val="0030588E"/>
    <w:rsid w:val="00305BC1"/>
    <w:rsid w:val="00305C71"/>
    <w:rsid w:val="003062A3"/>
    <w:rsid w:val="00306455"/>
    <w:rsid w:val="003068EA"/>
    <w:rsid w:val="00307556"/>
    <w:rsid w:val="00307DC1"/>
    <w:rsid w:val="0031028A"/>
    <w:rsid w:val="0031059B"/>
    <w:rsid w:val="00311356"/>
    <w:rsid w:val="00311548"/>
    <w:rsid w:val="00312540"/>
    <w:rsid w:val="00312DB1"/>
    <w:rsid w:val="0031306B"/>
    <w:rsid w:val="0031329C"/>
    <w:rsid w:val="00313839"/>
    <w:rsid w:val="00313E9C"/>
    <w:rsid w:val="00315DC0"/>
    <w:rsid w:val="0031670A"/>
    <w:rsid w:val="00316F96"/>
    <w:rsid w:val="00317CF6"/>
    <w:rsid w:val="00317D08"/>
    <w:rsid w:val="00317DDA"/>
    <w:rsid w:val="003203CF"/>
    <w:rsid w:val="00320FFC"/>
    <w:rsid w:val="003216C8"/>
    <w:rsid w:val="00321BB4"/>
    <w:rsid w:val="00321F63"/>
    <w:rsid w:val="0032277A"/>
    <w:rsid w:val="00322804"/>
    <w:rsid w:val="00322B3E"/>
    <w:rsid w:val="003234AA"/>
    <w:rsid w:val="00323B73"/>
    <w:rsid w:val="00324522"/>
    <w:rsid w:val="00325522"/>
    <w:rsid w:val="00326B98"/>
    <w:rsid w:val="00326E3B"/>
    <w:rsid w:val="00327653"/>
    <w:rsid w:val="00327C74"/>
    <w:rsid w:val="003307D8"/>
    <w:rsid w:val="00330B0E"/>
    <w:rsid w:val="00331B0B"/>
    <w:rsid w:val="00331CB8"/>
    <w:rsid w:val="00332161"/>
    <w:rsid w:val="00333435"/>
    <w:rsid w:val="003334E5"/>
    <w:rsid w:val="00333673"/>
    <w:rsid w:val="003339C3"/>
    <w:rsid w:val="00334746"/>
    <w:rsid w:val="003351AC"/>
    <w:rsid w:val="00335ADD"/>
    <w:rsid w:val="00335BC9"/>
    <w:rsid w:val="00336735"/>
    <w:rsid w:val="003379AD"/>
    <w:rsid w:val="00337FCB"/>
    <w:rsid w:val="003400D6"/>
    <w:rsid w:val="003407A2"/>
    <w:rsid w:val="00341064"/>
    <w:rsid w:val="003412D7"/>
    <w:rsid w:val="00341A0B"/>
    <w:rsid w:val="00342286"/>
    <w:rsid w:val="003426DD"/>
    <w:rsid w:val="00342725"/>
    <w:rsid w:val="003428CF"/>
    <w:rsid w:val="00342D2B"/>
    <w:rsid w:val="003433DF"/>
    <w:rsid w:val="00343539"/>
    <w:rsid w:val="0034379B"/>
    <w:rsid w:val="00343ECF"/>
    <w:rsid w:val="00343FB9"/>
    <w:rsid w:val="003446DC"/>
    <w:rsid w:val="00346E22"/>
    <w:rsid w:val="0034745E"/>
    <w:rsid w:val="00350204"/>
    <w:rsid w:val="00350DAF"/>
    <w:rsid w:val="0035113D"/>
    <w:rsid w:val="00351E56"/>
    <w:rsid w:val="00352CD5"/>
    <w:rsid w:val="00352CE1"/>
    <w:rsid w:val="00353211"/>
    <w:rsid w:val="0035372B"/>
    <w:rsid w:val="00354558"/>
    <w:rsid w:val="00354682"/>
    <w:rsid w:val="00354BA7"/>
    <w:rsid w:val="00355786"/>
    <w:rsid w:val="003557ED"/>
    <w:rsid w:val="00356036"/>
    <w:rsid w:val="00357D03"/>
    <w:rsid w:val="0036019B"/>
    <w:rsid w:val="00360CDB"/>
    <w:rsid w:val="0036245D"/>
    <w:rsid w:val="00362C08"/>
    <w:rsid w:val="00363315"/>
    <w:rsid w:val="00363541"/>
    <w:rsid w:val="00365425"/>
    <w:rsid w:val="003655E8"/>
    <w:rsid w:val="0036668F"/>
    <w:rsid w:val="00367738"/>
    <w:rsid w:val="0037025F"/>
    <w:rsid w:val="00370E96"/>
    <w:rsid w:val="00371268"/>
    <w:rsid w:val="003715B5"/>
    <w:rsid w:val="00371697"/>
    <w:rsid w:val="00371AAB"/>
    <w:rsid w:val="00371ED5"/>
    <w:rsid w:val="003724B2"/>
    <w:rsid w:val="00372D4C"/>
    <w:rsid w:val="00372D97"/>
    <w:rsid w:val="00372F5E"/>
    <w:rsid w:val="00373DA6"/>
    <w:rsid w:val="00374324"/>
    <w:rsid w:val="00374804"/>
    <w:rsid w:val="003756F2"/>
    <w:rsid w:val="00375945"/>
    <w:rsid w:val="00375A46"/>
    <w:rsid w:val="00375D62"/>
    <w:rsid w:val="0037648E"/>
    <w:rsid w:val="00376728"/>
    <w:rsid w:val="00376998"/>
    <w:rsid w:val="00376A28"/>
    <w:rsid w:val="00376FEB"/>
    <w:rsid w:val="00380F21"/>
    <w:rsid w:val="003810CF"/>
    <w:rsid w:val="00381A1C"/>
    <w:rsid w:val="00382153"/>
    <w:rsid w:val="00383765"/>
    <w:rsid w:val="00383919"/>
    <w:rsid w:val="00383FF8"/>
    <w:rsid w:val="00385E0B"/>
    <w:rsid w:val="00385E58"/>
    <w:rsid w:val="00386F45"/>
    <w:rsid w:val="00390149"/>
    <w:rsid w:val="00390573"/>
    <w:rsid w:val="00391076"/>
    <w:rsid w:val="003915D3"/>
    <w:rsid w:val="00391E5B"/>
    <w:rsid w:val="00392162"/>
    <w:rsid w:val="003927BC"/>
    <w:rsid w:val="00392F52"/>
    <w:rsid w:val="00393C39"/>
    <w:rsid w:val="00394211"/>
    <w:rsid w:val="00394372"/>
    <w:rsid w:val="003949B1"/>
    <w:rsid w:val="00394F3C"/>
    <w:rsid w:val="003964EE"/>
    <w:rsid w:val="00396BB2"/>
    <w:rsid w:val="00396D1B"/>
    <w:rsid w:val="003A0AD9"/>
    <w:rsid w:val="003A0B90"/>
    <w:rsid w:val="003A0D2D"/>
    <w:rsid w:val="003A1362"/>
    <w:rsid w:val="003A2E2B"/>
    <w:rsid w:val="003A3A20"/>
    <w:rsid w:val="003A4289"/>
    <w:rsid w:val="003A4893"/>
    <w:rsid w:val="003A48B5"/>
    <w:rsid w:val="003A526B"/>
    <w:rsid w:val="003A57BB"/>
    <w:rsid w:val="003A690E"/>
    <w:rsid w:val="003A72B4"/>
    <w:rsid w:val="003A7769"/>
    <w:rsid w:val="003A7779"/>
    <w:rsid w:val="003A7E05"/>
    <w:rsid w:val="003B0662"/>
    <w:rsid w:val="003B0F38"/>
    <w:rsid w:val="003B18EA"/>
    <w:rsid w:val="003B1D2B"/>
    <w:rsid w:val="003B28E5"/>
    <w:rsid w:val="003B2B84"/>
    <w:rsid w:val="003B346C"/>
    <w:rsid w:val="003B3629"/>
    <w:rsid w:val="003B3FA7"/>
    <w:rsid w:val="003B4EDA"/>
    <w:rsid w:val="003B53D2"/>
    <w:rsid w:val="003B73DC"/>
    <w:rsid w:val="003B7CED"/>
    <w:rsid w:val="003C00A7"/>
    <w:rsid w:val="003C037E"/>
    <w:rsid w:val="003C108F"/>
    <w:rsid w:val="003C1CEC"/>
    <w:rsid w:val="003C1E55"/>
    <w:rsid w:val="003C1F87"/>
    <w:rsid w:val="003C2763"/>
    <w:rsid w:val="003C31D9"/>
    <w:rsid w:val="003C3219"/>
    <w:rsid w:val="003C41B1"/>
    <w:rsid w:val="003C4CAD"/>
    <w:rsid w:val="003C4CCB"/>
    <w:rsid w:val="003C4E30"/>
    <w:rsid w:val="003C5EE1"/>
    <w:rsid w:val="003C6130"/>
    <w:rsid w:val="003C6371"/>
    <w:rsid w:val="003C6E02"/>
    <w:rsid w:val="003C7027"/>
    <w:rsid w:val="003C782A"/>
    <w:rsid w:val="003C7953"/>
    <w:rsid w:val="003C7B1B"/>
    <w:rsid w:val="003D0645"/>
    <w:rsid w:val="003D08F7"/>
    <w:rsid w:val="003D0902"/>
    <w:rsid w:val="003D0B08"/>
    <w:rsid w:val="003D100D"/>
    <w:rsid w:val="003D178F"/>
    <w:rsid w:val="003D21F3"/>
    <w:rsid w:val="003D274B"/>
    <w:rsid w:val="003D362E"/>
    <w:rsid w:val="003D366E"/>
    <w:rsid w:val="003D416C"/>
    <w:rsid w:val="003D4702"/>
    <w:rsid w:val="003D4CBA"/>
    <w:rsid w:val="003D5F8D"/>
    <w:rsid w:val="003D630E"/>
    <w:rsid w:val="003D779B"/>
    <w:rsid w:val="003D7C00"/>
    <w:rsid w:val="003E091C"/>
    <w:rsid w:val="003E0DE8"/>
    <w:rsid w:val="003E1238"/>
    <w:rsid w:val="003E1812"/>
    <w:rsid w:val="003E1DCF"/>
    <w:rsid w:val="003E2345"/>
    <w:rsid w:val="003E2711"/>
    <w:rsid w:val="003E2C40"/>
    <w:rsid w:val="003E2FFD"/>
    <w:rsid w:val="003E3555"/>
    <w:rsid w:val="003E3A34"/>
    <w:rsid w:val="003E3A51"/>
    <w:rsid w:val="003E53D1"/>
    <w:rsid w:val="003E64D4"/>
    <w:rsid w:val="003E694D"/>
    <w:rsid w:val="003E6BE4"/>
    <w:rsid w:val="003E7085"/>
    <w:rsid w:val="003E753F"/>
    <w:rsid w:val="003E7556"/>
    <w:rsid w:val="003E7933"/>
    <w:rsid w:val="003E7A4C"/>
    <w:rsid w:val="003E7ABE"/>
    <w:rsid w:val="003F0195"/>
    <w:rsid w:val="003F0196"/>
    <w:rsid w:val="003F0D90"/>
    <w:rsid w:val="003F1A5F"/>
    <w:rsid w:val="003F25F5"/>
    <w:rsid w:val="003F44C3"/>
    <w:rsid w:val="003F4E2F"/>
    <w:rsid w:val="003F6056"/>
    <w:rsid w:val="003F7850"/>
    <w:rsid w:val="004000E8"/>
    <w:rsid w:val="00400FF2"/>
    <w:rsid w:val="00401ACD"/>
    <w:rsid w:val="00401D9A"/>
    <w:rsid w:val="00402166"/>
    <w:rsid w:val="00402677"/>
    <w:rsid w:val="0040288B"/>
    <w:rsid w:val="00402E25"/>
    <w:rsid w:val="004043C0"/>
    <w:rsid w:val="004047B5"/>
    <w:rsid w:val="00404DC2"/>
    <w:rsid w:val="004057A3"/>
    <w:rsid w:val="00405B99"/>
    <w:rsid w:val="00405FB5"/>
    <w:rsid w:val="00406F3D"/>
    <w:rsid w:val="00407415"/>
    <w:rsid w:val="004079D8"/>
    <w:rsid w:val="004105F7"/>
    <w:rsid w:val="004107DA"/>
    <w:rsid w:val="00410BDB"/>
    <w:rsid w:val="00410DD5"/>
    <w:rsid w:val="004111F4"/>
    <w:rsid w:val="004115D5"/>
    <w:rsid w:val="00411B7D"/>
    <w:rsid w:val="00411FD7"/>
    <w:rsid w:val="00412A5B"/>
    <w:rsid w:val="004137AF"/>
    <w:rsid w:val="00413AC7"/>
    <w:rsid w:val="00413EFA"/>
    <w:rsid w:val="00414358"/>
    <w:rsid w:val="00414456"/>
    <w:rsid w:val="00414866"/>
    <w:rsid w:val="00414ADC"/>
    <w:rsid w:val="00414EA6"/>
    <w:rsid w:val="004151F2"/>
    <w:rsid w:val="0041525F"/>
    <w:rsid w:val="0041588C"/>
    <w:rsid w:val="004158AD"/>
    <w:rsid w:val="00415D69"/>
    <w:rsid w:val="00416E7A"/>
    <w:rsid w:val="00420004"/>
    <w:rsid w:val="0042037B"/>
    <w:rsid w:val="004206B1"/>
    <w:rsid w:val="00420E4A"/>
    <w:rsid w:val="0042174D"/>
    <w:rsid w:val="00422E82"/>
    <w:rsid w:val="004237E5"/>
    <w:rsid w:val="00423C52"/>
    <w:rsid w:val="00424AA5"/>
    <w:rsid w:val="00424BE2"/>
    <w:rsid w:val="00424FE8"/>
    <w:rsid w:val="004255E6"/>
    <w:rsid w:val="004257C2"/>
    <w:rsid w:val="00426045"/>
    <w:rsid w:val="004268FF"/>
    <w:rsid w:val="00426D25"/>
    <w:rsid w:val="00426FE1"/>
    <w:rsid w:val="004273F8"/>
    <w:rsid w:val="004274A4"/>
    <w:rsid w:val="00430954"/>
    <w:rsid w:val="004317ED"/>
    <w:rsid w:val="004324E3"/>
    <w:rsid w:val="004327C9"/>
    <w:rsid w:val="00432891"/>
    <w:rsid w:val="00432C08"/>
    <w:rsid w:val="00433948"/>
    <w:rsid w:val="00434BC6"/>
    <w:rsid w:val="00434BD4"/>
    <w:rsid w:val="00434DED"/>
    <w:rsid w:val="0043691C"/>
    <w:rsid w:val="00436F9C"/>
    <w:rsid w:val="00440066"/>
    <w:rsid w:val="004405AC"/>
    <w:rsid w:val="00441440"/>
    <w:rsid w:val="0044166A"/>
    <w:rsid w:val="004418DC"/>
    <w:rsid w:val="00441A1C"/>
    <w:rsid w:val="00441B51"/>
    <w:rsid w:val="0044254D"/>
    <w:rsid w:val="00442BAF"/>
    <w:rsid w:val="00444545"/>
    <w:rsid w:val="00444BE8"/>
    <w:rsid w:val="0044614A"/>
    <w:rsid w:val="00446702"/>
    <w:rsid w:val="00447395"/>
    <w:rsid w:val="00450465"/>
    <w:rsid w:val="00450BF8"/>
    <w:rsid w:val="00450ECC"/>
    <w:rsid w:val="0045122D"/>
    <w:rsid w:val="00451305"/>
    <w:rsid w:val="00451A93"/>
    <w:rsid w:val="00452A14"/>
    <w:rsid w:val="00452B5C"/>
    <w:rsid w:val="0045410B"/>
    <w:rsid w:val="00455014"/>
    <w:rsid w:val="004563C1"/>
    <w:rsid w:val="00456742"/>
    <w:rsid w:val="004578F6"/>
    <w:rsid w:val="00457D7E"/>
    <w:rsid w:val="0046000F"/>
    <w:rsid w:val="00462419"/>
    <w:rsid w:val="004628E8"/>
    <w:rsid w:val="00463078"/>
    <w:rsid w:val="0046513A"/>
    <w:rsid w:val="00466351"/>
    <w:rsid w:val="00466649"/>
    <w:rsid w:val="004668C2"/>
    <w:rsid w:val="00466C48"/>
    <w:rsid w:val="00467453"/>
    <w:rsid w:val="00470629"/>
    <w:rsid w:val="00471D64"/>
    <w:rsid w:val="0047200A"/>
    <w:rsid w:val="004720E8"/>
    <w:rsid w:val="00472140"/>
    <w:rsid w:val="0047221B"/>
    <w:rsid w:val="00472699"/>
    <w:rsid w:val="00474647"/>
    <w:rsid w:val="004751AF"/>
    <w:rsid w:val="00475B9D"/>
    <w:rsid w:val="004766F0"/>
    <w:rsid w:val="004767A2"/>
    <w:rsid w:val="00476EE8"/>
    <w:rsid w:val="00476F06"/>
    <w:rsid w:val="004771FA"/>
    <w:rsid w:val="00477258"/>
    <w:rsid w:val="00477972"/>
    <w:rsid w:val="00480524"/>
    <w:rsid w:val="0048070F"/>
    <w:rsid w:val="00480960"/>
    <w:rsid w:val="00481553"/>
    <w:rsid w:val="00481606"/>
    <w:rsid w:val="0048166F"/>
    <w:rsid w:val="00481B2A"/>
    <w:rsid w:val="00481B97"/>
    <w:rsid w:val="00481DA7"/>
    <w:rsid w:val="00483846"/>
    <w:rsid w:val="00483C84"/>
    <w:rsid w:val="0048466A"/>
    <w:rsid w:val="00484BD5"/>
    <w:rsid w:val="00484DE7"/>
    <w:rsid w:val="004858F6"/>
    <w:rsid w:val="00485DED"/>
    <w:rsid w:val="004867FE"/>
    <w:rsid w:val="00487732"/>
    <w:rsid w:val="00487801"/>
    <w:rsid w:val="00487B69"/>
    <w:rsid w:val="0049059B"/>
    <w:rsid w:val="004908FB"/>
    <w:rsid w:val="0049101A"/>
    <w:rsid w:val="00491912"/>
    <w:rsid w:val="00491D38"/>
    <w:rsid w:val="0049201F"/>
    <w:rsid w:val="00492B32"/>
    <w:rsid w:val="00494896"/>
    <w:rsid w:val="0049641E"/>
    <w:rsid w:val="00496E5E"/>
    <w:rsid w:val="00496E8E"/>
    <w:rsid w:val="0049720A"/>
    <w:rsid w:val="00497E51"/>
    <w:rsid w:val="004A0586"/>
    <w:rsid w:val="004A0590"/>
    <w:rsid w:val="004A0C8F"/>
    <w:rsid w:val="004A2AFC"/>
    <w:rsid w:val="004A35BB"/>
    <w:rsid w:val="004A3C6D"/>
    <w:rsid w:val="004A4EBA"/>
    <w:rsid w:val="004A7A2F"/>
    <w:rsid w:val="004B0876"/>
    <w:rsid w:val="004B0974"/>
    <w:rsid w:val="004B17B2"/>
    <w:rsid w:val="004B1BFE"/>
    <w:rsid w:val="004B3298"/>
    <w:rsid w:val="004B3AAF"/>
    <w:rsid w:val="004B3E30"/>
    <w:rsid w:val="004B3F4F"/>
    <w:rsid w:val="004B50A1"/>
    <w:rsid w:val="004B6ACC"/>
    <w:rsid w:val="004B7BFD"/>
    <w:rsid w:val="004C0418"/>
    <w:rsid w:val="004C066A"/>
    <w:rsid w:val="004C1991"/>
    <w:rsid w:val="004C1AC3"/>
    <w:rsid w:val="004C1B0C"/>
    <w:rsid w:val="004C1E50"/>
    <w:rsid w:val="004C22E4"/>
    <w:rsid w:val="004C2603"/>
    <w:rsid w:val="004C2933"/>
    <w:rsid w:val="004C29FD"/>
    <w:rsid w:val="004C3636"/>
    <w:rsid w:val="004C50A1"/>
    <w:rsid w:val="004C680A"/>
    <w:rsid w:val="004D135D"/>
    <w:rsid w:val="004D2090"/>
    <w:rsid w:val="004D267F"/>
    <w:rsid w:val="004D2AA4"/>
    <w:rsid w:val="004D2DE7"/>
    <w:rsid w:val="004D2FC2"/>
    <w:rsid w:val="004D34E8"/>
    <w:rsid w:val="004D3F83"/>
    <w:rsid w:val="004D413E"/>
    <w:rsid w:val="004D4A4E"/>
    <w:rsid w:val="004D4B30"/>
    <w:rsid w:val="004D4DF4"/>
    <w:rsid w:val="004D5059"/>
    <w:rsid w:val="004D5066"/>
    <w:rsid w:val="004D5D7E"/>
    <w:rsid w:val="004D61ED"/>
    <w:rsid w:val="004D6393"/>
    <w:rsid w:val="004D66BF"/>
    <w:rsid w:val="004D6887"/>
    <w:rsid w:val="004D6B97"/>
    <w:rsid w:val="004D7B49"/>
    <w:rsid w:val="004D7CAD"/>
    <w:rsid w:val="004E12E3"/>
    <w:rsid w:val="004E1532"/>
    <w:rsid w:val="004E1842"/>
    <w:rsid w:val="004E2085"/>
    <w:rsid w:val="004E26E2"/>
    <w:rsid w:val="004E2B90"/>
    <w:rsid w:val="004E3270"/>
    <w:rsid w:val="004E32AA"/>
    <w:rsid w:val="004E3715"/>
    <w:rsid w:val="004E3B45"/>
    <w:rsid w:val="004E44EE"/>
    <w:rsid w:val="004E49C2"/>
    <w:rsid w:val="004E4D47"/>
    <w:rsid w:val="004E5889"/>
    <w:rsid w:val="004E5A25"/>
    <w:rsid w:val="004E5B4D"/>
    <w:rsid w:val="004E5C8F"/>
    <w:rsid w:val="004E61A6"/>
    <w:rsid w:val="004E6CCC"/>
    <w:rsid w:val="004F0F08"/>
    <w:rsid w:val="004F113E"/>
    <w:rsid w:val="004F24DD"/>
    <w:rsid w:val="004F3092"/>
    <w:rsid w:val="004F38A7"/>
    <w:rsid w:val="004F45BE"/>
    <w:rsid w:val="004F45F9"/>
    <w:rsid w:val="004F4916"/>
    <w:rsid w:val="004F50BC"/>
    <w:rsid w:val="004F5E7D"/>
    <w:rsid w:val="004F7001"/>
    <w:rsid w:val="004F77EE"/>
    <w:rsid w:val="004F7DFB"/>
    <w:rsid w:val="00500914"/>
    <w:rsid w:val="0050104A"/>
    <w:rsid w:val="005015E1"/>
    <w:rsid w:val="005015F0"/>
    <w:rsid w:val="0050170C"/>
    <w:rsid w:val="00501DF2"/>
    <w:rsid w:val="00502C0B"/>
    <w:rsid w:val="00503749"/>
    <w:rsid w:val="005037CD"/>
    <w:rsid w:val="00504245"/>
    <w:rsid w:val="005044B7"/>
    <w:rsid w:val="005044EC"/>
    <w:rsid w:val="00504A53"/>
    <w:rsid w:val="0050530C"/>
    <w:rsid w:val="00506777"/>
    <w:rsid w:val="0050706C"/>
    <w:rsid w:val="0050762E"/>
    <w:rsid w:val="005076D3"/>
    <w:rsid w:val="00510648"/>
    <w:rsid w:val="00510F57"/>
    <w:rsid w:val="005110FA"/>
    <w:rsid w:val="005124F5"/>
    <w:rsid w:val="00512F12"/>
    <w:rsid w:val="00513691"/>
    <w:rsid w:val="0051430C"/>
    <w:rsid w:val="00514EF0"/>
    <w:rsid w:val="00516263"/>
    <w:rsid w:val="00516375"/>
    <w:rsid w:val="005168D8"/>
    <w:rsid w:val="005173E7"/>
    <w:rsid w:val="00517804"/>
    <w:rsid w:val="00517991"/>
    <w:rsid w:val="00520920"/>
    <w:rsid w:val="0052147B"/>
    <w:rsid w:val="00521FDB"/>
    <w:rsid w:val="00522B3C"/>
    <w:rsid w:val="00522BB1"/>
    <w:rsid w:val="00523070"/>
    <w:rsid w:val="00523710"/>
    <w:rsid w:val="00524257"/>
    <w:rsid w:val="00525190"/>
    <w:rsid w:val="00525300"/>
    <w:rsid w:val="00525A03"/>
    <w:rsid w:val="00526044"/>
    <w:rsid w:val="0052637E"/>
    <w:rsid w:val="005276C5"/>
    <w:rsid w:val="00527DF4"/>
    <w:rsid w:val="00530783"/>
    <w:rsid w:val="00531B1B"/>
    <w:rsid w:val="00531E27"/>
    <w:rsid w:val="00532068"/>
    <w:rsid w:val="00532A02"/>
    <w:rsid w:val="00533406"/>
    <w:rsid w:val="005339D8"/>
    <w:rsid w:val="0053493E"/>
    <w:rsid w:val="00534AC9"/>
    <w:rsid w:val="00534D03"/>
    <w:rsid w:val="00534DEF"/>
    <w:rsid w:val="00535479"/>
    <w:rsid w:val="00535FD8"/>
    <w:rsid w:val="00536E0E"/>
    <w:rsid w:val="0053720A"/>
    <w:rsid w:val="00537790"/>
    <w:rsid w:val="00537C91"/>
    <w:rsid w:val="00540C05"/>
    <w:rsid w:val="00541A62"/>
    <w:rsid w:val="00541CB0"/>
    <w:rsid w:val="0054212E"/>
    <w:rsid w:val="0054397E"/>
    <w:rsid w:val="00543B28"/>
    <w:rsid w:val="00543CF8"/>
    <w:rsid w:val="00544562"/>
    <w:rsid w:val="00544E37"/>
    <w:rsid w:val="005458BF"/>
    <w:rsid w:val="005459E7"/>
    <w:rsid w:val="00545BA5"/>
    <w:rsid w:val="00545F27"/>
    <w:rsid w:val="005461FF"/>
    <w:rsid w:val="0054683A"/>
    <w:rsid w:val="00547360"/>
    <w:rsid w:val="00547E42"/>
    <w:rsid w:val="00550F8D"/>
    <w:rsid w:val="005510B5"/>
    <w:rsid w:val="0055129D"/>
    <w:rsid w:val="00551317"/>
    <w:rsid w:val="0055144A"/>
    <w:rsid w:val="00552105"/>
    <w:rsid w:val="005524C3"/>
    <w:rsid w:val="00552C37"/>
    <w:rsid w:val="005535A3"/>
    <w:rsid w:val="0055477C"/>
    <w:rsid w:val="00554FE0"/>
    <w:rsid w:val="00556171"/>
    <w:rsid w:val="005566FD"/>
    <w:rsid w:val="00557486"/>
    <w:rsid w:val="0055753D"/>
    <w:rsid w:val="00557CFD"/>
    <w:rsid w:val="00560194"/>
    <w:rsid w:val="005604FC"/>
    <w:rsid w:val="005607A9"/>
    <w:rsid w:val="005613F4"/>
    <w:rsid w:val="005624DA"/>
    <w:rsid w:val="00562862"/>
    <w:rsid w:val="00562CB7"/>
    <w:rsid w:val="0056541D"/>
    <w:rsid w:val="005656C4"/>
    <w:rsid w:val="00565773"/>
    <w:rsid w:val="005657D0"/>
    <w:rsid w:val="005657FB"/>
    <w:rsid w:val="0056596F"/>
    <w:rsid w:val="00566041"/>
    <w:rsid w:val="00566A58"/>
    <w:rsid w:val="00566D0B"/>
    <w:rsid w:val="00566DA4"/>
    <w:rsid w:val="00566ECC"/>
    <w:rsid w:val="0056792B"/>
    <w:rsid w:val="0057025F"/>
    <w:rsid w:val="00570647"/>
    <w:rsid w:val="00570759"/>
    <w:rsid w:val="00570A20"/>
    <w:rsid w:val="005710D9"/>
    <w:rsid w:val="0057133A"/>
    <w:rsid w:val="0057157B"/>
    <w:rsid w:val="0057186E"/>
    <w:rsid w:val="005719AE"/>
    <w:rsid w:val="00571A44"/>
    <w:rsid w:val="00571B9F"/>
    <w:rsid w:val="005723EB"/>
    <w:rsid w:val="00573185"/>
    <w:rsid w:val="00573594"/>
    <w:rsid w:val="005741C4"/>
    <w:rsid w:val="00574878"/>
    <w:rsid w:val="00575252"/>
    <w:rsid w:val="0057572C"/>
    <w:rsid w:val="00575A49"/>
    <w:rsid w:val="00575DFA"/>
    <w:rsid w:val="00576C24"/>
    <w:rsid w:val="00576FAC"/>
    <w:rsid w:val="005778CD"/>
    <w:rsid w:val="0058005D"/>
    <w:rsid w:val="0058087B"/>
    <w:rsid w:val="00582887"/>
    <w:rsid w:val="005834B8"/>
    <w:rsid w:val="0058364C"/>
    <w:rsid w:val="00583802"/>
    <w:rsid w:val="005841D3"/>
    <w:rsid w:val="00584720"/>
    <w:rsid w:val="00584E0E"/>
    <w:rsid w:val="00585395"/>
    <w:rsid w:val="0058595F"/>
    <w:rsid w:val="00586653"/>
    <w:rsid w:val="00586B19"/>
    <w:rsid w:val="005876B0"/>
    <w:rsid w:val="00587BC0"/>
    <w:rsid w:val="005903D4"/>
    <w:rsid w:val="00591107"/>
    <w:rsid w:val="00591D49"/>
    <w:rsid w:val="00591EA1"/>
    <w:rsid w:val="00592401"/>
    <w:rsid w:val="005962B8"/>
    <w:rsid w:val="00596DEE"/>
    <w:rsid w:val="00596F46"/>
    <w:rsid w:val="0059759B"/>
    <w:rsid w:val="005975F2"/>
    <w:rsid w:val="005A0397"/>
    <w:rsid w:val="005A1301"/>
    <w:rsid w:val="005A2104"/>
    <w:rsid w:val="005A22D4"/>
    <w:rsid w:val="005A35A0"/>
    <w:rsid w:val="005A4598"/>
    <w:rsid w:val="005A49AC"/>
    <w:rsid w:val="005A51CB"/>
    <w:rsid w:val="005A68AE"/>
    <w:rsid w:val="005A6FDB"/>
    <w:rsid w:val="005A7209"/>
    <w:rsid w:val="005A7819"/>
    <w:rsid w:val="005B098D"/>
    <w:rsid w:val="005B10FD"/>
    <w:rsid w:val="005B19C2"/>
    <w:rsid w:val="005B2211"/>
    <w:rsid w:val="005B2E09"/>
    <w:rsid w:val="005B2F40"/>
    <w:rsid w:val="005B3E07"/>
    <w:rsid w:val="005B3F0D"/>
    <w:rsid w:val="005B45C8"/>
    <w:rsid w:val="005B4C27"/>
    <w:rsid w:val="005B6EEE"/>
    <w:rsid w:val="005C0773"/>
    <w:rsid w:val="005C0E96"/>
    <w:rsid w:val="005C2A50"/>
    <w:rsid w:val="005C2AAA"/>
    <w:rsid w:val="005C2EB1"/>
    <w:rsid w:val="005C2EF2"/>
    <w:rsid w:val="005C4609"/>
    <w:rsid w:val="005C470F"/>
    <w:rsid w:val="005C4F66"/>
    <w:rsid w:val="005C67C8"/>
    <w:rsid w:val="005C797E"/>
    <w:rsid w:val="005D022C"/>
    <w:rsid w:val="005D054F"/>
    <w:rsid w:val="005D13F9"/>
    <w:rsid w:val="005D179B"/>
    <w:rsid w:val="005D28FA"/>
    <w:rsid w:val="005D2954"/>
    <w:rsid w:val="005D361E"/>
    <w:rsid w:val="005D388F"/>
    <w:rsid w:val="005D43F5"/>
    <w:rsid w:val="005D4AC9"/>
    <w:rsid w:val="005D5692"/>
    <w:rsid w:val="005D5C1C"/>
    <w:rsid w:val="005D5E28"/>
    <w:rsid w:val="005D6258"/>
    <w:rsid w:val="005D62E7"/>
    <w:rsid w:val="005D729C"/>
    <w:rsid w:val="005E159E"/>
    <w:rsid w:val="005E1C7D"/>
    <w:rsid w:val="005E20F1"/>
    <w:rsid w:val="005E22A9"/>
    <w:rsid w:val="005E2C2A"/>
    <w:rsid w:val="005E45D6"/>
    <w:rsid w:val="005E555A"/>
    <w:rsid w:val="005E558C"/>
    <w:rsid w:val="005F0093"/>
    <w:rsid w:val="005F01FC"/>
    <w:rsid w:val="005F1C21"/>
    <w:rsid w:val="005F2398"/>
    <w:rsid w:val="005F2E06"/>
    <w:rsid w:val="005F346E"/>
    <w:rsid w:val="005F348C"/>
    <w:rsid w:val="005F37DC"/>
    <w:rsid w:val="005F3AF4"/>
    <w:rsid w:val="005F442C"/>
    <w:rsid w:val="005F4767"/>
    <w:rsid w:val="005F5404"/>
    <w:rsid w:val="005F5803"/>
    <w:rsid w:val="005F5A95"/>
    <w:rsid w:val="005F5C82"/>
    <w:rsid w:val="005F5CC9"/>
    <w:rsid w:val="005F65C1"/>
    <w:rsid w:val="005F66D3"/>
    <w:rsid w:val="005F670D"/>
    <w:rsid w:val="005F6B06"/>
    <w:rsid w:val="005F7442"/>
    <w:rsid w:val="005F79CA"/>
    <w:rsid w:val="00600038"/>
    <w:rsid w:val="006016D6"/>
    <w:rsid w:val="00602554"/>
    <w:rsid w:val="006029CF"/>
    <w:rsid w:val="006030B8"/>
    <w:rsid w:val="00603B77"/>
    <w:rsid w:val="006045B9"/>
    <w:rsid w:val="00604A57"/>
    <w:rsid w:val="0060733B"/>
    <w:rsid w:val="006073BB"/>
    <w:rsid w:val="0060764D"/>
    <w:rsid w:val="00607E80"/>
    <w:rsid w:val="006105F2"/>
    <w:rsid w:val="00610CCC"/>
    <w:rsid w:val="00610E52"/>
    <w:rsid w:val="006111CE"/>
    <w:rsid w:val="00611307"/>
    <w:rsid w:val="00611FC5"/>
    <w:rsid w:val="00612B1F"/>
    <w:rsid w:val="006132C9"/>
    <w:rsid w:val="006138E5"/>
    <w:rsid w:val="00613B48"/>
    <w:rsid w:val="00613B50"/>
    <w:rsid w:val="0061492E"/>
    <w:rsid w:val="006155C7"/>
    <w:rsid w:val="00615942"/>
    <w:rsid w:val="00615EFA"/>
    <w:rsid w:val="0061697B"/>
    <w:rsid w:val="00617778"/>
    <w:rsid w:val="00617F2F"/>
    <w:rsid w:val="006219DE"/>
    <w:rsid w:val="006221E7"/>
    <w:rsid w:val="006222D2"/>
    <w:rsid w:val="0062269F"/>
    <w:rsid w:val="006229A2"/>
    <w:rsid w:val="0062343A"/>
    <w:rsid w:val="00623B57"/>
    <w:rsid w:val="00623C0C"/>
    <w:rsid w:val="00623DF5"/>
    <w:rsid w:val="00624033"/>
    <w:rsid w:val="00624142"/>
    <w:rsid w:val="00624B8D"/>
    <w:rsid w:val="00624E91"/>
    <w:rsid w:val="00625DE4"/>
    <w:rsid w:val="006260EB"/>
    <w:rsid w:val="00626BE8"/>
    <w:rsid w:val="006314A0"/>
    <w:rsid w:val="00632053"/>
    <w:rsid w:val="00632637"/>
    <w:rsid w:val="00633171"/>
    <w:rsid w:val="006346FD"/>
    <w:rsid w:val="00634BA8"/>
    <w:rsid w:val="006368AA"/>
    <w:rsid w:val="00636FD7"/>
    <w:rsid w:val="00637A9C"/>
    <w:rsid w:val="0064049B"/>
    <w:rsid w:val="006411C5"/>
    <w:rsid w:val="006423CC"/>
    <w:rsid w:val="0064252A"/>
    <w:rsid w:val="00642A8F"/>
    <w:rsid w:val="00642E34"/>
    <w:rsid w:val="0064363F"/>
    <w:rsid w:val="00643731"/>
    <w:rsid w:val="00643AC4"/>
    <w:rsid w:val="00643C7F"/>
    <w:rsid w:val="00643E0F"/>
    <w:rsid w:val="00644CDC"/>
    <w:rsid w:val="00644F06"/>
    <w:rsid w:val="00650C95"/>
    <w:rsid w:val="00650FC8"/>
    <w:rsid w:val="00651644"/>
    <w:rsid w:val="0065197C"/>
    <w:rsid w:val="00651E0B"/>
    <w:rsid w:val="0065245C"/>
    <w:rsid w:val="00652D34"/>
    <w:rsid w:val="00653024"/>
    <w:rsid w:val="006540E5"/>
    <w:rsid w:val="00654A9B"/>
    <w:rsid w:val="006552CF"/>
    <w:rsid w:val="00655D4B"/>
    <w:rsid w:val="00655E95"/>
    <w:rsid w:val="00655EBE"/>
    <w:rsid w:val="006564B6"/>
    <w:rsid w:val="006579FC"/>
    <w:rsid w:val="00660551"/>
    <w:rsid w:val="0066093B"/>
    <w:rsid w:val="0066117D"/>
    <w:rsid w:val="006613C5"/>
    <w:rsid w:val="0066310A"/>
    <w:rsid w:val="00663977"/>
    <w:rsid w:val="006642BE"/>
    <w:rsid w:val="006643F9"/>
    <w:rsid w:val="00664AE3"/>
    <w:rsid w:val="00664CDC"/>
    <w:rsid w:val="00664DDF"/>
    <w:rsid w:val="006651FD"/>
    <w:rsid w:val="00665275"/>
    <w:rsid w:val="00666372"/>
    <w:rsid w:val="00666537"/>
    <w:rsid w:val="006665C7"/>
    <w:rsid w:val="00666C1F"/>
    <w:rsid w:val="006677E1"/>
    <w:rsid w:val="006705B1"/>
    <w:rsid w:val="00670747"/>
    <w:rsid w:val="006709FA"/>
    <w:rsid w:val="00671777"/>
    <w:rsid w:val="00671BF0"/>
    <w:rsid w:val="00672144"/>
    <w:rsid w:val="00672544"/>
    <w:rsid w:val="006729BA"/>
    <w:rsid w:val="006737FF"/>
    <w:rsid w:val="00673927"/>
    <w:rsid w:val="0067520D"/>
    <w:rsid w:val="00675803"/>
    <w:rsid w:val="00675A29"/>
    <w:rsid w:val="00676137"/>
    <w:rsid w:val="006762F4"/>
    <w:rsid w:val="0067794C"/>
    <w:rsid w:val="0068072B"/>
    <w:rsid w:val="00680F6C"/>
    <w:rsid w:val="00680FB0"/>
    <w:rsid w:val="00681871"/>
    <w:rsid w:val="0068220A"/>
    <w:rsid w:val="00682314"/>
    <w:rsid w:val="00682B62"/>
    <w:rsid w:val="00682BF1"/>
    <w:rsid w:val="00682FDF"/>
    <w:rsid w:val="00683B15"/>
    <w:rsid w:val="00683C91"/>
    <w:rsid w:val="00683CE3"/>
    <w:rsid w:val="006844E8"/>
    <w:rsid w:val="006844FF"/>
    <w:rsid w:val="006846F5"/>
    <w:rsid w:val="00684A6E"/>
    <w:rsid w:val="00684D18"/>
    <w:rsid w:val="00685789"/>
    <w:rsid w:val="00685F3B"/>
    <w:rsid w:val="006865A1"/>
    <w:rsid w:val="00687D1C"/>
    <w:rsid w:val="00691CF0"/>
    <w:rsid w:val="00691CF2"/>
    <w:rsid w:val="00691FA5"/>
    <w:rsid w:val="006942F8"/>
    <w:rsid w:val="006949B9"/>
    <w:rsid w:val="00694CF6"/>
    <w:rsid w:val="00694F24"/>
    <w:rsid w:val="00696759"/>
    <w:rsid w:val="00697934"/>
    <w:rsid w:val="00697B3E"/>
    <w:rsid w:val="00697E14"/>
    <w:rsid w:val="006A06D0"/>
    <w:rsid w:val="006A13DF"/>
    <w:rsid w:val="006A153F"/>
    <w:rsid w:val="006A1625"/>
    <w:rsid w:val="006A1761"/>
    <w:rsid w:val="006A2126"/>
    <w:rsid w:val="006A286A"/>
    <w:rsid w:val="006A3076"/>
    <w:rsid w:val="006A3A8B"/>
    <w:rsid w:val="006A44F5"/>
    <w:rsid w:val="006A4715"/>
    <w:rsid w:val="006A4CF2"/>
    <w:rsid w:val="006A545E"/>
    <w:rsid w:val="006A5979"/>
    <w:rsid w:val="006A65A4"/>
    <w:rsid w:val="006B0814"/>
    <w:rsid w:val="006B1103"/>
    <w:rsid w:val="006B1124"/>
    <w:rsid w:val="006B13C2"/>
    <w:rsid w:val="006B255B"/>
    <w:rsid w:val="006B2655"/>
    <w:rsid w:val="006B2C2C"/>
    <w:rsid w:val="006B2FFC"/>
    <w:rsid w:val="006B3050"/>
    <w:rsid w:val="006B399A"/>
    <w:rsid w:val="006B4463"/>
    <w:rsid w:val="006B4836"/>
    <w:rsid w:val="006B4E13"/>
    <w:rsid w:val="006B542E"/>
    <w:rsid w:val="006B543A"/>
    <w:rsid w:val="006B5EA1"/>
    <w:rsid w:val="006B5F38"/>
    <w:rsid w:val="006B6E2B"/>
    <w:rsid w:val="006B74E5"/>
    <w:rsid w:val="006C0890"/>
    <w:rsid w:val="006C1230"/>
    <w:rsid w:val="006C1EA3"/>
    <w:rsid w:val="006C1EBA"/>
    <w:rsid w:val="006C208A"/>
    <w:rsid w:val="006C28E5"/>
    <w:rsid w:val="006C3283"/>
    <w:rsid w:val="006C32A5"/>
    <w:rsid w:val="006C3FB2"/>
    <w:rsid w:val="006C4532"/>
    <w:rsid w:val="006C4779"/>
    <w:rsid w:val="006C48BA"/>
    <w:rsid w:val="006C495D"/>
    <w:rsid w:val="006C4F3E"/>
    <w:rsid w:val="006C555C"/>
    <w:rsid w:val="006C6575"/>
    <w:rsid w:val="006C7BC3"/>
    <w:rsid w:val="006D0136"/>
    <w:rsid w:val="006D025B"/>
    <w:rsid w:val="006D1720"/>
    <w:rsid w:val="006D2801"/>
    <w:rsid w:val="006D2C9F"/>
    <w:rsid w:val="006D3399"/>
    <w:rsid w:val="006D3578"/>
    <w:rsid w:val="006D3AD3"/>
    <w:rsid w:val="006D3CA4"/>
    <w:rsid w:val="006D4745"/>
    <w:rsid w:val="006D4DC9"/>
    <w:rsid w:val="006D4FA7"/>
    <w:rsid w:val="006D4FD8"/>
    <w:rsid w:val="006D535C"/>
    <w:rsid w:val="006D5AFC"/>
    <w:rsid w:val="006D6CF8"/>
    <w:rsid w:val="006D717D"/>
    <w:rsid w:val="006D7897"/>
    <w:rsid w:val="006E0BCB"/>
    <w:rsid w:val="006E0C20"/>
    <w:rsid w:val="006E0E68"/>
    <w:rsid w:val="006E18E7"/>
    <w:rsid w:val="006E241E"/>
    <w:rsid w:val="006E3A61"/>
    <w:rsid w:val="006E3C63"/>
    <w:rsid w:val="006E3D09"/>
    <w:rsid w:val="006E40C6"/>
    <w:rsid w:val="006E4FA2"/>
    <w:rsid w:val="006E5B97"/>
    <w:rsid w:val="006E5CA3"/>
    <w:rsid w:val="006E6132"/>
    <w:rsid w:val="006E6A0A"/>
    <w:rsid w:val="006E7253"/>
    <w:rsid w:val="006F00B3"/>
    <w:rsid w:val="006F0118"/>
    <w:rsid w:val="006F0308"/>
    <w:rsid w:val="006F0EC1"/>
    <w:rsid w:val="006F1E53"/>
    <w:rsid w:val="006F2431"/>
    <w:rsid w:val="006F2492"/>
    <w:rsid w:val="006F2561"/>
    <w:rsid w:val="006F294F"/>
    <w:rsid w:val="006F29F1"/>
    <w:rsid w:val="006F3735"/>
    <w:rsid w:val="006F4276"/>
    <w:rsid w:val="006F4455"/>
    <w:rsid w:val="006F4512"/>
    <w:rsid w:val="006F4728"/>
    <w:rsid w:val="006F5001"/>
    <w:rsid w:val="006F5948"/>
    <w:rsid w:val="006F5D6B"/>
    <w:rsid w:val="006F694E"/>
    <w:rsid w:val="006F7046"/>
    <w:rsid w:val="006F72CF"/>
    <w:rsid w:val="006F77BB"/>
    <w:rsid w:val="006F79BC"/>
    <w:rsid w:val="007000E6"/>
    <w:rsid w:val="00701204"/>
    <w:rsid w:val="007015BA"/>
    <w:rsid w:val="00701C64"/>
    <w:rsid w:val="00702369"/>
    <w:rsid w:val="007023FB"/>
    <w:rsid w:val="00702D86"/>
    <w:rsid w:val="007046B0"/>
    <w:rsid w:val="0070472B"/>
    <w:rsid w:val="00705048"/>
    <w:rsid w:val="0070596A"/>
    <w:rsid w:val="007073A6"/>
    <w:rsid w:val="0070744E"/>
    <w:rsid w:val="007079B4"/>
    <w:rsid w:val="00707AE2"/>
    <w:rsid w:val="00710878"/>
    <w:rsid w:val="00711B22"/>
    <w:rsid w:val="00713AF0"/>
    <w:rsid w:val="007145C4"/>
    <w:rsid w:val="00715472"/>
    <w:rsid w:val="00715E94"/>
    <w:rsid w:val="00716999"/>
    <w:rsid w:val="00716E0A"/>
    <w:rsid w:val="00717770"/>
    <w:rsid w:val="007177A6"/>
    <w:rsid w:val="007202EC"/>
    <w:rsid w:val="0072052B"/>
    <w:rsid w:val="0072058C"/>
    <w:rsid w:val="00720EAE"/>
    <w:rsid w:val="007220E7"/>
    <w:rsid w:val="00722FC9"/>
    <w:rsid w:val="007235AC"/>
    <w:rsid w:val="00723CEA"/>
    <w:rsid w:val="0072458B"/>
    <w:rsid w:val="00724BA4"/>
    <w:rsid w:val="00725107"/>
    <w:rsid w:val="00725635"/>
    <w:rsid w:val="007258B3"/>
    <w:rsid w:val="00727D76"/>
    <w:rsid w:val="007302A1"/>
    <w:rsid w:val="00730E0D"/>
    <w:rsid w:val="00730FEA"/>
    <w:rsid w:val="007310B2"/>
    <w:rsid w:val="0073112A"/>
    <w:rsid w:val="00732899"/>
    <w:rsid w:val="00732B8B"/>
    <w:rsid w:val="00733294"/>
    <w:rsid w:val="007345BC"/>
    <w:rsid w:val="00736E05"/>
    <w:rsid w:val="007402BF"/>
    <w:rsid w:val="00741BAC"/>
    <w:rsid w:val="00742CE3"/>
    <w:rsid w:val="00743CC1"/>
    <w:rsid w:val="00744013"/>
    <w:rsid w:val="007440A0"/>
    <w:rsid w:val="00744282"/>
    <w:rsid w:val="007448DD"/>
    <w:rsid w:val="00744FD4"/>
    <w:rsid w:val="00745A14"/>
    <w:rsid w:val="0074613C"/>
    <w:rsid w:val="00747C79"/>
    <w:rsid w:val="00750481"/>
    <w:rsid w:val="00751302"/>
    <w:rsid w:val="00752B3A"/>
    <w:rsid w:val="00753391"/>
    <w:rsid w:val="00753878"/>
    <w:rsid w:val="00753B6D"/>
    <w:rsid w:val="0075416E"/>
    <w:rsid w:val="007555E8"/>
    <w:rsid w:val="0075608B"/>
    <w:rsid w:val="007561C4"/>
    <w:rsid w:val="00760782"/>
    <w:rsid w:val="00760AAE"/>
    <w:rsid w:val="00760C8F"/>
    <w:rsid w:val="00761220"/>
    <w:rsid w:val="0076404E"/>
    <w:rsid w:val="00764567"/>
    <w:rsid w:val="0076497B"/>
    <w:rsid w:val="007649A7"/>
    <w:rsid w:val="00764FA1"/>
    <w:rsid w:val="00765A34"/>
    <w:rsid w:val="007665D9"/>
    <w:rsid w:val="00766ED4"/>
    <w:rsid w:val="007701B1"/>
    <w:rsid w:val="0077111C"/>
    <w:rsid w:val="00771882"/>
    <w:rsid w:val="0077322E"/>
    <w:rsid w:val="007735C4"/>
    <w:rsid w:val="00773C88"/>
    <w:rsid w:val="00773FEB"/>
    <w:rsid w:val="0077556B"/>
    <w:rsid w:val="00775DC8"/>
    <w:rsid w:val="00776777"/>
    <w:rsid w:val="007776AD"/>
    <w:rsid w:val="00780E33"/>
    <w:rsid w:val="007815D4"/>
    <w:rsid w:val="007818FF"/>
    <w:rsid w:val="00781B5B"/>
    <w:rsid w:val="00782001"/>
    <w:rsid w:val="00782AD5"/>
    <w:rsid w:val="007832EF"/>
    <w:rsid w:val="00783CD4"/>
    <w:rsid w:val="00784014"/>
    <w:rsid w:val="00784489"/>
    <w:rsid w:val="00784670"/>
    <w:rsid w:val="007847CD"/>
    <w:rsid w:val="00785208"/>
    <w:rsid w:val="007861C6"/>
    <w:rsid w:val="007866BD"/>
    <w:rsid w:val="00786D2A"/>
    <w:rsid w:val="0078722A"/>
    <w:rsid w:val="00787255"/>
    <w:rsid w:val="0078764E"/>
    <w:rsid w:val="00790B78"/>
    <w:rsid w:val="00790C82"/>
    <w:rsid w:val="00791042"/>
    <w:rsid w:val="007915B6"/>
    <w:rsid w:val="00791E6B"/>
    <w:rsid w:val="00791F5F"/>
    <w:rsid w:val="0079230D"/>
    <w:rsid w:val="00792B60"/>
    <w:rsid w:val="00794205"/>
    <w:rsid w:val="00794EFF"/>
    <w:rsid w:val="007950BD"/>
    <w:rsid w:val="00795333"/>
    <w:rsid w:val="00796D4E"/>
    <w:rsid w:val="00797396"/>
    <w:rsid w:val="007977B8"/>
    <w:rsid w:val="00797958"/>
    <w:rsid w:val="007A0877"/>
    <w:rsid w:val="007A0CD6"/>
    <w:rsid w:val="007A1256"/>
    <w:rsid w:val="007A1495"/>
    <w:rsid w:val="007A17B1"/>
    <w:rsid w:val="007A1E31"/>
    <w:rsid w:val="007A2099"/>
    <w:rsid w:val="007A2D15"/>
    <w:rsid w:val="007A2F01"/>
    <w:rsid w:val="007A2F4F"/>
    <w:rsid w:val="007A3B2B"/>
    <w:rsid w:val="007A425E"/>
    <w:rsid w:val="007A4A4F"/>
    <w:rsid w:val="007A68F7"/>
    <w:rsid w:val="007A6A72"/>
    <w:rsid w:val="007A708A"/>
    <w:rsid w:val="007B0597"/>
    <w:rsid w:val="007B0DF5"/>
    <w:rsid w:val="007B2396"/>
    <w:rsid w:val="007B2E7A"/>
    <w:rsid w:val="007B3934"/>
    <w:rsid w:val="007B566E"/>
    <w:rsid w:val="007B5725"/>
    <w:rsid w:val="007B58BD"/>
    <w:rsid w:val="007B5DA8"/>
    <w:rsid w:val="007B7281"/>
    <w:rsid w:val="007B7769"/>
    <w:rsid w:val="007B7981"/>
    <w:rsid w:val="007B7A75"/>
    <w:rsid w:val="007B7A88"/>
    <w:rsid w:val="007B7BD4"/>
    <w:rsid w:val="007C08C6"/>
    <w:rsid w:val="007C12CB"/>
    <w:rsid w:val="007C2F50"/>
    <w:rsid w:val="007C30C4"/>
    <w:rsid w:val="007C32BF"/>
    <w:rsid w:val="007C352B"/>
    <w:rsid w:val="007C540F"/>
    <w:rsid w:val="007C5804"/>
    <w:rsid w:val="007C5B60"/>
    <w:rsid w:val="007C677F"/>
    <w:rsid w:val="007C73AA"/>
    <w:rsid w:val="007C7FC0"/>
    <w:rsid w:val="007D09E0"/>
    <w:rsid w:val="007D0D45"/>
    <w:rsid w:val="007D0E43"/>
    <w:rsid w:val="007D175D"/>
    <w:rsid w:val="007D1CD9"/>
    <w:rsid w:val="007D2D6C"/>
    <w:rsid w:val="007D2E4F"/>
    <w:rsid w:val="007D3094"/>
    <w:rsid w:val="007D34A4"/>
    <w:rsid w:val="007D3BDD"/>
    <w:rsid w:val="007D3F6F"/>
    <w:rsid w:val="007D67A0"/>
    <w:rsid w:val="007D6E3D"/>
    <w:rsid w:val="007D73A5"/>
    <w:rsid w:val="007E0078"/>
    <w:rsid w:val="007E0554"/>
    <w:rsid w:val="007E0DA5"/>
    <w:rsid w:val="007E30CA"/>
    <w:rsid w:val="007E3791"/>
    <w:rsid w:val="007E3A33"/>
    <w:rsid w:val="007E4F71"/>
    <w:rsid w:val="007E4FE7"/>
    <w:rsid w:val="007E6831"/>
    <w:rsid w:val="007E74FE"/>
    <w:rsid w:val="007E7521"/>
    <w:rsid w:val="007E7821"/>
    <w:rsid w:val="007E7AD8"/>
    <w:rsid w:val="007E7B42"/>
    <w:rsid w:val="007F1F18"/>
    <w:rsid w:val="007F20A5"/>
    <w:rsid w:val="007F2616"/>
    <w:rsid w:val="007F3659"/>
    <w:rsid w:val="007F3BC9"/>
    <w:rsid w:val="007F42F3"/>
    <w:rsid w:val="007F4970"/>
    <w:rsid w:val="007F7627"/>
    <w:rsid w:val="007F794A"/>
    <w:rsid w:val="007F7F20"/>
    <w:rsid w:val="00800176"/>
    <w:rsid w:val="0080065B"/>
    <w:rsid w:val="00801CE1"/>
    <w:rsid w:val="00801CF5"/>
    <w:rsid w:val="00802233"/>
    <w:rsid w:val="00802499"/>
    <w:rsid w:val="008027F6"/>
    <w:rsid w:val="008029E4"/>
    <w:rsid w:val="00802D21"/>
    <w:rsid w:val="00803A06"/>
    <w:rsid w:val="00803E11"/>
    <w:rsid w:val="0080484F"/>
    <w:rsid w:val="00805B89"/>
    <w:rsid w:val="00805F37"/>
    <w:rsid w:val="00806BC7"/>
    <w:rsid w:val="00807126"/>
    <w:rsid w:val="0080769A"/>
    <w:rsid w:val="00807879"/>
    <w:rsid w:val="00807A1C"/>
    <w:rsid w:val="0081066C"/>
    <w:rsid w:val="0081093C"/>
    <w:rsid w:val="00810D41"/>
    <w:rsid w:val="00810F07"/>
    <w:rsid w:val="008117AB"/>
    <w:rsid w:val="008118FB"/>
    <w:rsid w:val="00812522"/>
    <w:rsid w:val="00812A04"/>
    <w:rsid w:val="00812B28"/>
    <w:rsid w:val="008130D3"/>
    <w:rsid w:val="008134A3"/>
    <w:rsid w:val="00815618"/>
    <w:rsid w:val="00815A84"/>
    <w:rsid w:val="00815CF5"/>
    <w:rsid w:val="00815FD2"/>
    <w:rsid w:val="00816522"/>
    <w:rsid w:val="00816A4B"/>
    <w:rsid w:val="0081738C"/>
    <w:rsid w:val="0081762D"/>
    <w:rsid w:val="00817699"/>
    <w:rsid w:val="00817E05"/>
    <w:rsid w:val="00817FD9"/>
    <w:rsid w:val="008203EE"/>
    <w:rsid w:val="008212BD"/>
    <w:rsid w:val="00821533"/>
    <w:rsid w:val="00821C9A"/>
    <w:rsid w:val="00821CD8"/>
    <w:rsid w:val="0082231B"/>
    <w:rsid w:val="00822838"/>
    <w:rsid w:val="00823375"/>
    <w:rsid w:val="008244B9"/>
    <w:rsid w:val="0082509D"/>
    <w:rsid w:val="0082524E"/>
    <w:rsid w:val="008255C3"/>
    <w:rsid w:val="00825CBE"/>
    <w:rsid w:val="00825D2D"/>
    <w:rsid w:val="00825D85"/>
    <w:rsid w:val="008272CB"/>
    <w:rsid w:val="00827EFA"/>
    <w:rsid w:val="00831C63"/>
    <w:rsid w:val="008323BA"/>
    <w:rsid w:val="00832EFA"/>
    <w:rsid w:val="00833549"/>
    <w:rsid w:val="00833C16"/>
    <w:rsid w:val="008344FE"/>
    <w:rsid w:val="00835A1A"/>
    <w:rsid w:val="00835DCB"/>
    <w:rsid w:val="00835E17"/>
    <w:rsid w:val="008360B4"/>
    <w:rsid w:val="00836399"/>
    <w:rsid w:val="0083640A"/>
    <w:rsid w:val="0083655E"/>
    <w:rsid w:val="00836656"/>
    <w:rsid w:val="00837E9E"/>
    <w:rsid w:val="00840695"/>
    <w:rsid w:val="00840810"/>
    <w:rsid w:val="0084095F"/>
    <w:rsid w:val="00840BF1"/>
    <w:rsid w:val="00842128"/>
    <w:rsid w:val="008421A4"/>
    <w:rsid w:val="00842807"/>
    <w:rsid w:val="00842984"/>
    <w:rsid w:val="00842E9C"/>
    <w:rsid w:val="00843B2E"/>
    <w:rsid w:val="0084410F"/>
    <w:rsid w:val="0084416B"/>
    <w:rsid w:val="00844279"/>
    <w:rsid w:val="0084437A"/>
    <w:rsid w:val="0084488F"/>
    <w:rsid w:val="00844F8F"/>
    <w:rsid w:val="00845B56"/>
    <w:rsid w:val="00845CC7"/>
    <w:rsid w:val="0084665C"/>
    <w:rsid w:val="00846D13"/>
    <w:rsid w:val="00847B90"/>
    <w:rsid w:val="0085003E"/>
    <w:rsid w:val="00850C1C"/>
    <w:rsid w:val="00852709"/>
    <w:rsid w:val="008531C8"/>
    <w:rsid w:val="008543BD"/>
    <w:rsid w:val="00854BBD"/>
    <w:rsid w:val="00854E12"/>
    <w:rsid w:val="0085658F"/>
    <w:rsid w:val="00856F7C"/>
    <w:rsid w:val="00857DFF"/>
    <w:rsid w:val="0086018B"/>
    <w:rsid w:val="00860E60"/>
    <w:rsid w:val="008612B6"/>
    <w:rsid w:val="00861523"/>
    <w:rsid w:val="00861960"/>
    <w:rsid w:val="00861BE8"/>
    <w:rsid w:val="00862415"/>
    <w:rsid w:val="008625A1"/>
    <w:rsid w:val="008626D6"/>
    <w:rsid w:val="008627CA"/>
    <w:rsid w:val="00862C46"/>
    <w:rsid w:val="008631B0"/>
    <w:rsid w:val="0086367A"/>
    <w:rsid w:val="00863772"/>
    <w:rsid w:val="0086490C"/>
    <w:rsid w:val="0086500C"/>
    <w:rsid w:val="00865098"/>
    <w:rsid w:val="0086544E"/>
    <w:rsid w:val="00865CA8"/>
    <w:rsid w:val="00866D30"/>
    <w:rsid w:val="00866D35"/>
    <w:rsid w:val="00867514"/>
    <w:rsid w:val="00867CBB"/>
    <w:rsid w:val="00867D31"/>
    <w:rsid w:val="00871107"/>
    <w:rsid w:val="008712EB"/>
    <w:rsid w:val="00871B6E"/>
    <w:rsid w:val="00871D1F"/>
    <w:rsid w:val="0087231A"/>
    <w:rsid w:val="0087253E"/>
    <w:rsid w:val="0087256B"/>
    <w:rsid w:val="00872C41"/>
    <w:rsid w:val="00872E3E"/>
    <w:rsid w:val="00872FE0"/>
    <w:rsid w:val="00873699"/>
    <w:rsid w:val="0087385B"/>
    <w:rsid w:val="00873DF5"/>
    <w:rsid w:val="00873F73"/>
    <w:rsid w:val="00873FAA"/>
    <w:rsid w:val="008752AB"/>
    <w:rsid w:val="00875472"/>
    <w:rsid w:val="008754DD"/>
    <w:rsid w:val="008761F6"/>
    <w:rsid w:val="0087678A"/>
    <w:rsid w:val="00876EA4"/>
    <w:rsid w:val="00880208"/>
    <w:rsid w:val="00880866"/>
    <w:rsid w:val="00880A18"/>
    <w:rsid w:val="00881022"/>
    <w:rsid w:val="00881367"/>
    <w:rsid w:val="008819BF"/>
    <w:rsid w:val="00881DD2"/>
    <w:rsid w:val="00881E49"/>
    <w:rsid w:val="00883051"/>
    <w:rsid w:val="00883EFA"/>
    <w:rsid w:val="00883F43"/>
    <w:rsid w:val="0088530F"/>
    <w:rsid w:val="00885C3B"/>
    <w:rsid w:val="008860ED"/>
    <w:rsid w:val="00886A72"/>
    <w:rsid w:val="00886CBE"/>
    <w:rsid w:val="00887B3D"/>
    <w:rsid w:val="00890D1A"/>
    <w:rsid w:val="00891786"/>
    <w:rsid w:val="00892718"/>
    <w:rsid w:val="00892D4F"/>
    <w:rsid w:val="00893634"/>
    <w:rsid w:val="00893782"/>
    <w:rsid w:val="00893AFF"/>
    <w:rsid w:val="00896BE6"/>
    <w:rsid w:val="00897032"/>
    <w:rsid w:val="008974B9"/>
    <w:rsid w:val="00897681"/>
    <w:rsid w:val="00897D4D"/>
    <w:rsid w:val="008A01B4"/>
    <w:rsid w:val="008A04B7"/>
    <w:rsid w:val="008A1082"/>
    <w:rsid w:val="008A30E4"/>
    <w:rsid w:val="008A499D"/>
    <w:rsid w:val="008A4F2A"/>
    <w:rsid w:val="008A527A"/>
    <w:rsid w:val="008A5470"/>
    <w:rsid w:val="008A5532"/>
    <w:rsid w:val="008A5937"/>
    <w:rsid w:val="008A6867"/>
    <w:rsid w:val="008A7B61"/>
    <w:rsid w:val="008A7FDB"/>
    <w:rsid w:val="008B0655"/>
    <w:rsid w:val="008B0C78"/>
    <w:rsid w:val="008B115A"/>
    <w:rsid w:val="008B2609"/>
    <w:rsid w:val="008B2642"/>
    <w:rsid w:val="008B26EB"/>
    <w:rsid w:val="008B2C99"/>
    <w:rsid w:val="008B2E2B"/>
    <w:rsid w:val="008B39BC"/>
    <w:rsid w:val="008B3FCE"/>
    <w:rsid w:val="008B4CE1"/>
    <w:rsid w:val="008B64AE"/>
    <w:rsid w:val="008B6867"/>
    <w:rsid w:val="008B724D"/>
    <w:rsid w:val="008C1628"/>
    <w:rsid w:val="008C183E"/>
    <w:rsid w:val="008C20F1"/>
    <w:rsid w:val="008C2646"/>
    <w:rsid w:val="008C29CD"/>
    <w:rsid w:val="008C2ABF"/>
    <w:rsid w:val="008C2AD6"/>
    <w:rsid w:val="008C4195"/>
    <w:rsid w:val="008C4DDC"/>
    <w:rsid w:val="008C4F84"/>
    <w:rsid w:val="008C5AE6"/>
    <w:rsid w:val="008C631F"/>
    <w:rsid w:val="008C6AA7"/>
    <w:rsid w:val="008D009B"/>
    <w:rsid w:val="008D0C6D"/>
    <w:rsid w:val="008D111E"/>
    <w:rsid w:val="008D11B7"/>
    <w:rsid w:val="008D14C5"/>
    <w:rsid w:val="008D1629"/>
    <w:rsid w:val="008D38A7"/>
    <w:rsid w:val="008D3F2D"/>
    <w:rsid w:val="008D49E2"/>
    <w:rsid w:val="008D53A0"/>
    <w:rsid w:val="008D5795"/>
    <w:rsid w:val="008D6691"/>
    <w:rsid w:val="008D6942"/>
    <w:rsid w:val="008E06A9"/>
    <w:rsid w:val="008E0A83"/>
    <w:rsid w:val="008E1F5D"/>
    <w:rsid w:val="008E25B6"/>
    <w:rsid w:val="008E32B2"/>
    <w:rsid w:val="008E3309"/>
    <w:rsid w:val="008E3CDB"/>
    <w:rsid w:val="008E405A"/>
    <w:rsid w:val="008E40CF"/>
    <w:rsid w:val="008E4C27"/>
    <w:rsid w:val="008E5D52"/>
    <w:rsid w:val="008E708E"/>
    <w:rsid w:val="008E7855"/>
    <w:rsid w:val="008E7918"/>
    <w:rsid w:val="008E7D51"/>
    <w:rsid w:val="008E7E02"/>
    <w:rsid w:val="008F178D"/>
    <w:rsid w:val="008F2070"/>
    <w:rsid w:val="008F224A"/>
    <w:rsid w:val="008F2356"/>
    <w:rsid w:val="008F295F"/>
    <w:rsid w:val="008F2BE7"/>
    <w:rsid w:val="008F43AE"/>
    <w:rsid w:val="008F442D"/>
    <w:rsid w:val="008F4E31"/>
    <w:rsid w:val="008F6576"/>
    <w:rsid w:val="008F7B98"/>
    <w:rsid w:val="00900443"/>
    <w:rsid w:val="00901126"/>
    <w:rsid w:val="00902A34"/>
    <w:rsid w:val="00902CC5"/>
    <w:rsid w:val="009044ED"/>
    <w:rsid w:val="00904C74"/>
    <w:rsid w:val="00904CA9"/>
    <w:rsid w:val="00905E37"/>
    <w:rsid w:val="0090639B"/>
    <w:rsid w:val="0090664B"/>
    <w:rsid w:val="0090684A"/>
    <w:rsid w:val="00906E6C"/>
    <w:rsid w:val="00910834"/>
    <w:rsid w:val="00911826"/>
    <w:rsid w:val="00911B5E"/>
    <w:rsid w:val="00911FE2"/>
    <w:rsid w:val="00913044"/>
    <w:rsid w:val="0091337E"/>
    <w:rsid w:val="00913661"/>
    <w:rsid w:val="0091451F"/>
    <w:rsid w:val="00914686"/>
    <w:rsid w:val="00914DF6"/>
    <w:rsid w:val="00915452"/>
    <w:rsid w:val="00915752"/>
    <w:rsid w:val="00915CA7"/>
    <w:rsid w:val="00917452"/>
    <w:rsid w:val="00917C97"/>
    <w:rsid w:val="00917D63"/>
    <w:rsid w:val="00917FD8"/>
    <w:rsid w:val="0092094A"/>
    <w:rsid w:val="00920F11"/>
    <w:rsid w:val="0092232F"/>
    <w:rsid w:val="0092287D"/>
    <w:rsid w:val="00923C21"/>
    <w:rsid w:val="00923FC4"/>
    <w:rsid w:val="009241A8"/>
    <w:rsid w:val="0092476E"/>
    <w:rsid w:val="00924908"/>
    <w:rsid w:val="00924AF2"/>
    <w:rsid w:val="00924BF9"/>
    <w:rsid w:val="0092533E"/>
    <w:rsid w:val="0092576A"/>
    <w:rsid w:val="009275FB"/>
    <w:rsid w:val="00931234"/>
    <w:rsid w:val="009316AB"/>
    <w:rsid w:val="00931A8E"/>
    <w:rsid w:val="009320B5"/>
    <w:rsid w:val="00932393"/>
    <w:rsid w:val="009328BE"/>
    <w:rsid w:val="00932AF7"/>
    <w:rsid w:val="00933B63"/>
    <w:rsid w:val="00933CA9"/>
    <w:rsid w:val="00934276"/>
    <w:rsid w:val="00934853"/>
    <w:rsid w:val="00934984"/>
    <w:rsid w:val="00935454"/>
    <w:rsid w:val="00935567"/>
    <w:rsid w:val="009355E0"/>
    <w:rsid w:val="009355FF"/>
    <w:rsid w:val="00940A62"/>
    <w:rsid w:val="0094240E"/>
    <w:rsid w:val="00942DC5"/>
    <w:rsid w:val="009431CE"/>
    <w:rsid w:val="009434EA"/>
    <w:rsid w:val="00944259"/>
    <w:rsid w:val="0094512C"/>
    <w:rsid w:val="00945B40"/>
    <w:rsid w:val="00946DF0"/>
    <w:rsid w:val="00946E33"/>
    <w:rsid w:val="00946F89"/>
    <w:rsid w:val="0094774C"/>
    <w:rsid w:val="009478F7"/>
    <w:rsid w:val="009479DA"/>
    <w:rsid w:val="00947DF1"/>
    <w:rsid w:val="00947F73"/>
    <w:rsid w:val="00950F80"/>
    <w:rsid w:val="00951561"/>
    <w:rsid w:val="009516FD"/>
    <w:rsid w:val="00951FEA"/>
    <w:rsid w:val="0095238F"/>
    <w:rsid w:val="009524AE"/>
    <w:rsid w:val="00952940"/>
    <w:rsid w:val="00952FAF"/>
    <w:rsid w:val="009538F5"/>
    <w:rsid w:val="009555ED"/>
    <w:rsid w:val="009558CB"/>
    <w:rsid w:val="0095598C"/>
    <w:rsid w:val="00955A66"/>
    <w:rsid w:val="00955AAC"/>
    <w:rsid w:val="00955BC5"/>
    <w:rsid w:val="00955ED4"/>
    <w:rsid w:val="00956255"/>
    <w:rsid w:val="00956B00"/>
    <w:rsid w:val="00956C13"/>
    <w:rsid w:val="0095724F"/>
    <w:rsid w:val="00957422"/>
    <w:rsid w:val="009575E4"/>
    <w:rsid w:val="009600F9"/>
    <w:rsid w:val="009606DA"/>
    <w:rsid w:val="00961523"/>
    <w:rsid w:val="00961860"/>
    <w:rsid w:val="009624AF"/>
    <w:rsid w:val="009625EF"/>
    <w:rsid w:val="0096294F"/>
    <w:rsid w:val="00964A0F"/>
    <w:rsid w:val="00964BFD"/>
    <w:rsid w:val="00964DF2"/>
    <w:rsid w:val="009657FF"/>
    <w:rsid w:val="00965A74"/>
    <w:rsid w:val="009666CA"/>
    <w:rsid w:val="00967421"/>
    <w:rsid w:val="00967448"/>
    <w:rsid w:val="00967826"/>
    <w:rsid w:val="00967992"/>
    <w:rsid w:val="00970B58"/>
    <w:rsid w:val="00970CB0"/>
    <w:rsid w:val="00970E84"/>
    <w:rsid w:val="009715CE"/>
    <w:rsid w:val="009715D5"/>
    <w:rsid w:val="009718AE"/>
    <w:rsid w:val="009719A0"/>
    <w:rsid w:val="0097235E"/>
    <w:rsid w:val="00972576"/>
    <w:rsid w:val="0097282E"/>
    <w:rsid w:val="00972DC3"/>
    <w:rsid w:val="00973DB2"/>
    <w:rsid w:val="00973E7F"/>
    <w:rsid w:val="009741B1"/>
    <w:rsid w:val="009746B4"/>
    <w:rsid w:val="00976BD0"/>
    <w:rsid w:val="00976F33"/>
    <w:rsid w:val="00976FA8"/>
    <w:rsid w:val="00977A38"/>
    <w:rsid w:val="00977B01"/>
    <w:rsid w:val="00977E37"/>
    <w:rsid w:val="00980493"/>
    <w:rsid w:val="009809AF"/>
    <w:rsid w:val="00980B1E"/>
    <w:rsid w:val="00980ED9"/>
    <w:rsid w:val="00981ED6"/>
    <w:rsid w:val="009823E1"/>
    <w:rsid w:val="00982FEF"/>
    <w:rsid w:val="009836BD"/>
    <w:rsid w:val="0098376F"/>
    <w:rsid w:val="00983F42"/>
    <w:rsid w:val="00983F8A"/>
    <w:rsid w:val="00984025"/>
    <w:rsid w:val="00985C5C"/>
    <w:rsid w:val="00986057"/>
    <w:rsid w:val="009860EB"/>
    <w:rsid w:val="009867A8"/>
    <w:rsid w:val="00986AA4"/>
    <w:rsid w:val="009877A4"/>
    <w:rsid w:val="00987815"/>
    <w:rsid w:val="009906E2"/>
    <w:rsid w:val="00992277"/>
    <w:rsid w:val="009922AE"/>
    <w:rsid w:val="00992D97"/>
    <w:rsid w:val="0099369C"/>
    <w:rsid w:val="009948D4"/>
    <w:rsid w:val="0099648B"/>
    <w:rsid w:val="00997F71"/>
    <w:rsid w:val="009A1A22"/>
    <w:rsid w:val="009A1BE0"/>
    <w:rsid w:val="009A1D50"/>
    <w:rsid w:val="009A22E6"/>
    <w:rsid w:val="009A235C"/>
    <w:rsid w:val="009A28C4"/>
    <w:rsid w:val="009A2943"/>
    <w:rsid w:val="009A2D4E"/>
    <w:rsid w:val="009A31CB"/>
    <w:rsid w:val="009A3467"/>
    <w:rsid w:val="009A352D"/>
    <w:rsid w:val="009A393F"/>
    <w:rsid w:val="009A48E5"/>
    <w:rsid w:val="009A58C6"/>
    <w:rsid w:val="009A5A69"/>
    <w:rsid w:val="009A5CD4"/>
    <w:rsid w:val="009A60B4"/>
    <w:rsid w:val="009A6A95"/>
    <w:rsid w:val="009A6BF3"/>
    <w:rsid w:val="009A6EE6"/>
    <w:rsid w:val="009B01E6"/>
    <w:rsid w:val="009B037B"/>
    <w:rsid w:val="009B0758"/>
    <w:rsid w:val="009B08E7"/>
    <w:rsid w:val="009B0BDF"/>
    <w:rsid w:val="009B0E79"/>
    <w:rsid w:val="009B30DF"/>
    <w:rsid w:val="009B36BB"/>
    <w:rsid w:val="009B391B"/>
    <w:rsid w:val="009B44DF"/>
    <w:rsid w:val="009B5352"/>
    <w:rsid w:val="009B5525"/>
    <w:rsid w:val="009B565C"/>
    <w:rsid w:val="009B57E3"/>
    <w:rsid w:val="009B5806"/>
    <w:rsid w:val="009B5A74"/>
    <w:rsid w:val="009B6682"/>
    <w:rsid w:val="009B6EF4"/>
    <w:rsid w:val="009B704E"/>
    <w:rsid w:val="009C05DF"/>
    <w:rsid w:val="009C0697"/>
    <w:rsid w:val="009C0BF0"/>
    <w:rsid w:val="009C18A3"/>
    <w:rsid w:val="009C1934"/>
    <w:rsid w:val="009C1F7B"/>
    <w:rsid w:val="009C324E"/>
    <w:rsid w:val="009C3648"/>
    <w:rsid w:val="009C39E9"/>
    <w:rsid w:val="009C3C68"/>
    <w:rsid w:val="009C4F66"/>
    <w:rsid w:val="009C50B1"/>
    <w:rsid w:val="009C6F5C"/>
    <w:rsid w:val="009C7558"/>
    <w:rsid w:val="009C7F05"/>
    <w:rsid w:val="009D0033"/>
    <w:rsid w:val="009D0336"/>
    <w:rsid w:val="009D0A0D"/>
    <w:rsid w:val="009D0CA9"/>
    <w:rsid w:val="009D0E9F"/>
    <w:rsid w:val="009D1322"/>
    <w:rsid w:val="009D19EF"/>
    <w:rsid w:val="009D1A14"/>
    <w:rsid w:val="009D25F7"/>
    <w:rsid w:val="009D3037"/>
    <w:rsid w:val="009D3D0E"/>
    <w:rsid w:val="009D4A74"/>
    <w:rsid w:val="009D5203"/>
    <w:rsid w:val="009D58DF"/>
    <w:rsid w:val="009D6287"/>
    <w:rsid w:val="009D6CC0"/>
    <w:rsid w:val="009D7C98"/>
    <w:rsid w:val="009E11C5"/>
    <w:rsid w:val="009E11F6"/>
    <w:rsid w:val="009E127A"/>
    <w:rsid w:val="009E130B"/>
    <w:rsid w:val="009E15BF"/>
    <w:rsid w:val="009E15DA"/>
    <w:rsid w:val="009E17D8"/>
    <w:rsid w:val="009E324C"/>
    <w:rsid w:val="009E36EB"/>
    <w:rsid w:val="009E4041"/>
    <w:rsid w:val="009E45CF"/>
    <w:rsid w:val="009E47DF"/>
    <w:rsid w:val="009E4DB0"/>
    <w:rsid w:val="009E5588"/>
    <w:rsid w:val="009E5E7D"/>
    <w:rsid w:val="009E5F47"/>
    <w:rsid w:val="009E6732"/>
    <w:rsid w:val="009E739F"/>
    <w:rsid w:val="009E78DB"/>
    <w:rsid w:val="009F0129"/>
    <w:rsid w:val="009F0FE4"/>
    <w:rsid w:val="009F1693"/>
    <w:rsid w:val="009F1A9B"/>
    <w:rsid w:val="009F1C24"/>
    <w:rsid w:val="009F2DB2"/>
    <w:rsid w:val="009F3681"/>
    <w:rsid w:val="009F3A40"/>
    <w:rsid w:val="009F46ED"/>
    <w:rsid w:val="009F4EA9"/>
    <w:rsid w:val="009F58C5"/>
    <w:rsid w:val="009F7023"/>
    <w:rsid w:val="009F7CCF"/>
    <w:rsid w:val="009F7F22"/>
    <w:rsid w:val="00A0030B"/>
    <w:rsid w:val="00A00477"/>
    <w:rsid w:val="00A01A6A"/>
    <w:rsid w:val="00A01DA5"/>
    <w:rsid w:val="00A01EFB"/>
    <w:rsid w:val="00A02452"/>
    <w:rsid w:val="00A03905"/>
    <w:rsid w:val="00A0452F"/>
    <w:rsid w:val="00A04CDB"/>
    <w:rsid w:val="00A05A31"/>
    <w:rsid w:val="00A05B04"/>
    <w:rsid w:val="00A07126"/>
    <w:rsid w:val="00A0726C"/>
    <w:rsid w:val="00A113EC"/>
    <w:rsid w:val="00A11B1F"/>
    <w:rsid w:val="00A1265E"/>
    <w:rsid w:val="00A12AAA"/>
    <w:rsid w:val="00A13186"/>
    <w:rsid w:val="00A14175"/>
    <w:rsid w:val="00A15067"/>
    <w:rsid w:val="00A1649C"/>
    <w:rsid w:val="00A16721"/>
    <w:rsid w:val="00A17525"/>
    <w:rsid w:val="00A20BE8"/>
    <w:rsid w:val="00A20E37"/>
    <w:rsid w:val="00A215DD"/>
    <w:rsid w:val="00A2203A"/>
    <w:rsid w:val="00A22C05"/>
    <w:rsid w:val="00A23910"/>
    <w:rsid w:val="00A241C6"/>
    <w:rsid w:val="00A2448F"/>
    <w:rsid w:val="00A247C2"/>
    <w:rsid w:val="00A24E82"/>
    <w:rsid w:val="00A26892"/>
    <w:rsid w:val="00A26986"/>
    <w:rsid w:val="00A26C0B"/>
    <w:rsid w:val="00A26C4B"/>
    <w:rsid w:val="00A27873"/>
    <w:rsid w:val="00A278AB"/>
    <w:rsid w:val="00A30402"/>
    <w:rsid w:val="00A3109B"/>
    <w:rsid w:val="00A31126"/>
    <w:rsid w:val="00A313F2"/>
    <w:rsid w:val="00A3151A"/>
    <w:rsid w:val="00A31863"/>
    <w:rsid w:val="00A3298F"/>
    <w:rsid w:val="00A32D6C"/>
    <w:rsid w:val="00A32DD0"/>
    <w:rsid w:val="00A340E2"/>
    <w:rsid w:val="00A3435E"/>
    <w:rsid w:val="00A34734"/>
    <w:rsid w:val="00A34BFC"/>
    <w:rsid w:val="00A34DDC"/>
    <w:rsid w:val="00A35025"/>
    <w:rsid w:val="00A35F29"/>
    <w:rsid w:val="00A35F37"/>
    <w:rsid w:val="00A36D4D"/>
    <w:rsid w:val="00A3736E"/>
    <w:rsid w:val="00A376A5"/>
    <w:rsid w:val="00A377D8"/>
    <w:rsid w:val="00A404C1"/>
    <w:rsid w:val="00A40C61"/>
    <w:rsid w:val="00A4230A"/>
    <w:rsid w:val="00A42686"/>
    <w:rsid w:val="00A4277A"/>
    <w:rsid w:val="00A42973"/>
    <w:rsid w:val="00A43948"/>
    <w:rsid w:val="00A439C8"/>
    <w:rsid w:val="00A43DB2"/>
    <w:rsid w:val="00A43ECE"/>
    <w:rsid w:val="00A4561C"/>
    <w:rsid w:val="00A458F1"/>
    <w:rsid w:val="00A4593B"/>
    <w:rsid w:val="00A46BA5"/>
    <w:rsid w:val="00A46BE3"/>
    <w:rsid w:val="00A46EEC"/>
    <w:rsid w:val="00A46FCD"/>
    <w:rsid w:val="00A47437"/>
    <w:rsid w:val="00A475EF"/>
    <w:rsid w:val="00A47BAC"/>
    <w:rsid w:val="00A47C08"/>
    <w:rsid w:val="00A536DA"/>
    <w:rsid w:val="00A5527A"/>
    <w:rsid w:val="00A55567"/>
    <w:rsid w:val="00A55A0B"/>
    <w:rsid w:val="00A56E40"/>
    <w:rsid w:val="00A56EEF"/>
    <w:rsid w:val="00A57349"/>
    <w:rsid w:val="00A6053D"/>
    <w:rsid w:val="00A6096E"/>
    <w:rsid w:val="00A60CBC"/>
    <w:rsid w:val="00A62908"/>
    <w:rsid w:val="00A63462"/>
    <w:rsid w:val="00A665AD"/>
    <w:rsid w:val="00A667D8"/>
    <w:rsid w:val="00A667EE"/>
    <w:rsid w:val="00A66AF8"/>
    <w:rsid w:val="00A67391"/>
    <w:rsid w:val="00A6751B"/>
    <w:rsid w:val="00A67737"/>
    <w:rsid w:val="00A677A5"/>
    <w:rsid w:val="00A67885"/>
    <w:rsid w:val="00A70BC6"/>
    <w:rsid w:val="00A70D53"/>
    <w:rsid w:val="00A71231"/>
    <w:rsid w:val="00A725A2"/>
    <w:rsid w:val="00A72696"/>
    <w:rsid w:val="00A7570C"/>
    <w:rsid w:val="00A757FA"/>
    <w:rsid w:val="00A75941"/>
    <w:rsid w:val="00A75BE4"/>
    <w:rsid w:val="00A76773"/>
    <w:rsid w:val="00A76A68"/>
    <w:rsid w:val="00A771F6"/>
    <w:rsid w:val="00A772A2"/>
    <w:rsid w:val="00A77575"/>
    <w:rsid w:val="00A80015"/>
    <w:rsid w:val="00A80A31"/>
    <w:rsid w:val="00A80D01"/>
    <w:rsid w:val="00A8366C"/>
    <w:rsid w:val="00A83EC4"/>
    <w:rsid w:val="00A84033"/>
    <w:rsid w:val="00A847B6"/>
    <w:rsid w:val="00A85328"/>
    <w:rsid w:val="00A85543"/>
    <w:rsid w:val="00A859DD"/>
    <w:rsid w:val="00A85C1E"/>
    <w:rsid w:val="00A85C41"/>
    <w:rsid w:val="00A86528"/>
    <w:rsid w:val="00A86A37"/>
    <w:rsid w:val="00A87747"/>
    <w:rsid w:val="00A877C9"/>
    <w:rsid w:val="00A9007F"/>
    <w:rsid w:val="00A90914"/>
    <w:rsid w:val="00A90DE3"/>
    <w:rsid w:val="00A91263"/>
    <w:rsid w:val="00A92903"/>
    <w:rsid w:val="00A93089"/>
    <w:rsid w:val="00A93927"/>
    <w:rsid w:val="00A950DA"/>
    <w:rsid w:val="00A95324"/>
    <w:rsid w:val="00A97076"/>
    <w:rsid w:val="00A978B7"/>
    <w:rsid w:val="00A97929"/>
    <w:rsid w:val="00A97EB1"/>
    <w:rsid w:val="00A97F0A"/>
    <w:rsid w:val="00AA097B"/>
    <w:rsid w:val="00AA0CD9"/>
    <w:rsid w:val="00AA28A7"/>
    <w:rsid w:val="00AA3860"/>
    <w:rsid w:val="00AA5246"/>
    <w:rsid w:val="00AA7423"/>
    <w:rsid w:val="00AA7778"/>
    <w:rsid w:val="00AA79C2"/>
    <w:rsid w:val="00AA7C5F"/>
    <w:rsid w:val="00AB00C5"/>
    <w:rsid w:val="00AB056C"/>
    <w:rsid w:val="00AB17AE"/>
    <w:rsid w:val="00AB1970"/>
    <w:rsid w:val="00AB1EBF"/>
    <w:rsid w:val="00AB2203"/>
    <w:rsid w:val="00AB22C3"/>
    <w:rsid w:val="00AB292F"/>
    <w:rsid w:val="00AB29DB"/>
    <w:rsid w:val="00AB308B"/>
    <w:rsid w:val="00AB34F7"/>
    <w:rsid w:val="00AB352F"/>
    <w:rsid w:val="00AB35FE"/>
    <w:rsid w:val="00AB4110"/>
    <w:rsid w:val="00AB522B"/>
    <w:rsid w:val="00AB5596"/>
    <w:rsid w:val="00AB6537"/>
    <w:rsid w:val="00AB69DA"/>
    <w:rsid w:val="00AB6FAD"/>
    <w:rsid w:val="00AB7438"/>
    <w:rsid w:val="00AB7F62"/>
    <w:rsid w:val="00AC0421"/>
    <w:rsid w:val="00AC0BED"/>
    <w:rsid w:val="00AC1123"/>
    <w:rsid w:val="00AC1C6B"/>
    <w:rsid w:val="00AC1DB3"/>
    <w:rsid w:val="00AC1EB1"/>
    <w:rsid w:val="00AC1EBA"/>
    <w:rsid w:val="00AC284D"/>
    <w:rsid w:val="00AC2B6E"/>
    <w:rsid w:val="00AC2EC5"/>
    <w:rsid w:val="00AC3358"/>
    <w:rsid w:val="00AC482D"/>
    <w:rsid w:val="00AC5C12"/>
    <w:rsid w:val="00AC5D29"/>
    <w:rsid w:val="00AC5DE4"/>
    <w:rsid w:val="00AC5EE8"/>
    <w:rsid w:val="00AC5FA3"/>
    <w:rsid w:val="00AC6768"/>
    <w:rsid w:val="00AD1C57"/>
    <w:rsid w:val="00AD1FF5"/>
    <w:rsid w:val="00AD2187"/>
    <w:rsid w:val="00AD2DF6"/>
    <w:rsid w:val="00AD425F"/>
    <w:rsid w:val="00AD489C"/>
    <w:rsid w:val="00AD49EF"/>
    <w:rsid w:val="00AD4B5F"/>
    <w:rsid w:val="00AD51F0"/>
    <w:rsid w:val="00AD55B5"/>
    <w:rsid w:val="00AD584A"/>
    <w:rsid w:val="00AD593C"/>
    <w:rsid w:val="00AD5BB2"/>
    <w:rsid w:val="00AD6163"/>
    <w:rsid w:val="00AD6F8A"/>
    <w:rsid w:val="00AD75FB"/>
    <w:rsid w:val="00AD7833"/>
    <w:rsid w:val="00AD7E81"/>
    <w:rsid w:val="00AE0BB5"/>
    <w:rsid w:val="00AE0E75"/>
    <w:rsid w:val="00AE1ADE"/>
    <w:rsid w:val="00AE1D52"/>
    <w:rsid w:val="00AE33C4"/>
    <w:rsid w:val="00AE4C67"/>
    <w:rsid w:val="00AE57CD"/>
    <w:rsid w:val="00AE5E47"/>
    <w:rsid w:val="00AE6144"/>
    <w:rsid w:val="00AE7634"/>
    <w:rsid w:val="00AE7BE9"/>
    <w:rsid w:val="00AE7FDD"/>
    <w:rsid w:val="00AF00AC"/>
    <w:rsid w:val="00AF0A8A"/>
    <w:rsid w:val="00AF0F4A"/>
    <w:rsid w:val="00AF1718"/>
    <w:rsid w:val="00AF180B"/>
    <w:rsid w:val="00AF2017"/>
    <w:rsid w:val="00AF3220"/>
    <w:rsid w:val="00AF3BA1"/>
    <w:rsid w:val="00AF46AD"/>
    <w:rsid w:val="00AF5C0B"/>
    <w:rsid w:val="00AF5F1D"/>
    <w:rsid w:val="00AF62EF"/>
    <w:rsid w:val="00AF64B6"/>
    <w:rsid w:val="00AF654D"/>
    <w:rsid w:val="00AF7654"/>
    <w:rsid w:val="00B0077B"/>
    <w:rsid w:val="00B007D5"/>
    <w:rsid w:val="00B01569"/>
    <w:rsid w:val="00B017FF"/>
    <w:rsid w:val="00B01E6F"/>
    <w:rsid w:val="00B02B80"/>
    <w:rsid w:val="00B039FC"/>
    <w:rsid w:val="00B03DA3"/>
    <w:rsid w:val="00B040C7"/>
    <w:rsid w:val="00B04C03"/>
    <w:rsid w:val="00B05171"/>
    <w:rsid w:val="00B066DD"/>
    <w:rsid w:val="00B06FA1"/>
    <w:rsid w:val="00B07855"/>
    <w:rsid w:val="00B07A65"/>
    <w:rsid w:val="00B07C7E"/>
    <w:rsid w:val="00B10892"/>
    <w:rsid w:val="00B10CD4"/>
    <w:rsid w:val="00B12C91"/>
    <w:rsid w:val="00B1338C"/>
    <w:rsid w:val="00B13CA2"/>
    <w:rsid w:val="00B13EFA"/>
    <w:rsid w:val="00B141AD"/>
    <w:rsid w:val="00B14216"/>
    <w:rsid w:val="00B145CA"/>
    <w:rsid w:val="00B14CD6"/>
    <w:rsid w:val="00B15438"/>
    <w:rsid w:val="00B155E5"/>
    <w:rsid w:val="00B159FB"/>
    <w:rsid w:val="00B160B6"/>
    <w:rsid w:val="00B17AE0"/>
    <w:rsid w:val="00B17D0C"/>
    <w:rsid w:val="00B17E97"/>
    <w:rsid w:val="00B20539"/>
    <w:rsid w:val="00B20E3C"/>
    <w:rsid w:val="00B20F17"/>
    <w:rsid w:val="00B212BE"/>
    <w:rsid w:val="00B214AD"/>
    <w:rsid w:val="00B22215"/>
    <w:rsid w:val="00B228E9"/>
    <w:rsid w:val="00B24154"/>
    <w:rsid w:val="00B24C94"/>
    <w:rsid w:val="00B254C2"/>
    <w:rsid w:val="00B2568F"/>
    <w:rsid w:val="00B26AF1"/>
    <w:rsid w:val="00B26EE0"/>
    <w:rsid w:val="00B278C2"/>
    <w:rsid w:val="00B27FD1"/>
    <w:rsid w:val="00B30C44"/>
    <w:rsid w:val="00B316F4"/>
    <w:rsid w:val="00B317CA"/>
    <w:rsid w:val="00B31EC7"/>
    <w:rsid w:val="00B32033"/>
    <w:rsid w:val="00B322C7"/>
    <w:rsid w:val="00B3244F"/>
    <w:rsid w:val="00B33035"/>
    <w:rsid w:val="00B33161"/>
    <w:rsid w:val="00B33220"/>
    <w:rsid w:val="00B3389D"/>
    <w:rsid w:val="00B33BD3"/>
    <w:rsid w:val="00B34CAC"/>
    <w:rsid w:val="00B35A2B"/>
    <w:rsid w:val="00B36B70"/>
    <w:rsid w:val="00B36EA4"/>
    <w:rsid w:val="00B37142"/>
    <w:rsid w:val="00B37DC0"/>
    <w:rsid w:val="00B40118"/>
    <w:rsid w:val="00B40755"/>
    <w:rsid w:val="00B40AEB"/>
    <w:rsid w:val="00B41336"/>
    <w:rsid w:val="00B4273C"/>
    <w:rsid w:val="00B43204"/>
    <w:rsid w:val="00B43DD6"/>
    <w:rsid w:val="00B444B0"/>
    <w:rsid w:val="00B44850"/>
    <w:rsid w:val="00B44D61"/>
    <w:rsid w:val="00B451B6"/>
    <w:rsid w:val="00B458E0"/>
    <w:rsid w:val="00B45C00"/>
    <w:rsid w:val="00B46648"/>
    <w:rsid w:val="00B47ACE"/>
    <w:rsid w:val="00B47B8A"/>
    <w:rsid w:val="00B501BD"/>
    <w:rsid w:val="00B506A8"/>
    <w:rsid w:val="00B51120"/>
    <w:rsid w:val="00B51ACA"/>
    <w:rsid w:val="00B51E83"/>
    <w:rsid w:val="00B526DA"/>
    <w:rsid w:val="00B52BC2"/>
    <w:rsid w:val="00B5342D"/>
    <w:rsid w:val="00B539DD"/>
    <w:rsid w:val="00B5415D"/>
    <w:rsid w:val="00B547D5"/>
    <w:rsid w:val="00B54CF5"/>
    <w:rsid w:val="00B55F05"/>
    <w:rsid w:val="00B56FC1"/>
    <w:rsid w:val="00B600BC"/>
    <w:rsid w:val="00B60677"/>
    <w:rsid w:val="00B60801"/>
    <w:rsid w:val="00B6200D"/>
    <w:rsid w:val="00B622E5"/>
    <w:rsid w:val="00B62CA6"/>
    <w:rsid w:val="00B63826"/>
    <w:rsid w:val="00B64835"/>
    <w:rsid w:val="00B649F4"/>
    <w:rsid w:val="00B6626C"/>
    <w:rsid w:val="00B709DE"/>
    <w:rsid w:val="00B70CE8"/>
    <w:rsid w:val="00B70EB9"/>
    <w:rsid w:val="00B71A14"/>
    <w:rsid w:val="00B72F21"/>
    <w:rsid w:val="00B73B8C"/>
    <w:rsid w:val="00B73D5C"/>
    <w:rsid w:val="00B73ED4"/>
    <w:rsid w:val="00B740CC"/>
    <w:rsid w:val="00B747A8"/>
    <w:rsid w:val="00B74EA0"/>
    <w:rsid w:val="00B75B5B"/>
    <w:rsid w:val="00B75F0C"/>
    <w:rsid w:val="00B75F11"/>
    <w:rsid w:val="00B76132"/>
    <w:rsid w:val="00B7618E"/>
    <w:rsid w:val="00B76863"/>
    <w:rsid w:val="00B76BF4"/>
    <w:rsid w:val="00B76D17"/>
    <w:rsid w:val="00B77D76"/>
    <w:rsid w:val="00B8049A"/>
    <w:rsid w:val="00B80C93"/>
    <w:rsid w:val="00B8139D"/>
    <w:rsid w:val="00B81580"/>
    <w:rsid w:val="00B81A90"/>
    <w:rsid w:val="00B82AD7"/>
    <w:rsid w:val="00B8329C"/>
    <w:rsid w:val="00B83FFE"/>
    <w:rsid w:val="00B84207"/>
    <w:rsid w:val="00B842FC"/>
    <w:rsid w:val="00B8553E"/>
    <w:rsid w:val="00B8593D"/>
    <w:rsid w:val="00B85EC8"/>
    <w:rsid w:val="00B862F5"/>
    <w:rsid w:val="00B863DA"/>
    <w:rsid w:val="00B86AF8"/>
    <w:rsid w:val="00B86BF5"/>
    <w:rsid w:val="00B8735F"/>
    <w:rsid w:val="00B87A04"/>
    <w:rsid w:val="00B91488"/>
    <w:rsid w:val="00B9230B"/>
    <w:rsid w:val="00B930E9"/>
    <w:rsid w:val="00B931F2"/>
    <w:rsid w:val="00B93B98"/>
    <w:rsid w:val="00B93BE9"/>
    <w:rsid w:val="00B93D33"/>
    <w:rsid w:val="00B942C9"/>
    <w:rsid w:val="00B94354"/>
    <w:rsid w:val="00B9476B"/>
    <w:rsid w:val="00B94B78"/>
    <w:rsid w:val="00B95005"/>
    <w:rsid w:val="00B9551B"/>
    <w:rsid w:val="00B95873"/>
    <w:rsid w:val="00B960EE"/>
    <w:rsid w:val="00B96137"/>
    <w:rsid w:val="00B96264"/>
    <w:rsid w:val="00B97B36"/>
    <w:rsid w:val="00BA0BD9"/>
    <w:rsid w:val="00BA1384"/>
    <w:rsid w:val="00BA1773"/>
    <w:rsid w:val="00BA253C"/>
    <w:rsid w:val="00BA3348"/>
    <w:rsid w:val="00BA4121"/>
    <w:rsid w:val="00BA4625"/>
    <w:rsid w:val="00BA4B73"/>
    <w:rsid w:val="00BA4E85"/>
    <w:rsid w:val="00BA5814"/>
    <w:rsid w:val="00BA685D"/>
    <w:rsid w:val="00BA6FA6"/>
    <w:rsid w:val="00BB04CB"/>
    <w:rsid w:val="00BB0D36"/>
    <w:rsid w:val="00BB0E5B"/>
    <w:rsid w:val="00BB11B2"/>
    <w:rsid w:val="00BB16D8"/>
    <w:rsid w:val="00BB1AD7"/>
    <w:rsid w:val="00BB1D2F"/>
    <w:rsid w:val="00BB2922"/>
    <w:rsid w:val="00BB2A47"/>
    <w:rsid w:val="00BB4534"/>
    <w:rsid w:val="00BB4792"/>
    <w:rsid w:val="00BB4910"/>
    <w:rsid w:val="00BB5E65"/>
    <w:rsid w:val="00BB6947"/>
    <w:rsid w:val="00BB71A3"/>
    <w:rsid w:val="00BB7444"/>
    <w:rsid w:val="00BB776C"/>
    <w:rsid w:val="00BC0078"/>
    <w:rsid w:val="00BC049C"/>
    <w:rsid w:val="00BC1E7E"/>
    <w:rsid w:val="00BC2B6C"/>
    <w:rsid w:val="00BC3A9F"/>
    <w:rsid w:val="00BC3E87"/>
    <w:rsid w:val="00BC55CD"/>
    <w:rsid w:val="00BC5748"/>
    <w:rsid w:val="00BC6987"/>
    <w:rsid w:val="00BC6C90"/>
    <w:rsid w:val="00BC6D2F"/>
    <w:rsid w:val="00BD0056"/>
    <w:rsid w:val="00BD03A2"/>
    <w:rsid w:val="00BD098B"/>
    <w:rsid w:val="00BD15AE"/>
    <w:rsid w:val="00BD2679"/>
    <w:rsid w:val="00BD2698"/>
    <w:rsid w:val="00BD3190"/>
    <w:rsid w:val="00BD4295"/>
    <w:rsid w:val="00BD5320"/>
    <w:rsid w:val="00BD57F2"/>
    <w:rsid w:val="00BD5C38"/>
    <w:rsid w:val="00BD6110"/>
    <w:rsid w:val="00BD697B"/>
    <w:rsid w:val="00BD794D"/>
    <w:rsid w:val="00BD79A4"/>
    <w:rsid w:val="00BD7B81"/>
    <w:rsid w:val="00BE031D"/>
    <w:rsid w:val="00BE0A6A"/>
    <w:rsid w:val="00BE0F93"/>
    <w:rsid w:val="00BE1E82"/>
    <w:rsid w:val="00BE26B1"/>
    <w:rsid w:val="00BE36A6"/>
    <w:rsid w:val="00BE3B39"/>
    <w:rsid w:val="00BE3BD9"/>
    <w:rsid w:val="00BE404A"/>
    <w:rsid w:val="00BE41A0"/>
    <w:rsid w:val="00BE4313"/>
    <w:rsid w:val="00BE48AB"/>
    <w:rsid w:val="00BE5943"/>
    <w:rsid w:val="00BE5E79"/>
    <w:rsid w:val="00BE5EB9"/>
    <w:rsid w:val="00BE613E"/>
    <w:rsid w:val="00BE78BD"/>
    <w:rsid w:val="00BF0B11"/>
    <w:rsid w:val="00BF201E"/>
    <w:rsid w:val="00BF20CB"/>
    <w:rsid w:val="00BF230D"/>
    <w:rsid w:val="00BF2ADF"/>
    <w:rsid w:val="00BF2BAD"/>
    <w:rsid w:val="00BF4461"/>
    <w:rsid w:val="00BF4D3E"/>
    <w:rsid w:val="00BF4D5C"/>
    <w:rsid w:val="00BF5B83"/>
    <w:rsid w:val="00BF5EFE"/>
    <w:rsid w:val="00BF5F8F"/>
    <w:rsid w:val="00BF7551"/>
    <w:rsid w:val="00BF7F56"/>
    <w:rsid w:val="00C010F8"/>
    <w:rsid w:val="00C01B32"/>
    <w:rsid w:val="00C01EA3"/>
    <w:rsid w:val="00C030DB"/>
    <w:rsid w:val="00C032AD"/>
    <w:rsid w:val="00C035C5"/>
    <w:rsid w:val="00C03EF3"/>
    <w:rsid w:val="00C04B37"/>
    <w:rsid w:val="00C04C61"/>
    <w:rsid w:val="00C05B70"/>
    <w:rsid w:val="00C06665"/>
    <w:rsid w:val="00C06685"/>
    <w:rsid w:val="00C06CEB"/>
    <w:rsid w:val="00C07D21"/>
    <w:rsid w:val="00C07F75"/>
    <w:rsid w:val="00C10CFC"/>
    <w:rsid w:val="00C111FE"/>
    <w:rsid w:val="00C113EA"/>
    <w:rsid w:val="00C12266"/>
    <w:rsid w:val="00C123A9"/>
    <w:rsid w:val="00C12CF0"/>
    <w:rsid w:val="00C131F2"/>
    <w:rsid w:val="00C1395D"/>
    <w:rsid w:val="00C13A50"/>
    <w:rsid w:val="00C13BA8"/>
    <w:rsid w:val="00C14694"/>
    <w:rsid w:val="00C14C7A"/>
    <w:rsid w:val="00C15495"/>
    <w:rsid w:val="00C1584A"/>
    <w:rsid w:val="00C15875"/>
    <w:rsid w:val="00C16153"/>
    <w:rsid w:val="00C1651F"/>
    <w:rsid w:val="00C16DCB"/>
    <w:rsid w:val="00C173A3"/>
    <w:rsid w:val="00C17988"/>
    <w:rsid w:val="00C20676"/>
    <w:rsid w:val="00C22183"/>
    <w:rsid w:val="00C22507"/>
    <w:rsid w:val="00C23475"/>
    <w:rsid w:val="00C247BA"/>
    <w:rsid w:val="00C25033"/>
    <w:rsid w:val="00C25C36"/>
    <w:rsid w:val="00C26A1E"/>
    <w:rsid w:val="00C27328"/>
    <w:rsid w:val="00C27E95"/>
    <w:rsid w:val="00C30A5B"/>
    <w:rsid w:val="00C31EB9"/>
    <w:rsid w:val="00C334CC"/>
    <w:rsid w:val="00C337ED"/>
    <w:rsid w:val="00C3460C"/>
    <w:rsid w:val="00C34A47"/>
    <w:rsid w:val="00C34A68"/>
    <w:rsid w:val="00C35590"/>
    <w:rsid w:val="00C3606D"/>
    <w:rsid w:val="00C364E7"/>
    <w:rsid w:val="00C377B4"/>
    <w:rsid w:val="00C37950"/>
    <w:rsid w:val="00C40309"/>
    <w:rsid w:val="00C40995"/>
    <w:rsid w:val="00C4129A"/>
    <w:rsid w:val="00C41350"/>
    <w:rsid w:val="00C429D1"/>
    <w:rsid w:val="00C43DFC"/>
    <w:rsid w:val="00C4402C"/>
    <w:rsid w:val="00C44752"/>
    <w:rsid w:val="00C45097"/>
    <w:rsid w:val="00C45756"/>
    <w:rsid w:val="00C464A0"/>
    <w:rsid w:val="00C46C77"/>
    <w:rsid w:val="00C475F8"/>
    <w:rsid w:val="00C478A9"/>
    <w:rsid w:val="00C50077"/>
    <w:rsid w:val="00C500D0"/>
    <w:rsid w:val="00C509E8"/>
    <w:rsid w:val="00C5147C"/>
    <w:rsid w:val="00C51792"/>
    <w:rsid w:val="00C521F1"/>
    <w:rsid w:val="00C52310"/>
    <w:rsid w:val="00C52D37"/>
    <w:rsid w:val="00C52E0C"/>
    <w:rsid w:val="00C53975"/>
    <w:rsid w:val="00C544D0"/>
    <w:rsid w:val="00C555DA"/>
    <w:rsid w:val="00C56948"/>
    <w:rsid w:val="00C56BF3"/>
    <w:rsid w:val="00C603D7"/>
    <w:rsid w:val="00C60858"/>
    <w:rsid w:val="00C60AA2"/>
    <w:rsid w:val="00C60AFC"/>
    <w:rsid w:val="00C614A5"/>
    <w:rsid w:val="00C615FD"/>
    <w:rsid w:val="00C61899"/>
    <w:rsid w:val="00C61DCE"/>
    <w:rsid w:val="00C62067"/>
    <w:rsid w:val="00C62F6E"/>
    <w:rsid w:val="00C6315B"/>
    <w:rsid w:val="00C634FF"/>
    <w:rsid w:val="00C63B09"/>
    <w:rsid w:val="00C63F40"/>
    <w:rsid w:val="00C6597F"/>
    <w:rsid w:val="00C662DC"/>
    <w:rsid w:val="00C66A93"/>
    <w:rsid w:val="00C66EEA"/>
    <w:rsid w:val="00C67DF3"/>
    <w:rsid w:val="00C67E5B"/>
    <w:rsid w:val="00C7002A"/>
    <w:rsid w:val="00C70366"/>
    <w:rsid w:val="00C70AE9"/>
    <w:rsid w:val="00C70C43"/>
    <w:rsid w:val="00C73156"/>
    <w:rsid w:val="00C73606"/>
    <w:rsid w:val="00C73A39"/>
    <w:rsid w:val="00C73A64"/>
    <w:rsid w:val="00C73CFD"/>
    <w:rsid w:val="00C73FCE"/>
    <w:rsid w:val="00C74419"/>
    <w:rsid w:val="00C744A1"/>
    <w:rsid w:val="00C76354"/>
    <w:rsid w:val="00C76896"/>
    <w:rsid w:val="00C76E9C"/>
    <w:rsid w:val="00C7710F"/>
    <w:rsid w:val="00C77254"/>
    <w:rsid w:val="00C7736D"/>
    <w:rsid w:val="00C80174"/>
    <w:rsid w:val="00C80237"/>
    <w:rsid w:val="00C8065D"/>
    <w:rsid w:val="00C82398"/>
    <w:rsid w:val="00C825C3"/>
    <w:rsid w:val="00C82816"/>
    <w:rsid w:val="00C82F1F"/>
    <w:rsid w:val="00C853DA"/>
    <w:rsid w:val="00C854B7"/>
    <w:rsid w:val="00C8630E"/>
    <w:rsid w:val="00C86E74"/>
    <w:rsid w:val="00C87141"/>
    <w:rsid w:val="00C87450"/>
    <w:rsid w:val="00C87547"/>
    <w:rsid w:val="00C87A45"/>
    <w:rsid w:val="00C87F89"/>
    <w:rsid w:val="00C904D1"/>
    <w:rsid w:val="00C90879"/>
    <w:rsid w:val="00C91095"/>
    <w:rsid w:val="00C91C85"/>
    <w:rsid w:val="00C9224F"/>
    <w:rsid w:val="00C922A7"/>
    <w:rsid w:val="00C9254D"/>
    <w:rsid w:val="00C9349E"/>
    <w:rsid w:val="00C94694"/>
    <w:rsid w:val="00C94B56"/>
    <w:rsid w:val="00C94CA8"/>
    <w:rsid w:val="00C94DD9"/>
    <w:rsid w:val="00C95016"/>
    <w:rsid w:val="00C95300"/>
    <w:rsid w:val="00C95368"/>
    <w:rsid w:val="00C95FCF"/>
    <w:rsid w:val="00C96606"/>
    <w:rsid w:val="00C96BA8"/>
    <w:rsid w:val="00C97346"/>
    <w:rsid w:val="00CA0386"/>
    <w:rsid w:val="00CA0BFD"/>
    <w:rsid w:val="00CA0FE7"/>
    <w:rsid w:val="00CA241B"/>
    <w:rsid w:val="00CA243B"/>
    <w:rsid w:val="00CA263F"/>
    <w:rsid w:val="00CA349E"/>
    <w:rsid w:val="00CA3F9B"/>
    <w:rsid w:val="00CA65E3"/>
    <w:rsid w:val="00CA6DB4"/>
    <w:rsid w:val="00CA6E16"/>
    <w:rsid w:val="00CA7E4F"/>
    <w:rsid w:val="00CB0A53"/>
    <w:rsid w:val="00CB1D9E"/>
    <w:rsid w:val="00CB285A"/>
    <w:rsid w:val="00CB33CA"/>
    <w:rsid w:val="00CB340C"/>
    <w:rsid w:val="00CB35F2"/>
    <w:rsid w:val="00CB3762"/>
    <w:rsid w:val="00CB49E7"/>
    <w:rsid w:val="00CB5655"/>
    <w:rsid w:val="00CB5F9E"/>
    <w:rsid w:val="00CB62CD"/>
    <w:rsid w:val="00CB632E"/>
    <w:rsid w:val="00CB6CD3"/>
    <w:rsid w:val="00CB7542"/>
    <w:rsid w:val="00CB7733"/>
    <w:rsid w:val="00CB775B"/>
    <w:rsid w:val="00CC000C"/>
    <w:rsid w:val="00CC0E8B"/>
    <w:rsid w:val="00CC0FC8"/>
    <w:rsid w:val="00CC1369"/>
    <w:rsid w:val="00CC1925"/>
    <w:rsid w:val="00CC25BD"/>
    <w:rsid w:val="00CC2634"/>
    <w:rsid w:val="00CC3904"/>
    <w:rsid w:val="00CC3FBE"/>
    <w:rsid w:val="00CC62E2"/>
    <w:rsid w:val="00CC71A4"/>
    <w:rsid w:val="00CC7BAD"/>
    <w:rsid w:val="00CC7DB7"/>
    <w:rsid w:val="00CD0780"/>
    <w:rsid w:val="00CD0952"/>
    <w:rsid w:val="00CD0B93"/>
    <w:rsid w:val="00CD0D9E"/>
    <w:rsid w:val="00CD194F"/>
    <w:rsid w:val="00CD23A4"/>
    <w:rsid w:val="00CD23D3"/>
    <w:rsid w:val="00CD2B44"/>
    <w:rsid w:val="00CD2FB0"/>
    <w:rsid w:val="00CD457E"/>
    <w:rsid w:val="00CD5E4C"/>
    <w:rsid w:val="00CD6405"/>
    <w:rsid w:val="00CD65EC"/>
    <w:rsid w:val="00CD668F"/>
    <w:rsid w:val="00CD758C"/>
    <w:rsid w:val="00CD785F"/>
    <w:rsid w:val="00CE06E9"/>
    <w:rsid w:val="00CE0C04"/>
    <w:rsid w:val="00CE14C4"/>
    <w:rsid w:val="00CE1789"/>
    <w:rsid w:val="00CE234B"/>
    <w:rsid w:val="00CE328C"/>
    <w:rsid w:val="00CE46CD"/>
    <w:rsid w:val="00CE484D"/>
    <w:rsid w:val="00CE4D00"/>
    <w:rsid w:val="00CE5136"/>
    <w:rsid w:val="00CE51A0"/>
    <w:rsid w:val="00CF068B"/>
    <w:rsid w:val="00CF0A83"/>
    <w:rsid w:val="00CF1396"/>
    <w:rsid w:val="00CF1882"/>
    <w:rsid w:val="00CF330C"/>
    <w:rsid w:val="00CF3E27"/>
    <w:rsid w:val="00CF3ECD"/>
    <w:rsid w:val="00CF602D"/>
    <w:rsid w:val="00CF649B"/>
    <w:rsid w:val="00CF6980"/>
    <w:rsid w:val="00CF6B46"/>
    <w:rsid w:val="00CF7BCC"/>
    <w:rsid w:val="00CF7FA1"/>
    <w:rsid w:val="00D0073E"/>
    <w:rsid w:val="00D00FF8"/>
    <w:rsid w:val="00D010C2"/>
    <w:rsid w:val="00D01379"/>
    <w:rsid w:val="00D013B0"/>
    <w:rsid w:val="00D015AB"/>
    <w:rsid w:val="00D01FEF"/>
    <w:rsid w:val="00D03151"/>
    <w:rsid w:val="00D0327A"/>
    <w:rsid w:val="00D04B31"/>
    <w:rsid w:val="00D04CCC"/>
    <w:rsid w:val="00D053D4"/>
    <w:rsid w:val="00D05F91"/>
    <w:rsid w:val="00D1018C"/>
    <w:rsid w:val="00D10BFB"/>
    <w:rsid w:val="00D11003"/>
    <w:rsid w:val="00D11148"/>
    <w:rsid w:val="00D11374"/>
    <w:rsid w:val="00D1155C"/>
    <w:rsid w:val="00D12354"/>
    <w:rsid w:val="00D12558"/>
    <w:rsid w:val="00D1314A"/>
    <w:rsid w:val="00D133DE"/>
    <w:rsid w:val="00D148DB"/>
    <w:rsid w:val="00D14CEF"/>
    <w:rsid w:val="00D14E19"/>
    <w:rsid w:val="00D15265"/>
    <w:rsid w:val="00D155FF"/>
    <w:rsid w:val="00D1584C"/>
    <w:rsid w:val="00D17468"/>
    <w:rsid w:val="00D176C0"/>
    <w:rsid w:val="00D2115F"/>
    <w:rsid w:val="00D213C1"/>
    <w:rsid w:val="00D213F4"/>
    <w:rsid w:val="00D2149A"/>
    <w:rsid w:val="00D21560"/>
    <w:rsid w:val="00D220E8"/>
    <w:rsid w:val="00D222B6"/>
    <w:rsid w:val="00D223AA"/>
    <w:rsid w:val="00D234BA"/>
    <w:rsid w:val="00D23EE5"/>
    <w:rsid w:val="00D23F76"/>
    <w:rsid w:val="00D25528"/>
    <w:rsid w:val="00D25568"/>
    <w:rsid w:val="00D25825"/>
    <w:rsid w:val="00D26DBF"/>
    <w:rsid w:val="00D27192"/>
    <w:rsid w:val="00D271E4"/>
    <w:rsid w:val="00D277C1"/>
    <w:rsid w:val="00D277DE"/>
    <w:rsid w:val="00D279BF"/>
    <w:rsid w:val="00D30332"/>
    <w:rsid w:val="00D30399"/>
    <w:rsid w:val="00D303A1"/>
    <w:rsid w:val="00D31AC8"/>
    <w:rsid w:val="00D31E70"/>
    <w:rsid w:val="00D31FFE"/>
    <w:rsid w:val="00D322F4"/>
    <w:rsid w:val="00D3235E"/>
    <w:rsid w:val="00D32EF9"/>
    <w:rsid w:val="00D33296"/>
    <w:rsid w:val="00D332CF"/>
    <w:rsid w:val="00D33B09"/>
    <w:rsid w:val="00D34631"/>
    <w:rsid w:val="00D3490F"/>
    <w:rsid w:val="00D354C6"/>
    <w:rsid w:val="00D35999"/>
    <w:rsid w:val="00D35ACB"/>
    <w:rsid w:val="00D35BC1"/>
    <w:rsid w:val="00D35CFD"/>
    <w:rsid w:val="00D35D32"/>
    <w:rsid w:val="00D36E13"/>
    <w:rsid w:val="00D4161F"/>
    <w:rsid w:val="00D41BA5"/>
    <w:rsid w:val="00D42412"/>
    <w:rsid w:val="00D43082"/>
    <w:rsid w:val="00D431F2"/>
    <w:rsid w:val="00D4332D"/>
    <w:rsid w:val="00D4339F"/>
    <w:rsid w:val="00D4350C"/>
    <w:rsid w:val="00D43F3F"/>
    <w:rsid w:val="00D43F64"/>
    <w:rsid w:val="00D446F0"/>
    <w:rsid w:val="00D44762"/>
    <w:rsid w:val="00D447FC"/>
    <w:rsid w:val="00D46125"/>
    <w:rsid w:val="00D46576"/>
    <w:rsid w:val="00D50482"/>
    <w:rsid w:val="00D50B4E"/>
    <w:rsid w:val="00D50D17"/>
    <w:rsid w:val="00D510F9"/>
    <w:rsid w:val="00D51341"/>
    <w:rsid w:val="00D5258F"/>
    <w:rsid w:val="00D52706"/>
    <w:rsid w:val="00D52A2E"/>
    <w:rsid w:val="00D53039"/>
    <w:rsid w:val="00D531F6"/>
    <w:rsid w:val="00D53988"/>
    <w:rsid w:val="00D555CE"/>
    <w:rsid w:val="00D56E75"/>
    <w:rsid w:val="00D57A4D"/>
    <w:rsid w:val="00D607B4"/>
    <w:rsid w:val="00D607F0"/>
    <w:rsid w:val="00D61189"/>
    <w:rsid w:val="00D6224E"/>
    <w:rsid w:val="00D62276"/>
    <w:rsid w:val="00D6257C"/>
    <w:rsid w:val="00D6306D"/>
    <w:rsid w:val="00D64162"/>
    <w:rsid w:val="00D64759"/>
    <w:rsid w:val="00D64767"/>
    <w:rsid w:val="00D662E7"/>
    <w:rsid w:val="00D6653F"/>
    <w:rsid w:val="00D66AA3"/>
    <w:rsid w:val="00D67081"/>
    <w:rsid w:val="00D67B29"/>
    <w:rsid w:val="00D702F5"/>
    <w:rsid w:val="00D71055"/>
    <w:rsid w:val="00D71717"/>
    <w:rsid w:val="00D719E4"/>
    <w:rsid w:val="00D71EB8"/>
    <w:rsid w:val="00D71FD2"/>
    <w:rsid w:val="00D73D75"/>
    <w:rsid w:val="00D74A07"/>
    <w:rsid w:val="00D74D75"/>
    <w:rsid w:val="00D75291"/>
    <w:rsid w:val="00D752CB"/>
    <w:rsid w:val="00D75366"/>
    <w:rsid w:val="00D757A9"/>
    <w:rsid w:val="00D7617A"/>
    <w:rsid w:val="00D765EB"/>
    <w:rsid w:val="00D76AEF"/>
    <w:rsid w:val="00D76EFF"/>
    <w:rsid w:val="00D77008"/>
    <w:rsid w:val="00D77C4A"/>
    <w:rsid w:val="00D77EC8"/>
    <w:rsid w:val="00D80CA3"/>
    <w:rsid w:val="00D80EE0"/>
    <w:rsid w:val="00D8202D"/>
    <w:rsid w:val="00D85843"/>
    <w:rsid w:val="00D8643A"/>
    <w:rsid w:val="00D866A8"/>
    <w:rsid w:val="00D86F0C"/>
    <w:rsid w:val="00D86F3C"/>
    <w:rsid w:val="00D87307"/>
    <w:rsid w:val="00D8771E"/>
    <w:rsid w:val="00D87A1A"/>
    <w:rsid w:val="00D91298"/>
    <w:rsid w:val="00D915E8"/>
    <w:rsid w:val="00D92DFB"/>
    <w:rsid w:val="00D94015"/>
    <w:rsid w:val="00D9579D"/>
    <w:rsid w:val="00D95CD9"/>
    <w:rsid w:val="00D96087"/>
    <w:rsid w:val="00D96EE0"/>
    <w:rsid w:val="00DA02BC"/>
    <w:rsid w:val="00DA1C2F"/>
    <w:rsid w:val="00DA2644"/>
    <w:rsid w:val="00DA2C25"/>
    <w:rsid w:val="00DA2CE7"/>
    <w:rsid w:val="00DA34F0"/>
    <w:rsid w:val="00DA3913"/>
    <w:rsid w:val="00DA5D24"/>
    <w:rsid w:val="00DA6361"/>
    <w:rsid w:val="00DA70AC"/>
    <w:rsid w:val="00DB09F1"/>
    <w:rsid w:val="00DB15A8"/>
    <w:rsid w:val="00DB1836"/>
    <w:rsid w:val="00DB1F2B"/>
    <w:rsid w:val="00DB2021"/>
    <w:rsid w:val="00DB2C67"/>
    <w:rsid w:val="00DB31FA"/>
    <w:rsid w:val="00DB3AAB"/>
    <w:rsid w:val="00DB487D"/>
    <w:rsid w:val="00DB490B"/>
    <w:rsid w:val="00DB4AD5"/>
    <w:rsid w:val="00DB4CEF"/>
    <w:rsid w:val="00DB4D03"/>
    <w:rsid w:val="00DB51E6"/>
    <w:rsid w:val="00DB540C"/>
    <w:rsid w:val="00DC00E6"/>
    <w:rsid w:val="00DC0345"/>
    <w:rsid w:val="00DC0B06"/>
    <w:rsid w:val="00DC0BFA"/>
    <w:rsid w:val="00DC0DAB"/>
    <w:rsid w:val="00DC1587"/>
    <w:rsid w:val="00DC2227"/>
    <w:rsid w:val="00DC2923"/>
    <w:rsid w:val="00DC29B3"/>
    <w:rsid w:val="00DC3834"/>
    <w:rsid w:val="00DC4DB3"/>
    <w:rsid w:val="00DC59D8"/>
    <w:rsid w:val="00DC6108"/>
    <w:rsid w:val="00DC6128"/>
    <w:rsid w:val="00DC6208"/>
    <w:rsid w:val="00DC636A"/>
    <w:rsid w:val="00DC6588"/>
    <w:rsid w:val="00DC733E"/>
    <w:rsid w:val="00DD0711"/>
    <w:rsid w:val="00DD0F24"/>
    <w:rsid w:val="00DD196C"/>
    <w:rsid w:val="00DD2AC1"/>
    <w:rsid w:val="00DD3167"/>
    <w:rsid w:val="00DD3B0E"/>
    <w:rsid w:val="00DD5444"/>
    <w:rsid w:val="00DD55F0"/>
    <w:rsid w:val="00DE0668"/>
    <w:rsid w:val="00DE0DEF"/>
    <w:rsid w:val="00DE10E2"/>
    <w:rsid w:val="00DE11E2"/>
    <w:rsid w:val="00DE2212"/>
    <w:rsid w:val="00DE35AE"/>
    <w:rsid w:val="00DE3A5B"/>
    <w:rsid w:val="00DE4793"/>
    <w:rsid w:val="00DE4975"/>
    <w:rsid w:val="00DE61EC"/>
    <w:rsid w:val="00DE6944"/>
    <w:rsid w:val="00DE6AAB"/>
    <w:rsid w:val="00DE6BC1"/>
    <w:rsid w:val="00DE6D21"/>
    <w:rsid w:val="00DE74A8"/>
    <w:rsid w:val="00DE74F1"/>
    <w:rsid w:val="00DE750B"/>
    <w:rsid w:val="00DE7D55"/>
    <w:rsid w:val="00DE7D92"/>
    <w:rsid w:val="00DF023C"/>
    <w:rsid w:val="00DF07E1"/>
    <w:rsid w:val="00DF2EBC"/>
    <w:rsid w:val="00DF2FD7"/>
    <w:rsid w:val="00DF3120"/>
    <w:rsid w:val="00DF3491"/>
    <w:rsid w:val="00DF37A7"/>
    <w:rsid w:val="00DF3812"/>
    <w:rsid w:val="00DF3964"/>
    <w:rsid w:val="00DF3FCE"/>
    <w:rsid w:val="00DF4EB7"/>
    <w:rsid w:val="00DF5774"/>
    <w:rsid w:val="00DF5B79"/>
    <w:rsid w:val="00DF6B81"/>
    <w:rsid w:val="00DF7315"/>
    <w:rsid w:val="00E013CF"/>
    <w:rsid w:val="00E01888"/>
    <w:rsid w:val="00E01A3F"/>
    <w:rsid w:val="00E0236C"/>
    <w:rsid w:val="00E02F50"/>
    <w:rsid w:val="00E032D2"/>
    <w:rsid w:val="00E0354E"/>
    <w:rsid w:val="00E046FB"/>
    <w:rsid w:val="00E04F86"/>
    <w:rsid w:val="00E05302"/>
    <w:rsid w:val="00E053A3"/>
    <w:rsid w:val="00E062CE"/>
    <w:rsid w:val="00E06E8C"/>
    <w:rsid w:val="00E07649"/>
    <w:rsid w:val="00E07864"/>
    <w:rsid w:val="00E07E17"/>
    <w:rsid w:val="00E07E2C"/>
    <w:rsid w:val="00E104F0"/>
    <w:rsid w:val="00E10736"/>
    <w:rsid w:val="00E109C9"/>
    <w:rsid w:val="00E124BC"/>
    <w:rsid w:val="00E12B99"/>
    <w:rsid w:val="00E132CA"/>
    <w:rsid w:val="00E142C0"/>
    <w:rsid w:val="00E14C3F"/>
    <w:rsid w:val="00E14CE7"/>
    <w:rsid w:val="00E14EF4"/>
    <w:rsid w:val="00E15713"/>
    <w:rsid w:val="00E15EAE"/>
    <w:rsid w:val="00E15FD3"/>
    <w:rsid w:val="00E16536"/>
    <w:rsid w:val="00E17230"/>
    <w:rsid w:val="00E17B73"/>
    <w:rsid w:val="00E20187"/>
    <w:rsid w:val="00E20AD2"/>
    <w:rsid w:val="00E20BE9"/>
    <w:rsid w:val="00E20E5F"/>
    <w:rsid w:val="00E2127E"/>
    <w:rsid w:val="00E2252C"/>
    <w:rsid w:val="00E22692"/>
    <w:rsid w:val="00E2290C"/>
    <w:rsid w:val="00E23398"/>
    <w:rsid w:val="00E24C31"/>
    <w:rsid w:val="00E24CAF"/>
    <w:rsid w:val="00E25288"/>
    <w:rsid w:val="00E255DB"/>
    <w:rsid w:val="00E2618D"/>
    <w:rsid w:val="00E268E4"/>
    <w:rsid w:val="00E269B4"/>
    <w:rsid w:val="00E26BDA"/>
    <w:rsid w:val="00E3004C"/>
    <w:rsid w:val="00E302EB"/>
    <w:rsid w:val="00E303C5"/>
    <w:rsid w:val="00E305DA"/>
    <w:rsid w:val="00E30F75"/>
    <w:rsid w:val="00E318E6"/>
    <w:rsid w:val="00E319F6"/>
    <w:rsid w:val="00E32BCA"/>
    <w:rsid w:val="00E32C70"/>
    <w:rsid w:val="00E33444"/>
    <w:rsid w:val="00E33819"/>
    <w:rsid w:val="00E33C39"/>
    <w:rsid w:val="00E34E15"/>
    <w:rsid w:val="00E35448"/>
    <w:rsid w:val="00E3618D"/>
    <w:rsid w:val="00E36C09"/>
    <w:rsid w:val="00E36D39"/>
    <w:rsid w:val="00E379C0"/>
    <w:rsid w:val="00E40540"/>
    <w:rsid w:val="00E410FF"/>
    <w:rsid w:val="00E412EE"/>
    <w:rsid w:val="00E42759"/>
    <w:rsid w:val="00E42CA3"/>
    <w:rsid w:val="00E42FE4"/>
    <w:rsid w:val="00E4388E"/>
    <w:rsid w:val="00E43ADC"/>
    <w:rsid w:val="00E43EB0"/>
    <w:rsid w:val="00E45057"/>
    <w:rsid w:val="00E45BA8"/>
    <w:rsid w:val="00E45FE7"/>
    <w:rsid w:val="00E46096"/>
    <w:rsid w:val="00E468DA"/>
    <w:rsid w:val="00E46A94"/>
    <w:rsid w:val="00E47073"/>
    <w:rsid w:val="00E47799"/>
    <w:rsid w:val="00E47EAE"/>
    <w:rsid w:val="00E50131"/>
    <w:rsid w:val="00E51BDB"/>
    <w:rsid w:val="00E521EE"/>
    <w:rsid w:val="00E5333A"/>
    <w:rsid w:val="00E541F6"/>
    <w:rsid w:val="00E54523"/>
    <w:rsid w:val="00E54A91"/>
    <w:rsid w:val="00E54CB3"/>
    <w:rsid w:val="00E54DAC"/>
    <w:rsid w:val="00E55D35"/>
    <w:rsid w:val="00E564AE"/>
    <w:rsid w:val="00E56A43"/>
    <w:rsid w:val="00E5716B"/>
    <w:rsid w:val="00E57D1B"/>
    <w:rsid w:val="00E600A3"/>
    <w:rsid w:val="00E6057D"/>
    <w:rsid w:val="00E607DB"/>
    <w:rsid w:val="00E60FEA"/>
    <w:rsid w:val="00E6105F"/>
    <w:rsid w:val="00E61524"/>
    <w:rsid w:val="00E619D8"/>
    <w:rsid w:val="00E626E4"/>
    <w:rsid w:val="00E62ADD"/>
    <w:rsid w:val="00E62DC0"/>
    <w:rsid w:val="00E63303"/>
    <w:rsid w:val="00E63ACF"/>
    <w:rsid w:val="00E63CAC"/>
    <w:rsid w:val="00E65175"/>
    <w:rsid w:val="00E657BE"/>
    <w:rsid w:val="00E65FA5"/>
    <w:rsid w:val="00E66457"/>
    <w:rsid w:val="00E6691B"/>
    <w:rsid w:val="00E66FB9"/>
    <w:rsid w:val="00E6720D"/>
    <w:rsid w:val="00E67ED6"/>
    <w:rsid w:val="00E703CD"/>
    <w:rsid w:val="00E70E99"/>
    <w:rsid w:val="00E71567"/>
    <w:rsid w:val="00E7192A"/>
    <w:rsid w:val="00E71BDB"/>
    <w:rsid w:val="00E72075"/>
    <w:rsid w:val="00E72C42"/>
    <w:rsid w:val="00E72D97"/>
    <w:rsid w:val="00E73436"/>
    <w:rsid w:val="00E73443"/>
    <w:rsid w:val="00E7482E"/>
    <w:rsid w:val="00E74CBE"/>
    <w:rsid w:val="00E7562A"/>
    <w:rsid w:val="00E756FC"/>
    <w:rsid w:val="00E76555"/>
    <w:rsid w:val="00E7669A"/>
    <w:rsid w:val="00E771B8"/>
    <w:rsid w:val="00E7733B"/>
    <w:rsid w:val="00E77696"/>
    <w:rsid w:val="00E77DBC"/>
    <w:rsid w:val="00E77E0E"/>
    <w:rsid w:val="00E80118"/>
    <w:rsid w:val="00E80C11"/>
    <w:rsid w:val="00E810E4"/>
    <w:rsid w:val="00E81C0B"/>
    <w:rsid w:val="00E81F74"/>
    <w:rsid w:val="00E82041"/>
    <w:rsid w:val="00E82071"/>
    <w:rsid w:val="00E830F3"/>
    <w:rsid w:val="00E8314B"/>
    <w:rsid w:val="00E835C5"/>
    <w:rsid w:val="00E83BFC"/>
    <w:rsid w:val="00E84665"/>
    <w:rsid w:val="00E84FF9"/>
    <w:rsid w:val="00E86398"/>
    <w:rsid w:val="00E86650"/>
    <w:rsid w:val="00E86750"/>
    <w:rsid w:val="00E86C54"/>
    <w:rsid w:val="00E86D88"/>
    <w:rsid w:val="00E872FC"/>
    <w:rsid w:val="00E877F9"/>
    <w:rsid w:val="00E87BFE"/>
    <w:rsid w:val="00E90096"/>
    <w:rsid w:val="00E90634"/>
    <w:rsid w:val="00E90A4F"/>
    <w:rsid w:val="00E90C38"/>
    <w:rsid w:val="00E911F5"/>
    <w:rsid w:val="00E91A78"/>
    <w:rsid w:val="00E91F31"/>
    <w:rsid w:val="00E9224C"/>
    <w:rsid w:val="00E9224D"/>
    <w:rsid w:val="00E92C20"/>
    <w:rsid w:val="00E932B2"/>
    <w:rsid w:val="00E94421"/>
    <w:rsid w:val="00E94753"/>
    <w:rsid w:val="00E94920"/>
    <w:rsid w:val="00E94A8D"/>
    <w:rsid w:val="00E94ED6"/>
    <w:rsid w:val="00E95F7C"/>
    <w:rsid w:val="00E96A95"/>
    <w:rsid w:val="00E96B31"/>
    <w:rsid w:val="00E9799B"/>
    <w:rsid w:val="00E9799C"/>
    <w:rsid w:val="00E97CC5"/>
    <w:rsid w:val="00EA00E8"/>
    <w:rsid w:val="00EA0404"/>
    <w:rsid w:val="00EA058C"/>
    <w:rsid w:val="00EA0C9C"/>
    <w:rsid w:val="00EA1552"/>
    <w:rsid w:val="00EA163A"/>
    <w:rsid w:val="00EA1F03"/>
    <w:rsid w:val="00EA1FCC"/>
    <w:rsid w:val="00EA22E9"/>
    <w:rsid w:val="00EA2F61"/>
    <w:rsid w:val="00EA3050"/>
    <w:rsid w:val="00EA3507"/>
    <w:rsid w:val="00EA4106"/>
    <w:rsid w:val="00EA5E97"/>
    <w:rsid w:val="00EA704F"/>
    <w:rsid w:val="00EA7997"/>
    <w:rsid w:val="00EA7CD1"/>
    <w:rsid w:val="00EB0B75"/>
    <w:rsid w:val="00EB0EC2"/>
    <w:rsid w:val="00EB17AD"/>
    <w:rsid w:val="00EB189B"/>
    <w:rsid w:val="00EB2A9F"/>
    <w:rsid w:val="00EB2D1F"/>
    <w:rsid w:val="00EB33E7"/>
    <w:rsid w:val="00EB34CF"/>
    <w:rsid w:val="00EB34DF"/>
    <w:rsid w:val="00EB4326"/>
    <w:rsid w:val="00EB448E"/>
    <w:rsid w:val="00EB5CE7"/>
    <w:rsid w:val="00EB647A"/>
    <w:rsid w:val="00EB6C77"/>
    <w:rsid w:val="00EB703D"/>
    <w:rsid w:val="00EB78A6"/>
    <w:rsid w:val="00EB7AA0"/>
    <w:rsid w:val="00EC139C"/>
    <w:rsid w:val="00EC1585"/>
    <w:rsid w:val="00EC1E78"/>
    <w:rsid w:val="00EC2020"/>
    <w:rsid w:val="00EC2880"/>
    <w:rsid w:val="00EC386A"/>
    <w:rsid w:val="00EC4181"/>
    <w:rsid w:val="00EC4668"/>
    <w:rsid w:val="00EC4944"/>
    <w:rsid w:val="00EC4981"/>
    <w:rsid w:val="00EC522F"/>
    <w:rsid w:val="00EC5647"/>
    <w:rsid w:val="00EC6555"/>
    <w:rsid w:val="00EC6B21"/>
    <w:rsid w:val="00EC7C7E"/>
    <w:rsid w:val="00ED028D"/>
    <w:rsid w:val="00ED0399"/>
    <w:rsid w:val="00ED04D0"/>
    <w:rsid w:val="00ED07FD"/>
    <w:rsid w:val="00ED0FCD"/>
    <w:rsid w:val="00ED1157"/>
    <w:rsid w:val="00ED141B"/>
    <w:rsid w:val="00ED27A2"/>
    <w:rsid w:val="00ED294C"/>
    <w:rsid w:val="00ED2A18"/>
    <w:rsid w:val="00ED3882"/>
    <w:rsid w:val="00ED3C4C"/>
    <w:rsid w:val="00ED3CC7"/>
    <w:rsid w:val="00ED4897"/>
    <w:rsid w:val="00ED4B03"/>
    <w:rsid w:val="00ED5A05"/>
    <w:rsid w:val="00ED5B17"/>
    <w:rsid w:val="00ED5C3A"/>
    <w:rsid w:val="00ED5DB0"/>
    <w:rsid w:val="00ED5DC1"/>
    <w:rsid w:val="00ED6C8E"/>
    <w:rsid w:val="00ED7A4B"/>
    <w:rsid w:val="00ED7C62"/>
    <w:rsid w:val="00EE08AE"/>
    <w:rsid w:val="00EE0F35"/>
    <w:rsid w:val="00EE115B"/>
    <w:rsid w:val="00EE1634"/>
    <w:rsid w:val="00EE16BD"/>
    <w:rsid w:val="00EE18FF"/>
    <w:rsid w:val="00EE20B3"/>
    <w:rsid w:val="00EE21B4"/>
    <w:rsid w:val="00EE3A52"/>
    <w:rsid w:val="00EE5517"/>
    <w:rsid w:val="00EE55CE"/>
    <w:rsid w:val="00EE5813"/>
    <w:rsid w:val="00EE5DD9"/>
    <w:rsid w:val="00EE643D"/>
    <w:rsid w:val="00EE64FB"/>
    <w:rsid w:val="00EE6545"/>
    <w:rsid w:val="00EE67A2"/>
    <w:rsid w:val="00EE6C87"/>
    <w:rsid w:val="00EE6CB0"/>
    <w:rsid w:val="00EE72DA"/>
    <w:rsid w:val="00EE76DE"/>
    <w:rsid w:val="00EE7A4F"/>
    <w:rsid w:val="00EE7C7B"/>
    <w:rsid w:val="00EF06E2"/>
    <w:rsid w:val="00EF1464"/>
    <w:rsid w:val="00EF1F97"/>
    <w:rsid w:val="00EF221A"/>
    <w:rsid w:val="00EF2C2B"/>
    <w:rsid w:val="00EF330F"/>
    <w:rsid w:val="00EF37A2"/>
    <w:rsid w:val="00EF3F35"/>
    <w:rsid w:val="00EF4B92"/>
    <w:rsid w:val="00EF5143"/>
    <w:rsid w:val="00EF5B5F"/>
    <w:rsid w:val="00EF5E61"/>
    <w:rsid w:val="00EF69CC"/>
    <w:rsid w:val="00EF7AE2"/>
    <w:rsid w:val="00F00EF9"/>
    <w:rsid w:val="00F01E91"/>
    <w:rsid w:val="00F0400C"/>
    <w:rsid w:val="00F04898"/>
    <w:rsid w:val="00F05337"/>
    <w:rsid w:val="00F05B46"/>
    <w:rsid w:val="00F05C0E"/>
    <w:rsid w:val="00F05D44"/>
    <w:rsid w:val="00F063A4"/>
    <w:rsid w:val="00F07D27"/>
    <w:rsid w:val="00F1073D"/>
    <w:rsid w:val="00F110C9"/>
    <w:rsid w:val="00F118AC"/>
    <w:rsid w:val="00F11CD4"/>
    <w:rsid w:val="00F12686"/>
    <w:rsid w:val="00F1454C"/>
    <w:rsid w:val="00F14C5C"/>
    <w:rsid w:val="00F14F9F"/>
    <w:rsid w:val="00F15CFA"/>
    <w:rsid w:val="00F15D29"/>
    <w:rsid w:val="00F16790"/>
    <w:rsid w:val="00F171D6"/>
    <w:rsid w:val="00F17402"/>
    <w:rsid w:val="00F202FA"/>
    <w:rsid w:val="00F203DF"/>
    <w:rsid w:val="00F206BD"/>
    <w:rsid w:val="00F2091B"/>
    <w:rsid w:val="00F21094"/>
    <w:rsid w:val="00F212FA"/>
    <w:rsid w:val="00F2136A"/>
    <w:rsid w:val="00F227BC"/>
    <w:rsid w:val="00F23366"/>
    <w:rsid w:val="00F23CFC"/>
    <w:rsid w:val="00F23D96"/>
    <w:rsid w:val="00F23FED"/>
    <w:rsid w:val="00F24D4F"/>
    <w:rsid w:val="00F25F74"/>
    <w:rsid w:val="00F26BCC"/>
    <w:rsid w:val="00F274D7"/>
    <w:rsid w:val="00F3093D"/>
    <w:rsid w:val="00F30961"/>
    <w:rsid w:val="00F30F15"/>
    <w:rsid w:val="00F31827"/>
    <w:rsid w:val="00F31E2E"/>
    <w:rsid w:val="00F32519"/>
    <w:rsid w:val="00F32684"/>
    <w:rsid w:val="00F32C6D"/>
    <w:rsid w:val="00F32F4D"/>
    <w:rsid w:val="00F3450A"/>
    <w:rsid w:val="00F34E37"/>
    <w:rsid w:val="00F36119"/>
    <w:rsid w:val="00F36934"/>
    <w:rsid w:val="00F369B2"/>
    <w:rsid w:val="00F36A46"/>
    <w:rsid w:val="00F37C79"/>
    <w:rsid w:val="00F37E50"/>
    <w:rsid w:val="00F402DE"/>
    <w:rsid w:val="00F41833"/>
    <w:rsid w:val="00F41FBC"/>
    <w:rsid w:val="00F438FF"/>
    <w:rsid w:val="00F43D99"/>
    <w:rsid w:val="00F4443D"/>
    <w:rsid w:val="00F4471A"/>
    <w:rsid w:val="00F4575D"/>
    <w:rsid w:val="00F45F02"/>
    <w:rsid w:val="00F46CCC"/>
    <w:rsid w:val="00F47D3F"/>
    <w:rsid w:val="00F505FA"/>
    <w:rsid w:val="00F50670"/>
    <w:rsid w:val="00F50894"/>
    <w:rsid w:val="00F50C6C"/>
    <w:rsid w:val="00F52A4B"/>
    <w:rsid w:val="00F53727"/>
    <w:rsid w:val="00F5418E"/>
    <w:rsid w:val="00F549F7"/>
    <w:rsid w:val="00F553B2"/>
    <w:rsid w:val="00F55B0F"/>
    <w:rsid w:val="00F55BEF"/>
    <w:rsid w:val="00F56ADB"/>
    <w:rsid w:val="00F5730E"/>
    <w:rsid w:val="00F57514"/>
    <w:rsid w:val="00F60136"/>
    <w:rsid w:val="00F6049E"/>
    <w:rsid w:val="00F6064D"/>
    <w:rsid w:val="00F6096B"/>
    <w:rsid w:val="00F60D0C"/>
    <w:rsid w:val="00F60F67"/>
    <w:rsid w:val="00F61704"/>
    <w:rsid w:val="00F6296F"/>
    <w:rsid w:val="00F62F42"/>
    <w:rsid w:val="00F632F2"/>
    <w:rsid w:val="00F6330C"/>
    <w:rsid w:val="00F63523"/>
    <w:rsid w:val="00F638CF"/>
    <w:rsid w:val="00F639AF"/>
    <w:rsid w:val="00F63CF6"/>
    <w:rsid w:val="00F64423"/>
    <w:rsid w:val="00F6443B"/>
    <w:rsid w:val="00F64568"/>
    <w:rsid w:val="00F64FD9"/>
    <w:rsid w:val="00F651AC"/>
    <w:rsid w:val="00F667BB"/>
    <w:rsid w:val="00F66BDE"/>
    <w:rsid w:val="00F67073"/>
    <w:rsid w:val="00F673D0"/>
    <w:rsid w:val="00F67758"/>
    <w:rsid w:val="00F67D11"/>
    <w:rsid w:val="00F67DA0"/>
    <w:rsid w:val="00F67F49"/>
    <w:rsid w:val="00F70310"/>
    <w:rsid w:val="00F7070F"/>
    <w:rsid w:val="00F7136E"/>
    <w:rsid w:val="00F713AE"/>
    <w:rsid w:val="00F71AD4"/>
    <w:rsid w:val="00F71FA3"/>
    <w:rsid w:val="00F7288F"/>
    <w:rsid w:val="00F73706"/>
    <w:rsid w:val="00F73E0B"/>
    <w:rsid w:val="00F74742"/>
    <w:rsid w:val="00F74E50"/>
    <w:rsid w:val="00F75893"/>
    <w:rsid w:val="00F75BBA"/>
    <w:rsid w:val="00F75DF7"/>
    <w:rsid w:val="00F761C7"/>
    <w:rsid w:val="00F761EA"/>
    <w:rsid w:val="00F76E4D"/>
    <w:rsid w:val="00F77F47"/>
    <w:rsid w:val="00F77FDD"/>
    <w:rsid w:val="00F80670"/>
    <w:rsid w:val="00F80C20"/>
    <w:rsid w:val="00F810EF"/>
    <w:rsid w:val="00F811D6"/>
    <w:rsid w:val="00F81F97"/>
    <w:rsid w:val="00F837F0"/>
    <w:rsid w:val="00F848A9"/>
    <w:rsid w:val="00F84D35"/>
    <w:rsid w:val="00F8501F"/>
    <w:rsid w:val="00F8539B"/>
    <w:rsid w:val="00F85742"/>
    <w:rsid w:val="00F85B03"/>
    <w:rsid w:val="00F85CAE"/>
    <w:rsid w:val="00F866B7"/>
    <w:rsid w:val="00F87255"/>
    <w:rsid w:val="00F90353"/>
    <w:rsid w:val="00F903AE"/>
    <w:rsid w:val="00F90983"/>
    <w:rsid w:val="00F909DE"/>
    <w:rsid w:val="00F910DD"/>
    <w:rsid w:val="00F91AA8"/>
    <w:rsid w:val="00F9238B"/>
    <w:rsid w:val="00F935B3"/>
    <w:rsid w:val="00F93AFB"/>
    <w:rsid w:val="00F93E5D"/>
    <w:rsid w:val="00F9488C"/>
    <w:rsid w:val="00F94D0A"/>
    <w:rsid w:val="00F94D42"/>
    <w:rsid w:val="00F94DBB"/>
    <w:rsid w:val="00F95BA5"/>
    <w:rsid w:val="00F95D12"/>
    <w:rsid w:val="00F960F6"/>
    <w:rsid w:val="00F96420"/>
    <w:rsid w:val="00F96473"/>
    <w:rsid w:val="00F964F2"/>
    <w:rsid w:val="00F965BA"/>
    <w:rsid w:val="00F978EF"/>
    <w:rsid w:val="00F979D6"/>
    <w:rsid w:val="00FA03B1"/>
    <w:rsid w:val="00FA0C64"/>
    <w:rsid w:val="00FA1978"/>
    <w:rsid w:val="00FA1C12"/>
    <w:rsid w:val="00FA2B6F"/>
    <w:rsid w:val="00FA3440"/>
    <w:rsid w:val="00FA348E"/>
    <w:rsid w:val="00FA34EF"/>
    <w:rsid w:val="00FA3BB9"/>
    <w:rsid w:val="00FA43CF"/>
    <w:rsid w:val="00FA4C1A"/>
    <w:rsid w:val="00FA5D7C"/>
    <w:rsid w:val="00FA5D7E"/>
    <w:rsid w:val="00FA6142"/>
    <w:rsid w:val="00FA6A2E"/>
    <w:rsid w:val="00FA6E67"/>
    <w:rsid w:val="00FA73F9"/>
    <w:rsid w:val="00FA7EBB"/>
    <w:rsid w:val="00FB1268"/>
    <w:rsid w:val="00FB1761"/>
    <w:rsid w:val="00FB1A64"/>
    <w:rsid w:val="00FB1C2D"/>
    <w:rsid w:val="00FB230C"/>
    <w:rsid w:val="00FB3204"/>
    <w:rsid w:val="00FB4847"/>
    <w:rsid w:val="00FB4A09"/>
    <w:rsid w:val="00FB4B2E"/>
    <w:rsid w:val="00FB53B3"/>
    <w:rsid w:val="00FB5914"/>
    <w:rsid w:val="00FB5A31"/>
    <w:rsid w:val="00FB6709"/>
    <w:rsid w:val="00FB6759"/>
    <w:rsid w:val="00FB70FE"/>
    <w:rsid w:val="00FB7DED"/>
    <w:rsid w:val="00FC0FFD"/>
    <w:rsid w:val="00FC1737"/>
    <w:rsid w:val="00FC27E0"/>
    <w:rsid w:val="00FC2E27"/>
    <w:rsid w:val="00FC37ED"/>
    <w:rsid w:val="00FC3BCB"/>
    <w:rsid w:val="00FC4420"/>
    <w:rsid w:val="00FC4569"/>
    <w:rsid w:val="00FC4978"/>
    <w:rsid w:val="00FC5B47"/>
    <w:rsid w:val="00FC5FDF"/>
    <w:rsid w:val="00FC6475"/>
    <w:rsid w:val="00FC6529"/>
    <w:rsid w:val="00FC7D3E"/>
    <w:rsid w:val="00FD04E1"/>
    <w:rsid w:val="00FD0597"/>
    <w:rsid w:val="00FD0D02"/>
    <w:rsid w:val="00FD17AB"/>
    <w:rsid w:val="00FD267B"/>
    <w:rsid w:val="00FD27B1"/>
    <w:rsid w:val="00FD3BE0"/>
    <w:rsid w:val="00FD405D"/>
    <w:rsid w:val="00FD5E3C"/>
    <w:rsid w:val="00FD62DD"/>
    <w:rsid w:val="00FD632B"/>
    <w:rsid w:val="00FD6747"/>
    <w:rsid w:val="00FD69E0"/>
    <w:rsid w:val="00FD6AF1"/>
    <w:rsid w:val="00FD7478"/>
    <w:rsid w:val="00FD7B8F"/>
    <w:rsid w:val="00FD7E5C"/>
    <w:rsid w:val="00FE04AD"/>
    <w:rsid w:val="00FE06AC"/>
    <w:rsid w:val="00FE1073"/>
    <w:rsid w:val="00FE137F"/>
    <w:rsid w:val="00FE16DA"/>
    <w:rsid w:val="00FE351E"/>
    <w:rsid w:val="00FE6876"/>
    <w:rsid w:val="00FE6AAD"/>
    <w:rsid w:val="00FE6B97"/>
    <w:rsid w:val="00FE7476"/>
    <w:rsid w:val="00FE7980"/>
    <w:rsid w:val="00FE79C3"/>
    <w:rsid w:val="00FE7A6F"/>
    <w:rsid w:val="00FF065C"/>
    <w:rsid w:val="00FF1079"/>
    <w:rsid w:val="00FF11F0"/>
    <w:rsid w:val="00FF15F5"/>
    <w:rsid w:val="00FF27BE"/>
    <w:rsid w:val="00FF3526"/>
    <w:rsid w:val="00FF370B"/>
    <w:rsid w:val="00FF38E8"/>
    <w:rsid w:val="00FF3B07"/>
    <w:rsid w:val="00FF3FDB"/>
    <w:rsid w:val="00FF4B99"/>
    <w:rsid w:val="00FF61EE"/>
    <w:rsid w:val="00FF74C4"/>
    <w:rsid w:val="00FF778C"/>
    <w:rsid w:val="00FF7CBA"/>
    <w:rsid w:val="00FF7D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784414"/>
  <w15:chartTrackingRefBased/>
  <w15:docId w15:val="{5330DAE4-3045-421F-BB2F-A49E3284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8E4"/>
    <w:rPr>
      <w:rFonts w:ascii="Arial" w:hAnsi="Arial"/>
      <w:sz w:val="24"/>
    </w:rPr>
  </w:style>
  <w:style w:type="paragraph" w:styleId="Heading1">
    <w:name w:val="heading 1"/>
    <w:basedOn w:val="ListParagraph"/>
    <w:next w:val="Normal"/>
    <w:link w:val="Heading1Char"/>
    <w:uiPriority w:val="9"/>
    <w:qFormat/>
    <w:rsid w:val="008F2070"/>
    <w:pPr>
      <w:numPr>
        <w:numId w:val="1"/>
      </w:numPr>
      <w:pBdr>
        <w:top w:val="single" w:sz="4" w:space="0" w:color="auto"/>
        <w:left w:val="single" w:sz="4" w:space="4" w:color="auto"/>
        <w:bottom w:val="single" w:sz="4" w:space="1" w:color="auto"/>
        <w:right w:val="single" w:sz="4" w:space="4" w:color="auto"/>
      </w:pBdr>
      <w:shd w:val="clear" w:color="auto" w:fill="8DB3E2"/>
      <w:spacing w:line="240" w:lineRule="auto"/>
      <w:outlineLvl w:val="0"/>
    </w:pPr>
    <w:rPr>
      <w:rFonts w:cs="Arial"/>
      <w:b/>
      <w:bCs/>
      <w:sz w:val="32"/>
      <w:szCs w:val="32"/>
    </w:rPr>
  </w:style>
  <w:style w:type="paragraph" w:styleId="Heading2">
    <w:name w:val="heading 2"/>
    <w:basedOn w:val="Normal"/>
    <w:next w:val="Normal"/>
    <w:link w:val="Heading2Char"/>
    <w:uiPriority w:val="9"/>
    <w:unhideWhenUsed/>
    <w:qFormat/>
    <w:rsid w:val="00C429D1"/>
    <w:pPr>
      <w:numPr>
        <w:ilvl w:val="1"/>
        <w:numId w:val="1"/>
      </w:numPr>
      <w:spacing w:before="240" w:line="240" w:lineRule="auto"/>
      <w:outlineLvl w:val="1"/>
    </w:pPr>
    <w:rPr>
      <w:rFonts w:cs="Arial"/>
      <w:b/>
      <w:bCs/>
      <w:szCs w:val="24"/>
      <w:lang w:val="en-US"/>
    </w:rPr>
  </w:style>
  <w:style w:type="paragraph" w:styleId="Heading3">
    <w:name w:val="heading 3"/>
    <w:basedOn w:val="Normal"/>
    <w:next w:val="Normal"/>
    <w:link w:val="Heading3Char"/>
    <w:uiPriority w:val="9"/>
    <w:unhideWhenUsed/>
    <w:qFormat/>
    <w:rsid w:val="00A60CBC"/>
    <w:pPr>
      <w:outlineLvl w:val="2"/>
    </w:pPr>
    <w:rPr>
      <w:u w:val="single"/>
    </w:rPr>
  </w:style>
  <w:style w:type="paragraph" w:styleId="Heading4">
    <w:name w:val="heading 4"/>
    <w:basedOn w:val="Normal"/>
    <w:next w:val="Normal"/>
    <w:link w:val="Heading4Char"/>
    <w:uiPriority w:val="9"/>
    <w:unhideWhenUsed/>
    <w:qFormat/>
    <w:rsid w:val="00707AE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671777"/>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7">
    <w:name w:val="heading 7"/>
    <w:basedOn w:val="Normal"/>
    <w:next w:val="Normal"/>
    <w:link w:val="Heading7Char"/>
    <w:uiPriority w:val="9"/>
    <w:semiHidden/>
    <w:unhideWhenUsed/>
    <w:qFormat/>
    <w:rsid w:val="009657FF"/>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87253E"/>
    <w:rPr>
      <w:rFonts w:ascii="ArialMT" w:hAnsi="ArialMT" w:hint="default"/>
      <w:b w:val="0"/>
      <w:bCs w:val="0"/>
      <w:i w:val="0"/>
      <w:iCs w:val="0"/>
      <w:color w:val="000000"/>
      <w:sz w:val="22"/>
      <w:szCs w:val="22"/>
    </w:rPr>
  </w:style>
  <w:style w:type="character" w:customStyle="1" w:styleId="fontstyle21">
    <w:name w:val="fontstyle21"/>
    <w:basedOn w:val="DefaultParagraphFont"/>
    <w:rsid w:val="0087253E"/>
    <w:rPr>
      <w:rFonts w:ascii="Arial-ItalicMT" w:hAnsi="Arial-ItalicMT" w:hint="default"/>
      <w:b w:val="0"/>
      <w:bCs w:val="0"/>
      <w:i/>
      <w:iCs/>
      <w:color w:val="000000"/>
      <w:sz w:val="22"/>
      <w:szCs w:val="22"/>
    </w:rPr>
  </w:style>
  <w:style w:type="paragraph" w:customStyle="1" w:styleId="paragraph">
    <w:name w:val="paragraph"/>
    <w:basedOn w:val="Normal"/>
    <w:rsid w:val="00582887"/>
    <w:pPr>
      <w:spacing w:before="100" w:beforeAutospacing="1" w:after="100" w:afterAutospacing="1" w:line="240" w:lineRule="auto"/>
    </w:pPr>
    <w:rPr>
      <w:rFonts w:ascii="Times New Roman" w:eastAsia="Times New Roman" w:hAnsi="Times New Roman" w:cs="Times New Roman"/>
      <w:szCs w:val="24"/>
      <w:lang w:eastAsia="en-CA"/>
    </w:rPr>
  </w:style>
  <w:style w:type="character" w:customStyle="1" w:styleId="normaltextrun">
    <w:name w:val="normaltextrun"/>
    <w:basedOn w:val="DefaultParagraphFont"/>
    <w:rsid w:val="00582887"/>
  </w:style>
  <w:style w:type="character" w:customStyle="1" w:styleId="eop">
    <w:name w:val="eop"/>
    <w:basedOn w:val="DefaultParagraphFont"/>
    <w:rsid w:val="00582887"/>
  </w:style>
  <w:style w:type="paragraph" w:styleId="ListParagraph">
    <w:name w:val="List Paragraph"/>
    <w:aliases w:val="Recommendation,List Paragraph11,L,CV text,Table text,F5 List Paragraph,Dot pt,Bullet 1,Numbered Para 1,No Spacing1,List Paragraph Char Char Char,Indicator Text,table bullets,List Paragraph1,Bullet Points,List Paragraph2,MAIN CONTENT,BN 1"/>
    <w:basedOn w:val="Normal"/>
    <w:link w:val="ListParagraphChar"/>
    <w:uiPriority w:val="34"/>
    <w:qFormat/>
    <w:rsid w:val="00582887"/>
    <w:pPr>
      <w:ind w:left="720"/>
      <w:contextualSpacing/>
    </w:pPr>
  </w:style>
  <w:style w:type="paragraph" w:styleId="FootnoteText">
    <w:name w:val="footnote text"/>
    <w:aliases w:val="Carattere,Footnote Text Char1 Char,Footnote Text Char Char Char,Footnote Text Char1 Char Char Char,Footnote Text Char Char Char Char Char,Footnote Text Char2 Char Char Char Char Char,Footnote Text Char1,FA Fu,Char,FA,FA Fußnotentext,5_G"/>
    <w:basedOn w:val="Normal"/>
    <w:link w:val="FootnoteTextChar"/>
    <w:uiPriority w:val="99"/>
    <w:unhideWhenUsed/>
    <w:rsid w:val="00F71FA3"/>
    <w:pPr>
      <w:spacing w:after="0" w:line="240" w:lineRule="auto"/>
    </w:pPr>
    <w:rPr>
      <w:sz w:val="20"/>
      <w:szCs w:val="20"/>
    </w:rPr>
  </w:style>
  <w:style w:type="character" w:customStyle="1" w:styleId="FootnoteTextChar">
    <w:name w:val="Footnote Text Char"/>
    <w:aliases w:val="Carattere Char,Footnote Text Char1 Char Char,Footnote Text Char Char Char Char,Footnote Text Char1 Char Char Char Char,Footnote Text Char Char Char Char Char Char,Footnote Text Char2 Char Char Char Char Char Char,FA Fu Char,Char Char"/>
    <w:basedOn w:val="DefaultParagraphFont"/>
    <w:link w:val="FootnoteText"/>
    <w:uiPriority w:val="99"/>
    <w:rsid w:val="00F71FA3"/>
    <w:rPr>
      <w:sz w:val="20"/>
      <w:szCs w:val="20"/>
    </w:rPr>
  </w:style>
  <w:style w:type="character" w:styleId="FootnoteReference">
    <w:name w:val="footnote reference"/>
    <w:aliases w:val="Appel note de bas de page,Footnotes refss,Fago Fu?notenzeichen,Fago Fußnotenzeichen,Footnote number,Fago Fuﬂnotenzeichen,4_G"/>
    <w:basedOn w:val="DefaultParagraphFont"/>
    <w:uiPriority w:val="99"/>
    <w:unhideWhenUsed/>
    <w:rsid w:val="00F71FA3"/>
    <w:rPr>
      <w:vertAlign w:val="superscript"/>
    </w:rPr>
  </w:style>
  <w:style w:type="character" w:styleId="Hyperlink">
    <w:name w:val="Hyperlink"/>
    <w:basedOn w:val="DefaultParagraphFont"/>
    <w:uiPriority w:val="99"/>
    <w:unhideWhenUsed/>
    <w:rsid w:val="00F71FA3"/>
    <w:rPr>
      <w:color w:val="0563C1" w:themeColor="hyperlink"/>
      <w:u w:val="single"/>
    </w:rPr>
  </w:style>
  <w:style w:type="paragraph" w:styleId="NormalWeb">
    <w:name w:val="Normal (Web)"/>
    <w:basedOn w:val="Normal"/>
    <w:uiPriority w:val="99"/>
    <w:unhideWhenUsed/>
    <w:rsid w:val="002E1237"/>
    <w:pPr>
      <w:spacing w:before="100" w:beforeAutospacing="1" w:after="100" w:afterAutospacing="1" w:line="240" w:lineRule="auto"/>
    </w:pPr>
    <w:rPr>
      <w:rFonts w:ascii="Times New Roman" w:eastAsia="Times New Roman" w:hAnsi="Times New Roman" w:cs="Times New Roman"/>
      <w:szCs w:val="24"/>
      <w:lang w:eastAsia="en-CA"/>
    </w:rPr>
  </w:style>
  <w:style w:type="character" w:styleId="Emphasis">
    <w:name w:val="Emphasis"/>
    <w:basedOn w:val="DefaultParagraphFont"/>
    <w:uiPriority w:val="20"/>
    <w:qFormat/>
    <w:rsid w:val="002E1237"/>
    <w:rPr>
      <w:i/>
      <w:iCs/>
    </w:rPr>
  </w:style>
  <w:style w:type="character" w:styleId="FollowedHyperlink">
    <w:name w:val="FollowedHyperlink"/>
    <w:basedOn w:val="DefaultParagraphFont"/>
    <w:uiPriority w:val="99"/>
    <w:semiHidden/>
    <w:unhideWhenUsed/>
    <w:rsid w:val="006E3A61"/>
    <w:rPr>
      <w:color w:val="954F72" w:themeColor="followedHyperlink"/>
      <w:u w:val="single"/>
    </w:rPr>
  </w:style>
  <w:style w:type="character" w:styleId="Strong">
    <w:name w:val="Strong"/>
    <w:basedOn w:val="DefaultParagraphFont"/>
    <w:uiPriority w:val="22"/>
    <w:qFormat/>
    <w:rsid w:val="000A03AE"/>
    <w:rPr>
      <w:b/>
      <w:bCs/>
    </w:rPr>
  </w:style>
  <w:style w:type="character" w:customStyle="1" w:styleId="ListParagraphChar">
    <w:name w:val="List Paragraph Char"/>
    <w:aliases w:val="Recommendation Char,List Paragraph11 Char,L Char,CV text Char,Table text Char,F5 List Paragraph Char,Dot pt Char,Bullet 1 Char,Numbered Para 1 Char,No Spacing1 Char,List Paragraph Char Char Char Char,Indicator Text Char,BN 1 Char"/>
    <w:basedOn w:val="DefaultParagraphFont"/>
    <w:link w:val="ListParagraph"/>
    <w:uiPriority w:val="34"/>
    <w:qFormat/>
    <w:locked/>
    <w:rsid w:val="00BA4B73"/>
  </w:style>
  <w:style w:type="paragraph" w:styleId="BalloonText">
    <w:name w:val="Balloon Text"/>
    <w:basedOn w:val="Normal"/>
    <w:link w:val="BalloonTextChar"/>
    <w:uiPriority w:val="99"/>
    <w:semiHidden/>
    <w:unhideWhenUsed/>
    <w:rsid w:val="006F24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431"/>
    <w:rPr>
      <w:rFonts w:ascii="Segoe UI" w:hAnsi="Segoe UI" w:cs="Segoe UI"/>
      <w:sz w:val="18"/>
      <w:szCs w:val="18"/>
    </w:rPr>
  </w:style>
  <w:style w:type="character" w:styleId="CommentReference">
    <w:name w:val="annotation reference"/>
    <w:basedOn w:val="DefaultParagraphFont"/>
    <w:uiPriority w:val="99"/>
    <w:semiHidden/>
    <w:unhideWhenUsed/>
    <w:rsid w:val="003A57BB"/>
    <w:rPr>
      <w:sz w:val="16"/>
      <w:szCs w:val="16"/>
    </w:rPr>
  </w:style>
  <w:style w:type="paragraph" w:styleId="CommentText">
    <w:name w:val="annotation text"/>
    <w:basedOn w:val="Normal"/>
    <w:link w:val="CommentTextChar"/>
    <w:uiPriority w:val="99"/>
    <w:unhideWhenUsed/>
    <w:rsid w:val="003A57BB"/>
    <w:pPr>
      <w:spacing w:line="240" w:lineRule="auto"/>
    </w:pPr>
    <w:rPr>
      <w:sz w:val="20"/>
      <w:szCs w:val="20"/>
    </w:rPr>
  </w:style>
  <w:style w:type="character" w:customStyle="1" w:styleId="CommentTextChar">
    <w:name w:val="Comment Text Char"/>
    <w:basedOn w:val="DefaultParagraphFont"/>
    <w:link w:val="CommentText"/>
    <w:uiPriority w:val="99"/>
    <w:rsid w:val="003A57BB"/>
    <w:rPr>
      <w:sz w:val="20"/>
      <w:szCs w:val="20"/>
    </w:rPr>
  </w:style>
  <w:style w:type="paragraph" w:styleId="CommentSubject">
    <w:name w:val="annotation subject"/>
    <w:basedOn w:val="CommentText"/>
    <w:next w:val="CommentText"/>
    <w:link w:val="CommentSubjectChar"/>
    <w:uiPriority w:val="99"/>
    <w:semiHidden/>
    <w:unhideWhenUsed/>
    <w:rsid w:val="003A57BB"/>
    <w:rPr>
      <w:b/>
      <w:bCs/>
    </w:rPr>
  </w:style>
  <w:style w:type="character" w:customStyle="1" w:styleId="CommentSubjectChar">
    <w:name w:val="Comment Subject Char"/>
    <w:basedOn w:val="CommentTextChar"/>
    <w:link w:val="CommentSubject"/>
    <w:uiPriority w:val="99"/>
    <w:semiHidden/>
    <w:rsid w:val="003A57BB"/>
    <w:rPr>
      <w:b/>
      <w:bCs/>
      <w:sz w:val="20"/>
      <w:szCs w:val="20"/>
    </w:rPr>
  </w:style>
  <w:style w:type="paragraph" w:styleId="Subtitle">
    <w:name w:val="Subtitle"/>
    <w:basedOn w:val="Normal"/>
    <w:next w:val="Normal"/>
    <w:link w:val="SubtitleChar"/>
    <w:uiPriority w:val="11"/>
    <w:qFormat/>
    <w:rsid w:val="003307D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307D8"/>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8F2070"/>
    <w:rPr>
      <w:rFonts w:ascii="Arial" w:hAnsi="Arial" w:cs="Arial"/>
      <w:b/>
      <w:bCs/>
      <w:sz w:val="32"/>
      <w:szCs w:val="32"/>
      <w:shd w:val="clear" w:color="auto" w:fill="8DB3E2"/>
    </w:rPr>
  </w:style>
  <w:style w:type="character" w:customStyle="1" w:styleId="Heading2Char">
    <w:name w:val="Heading 2 Char"/>
    <w:basedOn w:val="DefaultParagraphFont"/>
    <w:link w:val="Heading2"/>
    <w:uiPriority w:val="9"/>
    <w:rsid w:val="00C429D1"/>
    <w:rPr>
      <w:rFonts w:ascii="Arial" w:hAnsi="Arial" w:cs="Arial"/>
      <w:b/>
      <w:bCs/>
      <w:sz w:val="24"/>
      <w:szCs w:val="24"/>
      <w:lang w:val="en-US"/>
    </w:rPr>
  </w:style>
  <w:style w:type="character" w:customStyle="1" w:styleId="Heading3Char">
    <w:name w:val="Heading 3 Char"/>
    <w:basedOn w:val="DefaultParagraphFont"/>
    <w:link w:val="Heading3"/>
    <w:uiPriority w:val="9"/>
    <w:rsid w:val="00A60CBC"/>
    <w:rPr>
      <w:rFonts w:ascii="Arial" w:hAnsi="Arial"/>
      <w:sz w:val="24"/>
      <w:u w:val="single"/>
    </w:rPr>
  </w:style>
  <w:style w:type="character" w:customStyle="1" w:styleId="Heading4Char">
    <w:name w:val="Heading 4 Char"/>
    <w:basedOn w:val="DefaultParagraphFont"/>
    <w:link w:val="Heading4"/>
    <w:uiPriority w:val="9"/>
    <w:rsid w:val="00707AE2"/>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BF4461"/>
    <w:pPr>
      <w:outlineLvl w:val="9"/>
    </w:pPr>
    <w:rPr>
      <w:lang w:val="en-US"/>
    </w:rPr>
  </w:style>
  <w:style w:type="paragraph" w:styleId="TOC1">
    <w:name w:val="toc 1"/>
    <w:basedOn w:val="Normal"/>
    <w:next w:val="Normal"/>
    <w:autoRedefine/>
    <w:uiPriority w:val="39"/>
    <w:unhideWhenUsed/>
    <w:rsid w:val="00BF4461"/>
    <w:pPr>
      <w:spacing w:after="100"/>
    </w:pPr>
  </w:style>
  <w:style w:type="paragraph" w:styleId="TOC2">
    <w:name w:val="toc 2"/>
    <w:basedOn w:val="Normal"/>
    <w:next w:val="Normal"/>
    <w:autoRedefine/>
    <w:uiPriority w:val="39"/>
    <w:unhideWhenUsed/>
    <w:rsid w:val="00BF4461"/>
    <w:pPr>
      <w:spacing w:after="100"/>
      <w:ind w:left="220"/>
    </w:pPr>
  </w:style>
  <w:style w:type="paragraph" w:styleId="TOC3">
    <w:name w:val="toc 3"/>
    <w:basedOn w:val="Normal"/>
    <w:next w:val="Normal"/>
    <w:autoRedefine/>
    <w:uiPriority w:val="39"/>
    <w:unhideWhenUsed/>
    <w:rsid w:val="00BF4461"/>
    <w:pPr>
      <w:spacing w:after="100"/>
      <w:ind w:left="440"/>
    </w:pPr>
  </w:style>
  <w:style w:type="paragraph" w:styleId="Header">
    <w:name w:val="header"/>
    <w:basedOn w:val="Normal"/>
    <w:link w:val="HeaderChar"/>
    <w:uiPriority w:val="99"/>
    <w:unhideWhenUsed/>
    <w:rsid w:val="004F45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5F9"/>
  </w:style>
  <w:style w:type="paragraph" w:styleId="Footer">
    <w:name w:val="footer"/>
    <w:basedOn w:val="Normal"/>
    <w:link w:val="FooterChar"/>
    <w:uiPriority w:val="99"/>
    <w:unhideWhenUsed/>
    <w:rsid w:val="004F45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5F9"/>
  </w:style>
  <w:style w:type="paragraph" w:styleId="Revision">
    <w:name w:val="Revision"/>
    <w:hidden/>
    <w:uiPriority w:val="99"/>
    <w:semiHidden/>
    <w:rsid w:val="00E013CF"/>
    <w:pPr>
      <w:spacing w:after="0" w:line="240" w:lineRule="auto"/>
    </w:pPr>
  </w:style>
  <w:style w:type="paragraph" w:customStyle="1" w:styleId="section">
    <w:name w:val="section"/>
    <w:basedOn w:val="Normal"/>
    <w:rsid w:val="00FB4B2E"/>
    <w:pPr>
      <w:spacing w:before="100" w:beforeAutospacing="1" w:after="100" w:afterAutospacing="1" w:line="240" w:lineRule="auto"/>
    </w:pPr>
    <w:rPr>
      <w:rFonts w:ascii="Times New Roman" w:hAnsi="Times New Roman" w:cs="Times New Roman"/>
      <w:szCs w:val="24"/>
      <w:lang w:eastAsia="en-CA"/>
    </w:rPr>
  </w:style>
  <w:style w:type="character" w:customStyle="1" w:styleId="sectionlabel">
    <w:name w:val="sectionlabel"/>
    <w:basedOn w:val="DefaultParagraphFont"/>
    <w:rsid w:val="00FB4B2E"/>
  </w:style>
  <w:style w:type="character" w:customStyle="1" w:styleId="lawlabel">
    <w:name w:val="lawlabel"/>
    <w:basedOn w:val="DefaultParagraphFont"/>
    <w:rsid w:val="00FB4B2E"/>
  </w:style>
  <w:style w:type="character" w:customStyle="1" w:styleId="Heading5Char">
    <w:name w:val="Heading 5 Char"/>
    <w:basedOn w:val="DefaultParagraphFont"/>
    <w:link w:val="Heading5"/>
    <w:uiPriority w:val="9"/>
    <w:rsid w:val="00671777"/>
    <w:rPr>
      <w:rFonts w:asciiTheme="majorHAnsi" w:eastAsiaTheme="majorEastAsia" w:hAnsiTheme="majorHAnsi" w:cstheme="majorBidi"/>
      <w:color w:val="2E74B5" w:themeColor="accent1" w:themeShade="BF"/>
    </w:rPr>
  </w:style>
  <w:style w:type="paragraph" w:customStyle="1" w:styleId="marginalnote">
    <w:name w:val="marginalnote"/>
    <w:basedOn w:val="Normal"/>
    <w:rsid w:val="00893AFF"/>
    <w:pPr>
      <w:spacing w:before="100" w:beforeAutospacing="1" w:after="100" w:afterAutospacing="1" w:line="240" w:lineRule="auto"/>
    </w:pPr>
    <w:rPr>
      <w:rFonts w:ascii="Times New Roman" w:eastAsia="Times New Roman" w:hAnsi="Times New Roman" w:cs="Times New Roman"/>
      <w:szCs w:val="24"/>
      <w:lang w:eastAsia="en-CA"/>
    </w:rPr>
  </w:style>
  <w:style w:type="paragraph" w:styleId="NoSpacing">
    <w:name w:val="No Spacing"/>
    <w:link w:val="NoSpacingChar"/>
    <w:uiPriority w:val="1"/>
    <w:qFormat/>
    <w:rsid w:val="003C5EE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5EE1"/>
    <w:rPr>
      <w:rFonts w:eastAsiaTheme="minorEastAsia"/>
      <w:lang w:val="en-US"/>
    </w:rPr>
  </w:style>
  <w:style w:type="table" w:styleId="TableGrid">
    <w:name w:val="Table Grid"/>
    <w:basedOn w:val="TableNormal"/>
    <w:uiPriority w:val="39"/>
    <w:rsid w:val="00D662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43B28"/>
  </w:style>
  <w:style w:type="character" w:styleId="UnresolvedMention">
    <w:name w:val="Unresolved Mention"/>
    <w:basedOn w:val="DefaultParagraphFont"/>
    <w:uiPriority w:val="99"/>
    <w:semiHidden/>
    <w:unhideWhenUsed/>
    <w:rsid w:val="00255E90"/>
    <w:rPr>
      <w:color w:val="605E5C"/>
      <w:shd w:val="clear" w:color="auto" w:fill="E1DFDD"/>
    </w:rPr>
  </w:style>
  <w:style w:type="paragraph" w:styleId="EndnoteText">
    <w:name w:val="endnote text"/>
    <w:basedOn w:val="Normal"/>
    <w:link w:val="EndnoteTextChar"/>
    <w:uiPriority w:val="99"/>
    <w:semiHidden/>
    <w:unhideWhenUsed/>
    <w:rsid w:val="007B58B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B58BD"/>
    <w:rPr>
      <w:rFonts w:ascii="Arial" w:hAnsi="Arial"/>
      <w:sz w:val="20"/>
      <w:szCs w:val="20"/>
    </w:rPr>
  </w:style>
  <w:style w:type="character" w:styleId="EndnoteReference">
    <w:name w:val="endnote reference"/>
    <w:basedOn w:val="DefaultParagraphFont"/>
    <w:uiPriority w:val="99"/>
    <w:semiHidden/>
    <w:unhideWhenUsed/>
    <w:rsid w:val="007B58BD"/>
    <w:rPr>
      <w:vertAlign w:val="superscript"/>
    </w:rPr>
  </w:style>
  <w:style w:type="character" w:customStyle="1" w:styleId="Heading7Char">
    <w:name w:val="Heading 7 Char"/>
    <w:basedOn w:val="DefaultParagraphFont"/>
    <w:link w:val="Heading7"/>
    <w:uiPriority w:val="9"/>
    <w:semiHidden/>
    <w:rsid w:val="009657FF"/>
    <w:rPr>
      <w:rFonts w:asciiTheme="majorHAnsi" w:eastAsiaTheme="majorEastAsia" w:hAnsiTheme="majorHAnsi" w:cstheme="majorBidi"/>
      <w:i/>
      <w:iCs/>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85267">
      <w:bodyDiv w:val="1"/>
      <w:marLeft w:val="0"/>
      <w:marRight w:val="0"/>
      <w:marTop w:val="0"/>
      <w:marBottom w:val="0"/>
      <w:divBdr>
        <w:top w:val="none" w:sz="0" w:space="0" w:color="auto"/>
        <w:left w:val="none" w:sz="0" w:space="0" w:color="auto"/>
        <w:bottom w:val="none" w:sz="0" w:space="0" w:color="auto"/>
        <w:right w:val="none" w:sz="0" w:space="0" w:color="auto"/>
      </w:divBdr>
    </w:div>
    <w:div w:id="48458735">
      <w:bodyDiv w:val="1"/>
      <w:marLeft w:val="0"/>
      <w:marRight w:val="0"/>
      <w:marTop w:val="0"/>
      <w:marBottom w:val="0"/>
      <w:divBdr>
        <w:top w:val="none" w:sz="0" w:space="0" w:color="auto"/>
        <w:left w:val="none" w:sz="0" w:space="0" w:color="auto"/>
        <w:bottom w:val="none" w:sz="0" w:space="0" w:color="auto"/>
        <w:right w:val="none" w:sz="0" w:space="0" w:color="auto"/>
      </w:divBdr>
    </w:div>
    <w:div w:id="55595263">
      <w:bodyDiv w:val="1"/>
      <w:marLeft w:val="0"/>
      <w:marRight w:val="0"/>
      <w:marTop w:val="0"/>
      <w:marBottom w:val="0"/>
      <w:divBdr>
        <w:top w:val="none" w:sz="0" w:space="0" w:color="auto"/>
        <w:left w:val="none" w:sz="0" w:space="0" w:color="auto"/>
        <w:bottom w:val="none" w:sz="0" w:space="0" w:color="auto"/>
        <w:right w:val="none" w:sz="0" w:space="0" w:color="auto"/>
      </w:divBdr>
    </w:div>
    <w:div w:id="60910195">
      <w:bodyDiv w:val="1"/>
      <w:marLeft w:val="0"/>
      <w:marRight w:val="0"/>
      <w:marTop w:val="0"/>
      <w:marBottom w:val="0"/>
      <w:divBdr>
        <w:top w:val="none" w:sz="0" w:space="0" w:color="auto"/>
        <w:left w:val="none" w:sz="0" w:space="0" w:color="auto"/>
        <w:bottom w:val="none" w:sz="0" w:space="0" w:color="auto"/>
        <w:right w:val="none" w:sz="0" w:space="0" w:color="auto"/>
      </w:divBdr>
    </w:div>
    <w:div w:id="73674608">
      <w:bodyDiv w:val="1"/>
      <w:marLeft w:val="0"/>
      <w:marRight w:val="0"/>
      <w:marTop w:val="0"/>
      <w:marBottom w:val="0"/>
      <w:divBdr>
        <w:top w:val="none" w:sz="0" w:space="0" w:color="auto"/>
        <w:left w:val="none" w:sz="0" w:space="0" w:color="auto"/>
        <w:bottom w:val="none" w:sz="0" w:space="0" w:color="auto"/>
        <w:right w:val="none" w:sz="0" w:space="0" w:color="auto"/>
      </w:divBdr>
    </w:div>
    <w:div w:id="75590680">
      <w:bodyDiv w:val="1"/>
      <w:marLeft w:val="0"/>
      <w:marRight w:val="0"/>
      <w:marTop w:val="0"/>
      <w:marBottom w:val="0"/>
      <w:divBdr>
        <w:top w:val="none" w:sz="0" w:space="0" w:color="auto"/>
        <w:left w:val="none" w:sz="0" w:space="0" w:color="auto"/>
        <w:bottom w:val="none" w:sz="0" w:space="0" w:color="auto"/>
        <w:right w:val="none" w:sz="0" w:space="0" w:color="auto"/>
      </w:divBdr>
    </w:div>
    <w:div w:id="78916278">
      <w:bodyDiv w:val="1"/>
      <w:marLeft w:val="0"/>
      <w:marRight w:val="0"/>
      <w:marTop w:val="0"/>
      <w:marBottom w:val="0"/>
      <w:divBdr>
        <w:top w:val="none" w:sz="0" w:space="0" w:color="auto"/>
        <w:left w:val="none" w:sz="0" w:space="0" w:color="auto"/>
        <w:bottom w:val="none" w:sz="0" w:space="0" w:color="auto"/>
        <w:right w:val="none" w:sz="0" w:space="0" w:color="auto"/>
      </w:divBdr>
    </w:div>
    <w:div w:id="83645961">
      <w:bodyDiv w:val="1"/>
      <w:marLeft w:val="0"/>
      <w:marRight w:val="0"/>
      <w:marTop w:val="0"/>
      <w:marBottom w:val="0"/>
      <w:divBdr>
        <w:top w:val="none" w:sz="0" w:space="0" w:color="auto"/>
        <w:left w:val="none" w:sz="0" w:space="0" w:color="auto"/>
        <w:bottom w:val="none" w:sz="0" w:space="0" w:color="auto"/>
        <w:right w:val="none" w:sz="0" w:space="0" w:color="auto"/>
      </w:divBdr>
    </w:div>
    <w:div w:id="93022200">
      <w:bodyDiv w:val="1"/>
      <w:marLeft w:val="0"/>
      <w:marRight w:val="0"/>
      <w:marTop w:val="0"/>
      <w:marBottom w:val="0"/>
      <w:divBdr>
        <w:top w:val="none" w:sz="0" w:space="0" w:color="auto"/>
        <w:left w:val="none" w:sz="0" w:space="0" w:color="auto"/>
        <w:bottom w:val="none" w:sz="0" w:space="0" w:color="auto"/>
        <w:right w:val="none" w:sz="0" w:space="0" w:color="auto"/>
      </w:divBdr>
    </w:div>
    <w:div w:id="97259551">
      <w:bodyDiv w:val="1"/>
      <w:marLeft w:val="0"/>
      <w:marRight w:val="0"/>
      <w:marTop w:val="0"/>
      <w:marBottom w:val="0"/>
      <w:divBdr>
        <w:top w:val="none" w:sz="0" w:space="0" w:color="auto"/>
        <w:left w:val="none" w:sz="0" w:space="0" w:color="auto"/>
        <w:bottom w:val="none" w:sz="0" w:space="0" w:color="auto"/>
        <w:right w:val="none" w:sz="0" w:space="0" w:color="auto"/>
      </w:divBdr>
    </w:div>
    <w:div w:id="104009095">
      <w:bodyDiv w:val="1"/>
      <w:marLeft w:val="0"/>
      <w:marRight w:val="0"/>
      <w:marTop w:val="0"/>
      <w:marBottom w:val="0"/>
      <w:divBdr>
        <w:top w:val="none" w:sz="0" w:space="0" w:color="auto"/>
        <w:left w:val="none" w:sz="0" w:space="0" w:color="auto"/>
        <w:bottom w:val="none" w:sz="0" w:space="0" w:color="auto"/>
        <w:right w:val="none" w:sz="0" w:space="0" w:color="auto"/>
      </w:divBdr>
    </w:div>
    <w:div w:id="106894359">
      <w:bodyDiv w:val="1"/>
      <w:marLeft w:val="0"/>
      <w:marRight w:val="0"/>
      <w:marTop w:val="0"/>
      <w:marBottom w:val="0"/>
      <w:divBdr>
        <w:top w:val="none" w:sz="0" w:space="0" w:color="auto"/>
        <w:left w:val="none" w:sz="0" w:space="0" w:color="auto"/>
        <w:bottom w:val="none" w:sz="0" w:space="0" w:color="auto"/>
        <w:right w:val="none" w:sz="0" w:space="0" w:color="auto"/>
      </w:divBdr>
    </w:div>
    <w:div w:id="108554930">
      <w:bodyDiv w:val="1"/>
      <w:marLeft w:val="0"/>
      <w:marRight w:val="0"/>
      <w:marTop w:val="0"/>
      <w:marBottom w:val="0"/>
      <w:divBdr>
        <w:top w:val="none" w:sz="0" w:space="0" w:color="auto"/>
        <w:left w:val="none" w:sz="0" w:space="0" w:color="auto"/>
        <w:bottom w:val="none" w:sz="0" w:space="0" w:color="auto"/>
        <w:right w:val="none" w:sz="0" w:space="0" w:color="auto"/>
      </w:divBdr>
    </w:div>
    <w:div w:id="123431643">
      <w:bodyDiv w:val="1"/>
      <w:marLeft w:val="0"/>
      <w:marRight w:val="0"/>
      <w:marTop w:val="0"/>
      <w:marBottom w:val="0"/>
      <w:divBdr>
        <w:top w:val="none" w:sz="0" w:space="0" w:color="auto"/>
        <w:left w:val="none" w:sz="0" w:space="0" w:color="auto"/>
        <w:bottom w:val="none" w:sz="0" w:space="0" w:color="auto"/>
        <w:right w:val="none" w:sz="0" w:space="0" w:color="auto"/>
      </w:divBdr>
    </w:div>
    <w:div w:id="179975550">
      <w:bodyDiv w:val="1"/>
      <w:marLeft w:val="0"/>
      <w:marRight w:val="0"/>
      <w:marTop w:val="0"/>
      <w:marBottom w:val="0"/>
      <w:divBdr>
        <w:top w:val="none" w:sz="0" w:space="0" w:color="auto"/>
        <w:left w:val="none" w:sz="0" w:space="0" w:color="auto"/>
        <w:bottom w:val="none" w:sz="0" w:space="0" w:color="auto"/>
        <w:right w:val="none" w:sz="0" w:space="0" w:color="auto"/>
      </w:divBdr>
    </w:div>
    <w:div w:id="203833488">
      <w:bodyDiv w:val="1"/>
      <w:marLeft w:val="0"/>
      <w:marRight w:val="0"/>
      <w:marTop w:val="0"/>
      <w:marBottom w:val="0"/>
      <w:divBdr>
        <w:top w:val="none" w:sz="0" w:space="0" w:color="auto"/>
        <w:left w:val="none" w:sz="0" w:space="0" w:color="auto"/>
        <w:bottom w:val="none" w:sz="0" w:space="0" w:color="auto"/>
        <w:right w:val="none" w:sz="0" w:space="0" w:color="auto"/>
      </w:divBdr>
    </w:div>
    <w:div w:id="215553898">
      <w:bodyDiv w:val="1"/>
      <w:marLeft w:val="0"/>
      <w:marRight w:val="0"/>
      <w:marTop w:val="0"/>
      <w:marBottom w:val="0"/>
      <w:divBdr>
        <w:top w:val="none" w:sz="0" w:space="0" w:color="auto"/>
        <w:left w:val="none" w:sz="0" w:space="0" w:color="auto"/>
        <w:bottom w:val="none" w:sz="0" w:space="0" w:color="auto"/>
        <w:right w:val="none" w:sz="0" w:space="0" w:color="auto"/>
      </w:divBdr>
    </w:div>
    <w:div w:id="236013657">
      <w:bodyDiv w:val="1"/>
      <w:marLeft w:val="0"/>
      <w:marRight w:val="0"/>
      <w:marTop w:val="0"/>
      <w:marBottom w:val="0"/>
      <w:divBdr>
        <w:top w:val="none" w:sz="0" w:space="0" w:color="auto"/>
        <w:left w:val="none" w:sz="0" w:space="0" w:color="auto"/>
        <w:bottom w:val="none" w:sz="0" w:space="0" w:color="auto"/>
        <w:right w:val="none" w:sz="0" w:space="0" w:color="auto"/>
      </w:divBdr>
    </w:div>
    <w:div w:id="244000016">
      <w:bodyDiv w:val="1"/>
      <w:marLeft w:val="0"/>
      <w:marRight w:val="0"/>
      <w:marTop w:val="0"/>
      <w:marBottom w:val="0"/>
      <w:divBdr>
        <w:top w:val="none" w:sz="0" w:space="0" w:color="auto"/>
        <w:left w:val="none" w:sz="0" w:space="0" w:color="auto"/>
        <w:bottom w:val="none" w:sz="0" w:space="0" w:color="auto"/>
        <w:right w:val="none" w:sz="0" w:space="0" w:color="auto"/>
      </w:divBdr>
    </w:div>
    <w:div w:id="244842691">
      <w:bodyDiv w:val="1"/>
      <w:marLeft w:val="0"/>
      <w:marRight w:val="0"/>
      <w:marTop w:val="0"/>
      <w:marBottom w:val="0"/>
      <w:divBdr>
        <w:top w:val="none" w:sz="0" w:space="0" w:color="auto"/>
        <w:left w:val="none" w:sz="0" w:space="0" w:color="auto"/>
        <w:bottom w:val="none" w:sz="0" w:space="0" w:color="auto"/>
        <w:right w:val="none" w:sz="0" w:space="0" w:color="auto"/>
      </w:divBdr>
    </w:div>
    <w:div w:id="250242470">
      <w:bodyDiv w:val="1"/>
      <w:marLeft w:val="0"/>
      <w:marRight w:val="0"/>
      <w:marTop w:val="0"/>
      <w:marBottom w:val="0"/>
      <w:divBdr>
        <w:top w:val="none" w:sz="0" w:space="0" w:color="auto"/>
        <w:left w:val="none" w:sz="0" w:space="0" w:color="auto"/>
        <w:bottom w:val="none" w:sz="0" w:space="0" w:color="auto"/>
        <w:right w:val="none" w:sz="0" w:space="0" w:color="auto"/>
      </w:divBdr>
    </w:div>
    <w:div w:id="264314442">
      <w:bodyDiv w:val="1"/>
      <w:marLeft w:val="0"/>
      <w:marRight w:val="0"/>
      <w:marTop w:val="0"/>
      <w:marBottom w:val="0"/>
      <w:divBdr>
        <w:top w:val="none" w:sz="0" w:space="0" w:color="auto"/>
        <w:left w:val="none" w:sz="0" w:space="0" w:color="auto"/>
        <w:bottom w:val="none" w:sz="0" w:space="0" w:color="auto"/>
        <w:right w:val="none" w:sz="0" w:space="0" w:color="auto"/>
      </w:divBdr>
    </w:div>
    <w:div w:id="273488094">
      <w:bodyDiv w:val="1"/>
      <w:marLeft w:val="0"/>
      <w:marRight w:val="0"/>
      <w:marTop w:val="0"/>
      <w:marBottom w:val="0"/>
      <w:divBdr>
        <w:top w:val="none" w:sz="0" w:space="0" w:color="auto"/>
        <w:left w:val="none" w:sz="0" w:space="0" w:color="auto"/>
        <w:bottom w:val="none" w:sz="0" w:space="0" w:color="auto"/>
        <w:right w:val="none" w:sz="0" w:space="0" w:color="auto"/>
      </w:divBdr>
    </w:div>
    <w:div w:id="296424069">
      <w:bodyDiv w:val="1"/>
      <w:marLeft w:val="0"/>
      <w:marRight w:val="0"/>
      <w:marTop w:val="0"/>
      <w:marBottom w:val="0"/>
      <w:divBdr>
        <w:top w:val="none" w:sz="0" w:space="0" w:color="auto"/>
        <w:left w:val="none" w:sz="0" w:space="0" w:color="auto"/>
        <w:bottom w:val="none" w:sz="0" w:space="0" w:color="auto"/>
        <w:right w:val="none" w:sz="0" w:space="0" w:color="auto"/>
      </w:divBdr>
    </w:div>
    <w:div w:id="301232862">
      <w:bodyDiv w:val="1"/>
      <w:marLeft w:val="0"/>
      <w:marRight w:val="0"/>
      <w:marTop w:val="0"/>
      <w:marBottom w:val="0"/>
      <w:divBdr>
        <w:top w:val="none" w:sz="0" w:space="0" w:color="auto"/>
        <w:left w:val="none" w:sz="0" w:space="0" w:color="auto"/>
        <w:bottom w:val="none" w:sz="0" w:space="0" w:color="auto"/>
        <w:right w:val="none" w:sz="0" w:space="0" w:color="auto"/>
      </w:divBdr>
    </w:div>
    <w:div w:id="302782379">
      <w:bodyDiv w:val="1"/>
      <w:marLeft w:val="0"/>
      <w:marRight w:val="0"/>
      <w:marTop w:val="0"/>
      <w:marBottom w:val="0"/>
      <w:divBdr>
        <w:top w:val="none" w:sz="0" w:space="0" w:color="auto"/>
        <w:left w:val="none" w:sz="0" w:space="0" w:color="auto"/>
        <w:bottom w:val="none" w:sz="0" w:space="0" w:color="auto"/>
        <w:right w:val="none" w:sz="0" w:space="0" w:color="auto"/>
      </w:divBdr>
    </w:div>
    <w:div w:id="304623881">
      <w:bodyDiv w:val="1"/>
      <w:marLeft w:val="0"/>
      <w:marRight w:val="0"/>
      <w:marTop w:val="0"/>
      <w:marBottom w:val="0"/>
      <w:divBdr>
        <w:top w:val="none" w:sz="0" w:space="0" w:color="auto"/>
        <w:left w:val="none" w:sz="0" w:space="0" w:color="auto"/>
        <w:bottom w:val="none" w:sz="0" w:space="0" w:color="auto"/>
        <w:right w:val="none" w:sz="0" w:space="0" w:color="auto"/>
      </w:divBdr>
    </w:div>
    <w:div w:id="336351794">
      <w:bodyDiv w:val="1"/>
      <w:marLeft w:val="0"/>
      <w:marRight w:val="0"/>
      <w:marTop w:val="0"/>
      <w:marBottom w:val="0"/>
      <w:divBdr>
        <w:top w:val="none" w:sz="0" w:space="0" w:color="auto"/>
        <w:left w:val="none" w:sz="0" w:space="0" w:color="auto"/>
        <w:bottom w:val="none" w:sz="0" w:space="0" w:color="auto"/>
        <w:right w:val="none" w:sz="0" w:space="0" w:color="auto"/>
      </w:divBdr>
      <w:divsChild>
        <w:div w:id="23484425">
          <w:marLeft w:val="0"/>
          <w:marRight w:val="0"/>
          <w:marTop w:val="0"/>
          <w:marBottom w:val="0"/>
          <w:divBdr>
            <w:top w:val="none" w:sz="0" w:space="0" w:color="auto"/>
            <w:left w:val="none" w:sz="0" w:space="0" w:color="auto"/>
            <w:bottom w:val="none" w:sz="0" w:space="0" w:color="auto"/>
            <w:right w:val="none" w:sz="0" w:space="0" w:color="auto"/>
          </w:divBdr>
          <w:divsChild>
            <w:div w:id="220794951">
              <w:marLeft w:val="0"/>
              <w:marRight w:val="0"/>
              <w:marTop w:val="0"/>
              <w:marBottom w:val="0"/>
              <w:divBdr>
                <w:top w:val="none" w:sz="0" w:space="0" w:color="auto"/>
                <w:left w:val="none" w:sz="0" w:space="0" w:color="auto"/>
                <w:bottom w:val="none" w:sz="0" w:space="0" w:color="auto"/>
                <w:right w:val="none" w:sz="0" w:space="0" w:color="auto"/>
              </w:divBdr>
            </w:div>
            <w:div w:id="259611391">
              <w:marLeft w:val="0"/>
              <w:marRight w:val="0"/>
              <w:marTop w:val="0"/>
              <w:marBottom w:val="0"/>
              <w:divBdr>
                <w:top w:val="none" w:sz="0" w:space="0" w:color="auto"/>
                <w:left w:val="none" w:sz="0" w:space="0" w:color="auto"/>
                <w:bottom w:val="none" w:sz="0" w:space="0" w:color="auto"/>
                <w:right w:val="none" w:sz="0" w:space="0" w:color="auto"/>
              </w:divBdr>
            </w:div>
            <w:div w:id="348726211">
              <w:marLeft w:val="0"/>
              <w:marRight w:val="0"/>
              <w:marTop w:val="0"/>
              <w:marBottom w:val="0"/>
              <w:divBdr>
                <w:top w:val="none" w:sz="0" w:space="0" w:color="auto"/>
                <w:left w:val="none" w:sz="0" w:space="0" w:color="auto"/>
                <w:bottom w:val="none" w:sz="0" w:space="0" w:color="auto"/>
                <w:right w:val="none" w:sz="0" w:space="0" w:color="auto"/>
              </w:divBdr>
            </w:div>
            <w:div w:id="714547243">
              <w:marLeft w:val="0"/>
              <w:marRight w:val="0"/>
              <w:marTop w:val="0"/>
              <w:marBottom w:val="0"/>
              <w:divBdr>
                <w:top w:val="none" w:sz="0" w:space="0" w:color="auto"/>
                <w:left w:val="none" w:sz="0" w:space="0" w:color="auto"/>
                <w:bottom w:val="none" w:sz="0" w:space="0" w:color="auto"/>
                <w:right w:val="none" w:sz="0" w:space="0" w:color="auto"/>
              </w:divBdr>
            </w:div>
            <w:div w:id="805469337">
              <w:marLeft w:val="0"/>
              <w:marRight w:val="0"/>
              <w:marTop w:val="0"/>
              <w:marBottom w:val="0"/>
              <w:divBdr>
                <w:top w:val="none" w:sz="0" w:space="0" w:color="auto"/>
                <w:left w:val="none" w:sz="0" w:space="0" w:color="auto"/>
                <w:bottom w:val="none" w:sz="0" w:space="0" w:color="auto"/>
                <w:right w:val="none" w:sz="0" w:space="0" w:color="auto"/>
              </w:divBdr>
            </w:div>
          </w:divsChild>
        </w:div>
        <w:div w:id="51930075">
          <w:marLeft w:val="0"/>
          <w:marRight w:val="0"/>
          <w:marTop w:val="0"/>
          <w:marBottom w:val="0"/>
          <w:divBdr>
            <w:top w:val="none" w:sz="0" w:space="0" w:color="auto"/>
            <w:left w:val="none" w:sz="0" w:space="0" w:color="auto"/>
            <w:bottom w:val="none" w:sz="0" w:space="0" w:color="auto"/>
            <w:right w:val="none" w:sz="0" w:space="0" w:color="auto"/>
          </w:divBdr>
          <w:divsChild>
            <w:div w:id="259073534">
              <w:marLeft w:val="0"/>
              <w:marRight w:val="0"/>
              <w:marTop w:val="0"/>
              <w:marBottom w:val="0"/>
              <w:divBdr>
                <w:top w:val="none" w:sz="0" w:space="0" w:color="auto"/>
                <w:left w:val="none" w:sz="0" w:space="0" w:color="auto"/>
                <w:bottom w:val="none" w:sz="0" w:space="0" w:color="auto"/>
                <w:right w:val="none" w:sz="0" w:space="0" w:color="auto"/>
              </w:divBdr>
            </w:div>
            <w:div w:id="678890305">
              <w:marLeft w:val="0"/>
              <w:marRight w:val="0"/>
              <w:marTop w:val="0"/>
              <w:marBottom w:val="0"/>
              <w:divBdr>
                <w:top w:val="none" w:sz="0" w:space="0" w:color="auto"/>
                <w:left w:val="none" w:sz="0" w:space="0" w:color="auto"/>
                <w:bottom w:val="none" w:sz="0" w:space="0" w:color="auto"/>
                <w:right w:val="none" w:sz="0" w:space="0" w:color="auto"/>
              </w:divBdr>
            </w:div>
            <w:div w:id="891963672">
              <w:marLeft w:val="0"/>
              <w:marRight w:val="0"/>
              <w:marTop w:val="0"/>
              <w:marBottom w:val="0"/>
              <w:divBdr>
                <w:top w:val="none" w:sz="0" w:space="0" w:color="auto"/>
                <w:left w:val="none" w:sz="0" w:space="0" w:color="auto"/>
                <w:bottom w:val="none" w:sz="0" w:space="0" w:color="auto"/>
                <w:right w:val="none" w:sz="0" w:space="0" w:color="auto"/>
              </w:divBdr>
            </w:div>
            <w:div w:id="1006131452">
              <w:marLeft w:val="0"/>
              <w:marRight w:val="0"/>
              <w:marTop w:val="0"/>
              <w:marBottom w:val="0"/>
              <w:divBdr>
                <w:top w:val="none" w:sz="0" w:space="0" w:color="auto"/>
                <w:left w:val="none" w:sz="0" w:space="0" w:color="auto"/>
                <w:bottom w:val="none" w:sz="0" w:space="0" w:color="auto"/>
                <w:right w:val="none" w:sz="0" w:space="0" w:color="auto"/>
              </w:divBdr>
            </w:div>
            <w:div w:id="1709253342">
              <w:marLeft w:val="0"/>
              <w:marRight w:val="0"/>
              <w:marTop w:val="0"/>
              <w:marBottom w:val="0"/>
              <w:divBdr>
                <w:top w:val="none" w:sz="0" w:space="0" w:color="auto"/>
                <w:left w:val="none" w:sz="0" w:space="0" w:color="auto"/>
                <w:bottom w:val="none" w:sz="0" w:space="0" w:color="auto"/>
                <w:right w:val="none" w:sz="0" w:space="0" w:color="auto"/>
              </w:divBdr>
            </w:div>
          </w:divsChild>
        </w:div>
        <w:div w:id="138810534">
          <w:marLeft w:val="0"/>
          <w:marRight w:val="0"/>
          <w:marTop w:val="0"/>
          <w:marBottom w:val="0"/>
          <w:divBdr>
            <w:top w:val="none" w:sz="0" w:space="0" w:color="auto"/>
            <w:left w:val="none" w:sz="0" w:space="0" w:color="auto"/>
            <w:bottom w:val="none" w:sz="0" w:space="0" w:color="auto"/>
            <w:right w:val="none" w:sz="0" w:space="0" w:color="auto"/>
          </w:divBdr>
        </w:div>
        <w:div w:id="144929996">
          <w:marLeft w:val="0"/>
          <w:marRight w:val="0"/>
          <w:marTop w:val="0"/>
          <w:marBottom w:val="0"/>
          <w:divBdr>
            <w:top w:val="none" w:sz="0" w:space="0" w:color="auto"/>
            <w:left w:val="none" w:sz="0" w:space="0" w:color="auto"/>
            <w:bottom w:val="none" w:sz="0" w:space="0" w:color="auto"/>
            <w:right w:val="none" w:sz="0" w:space="0" w:color="auto"/>
          </w:divBdr>
        </w:div>
        <w:div w:id="195849939">
          <w:marLeft w:val="0"/>
          <w:marRight w:val="0"/>
          <w:marTop w:val="0"/>
          <w:marBottom w:val="0"/>
          <w:divBdr>
            <w:top w:val="none" w:sz="0" w:space="0" w:color="auto"/>
            <w:left w:val="none" w:sz="0" w:space="0" w:color="auto"/>
            <w:bottom w:val="none" w:sz="0" w:space="0" w:color="auto"/>
            <w:right w:val="none" w:sz="0" w:space="0" w:color="auto"/>
          </w:divBdr>
        </w:div>
        <w:div w:id="260458788">
          <w:marLeft w:val="0"/>
          <w:marRight w:val="0"/>
          <w:marTop w:val="0"/>
          <w:marBottom w:val="0"/>
          <w:divBdr>
            <w:top w:val="none" w:sz="0" w:space="0" w:color="auto"/>
            <w:left w:val="none" w:sz="0" w:space="0" w:color="auto"/>
            <w:bottom w:val="none" w:sz="0" w:space="0" w:color="auto"/>
            <w:right w:val="none" w:sz="0" w:space="0" w:color="auto"/>
          </w:divBdr>
        </w:div>
        <w:div w:id="299967135">
          <w:marLeft w:val="0"/>
          <w:marRight w:val="0"/>
          <w:marTop w:val="0"/>
          <w:marBottom w:val="0"/>
          <w:divBdr>
            <w:top w:val="none" w:sz="0" w:space="0" w:color="auto"/>
            <w:left w:val="none" w:sz="0" w:space="0" w:color="auto"/>
            <w:bottom w:val="none" w:sz="0" w:space="0" w:color="auto"/>
            <w:right w:val="none" w:sz="0" w:space="0" w:color="auto"/>
          </w:divBdr>
        </w:div>
        <w:div w:id="438306514">
          <w:marLeft w:val="0"/>
          <w:marRight w:val="0"/>
          <w:marTop w:val="0"/>
          <w:marBottom w:val="0"/>
          <w:divBdr>
            <w:top w:val="none" w:sz="0" w:space="0" w:color="auto"/>
            <w:left w:val="none" w:sz="0" w:space="0" w:color="auto"/>
            <w:bottom w:val="none" w:sz="0" w:space="0" w:color="auto"/>
            <w:right w:val="none" w:sz="0" w:space="0" w:color="auto"/>
          </w:divBdr>
          <w:divsChild>
            <w:div w:id="292757767">
              <w:marLeft w:val="0"/>
              <w:marRight w:val="0"/>
              <w:marTop w:val="0"/>
              <w:marBottom w:val="0"/>
              <w:divBdr>
                <w:top w:val="none" w:sz="0" w:space="0" w:color="auto"/>
                <w:left w:val="none" w:sz="0" w:space="0" w:color="auto"/>
                <w:bottom w:val="none" w:sz="0" w:space="0" w:color="auto"/>
                <w:right w:val="none" w:sz="0" w:space="0" w:color="auto"/>
              </w:divBdr>
            </w:div>
            <w:div w:id="348682656">
              <w:marLeft w:val="0"/>
              <w:marRight w:val="0"/>
              <w:marTop w:val="0"/>
              <w:marBottom w:val="0"/>
              <w:divBdr>
                <w:top w:val="none" w:sz="0" w:space="0" w:color="auto"/>
                <w:left w:val="none" w:sz="0" w:space="0" w:color="auto"/>
                <w:bottom w:val="none" w:sz="0" w:space="0" w:color="auto"/>
                <w:right w:val="none" w:sz="0" w:space="0" w:color="auto"/>
              </w:divBdr>
            </w:div>
            <w:div w:id="590432151">
              <w:marLeft w:val="0"/>
              <w:marRight w:val="0"/>
              <w:marTop w:val="0"/>
              <w:marBottom w:val="0"/>
              <w:divBdr>
                <w:top w:val="none" w:sz="0" w:space="0" w:color="auto"/>
                <w:left w:val="none" w:sz="0" w:space="0" w:color="auto"/>
                <w:bottom w:val="none" w:sz="0" w:space="0" w:color="auto"/>
                <w:right w:val="none" w:sz="0" w:space="0" w:color="auto"/>
              </w:divBdr>
            </w:div>
            <w:div w:id="1188368523">
              <w:marLeft w:val="0"/>
              <w:marRight w:val="0"/>
              <w:marTop w:val="0"/>
              <w:marBottom w:val="0"/>
              <w:divBdr>
                <w:top w:val="none" w:sz="0" w:space="0" w:color="auto"/>
                <w:left w:val="none" w:sz="0" w:space="0" w:color="auto"/>
                <w:bottom w:val="none" w:sz="0" w:space="0" w:color="auto"/>
                <w:right w:val="none" w:sz="0" w:space="0" w:color="auto"/>
              </w:divBdr>
            </w:div>
            <w:div w:id="1386687159">
              <w:marLeft w:val="0"/>
              <w:marRight w:val="0"/>
              <w:marTop w:val="0"/>
              <w:marBottom w:val="0"/>
              <w:divBdr>
                <w:top w:val="none" w:sz="0" w:space="0" w:color="auto"/>
                <w:left w:val="none" w:sz="0" w:space="0" w:color="auto"/>
                <w:bottom w:val="none" w:sz="0" w:space="0" w:color="auto"/>
                <w:right w:val="none" w:sz="0" w:space="0" w:color="auto"/>
              </w:divBdr>
            </w:div>
          </w:divsChild>
        </w:div>
        <w:div w:id="491719683">
          <w:marLeft w:val="0"/>
          <w:marRight w:val="0"/>
          <w:marTop w:val="0"/>
          <w:marBottom w:val="0"/>
          <w:divBdr>
            <w:top w:val="none" w:sz="0" w:space="0" w:color="auto"/>
            <w:left w:val="none" w:sz="0" w:space="0" w:color="auto"/>
            <w:bottom w:val="none" w:sz="0" w:space="0" w:color="auto"/>
            <w:right w:val="none" w:sz="0" w:space="0" w:color="auto"/>
          </w:divBdr>
        </w:div>
        <w:div w:id="578100135">
          <w:marLeft w:val="0"/>
          <w:marRight w:val="0"/>
          <w:marTop w:val="0"/>
          <w:marBottom w:val="0"/>
          <w:divBdr>
            <w:top w:val="none" w:sz="0" w:space="0" w:color="auto"/>
            <w:left w:val="none" w:sz="0" w:space="0" w:color="auto"/>
            <w:bottom w:val="none" w:sz="0" w:space="0" w:color="auto"/>
            <w:right w:val="none" w:sz="0" w:space="0" w:color="auto"/>
          </w:divBdr>
        </w:div>
        <w:div w:id="619730211">
          <w:marLeft w:val="0"/>
          <w:marRight w:val="0"/>
          <w:marTop w:val="0"/>
          <w:marBottom w:val="0"/>
          <w:divBdr>
            <w:top w:val="none" w:sz="0" w:space="0" w:color="auto"/>
            <w:left w:val="none" w:sz="0" w:space="0" w:color="auto"/>
            <w:bottom w:val="none" w:sz="0" w:space="0" w:color="auto"/>
            <w:right w:val="none" w:sz="0" w:space="0" w:color="auto"/>
          </w:divBdr>
        </w:div>
        <w:div w:id="692270994">
          <w:marLeft w:val="0"/>
          <w:marRight w:val="0"/>
          <w:marTop w:val="0"/>
          <w:marBottom w:val="0"/>
          <w:divBdr>
            <w:top w:val="none" w:sz="0" w:space="0" w:color="auto"/>
            <w:left w:val="none" w:sz="0" w:space="0" w:color="auto"/>
            <w:bottom w:val="none" w:sz="0" w:space="0" w:color="auto"/>
            <w:right w:val="none" w:sz="0" w:space="0" w:color="auto"/>
          </w:divBdr>
        </w:div>
        <w:div w:id="772482782">
          <w:marLeft w:val="0"/>
          <w:marRight w:val="0"/>
          <w:marTop w:val="0"/>
          <w:marBottom w:val="0"/>
          <w:divBdr>
            <w:top w:val="none" w:sz="0" w:space="0" w:color="auto"/>
            <w:left w:val="none" w:sz="0" w:space="0" w:color="auto"/>
            <w:bottom w:val="none" w:sz="0" w:space="0" w:color="auto"/>
            <w:right w:val="none" w:sz="0" w:space="0" w:color="auto"/>
          </w:divBdr>
        </w:div>
        <w:div w:id="774324584">
          <w:marLeft w:val="0"/>
          <w:marRight w:val="0"/>
          <w:marTop w:val="0"/>
          <w:marBottom w:val="0"/>
          <w:divBdr>
            <w:top w:val="none" w:sz="0" w:space="0" w:color="auto"/>
            <w:left w:val="none" w:sz="0" w:space="0" w:color="auto"/>
            <w:bottom w:val="none" w:sz="0" w:space="0" w:color="auto"/>
            <w:right w:val="none" w:sz="0" w:space="0" w:color="auto"/>
          </w:divBdr>
        </w:div>
        <w:div w:id="795216624">
          <w:marLeft w:val="0"/>
          <w:marRight w:val="0"/>
          <w:marTop w:val="0"/>
          <w:marBottom w:val="0"/>
          <w:divBdr>
            <w:top w:val="none" w:sz="0" w:space="0" w:color="auto"/>
            <w:left w:val="none" w:sz="0" w:space="0" w:color="auto"/>
            <w:bottom w:val="none" w:sz="0" w:space="0" w:color="auto"/>
            <w:right w:val="none" w:sz="0" w:space="0" w:color="auto"/>
          </w:divBdr>
        </w:div>
        <w:div w:id="818769399">
          <w:marLeft w:val="0"/>
          <w:marRight w:val="0"/>
          <w:marTop w:val="0"/>
          <w:marBottom w:val="0"/>
          <w:divBdr>
            <w:top w:val="none" w:sz="0" w:space="0" w:color="auto"/>
            <w:left w:val="none" w:sz="0" w:space="0" w:color="auto"/>
            <w:bottom w:val="none" w:sz="0" w:space="0" w:color="auto"/>
            <w:right w:val="none" w:sz="0" w:space="0" w:color="auto"/>
          </w:divBdr>
        </w:div>
        <w:div w:id="882248916">
          <w:marLeft w:val="0"/>
          <w:marRight w:val="0"/>
          <w:marTop w:val="0"/>
          <w:marBottom w:val="0"/>
          <w:divBdr>
            <w:top w:val="none" w:sz="0" w:space="0" w:color="auto"/>
            <w:left w:val="none" w:sz="0" w:space="0" w:color="auto"/>
            <w:bottom w:val="none" w:sz="0" w:space="0" w:color="auto"/>
            <w:right w:val="none" w:sz="0" w:space="0" w:color="auto"/>
          </w:divBdr>
          <w:divsChild>
            <w:div w:id="609776029">
              <w:marLeft w:val="0"/>
              <w:marRight w:val="0"/>
              <w:marTop w:val="0"/>
              <w:marBottom w:val="0"/>
              <w:divBdr>
                <w:top w:val="none" w:sz="0" w:space="0" w:color="auto"/>
                <w:left w:val="none" w:sz="0" w:space="0" w:color="auto"/>
                <w:bottom w:val="none" w:sz="0" w:space="0" w:color="auto"/>
                <w:right w:val="none" w:sz="0" w:space="0" w:color="auto"/>
              </w:divBdr>
            </w:div>
          </w:divsChild>
        </w:div>
        <w:div w:id="928126377">
          <w:marLeft w:val="0"/>
          <w:marRight w:val="0"/>
          <w:marTop w:val="0"/>
          <w:marBottom w:val="0"/>
          <w:divBdr>
            <w:top w:val="none" w:sz="0" w:space="0" w:color="auto"/>
            <w:left w:val="none" w:sz="0" w:space="0" w:color="auto"/>
            <w:bottom w:val="none" w:sz="0" w:space="0" w:color="auto"/>
            <w:right w:val="none" w:sz="0" w:space="0" w:color="auto"/>
          </w:divBdr>
        </w:div>
        <w:div w:id="1080521318">
          <w:marLeft w:val="0"/>
          <w:marRight w:val="0"/>
          <w:marTop w:val="0"/>
          <w:marBottom w:val="0"/>
          <w:divBdr>
            <w:top w:val="none" w:sz="0" w:space="0" w:color="auto"/>
            <w:left w:val="none" w:sz="0" w:space="0" w:color="auto"/>
            <w:bottom w:val="none" w:sz="0" w:space="0" w:color="auto"/>
            <w:right w:val="none" w:sz="0" w:space="0" w:color="auto"/>
          </w:divBdr>
        </w:div>
        <w:div w:id="1107889890">
          <w:marLeft w:val="0"/>
          <w:marRight w:val="0"/>
          <w:marTop w:val="0"/>
          <w:marBottom w:val="0"/>
          <w:divBdr>
            <w:top w:val="none" w:sz="0" w:space="0" w:color="auto"/>
            <w:left w:val="none" w:sz="0" w:space="0" w:color="auto"/>
            <w:bottom w:val="none" w:sz="0" w:space="0" w:color="auto"/>
            <w:right w:val="none" w:sz="0" w:space="0" w:color="auto"/>
          </w:divBdr>
        </w:div>
        <w:div w:id="1252738882">
          <w:marLeft w:val="0"/>
          <w:marRight w:val="0"/>
          <w:marTop w:val="0"/>
          <w:marBottom w:val="0"/>
          <w:divBdr>
            <w:top w:val="none" w:sz="0" w:space="0" w:color="auto"/>
            <w:left w:val="none" w:sz="0" w:space="0" w:color="auto"/>
            <w:bottom w:val="none" w:sz="0" w:space="0" w:color="auto"/>
            <w:right w:val="none" w:sz="0" w:space="0" w:color="auto"/>
          </w:divBdr>
          <w:divsChild>
            <w:div w:id="469909186">
              <w:marLeft w:val="0"/>
              <w:marRight w:val="0"/>
              <w:marTop w:val="0"/>
              <w:marBottom w:val="0"/>
              <w:divBdr>
                <w:top w:val="none" w:sz="0" w:space="0" w:color="auto"/>
                <w:left w:val="none" w:sz="0" w:space="0" w:color="auto"/>
                <w:bottom w:val="none" w:sz="0" w:space="0" w:color="auto"/>
                <w:right w:val="none" w:sz="0" w:space="0" w:color="auto"/>
              </w:divBdr>
            </w:div>
            <w:div w:id="782115628">
              <w:marLeft w:val="0"/>
              <w:marRight w:val="0"/>
              <w:marTop w:val="0"/>
              <w:marBottom w:val="0"/>
              <w:divBdr>
                <w:top w:val="none" w:sz="0" w:space="0" w:color="auto"/>
                <w:left w:val="none" w:sz="0" w:space="0" w:color="auto"/>
                <w:bottom w:val="none" w:sz="0" w:space="0" w:color="auto"/>
                <w:right w:val="none" w:sz="0" w:space="0" w:color="auto"/>
              </w:divBdr>
            </w:div>
            <w:div w:id="1379014501">
              <w:marLeft w:val="0"/>
              <w:marRight w:val="0"/>
              <w:marTop w:val="0"/>
              <w:marBottom w:val="0"/>
              <w:divBdr>
                <w:top w:val="none" w:sz="0" w:space="0" w:color="auto"/>
                <w:left w:val="none" w:sz="0" w:space="0" w:color="auto"/>
                <w:bottom w:val="none" w:sz="0" w:space="0" w:color="auto"/>
                <w:right w:val="none" w:sz="0" w:space="0" w:color="auto"/>
              </w:divBdr>
            </w:div>
            <w:div w:id="1400404211">
              <w:marLeft w:val="0"/>
              <w:marRight w:val="0"/>
              <w:marTop w:val="0"/>
              <w:marBottom w:val="0"/>
              <w:divBdr>
                <w:top w:val="none" w:sz="0" w:space="0" w:color="auto"/>
                <w:left w:val="none" w:sz="0" w:space="0" w:color="auto"/>
                <w:bottom w:val="none" w:sz="0" w:space="0" w:color="auto"/>
                <w:right w:val="none" w:sz="0" w:space="0" w:color="auto"/>
              </w:divBdr>
            </w:div>
            <w:div w:id="1596474441">
              <w:marLeft w:val="0"/>
              <w:marRight w:val="0"/>
              <w:marTop w:val="0"/>
              <w:marBottom w:val="0"/>
              <w:divBdr>
                <w:top w:val="none" w:sz="0" w:space="0" w:color="auto"/>
                <w:left w:val="none" w:sz="0" w:space="0" w:color="auto"/>
                <w:bottom w:val="none" w:sz="0" w:space="0" w:color="auto"/>
                <w:right w:val="none" w:sz="0" w:space="0" w:color="auto"/>
              </w:divBdr>
            </w:div>
          </w:divsChild>
        </w:div>
        <w:div w:id="1339229539">
          <w:marLeft w:val="0"/>
          <w:marRight w:val="0"/>
          <w:marTop w:val="0"/>
          <w:marBottom w:val="0"/>
          <w:divBdr>
            <w:top w:val="none" w:sz="0" w:space="0" w:color="auto"/>
            <w:left w:val="none" w:sz="0" w:space="0" w:color="auto"/>
            <w:bottom w:val="none" w:sz="0" w:space="0" w:color="auto"/>
            <w:right w:val="none" w:sz="0" w:space="0" w:color="auto"/>
          </w:divBdr>
        </w:div>
        <w:div w:id="1356687378">
          <w:marLeft w:val="0"/>
          <w:marRight w:val="0"/>
          <w:marTop w:val="0"/>
          <w:marBottom w:val="0"/>
          <w:divBdr>
            <w:top w:val="none" w:sz="0" w:space="0" w:color="auto"/>
            <w:left w:val="none" w:sz="0" w:space="0" w:color="auto"/>
            <w:bottom w:val="none" w:sz="0" w:space="0" w:color="auto"/>
            <w:right w:val="none" w:sz="0" w:space="0" w:color="auto"/>
          </w:divBdr>
        </w:div>
        <w:div w:id="1387680072">
          <w:marLeft w:val="0"/>
          <w:marRight w:val="0"/>
          <w:marTop w:val="0"/>
          <w:marBottom w:val="0"/>
          <w:divBdr>
            <w:top w:val="none" w:sz="0" w:space="0" w:color="auto"/>
            <w:left w:val="none" w:sz="0" w:space="0" w:color="auto"/>
            <w:bottom w:val="none" w:sz="0" w:space="0" w:color="auto"/>
            <w:right w:val="none" w:sz="0" w:space="0" w:color="auto"/>
          </w:divBdr>
        </w:div>
        <w:div w:id="1394893078">
          <w:marLeft w:val="0"/>
          <w:marRight w:val="0"/>
          <w:marTop w:val="0"/>
          <w:marBottom w:val="0"/>
          <w:divBdr>
            <w:top w:val="none" w:sz="0" w:space="0" w:color="auto"/>
            <w:left w:val="none" w:sz="0" w:space="0" w:color="auto"/>
            <w:bottom w:val="none" w:sz="0" w:space="0" w:color="auto"/>
            <w:right w:val="none" w:sz="0" w:space="0" w:color="auto"/>
          </w:divBdr>
        </w:div>
        <w:div w:id="1477188234">
          <w:marLeft w:val="0"/>
          <w:marRight w:val="0"/>
          <w:marTop w:val="0"/>
          <w:marBottom w:val="0"/>
          <w:divBdr>
            <w:top w:val="none" w:sz="0" w:space="0" w:color="auto"/>
            <w:left w:val="none" w:sz="0" w:space="0" w:color="auto"/>
            <w:bottom w:val="none" w:sz="0" w:space="0" w:color="auto"/>
            <w:right w:val="none" w:sz="0" w:space="0" w:color="auto"/>
          </w:divBdr>
        </w:div>
        <w:div w:id="1506674297">
          <w:marLeft w:val="0"/>
          <w:marRight w:val="0"/>
          <w:marTop w:val="0"/>
          <w:marBottom w:val="0"/>
          <w:divBdr>
            <w:top w:val="none" w:sz="0" w:space="0" w:color="auto"/>
            <w:left w:val="none" w:sz="0" w:space="0" w:color="auto"/>
            <w:bottom w:val="none" w:sz="0" w:space="0" w:color="auto"/>
            <w:right w:val="none" w:sz="0" w:space="0" w:color="auto"/>
          </w:divBdr>
        </w:div>
        <w:div w:id="1547449441">
          <w:marLeft w:val="0"/>
          <w:marRight w:val="0"/>
          <w:marTop w:val="0"/>
          <w:marBottom w:val="0"/>
          <w:divBdr>
            <w:top w:val="none" w:sz="0" w:space="0" w:color="auto"/>
            <w:left w:val="none" w:sz="0" w:space="0" w:color="auto"/>
            <w:bottom w:val="none" w:sz="0" w:space="0" w:color="auto"/>
            <w:right w:val="none" w:sz="0" w:space="0" w:color="auto"/>
          </w:divBdr>
        </w:div>
        <w:div w:id="1707365297">
          <w:marLeft w:val="0"/>
          <w:marRight w:val="0"/>
          <w:marTop w:val="0"/>
          <w:marBottom w:val="0"/>
          <w:divBdr>
            <w:top w:val="none" w:sz="0" w:space="0" w:color="auto"/>
            <w:left w:val="none" w:sz="0" w:space="0" w:color="auto"/>
            <w:bottom w:val="none" w:sz="0" w:space="0" w:color="auto"/>
            <w:right w:val="none" w:sz="0" w:space="0" w:color="auto"/>
          </w:divBdr>
        </w:div>
        <w:div w:id="1728605762">
          <w:marLeft w:val="0"/>
          <w:marRight w:val="0"/>
          <w:marTop w:val="0"/>
          <w:marBottom w:val="0"/>
          <w:divBdr>
            <w:top w:val="none" w:sz="0" w:space="0" w:color="auto"/>
            <w:left w:val="none" w:sz="0" w:space="0" w:color="auto"/>
            <w:bottom w:val="none" w:sz="0" w:space="0" w:color="auto"/>
            <w:right w:val="none" w:sz="0" w:space="0" w:color="auto"/>
          </w:divBdr>
        </w:div>
        <w:div w:id="1769276709">
          <w:marLeft w:val="0"/>
          <w:marRight w:val="0"/>
          <w:marTop w:val="0"/>
          <w:marBottom w:val="0"/>
          <w:divBdr>
            <w:top w:val="none" w:sz="0" w:space="0" w:color="auto"/>
            <w:left w:val="none" w:sz="0" w:space="0" w:color="auto"/>
            <w:bottom w:val="none" w:sz="0" w:space="0" w:color="auto"/>
            <w:right w:val="none" w:sz="0" w:space="0" w:color="auto"/>
          </w:divBdr>
          <w:divsChild>
            <w:div w:id="276303539">
              <w:marLeft w:val="0"/>
              <w:marRight w:val="0"/>
              <w:marTop w:val="0"/>
              <w:marBottom w:val="0"/>
              <w:divBdr>
                <w:top w:val="none" w:sz="0" w:space="0" w:color="auto"/>
                <w:left w:val="none" w:sz="0" w:space="0" w:color="auto"/>
                <w:bottom w:val="none" w:sz="0" w:space="0" w:color="auto"/>
                <w:right w:val="none" w:sz="0" w:space="0" w:color="auto"/>
              </w:divBdr>
            </w:div>
            <w:div w:id="438988274">
              <w:marLeft w:val="0"/>
              <w:marRight w:val="0"/>
              <w:marTop w:val="0"/>
              <w:marBottom w:val="0"/>
              <w:divBdr>
                <w:top w:val="none" w:sz="0" w:space="0" w:color="auto"/>
                <w:left w:val="none" w:sz="0" w:space="0" w:color="auto"/>
                <w:bottom w:val="none" w:sz="0" w:space="0" w:color="auto"/>
                <w:right w:val="none" w:sz="0" w:space="0" w:color="auto"/>
              </w:divBdr>
            </w:div>
            <w:div w:id="647051896">
              <w:marLeft w:val="0"/>
              <w:marRight w:val="0"/>
              <w:marTop w:val="0"/>
              <w:marBottom w:val="0"/>
              <w:divBdr>
                <w:top w:val="none" w:sz="0" w:space="0" w:color="auto"/>
                <w:left w:val="none" w:sz="0" w:space="0" w:color="auto"/>
                <w:bottom w:val="none" w:sz="0" w:space="0" w:color="auto"/>
                <w:right w:val="none" w:sz="0" w:space="0" w:color="auto"/>
              </w:divBdr>
            </w:div>
            <w:div w:id="948315546">
              <w:marLeft w:val="0"/>
              <w:marRight w:val="0"/>
              <w:marTop w:val="0"/>
              <w:marBottom w:val="0"/>
              <w:divBdr>
                <w:top w:val="none" w:sz="0" w:space="0" w:color="auto"/>
                <w:left w:val="none" w:sz="0" w:space="0" w:color="auto"/>
                <w:bottom w:val="none" w:sz="0" w:space="0" w:color="auto"/>
                <w:right w:val="none" w:sz="0" w:space="0" w:color="auto"/>
              </w:divBdr>
            </w:div>
            <w:div w:id="2045056390">
              <w:marLeft w:val="0"/>
              <w:marRight w:val="0"/>
              <w:marTop w:val="0"/>
              <w:marBottom w:val="0"/>
              <w:divBdr>
                <w:top w:val="none" w:sz="0" w:space="0" w:color="auto"/>
                <w:left w:val="none" w:sz="0" w:space="0" w:color="auto"/>
                <w:bottom w:val="none" w:sz="0" w:space="0" w:color="auto"/>
                <w:right w:val="none" w:sz="0" w:space="0" w:color="auto"/>
              </w:divBdr>
            </w:div>
          </w:divsChild>
        </w:div>
        <w:div w:id="1803840101">
          <w:marLeft w:val="0"/>
          <w:marRight w:val="0"/>
          <w:marTop w:val="0"/>
          <w:marBottom w:val="0"/>
          <w:divBdr>
            <w:top w:val="none" w:sz="0" w:space="0" w:color="auto"/>
            <w:left w:val="none" w:sz="0" w:space="0" w:color="auto"/>
            <w:bottom w:val="none" w:sz="0" w:space="0" w:color="auto"/>
            <w:right w:val="none" w:sz="0" w:space="0" w:color="auto"/>
          </w:divBdr>
        </w:div>
        <w:div w:id="1872759755">
          <w:marLeft w:val="0"/>
          <w:marRight w:val="0"/>
          <w:marTop w:val="0"/>
          <w:marBottom w:val="0"/>
          <w:divBdr>
            <w:top w:val="none" w:sz="0" w:space="0" w:color="auto"/>
            <w:left w:val="none" w:sz="0" w:space="0" w:color="auto"/>
            <w:bottom w:val="none" w:sz="0" w:space="0" w:color="auto"/>
            <w:right w:val="none" w:sz="0" w:space="0" w:color="auto"/>
          </w:divBdr>
        </w:div>
        <w:div w:id="1942950187">
          <w:marLeft w:val="0"/>
          <w:marRight w:val="0"/>
          <w:marTop w:val="0"/>
          <w:marBottom w:val="0"/>
          <w:divBdr>
            <w:top w:val="none" w:sz="0" w:space="0" w:color="auto"/>
            <w:left w:val="none" w:sz="0" w:space="0" w:color="auto"/>
            <w:bottom w:val="none" w:sz="0" w:space="0" w:color="auto"/>
            <w:right w:val="none" w:sz="0" w:space="0" w:color="auto"/>
          </w:divBdr>
        </w:div>
        <w:div w:id="1952937722">
          <w:marLeft w:val="0"/>
          <w:marRight w:val="0"/>
          <w:marTop w:val="0"/>
          <w:marBottom w:val="0"/>
          <w:divBdr>
            <w:top w:val="none" w:sz="0" w:space="0" w:color="auto"/>
            <w:left w:val="none" w:sz="0" w:space="0" w:color="auto"/>
            <w:bottom w:val="none" w:sz="0" w:space="0" w:color="auto"/>
            <w:right w:val="none" w:sz="0" w:space="0" w:color="auto"/>
          </w:divBdr>
        </w:div>
        <w:div w:id="1956673281">
          <w:marLeft w:val="0"/>
          <w:marRight w:val="0"/>
          <w:marTop w:val="0"/>
          <w:marBottom w:val="0"/>
          <w:divBdr>
            <w:top w:val="none" w:sz="0" w:space="0" w:color="auto"/>
            <w:left w:val="none" w:sz="0" w:space="0" w:color="auto"/>
            <w:bottom w:val="none" w:sz="0" w:space="0" w:color="auto"/>
            <w:right w:val="none" w:sz="0" w:space="0" w:color="auto"/>
          </w:divBdr>
        </w:div>
        <w:div w:id="2094206064">
          <w:marLeft w:val="0"/>
          <w:marRight w:val="0"/>
          <w:marTop w:val="0"/>
          <w:marBottom w:val="0"/>
          <w:divBdr>
            <w:top w:val="none" w:sz="0" w:space="0" w:color="auto"/>
            <w:left w:val="none" w:sz="0" w:space="0" w:color="auto"/>
            <w:bottom w:val="none" w:sz="0" w:space="0" w:color="auto"/>
            <w:right w:val="none" w:sz="0" w:space="0" w:color="auto"/>
          </w:divBdr>
          <w:divsChild>
            <w:div w:id="714351658">
              <w:marLeft w:val="0"/>
              <w:marRight w:val="0"/>
              <w:marTop w:val="0"/>
              <w:marBottom w:val="0"/>
              <w:divBdr>
                <w:top w:val="none" w:sz="0" w:space="0" w:color="auto"/>
                <w:left w:val="none" w:sz="0" w:space="0" w:color="auto"/>
                <w:bottom w:val="none" w:sz="0" w:space="0" w:color="auto"/>
                <w:right w:val="none" w:sz="0" w:space="0" w:color="auto"/>
              </w:divBdr>
            </w:div>
            <w:div w:id="756482438">
              <w:marLeft w:val="0"/>
              <w:marRight w:val="0"/>
              <w:marTop w:val="0"/>
              <w:marBottom w:val="0"/>
              <w:divBdr>
                <w:top w:val="none" w:sz="0" w:space="0" w:color="auto"/>
                <w:left w:val="none" w:sz="0" w:space="0" w:color="auto"/>
                <w:bottom w:val="none" w:sz="0" w:space="0" w:color="auto"/>
                <w:right w:val="none" w:sz="0" w:space="0" w:color="auto"/>
              </w:divBdr>
            </w:div>
            <w:div w:id="778335638">
              <w:marLeft w:val="0"/>
              <w:marRight w:val="0"/>
              <w:marTop w:val="0"/>
              <w:marBottom w:val="0"/>
              <w:divBdr>
                <w:top w:val="none" w:sz="0" w:space="0" w:color="auto"/>
                <w:left w:val="none" w:sz="0" w:space="0" w:color="auto"/>
                <w:bottom w:val="none" w:sz="0" w:space="0" w:color="auto"/>
                <w:right w:val="none" w:sz="0" w:space="0" w:color="auto"/>
              </w:divBdr>
            </w:div>
            <w:div w:id="197378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002676">
      <w:bodyDiv w:val="1"/>
      <w:marLeft w:val="0"/>
      <w:marRight w:val="0"/>
      <w:marTop w:val="0"/>
      <w:marBottom w:val="0"/>
      <w:divBdr>
        <w:top w:val="none" w:sz="0" w:space="0" w:color="auto"/>
        <w:left w:val="none" w:sz="0" w:space="0" w:color="auto"/>
        <w:bottom w:val="none" w:sz="0" w:space="0" w:color="auto"/>
        <w:right w:val="none" w:sz="0" w:space="0" w:color="auto"/>
      </w:divBdr>
    </w:div>
    <w:div w:id="367336711">
      <w:bodyDiv w:val="1"/>
      <w:marLeft w:val="0"/>
      <w:marRight w:val="0"/>
      <w:marTop w:val="0"/>
      <w:marBottom w:val="0"/>
      <w:divBdr>
        <w:top w:val="none" w:sz="0" w:space="0" w:color="auto"/>
        <w:left w:val="none" w:sz="0" w:space="0" w:color="auto"/>
        <w:bottom w:val="none" w:sz="0" w:space="0" w:color="auto"/>
        <w:right w:val="none" w:sz="0" w:space="0" w:color="auto"/>
      </w:divBdr>
    </w:div>
    <w:div w:id="380984804">
      <w:bodyDiv w:val="1"/>
      <w:marLeft w:val="0"/>
      <w:marRight w:val="0"/>
      <w:marTop w:val="0"/>
      <w:marBottom w:val="0"/>
      <w:divBdr>
        <w:top w:val="none" w:sz="0" w:space="0" w:color="auto"/>
        <w:left w:val="none" w:sz="0" w:space="0" w:color="auto"/>
        <w:bottom w:val="none" w:sz="0" w:space="0" w:color="auto"/>
        <w:right w:val="none" w:sz="0" w:space="0" w:color="auto"/>
      </w:divBdr>
    </w:div>
    <w:div w:id="383334246">
      <w:bodyDiv w:val="1"/>
      <w:marLeft w:val="0"/>
      <w:marRight w:val="0"/>
      <w:marTop w:val="0"/>
      <w:marBottom w:val="0"/>
      <w:divBdr>
        <w:top w:val="none" w:sz="0" w:space="0" w:color="auto"/>
        <w:left w:val="none" w:sz="0" w:space="0" w:color="auto"/>
        <w:bottom w:val="none" w:sz="0" w:space="0" w:color="auto"/>
        <w:right w:val="none" w:sz="0" w:space="0" w:color="auto"/>
      </w:divBdr>
    </w:div>
    <w:div w:id="393044090">
      <w:bodyDiv w:val="1"/>
      <w:marLeft w:val="0"/>
      <w:marRight w:val="0"/>
      <w:marTop w:val="0"/>
      <w:marBottom w:val="0"/>
      <w:divBdr>
        <w:top w:val="none" w:sz="0" w:space="0" w:color="auto"/>
        <w:left w:val="none" w:sz="0" w:space="0" w:color="auto"/>
        <w:bottom w:val="none" w:sz="0" w:space="0" w:color="auto"/>
        <w:right w:val="none" w:sz="0" w:space="0" w:color="auto"/>
      </w:divBdr>
    </w:div>
    <w:div w:id="402026648">
      <w:bodyDiv w:val="1"/>
      <w:marLeft w:val="0"/>
      <w:marRight w:val="0"/>
      <w:marTop w:val="0"/>
      <w:marBottom w:val="0"/>
      <w:divBdr>
        <w:top w:val="none" w:sz="0" w:space="0" w:color="auto"/>
        <w:left w:val="none" w:sz="0" w:space="0" w:color="auto"/>
        <w:bottom w:val="none" w:sz="0" w:space="0" w:color="auto"/>
        <w:right w:val="none" w:sz="0" w:space="0" w:color="auto"/>
      </w:divBdr>
    </w:div>
    <w:div w:id="444815644">
      <w:bodyDiv w:val="1"/>
      <w:marLeft w:val="0"/>
      <w:marRight w:val="0"/>
      <w:marTop w:val="0"/>
      <w:marBottom w:val="0"/>
      <w:divBdr>
        <w:top w:val="none" w:sz="0" w:space="0" w:color="auto"/>
        <w:left w:val="none" w:sz="0" w:space="0" w:color="auto"/>
        <w:bottom w:val="none" w:sz="0" w:space="0" w:color="auto"/>
        <w:right w:val="none" w:sz="0" w:space="0" w:color="auto"/>
      </w:divBdr>
    </w:div>
    <w:div w:id="466356569">
      <w:bodyDiv w:val="1"/>
      <w:marLeft w:val="0"/>
      <w:marRight w:val="0"/>
      <w:marTop w:val="0"/>
      <w:marBottom w:val="0"/>
      <w:divBdr>
        <w:top w:val="none" w:sz="0" w:space="0" w:color="auto"/>
        <w:left w:val="none" w:sz="0" w:space="0" w:color="auto"/>
        <w:bottom w:val="none" w:sz="0" w:space="0" w:color="auto"/>
        <w:right w:val="none" w:sz="0" w:space="0" w:color="auto"/>
      </w:divBdr>
    </w:div>
    <w:div w:id="490754576">
      <w:bodyDiv w:val="1"/>
      <w:marLeft w:val="0"/>
      <w:marRight w:val="0"/>
      <w:marTop w:val="0"/>
      <w:marBottom w:val="0"/>
      <w:divBdr>
        <w:top w:val="none" w:sz="0" w:space="0" w:color="auto"/>
        <w:left w:val="none" w:sz="0" w:space="0" w:color="auto"/>
        <w:bottom w:val="none" w:sz="0" w:space="0" w:color="auto"/>
        <w:right w:val="none" w:sz="0" w:space="0" w:color="auto"/>
      </w:divBdr>
    </w:div>
    <w:div w:id="511603565">
      <w:bodyDiv w:val="1"/>
      <w:marLeft w:val="0"/>
      <w:marRight w:val="0"/>
      <w:marTop w:val="0"/>
      <w:marBottom w:val="0"/>
      <w:divBdr>
        <w:top w:val="none" w:sz="0" w:space="0" w:color="auto"/>
        <w:left w:val="none" w:sz="0" w:space="0" w:color="auto"/>
        <w:bottom w:val="none" w:sz="0" w:space="0" w:color="auto"/>
        <w:right w:val="none" w:sz="0" w:space="0" w:color="auto"/>
      </w:divBdr>
      <w:divsChild>
        <w:div w:id="172577278">
          <w:marLeft w:val="0"/>
          <w:marRight w:val="0"/>
          <w:marTop w:val="0"/>
          <w:marBottom w:val="0"/>
          <w:divBdr>
            <w:top w:val="none" w:sz="0" w:space="0" w:color="auto"/>
            <w:left w:val="none" w:sz="0" w:space="0" w:color="auto"/>
            <w:bottom w:val="none" w:sz="0" w:space="0" w:color="auto"/>
            <w:right w:val="none" w:sz="0" w:space="0" w:color="auto"/>
          </w:divBdr>
        </w:div>
        <w:div w:id="222717634">
          <w:marLeft w:val="0"/>
          <w:marRight w:val="0"/>
          <w:marTop w:val="0"/>
          <w:marBottom w:val="0"/>
          <w:divBdr>
            <w:top w:val="none" w:sz="0" w:space="0" w:color="auto"/>
            <w:left w:val="none" w:sz="0" w:space="0" w:color="auto"/>
            <w:bottom w:val="none" w:sz="0" w:space="0" w:color="auto"/>
            <w:right w:val="none" w:sz="0" w:space="0" w:color="auto"/>
          </w:divBdr>
        </w:div>
        <w:div w:id="1157187690">
          <w:marLeft w:val="0"/>
          <w:marRight w:val="0"/>
          <w:marTop w:val="0"/>
          <w:marBottom w:val="0"/>
          <w:divBdr>
            <w:top w:val="none" w:sz="0" w:space="0" w:color="auto"/>
            <w:left w:val="none" w:sz="0" w:space="0" w:color="auto"/>
            <w:bottom w:val="none" w:sz="0" w:space="0" w:color="auto"/>
            <w:right w:val="none" w:sz="0" w:space="0" w:color="auto"/>
          </w:divBdr>
        </w:div>
      </w:divsChild>
    </w:div>
    <w:div w:id="513229542">
      <w:bodyDiv w:val="1"/>
      <w:marLeft w:val="0"/>
      <w:marRight w:val="0"/>
      <w:marTop w:val="0"/>
      <w:marBottom w:val="0"/>
      <w:divBdr>
        <w:top w:val="none" w:sz="0" w:space="0" w:color="auto"/>
        <w:left w:val="none" w:sz="0" w:space="0" w:color="auto"/>
        <w:bottom w:val="none" w:sz="0" w:space="0" w:color="auto"/>
        <w:right w:val="none" w:sz="0" w:space="0" w:color="auto"/>
      </w:divBdr>
    </w:div>
    <w:div w:id="517617160">
      <w:bodyDiv w:val="1"/>
      <w:marLeft w:val="0"/>
      <w:marRight w:val="0"/>
      <w:marTop w:val="0"/>
      <w:marBottom w:val="0"/>
      <w:divBdr>
        <w:top w:val="none" w:sz="0" w:space="0" w:color="auto"/>
        <w:left w:val="none" w:sz="0" w:space="0" w:color="auto"/>
        <w:bottom w:val="none" w:sz="0" w:space="0" w:color="auto"/>
        <w:right w:val="none" w:sz="0" w:space="0" w:color="auto"/>
      </w:divBdr>
    </w:div>
    <w:div w:id="518279259">
      <w:bodyDiv w:val="1"/>
      <w:marLeft w:val="0"/>
      <w:marRight w:val="0"/>
      <w:marTop w:val="0"/>
      <w:marBottom w:val="0"/>
      <w:divBdr>
        <w:top w:val="none" w:sz="0" w:space="0" w:color="auto"/>
        <w:left w:val="none" w:sz="0" w:space="0" w:color="auto"/>
        <w:bottom w:val="none" w:sz="0" w:space="0" w:color="auto"/>
        <w:right w:val="none" w:sz="0" w:space="0" w:color="auto"/>
      </w:divBdr>
    </w:div>
    <w:div w:id="530654706">
      <w:bodyDiv w:val="1"/>
      <w:marLeft w:val="0"/>
      <w:marRight w:val="0"/>
      <w:marTop w:val="0"/>
      <w:marBottom w:val="0"/>
      <w:divBdr>
        <w:top w:val="none" w:sz="0" w:space="0" w:color="auto"/>
        <w:left w:val="none" w:sz="0" w:space="0" w:color="auto"/>
        <w:bottom w:val="none" w:sz="0" w:space="0" w:color="auto"/>
        <w:right w:val="none" w:sz="0" w:space="0" w:color="auto"/>
      </w:divBdr>
    </w:div>
    <w:div w:id="540358839">
      <w:bodyDiv w:val="1"/>
      <w:marLeft w:val="0"/>
      <w:marRight w:val="0"/>
      <w:marTop w:val="0"/>
      <w:marBottom w:val="0"/>
      <w:divBdr>
        <w:top w:val="none" w:sz="0" w:space="0" w:color="auto"/>
        <w:left w:val="none" w:sz="0" w:space="0" w:color="auto"/>
        <w:bottom w:val="none" w:sz="0" w:space="0" w:color="auto"/>
        <w:right w:val="none" w:sz="0" w:space="0" w:color="auto"/>
      </w:divBdr>
    </w:div>
    <w:div w:id="555822401">
      <w:bodyDiv w:val="1"/>
      <w:marLeft w:val="0"/>
      <w:marRight w:val="0"/>
      <w:marTop w:val="0"/>
      <w:marBottom w:val="0"/>
      <w:divBdr>
        <w:top w:val="none" w:sz="0" w:space="0" w:color="auto"/>
        <w:left w:val="none" w:sz="0" w:space="0" w:color="auto"/>
        <w:bottom w:val="none" w:sz="0" w:space="0" w:color="auto"/>
        <w:right w:val="none" w:sz="0" w:space="0" w:color="auto"/>
      </w:divBdr>
    </w:div>
    <w:div w:id="556822103">
      <w:bodyDiv w:val="1"/>
      <w:marLeft w:val="0"/>
      <w:marRight w:val="0"/>
      <w:marTop w:val="0"/>
      <w:marBottom w:val="0"/>
      <w:divBdr>
        <w:top w:val="none" w:sz="0" w:space="0" w:color="auto"/>
        <w:left w:val="none" w:sz="0" w:space="0" w:color="auto"/>
        <w:bottom w:val="none" w:sz="0" w:space="0" w:color="auto"/>
        <w:right w:val="none" w:sz="0" w:space="0" w:color="auto"/>
      </w:divBdr>
    </w:div>
    <w:div w:id="581985120">
      <w:bodyDiv w:val="1"/>
      <w:marLeft w:val="0"/>
      <w:marRight w:val="0"/>
      <w:marTop w:val="0"/>
      <w:marBottom w:val="0"/>
      <w:divBdr>
        <w:top w:val="none" w:sz="0" w:space="0" w:color="auto"/>
        <w:left w:val="none" w:sz="0" w:space="0" w:color="auto"/>
        <w:bottom w:val="none" w:sz="0" w:space="0" w:color="auto"/>
        <w:right w:val="none" w:sz="0" w:space="0" w:color="auto"/>
      </w:divBdr>
    </w:div>
    <w:div w:id="594675768">
      <w:bodyDiv w:val="1"/>
      <w:marLeft w:val="0"/>
      <w:marRight w:val="0"/>
      <w:marTop w:val="0"/>
      <w:marBottom w:val="0"/>
      <w:divBdr>
        <w:top w:val="none" w:sz="0" w:space="0" w:color="auto"/>
        <w:left w:val="none" w:sz="0" w:space="0" w:color="auto"/>
        <w:bottom w:val="none" w:sz="0" w:space="0" w:color="auto"/>
        <w:right w:val="none" w:sz="0" w:space="0" w:color="auto"/>
      </w:divBdr>
    </w:div>
    <w:div w:id="598441959">
      <w:bodyDiv w:val="1"/>
      <w:marLeft w:val="0"/>
      <w:marRight w:val="0"/>
      <w:marTop w:val="0"/>
      <w:marBottom w:val="0"/>
      <w:divBdr>
        <w:top w:val="none" w:sz="0" w:space="0" w:color="auto"/>
        <w:left w:val="none" w:sz="0" w:space="0" w:color="auto"/>
        <w:bottom w:val="none" w:sz="0" w:space="0" w:color="auto"/>
        <w:right w:val="none" w:sz="0" w:space="0" w:color="auto"/>
      </w:divBdr>
    </w:div>
    <w:div w:id="609825646">
      <w:bodyDiv w:val="1"/>
      <w:marLeft w:val="0"/>
      <w:marRight w:val="0"/>
      <w:marTop w:val="0"/>
      <w:marBottom w:val="0"/>
      <w:divBdr>
        <w:top w:val="none" w:sz="0" w:space="0" w:color="auto"/>
        <w:left w:val="none" w:sz="0" w:space="0" w:color="auto"/>
        <w:bottom w:val="none" w:sz="0" w:space="0" w:color="auto"/>
        <w:right w:val="none" w:sz="0" w:space="0" w:color="auto"/>
      </w:divBdr>
    </w:div>
    <w:div w:id="614214557">
      <w:bodyDiv w:val="1"/>
      <w:marLeft w:val="0"/>
      <w:marRight w:val="0"/>
      <w:marTop w:val="0"/>
      <w:marBottom w:val="0"/>
      <w:divBdr>
        <w:top w:val="none" w:sz="0" w:space="0" w:color="auto"/>
        <w:left w:val="none" w:sz="0" w:space="0" w:color="auto"/>
        <w:bottom w:val="none" w:sz="0" w:space="0" w:color="auto"/>
        <w:right w:val="none" w:sz="0" w:space="0" w:color="auto"/>
      </w:divBdr>
    </w:div>
    <w:div w:id="625966512">
      <w:bodyDiv w:val="1"/>
      <w:marLeft w:val="0"/>
      <w:marRight w:val="0"/>
      <w:marTop w:val="0"/>
      <w:marBottom w:val="0"/>
      <w:divBdr>
        <w:top w:val="none" w:sz="0" w:space="0" w:color="auto"/>
        <w:left w:val="none" w:sz="0" w:space="0" w:color="auto"/>
        <w:bottom w:val="none" w:sz="0" w:space="0" w:color="auto"/>
        <w:right w:val="none" w:sz="0" w:space="0" w:color="auto"/>
      </w:divBdr>
    </w:div>
    <w:div w:id="657078358">
      <w:bodyDiv w:val="1"/>
      <w:marLeft w:val="0"/>
      <w:marRight w:val="0"/>
      <w:marTop w:val="0"/>
      <w:marBottom w:val="0"/>
      <w:divBdr>
        <w:top w:val="none" w:sz="0" w:space="0" w:color="auto"/>
        <w:left w:val="none" w:sz="0" w:space="0" w:color="auto"/>
        <w:bottom w:val="none" w:sz="0" w:space="0" w:color="auto"/>
        <w:right w:val="none" w:sz="0" w:space="0" w:color="auto"/>
      </w:divBdr>
    </w:div>
    <w:div w:id="672341898">
      <w:bodyDiv w:val="1"/>
      <w:marLeft w:val="0"/>
      <w:marRight w:val="0"/>
      <w:marTop w:val="0"/>
      <w:marBottom w:val="0"/>
      <w:divBdr>
        <w:top w:val="none" w:sz="0" w:space="0" w:color="auto"/>
        <w:left w:val="none" w:sz="0" w:space="0" w:color="auto"/>
        <w:bottom w:val="none" w:sz="0" w:space="0" w:color="auto"/>
        <w:right w:val="none" w:sz="0" w:space="0" w:color="auto"/>
      </w:divBdr>
    </w:div>
    <w:div w:id="689184581">
      <w:bodyDiv w:val="1"/>
      <w:marLeft w:val="0"/>
      <w:marRight w:val="0"/>
      <w:marTop w:val="0"/>
      <w:marBottom w:val="0"/>
      <w:divBdr>
        <w:top w:val="none" w:sz="0" w:space="0" w:color="auto"/>
        <w:left w:val="none" w:sz="0" w:space="0" w:color="auto"/>
        <w:bottom w:val="none" w:sz="0" w:space="0" w:color="auto"/>
        <w:right w:val="none" w:sz="0" w:space="0" w:color="auto"/>
      </w:divBdr>
    </w:div>
    <w:div w:id="690495867">
      <w:bodyDiv w:val="1"/>
      <w:marLeft w:val="0"/>
      <w:marRight w:val="0"/>
      <w:marTop w:val="0"/>
      <w:marBottom w:val="0"/>
      <w:divBdr>
        <w:top w:val="none" w:sz="0" w:space="0" w:color="auto"/>
        <w:left w:val="none" w:sz="0" w:space="0" w:color="auto"/>
        <w:bottom w:val="none" w:sz="0" w:space="0" w:color="auto"/>
        <w:right w:val="none" w:sz="0" w:space="0" w:color="auto"/>
      </w:divBdr>
    </w:div>
    <w:div w:id="717977859">
      <w:bodyDiv w:val="1"/>
      <w:marLeft w:val="0"/>
      <w:marRight w:val="0"/>
      <w:marTop w:val="0"/>
      <w:marBottom w:val="0"/>
      <w:divBdr>
        <w:top w:val="none" w:sz="0" w:space="0" w:color="auto"/>
        <w:left w:val="none" w:sz="0" w:space="0" w:color="auto"/>
        <w:bottom w:val="none" w:sz="0" w:space="0" w:color="auto"/>
        <w:right w:val="none" w:sz="0" w:space="0" w:color="auto"/>
      </w:divBdr>
    </w:div>
    <w:div w:id="728923870">
      <w:bodyDiv w:val="1"/>
      <w:marLeft w:val="0"/>
      <w:marRight w:val="0"/>
      <w:marTop w:val="0"/>
      <w:marBottom w:val="0"/>
      <w:divBdr>
        <w:top w:val="none" w:sz="0" w:space="0" w:color="auto"/>
        <w:left w:val="none" w:sz="0" w:space="0" w:color="auto"/>
        <w:bottom w:val="none" w:sz="0" w:space="0" w:color="auto"/>
        <w:right w:val="none" w:sz="0" w:space="0" w:color="auto"/>
      </w:divBdr>
    </w:div>
    <w:div w:id="779298823">
      <w:bodyDiv w:val="1"/>
      <w:marLeft w:val="0"/>
      <w:marRight w:val="0"/>
      <w:marTop w:val="0"/>
      <w:marBottom w:val="0"/>
      <w:divBdr>
        <w:top w:val="none" w:sz="0" w:space="0" w:color="auto"/>
        <w:left w:val="none" w:sz="0" w:space="0" w:color="auto"/>
        <w:bottom w:val="none" w:sz="0" w:space="0" w:color="auto"/>
        <w:right w:val="none" w:sz="0" w:space="0" w:color="auto"/>
      </w:divBdr>
    </w:div>
    <w:div w:id="788398346">
      <w:bodyDiv w:val="1"/>
      <w:marLeft w:val="0"/>
      <w:marRight w:val="0"/>
      <w:marTop w:val="0"/>
      <w:marBottom w:val="0"/>
      <w:divBdr>
        <w:top w:val="none" w:sz="0" w:space="0" w:color="auto"/>
        <w:left w:val="none" w:sz="0" w:space="0" w:color="auto"/>
        <w:bottom w:val="none" w:sz="0" w:space="0" w:color="auto"/>
        <w:right w:val="none" w:sz="0" w:space="0" w:color="auto"/>
      </w:divBdr>
    </w:div>
    <w:div w:id="795485162">
      <w:bodyDiv w:val="1"/>
      <w:marLeft w:val="0"/>
      <w:marRight w:val="0"/>
      <w:marTop w:val="0"/>
      <w:marBottom w:val="0"/>
      <w:divBdr>
        <w:top w:val="none" w:sz="0" w:space="0" w:color="auto"/>
        <w:left w:val="none" w:sz="0" w:space="0" w:color="auto"/>
        <w:bottom w:val="none" w:sz="0" w:space="0" w:color="auto"/>
        <w:right w:val="none" w:sz="0" w:space="0" w:color="auto"/>
      </w:divBdr>
    </w:div>
    <w:div w:id="798842564">
      <w:bodyDiv w:val="1"/>
      <w:marLeft w:val="0"/>
      <w:marRight w:val="0"/>
      <w:marTop w:val="0"/>
      <w:marBottom w:val="0"/>
      <w:divBdr>
        <w:top w:val="none" w:sz="0" w:space="0" w:color="auto"/>
        <w:left w:val="none" w:sz="0" w:space="0" w:color="auto"/>
        <w:bottom w:val="none" w:sz="0" w:space="0" w:color="auto"/>
        <w:right w:val="none" w:sz="0" w:space="0" w:color="auto"/>
      </w:divBdr>
    </w:div>
    <w:div w:id="851380682">
      <w:bodyDiv w:val="1"/>
      <w:marLeft w:val="0"/>
      <w:marRight w:val="0"/>
      <w:marTop w:val="0"/>
      <w:marBottom w:val="0"/>
      <w:divBdr>
        <w:top w:val="none" w:sz="0" w:space="0" w:color="auto"/>
        <w:left w:val="none" w:sz="0" w:space="0" w:color="auto"/>
        <w:bottom w:val="none" w:sz="0" w:space="0" w:color="auto"/>
        <w:right w:val="none" w:sz="0" w:space="0" w:color="auto"/>
      </w:divBdr>
    </w:div>
    <w:div w:id="878396698">
      <w:bodyDiv w:val="1"/>
      <w:marLeft w:val="0"/>
      <w:marRight w:val="0"/>
      <w:marTop w:val="0"/>
      <w:marBottom w:val="0"/>
      <w:divBdr>
        <w:top w:val="none" w:sz="0" w:space="0" w:color="auto"/>
        <w:left w:val="none" w:sz="0" w:space="0" w:color="auto"/>
        <w:bottom w:val="none" w:sz="0" w:space="0" w:color="auto"/>
        <w:right w:val="none" w:sz="0" w:space="0" w:color="auto"/>
      </w:divBdr>
    </w:div>
    <w:div w:id="896086660">
      <w:bodyDiv w:val="1"/>
      <w:marLeft w:val="0"/>
      <w:marRight w:val="0"/>
      <w:marTop w:val="0"/>
      <w:marBottom w:val="0"/>
      <w:divBdr>
        <w:top w:val="none" w:sz="0" w:space="0" w:color="auto"/>
        <w:left w:val="none" w:sz="0" w:space="0" w:color="auto"/>
        <w:bottom w:val="none" w:sz="0" w:space="0" w:color="auto"/>
        <w:right w:val="none" w:sz="0" w:space="0" w:color="auto"/>
      </w:divBdr>
    </w:div>
    <w:div w:id="900166751">
      <w:bodyDiv w:val="1"/>
      <w:marLeft w:val="0"/>
      <w:marRight w:val="0"/>
      <w:marTop w:val="0"/>
      <w:marBottom w:val="0"/>
      <w:divBdr>
        <w:top w:val="none" w:sz="0" w:space="0" w:color="auto"/>
        <w:left w:val="none" w:sz="0" w:space="0" w:color="auto"/>
        <w:bottom w:val="none" w:sz="0" w:space="0" w:color="auto"/>
        <w:right w:val="none" w:sz="0" w:space="0" w:color="auto"/>
      </w:divBdr>
    </w:div>
    <w:div w:id="908072277">
      <w:bodyDiv w:val="1"/>
      <w:marLeft w:val="0"/>
      <w:marRight w:val="0"/>
      <w:marTop w:val="0"/>
      <w:marBottom w:val="0"/>
      <w:divBdr>
        <w:top w:val="none" w:sz="0" w:space="0" w:color="auto"/>
        <w:left w:val="none" w:sz="0" w:space="0" w:color="auto"/>
        <w:bottom w:val="none" w:sz="0" w:space="0" w:color="auto"/>
        <w:right w:val="none" w:sz="0" w:space="0" w:color="auto"/>
      </w:divBdr>
    </w:div>
    <w:div w:id="932012038">
      <w:bodyDiv w:val="1"/>
      <w:marLeft w:val="0"/>
      <w:marRight w:val="0"/>
      <w:marTop w:val="0"/>
      <w:marBottom w:val="0"/>
      <w:divBdr>
        <w:top w:val="none" w:sz="0" w:space="0" w:color="auto"/>
        <w:left w:val="none" w:sz="0" w:space="0" w:color="auto"/>
        <w:bottom w:val="none" w:sz="0" w:space="0" w:color="auto"/>
        <w:right w:val="none" w:sz="0" w:space="0" w:color="auto"/>
      </w:divBdr>
    </w:div>
    <w:div w:id="943269653">
      <w:bodyDiv w:val="1"/>
      <w:marLeft w:val="0"/>
      <w:marRight w:val="0"/>
      <w:marTop w:val="0"/>
      <w:marBottom w:val="0"/>
      <w:divBdr>
        <w:top w:val="none" w:sz="0" w:space="0" w:color="auto"/>
        <w:left w:val="none" w:sz="0" w:space="0" w:color="auto"/>
        <w:bottom w:val="none" w:sz="0" w:space="0" w:color="auto"/>
        <w:right w:val="none" w:sz="0" w:space="0" w:color="auto"/>
      </w:divBdr>
    </w:div>
    <w:div w:id="949582557">
      <w:bodyDiv w:val="1"/>
      <w:marLeft w:val="0"/>
      <w:marRight w:val="0"/>
      <w:marTop w:val="0"/>
      <w:marBottom w:val="0"/>
      <w:divBdr>
        <w:top w:val="none" w:sz="0" w:space="0" w:color="auto"/>
        <w:left w:val="none" w:sz="0" w:space="0" w:color="auto"/>
        <w:bottom w:val="none" w:sz="0" w:space="0" w:color="auto"/>
        <w:right w:val="none" w:sz="0" w:space="0" w:color="auto"/>
      </w:divBdr>
    </w:div>
    <w:div w:id="949819973">
      <w:bodyDiv w:val="1"/>
      <w:marLeft w:val="0"/>
      <w:marRight w:val="0"/>
      <w:marTop w:val="0"/>
      <w:marBottom w:val="0"/>
      <w:divBdr>
        <w:top w:val="none" w:sz="0" w:space="0" w:color="auto"/>
        <w:left w:val="none" w:sz="0" w:space="0" w:color="auto"/>
        <w:bottom w:val="none" w:sz="0" w:space="0" w:color="auto"/>
        <w:right w:val="none" w:sz="0" w:space="0" w:color="auto"/>
      </w:divBdr>
    </w:div>
    <w:div w:id="950473055">
      <w:bodyDiv w:val="1"/>
      <w:marLeft w:val="0"/>
      <w:marRight w:val="0"/>
      <w:marTop w:val="0"/>
      <w:marBottom w:val="0"/>
      <w:divBdr>
        <w:top w:val="none" w:sz="0" w:space="0" w:color="auto"/>
        <w:left w:val="none" w:sz="0" w:space="0" w:color="auto"/>
        <w:bottom w:val="none" w:sz="0" w:space="0" w:color="auto"/>
        <w:right w:val="none" w:sz="0" w:space="0" w:color="auto"/>
      </w:divBdr>
    </w:div>
    <w:div w:id="977952076">
      <w:bodyDiv w:val="1"/>
      <w:marLeft w:val="0"/>
      <w:marRight w:val="0"/>
      <w:marTop w:val="0"/>
      <w:marBottom w:val="0"/>
      <w:divBdr>
        <w:top w:val="none" w:sz="0" w:space="0" w:color="auto"/>
        <w:left w:val="none" w:sz="0" w:space="0" w:color="auto"/>
        <w:bottom w:val="none" w:sz="0" w:space="0" w:color="auto"/>
        <w:right w:val="none" w:sz="0" w:space="0" w:color="auto"/>
      </w:divBdr>
    </w:div>
    <w:div w:id="985860646">
      <w:bodyDiv w:val="1"/>
      <w:marLeft w:val="0"/>
      <w:marRight w:val="0"/>
      <w:marTop w:val="0"/>
      <w:marBottom w:val="0"/>
      <w:divBdr>
        <w:top w:val="none" w:sz="0" w:space="0" w:color="auto"/>
        <w:left w:val="none" w:sz="0" w:space="0" w:color="auto"/>
        <w:bottom w:val="none" w:sz="0" w:space="0" w:color="auto"/>
        <w:right w:val="none" w:sz="0" w:space="0" w:color="auto"/>
      </w:divBdr>
    </w:div>
    <w:div w:id="998771639">
      <w:bodyDiv w:val="1"/>
      <w:marLeft w:val="0"/>
      <w:marRight w:val="0"/>
      <w:marTop w:val="0"/>
      <w:marBottom w:val="0"/>
      <w:divBdr>
        <w:top w:val="none" w:sz="0" w:space="0" w:color="auto"/>
        <w:left w:val="none" w:sz="0" w:space="0" w:color="auto"/>
        <w:bottom w:val="none" w:sz="0" w:space="0" w:color="auto"/>
        <w:right w:val="none" w:sz="0" w:space="0" w:color="auto"/>
      </w:divBdr>
    </w:div>
    <w:div w:id="1012728642">
      <w:bodyDiv w:val="1"/>
      <w:marLeft w:val="0"/>
      <w:marRight w:val="0"/>
      <w:marTop w:val="0"/>
      <w:marBottom w:val="0"/>
      <w:divBdr>
        <w:top w:val="none" w:sz="0" w:space="0" w:color="auto"/>
        <w:left w:val="none" w:sz="0" w:space="0" w:color="auto"/>
        <w:bottom w:val="none" w:sz="0" w:space="0" w:color="auto"/>
        <w:right w:val="none" w:sz="0" w:space="0" w:color="auto"/>
      </w:divBdr>
    </w:div>
    <w:div w:id="1061171459">
      <w:bodyDiv w:val="1"/>
      <w:marLeft w:val="0"/>
      <w:marRight w:val="0"/>
      <w:marTop w:val="0"/>
      <w:marBottom w:val="0"/>
      <w:divBdr>
        <w:top w:val="none" w:sz="0" w:space="0" w:color="auto"/>
        <w:left w:val="none" w:sz="0" w:space="0" w:color="auto"/>
        <w:bottom w:val="none" w:sz="0" w:space="0" w:color="auto"/>
        <w:right w:val="none" w:sz="0" w:space="0" w:color="auto"/>
      </w:divBdr>
    </w:div>
    <w:div w:id="1067806810">
      <w:bodyDiv w:val="1"/>
      <w:marLeft w:val="0"/>
      <w:marRight w:val="0"/>
      <w:marTop w:val="0"/>
      <w:marBottom w:val="0"/>
      <w:divBdr>
        <w:top w:val="none" w:sz="0" w:space="0" w:color="auto"/>
        <w:left w:val="none" w:sz="0" w:space="0" w:color="auto"/>
        <w:bottom w:val="none" w:sz="0" w:space="0" w:color="auto"/>
        <w:right w:val="none" w:sz="0" w:space="0" w:color="auto"/>
      </w:divBdr>
    </w:div>
    <w:div w:id="1087729480">
      <w:bodyDiv w:val="1"/>
      <w:marLeft w:val="0"/>
      <w:marRight w:val="0"/>
      <w:marTop w:val="0"/>
      <w:marBottom w:val="0"/>
      <w:divBdr>
        <w:top w:val="none" w:sz="0" w:space="0" w:color="auto"/>
        <w:left w:val="none" w:sz="0" w:space="0" w:color="auto"/>
        <w:bottom w:val="none" w:sz="0" w:space="0" w:color="auto"/>
        <w:right w:val="none" w:sz="0" w:space="0" w:color="auto"/>
      </w:divBdr>
    </w:div>
    <w:div w:id="1100105141">
      <w:bodyDiv w:val="1"/>
      <w:marLeft w:val="0"/>
      <w:marRight w:val="0"/>
      <w:marTop w:val="0"/>
      <w:marBottom w:val="0"/>
      <w:divBdr>
        <w:top w:val="none" w:sz="0" w:space="0" w:color="auto"/>
        <w:left w:val="none" w:sz="0" w:space="0" w:color="auto"/>
        <w:bottom w:val="none" w:sz="0" w:space="0" w:color="auto"/>
        <w:right w:val="none" w:sz="0" w:space="0" w:color="auto"/>
      </w:divBdr>
    </w:div>
    <w:div w:id="1102070822">
      <w:bodyDiv w:val="1"/>
      <w:marLeft w:val="0"/>
      <w:marRight w:val="0"/>
      <w:marTop w:val="0"/>
      <w:marBottom w:val="0"/>
      <w:divBdr>
        <w:top w:val="none" w:sz="0" w:space="0" w:color="auto"/>
        <w:left w:val="none" w:sz="0" w:space="0" w:color="auto"/>
        <w:bottom w:val="none" w:sz="0" w:space="0" w:color="auto"/>
        <w:right w:val="none" w:sz="0" w:space="0" w:color="auto"/>
      </w:divBdr>
    </w:div>
    <w:div w:id="1150446285">
      <w:bodyDiv w:val="1"/>
      <w:marLeft w:val="0"/>
      <w:marRight w:val="0"/>
      <w:marTop w:val="0"/>
      <w:marBottom w:val="0"/>
      <w:divBdr>
        <w:top w:val="none" w:sz="0" w:space="0" w:color="auto"/>
        <w:left w:val="none" w:sz="0" w:space="0" w:color="auto"/>
        <w:bottom w:val="none" w:sz="0" w:space="0" w:color="auto"/>
        <w:right w:val="none" w:sz="0" w:space="0" w:color="auto"/>
      </w:divBdr>
    </w:div>
    <w:div w:id="1158766533">
      <w:bodyDiv w:val="1"/>
      <w:marLeft w:val="0"/>
      <w:marRight w:val="0"/>
      <w:marTop w:val="0"/>
      <w:marBottom w:val="0"/>
      <w:divBdr>
        <w:top w:val="none" w:sz="0" w:space="0" w:color="auto"/>
        <w:left w:val="none" w:sz="0" w:space="0" w:color="auto"/>
        <w:bottom w:val="none" w:sz="0" w:space="0" w:color="auto"/>
        <w:right w:val="none" w:sz="0" w:space="0" w:color="auto"/>
      </w:divBdr>
    </w:div>
    <w:div w:id="1167359134">
      <w:bodyDiv w:val="1"/>
      <w:marLeft w:val="0"/>
      <w:marRight w:val="0"/>
      <w:marTop w:val="0"/>
      <w:marBottom w:val="0"/>
      <w:divBdr>
        <w:top w:val="none" w:sz="0" w:space="0" w:color="auto"/>
        <w:left w:val="none" w:sz="0" w:space="0" w:color="auto"/>
        <w:bottom w:val="none" w:sz="0" w:space="0" w:color="auto"/>
        <w:right w:val="none" w:sz="0" w:space="0" w:color="auto"/>
      </w:divBdr>
    </w:div>
    <w:div w:id="1174103325">
      <w:bodyDiv w:val="1"/>
      <w:marLeft w:val="0"/>
      <w:marRight w:val="0"/>
      <w:marTop w:val="0"/>
      <w:marBottom w:val="0"/>
      <w:divBdr>
        <w:top w:val="none" w:sz="0" w:space="0" w:color="auto"/>
        <w:left w:val="none" w:sz="0" w:space="0" w:color="auto"/>
        <w:bottom w:val="none" w:sz="0" w:space="0" w:color="auto"/>
        <w:right w:val="none" w:sz="0" w:space="0" w:color="auto"/>
      </w:divBdr>
    </w:div>
    <w:div w:id="1184132817">
      <w:bodyDiv w:val="1"/>
      <w:marLeft w:val="0"/>
      <w:marRight w:val="0"/>
      <w:marTop w:val="0"/>
      <w:marBottom w:val="0"/>
      <w:divBdr>
        <w:top w:val="none" w:sz="0" w:space="0" w:color="auto"/>
        <w:left w:val="none" w:sz="0" w:space="0" w:color="auto"/>
        <w:bottom w:val="none" w:sz="0" w:space="0" w:color="auto"/>
        <w:right w:val="none" w:sz="0" w:space="0" w:color="auto"/>
      </w:divBdr>
    </w:div>
    <w:div w:id="1201438188">
      <w:bodyDiv w:val="1"/>
      <w:marLeft w:val="0"/>
      <w:marRight w:val="0"/>
      <w:marTop w:val="0"/>
      <w:marBottom w:val="0"/>
      <w:divBdr>
        <w:top w:val="none" w:sz="0" w:space="0" w:color="auto"/>
        <w:left w:val="none" w:sz="0" w:space="0" w:color="auto"/>
        <w:bottom w:val="none" w:sz="0" w:space="0" w:color="auto"/>
        <w:right w:val="none" w:sz="0" w:space="0" w:color="auto"/>
      </w:divBdr>
    </w:div>
    <w:div w:id="1202323721">
      <w:bodyDiv w:val="1"/>
      <w:marLeft w:val="0"/>
      <w:marRight w:val="0"/>
      <w:marTop w:val="0"/>
      <w:marBottom w:val="0"/>
      <w:divBdr>
        <w:top w:val="none" w:sz="0" w:space="0" w:color="auto"/>
        <w:left w:val="none" w:sz="0" w:space="0" w:color="auto"/>
        <w:bottom w:val="none" w:sz="0" w:space="0" w:color="auto"/>
        <w:right w:val="none" w:sz="0" w:space="0" w:color="auto"/>
      </w:divBdr>
    </w:div>
    <w:div w:id="1247884263">
      <w:bodyDiv w:val="1"/>
      <w:marLeft w:val="0"/>
      <w:marRight w:val="0"/>
      <w:marTop w:val="0"/>
      <w:marBottom w:val="0"/>
      <w:divBdr>
        <w:top w:val="none" w:sz="0" w:space="0" w:color="auto"/>
        <w:left w:val="none" w:sz="0" w:space="0" w:color="auto"/>
        <w:bottom w:val="none" w:sz="0" w:space="0" w:color="auto"/>
        <w:right w:val="none" w:sz="0" w:space="0" w:color="auto"/>
      </w:divBdr>
    </w:div>
    <w:div w:id="1247887494">
      <w:bodyDiv w:val="1"/>
      <w:marLeft w:val="0"/>
      <w:marRight w:val="0"/>
      <w:marTop w:val="0"/>
      <w:marBottom w:val="0"/>
      <w:divBdr>
        <w:top w:val="none" w:sz="0" w:space="0" w:color="auto"/>
        <w:left w:val="none" w:sz="0" w:space="0" w:color="auto"/>
        <w:bottom w:val="none" w:sz="0" w:space="0" w:color="auto"/>
        <w:right w:val="none" w:sz="0" w:space="0" w:color="auto"/>
      </w:divBdr>
    </w:div>
    <w:div w:id="1252008119">
      <w:bodyDiv w:val="1"/>
      <w:marLeft w:val="0"/>
      <w:marRight w:val="0"/>
      <w:marTop w:val="0"/>
      <w:marBottom w:val="0"/>
      <w:divBdr>
        <w:top w:val="none" w:sz="0" w:space="0" w:color="auto"/>
        <w:left w:val="none" w:sz="0" w:space="0" w:color="auto"/>
        <w:bottom w:val="none" w:sz="0" w:space="0" w:color="auto"/>
        <w:right w:val="none" w:sz="0" w:space="0" w:color="auto"/>
      </w:divBdr>
    </w:div>
    <w:div w:id="1259290887">
      <w:bodyDiv w:val="1"/>
      <w:marLeft w:val="0"/>
      <w:marRight w:val="0"/>
      <w:marTop w:val="0"/>
      <w:marBottom w:val="0"/>
      <w:divBdr>
        <w:top w:val="none" w:sz="0" w:space="0" w:color="auto"/>
        <w:left w:val="none" w:sz="0" w:space="0" w:color="auto"/>
        <w:bottom w:val="none" w:sz="0" w:space="0" w:color="auto"/>
        <w:right w:val="none" w:sz="0" w:space="0" w:color="auto"/>
      </w:divBdr>
    </w:div>
    <w:div w:id="1265501353">
      <w:bodyDiv w:val="1"/>
      <w:marLeft w:val="0"/>
      <w:marRight w:val="0"/>
      <w:marTop w:val="0"/>
      <w:marBottom w:val="0"/>
      <w:divBdr>
        <w:top w:val="none" w:sz="0" w:space="0" w:color="auto"/>
        <w:left w:val="none" w:sz="0" w:space="0" w:color="auto"/>
        <w:bottom w:val="none" w:sz="0" w:space="0" w:color="auto"/>
        <w:right w:val="none" w:sz="0" w:space="0" w:color="auto"/>
      </w:divBdr>
    </w:div>
    <w:div w:id="1271472147">
      <w:bodyDiv w:val="1"/>
      <w:marLeft w:val="0"/>
      <w:marRight w:val="0"/>
      <w:marTop w:val="0"/>
      <w:marBottom w:val="0"/>
      <w:divBdr>
        <w:top w:val="none" w:sz="0" w:space="0" w:color="auto"/>
        <w:left w:val="none" w:sz="0" w:space="0" w:color="auto"/>
        <w:bottom w:val="none" w:sz="0" w:space="0" w:color="auto"/>
        <w:right w:val="none" w:sz="0" w:space="0" w:color="auto"/>
      </w:divBdr>
    </w:div>
    <w:div w:id="1284844601">
      <w:bodyDiv w:val="1"/>
      <w:marLeft w:val="0"/>
      <w:marRight w:val="0"/>
      <w:marTop w:val="0"/>
      <w:marBottom w:val="0"/>
      <w:divBdr>
        <w:top w:val="none" w:sz="0" w:space="0" w:color="auto"/>
        <w:left w:val="none" w:sz="0" w:space="0" w:color="auto"/>
        <w:bottom w:val="none" w:sz="0" w:space="0" w:color="auto"/>
        <w:right w:val="none" w:sz="0" w:space="0" w:color="auto"/>
      </w:divBdr>
    </w:div>
    <w:div w:id="1306277180">
      <w:bodyDiv w:val="1"/>
      <w:marLeft w:val="0"/>
      <w:marRight w:val="0"/>
      <w:marTop w:val="0"/>
      <w:marBottom w:val="0"/>
      <w:divBdr>
        <w:top w:val="none" w:sz="0" w:space="0" w:color="auto"/>
        <w:left w:val="none" w:sz="0" w:space="0" w:color="auto"/>
        <w:bottom w:val="none" w:sz="0" w:space="0" w:color="auto"/>
        <w:right w:val="none" w:sz="0" w:space="0" w:color="auto"/>
      </w:divBdr>
    </w:div>
    <w:div w:id="1307978821">
      <w:bodyDiv w:val="1"/>
      <w:marLeft w:val="0"/>
      <w:marRight w:val="0"/>
      <w:marTop w:val="0"/>
      <w:marBottom w:val="0"/>
      <w:divBdr>
        <w:top w:val="none" w:sz="0" w:space="0" w:color="auto"/>
        <w:left w:val="none" w:sz="0" w:space="0" w:color="auto"/>
        <w:bottom w:val="none" w:sz="0" w:space="0" w:color="auto"/>
        <w:right w:val="none" w:sz="0" w:space="0" w:color="auto"/>
      </w:divBdr>
    </w:div>
    <w:div w:id="1321496427">
      <w:bodyDiv w:val="1"/>
      <w:marLeft w:val="0"/>
      <w:marRight w:val="0"/>
      <w:marTop w:val="0"/>
      <w:marBottom w:val="0"/>
      <w:divBdr>
        <w:top w:val="none" w:sz="0" w:space="0" w:color="auto"/>
        <w:left w:val="none" w:sz="0" w:space="0" w:color="auto"/>
        <w:bottom w:val="none" w:sz="0" w:space="0" w:color="auto"/>
        <w:right w:val="none" w:sz="0" w:space="0" w:color="auto"/>
      </w:divBdr>
    </w:div>
    <w:div w:id="1360352588">
      <w:bodyDiv w:val="1"/>
      <w:marLeft w:val="0"/>
      <w:marRight w:val="0"/>
      <w:marTop w:val="0"/>
      <w:marBottom w:val="0"/>
      <w:divBdr>
        <w:top w:val="none" w:sz="0" w:space="0" w:color="auto"/>
        <w:left w:val="none" w:sz="0" w:space="0" w:color="auto"/>
        <w:bottom w:val="none" w:sz="0" w:space="0" w:color="auto"/>
        <w:right w:val="none" w:sz="0" w:space="0" w:color="auto"/>
      </w:divBdr>
    </w:div>
    <w:div w:id="1363558889">
      <w:bodyDiv w:val="1"/>
      <w:marLeft w:val="0"/>
      <w:marRight w:val="0"/>
      <w:marTop w:val="0"/>
      <w:marBottom w:val="0"/>
      <w:divBdr>
        <w:top w:val="none" w:sz="0" w:space="0" w:color="auto"/>
        <w:left w:val="none" w:sz="0" w:space="0" w:color="auto"/>
        <w:bottom w:val="none" w:sz="0" w:space="0" w:color="auto"/>
        <w:right w:val="none" w:sz="0" w:space="0" w:color="auto"/>
      </w:divBdr>
    </w:div>
    <w:div w:id="1391422192">
      <w:bodyDiv w:val="1"/>
      <w:marLeft w:val="0"/>
      <w:marRight w:val="0"/>
      <w:marTop w:val="0"/>
      <w:marBottom w:val="0"/>
      <w:divBdr>
        <w:top w:val="none" w:sz="0" w:space="0" w:color="auto"/>
        <w:left w:val="none" w:sz="0" w:space="0" w:color="auto"/>
        <w:bottom w:val="none" w:sz="0" w:space="0" w:color="auto"/>
        <w:right w:val="none" w:sz="0" w:space="0" w:color="auto"/>
      </w:divBdr>
      <w:divsChild>
        <w:div w:id="784740267">
          <w:marLeft w:val="0"/>
          <w:marRight w:val="0"/>
          <w:marTop w:val="15"/>
          <w:marBottom w:val="0"/>
          <w:divBdr>
            <w:top w:val="single" w:sz="48" w:space="0" w:color="auto"/>
            <w:left w:val="single" w:sz="48" w:space="0" w:color="auto"/>
            <w:bottom w:val="single" w:sz="48" w:space="0" w:color="auto"/>
            <w:right w:val="single" w:sz="48" w:space="0" w:color="auto"/>
          </w:divBdr>
          <w:divsChild>
            <w:div w:id="1785032086">
              <w:marLeft w:val="0"/>
              <w:marRight w:val="0"/>
              <w:marTop w:val="0"/>
              <w:marBottom w:val="0"/>
              <w:divBdr>
                <w:top w:val="none" w:sz="0" w:space="0" w:color="auto"/>
                <w:left w:val="none" w:sz="0" w:space="0" w:color="auto"/>
                <w:bottom w:val="none" w:sz="0" w:space="0" w:color="auto"/>
                <w:right w:val="none" w:sz="0" w:space="0" w:color="auto"/>
              </w:divBdr>
              <w:divsChild>
                <w:div w:id="13382701">
                  <w:marLeft w:val="0"/>
                  <w:marRight w:val="0"/>
                  <w:marTop w:val="0"/>
                  <w:marBottom w:val="0"/>
                  <w:divBdr>
                    <w:top w:val="none" w:sz="0" w:space="0" w:color="auto"/>
                    <w:left w:val="none" w:sz="0" w:space="0" w:color="auto"/>
                    <w:bottom w:val="none" w:sz="0" w:space="0" w:color="auto"/>
                    <w:right w:val="none" w:sz="0" w:space="0" w:color="auto"/>
                  </w:divBdr>
                </w:div>
                <w:div w:id="62072976">
                  <w:marLeft w:val="0"/>
                  <w:marRight w:val="0"/>
                  <w:marTop w:val="0"/>
                  <w:marBottom w:val="0"/>
                  <w:divBdr>
                    <w:top w:val="none" w:sz="0" w:space="0" w:color="auto"/>
                    <w:left w:val="none" w:sz="0" w:space="0" w:color="auto"/>
                    <w:bottom w:val="none" w:sz="0" w:space="0" w:color="auto"/>
                    <w:right w:val="none" w:sz="0" w:space="0" w:color="auto"/>
                  </w:divBdr>
                </w:div>
                <w:div w:id="149833038">
                  <w:marLeft w:val="0"/>
                  <w:marRight w:val="0"/>
                  <w:marTop w:val="0"/>
                  <w:marBottom w:val="0"/>
                  <w:divBdr>
                    <w:top w:val="none" w:sz="0" w:space="0" w:color="auto"/>
                    <w:left w:val="none" w:sz="0" w:space="0" w:color="auto"/>
                    <w:bottom w:val="none" w:sz="0" w:space="0" w:color="auto"/>
                    <w:right w:val="none" w:sz="0" w:space="0" w:color="auto"/>
                  </w:divBdr>
                </w:div>
                <w:div w:id="498227633">
                  <w:marLeft w:val="0"/>
                  <w:marRight w:val="0"/>
                  <w:marTop w:val="0"/>
                  <w:marBottom w:val="0"/>
                  <w:divBdr>
                    <w:top w:val="none" w:sz="0" w:space="0" w:color="auto"/>
                    <w:left w:val="none" w:sz="0" w:space="0" w:color="auto"/>
                    <w:bottom w:val="none" w:sz="0" w:space="0" w:color="auto"/>
                    <w:right w:val="none" w:sz="0" w:space="0" w:color="auto"/>
                  </w:divBdr>
                </w:div>
                <w:div w:id="663631697">
                  <w:marLeft w:val="0"/>
                  <w:marRight w:val="0"/>
                  <w:marTop w:val="0"/>
                  <w:marBottom w:val="0"/>
                  <w:divBdr>
                    <w:top w:val="none" w:sz="0" w:space="0" w:color="auto"/>
                    <w:left w:val="none" w:sz="0" w:space="0" w:color="auto"/>
                    <w:bottom w:val="none" w:sz="0" w:space="0" w:color="auto"/>
                    <w:right w:val="none" w:sz="0" w:space="0" w:color="auto"/>
                  </w:divBdr>
                </w:div>
                <w:div w:id="790170167">
                  <w:marLeft w:val="0"/>
                  <w:marRight w:val="0"/>
                  <w:marTop w:val="0"/>
                  <w:marBottom w:val="0"/>
                  <w:divBdr>
                    <w:top w:val="none" w:sz="0" w:space="0" w:color="auto"/>
                    <w:left w:val="none" w:sz="0" w:space="0" w:color="auto"/>
                    <w:bottom w:val="none" w:sz="0" w:space="0" w:color="auto"/>
                    <w:right w:val="none" w:sz="0" w:space="0" w:color="auto"/>
                  </w:divBdr>
                </w:div>
                <w:div w:id="874580065">
                  <w:marLeft w:val="0"/>
                  <w:marRight w:val="0"/>
                  <w:marTop w:val="0"/>
                  <w:marBottom w:val="0"/>
                  <w:divBdr>
                    <w:top w:val="none" w:sz="0" w:space="0" w:color="auto"/>
                    <w:left w:val="none" w:sz="0" w:space="0" w:color="auto"/>
                    <w:bottom w:val="none" w:sz="0" w:space="0" w:color="auto"/>
                    <w:right w:val="none" w:sz="0" w:space="0" w:color="auto"/>
                  </w:divBdr>
                </w:div>
                <w:div w:id="1015501195">
                  <w:marLeft w:val="0"/>
                  <w:marRight w:val="0"/>
                  <w:marTop w:val="0"/>
                  <w:marBottom w:val="0"/>
                  <w:divBdr>
                    <w:top w:val="none" w:sz="0" w:space="0" w:color="auto"/>
                    <w:left w:val="none" w:sz="0" w:space="0" w:color="auto"/>
                    <w:bottom w:val="none" w:sz="0" w:space="0" w:color="auto"/>
                    <w:right w:val="none" w:sz="0" w:space="0" w:color="auto"/>
                  </w:divBdr>
                </w:div>
                <w:div w:id="1035235996">
                  <w:marLeft w:val="0"/>
                  <w:marRight w:val="0"/>
                  <w:marTop w:val="0"/>
                  <w:marBottom w:val="0"/>
                  <w:divBdr>
                    <w:top w:val="none" w:sz="0" w:space="0" w:color="auto"/>
                    <w:left w:val="none" w:sz="0" w:space="0" w:color="auto"/>
                    <w:bottom w:val="none" w:sz="0" w:space="0" w:color="auto"/>
                    <w:right w:val="none" w:sz="0" w:space="0" w:color="auto"/>
                  </w:divBdr>
                </w:div>
                <w:div w:id="1142964956">
                  <w:marLeft w:val="0"/>
                  <w:marRight w:val="0"/>
                  <w:marTop w:val="0"/>
                  <w:marBottom w:val="0"/>
                  <w:divBdr>
                    <w:top w:val="none" w:sz="0" w:space="0" w:color="auto"/>
                    <w:left w:val="none" w:sz="0" w:space="0" w:color="auto"/>
                    <w:bottom w:val="none" w:sz="0" w:space="0" w:color="auto"/>
                    <w:right w:val="none" w:sz="0" w:space="0" w:color="auto"/>
                  </w:divBdr>
                </w:div>
                <w:div w:id="1537230861">
                  <w:marLeft w:val="0"/>
                  <w:marRight w:val="0"/>
                  <w:marTop w:val="0"/>
                  <w:marBottom w:val="0"/>
                  <w:divBdr>
                    <w:top w:val="none" w:sz="0" w:space="0" w:color="auto"/>
                    <w:left w:val="none" w:sz="0" w:space="0" w:color="auto"/>
                    <w:bottom w:val="none" w:sz="0" w:space="0" w:color="auto"/>
                    <w:right w:val="none" w:sz="0" w:space="0" w:color="auto"/>
                  </w:divBdr>
                </w:div>
                <w:div w:id="1590849997">
                  <w:marLeft w:val="0"/>
                  <w:marRight w:val="0"/>
                  <w:marTop w:val="0"/>
                  <w:marBottom w:val="0"/>
                  <w:divBdr>
                    <w:top w:val="none" w:sz="0" w:space="0" w:color="auto"/>
                    <w:left w:val="none" w:sz="0" w:space="0" w:color="auto"/>
                    <w:bottom w:val="none" w:sz="0" w:space="0" w:color="auto"/>
                    <w:right w:val="none" w:sz="0" w:space="0" w:color="auto"/>
                  </w:divBdr>
                </w:div>
                <w:div w:id="1594126792">
                  <w:marLeft w:val="0"/>
                  <w:marRight w:val="0"/>
                  <w:marTop w:val="0"/>
                  <w:marBottom w:val="0"/>
                  <w:divBdr>
                    <w:top w:val="none" w:sz="0" w:space="0" w:color="auto"/>
                    <w:left w:val="none" w:sz="0" w:space="0" w:color="auto"/>
                    <w:bottom w:val="none" w:sz="0" w:space="0" w:color="auto"/>
                    <w:right w:val="none" w:sz="0" w:space="0" w:color="auto"/>
                  </w:divBdr>
                </w:div>
                <w:div w:id="1916238727">
                  <w:marLeft w:val="0"/>
                  <w:marRight w:val="0"/>
                  <w:marTop w:val="0"/>
                  <w:marBottom w:val="0"/>
                  <w:divBdr>
                    <w:top w:val="none" w:sz="0" w:space="0" w:color="auto"/>
                    <w:left w:val="none" w:sz="0" w:space="0" w:color="auto"/>
                    <w:bottom w:val="none" w:sz="0" w:space="0" w:color="auto"/>
                    <w:right w:val="none" w:sz="0" w:space="0" w:color="auto"/>
                  </w:divBdr>
                </w:div>
                <w:div w:id="206394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657301">
          <w:marLeft w:val="0"/>
          <w:marRight w:val="0"/>
          <w:marTop w:val="15"/>
          <w:marBottom w:val="0"/>
          <w:divBdr>
            <w:top w:val="single" w:sz="48" w:space="0" w:color="auto"/>
            <w:left w:val="single" w:sz="48" w:space="0" w:color="auto"/>
            <w:bottom w:val="single" w:sz="48" w:space="0" w:color="auto"/>
            <w:right w:val="single" w:sz="48" w:space="0" w:color="auto"/>
          </w:divBdr>
          <w:divsChild>
            <w:div w:id="1952975344">
              <w:marLeft w:val="0"/>
              <w:marRight w:val="0"/>
              <w:marTop w:val="0"/>
              <w:marBottom w:val="0"/>
              <w:divBdr>
                <w:top w:val="none" w:sz="0" w:space="0" w:color="auto"/>
                <w:left w:val="none" w:sz="0" w:space="0" w:color="auto"/>
                <w:bottom w:val="none" w:sz="0" w:space="0" w:color="auto"/>
                <w:right w:val="none" w:sz="0" w:space="0" w:color="auto"/>
              </w:divBdr>
              <w:divsChild>
                <w:div w:id="24600231">
                  <w:marLeft w:val="0"/>
                  <w:marRight w:val="0"/>
                  <w:marTop w:val="0"/>
                  <w:marBottom w:val="0"/>
                  <w:divBdr>
                    <w:top w:val="none" w:sz="0" w:space="0" w:color="auto"/>
                    <w:left w:val="none" w:sz="0" w:space="0" w:color="auto"/>
                    <w:bottom w:val="none" w:sz="0" w:space="0" w:color="auto"/>
                    <w:right w:val="none" w:sz="0" w:space="0" w:color="auto"/>
                  </w:divBdr>
                </w:div>
                <w:div w:id="749085863">
                  <w:marLeft w:val="0"/>
                  <w:marRight w:val="0"/>
                  <w:marTop w:val="0"/>
                  <w:marBottom w:val="0"/>
                  <w:divBdr>
                    <w:top w:val="none" w:sz="0" w:space="0" w:color="auto"/>
                    <w:left w:val="none" w:sz="0" w:space="0" w:color="auto"/>
                    <w:bottom w:val="none" w:sz="0" w:space="0" w:color="auto"/>
                    <w:right w:val="none" w:sz="0" w:space="0" w:color="auto"/>
                  </w:divBdr>
                </w:div>
                <w:div w:id="1054353460">
                  <w:marLeft w:val="0"/>
                  <w:marRight w:val="0"/>
                  <w:marTop w:val="0"/>
                  <w:marBottom w:val="0"/>
                  <w:divBdr>
                    <w:top w:val="none" w:sz="0" w:space="0" w:color="auto"/>
                    <w:left w:val="none" w:sz="0" w:space="0" w:color="auto"/>
                    <w:bottom w:val="none" w:sz="0" w:space="0" w:color="auto"/>
                    <w:right w:val="none" w:sz="0" w:space="0" w:color="auto"/>
                  </w:divBdr>
                </w:div>
                <w:div w:id="1178885456">
                  <w:marLeft w:val="0"/>
                  <w:marRight w:val="0"/>
                  <w:marTop w:val="0"/>
                  <w:marBottom w:val="0"/>
                  <w:divBdr>
                    <w:top w:val="none" w:sz="0" w:space="0" w:color="auto"/>
                    <w:left w:val="none" w:sz="0" w:space="0" w:color="auto"/>
                    <w:bottom w:val="none" w:sz="0" w:space="0" w:color="auto"/>
                    <w:right w:val="none" w:sz="0" w:space="0" w:color="auto"/>
                  </w:divBdr>
                </w:div>
                <w:div w:id="1639261013">
                  <w:marLeft w:val="0"/>
                  <w:marRight w:val="0"/>
                  <w:marTop w:val="0"/>
                  <w:marBottom w:val="0"/>
                  <w:divBdr>
                    <w:top w:val="none" w:sz="0" w:space="0" w:color="auto"/>
                    <w:left w:val="none" w:sz="0" w:space="0" w:color="auto"/>
                    <w:bottom w:val="none" w:sz="0" w:space="0" w:color="auto"/>
                    <w:right w:val="none" w:sz="0" w:space="0" w:color="auto"/>
                  </w:divBdr>
                </w:div>
                <w:div w:id="183313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279157">
      <w:bodyDiv w:val="1"/>
      <w:marLeft w:val="0"/>
      <w:marRight w:val="0"/>
      <w:marTop w:val="0"/>
      <w:marBottom w:val="0"/>
      <w:divBdr>
        <w:top w:val="none" w:sz="0" w:space="0" w:color="auto"/>
        <w:left w:val="none" w:sz="0" w:space="0" w:color="auto"/>
        <w:bottom w:val="none" w:sz="0" w:space="0" w:color="auto"/>
        <w:right w:val="none" w:sz="0" w:space="0" w:color="auto"/>
      </w:divBdr>
    </w:div>
    <w:div w:id="1406534062">
      <w:bodyDiv w:val="1"/>
      <w:marLeft w:val="0"/>
      <w:marRight w:val="0"/>
      <w:marTop w:val="0"/>
      <w:marBottom w:val="0"/>
      <w:divBdr>
        <w:top w:val="none" w:sz="0" w:space="0" w:color="auto"/>
        <w:left w:val="none" w:sz="0" w:space="0" w:color="auto"/>
        <w:bottom w:val="none" w:sz="0" w:space="0" w:color="auto"/>
        <w:right w:val="none" w:sz="0" w:space="0" w:color="auto"/>
      </w:divBdr>
    </w:div>
    <w:div w:id="1443650642">
      <w:bodyDiv w:val="1"/>
      <w:marLeft w:val="0"/>
      <w:marRight w:val="0"/>
      <w:marTop w:val="0"/>
      <w:marBottom w:val="0"/>
      <w:divBdr>
        <w:top w:val="none" w:sz="0" w:space="0" w:color="auto"/>
        <w:left w:val="none" w:sz="0" w:space="0" w:color="auto"/>
        <w:bottom w:val="none" w:sz="0" w:space="0" w:color="auto"/>
        <w:right w:val="none" w:sz="0" w:space="0" w:color="auto"/>
      </w:divBdr>
    </w:div>
    <w:div w:id="1487160378">
      <w:bodyDiv w:val="1"/>
      <w:marLeft w:val="0"/>
      <w:marRight w:val="0"/>
      <w:marTop w:val="0"/>
      <w:marBottom w:val="0"/>
      <w:divBdr>
        <w:top w:val="none" w:sz="0" w:space="0" w:color="auto"/>
        <w:left w:val="none" w:sz="0" w:space="0" w:color="auto"/>
        <w:bottom w:val="none" w:sz="0" w:space="0" w:color="auto"/>
        <w:right w:val="none" w:sz="0" w:space="0" w:color="auto"/>
      </w:divBdr>
    </w:div>
    <w:div w:id="1502355372">
      <w:bodyDiv w:val="1"/>
      <w:marLeft w:val="0"/>
      <w:marRight w:val="0"/>
      <w:marTop w:val="0"/>
      <w:marBottom w:val="0"/>
      <w:divBdr>
        <w:top w:val="none" w:sz="0" w:space="0" w:color="auto"/>
        <w:left w:val="none" w:sz="0" w:space="0" w:color="auto"/>
        <w:bottom w:val="none" w:sz="0" w:space="0" w:color="auto"/>
        <w:right w:val="none" w:sz="0" w:space="0" w:color="auto"/>
      </w:divBdr>
    </w:div>
    <w:div w:id="1504933769">
      <w:bodyDiv w:val="1"/>
      <w:marLeft w:val="0"/>
      <w:marRight w:val="0"/>
      <w:marTop w:val="0"/>
      <w:marBottom w:val="0"/>
      <w:divBdr>
        <w:top w:val="none" w:sz="0" w:space="0" w:color="auto"/>
        <w:left w:val="none" w:sz="0" w:space="0" w:color="auto"/>
        <w:bottom w:val="none" w:sz="0" w:space="0" w:color="auto"/>
        <w:right w:val="none" w:sz="0" w:space="0" w:color="auto"/>
      </w:divBdr>
    </w:div>
    <w:div w:id="1508129554">
      <w:bodyDiv w:val="1"/>
      <w:marLeft w:val="0"/>
      <w:marRight w:val="0"/>
      <w:marTop w:val="0"/>
      <w:marBottom w:val="0"/>
      <w:divBdr>
        <w:top w:val="none" w:sz="0" w:space="0" w:color="auto"/>
        <w:left w:val="none" w:sz="0" w:space="0" w:color="auto"/>
        <w:bottom w:val="none" w:sz="0" w:space="0" w:color="auto"/>
        <w:right w:val="none" w:sz="0" w:space="0" w:color="auto"/>
      </w:divBdr>
    </w:div>
    <w:div w:id="1508132000">
      <w:bodyDiv w:val="1"/>
      <w:marLeft w:val="0"/>
      <w:marRight w:val="0"/>
      <w:marTop w:val="0"/>
      <w:marBottom w:val="0"/>
      <w:divBdr>
        <w:top w:val="none" w:sz="0" w:space="0" w:color="auto"/>
        <w:left w:val="none" w:sz="0" w:space="0" w:color="auto"/>
        <w:bottom w:val="none" w:sz="0" w:space="0" w:color="auto"/>
        <w:right w:val="none" w:sz="0" w:space="0" w:color="auto"/>
      </w:divBdr>
    </w:div>
    <w:div w:id="1512574089">
      <w:bodyDiv w:val="1"/>
      <w:marLeft w:val="0"/>
      <w:marRight w:val="0"/>
      <w:marTop w:val="0"/>
      <w:marBottom w:val="0"/>
      <w:divBdr>
        <w:top w:val="none" w:sz="0" w:space="0" w:color="auto"/>
        <w:left w:val="none" w:sz="0" w:space="0" w:color="auto"/>
        <w:bottom w:val="none" w:sz="0" w:space="0" w:color="auto"/>
        <w:right w:val="none" w:sz="0" w:space="0" w:color="auto"/>
      </w:divBdr>
    </w:div>
    <w:div w:id="1519125085">
      <w:bodyDiv w:val="1"/>
      <w:marLeft w:val="0"/>
      <w:marRight w:val="0"/>
      <w:marTop w:val="0"/>
      <w:marBottom w:val="0"/>
      <w:divBdr>
        <w:top w:val="none" w:sz="0" w:space="0" w:color="auto"/>
        <w:left w:val="none" w:sz="0" w:space="0" w:color="auto"/>
        <w:bottom w:val="none" w:sz="0" w:space="0" w:color="auto"/>
        <w:right w:val="none" w:sz="0" w:space="0" w:color="auto"/>
      </w:divBdr>
    </w:div>
    <w:div w:id="1531798645">
      <w:bodyDiv w:val="1"/>
      <w:marLeft w:val="0"/>
      <w:marRight w:val="0"/>
      <w:marTop w:val="0"/>
      <w:marBottom w:val="0"/>
      <w:divBdr>
        <w:top w:val="none" w:sz="0" w:space="0" w:color="auto"/>
        <w:left w:val="none" w:sz="0" w:space="0" w:color="auto"/>
        <w:bottom w:val="none" w:sz="0" w:space="0" w:color="auto"/>
        <w:right w:val="none" w:sz="0" w:space="0" w:color="auto"/>
      </w:divBdr>
    </w:div>
    <w:div w:id="1537085063">
      <w:bodyDiv w:val="1"/>
      <w:marLeft w:val="0"/>
      <w:marRight w:val="0"/>
      <w:marTop w:val="0"/>
      <w:marBottom w:val="0"/>
      <w:divBdr>
        <w:top w:val="none" w:sz="0" w:space="0" w:color="auto"/>
        <w:left w:val="none" w:sz="0" w:space="0" w:color="auto"/>
        <w:bottom w:val="none" w:sz="0" w:space="0" w:color="auto"/>
        <w:right w:val="none" w:sz="0" w:space="0" w:color="auto"/>
      </w:divBdr>
    </w:div>
    <w:div w:id="1551964080">
      <w:bodyDiv w:val="1"/>
      <w:marLeft w:val="0"/>
      <w:marRight w:val="0"/>
      <w:marTop w:val="0"/>
      <w:marBottom w:val="0"/>
      <w:divBdr>
        <w:top w:val="none" w:sz="0" w:space="0" w:color="auto"/>
        <w:left w:val="none" w:sz="0" w:space="0" w:color="auto"/>
        <w:bottom w:val="none" w:sz="0" w:space="0" w:color="auto"/>
        <w:right w:val="none" w:sz="0" w:space="0" w:color="auto"/>
      </w:divBdr>
    </w:div>
    <w:div w:id="1569614291">
      <w:bodyDiv w:val="1"/>
      <w:marLeft w:val="0"/>
      <w:marRight w:val="0"/>
      <w:marTop w:val="0"/>
      <w:marBottom w:val="0"/>
      <w:divBdr>
        <w:top w:val="none" w:sz="0" w:space="0" w:color="auto"/>
        <w:left w:val="none" w:sz="0" w:space="0" w:color="auto"/>
        <w:bottom w:val="none" w:sz="0" w:space="0" w:color="auto"/>
        <w:right w:val="none" w:sz="0" w:space="0" w:color="auto"/>
      </w:divBdr>
    </w:div>
    <w:div w:id="1602487453">
      <w:bodyDiv w:val="1"/>
      <w:marLeft w:val="0"/>
      <w:marRight w:val="0"/>
      <w:marTop w:val="0"/>
      <w:marBottom w:val="0"/>
      <w:divBdr>
        <w:top w:val="none" w:sz="0" w:space="0" w:color="auto"/>
        <w:left w:val="none" w:sz="0" w:space="0" w:color="auto"/>
        <w:bottom w:val="none" w:sz="0" w:space="0" w:color="auto"/>
        <w:right w:val="none" w:sz="0" w:space="0" w:color="auto"/>
      </w:divBdr>
    </w:div>
    <w:div w:id="1602562769">
      <w:bodyDiv w:val="1"/>
      <w:marLeft w:val="0"/>
      <w:marRight w:val="0"/>
      <w:marTop w:val="0"/>
      <w:marBottom w:val="0"/>
      <w:divBdr>
        <w:top w:val="none" w:sz="0" w:space="0" w:color="auto"/>
        <w:left w:val="none" w:sz="0" w:space="0" w:color="auto"/>
        <w:bottom w:val="none" w:sz="0" w:space="0" w:color="auto"/>
        <w:right w:val="none" w:sz="0" w:space="0" w:color="auto"/>
      </w:divBdr>
    </w:div>
    <w:div w:id="1605989523">
      <w:bodyDiv w:val="1"/>
      <w:marLeft w:val="0"/>
      <w:marRight w:val="0"/>
      <w:marTop w:val="0"/>
      <w:marBottom w:val="0"/>
      <w:divBdr>
        <w:top w:val="none" w:sz="0" w:space="0" w:color="auto"/>
        <w:left w:val="none" w:sz="0" w:space="0" w:color="auto"/>
        <w:bottom w:val="none" w:sz="0" w:space="0" w:color="auto"/>
        <w:right w:val="none" w:sz="0" w:space="0" w:color="auto"/>
      </w:divBdr>
    </w:div>
    <w:div w:id="1617254062">
      <w:bodyDiv w:val="1"/>
      <w:marLeft w:val="0"/>
      <w:marRight w:val="0"/>
      <w:marTop w:val="0"/>
      <w:marBottom w:val="0"/>
      <w:divBdr>
        <w:top w:val="none" w:sz="0" w:space="0" w:color="auto"/>
        <w:left w:val="none" w:sz="0" w:space="0" w:color="auto"/>
        <w:bottom w:val="none" w:sz="0" w:space="0" w:color="auto"/>
        <w:right w:val="none" w:sz="0" w:space="0" w:color="auto"/>
      </w:divBdr>
    </w:div>
    <w:div w:id="1619677564">
      <w:bodyDiv w:val="1"/>
      <w:marLeft w:val="0"/>
      <w:marRight w:val="0"/>
      <w:marTop w:val="0"/>
      <w:marBottom w:val="0"/>
      <w:divBdr>
        <w:top w:val="none" w:sz="0" w:space="0" w:color="auto"/>
        <w:left w:val="none" w:sz="0" w:space="0" w:color="auto"/>
        <w:bottom w:val="none" w:sz="0" w:space="0" w:color="auto"/>
        <w:right w:val="none" w:sz="0" w:space="0" w:color="auto"/>
      </w:divBdr>
    </w:div>
    <w:div w:id="1640647819">
      <w:bodyDiv w:val="1"/>
      <w:marLeft w:val="0"/>
      <w:marRight w:val="0"/>
      <w:marTop w:val="0"/>
      <w:marBottom w:val="0"/>
      <w:divBdr>
        <w:top w:val="none" w:sz="0" w:space="0" w:color="auto"/>
        <w:left w:val="none" w:sz="0" w:space="0" w:color="auto"/>
        <w:bottom w:val="none" w:sz="0" w:space="0" w:color="auto"/>
        <w:right w:val="none" w:sz="0" w:space="0" w:color="auto"/>
      </w:divBdr>
    </w:div>
    <w:div w:id="1662464667">
      <w:bodyDiv w:val="1"/>
      <w:marLeft w:val="0"/>
      <w:marRight w:val="0"/>
      <w:marTop w:val="0"/>
      <w:marBottom w:val="0"/>
      <w:divBdr>
        <w:top w:val="none" w:sz="0" w:space="0" w:color="auto"/>
        <w:left w:val="none" w:sz="0" w:space="0" w:color="auto"/>
        <w:bottom w:val="none" w:sz="0" w:space="0" w:color="auto"/>
        <w:right w:val="none" w:sz="0" w:space="0" w:color="auto"/>
      </w:divBdr>
    </w:div>
    <w:div w:id="1675261228">
      <w:bodyDiv w:val="1"/>
      <w:marLeft w:val="0"/>
      <w:marRight w:val="0"/>
      <w:marTop w:val="0"/>
      <w:marBottom w:val="0"/>
      <w:divBdr>
        <w:top w:val="none" w:sz="0" w:space="0" w:color="auto"/>
        <w:left w:val="none" w:sz="0" w:space="0" w:color="auto"/>
        <w:bottom w:val="none" w:sz="0" w:space="0" w:color="auto"/>
        <w:right w:val="none" w:sz="0" w:space="0" w:color="auto"/>
      </w:divBdr>
    </w:div>
    <w:div w:id="1702392200">
      <w:bodyDiv w:val="1"/>
      <w:marLeft w:val="0"/>
      <w:marRight w:val="0"/>
      <w:marTop w:val="0"/>
      <w:marBottom w:val="0"/>
      <w:divBdr>
        <w:top w:val="none" w:sz="0" w:space="0" w:color="auto"/>
        <w:left w:val="none" w:sz="0" w:space="0" w:color="auto"/>
        <w:bottom w:val="none" w:sz="0" w:space="0" w:color="auto"/>
        <w:right w:val="none" w:sz="0" w:space="0" w:color="auto"/>
      </w:divBdr>
    </w:div>
    <w:div w:id="1707172432">
      <w:bodyDiv w:val="1"/>
      <w:marLeft w:val="0"/>
      <w:marRight w:val="0"/>
      <w:marTop w:val="0"/>
      <w:marBottom w:val="0"/>
      <w:divBdr>
        <w:top w:val="none" w:sz="0" w:space="0" w:color="auto"/>
        <w:left w:val="none" w:sz="0" w:space="0" w:color="auto"/>
        <w:bottom w:val="none" w:sz="0" w:space="0" w:color="auto"/>
        <w:right w:val="none" w:sz="0" w:space="0" w:color="auto"/>
      </w:divBdr>
    </w:div>
    <w:div w:id="1747650353">
      <w:bodyDiv w:val="1"/>
      <w:marLeft w:val="0"/>
      <w:marRight w:val="0"/>
      <w:marTop w:val="0"/>
      <w:marBottom w:val="0"/>
      <w:divBdr>
        <w:top w:val="none" w:sz="0" w:space="0" w:color="auto"/>
        <w:left w:val="none" w:sz="0" w:space="0" w:color="auto"/>
        <w:bottom w:val="none" w:sz="0" w:space="0" w:color="auto"/>
        <w:right w:val="none" w:sz="0" w:space="0" w:color="auto"/>
      </w:divBdr>
    </w:div>
    <w:div w:id="1750425212">
      <w:bodyDiv w:val="1"/>
      <w:marLeft w:val="0"/>
      <w:marRight w:val="0"/>
      <w:marTop w:val="0"/>
      <w:marBottom w:val="0"/>
      <w:divBdr>
        <w:top w:val="none" w:sz="0" w:space="0" w:color="auto"/>
        <w:left w:val="none" w:sz="0" w:space="0" w:color="auto"/>
        <w:bottom w:val="none" w:sz="0" w:space="0" w:color="auto"/>
        <w:right w:val="none" w:sz="0" w:space="0" w:color="auto"/>
      </w:divBdr>
    </w:div>
    <w:div w:id="1773891615">
      <w:bodyDiv w:val="1"/>
      <w:marLeft w:val="0"/>
      <w:marRight w:val="0"/>
      <w:marTop w:val="0"/>
      <w:marBottom w:val="0"/>
      <w:divBdr>
        <w:top w:val="none" w:sz="0" w:space="0" w:color="auto"/>
        <w:left w:val="none" w:sz="0" w:space="0" w:color="auto"/>
        <w:bottom w:val="none" w:sz="0" w:space="0" w:color="auto"/>
        <w:right w:val="none" w:sz="0" w:space="0" w:color="auto"/>
      </w:divBdr>
    </w:div>
    <w:div w:id="1793867218">
      <w:bodyDiv w:val="1"/>
      <w:marLeft w:val="0"/>
      <w:marRight w:val="0"/>
      <w:marTop w:val="0"/>
      <w:marBottom w:val="0"/>
      <w:divBdr>
        <w:top w:val="none" w:sz="0" w:space="0" w:color="auto"/>
        <w:left w:val="none" w:sz="0" w:space="0" w:color="auto"/>
        <w:bottom w:val="none" w:sz="0" w:space="0" w:color="auto"/>
        <w:right w:val="none" w:sz="0" w:space="0" w:color="auto"/>
      </w:divBdr>
    </w:div>
    <w:div w:id="1814180665">
      <w:bodyDiv w:val="1"/>
      <w:marLeft w:val="0"/>
      <w:marRight w:val="0"/>
      <w:marTop w:val="0"/>
      <w:marBottom w:val="0"/>
      <w:divBdr>
        <w:top w:val="none" w:sz="0" w:space="0" w:color="auto"/>
        <w:left w:val="none" w:sz="0" w:space="0" w:color="auto"/>
        <w:bottom w:val="none" w:sz="0" w:space="0" w:color="auto"/>
        <w:right w:val="none" w:sz="0" w:space="0" w:color="auto"/>
      </w:divBdr>
    </w:div>
    <w:div w:id="1815828628">
      <w:bodyDiv w:val="1"/>
      <w:marLeft w:val="0"/>
      <w:marRight w:val="0"/>
      <w:marTop w:val="0"/>
      <w:marBottom w:val="0"/>
      <w:divBdr>
        <w:top w:val="none" w:sz="0" w:space="0" w:color="auto"/>
        <w:left w:val="none" w:sz="0" w:space="0" w:color="auto"/>
        <w:bottom w:val="none" w:sz="0" w:space="0" w:color="auto"/>
        <w:right w:val="none" w:sz="0" w:space="0" w:color="auto"/>
      </w:divBdr>
    </w:div>
    <w:div w:id="1819613370">
      <w:bodyDiv w:val="1"/>
      <w:marLeft w:val="0"/>
      <w:marRight w:val="0"/>
      <w:marTop w:val="0"/>
      <w:marBottom w:val="0"/>
      <w:divBdr>
        <w:top w:val="none" w:sz="0" w:space="0" w:color="auto"/>
        <w:left w:val="none" w:sz="0" w:space="0" w:color="auto"/>
        <w:bottom w:val="none" w:sz="0" w:space="0" w:color="auto"/>
        <w:right w:val="none" w:sz="0" w:space="0" w:color="auto"/>
      </w:divBdr>
    </w:div>
    <w:div w:id="1820152857">
      <w:bodyDiv w:val="1"/>
      <w:marLeft w:val="0"/>
      <w:marRight w:val="0"/>
      <w:marTop w:val="0"/>
      <w:marBottom w:val="0"/>
      <w:divBdr>
        <w:top w:val="none" w:sz="0" w:space="0" w:color="auto"/>
        <w:left w:val="none" w:sz="0" w:space="0" w:color="auto"/>
        <w:bottom w:val="none" w:sz="0" w:space="0" w:color="auto"/>
        <w:right w:val="none" w:sz="0" w:space="0" w:color="auto"/>
      </w:divBdr>
    </w:div>
    <w:div w:id="1821841674">
      <w:bodyDiv w:val="1"/>
      <w:marLeft w:val="0"/>
      <w:marRight w:val="0"/>
      <w:marTop w:val="0"/>
      <w:marBottom w:val="0"/>
      <w:divBdr>
        <w:top w:val="none" w:sz="0" w:space="0" w:color="auto"/>
        <w:left w:val="none" w:sz="0" w:space="0" w:color="auto"/>
        <w:bottom w:val="none" w:sz="0" w:space="0" w:color="auto"/>
        <w:right w:val="none" w:sz="0" w:space="0" w:color="auto"/>
      </w:divBdr>
    </w:div>
    <w:div w:id="1844926676">
      <w:bodyDiv w:val="1"/>
      <w:marLeft w:val="0"/>
      <w:marRight w:val="0"/>
      <w:marTop w:val="0"/>
      <w:marBottom w:val="0"/>
      <w:divBdr>
        <w:top w:val="none" w:sz="0" w:space="0" w:color="auto"/>
        <w:left w:val="none" w:sz="0" w:space="0" w:color="auto"/>
        <w:bottom w:val="none" w:sz="0" w:space="0" w:color="auto"/>
        <w:right w:val="none" w:sz="0" w:space="0" w:color="auto"/>
      </w:divBdr>
    </w:div>
    <w:div w:id="1866139091">
      <w:bodyDiv w:val="1"/>
      <w:marLeft w:val="0"/>
      <w:marRight w:val="0"/>
      <w:marTop w:val="0"/>
      <w:marBottom w:val="0"/>
      <w:divBdr>
        <w:top w:val="none" w:sz="0" w:space="0" w:color="auto"/>
        <w:left w:val="none" w:sz="0" w:space="0" w:color="auto"/>
        <w:bottom w:val="none" w:sz="0" w:space="0" w:color="auto"/>
        <w:right w:val="none" w:sz="0" w:space="0" w:color="auto"/>
      </w:divBdr>
    </w:div>
    <w:div w:id="1877690174">
      <w:bodyDiv w:val="1"/>
      <w:marLeft w:val="0"/>
      <w:marRight w:val="0"/>
      <w:marTop w:val="0"/>
      <w:marBottom w:val="0"/>
      <w:divBdr>
        <w:top w:val="none" w:sz="0" w:space="0" w:color="auto"/>
        <w:left w:val="none" w:sz="0" w:space="0" w:color="auto"/>
        <w:bottom w:val="none" w:sz="0" w:space="0" w:color="auto"/>
        <w:right w:val="none" w:sz="0" w:space="0" w:color="auto"/>
      </w:divBdr>
    </w:div>
    <w:div w:id="1881626709">
      <w:bodyDiv w:val="1"/>
      <w:marLeft w:val="0"/>
      <w:marRight w:val="0"/>
      <w:marTop w:val="0"/>
      <w:marBottom w:val="0"/>
      <w:divBdr>
        <w:top w:val="none" w:sz="0" w:space="0" w:color="auto"/>
        <w:left w:val="none" w:sz="0" w:space="0" w:color="auto"/>
        <w:bottom w:val="none" w:sz="0" w:space="0" w:color="auto"/>
        <w:right w:val="none" w:sz="0" w:space="0" w:color="auto"/>
      </w:divBdr>
    </w:div>
    <w:div w:id="1884946531">
      <w:bodyDiv w:val="1"/>
      <w:marLeft w:val="0"/>
      <w:marRight w:val="0"/>
      <w:marTop w:val="0"/>
      <w:marBottom w:val="0"/>
      <w:divBdr>
        <w:top w:val="none" w:sz="0" w:space="0" w:color="auto"/>
        <w:left w:val="none" w:sz="0" w:space="0" w:color="auto"/>
        <w:bottom w:val="none" w:sz="0" w:space="0" w:color="auto"/>
        <w:right w:val="none" w:sz="0" w:space="0" w:color="auto"/>
      </w:divBdr>
    </w:div>
    <w:div w:id="1896774787">
      <w:bodyDiv w:val="1"/>
      <w:marLeft w:val="0"/>
      <w:marRight w:val="0"/>
      <w:marTop w:val="0"/>
      <w:marBottom w:val="0"/>
      <w:divBdr>
        <w:top w:val="none" w:sz="0" w:space="0" w:color="auto"/>
        <w:left w:val="none" w:sz="0" w:space="0" w:color="auto"/>
        <w:bottom w:val="none" w:sz="0" w:space="0" w:color="auto"/>
        <w:right w:val="none" w:sz="0" w:space="0" w:color="auto"/>
      </w:divBdr>
    </w:div>
    <w:div w:id="1907564353">
      <w:bodyDiv w:val="1"/>
      <w:marLeft w:val="0"/>
      <w:marRight w:val="0"/>
      <w:marTop w:val="0"/>
      <w:marBottom w:val="0"/>
      <w:divBdr>
        <w:top w:val="none" w:sz="0" w:space="0" w:color="auto"/>
        <w:left w:val="none" w:sz="0" w:space="0" w:color="auto"/>
        <w:bottom w:val="none" w:sz="0" w:space="0" w:color="auto"/>
        <w:right w:val="none" w:sz="0" w:space="0" w:color="auto"/>
      </w:divBdr>
    </w:div>
    <w:div w:id="1907716169">
      <w:bodyDiv w:val="1"/>
      <w:marLeft w:val="0"/>
      <w:marRight w:val="0"/>
      <w:marTop w:val="0"/>
      <w:marBottom w:val="0"/>
      <w:divBdr>
        <w:top w:val="none" w:sz="0" w:space="0" w:color="auto"/>
        <w:left w:val="none" w:sz="0" w:space="0" w:color="auto"/>
        <w:bottom w:val="none" w:sz="0" w:space="0" w:color="auto"/>
        <w:right w:val="none" w:sz="0" w:space="0" w:color="auto"/>
      </w:divBdr>
    </w:div>
    <w:div w:id="1911185257">
      <w:bodyDiv w:val="1"/>
      <w:marLeft w:val="0"/>
      <w:marRight w:val="0"/>
      <w:marTop w:val="0"/>
      <w:marBottom w:val="0"/>
      <w:divBdr>
        <w:top w:val="none" w:sz="0" w:space="0" w:color="auto"/>
        <w:left w:val="none" w:sz="0" w:space="0" w:color="auto"/>
        <w:bottom w:val="none" w:sz="0" w:space="0" w:color="auto"/>
        <w:right w:val="none" w:sz="0" w:space="0" w:color="auto"/>
      </w:divBdr>
    </w:div>
    <w:div w:id="1919485853">
      <w:bodyDiv w:val="1"/>
      <w:marLeft w:val="0"/>
      <w:marRight w:val="0"/>
      <w:marTop w:val="0"/>
      <w:marBottom w:val="0"/>
      <w:divBdr>
        <w:top w:val="none" w:sz="0" w:space="0" w:color="auto"/>
        <w:left w:val="none" w:sz="0" w:space="0" w:color="auto"/>
        <w:bottom w:val="none" w:sz="0" w:space="0" w:color="auto"/>
        <w:right w:val="none" w:sz="0" w:space="0" w:color="auto"/>
      </w:divBdr>
    </w:div>
    <w:div w:id="1944877648">
      <w:bodyDiv w:val="1"/>
      <w:marLeft w:val="0"/>
      <w:marRight w:val="0"/>
      <w:marTop w:val="0"/>
      <w:marBottom w:val="0"/>
      <w:divBdr>
        <w:top w:val="none" w:sz="0" w:space="0" w:color="auto"/>
        <w:left w:val="none" w:sz="0" w:space="0" w:color="auto"/>
        <w:bottom w:val="none" w:sz="0" w:space="0" w:color="auto"/>
        <w:right w:val="none" w:sz="0" w:space="0" w:color="auto"/>
      </w:divBdr>
    </w:div>
    <w:div w:id="1950047693">
      <w:bodyDiv w:val="1"/>
      <w:marLeft w:val="0"/>
      <w:marRight w:val="0"/>
      <w:marTop w:val="0"/>
      <w:marBottom w:val="0"/>
      <w:divBdr>
        <w:top w:val="none" w:sz="0" w:space="0" w:color="auto"/>
        <w:left w:val="none" w:sz="0" w:space="0" w:color="auto"/>
        <w:bottom w:val="none" w:sz="0" w:space="0" w:color="auto"/>
        <w:right w:val="none" w:sz="0" w:space="0" w:color="auto"/>
      </w:divBdr>
    </w:div>
    <w:div w:id="1979218323">
      <w:bodyDiv w:val="1"/>
      <w:marLeft w:val="0"/>
      <w:marRight w:val="0"/>
      <w:marTop w:val="0"/>
      <w:marBottom w:val="0"/>
      <w:divBdr>
        <w:top w:val="none" w:sz="0" w:space="0" w:color="auto"/>
        <w:left w:val="none" w:sz="0" w:space="0" w:color="auto"/>
        <w:bottom w:val="none" w:sz="0" w:space="0" w:color="auto"/>
        <w:right w:val="none" w:sz="0" w:space="0" w:color="auto"/>
      </w:divBdr>
    </w:div>
    <w:div w:id="1987468570">
      <w:bodyDiv w:val="1"/>
      <w:marLeft w:val="0"/>
      <w:marRight w:val="0"/>
      <w:marTop w:val="0"/>
      <w:marBottom w:val="0"/>
      <w:divBdr>
        <w:top w:val="none" w:sz="0" w:space="0" w:color="auto"/>
        <w:left w:val="none" w:sz="0" w:space="0" w:color="auto"/>
        <w:bottom w:val="none" w:sz="0" w:space="0" w:color="auto"/>
        <w:right w:val="none" w:sz="0" w:space="0" w:color="auto"/>
      </w:divBdr>
      <w:divsChild>
        <w:div w:id="2081781638">
          <w:marLeft w:val="360"/>
          <w:marRight w:val="0"/>
          <w:marTop w:val="120"/>
          <w:marBottom w:val="240"/>
          <w:divBdr>
            <w:top w:val="none" w:sz="0" w:space="0" w:color="auto"/>
            <w:left w:val="none" w:sz="0" w:space="0" w:color="auto"/>
            <w:bottom w:val="none" w:sz="0" w:space="0" w:color="auto"/>
            <w:right w:val="none" w:sz="0" w:space="0" w:color="auto"/>
          </w:divBdr>
        </w:div>
        <w:div w:id="930816893">
          <w:marLeft w:val="360"/>
          <w:marRight w:val="0"/>
          <w:marTop w:val="120"/>
          <w:marBottom w:val="240"/>
          <w:divBdr>
            <w:top w:val="none" w:sz="0" w:space="0" w:color="auto"/>
            <w:left w:val="none" w:sz="0" w:space="0" w:color="auto"/>
            <w:bottom w:val="none" w:sz="0" w:space="0" w:color="auto"/>
            <w:right w:val="none" w:sz="0" w:space="0" w:color="auto"/>
          </w:divBdr>
        </w:div>
      </w:divsChild>
    </w:div>
    <w:div w:id="1989434404">
      <w:bodyDiv w:val="1"/>
      <w:marLeft w:val="0"/>
      <w:marRight w:val="0"/>
      <w:marTop w:val="0"/>
      <w:marBottom w:val="0"/>
      <w:divBdr>
        <w:top w:val="none" w:sz="0" w:space="0" w:color="auto"/>
        <w:left w:val="none" w:sz="0" w:space="0" w:color="auto"/>
        <w:bottom w:val="none" w:sz="0" w:space="0" w:color="auto"/>
        <w:right w:val="none" w:sz="0" w:space="0" w:color="auto"/>
      </w:divBdr>
    </w:div>
    <w:div w:id="1991670423">
      <w:bodyDiv w:val="1"/>
      <w:marLeft w:val="0"/>
      <w:marRight w:val="0"/>
      <w:marTop w:val="0"/>
      <w:marBottom w:val="0"/>
      <w:divBdr>
        <w:top w:val="none" w:sz="0" w:space="0" w:color="auto"/>
        <w:left w:val="none" w:sz="0" w:space="0" w:color="auto"/>
        <w:bottom w:val="none" w:sz="0" w:space="0" w:color="auto"/>
        <w:right w:val="none" w:sz="0" w:space="0" w:color="auto"/>
      </w:divBdr>
    </w:div>
    <w:div w:id="2001807653">
      <w:bodyDiv w:val="1"/>
      <w:marLeft w:val="0"/>
      <w:marRight w:val="0"/>
      <w:marTop w:val="0"/>
      <w:marBottom w:val="0"/>
      <w:divBdr>
        <w:top w:val="none" w:sz="0" w:space="0" w:color="auto"/>
        <w:left w:val="none" w:sz="0" w:space="0" w:color="auto"/>
        <w:bottom w:val="none" w:sz="0" w:space="0" w:color="auto"/>
        <w:right w:val="none" w:sz="0" w:space="0" w:color="auto"/>
      </w:divBdr>
    </w:div>
    <w:div w:id="2007710017">
      <w:bodyDiv w:val="1"/>
      <w:marLeft w:val="0"/>
      <w:marRight w:val="0"/>
      <w:marTop w:val="0"/>
      <w:marBottom w:val="0"/>
      <w:divBdr>
        <w:top w:val="none" w:sz="0" w:space="0" w:color="auto"/>
        <w:left w:val="none" w:sz="0" w:space="0" w:color="auto"/>
        <w:bottom w:val="none" w:sz="0" w:space="0" w:color="auto"/>
        <w:right w:val="none" w:sz="0" w:space="0" w:color="auto"/>
      </w:divBdr>
    </w:div>
    <w:div w:id="2024430973">
      <w:bodyDiv w:val="1"/>
      <w:marLeft w:val="0"/>
      <w:marRight w:val="0"/>
      <w:marTop w:val="0"/>
      <w:marBottom w:val="0"/>
      <w:divBdr>
        <w:top w:val="none" w:sz="0" w:space="0" w:color="auto"/>
        <w:left w:val="none" w:sz="0" w:space="0" w:color="auto"/>
        <w:bottom w:val="none" w:sz="0" w:space="0" w:color="auto"/>
        <w:right w:val="none" w:sz="0" w:space="0" w:color="auto"/>
      </w:divBdr>
    </w:div>
    <w:div w:id="2073263039">
      <w:bodyDiv w:val="1"/>
      <w:marLeft w:val="0"/>
      <w:marRight w:val="0"/>
      <w:marTop w:val="0"/>
      <w:marBottom w:val="0"/>
      <w:divBdr>
        <w:top w:val="none" w:sz="0" w:space="0" w:color="auto"/>
        <w:left w:val="none" w:sz="0" w:space="0" w:color="auto"/>
        <w:bottom w:val="none" w:sz="0" w:space="0" w:color="auto"/>
        <w:right w:val="none" w:sz="0" w:space="0" w:color="auto"/>
      </w:divBdr>
    </w:div>
    <w:div w:id="2077582633">
      <w:bodyDiv w:val="1"/>
      <w:marLeft w:val="0"/>
      <w:marRight w:val="0"/>
      <w:marTop w:val="0"/>
      <w:marBottom w:val="0"/>
      <w:divBdr>
        <w:top w:val="none" w:sz="0" w:space="0" w:color="auto"/>
        <w:left w:val="none" w:sz="0" w:space="0" w:color="auto"/>
        <w:bottom w:val="none" w:sz="0" w:space="0" w:color="auto"/>
        <w:right w:val="none" w:sz="0" w:space="0" w:color="auto"/>
      </w:divBdr>
    </w:div>
    <w:div w:id="2083019606">
      <w:bodyDiv w:val="1"/>
      <w:marLeft w:val="0"/>
      <w:marRight w:val="0"/>
      <w:marTop w:val="0"/>
      <w:marBottom w:val="0"/>
      <w:divBdr>
        <w:top w:val="none" w:sz="0" w:space="0" w:color="auto"/>
        <w:left w:val="none" w:sz="0" w:space="0" w:color="auto"/>
        <w:bottom w:val="none" w:sz="0" w:space="0" w:color="auto"/>
        <w:right w:val="none" w:sz="0" w:space="0" w:color="auto"/>
      </w:divBdr>
    </w:div>
    <w:div w:id="2095197238">
      <w:bodyDiv w:val="1"/>
      <w:marLeft w:val="0"/>
      <w:marRight w:val="0"/>
      <w:marTop w:val="0"/>
      <w:marBottom w:val="0"/>
      <w:divBdr>
        <w:top w:val="none" w:sz="0" w:space="0" w:color="auto"/>
        <w:left w:val="none" w:sz="0" w:space="0" w:color="auto"/>
        <w:bottom w:val="none" w:sz="0" w:space="0" w:color="auto"/>
        <w:right w:val="none" w:sz="0" w:space="0" w:color="auto"/>
      </w:divBdr>
    </w:div>
    <w:div w:id="2105805350">
      <w:bodyDiv w:val="1"/>
      <w:marLeft w:val="0"/>
      <w:marRight w:val="0"/>
      <w:marTop w:val="0"/>
      <w:marBottom w:val="0"/>
      <w:divBdr>
        <w:top w:val="none" w:sz="0" w:space="0" w:color="auto"/>
        <w:left w:val="none" w:sz="0" w:space="0" w:color="auto"/>
        <w:bottom w:val="none" w:sz="0" w:space="0" w:color="auto"/>
        <w:right w:val="none" w:sz="0" w:space="0" w:color="auto"/>
      </w:divBdr>
    </w:div>
    <w:div w:id="2114471270">
      <w:bodyDiv w:val="1"/>
      <w:marLeft w:val="0"/>
      <w:marRight w:val="0"/>
      <w:marTop w:val="0"/>
      <w:marBottom w:val="0"/>
      <w:divBdr>
        <w:top w:val="none" w:sz="0" w:space="0" w:color="auto"/>
        <w:left w:val="none" w:sz="0" w:space="0" w:color="auto"/>
        <w:bottom w:val="none" w:sz="0" w:space="0" w:color="auto"/>
        <w:right w:val="none" w:sz="0" w:space="0" w:color="auto"/>
      </w:divBdr>
    </w:div>
    <w:div w:id="2118332130">
      <w:bodyDiv w:val="1"/>
      <w:marLeft w:val="0"/>
      <w:marRight w:val="0"/>
      <w:marTop w:val="0"/>
      <w:marBottom w:val="0"/>
      <w:divBdr>
        <w:top w:val="none" w:sz="0" w:space="0" w:color="auto"/>
        <w:left w:val="none" w:sz="0" w:space="0" w:color="auto"/>
        <w:bottom w:val="none" w:sz="0" w:space="0" w:color="auto"/>
        <w:right w:val="none" w:sz="0" w:space="0" w:color="auto"/>
      </w:divBdr>
    </w:div>
    <w:div w:id="2124575527">
      <w:bodyDiv w:val="1"/>
      <w:marLeft w:val="0"/>
      <w:marRight w:val="0"/>
      <w:marTop w:val="0"/>
      <w:marBottom w:val="0"/>
      <w:divBdr>
        <w:top w:val="none" w:sz="0" w:space="0" w:color="auto"/>
        <w:left w:val="none" w:sz="0" w:space="0" w:color="auto"/>
        <w:bottom w:val="none" w:sz="0" w:space="0" w:color="auto"/>
        <w:right w:val="none" w:sz="0" w:space="0" w:color="auto"/>
      </w:divBdr>
    </w:div>
    <w:div w:id="2125348559">
      <w:bodyDiv w:val="1"/>
      <w:marLeft w:val="0"/>
      <w:marRight w:val="0"/>
      <w:marTop w:val="0"/>
      <w:marBottom w:val="0"/>
      <w:divBdr>
        <w:top w:val="none" w:sz="0" w:space="0" w:color="auto"/>
        <w:left w:val="none" w:sz="0" w:space="0" w:color="auto"/>
        <w:bottom w:val="none" w:sz="0" w:space="0" w:color="auto"/>
        <w:right w:val="none" w:sz="0" w:space="0" w:color="auto"/>
      </w:divBdr>
    </w:div>
    <w:div w:id="2136411250">
      <w:bodyDiv w:val="1"/>
      <w:marLeft w:val="0"/>
      <w:marRight w:val="0"/>
      <w:marTop w:val="0"/>
      <w:marBottom w:val="0"/>
      <w:divBdr>
        <w:top w:val="none" w:sz="0" w:space="0" w:color="auto"/>
        <w:left w:val="none" w:sz="0" w:space="0" w:color="auto"/>
        <w:bottom w:val="none" w:sz="0" w:space="0" w:color="auto"/>
        <w:right w:val="none" w:sz="0" w:space="0" w:color="auto"/>
      </w:divBdr>
    </w:div>
    <w:div w:id="214029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17" Type="http://schemas.openxmlformats.org/officeDocument/2006/relationships/hyperlink" Target="https://cmha.ca/what-we-do/policy-research/state-of-mental-health-in-canada/" TargetMode="External"/><Relationship Id="rId21" Type="http://schemas.openxmlformats.org/officeDocument/2006/relationships/hyperlink" Target="https://www150.statcan.gc.ca/n1/daily-quotidien/230830/dq230830a-eng.htm" TargetMode="External"/><Relationship Id="rId42" Type="http://schemas.openxmlformats.org/officeDocument/2006/relationships/hyperlink" Target="https://laws-lois.justice.gc.ca/eng/acts/A-0.6/page-1.html" TargetMode="External"/><Relationship Id="rId63" Type="http://schemas.openxmlformats.org/officeDocument/2006/relationships/hyperlink" Target="https://www.camh.ca/en/driving-change/the-crisis-is-real/mental-health-statistics" TargetMode="External"/><Relationship Id="rId84" Type="http://schemas.openxmlformats.org/officeDocument/2006/relationships/hyperlink" Target="https://nctr.ca/about/about-the-nctr/our-mandate/" TargetMode="External"/><Relationship Id="rId138" Type="http://schemas.openxmlformats.org/officeDocument/2006/relationships/hyperlink" Target="https://www.canada.ca/en/government/system/digital-government/digital-government-innovations/responsible-use-ai/algorithmic-impact-assessment.html" TargetMode="External"/><Relationship Id="rId107" Type="http://schemas.openxmlformats.org/officeDocument/2006/relationships/hyperlink" Target="https://www.nwac.ca/assets-documents/Magazine-ISSUE-25.pdf" TargetMode="External"/><Relationship Id="rId11" Type="http://schemas.openxmlformats.org/officeDocument/2006/relationships/hyperlink" Target="https://laws-lois.justice.gc.ca/eng/acts/c-3.45/page-1.html" TargetMode="External"/><Relationship Id="rId32" Type="http://schemas.openxmlformats.org/officeDocument/2006/relationships/hyperlink" Target="https://www.thestar.com/news/gta/2015/11/02/sheltered-workshops-a-blessing-for-developmentally-challenged-or-slave-labour.html" TargetMode="External"/><Relationship Id="rId37" Type="http://schemas.openxmlformats.org/officeDocument/2006/relationships/hyperlink" Target="https://www.ohrc.on.ca/en/right-to-read-inquiry-report" TargetMode="External"/><Relationship Id="rId53" Type="http://schemas.openxmlformats.org/officeDocument/2006/relationships/hyperlink" Target="https://liveworkwell.ca/sites/default/files/pageuploads/DisabilityInclusionAnalysisCOVID-19_Final_031621_protected.pdf" TargetMode="External"/><Relationship Id="rId58" Type="http://schemas.openxmlformats.org/officeDocument/2006/relationships/hyperlink" Target="http://www.cbc.ca/news/health/covid-19-impact-on-canadians-with-disabilities-1.5525332" TargetMode="External"/><Relationship Id="rId74" Type="http://schemas.openxmlformats.org/officeDocument/2006/relationships/hyperlink" Target="https://www.cbc.ca/news/canada/thunder-bay/grassy-narrows-mercury-poisoining-study-1.6387194" TargetMode="External"/><Relationship Id="rId79" Type="http://schemas.openxmlformats.org/officeDocument/2006/relationships/hyperlink" Target="https://www.ontario.ca/page/guardianship" TargetMode="External"/><Relationship Id="rId102" Type="http://schemas.openxmlformats.org/officeDocument/2006/relationships/hyperlink" Target="http://www.canlii.org/en/ns/nsca/doc/2021/2021nsca70/2021nsca70.html" TargetMode="External"/><Relationship Id="rId123" Type="http://schemas.openxmlformats.org/officeDocument/2006/relationships/hyperlink" Target="https://www.rcaanc-cirnac.gc.ca/eng/1717103903695/1717103981609" TargetMode="External"/><Relationship Id="rId128" Type="http://schemas.openxmlformats.org/officeDocument/2006/relationships/hyperlink" Target="https://dawncanada.net/media/uploads/page_data/page-63/FEWO_Human_Trafficking_Parliamentary_Brief-May11_2023-LONG_EN_BH.pdf" TargetMode="External"/><Relationship Id="rId5" Type="http://schemas.openxmlformats.org/officeDocument/2006/relationships/hyperlink" Target="https://parl.ca/Content/Bills/432/Government/C-7/C-7_4/C-7_4.PDF" TargetMode="External"/><Relationship Id="rId90" Type="http://schemas.openxmlformats.org/officeDocument/2006/relationships/hyperlink" Target="https://oci-bec.gc.ca/en/content/office-correctional-investigator-annual-report-2020-2021" TargetMode="External"/><Relationship Id="rId95" Type="http://schemas.openxmlformats.org/officeDocument/2006/relationships/hyperlink" Target="https://www.cihi.ca/en/covid-19-resources/impact-of-covid-19-on-canadas-health-care-systems/long-term-care" TargetMode="External"/><Relationship Id="rId22" Type="http://schemas.openxmlformats.org/officeDocument/2006/relationships/hyperlink" Target="https://doi.org/10.25318/1410041701-eng" TargetMode="External"/><Relationship Id="rId27" Type="http://schemas.openxmlformats.org/officeDocument/2006/relationships/hyperlink" Target="https://epe.lac-bac.gc.ca/100/201/301/weekly_acquisitions_list-ef/2019/19-10/publications.gc.ca/collections/collection_2019/statcan/11-626-x/11-626-x2019002-eng.pdf" TargetMode="External"/><Relationship Id="rId43" Type="http://schemas.openxmlformats.org/officeDocument/2006/relationships/hyperlink" Target="https://laws-lois.justice.gc.ca/eng/Regulations/SOR-2019-244/index.html" TargetMode="External"/><Relationship Id="rId48" Type="http://schemas.openxmlformats.org/officeDocument/2006/relationships/hyperlink" Target="https://www.ourcommons.ca/documentviewer/en/44-1/TRAN/report-21" TargetMode="External"/><Relationship Id="rId64" Type="http://schemas.openxmlformats.org/officeDocument/2006/relationships/hyperlink" Target="https://cmha.ca/wp-content/uploads/2024/11/CMHA-State-of-Mental-Health-2024-report.pdf" TargetMode="External"/><Relationship Id="rId69" Type="http://schemas.openxmlformats.org/officeDocument/2006/relationships/hyperlink" Target="https://www.disabilityinclusiveclimate.org/researcheng/project-one-ephnc-76974" TargetMode="External"/><Relationship Id="rId113" Type="http://schemas.openxmlformats.org/officeDocument/2006/relationships/hyperlink" Target="https://canlii.ca/t/jkh8r" TargetMode="External"/><Relationship Id="rId118" Type="http://schemas.openxmlformats.org/officeDocument/2006/relationships/hyperlink" Target="https://www150.statcan.gc.ca/n1/pub/42-28-0001/2021001/article/00004-eng.htm" TargetMode="External"/><Relationship Id="rId134" Type="http://schemas.openxmlformats.org/officeDocument/2006/relationships/hyperlink" Target="https://static1.squarespace.com/static/5c2fa7b03917eed9b5a436d8/t/656df1d1ec26dd2770e599f3/1701704146039/NIA_SIReportNOV30.pdf" TargetMode="External"/><Relationship Id="rId139" Type="http://schemas.openxmlformats.org/officeDocument/2006/relationships/hyperlink" Target="https://accessible.canada.ca/centre-of-expertise/information-and-communication-technologies/technical-guide-accessible-artificial-intelligence-systems" TargetMode="External"/><Relationship Id="rId80" Type="http://schemas.openxmlformats.org/officeDocument/2006/relationships/hyperlink" Target="https://www.quebec.ca/en/justice-and-civil-status/legal-protection/assistance-measure" TargetMode="External"/><Relationship Id="rId85" Type="http://schemas.openxmlformats.org/officeDocument/2006/relationships/hyperlink" Target="https://johnhoward.on.ca/wp-content/uploads/2021/01/Broken-Record.pdf" TargetMode="External"/><Relationship Id="rId12" Type="http://schemas.openxmlformats.org/officeDocument/2006/relationships/hyperlink" Target="http://www.gazette.gc.ca/rp-pr/p1/2024/2024-06-29/html/reg2-eng.html" TargetMode="External"/><Relationship Id="rId17" Type="http://schemas.openxmlformats.org/officeDocument/2006/relationships/hyperlink" Target="https://www.chrc-ccdp.gc.ca/resources/publications/monitoring-the-right-housing-people-disabilities" TargetMode="External"/><Relationship Id="rId33" Type="http://schemas.openxmlformats.org/officeDocument/2006/relationships/hyperlink" Target="https://inclusioncanada.ca/wp-content/uploads/2018/05/Achieving-social-and-economic-inclusion_0.pdf" TargetMode="External"/><Relationship Id="rId38" Type="http://schemas.openxmlformats.org/officeDocument/2006/relationships/hyperlink" Target="https://www.cdpdj.qc.ca/storage/app/media/publications/synthese_colloque-EHDAA.pdf" TargetMode="External"/><Relationship Id="rId59" Type="http://schemas.openxmlformats.org/officeDocument/2006/relationships/hyperlink" Target="https://www3.ohrc.on.ca/en/news-center/new-letter-minister-health-critical-care-triage-protocol" TargetMode="External"/><Relationship Id="rId103" Type="http://schemas.openxmlformats.org/officeDocument/2006/relationships/hyperlink" Target="https://humanrights.novascotia.ca/sites/default/files/monitoring_report_year_one.pdf" TargetMode="External"/><Relationship Id="rId108" Type="http://schemas.openxmlformats.org/officeDocument/2006/relationships/hyperlink" Target="https://cpa.ca/docs/File/Task_Forces/TRC%20Task%20Force%20Report_FINAL.pdf" TargetMode="External"/><Relationship Id="rId124" Type="http://schemas.openxmlformats.org/officeDocument/2006/relationships/hyperlink" Target="https://www.chrc-ccdp.gc.ca/resources/newsroom/independent-indigenous-human-rights-system-overdue" TargetMode="External"/><Relationship Id="rId129" Type="http://schemas.openxmlformats.org/officeDocument/2006/relationships/hyperlink" Target="https://www150.statcan.gc.ca/n1/daily-quotidien/231201/dq231201b-eng.htm" TargetMode="External"/><Relationship Id="rId54" Type="http://schemas.openxmlformats.org/officeDocument/2006/relationships/hyperlink" Target="https://cjds.uwaterloo.ca/index.php/cjds/article/view/1009/1174" TargetMode="External"/><Relationship Id="rId70" Type="http://schemas.openxmlformats.org/officeDocument/2006/relationships/hyperlink" Target="https://www.hrw.org/news/2021/10/05/canada-disastrous-impact-extreme-heat" TargetMode="External"/><Relationship Id="rId75" Type="http://schemas.openxmlformats.org/officeDocument/2006/relationships/hyperlink" Target="http://www.parl.ca/LegisInfo/en/bill/44-1/c-226" TargetMode="External"/><Relationship Id="rId91" Type="http://schemas.openxmlformats.org/officeDocument/2006/relationships/hyperlink" Target="https://www.chrc-ccdp.gc.ca/resources/publications/aging-and-dying-prison-investigation-the-experiences-older-individuals-0" TargetMode="External"/><Relationship Id="rId96" Type="http://schemas.openxmlformats.org/officeDocument/2006/relationships/hyperlink" Target="https://invisibleinstitutions.com/" TargetMode="External"/><Relationship Id="rId140" Type="http://schemas.openxmlformats.org/officeDocument/2006/relationships/hyperlink" Target="https://www.tbs-sct.canada.ca/pol/doc-eng.aspx?id=32592" TargetMode="External"/><Relationship Id="rId1" Type="http://schemas.openxmlformats.org/officeDocument/2006/relationships/hyperlink" Target="http://laws-lois.justice.gc.ca/PDF/H-6.pdf" TargetMode="External"/><Relationship Id="rId6" Type="http://schemas.openxmlformats.org/officeDocument/2006/relationships/hyperlink" Target="https://www.chrc-ccdp.gc.ca/resources/newsroom/ending-ones-life-must-be-true-and-informed-choice" TargetMode="External"/><Relationship Id="rId23" Type="http://schemas.openxmlformats.org/officeDocument/2006/relationships/hyperlink" Target="https://www150.statcan.gc.ca/n1/pub/89-654-x/89-654-x2023002-eng.htm" TargetMode="External"/><Relationship Id="rId28" Type="http://schemas.openxmlformats.org/officeDocument/2006/relationships/hyperlink" Target="https://link.springer.com/article/10.1007/s42650-022-00069-z" TargetMode="External"/><Relationship Id="rId49" Type="http://schemas.openxmlformats.org/officeDocument/2006/relationships/hyperlink" Target="https://doi.org/10.1503/cmaj.1096049" TargetMode="External"/><Relationship Id="rId114" Type="http://schemas.openxmlformats.org/officeDocument/2006/relationships/hyperlink" Target="https://www.mmiwg-ffada.ca/final-report/" TargetMode="External"/><Relationship Id="rId119" Type="http://schemas.openxmlformats.org/officeDocument/2006/relationships/hyperlink" Target="https://www150.statcan.gc.ca/n1/pub/99-011-x/99-011-x2019001-eng.htm" TargetMode="External"/><Relationship Id="rId44" Type="http://schemas.openxmlformats.org/officeDocument/2006/relationships/hyperlink" Target="https://laws-lois.justice.gc.ca/eng/regulations/SOR-2021-243/FullText.html" TargetMode="External"/><Relationship Id="rId60" Type="http://schemas.openxmlformats.org/officeDocument/2006/relationships/hyperlink" Target="https://archdisabilitylaw.ca/wp-content/uploads/2020/04/April-8-2020-Open-Letter-Ontarios-COVID-19-Triage-Protocol-PDF.pdf" TargetMode="External"/><Relationship Id="rId65" Type="http://schemas.openxmlformats.org/officeDocument/2006/relationships/hyperlink" Target="https://www.mmiwg-ffada.ca/final-report/" TargetMode="External"/><Relationship Id="rId81" Type="http://schemas.openxmlformats.org/officeDocument/2006/relationships/hyperlink" Target="https://www.inclusionnb.ca/the-supported-decision-making-and-representation-act/" TargetMode="External"/><Relationship Id="rId86" Type="http://schemas.openxmlformats.org/officeDocument/2006/relationships/hyperlink" Target="https://www.oci-bec.gc.ca/cnt/rpt/pdf/annrpt/annrpt20172018-eng.pdf" TargetMode="External"/><Relationship Id="rId130" Type="http://schemas.openxmlformats.org/officeDocument/2006/relationships/hyperlink" Target="https://www150.statcan.gc.ca/n1/daily-quotidien/190226/dq190226b-eng.htm" TargetMode="External"/><Relationship Id="rId135" Type="http://schemas.openxmlformats.org/officeDocument/2006/relationships/hyperlink" Target="https://documents.un.org/doc/undoc/gen/n24/154/55/pdf/n2415455.pdf" TargetMode="External"/><Relationship Id="rId13" Type="http://schemas.openxmlformats.org/officeDocument/2006/relationships/hyperlink" Target="https://can01.safelinks.protection.outlook.com/?url=https%3A%2F%2Fwww.disabilitywithoutpoverty.ca%2Fwp-content%2Fuploads%2F2024%2F12%2FFINAL-Disability-Poverty-Report-Card-English_compressed.pdf&amp;data=05%7C02%7CEmma.Uzoma%40chrc-ccdp.gc.ca%7C9f70fde8d4444d72b5d408dd1eb0af73%7C7ec5cbe9f9014e73a7ce2104e3789491%7C0%7C0%7C638700466380506902%7CUnknown%7CTWFpbGZsb3d8eyJFbXB0eU1hcGkiOnRydWUsIlYiOiIwLjAuMDAwMCIsIlAiOiJXaW4zMiIsIkFOIjoiTWFpbCIsIldUIjoyfQ%3D%3D%7C0%7C%7C%7C&amp;sdata=zG%2FQMD4vz5Uikoucm697rY8CRMFLcGWUrGrKQS9xY9s%3D&amp;reserved=0" TargetMode="External"/><Relationship Id="rId18" Type="http://schemas.openxmlformats.org/officeDocument/2006/relationships/hyperlink" Target="https://www.chrc-ccdp.gc.ca/sites/default/files/documents/the-right-to-housing-for-people-with-disabilities-monitoring-framework.pdf" TargetMode="External"/><Relationship Id="rId39" Type="http://schemas.openxmlformats.org/officeDocument/2006/relationships/hyperlink" Target="https://www.thecanadianencyclopedia.ca/en/article/aboriginal-reserves" TargetMode="External"/><Relationship Id="rId109" Type="http://schemas.openxmlformats.org/officeDocument/2006/relationships/hyperlink" Target="https://fncaringsociety.com/i-am-witness/chrt-orders" TargetMode="External"/><Relationship Id="rId34" Type="http://schemas.openxmlformats.org/officeDocument/2006/relationships/hyperlink" Target="https://policyalternatives.ca/publications/monitor/freeing-our-people" TargetMode="External"/><Relationship Id="rId50" Type="http://schemas.openxmlformats.org/officeDocument/2006/relationships/hyperlink" Target="https://inclusioncanada.ca/wp-content/uploads/2024/02/Access-to-Healthcare-Position-Statement.pdf" TargetMode="External"/><Relationship Id="rId55" Type="http://schemas.openxmlformats.org/officeDocument/2006/relationships/hyperlink" Target="https://abilitiescentre.org/Abilities/media/Documents/Covid-survey-report-Dec-18_1.pdf" TargetMode="External"/><Relationship Id="rId76" Type="http://schemas.openxmlformats.org/officeDocument/2006/relationships/hyperlink" Target="https://www.disabilityinclusiveclimate.org/researcheng/dicarp-analysis-disability-report" TargetMode="External"/><Relationship Id="rId97" Type="http://schemas.openxmlformats.org/officeDocument/2006/relationships/hyperlink" Target="https://truthsofinstitutionalization.ca" TargetMode="External"/><Relationship Id="rId104" Type="http://schemas.openxmlformats.org/officeDocument/2006/relationships/hyperlink" Target="https://www.cbc.ca/news/canada/british-columbia/bc-involuntary-care-addiction-1.7324079" TargetMode="External"/><Relationship Id="rId120" Type="http://schemas.openxmlformats.org/officeDocument/2006/relationships/hyperlink" Target="https://www150.statcan.gc.ca/n1/pub/99-011-x/99-011-x2019001-eng.htm" TargetMode="External"/><Relationship Id="rId125" Type="http://schemas.openxmlformats.org/officeDocument/2006/relationships/hyperlink" Target="https://sencanada.ca/en/info-page/parl-44-1/appa-indigenous-human-rights-framework/" TargetMode="External"/><Relationship Id="rId141" Type="http://schemas.openxmlformats.org/officeDocument/2006/relationships/hyperlink" Target="https://ised-isde.canada.ca/site/ised/en/voluntary-code-conduct-responsible-development-and-management-advanced-generative-ai-systems" TargetMode="External"/><Relationship Id="rId7" Type="http://schemas.openxmlformats.org/officeDocument/2006/relationships/hyperlink" Target="https://www150.statcan.gc.ca/t1/tbl1/en/tv.action?pid=1110009001" TargetMode="External"/><Relationship Id="rId71" Type="http://schemas.openxmlformats.org/officeDocument/2006/relationships/hyperlink" Target="https://www.enrichproject.org/wp-content/uploads/2016/10/Final-Environmental-Racism-Report.pdf" TargetMode="External"/><Relationship Id="rId92" Type="http://schemas.openxmlformats.org/officeDocument/2006/relationships/hyperlink" Target="https://www.chrc-ccdp.gc.ca/resources/newsroom/improved-health-services-people-opioid-use-disorder-federal-institutions" TargetMode="External"/><Relationship Id="rId2" Type="http://schemas.openxmlformats.org/officeDocument/2006/relationships/hyperlink" Target="https://www.chrc-ccdp.gc.ca/resources/publications/what-we-did-and-what-we-learned-monitoring-disability-rights" TargetMode="External"/><Relationship Id="rId29" Type="http://schemas.openxmlformats.org/officeDocument/2006/relationships/hyperlink" Target="https://www.chrc-ccdp.gc.ca/resources/publications/horizontal-audit-the-communications-sector-improving-representation-people" TargetMode="External"/><Relationship Id="rId24" Type="http://schemas.openxmlformats.org/officeDocument/2006/relationships/hyperlink" Target="https://www150.statcan.gc.ca/n1/pub/36-28-0001/2021010/article/00004-eng.htm" TargetMode="External"/><Relationship Id="rId40" Type="http://schemas.openxmlformats.org/officeDocument/2006/relationships/hyperlink" Target="https://www.sac-isc.gc.ca/eng/1690909773300/1690909797208" TargetMode="External"/><Relationship Id="rId45" Type="http://schemas.openxmlformats.org/officeDocument/2006/relationships/hyperlink" Target="https://www.chrc-ccdp.gc.ca/resources/newsroom/people-disabilities-bearing-brunt-travel-woes" TargetMode="External"/><Relationship Id="rId66" Type="http://schemas.openxmlformats.org/officeDocument/2006/relationships/hyperlink" Target="https://publications.gc.ca/collections/collection_2022/sen/yc32-0/YC32-0-441-4-eng.pdf" TargetMode="External"/><Relationship Id="rId87" Type="http://schemas.openxmlformats.org/officeDocument/2006/relationships/hyperlink" Target="http://www.oci-bec.gc.ca/cnt/rpt/index-eng.aspx" TargetMode="External"/><Relationship Id="rId110" Type="http://schemas.openxmlformats.org/officeDocument/2006/relationships/hyperlink" Target="https://www.thestar.com/politics/federal/canada-ordered-to-address-jordans-principle-backlog-find-new-solutions/article_cb61497b-f334-5177-9936-25678284a774.html" TargetMode="External"/><Relationship Id="rId115" Type="http://schemas.openxmlformats.org/officeDocument/2006/relationships/hyperlink" Target="https://www.mmiwg-ffada.ca/final-report/" TargetMode="External"/><Relationship Id="rId131" Type="http://schemas.openxmlformats.org/officeDocument/2006/relationships/hyperlink" Target="https://www.nature.com/articles/s43587-022-00280-2" TargetMode="External"/><Relationship Id="rId136" Type="http://schemas.openxmlformats.org/officeDocument/2006/relationships/hyperlink" Target="https://srdisability.org/thematic-reports/artificial-intelligence-and-the-rights-of-persons-with-disabilities/" TargetMode="External"/><Relationship Id="rId61" Type="http://schemas.openxmlformats.org/officeDocument/2006/relationships/hyperlink" Target="https://archdisabilitylaw.ca/covid-19-and-disability-recommendations-to-the-canadian-government-from-disability-related-organizations-in-canada-march-24-2020/" TargetMode="External"/><Relationship Id="rId82" Type="http://schemas.openxmlformats.org/officeDocument/2006/relationships/hyperlink" Target="http://www.ohrc.on.ca/en/policy-preventing-discrimination-based-mental-health-disabilities-and-addictions/16-consent-and-capacity" TargetMode="External"/><Relationship Id="rId19" Type="http://schemas.openxmlformats.org/officeDocument/2006/relationships/hyperlink" Target="https://www.cmhc-schl.gc.ca/professionals/industry-innovation-and-leadership/industry-expertise/affordable-housing/provincial-territorial-agreements/investment-in-affordable-housing/national-occupancy-standard" TargetMode="External"/><Relationship Id="rId14" Type="http://schemas.openxmlformats.org/officeDocument/2006/relationships/hyperlink" Target="https://can01.safelinks.protection.outlook.com/?url=https%3A%2F%2Fwww.pbo-dpb.ca%2Fen%2Fpublications%2FRP-2324-019-S--canada-disability-benefit-model-scenarios--prestation-canadienne-personnes-handicapees-modele-scenarios&amp;data=05%7C02%7CEmma.Uzoma%40chrc-ccdp.gc.ca%7C9f70fde8d4444d72b5d408dd1eb0af73%7C7ec5cbe9f9014e73a7ce2104e3789491%7C0%7C0%7C638700466380533285%7CUnknown%7CTWFpbGZsb3d8eyJFbXB0eU1hcGkiOnRydWUsIlYiOiIwLjAuMDAwMCIsIlAiOiJXaW4zMiIsIkFOIjoiTWFpbCIsIldUIjoyfQ%3D%3D%7C0%7C%7C%7C&amp;sdata=VFWRrhACw1xNQXtLR0%2FgfEDNPuDjwl2wTbpyZajXKYU%3D&amp;reserved=0" TargetMode="External"/><Relationship Id="rId30" Type="http://schemas.openxmlformats.org/officeDocument/2006/relationships/hyperlink" Target="https://www.canada.ca/en/employment-social-development/corporate/portfolio/labour/programs/employment-equity/consultation-act-modernization.html" TargetMode="External"/><Relationship Id="rId35" Type="http://schemas.openxmlformats.org/officeDocument/2006/relationships/hyperlink" Target="https://irisinstitute.ca/wp-content/uploads/sites/2/2021/09/Help-wanted-Full-Report-EN.pdf" TargetMode="External"/><Relationship Id="rId56" Type="http://schemas.openxmlformats.org/officeDocument/2006/relationships/hyperlink" Target="https://www150.statcan.gc.ca/n1/daily-quotidien/200827/dq200827c-eng.htm" TargetMode="External"/><Relationship Id="rId77" Type="http://schemas.openxmlformats.org/officeDocument/2006/relationships/hyperlink" Target="https://treaties.un.org/doc/Publication/MTDSG/Volume%20I/Chapter%20IV/IV-15.en.pdf" TargetMode="External"/><Relationship Id="rId100" Type="http://schemas.openxmlformats.org/officeDocument/2006/relationships/hyperlink" Target="http://www.institutionwatch.caa" TargetMode="External"/><Relationship Id="rId105" Type="http://schemas.openxmlformats.org/officeDocument/2006/relationships/hyperlink" Target="https://www.chrc-ccdp.gc.ca/resources/publications/chrc-and-oci-open-letter-calling-canadas-ratification-the-opcat" TargetMode="External"/><Relationship Id="rId126" Type="http://schemas.openxmlformats.org/officeDocument/2006/relationships/hyperlink" Target="https://www150.statcan.gc.ca/n1/daily-quotidien/231201/dq231201b-eng.htm" TargetMode="External"/><Relationship Id="rId8" Type="http://schemas.openxmlformats.org/officeDocument/2006/relationships/hyperlink" Target="http://www.canada.ca/en/services/benefits/ei/cerb-application.html" TargetMode="External"/><Relationship Id="rId51" Type="http://schemas.openxmlformats.org/officeDocument/2006/relationships/hyperlink" Target="https://www3.ohrc.on.ca/en/news-center/opinion-editorial-nationalnewswatchcom-why-its-dangerous-be-disabled-and-indigenous" TargetMode="External"/><Relationship Id="rId72" Type="http://schemas.openxmlformats.org/officeDocument/2006/relationships/hyperlink" Target="https://nccdh.ca/resources/entry/learning-from-practice-advocacy-for-health-equity-environmental-racism" TargetMode="External"/><Relationship Id="rId93" Type="http://schemas.openxmlformats.org/officeDocument/2006/relationships/hyperlink" Target="https://www.publicsafety.gc.ca/cnt/rsrcs/pblctns/2024-siu-iap-nnlrpt-2023-24/index-en.aspx" TargetMode="External"/><Relationship Id="rId98" Type="http://schemas.openxmlformats.org/officeDocument/2006/relationships/hyperlink" Target="http://www.remembereveryname.ca/the-history" TargetMode="External"/><Relationship Id="rId121" Type="http://schemas.openxmlformats.org/officeDocument/2006/relationships/hyperlink" Target="https://nwac.ca/assets-documents/Final_Report_Adequate_Housing_for_Indigenous_People.pdf" TargetMode="External"/><Relationship Id="rId142" Type="http://schemas.openxmlformats.org/officeDocument/2006/relationships/hyperlink" Target="https://www.canada.ca/en/innovation-science-economic-development/news/2024/11/canada-launches-canadian-artificial-intelligence-safety-institute.html" TargetMode="External"/><Relationship Id="rId3" Type="http://schemas.openxmlformats.org/officeDocument/2006/relationships/hyperlink" Target="https://www.justice.gc.ca/eng/rp-pr/jr/pwdwc-phcw/docs/RSD_RR2021_Persons_with_Disabilities_Western_Canada_EN.pdf" TargetMode="External"/><Relationship Id="rId25" Type="http://schemas.openxmlformats.org/officeDocument/2006/relationships/hyperlink" Target="https://www.sheffield.ac.uk/ihuman/news/triple-nexus-gender-disability-and-employment-who-counts-depends-who-counted" TargetMode="External"/><Relationship Id="rId46" Type="http://schemas.openxmlformats.org/officeDocument/2006/relationships/hyperlink" Target="https://www.cbc.ca/news/canada/british-columbia/air-canada-disability-act-1.7017059" TargetMode="External"/><Relationship Id="rId67" Type="http://schemas.openxmlformats.org/officeDocument/2006/relationships/hyperlink" Target="https://senatorboyer.ca/wp-content/uploads/2021/09/Tubal-Ligation-in-the-Saskatoon-Health-Region-the-Lived-Experience-of-Aboriginal-Women-Boyer-and-Bartlett-July-11-2017.pdf" TargetMode="External"/><Relationship Id="rId116" Type="http://schemas.openxmlformats.org/officeDocument/2006/relationships/hyperlink" Target="http://data2.archives.ca/rcap/pdf/rcap-459.pdf" TargetMode="External"/><Relationship Id="rId137" Type="http://schemas.openxmlformats.org/officeDocument/2006/relationships/hyperlink" Target="https://www.lco-cdo.org/wp-content/uploads/2024/11/LCO-Human-Rights-AI-Impact-Assessment-EN.pdf" TargetMode="External"/><Relationship Id="rId20" Type="http://schemas.openxmlformats.org/officeDocument/2006/relationships/hyperlink" Target="https://www150.statcan.gc.ca/n1/daily-quotidien/231201/cg-b003-eng.htm" TargetMode="External"/><Relationship Id="rId41" Type="http://schemas.openxmlformats.org/officeDocument/2006/relationships/hyperlink" Target="https://can01.safelinks.protection.outlook.com/?url=https%3A%2F%2Fafn.ca%2Feconomy-infrastructure%2Finfrastructure%2Fclosing-the-infrastructure-gap%2F&amp;data=05%7C02%7Cemma.uzoma%40chrc-ccdp.gc.ca%7Cc772ce08b73945d3dd4708dd08d05d2c%7C7ec5cbe9f9014e73a7ce2104e3789491%7C0%7C0%7C638676416369957570%7CUnknown%7CTWFpbGZsb3d8eyJFbXB0eU1hcGkiOnRydWUsIlYiOiIwLjAuMDAwMCIsIlAiOiJXaW4zMiIsIkFOIjoiTWFpbCIsIldUIjoyfQ%3D%3D%7C0%7C%7C%7C&amp;sdata=gWL6zeIUip1TezQCEOJ0z57jDHlBt53%2Fnv2E8banqOM%3D&amp;reserved=0" TargetMode="External"/><Relationship Id="rId62" Type="http://schemas.openxmlformats.org/officeDocument/2006/relationships/hyperlink" Target="https://www.cihi.ca/en/canadians-report-increasing-need-for-mental-health-care-alongside-barriers-to-access" TargetMode="External"/><Relationship Id="rId83" Type="http://schemas.openxmlformats.org/officeDocument/2006/relationships/hyperlink" Target="https://inclusioncanada.ca/wp-content/uploads/2022/08/Jul22-Position-Legal-Capacity-2.pdf" TargetMode="External"/><Relationship Id="rId88" Type="http://schemas.openxmlformats.org/officeDocument/2006/relationships/hyperlink" Target="https://oci-bec.gc.ca/sites/default/files/2023-06/annrpt20202021-eng.pdf" TargetMode="External"/><Relationship Id="rId111" Type="http://schemas.openxmlformats.org/officeDocument/2006/relationships/hyperlink" Target="https://www.un.org/en/ga/search/view_doc.asp?symbol=A%2FHRC%2F43%2F41%2FAdd.2&amp;fbclid=IwAR0Gb4QSg77QsjYA67r2JhJATr4Vm-7ulvb2ofcUAyxUED2aXyctAsU9jgQ" TargetMode="External"/><Relationship Id="rId132" Type="http://schemas.openxmlformats.org/officeDocument/2006/relationships/hyperlink" Target="https://static1.squarespace.com/static/5c2fa7b03917eed9b5a436d8/t/656df1d1ec26dd2770e599f3/1701704146039/NIA_SIReportNOV30.pdf" TargetMode="External"/><Relationship Id="rId15" Type="http://schemas.openxmlformats.org/officeDocument/2006/relationships/hyperlink" Target="https://laws-lois.justice.gc.ca/eng/acts/n-11.2/FullText.html" TargetMode="External"/><Relationship Id="rId36" Type="http://schemas.openxmlformats.org/officeDocument/2006/relationships/hyperlink" Target="https://www150.statcan.gc.ca/n1/pub/45-28-0001/2020001/article/00066-eng.pdf" TargetMode="External"/><Relationship Id="rId57" Type="http://schemas.openxmlformats.org/officeDocument/2006/relationships/hyperlink" Target="http://www.cbc.ca/news/canada/british-columbia/woman-disability-dies-white-rock-hospital-covid-19-1.5543468" TargetMode="External"/><Relationship Id="rId106" Type="http://schemas.openxmlformats.org/officeDocument/2006/relationships/hyperlink" Target="https://www150.statcan.gc.ca/n1/pub/89-653-x/89-653-x2019005-eng.htm" TargetMode="External"/><Relationship Id="rId127" Type="http://schemas.openxmlformats.org/officeDocument/2006/relationships/hyperlink" Target="https://www150.statcan.gc.ca/n1/pub/85-002-x/2021001/article/00006-eng.htm" TargetMode="External"/><Relationship Id="rId10" Type="http://schemas.openxmlformats.org/officeDocument/2006/relationships/hyperlink" Target="http://www.cbc.ca/news/politics/canadians-with-disabilities-government-covid19-pandemic-1.5728343" TargetMode="External"/><Relationship Id="rId31" Type="http://schemas.openxmlformats.org/officeDocument/2006/relationships/hyperlink" Target="https://briarpatchmagazine.com/articles/view/sheltered-workshops-poppies-disabled-workers" TargetMode="External"/><Relationship Id="rId52" Type="http://schemas.openxmlformats.org/officeDocument/2006/relationships/hyperlink" Target="https://globalnews.ca/news/10355024/racism-health-care-interior-b-c-first-nation/" TargetMode="External"/><Relationship Id="rId73" Type="http://schemas.openxmlformats.org/officeDocument/2006/relationships/hyperlink" Target="https://www.chrc-ccdp.gc.ca/resources/publications/fast-talk-environmental-racism-canada" TargetMode="External"/><Relationship Id="rId78" Type="http://schemas.openxmlformats.org/officeDocument/2006/relationships/hyperlink" Target="https://inclusioncanada.ca/campaign/legal-capacity/" TargetMode="External"/><Relationship Id="rId94" Type="http://schemas.openxmlformats.org/officeDocument/2006/relationships/hyperlink" Target="https://www.publicsafety.gc.ca/cnt/cntrng-crm/crrctns/iedm-dei-en.aspx" TargetMode="External"/><Relationship Id="rId99" Type="http://schemas.openxmlformats.org/officeDocument/2006/relationships/hyperlink" Target="https://www.exclusiontobelonging.ca/" TargetMode="External"/><Relationship Id="rId101" Type="http://schemas.openxmlformats.org/officeDocument/2006/relationships/hyperlink" Target="https://www.eugenicsarchive.ca/our-stories" TargetMode="External"/><Relationship Id="rId122" Type="http://schemas.openxmlformats.org/officeDocument/2006/relationships/hyperlink" Target="https://www.mmiwg-ffada.ca/final-report/" TargetMode="External"/><Relationship Id="rId4" Type="http://schemas.openxmlformats.org/officeDocument/2006/relationships/hyperlink" Target="https://www.chrc-ccdp.gc.ca/resources/publications/what-we-learned-housing-people-disabilities" TargetMode="External"/><Relationship Id="rId9" Type="http://schemas.openxmlformats.org/officeDocument/2006/relationships/hyperlink" Target="http://www.canada.ca/en/services/benefits/one-time-payment-persons-disabilities.html" TargetMode="External"/><Relationship Id="rId26" Type="http://schemas.openxmlformats.org/officeDocument/2006/relationships/hyperlink" Target="https://www.gendereconomy.org/the-gender-wage-gap/" TargetMode="External"/><Relationship Id="rId47" Type="http://schemas.openxmlformats.org/officeDocument/2006/relationships/hyperlink" Target="https://www.cbc.ca/news/marketplace/air-canada-promises-accessible-transit-hidden-camera-1.7369146" TargetMode="External"/><Relationship Id="rId68" Type="http://schemas.openxmlformats.org/officeDocument/2006/relationships/hyperlink" Target="https://transpulsecanada.ca/results/report-health-and-well-being-among-disabled-trans-and-non-binary-people/" TargetMode="External"/><Relationship Id="rId89" Type="http://schemas.openxmlformats.org/officeDocument/2006/relationships/hyperlink" Target="https://oci-bec.gc.ca/en/content/office-correctional-investigator-annual-report-2017-2018" TargetMode="External"/><Relationship Id="rId112" Type="http://schemas.openxmlformats.org/officeDocument/2006/relationships/hyperlink" Target="https://canlii.ca/t/jtfh8" TargetMode="External"/><Relationship Id="rId133" Type="http://schemas.openxmlformats.org/officeDocument/2006/relationships/hyperlink" Target="https://www.statcan.gc.ca/o1/en/plus/4881-look-loneliness-among-seniors" TargetMode="External"/><Relationship Id="rId16" Type="http://schemas.openxmlformats.org/officeDocument/2006/relationships/hyperlink" Target="https://www.chrc-ccdp.gc.ca/individuals/right-hous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2025-01-24T09:25:25+00:00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4DA78B4-7686-47EE-AE1F-E8E4A418D8D2}">
  <ds:schemaRefs>
    <ds:schemaRef ds:uri="http://schemas.openxmlformats.org/officeDocument/2006/bibliography"/>
  </ds:schemaRefs>
</ds:datastoreItem>
</file>

<file path=customXml/itemProps2.xml><?xml version="1.0" encoding="utf-8"?>
<ds:datastoreItem xmlns:ds="http://schemas.openxmlformats.org/officeDocument/2006/customXml" ds:itemID="{12984B86-8472-40C9-83E3-77C4F0B0B65D}"/>
</file>

<file path=customXml/itemProps3.xml><?xml version="1.0" encoding="utf-8"?>
<ds:datastoreItem xmlns:ds="http://schemas.openxmlformats.org/officeDocument/2006/customXml" ds:itemID="{6B489D5D-4A96-45B3-9495-B7D2C50EAAD3}"/>
</file>

<file path=customXml/itemProps4.xml><?xml version="1.0" encoding="utf-8"?>
<ds:datastoreItem xmlns:ds="http://schemas.openxmlformats.org/officeDocument/2006/customXml" ds:itemID="{308B5766-178F-423A-9C99-87B52F0DC1EB}"/>
</file>

<file path=docProps/app.xml><?xml version="1.0" encoding="utf-8"?>
<Properties xmlns="http://schemas.openxmlformats.org/officeDocument/2006/extended-properties" xmlns:vt="http://schemas.openxmlformats.org/officeDocument/2006/docPropsVTypes">
  <Template>Normal.dotm</Template>
  <TotalTime>0</TotalTime>
  <Pages>42</Pages>
  <Words>10897</Words>
  <Characters>66676</Characters>
  <Application>Microsoft Office Word</Application>
  <DocSecurity>0</DocSecurity>
  <Lines>555</Lines>
  <Paragraphs>154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77419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Swinburne</dc:creator>
  <cp:keywords/>
  <dc:description/>
  <cp:lastModifiedBy>Uzoma, Emma (CHRC/CCDP)</cp:lastModifiedBy>
  <cp:revision>2</cp:revision>
  <dcterms:created xsi:type="dcterms:W3CDTF">2025-01-23T18:37:00Z</dcterms:created>
  <dcterms:modified xsi:type="dcterms:W3CDTF">2025-01-23T18:37:00Z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 AutoSave">
    <vt:lpwstr/>
  </property>
  <property fmtid="{D5CDD505-2E9C-101B-9397-08002B2CF9AE}" pid="3" name="ContentTypeId">
    <vt:lpwstr>0x0101001A3F5FACD05E93499D4EAF05403D4F75</vt:lpwstr>
  </property>
</Properties>
</file>