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FAA0E" w14:textId="77777777" w:rsidR="00DC3D19" w:rsidRDefault="00DC3D19"/>
    <w:sdt>
      <w:sdtPr>
        <w:rPr>
          <w:rFonts w:ascii="Times New Roman" w:hAnsi="Times New Roman" w:cs="Times New Roman"/>
          <w:b/>
          <w:bCs/>
          <w:lang w:val="es-ES"/>
        </w:rPr>
        <w:id w:val="1414899478"/>
        <w:docPartObj>
          <w:docPartGallery w:val="Cover Pages"/>
          <w:docPartUnique/>
        </w:docPartObj>
      </w:sdtPr>
      <w:sdtEndPr>
        <w:rPr>
          <w:b w:val="0"/>
          <w:bCs w:val="0"/>
          <w:sz w:val="40"/>
          <w:szCs w:val="40"/>
        </w:rPr>
      </w:sdtEndPr>
      <w:sdtContent>
        <w:p w14:paraId="6AD6B3BB" w14:textId="331E6613" w:rsidR="00D50D57" w:rsidRPr="002E1B60" w:rsidRDefault="002E1B60" w:rsidP="002E1B60">
          <w:pPr>
            <w:contextualSpacing/>
            <w:jc w:val="center"/>
            <w:rPr>
              <w:rFonts w:ascii="Times New Roman" w:hAnsi="Times New Roman" w:cs="Times New Roman"/>
              <w:b/>
              <w:bCs/>
              <w:sz w:val="36"/>
              <w:szCs w:val="36"/>
              <w:lang w:val="es-ES"/>
            </w:rPr>
          </w:pPr>
          <w:r w:rsidRPr="002E1B60">
            <w:rPr>
              <w:rFonts w:ascii="Times New Roman" w:hAnsi="Times New Roman" w:cs="Times New Roman"/>
              <w:b/>
              <w:bCs/>
              <w:sz w:val="36"/>
              <w:szCs w:val="36"/>
              <w:lang w:val="es-ES"/>
            </w:rPr>
            <w:t xml:space="preserve">INFORME </w:t>
          </w:r>
          <w:r w:rsidR="00C229DB">
            <w:rPr>
              <w:rFonts w:ascii="Times New Roman" w:hAnsi="Times New Roman" w:cs="Times New Roman"/>
              <w:b/>
              <w:bCs/>
              <w:sz w:val="36"/>
              <w:szCs w:val="36"/>
              <w:lang w:val="es-ES"/>
            </w:rPr>
            <w:t>ALTERNATIVO</w:t>
          </w:r>
        </w:p>
        <w:p w14:paraId="644EE20C" w14:textId="77777777" w:rsidR="002E1B60" w:rsidRPr="00D50D57" w:rsidRDefault="002E1B60" w:rsidP="002E1B60">
          <w:pPr>
            <w:contextualSpacing/>
            <w:rPr>
              <w:rFonts w:ascii="Times New Roman" w:hAnsi="Times New Roman" w:cs="Times New Roman"/>
              <w:b/>
              <w:bCs/>
              <w:sz w:val="36"/>
              <w:szCs w:val="36"/>
              <w:lang w:val="es-ES"/>
            </w:rPr>
          </w:pPr>
        </w:p>
        <w:p w14:paraId="271CBE36" w14:textId="36461846" w:rsidR="00D50D57" w:rsidRPr="00D50D57" w:rsidRDefault="002E1B60" w:rsidP="00D50D57">
          <w:pPr>
            <w:contextualSpacing/>
            <w:jc w:val="center"/>
            <w:rPr>
              <w:rFonts w:ascii="Times New Roman" w:hAnsi="Times New Roman" w:cs="Times New Roman"/>
              <w:b/>
              <w:bCs/>
              <w:sz w:val="36"/>
              <w:szCs w:val="36"/>
              <w:lang w:val="es-ES"/>
            </w:rPr>
          </w:pPr>
          <w:r>
            <w:rPr>
              <w:rFonts w:ascii="Times New Roman" w:hAnsi="Times New Roman" w:cs="Times New Roman"/>
              <w:b/>
              <w:bCs/>
              <w:sz w:val="36"/>
              <w:szCs w:val="36"/>
              <w:lang w:val="es-ES"/>
            </w:rPr>
            <w:t>COMITÉ DE DERECHOS HUMANOS</w:t>
          </w:r>
        </w:p>
        <w:p w14:paraId="64D35652" w14:textId="77777777" w:rsidR="00D50D57" w:rsidRPr="00A47AD6" w:rsidRDefault="00D50D57" w:rsidP="002E1B60">
          <w:pPr>
            <w:contextualSpacing/>
            <w:rPr>
              <w:rFonts w:ascii="Times New Roman" w:hAnsi="Times New Roman" w:cs="Times New Roman"/>
              <w:b/>
              <w:bCs/>
              <w:lang w:val="es-ES"/>
            </w:rPr>
          </w:pPr>
        </w:p>
        <w:p w14:paraId="1AA36A40" w14:textId="77777777" w:rsidR="00D50D57" w:rsidRPr="00A47AD6" w:rsidRDefault="00D50D57" w:rsidP="00D50D57">
          <w:pPr>
            <w:contextualSpacing/>
            <w:jc w:val="both"/>
            <w:rPr>
              <w:rFonts w:ascii="Times New Roman" w:hAnsi="Times New Roman" w:cs="Times New Roman"/>
              <w:lang w:val="es-ES"/>
            </w:rPr>
          </w:pPr>
        </w:p>
        <w:p w14:paraId="6F5D0083" w14:textId="21AF8A38" w:rsidR="002E1B60" w:rsidRPr="00A47AD6" w:rsidRDefault="00D50D57" w:rsidP="002E1B60">
          <w:pPr>
            <w:jc w:val="center"/>
            <w:rPr>
              <w:rFonts w:ascii="Times New Roman" w:eastAsia="Times New Roman" w:hAnsi="Times New Roman" w:cs="Times New Roman"/>
              <w:lang w:val="es-ES" w:eastAsia="es-MX"/>
            </w:rPr>
          </w:pPr>
          <w:r w:rsidRPr="00A47AD6">
            <w:rPr>
              <w:rFonts w:ascii="Times New Roman" w:hAnsi="Times New Roman" w:cs="Times New Roman"/>
              <w:b/>
              <w:noProof/>
              <w:lang w:val="es-ES"/>
            </w:rPr>
            <w:drawing>
              <wp:inline distT="0" distB="0" distL="0" distR="0" wp14:anchorId="78F6723F" wp14:editId="2189D360">
                <wp:extent cx="3473187" cy="2981960"/>
                <wp:effectExtent l="0" t="0" r="0" b="2540"/>
                <wp:docPr id="34" name="Imagen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3683" cy="3042485"/>
                        </a:xfrm>
                        <a:prstGeom prst="rect">
                          <a:avLst/>
                        </a:prstGeom>
                        <a:noFill/>
                        <a:ln>
                          <a:noFill/>
                        </a:ln>
                      </pic:spPr>
                    </pic:pic>
                  </a:graphicData>
                </a:graphic>
              </wp:inline>
            </w:drawing>
          </w:r>
        </w:p>
        <w:p w14:paraId="345589AA" w14:textId="07346EC5" w:rsidR="002E1B60" w:rsidRPr="002E1B60" w:rsidRDefault="002E1B60" w:rsidP="002E1B60">
          <w:pPr>
            <w:jc w:val="center"/>
            <w:rPr>
              <w:lang w:val="es-ES"/>
            </w:rPr>
          </w:pPr>
          <w:r w:rsidRPr="00A47AD6">
            <w:rPr>
              <w:noProof/>
              <w:lang w:val="es-ES"/>
            </w:rPr>
            <w:drawing>
              <wp:anchor distT="0" distB="0" distL="114300" distR="114300" simplePos="0" relativeHeight="251658240" behindDoc="0" locked="0" layoutInCell="1" allowOverlap="1" wp14:anchorId="1C3FA200" wp14:editId="2AAC2828">
                <wp:simplePos x="0" y="0"/>
                <wp:positionH relativeFrom="column">
                  <wp:posOffset>1153160</wp:posOffset>
                </wp:positionH>
                <wp:positionV relativeFrom="paragraph">
                  <wp:posOffset>184394</wp:posOffset>
                </wp:positionV>
                <wp:extent cx="1801495" cy="1013460"/>
                <wp:effectExtent l="0" t="0" r="1905" b="2540"/>
                <wp:wrapSquare wrapText="bothSides"/>
                <wp:docPr id="881613249" name="Imagen 1" descr="Vital Strategies: A Global Public Health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tal Strategies: A Global Public Health Organiz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1495"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7AD6">
            <w:rPr>
              <w:lang w:val="es-ES"/>
            </w:rPr>
            <w:fldChar w:fldCharType="begin"/>
          </w:r>
          <w:r w:rsidRPr="00A47AD6">
            <w:rPr>
              <w:lang w:val="es-ES"/>
            </w:rPr>
            <w:instrText xml:space="preserve"> INCLUDEPICTURE "https://www.vitalstrategies.org/wp-content/uploads/Vital-Strategies-Logo.jpg" \* MERGEFORMATINET </w:instrText>
          </w:r>
          <w:r w:rsidR="00000000">
            <w:rPr>
              <w:lang w:val="es-ES"/>
            </w:rPr>
            <w:fldChar w:fldCharType="separate"/>
          </w:r>
          <w:r w:rsidRPr="00A47AD6">
            <w:rPr>
              <w:lang w:val="es-ES"/>
            </w:rPr>
            <w:fldChar w:fldCharType="end"/>
          </w:r>
        </w:p>
        <w:p w14:paraId="5FE4FC30" w14:textId="3F128B5D" w:rsidR="00D50D57" w:rsidRPr="002E1B60" w:rsidRDefault="002E1B60" w:rsidP="002E1B60">
          <w:pPr>
            <w:jc w:val="center"/>
            <w:rPr>
              <w:rFonts w:ascii="Times New Roman" w:eastAsia="Times New Roman" w:hAnsi="Times New Roman" w:cs="Times New Roman"/>
              <w:lang w:val="es-ES" w:eastAsia="es-MX"/>
            </w:rPr>
          </w:pPr>
          <w:r w:rsidRPr="00A47AD6">
            <w:rPr>
              <w:rFonts w:ascii="Times New Roman" w:eastAsia="Times New Roman" w:hAnsi="Times New Roman" w:cs="Times New Roman"/>
              <w:lang w:val="es-ES" w:eastAsia="es-MX"/>
            </w:rPr>
            <w:t xml:space="preserve"> </w:t>
          </w:r>
        </w:p>
        <w:p w14:paraId="6EAB9CD2" w14:textId="06E58174" w:rsidR="00D50D57" w:rsidRDefault="009E180F" w:rsidP="00D50D57">
          <w:pPr>
            <w:contextualSpacing/>
            <w:jc w:val="both"/>
            <w:rPr>
              <w:rFonts w:ascii="Times New Roman" w:hAnsi="Times New Roman" w:cs="Times New Roman"/>
              <w:lang w:val="es-ES"/>
            </w:rPr>
          </w:pPr>
          <w:r>
            <w:rPr>
              <w:rFonts w:ascii="Times New Roman" w:hAnsi="Times New Roman" w:cs="Times New Roman"/>
              <w:noProof/>
              <w:lang w:val="es-ES"/>
            </w:rPr>
            <w:drawing>
              <wp:anchor distT="0" distB="0" distL="114300" distR="114300" simplePos="0" relativeHeight="251659264" behindDoc="1" locked="0" layoutInCell="1" allowOverlap="1" wp14:anchorId="52F25C89" wp14:editId="4054F032">
                <wp:simplePos x="0" y="0"/>
                <wp:positionH relativeFrom="column">
                  <wp:posOffset>3322320</wp:posOffset>
                </wp:positionH>
                <wp:positionV relativeFrom="paragraph">
                  <wp:posOffset>3810</wp:posOffset>
                </wp:positionV>
                <wp:extent cx="1363980" cy="920115"/>
                <wp:effectExtent l="0" t="0" r="7620" b="0"/>
                <wp:wrapTight wrapText="bothSides">
                  <wp:wrapPolygon edited="0">
                    <wp:start x="4223" y="0"/>
                    <wp:lineTo x="3318" y="447"/>
                    <wp:lineTo x="3620" y="4472"/>
                    <wp:lineTo x="6034" y="7155"/>
                    <wp:lineTo x="0" y="8050"/>
                    <wp:lineTo x="0" y="13416"/>
                    <wp:lineTo x="8749" y="14311"/>
                    <wp:lineTo x="9955" y="21019"/>
                    <wp:lineTo x="11765" y="21019"/>
                    <wp:lineTo x="12067" y="21019"/>
                    <wp:lineTo x="14179" y="14311"/>
                    <wp:lineTo x="21419" y="13863"/>
                    <wp:lineTo x="21419" y="8050"/>
                    <wp:lineTo x="12670" y="7155"/>
                    <wp:lineTo x="12067" y="0"/>
                    <wp:lineTo x="4223" y="0"/>
                  </wp:wrapPolygon>
                </wp:wrapTight>
                <wp:docPr id="3830462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3980" cy="920115"/>
                        </a:xfrm>
                        <a:prstGeom prst="rect">
                          <a:avLst/>
                        </a:prstGeom>
                        <a:noFill/>
                        <a:ln>
                          <a:noFill/>
                        </a:ln>
                      </pic:spPr>
                    </pic:pic>
                  </a:graphicData>
                </a:graphic>
              </wp:anchor>
            </w:drawing>
          </w:r>
        </w:p>
        <w:p w14:paraId="1966AEE3" w14:textId="63F69CAD" w:rsidR="002E1B60" w:rsidRDefault="002E1B60" w:rsidP="00D50D57">
          <w:pPr>
            <w:contextualSpacing/>
            <w:jc w:val="both"/>
            <w:rPr>
              <w:rFonts w:ascii="Times New Roman" w:hAnsi="Times New Roman" w:cs="Times New Roman"/>
              <w:lang w:val="es-ES"/>
            </w:rPr>
          </w:pPr>
        </w:p>
        <w:p w14:paraId="7D483E22" w14:textId="07E1D2D7" w:rsidR="002E1B60" w:rsidRDefault="002E1B60" w:rsidP="00D50D57">
          <w:pPr>
            <w:contextualSpacing/>
            <w:jc w:val="both"/>
            <w:rPr>
              <w:rFonts w:ascii="Times New Roman" w:hAnsi="Times New Roman" w:cs="Times New Roman"/>
              <w:lang w:val="es-ES"/>
            </w:rPr>
          </w:pPr>
        </w:p>
        <w:p w14:paraId="13849933" w14:textId="77777777" w:rsidR="002E1B60" w:rsidRDefault="002E1B60" w:rsidP="00D50D57">
          <w:pPr>
            <w:contextualSpacing/>
            <w:jc w:val="both"/>
            <w:rPr>
              <w:rFonts w:ascii="Times New Roman" w:hAnsi="Times New Roman" w:cs="Times New Roman"/>
              <w:lang w:val="es-ES"/>
            </w:rPr>
          </w:pPr>
        </w:p>
        <w:p w14:paraId="595505B6" w14:textId="5CF58B01" w:rsidR="002E1B60" w:rsidRPr="00A47AD6" w:rsidRDefault="002E1B60" w:rsidP="00D50D57">
          <w:pPr>
            <w:contextualSpacing/>
            <w:jc w:val="both"/>
            <w:rPr>
              <w:rFonts w:ascii="Times New Roman" w:hAnsi="Times New Roman" w:cs="Times New Roman"/>
              <w:lang w:val="es-ES"/>
            </w:rPr>
          </w:pPr>
        </w:p>
        <w:p w14:paraId="48AC06E5" w14:textId="77777777" w:rsidR="00D50D57" w:rsidRDefault="00D50D57" w:rsidP="00D50D57">
          <w:pPr>
            <w:pStyle w:val="Sinespaciado"/>
            <w:spacing w:line="240" w:lineRule="auto"/>
            <w:rPr>
              <w:rFonts w:cs="Times New Roman"/>
              <w:lang w:val="es-ES"/>
            </w:rPr>
          </w:pPr>
        </w:p>
        <w:p w14:paraId="0B223D1F" w14:textId="20970048" w:rsidR="00D50D57" w:rsidRPr="00A47AD6" w:rsidRDefault="00D50D57" w:rsidP="00D50D57">
          <w:pPr>
            <w:rPr>
              <w:rFonts w:ascii="Times New Roman" w:hAnsi="Times New Roman" w:cs="Times New Roman"/>
              <w:b/>
              <w:bCs/>
              <w:lang w:val="es-ES"/>
            </w:rPr>
          </w:pPr>
        </w:p>
        <w:p w14:paraId="7076B916" w14:textId="0A1F71A7" w:rsidR="00D50D57" w:rsidRDefault="002E1B60" w:rsidP="00D91C50">
          <w:pPr>
            <w:jc w:val="center"/>
            <w:rPr>
              <w:rFonts w:ascii="Times New Roman" w:hAnsi="Times New Roman" w:cs="Times New Roman"/>
              <w:b/>
              <w:bCs/>
              <w:sz w:val="40"/>
              <w:szCs w:val="40"/>
              <w:lang w:val="es-ES"/>
            </w:rPr>
          </w:pPr>
          <w:r>
            <w:rPr>
              <w:rFonts w:ascii="Times New Roman" w:hAnsi="Times New Roman" w:cs="Times New Roman"/>
              <w:b/>
              <w:bCs/>
              <w:sz w:val="40"/>
              <w:szCs w:val="40"/>
              <w:lang w:val="es-ES"/>
            </w:rPr>
            <w:t>SEPTIEMBRE</w:t>
          </w:r>
          <w:r w:rsidR="00D50D57" w:rsidRPr="00D50D57">
            <w:rPr>
              <w:rFonts w:ascii="Times New Roman" w:hAnsi="Times New Roman" w:cs="Times New Roman"/>
              <w:b/>
              <w:bCs/>
              <w:sz w:val="40"/>
              <w:szCs w:val="40"/>
              <w:lang w:val="es-ES"/>
            </w:rPr>
            <w:t xml:space="preserve"> 2024</w:t>
          </w:r>
        </w:p>
        <w:p w14:paraId="288E2355" w14:textId="77777777" w:rsidR="002E1B60" w:rsidRDefault="002E1B60" w:rsidP="00D91C50">
          <w:pPr>
            <w:jc w:val="center"/>
            <w:rPr>
              <w:rFonts w:ascii="Times New Roman" w:hAnsi="Times New Roman" w:cs="Times New Roman"/>
              <w:b/>
              <w:bCs/>
              <w:sz w:val="40"/>
              <w:szCs w:val="40"/>
              <w:lang w:val="es-ES"/>
            </w:rPr>
          </w:pPr>
        </w:p>
        <w:p w14:paraId="099C766A" w14:textId="394BA302" w:rsidR="00D50D57" w:rsidRPr="002E1B60" w:rsidRDefault="001F5A33" w:rsidP="00D91C50">
          <w:pPr>
            <w:ind w:left="2160" w:firstLine="720"/>
            <w:rPr>
              <w:rFonts w:ascii="Times New Roman" w:hAnsi="Times New Roman" w:cs="Times New Roman"/>
              <w:b/>
              <w:bCs/>
              <w:sz w:val="40"/>
              <w:szCs w:val="40"/>
              <w:lang w:val="es-ES"/>
            </w:rPr>
          </w:pPr>
          <w:r>
            <w:rPr>
              <w:rFonts w:ascii="Times New Roman" w:hAnsi="Times New Roman" w:cs="Times New Roman"/>
              <w:b/>
              <w:bCs/>
              <w:sz w:val="96"/>
              <w:szCs w:val="96"/>
              <w:lang w:val="es-ES"/>
            </w:rPr>
            <w:t xml:space="preserve"> </w:t>
          </w:r>
          <w:r w:rsidR="00D50D57" w:rsidRPr="001F5A33">
            <w:rPr>
              <w:rFonts w:ascii="Times New Roman" w:hAnsi="Times New Roman" w:cs="Times New Roman"/>
              <w:b/>
              <w:bCs/>
              <w:sz w:val="96"/>
              <w:szCs w:val="96"/>
              <w:lang w:val="es-ES"/>
            </w:rPr>
            <w:t>Ecuador</w:t>
          </w:r>
          <w:r w:rsidR="00D50D57" w:rsidRPr="00D50D57">
            <w:rPr>
              <w:rFonts w:ascii="Times New Roman" w:hAnsi="Times New Roman" w:cs="Times New Roman"/>
              <w:b/>
              <w:bCs/>
              <w:sz w:val="40"/>
              <w:szCs w:val="40"/>
              <w:lang w:val="es-ES"/>
            </w:rPr>
            <w:br w:type="page"/>
          </w:r>
        </w:p>
      </w:sdtContent>
    </w:sdt>
    <w:p w14:paraId="52778717" w14:textId="77777777" w:rsidR="00D50D57" w:rsidRDefault="00D50D57" w:rsidP="00D50D57">
      <w:pPr>
        <w:pStyle w:val="Prrafodelista"/>
        <w:numPr>
          <w:ilvl w:val="0"/>
          <w:numId w:val="2"/>
        </w:numPr>
        <w:spacing w:line="240" w:lineRule="auto"/>
        <w:contextualSpacing/>
        <w:jc w:val="both"/>
        <w:rPr>
          <w:rFonts w:ascii="Times New Roman" w:hAnsi="Times New Roman" w:cs="Times New Roman"/>
          <w:b/>
          <w:szCs w:val="24"/>
          <w:lang w:val="es-ES"/>
        </w:rPr>
      </w:pPr>
      <w:r w:rsidRPr="00A47AD6">
        <w:rPr>
          <w:rFonts w:ascii="Times New Roman" w:hAnsi="Times New Roman" w:cs="Times New Roman"/>
          <w:b/>
          <w:szCs w:val="24"/>
          <w:lang w:val="es-ES"/>
        </w:rPr>
        <w:lastRenderedPageBreak/>
        <w:t>CONTEXTO NACIONAL</w:t>
      </w:r>
    </w:p>
    <w:p w14:paraId="53869280" w14:textId="77777777" w:rsidR="001F5A33" w:rsidRPr="00A47AD6" w:rsidRDefault="001F5A33" w:rsidP="001F5A33">
      <w:pPr>
        <w:pStyle w:val="Prrafodelista"/>
        <w:spacing w:line="240" w:lineRule="auto"/>
        <w:ind w:left="720"/>
        <w:contextualSpacing/>
        <w:jc w:val="both"/>
        <w:rPr>
          <w:rFonts w:ascii="Times New Roman" w:hAnsi="Times New Roman" w:cs="Times New Roman"/>
          <w:b/>
          <w:szCs w:val="24"/>
          <w:lang w:val="es-ES"/>
        </w:rPr>
      </w:pPr>
    </w:p>
    <w:p w14:paraId="4E865B3D" w14:textId="22C5BB8E"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La vulneración a los derechos de la población LGBTIQ+ se ancla en la discriminación estructural sustentada en el sistema patriarcal-</w:t>
      </w:r>
      <w:proofErr w:type="spellStart"/>
      <w:r w:rsidRPr="00A47AD6">
        <w:rPr>
          <w:rFonts w:ascii="Times New Roman" w:hAnsi="Times New Roman" w:cs="Times New Roman"/>
          <w:szCs w:val="24"/>
          <w:lang w:val="es-ES"/>
        </w:rPr>
        <w:t>heterocisnormado</w:t>
      </w:r>
      <w:proofErr w:type="spellEnd"/>
      <w:r w:rsidRPr="00A47AD6">
        <w:rPr>
          <w:rFonts w:ascii="Times New Roman" w:hAnsi="Times New Roman" w:cs="Times New Roman"/>
          <w:szCs w:val="24"/>
          <w:lang w:val="es-ES"/>
        </w:rPr>
        <w:t xml:space="preserve"> que justifica la violencia hacia </w:t>
      </w:r>
      <w:r w:rsidR="009E180F">
        <w:rPr>
          <w:rFonts w:ascii="Times New Roman" w:hAnsi="Times New Roman" w:cs="Times New Roman"/>
          <w:szCs w:val="24"/>
          <w:lang w:val="es-ES"/>
        </w:rPr>
        <w:t>quienes</w:t>
      </w:r>
      <w:r w:rsidRPr="00A47AD6">
        <w:rPr>
          <w:rFonts w:ascii="Times New Roman" w:hAnsi="Times New Roman" w:cs="Times New Roman"/>
          <w:szCs w:val="24"/>
          <w:lang w:val="es-ES"/>
        </w:rPr>
        <w:t xml:space="preserve"> con su diversidad rompen el molde de la “normalidad”. En Ecuador hasta antes de noviembre de 1997 la persecución, violencia y muerte era una constante que sufrían las personas LGBTI bajo la legalidad del artículo 516 del Código Penal de la época, el cual establecía a la homosexualidad como delito.</w:t>
      </w:r>
    </w:p>
    <w:p w14:paraId="136723DB" w14:textId="77777777" w:rsidR="00D50D57" w:rsidRPr="00A47AD6" w:rsidRDefault="00D50D57" w:rsidP="00D50D57">
      <w:pPr>
        <w:jc w:val="both"/>
        <w:rPr>
          <w:rFonts w:ascii="Times New Roman" w:hAnsi="Times New Roman" w:cs="Times New Roman"/>
          <w:lang w:val="es-ES"/>
        </w:rPr>
      </w:pPr>
    </w:p>
    <w:p w14:paraId="157A8C36" w14:textId="25398B61" w:rsidR="002B2856" w:rsidRPr="002B2856" w:rsidRDefault="00D50D57" w:rsidP="002B2856">
      <w:pPr>
        <w:pStyle w:val="Prrafodelista"/>
        <w:numPr>
          <w:ilvl w:val="0"/>
          <w:numId w:val="1"/>
        </w:numPr>
        <w:spacing w:line="240" w:lineRule="auto"/>
        <w:contextualSpacing/>
        <w:jc w:val="both"/>
        <w:rPr>
          <w:rFonts w:ascii="Times New Roman" w:hAnsi="Times New Roman" w:cs="Times New Roman"/>
          <w:lang w:val="es-ES"/>
        </w:rPr>
      </w:pPr>
      <w:r w:rsidRPr="002B2856">
        <w:rPr>
          <w:rFonts w:ascii="Times New Roman" w:hAnsi="Times New Roman" w:cs="Times New Roman"/>
          <w:szCs w:val="24"/>
          <w:lang w:val="es-ES"/>
        </w:rPr>
        <w:t xml:space="preserve">La Comisión de la Verdad del Ecuador, en su informe </w:t>
      </w:r>
      <w:r w:rsidR="009E180F" w:rsidRPr="002B2856">
        <w:rPr>
          <w:rFonts w:ascii="Times New Roman" w:hAnsi="Times New Roman" w:cs="Times New Roman"/>
          <w:szCs w:val="24"/>
          <w:lang w:val="es-ES"/>
        </w:rPr>
        <w:t>del</w:t>
      </w:r>
      <w:r w:rsidRPr="002B2856">
        <w:rPr>
          <w:rFonts w:ascii="Times New Roman" w:hAnsi="Times New Roman" w:cs="Times New Roman"/>
          <w:szCs w:val="24"/>
          <w:lang w:val="es-ES"/>
        </w:rPr>
        <w:t xml:space="preserve"> año 2010, desarrolló un apartado sobre “</w:t>
      </w:r>
      <w:r w:rsidRPr="002B2856">
        <w:rPr>
          <w:rFonts w:ascii="Times New Roman" w:hAnsi="Times New Roman" w:cs="Times New Roman"/>
          <w:bCs/>
          <w:i/>
          <w:iCs/>
          <w:szCs w:val="24"/>
          <w:lang w:val="es-ES"/>
        </w:rPr>
        <w:t>Homofobia y transfobia: violencia y discriminación contra el colectivo LGBTI en la década de 1990 y 2000”.</w:t>
      </w:r>
      <w:r w:rsidRPr="002B2856">
        <w:rPr>
          <w:rFonts w:ascii="Times New Roman" w:hAnsi="Times New Roman" w:cs="Times New Roman"/>
          <w:bCs/>
          <w:szCs w:val="24"/>
          <w:lang w:val="es-ES"/>
        </w:rPr>
        <w:t xml:space="preserve"> El informe contextualiza la discriminación y violencia hacia las personas LGBTI </w:t>
      </w:r>
      <w:r w:rsidR="002B2856">
        <w:rPr>
          <w:rFonts w:ascii="Times New Roman" w:hAnsi="Times New Roman" w:cs="Times New Roman"/>
          <w:bCs/>
          <w:szCs w:val="24"/>
          <w:lang w:val="es-ES"/>
        </w:rPr>
        <w:t>expresada en</w:t>
      </w:r>
      <w:r w:rsidRPr="002B2856">
        <w:rPr>
          <w:rFonts w:ascii="Times New Roman" w:hAnsi="Times New Roman" w:cs="Times New Roman"/>
          <w:bCs/>
          <w:szCs w:val="24"/>
          <w:lang w:val="es-ES"/>
        </w:rPr>
        <w:t xml:space="preserve"> violencia sistemática e invisibilidad, </w:t>
      </w:r>
      <w:r w:rsidR="002B2856">
        <w:rPr>
          <w:rFonts w:ascii="Times New Roman" w:hAnsi="Times New Roman" w:cs="Times New Roman"/>
          <w:bCs/>
          <w:szCs w:val="24"/>
          <w:lang w:val="es-ES"/>
        </w:rPr>
        <w:t>p</w:t>
      </w:r>
      <w:r w:rsidRPr="002B2856">
        <w:rPr>
          <w:rFonts w:ascii="Times New Roman" w:hAnsi="Times New Roman" w:cs="Times New Roman"/>
          <w:bCs/>
          <w:szCs w:val="24"/>
          <w:lang w:val="es-ES"/>
        </w:rPr>
        <w:t>asividad de las autoridades</w:t>
      </w:r>
      <w:r w:rsidRPr="002B2856">
        <w:rPr>
          <w:rFonts w:ascii="Times New Roman" w:eastAsia="MS Mincho" w:hAnsi="Times New Roman" w:cs="Times New Roman"/>
          <w:bCs/>
          <w:szCs w:val="24"/>
          <w:lang w:val="es-ES"/>
        </w:rPr>
        <w:t xml:space="preserve"> </w:t>
      </w:r>
      <w:r w:rsidRPr="002B2856">
        <w:rPr>
          <w:rFonts w:ascii="Times New Roman" w:hAnsi="Times New Roman" w:cs="Times New Roman"/>
          <w:bCs/>
          <w:szCs w:val="24"/>
          <w:lang w:val="es-ES"/>
        </w:rPr>
        <w:t>frente a actos de violencia homofóbica, represalias</w:t>
      </w:r>
      <w:r w:rsidR="002B2856">
        <w:rPr>
          <w:rFonts w:ascii="Times New Roman" w:hAnsi="Times New Roman" w:cs="Times New Roman"/>
          <w:bCs/>
          <w:szCs w:val="24"/>
          <w:lang w:val="es-ES"/>
        </w:rPr>
        <w:t xml:space="preserve"> y v</w:t>
      </w:r>
      <w:r w:rsidRPr="002B2856">
        <w:rPr>
          <w:rFonts w:ascii="Times New Roman" w:hAnsi="Times New Roman" w:cs="Times New Roman"/>
          <w:bCs/>
          <w:szCs w:val="24"/>
          <w:lang w:val="es-ES"/>
        </w:rPr>
        <w:t>iolencia sexual.</w:t>
      </w:r>
      <w:r w:rsidRPr="00A47AD6">
        <w:rPr>
          <w:rFonts w:ascii="Times New Roman" w:hAnsi="Times New Roman" w:cs="Times New Roman"/>
          <w:bCs/>
          <w:szCs w:val="24"/>
          <w:vertAlign w:val="superscript"/>
          <w:lang w:val="es-ES"/>
        </w:rPr>
        <w:footnoteReference w:id="1"/>
      </w:r>
      <w:r w:rsidRPr="002B2856">
        <w:rPr>
          <w:rFonts w:ascii="Times New Roman" w:hAnsi="Times New Roman" w:cs="Times New Roman"/>
          <w:bCs/>
          <w:szCs w:val="24"/>
          <w:lang w:val="es-ES"/>
        </w:rPr>
        <w:t xml:space="preserve"> Este contexto dejó muchas víctimas LGBTI que hasta la actualidad no han podido ser reparadas</w:t>
      </w:r>
      <w:r w:rsidR="002B2856">
        <w:rPr>
          <w:rFonts w:ascii="Times New Roman" w:hAnsi="Times New Roman" w:cs="Times New Roman"/>
          <w:bCs/>
          <w:szCs w:val="24"/>
          <w:lang w:val="es-ES"/>
        </w:rPr>
        <w:t xml:space="preserve"> ni han encontrado justicia a sus demandas.</w:t>
      </w:r>
    </w:p>
    <w:p w14:paraId="1DD87E86" w14:textId="77777777" w:rsidR="002B2856" w:rsidRPr="002B2856" w:rsidRDefault="002B2856" w:rsidP="002B2856">
      <w:pPr>
        <w:pStyle w:val="Prrafodelista"/>
        <w:spacing w:line="240" w:lineRule="auto"/>
        <w:ind w:left="360"/>
        <w:contextualSpacing/>
        <w:jc w:val="both"/>
        <w:rPr>
          <w:rFonts w:ascii="Times New Roman" w:hAnsi="Times New Roman" w:cs="Times New Roman"/>
          <w:lang w:val="es-ES"/>
        </w:rPr>
      </w:pPr>
    </w:p>
    <w:p w14:paraId="1924B479" w14:textId="74CC5911"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La Corte Interamericana de Derechos Humanos (en adelante Corte IDH) en el caso de </w:t>
      </w:r>
      <w:r w:rsidRPr="00A47AD6">
        <w:rPr>
          <w:rFonts w:ascii="Times New Roman" w:hAnsi="Times New Roman" w:cs="Times New Roman"/>
          <w:i/>
          <w:szCs w:val="24"/>
          <w:lang w:val="es-ES"/>
        </w:rPr>
        <w:t>Flor Freire Vs. Ecuador</w:t>
      </w:r>
      <w:r w:rsidRPr="00A47AD6">
        <w:rPr>
          <w:rFonts w:ascii="Times New Roman" w:hAnsi="Times New Roman" w:cs="Times New Roman"/>
          <w:szCs w:val="24"/>
          <w:lang w:val="es-ES"/>
        </w:rPr>
        <w:t>, del año 2016, declaró la responsabilidad del Estado  ecuatoriano por haber permitido la discriminación sobre la orientación sexual</w:t>
      </w:r>
      <w:r w:rsidR="002B2856">
        <w:rPr>
          <w:rFonts w:ascii="Times New Roman" w:hAnsi="Times New Roman" w:cs="Times New Roman"/>
          <w:szCs w:val="24"/>
          <w:lang w:val="es-ES"/>
        </w:rPr>
        <w:t xml:space="preserve"> percibida</w:t>
      </w:r>
      <w:r w:rsidRPr="00A47AD6">
        <w:rPr>
          <w:rFonts w:ascii="Times New Roman" w:hAnsi="Times New Roman" w:cs="Times New Roman"/>
          <w:szCs w:val="24"/>
          <w:lang w:val="es-ES"/>
        </w:rPr>
        <w:t xml:space="preserve"> del señor Freire, lo que provocó </w:t>
      </w:r>
      <w:r w:rsidR="002B2856">
        <w:rPr>
          <w:rFonts w:ascii="Times New Roman" w:hAnsi="Times New Roman" w:cs="Times New Roman"/>
          <w:szCs w:val="24"/>
          <w:lang w:val="es-ES"/>
        </w:rPr>
        <w:t>su</w:t>
      </w:r>
      <w:r w:rsidRPr="00A47AD6">
        <w:rPr>
          <w:rFonts w:ascii="Times New Roman" w:hAnsi="Times New Roman" w:cs="Times New Roman"/>
          <w:szCs w:val="24"/>
          <w:lang w:val="es-ES"/>
        </w:rPr>
        <w:t xml:space="preserve"> despido del ejército nacional, a casusa de los prejuicios sociales respecto a la homosexualidad.</w:t>
      </w:r>
      <w:r w:rsidRPr="00A47AD6">
        <w:rPr>
          <w:rFonts w:ascii="Times New Roman" w:hAnsi="Times New Roman" w:cs="Times New Roman"/>
          <w:szCs w:val="24"/>
          <w:vertAlign w:val="superscript"/>
          <w:lang w:val="es-ES"/>
        </w:rPr>
        <w:footnoteReference w:id="2"/>
      </w:r>
      <w:r w:rsidRPr="00A47AD6">
        <w:rPr>
          <w:rFonts w:ascii="Times New Roman" w:hAnsi="Times New Roman" w:cs="Times New Roman"/>
          <w:szCs w:val="24"/>
          <w:lang w:val="es-ES"/>
        </w:rPr>
        <w:t xml:space="preserve"> Como consecuencia de estos imaginarios sociales se obstaculiza el ejercicio de todos los derechos humanos de la población LGBTIQ+ en el país, el Instituto Nacional de Estadísticas y Censos (INEC) reporta </w:t>
      </w:r>
      <w:r w:rsidR="002B2856">
        <w:rPr>
          <w:rFonts w:ascii="Times New Roman" w:hAnsi="Times New Roman" w:cs="Times New Roman"/>
          <w:szCs w:val="24"/>
          <w:lang w:val="es-ES"/>
        </w:rPr>
        <w:t xml:space="preserve">la vigencia de </w:t>
      </w:r>
      <w:r w:rsidRPr="00A47AD6">
        <w:rPr>
          <w:rFonts w:ascii="Times New Roman" w:hAnsi="Times New Roman" w:cs="Times New Roman"/>
          <w:szCs w:val="24"/>
          <w:lang w:val="es-ES"/>
        </w:rPr>
        <w:t>altos índices de discriminación en el acceso a la educación, salud, trabajo, vivienda, entre otros.</w:t>
      </w:r>
      <w:r w:rsidRPr="00A47AD6">
        <w:rPr>
          <w:rFonts w:ascii="Times New Roman" w:hAnsi="Times New Roman" w:cs="Times New Roman"/>
          <w:szCs w:val="24"/>
          <w:vertAlign w:val="superscript"/>
          <w:lang w:val="es-ES"/>
        </w:rPr>
        <w:footnoteReference w:id="3"/>
      </w:r>
    </w:p>
    <w:p w14:paraId="302C3C6E" w14:textId="77777777" w:rsidR="00D50D57" w:rsidRPr="00A47AD6" w:rsidRDefault="00D50D57" w:rsidP="00D50D57">
      <w:pPr>
        <w:jc w:val="both"/>
        <w:rPr>
          <w:rFonts w:ascii="Times New Roman" w:hAnsi="Times New Roman" w:cs="Times New Roman"/>
          <w:lang w:val="es-ES"/>
        </w:rPr>
      </w:pPr>
    </w:p>
    <w:p w14:paraId="2C1723D3" w14:textId="1518F93D"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Esta realidad violenta y discriminadora que viven las personas LGBTIQ+ se agudiza por la pasividad del Estado ecuatoriano que, si bien </w:t>
      </w:r>
      <w:r w:rsidR="002B2856">
        <w:rPr>
          <w:rFonts w:ascii="Times New Roman" w:hAnsi="Times New Roman" w:cs="Times New Roman"/>
          <w:szCs w:val="24"/>
          <w:lang w:val="es-ES"/>
        </w:rPr>
        <w:t xml:space="preserve">reconoce </w:t>
      </w:r>
      <w:r w:rsidRPr="00A47AD6">
        <w:rPr>
          <w:rFonts w:ascii="Times New Roman" w:hAnsi="Times New Roman" w:cs="Times New Roman"/>
          <w:szCs w:val="24"/>
          <w:lang w:val="es-ES"/>
        </w:rPr>
        <w:t>derechos en las normas, estos no se evidencian en la realidad. Existen grandes deudas en políticas públicas LGBTIQ+, reformas legales, resoluc</w:t>
      </w:r>
      <w:r w:rsidR="002B2856">
        <w:rPr>
          <w:rFonts w:ascii="Times New Roman" w:hAnsi="Times New Roman" w:cs="Times New Roman"/>
          <w:szCs w:val="24"/>
          <w:lang w:val="es-ES"/>
        </w:rPr>
        <w:t>ión de causas</w:t>
      </w:r>
      <w:r w:rsidRPr="00A47AD6">
        <w:rPr>
          <w:rFonts w:ascii="Times New Roman" w:hAnsi="Times New Roman" w:cs="Times New Roman"/>
          <w:szCs w:val="24"/>
          <w:lang w:val="es-ES"/>
        </w:rPr>
        <w:t xml:space="preserve"> judiciales y cumplimiento de l</w:t>
      </w:r>
      <w:r w:rsidR="002B2856">
        <w:rPr>
          <w:rFonts w:ascii="Times New Roman" w:hAnsi="Times New Roman" w:cs="Times New Roman"/>
          <w:szCs w:val="24"/>
          <w:lang w:val="es-ES"/>
        </w:rPr>
        <w:t xml:space="preserve">as </w:t>
      </w:r>
      <w:r w:rsidRPr="00A47AD6">
        <w:rPr>
          <w:rFonts w:ascii="Times New Roman" w:hAnsi="Times New Roman" w:cs="Times New Roman"/>
          <w:szCs w:val="24"/>
          <w:lang w:val="es-ES"/>
        </w:rPr>
        <w:t xml:space="preserve">obligaciones internacionales </w:t>
      </w:r>
      <w:r w:rsidR="002B2856">
        <w:rPr>
          <w:rFonts w:ascii="Times New Roman" w:hAnsi="Times New Roman" w:cs="Times New Roman"/>
          <w:szCs w:val="24"/>
          <w:lang w:val="es-ES"/>
        </w:rPr>
        <w:t>del Estado, incluyendo las</w:t>
      </w:r>
      <w:r w:rsidRPr="00A47AD6">
        <w:rPr>
          <w:rFonts w:ascii="Times New Roman" w:hAnsi="Times New Roman" w:cs="Times New Roman"/>
          <w:szCs w:val="24"/>
          <w:lang w:val="es-ES"/>
        </w:rPr>
        <w:t xml:space="preserve"> recomendaciones provenientes de órganos de tratados de derechos humanos. </w:t>
      </w:r>
    </w:p>
    <w:p w14:paraId="0EC623A8"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62529AE1" w14:textId="5E67533E" w:rsidR="00D50D57" w:rsidRPr="00A47AD6" w:rsidRDefault="002B2856" w:rsidP="00D50D57">
      <w:pPr>
        <w:pStyle w:val="Prrafodelista"/>
        <w:numPr>
          <w:ilvl w:val="0"/>
          <w:numId w:val="1"/>
        </w:numPr>
        <w:spacing w:line="240" w:lineRule="auto"/>
        <w:contextualSpacing/>
        <w:jc w:val="both"/>
        <w:rPr>
          <w:rFonts w:ascii="Times New Roman" w:hAnsi="Times New Roman" w:cs="Times New Roman"/>
          <w:szCs w:val="24"/>
          <w:lang w:val="es-ES"/>
        </w:rPr>
      </w:pPr>
      <w:r>
        <w:rPr>
          <w:rFonts w:ascii="Times New Roman" w:hAnsi="Times New Roman" w:cs="Times New Roman"/>
          <w:szCs w:val="24"/>
          <w:lang w:val="es-ES"/>
        </w:rPr>
        <w:t xml:space="preserve">Las </w:t>
      </w:r>
      <w:r w:rsidR="00D50D57" w:rsidRPr="00A47AD6">
        <w:rPr>
          <w:rFonts w:ascii="Times New Roman" w:hAnsi="Times New Roman" w:cs="Times New Roman"/>
          <w:szCs w:val="24"/>
          <w:lang w:val="es-ES"/>
        </w:rPr>
        <w:t xml:space="preserve">victorias judiciales obtenidas por la sociedad civil no han sido cumplidas </w:t>
      </w:r>
      <w:r>
        <w:rPr>
          <w:rFonts w:ascii="Times New Roman" w:hAnsi="Times New Roman" w:cs="Times New Roman"/>
          <w:szCs w:val="24"/>
          <w:lang w:val="es-ES"/>
        </w:rPr>
        <w:t>por</w:t>
      </w:r>
      <w:r w:rsidR="00D50D57" w:rsidRPr="00A47AD6">
        <w:rPr>
          <w:rFonts w:ascii="Times New Roman" w:hAnsi="Times New Roman" w:cs="Times New Roman"/>
          <w:szCs w:val="24"/>
          <w:lang w:val="es-ES"/>
        </w:rPr>
        <w:t xml:space="preserve"> el Estado en los casos </w:t>
      </w:r>
      <w:r>
        <w:rPr>
          <w:rFonts w:ascii="Times New Roman" w:hAnsi="Times New Roman" w:cs="Times New Roman"/>
          <w:szCs w:val="24"/>
          <w:lang w:val="es-ES"/>
        </w:rPr>
        <w:t>relacionados a</w:t>
      </w:r>
      <w:r w:rsidR="00D50D57" w:rsidRPr="00A47AD6">
        <w:rPr>
          <w:rFonts w:ascii="Times New Roman" w:hAnsi="Times New Roman" w:cs="Times New Roman"/>
          <w:szCs w:val="24"/>
          <w:lang w:val="es-ES"/>
        </w:rPr>
        <w:t xml:space="preserve">: identidad de género (2017- 2022), protección de la niñez Trans (2018), reconocimiento de doble maternidad o paternidad (2018) y matrimonio civil igualitario </w:t>
      </w:r>
      <w:r w:rsidR="00D50D57" w:rsidRPr="00A47AD6">
        <w:rPr>
          <w:rFonts w:ascii="Times New Roman" w:hAnsi="Times New Roman" w:cs="Times New Roman"/>
          <w:szCs w:val="24"/>
          <w:lang w:val="es-ES"/>
        </w:rPr>
        <w:lastRenderedPageBreak/>
        <w:t>(2019).</w:t>
      </w:r>
      <w:r w:rsidR="00D50D57" w:rsidRPr="00A47AD6">
        <w:rPr>
          <w:rStyle w:val="Refdenotaalpie"/>
          <w:rFonts w:ascii="Times New Roman" w:hAnsi="Times New Roman" w:cs="Times New Roman"/>
          <w:szCs w:val="24"/>
          <w:lang w:val="es-ES"/>
        </w:rPr>
        <w:footnoteReference w:id="4"/>
      </w:r>
      <w:r w:rsidR="00D50D57" w:rsidRPr="00A47AD6">
        <w:rPr>
          <w:rFonts w:ascii="Times New Roman" w:hAnsi="Times New Roman" w:cs="Times New Roman"/>
          <w:szCs w:val="24"/>
          <w:lang w:val="es-ES"/>
        </w:rPr>
        <w:t xml:space="preserve"> Además, hasta la fecha no existen sentencias que hayan sancionado la violencia por prejuicio contra alguna persona LGBTIQ+ , </w:t>
      </w:r>
      <w:r>
        <w:rPr>
          <w:rFonts w:ascii="Times New Roman" w:hAnsi="Times New Roman" w:cs="Times New Roman"/>
          <w:szCs w:val="24"/>
          <w:lang w:val="es-ES"/>
        </w:rPr>
        <w:t>siendo</w:t>
      </w:r>
      <w:r w:rsidR="00D50D57" w:rsidRPr="00A47AD6">
        <w:rPr>
          <w:rFonts w:ascii="Times New Roman" w:hAnsi="Times New Roman" w:cs="Times New Roman"/>
          <w:szCs w:val="24"/>
          <w:lang w:val="es-ES"/>
        </w:rPr>
        <w:t xml:space="preserve"> las principales víctima</w:t>
      </w:r>
      <w:r>
        <w:rPr>
          <w:rFonts w:ascii="Times New Roman" w:hAnsi="Times New Roman" w:cs="Times New Roman"/>
          <w:szCs w:val="24"/>
          <w:lang w:val="es-ES"/>
        </w:rPr>
        <w:t>s</w:t>
      </w:r>
      <w:r w:rsidR="00D50D57" w:rsidRPr="00A47AD6">
        <w:rPr>
          <w:rFonts w:ascii="Times New Roman" w:hAnsi="Times New Roman" w:cs="Times New Roman"/>
          <w:szCs w:val="24"/>
          <w:lang w:val="es-ES"/>
        </w:rPr>
        <w:t xml:space="preserve"> adolescentes y jóvenes</w:t>
      </w:r>
      <w:r>
        <w:rPr>
          <w:rFonts w:ascii="Times New Roman" w:hAnsi="Times New Roman" w:cs="Times New Roman"/>
          <w:szCs w:val="24"/>
          <w:lang w:val="es-ES"/>
        </w:rPr>
        <w:t>,</w:t>
      </w:r>
      <w:r w:rsidR="00D50D57" w:rsidRPr="00A47AD6">
        <w:rPr>
          <w:rFonts w:ascii="Times New Roman" w:hAnsi="Times New Roman" w:cs="Times New Roman"/>
          <w:szCs w:val="24"/>
          <w:lang w:val="es-ES"/>
        </w:rPr>
        <w:t xml:space="preserve"> a causa de la intolerancia de su misma familia.</w:t>
      </w:r>
      <w:r w:rsidR="00D50D57" w:rsidRPr="00A47AD6">
        <w:rPr>
          <w:rStyle w:val="Refdenotaalpie"/>
          <w:rFonts w:ascii="Times New Roman" w:hAnsi="Times New Roman" w:cs="Times New Roman"/>
          <w:szCs w:val="24"/>
          <w:lang w:val="es-ES"/>
        </w:rPr>
        <w:footnoteReference w:id="5"/>
      </w:r>
      <w:r w:rsidR="00D50D57" w:rsidRPr="00A47AD6">
        <w:rPr>
          <w:rFonts w:ascii="Times New Roman" w:hAnsi="Times New Roman" w:cs="Times New Roman"/>
          <w:szCs w:val="24"/>
          <w:lang w:val="es-ES"/>
        </w:rPr>
        <w:t xml:space="preserve"> Es decir, estas circunstancias de violencia y en particular de violencia intrafamiliar </w:t>
      </w:r>
      <w:r>
        <w:rPr>
          <w:rFonts w:ascii="Times New Roman" w:hAnsi="Times New Roman" w:cs="Times New Roman"/>
          <w:szCs w:val="24"/>
          <w:lang w:val="es-ES"/>
        </w:rPr>
        <w:t>basada en prejuicios</w:t>
      </w:r>
      <w:r w:rsidR="00D50D57" w:rsidRPr="00A47AD6">
        <w:rPr>
          <w:rFonts w:ascii="Times New Roman" w:hAnsi="Times New Roman" w:cs="Times New Roman"/>
          <w:szCs w:val="24"/>
          <w:lang w:val="es-ES"/>
        </w:rPr>
        <w:t xml:space="preserve"> se mantienen impunes </w:t>
      </w:r>
      <w:r>
        <w:rPr>
          <w:rFonts w:ascii="Times New Roman" w:hAnsi="Times New Roman" w:cs="Times New Roman"/>
          <w:szCs w:val="24"/>
          <w:lang w:val="es-ES"/>
        </w:rPr>
        <w:t xml:space="preserve">también </w:t>
      </w:r>
      <w:r w:rsidR="00D50D57" w:rsidRPr="00A47AD6">
        <w:rPr>
          <w:rFonts w:ascii="Times New Roman" w:hAnsi="Times New Roman" w:cs="Times New Roman"/>
          <w:szCs w:val="24"/>
          <w:lang w:val="es-ES"/>
        </w:rPr>
        <w:t>cuando las víctimas son niños, niñas y adolescentes LGBTIQ+.</w:t>
      </w:r>
      <w:r w:rsidR="00D50D57" w:rsidRPr="00A47AD6">
        <w:rPr>
          <w:rStyle w:val="Refdenotaalpie"/>
          <w:rFonts w:ascii="Times New Roman" w:hAnsi="Times New Roman" w:cs="Times New Roman"/>
          <w:szCs w:val="24"/>
          <w:lang w:val="es-ES"/>
        </w:rPr>
        <w:footnoteReference w:id="6"/>
      </w:r>
    </w:p>
    <w:p w14:paraId="160C8215" w14:textId="77777777" w:rsidR="00D50D57" w:rsidRPr="00A47AD6" w:rsidRDefault="00D50D57" w:rsidP="00D50D57">
      <w:pPr>
        <w:jc w:val="both"/>
        <w:rPr>
          <w:rFonts w:ascii="Times New Roman" w:hAnsi="Times New Roman" w:cs="Times New Roman"/>
          <w:lang w:val="es-ES"/>
        </w:rPr>
      </w:pPr>
    </w:p>
    <w:p w14:paraId="78E71905" w14:textId="77777777" w:rsidR="00D50D57"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Como se puede advertir, el contexto político y social en Ecuador es adverso al reconocimiento de derechos de la población LGBTIQ+ a pesar de haber conseguido varias reivindicaciones de derechos a nivel judicial, pues estas decisiones no se han implementado por el Estado ni han transformado la exclusión social. </w:t>
      </w:r>
    </w:p>
    <w:p w14:paraId="6EBE3034" w14:textId="77777777" w:rsidR="002E1B60" w:rsidRPr="002E1B60" w:rsidRDefault="002E1B60" w:rsidP="002E1B60">
      <w:pPr>
        <w:pStyle w:val="Prrafodelista"/>
        <w:rPr>
          <w:rFonts w:ascii="Times New Roman" w:hAnsi="Times New Roman" w:cs="Times New Roman"/>
          <w:szCs w:val="24"/>
          <w:lang w:val="es-ES"/>
        </w:rPr>
      </w:pPr>
    </w:p>
    <w:p w14:paraId="1485DEBA" w14:textId="097B2829" w:rsidR="002E1B60" w:rsidRDefault="002E1B60" w:rsidP="00D50D57">
      <w:pPr>
        <w:pStyle w:val="Prrafodelista"/>
        <w:numPr>
          <w:ilvl w:val="0"/>
          <w:numId w:val="1"/>
        </w:numPr>
        <w:spacing w:line="240" w:lineRule="auto"/>
        <w:contextualSpacing/>
        <w:jc w:val="both"/>
        <w:rPr>
          <w:rFonts w:ascii="Times New Roman" w:hAnsi="Times New Roman" w:cs="Times New Roman"/>
          <w:szCs w:val="24"/>
          <w:lang w:val="es-ES"/>
        </w:rPr>
      </w:pPr>
      <w:r>
        <w:rPr>
          <w:rFonts w:ascii="Times New Roman" w:hAnsi="Times New Roman" w:cs="Times New Roman"/>
          <w:szCs w:val="24"/>
          <w:lang w:val="es-ES"/>
        </w:rPr>
        <w:t xml:space="preserve">En este contexto el presente informe </w:t>
      </w:r>
      <w:r w:rsidR="002B2856">
        <w:rPr>
          <w:rFonts w:ascii="Times New Roman" w:hAnsi="Times New Roman" w:cs="Times New Roman"/>
          <w:szCs w:val="24"/>
          <w:lang w:val="es-ES"/>
        </w:rPr>
        <w:t>pretende brindar</w:t>
      </w:r>
      <w:r>
        <w:rPr>
          <w:rFonts w:ascii="Times New Roman" w:hAnsi="Times New Roman" w:cs="Times New Roman"/>
          <w:szCs w:val="24"/>
          <w:lang w:val="es-ES"/>
        </w:rPr>
        <w:t xml:space="preserve"> información respecto a las recomendaciones que el Comité de Derechos Humano</w:t>
      </w:r>
      <w:r w:rsidR="002B2856">
        <w:rPr>
          <w:rFonts w:ascii="Times New Roman" w:hAnsi="Times New Roman" w:cs="Times New Roman"/>
          <w:szCs w:val="24"/>
          <w:lang w:val="es-ES"/>
        </w:rPr>
        <w:t>s</w:t>
      </w:r>
      <w:r>
        <w:rPr>
          <w:rFonts w:ascii="Times New Roman" w:hAnsi="Times New Roman" w:cs="Times New Roman"/>
          <w:szCs w:val="24"/>
          <w:lang w:val="es-ES"/>
        </w:rPr>
        <w:t xml:space="preserve"> realizó a Ecuador en </w:t>
      </w:r>
      <w:r w:rsidR="002B2856">
        <w:rPr>
          <w:rFonts w:ascii="Times New Roman" w:hAnsi="Times New Roman" w:cs="Times New Roman"/>
          <w:szCs w:val="24"/>
          <w:lang w:val="es-ES"/>
        </w:rPr>
        <w:t>su</w:t>
      </w:r>
      <w:r>
        <w:rPr>
          <w:rFonts w:ascii="Times New Roman" w:hAnsi="Times New Roman" w:cs="Times New Roman"/>
          <w:szCs w:val="24"/>
          <w:lang w:val="es-ES"/>
        </w:rPr>
        <w:t xml:space="preserve"> último examen, de</w:t>
      </w:r>
      <w:r w:rsidR="002B2856">
        <w:rPr>
          <w:rFonts w:ascii="Times New Roman" w:hAnsi="Times New Roman" w:cs="Times New Roman"/>
          <w:szCs w:val="24"/>
          <w:lang w:val="es-ES"/>
        </w:rPr>
        <w:t>spués de</w:t>
      </w:r>
      <w:r>
        <w:rPr>
          <w:rFonts w:ascii="Times New Roman" w:hAnsi="Times New Roman" w:cs="Times New Roman"/>
          <w:szCs w:val="24"/>
          <w:lang w:val="es-ES"/>
        </w:rPr>
        <w:t xml:space="preserve">l cual se emitieron las respectivas </w:t>
      </w:r>
      <w:r w:rsidR="002B2856">
        <w:rPr>
          <w:rFonts w:ascii="Times New Roman" w:hAnsi="Times New Roman" w:cs="Times New Roman"/>
          <w:szCs w:val="24"/>
          <w:lang w:val="es-ES"/>
        </w:rPr>
        <w:t>Observaciones Finales (</w:t>
      </w:r>
      <w:r w:rsidRPr="002E1B60">
        <w:rPr>
          <w:rFonts w:ascii="Times New Roman" w:hAnsi="Times New Roman" w:cs="Times New Roman"/>
          <w:szCs w:val="24"/>
          <w:lang w:val="es-ES"/>
        </w:rPr>
        <w:t>CCPR/C/ECU/CO/6</w:t>
      </w:r>
      <w:r>
        <w:rPr>
          <w:rFonts w:ascii="Times New Roman" w:hAnsi="Times New Roman" w:cs="Times New Roman"/>
          <w:szCs w:val="24"/>
          <w:lang w:val="es-ES"/>
        </w:rPr>
        <w:t xml:space="preserve"> de</w:t>
      </w:r>
      <w:r w:rsidR="002B2856">
        <w:rPr>
          <w:rFonts w:ascii="Times New Roman" w:hAnsi="Times New Roman" w:cs="Times New Roman"/>
          <w:szCs w:val="24"/>
          <w:lang w:val="es-ES"/>
        </w:rPr>
        <w:t>l</w:t>
      </w:r>
      <w:r>
        <w:rPr>
          <w:rFonts w:ascii="Times New Roman" w:hAnsi="Times New Roman" w:cs="Times New Roman"/>
          <w:szCs w:val="24"/>
          <w:lang w:val="es-ES"/>
        </w:rPr>
        <w:t xml:space="preserve"> 11 de agosto de 2016</w:t>
      </w:r>
      <w:r w:rsidR="002B2856">
        <w:rPr>
          <w:rFonts w:ascii="Times New Roman" w:hAnsi="Times New Roman" w:cs="Times New Roman"/>
          <w:szCs w:val="24"/>
          <w:lang w:val="es-ES"/>
        </w:rPr>
        <w:t>)</w:t>
      </w:r>
      <w:r w:rsidR="00C30B20">
        <w:rPr>
          <w:rFonts w:ascii="Times New Roman" w:hAnsi="Times New Roman" w:cs="Times New Roman"/>
          <w:szCs w:val="24"/>
          <w:lang w:val="es-ES"/>
        </w:rPr>
        <w:t>.</w:t>
      </w:r>
    </w:p>
    <w:p w14:paraId="4E378793" w14:textId="77777777" w:rsidR="002E1B60" w:rsidRPr="002E1B60" w:rsidRDefault="002E1B60" w:rsidP="002E1B60">
      <w:pPr>
        <w:pStyle w:val="Prrafodelista"/>
        <w:rPr>
          <w:rFonts w:ascii="Times New Roman" w:hAnsi="Times New Roman" w:cs="Times New Roman"/>
          <w:szCs w:val="24"/>
          <w:lang w:val="es-ES"/>
        </w:rPr>
      </w:pPr>
    </w:p>
    <w:p w14:paraId="773BDA6D" w14:textId="30D5C3B0" w:rsidR="002E1B60" w:rsidRDefault="002E1B60" w:rsidP="002E1B60">
      <w:pPr>
        <w:pStyle w:val="Prrafodelista"/>
        <w:numPr>
          <w:ilvl w:val="0"/>
          <w:numId w:val="2"/>
        </w:numPr>
        <w:spacing w:line="240" w:lineRule="auto"/>
        <w:contextualSpacing/>
        <w:jc w:val="both"/>
        <w:rPr>
          <w:rFonts w:ascii="Times New Roman" w:hAnsi="Times New Roman" w:cs="Times New Roman"/>
          <w:b/>
          <w:bCs/>
          <w:lang w:val="es-ES"/>
        </w:rPr>
      </w:pPr>
      <w:r w:rsidRPr="002E1B60">
        <w:rPr>
          <w:rFonts w:ascii="Times New Roman" w:hAnsi="Times New Roman" w:cs="Times New Roman"/>
          <w:b/>
          <w:bCs/>
          <w:lang w:val="es-ES"/>
        </w:rPr>
        <w:t>DISCRIMINACIÓN Y VIOLENCIA POR MOTIVOS DE ORIENTACIÓN SEXUAL O IDENTIDAD DE GÉNERO</w:t>
      </w:r>
      <w:r w:rsidR="00536EAE">
        <w:rPr>
          <w:rFonts w:ascii="Times New Roman" w:hAnsi="Times New Roman" w:cs="Times New Roman"/>
          <w:b/>
          <w:bCs/>
          <w:lang w:val="es-ES"/>
        </w:rPr>
        <w:t xml:space="preserve"> (ARTÍCULOS 2.1, 6 y 7</w:t>
      </w:r>
      <w:r w:rsidR="009D192B">
        <w:rPr>
          <w:rFonts w:ascii="Times New Roman" w:hAnsi="Times New Roman" w:cs="Times New Roman"/>
          <w:b/>
          <w:bCs/>
          <w:lang w:val="es-ES"/>
        </w:rPr>
        <w:t>, 26</w:t>
      </w:r>
      <w:r w:rsidR="00536EAE">
        <w:rPr>
          <w:rFonts w:ascii="Times New Roman" w:hAnsi="Times New Roman" w:cs="Times New Roman"/>
          <w:b/>
          <w:bCs/>
          <w:lang w:val="es-ES"/>
        </w:rPr>
        <w:t>)</w:t>
      </w:r>
    </w:p>
    <w:p w14:paraId="72F6116A" w14:textId="77777777" w:rsidR="00C30B20" w:rsidRDefault="00C30B20" w:rsidP="00C30B20">
      <w:pPr>
        <w:contextualSpacing/>
        <w:jc w:val="both"/>
        <w:rPr>
          <w:rFonts w:ascii="Times New Roman" w:hAnsi="Times New Roman" w:cs="Times New Roman"/>
          <w:b/>
          <w:bCs/>
          <w:lang w:val="es-ES"/>
        </w:rPr>
      </w:pPr>
    </w:p>
    <w:tbl>
      <w:tblPr>
        <w:tblStyle w:val="Tablaconcuadrcula"/>
        <w:tblW w:w="0" w:type="auto"/>
        <w:tblInd w:w="562" w:type="dxa"/>
        <w:tblLook w:val="04A0" w:firstRow="1" w:lastRow="0" w:firstColumn="1" w:lastColumn="0" w:noHBand="0" w:noVBand="1"/>
      </w:tblPr>
      <w:tblGrid>
        <w:gridCol w:w="8524"/>
      </w:tblGrid>
      <w:tr w:rsidR="00C30B20" w14:paraId="27E01EDD" w14:textId="77777777" w:rsidTr="00623DC9">
        <w:trPr>
          <w:trHeight w:val="3503"/>
        </w:trPr>
        <w:tc>
          <w:tcPr>
            <w:tcW w:w="8524" w:type="dxa"/>
          </w:tcPr>
          <w:p w14:paraId="03FCDB1A" w14:textId="4759DC51" w:rsidR="00C30B20" w:rsidRPr="00E34427" w:rsidRDefault="00C30B20" w:rsidP="00C30B20">
            <w:pPr>
              <w:ind w:right="180"/>
              <w:contextualSpacing/>
              <w:jc w:val="both"/>
              <w:rPr>
                <w:rFonts w:ascii="Times New Roman" w:hAnsi="Times New Roman" w:cs="Times New Roman"/>
                <w:sz w:val="22"/>
                <w:szCs w:val="22"/>
                <w:lang w:val="es-ES"/>
              </w:rPr>
            </w:pPr>
            <w:r>
              <w:rPr>
                <w:rFonts w:ascii="Times New Roman" w:hAnsi="Times New Roman" w:cs="Times New Roman"/>
                <w:lang w:val="es-ES"/>
              </w:rPr>
              <w:t xml:space="preserve">        </w:t>
            </w:r>
            <w:r w:rsidRPr="00E34427">
              <w:rPr>
                <w:rFonts w:ascii="Times New Roman" w:hAnsi="Times New Roman" w:cs="Times New Roman"/>
                <w:sz w:val="22"/>
                <w:szCs w:val="22"/>
                <w:lang w:val="es-ES"/>
              </w:rPr>
              <w:t>El Comité recomendó a la República de</w:t>
            </w:r>
            <w:r w:rsidR="00536EAE">
              <w:rPr>
                <w:rFonts w:ascii="Times New Roman" w:hAnsi="Times New Roman" w:cs="Times New Roman"/>
                <w:sz w:val="22"/>
                <w:szCs w:val="22"/>
                <w:lang w:val="es-ES"/>
              </w:rPr>
              <w:t>l</w:t>
            </w:r>
            <w:r w:rsidRPr="00E34427">
              <w:rPr>
                <w:rFonts w:ascii="Times New Roman" w:hAnsi="Times New Roman" w:cs="Times New Roman"/>
                <w:sz w:val="22"/>
                <w:szCs w:val="22"/>
                <w:lang w:val="es-ES"/>
              </w:rPr>
              <w:t xml:space="preserve"> Ecuador lo siguiente: </w:t>
            </w:r>
          </w:p>
          <w:p w14:paraId="166E2500" w14:textId="77777777" w:rsidR="00C30B20" w:rsidRPr="00E34427" w:rsidRDefault="00C30B20" w:rsidP="00C30B20">
            <w:pPr>
              <w:ind w:right="463"/>
              <w:contextualSpacing/>
              <w:jc w:val="both"/>
              <w:rPr>
                <w:rFonts w:ascii="Times New Roman" w:hAnsi="Times New Roman" w:cs="Times New Roman"/>
                <w:sz w:val="22"/>
                <w:szCs w:val="22"/>
                <w:lang w:val="es-ES"/>
              </w:rPr>
            </w:pPr>
          </w:p>
          <w:p w14:paraId="1A8E3F74" w14:textId="77777777" w:rsidR="00C30B20" w:rsidRPr="00E34427" w:rsidRDefault="00C30B20" w:rsidP="00C30B20">
            <w:pPr>
              <w:ind w:left="720" w:right="463"/>
              <w:contextualSpacing/>
              <w:jc w:val="both"/>
              <w:rPr>
                <w:rFonts w:ascii="Times New Roman" w:hAnsi="Times New Roman" w:cs="Times New Roman"/>
                <w:sz w:val="22"/>
                <w:szCs w:val="22"/>
                <w:lang w:val="es-ES"/>
              </w:rPr>
            </w:pPr>
            <w:r w:rsidRPr="00E34427">
              <w:rPr>
                <w:rFonts w:ascii="Times New Roman" w:hAnsi="Times New Roman" w:cs="Times New Roman"/>
                <w:sz w:val="22"/>
                <w:szCs w:val="22"/>
                <w:lang w:val="es-ES"/>
              </w:rPr>
              <w:t>12. El Estado parte debe redoblar sus esfuerzos para combatir los estereotipos y prejuicios contra las personas lesbianas, gais, bisexuales, transgénero e intersexuales y para garantizar que: se prevengan los actos de discriminación; se investigue, procese y sancione con penas apropiadas a quienes sean responsables de los actos de violencia en su contra de manera eficaz; y se otorgue reparación integral a las víctimas. Asimismo, debe redoblar sus esfuerzos para erradicar de manera efectiva la práctica de internamiento de dichas personas para someterlas a “tratamientos para curar la identidad sexual o la identidad de género”; adoptar las medidas necesarias para investigar, procesar y sancionar con penas apropiadas a los responsables de dichos “tratamientos”; y otorgar reparación integral a las víctimas, incluyendo rehabilitación e indemnización.</w:t>
            </w:r>
          </w:p>
          <w:p w14:paraId="2D5EC609" w14:textId="77777777" w:rsidR="00C30B20" w:rsidRDefault="00C30B20" w:rsidP="00C30B20">
            <w:pPr>
              <w:contextualSpacing/>
              <w:jc w:val="both"/>
              <w:rPr>
                <w:rFonts w:ascii="Times New Roman" w:hAnsi="Times New Roman" w:cs="Times New Roman"/>
                <w:b/>
                <w:bCs/>
                <w:lang w:val="es-ES"/>
              </w:rPr>
            </w:pPr>
          </w:p>
        </w:tc>
      </w:tr>
    </w:tbl>
    <w:p w14:paraId="0213B19A" w14:textId="77777777" w:rsidR="00DB2B0E" w:rsidRDefault="00DB2B0E" w:rsidP="00D50D57">
      <w:pPr>
        <w:pStyle w:val="Prrafodelista"/>
        <w:spacing w:line="240" w:lineRule="auto"/>
        <w:rPr>
          <w:rFonts w:ascii="Times New Roman" w:hAnsi="Times New Roman" w:cs="Times New Roman"/>
          <w:szCs w:val="24"/>
          <w:lang w:val="es-ES"/>
        </w:rPr>
      </w:pPr>
    </w:p>
    <w:p w14:paraId="502F2C47" w14:textId="18081BF2" w:rsidR="00D539E4" w:rsidRPr="00D539E4" w:rsidRDefault="009D192B" w:rsidP="00D539E4">
      <w:pPr>
        <w:contextualSpacing/>
        <w:jc w:val="both"/>
        <w:rPr>
          <w:rFonts w:ascii="Times New Roman" w:eastAsia="Calibri" w:hAnsi="Times New Roman" w:cs="Times New Roman"/>
          <w:b/>
          <w:bCs/>
          <w:u w:val="single"/>
          <w:lang w:val="es-ES"/>
        </w:rPr>
      </w:pPr>
      <w:r>
        <w:rPr>
          <w:rFonts w:ascii="Times New Roman" w:eastAsia="Calibri" w:hAnsi="Times New Roman" w:cs="Times New Roman"/>
          <w:b/>
          <w:bCs/>
          <w:u w:val="single"/>
          <w:lang w:val="es-ES"/>
        </w:rPr>
        <w:t>Política</w:t>
      </w:r>
      <w:r w:rsidR="001C73A6">
        <w:rPr>
          <w:rFonts w:ascii="Times New Roman" w:eastAsia="Calibri" w:hAnsi="Times New Roman" w:cs="Times New Roman"/>
          <w:b/>
          <w:bCs/>
          <w:u w:val="single"/>
          <w:lang w:val="es-ES"/>
        </w:rPr>
        <w:t xml:space="preserve"> pública en derechos de personas LGBTIQ+</w:t>
      </w:r>
    </w:p>
    <w:p w14:paraId="3CC27EBA" w14:textId="77777777" w:rsidR="00D539E4" w:rsidRPr="001F41EE" w:rsidRDefault="00D539E4" w:rsidP="00D539E4">
      <w:pPr>
        <w:pStyle w:val="Prrafodelista"/>
        <w:spacing w:line="259" w:lineRule="auto"/>
        <w:jc w:val="both"/>
        <w:rPr>
          <w:rFonts w:ascii="Times New Roman" w:eastAsia="Calibri" w:hAnsi="Times New Roman" w:cs="Times New Roman"/>
          <w:b/>
          <w:bCs/>
          <w:szCs w:val="24"/>
          <w:lang w:val="es-ES"/>
        </w:rPr>
      </w:pPr>
    </w:p>
    <w:p w14:paraId="4D67627B" w14:textId="2F204303" w:rsidR="00D539E4" w:rsidRPr="00D22AA6" w:rsidRDefault="00D539E4" w:rsidP="00D22AA6">
      <w:pPr>
        <w:pStyle w:val="Prrafodelista"/>
        <w:numPr>
          <w:ilvl w:val="0"/>
          <w:numId w:val="1"/>
        </w:numPr>
        <w:spacing w:line="240" w:lineRule="auto"/>
        <w:contextualSpacing/>
        <w:jc w:val="both"/>
        <w:rPr>
          <w:rFonts w:ascii="Times New Roman" w:hAnsi="Times New Roman" w:cs="Times New Roman"/>
          <w:szCs w:val="24"/>
          <w:lang w:val="es-ES" w:eastAsia="en-US"/>
        </w:rPr>
      </w:pPr>
      <w:r w:rsidRPr="00D22AA6">
        <w:rPr>
          <w:rFonts w:ascii="Times New Roman" w:hAnsi="Times New Roman" w:cs="Times New Roman"/>
          <w:szCs w:val="24"/>
          <w:lang w:val="es-ES"/>
        </w:rPr>
        <w:t xml:space="preserve">En </w:t>
      </w:r>
      <w:r w:rsidRPr="00D22AA6">
        <w:rPr>
          <w:rFonts w:ascii="Times New Roman" w:hAnsi="Times New Roman" w:cs="Times New Roman"/>
          <w:lang w:val="es-ES"/>
        </w:rPr>
        <w:t>201</w:t>
      </w:r>
      <w:r w:rsidR="009D192B">
        <w:rPr>
          <w:rFonts w:ascii="Times New Roman" w:hAnsi="Times New Roman" w:cs="Times New Roman"/>
          <w:lang w:val="es-ES"/>
        </w:rPr>
        <w:t>5</w:t>
      </w:r>
      <w:r w:rsidRPr="00D22AA6">
        <w:rPr>
          <w:rFonts w:ascii="Times New Roman" w:hAnsi="Times New Roman" w:cs="Times New Roman"/>
          <w:lang w:val="es-ES"/>
        </w:rPr>
        <w:t xml:space="preserve"> el presidente de la República se comprometió a trabajar por el acceso a “la educación, salud, empleo, justicia y ciudadanía plena a nivel general, para toda la población GLBT del </w:t>
      </w:r>
      <w:r w:rsidRPr="00D22AA6">
        <w:rPr>
          <w:rFonts w:ascii="Times New Roman" w:hAnsi="Times New Roman" w:cs="Times New Roman"/>
          <w:lang w:val="es-ES"/>
        </w:rPr>
        <w:lastRenderedPageBreak/>
        <w:t>Ecuador”</w:t>
      </w:r>
      <w:r w:rsidRPr="00A47AD6">
        <w:rPr>
          <w:rStyle w:val="Refdenotaalpie"/>
          <w:rFonts w:ascii="Times New Roman" w:hAnsi="Times New Roman" w:cs="Times New Roman"/>
          <w:szCs w:val="24"/>
          <w:lang w:val="es-ES"/>
        </w:rPr>
        <w:footnoteReference w:id="7"/>
      </w:r>
      <w:r w:rsidRPr="00D22AA6">
        <w:rPr>
          <w:rFonts w:ascii="Times New Roman" w:hAnsi="Times New Roman" w:cs="Times New Roman"/>
          <w:lang w:val="es-ES"/>
        </w:rPr>
        <w:t xml:space="preserve"> a través del Ministerio Coordinador de Desarrollo Social. Si bien esta Cartera de Estado conformó una mesa interseccional</w:t>
      </w:r>
      <w:r w:rsidRPr="00A47AD6">
        <w:rPr>
          <w:rStyle w:val="Refdenotaalpie"/>
          <w:rFonts w:ascii="Times New Roman" w:hAnsi="Times New Roman" w:cs="Times New Roman"/>
          <w:szCs w:val="24"/>
          <w:lang w:val="es-ES"/>
        </w:rPr>
        <w:footnoteReference w:id="8"/>
      </w:r>
      <w:r w:rsidRPr="00D22AA6">
        <w:rPr>
          <w:rFonts w:ascii="Times New Roman" w:hAnsi="Times New Roman" w:cs="Times New Roman"/>
          <w:lang w:val="es-ES"/>
        </w:rPr>
        <w:t xml:space="preserve"> para la construcción de una </w:t>
      </w:r>
      <w:r w:rsidRPr="00D22AA6">
        <w:rPr>
          <w:rFonts w:ascii="Times New Roman" w:hAnsi="Times New Roman" w:cs="Times New Roman"/>
          <w:i/>
          <w:lang w:val="es-ES"/>
        </w:rPr>
        <w:t>Política Pública Integral para las personas LGBTI,</w:t>
      </w:r>
      <w:r w:rsidRPr="00A47AD6">
        <w:rPr>
          <w:rStyle w:val="Refdenotaalpie"/>
          <w:rFonts w:ascii="Times New Roman" w:hAnsi="Times New Roman" w:cs="Times New Roman"/>
          <w:i/>
          <w:szCs w:val="24"/>
          <w:lang w:val="es-ES"/>
        </w:rPr>
        <w:footnoteReference w:id="9"/>
      </w:r>
      <w:r w:rsidRPr="00D22AA6">
        <w:rPr>
          <w:rFonts w:ascii="Times New Roman" w:hAnsi="Times New Roman" w:cs="Times New Roman"/>
          <w:lang w:val="es-ES"/>
        </w:rPr>
        <w:t xml:space="preserve"> la política no fue formalizada, pues no se publicó en el Registro Oficial. A esto se suma que el M</w:t>
      </w:r>
      <w:r w:rsidR="00282BB9">
        <w:rPr>
          <w:rFonts w:ascii="Times New Roman" w:hAnsi="Times New Roman" w:cs="Times New Roman"/>
          <w:lang w:val="es-ES"/>
        </w:rPr>
        <w:t>inisterio</w:t>
      </w:r>
      <w:r w:rsidRPr="00D22AA6">
        <w:rPr>
          <w:rFonts w:ascii="Times New Roman" w:hAnsi="Times New Roman" w:cs="Times New Roman"/>
          <w:lang w:val="es-ES"/>
        </w:rPr>
        <w:t xml:space="preserve"> fue eliminado por decreto presidencial en el año 2017, dejando sin liderazgo ministerial a esta política pública. </w:t>
      </w:r>
    </w:p>
    <w:p w14:paraId="1239D557" w14:textId="77777777" w:rsidR="00D539E4" w:rsidRPr="00A47AD6" w:rsidRDefault="00D539E4" w:rsidP="00D539E4">
      <w:pPr>
        <w:ind w:left="-360"/>
        <w:jc w:val="both"/>
        <w:rPr>
          <w:rFonts w:ascii="Times New Roman" w:hAnsi="Times New Roman" w:cs="Times New Roman"/>
          <w:lang w:val="es-ES"/>
        </w:rPr>
      </w:pPr>
    </w:p>
    <w:p w14:paraId="22423488" w14:textId="28A5AA9B" w:rsidR="00D539E4" w:rsidRPr="009D192B" w:rsidRDefault="00D539E4" w:rsidP="009D192B">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En junio 2018 la vicepresidenta de la República anunció que la política pública LGBTIQ+ se aprobaría, pero esto nunca ocurrió</w:t>
      </w:r>
      <w:r w:rsidRPr="00A47AD6">
        <w:rPr>
          <w:rStyle w:val="Refdenotaalpie"/>
          <w:rFonts w:ascii="Times New Roman" w:hAnsi="Times New Roman" w:cs="Times New Roman"/>
          <w:szCs w:val="24"/>
          <w:lang w:val="es-ES"/>
        </w:rPr>
        <w:footnoteReference w:id="10"/>
      </w:r>
      <w:r w:rsidRPr="00A47AD6">
        <w:rPr>
          <w:rFonts w:ascii="Times New Roman" w:hAnsi="Times New Roman" w:cs="Times New Roman"/>
          <w:szCs w:val="24"/>
          <w:lang w:val="es-ES"/>
        </w:rPr>
        <w:t xml:space="preserve">. </w:t>
      </w:r>
      <w:r w:rsidRPr="009D192B">
        <w:rPr>
          <w:rFonts w:ascii="Times New Roman" w:hAnsi="Times New Roman" w:cs="Times New Roman"/>
          <w:lang w:val="es-ES"/>
        </w:rPr>
        <w:t>En junio del 2021 se anunció desde la Secretaría de Derechos Humanos</w:t>
      </w:r>
      <w:r w:rsidR="00D22AA6">
        <w:rPr>
          <w:rStyle w:val="Refdenotaalpie"/>
          <w:rFonts w:ascii="Times New Roman" w:hAnsi="Times New Roman" w:cs="Times New Roman"/>
          <w:szCs w:val="24"/>
          <w:lang w:val="es-ES"/>
        </w:rPr>
        <w:footnoteReference w:id="11"/>
      </w:r>
      <w:r w:rsidRPr="009D192B">
        <w:rPr>
          <w:rFonts w:ascii="Times New Roman" w:hAnsi="Times New Roman" w:cs="Times New Roman"/>
          <w:lang w:val="es-ES"/>
        </w:rPr>
        <w:t xml:space="preserve"> la creación de la Subsecretaría de Diversidades, la que tendría la responsabilidad de ejecutar acciones respecto a los derechos de la población LGBTIQ+.</w:t>
      </w:r>
      <w:r w:rsidRPr="00A47AD6">
        <w:rPr>
          <w:rStyle w:val="Refdenotaalpie"/>
          <w:rFonts w:ascii="Times New Roman" w:hAnsi="Times New Roman" w:cs="Times New Roman"/>
          <w:szCs w:val="24"/>
          <w:lang w:val="es-ES"/>
        </w:rPr>
        <w:footnoteReference w:id="12"/>
      </w:r>
      <w:r w:rsidRPr="009D192B">
        <w:rPr>
          <w:rFonts w:ascii="Times New Roman" w:hAnsi="Times New Roman" w:cs="Times New Roman"/>
          <w:lang w:val="es-ES"/>
        </w:rPr>
        <w:t xml:space="preserve"> Sin embargo, esta dependencia tiene </w:t>
      </w:r>
      <w:r w:rsidR="00D22AA6" w:rsidRPr="009D192B">
        <w:rPr>
          <w:rFonts w:ascii="Times New Roman" w:hAnsi="Times New Roman" w:cs="Times New Roman"/>
          <w:lang w:val="es-ES"/>
        </w:rPr>
        <w:t>competencias ambiguas y muy generales</w:t>
      </w:r>
      <w:r w:rsidRPr="009D192B">
        <w:rPr>
          <w:rFonts w:ascii="Times New Roman" w:hAnsi="Times New Roman" w:cs="Times New Roman"/>
          <w:lang w:val="es-ES"/>
        </w:rPr>
        <w:t>.</w:t>
      </w:r>
      <w:r w:rsidRPr="00A47AD6">
        <w:rPr>
          <w:rStyle w:val="Refdenotaalpie"/>
          <w:rFonts w:ascii="Times New Roman" w:hAnsi="Times New Roman" w:cs="Times New Roman"/>
          <w:szCs w:val="24"/>
          <w:lang w:val="es-ES"/>
        </w:rPr>
        <w:footnoteReference w:id="13"/>
      </w:r>
      <w:r w:rsidRPr="009D192B">
        <w:rPr>
          <w:rFonts w:ascii="Times New Roman" w:hAnsi="Times New Roman" w:cs="Times New Roman"/>
          <w:lang w:val="es-ES"/>
        </w:rPr>
        <w:t xml:space="preserve"> </w:t>
      </w:r>
      <w:r w:rsidR="00D22AA6" w:rsidRPr="009D192B">
        <w:rPr>
          <w:rFonts w:ascii="Times New Roman" w:hAnsi="Times New Roman" w:cs="Times New Roman"/>
          <w:lang w:val="es-ES"/>
        </w:rPr>
        <w:t xml:space="preserve">Además, no existe claridad sobre los presupuestos que tendría esta subsecretaría ni como estos impactaría en la ejecución del Plan de Diversidades en todas las instituciones públicas que deberían aplicarlo. </w:t>
      </w:r>
    </w:p>
    <w:p w14:paraId="60E61727" w14:textId="77777777" w:rsidR="00D539E4" w:rsidRPr="00A47AD6" w:rsidRDefault="00D539E4" w:rsidP="00D539E4">
      <w:pPr>
        <w:ind w:left="-360"/>
        <w:jc w:val="both"/>
        <w:rPr>
          <w:rFonts w:ascii="Times New Roman" w:hAnsi="Times New Roman" w:cs="Times New Roman"/>
          <w:lang w:val="es-ES"/>
        </w:rPr>
      </w:pPr>
    </w:p>
    <w:p w14:paraId="76131386" w14:textId="5F19596B" w:rsidR="00D539E4" w:rsidRPr="00A47AD6" w:rsidRDefault="00D539E4" w:rsidP="00D539E4">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De otro lado, en septiembre del año 2021 desde la Secretaría de Derechos Humanos se anunció el inicio de la implementación de la Política Pública LGBTIQ+</w:t>
      </w:r>
      <w:r w:rsidRPr="00A47AD6">
        <w:rPr>
          <w:rStyle w:val="Refdenotaalpie"/>
          <w:rFonts w:ascii="Times New Roman" w:hAnsi="Times New Roman" w:cs="Times New Roman"/>
          <w:szCs w:val="24"/>
          <w:lang w:val="es-ES"/>
        </w:rPr>
        <w:footnoteReference w:id="14"/>
      </w:r>
      <w:r w:rsidRPr="00A47AD6">
        <w:rPr>
          <w:rFonts w:ascii="Times New Roman" w:hAnsi="Times New Roman" w:cs="Times New Roman"/>
          <w:szCs w:val="24"/>
          <w:lang w:val="es-ES"/>
        </w:rPr>
        <w:t>. La exposición de la propuesta de trabajo redujo la planificación de la Política Pública LGBTIQ+ a los siguientes derechos: Educación, trabajo, salud y acceso a la justicia; lo que implica una reducción del alcance de la propuesta de Política Integral del año 2015, evidenciándose un retroceso.</w:t>
      </w:r>
      <w:r w:rsidRPr="00A47AD6">
        <w:rPr>
          <w:rStyle w:val="Refdenotaalpie"/>
          <w:rFonts w:ascii="Times New Roman" w:hAnsi="Times New Roman" w:cs="Times New Roman"/>
          <w:szCs w:val="24"/>
          <w:lang w:val="es-ES"/>
        </w:rPr>
        <w:footnoteReference w:id="15"/>
      </w:r>
      <w:r w:rsidRPr="00A47AD6">
        <w:rPr>
          <w:rFonts w:ascii="Times New Roman" w:hAnsi="Times New Roman" w:cs="Times New Roman"/>
          <w:szCs w:val="24"/>
          <w:lang w:val="es-ES"/>
        </w:rPr>
        <w:t xml:space="preserve"> </w:t>
      </w:r>
    </w:p>
    <w:p w14:paraId="54E0EC25" w14:textId="77777777" w:rsidR="00D539E4" w:rsidRPr="00A47AD6" w:rsidRDefault="00D539E4" w:rsidP="00D539E4">
      <w:pPr>
        <w:pStyle w:val="Prrafodelista"/>
        <w:spacing w:line="240" w:lineRule="auto"/>
        <w:ind w:left="360"/>
        <w:contextualSpacing/>
        <w:jc w:val="both"/>
        <w:rPr>
          <w:rFonts w:ascii="Times New Roman" w:hAnsi="Times New Roman" w:cs="Times New Roman"/>
          <w:szCs w:val="24"/>
          <w:lang w:val="es-ES" w:eastAsia="en-US"/>
        </w:rPr>
      </w:pPr>
    </w:p>
    <w:p w14:paraId="35C6D161" w14:textId="7883F1E7" w:rsidR="00D539E4" w:rsidRPr="003655DC" w:rsidRDefault="00D539E4" w:rsidP="003655DC">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A través de Resolución Nro. SDH-SDH-2022-0022-R de 27 de julio de 2022, la Subsecretaría de Derechos Humanos</w:t>
      </w:r>
      <w:r w:rsidRPr="00A47AD6">
        <w:rPr>
          <w:rStyle w:val="Refdenotaalpie"/>
          <w:rFonts w:ascii="Times New Roman" w:hAnsi="Times New Roman" w:cs="Times New Roman"/>
          <w:szCs w:val="24"/>
          <w:lang w:val="es-ES"/>
        </w:rPr>
        <w:footnoteReference w:id="16"/>
      </w:r>
      <w:r w:rsidRPr="00A47AD6">
        <w:rPr>
          <w:rFonts w:ascii="Times New Roman" w:hAnsi="Times New Roman" w:cs="Times New Roman"/>
          <w:szCs w:val="24"/>
          <w:lang w:val="es-ES"/>
        </w:rPr>
        <w:t xml:space="preserve"> resolvió aprobar el </w:t>
      </w:r>
      <w:r w:rsidRPr="00A47AD6">
        <w:rPr>
          <w:rFonts w:ascii="Times New Roman" w:hAnsi="Times New Roman" w:cs="Times New Roman"/>
          <w:i/>
          <w:iCs/>
          <w:szCs w:val="24"/>
          <w:lang w:val="es-ES"/>
        </w:rPr>
        <w:t>Plan de Acción de Diversidades LGBTI+ 2022 – 2025</w:t>
      </w:r>
      <w:r w:rsidRPr="00A47AD6">
        <w:rPr>
          <w:rFonts w:ascii="Times New Roman" w:hAnsi="Times New Roman" w:cs="Times New Roman"/>
          <w:szCs w:val="24"/>
          <w:lang w:val="es-ES"/>
        </w:rPr>
        <w:t>,</w:t>
      </w:r>
      <w:r w:rsidRPr="00A47AD6">
        <w:rPr>
          <w:rStyle w:val="Refdenotaalpie"/>
          <w:rFonts w:ascii="Times New Roman" w:hAnsi="Times New Roman" w:cs="Times New Roman"/>
          <w:szCs w:val="24"/>
          <w:lang w:val="es-ES"/>
        </w:rPr>
        <w:footnoteReference w:id="17"/>
      </w:r>
      <w:r w:rsidRPr="00A47AD6">
        <w:rPr>
          <w:rFonts w:ascii="Times New Roman" w:hAnsi="Times New Roman" w:cs="Times New Roman"/>
          <w:szCs w:val="24"/>
          <w:lang w:val="es-ES"/>
        </w:rPr>
        <w:t xml:space="preserve">. </w:t>
      </w:r>
      <w:r w:rsidR="003655DC">
        <w:rPr>
          <w:rFonts w:ascii="Times New Roman" w:hAnsi="Times New Roman" w:cs="Times New Roman"/>
          <w:szCs w:val="24"/>
          <w:lang w:val="es-ES"/>
        </w:rPr>
        <w:t xml:space="preserve">Sin embargo, </w:t>
      </w:r>
      <w:r w:rsidR="009D192B">
        <w:rPr>
          <w:rFonts w:ascii="Times New Roman" w:hAnsi="Times New Roman" w:cs="Times New Roman"/>
          <w:lang w:val="es-ES"/>
        </w:rPr>
        <w:t>es</w:t>
      </w:r>
      <w:r w:rsidRPr="003655DC">
        <w:rPr>
          <w:rFonts w:ascii="Times New Roman" w:hAnsi="Times New Roman" w:cs="Times New Roman"/>
          <w:lang w:val="es-ES"/>
        </w:rPr>
        <w:t xml:space="preserve">ta política pública ignora e invisibiliza en gran medida los derechos de la niñez LGBTIQ+ y de los hijos e hijas de las parejas del mismo sexo y sobre todo deja de lado a la incorporación del Registro Civil, Ministerio de Educación y Ministerio de Salud; </w:t>
      </w:r>
      <w:r w:rsidR="009D192B">
        <w:rPr>
          <w:rFonts w:ascii="Times New Roman" w:hAnsi="Times New Roman" w:cs="Times New Roman"/>
          <w:lang w:val="es-ES"/>
        </w:rPr>
        <w:t>pese a ser</w:t>
      </w:r>
      <w:r w:rsidRPr="003655DC">
        <w:rPr>
          <w:rFonts w:ascii="Times New Roman" w:hAnsi="Times New Roman" w:cs="Times New Roman"/>
          <w:lang w:val="es-ES"/>
        </w:rPr>
        <w:t xml:space="preserve"> instancias determinantes para el desarrollo de la calidad de vida de la niñez. </w:t>
      </w:r>
      <w:r w:rsidR="003655DC">
        <w:rPr>
          <w:rFonts w:ascii="Times New Roman" w:hAnsi="Times New Roman" w:cs="Times New Roman"/>
          <w:lang w:val="es-ES"/>
        </w:rPr>
        <w:t xml:space="preserve">La </w:t>
      </w:r>
      <w:r w:rsidRPr="003655DC">
        <w:rPr>
          <w:rFonts w:ascii="Times New Roman" w:hAnsi="Times New Roman" w:cs="Times New Roman"/>
          <w:lang w:val="es-ES"/>
        </w:rPr>
        <w:t>Política se enfoca solo en socialización y asesoría</w:t>
      </w:r>
      <w:r w:rsidR="003655DC">
        <w:rPr>
          <w:rFonts w:ascii="Times New Roman" w:hAnsi="Times New Roman" w:cs="Times New Roman"/>
          <w:lang w:val="es-ES"/>
        </w:rPr>
        <w:t xml:space="preserve"> en casos de familia y niñez</w:t>
      </w:r>
      <w:r w:rsidRPr="003655DC">
        <w:rPr>
          <w:rFonts w:ascii="Times New Roman" w:hAnsi="Times New Roman" w:cs="Times New Roman"/>
          <w:lang w:val="es-ES"/>
        </w:rPr>
        <w:t>, sin obligar a las instancias estatales a</w:t>
      </w:r>
      <w:r w:rsidR="009D192B">
        <w:rPr>
          <w:rFonts w:ascii="Times New Roman" w:hAnsi="Times New Roman" w:cs="Times New Roman"/>
          <w:lang w:val="es-ES"/>
        </w:rPr>
        <w:t xml:space="preserve">l </w:t>
      </w:r>
      <w:r w:rsidRPr="003655DC">
        <w:rPr>
          <w:rFonts w:ascii="Times New Roman" w:hAnsi="Times New Roman" w:cs="Times New Roman"/>
          <w:lang w:val="es-ES"/>
        </w:rPr>
        <w:t xml:space="preserve">diseño de normativa que en efecto permita superar los obstáculos en el </w:t>
      </w:r>
      <w:r w:rsidRPr="003655DC">
        <w:rPr>
          <w:rFonts w:ascii="Times New Roman" w:hAnsi="Times New Roman" w:cs="Times New Roman"/>
          <w:lang w:val="es-ES"/>
        </w:rPr>
        <w:lastRenderedPageBreak/>
        <w:t xml:space="preserve">ejercicio de derechos </w:t>
      </w:r>
      <w:r w:rsidR="001C73A6" w:rsidRPr="003655DC">
        <w:rPr>
          <w:rFonts w:ascii="Times New Roman" w:hAnsi="Times New Roman" w:cs="Times New Roman"/>
          <w:lang w:val="es-ES"/>
        </w:rPr>
        <w:t>de la población</w:t>
      </w:r>
      <w:r w:rsidRPr="003655DC">
        <w:rPr>
          <w:rFonts w:ascii="Times New Roman" w:hAnsi="Times New Roman" w:cs="Times New Roman"/>
          <w:lang w:val="es-ES"/>
        </w:rPr>
        <w:t xml:space="preserve"> LGBTIQ+. Es más, casi ninguna de las actividades que describe este Plan permite el desarrollo de los estándares internacionales de DDHH y mucho menos la ejecución de las recomendaciones realizadas al Ecuador por parte de los Comités de Tratado de Naciones Unidas.</w:t>
      </w:r>
    </w:p>
    <w:p w14:paraId="0E342370" w14:textId="77777777" w:rsidR="00D539E4" w:rsidRPr="001C73A6" w:rsidRDefault="00D539E4" w:rsidP="001C73A6">
      <w:pPr>
        <w:contextualSpacing/>
        <w:jc w:val="both"/>
        <w:rPr>
          <w:rFonts w:ascii="Times New Roman" w:hAnsi="Times New Roman" w:cs="Times New Roman"/>
          <w:lang w:val="es-ES" w:eastAsia="en-US"/>
        </w:rPr>
      </w:pPr>
    </w:p>
    <w:p w14:paraId="52E4C7A2" w14:textId="2F0E8CB8" w:rsidR="00D539E4" w:rsidRPr="001C73A6" w:rsidRDefault="001C73A6" w:rsidP="00D539E4">
      <w:pPr>
        <w:pStyle w:val="Prrafodelista"/>
        <w:numPr>
          <w:ilvl w:val="0"/>
          <w:numId w:val="1"/>
        </w:numPr>
        <w:spacing w:line="259" w:lineRule="auto"/>
        <w:contextualSpacing/>
        <w:jc w:val="both"/>
        <w:rPr>
          <w:rFonts w:ascii="Times New Roman" w:eastAsia="Calibri" w:hAnsi="Times New Roman" w:cs="Times New Roman"/>
          <w:bCs/>
        </w:rPr>
      </w:pPr>
      <w:r>
        <w:rPr>
          <w:rFonts w:ascii="Times New Roman" w:hAnsi="Times New Roman" w:cs="Times New Roman"/>
          <w:szCs w:val="24"/>
          <w:lang w:val="es-ES"/>
        </w:rPr>
        <w:t xml:space="preserve">En lo referente a datos estadísticos sobre temas de derechos de la población LGBTIQ+, </w:t>
      </w:r>
      <w:r w:rsidR="003655DC">
        <w:rPr>
          <w:rFonts w:ascii="Times New Roman" w:hAnsi="Times New Roman" w:cs="Times New Roman"/>
          <w:szCs w:val="24"/>
          <w:lang w:val="es-ES"/>
        </w:rPr>
        <w:t xml:space="preserve">desde </w:t>
      </w:r>
      <w:r w:rsidR="003655DC" w:rsidRPr="001C73A6">
        <w:rPr>
          <w:rFonts w:ascii="Times New Roman" w:hAnsi="Times New Roman" w:cs="Times New Roman"/>
          <w:szCs w:val="24"/>
          <w:lang w:val="es-ES"/>
        </w:rPr>
        <w:t>2013</w:t>
      </w:r>
      <w:r w:rsidR="00D539E4" w:rsidRPr="001C73A6">
        <w:rPr>
          <w:rFonts w:ascii="Times New Roman" w:hAnsi="Times New Roman" w:cs="Times New Roman"/>
          <w:szCs w:val="24"/>
          <w:lang w:val="es-ES"/>
        </w:rPr>
        <w:t xml:space="preserve"> el Ecuador no ha actualizado sus estudios y estadísticas sobre discriminación a la población LGBTIQ+, motivo por el cual no se tienen datos oficiales para la construcción de políticas públicas. Sin embargo, desde el año 2022 se comenzaron a realizar acciones desde el I</w:t>
      </w:r>
      <w:r w:rsidR="009D192B">
        <w:rPr>
          <w:rFonts w:ascii="Times New Roman" w:hAnsi="Times New Roman" w:cs="Times New Roman"/>
          <w:szCs w:val="24"/>
          <w:lang w:val="es-ES"/>
        </w:rPr>
        <w:t xml:space="preserve">nstituto </w:t>
      </w:r>
      <w:r w:rsidR="00D539E4" w:rsidRPr="001C73A6">
        <w:rPr>
          <w:rFonts w:ascii="Times New Roman" w:hAnsi="Times New Roman" w:cs="Times New Roman"/>
          <w:szCs w:val="24"/>
          <w:lang w:val="es-ES"/>
        </w:rPr>
        <w:t>N</w:t>
      </w:r>
      <w:r w:rsidR="009D192B">
        <w:rPr>
          <w:rFonts w:ascii="Times New Roman" w:hAnsi="Times New Roman" w:cs="Times New Roman"/>
          <w:szCs w:val="24"/>
          <w:lang w:val="es-ES"/>
        </w:rPr>
        <w:t xml:space="preserve">acional de </w:t>
      </w:r>
      <w:r w:rsidR="00D539E4" w:rsidRPr="001C73A6">
        <w:rPr>
          <w:rFonts w:ascii="Times New Roman" w:hAnsi="Times New Roman" w:cs="Times New Roman"/>
          <w:szCs w:val="24"/>
          <w:lang w:val="es-ES"/>
        </w:rPr>
        <w:t>E</w:t>
      </w:r>
      <w:r w:rsidR="009D192B">
        <w:rPr>
          <w:rFonts w:ascii="Times New Roman" w:hAnsi="Times New Roman" w:cs="Times New Roman"/>
          <w:szCs w:val="24"/>
          <w:lang w:val="es-ES"/>
        </w:rPr>
        <w:t xml:space="preserve">stadística y </w:t>
      </w:r>
      <w:r w:rsidR="00D539E4" w:rsidRPr="001C73A6">
        <w:rPr>
          <w:rFonts w:ascii="Times New Roman" w:hAnsi="Times New Roman" w:cs="Times New Roman"/>
          <w:szCs w:val="24"/>
          <w:lang w:val="es-ES"/>
        </w:rPr>
        <w:t>C</w:t>
      </w:r>
      <w:r w:rsidR="009D192B">
        <w:rPr>
          <w:rFonts w:ascii="Times New Roman" w:hAnsi="Times New Roman" w:cs="Times New Roman"/>
          <w:szCs w:val="24"/>
          <w:lang w:val="es-ES"/>
        </w:rPr>
        <w:t>ensos</w:t>
      </w:r>
      <w:r w:rsidR="00D539E4" w:rsidRPr="001C73A6">
        <w:rPr>
          <w:rFonts w:ascii="Times New Roman" w:hAnsi="Times New Roman" w:cs="Times New Roman"/>
          <w:szCs w:val="24"/>
          <w:lang w:val="es-ES"/>
        </w:rPr>
        <w:t xml:space="preserve"> </w:t>
      </w:r>
      <w:r w:rsidR="009D192B">
        <w:rPr>
          <w:rFonts w:ascii="Times New Roman" w:hAnsi="Times New Roman" w:cs="Times New Roman"/>
          <w:szCs w:val="24"/>
          <w:lang w:val="es-ES"/>
        </w:rPr>
        <w:t xml:space="preserve">(INEC) </w:t>
      </w:r>
      <w:r w:rsidR="00D539E4" w:rsidRPr="001C73A6">
        <w:rPr>
          <w:rFonts w:ascii="Times New Roman" w:hAnsi="Times New Roman" w:cs="Times New Roman"/>
          <w:szCs w:val="24"/>
          <w:lang w:val="es-ES"/>
        </w:rPr>
        <w:t>para actualizar el censo poblacional del año 2010. En esta actividad se incluyeron preguntas sobre la orientación sexual e identidad de género solo direccionadas para personas mayores de edad, invisibilizando a la niñez y adolescencia LGBTIQ+.</w:t>
      </w:r>
      <w:r w:rsidR="00D539E4" w:rsidRPr="00A47AD6">
        <w:rPr>
          <w:rStyle w:val="Refdenotaalpie"/>
          <w:rFonts w:ascii="Times New Roman" w:hAnsi="Times New Roman" w:cs="Times New Roman"/>
          <w:szCs w:val="24"/>
          <w:lang w:val="es-ES"/>
        </w:rPr>
        <w:footnoteReference w:id="18"/>
      </w:r>
      <w:r w:rsidR="00D539E4" w:rsidRPr="001C73A6">
        <w:rPr>
          <w:rFonts w:ascii="Times New Roman" w:hAnsi="Times New Roman" w:cs="Times New Roman"/>
          <w:szCs w:val="24"/>
          <w:lang w:val="es-ES"/>
        </w:rPr>
        <w:t xml:space="preserve"> Adicionalmente, en las preguntas sobre composición de familia, no </w:t>
      </w:r>
      <w:r w:rsidR="009D192B">
        <w:rPr>
          <w:rFonts w:ascii="Times New Roman" w:hAnsi="Times New Roman" w:cs="Times New Roman"/>
          <w:szCs w:val="24"/>
          <w:lang w:val="es-ES"/>
        </w:rPr>
        <w:t>se recogieron</w:t>
      </w:r>
      <w:r w:rsidR="00D539E4" w:rsidRPr="001C73A6">
        <w:rPr>
          <w:rFonts w:ascii="Times New Roman" w:hAnsi="Times New Roman" w:cs="Times New Roman"/>
          <w:szCs w:val="24"/>
          <w:lang w:val="es-ES"/>
        </w:rPr>
        <w:t xml:space="preserve"> datos sobre las familias </w:t>
      </w:r>
      <w:r w:rsidR="009D192B">
        <w:rPr>
          <w:rFonts w:ascii="Times New Roman" w:hAnsi="Times New Roman" w:cs="Times New Roman"/>
          <w:szCs w:val="24"/>
          <w:lang w:val="es-ES"/>
        </w:rPr>
        <w:t>compuestas por parejas del mismo sexo</w:t>
      </w:r>
      <w:r w:rsidR="00D539E4" w:rsidRPr="001C73A6">
        <w:rPr>
          <w:rFonts w:ascii="Times New Roman" w:hAnsi="Times New Roman" w:cs="Times New Roman"/>
          <w:szCs w:val="24"/>
          <w:lang w:val="es-ES"/>
        </w:rPr>
        <w:t>.</w:t>
      </w:r>
      <w:r w:rsidR="00D539E4" w:rsidRPr="00A47AD6">
        <w:rPr>
          <w:rStyle w:val="Refdenotaalpie"/>
          <w:rFonts w:ascii="Times New Roman" w:hAnsi="Times New Roman" w:cs="Times New Roman"/>
          <w:szCs w:val="24"/>
          <w:lang w:val="es-ES"/>
        </w:rPr>
        <w:footnoteReference w:id="19"/>
      </w:r>
      <w:r w:rsidR="00D539E4" w:rsidRPr="001C73A6">
        <w:rPr>
          <w:rFonts w:ascii="Times New Roman" w:hAnsi="Times New Roman" w:cs="Times New Roman"/>
          <w:szCs w:val="24"/>
          <w:lang w:val="es-ES"/>
        </w:rPr>
        <w:t xml:space="preserve"> Lamentablemente, las cifras publicadas por el INEC</w:t>
      </w:r>
      <w:r>
        <w:rPr>
          <w:rFonts w:ascii="Times New Roman" w:hAnsi="Times New Roman" w:cs="Times New Roman"/>
          <w:szCs w:val="24"/>
          <w:lang w:val="es-ES"/>
        </w:rPr>
        <w:t xml:space="preserve"> en 2024</w:t>
      </w:r>
      <w:r w:rsidR="00D539E4" w:rsidRPr="001C73A6">
        <w:rPr>
          <w:rFonts w:ascii="Times New Roman" w:hAnsi="Times New Roman" w:cs="Times New Roman"/>
          <w:szCs w:val="24"/>
          <w:lang w:val="es-ES"/>
        </w:rPr>
        <w:t xml:space="preserve"> sobre población LGBTIQ+</w:t>
      </w:r>
      <w:r>
        <w:rPr>
          <w:rFonts w:ascii="Times New Roman" w:hAnsi="Times New Roman" w:cs="Times New Roman"/>
          <w:szCs w:val="24"/>
          <w:lang w:val="es-ES"/>
        </w:rPr>
        <w:t>,</w:t>
      </w:r>
      <w:r>
        <w:rPr>
          <w:rStyle w:val="Refdenotaalpie"/>
          <w:rFonts w:ascii="Times New Roman" w:hAnsi="Times New Roman" w:cs="Times New Roman"/>
          <w:szCs w:val="24"/>
          <w:lang w:val="es-ES"/>
        </w:rPr>
        <w:footnoteReference w:id="20"/>
      </w:r>
      <w:r w:rsidR="00D539E4" w:rsidRPr="001C73A6">
        <w:rPr>
          <w:rFonts w:ascii="Times New Roman" w:hAnsi="Times New Roman" w:cs="Times New Roman"/>
          <w:szCs w:val="24"/>
          <w:lang w:val="es-ES"/>
        </w:rPr>
        <w:t xml:space="preserve"> tienen un sesgo de subregistro</w:t>
      </w:r>
      <w:r w:rsidRPr="001C73A6">
        <w:rPr>
          <w:rFonts w:ascii="Times New Roman" w:hAnsi="Times New Roman" w:cs="Times New Roman"/>
          <w:szCs w:val="24"/>
          <w:lang w:val="es-ES"/>
        </w:rPr>
        <w:t xml:space="preserve">, ya que por la metodología utilizada muchas personas LGBTIQ+ no las contestaron por miedo </w:t>
      </w:r>
      <w:r w:rsidR="009D192B">
        <w:rPr>
          <w:rFonts w:ascii="Times New Roman" w:hAnsi="Times New Roman" w:cs="Times New Roman"/>
          <w:szCs w:val="24"/>
          <w:lang w:val="es-ES"/>
        </w:rPr>
        <w:t>al estigma o represalias en</w:t>
      </w:r>
      <w:r w:rsidRPr="001C73A6">
        <w:rPr>
          <w:rFonts w:ascii="Times New Roman" w:hAnsi="Times New Roman" w:cs="Times New Roman"/>
          <w:szCs w:val="24"/>
          <w:lang w:val="es-ES"/>
        </w:rPr>
        <w:t xml:space="preserve"> su entorno familiar</w:t>
      </w:r>
      <w:r>
        <w:rPr>
          <w:rFonts w:ascii="Times New Roman" w:hAnsi="Times New Roman" w:cs="Times New Roman"/>
          <w:szCs w:val="24"/>
          <w:lang w:val="es-ES"/>
        </w:rPr>
        <w:t>.</w:t>
      </w:r>
      <w:r w:rsidRPr="001C73A6">
        <w:rPr>
          <w:rStyle w:val="Refdenotaalpie"/>
          <w:rFonts w:ascii="Times New Roman" w:hAnsi="Times New Roman" w:cs="Times New Roman"/>
          <w:szCs w:val="24"/>
          <w:lang w:val="es-ES"/>
        </w:rPr>
        <w:t xml:space="preserve"> </w:t>
      </w:r>
      <w:r>
        <w:rPr>
          <w:rStyle w:val="Refdenotaalpie"/>
          <w:rFonts w:ascii="Times New Roman" w:hAnsi="Times New Roman" w:cs="Times New Roman"/>
          <w:szCs w:val="24"/>
          <w:lang w:val="es-ES"/>
        </w:rPr>
        <w:footnoteReference w:id="21"/>
      </w:r>
    </w:p>
    <w:p w14:paraId="6C7CC99D" w14:textId="77777777" w:rsidR="001C73A6" w:rsidRDefault="001C73A6" w:rsidP="001C73A6">
      <w:pPr>
        <w:pStyle w:val="Prrafodelista"/>
        <w:spacing w:line="259" w:lineRule="auto"/>
        <w:ind w:left="360"/>
        <w:contextualSpacing/>
        <w:jc w:val="both"/>
        <w:rPr>
          <w:rFonts w:ascii="Times New Roman" w:eastAsia="Calibri" w:hAnsi="Times New Roman" w:cs="Times New Roman"/>
          <w:bCs/>
        </w:rPr>
      </w:pPr>
    </w:p>
    <w:p w14:paraId="00127BF6" w14:textId="2710A634" w:rsidR="001C73A6" w:rsidRPr="00D539E4" w:rsidRDefault="009D192B" w:rsidP="001C73A6">
      <w:pPr>
        <w:contextualSpacing/>
        <w:jc w:val="both"/>
        <w:rPr>
          <w:rFonts w:ascii="Times New Roman" w:eastAsia="Calibri" w:hAnsi="Times New Roman" w:cs="Times New Roman"/>
          <w:b/>
          <w:bCs/>
          <w:u w:val="single"/>
          <w:lang w:val="es-ES"/>
        </w:rPr>
      </w:pPr>
      <w:r>
        <w:rPr>
          <w:rFonts w:ascii="Times New Roman" w:eastAsia="Calibri" w:hAnsi="Times New Roman" w:cs="Times New Roman"/>
          <w:b/>
          <w:bCs/>
          <w:u w:val="single"/>
          <w:lang w:val="es-ES"/>
        </w:rPr>
        <w:t>L</w:t>
      </w:r>
      <w:r w:rsidR="001C73A6">
        <w:rPr>
          <w:rFonts w:ascii="Times New Roman" w:eastAsia="Calibri" w:hAnsi="Times New Roman" w:cs="Times New Roman"/>
          <w:b/>
          <w:bCs/>
          <w:u w:val="single"/>
          <w:lang w:val="es-ES"/>
        </w:rPr>
        <w:t xml:space="preserve">egislación </w:t>
      </w:r>
      <w:r>
        <w:rPr>
          <w:rFonts w:ascii="Times New Roman" w:eastAsia="Calibri" w:hAnsi="Times New Roman" w:cs="Times New Roman"/>
          <w:b/>
          <w:bCs/>
          <w:u w:val="single"/>
          <w:lang w:val="es-ES"/>
        </w:rPr>
        <w:t xml:space="preserve">sobre </w:t>
      </w:r>
      <w:r w:rsidR="001C73A6">
        <w:rPr>
          <w:rFonts w:ascii="Times New Roman" w:eastAsia="Calibri" w:hAnsi="Times New Roman" w:cs="Times New Roman"/>
          <w:b/>
          <w:bCs/>
          <w:u w:val="single"/>
          <w:lang w:val="es-ES"/>
        </w:rPr>
        <w:t xml:space="preserve">derechos </w:t>
      </w:r>
      <w:r w:rsidR="00691B8B">
        <w:rPr>
          <w:rFonts w:ascii="Times New Roman" w:eastAsia="Calibri" w:hAnsi="Times New Roman" w:cs="Times New Roman"/>
          <w:b/>
          <w:bCs/>
          <w:u w:val="single"/>
          <w:lang w:val="es-ES"/>
        </w:rPr>
        <w:t>de personas</w:t>
      </w:r>
      <w:r w:rsidR="001C73A6">
        <w:rPr>
          <w:rFonts w:ascii="Times New Roman" w:eastAsia="Calibri" w:hAnsi="Times New Roman" w:cs="Times New Roman"/>
          <w:b/>
          <w:bCs/>
          <w:u w:val="single"/>
          <w:lang w:val="es-ES"/>
        </w:rPr>
        <w:t xml:space="preserve"> LGBTIQ+</w:t>
      </w:r>
    </w:p>
    <w:p w14:paraId="584F94F6" w14:textId="77777777" w:rsidR="001C73A6" w:rsidRPr="001C73A6" w:rsidRDefault="001C73A6" w:rsidP="001C73A6">
      <w:pPr>
        <w:pStyle w:val="Prrafodelista"/>
        <w:spacing w:line="259" w:lineRule="auto"/>
        <w:ind w:left="360"/>
        <w:contextualSpacing/>
        <w:jc w:val="both"/>
        <w:rPr>
          <w:rFonts w:ascii="Times New Roman" w:eastAsia="Calibri" w:hAnsi="Times New Roman" w:cs="Times New Roman"/>
          <w:bCs/>
          <w:lang w:val="es-ES"/>
        </w:rPr>
      </w:pPr>
    </w:p>
    <w:p w14:paraId="2DCB798E" w14:textId="59F9D2E1" w:rsidR="00D539E4" w:rsidRDefault="00973987" w:rsidP="00D539E4">
      <w:pPr>
        <w:pStyle w:val="Prrafodelista"/>
        <w:numPr>
          <w:ilvl w:val="0"/>
          <w:numId w:val="1"/>
        </w:numPr>
        <w:spacing w:line="259" w:lineRule="auto"/>
        <w:jc w:val="both"/>
        <w:rPr>
          <w:rFonts w:ascii="Times New Roman" w:eastAsia="Calibri" w:hAnsi="Times New Roman" w:cs="Times New Roman"/>
          <w:bCs/>
        </w:rPr>
      </w:pPr>
      <w:r>
        <w:rPr>
          <w:rFonts w:ascii="Times New Roman" w:eastAsia="Calibri" w:hAnsi="Times New Roman" w:cs="Times New Roman"/>
          <w:bCs/>
          <w:lang w:val="es-ES"/>
        </w:rPr>
        <w:t>E</w:t>
      </w:r>
      <w:r w:rsidR="00D539E4" w:rsidRPr="001F41EE">
        <w:rPr>
          <w:rFonts w:ascii="Times New Roman" w:eastAsia="Calibri" w:hAnsi="Times New Roman" w:cs="Times New Roman"/>
          <w:bCs/>
        </w:rPr>
        <w:t xml:space="preserve">l marco normativo sobre los derechos de las personas LGBTIQ+ en Ecuador </w:t>
      </w:r>
      <w:r w:rsidR="00187BB2">
        <w:rPr>
          <w:rFonts w:ascii="Times New Roman" w:eastAsia="Calibri" w:hAnsi="Times New Roman" w:cs="Times New Roman"/>
          <w:bCs/>
        </w:rPr>
        <w:t xml:space="preserve">es </w:t>
      </w:r>
      <w:r>
        <w:rPr>
          <w:rFonts w:ascii="Times New Roman" w:eastAsia="Calibri" w:hAnsi="Times New Roman" w:cs="Times New Roman"/>
          <w:bCs/>
        </w:rPr>
        <w:t xml:space="preserve">muy básico desde ciertas menciones </w:t>
      </w:r>
      <w:r w:rsidR="009D192B">
        <w:rPr>
          <w:rFonts w:ascii="Times New Roman" w:eastAsia="Calibri" w:hAnsi="Times New Roman" w:cs="Times New Roman"/>
          <w:bCs/>
        </w:rPr>
        <w:t xml:space="preserve">al principio </w:t>
      </w:r>
      <w:r>
        <w:rPr>
          <w:rFonts w:ascii="Times New Roman" w:eastAsia="Calibri" w:hAnsi="Times New Roman" w:cs="Times New Roman"/>
          <w:bCs/>
        </w:rPr>
        <w:t>de no discriminación</w:t>
      </w:r>
      <w:r w:rsidR="00D539E4" w:rsidRPr="001F41EE">
        <w:rPr>
          <w:rFonts w:ascii="Times New Roman" w:eastAsia="Calibri" w:hAnsi="Times New Roman" w:cs="Times New Roman"/>
          <w:bCs/>
        </w:rPr>
        <w:t xml:space="preserve">. Sin embargo, </w:t>
      </w:r>
      <w:r w:rsidR="009D192B">
        <w:rPr>
          <w:rFonts w:ascii="Times New Roman" w:eastAsia="Calibri" w:hAnsi="Times New Roman" w:cs="Times New Roman"/>
          <w:bCs/>
        </w:rPr>
        <w:t xml:space="preserve">no </w:t>
      </w:r>
      <w:r w:rsidR="00D539E4" w:rsidRPr="001F41EE">
        <w:rPr>
          <w:rFonts w:ascii="Times New Roman" w:eastAsia="Calibri" w:hAnsi="Times New Roman" w:cs="Times New Roman"/>
          <w:bCs/>
        </w:rPr>
        <w:t xml:space="preserve">existe </w:t>
      </w:r>
      <w:r>
        <w:rPr>
          <w:rFonts w:ascii="Times New Roman" w:eastAsia="Calibri" w:hAnsi="Times New Roman" w:cs="Times New Roman"/>
          <w:bCs/>
        </w:rPr>
        <w:t>un</w:t>
      </w:r>
      <w:r w:rsidR="00D539E4" w:rsidRPr="001F41EE">
        <w:rPr>
          <w:rFonts w:ascii="Times New Roman" w:eastAsia="Calibri" w:hAnsi="Times New Roman" w:cs="Times New Roman"/>
          <w:bCs/>
        </w:rPr>
        <w:t xml:space="preserve"> marco normativo</w:t>
      </w:r>
      <w:r>
        <w:rPr>
          <w:rFonts w:ascii="Times New Roman" w:eastAsia="Calibri" w:hAnsi="Times New Roman" w:cs="Times New Roman"/>
          <w:bCs/>
        </w:rPr>
        <w:t xml:space="preserve"> especializado,</w:t>
      </w:r>
      <w:r w:rsidR="009D192B">
        <w:rPr>
          <w:rFonts w:ascii="Times New Roman" w:eastAsia="Calibri" w:hAnsi="Times New Roman" w:cs="Times New Roman"/>
          <w:bCs/>
        </w:rPr>
        <w:t xml:space="preserve"> </w:t>
      </w:r>
      <w:r>
        <w:rPr>
          <w:rFonts w:ascii="Times New Roman" w:eastAsia="Calibri" w:hAnsi="Times New Roman" w:cs="Times New Roman"/>
          <w:bCs/>
        </w:rPr>
        <w:t xml:space="preserve">que </w:t>
      </w:r>
      <w:r w:rsidRPr="001F41EE">
        <w:rPr>
          <w:rFonts w:ascii="Times New Roman" w:eastAsia="Calibri" w:hAnsi="Times New Roman" w:cs="Times New Roman"/>
          <w:bCs/>
        </w:rPr>
        <w:t>aterrice</w:t>
      </w:r>
      <w:r w:rsidR="00D539E4" w:rsidRPr="001F41EE">
        <w:rPr>
          <w:rFonts w:ascii="Times New Roman" w:eastAsia="Calibri" w:hAnsi="Times New Roman" w:cs="Times New Roman"/>
          <w:bCs/>
        </w:rPr>
        <w:t xml:space="preserve"> en la realidad de la vida de las personas de la diversidad sexual y de género. </w:t>
      </w:r>
    </w:p>
    <w:p w14:paraId="7202FF0B" w14:textId="77777777" w:rsidR="00D539E4" w:rsidRDefault="00D539E4" w:rsidP="00D539E4">
      <w:pPr>
        <w:pStyle w:val="Prrafodelista"/>
        <w:spacing w:line="259" w:lineRule="auto"/>
        <w:ind w:left="360"/>
        <w:jc w:val="both"/>
        <w:rPr>
          <w:rFonts w:ascii="Times New Roman" w:eastAsia="Calibri" w:hAnsi="Times New Roman" w:cs="Times New Roman"/>
          <w:bCs/>
        </w:rPr>
      </w:pPr>
    </w:p>
    <w:p w14:paraId="77FF4D9E" w14:textId="038B1D54" w:rsidR="00D539E4" w:rsidRDefault="00D539E4"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t xml:space="preserve">El principal avance con respecto a los derechos de </w:t>
      </w:r>
      <w:r w:rsidRPr="009D192B">
        <w:rPr>
          <w:rFonts w:ascii="Times New Roman" w:eastAsia="Calibri" w:hAnsi="Times New Roman" w:cs="Times New Roman"/>
          <w:b/>
        </w:rPr>
        <w:t xml:space="preserve">identidad </w:t>
      </w:r>
      <w:r w:rsidR="009D192B" w:rsidRPr="009D192B">
        <w:rPr>
          <w:rFonts w:ascii="Times New Roman" w:eastAsia="Calibri" w:hAnsi="Times New Roman" w:cs="Times New Roman"/>
          <w:b/>
        </w:rPr>
        <w:t>de género</w:t>
      </w:r>
      <w:r w:rsidR="009D192B">
        <w:rPr>
          <w:rFonts w:ascii="Times New Roman" w:eastAsia="Calibri" w:hAnsi="Times New Roman" w:cs="Times New Roman"/>
          <w:bCs/>
        </w:rPr>
        <w:t xml:space="preserve"> </w:t>
      </w:r>
      <w:r w:rsidRPr="001F41EE">
        <w:rPr>
          <w:rFonts w:ascii="Times New Roman" w:eastAsia="Calibri" w:hAnsi="Times New Roman" w:cs="Times New Roman"/>
          <w:bCs/>
        </w:rPr>
        <w:t xml:space="preserve">de las personas trans en el Ecuador </w:t>
      </w:r>
      <w:r w:rsidR="009D192B">
        <w:rPr>
          <w:rFonts w:ascii="Times New Roman" w:eastAsia="Calibri" w:hAnsi="Times New Roman" w:cs="Times New Roman"/>
          <w:bCs/>
        </w:rPr>
        <w:t xml:space="preserve">fue, </w:t>
      </w:r>
      <w:r w:rsidRPr="001F41EE">
        <w:rPr>
          <w:rFonts w:ascii="Times New Roman" w:eastAsia="Calibri" w:hAnsi="Times New Roman" w:cs="Times New Roman"/>
          <w:bCs/>
        </w:rPr>
        <w:t>en marzo de 2024</w:t>
      </w:r>
      <w:r w:rsidR="009D192B">
        <w:rPr>
          <w:rFonts w:ascii="Times New Roman" w:eastAsia="Calibri" w:hAnsi="Times New Roman" w:cs="Times New Roman"/>
          <w:bCs/>
        </w:rPr>
        <w:t>,</w:t>
      </w:r>
      <w:r w:rsidRPr="001F41EE">
        <w:rPr>
          <w:rFonts w:ascii="Times New Roman" w:eastAsia="Calibri" w:hAnsi="Times New Roman" w:cs="Times New Roman"/>
          <w:bCs/>
        </w:rPr>
        <w:t xml:space="preserve"> </w:t>
      </w:r>
      <w:r w:rsidR="009D192B">
        <w:rPr>
          <w:rFonts w:ascii="Times New Roman" w:eastAsia="Calibri" w:hAnsi="Times New Roman" w:cs="Times New Roman"/>
          <w:bCs/>
        </w:rPr>
        <w:t>cuando se aprobó</w:t>
      </w:r>
      <w:r w:rsidRPr="001F41EE">
        <w:rPr>
          <w:rFonts w:ascii="Times New Roman" w:eastAsia="Calibri" w:hAnsi="Times New Roman" w:cs="Times New Roman"/>
          <w:bCs/>
        </w:rPr>
        <w:t xml:space="preserve"> la reforma</w:t>
      </w:r>
      <w:r w:rsidR="009D192B">
        <w:rPr>
          <w:rFonts w:ascii="Times New Roman" w:eastAsia="Calibri" w:hAnsi="Times New Roman" w:cs="Times New Roman"/>
          <w:bCs/>
        </w:rPr>
        <w:t xml:space="preserve"> </w:t>
      </w:r>
      <w:r w:rsidRPr="001F41EE">
        <w:rPr>
          <w:rFonts w:ascii="Times New Roman" w:eastAsia="Calibri" w:hAnsi="Times New Roman" w:cs="Times New Roman"/>
          <w:bCs/>
        </w:rPr>
        <w:t xml:space="preserve">a la Ley de Gestión de la Identidad y Datos Civiles, </w:t>
      </w:r>
      <w:r w:rsidR="009D192B">
        <w:rPr>
          <w:rFonts w:ascii="Times New Roman" w:eastAsia="Calibri" w:hAnsi="Times New Roman" w:cs="Times New Roman"/>
          <w:bCs/>
        </w:rPr>
        <w:t>para garantizar que</w:t>
      </w:r>
      <w:r w:rsidRPr="001F41EE">
        <w:rPr>
          <w:rFonts w:ascii="Times New Roman" w:eastAsia="Calibri" w:hAnsi="Times New Roman" w:cs="Times New Roman"/>
          <w:bCs/>
        </w:rPr>
        <w:t xml:space="preserve"> las personas trans puedan cambiar el dato de nombre y sexo en su documento de identidad</w:t>
      </w:r>
      <w:r w:rsidR="00973987">
        <w:rPr>
          <w:rFonts w:ascii="Times New Roman" w:eastAsia="Calibri" w:hAnsi="Times New Roman" w:cs="Times New Roman"/>
          <w:bCs/>
        </w:rPr>
        <w:t>. Sin embargo,</w:t>
      </w:r>
      <w:r w:rsidRPr="001F41EE">
        <w:rPr>
          <w:rFonts w:ascii="Times New Roman" w:eastAsia="Calibri" w:hAnsi="Times New Roman" w:cs="Times New Roman"/>
          <w:bCs/>
        </w:rPr>
        <w:t xml:space="preserve"> está reforma es meramente formal, </w:t>
      </w:r>
      <w:r w:rsidR="00973987">
        <w:rPr>
          <w:rFonts w:ascii="Times New Roman" w:eastAsia="Calibri" w:hAnsi="Times New Roman" w:cs="Times New Roman"/>
          <w:bCs/>
        </w:rPr>
        <w:t>ya que este</w:t>
      </w:r>
      <w:r w:rsidRPr="001F41EE">
        <w:rPr>
          <w:rFonts w:ascii="Times New Roman" w:eastAsia="Calibri" w:hAnsi="Times New Roman" w:cs="Times New Roman"/>
          <w:bCs/>
        </w:rPr>
        <w:t xml:space="preserve"> avance se logró </w:t>
      </w:r>
      <w:r w:rsidR="009D192B">
        <w:rPr>
          <w:rFonts w:ascii="Times New Roman" w:eastAsia="Calibri" w:hAnsi="Times New Roman" w:cs="Times New Roman"/>
          <w:bCs/>
        </w:rPr>
        <w:t>producto</w:t>
      </w:r>
      <w:r w:rsidRPr="001F41EE">
        <w:rPr>
          <w:rFonts w:ascii="Times New Roman" w:eastAsia="Calibri" w:hAnsi="Times New Roman" w:cs="Times New Roman"/>
          <w:bCs/>
        </w:rPr>
        <w:t xml:space="preserve"> a la sentencia No. 52-18-IS/22 emitida por la Corte Constitucional del Ecuador. Además, estas reformas</w:t>
      </w:r>
      <w:r w:rsidR="009D192B">
        <w:rPr>
          <w:rFonts w:ascii="Times New Roman" w:eastAsia="Calibri" w:hAnsi="Times New Roman" w:cs="Times New Roman"/>
          <w:bCs/>
        </w:rPr>
        <w:t xml:space="preserve"> normativas</w:t>
      </w:r>
      <w:r w:rsidRPr="001F41EE">
        <w:rPr>
          <w:rFonts w:ascii="Times New Roman" w:eastAsia="Calibri" w:hAnsi="Times New Roman" w:cs="Times New Roman"/>
          <w:bCs/>
        </w:rPr>
        <w:t xml:space="preserve"> </w:t>
      </w:r>
      <w:r w:rsidR="009D192B">
        <w:rPr>
          <w:rFonts w:ascii="Times New Roman" w:eastAsia="Calibri" w:hAnsi="Times New Roman" w:cs="Times New Roman"/>
          <w:bCs/>
        </w:rPr>
        <w:t>solo</w:t>
      </w:r>
      <w:r w:rsidRPr="001F41EE">
        <w:rPr>
          <w:rFonts w:ascii="Times New Roman" w:eastAsia="Calibri" w:hAnsi="Times New Roman" w:cs="Times New Roman"/>
          <w:bCs/>
        </w:rPr>
        <w:t xml:space="preserve"> se efectuaron por la presión de la sociedad civil sobre el cumplimiento de la referida sentencia y después de 6 años de la orden </w:t>
      </w:r>
      <w:r w:rsidR="009D192B">
        <w:rPr>
          <w:rFonts w:ascii="Times New Roman" w:eastAsia="Calibri" w:hAnsi="Times New Roman" w:cs="Times New Roman"/>
          <w:bCs/>
        </w:rPr>
        <w:t>de la Corte.</w:t>
      </w:r>
    </w:p>
    <w:p w14:paraId="18519392" w14:textId="77777777" w:rsidR="00D539E4" w:rsidRPr="001F41EE" w:rsidRDefault="00D539E4" w:rsidP="00D539E4">
      <w:pPr>
        <w:pStyle w:val="Prrafodelista"/>
        <w:rPr>
          <w:rFonts w:ascii="Times New Roman" w:eastAsia="Calibri" w:hAnsi="Times New Roman" w:cs="Times New Roman"/>
          <w:bCs/>
        </w:rPr>
      </w:pPr>
    </w:p>
    <w:p w14:paraId="0C97148B" w14:textId="29E25146" w:rsidR="00D539E4" w:rsidRDefault="00D539E4"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lastRenderedPageBreak/>
        <w:t xml:space="preserve">A pesar del avance anterior, los datos de identidad de género y orientación sexual siguen sin ser </w:t>
      </w:r>
      <w:r w:rsidR="009D192B">
        <w:rPr>
          <w:rFonts w:ascii="Times New Roman" w:eastAsia="Calibri" w:hAnsi="Times New Roman" w:cs="Times New Roman"/>
          <w:bCs/>
        </w:rPr>
        <w:t>registrados ni considerados</w:t>
      </w:r>
      <w:r w:rsidRPr="001F41EE">
        <w:rPr>
          <w:rFonts w:ascii="Times New Roman" w:eastAsia="Calibri" w:hAnsi="Times New Roman" w:cs="Times New Roman"/>
          <w:bCs/>
        </w:rPr>
        <w:t xml:space="preserve"> por las </w:t>
      </w:r>
      <w:r w:rsidRPr="009D192B">
        <w:rPr>
          <w:rFonts w:ascii="Times New Roman" w:eastAsia="Calibri" w:hAnsi="Times New Roman" w:cs="Times New Roman"/>
          <w:b/>
        </w:rPr>
        <w:t>instituciones que</w:t>
      </w:r>
      <w:r w:rsidRPr="001F41EE">
        <w:rPr>
          <w:rFonts w:ascii="Times New Roman" w:eastAsia="Calibri" w:hAnsi="Times New Roman" w:cs="Times New Roman"/>
          <w:bCs/>
        </w:rPr>
        <w:t xml:space="preserve"> </w:t>
      </w:r>
      <w:r w:rsidRPr="009D192B">
        <w:rPr>
          <w:rFonts w:ascii="Times New Roman" w:eastAsia="Calibri" w:hAnsi="Times New Roman" w:cs="Times New Roman"/>
          <w:b/>
        </w:rPr>
        <w:t>investigan y sancionan los delitos por prejuicio</w:t>
      </w:r>
      <w:r w:rsidRPr="001F41EE">
        <w:rPr>
          <w:rFonts w:ascii="Times New Roman" w:eastAsia="Calibri" w:hAnsi="Times New Roman" w:cs="Times New Roman"/>
          <w:bCs/>
        </w:rPr>
        <w:t>, esto a pesar de que el Ecuador tiene tipificado en su Código Orgánico Integral Penal</w:t>
      </w:r>
      <w:r w:rsidR="00973987">
        <w:rPr>
          <w:rFonts w:ascii="Times New Roman" w:eastAsia="Calibri" w:hAnsi="Times New Roman" w:cs="Times New Roman"/>
          <w:bCs/>
        </w:rPr>
        <w:t xml:space="preserve"> (COIP)</w:t>
      </w:r>
      <w:r w:rsidRPr="001F41EE">
        <w:rPr>
          <w:rFonts w:ascii="Times New Roman" w:eastAsia="Calibri" w:hAnsi="Times New Roman" w:cs="Times New Roman"/>
          <w:bCs/>
        </w:rPr>
        <w:t xml:space="preserve"> los delitos de</w:t>
      </w:r>
      <w:r w:rsidR="00691B8B">
        <w:rPr>
          <w:rFonts w:ascii="Times New Roman" w:eastAsia="Calibri" w:hAnsi="Times New Roman" w:cs="Times New Roman"/>
          <w:bCs/>
        </w:rPr>
        <w:t xml:space="preserve">: </w:t>
      </w:r>
      <w:r w:rsidRPr="001F41EE">
        <w:rPr>
          <w:rFonts w:ascii="Times New Roman" w:eastAsia="Calibri" w:hAnsi="Times New Roman" w:cs="Times New Roman"/>
          <w:bCs/>
        </w:rPr>
        <w:t>odio (art. 177 COIP) y discriminación (art. 176 COIP).</w:t>
      </w:r>
    </w:p>
    <w:p w14:paraId="54FBE8E7" w14:textId="77777777" w:rsidR="00D539E4" w:rsidRPr="001F41EE" w:rsidRDefault="00D539E4" w:rsidP="00D539E4">
      <w:pPr>
        <w:pStyle w:val="Prrafodelista"/>
        <w:rPr>
          <w:rFonts w:ascii="Times New Roman" w:eastAsia="Calibri" w:hAnsi="Times New Roman" w:cs="Times New Roman"/>
          <w:bCs/>
        </w:rPr>
      </w:pPr>
    </w:p>
    <w:p w14:paraId="5F22BEB5" w14:textId="6A54C145" w:rsidR="00D539E4" w:rsidRPr="001F41EE" w:rsidRDefault="00D539E4"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t xml:space="preserve">A esto se suma el incumplimiento de la Asamblea Nacional sobre la </w:t>
      </w:r>
      <w:r w:rsidR="00973987">
        <w:rPr>
          <w:rFonts w:ascii="Times New Roman" w:eastAsia="Calibri" w:hAnsi="Times New Roman" w:cs="Times New Roman"/>
          <w:bCs/>
        </w:rPr>
        <w:t>elaboración</w:t>
      </w:r>
      <w:r w:rsidRPr="001F41EE">
        <w:rPr>
          <w:rFonts w:ascii="Times New Roman" w:eastAsia="Calibri" w:hAnsi="Times New Roman" w:cs="Times New Roman"/>
          <w:bCs/>
        </w:rPr>
        <w:t xml:space="preserve"> del Procedimiento Especial y Expedito para la tramitación, juzgamiento y sanción de los delitos de</w:t>
      </w:r>
      <w:r w:rsidR="00973987">
        <w:rPr>
          <w:rFonts w:ascii="Times New Roman" w:eastAsia="Calibri" w:hAnsi="Times New Roman" w:cs="Times New Roman"/>
          <w:bCs/>
        </w:rPr>
        <w:t>:</w:t>
      </w:r>
      <w:r w:rsidRPr="001F41EE">
        <w:rPr>
          <w:rFonts w:ascii="Times New Roman" w:eastAsia="Calibri" w:hAnsi="Times New Roman" w:cs="Times New Roman"/>
          <w:bCs/>
        </w:rPr>
        <w:t xml:space="preserve"> violencia intrafamiliar, sexual, crímenes de odio y los que se cometan contra niñas, niños y adolescentes, jóvenes, personas con discapacidad, adultas mayores y personas que, por sus particularidades, requieren una mayor protección. Está obligación se le impone al legislativo en la Constitución del Ecuador del 2008, en el artículo 81; pero también ha sido una orden directa por parte de la Corte Constitucional mediante sentencia 001-17-SIO-CC de 2017,</w:t>
      </w:r>
      <w:r w:rsidR="00973987">
        <w:rPr>
          <w:rStyle w:val="Refdenotaalpie"/>
          <w:rFonts w:ascii="Times New Roman" w:eastAsia="Calibri" w:hAnsi="Times New Roman" w:cs="Times New Roman"/>
          <w:bCs/>
        </w:rPr>
        <w:footnoteReference w:id="22"/>
      </w:r>
      <w:r w:rsidRPr="001F41EE">
        <w:rPr>
          <w:rFonts w:ascii="Times New Roman" w:eastAsia="Calibri" w:hAnsi="Times New Roman" w:cs="Times New Roman"/>
          <w:bCs/>
        </w:rPr>
        <w:t xml:space="preserve"> donde el máximo órgano constitucional, resuelve:</w:t>
      </w:r>
    </w:p>
    <w:p w14:paraId="52FB08F5" w14:textId="77777777" w:rsidR="00D539E4" w:rsidRPr="001F41EE" w:rsidRDefault="00D539E4" w:rsidP="00D539E4">
      <w:pPr>
        <w:spacing w:line="259" w:lineRule="auto"/>
        <w:jc w:val="both"/>
        <w:rPr>
          <w:rFonts w:ascii="Times New Roman" w:eastAsia="Calibri" w:hAnsi="Times New Roman" w:cs="Times New Roman"/>
          <w:bCs/>
        </w:rPr>
      </w:pPr>
    </w:p>
    <w:p w14:paraId="03938BBB" w14:textId="30828D25" w:rsidR="00D539E4" w:rsidRPr="001F41EE" w:rsidRDefault="00D539E4" w:rsidP="00973987">
      <w:pPr>
        <w:ind w:left="720"/>
        <w:jc w:val="both"/>
        <w:rPr>
          <w:rFonts w:ascii="Times New Roman" w:eastAsia="Calibri" w:hAnsi="Times New Roman" w:cs="Times New Roman"/>
          <w:bCs/>
          <w:i/>
          <w:iCs/>
        </w:rPr>
      </w:pPr>
      <w:r w:rsidRPr="00973987">
        <w:rPr>
          <w:rFonts w:ascii="Times New Roman" w:eastAsia="Calibri" w:hAnsi="Times New Roman" w:cs="Times New Roman"/>
          <w:bCs/>
          <w:sz w:val="22"/>
          <w:szCs w:val="22"/>
        </w:rPr>
        <w:t>3. En consecuencia, la Corte Constitucional dispone: 3.1. Que la Asamblea Nacional en ejercicio de su facultad prevista en el artículo 120 numeral 6 de la Constitución de la República, instrumentalice en el plazo de un año contados a partir de la notificación de la presente resolución un procedimiento unificado, especial y expedito para el juzgamiento y sanción de los delitos de violencia intrafamiliar, sexual, crímenes de odio y los que se cometan contra niñas, niños y adolescentes, jóvenes, personas con discapacidad, adultas mayores y personas que, por sus particularidades, requieren una mayor protección</w:t>
      </w:r>
      <w:r w:rsidRPr="001F41EE">
        <w:rPr>
          <w:rFonts w:ascii="Times New Roman" w:eastAsia="Calibri" w:hAnsi="Times New Roman" w:cs="Times New Roman"/>
          <w:bCs/>
          <w:i/>
          <w:iCs/>
        </w:rPr>
        <w:t>.</w:t>
      </w:r>
      <w:r w:rsidR="00973987">
        <w:rPr>
          <w:rStyle w:val="Refdenotaalpie"/>
          <w:rFonts w:ascii="Times New Roman" w:eastAsia="Calibri" w:hAnsi="Times New Roman" w:cs="Times New Roman"/>
          <w:bCs/>
          <w:i/>
          <w:iCs/>
        </w:rPr>
        <w:footnoteReference w:id="23"/>
      </w:r>
    </w:p>
    <w:p w14:paraId="4E64278D" w14:textId="77777777" w:rsidR="00D539E4" w:rsidRPr="001F41EE" w:rsidRDefault="00D539E4" w:rsidP="00D539E4">
      <w:pPr>
        <w:spacing w:line="259" w:lineRule="auto"/>
        <w:jc w:val="both"/>
        <w:rPr>
          <w:rFonts w:ascii="Times New Roman" w:eastAsia="Calibri" w:hAnsi="Times New Roman" w:cs="Times New Roman"/>
          <w:bCs/>
        </w:rPr>
      </w:pPr>
    </w:p>
    <w:p w14:paraId="0F5DD6C7" w14:textId="77777777" w:rsidR="009D192B" w:rsidRDefault="00973987" w:rsidP="009D192B">
      <w:pPr>
        <w:pStyle w:val="Prrafodelista"/>
        <w:numPr>
          <w:ilvl w:val="0"/>
          <w:numId w:val="1"/>
        </w:numPr>
        <w:spacing w:line="259" w:lineRule="auto"/>
        <w:jc w:val="both"/>
        <w:rPr>
          <w:rFonts w:ascii="Times New Roman" w:eastAsia="Calibri" w:hAnsi="Times New Roman" w:cs="Times New Roman"/>
          <w:bCs/>
        </w:rPr>
      </w:pPr>
      <w:r>
        <w:rPr>
          <w:rFonts w:ascii="Times New Roman" w:eastAsia="Calibri" w:hAnsi="Times New Roman" w:cs="Times New Roman"/>
          <w:bCs/>
        </w:rPr>
        <w:t xml:space="preserve">Es necesario destacar que la Asamblea Nacional en una reforma del </w:t>
      </w:r>
      <w:r w:rsidR="009D192B" w:rsidRPr="001F41EE">
        <w:rPr>
          <w:rFonts w:ascii="Times New Roman" w:eastAsia="Calibri" w:hAnsi="Times New Roman" w:cs="Times New Roman"/>
          <w:bCs/>
        </w:rPr>
        <w:t>Código Orgánico Integral Penal</w:t>
      </w:r>
      <w:r>
        <w:rPr>
          <w:rFonts w:ascii="Times New Roman" w:eastAsia="Calibri" w:hAnsi="Times New Roman" w:cs="Times New Roman"/>
          <w:bCs/>
        </w:rPr>
        <w:t xml:space="preserve"> en 2019 incorporó el procedimiento especial y expedito</w:t>
      </w:r>
      <w:r w:rsidR="00691B8B">
        <w:rPr>
          <w:rFonts w:ascii="Times New Roman" w:eastAsia="Calibri" w:hAnsi="Times New Roman" w:cs="Times New Roman"/>
          <w:bCs/>
        </w:rPr>
        <w:t xml:space="preserve"> solo para </w:t>
      </w:r>
      <w:r w:rsidR="00691B8B" w:rsidRPr="00691B8B">
        <w:rPr>
          <w:rFonts w:ascii="Times New Roman" w:eastAsia="Calibri" w:hAnsi="Times New Roman" w:cs="Times New Roman"/>
          <w:bCs/>
        </w:rPr>
        <w:t>juzgamiento y sanción de los delitos de</w:t>
      </w:r>
      <w:r w:rsidR="00691B8B">
        <w:rPr>
          <w:rFonts w:ascii="Times New Roman" w:eastAsia="Calibri" w:hAnsi="Times New Roman" w:cs="Times New Roman"/>
          <w:bCs/>
        </w:rPr>
        <w:t xml:space="preserve"> </w:t>
      </w:r>
      <w:r w:rsidR="00691B8B" w:rsidRPr="00691B8B">
        <w:rPr>
          <w:rFonts w:ascii="Times New Roman" w:eastAsia="Calibri" w:hAnsi="Times New Roman" w:cs="Times New Roman"/>
          <w:bCs/>
        </w:rPr>
        <w:t>violencia contra la mujer o miembros del núcleo familiar</w:t>
      </w:r>
      <w:r w:rsidRPr="00691B8B">
        <w:rPr>
          <w:rFonts w:ascii="Times New Roman" w:eastAsia="Calibri" w:hAnsi="Times New Roman" w:cs="Times New Roman"/>
          <w:bCs/>
        </w:rPr>
        <w:t xml:space="preserve">, pero dejaron por fuera a los delitos de odio. </w:t>
      </w:r>
    </w:p>
    <w:p w14:paraId="4D308C48" w14:textId="77777777" w:rsidR="009D192B" w:rsidRDefault="009D192B" w:rsidP="009D192B">
      <w:pPr>
        <w:pStyle w:val="Prrafodelista"/>
        <w:spacing w:line="259" w:lineRule="auto"/>
        <w:ind w:left="360"/>
        <w:jc w:val="both"/>
        <w:rPr>
          <w:rFonts w:ascii="Times New Roman" w:eastAsia="Calibri" w:hAnsi="Times New Roman" w:cs="Times New Roman"/>
          <w:bCs/>
        </w:rPr>
      </w:pPr>
    </w:p>
    <w:p w14:paraId="564778DF" w14:textId="3F59ED35" w:rsidR="00973987" w:rsidRPr="009D192B" w:rsidRDefault="00973987" w:rsidP="009D192B">
      <w:pPr>
        <w:pStyle w:val="Prrafodelista"/>
        <w:numPr>
          <w:ilvl w:val="0"/>
          <w:numId w:val="1"/>
        </w:numPr>
        <w:spacing w:line="259" w:lineRule="auto"/>
        <w:jc w:val="both"/>
        <w:rPr>
          <w:rFonts w:ascii="Times New Roman" w:eastAsia="Calibri" w:hAnsi="Times New Roman" w:cs="Times New Roman"/>
          <w:bCs/>
        </w:rPr>
      </w:pPr>
      <w:r w:rsidRPr="009D192B">
        <w:rPr>
          <w:rFonts w:ascii="Times New Roman" w:hAnsi="Times New Roman" w:cs="Times New Roman"/>
          <w:lang w:val="es-ES"/>
        </w:rPr>
        <w:t xml:space="preserve">Por otro lado, es importante destacar que en julio del 2021 la Asamblea Nacional votó a favor de que Ecuador ratifique la </w:t>
      </w:r>
      <w:r w:rsidRPr="009D192B">
        <w:rPr>
          <w:rFonts w:ascii="Times New Roman" w:hAnsi="Times New Roman" w:cs="Times New Roman"/>
          <w:b/>
          <w:bCs/>
          <w:lang w:val="es-ES"/>
        </w:rPr>
        <w:t>Convención Interamericana contra todas las formas de Discriminación e Intolerancia</w:t>
      </w:r>
      <w:r w:rsidRPr="009D192B">
        <w:rPr>
          <w:rFonts w:ascii="Times New Roman" w:hAnsi="Times New Roman" w:cs="Times New Roman"/>
          <w:lang w:val="es-ES"/>
        </w:rPr>
        <w:t xml:space="preserve"> (A-69).</w:t>
      </w:r>
      <w:r w:rsidRPr="00A47AD6">
        <w:rPr>
          <w:rStyle w:val="Refdenotaalpie"/>
          <w:rFonts w:ascii="Times New Roman" w:hAnsi="Times New Roman" w:cs="Times New Roman"/>
          <w:szCs w:val="24"/>
          <w:lang w:val="es-ES"/>
        </w:rPr>
        <w:footnoteReference w:id="24"/>
      </w:r>
      <w:r w:rsidRPr="009D192B">
        <w:rPr>
          <w:rFonts w:ascii="Times New Roman" w:hAnsi="Times New Roman" w:cs="Times New Roman"/>
          <w:lang w:val="es-ES"/>
        </w:rPr>
        <w:t xml:space="preserve"> Sin embargo, el Ejecutivo todavía no ha depositado la ratificación del instrumento en la OEA,</w:t>
      </w:r>
      <w:r w:rsidRPr="00A47AD6">
        <w:rPr>
          <w:rStyle w:val="Refdenotaalpie"/>
          <w:rFonts w:ascii="Times New Roman" w:hAnsi="Times New Roman" w:cs="Times New Roman"/>
          <w:szCs w:val="24"/>
          <w:lang w:val="es-ES"/>
        </w:rPr>
        <w:footnoteReference w:id="25"/>
      </w:r>
      <w:r w:rsidRPr="009D192B">
        <w:rPr>
          <w:rFonts w:ascii="Times New Roman" w:hAnsi="Times New Roman" w:cs="Times New Roman"/>
          <w:lang w:val="es-ES"/>
        </w:rPr>
        <w:t xml:space="preserve"> aunque en mayo de 2024 se publicó en el Registro Oficial en donde se publicó el Decreto Ejecutivo de ratificación de esta Convención.</w:t>
      </w:r>
      <w:r>
        <w:rPr>
          <w:rStyle w:val="Refdenotaalpie"/>
          <w:rFonts w:ascii="Times New Roman" w:hAnsi="Times New Roman" w:cs="Times New Roman"/>
          <w:szCs w:val="24"/>
          <w:lang w:val="es-ES"/>
        </w:rPr>
        <w:footnoteReference w:id="26"/>
      </w:r>
      <w:r w:rsidRPr="009D192B">
        <w:rPr>
          <w:rFonts w:ascii="Times New Roman" w:hAnsi="Times New Roman" w:cs="Times New Roman"/>
          <w:lang w:val="es-ES"/>
        </w:rPr>
        <w:t xml:space="preserve"> Por otro lado, la Asamblea Nacional tampoco ha realizado ninguna iniciativa para crear una ley en contra de todas las formas de discriminación, como así recomendó el Comité DESC a </w:t>
      </w:r>
      <w:r w:rsidRPr="009D192B">
        <w:rPr>
          <w:rFonts w:ascii="Times New Roman" w:hAnsi="Times New Roman" w:cs="Times New Roman"/>
          <w:lang w:val="es-ES"/>
        </w:rPr>
        <w:lastRenderedPageBreak/>
        <w:t>Ecuador,</w:t>
      </w:r>
      <w:r w:rsidRPr="00A47AD6">
        <w:rPr>
          <w:rStyle w:val="Refdenotaalpie"/>
          <w:rFonts w:ascii="Times New Roman" w:hAnsi="Times New Roman" w:cs="Times New Roman"/>
          <w:szCs w:val="24"/>
          <w:lang w:val="es-ES"/>
        </w:rPr>
        <w:footnoteReference w:id="27"/>
      </w:r>
      <w:r w:rsidRPr="009D192B">
        <w:rPr>
          <w:rFonts w:ascii="Times New Roman" w:hAnsi="Times New Roman" w:cs="Times New Roman"/>
          <w:lang w:val="es-ES"/>
        </w:rPr>
        <w:t xml:space="preserve"> norma que también serviría para desarrollar </w:t>
      </w:r>
      <w:r w:rsidR="009D192B">
        <w:rPr>
          <w:rFonts w:ascii="Times New Roman" w:hAnsi="Times New Roman" w:cs="Times New Roman"/>
          <w:lang w:val="es-ES"/>
        </w:rPr>
        <w:t>a nivel nacional</w:t>
      </w:r>
      <w:r w:rsidRPr="009D192B">
        <w:rPr>
          <w:rFonts w:ascii="Times New Roman" w:hAnsi="Times New Roman" w:cs="Times New Roman"/>
          <w:lang w:val="es-ES"/>
        </w:rPr>
        <w:t xml:space="preserve"> el contenido de la Convención Interamericana contra todas las formas de Discriminación e Intolerancia.</w:t>
      </w:r>
    </w:p>
    <w:p w14:paraId="0EF4D62F" w14:textId="77777777" w:rsidR="00973987" w:rsidRPr="00A47AD6" w:rsidRDefault="00973987" w:rsidP="00973987">
      <w:pPr>
        <w:jc w:val="both"/>
        <w:rPr>
          <w:rFonts w:ascii="Times New Roman" w:hAnsi="Times New Roman" w:cs="Times New Roman"/>
          <w:lang w:val="es-ES"/>
        </w:rPr>
      </w:pPr>
    </w:p>
    <w:p w14:paraId="61C99460" w14:textId="671C2F5F" w:rsidR="00973987" w:rsidRPr="00D539E4" w:rsidRDefault="00973987" w:rsidP="0097398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Finalmente, la Asamblea Nacional estuvo discutiendo cerca de cinco años la ley especializada en salud a la que se la denominó </w:t>
      </w:r>
      <w:r w:rsidRPr="009D192B">
        <w:rPr>
          <w:rFonts w:ascii="Times New Roman" w:hAnsi="Times New Roman" w:cs="Times New Roman"/>
          <w:szCs w:val="24"/>
          <w:lang w:val="es-ES"/>
        </w:rPr>
        <w:t>Código Orgánico de la Salud (COS).</w:t>
      </w:r>
      <w:r w:rsidRPr="00A47AD6">
        <w:rPr>
          <w:rFonts w:ascii="Times New Roman" w:hAnsi="Times New Roman" w:cs="Times New Roman"/>
          <w:szCs w:val="24"/>
          <w:lang w:val="es-ES"/>
        </w:rPr>
        <w:t xml:space="preserve"> En esta propuesta de ley se legislaba sobre temas importantes para la </w:t>
      </w:r>
      <w:r>
        <w:rPr>
          <w:rFonts w:ascii="Times New Roman" w:hAnsi="Times New Roman" w:cs="Times New Roman"/>
          <w:szCs w:val="24"/>
          <w:lang w:val="es-ES"/>
        </w:rPr>
        <w:t>población</w:t>
      </w:r>
      <w:r w:rsidRPr="00A47AD6">
        <w:rPr>
          <w:rFonts w:ascii="Times New Roman" w:hAnsi="Times New Roman" w:cs="Times New Roman"/>
          <w:szCs w:val="24"/>
          <w:lang w:val="es-ES"/>
        </w:rPr>
        <w:t xml:space="preserve"> LGBTIQ+ como: </w:t>
      </w:r>
      <w:r w:rsidRPr="009D192B">
        <w:rPr>
          <w:rFonts w:ascii="Times New Roman" w:hAnsi="Times New Roman" w:cs="Times New Roman"/>
          <w:b/>
          <w:bCs/>
          <w:szCs w:val="24"/>
          <w:lang w:val="es-ES"/>
        </w:rPr>
        <w:t>prohibición de las clínicas de “</w:t>
      </w:r>
      <w:proofErr w:type="spellStart"/>
      <w:r w:rsidRPr="009D192B">
        <w:rPr>
          <w:rFonts w:ascii="Times New Roman" w:hAnsi="Times New Roman" w:cs="Times New Roman"/>
          <w:b/>
          <w:bCs/>
          <w:szCs w:val="24"/>
          <w:lang w:val="es-ES"/>
        </w:rPr>
        <w:t>deshomosexualización</w:t>
      </w:r>
      <w:proofErr w:type="spellEnd"/>
      <w:r w:rsidRPr="009D192B">
        <w:rPr>
          <w:rFonts w:ascii="Times New Roman" w:hAnsi="Times New Roman" w:cs="Times New Roman"/>
          <w:b/>
          <w:bCs/>
          <w:szCs w:val="24"/>
          <w:lang w:val="es-ES"/>
        </w:rPr>
        <w:t xml:space="preserve">” y las </w:t>
      </w:r>
      <w:r w:rsidR="009D192B">
        <w:rPr>
          <w:rFonts w:ascii="Times New Roman" w:hAnsi="Times New Roman" w:cs="Times New Roman"/>
          <w:b/>
          <w:bCs/>
          <w:szCs w:val="24"/>
          <w:lang w:val="es-ES"/>
        </w:rPr>
        <w:t>denominadas “</w:t>
      </w:r>
      <w:r w:rsidRPr="009D192B">
        <w:rPr>
          <w:rFonts w:ascii="Times New Roman" w:hAnsi="Times New Roman" w:cs="Times New Roman"/>
          <w:b/>
          <w:bCs/>
          <w:szCs w:val="24"/>
          <w:lang w:val="es-ES"/>
        </w:rPr>
        <w:t>terapias de conversión</w:t>
      </w:r>
      <w:r w:rsidR="009D192B" w:rsidRPr="009D192B">
        <w:rPr>
          <w:rFonts w:ascii="Times New Roman" w:hAnsi="Times New Roman" w:cs="Times New Roman"/>
          <w:b/>
          <w:bCs/>
          <w:szCs w:val="24"/>
          <w:lang w:val="es-ES"/>
        </w:rPr>
        <w:t>”</w:t>
      </w:r>
      <w:r w:rsidRPr="009D192B">
        <w:rPr>
          <w:rFonts w:ascii="Times New Roman" w:hAnsi="Times New Roman" w:cs="Times New Roman"/>
          <w:b/>
          <w:bCs/>
          <w:szCs w:val="24"/>
          <w:lang w:val="es-ES"/>
        </w:rPr>
        <w:t xml:space="preserve">, la prohibición de la mutilación genital de la niñez Intersex y </w:t>
      </w:r>
      <w:r w:rsidRPr="00A47AD6">
        <w:rPr>
          <w:rFonts w:ascii="Times New Roman" w:hAnsi="Times New Roman" w:cs="Times New Roman"/>
          <w:szCs w:val="24"/>
          <w:lang w:val="es-ES"/>
        </w:rPr>
        <w:t xml:space="preserve">la regulación de los mecanismos de reproducción asistida. Sin embargo, la propuesta, a pesar de </w:t>
      </w:r>
      <w:r w:rsidR="009D192B">
        <w:rPr>
          <w:rFonts w:ascii="Times New Roman" w:hAnsi="Times New Roman" w:cs="Times New Roman"/>
          <w:szCs w:val="24"/>
          <w:lang w:val="es-ES"/>
        </w:rPr>
        <w:t xml:space="preserve">haberse aprobado por la </w:t>
      </w:r>
      <w:r w:rsidRPr="00A47AD6">
        <w:rPr>
          <w:rFonts w:ascii="Times New Roman" w:hAnsi="Times New Roman" w:cs="Times New Roman"/>
          <w:szCs w:val="24"/>
          <w:lang w:val="es-ES"/>
        </w:rPr>
        <w:t>Asamblea Nacional, fue vetada por el Ejecutivo.</w:t>
      </w:r>
      <w:r w:rsidRPr="00A47AD6">
        <w:rPr>
          <w:rStyle w:val="Refdenotaalpie"/>
          <w:rFonts w:ascii="Times New Roman" w:hAnsi="Times New Roman" w:cs="Times New Roman"/>
          <w:szCs w:val="24"/>
          <w:lang w:val="es-ES"/>
        </w:rPr>
        <w:footnoteReference w:id="28"/>
      </w:r>
      <w:r w:rsidRPr="00A47AD6">
        <w:rPr>
          <w:rFonts w:ascii="Times New Roman" w:hAnsi="Times New Roman" w:cs="Times New Roman"/>
          <w:szCs w:val="24"/>
          <w:lang w:val="es-ES"/>
        </w:rPr>
        <w:t xml:space="preserve"> Esta decisión tuvo la influencia del presidente</w:t>
      </w:r>
      <w:r>
        <w:rPr>
          <w:rFonts w:ascii="Times New Roman" w:hAnsi="Times New Roman" w:cs="Times New Roman"/>
          <w:szCs w:val="24"/>
          <w:lang w:val="es-ES"/>
        </w:rPr>
        <w:t xml:space="preserve"> de la época</w:t>
      </w:r>
      <w:r w:rsidRPr="00A47AD6">
        <w:rPr>
          <w:rFonts w:ascii="Times New Roman" w:hAnsi="Times New Roman" w:cs="Times New Roman"/>
          <w:szCs w:val="24"/>
          <w:lang w:val="es-ES"/>
        </w:rPr>
        <w:t xml:space="preserve">, que, al momento de ser candidato, </w:t>
      </w:r>
      <w:r w:rsidR="009D192B">
        <w:rPr>
          <w:rFonts w:ascii="Times New Roman" w:hAnsi="Times New Roman" w:cs="Times New Roman"/>
          <w:szCs w:val="24"/>
          <w:lang w:val="es-ES"/>
        </w:rPr>
        <w:t>expresó</w:t>
      </w:r>
      <w:r w:rsidRPr="00A47AD6">
        <w:rPr>
          <w:rFonts w:ascii="Times New Roman" w:hAnsi="Times New Roman" w:cs="Times New Roman"/>
          <w:szCs w:val="24"/>
          <w:lang w:val="es-ES"/>
        </w:rPr>
        <w:t xml:space="preserve"> discursos prejuiciados contra las mujeres y la población LGBTIQ+ (especialmente niñez Intersex y trans).</w:t>
      </w:r>
      <w:r w:rsidRPr="00A47AD6">
        <w:rPr>
          <w:rStyle w:val="Refdenotaalpie"/>
          <w:rFonts w:ascii="Times New Roman" w:hAnsi="Times New Roman" w:cs="Times New Roman"/>
          <w:szCs w:val="24"/>
          <w:lang w:val="es-ES"/>
        </w:rPr>
        <w:footnoteReference w:id="29"/>
      </w:r>
    </w:p>
    <w:p w14:paraId="67B2ED53" w14:textId="77777777" w:rsidR="00973987" w:rsidRDefault="00973987" w:rsidP="00691B8B">
      <w:pPr>
        <w:pStyle w:val="Prrafodelista"/>
        <w:spacing w:line="259" w:lineRule="auto"/>
        <w:ind w:left="360"/>
        <w:jc w:val="both"/>
        <w:rPr>
          <w:rFonts w:ascii="Times New Roman" w:eastAsia="Calibri" w:hAnsi="Times New Roman" w:cs="Times New Roman"/>
          <w:bCs/>
        </w:rPr>
      </w:pPr>
    </w:p>
    <w:p w14:paraId="3D0FC15E" w14:textId="01786609" w:rsidR="008B26B4" w:rsidRPr="00A47AD6" w:rsidRDefault="008B26B4" w:rsidP="008B26B4">
      <w:pPr>
        <w:pStyle w:val="Prrafodelista"/>
        <w:spacing w:line="240" w:lineRule="auto"/>
        <w:ind w:left="360"/>
        <w:contextualSpacing/>
        <w:jc w:val="both"/>
        <w:rPr>
          <w:rFonts w:ascii="Times New Roman" w:hAnsi="Times New Roman" w:cs="Times New Roman"/>
          <w:b/>
          <w:bCs/>
          <w:szCs w:val="24"/>
          <w:u w:val="single"/>
          <w:lang w:val="es-ES"/>
        </w:rPr>
      </w:pPr>
      <w:r>
        <w:rPr>
          <w:rFonts w:ascii="Times New Roman" w:hAnsi="Times New Roman" w:cs="Times New Roman"/>
          <w:b/>
          <w:bCs/>
          <w:szCs w:val="24"/>
          <w:u w:val="single"/>
          <w:lang w:val="es-ES"/>
        </w:rPr>
        <w:t>Integridad personal, y muertes violentas de personas</w:t>
      </w:r>
      <w:r w:rsidRPr="00A47AD6">
        <w:rPr>
          <w:rFonts w:ascii="Times New Roman" w:hAnsi="Times New Roman" w:cs="Times New Roman"/>
          <w:b/>
          <w:bCs/>
          <w:szCs w:val="24"/>
          <w:u w:val="single"/>
          <w:lang w:val="es-ES"/>
        </w:rPr>
        <w:t xml:space="preserve"> LGBTIQ+</w:t>
      </w:r>
      <w:r w:rsidR="009D192B">
        <w:rPr>
          <w:rFonts w:ascii="Times New Roman" w:hAnsi="Times New Roman" w:cs="Times New Roman"/>
          <w:b/>
          <w:bCs/>
          <w:szCs w:val="24"/>
          <w:u w:val="single"/>
          <w:lang w:val="es-ES"/>
        </w:rPr>
        <w:t xml:space="preserve"> (Artículos 6</w:t>
      </w:r>
      <w:r w:rsidR="00094D3E">
        <w:rPr>
          <w:rFonts w:ascii="Times New Roman" w:hAnsi="Times New Roman" w:cs="Times New Roman"/>
          <w:b/>
          <w:bCs/>
          <w:szCs w:val="24"/>
          <w:u w:val="single"/>
          <w:lang w:val="es-ES"/>
        </w:rPr>
        <w:t>,</w:t>
      </w:r>
      <w:r w:rsidR="009D192B">
        <w:rPr>
          <w:rFonts w:ascii="Times New Roman" w:hAnsi="Times New Roman" w:cs="Times New Roman"/>
          <w:b/>
          <w:bCs/>
          <w:szCs w:val="24"/>
          <w:u w:val="single"/>
          <w:lang w:val="es-ES"/>
        </w:rPr>
        <w:t xml:space="preserve"> 7</w:t>
      </w:r>
      <w:r w:rsidR="00094D3E">
        <w:rPr>
          <w:rFonts w:ascii="Times New Roman" w:hAnsi="Times New Roman" w:cs="Times New Roman"/>
          <w:b/>
          <w:bCs/>
          <w:szCs w:val="24"/>
          <w:u w:val="single"/>
          <w:lang w:val="es-ES"/>
        </w:rPr>
        <w:t xml:space="preserve"> y 10</w:t>
      </w:r>
      <w:r w:rsidR="009D192B">
        <w:rPr>
          <w:rFonts w:ascii="Times New Roman" w:hAnsi="Times New Roman" w:cs="Times New Roman"/>
          <w:b/>
          <w:bCs/>
          <w:szCs w:val="24"/>
          <w:u w:val="single"/>
          <w:lang w:val="es-ES"/>
        </w:rPr>
        <w:t>)</w:t>
      </w:r>
    </w:p>
    <w:p w14:paraId="207A0067" w14:textId="77777777" w:rsidR="008B26B4" w:rsidRPr="00500DD1" w:rsidRDefault="008B26B4" w:rsidP="008B26B4">
      <w:pPr>
        <w:pStyle w:val="Prrafodelista"/>
        <w:rPr>
          <w:rFonts w:ascii="Times New Roman" w:hAnsi="Times New Roman" w:cs="Times New Roman"/>
          <w:szCs w:val="24"/>
          <w:u w:val="single"/>
          <w:lang w:val="es-ES"/>
        </w:rPr>
      </w:pPr>
    </w:p>
    <w:p w14:paraId="3927827A" w14:textId="28DC4A59" w:rsidR="008B26B4" w:rsidRPr="008B26B4" w:rsidRDefault="008B26B4" w:rsidP="008B26B4">
      <w:pPr>
        <w:pStyle w:val="Prrafodelista"/>
        <w:numPr>
          <w:ilvl w:val="0"/>
          <w:numId w:val="1"/>
        </w:numPr>
        <w:spacing w:line="240" w:lineRule="auto"/>
        <w:jc w:val="both"/>
        <w:rPr>
          <w:rFonts w:ascii="Times New Roman" w:hAnsi="Times New Roman" w:cs="Times New Roman"/>
          <w:szCs w:val="24"/>
          <w:lang w:val="es-ES"/>
        </w:rPr>
      </w:pPr>
      <w:r>
        <w:rPr>
          <w:rFonts w:ascii="Times New Roman" w:hAnsi="Times New Roman" w:cs="Times New Roman"/>
          <w:szCs w:val="24"/>
          <w:lang w:val="es-ES"/>
        </w:rPr>
        <w:t>A</w:t>
      </w:r>
      <w:r w:rsidRPr="00500DD1">
        <w:rPr>
          <w:rFonts w:ascii="Times New Roman" w:hAnsi="Times New Roman" w:cs="Times New Roman"/>
          <w:szCs w:val="24"/>
          <w:lang w:val="es-ES"/>
        </w:rPr>
        <w:t xml:space="preserve"> pasar de que desde el 2008 hasta la actualidad se hayan obtenido avances en el reconocimiento de derechos a la población LGBTIQ+ en Ecuador, eso no ha significado necesariamente que la violencia y la discriminación </w:t>
      </w:r>
      <w:r w:rsidR="009D192B">
        <w:rPr>
          <w:rFonts w:ascii="Times New Roman" w:hAnsi="Times New Roman" w:cs="Times New Roman"/>
          <w:szCs w:val="24"/>
          <w:lang w:val="es-ES"/>
        </w:rPr>
        <w:t xml:space="preserve">se </w:t>
      </w:r>
      <w:r w:rsidRPr="00500DD1">
        <w:rPr>
          <w:rFonts w:ascii="Times New Roman" w:hAnsi="Times New Roman" w:cs="Times New Roman"/>
          <w:szCs w:val="24"/>
          <w:lang w:val="es-ES"/>
        </w:rPr>
        <w:t xml:space="preserve">haya reducido. Organizaciones como la Fundación </w:t>
      </w:r>
      <w:proofErr w:type="spellStart"/>
      <w:r w:rsidRPr="00500DD1">
        <w:rPr>
          <w:rFonts w:ascii="Times New Roman" w:hAnsi="Times New Roman" w:cs="Times New Roman"/>
          <w:szCs w:val="24"/>
          <w:lang w:val="es-ES"/>
        </w:rPr>
        <w:t>Pakta</w:t>
      </w:r>
      <w:proofErr w:type="spellEnd"/>
      <w:r w:rsidRPr="00500DD1">
        <w:rPr>
          <w:rFonts w:ascii="Times New Roman" w:hAnsi="Times New Roman" w:cs="Times New Roman"/>
          <w:szCs w:val="24"/>
          <w:lang w:val="es-ES"/>
        </w:rPr>
        <w:t xml:space="preserve"> ha reportado que</w:t>
      </w:r>
      <w:r w:rsidR="009D192B">
        <w:rPr>
          <w:rFonts w:ascii="Times New Roman" w:hAnsi="Times New Roman" w:cs="Times New Roman"/>
          <w:szCs w:val="24"/>
          <w:lang w:val="es-ES"/>
        </w:rPr>
        <w:t>,</w:t>
      </w:r>
      <w:r w:rsidRPr="00500DD1">
        <w:rPr>
          <w:rFonts w:ascii="Times New Roman" w:hAnsi="Times New Roman" w:cs="Times New Roman"/>
          <w:szCs w:val="24"/>
          <w:lang w:val="es-ES"/>
        </w:rPr>
        <w:t xml:space="preserve"> </w:t>
      </w:r>
      <w:r w:rsidRPr="00094D3E">
        <w:rPr>
          <w:rFonts w:ascii="Times New Roman" w:hAnsi="Times New Roman" w:cs="Times New Roman"/>
          <w:b/>
          <w:bCs/>
          <w:szCs w:val="24"/>
          <w:lang w:val="es-ES"/>
        </w:rPr>
        <w:t>entre los años 2014-2023</w:t>
      </w:r>
      <w:r w:rsidR="009D192B" w:rsidRPr="00094D3E">
        <w:rPr>
          <w:rFonts w:ascii="Times New Roman" w:hAnsi="Times New Roman" w:cs="Times New Roman"/>
          <w:b/>
          <w:bCs/>
          <w:szCs w:val="24"/>
          <w:lang w:val="es-ES"/>
        </w:rPr>
        <w:t xml:space="preserve">, </w:t>
      </w:r>
      <w:r w:rsidRPr="00094D3E">
        <w:rPr>
          <w:rFonts w:ascii="Times New Roman" w:hAnsi="Times New Roman" w:cs="Times New Roman"/>
          <w:b/>
          <w:bCs/>
          <w:szCs w:val="24"/>
          <w:lang w:val="es-ES"/>
        </w:rPr>
        <w:t>175 personas LGBTIQ+ en Ecuador han sido asesinadas.</w:t>
      </w:r>
      <w:r w:rsidRPr="00094D3E">
        <w:rPr>
          <w:rStyle w:val="Refdenotaalpie"/>
          <w:rFonts w:ascii="Times New Roman" w:hAnsi="Times New Roman" w:cs="Times New Roman"/>
          <w:b/>
          <w:bCs/>
          <w:szCs w:val="24"/>
          <w:lang w:val="es-ES"/>
        </w:rPr>
        <w:footnoteReference w:id="30"/>
      </w:r>
      <w:r>
        <w:rPr>
          <w:rFonts w:ascii="Times New Roman" w:hAnsi="Times New Roman" w:cs="Times New Roman"/>
          <w:szCs w:val="24"/>
          <w:lang w:val="es-ES"/>
        </w:rPr>
        <w:t xml:space="preserve"> </w:t>
      </w:r>
      <w:r w:rsidRPr="008B26B4">
        <w:rPr>
          <w:rFonts w:ascii="Times New Roman" w:hAnsi="Times New Roman" w:cs="Times New Roman"/>
          <w:lang w:val="es-ES"/>
        </w:rPr>
        <w:t>Durante los años 2022 y el 2023 nuestro país ha vivido una profunda crisis política, social, económica; que ha significado también una crisis en la seguridad, derechos y garantías fundamentales de todos los ciudadanos, pero sobre todo de aquellos que pueden ser más vulnerables como l</w:t>
      </w:r>
      <w:r w:rsidR="009D192B">
        <w:rPr>
          <w:rFonts w:ascii="Times New Roman" w:hAnsi="Times New Roman" w:cs="Times New Roman"/>
          <w:lang w:val="es-ES"/>
        </w:rPr>
        <w:t>as personas</w:t>
      </w:r>
      <w:r w:rsidRPr="008B26B4">
        <w:rPr>
          <w:rFonts w:ascii="Times New Roman" w:hAnsi="Times New Roman" w:cs="Times New Roman"/>
          <w:lang w:val="es-ES"/>
        </w:rPr>
        <w:t xml:space="preserve"> LGBTIQ+.</w:t>
      </w:r>
    </w:p>
    <w:p w14:paraId="3BC55E42" w14:textId="77777777" w:rsidR="008B26B4" w:rsidRPr="00DA49BC" w:rsidRDefault="008B26B4" w:rsidP="008B26B4">
      <w:pPr>
        <w:pStyle w:val="Prrafodelista"/>
        <w:spacing w:line="259" w:lineRule="auto"/>
        <w:ind w:left="360"/>
        <w:jc w:val="both"/>
        <w:rPr>
          <w:rFonts w:ascii="Times New Roman" w:hAnsi="Times New Roman" w:cs="Times New Roman"/>
          <w:szCs w:val="24"/>
          <w:lang w:val="es-ES"/>
        </w:rPr>
      </w:pPr>
    </w:p>
    <w:p w14:paraId="14EFEA5F" w14:textId="622F95AA" w:rsidR="007467FF" w:rsidRDefault="008B26B4" w:rsidP="008B26B4">
      <w:pPr>
        <w:pStyle w:val="Prrafodelista"/>
        <w:numPr>
          <w:ilvl w:val="0"/>
          <w:numId w:val="1"/>
        </w:numPr>
        <w:spacing w:line="259" w:lineRule="auto"/>
        <w:jc w:val="both"/>
        <w:rPr>
          <w:rFonts w:ascii="Times New Roman" w:hAnsi="Times New Roman" w:cs="Times New Roman"/>
          <w:szCs w:val="24"/>
          <w:lang w:val="es-ES"/>
        </w:rPr>
      </w:pPr>
      <w:r w:rsidRPr="00DA49BC">
        <w:rPr>
          <w:rFonts w:ascii="Times New Roman" w:hAnsi="Times New Roman" w:cs="Times New Roman"/>
          <w:szCs w:val="24"/>
          <w:lang w:val="es-ES"/>
        </w:rPr>
        <w:t>En el contexto de seguridad, los ecuatorianos hemos vivido la crisis más importante de las últimas décadas. En el 2022 el Ministerio del Interior report</w:t>
      </w:r>
      <w:r w:rsidR="009D192B">
        <w:rPr>
          <w:rFonts w:ascii="Times New Roman" w:hAnsi="Times New Roman" w:cs="Times New Roman"/>
          <w:szCs w:val="24"/>
          <w:lang w:val="es-ES"/>
        </w:rPr>
        <w:t>ó</w:t>
      </w:r>
      <w:r w:rsidRPr="00DA49BC">
        <w:rPr>
          <w:rFonts w:ascii="Times New Roman" w:hAnsi="Times New Roman" w:cs="Times New Roman"/>
          <w:szCs w:val="24"/>
          <w:lang w:val="es-ES"/>
        </w:rPr>
        <w:t xml:space="preserve"> 4450 asesinatos, </w:t>
      </w:r>
      <w:r w:rsidR="0052628B">
        <w:rPr>
          <w:rFonts w:ascii="Times New Roman" w:hAnsi="Times New Roman" w:cs="Times New Roman"/>
          <w:szCs w:val="24"/>
          <w:lang w:val="es-ES"/>
        </w:rPr>
        <w:t>l</w:t>
      </w:r>
      <w:r w:rsidRPr="00DA49BC">
        <w:rPr>
          <w:rFonts w:ascii="Times New Roman" w:hAnsi="Times New Roman" w:cs="Times New Roman"/>
          <w:szCs w:val="24"/>
          <w:lang w:val="es-ES"/>
        </w:rPr>
        <w:t xml:space="preserve">o que ha elevado la tasa de homicidios para el 2022 a 25,32 por cada 100.000 habitantes. Sobre datos de 2022 lo más preocupante es el número de casos resueltos, siendo solamente 308 los que tienen una sentencia resolutoria </w:t>
      </w:r>
      <w:r w:rsidRPr="00DA49BC">
        <w:rPr>
          <w:rFonts w:ascii="Times New Roman" w:hAnsi="Times New Roman" w:cs="Times New Roman"/>
          <w:szCs w:val="24"/>
          <w:vertAlign w:val="superscript"/>
          <w:lang w:val="es-ES"/>
        </w:rPr>
        <w:footnoteReference w:id="31"/>
      </w:r>
      <w:r w:rsidR="007467FF">
        <w:rPr>
          <w:rFonts w:ascii="Times New Roman" w:hAnsi="Times New Roman" w:cs="Times New Roman"/>
          <w:szCs w:val="24"/>
          <w:lang w:val="es-ES"/>
        </w:rPr>
        <w:t>.</w:t>
      </w:r>
    </w:p>
    <w:p w14:paraId="7A720ECA" w14:textId="77777777" w:rsidR="007467FF" w:rsidRPr="007467FF" w:rsidRDefault="007467FF" w:rsidP="007467FF">
      <w:pPr>
        <w:pStyle w:val="Prrafodelista"/>
        <w:rPr>
          <w:rFonts w:ascii="Times New Roman" w:hAnsi="Times New Roman" w:cs="Times New Roman"/>
          <w:szCs w:val="24"/>
          <w:lang w:val="es-ES"/>
        </w:rPr>
      </w:pPr>
    </w:p>
    <w:p w14:paraId="2B8C94D9" w14:textId="1A12AE4D" w:rsidR="007467FF" w:rsidRPr="007467FF" w:rsidRDefault="008B26B4" w:rsidP="007467FF">
      <w:pPr>
        <w:pStyle w:val="Prrafodelista"/>
        <w:numPr>
          <w:ilvl w:val="0"/>
          <w:numId w:val="1"/>
        </w:numPr>
        <w:spacing w:line="259" w:lineRule="auto"/>
        <w:jc w:val="both"/>
        <w:rPr>
          <w:rFonts w:ascii="Times New Roman" w:hAnsi="Times New Roman" w:cs="Times New Roman"/>
          <w:szCs w:val="24"/>
          <w:lang w:val="es-ES"/>
        </w:rPr>
      </w:pPr>
      <w:r w:rsidRPr="007467FF">
        <w:rPr>
          <w:rFonts w:ascii="Times New Roman" w:hAnsi="Times New Roman" w:cs="Times New Roman"/>
          <w:lang w:val="es-ES"/>
        </w:rPr>
        <w:t xml:space="preserve">Los datos de muertes violentas en Ecuador han aumentado de manera importante en el 2023. Según el Ministerio del Interior se registraron 8004 homicidios, lo que significa en una tasa de </w:t>
      </w:r>
      <w:r w:rsidRPr="007467FF">
        <w:rPr>
          <w:rFonts w:ascii="Times New Roman" w:hAnsi="Times New Roman" w:cs="Times New Roman"/>
          <w:lang w:val="es-ES"/>
        </w:rPr>
        <w:lastRenderedPageBreak/>
        <w:t xml:space="preserve">47,25 por cada 100 000 habitantes. </w:t>
      </w:r>
      <w:r w:rsidR="00484A7D" w:rsidRPr="00094D3E">
        <w:rPr>
          <w:rFonts w:ascii="Times New Roman" w:hAnsi="Times New Roman" w:cs="Times New Roman"/>
          <w:lang w:val="es-ES"/>
        </w:rPr>
        <w:t>Así,</w:t>
      </w:r>
      <w:r w:rsidRPr="00094D3E">
        <w:rPr>
          <w:rFonts w:ascii="Times New Roman" w:hAnsi="Times New Roman" w:cs="Times New Roman"/>
          <w:lang w:val="es-ES"/>
        </w:rPr>
        <w:t xml:space="preserve"> convirtiendo al Ecuador en el país más violento de América Latina, con 21.93 homicidios diarios.</w:t>
      </w:r>
      <w:r w:rsidRPr="00094D3E">
        <w:rPr>
          <w:vertAlign w:val="superscript"/>
          <w:lang w:val="es-ES"/>
        </w:rPr>
        <w:footnoteReference w:id="32"/>
      </w:r>
      <w:r w:rsidR="007467FF" w:rsidRPr="00094D3E">
        <w:rPr>
          <w:rFonts w:ascii="Times New Roman" w:hAnsi="Times New Roman" w:cs="Times New Roman"/>
          <w:vertAlign w:val="superscript"/>
          <w:lang w:val="es-ES"/>
        </w:rPr>
        <w:t xml:space="preserve"> </w:t>
      </w:r>
      <w:r w:rsidR="007467FF" w:rsidRPr="00094D3E">
        <w:rPr>
          <w:rFonts w:ascii="Times New Roman" w:eastAsia="Times New Roman" w:hAnsi="Times New Roman" w:cs="Times New Roman"/>
          <w:lang w:val="es" w:eastAsia="es-419"/>
        </w:rPr>
        <w:t>De hecho, E</w:t>
      </w:r>
      <w:r w:rsidR="007467FF" w:rsidRPr="00094D3E">
        <w:rPr>
          <w:rFonts w:ascii="Times New Roman" w:eastAsia="Times New Roman" w:hAnsi="Times New Roman" w:cs="Times New Roman"/>
          <w:lang w:val="es" w:eastAsia="es-419"/>
        </w:rPr>
        <w:t>cuador fue el país en donde más aumentó el número total de homicidios y la incidencia de la violencia homicida contr</w:t>
      </w:r>
      <w:r w:rsidR="007467FF" w:rsidRPr="007467FF">
        <w:rPr>
          <w:rFonts w:ascii="Times New Roman" w:eastAsia="Times New Roman" w:hAnsi="Times New Roman" w:cs="Times New Roman"/>
          <w:lang w:val="es" w:eastAsia="es-419"/>
        </w:rPr>
        <w:t>a personas LGBTI+</w:t>
      </w:r>
      <w:r w:rsidR="007467FF">
        <w:rPr>
          <w:rFonts w:ascii="Times New Roman" w:eastAsia="Times New Roman" w:hAnsi="Times New Roman" w:cs="Times New Roman"/>
          <w:lang w:val="es" w:eastAsia="es-419"/>
        </w:rPr>
        <w:t xml:space="preserve"> a América Latina</w:t>
      </w:r>
      <w:r w:rsidR="007467FF" w:rsidRPr="007467FF">
        <w:rPr>
          <w:rFonts w:ascii="Times New Roman" w:eastAsia="Times New Roman" w:hAnsi="Times New Roman" w:cs="Times New Roman"/>
          <w:lang w:val="es" w:eastAsia="es-419"/>
        </w:rPr>
        <w:t xml:space="preserve">. En total, </w:t>
      </w:r>
      <w:r w:rsidR="007467FF" w:rsidRPr="007467FF">
        <w:rPr>
          <w:rFonts w:ascii="Times New Roman" w:eastAsia="Times New Roman" w:hAnsi="Times New Roman" w:cs="Times New Roman"/>
          <w:b/>
          <w:lang w:val="es" w:eastAsia="es-419"/>
        </w:rPr>
        <w:t>22 personas LGBTI+ fueron asesinadas en ese país</w:t>
      </w:r>
      <w:r w:rsidR="007467FF">
        <w:rPr>
          <w:rFonts w:ascii="Times New Roman" w:eastAsia="Times New Roman" w:hAnsi="Times New Roman" w:cs="Times New Roman"/>
          <w:b/>
          <w:lang w:val="es" w:eastAsia="es-419"/>
        </w:rPr>
        <w:t xml:space="preserve"> durante 2023</w:t>
      </w:r>
      <w:r w:rsidR="007467FF" w:rsidRPr="007467FF">
        <w:rPr>
          <w:rFonts w:ascii="Times New Roman" w:eastAsia="Times New Roman" w:hAnsi="Times New Roman" w:cs="Times New Roman"/>
          <w:b/>
          <w:lang w:val="es" w:eastAsia="es-419"/>
        </w:rPr>
        <w:t>, un aumento del 145% frente a l</w:t>
      </w:r>
      <w:r w:rsidR="007467FF">
        <w:rPr>
          <w:rFonts w:ascii="Times New Roman" w:eastAsia="Times New Roman" w:hAnsi="Times New Roman" w:cs="Times New Roman"/>
          <w:b/>
          <w:lang w:val="es" w:eastAsia="es-419"/>
        </w:rPr>
        <w:t>o</w:t>
      </w:r>
      <w:r w:rsidR="007467FF" w:rsidRPr="007467FF">
        <w:rPr>
          <w:rFonts w:ascii="Times New Roman" w:eastAsia="Times New Roman" w:hAnsi="Times New Roman" w:cs="Times New Roman"/>
          <w:b/>
          <w:lang w:val="es" w:eastAsia="es-419"/>
        </w:rPr>
        <w:t>s nueve</w:t>
      </w:r>
      <w:r w:rsidR="007467FF">
        <w:rPr>
          <w:rFonts w:ascii="Times New Roman" w:eastAsia="Times New Roman" w:hAnsi="Times New Roman" w:cs="Times New Roman"/>
          <w:b/>
          <w:lang w:val="es" w:eastAsia="es-419"/>
        </w:rPr>
        <w:t xml:space="preserve"> homicidios</w:t>
      </w:r>
      <w:r w:rsidR="007467FF" w:rsidRPr="007467FF">
        <w:rPr>
          <w:rFonts w:ascii="Times New Roman" w:eastAsia="Times New Roman" w:hAnsi="Times New Roman" w:cs="Times New Roman"/>
          <w:b/>
          <w:lang w:val="es" w:eastAsia="es-419"/>
        </w:rPr>
        <w:t xml:space="preserve"> registrad</w:t>
      </w:r>
      <w:r w:rsidR="007467FF">
        <w:rPr>
          <w:rFonts w:ascii="Times New Roman" w:eastAsia="Times New Roman" w:hAnsi="Times New Roman" w:cs="Times New Roman"/>
          <w:b/>
          <w:lang w:val="es" w:eastAsia="es-419"/>
        </w:rPr>
        <w:t>o</w:t>
      </w:r>
      <w:r w:rsidR="007467FF" w:rsidRPr="007467FF">
        <w:rPr>
          <w:rFonts w:ascii="Times New Roman" w:eastAsia="Times New Roman" w:hAnsi="Times New Roman" w:cs="Times New Roman"/>
          <w:b/>
          <w:lang w:val="es" w:eastAsia="es-419"/>
        </w:rPr>
        <w:t>s en 2022</w:t>
      </w:r>
      <w:r w:rsidR="007467FF" w:rsidRPr="007467FF">
        <w:rPr>
          <w:rFonts w:ascii="Times New Roman" w:eastAsia="Times New Roman" w:hAnsi="Times New Roman" w:cs="Times New Roman"/>
          <w:b/>
          <w:vertAlign w:val="superscript"/>
          <w:lang w:val="es" w:eastAsia="es-419"/>
        </w:rPr>
        <w:footnoteReference w:id="33"/>
      </w:r>
      <w:r w:rsidR="007467FF" w:rsidRPr="007467FF">
        <w:rPr>
          <w:rFonts w:ascii="Times New Roman" w:eastAsia="Times New Roman" w:hAnsi="Times New Roman" w:cs="Times New Roman"/>
          <w:lang w:val="es" w:eastAsia="es-419"/>
        </w:rPr>
        <w:t xml:space="preserve">. Este aumento parece ser una consecuencia del aumento igualmente desproporcionado de </w:t>
      </w:r>
      <w:r w:rsidR="007467FF">
        <w:rPr>
          <w:rFonts w:ascii="Times New Roman" w:eastAsia="Times New Roman" w:hAnsi="Times New Roman" w:cs="Times New Roman"/>
          <w:lang w:val="es" w:eastAsia="es-419"/>
        </w:rPr>
        <w:t>l</w:t>
      </w:r>
      <w:r w:rsidR="007467FF" w:rsidRPr="007467FF">
        <w:rPr>
          <w:rFonts w:ascii="Times New Roman" w:eastAsia="Times New Roman" w:hAnsi="Times New Roman" w:cs="Times New Roman"/>
          <w:lang w:val="es" w:eastAsia="es-419"/>
        </w:rPr>
        <w:t>a tasa general de homicidios, que en 2023 fue la más alta de Centro y Sudamérica debido a la violencia del narcotráfico y el fortalecimiento del crimen organizado.</w:t>
      </w:r>
      <w:r w:rsidR="007467FF" w:rsidRPr="007467FF">
        <w:rPr>
          <w:rFonts w:eastAsia="Times New Roman"/>
          <w:vertAlign w:val="superscript"/>
          <w:lang w:val="es" w:eastAsia="es-419"/>
        </w:rPr>
        <w:footnoteReference w:id="34"/>
      </w:r>
      <w:r w:rsidR="007467FF" w:rsidRPr="007467FF">
        <w:rPr>
          <w:rFonts w:ascii="Times New Roman" w:eastAsia="Times New Roman" w:hAnsi="Times New Roman" w:cs="Times New Roman"/>
          <w:lang w:val="es" w:eastAsia="es-419"/>
        </w:rPr>
        <w:t xml:space="preserve"> </w:t>
      </w:r>
      <w:r w:rsidR="007467FF" w:rsidRPr="007467FF">
        <w:rPr>
          <w:rFonts w:ascii="Times New Roman" w:hAnsi="Times New Roman" w:cs="Times New Roman"/>
          <w:lang w:val="es-ES"/>
        </w:rPr>
        <w:t xml:space="preserve">De hecho, una buena parte de los asesinatos de personas LGBTI+ registrados en 2023 estarían relacionados con estos factores de </w:t>
      </w:r>
      <w:proofErr w:type="spellStart"/>
      <w:r w:rsidR="007467FF" w:rsidRPr="007467FF">
        <w:rPr>
          <w:rFonts w:ascii="Times New Roman" w:hAnsi="Times New Roman" w:cs="Times New Roman"/>
          <w:lang w:val="es-ES"/>
        </w:rPr>
        <w:t>macrocriminalidad</w:t>
      </w:r>
      <w:proofErr w:type="spellEnd"/>
      <w:r w:rsidR="007467FF" w:rsidRPr="007467FF">
        <w:rPr>
          <w:rFonts w:ascii="Times New Roman" w:hAnsi="Times New Roman" w:cs="Times New Roman"/>
          <w:lang w:val="es-ES"/>
        </w:rPr>
        <w:t>, ya que más de la mitad de los casos (12) fueron perpetrados con arma de fuego en modalidad de sicariato</w:t>
      </w:r>
      <w:r w:rsidR="007467FF">
        <w:rPr>
          <w:rFonts w:ascii="Times New Roman" w:hAnsi="Times New Roman" w:cs="Times New Roman"/>
          <w:lang w:val="es-ES"/>
        </w:rPr>
        <w:t>. Y</w:t>
      </w:r>
      <w:r w:rsidR="007467FF" w:rsidRPr="007467FF">
        <w:rPr>
          <w:rFonts w:ascii="Times New Roman" w:hAnsi="Times New Roman" w:cs="Times New Roman"/>
          <w:lang w:val="es-ES"/>
        </w:rPr>
        <w:t xml:space="preserve"> m</w:t>
      </w:r>
      <w:r w:rsidR="007467FF" w:rsidRPr="007467FF">
        <w:rPr>
          <w:rFonts w:ascii="Times New Roman" w:hAnsi="Times New Roman" w:cs="Times New Roman"/>
          <w:lang w:val="es-ES"/>
        </w:rPr>
        <w:t>ás de la mitad de las víctimas (15) eran mujeres trans</w:t>
      </w:r>
      <w:r w:rsidR="007467FF">
        <w:rPr>
          <w:rStyle w:val="Refdenotaalpie"/>
          <w:rFonts w:ascii="Times New Roman" w:hAnsi="Times New Roman" w:cs="Times New Roman"/>
          <w:lang w:val="es-ES"/>
        </w:rPr>
        <w:footnoteReference w:id="35"/>
      </w:r>
      <w:r w:rsidR="007467FF" w:rsidRPr="007467FF">
        <w:rPr>
          <w:rFonts w:ascii="Times New Roman" w:hAnsi="Times New Roman" w:cs="Times New Roman"/>
          <w:lang w:val="es-ES"/>
        </w:rPr>
        <w:t>.</w:t>
      </w:r>
    </w:p>
    <w:p w14:paraId="7FC09980" w14:textId="77777777" w:rsidR="008B26B4" w:rsidRPr="00DA49BC" w:rsidRDefault="008B26B4" w:rsidP="008B26B4">
      <w:pPr>
        <w:pStyle w:val="Prrafodelista"/>
        <w:spacing w:line="259" w:lineRule="auto"/>
        <w:ind w:left="360"/>
        <w:jc w:val="both"/>
        <w:rPr>
          <w:rFonts w:ascii="Times New Roman" w:hAnsi="Times New Roman" w:cs="Times New Roman"/>
          <w:szCs w:val="24"/>
          <w:lang w:val="es-ES"/>
        </w:rPr>
      </w:pPr>
    </w:p>
    <w:p w14:paraId="1ACDB46B" w14:textId="60FFD12C" w:rsidR="008B26B4" w:rsidRPr="00DA49BC" w:rsidRDefault="007467FF" w:rsidP="008B26B4">
      <w:pPr>
        <w:pStyle w:val="Prrafodelista"/>
        <w:numPr>
          <w:ilvl w:val="0"/>
          <w:numId w:val="1"/>
        </w:numPr>
        <w:spacing w:line="259" w:lineRule="auto"/>
        <w:jc w:val="both"/>
        <w:rPr>
          <w:rFonts w:ascii="Times New Roman" w:hAnsi="Times New Roman" w:cs="Times New Roman"/>
          <w:szCs w:val="24"/>
          <w:vertAlign w:val="superscript"/>
          <w:lang w:val="es-ES"/>
        </w:rPr>
      </w:pPr>
      <w:r w:rsidRPr="00DA49BC">
        <w:rPr>
          <w:rFonts w:ascii="Times New Roman" w:hAnsi="Times New Roman" w:cs="Times New Roman"/>
          <w:szCs w:val="24"/>
          <w:lang w:val="es-ES"/>
        </w:rPr>
        <w:t>Además,</w:t>
      </w:r>
      <w:r w:rsidR="008B26B4" w:rsidRPr="00DA49BC">
        <w:rPr>
          <w:rFonts w:ascii="Times New Roman" w:hAnsi="Times New Roman" w:cs="Times New Roman"/>
          <w:szCs w:val="24"/>
          <w:lang w:val="es-ES"/>
        </w:rPr>
        <w:t xml:space="preserve"> hay una grave crisis de desinstitucionalización del Estado derivado de una reducción importante de las capacidades de las instituciones y la nula intervención en materia de política social, sobre todo en el sistema penitenciario, la prevención de delitos</w:t>
      </w:r>
      <w:r>
        <w:rPr>
          <w:rFonts w:ascii="Times New Roman" w:hAnsi="Times New Roman" w:cs="Times New Roman"/>
          <w:szCs w:val="24"/>
          <w:lang w:val="es-ES"/>
        </w:rPr>
        <w:t>,</w:t>
      </w:r>
      <w:r w:rsidR="008B26B4" w:rsidRPr="00DA49BC">
        <w:rPr>
          <w:rFonts w:ascii="Times New Roman" w:hAnsi="Times New Roman" w:cs="Times New Roman"/>
          <w:szCs w:val="24"/>
          <w:lang w:val="es-ES"/>
        </w:rPr>
        <w:t xml:space="preserve"> el control de la corrupción y la impunidad en el sistema de justicia. </w:t>
      </w:r>
      <w:r w:rsidR="008B26B4" w:rsidRPr="00DA49BC">
        <w:rPr>
          <w:rFonts w:ascii="Times New Roman" w:hAnsi="Times New Roman" w:cs="Times New Roman"/>
          <w:szCs w:val="24"/>
          <w:vertAlign w:val="superscript"/>
          <w:lang w:val="es-ES"/>
        </w:rPr>
        <w:footnoteReference w:id="36"/>
      </w:r>
      <w:r w:rsidR="00484A7D">
        <w:rPr>
          <w:rFonts w:ascii="Times New Roman" w:hAnsi="Times New Roman" w:cs="Times New Roman"/>
          <w:szCs w:val="24"/>
          <w:lang w:val="es-ES"/>
        </w:rPr>
        <w:t xml:space="preserve"> </w:t>
      </w:r>
      <w:r>
        <w:rPr>
          <w:rFonts w:ascii="Times New Roman" w:hAnsi="Times New Roman" w:cs="Times New Roman"/>
          <w:szCs w:val="24"/>
          <w:lang w:val="es-ES"/>
        </w:rPr>
        <w:t>D</w:t>
      </w:r>
      <w:r w:rsidR="00484A7D" w:rsidRPr="00484A7D">
        <w:rPr>
          <w:rFonts w:ascii="Times New Roman" w:hAnsi="Times New Roman" w:cs="Times New Roman"/>
          <w:szCs w:val="24"/>
          <w:lang w:val="es-ES"/>
        </w:rPr>
        <w:t xml:space="preserve">e acuerdo con el censo penitenciario más reciente, en </w:t>
      </w:r>
      <w:r w:rsidR="00484A7D" w:rsidRPr="007467FF">
        <w:rPr>
          <w:rFonts w:ascii="Times New Roman" w:hAnsi="Times New Roman" w:cs="Times New Roman"/>
          <w:b/>
          <w:bCs/>
          <w:szCs w:val="24"/>
          <w:lang w:val="es-ES"/>
        </w:rPr>
        <w:t xml:space="preserve">Ecuador hay 73 mujeres trans distribuidas en las cárceles del país, </w:t>
      </w:r>
      <w:r w:rsidR="00484A7D" w:rsidRPr="00094D3E">
        <w:rPr>
          <w:rFonts w:ascii="Times New Roman" w:hAnsi="Times New Roman" w:cs="Times New Roman"/>
          <w:szCs w:val="24"/>
          <w:lang w:val="es-ES"/>
        </w:rPr>
        <w:t xml:space="preserve">datos de la sociedad civil, sostienen que la cifra es mayor. </w:t>
      </w:r>
      <w:r w:rsidR="00484A7D" w:rsidRPr="007467FF">
        <w:rPr>
          <w:rFonts w:ascii="Times New Roman" w:hAnsi="Times New Roman" w:cs="Times New Roman"/>
          <w:b/>
          <w:bCs/>
          <w:szCs w:val="24"/>
          <w:lang w:val="es-ES"/>
        </w:rPr>
        <w:t>En su mayoría recluidas en prisiones masculinas, las mujeres trans tratan de mantenerse unidas para protegerse mutuamente y vigilarse, en caso de que alguna de ellas desaparezca</w:t>
      </w:r>
      <w:r w:rsidR="00484A7D" w:rsidRPr="00484A7D">
        <w:rPr>
          <w:rFonts w:ascii="Times New Roman" w:hAnsi="Times New Roman" w:cs="Times New Roman"/>
          <w:szCs w:val="24"/>
          <w:lang w:val="es-ES"/>
        </w:rPr>
        <w:t>.</w:t>
      </w:r>
      <w:r w:rsidR="00484A7D">
        <w:rPr>
          <w:rStyle w:val="Refdenotaalpie"/>
          <w:rFonts w:ascii="Times New Roman" w:hAnsi="Times New Roman" w:cs="Times New Roman"/>
          <w:szCs w:val="24"/>
          <w:lang w:val="es-ES"/>
        </w:rPr>
        <w:footnoteReference w:id="37"/>
      </w:r>
      <w:r w:rsidR="00484A7D">
        <w:rPr>
          <w:rFonts w:ascii="Times New Roman" w:hAnsi="Times New Roman" w:cs="Times New Roman"/>
          <w:szCs w:val="24"/>
          <w:lang w:val="es-ES"/>
        </w:rPr>
        <w:t xml:space="preserve"> En particular, las organizaciones que tienen contacto con las mujeres trans privadas de la libertad reportan que en el marco de</w:t>
      </w:r>
      <w:r w:rsidR="00484A7D" w:rsidRPr="00484A7D">
        <w:rPr>
          <w:rFonts w:ascii="Times New Roman" w:hAnsi="Times New Roman" w:cs="Times New Roman"/>
          <w:szCs w:val="24"/>
          <w:lang w:val="es-ES"/>
        </w:rPr>
        <w:t xml:space="preserve"> la militarización de cárceles </w:t>
      </w:r>
      <w:r w:rsidR="00484A7D">
        <w:rPr>
          <w:rFonts w:ascii="Times New Roman" w:hAnsi="Times New Roman" w:cs="Times New Roman"/>
          <w:szCs w:val="24"/>
          <w:lang w:val="es-ES"/>
        </w:rPr>
        <w:t>se</w:t>
      </w:r>
      <w:r w:rsidR="00484A7D" w:rsidRPr="00484A7D">
        <w:rPr>
          <w:rFonts w:ascii="Times New Roman" w:hAnsi="Times New Roman" w:cs="Times New Roman"/>
          <w:szCs w:val="24"/>
          <w:lang w:val="es-ES"/>
        </w:rPr>
        <w:t xml:space="preserve"> han generado denuncias de torturas y abusos durante días, </w:t>
      </w:r>
      <w:r w:rsidR="00094D3E">
        <w:rPr>
          <w:rFonts w:ascii="Times New Roman" w:hAnsi="Times New Roman" w:cs="Times New Roman"/>
          <w:szCs w:val="24"/>
          <w:lang w:val="es-ES"/>
        </w:rPr>
        <w:t>reciben</w:t>
      </w:r>
      <w:r w:rsidR="00484A7D" w:rsidRPr="00484A7D">
        <w:rPr>
          <w:rFonts w:ascii="Times New Roman" w:hAnsi="Times New Roman" w:cs="Times New Roman"/>
          <w:szCs w:val="24"/>
          <w:lang w:val="es-ES"/>
        </w:rPr>
        <w:t xml:space="preserve"> malos tratos como ser bañad</w:t>
      </w:r>
      <w:r w:rsidR="00AE3278">
        <w:rPr>
          <w:rFonts w:ascii="Times New Roman" w:hAnsi="Times New Roman" w:cs="Times New Roman"/>
          <w:szCs w:val="24"/>
          <w:lang w:val="es-ES"/>
        </w:rPr>
        <w:t>a</w:t>
      </w:r>
      <w:r w:rsidR="00484A7D" w:rsidRPr="00484A7D">
        <w:rPr>
          <w:rFonts w:ascii="Times New Roman" w:hAnsi="Times New Roman" w:cs="Times New Roman"/>
          <w:szCs w:val="24"/>
          <w:lang w:val="es-ES"/>
        </w:rPr>
        <w:t>s con agua fría y recibir comida contaminada.</w:t>
      </w:r>
      <w:r w:rsidR="00AE3278">
        <w:rPr>
          <w:rStyle w:val="Refdenotaalpie"/>
          <w:rFonts w:ascii="Times New Roman" w:hAnsi="Times New Roman" w:cs="Times New Roman"/>
          <w:szCs w:val="24"/>
          <w:lang w:val="es-ES"/>
        </w:rPr>
        <w:footnoteReference w:id="38"/>
      </w:r>
    </w:p>
    <w:p w14:paraId="608F3C85" w14:textId="77777777" w:rsidR="008B26B4" w:rsidRPr="00DA49BC" w:rsidRDefault="008B26B4" w:rsidP="008B26B4">
      <w:pPr>
        <w:pStyle w:val="Prrafodelista"/>
        <w:spacing w:line="259" w:lineRule="auto"/>
        <w:ind w:left="360"/>
        <w:jc w:val="both"/>
        <w:rPr>
          <w:rFonts w:ascii="Times New Roman" w:hAnsi="Times New Roman" w:cs="Times New Roman"/>
          <w:szCs w:val="24"/>
          <w:lang w:val="es-ES"/>
        </w:rPr>
      </w:pPr>
    </w:p>
    <w:p w14:paraId="72119760" w14:textId="7150E041" w:rsidR="008B26B4" w:rsidRPr="00DA49BC" w:rsidRDefault="008B26B4" w:rsidP="008B26B4">
      <w:pPr>
        <w:pStyle w:val="Prrafodelista"/>
        <w:numPr>
          <w:ilvl w:val="0"/>
          <w:numId w:val="1"/>
        </w:numPr>
        <w:spacing w:line="259" w:lineRule="auto"/>
        <w:jc w:val="both"/>
        <w:rPr>
          <w:rFonts w:ascii="Times New Roman" w:hAnsi="Times New Roman" w:cs="Times New Roman"/>
          <w:szCs w:val="24"/>
          <w:lang w:val="es-ES"/>
        </w:rPr>
      </w:pPr>
      <w:r w:rsidRPr="00DA49BC">
        <w:rPr>
          <w:rFonts w:ascii="Times New Roman" w:hAnsi="Times New Roman" w:cs="Times New Roman"/>
          <w:szCs w:val="24"/>
          <w:lang w:val="es-ES"/>
        </w:rPr>
        <w:t xml:space="preserve">Con todo lo anterior, las personas LGBTIQ+ están más expuestas y son más vulnerables, primero porque sus garantías básicas de derechos humanos no están siendo atendidas por no ser consideradas como prioridad; y segundo porque </w:t>
      </w:r>
      <w:r w:rsidR="0052628B" w:rsidRPr="00DA49BC">
        <w:rPr>
          <w:rFonts w:ascii="Times New Roman" w:hAnsi="Times New Roman" w:cs="Times New Roman"/>
          <w:szCs w:val="24"/>
          <w:lang w:val="es-ES"/>
        </w:rPr>
        <w:t>esta</w:t>
      </w:r>
      <w:r w:rsidR="0052628B">
        <w:rPr>
          <w:rFonts w:ascii="Times New Roman" w:hAnsi="Times New Roman" w:cs="Times New Roman"/>
          <w:szCs w:val="24"/>
          <w:lang w:val="es-ES"/>
        </w:rPr>
        <w:t xml:space="preserve"> </w:t>
      </w:r>
      <w:r w:rsidR="0052628B" w:rsidRPr="00DA49BC">
        <w:rPr>
          <w:rFonts w:ascii="Times New Roman" w:hAnsi="Times New Roman" w:cs="Times New Roman"/>
          <w:szCs w:val="24"/>
          <w:lang w:val="es-ES"/>
        </w:rPr>
        <w:t>falta de garantías l</w:t>
      </w:r>
      <w:r w:rsidR="0052628B">
        <w:rPr>
          <w:rFonts w:ascii="Times New Roman" w:hAnsi="Times New Roman" w:cs="Times New Roman"/>
          <w:szCs w:val="24"/>
          <w:lang w:val="es-ES"/>
        </w:rPr>
        <w:t>a</w:t>
      </w:r>
      <w:r w:rsidR="0052628B" w:rsidRPr="00DA49BC">
        <w:rPr>
          <w:rFonts w:ascii="Times New Roman" w:hAnsi="Times New Roman" w:cs="Times New Roman"/>
          <w:szCs w:val="24"/>
          <w:lang w:val="es-ES"/>
        </w:rPr>
        <w:t>s hace</w:t>
      </w:r>
      <w:r w:rsidRPr="00DA49BC">
        <w:rPr>
          <w:rFonts w:ascii="Times New Roman" w:hAnsi="Times New Roman" w:cs="Times New Roman"/>
          <w:szCs w:val="24"/>
          <w:lang w:val="es-ES"/>
        </w:rPr>
        <w:t xml:space="preserve"> más vulnerables frente al crimen organizado. Un ejemplo claro de esto es el caso de Jessica Martínez, una mujer trans, afro, en movilidad humana interna, trabajadora sexual y defensora de los derechos humanos; que fue asesinada por 9 impactos de bala y en la vía pública; por no </w:t>
      </w:r>
      <w:r w:rsidRPr="00DA49BC">
        <w:rPr>
          <w:rFonts w:ascii="Times New Roman" w:hAnsi="Times New Roman" w:cs="Times New Roman"/>
          <w:szCs w:val="24"/>
          <w:lang w:val="es-ES"/>
        </w:rPr>
        <w:lastRenderedPageBreak/>
        <w:t>ceder a las extorsiones de entrega de dinero al crimen organizado y presentar la denuncia respectiva.</w:t>
      </w:r>
      <w:r w:rsidRPr="00DA49BC">
        <w:rPr>
          <w:rFonts w:ascii="Times New Roman" w:hAnsi="Times New Roman" w:cs="Times New Roman"/>
          <w:szCs w:val="24"/>
          <w:vertAlign w:val="superscript"/>
          <w:lang w:val="es-ES"/>
        </w:rPr>
        <w:footnoteReference w:id="39"/>
      </w:r>
    </w:p>
    <w:p w14:paraId="0C2B1117" w14:textId="77777777" w:rsidR="00D539E4" w:rsidRPr="008B26B4" w:rsidRDefault="00D539E4" w:rsidP="00D539E4">
      <w:pPr>
        <w:spacing w:line="259" w:lineRule="auto"/>
        <w:jc w:val="both"/>
        <w:rPr>
          <w:rFonts w:ascii="Times New Roman" w:eastAsia="Calibri" w:hAnsi="Times New Roman" w:cs="Times New Roman"/>
          <w:bCs/>
          <w:lang w:val="es-ES"/>
        </w:rPr>
      </w:pPr>
    </w:p>
    <w:p w14:paraId="5BEA6531" w14:textId="54318D89" w:rsidR="00D539E4" w:rsidRPr="00DA49BC" w:rsidRDefault="00094D3E" w:rsidP="00D539E4">
      <w:pPr>
        <w:spacing w:line="259" w:lineRule="auto"/>
        <w:contextualSpacing/>
        <w:jc w:val="both"/>
        <w:rPr>
          <w:rFonts w:ascii="Times New Roman" w:hAnsi="Times New Roman" w:cs="Times New Roman"/>
          <w:b/>
          <w:bCs/>
          <w:u w:val="single"/>
          <w:lang w:val="es-ES"/>
        </w:rPr>
      </w:pPr>
      <w:r>
        <w:rPr>
          <w:rFonts w:ascii="Times New Roman" w:hAnsi="Times New Roman" w:cs="Times New Roman"/>
          <w:b/>
          <w:bCs/>
          <w:u w:val="single"/>
          <w:lang w:val="es-ES"/>
        </w:rPr>
        <w:t>Acceso a la justicia:</w:t>
      </w:r>
      <w:r w:rsidR="00D539E4" w:rsidRPr="00DA49BC">
        <w:rPr>
          <w:rFonts w:ascii="Times New Roman" w:hAnsi="Times New Roman" w:cs="Times New Roman"/>
          <w:b/>
          <w:bCs/>
          <w:u w:val="single"/>
          <w:lang w:val="es-ES"/>
        </w:rPr>
        <w:t xml:space="preserve"> judicialización de los casos de homicidios de personas LGBTI</w:t>
      </w:r>
      <w:r w:rsidR="00691B8B">
        <w:rPr>
          <w:rFonts w:ascii="Times New Roman" w:hAnsi="Times New Roman" w:cs="Times New Roman"/>
          <w:b/>
          <w:bCs/>
          <w:u w:val="single"/>
          <w:lang w:val="es-ES"/>
        </w:rPr>
        <w:t>Q+</w:t>
      </w:r>
      <w:r w:rsidR="00D539E4" w:rsidRPr="00DA49BC">
        <w:rPr>
          <w:rFonts w:ascii="Times New Roman" w:hAnsi="Times New Roman" w:cs="Times New Roman"/>
          <w:b/>
          <w:bCs/>
          <w:u w:val="single"/>
          <w:lang w:val="es-ES"/>
        </w:rPr>
        <w:t xml:space="preserve"> </w:t>
      </w:r>
    </w:p>
    <w:p w14:paraId="4A38F047" w14:textId="77777777" w:rsidR="00D539E4" w:rsidRPr="00DA49BC" w:rsidRDefault="00D539E4" w:rsidP="00D539E4">
      <w:pPr>
        <w:pStyle w:val="Prrafodelista"/>
        <w:spacing w:line="259" w:lineRule="auto"/>
        <w:jc w:val="both"/>
        <w:rPr>
          <w:rFonts w:ascii="Times New Roman" w:hAnsi="Times New Roman" w:cs="Times New Roman"/>
          <w:szCs w:val="24"/>
          <w:lang w:val="es-ES"/>
        </w:rPr>
      </w:pPr>
    </w:p>
    <w:p w14:paraId="0FC6CDB6" w14:textId="57D1981F" w:rsidR="00D539E4" w:rsidRDefault="00D539E4" w:rsidP="00187BB2">
      <w:pPr>
        <w:pStyle w:val="Prrafodelista"/>
        <w:numPr>
          <w:ilvl w:val="0"/>
          <w:numId w:val="1"/>
        </w:numPr>
        <w:spacing w:line="259" w:lineRule="auto"/>
        <w:jc w:val="both"/>
        <w:rPr>
          <w:rFonts w:ascii="Times New Roman" w:eastAsia="Calibri" w:hAnsi="Times New Roman" w:cs="Times New Roman"/>
          <w:bCs/>
        </w:rPr>
      </w:pPr>
      <w:r w:rsidRPr="00DA49BC">
        <w:rPr>
          <w:rFonts w:ascii="Times New Roman" w:eastAsia="Calibri" w:hAnsi="Times New Roman" w:cs="Times New Roman"/>
          <w:bCs/>
        </w:rPr>
        <w:t xml:space="preserve">Las tasas de impunidad en el Ecuador son tan alarmantes como las de muertes violentas. </w:t>
      </w:r>
      <w:r w:rsidR="00187BB2">
        <w:rPr>
          <w:rFonts w:ascii="Times New Roman" w:eastAsia="Calibri" w:hAnsi="Times New Roman" w:cs="Times New Roman"/>
          <w:bCs/>
        </w:rPr>
        <w:t>Por ejemplo,</w:t>
      </w:r>
      <w:r w:rsidRPr="00DA49BC">
        <w:rPr>
          <w:rFonts w:ascii="Times New Roman" w:eastAsia="Calibri" w:hAnsi="Times New Roman" w:cs="Times New Roman"/>
          <w:bCs/>
        </w:rPr>
        <w:t xml:space="preserve"> en el 2023 hubieron alrededor de ocho mil muertes violentas, datos oficiales sugieren que más del 90% de los </w:t>
      </w:r>
      <w:r w:rsidR="00187BB2">
        <w:rPr>
          <w:rFonts w:ascii="Times New Roman" w:eastAsia="Calibri" w:hAnsi="Times New Roman" w:cs="Times New Roman"/>
          <w:bCs/>
        </w:rPr>
        <w:t>delitos</w:t>
      </w:r>
      <w:r w:rsidRPr="00DA49BC">
        <w:rPr>
          <w:rFonts w:ascii="Times New Roman" w:eastAsia="Calibri" w:hAnsi="Times New Roman" w:cs="Times New Roman"/>
          <w:bCs/>
        </w:rPr>
        <w:t xml:space="preserve"> cometidos en Ecuador en 2023 permanecen en la impunidad, esperando una resolución.</w:t>
      </w:r>
      <w:r>
        <w:rPr>
          <w:rStyle w:val="Refdenotaalpie"/>
          <w:rFonts w:ascii="Times New Roman" w:eastAsia="Calibri" w:hAnsi="Times New Roman" w:cs="Times New Roman"/>
          <w:bCs/>
        </w:rPr>
        <w:footnoteReference w:id="40"/>
      </w:r>
      <w:r w:rsidR="00187BB2">
        <w:rPr>
          <w:rFonts w:ascii="Times New Roman" w:eastAsia="Calibri" w:hAnsi="Times New Roman" w:cs="Times New Roman"/>
          <w:bCs/>
        </w:rPr>
        <w:t xml:space="preserve"> </w:t>
      </w:r>
      <w:r w:rsidRPr="00187BB2">
        <w:rPr>
          <w:rFonts w:ascii="Times New Roman" w:eastAsia="Calibri" w:hAnsi="Times New Roman" w:cs="Times New Roman"/>
          <w:bCs/>
        </w:rPr>
        <w:t xml:space="preserve">Entendiendo que esa es la situación general, lo que sucede con respecto a la investigación, seguimiento y resolución de casos donde las víctimas son personas de la diversidad se sexual y de género es mucho </w:t>
      </w:r>
      <w:r w:rsidR="00094D3E">
        <w:rPr>
          <w:rFonts w:ascii="Times New Roman" w:eastAsia="Calibri" w:hAnsi="Times New Roman" w:cs="Times New Roman"/>
          <w:bCs/>
        </w:rPr>
        <w:t>peor</w:t>
      </w:r>
      <w:r w:rsidRPr="00187BB2">
        <w:rPr>
          <w:rFonts w:ascii="Times New Roman" w:eastAsia="Calibri" w:hAnsi="Times New Roman" w:cs="Times New Roman"/>
          <w:bCs/>
        </w:rPr>
        <w:t>. A pesar de tener tipificado el delito de</w:t>
      </w:r>
      <w:r w:rsidR="00187BB2" w:rsidRPr="00187BB2">
        <w:rPr>
          <w:rFonts w:ascii="Times New Roman" w:eastAsia="Calibri" w:hAnsi="Times New Roman" w:cs="Times New Roman"/>
          <w:bCs/>
        </w:rPr>
        <w:t>, tortura,</w:t>
      </w:r>
      <w:r w:rsidRPr="00187BB2">
        <w:rPr>
          <w:rFonts w:ascii="Times New Roman" w:eastAsia="Calibri" w:hAnsi="Times New Roman" w:cs="Times New Roman"/>
          <w:bCs/>
        </w:rPr>
        <w:t xml:space="preserve"> odio, el delito de discriminación y tener tipificad</w:t>
      </w:r>
      <w:r w:rsidR="00094D3E">
        <w:rPr>
          <w:rFonts w:ascii="Times New Roman" w:eastAsia="Calibri" w:hAnsi="Times New Roman" w:cs="Times New Roman"/>
          <w:bCs/>
        </w:rPr>
        <w:t>a</w:t>
      </w:r>
      <w:r w:rsidRPr="00187BB2">
        <w:rPr>
          <w:rFonts w:ascii="Times New Roman" w:eastAsia="Calibri" w:hAnsi="Times New Roman" w:cs="Times New Roman"/>
          <w:bCs/>
        </w:rPr>
        <w:t xml:space="preserve"> como agravante </w:t>
      </w:r>
      <w:r w:rsidR="00094D3E">
        <w:rPr>
          <w:rFonts w:ascii="Times New Roman" w:eastAsia="Calibri" w:hAnsi="Times New Roman" w:cs="Times New Roman"/>
          <w:bCs/>
        </w:rPr>
        <w:t xml:space="preserve">de penas a </w:t>
      </w:r>
      <w:r w:rsidR="00187BB2">
        <w:rPr>
          <w:rFonts w:ascii="Times New Roman" w:eastAsia="Calibri" w:hAnsi="Times New Roman" w:cs="Times New Roman"/>
          <w:bCs/>
        </w:rPr>
        <w:t xml:space="preserve">la discriminación; no existen sentencias hasta la actualidad </w:t>
      </w:r>
      <w:r w:rsidRPr="00187BB2">
        <w:rPr>
          <w:rFonts w:ascii="Times New Roman" w:eastAsia="Calibri" w:hAnsi="Times New Roman" w:cs="Times New Roman"/>
          <w:bCs/>
        </w:rPr>
        <w:t>basada</w:t>
      </w:r>
      <w:r w:rsidR="00187BB2">
        <w:rPr>
          <w:rFonts w:ascii="Times New Roman" w:eastAsia="Calibri" w:hAnsi="Times New Roman" w:cs="Times New Roman"/>
          <w:bCs/>
        </w:rPr>
        <w:t>s</w:t>
      </w:r>
      <w:r w:rsidRPr="00187BB2">
        <w:rPr>
          <w:rFonts w:ascii="Times New Roman" w:eastAsia="Calibri" w:hAnsi="Times New Roman" w:cs="Times New Roman"/>
          <w:bCs/>
        </w:rPr>
        <w:t xml:space="preserve"> en estos tipos penales en cuanto a víctimas LGBTIQ+. </w:t>
      </w:r>
    </w:p>
    <w:p w14:paraId="64677B85" w14:textId="77777777" w:rsidR="009A5F96" w:rsidRPr="00187BB2" w:rsidRDefault="009A5F96" w:rsidP="009A5F96">
      <w:pPr>
        <w:pStyle w:val="Prrafodelista"/>
        <w:spacing w:line="259" w:lineRule="auto"/>
        <w:ind w:left="360"/>
        <w:jc w:val="both"/>
        <w:rPr>
          <w:rFonts w:ascii="Times New Roman" w:eastAsia="Calibri" w:hAnsi="Times New Roman" w:cs="Times New Roman"/>
          <w:bCs/>
        </w:rPr>
      </w:pPr>
    </w:p>
    <w:p w14:paraId="141B23C7" w14:textId="6691365C" w:rsidR="00D539E4" w:rsidRDefault="00187BB2" w:rsidP="00D539E4">
      <w:pPr>
        <w:pStyle w:val="Prrafodelista"/>
        <w:numPr>
          <w:ilvl w:val="0"/>
          <w:numId w:val="1"/>
        </w:numPr>
        <w:spacing w:line="259" w:lineRule="auto"/>
        <w:jc w:val="both"/>
        <w:rPr>
          <w:rFonts w:ascii="Times New Roman" w:eastAsia="Calibri" w:hAnsi="Times New Roman" w:cs="Times New Roman"/>
          <w:bCs/>
        </w:rPr>
      </w:pPr>
      <w:r w:rsidRPr="001F41EE">
        <w:rPr>
          <w:rFonts w:ascii="Times New Roman" w:eastAsia="Calibri" w:hAnsi="Times New Roman" w:cs="Times New Roman"/>
          <w:bCs/>
        </w:rPr>
        <w:t xml:space="preserve">El ejemplo más claro de esto es el no registro de la identidad de género ni la orientación sexual de las víctimas ni en la recepción de las denuncias ni en los procedimientos de investigación de muertes violentas, por lo que el único dato que se refleja en las investigaciones corresponde al sexo </w:t>
      </w:r>
      <w:r w:rsidR="00094D3E">
        <w:rPr>
          <w:rFonts w:ascii="Times New Roman" w:eastAsia="Calibri" w:hAnsi="Times New Roman" w:cs="Times New Roman"/>
          <w:bCs/>
        </w:rPr>
        <w:t>asignado</w:t>
      </w:r>
      <w:r w:rsidRPr="001F41EE">
        <w:rPr>
          <w:rFonts w:ascii="Times New Roman" w:eastAsia="Calibri" w:hAnsi="Times New Roman" w:cs="Times New Roman"/>
          <w:bCs/>
        </w:rPr>
        <w:t xml:space="preserve"> de las víctimas</w:t>
      </w:r>
      <w:r w:rsidR="00094D3E">
        <w:rPr>
          <w:rFonts w:ascii="Times New Roman" w:eastAsia="Calibri" w:hAnsi="Times New Roman" w:cs="Times New Roman"/>
          <w:bCs/>
        </w:rPr>
        <w:t xml:space="preserve"> en su documento de identidad, que no se encuentra conforme a su identidad de género</w:t>
      </w:r>
      <w:r w:rsidRPr="001F41EE">
        <w:rPr>
          <w:rFonts w:ascii="Times New Roman" w:eastAsia="Calibri" w:hAnsi="Times New Roman" w:cs="Times New Roman"/>
          <w:bCs/>
        </w:rPr>
        <w:t xml:space="preserve">. Esto trae como resultado que hasta la </w:t>
      </w:r>
      <w:r>
        <w:rPr>
          <w:rFonts w:ascii="Times New Roman" w:eastAsia="Calibri" w:hAnsi="Times New Roman" w:cs="Times New Roman"/>
          <w:bCs/>
        </w:rPr>
        <w:t>actualidad</w:t>
      </w:r>
      <w:r w:rsidRPr="001F41EE">
        <w:rPr>
          <w:rFonts w:ascii="Times New Roman" w:eastAsia="Calibri" w:hAnsi="Times New Roman" w:cs="Times New Roman"/>
          <w:bCs/>
        </w:rPr>
        <w:t xml:space="preserve"> no exista ninguna sentencia por delitos de odio y discriminación debido a la identidad de género.</w:t>
      </w:r>
      <w:r>
        <w:rPr>
          <w:rFonts w:ascii="Times New Roman" w:eastAsia="Calibri" w:hAnsi="Times New Roman" w:cs="Times New Roman"/>
          <w:bCs/>
        </w:rPr>
        <w:t xml:space="preserve"> </w:t>
      </w:r>
      <w:r w:rsidR="00D539E4" w:rsidRPr="00187BB2">
        <w:rPr>
          <w:rFonts w:ascii="Times New Roman" w:eastAsia="Calibri" w:hAnsi="Times New Roman" w:cs="Times New Roman"/>
          <w:bCs/>
        </w:rPr>
        <w:t xml:space="preserve">Esto quiere decir que en los procesos de denuncia de estos hechos o en los levantamientos de cadáver, no existe ningún espacio donde se pueda establecer estas características, lo que se traduce en que está información se pierde.  </w:t>
      </w:r>
    </w:p>
    <w:p w14:paraId="55A49D5C" w14:textId="77777777" w:rsidR="009A5F96" w:rsidRPr="009A5F96" w:rsidRDefault="009A5F96" w:rsidP="009A5F96">
      <w:pPr>
        <w:spacing w:line="259" w:lineRule="auto"/>
        <w:jc w:val="both"/>
        <w:rPr>
          <w:rFonts w:ascii="Times New Roman" w:eastAsia="Calibri" w:hAnsi="Times New Roman" w:cs="Times New Roman"/>
          <w:bCs/>
        </w:rPr>
      </w:pPr>
    </w:p>
    <w:p w14:paraId="70383593" w14:textId="273C0742" w:rsidR="00D539E4" w:rsidRDefault="00094D3E" w:rsidP="00D539E4">
      <w:pPr>
        <w:pStyle w:val="Prrafodelista"/>
        <w:numPr>
          <w:ilvl w:val="0"/>
          <w:numId w:val="1"/>
        </w:numPr>
        <w:spacing w:line="259" w:lineRule="auto"/>
        <w:jc w:val="both"/>
        <w:rPr>
          <w:rFonts w:ascii="Times New Roman" w:eastAsia="Calibri" w:hAnsi="Times New Roman" w:cs="Times New Roman"/>
          <w:bCs/>
        </w:rPr>
      </w:pPr>
      <w:r>
        <w:rPr>
          <w:rFonts w:ascii="Times New Roman" w:eastAsia="Calibri" w:hAnsi="Times New Roman" w:cs="Times New Roman"/>
          <w:bCs/>
        </w:rPr>
        <w:t xml:space="preserve">La </w:t>
      </w:r>
      <w:r w:rsidR="00D539E4" w:rsidRPr="00DA49BC">
        <w:rPr>
          <w:rFonts w:ascii="Times New Roman" w:eastAsia="Calibri" w:hAnsi="Times New Roman" w:cs="Times New Roman"/>
          <w:bCs/>
        </w:rPr>
        <w:t>Fundación PAKTA ha informado</w:t>
      </w:r>
      <w:r w:rsidR="00D539E4">
        <w:rPr>
          <w:rFonts w:ascii="Times New Roman" w:eastAsia="Calibri" w:hAnsi="Times New Roman" w:cs="Times New Roman"/>
          <w:bCs/>
        </w:rPr>
        <w:t xml:space="preserve"> a las autoridades</w:t>
      </w:r>
      <w:r w:rsidR="00D539E4" w:rsidRPr="00DA49BC">
        <w:rPr>
          <w:rFonts w:ascii="Times New Roman" w:eastAsia="Calibri" w:hAnsi="Times New Roman" w:cs="Times New Roman"/>
          <w:bCs/>
        </w:rPr>
        <w:t xml:space="preserve"> sobre los casos registrados, además, ha solicitado información sobre la investigación de </w:t>
      </w:r>
      <w:proofErr w:type="gramStart"/>
      <w:r w:rsidR="00D539E4" w:rsidRPr="00DA49BC">
        <w:rPr>
          <w:rFonts w:ascii="Times New Roman" w:eastAsia="Calibri" w:hAnsi="Times New Roman" w:cs="Times New Roman"/>
          <w:bCs/>
        </w:rPr>
        <w:t>los mismos</w:t>
      </w:r>
      <w:proofErr w:type="gramEnd"/>
      <w:r w:rsidR="00D539E4" w:rsidRPr="00DA49BC">
        <w:rPr>
          <w:rFonts w:ascii="Times New Roman" w:eastAsia="Calibri" w:hAnsi="Times New Roman" w:cs="Times New Roman"/>
          <w:bCs/>
        </w:rPr>
        <w:t>, pero no h</w:t>
      </w:r>
      <w:r>
        <w:rPr>
          <w:rFonts w:ascii="Times New Roman" w:eastAsia="Calibri" w:hAnsi="Times New Roman" w:cs="Times New Roman"/>
          <w:bCs/>
        </w:rPr>
        <w:t>a</w:t>
      </w:r>
      <w:r w:rsidR="00D539E4" w:rsidRPr="00DA49BC">
        <w:rPr>
          <w:rFonts w:ascii="Times New Roman" w:eastAsia="Calibri" w:hAnsi="Times New Roman" w:cs="Times New Roman"/>
          <w:bCs/>
        </w:rPr>
        <w:t xml:space="preserve"> recibido respuesta hasta la actualidad. Adicionalmente, </w:t>
      </w:r>
      <w:r>
        <w:rPr>
          <w:rFonts w:ascii="Times New Roman" w:eastAsia="Calibri" w:hAnsi="Times New Roman" w:cs="Times New Roman"/>
          <w:bCs/>
        </w:rPr>
        <w:t>se han</w:t>
      </w:r>
      <w:r w:rsidR="00D539E4" w:rsidRPr="00DA49BC">
        <w:rPr>
          <w:rFonts w:ascii="Times New Roman" w:eastAsia="Calibri" w:hAnsi="Times New Roman" w:cs="Times New Roman"/>
          <w:bCs/>
        </w:rPr>
        <w:t xml:space="preserve"> efectuado búsquedas en los sistemas de información públicos (sistemas de información de procesos judiciales), pero sin éxito; pues en la gran mayoría de los casos los registros están con el nombre legal de la persona y esto dificulta la búsqueda</w:t>
      </w:r>
      <w:r>
        <w:rPr>
          <w:rFonts w:ascii="Times New Roman" w:eastAsia="Calibri" w:hAnsi="Times New Roman" w:cs="Times New Roman"/>
          <w:bCs/>
        </w:rPr>
        <w:t xml:space="preserve"> de casos de personas trans</w:t>
      </w:r>
      <w:r w:rsidR="00D539E4" w:rsidRPr="00DA49BC">
        <w:rPr>
          <w:rFonts w:ascii="Times New Roman" w:eastAsia="Calibri" w:hAnsi="Times New Roman" w:cs="Times New Roman"/>
          <w:bCs/>
        </w:rPr>
        <w:t>; lo que es una barrera no solo en la investigación sino en el seguimiento</w:t>
      </w:r>
      <w:r>
        <w:rPr>
          <w:rFonts w:ascii="Times New Roman" w:eastAsia="Calibri" w:hAnsi="Times New Roman" w:cs="Times New Roman"/>
          <w:bCs/>
        </w:rPr>
        <w:t xml:space="preserve"> de casos</w:t>
      </w:r>
      <w:r w:rsidR="00D539E4" w:rsidRPr="00DA49BC">
        <w:rPr>
          <w:rFonts w:ascii="Times New Roman" w:eastAsia="Calibri" w:hAnsi="Times New Roman" w:cs="Times New Roman"/>
          <w:bCs/>
        </w:rPr>
        <w:t xml:space="preserve"> que hace la sociedad civil. </w:t>
      </w:r>
    </w:p>
    <w:p w14:paraId="376C2FA8" w14:textId="77777777" w:rsidR="00D539E4" w:rsidRPr="00DA49BC" w:rsidRDefault="00D539E4" w:rsidP="00D539E4">
      <w:pPr>
        <w:pStyle w:val="Prrafodelista"/>
        <w:rPr>
          <w:rFonts w:ascii="Times New Roman" w:eastAsia="Calibri" w:hAnsi="Times New Roman" w:cs="Times New Roman"/>
          <w:bCs/>
        </w:rPr>
      </w:pPr>
    </w:p>
    <w:p w14:paraId="55806B1B" w14:textId="7DBF6EB3" w:rsidR="00D539E4" w:rsidRPr="009A5F96" w:rsidRDefault="00D539E4" w:rsidP="009A5F96">
      <w:pPr>
        <w:pStyle w:val="Prrafodelista"/>
        <w:numPr>
          <w:ilvl w:val="0"/>
          <w:numId w:val="1"/>
        </w:numPr>
        <w:spacing w:line="259" w:lineRule="auto"/>
        <w:jc w:val="both"/>
        <w:rPr>
          <w:rFonts w:ascii="Times New Roman" w:eastAsia="Calibri" w:hAnsi="Times New Roman" w:cs="Times New Roman"/>
          <w:bCs/>
          <w:i/>
          <w:iCs/>
        </w:rPr>
      </w:pPr>
      <w:r w:rsidRPr="00DA49BC">
        <w:rPr>
          <w:rFonts w:ascii="Times New Roman" w:eastAsia="Calibri" w:hAnsi="Times New Roman" w:cs="Times New Roman"/>
          <w:bCs/>
        </w:rPr>
        <w:lastRenderedPageBreak/>
        <w:t xml:space="preserve">A pesar de todo lo anterior, existió un precedente importantísimo para la tramitación de estas muertes, y es que </w:t>
      </w:r>
      <w:r w:rsidR="00094D3E">
        <w:rPr>
          <w:rFonts w:ascii="Times New Roman" w:eastAsia="Calibri" w:hAnsi="Times New Roman" w:cs="Times New Roman"/>
          <w:bCs/>
        </w:rPr>
        <w:t xml:space="preserve">en </w:t>
      </w:r>
      <w:r w:rsidRPr="00DA49BC">
        <w:rPr>
          <w:rFonts w:ascii="Times New Roman" w:eastAsia="Calibri" w:hAnsi="Times New Roman" w:cs="Times New Roman"/>
          <w:bCs/>
        </w:rPr>
        <w:t>mayo de 2024 se ejecut</w:t>
      </w:r>
      <w:r w:rsidR="00094D3E">
        <w:rPr>
          <w:rFonts w:ascii="Times New Roman" w:eastAsia="Calibri" w:hAnsi="Times New Roman" w:cs="Times New Roman"/>
          <w:bCs/>
        </w:rPr>
        <w:t>ó</w:t>
      </w:r>
      <w:r w:rsidRPr="00DA49BC">
        <w:rPr>
          <w:rFonts w:ascii="Times New Roman" w:eastAsia="Calibri" w:hAnsi="Times New Roman" w:cs="Times New Roman"/>
          <w:bCs/>
        </w:rPr>
        <w:t xml:space="preserve"> la </w:t>
      </w:r>
      <w:r w:rsidRPr="00094D3E">
        <w:rPr>
          <w:rFonts w:ascii="Times New Roman" w:eastAsia="Calibri" w:hAnsi="Times New Roman" w:cs="Times New Roman"/>
          <w:b/>
        </w:rPr>
        <w:t>primera sentencia por el tipo penal de FEMICIDIO p</w:t>
      </w:r>
      <w:r w:rsidR="00094D3E" w:rsidRPr="00094D3E">
        <w:rPr>
          <w:rFonts w:ascii="Times New Roman" w:eastAsia="Calibri" w:hAnsi="Times New Roman" w:cs="Times New Roman"/>
          <w:b/>
        </w:rPr>
        <w:t xml:space="preserve">ara </w:t>
      </w:r>
      <w:r w:rsidRPr="00094D3E">
        <w:rPr>
          <w:rFonts w:ascii="Times New Roman" w:eastAsia="Calibri" w:hAnsi="Times New Roman" w:cs="Times New Roman"/>
          <w:b/>
        </w:rPr>
        <w:t>el asesinato de una mujer trans.</w:t>
      </w:r>
      <w:r w:rsidRPr="00DA49BC">
        <w:rPr>
          <w:rFonts w:ascii="Times New Roman" w:eastAsia="Calibri" w:hAnsi="Times New Roman" w:cs="Times New Roman"/>
          <w:bCs/>
        </w:rPr>
        <w:t xml:space="preserve"> Pero además es el primer caso en el Ecuador en el que se trata a una mujer trans durante todo el proceso </w:t>
      </w:r>
      <w:r w:rsidR="00094D3E">
        <w:rPr>
          <w:rFonts w:ascii="Times New Roman" w:eastAsia="Calibri" w:hAnsi="Times New Roman" w:cs="Times New Roman"/>
          <w:bCs/>
        </w:rPr>
        <w:t>según su pronombre e identidad de género</w:t>
      </w:r>
      <w:r w:rsidRPr="00DA49BC">
        <w:rPr>
          <w:rFonts w:ascii="Times New Roman" w:eastAsia="Calibri" w:hAnsi="Times New Roman" w:cs="Times New Roman"/>
          <w:bCs/>
        </w:rPr>
        <w:t xml:space="preserve"> femenin</w:t>
      </w:r>
      <w:r w:rsidR="00094D3E">
        <w:rPr>
          <w:rFonts w:ascii="Times New Roman" w:eastAsia="Calibri" w:hAnsi="Times New Roman" w:cs="Times New Roman"/>
          <w:bCs/>
        </w:rPr>
        <w:t>a</w:t>
      </w:r>
      <w:r w:rsidRPr="00DA49BC">
        <w:rPr>
          <w:rFonts w:ascii="Times New Roman" w:eastAsia="Calibri" w:hAnsi="Times New Roman" w:cs="Times New Roman"/>
          <w:bCs/>
        </w:rPr>
        <w:t xml:space="preserve">, pero además se analiza la protección que deben tener las mujeres trans </w:t>
      </w:r>
      <w:proofErr w:type="gramStart"/>
      <w:r w:rsidRPr="00DA49BC">
        <w:rPr>
          <w:rFonts w:ascii="Times New Roman" w:eastAsia="Calibri" w:hAnsi="Times New Roman" w:cs="Times New Roman"/>
          <w:bCs/>
        </w:rPr>
        <w:t>en razón de</w:t>
      </w:r>
      <w:proofErr w:type="gramEnd"/>
      <w:r w:rsidRPr="00DA49BC">
        <w:rPr>
          <w:rFonts w:ascii="Times New Roman" w:eastAsia="Calibri" w:hAnsi="Times New Roman" w:cs="Times New Roman"/>
          <w:bCs/>
        </w:rPr>
        <w:t xml:space="preserve"> su identidad</w:t>
      </w:r>
      <w:r w:rsidRPr="009A5F96">
        <w:rPr>
          <w:rFonts w:ascii="Times New Roman" w:eastAsia="Calibri" w:hAnsi="Times New Roman" w:cs="Times New Roman"/>
          <w:bCs/>
          <w:i/>
          <w:iCs/>
        </w:rPr>
        <w:t xml:space="preserve">. </w:t>
      </w:r>
      <w:r w:rsidRPr="00DA49BC">
        <w:rPr>
          <w:rStyle w:val="Refdenotaalpie"/>
          <w:rFonts w:ascii="Times New Roman" w:eastAsia="Calibri" w:hAnsi="Times New Roman" w:cs="Times New Roman"/>
          <w:bCs/>
          <w:i/>
          <w:iCs/>
        </w:rPr>
        <w:footnoteReference w:id="41"/>
      </w:r>
    </w:p>
    <w:p w14:paraId="3A99CC5E" w14:textId="77777777" w:rsidR="00D539E4" w:rsidRPr="00DA49BC" w:rsidRDefault="00D539E4" w:rsidP="00D539E4">
      <w:pPr>
        <w:spacing w:line="259" w:lineRule="auto"/>
        <w:jc w:val="both"/>
        <w:rPr>
          <w:rFonts w:ascii="Times New Roman" w:eastAsia="Calibri" w:hAnsi="Times New Roman" w:cs="Times New Roman"/>
          <w:bCs/>
        </w:rPr>
      </w:pPr>
    </w:p>
    <w:p w14:paraId="33364B8A" w14:textId="189A9FF0" w:rsidR="00DB2B0E" w:rsidRPr="009A5293" w:rsidRDefault="00D539E4" w:rsidP="00D539E4">
      <w:pPr>
        <w:pStyle w:val="Prrafodelista"/>
        <w:numPr>
          <w:ilvl w:val="0"/>
          <w:numId w:val="1"/>
        </w:numPr>
        <w:spacing w:line="259" w:lineRule="auto"/>
        <w:jc w:val="both"/>
        <w:rPr>
          <w:rFonts w:ascii="Times New Roman" w:eastAsia="Calibri" w:hAnsi="Times New Roman" w:cs="Times New Roman"/>
          <w:bCs/>
        </w:rPr>
      </w:pPr>
      <w:r w:rsidRPr="00DA49BC">
        <w:rPr>
          <w:rFonts w:ascii="Times New Roman" w:eastAsia="Calibri" w:hAnsi="Times New Roman" w:cs="Times New Roman"/>
          <w:bCs/>
        </w:rPr>
        <w:t xml:space="preserve">Este precedente puede marcar un </w:t>
      </w:r>
      <w:r w:rsidR="00094D3E">
        <w:rPr>
          <w:rFonts w:ascii="Times New Roman" w:eastAsia="Calibri" w:hAnsi="Times New Roman" w:cs="Times New Roman"/>
          <w:bCs/>
        </w:rPr>
        <w:t>precedente</w:t>
      </w:r>
      <w:r w:rsidRPr="00DA49BC">
        <w:rPr>
          <w:rFonts w:ascii="Times New Roman" w:eastAsia="Calibri" w:hAnsi="Times New Roman" w:cs="Times New Roman"/>
          <w:bCs/>
        </w:rPr>
        <w:t xml:space="preserve"> en los delitos de la tramitación, investigación y juzgamiento de los delitos que se comenten en circunstancias similares a las de este hecho (cuando las víctimas son mujeres trans)</w:t>
      </w:r>
      <w:r w:rsidR="00FC0E29">
        <w:rPr>
          <w:rFonts w:ascii="Times New Roman" w:eastAsia="Calibri" w:hAnsi="Times New Roman" w:cs="Times New Roman"/>
          <w:bCs/>
        </w:rPr>
        <w:t xml:space="preserve">. Sin embargo, este caso </w:t>
      </w:r>
      <w:r w:rsidR="0052628B">
        <w:rPr>
          <w:rFonts w:ascii="Times New Roman" w:eastAsia="Calibri" w:hAnsi="Times New Roman" w:cs="Times New Roman"/>
          <w:bCs/>
        </w:rPr>
        <w:t>fue resuelto por un</w:t>
      </w:r>
      <w:r w:rsidR="00FC0E29">
        <w:rPr>
          <w:rFonts w:ascii="Times New Roman" w:eastAsia="Calibri" w:hAnsi="Times New Roman" w:cs="Times New Roman"/>
          <w:bCs/>
        </w:rPr>
        <w:t xml:space="preserve"> tribunal penal ordinario, es decir que no genera ninguna regla jurisprudencial. </w:t>
      </w:r>
      <w:r w:rsidR="0052628B">
        <w:rPr>
          <w:rFonts w:ascii="Times New Roman" w:eastAsia="Calibri" w:hAnsi="Times New Roman" w:cs="Times New Roman"/>
          <w:bCs/>
        </w:rPr>
        <w:t>Sin embargo,</w:t>
      </w:r>
      <w:r w:rsidR="00FC0E29">
        <w:rPr>
          <w:rFonts w:ascii="Times New Roman" w:eastAsia="Calibri" w:hAnsi="Times New Roman" w:cs="Times New Roman"/>
          <w:bCs/>
        </w:rPr>
        <w:t xml:space="preserve"> </w:t>
      </w:r>
      <w:r w:rsidRPr="00DA49BC">
        <w:rPr>
          <w:rFonts w:ascii="Times New Roman" w:eastAsia="Calibri" w:hAnsi="Times New Roman" w:cs="Times New Roman"/>
          <w:bCs/>
        </w:rPr>
        <w:t xml:space="preserve">este precedente </w:t>
      </w:r>
      <w:r w:rsidR="0052628B">
        <w:rPr>
          <w:rFonts w:ascii="Times New Roman" w:eastAsia="Calibri" w:hAnsi="Times New Roman" w:cs="Times New Roman"/>
          <w:bCs/>
        </w:rPr>
        <w:t>permite</w:t>
      </w:r>
      <w:r w:rsidRPr="00DA49BC">
        <w:rPr>
          <w:rFonts w:ascii="Times New Roman" w:eastAsia="Calibri" w:hAnsi="Times New Roman" w:cs="Times New Roman"/>
          <w:bCs/>
        </w:rPr>
        <w:t xml:space="preserve"> exigir la</w:t>
      </w:r>
      <w:r w:rsidR="00FC0E29">
        <w:rPr>
          <w:rFonts w:ascii="Times New Roman" w:eastAsia="Calibri" w:hAnsi="Times New Roman" w:cs="Times New Roman"/>
          <w:bCs/>
        </w:rPr>
        <w:t xml:space="preserve"> ampliación de las políticas de persecución de delitos </w:t>
      </w:r>
      <w:r w:rsidR="0052628B">
        <w:rPr>
          <w:rFonts w:ascii="Times New Roman" w:eastAsia="Calibri" w:hAnsi="Times New Roman" w:cs="Times New Roman"/>
          <w:bCs/>
        </w:rPr>
        <w:t>a</w:t>
      </w:r>
      <w:r w:rsidR="00FC0E29">
        <w:rPr>
          <w:rFonts w:ascii="Times New Roman" w:eastAsia="Calibri" w:hAnsi="Times New Roman" w:cs="Times New Roman"/>
          <w:bCs/>
        </w:rPr>
        <w:t xml:space="preserve"> favor de las mujeres trans, a través de la</w:t>
      </w:r>
      <w:r w:rsidRPr="00DA49BC">
        <w:rPr>
          <w:rFonts w:ascii="Times New Roman" w:eastAsia="Calibri" w:hAnsi="Times New Roman" w:cs="Times New Roman"/>
          <w:bCs/>
        </w:rPr>
        <w:t xml:space="preserve"> utilización del “Protocolo Nacional para investigar Femicidios y otras muertes violentas de mujeres y niñas” publicado por la Fiscalía General del Estado Ecuatoriano en 2022. </w:t>
      </w:r>
      <w:r w:rsidRPr="00DA49BC">
        <w:rPr>
          <w:rStyle w:val="Refdenotaalpie"/>
          <w:rFonts w:ascii="Times New Roman" w:eastAsia="Calibri" w:hAnsi="Times New Roman" w:cs="Times New Roman"/>
          <w:bCs/>
          <w:szCs w:val="24"/>
        </w:rPr>
        <w:footnoteReference w:id="42"/>
      </w:r>
    </w:p>
    <w:p w14:paraId="50AC46DB" w14:textId="77777777" w:rsidR="002E1B60" w:rsidRPr="00D539E4" w:rsidRDefault="002E1B60" w:rsidP="00D50D57">
      <w:pPr>
        <w:pStyle w:val="Prrafodelista"/>
        <w:spacing w:line="240" w:lineRule="auto"/>
        <w:rPr>
          <w:rFonts w:ascii="Times New Roman" w:hAnsi="Times New Roman" w:cs="Times New Roman"/>
          <w:szCs w:val="24"/>
        </w:rPr>
      </w:pPr>
    </w:p>
    <w:p w14:paraId="416E5304" w14:textId="5F67BF3C" w:rsidR="00D50D57" w:rsidRPr="00D539E4" w:rsidRDefault="00D50D57" w:rsidP="009A5293">
      <w:pPr>
        <w:ind w:left="426" w:hanging="284"/>
        <w:contextualSpacing/>
        <w:jc w:val="both"/>
        <w:rPr>
          <w:rFonts w:ascii="Times New Roman" w:hAnsi="Times New Roman" w:cs="Times New Roman"/>
          <w:b/>
          <w:bCs/>
          <w:u w:val="single"/>
          <w:lang w:val="es-ES"/>
        </w:rPr>
      </w:pPr>
      <w:r w:rsidRPr="00A47AD6">
        <w:rPr>
          <w:rFonts w:ascii="Times New Roman" w:hAnsi="Times New Roman" w:cs="Times New Roman"/>
          <w:b/>
          <w:bCs/>
          <w:lang w:val="es-ES"/>
        </w:rPr>
        <w:tab/>
      </w:r>
      <w:r w:rsidRPr="00D539E4">
        <w:rPr>
          <w:rFonts w:ascii="Times New Roman" w:hAnsi="Times New Roman" w:cs="Times New Roman"/>
          <w:b/>
          <w:bCs/>
          <w:u w:val="single"/>
          <w:lang w:val="es-ES"/>
        </w:rPr>
        <w:t>Familias en su Diversidad y Matrimonio Igualitario</w:t>
      </w:r>
      <w:r w:rsidR="0052628B">
        <w:rPr>
          <w:rFonts w:ascii="Times New Roman" w:hAnsi="Times New Roman" w:cs="Times New Roman"/>
          <w:b/>
          <w:bCs/>
          <w:u w:val="single"/>
          <w:lang w:val="es-ES"/>
        </w:rPr>
        <w:t xml:space="preserve"> (Artículos 17, 23</w:t>
      </w:r>
      <w:r w:rsidR="009A5293">
        <w:rPr>
          <w:rFonts w:ascii="Times New Roman" w:hAnsi="Times New Roman" w:cs="Times New Roman"/>
          <w:b/>
          <w:bCs/>
          <w:u w:val="single"/>
          <w:lang w:val="es-ES"/>
        </w:rPr>
        <w:t>, 24</w:t>
      </w:r>
      <w:r w:rsidR="0052628B">
        <w:rPr>
          <w:rFonts w:ascii="Times New Roman" w:hAnsi="Times New Roman" w:cs="Times New Roman"/>
          <w:b/>
          <w:bCs/>
          <w:u w:val="single"/>
          <w:lang w:val="es-ES"/>
        </w:rPr>
        <w:t xml:space="preserve"> y 26)</w:t>
      </w:r>
      <w:r w:rsidRPr="00D539E4">
        <w:rPr>
          <w:rFonts w:ascii="Times New Roman" w:hAnsi="Times New Roman" w:cs="Times New Roman"/>
          <w:b/>
          <w:bCs/>
          <w:u w:val="single"/>
          <w:lang w:val="es-ES"/>
        </w:rPr>
        <w:t>:</w:t>
      </w:r>
    </w:p>
    <w:p w14:paraId="4073A4C8" w14:textId="77777777" w:rsidR="00D50D57" w:rsidRPr="00A47AD6" w:rsidRDefault="00D50D57" w:rsidP="00D50D57">
      <w:pPr>
        <w:contextualSpacing/>
        <w:jc w:val="both"/>
        <w:rPr>
          <w:rFonts w:ascii="Times New Roman" w:hAnsi="Times New Roman" w:cs="Times New Roman"/>
          <w:b/>
          <w:bCs/>
          <w:lang w:val="es-ES"/>
        </w:rPr>
      </w:pPr>
    </w:p>
    <w:p w14:paraId="2F856ED0" w14:textId="361187F6" w:rsidR="00D50D57" w:rsidRPr="002E1B60" w:rsidRDefault="00D50D57" w:rsidP="002E1B60">
      <w:pPr>
        <w:pStyle w:val="Prrafodelista"/>
        <w:numPr>
          <w:ilvl w:val="0"/>
          <w:numId w:val="1"/>
        </w:numPr>
        <w:spacing w:line="240" w:lineRule="auto"/>
        <w:contextualSpacing/>
        <w:jc w:val="both"/>
        <w:rPr>
          <w:rFonts w:ascii="Times New Roman" w:hAnsi="Times New Roman" w:cs="Times New Roman"/>
          <w:lang w:val="es-ES"/>
        </w:rPr>
      </w:pPr>
      <w:r w:rsidRPr="002E1B60">
        <w:rPr>
          <w:rFonts w:ascii="Times New Roman" w:hAnsi="Times New Roman" w:cs="Times New Roman"/>
          <w:lang w:val="es-ES"/>
        </w:rPr>
        <w:t>E</w:t>
      </w:r>
      <w:r w:rsidR="0052628B">
        <w:rPr>
          <w:rFonts w:ascii="Times New Roman" w:hAnsi="Times New Roman" w:cs="Times New Roman"/>
          <w:lang w:val="es-ES"/>
        </w:rPr>
        <w:t xml:space="preserve">n </w:t>
      </w:r>
      <w:r w:rsidRPr="002E1B60">
        <w:rPr>
          <w:rFonts w:ascii="Times New Roman" w:hAnsi="Times New Roman" w:cs="Times New Roman"/>
          <w:lang w:val="es-ES"/>
        </w:rPr>
        <w:t xml:space="preserve">2019 la Corte Constitucional del Ecuador emitió dos sentencias que reconocieron el Matrimonio Igualitario en Ecuador, </w:t>
      </w:r>
      <w:r w:rsidR="0052628B">
        <w:rPr>
          <w:rFonts w:ascii="Times New Roman" w:hAnsi="Times New Roman" w:cs="Times New Roman"/>
          <w:lang w:val="es-ES"/>
        </w:rPr>
        <w:t>(</w:t>
      </w:r>
      <w:r w:rsidRPr="002E1B60">
        <w:rPr>
          <w:rFonts w:ascii="Times New Roman" w:hAnsi="Times New Roman" w:cs="Times New Roman"/>
          <w:lang w:val="es-ES"/>
        </w:rPr>
        <w:t>la No.10-18-CN/19 y la No.11-18-CN/19</w:t>
      </w:r>
      <w:r w:rsidR="0052628B">
        <w:rPr>
          <w:rFonts w:ascii="Times New Roman" w:hAnsi="Times New Roman" w:cs="Times New Roman"/>
          <w:lang w:val="es-ES"/>
        </w:rPr>
        <w:t>)</w:t>
      </w:r>
      <w:r w:rsidRPr="002E1B60">
        <w:rPr>
          <w:rFonts w:ascii="Times New Roman" w:hAnsi="Times New Roman" w:cs="Times New Roman"/>
          <w:lang w:val="es-ES"/>
        </w:rPr>
        <w:t xml:space="preserve">.  Si bien estas sentencias permitieron de manera automática el acceso a las parejas del mismo sexo al matrimonio civil, el Ecuador no ha realizado </w:t>
      </w:r>
      <w:r w:rsidRPr="002E1B60">
        <w:rPr>
          <w:rFonts w:ascii="Times New Roman" w:hAnsi="Times New Roman" w:cs="Times New Roman"/>
          <w:color w:val="000000" w:themeColor="text1"/>
          <w:lang w:val="es-ES"/>
        </w:rPr>
        <w:t>los cambios normativos en</w:t>
      </w:r>
      <w:r w:rsidR="0052628B">
        <w:rPr>
          <w:rFonts w:ascii="Times New Roman" w:hAnsi="Times New Roman" w:cs="Times New Roman"/>
          <w:color w:val="000000" w:themeColor="text1"/>
          <w:lang w:val="es-ES"/>
        </w:rPr>
        <w:t xml:space="preserve"> el </w:t>
      </w:r>
      <w:r w:rsidRPr="002E1B60">
        <w:rPr>
          <w:rFonts w:ascii="Times New Roman" w:hAnsi="Times New Roman" w:cs="Times New Roman"/>
          <w:color w:val="000000" w:themeColor="text1"/>
          <w:lang w:val="es-ES"/>
        </w:rPr>
        <w:t xml:space="preserve">Código Civil, Ley Orgánica de Gestión de la Identidad y Datos Civiles y Código de la Niñez y la Adolescencia. La iniciativa legislativa de ninguna entidad del Estado se ha activado para cumplir estas sentencias, es decir, la Función Ejecutiva, la Legislativa y la Defensoría del Pueblo, no han </w:t>
      </w:r>
      <w:r w:rsidR="0052628B">
        <w:rPr>
          <w:rFonts w:ascii="Times New Roman" w:hAnsi="Times New Roman" w:cs="Times New Roman"/>
          <w:color w:val="000000" w:themeColor="text1"/>
          <w:lang w:val="es-ES"/>
        </w:rPr>
        <w:t xml:space="preserve">presentado </w:t>
      </w:r>
      <w:r w:rsidRPr="002E1B60">
        <w:rPr>
          <w:rFonts w:ascii="Times New Roman" w:hAnsi="Times New Roman" w:cs="Times New Roman"/>
          <w:color w:val="000000" w:themeColor="text1"/>
          <w:lang w:val="es-ES"/>
        </w:rPr>
        <w:t xml:space="preserve">ninguna </w:t>
      </w:r>
      <w:r w:rsidR="0052628B">
        <w:rPr>
          <w:rFonts w:ascii="Times New Roman" w:hAnsi="Times New Roman" w:cs="Times New Roman"/>
          <w:color w:val="000000" w:themeColor="text1"/>
          <w:lang w:val="es-ES"/>
        </w:rPr>
        <w:t>propuesta de modificación</w:t>
      </w:r>
      <w:r w:rsidRPr="002E1B60">
        <w:rPr>
          <w:rFonts w:ascii="Times New Roman" w:hAnsi="Times New Roman" w:cs="Times New Roman"/>
          <w:color w:val="000000" w:themeColor="text1"/>
          <w:lang w:val="es-ES"/>
        </w:rPr>
        <w:t xml:space="preserve"> de estas normas. Adicionalmente, la Corte Constitucional no ha realizado de manera oportuna y rápida </w:t>
      </w:r>
      <w:r w:rsidR="0052628B">
        <w:rPr>
          <w:rFonts w:ascii="Times New Roman" w:hAnsi="Times New Roman" w:cs="Times New Roman"/>
          <w:color w:val="000000" w:themeColor="text1"/>
          <w:lang w:val="es-ES"/>
        </w:rPr>
        <w:t>el</w:t>
      </w:r>
      <w:r w:rsidRPr="002E1B60">
        <w:rPr>
          <w:rFonts w:ascii="Times New Roman" w:hAnsi="Times New Roman" w:cs="Times New Roman"/>
          <w:color w:val="000000" w:themeColor="text1"/>
          <w:lang w:val="es-ES"/>
        </w:rPr>
        <w:t xml:space="preserve"> seguimiento </w:t>
      </w:r>
      <w:r w:rsidR="0052628B">
        <w:rPr>
          <w:rFonts w:ascii="Times New Roman" w:hAnsi="Times New Roman" w:cs="Times New Roman"/>
          <w:color w:val="000000" w:themeColor="text1"/>
          <w:lang w:val="es-ES"/>
        </w:rPr>
        <w:t>a</w:t>
      </w:r>
      <w:r w:rsidRPr="002E1B60">
        <w:rPr>
          <w:rFonts w:ascii="Times New Roman" w:hAnsi="Times New Roman" w:cs="Times New Roman"/>
          <w:color w:val="000000" w:themeColor="text1"/>
          <w:lang w:val="es-ES"/>
        </w:rPr>
        <w:t xml:space="preserve"> la implementación de las medidas de reparación ordenadas en sus sentencias.</w:t>
      </w:r>
    </w:p>
    <w:p w14:paraId="13232CCD" w14:textId="77777777" w:rsidR="00712FFD" w:rsidRPr="00712FFD" w:rsidRDefault="00712FFD" w:rsidP="00712FFD">
      <w:pPr>
        <w:contextualSpacing/>
        <w:jc w:val="both"/>
        <w:rPr>
          <w:rFonts w:ascii="Times New Roman" w:hAnsi="Times New Roman" w:cs="Times New Roman"/>
          <w:lang w:val="es-ES" w:eastAsia="en-US"/>
        </w:rPr>
      </w:pPr>
    </w:p>
    <w:p w14:paraId="6F977756" w14:textId="237F6698"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El reconocimiento del Matrimonio Civil Igualitario causó un fuerte rechazo social, que incide en el incremento del nivel de violencia hacia la población LGBTIQ+ en espacios públicos. Ello se refleja en los resultados del Barómetro de las Américas, que en el estudio que hace al Ecuador en el año 2019 determina que más del 30% de la población está en desacuerdo con el Matrimonio Igualitario.</w:t>
      </w:r>
      <w:r w:rsidRPr="00A47AD6">
        <w:rPr>
          <w:rFonts w:ascii="Times New Roman" w:hAnsi="Times New Roman" w:cs="Times New Roman"/>
          <w:szCs w:val="24"/>
          <w:vertAlign w:val="superscript"/>
          <w:lang w:val="es-ES"/>
        </w:rPr>
        <w:footnoteReference w:id="43"/>
      </w:r>
      <w:r w:rsidRPr="00A47AD6">
        <w:rPr>
          <w:rFonts w:ascii="Times New Roman" w:hAnsi="Times New Roman" w:cs="Times New Roman"/>
          <w:szCs w:val="24"/>
          <w:lang w:val="es-ES"/>
        </w:rPr>
        <w:t xml:space="preserve"> Sin embargo, para Barómetro de las Américas la aceptación en Ecuador de los matrimonios de parejas del mismo sexo ascendió al 33%.</w:t>
      </w:r>
      <w:r w:rsidRPr="00A47AD6">
        <w:rPr>
          <w:rStyle w:val="Refdenotaalpie"/>
          <w:rFonts w:ascii="Times New Roman" w:hAnsi="Times New Roman" w:cs="Times New Roman"/>
          <w:szCs w:val="24"/>
          <w:lang w:val="es-ES"/>
        </w:rPr>
        <w:footnoteReference w:id="44"/>
      </w:r>
      <w:r w:rsidRPr="00A47AD6">
        <w:rPr>
          <w:rFonts w:ascii="Times New Roman" w:hAnsi="Times New Roman" w:cs="Times New Roman"/>
          <w:szCs w:val="24"/>
          <w:lang w:val="es-ES"/>
        </w:rPr>
        <w:t xml:space="preserve"> Ahora bien, en lo que implica tener datos reales sobre matrimonios del mismo sexo, uniones de hecho de estas parejas y sus composiciones familiares (hijos e hijas registrados por estas parejas),</w:t>
      </w:r>
      <w:r w:rsidRPr="00A47AD6">
        <w:rPr>
          <w:rStyle w:val="Refdenotaalpie"/>
          <w:rFonts w:ascii="Times New Roman" w:hAnsi="Times New Roman" w:cs="Times New Roman"/>
          <w:szCs w:val="24"/>
          <w:lang w:val="es-ES"/>
        </w:rPr>
        <w:footnoteReference w:id="45"/>
      </w:r>
      <w:r w:rsidRPr="00A47AD6">
        <w:rPr>
          <w:rFonts w:ascii="Times New Roman" w:hAnsi="Times New Roman" w:cs="Times New Roman"/>
          <w:szCs w:val="24"/>
          <w:lang w:val="es-ES"/>
        </w:rPr>
        <w:t xml:space="preserve"> es aún un </w:t>
      </w:r>
      <w:r w:rsidRPr="00A47AD6">
        <w:rPr>
          <w:rFonts w:ascii="Times New Roman" w:hAnsi="Times New Roman" w:cs="Times New Roman"/>
          <w:szCs w:val="24"/>
          <w:lang w:val="es-ES"/>
        </w:rPr>
        <w:lastRenderedPageBreak/>
        <w:t>problema para el INEC y el Registro Civil; ya que los datos no son elaborados de manera periódica o no los realizan.</w:t>
      </w:r>
      <w:r w:rsidRPr="00A47AD6">
        <w:rPr>
          <w:rStyle w:val="Refdenotaalpie"/>
          <w:rFonts w:ascii="Times New Roman" w:hAnsi="Times New Roman" w:cs="Times New Roman"/>
          <w:szCs w:val="24"/>
          <w:lang w:val="es-ES"/>
        </w:rPr>
        <w:footnoteReference w:id="46"/>
      </w:r>
      <w:r w:rsidRPr="00A47AD6">
        <w:rPr>
          <w:rFonts w:ascii="Times New Roman" w:hAnsi="Times New Roman" w:cs="Times New Roman"/>
          <w:szCs w:val="24"/>
          <w:lang w:val="es-ES"/>
        </w:rPr>
        <w:t xml:space="preserve"> </w:t>
      </w:r>
    </w:p>
    <w:p w14:paraId="20CA1F32" w14:textId="77777777" w:rsidR="00D50D57" w:rsidRPr="00A47AD6" w:rsidRDefault="00D50D57" w:rsidP="00D50D57">
      <w:pPr>
        <w:rPr>
          <w:rFonts w:ascii="Times New Roman" w:hAnsi="Times New Roman" w:cs="Times New Roman"/>
          <w:lang w:val="es-ES" w:eastAsia="en-US"/>
        </w:rPr>
      </w:pPr>
    </w:p>
    <w:p w14:paraId="051B8BDF" w14:textId="427F5859"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En lo que respecta a las decisiones de la Corte Constitucional sobre la garantía de derechos de la población LGBTIQ+, se puede señalar que, si bien estas han sentado precedente, las mismas se remiten a la Asamblea Nacional para que legisle y materialice dichas sentencias. Esto ha generado un obstáculo para el ejercicio de derechos</w:t>
      </w:r>
      <w:r w:rsidR="0052628B">
        <w:rPr>
          <w:rFonts w:ascii="Times New Roman" w:hAnsi="Times New Roman" w:cs="Times New Roman"/>
          <w:szCs w:val="24"/>
          <w:lang w:val="es-ES"/>
        </w:rPr>
        <w:t>, ya que la Asamblea se niega a hacerlo</w:t>
      </w:r>
      <w:r w:rsidRPr="00A47AD6">
        <w:rPr>
          <w:rFonts w:ascii="Times New Roman" w:hAnsi="Times New Roman" w:cs="Times New Roman"/>
          <w:szCs w:val="24"/>
          <w:lang w:val="es-ES"/>
        </w:rPr>
        <w:t>. Estas sentencias son las siguientes:</w:t>
      </w:r>
    </w:p>
    <w:p w14:paraId="0CD1A12A" w14:textId="77777777" w:rsidR="00D50D57" w:rsidRPr="00A47AD6" w:rsidRDefault="00D50D57" w:rsidP="00D50D57">
      <w:pPr>
        <w:jc w:val="both"/>
        <w:rPr>
          <w:rFonts w:ascii="Times New Roman" w:hAnsi="Times New Roman" w:cs="Times New Roman"/>
          <w:lang w:val="es-ES" w:eastAsia="en-US"/>
        </w:rPr>
      </w:pPr>
    </w:p>
    <w:tbl>
      <w:tblPr>
        <w:tblStyle w:val="Tablaconcuadrcula"/>
        <w:tblW w:w="9050" w:type="dxa"/>
        <w:tblInd w:w="421" w:type="dxa"/>
        <w:tblLook w:val="04A0" w:firstRow="1" w:lastRow="0" w:firstColumn="1" w:lastColumn="0" w:noHBand="0" w:noVBand="1"/>
      </w:tblPr>
      <w:tblGrid>
        <w:gridCol w:w="2385"/>
        <w:gridCol w:w="6665"/>
      </w:tblGrid>
      <w:tr w:rsidR="00D50D57" w:rsidRPr="00A47AD6" w14:paraId="24F150FB" w14:textId="77777777" w:rsidTr="0052628B">
        <w:trPr>
          <w:trHeight w:val="843"/>
        </w:trPr>
        <w:tc>
          <w:tcPr>
            <w:tcW w:w="2385" w:type="dxa"/>
          </w:tcPr>
          <w:p w14:paraId="61206FBE"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val="es-ES" w:eastAsia="en-US"/>
              </w:rPr>
              <w:t>Sentencia No.184-18-SEP-CC, de 29 de mayo de 2018</w:t>
            </w:r>
          </w:p>
        </w:tc>
        <w:tc>
          <w:tcPr>
            <w:tcW w:w="6665" w:type="dxa"/>
          </w:tcPr>
          <w:p w14:paraId="346BC1A9"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val="es-ES" w:eastAsia="en-US"/>
              </w:rPr>
              <w:t>Para el respeto y garantía de la filiación de los y las hijas de las parejas del mismo sexo, la Corte Constitucional ordena a la Asamblea Nacional la reforma legal.</w:t>
            </w:r>
          </w:p>
        </w:tc>
      </w:tr>
      <w:tr w:rsidR="00D50D57" w:rsidRPr="00A47AD6" w14:paraId="392AC106" w14:textId="77777777" w:rsidTr="0052628B">
        <w:trPr>
          <w:trHeight w:val="1112"/>
        </w:trPr>
        <w:tc>
          <w:tcPr>
            <w:tcW w:w="2385" w:type="dxa"/>
          </w:tcPr>
          <w:p w14:paraId="58BC65D4"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val="es-ES" w:eastAsia="en-US"/>
              </w:rPr>
              <w:t>Sentencia No.10-18-CN/19 de 12 de junio de 2019</w:t>
            </w:r>
          </w:p>
        </w:tc>
        <w:tc>
          <w:tcPr>
            <w:tcW w:w="6665" w:type="dxa"/>
          </w:tcPr>
          <w:p w14:paraId="4E9B5C24" w14:textId="77777777" w:rsidR="00D50D57" w:rsidRPr="00A47AD6" w:rsidRDefault="00D50D57">
            <w:pPr>
              <w:jc w:val="both"/>
              <w:rPr>
                <w:rFonts w:ascii="Times New Roman" w:hAnsi="Times New Roman" w:cs="Times New Roman"/>
                <w:lang w:val="es-ES" w:eastAsia="en-US"/>
              </w:rPr>
            </w:pPr>
            <w:r w:rsidRPr="00A47AD6">
              <w:rPr>
                <w:rFonts w:ascii="Times New Roman" w:hAnsi="Times New Roman" w:cs="Times New Roman"/>
                <w:lang w:val="es-ES" w:eastAsia="en-US"/>
              </w:rPr>
              <w:t>Para equiparar de manera integral el matrimonio Igualitario, la Corte Constitucional ordenó a la Asamblea Nacional la reforma del Código Civil y la Ley de Gestión de la Identidad y Registro Civil.</w:t>
            </w:r>
          </w:p>
        </w:tc>
      </w:tr>
    </w:tbl>
    <w:p w14:paraId="383BC4E5" w14:textId="77777777" w:rsidR="00D50D57" w:rsidRPr="00A47AD6" w:rsidRDefault="00D50D57" w:rsidP="00D50D57">
      <w:pPr>
        <w:jc w:val="both"/>
        <w:rPr>
          <w:rFonts w:ascii="Times New Roman" w:hAnsi="Times New Roman" w:cs="Times New Roman"/>
          <w:lang w:val="es-ES" w:eastAsia="en-US"/>
        </w:rPr>
      </w:pPr>
    </w:p>
    <w:p w14:paraId="67FD4421" w14:textId="2DD88BF5"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Hasta la fecha ninguna de estas sentencias ha sido cumplida por la Asamblea Nacional. La única reforma realizada fue </w:t>
      </w:r>
      <w:r w:rsidR="009A5293">
        <w:rPr>
          <w:rFonts w:ascii="Times New Roman" w:hAnsi="Times New Roman" w:cs="Times New Roman"/>
          <w:szCs w:val="24"/>
          <w:lang w:val="es-ES"/>
        </w:rPr>
        <w:t>en</w:t>
      </w:r>
      <w:r w:rsidRPr="00A47AD6">
        <w:rPr>
          <w:rFonts w:ascii="Times New Roman" w:hAnsi="Times New Roman" w:cs="Times New Roman"/>
          <w:szCs w:val="24"/>
          <w:lang w:val="es-ES"/>
        </w:rPr>
        <w:t xml:space="preserve"> 2024 en la Ley de Gestión de la Identidad y Registro Civil, donde</w:t>
      </w:r>
      <w:r w:rsidR="009A5293">
        <w:rPr>
          <w:rFonts w:ascii="Times New Roman" w:hAnsi="Times New Roman" w:cs="Times New Roman"/>
          <w:szCs w:val="24"/>
          <w:lang w:val="es-ES"/>
        </w:rPr>
        <w:t xml:space="preserve"> se</w:t>
      </w:r>
      <w:r w:rsidRPr="00A47AD6">
        <w:rPr>
          <w:rFonts w:ascii="Times New Roman" w:hAnsi="Times New Roman" w:cs="Times New Roman"/>
          <w:szCs w:val="24"/>
          <w:lang w:val="es-ES"/>
        </w:rPr>
        <w:t xml:space="preserve"> limita a eliminar el artículo que prohibía la inscripción de matrimonios de parejas del mismo sexo.</w:t>
      </w:r>
      <w:r w:rsidRPr="00A47AD6">
        <w:rPr>
          <w:rStyle w:val="Refdenotaalpie"/>
          <w:rFonts w:ascii="Times New Roman" w:hAnsi="Times New Roman" w:cs="Times New Roman"/>
          <w:szCs w:val="24"/>
          <w:lang w:val="es-ES"/>
        </w:rPr>
        <w:footnoteReference w:id="47"/>
      </w:r>
      <w:r w:rsidRPr="00A47AD6">
        <w:rPr>
          <w:rFonts w:ascii="Times New Roman" w:hAnsi="Times New Roman" w:cs="Times New Roman"/>
          <w:szCs w:val="24"/>
          <w:lang w:val="es-ES"/>
        </w:rPr>
        <w:t xml:space="preserve"> Este cambio normativo no desarrolló garantía</w:t>
      </w:r>
      <w:r w:rsidR="00712FFD">
        <w:rPr>
          <w:rFonts w:ascii="Times New Roman" w:hAnsi="Times New Roman" w:cs="Times New Roman"/>
          <w:szCs w:val="24"/>
          <w:lang w:val="es-ES"/>
        </w:rPr>
        <w:t>s</w:t>
      </w:r>
      <w:r w:rsidRPr="00A47AD6">
        <w:rPr>
          <w:rFonts w:ascii="Times New Roman" w:hAnsi="Times New Roman" w:cs="Times New Roman"/>
          <w:szCs w:val="24"/>
          <w:lang w:val="es-ES"/>
        </w:rPr>
        <w:t xml:space="preserve"> respecto a la inscripción y registro de hijos e hijas de parejas del mismo sexo, ni sobre el derecho a la voluntad procreacional, ignorando nuevamente los derechos de hijos e hijas de parejas del mismo sexo en Ecuador.</w:t>
      </w:r>
    </w:p>
    <w:p w14:paraId="7A2B9601" w14:textId="77777777" w:rsidR="00D50D57" w:rsidRPr="00A47AD6" w:rsidRDefault="00D50D57" w:rsidP="00D50D57">
      <w:pPr>
        <w:pStyle w:val="Prrafodelista"/>
        <w:spacing w:line="240" w:lineRule="auto"/>
        <w:ind w:left="360"/>
        <w:contextualSpacing/>
        <w:jc w:val="both"/>
        <w:rPr>
          <w:rFonts w:ascii="Times New Roman" w:hAnsi="Times New Roman" w:cs="Times New Roman"/>
          <w:szCs w:val="24"/>
          <w:lang w:val="es-ES"/>
        </w:rPr>
      </w:pPr>
    </w:p>
    <w:p w14:paraId="75269367" w14:textId="6D261F14"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Especialmente, en lo que respecta a la filiación y el registro de hijos e hijas de parejas del mismo sexo, el Registro Civil del Ecuador de manera arbitraria no acata la Sentencia No.184-18-SEP-CC, limitando el acceso al registro solo a </w:t>
      </w:r>
      <w:proofErr w:type="gramStart"/>
      <w:r w:rsidRPr="00A47AD6">
        <w:rPr>
          <w:rFonts w:ascii="Times New Roman" w:hAnsi="Times New Roman" w:cs="Times New Roman"/>
          <w:szCs w:val="24"/>
          <w:lang w:val="es-ES"/>
        </w:rPr>
        <w:t>niños y niñas</w:t>
      </w:r>
      <w:proofErr w:type="gramEnd"/>
      <w:r w:rsidRPr="00A47AD6">
        <w:rPr>
          <w:rFonts w:ascii="Times New Roman" w:hAnsi="Times New Roman" w:cs="Times New Roman"/>
          <w:szCs w:val="24"/>
          <w:lang w:val="es-ES"/>
        </w:rPr>
        <w:t xml:space="preserve"> de parejas del mismo sexo producto de un mecanismo de reproducción asistida que se encuentre certificado por un profesional de la salud. Además, esta entidad solo admite la inscripción de hijos e hijas de parejas lesbianas,</w:t>
      </w:r>
      <w:r w:rsidRPr="00A47AD6">
        <w:rPr>
          <w:rStyle w:val="Refdenotaalpie"/>
          <w:rFonts w:ascii="Times New Roman" w:hAnsi="Times New Roman" w:cs="Times New Roman"/>
          <w:szCs w:val="24"/>
          <w:lang w:val="es-ES"/>
        </w:rPr>
        <w:footnoteReference w:id="48"/>
      </w:r>
      <w:r w:rsidRPr="00A47AD6">
        <w:rPr>
          <w:rFonts w:ascii="Times New Roman" w:hAnsi="Times New Roman" w:cs="Times New Roman"/>
          <w:szCs w:val="24"/>
          <w:lang w:val="es-ES"/>
        </w:rPr>
        <w:t xml:space="preserve"> sin que esto haya sido dispuesto por la Corte Constitucional.</w:t>
      </w:r>
      <w:r w:rsidRPr="00A47AD6">
        <w:rPr>
          <w:rStyle w:val="Refdenotaalpie"/>
          <w:rFonts w:ascii="Times New Roman" w:hAnsi="Times New Roman" w:cs="Times New Roman"/>
          <w:szCs w:val="24"/>
          <w:lang w:val="es-ES"/>
        </w:rPr>
        <w:footnoteReference w:id="49"/>
      </w:r>
      <w:r w:rsidRPr="00A47AD6">
        <w:rPr>
          <w:rFonts w:ascii="Times New Roman" w:hAnsi="Times New Roman" w:cs="Times New Roman"/>
          <w:szCs w:val="24"/>
          <w:lang w:val="es-ES"/>
        </w:rPr>
        <w:t xml:space="preserve"> Estas decisiones arbitraras están produciendo vulneraciones directas al derecho a la identidad y los derechos conexos de la niñez involucrada, en especial en el ámbito de la salud y la educación.</w:t>
      </w:r>
      <w:r w:rsidRPr="00A47AD6">
        <w:rPr>
          <w:rStyle w:val="Refdenotaalpie"/>
          <w:rFonts w:ascii="Times New Roman" w:hAnsi="Times New Roman" w:cs="Times New Roman"/>
          <w:szCs w:val="24"/>
          <w:lang w:val="es-ES"/>
        </w:rPr>
        <w:footnoteReference w:id="50"/>
      </w:r>
    </w:p>
    <w:p w14:paraId="63F1DDF6" w14:textId="77777777" w:rsidR="00D50D57" w:rsidRPr="00A47AD6" w:rsidRDefault="00D50D57" w:rsidP="00D50D57">
      <w:pPr>
        <w:rPr>
          <w:rFonts w:ascii="Times New Roman" w:hAnsi="Times New Roman" w:cs="Times New Roman"/>
          <w:lang w:val="es-ES" w:eastAsia="en-US"/>
        </w:rPr>
      </w:pPr>
    </w:p>
    <w:p w14:paraId="50DD16D5" w14:textId="6FE1125D"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eastAsia="en-US"/>
        </w:rPr>
      </w:pPr>
      <w:r w:rsidRPr="00A47AD6">
        <w:rPr>
          <w:rFonts w:ascii="Times New Roman" w:hAnsi="Times New Roman" w:cs="Times New Roman"/>
          <w:szCs w:val="24"/>
          <w:lang w:val="es-ES"/>
        </w:rPr>
        <w:t xml:space="preserve">En este orden de ideas, las parejas del mismo sexo que no cuentan con la capacidad económica para un mecanismo médico de reproducción asistida recurren a otras formas de reproducción. </w:t>
      </w:r>
      <w:r w:rsidRPr="00A47AD6">
        <w:rPr>
          <w:rFonts w:ascii="Times New Roman" w:hAnsi="Times New Roman" w:cs="Times New Roman"/>
          <w:szCs w:val="24"/>
          <w:lang w:val="es-ES"/>
        </w:rPr>
        <w:lastRenderedPageBreak/>
        <w:t>Sin embargo, el Registro Civil no permite que se registre a los hijos e hijas de parejas del mismo sexo que se hayan gestado de esta manera</w:t>
      </w:r>
      <w:r w:rsidR="009A5293">
        <w:rPr>
          <w:rFonts w:ascii="Times New Roman" w:hAnsi="Times New Roman" w:cs="Times New Roman"/>
          <w:szCs w:val="24"/>
          <w:lang w:val="es-ES"/>
        </w:rPr>
        <w:t>. E</w:t>
      </w:r>
      <w:r w:rsidRPr="00A47AD6">
        <w:rPr>
          <w:rFonts w:ascii="Times New Roman" w:hAnsi="Times New Roman" w:cs="Times New Roman"/>
          <w:szCs w:val="24"/>
          <w:lang w:val="es-ES"/>
        </w:rPr>
        <w:t>sta restricción no se coloca a las parejas heterosexuales</w:t>
      </w:r>
      <w:r w:rsidR="009A5293">
        <w:rPr>
          <w:rFonts w:ascii="Times New Roman" w:hAnsi="Times New Roman" w:cs="Times New Roman"/>
          <w:szCs w:val="24"/>
          <w:lang w:val="es-ES"/>
        </w:rPr>
        <w:t>, por lo que resulta discriminatorio</w:t>
      </w:r>
      <w:r w:rsidRPr="00A47AD6">
        <w:rPr>
          <w:rFonts w:ascii="Times New Roman" w:hAnsi="Times New Roman" w:cs="Times New Roman"/>
          <w:szCs w:val="24"/>
          <w:lang w:val="es-ES"/>
        </w:rPr>
        <w:t>. Est</w:t>
      </w:r>
      <w:r w:rsidR="009A5293">
        <w:rPr>
          <w:rFonts w:ascii="Times New Roman" w:hAnsi="Times New Roman" w:cs="Times New Roman"/>
          <w:szCs w:val="24"/>
          <w:lang w:val="es-ES"/>
        </w:rPr>
        <w:t>o se observa en casos como el</w:t>
      </w:r>
      <w:r w:rsidRPr="00A47AD6">
        <w:rPr>
          <w:rFonts w:ascii="Times New Roman" w:hAnsi="Times New Roman" w:cs="Times New Roman"/>
          <w:szCs w:val="24"/>
          <w:lang w:val="es-ES"/>
        </w:rPr>
        <w:t xml:space="preserve"> de la niña RC que con sus</w:t>
      </w:r>
      <w:r w:rsidR="009A5293">
        <w:rPr>
          <w:rFonts w:ascii="Times New Roman" w:hAnsi="Times New Roman" w:cs="Times New Roman"/>
          <w:szCs w:val="24"/>
          <w:lang w:val="es-ES"/>
        </w:rPr>
        <w:t xml:space="preserve"> dos</w:t>
      </w:r>
      <w:r w:rsidRPr="00A47AD6">
        <w:rPr>
          <w:rFonts w:ascii="Times New Roman" w:hAnsi="Times New Roman" w:cs="Times New Roman"/>
          <w:szCs w:val="24"/>
          <w:lang w:val="es-ES"/>
        </w:rPr>
        <w:t xml:space="preserve"> madres (casadas) demandaron al Registro Civil,</w:t>
      </w:r>
      <w:r w:rsidRPr="00A47AD6">
        <w:rPr>
          <w:rStyle w:val="Refdenotaalpie"/>
          <w:rFonts w:ascii="Times New Roman" w:hAnsi="Times New Roman" w:cs="Times New Roman"/>
          <w:szCs w:val="24"/>
          <w:lang w:val="es-ES"/>
        </w:rPr>
        <w:footnoteReference w:id="51"/>
      </w:r>
      <w:r w:rsidRPr="00A47AD6">
        <w:rPr>
          <w:rFonts w:ascii="Times New Roman" w:hAnsi="Times New Roman" w:cs="Times New Roman"/>
          <w:szCs w:val="24"/>
          <w:lang w:val="es-ES"/>
        </w:rPr>
        <w:t xml:space="preserve"> ganado en segunda</w:t>
      </w:r>
      <w:r w:rsidR="009A5293">
        <w:rPr>
          <w:rFonts w:ascii="Times New Roman" w:hAnsi="Times New Roman" w:cs="Times New Roman"/>
          <w:szCs w:val="24"/>
          <w:lang w:val="es-ES"/>
        </w:rPr>
        <w:t xml:space="preserve"> instancia</w:t>
      </w:r>
      <w:r w:rsidRPr="00A47AD6">
        <w:rPr>
          <w:rStyle w:val="Refdenotaalpie"/>
          <w:rFonts w:ascii="Times New Roman" w:hAnsi="Times New Roman" w:cs="Times New Roman"/>
          <w:szCs w:val="24"/>
          <w:lang w:val="es-ES"/>
        </w:rPr>
        <w:footnoteReference w:id="52"/>
      </w:r>
      <w:r w:rsidR="009A5293">
        <w:rPr>
          <w:rFonts w:ascii="Times New Roman" w:hAnsi="Times New Roman" w:cs="Times New Roman"/>
          <w:szCs w:val="24"/>
          <w:lang w:val="es-ES"/>
        </w:rPr>
        <w:t>.</w:t>
      </w:r>
      <w:r w:rsidRPr="00A47AD6">
        <w:rPr>
          <w:rFonts w:ascii="Times New Roman" w:hAnsi="Times New Roman" w:cs="Times New Roman"/>
          <w:szCs w:val="24"/>
          <w:lang w:val="es-ES"/>
        </w:rPr>
        <w:t xml:space="preserve"> </w:t>
      </w:r>
      <w:r w:rsidR="009A5293">
        <w:rPr>
          <w:rFonts w:ascii="Times New Roman" w:hAnsi="Times New Roman" w:cs="Times New Roman"/>
          <w:szCs w:val="24"/>
          <w:lang w:val="es-ES"/>
        </w:rPr>
        <w:t>L</w:t>
      </w:r>
      <w:r w:rsidRPr="00A47AD6">
        <w:rPr>
          <w:rFonts w:ascii="Times New Roman" w:hAnsi="Times New Roman" w:cs="Times New Roman"/>
          <w:szCs w:val="24"/>
          <w:lang w:val="es-ES"/>
        </w:rPr>
        <w:t>a sentencia permitió a la niña contar con su identidad familiar;</w:t>
      </w:r>
      <w:r w:rsidRPr="00A47AD6">
        <w:rPr>
          <w:rStyle w:val="Refdenotaalpie"/>
          <w:rFonts w:ascii="Times New Roman" w:hAnsi="Times New Roman" w:cs="Times New Roman"/>
          <w:szCs w:val="24"/>
          <w:lang w:val="es-ES"/>
        </w:rPr>
        <w:footnoteReference w:id="53"/>
      </w:r>
      <w:r w:rsidRPr="00A47AD6">
        <w:rPr>
          <w:rFonts w:ascii="Times New Roman" w:hAnsi="Times New Roman" w:cs="Times New Roman"/>
          <w:szCs w:val="24"/>
          <w:lang w:val="es-ES"/>
        </w:rPr>
        <w:t xml:space="preserve"> pero este caso </w:t>
      </w:r>
      <w:r w:rsidR="0058763E">
        <w:rPr>
          <w:rFonts w:ascii="Times New Roman" w:hAnsi="Times New Roman" w:cs="Times New Roman"/>
          <w:szCs w:val="24"/>
          <w:lang w:val="es-ES"/>
        </w:rPr>
        <w:t>no ha generado jurisprudencia por lo que esta situación solo beneficia a esta familia.</w:t>
      </w:r>
    </w:p>
    <w:p w14:paraId="1E5D41E0"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04274202" w14:textId="25DD3924" w:rsidR="008B26B4" w:rsidRPr="008B26B4" w:rsidRDefault="009A5293" w:rsidP="008B26B4">
      <w:pPr>
        <w:pStyle w:val="Prrafodelista"/>
        <w:numPr>
          <w:ilvl w:val="0"/>
          <w:numId w:val="1"/>
        </w:numPr>
        <w:spacing w:line="240" w:lineRule="auto"/>
        <w:jc w:val="both"/>
        <w:rPr>
          <w:rFonts w:ascii="Times New Roman" w:hAnsi="Times New Roman" w:cs="Times New Roman"/>
        </w:rPr>
      </w:pPr>
      <w:r>
        <w:rPr>
          <w:rFonts w:ascii="Times New Roman" w:hAnsi="Times New Roman" w:cs="Times New Roman"/>
        </w:rPr>
        <w:t>Otro es el</w:t>
      </w:r>
      <w:r w:rsidR="008B26B4" w:rsidRPr="008B26B4">
        <w:rPr>
          <w:rFonts w:ascii="Times New Roman" w:hAnsi="Times New Roman" w:cs="Times New Roman"/>
        </w:rPr>
        <w:t xml:space="preserve"> Caso 969-20-EP, judicializado en la Corte Constitucional de Ecuador, </w:t>
      </w:r>
      <w:r>
        <w:rPr>
          <w:rFonts w:ascii="Times New Roman" w:hAnsi="Times New Roman" w:cs="Times New Roman"/>
        </w:rPr>
        <w:t xml:space="preserve">que </w:t>
      </w:r>
      <w:r w:rsidR="008B26B4" w:rsidRPr="008B26B4">
        <w:rPr>
          <w:rFonts w:ascii="Times New Roman" w:hAnsi="Times New Roman" w:cs="Times New Roman"/>
        </w:rPr>
        <w:t xml:space="preserve">involucra a una familia </w:t>
      </w:r>
      <w:proofErr w:type="spellStart"/>
      <w:r w:rsidR="008B26B4" w:rsidRPr="008B26B4">
        <w:rPr>
          <w:rFonts w:ascii="Times New Roman" w:hAnsi="Times New Roman" w:cs="Times New Roman"/>
        </w:rPr>
        <w:t>lesbomaternal</w:t>
      </w:r>
      <w:proofErr w:type="spellEnd"/>
      <w:r w:rsidR="008B26B4" w:rsidRPr="008B26B4">
        <w:rPr>
          <w:rFonts w:ascii="Times New Roman" w:hAnsi="Times New Roman" w:cs="Times New Roman"/>
        </w:rPr>
        <w:t xml:space="preserve"> y transnacional.</w:t>
      </w:r>
      <w:r w:rsidR="008B26B4" w:rsidRPr="008B26B4">
        <w:rPr>
          <w:rStyle w:val="Refdenotaalpie"/>
          <w:rFonts w:ascii="Times New Roman" w:hAnsi="Times New Roman" w:cs="Times New Roman"/>
          <w:szCs w:val="24"/>
          <w:lang w:val="es-ES"/>
        </w:rPr>
        <w:t xml:space="preserve"> </w:t>
      </w:r>
      <w:r w:rsidR="008B26B4" w:rsidRPr="00A47AD6">
        <w:rPr>
          <w:rStyle w:val="Refdenotaalpie"/>
          <w:rFonts w:ascii="Times New Roman" w:hAnsi="Times New Roman" w:cs="Times New Roman"/>
          <w:szCs w:val="24"/>
          <w:lang w:val="es-ES"/>
        </w:rPr>
        <w:footnoteReference w:id="54"/>
      </w:r>
      <w:r w:rsidR="008B26B4" w:rsidRPr="008B26B4">
        <w:rPr>
          <w:rFonts w:ascii="Times New Roman" w:hAnsi="Times New Roman" w:cs="Times New Roman"/>
        </w:rPr>
        <w:t xml:space="preserve"> En 2018, la pareja intentó inscribir a su hijo, nacido en Venezuela, en el Consulado de Ecuador en ese país. Sin embargo, debido a las barreras impuestas por el Registro Civil y la delegación diplomática, no pudieron registrarlo, obligando a las madres a inscribirlo en Venezuela como hijo de madre soltera. Ya en Ecuador en 2019, las madres intentaron nuevamente registrarlo bajo los apellidos de ambas, pero el Registro Civil,</w:t>
      </w:r>
      <w:r w:rsidR="008B26B4" w:rsidRPr="008B26B4">
        <w:rPr>
          <w:rStyle w:val="Refdenotaalpie"/>
          <w:rFonts w:ascii="Times New Roman" w:hAnsi="Times New Roman" w:cs="Times New Roman"/>
          <w:szCs w:val="24"/>
          <w:lang w:val="es-ES"/>
        </w:rPr>
        <w:t xml:space="preserve"> </w:t>
      </w:r>
      <w:r w:rsidR="008B26B4" w:rsidRPr="00A47AD6">
        <w:rPr>
          <w:rStyle w:val="Refdenotaalpie"/>
          <w:rFonts w:ascii="Times New Roman" w:hAnsi="Times New Roman" w:cs="Times New Roman"/>
          <w:szCs w:val="24"/>
          <w:lang w:val="es-ES"/>
        </w:rPr>
        <w:footnoteReference w:id="55"/>
      </w:r>
      <w:r w:rsidR="008B26B4" w:rsidRPr="008B26B4">
        <w:rPr>
          <w:rFonts w:ascii="Times New Roman" w:hAnsi="Times New Roman" w:cs="Times New Roman"/>
        </w:rPr>
        <w:t xml:space="preserve"> desconociendo precedentes</w:t>
      </w:r>
      <w:r w:rsidR="00285C9D">
        <w:rPr>
          <w:rFonts w:ascii="Times New Roman" w:hAnsi="Times New Roman" w:cs="Times New Roman"/>
        </w:rPr>
        <w:t xml:space="preserve"> de la Corte Constitucional</w:t>
      </w:r>
      <w:r w:rsidR="008B26B4" w:rsidRPr="008B26B4">
        <w:rPr>
          <w:rFonts w:ascii="Times New Roman" w:hAnsi="Times New Roman" w:cs="Times New Roman"/>
        </w:rPr>
        <w:t>, les negó este derecho.</w:t>
      </w:r>
    </w:p>
    <w:p w14:paraId="711C007E" w14:textId="77777777" w:rsidR="008B26B4" w:rsidRPr="00285C9D" w:rsidRDefault="008B26B4" w:rsidP="00285C9D">
      <w:pPr>
        <w:contextualSpacing/>
        <w:rPr>
          <w:rFonts w:ascii="Times New Roman" w:hAnsi="Times New Roman" w:cs="Times New Roman"/>
        </w:rPr>
      </w:pPr>
    </w:p>
    <w:p w14:paraId="26791E21" w14:textId="29D85F7F" w:rsidR="00D50D57" w:rsidRDefault="008B26B4" w:rsidP="00D50D57">
      <w:pPr>
        <w:pStyle w:val="Prrafodelista"/>
        <w:numPr>
          <w:ilvl w:val="0"/>
          <w:numId w:val="1"/>
        </w:numPr>
        <w:spacing w:line="240" w:lineRule="auto"/>
        <w:contextualSpacing/>
        <w:jc w:val="both"/>
        <w:rPr>
          <w:rFonts w:ascii="Times New Roman" w:hAnsi="Times New Roman" w:cs="Times New Roman"/>
        </w:rPr>
      </w:pPr>
      <w:r w:rsidRPr="008B26B4">
        <w:rPr>
          <w:rFonts w:ascii="Times New Roman" w:hAnsi="Times New Roman" w:cs="Times New Roman"/>
        </w:rPr>
        <w:t>Posteriormente, en 2020, las madres judicializaron su caso y, aunque en primera instancia un juez falló a su favor, el Registro Civil apeló la sentencia. La Corte Provincial de Pichincha modificó el fallo, dando la razón al Registro Civil y negando los derechos del niño, una situación similar al caso de la niña Satya en 2011. En respuesta, las madres interpusieron una Acción Extraordinaria de Protección, esperando que la Corte Constitucional reconozca las vulneraciones de derechos. A pesar de dos audiencias, hasta septiembre de 2024 no ha habido una resolución, dejando al niño en una situación de vulnerabilidad.</w:t>
      </w:r>
    </w:p>
    <w:p w14:paraId="2DD20E01" w14:textId="77777777" w:rsidR="00DB2B0E" w:rsidRPr="00DB2B0E" w:rsidRDefault="00DB2B0E" w:rsidP="00DB2B0E">
      <w:pPr>
        <w:contextualSpacing/>
        <w:jc w:val="both"/>
        <w:rPr>
          <w:rFonts w:ascii="Times New Roman" w:hAnsi="Times New Roman" w:cs="Times New Roman"/>
        </w:rPr>
      </w:pPr>
    </w:p>
    <w:p w14:paraId="0F85AF6F" w14:textId="0AAC9546" w:rsidR="00D50D57" w:rsidRPr="00A47AD6" w:rsidRDefault="00D50D57" w:rsidP="00D50D57">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Esto refleja que, en el Ecuador, las disposiciones que emite la Corte Constitucional no se cumplen a cabalidad, por lo que los derechos que se obtienen por vía judicial se mantienen en zozobra hasta que la Función Legislativa los </w:t>
      </w:r>
      <w:r w:rsidR="008B26B4">
        <w:rPr>
          <w:rFonts w:ascii="Times New Roman" w:hAnsi="Times New Roman" w:cs="Times New Roman"/>
          <w:szCs w:val="24"/>
          <w:lang w:val="es-ES"/>
        </w:rPr>
        <w:t>desarrolle</w:t>
      </w:r>
      <w:r w:rsidRPr="00A47AD6">
        <w:rPr>
          <w:rFonts w:ascii="Times New Roman" w:hAnsi="Times New Roman" w:cs="Times New Roman"/>
          <w:szCs w:val="24"/>
          <w:lang w:val="es-ES"/>
        </w:rPr>
        <w:t>. Si bien la Constitución del Ecuador (art</w:t>
      </w:r>
      <w:r w:rsidR="009A5293">
        <w:rPr>
          <w:rFonts w:ascii="Times New Roman" w:hAnsi="Times New Roman" w:cs="Times New Roman"/>
          <w:szCs w:val="24"/>
          <w:lang w:val="es-ES"/>
        </w:rPr>
        <w:t>ículo</w:t>
      </w:r>
      <w:r w:rsidRPr="00A47AD6">
        <w:rPr>
          <w:rFonts w:ascii="Times New Roman" w:hAnsi="Times New Roman" w:cs="Times New Roman"/>
          <w:szCs w:val="24"/>
          <w:lang w:val="es-ES"/>
        </w:rPr>
        <w:t>11) menciona que la carencia de ley no es una excusa para restringir derechos, en el caso del Registro Civil para los hijos e hijas de parejas del mismo sexo y familias LGBTIQ+, este principio no aplica, ya que esta institución del Estado es la principal barrera para que la niñez en su diversidad</w:t>
      </w:r>
      <w:r w:rsidR="008B26B4">
        <w:rPr>
          <w:rFonts w:ascii="Times New Roman" w:hAnsi="Times New Roman" w:cs="Times New Roman"/>
          <w:szCs w:val="24"/>
          <w:lang w:val="es-ES"/>
        </w:rPr>
        <w:t xml:space="preserve"> y las familias diversas</w:t>
      </w:r>
      <w:r w:rsidRPr="00A47AD6">
        <w:rPr>
          <w:rFonts w:ascii="Times New Roman" w:hAnsi="Times New Roman" w:cs="Times New Roman"/>
          <w:szCs w:val="24"/>
          <w:lang w:val="es-ES"/>
        </w:rPr>
        <w:t xml:space="preserve"> pueda</w:t>
      </w:r>
      <w:r w:rsidR="008B26B4">
        <w:rPr>
          <w:rFonts w:ascii="Times New Roman" w:hAnsi="Times New Roman" w:cs="Times New Roman"/>
          <w:szCs w:val="24"/>
          <w:lang w:val="es-ES"/>
        </w:rPr>
        <w:t>n</w:t>
      </w:r>
      <w:r w:rsidRPr="00A47AD6">
        <w:rPr>
          <w:rFonts w:ascii="Times New Roman" w:hAnsi="Times New Roman" w:cs="Times New Roman"/>
          <w:szCs w:val="24"/>
          <w:lang w:val="es-ES"/>
        </w:rPr>
        <w:t xml:space="preserve"> ejercer su</w:t>
      </w:r>
      <w:r w:rsidR="009A5293">
        <w:rPr>
          <w:rFonts w:ascii="Times New Roman" w:hAnsi="Times New Roman" w:cs="Times New Roman"/>
          <w:szCs w:val="24"/>
          <w:lang w:val="es-ES"/>
        </w:rPr>
        <w:t>s</w:t>
      </w:r>
      <w:r w:rsidRPr="00A47AD6">
        <w:rPr>
          <w:rFonts w:ascii="Times New Roman" w:hAnsi="Times New Roman" w:cs="Times New Roman"/>
          <w:szCs w:val="24"/>
          <w:lang w:val="es-ES"/>
        </w:rPr>
        <w:t xml:space="preserve"> derecho</w:t>
      </w:r>
      <w:r w:rsidR="009A5293">
        <w:rPr>
          <w:rFonts w:ascii="Times New Roman" w:hAnsi="Times New Roman" w:cs="Times New Roman"/>
          <w:szCs w:val="24"/>
          <w:lang w:val="es-ES"/>
        </w:rPr>
        <w:t>s.</w:t>
      </w:r>
    </w:p>
    <w:p w14:paraId="16A7E7D4"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427573D3" w14:textId="1FCAC0F9" w:rsidR="00D50D57" w:rsidRPr="00A47AD6" w:rsidRDefault="009A5293" w:rsidP="00D50D57">
      <w:pPr>
        <w:pStyle w:val="Prrafodelista"/>
        <w:spacing w:line="240" w:lineRule="auto"/>
        <w:ind w:left="360"/>
        <w:contextualSpacing/>
        <w:jc w:val="both"/>
        <w:rPr>
          <w:rFonts w:ascii="Times New Roman" w:hAnsi="Times New Roman" w:cs="Times New Roman"/>
          <w:b/>
          <w:bCs/>
          <w:szCs w:val="24"/>
          <w:u w:val="single"/>
          <w:lang w:val="es-ES"/>
        </w:rPr>
      </w:pPr>
      <w:r>
        <w:rPr>
          <w:rFonts w:ascii="Times New Roman" w:hAnsi="Times New Roman" w:cs="Times New Roman"/>
          <w:b/>
          <w:bCs/>
          <w:szCs w:val="24"/>
          <w:u w:val="single"/>
          <w:lang w:val="es-ES"/>
        </w:rPr>
        <w:lastRenderedPageBreak/>
        <w:t>Prohibición</w:t>
      </w:r>
      <w:r w:rsidR="00D50D57" w:rsidRPr="00A47AD6">
        <w:rPr>
          <w:rFonts w:ascii="Times New Roman" w:hAnsi="Times New Roman" w:cs="Times New Roman"/>
          <w:b/>
          <w:bCs/>
          <w:szCs w:val="24"/>
          <w:u w:val="single"/>
          <w:lang w:val="es-ES"/>
        </w:rPr>
        <w:t xml:space="preserve"> </w:t>
      </w:r>
      <w:r>
        <w:rPr>
          <w:rFonts w:ascii="Times New Roman" w:hAnsi="Times New Roman" w:cs="Times New Roman"/>
          <w:b/>
          <w:bCs/>
          <w:szCs w:val="24"/>
          <w:u w:val="single"/>
          <w:lang w:val="es-ES"/>
        </w:rPr>
        <w:t>C</w:t>
      </w:r>
      <w:r w:rsidR="00D50D57" w:rsidRPr="00A47AD6">
        <w:rPr>
          <w:rFonts w:ascii="Times New Roman" w:hAnsi="Times New Roman" w:cs="Times New Roman"/>
          <w:b/>
          <w:bCs/>
          <w:szCs w:val="24"/>
          <w:u w:val="single"/>
          <w:lang w:val="es-ES"/>
        </w:rPr>
        <w:t xml:space="preserve">onstitucional de adopción </w:t>
      </w:r>
      <w:r>
        <w:rPr>
          <w:rFonts w:ascii="Times New Roman" w:hAnsi="Times New Roman" w:cs="Times New Roman"/>
          <w:b/>
          <w:bCs/>
          <w:szCs w:val="24"/>
          <w:u w:val="single"/>
          <w:lang w:val="es-ES"/>
        </w:rPr>
        <w:t>par</w:t>
      </w:r>
      <w:r w:rsidR="00D50D57" w:rsidRPr="00A47AD6">
        <w:rPr>
          <w:rFonts w:ascii="Times New Roman" w:hAnsi="Times New Roman" w:cs="Times New Roman"/>
          <w:b/>
          <w:bCs/>
          <w:szCs w:val="24"/>
          <w:u w:val="single"/>
          <w:lang w:val="es-ES"/>
        </w:rPr>
        <w:t>a parejas del mismo sexo</w:t>
      </w:r>
      <w:r>
        <w:rPr>
          <w:rFonts w:ascii="Times New Roman" w:hAnsi="Times New Roman" w:cs="Times New Roman"/>
          <w:b/>
          <w:bCs/>
          <w:szCs w:val="24"/>
          <w:u w:val="single"/>
          <w:lang w:val="es-ES"/>
        </w:rPr>
        <w:t xml:space="preserve"> (Artículo 24)</w:t>
      </w:r>
      <w:r w:rsidR="00D50D57" w:rsidRPr="00A47AD6">
        <w:rPr>
          <w:rFonts w:ascii="Times New Roman" w:hAnsi="Times New Roman" w:cs="Times New Roman"/>
          <w:b/>
          <w:bCs/>
          <w:szCs w:val="24"/>
          <w:u w:val="single"/>
          <w:lang w:val="es-ES"/>
        </w:rPr>
        <w:t>:</w:t>
      </w:r>
    </w:p>
    <w:p w14:paraId="2EE94E41" w14:textId="77777777" w:rsidR="00D50D57" w:rsidRPr="00A47AD6" w:rsidRDefault="00D50D57" w:rsidP="00D50D57">
      <w:pPr>
        <w:pStyle w:val="Prrafodelista"/>
        <w:spacing w:line="240" w:lineRule="auto"/>
        <w:ind w:left="360"/>
        <w:jc w:val="both"/>
        <w:rPr>
          <w:rFonts w:ascii="Times New Roman" w:hAnsi="Times New Roman" w:cs="Times New Roman"/>
          <w:szCs w:val="24"/>
          <w:lang w:val="es-ES"/>
        </w:rPr>
      </w:pPr>
    </w:p>
    <w:p w14:paraId="1008E944" w14:textId="18494B44" w:rsidR="00D50D57" w:rsidRPr="009A5293" w:rsidRDefault="00D50D57" w:rsidP="009A5293">
      <w:pPr>
        <w:pStyle w:val="Prrafodelista"/>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La Constitución del Ecuador en su artículo 68</w:t>
      </w:r>
      <w:r w:rsidR="00AD5B6D">
        <w:rPr>
          <w:rStyle w:val="Refdenotaalpie"/>
          <w:rFonts w:ascii="Times New Roman" w:hAnsi="Times New Roman" w:cs="Times New Roman"/>
          <w:szCs w:val="24"/>
          <w:lang w:val="es-ES"/>
        </w:rPr>
        <w:footnoteReference w:id="56"/>
      </w:r>
      <w:r w:rsidRPr="00A47AD6">
        <w:rPr>
          <w:rFonts w:ascii="Times New Roman" w:hAnsi="Times New Roman" w:cs="Times New Roman"/>
          <w:szCs w:val="24"/>
          <w:lang w:val="es-ES"/>
        </w:rPr>
        <w:t xml:space="preserve"> discrimina a las parejas del mismo sexo, pues las excluye de acceder a la adopción. </w:t>
      </w:r>
      <w:r w:rsidR="009A5293">
        <w:rPr>
          <w:rFonts w:ascii="Times New Roman" w:hAnsi="Times New Roman" w:cs="Times New Roman"/>
          <w:szCs w:val="24"/>
          <w:lang w:val="es-ES"/>
        </w:rPr>
        <w:t>No</w:t>
      </w:r>
      <w:r w:rsidRPr="00A47AD6">
        <w:rPr>
          <w:rFonts w:ascii="Times New Roman" w:hAnsi="Times New Roman" w:cs="Times New Roman"/>
          <w:szCs w:val="24"/>
          <w:lang w:val="es-ES"/>
        </w:rPr>
        <w:t xml:space="preserve"> existe la voluntad ni de la Asamblea Nacional ni de la Corte Constitucional de armonizar las normas del derecho de familia, para que todas sus instituciones jurídicas puedan ser accesibles a las parejas del mismo sexo. De hecho, la Corte Constitucional tuvo la oportunidad de permitir la adopción a parejas del mismo sexo, pero mediante el Dictamen No. 8-09-IC/21 de 18 de agosto de 2021, decidió restringir su interpretación para que accedan a esta institución solo las personas sol</w:t>
      </w:r>
      <w:r w:rsidR="009A5293">
        <w:rPr>
          <w:rFonts w:ascii="Times New Roman" w:hAnsi="Times New Roman" w:cs="Times New Roman"/>
          <w:szCs w:val="24"/>
          <w:lang w:val="es-ES"/>
        </w:rPr>
        <w:t>teras</w:t>
      </w:r>
      <w:r w:rsidRPr="00A47AD6">
        <w:rPr>
          <w:rFonts w:ascii="Times New Roman" w:hAnsi="Times New Roman" w:cs="Times New Roman"/>
          <w:szCs w:val="24"/>
          <w:lang w:val="es-ES"/>
        </w:rPr>
        <w:t xml:space="preserve"> y parejas heterosexuales. A pesar de esto, en el voto salvado de este Dictamen estableció que es perjudicial para una democracia tener normas de rango constitucional que sean expresamente discriminatorias.</w:t>
      </w:r>
      <w:r w:rsidRPr="00A47AD6">
        <w:rPr>
          <w:rStyle w:val="Refdenotaalpie"/>
          <w:rFonts w:ascii="Times New Roman" w:hAnsi="Times New Roman" w:cs="Times New Roman"/>
          <w:szCs w:val="24"/>
          <w:lang w:val="es-ES"/>
        </w:rPr>
        <w:footnoteReference w:id="57"/>
      </w:r>
    </w:p>
    <w:p w14:paraId="5DD29241" w14:textId="77777777" w:rsidR="00D50D57" w:rsidRPr="00A47AD6" w:rsidRDefault="00D50D57" w:rsidP="00D50D57">
      <w:pPr>
        <w:pBdr>
          <w:top w:val="nil"/>
          <w:left w:val="nil"/>
          <w:bottom w:val="nil"/>
          <w:right w:val="nil"/>
          <w:between w:val="nil"/>
        </w:pBdr>
        <w:jc w:val="both"/>
        <w:rPr>
          <w:rFonts w:ascii="Garamond" w:eastAsia="Times New Roman" w:hAnsi="Garamond" w:cs="Times New Roman"/>
          <w:sz w:val="22"/>
          <w:lang w:val="es-ES"/>
        </w:rPr>
      </w:pPr>
    </w:p>
    <w:p w14:paraId="7241C138" w14:textId="77777777" w:rsidR="00D50D57" w:rsidRPr="00A47AD6" w:rsidRDefault="00D50D57" w:rsidP="00D50D57">
      <w:pPr>
        <w:pStyle w:val="Prrafodelista"/>
        <w:numPr>
          <w:ilvl w:val="0"/>
          <w:numId w:val="1"/>
        </w:numPr>
        <w:pBdr>
          <w:top w:val="nil"/>
          <w:left w:val="nil"/>
          <w:bottom w:val="nil"/>
          <w:right w:val="nil"/>
          <w:between w:val="nil"/>
        </w:pBdr>
        <w:spacing w:line="240" w:lineRule="auto"/>
        <w:jc w:val="both"/>
        <w:rPr>
          <w:rFonts w:ascii="Times New Roman" w:hAnsi="Times New Roman" w:cs="Times New Roman"/>
          <w:szCs w:val="24"/>
          <w:lang w:val="es-ES"/>
        </w:rPr>
      </w:pPr>
      <w:r w:rsidRPr="00A47AD6">
        <w:rPr>
          <w:rFonts w:ascii="Times New Roman" w:hAnsi="Times New Roman" w:cs="Times New Roman"/>
          <w:szCs w:val="24"/>
          <w:lang w:val="es-ES"/>
        </w:rPr>
        <w:t xml:space="preserve">Es pertinente mencionar los datos disponibles del Ministerio de Inclusión Económica y Social del Ecuador sobre adopciones e institucionalización de niños, niñas y adolescentes, De acuerdo con estas cifras, a octubre del año 2023 existían en total 3.058 </w:t>
      </w:r>
      <w:proofErr w:type="gramStart"/>
      <w:r w:rsidRPr="00A47AD6">
        <w:rPr>
          <w:rFonts w:ascii="Times New Roman" w:hAnsi="Times New Roman" w:cs="Times New Roman"/>
          <w:szCs w:val="24"/>
          <w:lang w:val="es-ES"/>
        </w:rPr>
        <w:t>niños y niñas</w:t>
      </w:r>
      <w:proofErr w:type="gramEnd"/>
      <w:r w:rsidRPr="00A47AD6">
        <w:rPr>
          <w:rFonts w:ascii="Times New Roman" w:hAnsi="Times New Roman" w:cs="Times New Roman"/>
          <w:szCs w:val="24"/>
          <w:lang w:val="es-ES"/>
        </w:rPr>
        <w:t xml:space="preserve"> institucionalizados en Ecuador (y con declaratoria de adoptabilidad). El desglose de los datos anuales, a continuación: </w:t>
      </w:r>
    </w:p>
    <w:p w14:paraId="5F9E79FA" w14:textId="77777777" w:rsidR="00D50D57" w:rsidRPr="00A47AD6" w:rsidRDefault="00D50D57" w:rsidP="00D50D57">
      <w:pPr>
        <w:pBdr>
          <w:top w:val="nil"/>
          <w:left w:val="nil"/>
          <w:bottom w:val="nil"/>
          <w:right w:val="nil"/>
          <w:between w:val="nil"/>
        </w:pBdr>
        <w:jc w:val="both"/>
        <w:rPr>
          <w:rFonts w:ascii="Times New Roman" w:hAnsi="Times New Roman" w:cs="Times New Roman"/>
          <w:lang w:val="es-ES"/>
        </w:rPr>
      </w:pPr>
    </w:p>
    <w:p w14:paraId="5DBA5697" w14:textId="77777777" w:rsidR="00D50D57" w:rsidRPr="00A47AD6" w:rsidRDefault="00D50D57" w:rsidP="00D50D57">
      <w:pPr>
        <w:pStyle w:val="Prrafodelista"/>
        <w:pBdr>
          <w:top w:val="nil"/>
          <w:left w:val="nil"/>
          <w:bottom w:val="nil"/>
          <w:right w:val="nil"/>
          <w:between w:val="nil"/>
        </w:pBdr>
        <w:shd w:val="clear" w:color="auto" w:fill="FFFFFF"/>
        <w:spacing w:line="240" w:lineRule="auto"/>
        <w:ind w:left="360"/>
        <w:rPr>
          <w:rFonts w:ascii="Garamond" w:eastAsia="Times New Roman" w:hAnsi="Garamond" w:cs="Times New Roman"/>
          <w:sz w:val="22"/>
          <w:lang w:val="es-ES"/>
        </w:rPr>
      </w:pPr>
    </w:p>
    <w:tbl>
      <w:tblPr>
        <w:tblW w:w="7512" w:type="dxa"/>
        <w:tblInd w:w="9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0"/>
        <w:gridCol w:w="2067"/>
        <w:gridCol w:w="4595"/>
      </w:tblGrid>
      <w:tr w:rsidR="00D50D57" w:rsidRPr="00A47AD6" w14:paraId="530C4E10" w14:textId="77777777">
        <w:trPr>
          <w:trHeight w:val="525"/>
        </w:trPr>
        <w:tc>
          <w:tcPr>
            <w:tcW w:w="850" w:type="dxa"/>
            <w:shd w:val="clear" w:color="auto" w:fill="auto"/>
            <w:tcMar>
              <w:top w:w="100" w:type="dxa"/>
              <w:left w:w="100" w:type="dxa"/>
              <w:bottom w:w="100" w:type="dxa"/>
              <w:right w:w="100" w:type="dxa"/>
            </w:tcMar>
          </w:tcPr>
          <w:p w14:paraId="5098D8D7" w14:textId="77777777" w:rsidR="00D50D57" w:rsidRPr="00A47AD6" w:rsidRDefault="00D50D57">
            <w:pPr>
              <w:widowControl w:val="0"/>
              <w:pBdr>
                <w:top w:val="nil"/>
                <w:left w:val="nil"/>
                <w:bottom w:val="nil"/>
                <w:right w:val="nil"/>
                <w:between w:val="nil"/>
              </w:pBdr>
              <w:jc w:val="center"/>
              <w:rPr>
                <w:rFonts w:ascii="Times New Roman" w:eastAsia="Times New Roman" w:hAnsi="Times New Roman" w:cs="Times New Roman"/>
                <w:b/>
                <w:sz w:val="20"/>
                <w:szCs w:val="20"/>
                <w:lang w:val="es-ES"/>
              </w:rPr>
            </w:pPr>
            <w:r w:rsidRPr="00A47AD6">
              <w:rPr>
                <w:rFonts w:ascii="Times New Roman" w:eastAsia="Times New Roman" w:hAnsi="Times New Roman" w:cs="Times New Roman"/>
                <w:b/>
                <w:sz w:val="20"/>
                <w:szCs w:val="20"/>
                <w:lang w:val="es-ES"/>
              </w:rPr>
              <w:t>Año</w:t>
            </w:r>
          </w:p>
        </w:tc>
        <w:tc>
          <w:tcPr>
            <w:tcW w:w="2067" w:type="dxa"/>
            <w:shd w:val="clear" w:color="auto" w:fill="auto"/>
            <w:tcMar>
              <w:top w:w="100" w:type="dxa"/>
              <w:left w:w="100" w:type="dxa"/>
              <w:bottom w:w="100" w:type="dxa"/>
              <w:right w:w="100" w:type="dxa"/>
            </w:tcMar>
          </w:tcPr>
          <w:p w14:paraId="12C37EDC" w14:textId="77777777" w:rsidR="00D50D57" w:rsidRPr="00A47AD6" w:rsidRDefault="00D50D57">
            <w:pPr>
              <w:widowControl w:val="0"/>
              <w:pBdr>
                <w:top w:val="nil"/>
                <w:left w:val="nil"/>
                <w:bottom w:val="nil"/>
                <w:right w:val="nil"/>
                <w:between w:val="nil"/>
              </w:pBdr>
              <w:jc w:val="center"/>
              <w:rPr>
                <w:rFonts w:ascii="Times New Roman" w:eastAsia="Times New Roman" w:hAnsi="Times New Roman" w:cs="Times New Roman"/>
                <w:b/>
                <w:sz w:val="20"/>
                <w:szCs w:val="20"/>
                <w:lang w:val="es-ES"/>
              </w:rPr>
            </w:pPr>
            <w:r w:rsidRPr="00A47AD6">
              <w:rPr>
                <w:rFonts w:ascii="Times New Roman" w:eastAsia="Times New Roman" w:hAnsi="Times New Roman" w:cs="Times New Roman"/>
                <w:b/>
                <w:sz w:val="20"/>
                <w:szCs w:val="20"/>
                <w:lang w:val="es-ES"/>
              </w:rPr>
              <w:t>NNA con declaratoria de adoptabilidad</w:t>
            </w:r>
          </w:p>
        </w:tc>
        <w:tc>
          <w:tcPr>
            <w:tcW w:w="4595" w:type="dxa"/>
            <w:shd w:val="clear" w:color="auto" w:fill="auto"/>
            <w:tcMar>
              <w:top w:w="100" w:type="dxa"/>
              <w:left w:w="100" w:type="dxa"/>
              <w:bottom w:w="100" w:type="dxa"/>
              <w:right w:w="100" w:type="dxa"/>
            </w:tcMar>
          </w:tcPr>
          <w:p w14:paraId="70E66DB9" w14:textId="77777777" w:rsidR="00D50D57" w:rsidRPr="00A47AD6" w:rsidRDefault="00D50D57">
            <w:pPr>
              <w:widowControl w:val="0"/>
              <w:pBdr>
                <w:top w:val="nil"/>
                <w:left w:val="nil"/>
                <w:bottom w:val="nil"/>
                <w:right w:val="nil"/>
                <w:between w:val="nil"/>
              </w:pBdr>
              <w:jc w:val="center"/>
              <w:rPr>
                <w:rFonts w:ascii="Times New Roman" w:eastAsia="Times New Roman" w:hAnsi="Times New Roman" w:cs="Times New Roman"/>
                <w:b/>
                <w:sz w:val="20"/>
                <w:szCs w:val="20"/>
                <w:lang w:val="es-ES"/>
              </w:rPr>
            </w:pPr>
            <w:r w:rsidRPr="00A47AD6">
              <w:rPr>
                <w:rFonts w:ascii="Times New Roman" w:eastAsia="Times New Roman" w:hAnsi="Times New Roman" w:cs="Times New Roman"/>
                <w:b/>
                <w:sz w:val="20"/>
                <w:szCs w:val="20"/>
                <w:lang w:val="es-ES"/>
              </w:rPr>
              <w:t>Familias adoptantes calificadas como idóneas</w:t>
            </w:r>
          </w:p>
        </w:tc>
      </w:tr>
      <w:tr w:rsidR="00D50D57" w:rsidRPr="00A47AD6" w14:paraId="3F075A39" w14:textId="77777777">
        <w:trPr>
          <w:trHeight w:val="300"/>
        </w:trPr>
        <w:tc>
          <w:tcPr>
            <w:tcW w:w="850" w:type="dxa"/>
            <w:shd w:val="clear" w:color="auto" w:fill="auto"/>
            <w:tcMar>
              <w:top w:w="100" w:type="dxa"/>
              <w:left w:w="100" w:type="dxa"/>
              <w:bottom w:w="100" w:type="dxa"/>
              <w:right w:w="100" w:type="dxa"/>
            </w:tcMar>
          </w:tcPr>
          <w:p w14:paraId="1A1B9F65"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2018</w:t>
            </w:r>
          </w:p>
        </w:tc>
        <w:tc>
          <w:tcPr>
            <w:tcW w:w="2067" w:type="dxa"/>
            <w:shd w:val="clear" w:color="auto" w:fill="auto"/>
            <w:tcMar>
              <w:top w:w="100" w:type="dxa"/>
              <w:left w:w="100" w:type="dxa"/>
              <w:bottom w:w="100" w:type="dxa"/>
              <w:right w:w="100" w:type="dxa"/>
            </w:tcMar>
          </w:tcPr>
          <w:p w14:paraId="30BEA887"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239</w:t>
            </w:r>
          </w:p>
        </w:tc>
        <w:tc>
          <w:tcPr>
            <w:tcW w:w="4595" w:type="dxa"/>
            <w:shd w:val="clear" w:color="auto" w:fill="auto"/>
            <w:tcMar>
              <w:top w:w="100" w:type="dxa"/>
              <w:left w:w="100" w:type="dxa"/>
              <w:bottom w:w="100" w:type="dxa"/>
              <w:right w:w="100" w:type="dxa"/>
            </w:tcMar>
          </w:tcPr>
          <w:p w14:paraId="1D541DC9"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63 parejas y 15 personas solas</w:t>
            </w:r>
          </w:p>
        </w:tc>
      </w:tr>
      <w:tr w:rsidR="00D50D57" w:rsidRPr="00A47AD6" w14:paraId="31D7CD1C" w14:textId="77777777">
        <w:trPr>
          <w:trHeight w:val="540"/>
        </w:trPr>
        <w:tc>
          <w:tcPr>
            <w:tcW w:w="850" w:type="dxa"/>
            <w:shd w:val="clear" w:color="auto" w:fill="auto"/>
            <w:tcMar>
              <w:top w:w="100" w:type="dxa"/>
              <w:left w:w="100" w:type="dxa"/>
              <w:bottom w:w="100" w:type="dxa"/>
              <w:right w:w="100" w:type="dxa"/>
            </w:tcMar>
          </w:tcPr>
          <w:p w14:paraId="181D0B03"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2019</w:t>
            </w:r>
          </w:p>
        </w:tc>
        <w:tc>
          <w:tcPr>
            <w:tcW w:w="2067" w:type="dxa"/>
            <w:shd w:val="clear" w:color="auto" w:fill="auto"/>
            <w:tcMar>
              <w:top w:w="100" w:type="dxa"/>
              <w:left w:w="100" w:type="dxa"/>
              <w:bottom w:w="100" w:type="dxa"/>
              <w:right w:w="100" w:type="dxa"/>
            </w:tcMar>
          </w:tcPr>
          <w:p w14:paraId="2D3C1E73"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148</w:t>
            </w:r>
          </w:p>
        </w:tc>
        <w:tc>
          <w:tcPr>
            <w:tcW w:w="4595" w:type="dxa"/>
            <w:shd w:val="clear" w:color="auto" w:fill="auto"/>
            <w:tcMar>
              <w:top w:w="100" w:type="dxa"/>
              <w:left w:w="100" w:type="dxa"/>
              <w:bottom w:w="100" w:type="dxa"/>
              <w:right w:w="100" w:type="dxa"/>
            </w:tcMar>
          </w:tcPr>
          <w:p w14:paraId="7668E9A1"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68 familias en espera (17 f. monoparentales, 47 parejas)</w:t>
            </w:r>
          </w:p>
        </w:tc>
      </w:tr>
      <w:tr w:rsidR="00D50D57" w:rsidRPr="00A47AD6" w14:paraId="58DA34BB" w14:textId="77777777">
        <w:trPr>
          <w:trHeight w:val="330"/>
        </w:trPr>
        <w:tc>
          <w:tcPr>
            <w:tcW w:w="850" w:type="dxa"/>
            <w:shd w:val="clear" w:color="auto" w:fill="auto"/>
            <w:tcMar>
              <w:top w:w="100" w:type="dxa"/>
              <w:left w:w="100" w:type="dxa"/>
              <w:bottom w:w="100" w:type="dxa"/>
              <w:right w:w="100" w:type="dxa"/>
            </w:tcMar>
          </w:tcPr>
          <w:p w14:paraId="3EE47C2B"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2020</w:t>
            </w:r>
          </w:p>
        </w:tc>
        <w:tc>
          <w:tcPr>
            <w:tcW w:w="2067" w:type="dxa"/>
            <w:shd w:val="clear" w:color="auto" w:fill="auto"/>
            <w:tcMar>
              <w:top w:w="100" w:type="dxa"/>
              <w:left w:w="100" w:type="dxa"/>
              <w:bottom w:w="100" w:type="dxa"/>
              <w:right w:w="100" w:type="dxa"/>
            </w:tcMar>
          </w:tcPr>
          <w:p w14:paraId="5E7C6505"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265</w:t>
            </w:r>
          </w:p>
        </w:tc>
        <w:tc>
          <w:tcPr>
            <w:tcW w:w="4595" w:type="dxa"/>
            <w:shd w:val="clear" w:color="auto" w:fill="auto"/>
            <w:tcMar>
              <w:top w:w="100" w:type="dxa"/>
              <w:left w:w="100" w:type="dxa"/>
              <w:bottom w:w="100" w:type="dxa"/>
              <w:right w:w="100" w:type="dxa"/>
            </w:tcMar>
          </w:tcPr>
          <w:p w14:paraId="653C6421"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73 familias (18 f. monoparentales, 55 parejas)</w:t>
            </w:r>
          </w:p>
        </w:tc>
      </w:tr>
      <w:tr w:rsidR="00D50D57" w:rsidRPr="00A47AD6" w14:paraId="6B014EB9" w14:textId="77777777">
        <w:tc>
          <w:tcPr>
            <w:tcW w:w="850" w:type="dxa"/>
            <w:shd w:val="clear" w:color="auto" w:fill="auto"/>
            <w:tcMar>
              <w:top w:w="100" w:type="dxa"/>
              <w:left w:w="100" w:type="dxa"/>
              <w:bottom w:w="100" w:type="dxa"/>
              <w:right w:w="100" w:type="dxa"/>
            </w:tcMar>
          </w:tcPr>
          <w:p w14:paraId="4625D59B"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2021</w:t>
            </w:r>
          </w:p>
        </w:tc>
        <w:tc>
          <w:tcPr>
            <w:tcW w:w="2067" w:type="dxa"/>
            <w:shd w:val="clear" w:color="auto" w:fill="auto"/>
            <w:tcMar>
              <w:top w:w="100" w:type="dxa"/>
              <w:left w:w="100" w:type="dxa"/>
              <w:bottom w:w="100" w:type="dxa"/>
              <w:right w:w="100" w:type="dxa"/>
            </w:tcMar>
          </w:tcPr>
          <w:p w14:paraId="348075D3"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308</w:t>
            </w:r>
          </w:p>
        </w:tc>
        <w:tc>
          <w:tcPr>
            <w:tcW w:w="4595" w:type="dxa"/>
            <w:shd w:val="clear" w:color="auto" w:fill="auto"/>
            <w:tcMar>
              <w:top w:w="100" w:type="dxa"/>
              <w:left w:w="100" w:type="dxa"/>
              <w:bottom w:w="100" w:type="dxa"/>
              <w:right w:w="100" w:type="dxa"/>
            </w:tcMar>
          </w:tcPr>
          <w:p w14:paraId="3F34E350"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77 familias (12 f. monoparentales, 65 parejas)</w:t>
            </w:r>
          </w:p>
        </w:tc>
      </w:tr>
      <w:tr w:rsidR="00D50D57" w:rsidRPr="00A47AD6" w14:paraId="124C843E" w14:textId="77777777">
        <w:tc>
          <w:tcPr>
            <w:tcW w:w="850" w:type="dxa"/>
            <w:shd w:val="clear" w:color="auto" w:fill="auto"/>
            <w:tcMar>
              <w:top w:w="100" w:type="dxa"/>
              <w:left w:w="100" w:type="dxa"/>
              <w:bottom w:w="100" w:type="dxa"/>
              <w:right w:w="100" w:type="dxa"/>
            </w:tcMar>
          </w:tcPr>
          <w:p w14:paraId="2C36072B"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2022</w:t>
            </w:r>
          </w:p>
        </w:tc>
        <w:tc>
          <w:tcPr>
            <w:tcW w:w="2067" w:type="dxa"/>
            <w:shd w:val="clear" w:color="auto" w:fill="auto"/>
            <w:tcMar>
              <w:top w:w="100" w:type="dxa"/>
              <w:left w:w="100" w:type="dxa"/>
              <w:bottom w:w="100" w:type="dxa"/>
              <w:right w:w="100" w:type="dxa"/>
            </w:tcMar>
          </w:tcPr>
          <w:p w14:paraId="2FBDCF1E"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257</w:t>
            </w:r>
          </w:p>
        </w:tc>
        <w:tc>
          <w:tcPr>
            <w:tcW w:w="4595" w:type="dxa"/>
            <w:shd w:val="clear" w:color="auto" w:fill="auto"/>
            <w:tcMar>
              <w:top w:w="100" w:type="dxa"/>
              <w:left w:w="100" w:type="dxa"/>
              <w:bottom w:w="100" w:type="dxa"/>
              <w:right w:w="100" w:type="dxa"/>
            </w:tcMar>
          </w:tcPr>
          <w:p w14:paraId="1FBF8B37"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27 adopciones (26 nacionales y 1 internacional)</w:t>
            </w:r>
          </w:p>
        </w:tc>
      </w:tr>
      <w:tr w:rsidR="00D50D57" w:rsidRPr="00A47AD6" w14:paraId="68F94AA1" w14:textId="77777777">
        <w:tc>
          <w:tcPr>
            <w:tcW w:w="850" w:type="dxa"/>
            <w:shd w:val="clear" w:color="auto" w:fill="auto"/>
            <w:tcMar>
              <w:top w:w="100" w:type="dxa"/>
              <w:left w:w="100" w:type="dxa"/>
              <w:bottom w:w="100" w:type="dxa"/>
              <w:right w:w="100" w:type="dxa"/>
            </w:tcMar>
          </w:tcPr>
          <w:p w14:paraId="1C79E809"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lastRenderedPageBreak/>
              <w:t>2023</w:t>
            </w:r>
          </w:p>
        </w:tc>
        <w:tc>
          <w:tcPr>
            <w:tcW w:w="2067" w:type="dxa"/>
            <w:shd w:val="clear" w:color="auto" w:fill="auto"/>
            <w:tcMar>
              <w:top w:w="100" w:type="dxa"/>
              <w:left w:w="100" w:type="dxa"/>
              <w:bottom w:w="100" w:type="dxa"/>
              <w:right w:w="100" w:type="dxa"/>
            </w:tcMar>
          </w:tcPr>
          <w:p w14:paraId="0BC76CE0" w14:textId="77777777" w:rsidR="00D50D57" w:rsidRPr="00A47AD6" w:rsidRDefault="00D50D57" w:rsidP="009A5293">
            <w:pPr>
              <w:widowControl w:val="0"/>
              <w:pBdr>
                <w:top w:val="nil"/>
                <w:left w:val="nil"/>
                <w:bottom w:val="nil"/>
                <w:right w:val="nil"/>
                <w:between w:val="nil"/>
              </w:pBdr>
              <w:jc w:val="cente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249</w:t>
            </w:r>
          </w:p>
        </w:tc>
        <w:tc>
          <w:tcPr>
            <w:tcW w:w="4595" w:type="dxa"/>
            <w:shd w:val="clear" w:color="auto" w:fill="auto"/>
            <w:tcMar>
              <w:top w:w="100" w:type="dxa"/>
              <w:left w:w="100" w:type="dxa"/>
              <w:bottom w:w="100" w:type="dxa"/>
              <w:right w:w="100" w:type="dxa"/>
            </w:tcMar>
          </w:tcPr>
          <w:p w14:paraId="7CA88B6A" w14:textId="77777777" w:rsidR="00D50D57" w:rsidRPr="00A47AD6" w:rsidRDefault="00D50D57">
            <w:pPr>
              <w:widowControl w:val="0"/>
              <w:pBdr>
                <w:top w:val="nil"/>
                <w:left w:val="nil"/>
                <w:bottom w:val="nil"/>
                <w:right w:val="nil"/>
                <w:between w:val="nil"/>
              </w:pBdr>
              <w:rPr>
                <w:rFonts w:ascii="Times New Roman" w:eastAsia="Times New Roman" w:hAnsi="Times New Roman" w:cs="Times New Roman"/>
                <w:sz w:val="20"/>
                <w:szCs w:val="20"/>
                <w:lang w:val="es-ES"/>
              </w:rPr>
            </w:pPr>
            <w:r w:rsidRPr="00A47AD6">
              <w:rPr>
                <w:rFonts w:ascii="Times New Roman" w:eastAsia="Times New Roman" w:hAnsi="Times New Roman" w:cs="Times New Roman"/>
                <w:sz w:val="20"/>
                <w:szCs w:val="20"/>
                <w:lang w:val="es-ES"/>
              </w:rPr>
              <w:t>79 adopciones (67 nacionales y 12 internacionales)</w:t>
            </w:r>
          </w:p>
        </w:tc>
      </w:tr>
    </w:tbl>
    <w:p w14:paraId="3EB0FCB2" w14:textId="77777777" w:rsidR="00D50D57" w:rsidRPr="00A47AD6" w:rsidRDefault="00D50D57" w:rsidP="00D50D57">
      <w:pPr>
        <w:pStyle w:val="Prrafodelista"/>
        <w:pBdr>
          <w:top w:val="nil"/>
          <w:left w:val="nil"/>
          <w:bottom w:val="nil"/>
          <w:right w:val="nil"/>
          <w:between w:val="nil"/>
        </w:pBdr>
        <w:shd w:val="clear" w:color="auto" w:fill="FFFFFF"/>
        <w:spacing w:line="240" w:lineRule="auto"/>
        <w:ind w:left="360"/>
        <w:rPr>
          <w:rFonts w:ascii="Garamond" w:eastAsia="Times New Roman" w:hAnsi="Garamond" w:cs="Times New Roman"/>
          <w:sz w:val="22"/>
          <w:lang w:val="es-ES"/>
        </w:rPr>
      </w:pPr>
      <w:r w:rsidRPr="00A47AD6">
        <w:rPr>
          <w:rFonts w:ascii="Garamond" w:eastAsia="Times New Roman" w:hAnsi="Garamond" w:cs="Times New Roman"/>
          <w:sz w:val="22"/>
          <w:lang w:val="es-ES"/>
        </w:rPr>
        <w:tab/>
      </w:r>
      <w:r w:rsidRPr="00A47AD6">
        <w:rPr>
          <w:rFonts w:ascii="Garamond" w:eastAsia="Times New Roman" w:hAnsi="Garamond" w:cs="Times New Roman"/>
          <w:sz w:val="22"/>
          <w:lang w:val="es-ES"/>
        </w:rPr>
        <w:tab/>
        <w:t>Fuente: Ministerio de Inclusión Económica y Social del Ecuador</w:t>
      </w:r>
      <w:r w:rsidRPr="00A47AD6">
        <w:rPr>
          <w:rStyle w:val="Refdenotaalpie"/>
          <w:rFonts w:ascii="Garamond" w:eastAsia="Times New Roman" w:hAnsi="Garamond" w:cs="Times New Roman"/>
          <w:sz w:val="22"/>
          <w:lang w:val="es-ES"/>
        </w:rPr>
        <w:footnoteReference w:id="58"/>
      </w:r>
    </w:p>
    <w:p w14:paraId="26DB1C52" w14:textId="77777777" w:rsidR="00D50D57" w:rsidRPr="00A47AD6" w:rsidRDefault="00D50D57" w:rsidP="00D50D57">
      <w:pPr>
        <w:pStyle w:val="Prrafodelista"/>
        <w:pBdr>
          <w:top w:val="nil"/>
          <w:left w:val="nil"/>
          <w:bottom w:val="nil"/>
          <w:right w:val="nil"/>
          <w:between w:val="nil"/>
        </w:pBdr>
        <w:shd w:val="clear" w:color="auto" w:fill="FFFFFF"/>
        <w:spacing w:line="240" w:lineRule="auto"/>
        <w:ind w:left="360"/>
        <w:rPr>
          <w:rFonts w:ascii="Garamond" w:eastAsia="Times New Roman" w:hAnsi="Garamond" w:cs="Times New Roman"/>
          <w:sz w:val="22"/>
          <w:lang w:val="es-ES"/>
        </w:rPr>
      </w:pPr>
    </w:p>
    <w:p w14:paraId="55C680D6" w14:textId="77777777" w:rsidR="00D50D57" w:rsidRPr="00A47AD6" w:rsidRDefault="00D50D57" w:rsidP="00D50D57">
      <w:pPr>
        <w:pStyle w:val="Prrafodelista"/>
        <w:pBdr>
          <w:top w:val="nil"/>
          <w:left w:val="nil"/>
          <w:bottom w:val="nil"/>
          <w:right w:val="nil"/>
          <w:between w:val="nil"/>
        </w:pBdr>
        <w:spacing w:line="240" w:lineRule="auto"/>
        <w:ind w:left="360"/>
        <w:jc w:val="both"/>
        <w:rPr>
          <w:rFonts w:ascii="Times New Roman" w:hAnsi="Times New Roman" w:cs="Times New Roman"/>
          <w:szCs w:val="24"/>
          <w:lang w:val="es-ES"/>
        </w:rPr>
      </w:pPr>
    </w:p>
    <w:p w14:paraId="3B496AAF" w14:textId="3B9666B4" w:rsidR="00D50D57" w:rsidRDefault="00D50D57" w:rsidP="00D50D57">
      <w:pPr>
        <w:pStyle w:val="Prrafodelista"/>
        <w:numPr>
          <w:ilvl w:val="0"/>
          <w:numId w:val="1"/>
        </w:numPr>
        <w:pBdr>
          <w:top w:val="nil"/>
          <w:left w:val="nil"/>
          <w:bottom w:val="nil"/>
          <w:right w:val="nil"/>
          <w:between w:val="nil"/>
        </w:pBdr>
        <w:spacing w:line="240" w:lineRule="auto"/>
        <w:jc w:val="both"/>
        <w:rPr>
          <w:rFonts w:ascii="Times New Roman" w:hAnsi="Times New Roman" w:cs="Times New Roman"/>
          <w:szCs w:val="24"/>
          <w:lang w:val="es-ES"/>
        </w:rPr>
      </w:pPr>
      <w:r w:rsidRPr="00A47AD6">
        <w:rPr>
          <w:rFonts w:ascii="Times New Roman" w:hAnsi="Times New Roman" w:cs="Times New Roman"/>
          <w:szCs w:val="24"/>
          <w:lang w:val="es-ES"/>
        </w:rPr>
        <w:t xml:space="preserve">Como se puede ver en los datos presentados, la cifra de niños que han sido privados de su medio familiar en Ecuador es elevada, mientras que el número de familias que son calificadas anualmente como adoptantes idóneos es significativamente más bajo, lo que produce que muchos de estos niños no puedan acceder a un medio familiar alternativo, por insuficiencia de postulantes. Ello demuestra que excluir a personas LGBTIQ+ de esta posibilidad, disminuye las posibilidades de niños, niñas y adolescentes en Ecuador a ser adoptados, vulnerando su derecho a tener una familia. </w:t>
      </w:r>
    </w:p>
    <w:p w14:paraId="5AE3FB13" w14:textId="77777777" w:rsidR="00D50D57" w:rsidRPr="00A47AD6" w:rsidRDefault="00D50D57" w:rsidP="00D50D57">
      <w:pPr>
        <w:rPr>
          <w:rFonts w:ascii="Times New Roman" w:hAnsi="Times New Roman" w:cs="Times New Roman"/>
          <w:lang w:val="es-ES" w:eastAsia="es-ES_tradnl"/>
        </w:rPr>
      </w:pPr>
    </w:p>
    <w:p w14:paraId="7723FDE9" w14:textId="35A2B036" w:rsidR="00D50D57" w:rsidRPr="00A47AD6" w:rsidRDefault="009A5293" w:rsidP="00D50D57">
      <w:pPr>
        <w:ind w:left="360"/>
        <w:rPr>
          <w:rFonts w:ascii="Times New Roman" w:hAnsi="Times New Roman" w:cs="Times New Roman"/>
          <w:b/>
          <w:bCs/>
          <w:u w:val="single"/>
          <w:lang w:val="es-ES" w:eastAsia="es-ES_tradnl"/>
        </w:rPr>
      </w:pPr>
      <w:r>
        <w:rPr>
          <w:rFonts w:ascii="Times New Roman" w:hAnsi="Times New Roman" w:cs="Times New Roman"/>
          <w:b/>
          <w:bCs/>
          <w:u w:val="single"/>
          <w:lang w:val="es-ES" w:eastAsia="es-ES_tradnl"/>
        </w:rPr>
        <w:t>D</w:t>
      </w:r>
      <w:r w:rsidR="00D50D57" w:rsidRPr="00A47AD6">
        <w:rPr>
          <w:rFonts w:ascii="Times New Roman" w:hAnsi="Times New Roman" w:cs="Times New Roman"/>
          <w:b/>
          <w:bCs/>
          <w:u w:val="single"/>
          <w:lang w:val="es-ES" w:eastAsia="es-ES_tradnl"/>
        </w:rPr>
        <w:t xml:space="preserve">erechos de la niñez </w:t>
      </w:r>
      <w:r w:rsidR="00285C9D">
        <w:rPr>
          <w:rFonts w:ascii="Times New Roman" w:hAnsi="Times New Roman" w:cs="Times New Roman"/>
          <w:b/>
          <w:bCs/>
          <w:u w:val="single"/>
          <w:lang w:val="es-ES" w:eastAsia="es-ES_tradnl"/>
        </w:rPr>
        <w:t>T</w:t>
      </w:r>
      <w:r w:rsidR="00D50D57" w:rsidRPr="00A47AD6">
        <w:rPr>
          <w:rFonts w:ascii="Times New Roman" w:hAnsi="Times New Roman" w:cs="Times New Roman"/>
          <w:b/>
          <w:bCs/>
          <w:u w:val="single"/>
          <w:lang w:val="es-ES" w:eastAsia="es-ES_tradnl"/>
        </w:rPr>
        <w:t xml:space="preserve">rans e </w:t>
      </w:r>
      <w:r w:rsidR="00285C9D">
        <w:rPr>
          <w:rFonts w:ascii="Times New Roman" w:hAnsi="Times New Roman" w:cs="Times New Roman"/>
          <w:b/>
          <w:bCs/>
          <w:u w:val="single"/>
          <w:lang w:val="es-ES" w:eastAsia="es-ES_tradnl"/>
        </w:rPr>
        <w:t>I</w:t>
      </w:r>
      <w:r w:rsidR="00D50D57" w:rsidRPr="00A47AD6">
        <w:rPr>
          <w:rFonts w:ascii="Times New Roman" w:hAnsi="Times New Roman" w:cs="Times New Roman"/>
          <w:b/>
          <w:bCs/>
          <w:u w:val="single"/>
          <w:lang w:val="es-ES" w:eastAsia="es-ES_tradnl"/>
        </w:rPr>
        <w:t>ntersex</w:t>
      </w:r>
      <w:r>
        <w:rPr>
          <w:rFonts w:ascii="Times New Roman" w:hAnsi="Times New Roman" w:cs="Times New Roman"/>
          <w:b/>
          <w:bCs/>
          <w:u w:val="single"/>
          <w:lang w:val="es-ES" w:eastAsia="es-ES_tradnl"/>
        </w:rPr>
        <w:t xml:space="preserve"> (Artículo 24)</w:t>
      </w:r>
      <w:r w:rsidR="00D50D57" w:rsidRPr="00A47AD6">
        <w:rPr>
          <w:rFonts w:ascii="Times New Roman" w:hAnsi="Times New Roman" w:cs="Times New Roman"/>
          <w:b/>
          <w:bCs/>
          <w:u w:val="single"/>
          <w:lang w:val="es-ES" w:eastAsia="es-ES_tradnl"/>
        </w:rPr>
        <w:t>:</w:t>
      </w:r>
    </w:p>
    <w:p w14:paraId="3AD0D712" w14:textId="77777777" w:rsidR="00D50D57" w:rsidRPr="00A47AD6" w:rsidRDefault="00D50D57" w:rsidP="00D50D57">
      <w:pPr>
        <w:ind w:left="360"/>
        <w:rPr>
          <w:rFonts w:ascii="Times New Roman" w:hAnsi="Times New Roman" w:cs="Times New Roman"/>
          <w:lang w:val="es-ES" w:eastAsia="es-ES_tradnl"/>
        </w:rPr>
      </w:pPr>
    </w:p>
    <w:p w14:paraId="78D797F1" w14:textId="36C8A280"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bCs/>
          <w:color w:val="222222"/>
          <w:szCs w:val="24"/>
          <w:lang w:val="es-ES" w:eastAsia="es-ES_tradnl"/>
        </w:rPr>
      </w:pPr>
      <w:r w:rsidRPr="00A47AD6">
        <w:rPr>
          <w:rFonts w:ascii="Times New Roman" w:eastAsia="Times New Roman" w:hAnsi="Times New Roman" w:cs="Times New Roman"/>
          <w:bCs/>
          <w:color w:val="222222"/>
          <w:szCs w:val="24"/>
          <w:lang w:val="es-ES" w:eastAsia="es-ES_tradnl"/>
        </w:rPr>
        <w:t xml:space="preserve">Sin la Ley que permita </w:t>
      </w:r>
      <w:r w:rsidR="009A5293">
        <w:rPr>
          <w:rFonts w:ascii="Times New Roman" w:eastAsia="Times New Roman" w:hAnsi="Times New Roman" w:cs="Times New Roman"/>
          <w:bCs/>
          <w:color w:val="222222"/>
          <w:szCs w:val="24"/>
          <w:lang w:val="es-ES" w:eastAsia="es-ES_tradnl"/>
        </w:rPr>
        <w:t xml:space="preserve">en el registro civil </w:t>
      </w:r>
      <w:r w:rsidRPr="00A47AD6">
        <w:rPr>
          <w:rFonts w:ascii="Times New Roman" w:eastAsia="Times New Roman" w:hAnsi="Times New Roman" w:cs="Times New Roman"/>
          <w:bCs/>
          <w:color w:val="222222"/>
          <w:szCs w:val="24"/>
          <w:lang w:val="es-ES" w:eastAsia="es-ES_tradnl"/>
        </w:rPr>
        <w:t>el cambio de nombre y sexo</w:t>
      </w:r>
      <w:r w:rsidR="009A5293">
        <w:rPr>
          <w:rFonts w:ascii="Times New Roman" w:eastAsia="Times New Roman" w:hAnsi="Times New Roman" w:cs="Times New Roman"/>
          <w:bCs/>
          <w:color w:val="222222"/>
          <w:szCs w:val="24"/>
          <w:lang w:val="es-ES" w:eastAsia="es-ES_tradnl"/>
        </w:rPr>
        <w:t xml:space="preserve"> </w:t>
      </w:r>
      <w:r w:rsidRPr="00A47AD6">
        <w:rPr>
          <w:rFonts w:ascii="Times New Roman" w:eastAsia="Times New Roman" w:hAnsi="Times New Roman" w:cs="Times New Roman"/>
          <w:bCs/>
          <w:color w:val="222222"/>
          <w:szCs w:val="24"/>
          <w:lang w:val="es-ES" w:eastAsia="es-ES_tradnl"/>
        </w:rPr>
        <w:t>de la niñez Trans e Intersex en Ecuador, la familia de una niña, Amada,</w:t>
      </w:r>
      <w:r w:rsidRPr="00A47AD6">
        <w:rPr>
          <w:rStyle w:val="Refdenotaalpie"/>
          <w:rFonts w:ascii="Times New Roman" w:eastAsia="Times New Roman" w:hAnsi="Times New Roman" w:cs="Times New Roman"/>
          <w:bCs/>
          <w:color w:val="222222"/>
          <w:szCs w:val="24"/>
          <w:lang w:val="es-ES" w:eastAsia="es-ES_tradnl"/>
        </w:rPr>
        <w:footnoteReference w:id="59"/>
      </w:r>
      <w:r w:rsidRPr="00A47AD6">
        <w:rPr>
          <w:rFonts w:ascii="Times New Roman" w:eastAsia="Times New Roman" w:hAnsi="Times New Roman" w:cs="Times New Roman"/>
          <w:bCs/>
          <w:color w:val="222222"/>
          <w:szCs w:val="24"/>
          <w:lang w:val="es-ES" w:eastAsia="es-ES_tradnl"/>
        </w:rPr>
        <w:t xml:space="preserve"> decidió activar la vía judicial mediante una Acción de Protección, después de solicitar al Registro Civil el cambio de nombre y sexo registral, y recibir una negativa.</w:t>
      </w:r>
      <w:r w:rsidRPr="00A47AD6">
        <w:rPr>
          <w:rStyle w:val="Refdenotaalpie"/>
          <w:rFonts w:ascii="Times New Roman" w:eastAsia="Times New Roman" w:hAnsi="Times New Roman" w:cs="Times New Roman"/>
          <w:color w:val="222222"/>
          <w:szCs w:val="24"/>
          <w:lang w:val="es-ES" w:eastAsia="es-ES_tradnl"/>
        </w:rPr>
        <w:t xml:space="preserve"> </w:t>
      </w:r>
      <w:r w:rsidRPr="00A47AD6">
        <w:rPr>
          <w:rStyle w:val="Refdenotaalpie"/>
          <w:rFonts w:ascii="Times New Roman" w:eastAsia="Times New Roman" w:hAnsi="Times New Roman" w:cs="Times New Roman"/>
          <w:color w:val="222222"/>
          <w:szCs w:val="24"/>
          <w:lang w:val="es-ES" w:eastAsia="es-ES_tradnl"/>
        </w:rPr>
        <w:footnoteReference w:id="60"/>
      </w:r>
      <w:r w:rsidRPr="00A47AD6">
        <w:rPr>
          <w:rFonts w:ascii="Times New Roman" w:eastAsia="Times New Roman" w:hAnsi="Times New Roman" w:cs="Times New Roman"/>
          <w:bCs/>
          <w:color w:val="222222"/>
          <w:szCs w:val="24"/>
          <w:lang w:val="es-ES" w:eastAsia="es-ES_tradnl"/>
        </w:rPr>
        <w:t xml:space="preserve"> En sentencia de 2018 se aceptó parcialmente la Acción,</w:t>
      </w:r>
      <w:r w:rsidRPr="00A47AD6">
        <w:rPr>
          <w:rStyle w:val="Refdenotaalpie"/>
          <w:rFonts w:ascii="Times New Roman" w:eastAsia="Times New Roman" w:hAnsi="Times New Roman" w:cs="Times New Roman"/>
          <w:bCs/>
          <w:color w:val="222222"/>
          <w:szCs w:val="24"/>
          <w:lang w:val="es-ES" w:eastAsia="es-ES_tradnl"/>
        </w:rPr>
        <w:footnoteReference w:id="61"/>
      </w:r>
      <w:r w:rsidRPr="00A47AD6">
        <w:rPr>
          <w:rFonts w:ascii="Times New Roman" w:eastAsia="Times New Roman" w:hAnsi="Times New Roman" w:cs="Times New Roman"/>
          <w:bCs/>
          <w:color w:val="222222"/>
          <w:szCs w:val="24"/>
          <w:lang w:val="es-ES" w:eastAsia="es-ES_tradnl"/>
        </w:rPr>
        <w:t xml:space="preserve"> disponiendo al Registro Civil el cambio de nombre de masculino a femenino de Amada, y ordenando la emisión de su nueva cédula de identidad.</w:t>
      </w:r>
      <w:r w:rsidRPr="00A47AD6">
        <w:rPr>
          <w:rStyle w:val="Refdenotaalpie"/>
          <w:rFonts w:ascii="Times New Roman" w:eastAsia="Times New Roman" w:hAnsi="Times New Roman" w:cs="Times New Roman"/>
          <w:bCs/>
          <w:color w:val="222222"/>
          <w:szCs w:val="24"/>
          <w:lang w:val="es-ES" w:eastAsia="es-ES_tradnl"/>
        </w:rPr>
        <w:footnoteReference w:id="62"/>
      </w:r>
    </w:p>
    <w:p w14:paraId="01ECE08E" w14:textId="77777777" w:rsidR="00D50D57" w:rsidRPr="00A47AD6" w:rsidRDefault="00D50D57" w:rsidP="00D50D57">
      <w:pPr>
        <w:rPr>
          <w:rFonts w:ascii="Times New Roman" w:hAnsi="Times New Roman" w:cs="Times New Roman"/>
          <w:lang w:val="es-ES" w:eastAsia="es-ES_tradnl"/>
        </w:rPr>
      </w:pPr>
    </w:p>
    <w:p w14:paraId="776F5F8E" w14:textId="47550786"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bCs/>
          <w:color w:val="222222"/>
          <w:szCs w:val="24"/>
          <w:lang w:val="es-ES" w:eastAsia="es-ES_tradnl"/>
        </w:rPr>
        <w:t>El Registro Civil apeló la sentencia, motivo por el cual el proceso subió al tribunal de segunda instancia. E</w:t>
      </w:r>
      <w:r w:rsidR="009A5293">
        <w:rPr>
          <w:rFonts w:ascii="Times New Roman" w:eastAsia="Times New Roman" w:hAnsi="Times New Roman" w:cs="Times New Roman"/>
          <w:bCs/>
          <w:color w:val="222222"/>
          <w:szCs w:val="24"/>
          <w:lang w:val="es-ES" w:eastAsia="es-ES_tradnl"/>
        </w:rPr>
        <w:t xml:space="preserve">n </w:t>
      </w:r>
      <w:r w:rsidRPr="00A47AD6">
        <w:rPr>
          <w:rFonts w:ascii="Times New Roman" w:eastAsia="Times New Roman" w:hAnsi="Times New Roman" w:cs="Times New Roman"/>
          <w:bCs/>
          <w:color w:val="222222"/>
          <w:szCs w:val="24"/>
          <w:lang w:val="es-ES" w:eastAsia="es-ES_tradnl"/>
        </w:rPr>
        <w:t>2019 se emitió sentencia en esta etapa procesal, aceptando la apelación solicitada, desconociendo el derecho de niñ</w:t>
      </w:r>
      <w:r w:rsidR="004A72D1">
        <w:rPr>
          <w:rFonts w:ascii="Times New Roman" w:eastAsia="Times New Roman" w:hAnsi="Times New Roman" w:cs="Times New Roman"/>
          <w:bCs/>
          <w:color w:val="222222"/>
          <w:szCs w:val="24"/>
          <w:lang w:val="es-ES" w:eastAsia="es-ES_tradnl"/>
        </w:rPr>
        <w:t>o</w:t>
      </w:r>
      <w:r w:rsidRPr="00A47AD6">
        <w:rPr>
          <w:rFonts w:ascii="Times New Roman" w:eastAsia="Times New Roman" w:hAnsi="Times New Roman" w:cs="Times New Roman"/>
          <w:bCs/>
          <w:color w:val="222222"/>
          <w:szCs w:val="24"/>
          <w:lang w:val="es-ES" w:eastAsia="es-ES_tradnl"/>
        </w:rPr>
        <w:t xml:space="preserve">s menores de 12 años el acceso a su derecho a la auto identificación de género. </w:t>
      </w:r>
      <w:r w:rsidRPr="00A47AD6">
        <w:rPr>
          <w:rFonts w:ascii="Times New Roman" w:eastAsia="Times New Roman" w:hAnsi="Times New Roman" w:cs="Times New Roman"/>
          <w:color w:val="222222"/>
          <w:szCs w:val="24"/>
          <w:lang w:val="es-ES" w:eastAsia="es-ES_tradnl"/>
        </w:rPr>
        <w:t>Esto provocó que los datos registrales de Amada vuelvan a ser masculinos y que se mantengan así hasta la actualidad.</w:t>
      </w:r>
      <w:r w:rsidRPr="00A47AD6">
        <w:rPr>
          <w:rStyle w:val="Refdenotaalpie"/>
          <w:rFonts w:ascii="Times New Roman" w:eastAsia="Times New Roman" w:hAnsi="Times New Roman" w:cs="Times New Roman"/>
          <w:color w:val="222222"/>
          <w:szCs w:val="24"/>
          <w:lang w:val="es-ES" w:eastAsia="es-ES_tradnl"/>
        </w:rPr>
        <w:footnoteReference w:id="63"/>
      </w:r>
    </w:p>
    <w:p w14:paraId="06B1BEBB" w14:textId="77777777" w:rsidR="00D50D57" w:rsidRPr="00A47AD6" w:rsidRDefault="00D50D57" w:rsidP="00D50D57">
      <w:pPr>
        <w:rPr>
          <w:rFonts w:ascii="Times New Roman" w:hAnsi="Times New Roman" w:cs="Times New Roman"/>
          <w:lang w:val="es-ES" w:eastAsia="es-ES_tradnl"/>
        </w:rPr>
      </w:pPr>
    </w:p>
    <w:p w14:paraId="6BEEC4CD" w14:textId="77777777"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 xml:space="preserve">Frente a esta situación, Amada y su familia acudieron a la Corte Constitucional del Ecuador mediante una Acción Extraordinaria de Protección, la misma que fue inadmitida en julio de 2020. Sin embargo, la misma Corte decidió seleccionar el caso de Amada en mayo de 2020 para su revisión y para la generación de la jurisprudencia (caso No.1313-19-JP). El 10 de junio de 2022 se ingresó un escrito desde la Fundación Pakta para que la Corte Constitucional en el marco de su “Protocolo interno de la Corte Constitucional para garantizar la participación y </w:t>
      </w:r>
      <w:r w:rsidRPr="00A47AD6">
        <w:rPr>
          <w:rFonts w:ascii="Times New Roman" w:eastAsia="Times New Roman" w:hAnsi="Times New Roman" w:cs="Times New Roman"/>
          <w:color w:val="222222"/>
          <w:szCs w:val="24"/>
          <w:lang w:val="es-ES" w:eastAsia="es-ES_tradnl"/>
        </w:rPr>
        <w:lastRenderedPageBreak/>
        <w:t>escucha de niñas, niños y adolescentes en los procesos constitucionales”</w:t>
      </w:r>
      <w:r w:rsidRPr="00A47AD6">
        <w:rPr>
          <w:rStyle w:val="Refdenotaalpie"/>
          <w:rFonts w:ascii="Times New Roman" w:eastAsia="Times New Roman" w:hAnsi="Times New Roman" w:cs="Times New Roman"/>
          <w:color w:val="222222"/>
          <w:szCs w:val="24"/>
          <w:lang w:val="es-ES" w:eastAsia="es-ES_tradnl"/>
        </w:rPr>
        <w:footnoteReference w:id="64"/>
      </w:r>
      <w:r w:rsidRPr="00A47AD6">
        <w:rPr>
          <w:rFonts w:ascii="Times New Roman" w:eastAsia="Times New Roman" w:hAnsi="Times New Roman" w:cs="Times New Roman"/>
          <w:color w:val="222222"/>
          <w:szCs w:val="24"/>
          <w:lang w:val="es-ES" w:eastAsia="es-ES_tradnl"/>
        </w:rPr>
        <w:t xml:space="preserve"> realice una audiencia privada y pueda escuchar a la niña y así poder resolver el caso, sin embargo la Corte Constitucional lleva más de 4 años suspendido el caso de Amada dejando a la niña sin la posibilidad de ejercer su derecho a la identidad, provocando que ella lo haga en su mayoría de edad.</w:t>
      </w:r>
    </w:p>
    <w:p w14:paraId="4200E781" w14:textId="77777777" w:rsidR="00D50D57" w:rsidRPr="00A47AD6" w:rsidRDefault="00D50D57" w:rsidP="00D50D57">
      <w:pPr>
        <w:pStyle w:val="Prrafodelista"/>
        <w:spacing w:line="240" w:lineRule="auto"/>
        <w:rPr>
          <w:rFonts w:ascii="Times New Roman" w:eastAsia="Times New Roman" w:hAnsi="Times New Roman" w:cs="Times New Roman"/>
          <w:color w:val="222222"/>
          <w:szCs w:val="24"/>
          <w:lang w:val="es-ES" w:eastAsia="es-ES_tradnl"/>
        </w:rPr>
      </w:pPr>
    </w:p>
    <w:p w14:paraId="17DC70D8" w14:textId="60F9B758" w:rsidR="003655DC" w:rsidRPr="003655DC" w:rsidRDefault="00D50D57" w:rsidP="003655DC">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 xml:space="preserve">Lamentablemente, por las condiciones jurídicas de Amada (incertidumbre sobre su identidad </w:t>
      </w:r>
      <w:r w:rsidR="004A72D1">
        <w:rPr>
          <w:rFonts w:ascii="Times New Roman" w:eastAsia="Times New Roman" w:hAnsi="Times New Roman" w:cs="Times New Roman"/>
          <w:color w:val="222222"/>
          <w:szCs w:val="24"/>
          <w:lang w:val="es-ES" w:eastAsia="es-ES_tradnl"/>
        </w:rPr>
        <w:t xml:space="preserve">y </w:t>
      </w:r>
      <w:r w:rsidRPr="00A47AD6">
        <w:rPr>
          <w:rFonts w:ascii="Times New Roman" w:eastAsia="Times New Roman" w:hAnsi="Times New Roman" w:cs="Times New Roman"/>
          <w:color w:val="222222"/>
          <w:szCs w:val="24"/>
          <w:lang w:val="es-ES" w:eastAsia="es-ES_tradnl"/>
        </w:rPr>
        <w:t xml:space="preserve">retardo injustificado de la justicia) y por la inexistencia de protocolos vinculantes en el área de salud y educación a favor de la niñez Trans; la familia de Amada decidió migrar a Canadá para mejorar la condición de vida de la niña. </w:t>
      </w:r>
      <w:r w:rsidRPr="00A47AD6">
        <w:rPr>
          <w:rFonts w:ascii="Times New Roman" w:eastAsia="Times New Roman" w:hAnsi="Times New Roman" w:cs="Times New Roman"/>
          <w:color w:val="222222"/>
          <w:lang w:val="es-ES" w:eastAsia="es-ES_tradnl"/>
        </w:rPr>
        <w:t xml:space="preserve">El caso de Amada no afecta solo a ella y a su familia, </w:t>
      </w:r>
      <w:r w:rsidR="004A72D1">
        <w:rPr>
          <w:rFonts w:ascii="Times New Roman" w:eastAsia="Times New Roman" w:hAnsi="Times New Roman" w:cs="Times New Roman"/>
          <w:color w:val="222222"/>
          <w:lang w:val="es-ES" w:eastAsia="es-ES_tradnl"/>
        </w:rPr>
        <w:t>pues podía ser un</w:t>
      </w:r>
      <w:r w:rsidRPr="00A47AD6">
        <w:rPr>
          <w:rFonts w:ascii="Times New Roman" w:eastAsia="Times New Roman" w:hAnsi="Times New Roman" w:cs="Times New Roman"/>
          <w:color w:val="222222"/>
          <w:lang w:val="es-ES" w:eastAsia="es-ES_tradnl"/>
        </w:rPr>
        <w:t xml:space="preserve"> precedente </w:t>
      </w:r>
      <w:r w:rsidR="004A72D1">
        <w:rPr>
          <w:rFonts w:ascii="Times New Roman" w:eastAsia="Times New Roman" w:hAnsi="Times New Roman" w:cs="Times New Roman"/>
          <w:color w:val="222222"/>
          <w:lang w:val="es-ES" w:eastAsia="es-ES_tradnl"/>
        </w:rPr>
        <w:t>para</w:t>
      </w:r>
      <w:r w:rsidRPr="00A47AD6">
        <w:rPr>
          <w:rFonts w:ascii="Times New Roman" w:eastAsia="Times New Roman" w:hAnsi="Times New Roman" w:cs="Times New Roman"/>
          <w:color w:val="222222"/>
          <w:lang w:val="es-ES" w:eastAsia="es-ES_tradnl"/>
        </w:rPr>
        <w:t xml:space="preserve"> acceder al cambio de nombre y sexo registral</w:t>
      </w:r>
      <w:r w:rsidR="004A72D1">
        <w:rPr>
          <w:rFonts w:ascii="Times New Roman" w:eastAsia="Times New Roman" w:hAnsi="Times New Roman" w:cs="Times New Roman"/>
          <w:color w:val="222222"/>
          <w:lang w:val="es-ES" w:eastAsia="es-ES_tradnl"/>
        </w:rPr>
        <w:t xml:space="preserve"> para la niñez trans en Ecuador. Sin embargo,</w:t>
      </w:r>
      <w:r w:rsidRPr="00A47AD6">
        <w:rPr>
          <w:rFonts w:ascii="Times New Roman" w:eastAsia="Times New Roman" w:hAnsi="Times New Roman" w:cs="Times New Roman"/>
          <w:color w:val="222222"/>
          <w:lang w:val="es-ES" w:eastAsia="es-ES_tradnl"/>
        </w:rPr>
        <w:t xml:space="preserve"> este retardo de la Corte Constitucional limita el acceso de estos </w:t>
      </w:r>
      <w:proofErr w:type="gramStart"/>
      <w:r w:rsidRPr="00A47AD6">
        <w:rPr>
          <w:rFonts w:ascii="Times New Roman" w:eastAsia="Times New Roman" w:hAnsi="Times New Roman" w:cs="Times New Roman"/>
          <w:color w:val="222222"/>
          <w:lang w:val="es-ES" w:eastAsia="es-ES_tradnl"/>
        </w:rPr>
        <w:t>niños y niñas</w:t>
      </w:r>
      <w:proofErr w:type="gramEnd"/>
      <w:r w:rsidRPr="00A47AD6">
        <w:rPr>
          <w:rFonts w:ascii="Times New Roman" w:eastAsia="Times New Roman" w:hAnsi="Times New Roman" w:cs="Times New Roman"/>
          <w:color w:val="222222"/>
          <w:lang w:val="es-ES" w:eastAsia="es-ES_tradnl"/>
        </w:rPr>
        <w:t xml:space="preserve"> a su derecho a la identidad y derechos conexos, en particular </w:t>
      </w:r>
      <w:r w:rsidR="00AD5B6D">
        <w:rPr>
          <w:rFonts w:ascii="Times New Roman" w:eastAsia="Times New Roman" w:hAnsi="Times New Roman" w:cs="Times New Roman"/>
          <w:color w:val="222222"/>
          <w:lang w:val="es-ES" w:eastAsia="es-ES_tradnl"/>
        </w:rPr>
        <w:t xml:space="preserve">movilidad, </w:t>
      </w:r>
      <w:r w:rsidRPr="00A47AD6">
        <w:rPr>
          <w:rFonts w:ascii="Times New Roman" w:eastAsia="Times New Roman" w:hAnsi="Times New Roman" w:cs="Times New Roman"/>
          <w:color w:val="222222"/>
          <w:lang w:val="es-ES" w:eastAsia="es-ES_tradnl"/>
        </w:rPr>
        <w:t>salud y educación.</w:t>
      </w:r>
    </w:p>
    <w:p w14:paraId="7EE1CFCD" w14:textId="77777777" w:rsidR="003655DC" w:rsidRPr="003655DC" w:rsidRDefault="003655DC" w:rsidP="003655DC">
      <w:pPr>
        <w:pStyle w:val="Prrafodelista"/>
        <w:rPr>
          <w:rFonts w:ascii="Times New Roman" w:eastAsia="Times New Roman" w:hAnsi="Times New Roman" w:cs="Times New Roman"/>
          <w:color w:val="222222"/>
          <w:lang w:val="es-ES" w:eastAsia="es-ES_tradnl"/>
        </w:rPr>
      </w:pPr>
    </w:p>
    <w:p w14:paraId="241E64FD" w14:textId="756170D2" w:rsidR="00D50D57" w:rsidRPr="003655DC" w:rsidRDefault="004A72D1" w:rsidP="003655DC">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Pr>
          <w:rFonts w:ascii="Times New Roman" w:eastAsia="Times New Roman" w:hAnsi="Times New Roman" w:cs="Times New Roman"/>
          <w:color w:val="222222"/>
          <w:lang w:val="es-ES" w:eastAsia="es-ES_tradnl"/>
        </w:rPr>
        <w:t xml:space="preserve">Debido al </w:t>
      </w:r>
      <w:r w:rsidR="00D50D57" w:rsidRPr="003655DC">
        <w:rPr>
          <w:rFonts w:ascii="Times New Roman" w:eastAsia="Times New Roman" w:hAnsi="Times New Roman" w:cs="Times New Roman"/>
          <w:color w:val="222222"/>
          <w:lang w:val="es-ES" w:eastAsia="es-ES_tradnl"/>
        </w:rPr>
        <w:t>trabajo</w:t>
      </w:r>
      <w:r>
        <w:rPr>
          <w:rFonts w:ascii="Times New Roman" w:eastAsia="Times New Roman" w:hAnsi="Times New Roman" w:cs="Times New Roman"/>
          <w:color w:val="222222"/>
          <w:lang w:val="es-ES" w:eastAsia="es-ES_tradnl"/>
        </w:rPr>
        <w:t xml:space="preserve"> colectivo</w:t>
      </w:r>
      <w:r w:rsidR="00D50D57" w:rsidRPr="003655DC">
        <w:rPr>
          <w:rFonts w:ascii="Times New Roman" w:eastAsia="Times New Roman" w:hAnsi="Times New Roman" w:cs="Times New Roman"/>
          <w:color w:val="222222"/>
          <w:lang w:val="es-ES" w:eastAsia="es-ES_tradnl"/>
        </w:rPr>
        <w:t xml:space="preserve"> </w:t>
      </w:r>
      <w:r>
        <w:rPr>
          <w:rFonts w:ascii="Times New Roman" w:eastAsia="Times New Roman" w:hAnsi="Times New Roman" w:cs="Times New Roman"/>
          <w:color w:val="222222"/>
          <w:lang w:val="es-ES" w:eastAsia="es-ES_tradnl"/>
        </w:rPr>
        <w:t>entre</w:t>
      </w:r>
      <w:r w:rsidR="00D50D57" w:rsidRPr="003655DC">
        <w:rPr>
          <w:rFonts w:ascii="Times New Roman" w:eastAsia="Times New Roman" w:hAnsi="Times New Roman" w:cs="Times New Roman"/>
          <w:color w:val="222222"/>
          <w:lang w:val="es-ES" w:eastAsia="es-ES_tradnl"/>
        </w:rPr>
        <w:t xml:space="preserve"> familias de niños y niñas trans y organizaciones especialmente de la provincia de Cotopaxi se han logrado el cambio de nombre y sexo de dos adolescentes Trans, menores de 18 años</w:t>
      </w:r>
      <w:r>
        <w:rPr>
          <w:rFonts w:ascii="Times New Roman" w:eastAsia="Times New Roman" w:hAnsi="Times New Roman" w:cs="Times New Roman"/>
          <w:color w:val="222222"/>
          <w:lang w:val="es-ES" w:eastAsia="es-ES_tradnl"/>
        </w:rPr>
        <w:t xml:space="preserve"> en el país</w:t>
      </w:r>
      <w:r w:rsidR="00D50D57" w:rsidRPr="003655DC">
        <w:rPr>
          <w:rFonts w:ascii="Times New Roman" w:eastAsia="Times New Roman" w:hAnsi="Times New Roman" w:cs="Times New Roman"/>
          <w:color w:val="222222"/>
          <w:lang w:val="es-ES" w:eastAsia="es-ES_tradnl"/>
        </w:rPr>
        <w:t>. Desde la Fundación Pakta en seguimiento de las sentencias de la Corte Constitucional en materia de identidad de género</w:t>
      </w:r>
      <w:r>
        <w:rPr>
          <w:rFonts w:ascii="Times New Roman" w:eastAsia="Times New Roman" w:hAnsi="Times New Roman" w:cs="Times New Roman"/>
          <w:color w:val="222222"/>
          <w:lang w:val="es-ES" w:eastAsia="es-ES_tradnl"/>
        </w:rPr>
        <w:t xml:space="preserve">, se </w:t>
      </w:r>
      <w:r w:rsidR="00D50D57" w:rsidRPr="003655DC">
        <w:rPr>
          <w:rFonts w:ascii="Times New Roman" w:eastAsia="Times New Roman" w:hAnsi="Times New Roman" w:cs="Times New Roman"/>
          <w:color w:val="222222"/>
          <w:lang w:val="es-ES" w:eastAsia="es-ES_tradnl"/>
        </w:rPr>
        <w:t>realizó una petición de acceso a la información pública donde se averiguaba los pasos para el cambio de nombre y sexo, solicitando que también se informe el mecanismo en caso</w:t>
      </w:r>
      <w:r>
        <w:rPr>
          <w:rFonts w:ascii="Times New Roman" w:eastAsia="Times New Roman" w:hAnsi="Times New Roman" w:cs="Times New Roman"/>
          <w:color w:val="222222"/>
          <w:lang w:val="es-ES" w:eastAsia="es-ES_tradnl"/>
        </w:rPr>
        <w:t>s</w:t>
      </w:r>
      <w:r w:rsidR="00D50D57" w:rsidRPr="003655DC">
        <w:rPr>
          <w:rFonts w:ascii="Times New Roman" w:eastAsia="Times New Roman" w:hAnsi="Times New Roman" w:cs="Times New Roman"/>
          <w:color w:val="222222"/>
          <w:lang w:val="es-ES" w:eastAsia="es-ES_tradnl"/>
        </w:rPr>
        <w:t xml:space="preserve"> </w:t>
      </w:r>
      <w:r>
        <w:rPr>
          <w:rFonts w:ascii="Times New Roman" w:eastAsia="Times New Roman" w:hAnsi="Times New Roman" w:cs="Times New Roman"/>
          <w:color w:val="222222"/>
          <w:lang w:val="es-ES" w:eastAsia="es-ES_tradnl"/>
        </w:rPr>
        <w:t xml:space="preserve">que involucran a la </w:t>
      </w:r>
      <w:r w:rsidRPr="003655DC">
        <w:rPr>
          <w:rFonts w:ascii="Times New Roman" w:eastAsia="Times New Roman" w:hAnsi="Times New Roman" w:cs="Times New Roman"/>
          <w:color w:val="222222"/>
          <w:lang w:val="es-ES" w:eastAsia="es-ES_tradnl"/>
        </w:rPr>
        <w:t>niñez</w:t>
      </w:r>
      <w:r w:rsidR="00D50D57" w:rsidRPr="003655DC">
        <w:rPr>
          <w:rFonts w:ascii="Times New Roman" w:eastAsia="Times New Roman" w:hAnsi="Times New Roman" w:cs="Times New Roman"/>
          <w:color w:val="222222"/>
          <w:lang w:val="es-ES" w:eastAsia="es-ES_tradnl"/>
        </w:rPr>
        <w:t xml:space="preserve"> y adolescencia. Este requerimiento fue contestado </w:t>
      </w:r>
      <w:r>
        <w:rPr>
          <w:rFonts w:ascii="Times New Roman" w:eastAsia="Times New Roman" w:hAnsi="Times New Roman" w:cs="Times New Roman"/>
          <w:color w:val="222222"/>
          <w:lang w:val="es-ES" w:eastAsia="es-ES_tradnl"/>
        </w:rPr>
        <w:t>en</w:t>
      </w:r>
      <w:r w:rsidR="00D50D57" w:rsidRPr="003655DC">
        <w:rPr>
          <w:rFonts w:ascii="Times New Roman" w:eastAsia="Times New Roman" w:hAnsi="Times New Roman" w:cs="Times New Roman"/>
          <w:color w:val="222222"/>
          <w:lang w:val="es-ES" w:eastAsia="es-ES_tradnl"/>
        </w:rPr>
        <w:t xml:space="preserve"> julio de 2023, en donde el Registro Civil determina el procedimiento para el cambio de nombre y sexo para niños, niñas y adolescentes, </w:t>
      </w:r>
      <w:r>
        <w:rPr>
          <w:rFonts w:ascii="Times New Roman" w:eastAsia="Times New Roman" w:hAnsi="Times New Roman" w:cs="Times New Roman"/>
          <w:color w:val="222222"/>
          <w:lang w:val="es-ES" w:eastAsia="es-ES_tradnl"/>
        </w:rPr>
        <w:t>señalando</w:t>
      </w:r>
      <w:r w:rsidR="00D50D57" w:rsidRPr="003655DC">
        <w:rPr>
          <w:rFonts w:ascii="Times New Roman" w:eastAsia="Times New Roman" w:hAnsi="Times New Roman" w:cs="Times New Roman"/>
          <w:color w:val="222222"/>
          <w:lang w:val="es-ES" w:eastAsia="es-ES_tradnl"/>
        </w:rPr>
        <w:t xml:space="preserve"> lo siguiente:</w:t>
      </w:r>
    </w:p>
    <w:p w14:paraId="626CA52C" w14:textId="77777777" w:rsidR="00D50D57" w:rsidRPr="00F669B4" w:rsidRDefault="00D50D57" w:rsidP="00F669B4">
      <w:pPr>
        <w:jc w:val="both"/>
        <w:rPr>
          <w:rFonts w:ascii="Times New Roman" w:eastAsia="Times New Roman" w:hAnsi="Times New Roman" w:cs="Times New Roman"/>
          <w:color w:val="222222"/>
          <w:sz w:val="21"/>
          <w:szCs w:val="21"/>
          <w:lang w:val="es-ES" w:eastAsia="es-ES_tradnl"/>
        </w:rPr>
      </w:pPr>
    </w:p>
    <w:p w14:paraId="708D975E" w14:textId="15F071C0" w:rsidR="00D50D57" w:rsidRPr="004A72D1" w:rsidRDefault="00D50D57" w:rsidP="004A72D1">
      <w:pPr>
        <w:pStyle w:val="Prrafodelista"/>
        <w:spacing w:line="240" w:lineRule="auto"/>
        <w:ind w:left="1416"/>
        <w:jc w:val="both"/>
        <w:rPr>
          <w:rFonts w:ascii="Times New Roman" w:eastAsia="Times New Roman" w:hAnsi="Times New Roman" w:cs="Times New Roman"/>
          <w:color w:val="222222"/>
          <w:sz w:val="21"/>
          <w:szCs w:val="21"/>
          <w:lang w:val="es-ES" w:eastAsia="es-ES_tradnl"/>
        </w:rPr>
      </w:pPr>
      <w:r w:rsidRPr="004A72D1">
        <w:rPr>
          <w:rFonts w:ascii="Times New Roman" w:eastAsia="Times New Roman" w:hAnsi="Times New Roman" w:cs="Times New Roman"/>
          <w:color w:val="222222"/>
          <w:sz w:val="21"/>
          <w:szCs w:val="21"/>
          <w:lang w:val="es-ES" w:eastAsia="es-ES_tradnl"/>
        </w:rPr>
        <w:t>- En lo que respecta a los niños, niñas y adolescentes, estos deberán presentar su solicitud de trámite a través de sus representantes legales y con consentimiento expreso del menor, teniendo en cuenta los principios de capacidad progresiva e interés superior del niño, así como el derecho a ser escuchados y consultados en todos los asuntos que los afecte, puesto que, conforme lo determina la CIDH el derecho a la identidad de género y sexual, debe ser entendido conforme a las medidas de protección especial que se dispongan a nivel interno, las cuales deben diseñarse necesariamente en concordancia con los principios del interés superior del niño y de la niña, el de la autonomía progresiva, a ser escuchado y a que se tome en cuenta su opinión en todo procedimiento que lo afecte, de respeto al derecho a la vida, la supervivencia y el desarrollo, así como al principio de no discriminación.</w:t>
      </w:r>
      <w:r w:rsidR="004A72D1">
        <w:rPr>
          <w:rFonts w:ascii="Times New Roman" w:eastAsia="Times New Roman" w:hAnsi="Times New Roman" w:cs="Times New Roman"/>
          <w:color w:val="222222"/>
          <w:sz w:val="21"/>
          <w:szCs w:val="21"/>
          <w:lang w:val="es-ES" w:eastAsia="es-ES_tradnl"/>
        </w:rPr>
        <w:t xml:space="preserve"> </w:t>
      </w:r>
      <w:r w:rsidRPr="004A72D1">
        <w:rPr>
          <w:rFonts w:ascii="Times New Roman" w:eastAsia="Times New Roman" w:hAnsi="Times New Roman" w:cs="Times New Roman"/>
          <w:color w:val="222222"/>
          <w:sz w:val="21"/>
          <w:szCs w:val="21"/>
          <w:lang w:val="es-ES" w:eastAsia="es-ES_tradnl"/>
        </w:rPr>
        <w:t>En ningún caso, para llevar a cabo ese trámite, se requerirá la presentación de certificado médico alguno que acredite la identidad con la que se auto percibe el usuario (…)</w:t>
      </w:r>
      <w:r w:rsidRPr="004A72D1">
        <w:rPr>
          <w:rStyle w:val="Refdenotaalpie"/>
          <w:rFonts w:ascii="Times New Roman" w:eastAsia="Times New Roman" w:hAnsi="Times New Roman" w:cs="Times New Roman"/>
          <w:color w:val="222222"/>
          <w:sz w:val="21"/>
          <w:szCs w:val="21"/>
          <w:lang w:val="es-ES" w:eastAsia="es-ES_tradnl"/>
        </w:rPr>
        <w:footnoteReference w:id="65"/>
      </w:r>
      <w:r w:rsidRPr="004A72D1">
        <w:rPr>
          <w:rFonts w:ascii="Times New Roman" w:eastAsia="Times New Roman" w:hAnsi="Times New Roman" w:cs="Times New Roman"/>
          <w:color w:val="222222"/>
          <w:sz w:val="21"/>
          <w:szCs w:val="21"/>
          <w:lang w:val="es-ES" w:eastAsia="es-ES_tradnl"/>
        </w:rPr>
        <w:t xml:space="preserve"> </w:t>
      </w:r>
    </w:p>
    <w:p w14:paraId="02F4E478" w14:textId="77777777" w:rsidR="00D50D57" w:rsidRPr="00A47AD6" w:rsidRDefault="00D50D57" w:rsidP="00D50D57">
      <w:pPr>
        <w:rPr>
          <w:rFonts w:ascii="Times New Roman" w:hAnsi="Times New Roman" w:cs="Times New Roman"/>
          <w:lang w:val="es-ES" w:eastAsia="es-ES_tradnl"/>
        </w:rPr>
      </w:pPr>
    </w:p>
    <w:p w14:paraId="07ED71B1" w14:textId="77777777" w:rsidR="00D50D57" w:rsidRPr="00A47AD6" w:rsidRDefault="00D50D57" w:rsidP="00D50D57">
      <w:pPr>
        <w:shd w:val="clear" w:color="auto" w:fill="FFFFFF"/>
        <w:contextualSpacing/>
        <w:jc w:val="both"/>
        <w:rPr>
          <w:rFonts w:ascii="Times New Roman" w:eastAsia="Times New Roman" w:hAnsi="Times New Roman" w:cs="Times New Roman"/>
          <w:color w:val="222222"/>
          <w:lang w:val="es-ES" w:eastAsia="es-ES_tradnl"/>
        </w:rPr>
      </w:pPr>
    </w:p>
    <w:p w14:paraId="3B2F3938" w14:textId="2A072D92" w:rsidR="00D50D57" w:rsidRPr="00A47AD6" w:rsidRDefault="004A72D1"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Pr>
          <w:rFonts w:ascii="Times New Roman" w:eastAsia="Times New Roman" w:hAnsi="Times New Roman" w:cs="Times New Roman"/>
          <w:color w:val="222222"/>
          <w:szCs w:val="24"/>
          <w:lang w:val="es-ES" w:eastAsia="es-ES_tradnl"/>
        </w:rPr>
        <w:lastRenderedPageBreak/>
        <w:t>La</w:t>
      </w:r>
      <w:r w:rsidR="00D50D57" w:rsidRPr="00A47AD6">
        <w:rPr>
          <w:rFonts w:ascii="Times New Roman" w:eastAsia="Times New Roman" w:hAnsi="Times New Roman" w:cs="Times New Roman"/>
          <w:color w:val="222222"/>
          <w:szCs w:val="24"/>
          <w:lang w:val="es-ES" w:eastAsia="es-ES_tradnl"/>
        </w:rPr>
        <w:t xml:space="preserve"> Ley Orgánica Reformatoria de la ley Orgánica de Gestión de Identidad y Datos Civiles</w:t>
      </w:r>
      <w:r>
        <w:rPr>
          <w:rFonts w:ascii="Times New Roman" w:eastAsia="Times New Roman" w:hAnsi="Times New Roman" w:cs="Times New Roman"/>
          <w:color w:val="222222"/>
          <w:szCs w:val="24"/>
          <w:lang w:val="es-ES" w:eastAsia="es-ES_tradnl"/>
        </w:rPr>
        <w:t xml:space="preserve"> mencionada previamente en este informe, no</w:t>
      </w:r>
      <w:r w:rsidR="00D50D57" w:rsidRPr="00A47AD6">
        <w:rPr>
          <w:rFonts w:ascii="Times New Roman" w:eastAsia="Times New Roman" w:hAnsi="Times New Roman" w:cs="Times New Roman"/>
          <w:color w:val="222222"/>
          <w:szCs w:val="24"/>
          <w:lang w:val="es-ES" w:eastAsia="es-ES_tradnl"/>
        </w:rPr>
        <w:t xml:space="preserve"> inclu</w:t>
      </w:r>
      <w:r>
        <w:rPr>
          <w:rFonts w:ascii="Times New Roman" w:eastAsia="Times New Roman" w:hAnsi="Times New Roman" w:cs="Times New Roman"/>
          <w:color w:val="222222"/>
          <w:szCs w:val="24"/>
          <w:lang w:val="es-ES" w:eastAsia="es-ES_tradnl"/>
        </w:rPr>
        <w:t xml:space="preserve">ye </w:t>
      </w:r>
      <w:r w:rsidR="00D50D57" w:rsidRPr="00A47AD6">
        <w:rPr>
          <w:rFonts w:ascii="Times New Roman" w:eastAsia="Times New Roman" w:hAnsi="Times New Roman" w:cs="Times New Roman"/>
          <w:color w:val="222222"/>
          <w:szCs w:val="24"/>
          <w:lang w:val="es-ES" w:eastAsia="es-ES_tradnl"/>
        </w:rPr>
        <w:t>los derechos a la identidad de niños, niñas y adolescentes LGBTIQ+. El resultado de esta invisibilidad a la niñez Trans e Intersex</w:t>
      </w:r>
      <w:r>
        <w:rPr>
          <w:rFonts w:ascii="Times New Roman" w:eastAsia="Times New Roman" w:hAnsi="Times New Roman" w:cs="Times New Roman"/>
          <w:color w:val="222222"/>
          <w:szCs w:val="24"/>
          <w:lang w:val="es-ES" w:eastAsia="es-ES_tradnl"/>
        </w:rPr>
        <w:t xml:space="preserve"> se puede apreciar en la</w:t>
      </w:r>
      <w:r w:rsidR="00D50D57" w:rsidRPr="00A47AD6">
        <w:rPr>
          <w:rFonts w:ascii="Times New Roman" w:eastAsia="Times New Roman" w:hAnsi="Times New Roman" w:cs="Times New Roman"/>
          <w:color w:val="222222"/>
          <w:szCs w:val="24"/>
          <w:lang w:val="es-ES" w:eastAsia="es-ES_tradnl"/>
        </w:rPr>
        <w:t xml:space="preserve"> redacción de</w:t>
      </w:r>
      <w:r>
        <w:rPr>
          <w:rFonts w:ascii="Times New Roman" w:eastAsia="Times New Roman" w:hAnsi="Times New Roman" w:cs="Times New Roman"/>
          <w:color w:val="222222"/>
          <w:szCs w:val="24"/>
          <w:lang w:val="es-ES" w:eastAsia="es-ES_tradnl"/>
        </w:rPr>
        <w:t xml:space="preserve"> la norma</w:t>
      </w:r>
      <w:r w:rsidR="00D50D57" w:rsidRPr="00A47AD6">
        <w:rPr>
          <w:rFonts w:ascii="Times New Roman" w:eastAsia="Times New Roman" w:hAnsi="Times New Roman" w:cs="Times New Roman"/>
          <w:color w:val="222222"/>
          <w:szCs w:val="24"/>
          <w:lang w:val="es-ES" w:eastAsia="es-ES_tradnl"/>
        </w:rPr>
        <w:t xml:space="preserve"> de la siguiente forma:</w:t>
      </w:r>
    </w:p>
    <w:p w14:paraId="1DB2E05E" w14:textId="77777777" w:rsidR="00D50D57" w:rsidRPr="00A47AD6" w:rsidRDefault="00D50D57" w:rsidP="00D50D57">
      <w:pPr>
        <w:shd w:val="clear" w:color="auto" w:fill="FFFFFF"/>
        <w:contextualSpacing/>
        <w:jc w:val="both"/>
        <w:rPr>
          <w:rFonts w:ascii="Times New Roman" w:eastAsia="Times New Roman" w:hAnsi="Times New Roman" w:cs="Times New Roman"/>
          <w:color w:val="222222"/>
          <w:lang w:val="es-ES" w:eastAsia="es-ES_tradnl"/>
        </w:rPr>
      </w:pPr>
    </w:p>
    <w:p w14:paraId="72564831" w14:textId="77777777" w:rsidR="00D50D57" w:rsidRPr="00A47AD6" w:rsidRDefault="00D50D57" w:rsidP="00D50D57">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val="es-ES" w:eastAsia="es-ES_tradnl"/>
        </w:rPr>
        <w:t>Artículo 34.- En el artículo 94 efectúese los siguientes cambios:</w:t>
      </w:r>
    </w:p>
    <w:p w14:paraId="26CF1EE4" w14:textId="77777777" w:rsidR="00D50D57" w:rsidRPr="00A47AD6" w:rsidRDefault="00D50D57" w:rsidP="00D50D57">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val="es-ES" w:eastAsia="es-ES_tradnl"/>
        </w:rPr>
        <w:t>2. Sustitúyase el último párrafo por el siguiente texto:</w:t>
      </w:r>
    </w:p>
    <w:p w14:paraId="72E0DE87" w14:textId="77777777" w:rsidR="00D50D57" w:rsidRPr="00A47AD6" w:rsidRDefault="00D50D57" w:rsidP="00D50D57">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val="es-ES" w:eastAsia="es-ES_tradnl"/>
        </w:rPr>
        <w:t xml:space="preserve">“Voluntariamente, </w:t>
      </w:r>
      <w:r w:rsidRPr="00A47AD6">
        <w:rPr>
          <w:rFonts w:ascii="Times New Roman" w:eastAsia="Times New Roman" w:hAnsi="Times New Roman" w:cs="Times New Roman"/>
          <w:b/>
          <w:bCs/>
          <w:color w:val="222222"/>
          <w:sz w:val="20"/>
          <w:szCs w:val="20"/>
          <w:u w:val="single"/>
          <w:lang w:val="es-ES" w:eastAsia="es-ES_tradnl"/>
        </w:rPr>
        <w:t>al cumplir la mayoría de edad y por una sola vez</w:t>
      </w:r>
      <w:r w:rsidRPr="00A47AD6">
        <w:rPr>
          <w:rFonts w:ascii="Times New Roman" w:eastAsia="Times New Roman" w:hAnsi="Times New Roman" w:cs="Times New Roman"/>
          <w:color w:val="222222"/>
          <w:sz w:val="20"/>
          <w:szCs w:val="20"/>
          <w:lang w:val="es-ES" w:eastAsia="es-ES_tradnl"/>
        </w:rPr>
        <w:t>, la persona por su libre desarrollo de la personalidad e identidad podrá solicitar la rectificación de la mención de sexo o género en el instrumento que corresponda y no precisa de más requisitos que la declaración expresa de la persona interesada indicando el nombre propio, sexo o género con que el que se siente identificada, a fin de acreditar la sola voluntad de la persona interesada, así́ como los datos necesarios, y el número único de identificación.</w:t>
      </w:r>
    </w:p>
    <w:p w14:paraId="248DA818" w14:textId="6CAF2A50" w:rsidR="00D50D57" w:rsidRPr="001F5A33" w:rsidRDefault="00D50D57" w:rsidP="001F5A33">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val="es-ES" w:eastAsia="es-ES_tradnl"/>
        </w:rPr>
        <w:t>El ejercicio de este derecho en ningún caso podrá estar condicionado a la presentación de un informe médico o psicológico, ni a la previa modificación de la apariencia física o función corporal de la persona a través de procedimientos médicos, quirúrgicos, o de otra índole, sin perjuicio del derecho de la persona interesada a hacer uso de tales medios (…)</w:t>
      </w:r>
      <w:r w:rsidRPr="00A47AD6">
        <w:rPr>
          <w:rStyle w:val="Refdenotaalpie"/>
          <w:rFonts w:ascii="Times New Roman" w:eastAsia="Times New Roman" w:hAnsi="Times New Roman" w:cs="Times New Roman"/>
          <w:color w:val="222222"/>
          <w:sz w:val="20"/>
          <w:szCs w:val="20"/>
          <w:lang w:val="es-ES" w:eastAsia="es-ES_tradnl"/>
        </w:rPr>
        <w:footnoteReference w:id="66"/>
      </w:r>
      <w:r w:rsidR="004A72D1">
        <w:rPr>
          <w:rFonts w:ascii="Times New Roman" w:eastAsia="Times New Roman" w:hAnsi="Times New Roman" w:cs="Times New Roman"/>
          <w:color w:val="222222"/>
          <w:sz w:val="20"/>
          <w:szCs w:val="20"/>
          <w:lang w:val="es-ES" w:eastAsia="es-ES_tradnl"/>
        </w:rPr>
        <w:t>.</w:t>
      </w:r>
      <w:r w:rsidRPr="00A47AD6">
        <w:rPr>
          <w:rFonts w:ascii="Times New Roman" w:eastAsia="Times New Roman" w:hAnsi="Times New Roman" w:cs="Times New Roman"/>
          <w:color w:val="222222"/>
          <w:sz w:val="20"/>
          <w:szCs w:val="20"/>
          <w:lang w:val="es-ES" w:eastAsia="es-ES_tradnl"/>
        </w:rPr>
        <w:t xml:space="preserve">  (subrayado y negrilla nos pertenece)</w:t>
      </w:r>
    </w:p>
    <w:p w14:paraId="69766786" w14:textId="77777777" w:rsidR="00D50D57" w:rsidRPr="00A47AD6" w:rsidRDefault="00D50D57" w:rsidP="00D50D57">
      <w:pPr>
        <w:pStyle w:val="Prrafodelista"/>
        <w:shd w:val="clear" w:color="auto" w:fill="FFFFFF"/>
        <w:spacing w:line="240" w:lineRule="auto"/>
        <w:ind w:left="360"/>
        <w:contextualSpacing/>
        <w:jc w:val="both"/>
        <w:rPr>
          <w:rFonts w:ascii="Times New Roman" w:eastAsia="Times New Roman" w:hAnsi="Times New Roman" w:cs="Times New Roman"/>
          <w:color w:val="222222"/>
          <w:szCs w:val="24"/>
          <w:lang w:val="es-ES" w:eastAsia="es-ES_tradnl"/>
        </w:rPr>
      </w:pPr>
    </w:p>
    <w:p w14:paraId="7E6E7277" w14:textId="426F80CB"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Otro caso paradigmático de niñez Trans en Ecuador es el caso de Clara,</w:t>
      </w:r>
      <w:r w:rsidRPr="00A47AD6">
        <w:rPr>
          <w:rStyle w:val="Refdenotaalpie"/>
          <w:rFonts w:ascii="Times New Roman" w:eastAsia="Times New Roman" w:hAnsi="Times New Roman" w:cs="Times New Roman"/>
          <w:color w:val="222222"/>
          <w:szCs w:val="24"/>
          <w:lang w:val="es-ES" w:eastAsia="es-ES_tradnl"/>
        </w:rPr>
        <w:footnoteReference w:id="67"/>
      </w:r>
      <w:r w:rsidRPr="00A47AD6">
        <w:rPr>
          <w:rFonts w:ascii="Times New Roman" w:eastAsia="Times New Roman" w:hAnsi="Times New Roman" w:cs="Times New Roman"/>
          <w:color w:val="222222"/>
          <w:szCs w:val="24"/>
          <w:lang w:val="es-ES" w:eastAsia="es-ES_tradnl"/>
        </w:rPr>
        <w:t xml:space="preserve"> que implica la violencia transfóbica que vivió la niña en la escuela donde estudiaba desde el año 2014. En esa época Clara era una niña de seis años, aceptada y protegida por sus padres desde su identidad Trans. En 2017 la madre de la niña informó a las autoridades escolares que Clara y su núcleo familiar se encontraban en evaluación y seguimiento psicológico para desarrollar el proceso de congruencia social de género en la niña. Ante esto, la madre, solicitó que desde la Unidad Educativa se le brinde acompañamiento al caso de su hija y se realicen medidas de sensibilización y capacitación a los integrantes del sistema educativo que rodea a Clara</w:t>
      </w:r>
      <w:r w:rsidR="004A72D1">
        <w:rPr>
          <w:rFonts w:ascii="Times New Roman" w:eastAsia="Times New Roman" w:hAnsi="Times New Roman" w:cs="Times New Roman"/>
          <w:color w:val="222222"/>
          <w:szCs w:val="24"/>
          <w:lang w:val="es-ES" w:eastAsia="es-ES_tradnl"/>
        </w:rPr>
        <w:t>, pero la escuela no lo garantizó.</w:t>
      </w:r>
    </w:p>
    <w:p w14:paraId="6E2A49EC" w14:textId="77777777" w:rsidR="00D50D57" w:rsidRPr="00A47AD6" w:rsidRDefault="00D50D57" w:rsidP="00D50D57">
      <w:pPr>
        <w:rPr>
          <w:rFonts w:ascii="Times New Roman" w:hAnsi="Times New Roman" w:cs="Times New Roman"/>
          <w:lang w:val="es-ES" w:eastAsia="es-ES_tradnl"/>
        </w:rPr>
      </w:pPr>
    </w:p>
    <w:p w14:paraId="6762C4F7" w14:textId="58DB4D62" w:rsidR="00D50D57" w:rsidRPr="00A47AD6"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 xml:space="preserve">En virtud de </w:t>
      </w:r>
      <w:r w:rsidR="004A72D1">
        <w:rPr>
          <w:rFonts w:ascii="Times New Roman" w:eastAsia="Times New Roman" w:hAnsi="Times New Roman" w:cs="Times New Roman"/>
          <w:color w:val="222222"/>
          <w:szCs w:val="24"/>
          <w:lang w:val="es-ES" w:eastAsia="es-ES_tradnl"/>
        </w:rPr>
        <w:t>ello</w:t>
      </w:r>
      <w:r w:rsidRPr="00A47AD6">
        <w:rPr>
          <w:rFonts w:ascii="Times New Roman" w:eastAsia="Times New Roman" w:hAnsi="Times New Roman" w:cs="Times New Roman"/>
          <w:color w:val="222222"/>
          <w:szCs w:val="24"/>
          <w:lang w:val="es-ES" w:eastAsia="es-ES_tradnl"/>
        </w:rPr>
        <w:t xml:space="preserve">, los padres presentaron una Acción de Protección que fue negada </w:t>
      </w:r>
      <w:r w:rsidR="004A72D1">
        <w:rPr>
          <w:rFonts w:ascii="Times New Roman" w:eastAsia="Times New Roman" w:hAnsi="Times New Roman" w:cs="Times New Roman"/>
          <w:color w:val="222222"/>
          <w:szCs w:val="24"/>
          <w:lang w:val="es-ES" w:eastAsia="es-ES_tradnl"/>
        </w:rPr>
        <w:t>en</w:t>
      </w:r>
      <w:r w:rsidRPr="00A47AD6">
        <w:rPr>
          <w:rFonts w:ascii="Times New Roman" w:eastAsia="Times New Roman" w:hAnsi="Times New Roman" w:cs="Times New Roman"/>
          <w:color w:val="222222"/>
          <w:szCs w:val="24"/>
          <w:lang w:val="es-ES" w:eastAsia="es-ES_tradnl"/>
        </w:rPr>
        <w:t xml:space="preserve"> dos instancias. El caso logró escalar ante la Corte Constitucional, ya que mediante una Acción Extraordinaria de Protección el caso fue admitido a trámite en 2018,</w:t>
      </w:r>
      <w:r w:rsidRPr="00A47AD6">
        <w:rPr>
          <w:rStyle w:val="Refdenotaalpie"/>
          <w:rFonts w:ascii="Times New Roman" w:eastAsia="Times New Roman" w:hAnsi="Times New Roman" w:cs="Times New Roman"/>
          <w:color w:val="222222"/>
          <w:szCs w:val="24"/>
          <w:lang w:val="es-ES" w:eastAsia="es-ES_tradnl"/>
        </w:rPr>
        <w:footnoteReference w:id="68"/>
      </w:r>
      <w:r w:rsidRPr="00A47AD6">
        <w:rPr>
          <w:rFonts w:ascii="Times New Roman" w:eastAsia="Times New Roman" w:hAnsi="Times New Roman" w:cs="Times New Roman"/>
          <w:color w:val="222222"/>
          <w:szCs w:val="24"/>
          <w:lang w:val="es-ES" w:eastAsia="es-ES_tradnl"/>
        </w:rPr>
        <w:t xml:space="preserve"> </w:t>
      </w:r>
      <w:r w:rsidR="004A72D1">
        <w:rPr>
          <w:rFonts w:ascii="Times New Roman" w:eastAsia="Times New Roman" w:hAnsi="Times New Roman" w:cs="Times New Roman"/>
          <w:color w:val="222222"/>
          <w:szCs w:val="24"/>
          <w:lang w:val="es-ES" w:eastAsia="es-ES_tradnl"/>
        </w:rPr>
        <w:t xml:space="preserve">pero la </w:t>
      </w:r>
      <w:r w:rsidRPr="00A47AD6">
        <w:rPr>
          <w:rFonts w:ascii="Times New Roman" w:eastAsia="Times New Roman" w:hAnsi="Times New Roman" w:cs="Times New Roman"/>
          <w:color w:val="222222"/>
          <w:szCs w:val="24"/>
          <w:lang w:val="es-ES" w:eastAsia="es-ES_tradnl"/>
        </w:rPr>
        <w:t>Corte Constitucional no se ha pronunciado hasta la actualidad a pesar de haber llamado a audiencia en 2023. El caso de Clara también es la muestra de una estructura que violenta a la niñez Trans en los establecimientos educativos del Ecuador, por lo que la familia de Clara al ser de nacionalidad española, decidieron retornar a España el año 2018 para garantizarle mejores condiciones de vida a su hija.</w:t>
      </w:r>
    </w:p>
    <w:p w14:paraId="532B16AA" w14:textId="77777777" w:rsidR="00D50D57" w:rsidRPr="00A47AD6" w:rsidRDefault="00D50D57" w:rsidP="00D50D57">
      <w:pPr>
        <w:rPr>
          <w:rFonts w:ascii="Times New Roman" w:hAnsi="Times New Roman" w:cs="Times New Roman"/>
          <w:lang w:val="es-ES" w:eastAsia="es-ES_tradnl"/>
        </w:rPr>
      </w:pPr>
    </w:p>
    <w:p w14:paraId="371156EB" w14:textId="29E83A62" w:rsidR="00D50D57" w:rsidRDefault="00D50D57" w:rsidP="00D50D57">
      <w:pPr>
        <w:pStyle w:val="Prrafodelista"/>
        <w:numPr>
          <w:ilvl w:val="0"/>
          <w:numId w:val="1"/>
        </w:numPr>
        <w:shd w:val="clear" w:color="auto" w:fill="FFFFFF"/>
        <w:spacing w:line="240" w:lineRule="auto"/>
        <w:contextualSpacing/>
        <w:jc w:val="both"/>
        <w:rPr>
          <w:rFonts w:ascii="Times New Roman" w:eastAsia="Times New Roman" w:hAnsi="Times New Roman" w:cs="Times New Roman"/>
          <w:color w:val="222222"/>
          <w:szCs w:val="24"/>
          <w:lang w:val="es-ES" w:eastAsia="es-ES_tradnl"/>
        </w:rPr>
      </w:pPr>
      <w:r w:rsidRPr="00A47AD6">
        <w:rPr>
          <w:rFonts w:ascii="Times New Roman" w:hAnsi="Times New Roman" w:cs="Times New Roman"/>
          <w:szCs w:val="24"/>
          <w:lang w:val="es-ES"/>
        </w:rPr>
        <w:t xml:space="preserve">Por otro lado, </w:t>
      </w:r>
      <w:r w:rsidRPr="00A47AD6">
        <w:rPr>
          <w:rFonts w:ascii="Times New Roman" w:eastAsia="Times New Roman" w:hAnsi="Times New Roman" w:cs="Times New Roman"/>
          <w:color w:val="222222"/>
          <w:szCs w:val="24"/>
          <w:lang w:val="es-ES" w:eastAsia="es-ES_tradnl"/>
        </w:rPr>
        <w:t xml:space="preserve">al no existir </w:t>
      </w:r>
      <w:r w:rsidR="000E63E8">
        <w:rPr>
          <w:rFonts w:ascii="Times New Roman" w:eastAsia="Times New Roman" w:hAnsi="Times New Roman" w:cs="Times New Roman"/>
          <w:color w:val="222222"/>
          <w:szCs w:val="24"/>
          <w:lang w:val="es-ES" w:eastAsia="es-ES_tradnl"/>
        </w:rPr>
        <w:t xml:space="preserve">una </w:t>
      </w:r>
      <w:r w:rsidRPr="00A47AD6">
        <w:rPr>
          <w:rFonts w:ascii="Times New Roman" w:eastAsia="Times New Roman" w:hAnsi="Times New Roman" w:cs="Times New Roman"/>
          <w:color w:val="222222"/>
          <w:szCs w:val="24"/>
          <w:lang w:val="es-ES" w:eastAsia="es-ES_tradnl"/>
        </w:rPr>
        <w:t xml:space="preserve">Ley Integral de Identidad de Género, no solo se complica el ejercicio del derecho a la auto identificación de género de las personas Trans e Intersex, sino que no existen mecanismos legales o políticas públicas que garanticen el acceso a procesos médicos para </w:t>
      </w:r>
      <w:r w:rsidR="000E63E8">
        <w:rPr>
          <w:rFonts w:ascii="Times New Roman" w:eastAsia="Times New Roman" w:hAnsi="Times New Roman" w:cs="Times New Roman"/>
          <w:color w:val="222222"/>
          <w:szCs w:val="24"/>
          <w:lang w:val="es-ES" w:eastAsia="es-ES_tradnl"/>
        </w:rPr>
        <w:t xml:space="preserve">lograr </w:t>
      </w:r>
      <w:r w:rsidRPr="00A47AD6">
        <w:rPr>
          <w:rFonts w:ascii="Times New Roman" w:eastAsia="Times New Roman" w:hAnsi="Times New Roman" w:cs="Times New Roman"/>
          <w:color w:val="222222"/>
          <w:szCs w:val="24"/>
          <w:lang w:val="es-ES" w:eastAsia="es-ES_tradnl"/>
        </w:rPr>
        <w:t xml:space="preserve">la transición. Adicionalmente, la niñez Trans e Intersex no cuentan con el </w:t>
      </w:r>
      <w:r w:rsidRPr="00A47AD6">
        <w:rPr>
          <w:rFonts w:ascii="Times New Roman" w:eastAsia="Times New Roman" w:hAnsi="Times New Roman" w:cs="Times New Roman"/>
          <w:color w:val="222222"/>
          <w:szCs w:val="24"/>
          <w:lang w:val="es-ES" w:eastAsia="es-ES_tradnl"/>
        </w:rPr>
        <w:lastRenderedPageBreak/>
        <w:t xml:space="preserve">reconocimiento legal definitivo que permita el acceso al cambio registral de su identidad, a pesar de la existencia del </w:t>
      </w:r>
      <w:r w:rsidRPr="00A47AD6">
        <w:rPr>
          <w:rFonts w:ascii="Times New Roman" w:eastAsia="Times New Roman" w:hAnsi="Times New Roman" w:cs="Times New Roman"/>
          <w:color w:val="222222"/>
          <w:lang w:val="es-ES" w:eastAsia="es-ES_tradnl"/>
        </w:rPr>
        <w:t>Oficio Nro. DIGERCIC-CGAJ-2023-0043-O de 2024</w:t>
      </w:r>
      <w:r w:rsidRPr="00A47AD6">
        <w:rPr>
          <w:rFonts w:ascii="Times New Roman" w:eastAsia="Times New Roman" w:hAnsi="Times New Roman" w:cs="Times New Roman"/>
          <w:color w:val="222222"/>
          <w:szCs w:val="24"/>
          <w:lang w:val="es-ES" w:eastAsia="es-ES_tradnl"/>
        </w:rPr>
        <w:t>.</w:t>
      </w:r>
    </w:p>
    <w:p w14:paraId="4CDD09FC" w14:textId="77777777" w:rsidR="008B26B4" w:rsidRPr="008B26B4" w:rsidRDefault="008B26B4" w:rsidP="008B26B4">
      <w:pPr>
        <w:shd w:val="clear" w:color="auto" w:fill="FFFFFF"/>
        <w:contextualSpacing/>
        <w:jc w:val="both"/>
        <w:rPr>
          <w:rFonts w:ascii="Times New Roman" w:eastAsia="Times New Roman" w:hAnsi="Times New Roman" w:cs="Times New Roman"/>
          <w:color w:val="222222"/>
          <w:lang w:val="es-ES" w:eastAsia="es-ES_tradnl"/>
        </w:rPr>
      </w:pPr>
    </w:p>
    <w:p w14:paraId="5834F184" w14:textId="2C53E254" w:rsidR="008B26B4" w:rsidRPr="00A47AD6" w:rsidRDefault="008B26B4" w:rsidP="008B26B4">
      <w:pPr>
        <w:pStyle w:val="Sinespaciado"/>
        <w:numPr>
          <w:ilvl w:val="0"/>
          <w:numId w:val="1"/>
        </w:numPr>
        <w:spacing w:line="240" w:lineRule="auto"/>
        <w:rPr>
          <w:rFonts w:cs="Times New Roman"/>
          <w:lang w:val="es-ES"/>
        </w:rPr>
      </w:pPr>
      <w:r w:rsidRPr="00A47AD6">
        <w:rPr>
          <w:rFonts w:cs="Times New Roman"/>
          <w:lang w:val="es-ES"/>
        </w:rPr>
        <w:t xml:space="preserve">Tanto los casos de niñez Trans e Intersex como la situación de las familias del mismo sexo y sus familias fueron comunicados con una fuerte preocupación a través de una Audiencia Temática ante la Comisión Interamericana de Derechos Humanos </w:t>
      </w:r>
      <w:r w:rsidR="000E63E8">
        <w:rPr>
          <w:rFonts w:cs="Times New Roman"/>
          <w:lang w:val="es-ES"/>
        </w:rPr>
        <w:t>en</w:t>
      </w:r>
      <w:r w:rsidRPr="00A47AD6">
        <w:rPr>
          <w:rFonts w:cs="Times New Roman"/>
          <w:lang w:val="es-ES"/>
        </w:rPr>
        <w:t xml:space="preserve"> junio de 2022. En este espacio se interpeló la inactividad del Estado frente a los derechos de la niñez LGBTIQ+ y las familias diversas, </w:t>
      </w:r>
      <w:r w:rsidR="000E63E8">
        <w:rPr>
          <w:rFonts w:cs="Times New Roman"/>
          <w:lang w:val="es-ES"/>
        </w:rPr>
        <w:t xml:space="preserve">pero </w:t>
      </w:r>
      <w:r w:rsidRPr="00A47AD6">
        <w:rPr>
          <w:rFonts w:cs="Times New Roman"/>
          <w:lang w:val="es-ES"/>
        </w:rPr>
        <w:t xml:space="preserve">la respuesta del Estado fue </w:t>
      </w:r>
      <w:r w:rsidR="000E63E8">
        <w:rPr>
          <w:rFonts w:cs="Times New Roman"/>
          <w:lang w:val="es-ES"/>
        </w:rPr>
        <w:t>insuficiente, pues apelaron a</w:t>
      </w:r>
      <w:r w:rsidRPr="00A47AD6">
        <w:rPr>
          <w:rFonts w:cs="Times New Roman"/>
          <w:lang w:val="es-ES"/>
        </w:rPr>
        <w:t xml:space="preserve"> la existencia del </w:t>
      </w:r>
      <w:r w:rsidRPr="00A47AD6">
        <w:rPr>
          <w:rFonts w:cs="Times New Roman"/>
          <w:i/>
          <w:iCs/>
          <w:lang w:val="es-ES"/>
        </w:rPr>
        <w:t>Plan de Acción de Diversidades LGBTI+ 2022 – 2025</w:t>
      </w:r>
      <w:r w:rsidRPr="00A47AD6">
        <w:rPr>
          <w:rFonts w:cs="Times New Roman"/>
          <w:lang w:val="es-ES"/>
        </w:rPr>
        <w:t xml:space="preserve">, </w:t>
      </w:r>
      <w:r w:rsidR="000E63E8">
        <w:rPr>
          <w:rFonts w:cs="Times New Roman"/>
          <w:lang w:val="es-ES"/>
        </w:rPr>
        <w:t>que no incluye medidas de protección para la niñez</w:t>
      </w:r>
      <w:r w:rsidRPr="00A47AD6">
        <w:rPr>
          <w:rFonts w:cs="Times New Roman"/>
          <w:lang w:val="es-ES"/>
        </w:rPr>
        <w:t>.</w:t>
      </w:r>
      <w:r w:rsidRPr="00A47AD6">
        <w:rPr>
          <w:rStyle w:val="Refdenotaalpie"/>
          <w:rFonts w:cs="Times New Roman"/>
          <w:lang w:val="es-ES"/>
        </w:rPr>
        <w:footnoteReference w:id="69"/>
      </w:r>
    </w:p>
    <w:p w14:paraId="2F404313" w14:textId="77777777" w:rsidR="00D50D57" w:rsidRPr="008B26B4" w:rsidRDefault="00D50D57" w:rsidP="008B26B4">
      <w:pPr>
        <w:pStyle w:val="Prrafodelista"/>
        <w:pBdr>
          <w:top w:val="nil"/>
          <w:left w:val="nil"/>
          <w:bottom w:val="nil"/>
          <w:right w:val="nil"/>
          <w:between w:val="nil"/>
        </w:pBdr>
        <w:spacing w:line="240" w:lineRule="auto"/>
        <w:ind w:left="360"/>
        <w:jc w:val="both"/>
        <w:rPr>
          <w:rFonts w:ascii="Times New Roman" w:hAnsi="Times New Roman" w:cs="Times New Roman"/>
          <w:szCs w:val="24"/>
          <w:lang w:val="es-ES"/>
        </w:rPr>
      </w:pPr>
    </w:p>
    <w:p w14:paraId="488899FC" w14:textId="50A3CF93" w:rsidR="00D50D57" w:rsidRPr="003206C4" w:rsidRDefault="00D50D57" w:rsidP="00D50D57">
      <w:pPr>
        <w:pStyle w:val="Sinespaciado"/>
        <w:numPr>
          <w:ilvl w:val="0"/>
          <w:numId w:val="1"/>
        </w:numPr>
        <w:spacing w:line="240" w:lineRule="auto"/>
        <w:rPr>
          <w:rFonts w:cs="Times New Roman"/>
          <w:lang w:val="es-ES"/>
        </w:rPr>
      </w:pPr>
      <w:r w:rsidRPr="00A47AD6">
        <w:rPr>
          <w:rFonts w:cs="Times New Roman"/>
          <w:lang w:val="es-ES"/>
        </w:rPr>
        <w:t xml:space="preserve">Los casos de niñez Trans expuestos y la preocupación por las reformas legales en temas de niñez LGBTIQ+ en Ecuador, expresan las limitaciones del acceso a los derechos a la niñez. Es así como los casos de identidad y violencia Transfóbica han tenido que ser judicializados, debido a que las vías administrativas no reconocen derechos a la niñez Trans e Intersex. </w:t>
      </w:r>
    </w:p>
    <w:p w14:paraId="3B8836CF" w14:textId="77777777" w:rsidR="00D50D57" w:rsidRPr="00A47AD6" w:rsidRDefault="00D50D57" w:rsidP="00D50D57">
      <w:pPr>
        <w:rPr>
          <w:rFonts w:ascii="Times New Roman" w:hAnsi="Times New Roman" w:cs="Times New Roman"/>
          <w:lang w:val="es-ES" w:eastAsia="es-ES_tradnl"/>
        </w:rPr>
      </w:pPr>
    </w:p>
    <w:p w14:paraId="73AB6A01" w14:textId="457F8EFA" w:rsidR="00D50D57" w:rsidRPr="00A47AD6" w:rsidRDefault="00D50D57" w:rsidP="00D50D57">
      <w:pPr>
        <w:pStyle w:val="Sinespaciado"/>
        <w:spacing w:line="240" w:lineRule="auto"/>
        <w:rPr>
          <w:rFonts w:cs="Times New Roman"/>
          <w:b/>
          <w:bCs/>
          <w:u w:val="single"/>
          <w:lang w:val="es-ES"/>
        </w:rPr>
      </w:pPr>
      <w:r w:rsidRPr="00A47AD6">
        <w:rPr>
          <w:rFonts w:cs="Times New Roman"/>
          <w:b/>
          <w:bCs/>
          <w:u w:val="single"/>
          <w:lang w:val="es-ES"/>
        </w:rPr>
        <w:t>La Reforma del Código de la Niñez y Adolescencia</w:t>
      </w:r>
      <w:r w:rsidR="000E63E8">
        <w:rPr>
          <w:rFonts w:cs="Times New Roman"/>
          <w:b/>
          <w:bCs/>
          <w:u w:val="single"/>
          <w:lang w:val="es-ES"/>
        </w:rPr>
        <w:t xml:space="preserve"> (Artículos 24 y 26)</w:t>
      </w:r>
      <w:r w:rsidRPr="00A47AD6">
        <w:rPr>
          <w:rFonts w:cs="Times New Roman"/>
          <w:b/>
          <w:bCs/>
          <w:u w:val="single"/>
          <w:lang w:val="es-ES"/>
        </w:rPr>
        <w:t>:</w:t>
      </w:r>
    </w:p>
    <w:p w14:paraId="120E9B28" w14:textId="77777777" w:rsidR="00D50D57" w:rsidRPr="00A47AD6" w:rsidRDefault="00D50D57" w:rsidP="00D50D57">
      <w:pPr>
        <w:pStyle w:val="Sinespaciado"/>
        <w:spacing w:line="240" w:lineRule="auto"/>
        <w:rPr>
          <w:rFonts w:cs="Times New Roman"/>
          <w:b/>
          <w:bCs/>
          <w:lang w:val="es-ES"/>
        </w:rPr>
      </w:pPr>
    </w:p>
    <w:p w14:paraId="55630B7F" w14:textId="2081776A" w:rsidR="00D50D57" w:rsidRPr="00A47AD6" w:rsidRDefault="00D50D57" w:rsidP="00D50D57">
      <w:pPr>
        <w:pStyle w:val="Sinespaciado"/>
        <w:numPr>
          <w:ilvl w:val="0"/>
          <w:numId w:val="1"/>
        </w:numPr>
        <w:spacing w:line="240" w:lineRule="auto"/>
        <w:rPr>
          <w:rFonts w:cs="Times New Roman"/>
          <w:lang w:val="es-ES"/>
        </w:rPr>
      </w:pPr>
      <w:r w:rsidRPr="00A47AD6">
        <w:rPr>
          <w:rFonts w:cs="Times New Roman"/>
          <w:lang w:val="es-ES"/>
        </w:rPr>
        <w:t>A partir de julio de 2018, la Asamblea Nacional procedió a generar mecanismos para la reforma del Código de la Niñez y la Adolescencia. Sin embargo, es un proceso cuestionado por la sociedad civil. El proyecto presentado para segundo debate (en marzo de 2020) tiene una mirada desde la doctrina de la situación irregular de la niñez, y excluye a las niñeces no heterosexuales, trans e intersex. En virtud de las numerosas críticas, el proyecto no fue aprobado.</w:t>
      </w:r>
      <w:r w:rsidRPr="00A47AD6">
        <w:rPr>
          <w:rStyle w:val="Refdenotaalpie"/>
          <w:rFonts w:cs="Times New Roman"/>
          <w:lang w:val="es-ES"/>
        </w:rPr>
        <w:footnoteReference w:id="70"/>
      </w:r>
      <w:r w:rsidRPr="00A47AD6">
        <w:rPr>
          <w:rFonts w:cs="Times New Roman"/>
          <w:lang w:val="es-ES"/>
        </w:rPr>
        <w:t xml:space="preserve"> Sin embargo, en la actual composición de la Asamblea, dentro de la Comisión permanente sobre Derechos de la Niñez se está trabajando</w:t>
      </w:r>
      <w:r w:rsidR="000E63E8">
        <w:rPr>
          <w:rFonts w:cs="Times New Roman"/>
          <w:lang w:val="es-ES"/>
        </w:rPr>
        <w:t xml:space="preserve"> sobre la base</w:t>
      </w:r>
      <w:r w:rsidRPr="00A47AD6">
        <w:rPr>
          <w:rFonts w:cs="Times New Roman"/>
          <w:lang w:val="es-ES"/>
        </w:rPr>
        <w:t xml:space="preserve"> </w:t>
      </w:r>
      <w:r w:rsidR="000E63E8">
        <w:rPr>
          <w:rFonts w:cs="Times New Roman"/>
          <w:lang w:val="es-ES"/>
        </w:rPr>
        <w:t>d</w:t>
      </w:r>
      <w:r w:rsidRPr="00A47AD6">
        <w:rPr>
          <w:rFonts w:cs="Times New Roman"/>
          <w:lang w:val="es-ES"/>
        </w:rPr>
        <w:t>el proyecto</w:t>
      </w:r>
      <w:r w:rsidR="000E63E8">
        <w:rPr>
          <w:rFonts w:cs="Times New Roman"/>
          <w:lang w:val="es-ES"/>
        </w:rPr>
        <w:t xml:space="preserve"> de reforma</w:t>
      </w:r>
      <w:r w:rsidRPr="00A47AD6">
        <w:rPr>
          <w:rFonts w:cs="Times New Roman"/>
          <w:lang w:val="es-ES"/>
        </w:rPr>
        <w:t xml:space="preserve"> anterior</w:t>
      </w:r>
      <w:r w:rsidR="000E63E8">
        <w:rPr>
          <w:rFonts w:cs="Times New Roman"/>
          <w:lang w:val="es-ES"/>
        </w:rPr>
        <w:t>mente cuestionado</w:t>
      </w:r>
      <w:r w:rsidRPr="00A47AD6">
        <w:rPr>
          <w:rFonts w:cs="Times New Roman"/>
          <w:lang w:val="es-ES"/>
        </w:rPr>
        <w:t>, lo que preocupa especialmente por la forma de abordar los derechos de la niñez LGBTIQ+ y de hij</w:t>
      </w:r>
      <w:r w:rsidR="000E63E8">
        <w:rPr>
          <w:rFonts w:cs="Times New Roman"/>
          <w:lang w:val="es-ES"/>
        </w:rPr>
        <w:t>o</w:t>
      </w:r>
      <w:r w:rsidRPr="00A47AD6">
        <w:rPr>
          <w:rFonts w:cs="Times New Roman"/>
          <w:lang w:val="es-ES"/>
        </w:rPr>
        <w:t xml:space="preserve">s de parejas del mismo </w:t>
      </w:r>
      <w:r w:rsidR="000E63E8">
        <w:rPr>
          <w:rFonts w:cs="Times New Roman"/>
          <w:lang w:val="es-ES"/>
        </w:rPr>
        <w:t>sexo</w:t>
      </w:r>
      <w:r w:rsidRPr="00A47AD6">
        <w:rPr>
          <w:rFonts w:cs="Times New Roman"/>
          <w:lang w:val="es-ES"/>
        </w:rPr>
        <w:t>.</w:t>
      </w:r>
    </w:p>
    <w:p w14:paraId="53BCE94B" w14:textId="77777777" w:rsidR="00D50D57" w:rsidRPr="00A47AD6" w:rsidRDefault="00D50D57" w:rsidP="00D50D57">
      <w:pPr>
        <w:pStyle w:val="Sinespaciado"/>
        <w:spacing w:line="240" w:lineRule="auto"/>
        <w:rPr>
          <w:rFonts w:cs="Times New Roman"/>
          <w:lang w:val="es-ES"/>
        </w:rPr>
      </w:pPr>
    </w:p>
    <w:p w14:paraId="114EBA24" w14:textId="2B825060" w:rsidR="00D50D57" w:rsidRPr="00A47AD6" w:rsidRDefault="00D50D57" w:rsidP="00D50D57">
      <w:pPr>
        <w:pStyle w:val="Sinespaciado"/>
        <w:numPr>
          <w:ilvl w:val="0"/>
          <w:numId w:val="1"/>
        </w:numPr>
        <w:spacing w:line="240" w:lineRule="auto"/>
        <w:rPr>
          <w:rFonts w:cs="Times New Roman"/>
          <w:lang w:val="es-ES"/>
        </w:rPr>
      </w:pPr>
      <w:r w:rsidRPr="00A47AD6">
        <w:rPr>
          <w:rFonts w:cs="Times New Roman"/>
          <w:lang w:val="es-ES"/>
        </w:rPr>
        <w:t xml:space="preserve">Así pues, la propuesta del </w:t>
      </w:r>
      <w:r w:rsidRPr="00A47AD6">
        <w:rPr>
          <w:rFonts w:cs="Times New Roman"/>
          <w:color w:val="000000" w:themeColor="text1"/>
          <w:lang w:val="es-ES"/>
        </w:rPr>
        <w:t xml:space="preserve">Código Orgánico de Protección Integral a la Niñez y Adolescencia (en adelante, COPINA) </w:t>
      </w:r>
      <w:r w:rsidRPr="00A47AD6">
        <w:rPr>
          <w:rFonts w:cs="Times New Roman"/>
          <w:lang w:val="es-ES"/>
        </w:rPr>
        <w:t xml:space="preserve">no integra los estándares nacionales e internacionales de DDHH, ni aplica las </w:t>
      </w:r>
      <w:r w:rsidR="000E63E8">
        <w:rPr>
          <w:rFonts w:cs="Times New Roman"/>
          <w:lang w:val="es-ES"/>
        </w:rPr>
        <w:t xml:space="preserve">siguientes </w:t>
      </w:r>
      <w:r w:rsidRPr="00A47AD6">
        <w:rPr>
          <w:rFonts w:cs="Times New Roman"/>
          <w:lang w:val="es-ES"/>
        </w:rPr>
        <w:t xml:space="preserve">sentencias de la Corte Constitucional de Ecuador </w:t>
      </w:r>
      <w:r w:rsidR="000E63E8">
        <w:rPr>
          <w:rFonts w:cs="Times New Roman"/>
          <w:lang w:val="es-ES"/>
        </w:rPr>
        <w:t>sobre</w:t>
      </w:r>
      <w:r w:rsidRPr="00A47AD6">
        <w:rPr>
          <w:rFonts w:cs="Times New Roman"/>
          <w:lang w:val="es-ES"/>
        </w:rPr>
        <w:t xml:space="preserve"> derechos de las personas LGBTIQ+:</w:t>
      </w:r>
    </w:p>
    <w:p w14:paraId="1447AD08" w14:textId="77777777" w:rsidR="00D50D57" w:rsidRPr="00A47AD6" w:rsidRDefault="00D50D57" w:rsidP="00D50D57">
      <w:pPr>
        <w:pStyle w:val="Sinespaciado"/>
        <w:spacing w:line="240" w:lineRule="auto"/>
        <w:rPr>
          <w:rFonts w:cs="Times New Roman"/>
          <w:lang w:val="es-ES"/>
        </w:rPr>
      </w:pPr>
    </w:p>
    <w:p w14:paraId="1CC5B6FE" w14:textId="2E9AFB80"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lang w:val="es-ES"/>
        </w:rPr>
        <w:t xml:space="preserve">Sentencia No.184-18-SEP-CC (Caso Satya): El sistema de filiación, identidad, nombres y derechos de hijos e hijas de parejas del mismo sexo no se encuentran debidamente abordados en la reforma. </w:t>
      </w:r>
      <w:r w:rsidR="000E63E8">
        <w:rPr>
          <w:rFonts w:cs="Times New Roman"/>
          <w:lang w:val="es-ES"/>
        </w:rPr>
        <w:t>La</w:t>
      </w:r>
      <w:r w:rsidR="0049647D">
        <w:rPr>
          <w:rFonts w:cs="Times New Roman"/>
          <w:lang w:val="es-ES"/>
        </w:rPr>
        <w:t xml:space="preserve"> reforma </w:t>
      </w:r>
      <w:r w:rsidRPr="00A47AD6">
        <w:rPr>
          <w:rFonts w:cs="Times New Roman"/>
          <w:lang w:val="es-ES"/>
        </w:rPr>
        <w:t xml:space="preserve">debe incluir a hijos e hijas producto de reproducciones asistidas al igual de la posibilidad de la aplicación de la presunción de paternidad o el reconocimiento voluntario de hijos e hijas; que solo es posible en parejas heterosexuales. No se incorpora en la </w:t>
      </w:r>
      <w:r w:rsidR="000E63E8">
        <w:rPr>
          <w:rFonts w:cs="Times New Roman"/>
          <w:lang w:val="es-ES"/>
        </w:rPr>
        <w:t xml:space="preserve">valoración de la </w:t>
      </w:r>
      <w:r w:rsidRPr="00A47AD6">
        <w:rPr>
          <w:rFonts w:cs="Times New Roman"/>
          <w:lang w:val="es-ES"/>
        </w:rPr>
        <w:t xml:space="preserve">patria potestad el principio de Voluntad </w:t>
      </w:r>
      <w:r w:rsidRPr="00A47AD6">
        <w:rPr>
          <w:rFonts w:cs="Times New Roman"/>
          <w:lang w:val="es-ES"/>
        </w:rPr>
        <w:lastRenderedPageBreak/>
        <w:t>Procreacional, especialmente cuando las parejas acceden a mecanismos de reproducción asistida.</w:t>
      </w:r>
    </w:p>
    <w:p w14:paraId="6809F2C1" w14:textId="77777777" w:rsidR="00D50D57" w:rsidRPr="00A47AD6" w:rsidRDefault="00D50D57" w:rsidP="00D50D57">
      <w:pPr>
        <w:pStyle w:val="Sinespaciado"/>
        <w:spacing w:line="240" w:lineRule="auto"/>
        <w:ind w:left="720"/>
        <w:rPr>
          <w:rFonts w:cs="Times New Roman"/>
          <w:lang w:val="es-ES"/>
        </w:rPr>
      </w:pPr>
    </w:p>
    <w:p w14:paraId="60B2D710" w14:textId="77777777"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lang w:val="es-ES"/>
        </w:rPr>
        <w:t xml:space="preserve">Sentencia 11-18-CN/19 y Sentencia 10-18-CN/19 (Matrimonio Igualitario): Estas sentencias de la Corte Constitucional equiparan derechos y obligaciones a los matrimonios heterosexuales frente a los de parejas del mismo género. Sin embargo, en las reformas del Código de la Niñez estas equiparaciones están totalmente invisibles.  Sobre todo, los hijos e hijas de parejas del mismo sexo nacidos antes de los matrimonios de sus padre o madres quedan en un limbo jurídico, ya que mantienen identidades que no reflejan su estructura familiar. </w:t>
      </w:r>
    </w:p>
    <w:p w14:paraId="47F171CE" w14:textId="77777777" w:rsidR="00D50D57" w:rsidRPr="00A47AD6" w:rsidRDefault="00D50D57" w:rsidP="00D50D57">
      <w:pPr>
        <w:pStyle w:val="Prrafodelista"/>
        <w:spacing w:line="240" w:lineRule="auto"/>
        <w:rPr>
          <w:rFonts w:ascii="Times New Roman" w:hAnsi="Times New Roman" w:cs="Times New Roman"/>
          <w:szCs w:val="24"/>
          <w:lang w:val="es-ES"/>
        </w:rPr>
      </w:pPr>
    </w:p>
    <w:p w14:paraId="14A7C262" w14:textId="4D32CC3B"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lang w:val="es-ES"/>
        </w:rPr>
        <w:t xml:space="preserve">Identidad de Género: El proyecto coloca en su artículo 48 el derecho a la identidad, posibilitando el cambio de nombre de </w:t>
      </w:r>
      <w:proofErr w:type="gramStart"/>
      <w:r w:rsidRPr="00A47AD6">
        <w:rPr>
          <w:rFonts w:cs="Times New Roman"/>
          <w:lang w:val="es-ES"/>
        </w:rPr>
        <w:t>niños y niñas</w:t>
      </w:r>
      <w:proofErr w:type="gramEnd"/>
      <w:r w:rsidRPr="00A47AD6">
        <w:rPr>
          <w:rFonts w:cs="Times New Roman"/>
          <w:lang w:val="es-ES"/>
        </w:rPr>
        <w:t xml:space="preserve"> a través de mecanismos judiciales. Por otro lado, en el artículo 48 se reconoce al derecho a la identidad de </w:t>
      </w:r>
      <w:r w:rsidR="000E63E8" w:rsidRPr="00A47AD6">
        <w:rPr>
          <w:rFonts w:cs="Times New Roman"/>
          <w:lang w:val="es-ES"/>
        </w:rPr>
        <w:t>género,</w:t>
      </w:r>
      <w:r w:rsidRPr="00A47AD6">
        <w:rPr>
          <w:rFonts w:cs="Times New Roman"/>
          <w:lang w:val="es-ES"/>
        </w:rPr>
        <w:t xml:space="preserve"> pero sin colocar </w:t>
      </w:r>
      <w:r w:rsidR="000E63E8">
        <w:rPr>
          <w:rFonts w:cs="Times New Roman"/>
          <w:lang w:val="es-ES"/>
        </w:rPr>
        <w:t xml:space="preserve">cuál sería </w:t>
      </w:r>
      <w:r w:rsidRPr="00A47AD6">
        <w:rPr>
          <w:rFonts w:cs="Times New Roman"/>
          <w:lang w:val="es-ES"/>
        </w:rPr>
        <w:t>el mecanismo de cambio</w:t>
      </w:r>
      <w:r w:rsidR="000E63E8">
        <w:rPr>
          <w:rFonts w:cs="Times New Roman"/>
          <w:lang w:val="es-ES"/>
        </w:rPr>
        <w:t xml:space="preserve"> de datos</w:t>
      </w:r>
      <w:r w:rsidR="0049647D">
        <w:rPr>
          <w:rFonts w:cs="Times New Roman"/>
          <w:lang w:val="es-ES"/>
        </w:rPr>
        <w:t xml:space="preserve">, que debería </w:t>
      </w:r>
      <w:r w:rsidRPr="00A47AD6">
        <w:rPr>
          <w:rFonts w:cs="Times New Roman"/>
          <w:lang w:val="es-ES"/>
        </w:rPr>
        <w:t xml:space="preserve">ser administrativo, fácil y rápido. </w:t>
      </w:r>
    </w:p>
    <w:p w14:paraId="02D8D537" w14:textId="77777777" w:rsidR="00D50D57" w:rsidRPr="00A47AD6" w:rsidRDefault="00D50D57" w:rsidP="00D50D57">
      <w:pPr>
        <w:pStyle w:val="Sinespaciado"/>
        <w:spacing w:line="240" w:lineRule="auto"/>
        <w:rPr>
          <w:rFonts w:cs="Times New Roman"/>
          <w:lang w:val="es-ES"/>
        </w:rPr>
      </w:pPr>
    </w:p>
    <w:p w14:paraId="485C770F" w14:textId="18D32DFE" w:rsidR="00D50D57" w:rsidRDefault="00D50D57">
      <w:pPr>
        <w:pStyle w:val="Sinespaciado"/>
        <w:numPr>
          <w:ilvl w:val="0"/>
          <w:numId w:val="5"/>
        </w:numPr>
        <w:spacing w:line="240" w:lineRule="auto"/>
        <w:rPr>
          <w:rFonts w:cs="Times New Roman"/>
          <w:lang w:val="es-ES"/>
        </w:rPr>
      </w:pPr>
      <w:r w:rsidRPr="0049647D">
        <w:rPr>
          <w:rFonts w:cs="Times New Roman"/>
          <w:lang w:val="es-ES"/>
        </w:rPr>
        <w:t>Niñez Intersex: el Código no habla nada de la niñez Intersex y de la prohibición a</w:t>
      </w:r>
      <w:r w:rsidR="000E63E8">
        <w:rPr>
          <w:rFonts w:cs="Times New Roman"/>
          <w:lang w:val="es-ES"/>
        </w:rPr>
        <w:t xml:space="preserve"> la</w:t>
      </w:r>
      <w:r w:rsidRPr="0049647D">
        <w:rPr>
          <w:rFonts w:cs="Times New Roman"/>
          <w:lang w:val="es-ES"/>
        </w:rPr>
        <w:t xml:space="preserve"> mutilación genital. </w:t>
      </w:r>
    </w:p>
    <w:p w14:paraId="42C55D76" w14:textId="77777777" w:rsidR="0049647D" w:rsidRPr="00A47AD6" w:rsidRDefault="0049647D" w:rsidP="0049647D">
      <w:pPr>
        <w:pStyle w:val="Sinespaciado"/>
        <w:spacing w:line="240" w:lineRule="auto"/>
        <w:ind w:firstLine="0"/>
        <w:rPr>
          <w:rFonts w:cs="Times New Roman"/>
          <w:lang w:val="es-ES"/>
        </w:rPr>
      </w:pPr>
    </w:p>
    <w:p w14:paraId="0C4DFA95" w14:textId="058F3B64" w:rsidR="00D50D57" w:rsidRDefault="000E63E8" w:rsidP="00D50D57">
      <w:pPr>
        <w:pStyle w:val="Sinespaciado"/>
        <w:numPr>
          <w:ilvl w:val="0"/>
          <w:numId w:val="5"/>
        </w:numPr>
        <w:spacing w:line="240" w:lineRule="auto"/>
        <w:rPr>
          <w:rFonts w:cs="Times New Roman"/>
          <w:lang w:val="es-ES"/>
        </w:rPr>
      </w:pPr>
      <w:r>
        <w:rPr>
          <w:rFonts w:cs="Times New Roman"/>
          <w:lang w:val="es-ES"/>
        </w:rPr>
        <w:t>“</w:t>
      </w:r>
      <w:r w:rsidR="00D50D57" w:rsidRPr="0049647D">
        <w:rPr>
          <w:rFonts w:cs="Times New Roman"/>
          <w:lang w:val="es-ES"/>
        </w:rPr>
        <w:t xml:space="preserve">Clínicas de </w:t>
      </w:r>
      <w:proofErr w:type="spellStart"/>
      <w:r w:rsidR="00D50D57" w:rsidRPr="0049647D">
        <w:rPr>
          <w:rFonts w:cs="Times New Roman"/>
          <w:lang w:val="es-ES"/>
        </w:rPr>
        <w:t>deshomosexualización</w:t>
      </w:r>
      <w:proofErr w:type="spellEnd"/>
      <w:r>
        <w:rPr>
          <w:rFonts w:cs="Times New Roman"/>
          <w:lang w:val="es-ES"/>
        </w:rPr>
        <w:t>”</w:t>
      </w:r>
      <w:r w:rsidR="00D50D57" w:rsidRPr="0049647D">
        <w:rPr>
          <w:rFonts w:cs="Times New Roman"/>
          <w:lang w:val="es-ES"/>
        </w:rPr>
        <w:t>: El Código no hace referencia a la prohibición de ofrecer o intentar el cambio de la orientación sexual o la identidad de género de la niñez como mecanismo de tortura.</w:t>
      </w:r>
    </w:p>
    <w:p w14:paraId="5A439227" w14:textId="77777777" w:rsidR="0049647D" w:rsidRPr="0049647D" w:rsidRDefault="0049647D" w:rsidP="0049647D">
      <w:pPr>
        <w:pStyle w:val="Sinespaciado"/>
        <w:spacing w:line="240" w:lineRule="auto"/>
        <w:ind w:firstLine="0"/>
        <w:rPr>
          <w:rFonts w:cs="Times New Roman"/>
          <w:lang w:val="es-ES"/>
        </w:rPr>
      </w:pPr>
    </w:p>
    <w:p w14:paraId="2692DBC8" w14:textId="77777777" w:rsidR="00D50D57" w:rsidRPr="00A47AD6" w:rsidRDefault="00D50D57" w:rsidP="00D50D57">
      <w:pPr>
        <w:pStyle w:val="Sinespaciado"/>
        <w:numPr>
          <w:ilvl w:val="0"/>
          <w:numId w:val="5"/>
        </w:numPr>
        <w:spacing w:line="240" w:lineRule="auto"/>
        <w:rPr>
          <w:rFonts w:cs="Times New Roman"/>
          <w:lang w:val="es-ES"/>
        </w:rPr>
      </w:pPr>
      <w:r w:rsidRPr="00A47AD6">
        <w:rPr>
          <w:rFonts w:cs="Times New Roman"/>
          <w:lang w:val="es-ES"/>
        </w:rPr>
        <w:t xml:space="preserve">La propuesta en temas de adopción ni siquiera intenta la reforma constitucional para que las parejas del mismo sexo accedan a esta institución y así brindar una familia a muchos </w:t>
      </w:r>
      <w:proofErr w:type="gramStart"/>
      <w:r w:rsidRPr="00A47AD6">
        <w:rPr>
          <w:rFonts w:cs="Times New Roman"/>
          <w:lang w:val="es-ES"/>
        </w:rPr>
        <w:t>niños y niñas</w:t>
      </w:r>
      <w:proofErr w:type="gramEnd"/>
      <w:r w:rsidRPr="00A47AD6">
        <w:rPr>
          <w:rFonts w:cs="Times New Roman"/>
          <w:lang w:val="es-ES"/>
        </w:rPr>
        <w:t xml:space="preserve"> que se encuentran institucionalizados. </w:t>
      </w:r>
    </w:p>
    <w:p w14:paraId="4F72A982" w14:textId="77777777" w:rsidR="00D50D57" w:rsidRPr="000E63E8" w:rsidRDefault="00D50D57" w:rsidP="0049647D">
      <w:pPr>
        <w:pStyle w:val="Sinespaciado"/>
        <w:spacing w:line="240" w:lineRule="auto"/>
        <w:ind w:firstLine="0"/>
        <w:rPr>
          <w:rFonts w:cs="Times New Roman"/>
          <w:lang w:val="es-ES"/>
        </w:rPr>
      </w:pPr>
    </w:p>
    <w:p w14:paraId="610CD1C9" w14:textId="5DC85273" w:rsidR="00D50D57" w:rsidRPr="000E63E8" w:rsidRDefault="00D50D57" w:rsidP="00D50D57">
      <w:pPr>
        <w:pStyle w:val="Prrafodelista"/>
        <w:numPr>
          <w:ilvl w:val="0"/>
          <w:numId w:val="1"/>
        </w:numPr>
        <w:spacing w:line="240" w:lineRule="auto"/>
        <w:contextualSpacing/>
        <w:jc w:val="both"/>
        <w:rPr>
          <w:rFonts w:ascii="Times New Roman" w:eastAsia="Times New Roman" w:hAnsi="Times New Roman" w:cs="Times New Roman"/>
          <w:color w:val="222222"/>
          <w:szCs w:val="24"/>
          <w:lang w:val="es-ES" w:eastAsia="es-ES_tradnl"/>
        </w:rPr>
      </w:pPr>
      <w:r w:rsidRPr="000E63E8">
        <w:rPr>
          <w:rFonts w:ascii="Times New Roman" w:eastAsia="Times New Roman" w:hAnsi="Times New Roman" w:cs="Times New Roman"/>
          <w:color w:val="222222"/>
          <w:szCs w:val="24"/>
          <w:lang w:val="es-ES" w:eastAsia="es-ES_tradnl"/>
        </w:rPr>
        <w:t xml:space="preserve">Las reformas legislativas que se están realizando sobre </w:t>
      </w:r>
      <w:r w:rsidR="000E63E8" w:rsidRPr="000E63E8">
        <w:rPr>
          <w:rFonts w:ascii="Times New Roman" w:eastAsia="Times New Roman" w:hAnsi="Times New Roman" w:cs="Times New Roman"/>
          <w:color w:val="222222"/>
          <w:szCs w:val="24"/>
          <w:lang w:val="es-ES" w:eastAsia="es-ES_tradnl"/>
        </w:rPr>
        <w:t xml:space="preserve">el </w:t>
      </w:r>
      <w:r w:rsidR="000E63E8" w:rsidRPr="000E63E8">
        <w:rPr>
          <w:rFonts w:ascii="Times New Roman" w:hAnsi="Times New Roman" w:cs="Times New Roman"/>
          <w:lang w:val="es-ES"/>
        </w:rPr>
        <w:t xml:space="preserve">Código de la Niñez </w:t>
      </w:r>
      <w:r w:rsidRPr="000E63E8">
        <w:rPr>
          <w:rFonts w:ascii="Times New Roman" w:eastAsia="Times New Roman" w:hAnsi="Times New Roman" w:cs="Times New Roman"/>
          <w:color w:val="222222"/>
          <w:szCs w:val="24"/>
          <w:lang w:val="es-ES" w:eastAsia="es-ES_tradnl"/>
        </w:rPr>
        <w:t>tienen muchos cuestionamientos por parte de Naciones Unidas y de la sociedad civil. De hecho, cuando el proyecto pasó a segundo debate en 2021, UNICEF manifestó que el proyecto de ley no se alinea</w:t>
      </w:r>
      <w:r w:rsidR="000E63E8">
        <w:rPr>
          <w:rFonts w:ascii="Times New Roman" w:eastAsia="Times New Roman" w:hAnsi="Times New Roman" w:cs="Times New Roman"/>
          <w:color w:val="222222"/>
          <w:szCs w:val="24"/>
          <w:lang w:val="es-ES" w:eastAsia="es-ES_tradnl"/>
        </w:rPr>
        <w:t>ba</w:t>
      </w:r>
      <w:r w:rsidRPr="000E63E8">
        <w:rPr>
          <w:rFonts w:ascii="Times New Roman" w:eastAsia="Times New Roman" w:hAnsi="Times New Roman" w:cs="Times New Roman"/>
          <w:color w:val="222222"/>
          <w:szCs w:val="24"/>
          <w:lang w:val="es-ES" w:eastAsia="es-ES_tradnl"/>
        </w:rPr>
        <w:t xml:space="preserve"> a los estándares universales sobre derechos de la niñez.</w:t>
      </w:r>
      <w:r w:rsidRPr="000E63E8">
        <w:rPr>
          <w:rStyle w:val="Refdenotaalpie"/>
          <w:rFonts w:ascii="Times New Roman" w:eastAsia="Times New Roman" w:hAnsi="Times New Roman" w:cs="Times New Roman"/>
          <w:color w:val="222222"/>
          <w:szCs w:val="24"/>
          <w:lang w:val="es-ES" w:eastAsia="es-ES_tradnl"/>
        </w:rPr>
        <w:footnoteReference w:id="71"/>
      </w:r>
      <w:r w:rsidRPr="000E63E8">
        <w:rPr>
          <w:rFonts w:ascii="Times New Roman" w:eastAsia="Times New Roman" w:hAnsi="Times New Roman" w:cs="Times New Roman"/>
          <w:color w:val="222222"/>
          <w:szCs w:val="24"/>
          <w:lang w:val="es-ES" w:eastAsia="es-ES_tradnl"/>
        </w:rPr>
        <w:t xml:space="preserve"> En el caso de la niñez LGBTIQ+ e hijos de parejas del mismo sexo, este proyecto no garantiza sus derechos de manera adecuada, por lo que desde la sociedad civil se insiste en su archivo.</w:t>
      </w:r>
      <w:r w:rsidRPr="000E63E8">
        <w:rPr>
          <w:rStyle w:val="Refdenotaalpie"/>
          <w:rFonts w:ascii="Times New Roman" w:eastAsia="Times New Roman" w:hAnsi="Times New Roman" w:cs="Times New Roman"/>
          <w:color w:val="222222"/>
          <w:szCs w:val="24"/>
          <w:lang w:val="es-ES" w:eastAsia="es-ES_tradnl"/>
        </w:rPr>
        <w:footnoteReference w:id="72"/>
      </w:r>
    </w:p>
    <w:p w14:paraId="766C52C2" w14:textId="77777777" w:rsidR="00D50D57" w:rsidRPr="00A47AD6" w:rsidRDefault="00D50D57" w:rsidP="00D50D57">
      <w:pPr>
        <w:pStyle w:val="Prrafodelista"/>
        <w:spacing w:line="240" w:lineRule="auto"/>
        <w:ind w:left="360"/>
        <w:contextualSpacing/>
        <w:jc w:val="both"/>
        <w:rPr>
          <w:rFonts w:ascii="Times New Roman" w:hAnsi="Times New Roman" w:cs="Times New Roman"/>
          <w:b/>
          <w:bCs/>
          <w:szCs w:val="24"/>
          <w:lang w:val="es-ES"/>
        </w:rPr>
      </w:pPr>
    </w:p>
    <w:p w14:paraId="3884033A" w14:textId="03033CE3" w:rsidR="00D539E4" w:rsidRDefault="008B26B4" w:rsidP="008B26B4">
      <w:pPr>
        <w:pStyle w:val="Prrafodelista"/>
        <w:numPr>
          <w:ilvl w:val="0"/>
          <w:numId w:val="2"/>
        </w:numPr>
        <w:spacing w:line="259" w:lineRule="auto"/>
        <w:contextualSpacing/>
        <w:jc w:val="both"/>
        <w:rPr>
          <w:rFonts w:ascii="Times New Roman" w:eastAsia="Calibri" w:hAnsi="Times New Roman" w:cs="Times New Roman"/>
          <w:b/>
          <w:bCs/>
          <w:lang w:val="es-ES"/>
        </w:rPr>
      </w:pPr>
      <w:r>
        <w:rPr>
          <w:rFonts w:ascii="Times New Roman" w:eastAsia="Calibri" w:hAnsi="Times New Roman" w:cs="Times New Roman"/>
          <w:b/>
          <w:bCs/>
          <w:lang w:val="es-ES"/>
        </w:rPr>
        <w:t>Comisión de la Verdad</w:t>
      </w:r>
    </w:p>
    <w:p w14:paraId="7FAC2A4A" w14:textId="77777777" w:rsidR="00285C9D" w:rsidRDefault="00285C9D" w:rsidP="008B26B4">
      <w:pPr>
        <w:spacing w:line="259" w:lineRule="auto"/>
        <w:contextualSpacing/>
        <w:jc w:val="both"/>
        <w:rPr>
          <w:rFonts w:ascii="Times New Roman" w:eastAsia="Calibri" w:hAnsi="Times New Roman" w:cs="Times New Roman"/>
          <w:b/>
          <w:bCs/>
          <w:lang w:val="es-ES"/>
        </w:rPr>
      </w:pPr>
    </w:p>
    <w:p w14:paraId="3729DE91" w14:textId="6E652ECC" w:rsidR="00285C9D" w:rsidRDefault="00285C9D" w:rsidP="008B26B4">
      <w:pPr>
        <w:spacing w:line="259" w:lineRule="auto"/>
        <w:contextualSpacing/>
        <w:jc w:val="both"/>
        <w:rPr>
          <w:rFonts w:ascii="Times New Roman" w:hAnsi="Times New Roman" w:cs="Times New Roman"/>
          <w:lang w:val="es-ES"/>
        </w:rPr>
      </w:pPr>
      <w:r>
        <w:rPr>
          <w:rFonts w:ascii="Times New Roman" w:hAnsi="Times New Roman" w:cs="Times New Roman"/>
          <w:lang w:val="es-ES"/>
        </w:rPr>
        <w:t xml:space="preserve">En relación con este apartado el Comité </w:t>
      </w:r>
      <w:r w:rsidR="000E63E8">
        <w:rPr>
          <w:rFonts w:ascii="Times New Roman" w:hAnsi="Times New Roman" w:cs="Times New Roman"/>
          <w:lang w:val="es-ES"/>
        </w:rPr>
        <w:t xml:space="preserve">de Derechos Humanos en 2016 </w:t>
      </w:r>
      <w:r>
        <w:rPr>
          <w:rFonts w:ascii="Times New Roman" w:hAnsi="Times New Roman" w:cs="Times New Roman"/>
          <w:lang w:val="es-ES"/>
        </w:rPr>
        <w:t>recomendó al Ecuador lo siguiente:</w:t>
      </w:r>
    </w:p>
    <w:p w14:paraId="5FE1A395" w14:textId="77777777" w:rsidR="00F954D4" w:rsidRDefault="00F954D4" w:rsidP="008B26B4">
      <w:pPr>
        <w:spacing w:line="259" w:lineRule="auto"/>
        <w:contextualSpacing/>
        <w:jc w:val="both"/>
        <w:rPr>
          <w:rFonts w:ascii="Times New Roman" w:eastAsia="Calibri" w:hAnsi="Times New Roman" w:cs="Times New Roman"/>
          <w:b/>
          <w:bCs/>
          <w:lang w:val="es-ES"/>
        </w:rPr>
      </w:pPr>
    </w:p>
    <w:tbl>
      <w:tblPr>
        <w:tblStyle w:val="Tablaconcuadrcula"/>
        <w:tblW w:w="0" w:type="auto"/>
        <w:tblInd w:w="720" w:type="dxa"/>
        <w:tblLook w:val="04A0" w:firstRow="1" w:lastRow="0" w:firstColumn="1" w:lastColumn="0" w:noHBand="0" w:noVBand="1"/>
      </w:tblPr>
      <w:tblGrid>
        <w:gridCol w:w="8630"/>
      </w:tblGrid>
      <w:tr w:rsidR="001F5A33" w14:paraId="0BEC9D36" w14:textId="77777777" w:rsidTr="001F5A33">
        <w:tc>
          <w:tcPr>
            <w:tcW w:w="9350" w:type="dxa"/>
          </w:tcPr>
          <w:p w14:paraId="3B0BF887" w14:textId="77777777" w:rsidR="001F5A33" w:rsidRDefault="001F5A33" w:rsidP="001F5A33">
            <w:pPr>
              <w:spacing w:line="259" w:lineRule="auto"/>
              <w:ind w:left="720"/>
              <w:contextualSpacing/>
              <w:jc w:val="both"/>
              <w:rPr>
                <w:rFonts w:ascii="Times New Roman" w:eastAsia="Calibri" w:hAnsi="Times New Roman" w:cs="Times New Roman"/>
                <w:sz w:val="22"/>
                <w:szCs w:val="22"/>
                <w:lang w:val="es-ES"/>
              </w:rPr>
            </w:pPr>
          </w:p>
          <w:p w14:paraId="08BDCCFB" w14:textId="63FB4ED4" w:rsidR="001F5A33" w:rsidRPr="00285C9D" w:rsidRDefault="001F5A33" w:rsidP="001F5A33">
            <w:pPr>
              <w:spacing w:line="259" w:lineRule="auto"/>
              <w:ind w:left="720" w:right="605"/>
              <w:contextualSpacing/>
              <w:jc w:val="both"/>
              <w:rPr>
                <w:rFonts w:ascii="Times New Roman" w:eastAsia="Calibri" w:hAnsi="Times New Roman" w:cs="Times New Roman"/>
                <w:sz w:val="22"/>
                <w:szCs w:val="22"/>
                <w:lang w:val="es-ES"/>
              </w:rPr>
            </w:pPr>
            <w:r w:rsidRPr="00285C9D">
              <w:rPr>
                <w:rFonts w:ascii="Times New Roman" w:eastAsia="Calibri" w:hAnsi="Times New Roman" w:cs="Times New Roman"/>
                <w:sz w:val="22"/>
                <w:szCs w:val="22"/>
                <w:lang w:val="es-ES"/>
              </w:rPr>
              <w:t>20. El Estado parte debe adoptar todas las medidas necesarias para agilizar las investigaciones judiciales relativas a los casos de violaciones de derechos humanos detallados en el informe de la Comisión de la Verdad y garantizar que los presuntos responsables sean juzgados y, de ser declarados culpables, sancionados de conformidad con la gravedad de sus actos. El Estado parte debe también incrementar sus esfuerzos con miras a garantizar que las víctimas y sus familiares tengan pronto acceso a una reparación integral, tomando todas las medidas necesarias, incluida la</w:t>
            </w:r>
          </w:p>
          <w:p w14:paraId="746D7772" w14:textId="77777777" w:rsidR="001F5A33" w:rsidRPr="00285C9D" w:rsidRDefault="001F5A33" w:rsidP="001F5A33">
            <w:pPr>
              <w:spacing w:line="259" w:lineRule="auto"/>
              <w:ind w:left="720" w:right="605"/>
              <w:contextualSpacing/>
              <w:jc w:val="both"/>
              <w:rPr>
                <w:rFonts w:ascii="Times New Roman" w:eastAsia="Calibri" w:hAnsi="Times New Roman" w:cs="Times New Roman"/>
                <w:sz w:val="22"/>
                <w:szCs w:val="22"/>
                <w:lang w:val="es-ES"/>
              </w:rPr>
            </w:pPr>
            <w:r w:rsidRPr="00285C9D">
              <w:rPr>
                <w:rFonts w:ascii="Times New Roman" w:eastAsia="Calibri" w:hAnsi="Times New Roman" w:cs="Times New Roman"/>
                <w:sz w:val="22"/>
                <w:szCs w:val="22"/>
                <w:lang w:val="es-ES"/>
              </w:rPr>
              <w:t>indemnización.</w:t>
            </w:r>
          </w:p>
          <w:p w14:paraId="3C89C237" w14:textId="77777777" w:rsidR="001F5A33" w:rsidRDefault="001F5A33" w:rsidP="00285C9D">
            <w:pPr>
              <w:spacing w:line="259" w:lineRule="auto"/>
              <w:contextualSpacing/>
              <w:jc w:val="both"/>
              <w:rPr>
                <w:rFonts w:ascii="Times New Roman" w:eastAsia="Calibri" w:hAnsi="Times New Roman" w:cs="Times New Roman"/>
                <w:sz w:val="22"/>
                <w:szCs w:val="22"/>
                <w:lang w:val="es-ES"/>
              </w:rPr>
            </w:pPr>
          </w:p>
        </w:tc>
      </w:tr>
    </w:tbl>
    <w:p w14:paraId="277D451E" w14:textId="77777777" w:rsidR="001F5A33" w:rsidRDefault="001F5A33" w:rsidP="00285C9D">
      <w:pPr>
        <w:spacing w:line="259" w:lineRule="auto"/>
        <w:ind w:left="720"/>
        <w:contextualSpacing/>
        <w:jc w:val="both"/>
        <w:rPr>
          <w:rFonts w:ascii="Times New Roman" w:eastAsia="Calibri" w:hAnsi="Times New Roman" w:cs="Times New Roman"/>
          <w:sz w:val="22"/>
          <w:szCs w:val="22"/>
          <w:lang w:val="es-ES"/>
        </w:rPr>
      </w:pPr>
    </w:p>
    <w:p w14:paraId="6639EEDC" w14:textId="77777777" w:rsidR="00D50D57" w:rsidRDefault="00D50D57" w:rsidP="00D50D57">
      <w:pPr>
        <w:pStyle w:val="Prrafodelista"/>
        <w:spacing w:line="240" w:lineRule="auto"/>
        <w:ind w:left="360"/>
        <w:contextualSpacing/>
        <w:jc w:val="both"/>
        <w:rPr>
          <w:rFonts w:ascii="Times New Roman" w:hAnsi="Times New Roman" w:cs="Times New Roman"/>
          <w:b/>
          <w:bCs/>
          <w:szCs w:val="24"/>
          <w:u w:val="single"/>
          <w:lang w:val="es-ES"/>
        </w:rPr>
      </w:pPr>
    </w:p>
    <w:p w14:paraId="578D504D" w14:textId="024E1F5E" w:rsidR="00D50D57" w:rsidRPr="00A47AD6" w:rsidRDefault="00D50D57" w:rsidP="00D50D57">
      <w:pPr>
        <w:pStyle w:val="Prrafodelista"/>
        <w:spacing w:line="240" w:lineRule="auto"/>
        <w:ind w:left="360"/>
        <w:contextualSpacing/>
        <w:jc w:val="both"/>
        <w:rPr>
          <w:rFonts w:ascii="Times New Roman" w:hAnsi="Times New Roman" w:cs="Times New Roman"/>
          <w:b/>
          <w:bCs/>
          <w:szCs w:val="24"/>
          <w:u w:val="single"/>
          <w:lang w:val="es-ES"/>
        </w:rPr>
      </w:pPr>
      <w:r w:rsidRPr="00A47AD6">
        <w:rPr>
          <w:rFonts w:ascii="Times New Roman" w:hAnsi="Times New Roman" w:cs="Times New Roman"/>
          <w:b/>
          <w:bCs/>
          <w:szCs w:val="24"/>
          <w:u w:val="single"/>
          <w:lang w:val="es-ES"/>
        </w:rPr>
        <w:t>Política Pública sobre el derecho a la Verdad y la Memoria LGBTIQ+</w:t>
      </w:r>
    </w:p>
    <w:p w14:paraId="634E86C4" w14:textId="77777777" w:rsidR="00D50D57" w:rsidRPr="00A47AD6" w:rsidRDefault="00D50D57" w:rsidP="00D50D57">
      <w:pPr>
        <w:contextualSpacing/>
        <w:jc w:val="both"/>
        <w:rPr>
          <w:rFonts w:ascii="Times New Roman" w:hAnsi="Times New Roman" w:cs="Times New Roman"/>
          <w:bCs/>
          <w:lang w:val="es-ES"/>
        </w:rPr>
      </w:pPr>
    </w:p>
    <w:p w14:paraId="7E7A0BE5" w14:textId="6EE9E2AF" w:rsidR="00D50D57" w:rsidRPr="00FF7AD0" w:rsidRDefault="00D50D57" w:rsidP="00FF7AD0">
      <w:pPr>
        <w:pStyle w:val="Prrafodelista"/>
        <w:numPr>
          <w:ilvl w:val="0"/>
          <w:numId w:val="1"/>
        </w:numPr>
        <w:spacing w:line="240" w:lineRule="auto"/>
        <w:jc w:val="both"/>
        <w:rPr>
          <w:rFonts w:ascii="Times New Roman" w:hAnsi="Times New Roman" w:cs="Times New Roman"/>
          <w:szCs w:val="24"/>
          <w:lang w:val="es-ES"/>
        </w:rPr>
      </w:pPr>
      <w:r w:rsidRPr="00A47AD6">
        <w:rPr>
          <w:rFonts w:ascii="Times New Roman" w:hAnsi="Times New Roman" w:cs="Times New Roman"/>
          <w:szCs w:val="24"/>
          <w:lang w:val="es-ES"/>
        </w:rPr>
        <w:t>El Informe de la Comisión de la Verdad del Ecuador titulado como “Sin Verdad no hay Justicia” (2010),</w:t>
      </w:r>
      <w:r w:rsidR="00FF7AD0">
        <w:rPr>
          <w:rFonts w:ascii="Times New Roman" w:hAnsi="Times New Roman" w:cs="Times New Roman"/>
          <w:szCs w:val="24"/>
          <w:lang w:val="es-ES"/>
        </w:rPr>
        <w:t xml:space="preserve"> en</w:t>
      </w:r>
      <w:r w:rsidR="00FF7AD0" w:rsidRPr="00A47AD6">
        <w:rPr>
          <w:rFonts w:ascii="Times New Roman" w:hAnsi="Times New Roman" w:cs="Times New Roman"/>
          <w:szCs w:val="24"/>
          <w:lang w:val="es-ES"/>
        </w:rPr>
        <w:t xml:space="preserve"> su</w:t>
      </w:r>
      <w:r w:rsidRPr="00A47AD6">
        <w:rPr>
          <w:rFonts w:ascii="Times New Roman" w:hAnsi="Times New Roman" w:cs="Times New Roman"/>
          <w:szCs w:val="24"/>
          <w:lang w:val="es-ES"/>
        </w:rPr>
        <w:t xml:space="preserve"> Tomo 1 </w:t>
      </w:r>
      <w:r w:rsidR="000D46FE">
        <w:rPr>
          <w:rFonts w:ascii="Times New Roman" w:hAnsi="Times New Roman" w:cs="Times New Roman"/>
          <w:szCs w:val="24"/>
          <w:lang w:val="es-ES"/>
        </w:rPr>
        <w:t>presentó</w:t>
      </w:r>
      <w:r w:rsidRPr="00A47AD6">
        <w:rPr>
          <w:rFonts w:ascii="Times New Roman" w:hAnsi="Times New Roman" w:cs="Times New Roman"/>
          <w:szCs w:val="24"/>
          <w:lang w:val="es-ES"/>
        </w:rPr>
        <w:t xml:space="preserve"> </w:t>
      </w:r>
      <w:r w:rsidR="00F954D4">
        <w:rPr>
          <w:rFonts w:ascii="Times New Roman" w:hAnsi="Times New Roman" w:cs="Times New Roman"/>
          <w:szCs w:val="24"/>
          <w:lang w:val="es-ES"/>
        </w:rPr>
        <w:t>la sección</w:t>
      </w:r>
      <w:r w:rsidRPr="00A47AD6">
        <w:rPr>
          <w:rFonts w:ascii="Times New Roman" w:hAnsi="Times New Roman" w:cs="Times New Roman"/>
          <w:szCs w:val="24"/>
          <w:lang w:val="es-ES"/>
        </w:rPr>
        <w:t xml:space="preserve"> “Homofobia y transfobia: violencia y discriminación contra el colectivo LGBTI en la década de 1990 y 2000”.</w:t>
      </w:r>
      <w:r w:rsidRPr="00A47AD6">
        <w:rPr>
          <w:szCs w:val="24"/>
          <w:vertAlign w:val="superscript"/>
          <w:lang w:val="es-ES"/>
        </w:rPr>
        <w:footnoteReference w:id="73"/>
      </w:r>
      <w:r w:rsidR="00FF7AD0">
        <w:rPr>
          <w:rFonts w:ascii="Times New Roman" w:hAnsi="Times New Roman" w:cs="Times New Roman"/>
          <w:szCs w:val="24"/>
          <w:lang w:val="es-ES"/>
        </w:rPr>
        <w:t xml:space="preserve"> </w:t>
      </w:r>
      <w:r w:rsidR="00FF7AD0">
        <w:rPr>
          <w:rFonts w:ascii="Times New Roman" w:hAnsi="Times New Roman" w:cs="Times New Roman"/>
        </w:rPr>
        <w:t>Esta información se complementa con el reporte de</w:t>
      </w:r>
      <w:r w:rsidRPr="00FF7AD0">
        <w:rPr>
          <w:rFonts w:ascii="Times New Roman" w:hAnsi="Times New Roman" w:cs="Times New Roman"/>
        </w:rPr>
        <w:t xml:space="preserve"> Amnistía Internacional</w:t>
      </w:r>
      <w:r w:rsidR="0049647D">
        <w:rPr>
          <w:rFonts w:ascii="Times New Roman" w:hAnsi="Times New Roman" w:cs="Times New Roman"/>
        </w:rPr>
        <w:t xml:space="preserve">, que en </w:t>
      </w:r>
      <w:r w:rsidRPr="00FF7AD0">
        <w:rPr>
          <w:rFonts w:ascii="Times New Roman" w:hAnsi="Times New Roman" w:cs="Times New Roman"/>
        </w:rPr>
        <w:t xml:space="preserve">2001 publicó el informe denominado “Ecuador: Persisten las torturas y malos tratos a lesbianas, </w:t>
      </w:r>
      <w:proofErr w:type="spellStart"/>
      <w:r w:rsidRPr="00FF7AD0">
        <w:rPr>
          <w:rFonts w:ascii="Times New Roman" w:hAnsi="Times New Roman" w:cs="Times New Roman"/>
        </w:rPr>
        <w:t>gays</w:t>
      </w:r>
      <w:proofErr w:type="spellEnd"/>
      <w:r w:rsidRPr="00FF7AD0">
        <w:rPr>
          <w:rFonts w:ascii="Times New Roman" w:hAnsi="Times New Roman" w:cs="Times New Roman"/>
        </w:rPr>
        <w:t xml:space="preserve">, bisexuales y transexuales”; en el cual se reporta la criminalización </w:t>
      </w:r>
      <w:r w:rsidR="0049647D">
        <w:rPr>
          <w:rFonts w:ascii="Times New Roman" w:hAnsi="Times New Roman" w:cs="Times New Roman"/>
        </w:rPr>
        <w:t>contra</w:t>
      </w:r>
      <w:r w:rsidRPr="00FF7AD0">
        <w:rPr>
          <w:rFonts w:ascii="Times New Roman" w:hAnsi="Times New Roman" w:cs="Times New Roman"/>
        </w:rPr>
        <w:t xml:space="preserve"> la población LGBTIQ</w:t>
      </w:r>
      <w:r w:rsidR="0049647D">
        <w:rPr>
          <w:rFonts w:ascii="Times New Roman" w:hAnsi="Times New Roman" w:cs="Times New Roman"/>
        </w:rPr>
        <w:t xml:space="preserve"> bajo acusaciones respecto a</w:t>
      </w:r>
      <w:r w:rsidRPr="00FF7AD0">
        <w:rPr>
          <w:rFonts w:ascii="Times New Roman" w:hAnsi="Times New Roman" w:cs="Times New Roman"/>
        </w:rPr>
        <w:t xml:space="preserve"> “atentado contra la moral pública”.</w:t>
      </w:r>
      <w:r w:rsidRPr="008316D3">
        <w:rPr>
          <w:vertAlign w:val="superscript"/>
        </w:rPr>
        <w:footnoteReference w:id="74"/>
      </w:r>
      <w:r w:rsidRPr="00FF7AD0">
        <w:rPr>
          <w:rFonts w:ascii="Times New Roman" w:hAnsi="Times New Roman" w:cs="Times New Roman"/>
        </w:rPr>
        <w:t xml:space="preserve"> En el año 2002 Amnistía publicó el informe “Ecuador Orgullo y prejuicio” que además de dar seguimiento a su informe anterior, documentó cinco casos de graves violaciones a los derechos humanos</w:t>
      </w:r>
      <w:r w:rsidR="00A53AA0" w:rsidRPr="00FF7AD0">
        <w:rPr>
          <w:rFonts w:ascii="Times New Roman" w:hAnsi="Times New Roman" w:cs="Times New Roman"/>
        </w:rPr>
        <w:t>.</w:t>
      </w:r>
      <w:r w:rsidR="00A53AA0" w:rsidRPr="008316D3">
        <w:rPr>
          <w:sz w:val="20"/>
          <w:szCs w:val="20"/>
          <w:vertAlign w:val="superscript"/>
        </w:rPr>
        <w:footnoteReference w:id="75"/>
      </w:r>
    </w:p>
    <w:p w14:paraId="1CF8473D" w14:textId="77777777" w:rsidR="00D50D57" w:rsidRPr="00B22719" w:rsidRDefault="00D50D57" w:rsidP="00D50D57"/>
    <w:p w14:paraId="7BD1B8D0" w14:textId="0598B692" w:rsidR="00D50D57" w:rsidRPr="0049647D" w:rsidRDefault="00AC49E8" w:rsidP="00D50D57">
      <w:pPr>
        <w:pStyle w:val="Prrafodelista"/>
        <w:numPr>
          <w:ilvl w:val="0"/>
          <w:numId w:val="1"/>
        </w:numPr>
        <w:spacing w:line="240" w:lineRule="auto"/>
        <w:jc w:val="both"/>
        <w:rPr>
          <w:rFonts w:ascii="Times New Roman" w:hAnsi="Times New Roman" w:cs="Times New Roman"/>
          <w:szCs w:val="24"/>
        </w:rPr>
      </w:pPr>
      <w:r>
        <w:rPr>
          <w:rFonts w:ascii="Times New Roman" w:hAnsi="Times New Roman" w:cs="Times New Roman"/>
          <w:szCs w:val="24"/>
        </w:rPr>
        <w:t>Así</w:t>
      </w:r>
      <w:r w:rsidR="00D50D57" w:rsidRPr="0049647D">
        <w:rPr>
          <w:rFonts w:ascii="Times New Roman" w:hAnsi="Times New Roman" w:cs="Times New Roman"/>
          <w:szCs w:val="24"/>
        </w:rPr>
        <w:t xml:space="preserve"> la despenalización de la homosexualidad no erradicó del Estado y la sociedad</w:t>
      </w:r>
      <w:r w:rsidR="003206CB" w:rsidRPr="0049647D">
        <w:rPr>
          <w:rFonts w:ascii="Times New Roman" w:hAnsi="Times New Roman" w:cs="Times New Roman"/>
          <w:szCs w:val="24"/>
        </w:rPr>
        <w:t xml:space="preserve"> la violencia</w:t>
      </w:r>
      <w:r w:rsidR="00D50D57" w:rsidRPr="0049647D">
        <w:rPr>
          <w:rFonts w:ascii="Times New Roman" w:hAnsi="Times New Roman" w:cs="Times New Roman"/>
          <w:szCs w:val="24"/>
        </w:rPr>
        <w:t xml:space="preserve">, Amnistía Internacional concluyó que en Ecuador </w:t>
      </w:r>
      <w:r>
        <w:rPr>
          <w:rFonts w:ascii="Times New Roman" w:hAnsi="Times New Roman" w:cs="Times New Roman"/>
          <w:szCs w:val="24"/>
        </w:rPr>
        <w:t xml:space="preserve">esta </w:t>
      </w:r>
      <w:r w:rsidR="00D50D57" w:rsidRPr="0049647D">
        <w:rPr>
          <w:rFonts w:ascii="Times New Roman" w:hAnsi="Times New Roman" w:cs="Times New Roman"/>
          <w:szCs w:val="24"/>
        </w:rPr>
        <w:t xml:space="preserve">persistía </w:t>
      </w:r>
      <w:r>
        <w:rPr>
          <w:rFonts w:ascii="Times New Roman" w:hAnsi="Times New Roman" w:cs="Times New Roman"/>
          <w:szCs w:val="24"/>
        </w:rPr>
        <w:t xml:space="preserve">a través de </w:t>
      </w:r>
      <w:r w:rsidR="00D50D57" w:rsidRPr="0049647D">
        <w:rPr>
          <w:rFonts w:ascii="Times New Roman" w:hAnsi="Times New Roman" w:cs="Times New Roman"/>
          <w:szCs w:val="24"/>
        </w:rPr>
        <w:t xml:space="preserve">“la existencia de una conducta abusiva habitual contra los derechos humanos de lesbianas, </w:t>
      </w:r>
      <w:proofErr w:type="spellStart"/>
      <w:r w:rsidR="00D50D57" w:rsidRPr="0049647D">
        <w:rPr>
          <w:rFonts w:ascii="Times New Roman" w:hAnsi="Times New Roman" w:cs="Times New Roman"/>
          <w:szCs w:val="24"/>
        </w:rPr>
        <w:t>gays</w:t>
      </w:r>
      <w:proofErr w:type="spellEnd"/>
      <w:r w:rsidR="00D50D57" w:rsidRPr="0049647D">
        <w:rPr>
          <w:rFonts w:ascii="Times New Roman" w:hAnsi="Times New Roman" w:cs="Times New Roman"/>
          <w:szCs w:val="24"/>
        </w:rPr>
        <w:t>, bisexuales y transexuales y de la ausencia de respuesta efectiva por las autoridades […]”.</w:t>
      </w:r>
      <w:r w:rsidR="00D50D57" w:rsidRPr="0049647D">
        <w:rPr>
          <w:rFonts w:ascii="Times New Roman" w:hAnsi="Times New Roman" w:cs="Times New Roman"/>
          <w:szCs w:val="24"/>
          <w:vertAlign w:val="superscript"/>
        </w:rPr>
        <w:footnoteReference w:id="76"/>
      </w:r>
      <w:r w:rsidR="00D50D57" w:rsidRPr="0049647D">
        <w:rPr>
          <w:rFonts w:ascii="Times New Roman" w:hAnsi="Times New Roman" w:cs="Times New Roman"/>
          <w:szCs w:val="24"/>
        </w:rPr>
        <w:t xml:space="preserve"> Esto deja evidencia que la violencia estructural y cultural no se erradicó con la sentencia</w:t>
      </w:r>
      <w:r w:rsidR="000D46FE">
        <w:rPr>
          <w:rFonts w:ascii="Times New Roman" w:hAnsi="Times New Roman" w:cs="Times New Roman"/>
          <w:szCs w:val="24"/>
        </w:rPr>
        <w:t xml:space="preserve"> </w:t>
      </w:r>
      <w:r w:rsidR="00D50D57" w:rsidRPr="0049647D">
        <w:rPr>
          <w:rFonts w:ascii="Times New Roman" w:hAnsi="Times New Roman" w:cs="Times New Roman"/>
          <w:szCs w:val="24"/>
        </w:rPr>
        <w:t xml:space="preserve">de la despenalización de la homosexualidad emitida por el Tribunal Constitucional del Ecuador en </w:t>
      </w:r>
      <w:r w:rsidR="00D50D57" w:rsidRPr="0049647D">
        <w:rPr>
          <w:rFonts w:ascii="Times New Roman" w:hAnsi="Times New Roman" w:cs="Times New Roman"/>
          <w:szCs w:val="24"/>
        </w:rPr>
        <w:lastRenderedPageBreak/>
        <w:t xml:space="preserve">1997; que declaró la inconstitucionalidad de la homosexualidad consentida arguyendo </w:t>
      </w:r>
      <w:r w:rsidR="000D46FE">
        <w:rPr>
          <w:rFonts w:ascii="Times New Roman" w:hAnsi="Times New Roman" w:cs="Times New Roman"/>
          <w:szCs w:val="24"/>
        </w:rPr>
        <w:t xml:space="preserve">de forma discriminatoria </w:t>
      </w:r>
      <w:r w:rsidR="00D50D57" w:rsidRPr="0049647D">
        <w:rPr>
          <w:rFonts w:ascii="Times New Roman" w:hAnsi="Times New Roman" w:cs="Times New Roman"/>
          <w:szCs w:val="24"/>
        </w:rPr>
        <w:t>que una enfermedad no puede ser penada como delito.</w:t>
      </w:r>
      <w:r w:rsidR="00D50D57" w:rsidRPr="0049647D">
        <w:rPr>
          <w:rFonts w:ascii="Times New Roman" w:hAnsi="Times New Roman" w:cs="Times New Roman"/>
          <w:szCs w:val="24"/>
          <w:vertAlign w:val="superscript"/>
        </w:rPr>
        <w:footnoteReference w:id="77"/>
      </w:r>
    </w:p>
    <w:p w14:paraId="37ABF29B" w14:textId="77777777" w:rsidR="00D50D57" w:rsidRPr="0049647D" w:rsidRDefault="00D50D57" w:rsidP="00D50D57">
      <w:pPr>
        <w:contextualSpacing/>
        <w:jc w:val="both"/>
        <w:rPr>
          <w:rFonts w:ascii="Times New Roman" w:hAnsi="Times New Roman" w:cs="Times New Roman"/>
          <w:bCs/>
          <w:lang w:val="es-ES"/>
        </w:rPr>
      </w:pPr>
    </w:p>
    <w:p w14:paraId="5A87057D" w14:textId="4C487A8F" w:rsidR="00D50D57" w:rsidRPr="0049647D" w:rsidRDefault="00D50D57" w:rsidP="00D50D57">
      <w:pPr>
        <w:pStyle w:val="Prrafodelista"/>
        <w:numPr>
          <w:ilvl w:val="0"/>
          <w:numId w:val="1"/>
        </w:numPr>
        <w:spacing w:line="240" w:lineRule="auto"/>
        <w:jc w:val="both"/>
        <w:rPr>
          <w:rFonts w:ascii="Times New Roman" w:hAnsi="Times New Roman" w:cs="Times New Roman"/>
          <w:szCs w:val="24"/>
          <w:u w:val="single"/>
          <w:lang w:val="es-ES"/>
        </w:rPr>
      </w:pPr>
      <w:r w:rsidRPr="0049647D">
        <w:rPr>
          <w:rFonts w:ascii="Times New Roman" w:hAnsi="Times New Roman" w:cs="Times New Roman"/>
          <w:szCs w:val="24"/>
        </w:rPr>
        <w:t xml:space="preserve">El 5 de diciembre del 2013 la Asamblea Nacional  promulgó  la </w:t>
      </w:r>
      <w:r w:rsidRPr="0049647D">
        <w:rPr>
          <w:rFonts w:ascii="Times New Roman" w:hAnsi="Times New Roman" w:cs="Times New Roman"/>
          <w:i/>
          <w:iCs/>
          <w:szCs w:val="24"/>
        </w:rPr>
        <w:t>Ley para la Reparación de las Víctimas y la Judicialización de Graves Violaciones de Derechos Humanos y Delitos de Lesa Humanidad Ocurridos en el Ecuador entre el 4 de Octubre de 1983 y el 31 de diciembre de 2008</w:t>
      </w:r>
      <w:r w:rsidR="00FF7AD0" w:rsidRPr="0049647D">
        <w:rPr>
          <w:rFonts w:ascii="Times New Roman" w:hAnsi="Times New Roman" w:cs="Times New Roman"/>
          <w:i/>
          <w:iCs/>
          <w:szCs w:val="24"/>
        </w:rPr>
        <w:t xml:space="preserve"> (Ley de </w:t>
      </w:r>
      <w:r w:rsidR="000D46FE" w:rsidRPr="0049647D">
        <w:rPr>
          <w:rFonts w:ascii="Times New Roman" w:hAnsi="Times New Roman" w:cs="Times New Roman"/>
          <w:i/>
          <w:iCs/>
          <w:szCs w:val="24"/>
        </w:rPr>
        <w:t>Víctimas</w:t>
      </w:r>
      <w:r w:rsidR="00FF7AD0" w:rsidRPr="0049647D">
        <w:rPr>
          <w:rFonts w:ascii="Times New Roman" w:hAnsi="Times New Roman" w:cs="Times New Roman"/>
          <w:i/>
          <w:iCs/>
          <w:szCs w:val="24"/>
        </w:rPr>
        <w:t>)</w:t>
      </w:r>
      <w:r w:rsidRPr="0049647D">
        <w:rPr>
          <w:rFonts w:ascii="Times New Roman" w:hAnsi="Times New Roman" w:cs="Times New Roman"/>
          <w:szCs w:val="24"/>
        </w:rPr>
        <w:t xml:space="preserve">, con el objetivo de regular </w:t>
      </w:r>
      <w:r w:rsidR="000D46FE">
        <w:rPr>
          <w:rFonts w:ascii="Times New Roman" w:hAnsi="Times New Roman" w:cs="Times New Roman"/>
          <w:szCs w:val="24"/>
        </w:rPr>
        <w:t>un</w:t>
      </w:r>
      <w:r w:rsidRPr="0049647D">
        <w:rPr>
          <w:rFonts w:ascii="Times New Roman" w:hAnsi="Times New Roman" w:cs="Times New Roman"/>
          <w:szCs w:val="24"/>
        </w:rPr>
        <w:t xml:space="preserve"> proceso de reparación administrativa</w:t>
      </w:r>
      <w:r w:rsidR="000D46FE">
        <w:rPr>
          <w:rFonts w:ascii="Times New Roman" w:hAnsi="Times New Roman" w:cs="Times New Roman"/>
          <w:szCs w:val="24"/>
        </w:rPr>
        <w:t xml:space="preserve"> </w:t>
      </w:r>
      <w:r w:rsidRPr="0049647D">
        <w:rPr>
          <w:rFonts w:ascii="Times New Roman" w:hAnsi="Times New Roman" w:cs="Times New Roman"/>
          <w:szCs w:val="24"/>
        </w:rPr>
        <w:t>a las víctimas del Informe de la Comisión de la Verdad, además de garantizar la judicialización de sus casos.</w:t>
      </w:r>
      <w:r w:rsidRPr="0049647D">
        <w:rPr>
          <w:rFonts w:ascii="Times New Roman" w:hAnsi="Times New Roman" w:cs="Times New Roman"/>
          <w:szCs w:val="24"/>
          <w:vertAlign w:val="superscript"/>
        </w:rPr>
        <w:footnoteReference w:id="78"/>
      </w:r>
      <w:r w:rsidRPr="0049647D">
        <w:rPr>
          <w:rFonts w:ascii="Times New Roman" w:hAnsi="Times New Roman" w:cs="Times New Roman"/>
          <w:szCs w:val="24"/>
        </w:rPr>
        <w:t xml:space="preserve"> </w:t>
      </w:r>
      <w:r w:rsidR="000D46FE">
        <w:rPr>
          <w:rFonts w:ascii="Times New Roman" w:hAnsi="Times New Roman" w:cs="Times New Roman"/>
          <w:szCs w:val="24"/>
        </w:rPr>
        <w:t>Debido a que la</w:t>
      </w:r>
      <w:r w:rsidRPr="0049647D">
        <w:rPr>
          <w:rFonts w:ascii="Times New Roman" w:hAnsi="Times New Roman" w:cs="Times New Roman"/>
          <w:szCs w:val="24"/>
        </w:rPr>
        <w:t xml:space="preserve"> Ley</w:t>
      </w:r>
      <w:r w:rsidR="000D46FE">
        <w:rPr>
          <w:rFonts w:ascii="Times New Roman" w:hAnsi="Times New Roman" w:cs="Times New Roman"/>
          <w:szCs w:val="24"/>
        </w:rPr>
        <w:t xml:space="preserve"> de Víctimas</w:t>
      </w:r>
      <w:r w:rsidRPr="0049647D">
        <w:rPr>
          <w:rFonts w:ascii="Times New Roman" w:hAnsi="Times New Roman" w:cs="Times New Roman"/>
          <w:szCs w:val="24"/>
        </w:rPr>
        <w:t xml:space="preserve"> no garantiza el acceso a la reparación a las víctimas colectivas, que es el caso de la población LGBTIQ+, desde la Fundación Pakta se interpuso una demanda de inconstitucionalidad ante la Corte Constitucional admitida e</w:t>
      </w:r>
      <w:r w:rsidR="000D46FE">
        <w:rPr>
          <w:rFonts w:ascii="Times New Roman" w:hAnsi="Times New Roman" w:cs="Times New Roman"/>
          <w:szCs w:val="24"/>
        </w:rPr>
        <w:t>n</w:t>
      </w:r>
      <w:r w:rsidRPr="0049647D">
        <w:rPr>
          <w:rFonts w:ascii="Times New Roman" w:hAnsi="Times New Roman" w:cs="Times New Roman"/>
          <w:szCs w:val="24"/>
        </w:rPr>
        <w:t xml:space="preserve"> mayo de 2023</w:t>
      </w:r>
      <w:r w:rsidR="000D46FE">
        <w:rPr>
          <w:rFonts w:ascii="Times New Roman" w:hAnsi="Times New Roman" w:cs="Times New Roman"/>
          <w:szCs w:val="24"/>
        </w:rPr>
        <w:t xml:space="preserve">, </w:t>
      </w:r>
      <w:r w:rsidRPr="0049647D">
        <w:rPr>
          <w:rFonts w:ascii="Times New Roman" w:hAnsi="Times New Roman" w:cs="Times New Roman"/>
          <w:szCs w:val="24"/>
        </w:rPr>
        <w:t>caso No.13-23-IN.</w:t>
      </w:r>
      <w:r w:rsidRPr="0049647D">
        <w:rPr>
          <w:rStyle w:val="Refdenotaalpie"/>
          <w:rFonts w:ascii="Times New Roman" w:hAnsi="Times New Roman" w:cs="Times New Roman"/>
          <w:szCs w:val="24"/>
        </w:rPr>
        <w:footnoteReference w:id="79"/>
      </w:r>
      <w:r w:rsidRPr="0049647D">
        <w:rPr>
          <w:rFonts w:ascii="Times New Roman" w:hAnsi="Times New Roman" w:cs="Times New Roman"/>
          <w:szCs w:val="24"/>
        </w:rPr>
        <w:t xml:space="preserve"> Sin embargo, hasta la fecha la Corte no ha tramitado el proceso.</w:t>
      </w:r>
    </w:p>
    <w:p w14:paraId="08EA7CCE" w14:textId="77777777" w:rsidR="00D50D57" w:rsidRPr="0049647D" w:rsidRDefault="00D50D57" w:rsidP="00D50D57">
      <w:pPr>
        <w:pStyle w:val="Prrafodelista"/>
        <w:rPr>
          <w:rFonts w:ascii="Times New Roman" w:hAnsi="Times New Roman" w:cs="Times New Roman"/>
          <w:szCs w:val="24"/>
          <w:u w:val="single"/>
          <w:lang w:val="es-ES"/>
        </w:rPr>
      </w:pPr>
    </w:p>
    <w:p w14:paraId="7240D23A" w14:textId="73DC5705" w:rsidR="00AC49E8" w:rsidRPr="00AC49E8" w:rsidRDefault="00D50D57" w:rsidP="00AC49E8">
      <w:pPr>
        <w:pStyle w:val="Prrafodelista"/>
        <w:numPr>
          <w:ilvl w:val="0"/>
          <w:numId w:val="1"/>
        </w:numPr>
        <w:spacing w:line="240" w:lineRule="auto"/>
        <w:jc w:val="both"/>
        <w:rPr>
          <w:rFonts w:ascii="Times New Roman" w:eastAsia="Times New Roman" w:hAnsi="Times New Roman" w:cs="Times New Roman"/>
          <w:color w:val="000000"/>
          <w:szCs w:val="24"/>
          <w:lang w:val="es-ES" w:eastAsia="es-ES_tradnl"/>
        </w:rPr>
      </w:pPr>
      <w:r w:rsidRPr="00AC49E8">
        <w:rPr>
          <w:rFonts w:ascii="Times New Roman" w:hAnsi="Times New Roman" w:cs="Times New Roman"/>
          <w:szCs w:val="24"/>
          <w:lang w:val="es-ES"/>
        </w:rPr>
        <w:t xml:space="preserve">La Fundación Ecuatoriana Equidad ingresó a la Defensoría del Pueblo </w:t>
      </w:r>
      <w:r w:rsidR="000D46FE">
        <w:rPr>
          <w:rFonts w:ascii="Times New Roman" w:hAnsi="Times New Roman" w:cs="Times New Roman"/>
          <w:szCs w:val="24"/>
          <w:lang w:val="es-ES"/>
        </w:rPr>
        <w:t>en</w:t>
      </w:r>
      <w:r w:rsidRPr="00AC49E8">
        <w:rPr>
          <w:rFonts w:ascii="Times New Roman" w:hAnsi="Times New Roman" w:cs="Times New Roman"/>
          <w:szCs w:val="24"/>
          <w:lang w:val="es-ES"/>
        </w:rPr>
        <w:t xml:space="preserve"> 2015 una solicitud de reconocimiento de la víctima colectiva LGBTIQ+ y la adopción de las medidas de reparación respectivas en el marco de la Ley de Víctimas. </w:t>
      </w:r>
      <w:r w:rsidR="00AC49E8" w:rsidRPr="00AC49E8">
        <w:rPr>
          <w:rFonts w:ascii="Times New Roman" w:hAnsi="Times New Roman" w:cs="Times New Roman"/>
          <w:szCs w:val="24"/>
          <w:lang w:val="es-ES"/>
        </w:rPr>
        <w:t>S</w:t>
      </w:r>
      <w:r w:rsidR="003206CB" w:rsidRPr="00AC49E8">
        <w:rPr>
          <w:rFonts w:ascii="Times New Roman" w:hAnsi="Times New Roman" w:cs="Times New Roman"/>
          <w:szCs w:val="24"/>
          <w:lang w:val="es-ES"/>
        </w:rPr>
        <w:t>in embargo, esta petición no ha sido respondida</w:t>
      </w:r>
      <w:r w:rsidR="000D46FE">
        <w:rPr>
          <w:rFonts w:ascii="Times New Roman" w:hAnsi="Times New Roman" w:cs="Times New Roman"/>
          <w:szCs w:val="24"/>
          <w:lang w:val="es-ES"/>
        </w:rPr>
        <w:t xml:space="preserve"> adecuadamente</w:t>
      </w:r>
      <w:r w:rsidR="003206CB" w:rsidRPr="00AC49E8">
        <w:rPr>
          <w:rFonts w:ascii="Times New Roman" w:hAnsi="Times New Roman" w:cs="Times New Roman"/>
          <w:szCs w:val="24"/>
          <w:lang w:val="es-ES"/>
        </w:rPr>
        <w:t xml:space="preserve"> </w:t>
      </w:r>
      <w:r w:rsidR="00AC49E8" w:rsidRPr="00AC49E8">
        <w:rPr>
          <w:rFonts w:ascii="Times New Roman" w:hAnsi="Times New Roman" w:cs="Times New Roman"/>
          <w:szCs w:val="24"/>
          <w:lang w:val="es-ES"/>
        </w:rPr>
        <w:t>hasta la actualidad</w:t>
      </w:r>
      <w:r w:rsidRPr="0049647D">
        <w:rPr>
          <w:szCs w:val="24"/>
          <w:vertAlign w:val="superscript"/>
        </w:rPr>
        <w:footnoteReference w:id="80"/>
      </w:r>
      <w:r w:rsidR="000D46FE">
        <w:rPr>
          <w:rFonts w:ascii="Times New Roman" w:hAnsi="Times New Roman" w:cs="Times New Roman"/>
          <w:szCs w:val="24"/>
        </w:rPr>
        <w:t>.</w:t>
      </w:r>
    </w:p>
    <w:p w14:paraId="52A90DC8" w14:textId="77777777" w:rsidR="00AC49E8" w:rsidRPr="00AC49E8" w:rsidRDefault="00AC49E8" w:rsidP="00AC49E8">
      <w:pPr>
        <w:jc w:val="both"/>
        <w:rPr>
          <w:rFonts w:ascii="Times New Roman" w:eastAsia="Times New Roman" w:hAnsi="Times New Roman" w:cs="Times New Roman"/>
          <w:color w:val="000000"/>
          <w:lang w:val="es-ES" w:eastAsia="es-ES_tradnl"/>
        </w:rPr>
      </w:pPr>
    </w:p>
    <w:p w14:paraId="16480460" w14:textId="490100DA" w:rsidR="003655DC" w:rsidRPr="000D46FE" w:rsidRDefault="00FF7AD0" w:rsidP="00D50D57">
      <w:pPr>
        <w:pStyle w:val="Prrafodelista"/>
        <w:numPr>
          <w:ilvl w:val="0"/>
          <w:numId w:val="1"/>
        </w:numPr>
        <w:spacing w:line="240" w:lineRule="auto"/>
        <w:jc w:val="both"/>
        <w:rPr>
          <w:rFonts w:ascii="Times New Roman" w:hAnsi="Times New Roman" w:cs="Times New Roman"/>
          <w:szCs w:val="24"/>
          <w:u w:val="single"/>
          <w:lang w:val="es-ES"/>
        </w:rPr>
      </w:pPr>
      <w:r w:rsidRPr="0049647D">
        <w:rPr>
          <w:rFonts w:ascii="Times New Roman" w:eastAsia="Times New Roman" w:hAnsi="Times New Roman" w:cs="Times New Roman"/>
          <w:color w:val="000000"/>
          <w:szCs w:val="24"/>
          <w:lang w:val="es-ES" w:eastAsia="es-ES_tradnl"/>
        </w:rPr>
        <w:t>Sobre el tema de Memoria, l</w:t>
      </w:r>
      <w:r w:rsidR="00D50D57" w:rsidRPr="0049647D">
        <w:rPr>
          <w:rFonts w:ascii="Times New Roman" w:eastAsia="Times New Roman" w:hAnsi="Times New Roman" w:cs="Times New Roman"/>
          <w:color w:val="000000"/>
          <w:szCs w:val="24"/>
          <w:lang w:val="es-ES" w:eastAsia="es-ES_tradnl"/>
        </w:rPr>
        <w:t>a Corte Constitucional del Ecuador</w:t>
      </w:r>
      <w:r w:rsidR="00D50D57" w:rsidRPr="0049647D">
        <w:rPr>
          <w:rFonts w:ascii="Times New Roman" w:hAnsi="Times New Roman" w:cs="Times New Roman"/>
          <w:szCs w:val="24"/>
          <w:lang w:val="es-ES"/>
        </w:rPr>
        <w:t xml:space="preserve"> emitió la Sentencia No. 27-20-AN/23 y acumulado,</w:t>
      </w:r>
      <w:r w:rsidRPr="0049647D">
        <w:rPr>
          <w:rStyle w:val="Refdenotaalpie"/>
          <w:rFonts w:ascii="Times New Roman" w:hAnsi="Times New Roman" w:cs="Times New Roman"/>
          <w:szCs w:val="24"/>
          <w:lang w:val="es-ES"/>
        </w:rPr>
        <w:footnoteReference w:id="81"/>
      </w:r>
      <w:r w:rsidR="00D50D57" w:rsidRPr="0049647D">
        <w:rPr>
          <w:rFonts w:ascii="Times New Roman" w:hAnsi="Times New Roman" w:cs="Times New Roman"/>
          <w:szCs w:val="24"/>
          <w:lang w:val="es-ES"/>
        </w:rPr>
        <w:t xml:space="preserve"> dictada </w:t>
      </w:r>
      <w:r w:rsidR="000D46FE">
        <w:rPr>
          <w:rFonts w:ascii="Times New Roman" w:hAnsi="Times New Roman" w:cs="Times New Roman"/>
          <w:szCs w:val="24"/>
          <w:lang w:val="es-ES"/>
        </w:rPr>
        <w:t>en</w:t>
      </w:r>
      <w:r w:rsidR="00D50D57" w:rsidRPr="0049647D">
        <w:rPr>
          <w:rFonts w:ascii="Times New Roman" w:hAnsi="Times New Roman" w:cs="Times New Roman"/>
          <w:szCs w:val="24"/>
          <w:lang w:val="es-ES"/>
        </w:rPr>
        <w:t xml:space="preserve"> 2023, donde </w:t>
      </w:r>
      <w:r w:rsidR="000D46FE">
        <w:rPr>
          <w:rFonts w:ascii="Times New Roman" w:hAnsi="Times New Roman" w:cs="Times New Roman"/>
          <w:szCs w:val="24"/>
          <w:lang w:val="es-ES"/>
        </w:rPr>
        <w:t>ordena</w:t>
      </w:r>
      <w:r w:rsidR="00D50D57" w:rsidRPr="0049647D">
        <w:rPr>
          <w:rFonts w:ascii="Times New Roman" w:hAnsi="Times New Roman" w:cs="Times New Roman"/>
          <w:szCs w:val="24"/>
          <w:lang w:val="es-ES"/>
        </w:rPr>
        <w:t xml:space="preserve"> al Ministerio de Cultura y Patrimonio la construcción del Museo de la Memoria en aplicación de la </w:t>
      </w:r>
      <w:r w:rsidRPr="0049647D">
        <w:rPr>
          <w:rFonts w:ascii="Times New Roman" w:hAnsi="Times New Roman" w:cs="Times New Roman"/>
          <w:szCs w:val="24"/>
          <w:lang w:val="es-ES"/>
        </w:rPr>
        <w:t>Ley de Víctimas</w:t>
      </w:r>
      <w:r w:rsidR="00D50D57" w:rsidRPr="0049647D">
        <w:rPr>
          <w:rFonts w:ascii="Times New Roman" w:hAnsi="Times New Roman" w:cs="Times New Roman"/>
          <w:szCs w:val="24"/>
          <w:lang w:val="es-ES"/>
        </w:rPr>
        <w:t xml:space="preserve">. El 07 de marzo de 2024 </w:t>
      </w:r>
      <w:r w:rsidR="00AC49E8">
        <w:rPr>
          <w:rFonts w:ascii="Times New Roman" w:hAnsi="Times New Roman" w:cs="Times New Roman"/>
          <w:szCs w:val="24"/>
          <w:lang w:val="es-ES"/>
        </w:rPr>
        <w:t xml:space="preserve">este Ministerio </w:t>
      </w:r>
      <w:r w:rsidR="00D50D57" w:rsidRPr="0049647D">
        <w:rPr>
          <w:rFonts w:ascii="Times New Roman" w:hAnsi="Times New Roman" w:cs="Times New Roman"/>
          <w:szCs w:val="24"/>
          <w:lang w:val="es-ES"/>
        </w:rPr>
        <w:t>emitió un comunicado donde daba a conocer la inauguración de este Museo</w:t>
      </w:r>
      <w:r w:rsidR="00AC49E8">
        <w:rPr>
          <w:rFonts w:ascii="Times New Roman" w:hAnsi="Times New Roman" w:cs="Times New Roman"/>
          <w:szCs w:val="24"/>
          <w:lang w:val="es-ES"/>
        </w:rPr>
        <w:t>.</w:t>
      </w:r>
      <w:r w:rsidR="00D50D57" w:rsidRPr="0049647D">
        <w:rPr>
          <w:rStyle w:val="Refdenotaalpie"/>
          <w:rFonts w:ascii="Times New Roman" w:hAnsi="Times New Roman" w:cs="Times New Roman"/>
          <w:szCs w:val="24"/>
          <w:lang w:val="es-ES"/>
        </w:rPr>
        <w:footnoteReference w:id="82"/>
      </w:r>
      <w:r w:rsidR="00D50D57" w:rsidRPr="0049647D">
        <w:rPr>
          <w:rFonts w:ascii="Times New Roman" w:hAnsi="Times New Roman" w:cs="Times New Roman"/>
          <w:szCs w:val="24"/>
          <w:lang w:val="es-ES"/>
        </w:rPr>
        <w:t xml:space="preserve"> </w:t>
      </w:r>
      <w:r w:rsidR="00AC49E8">
        <w:rPr>
          <w:rFonts w:ascii="Times New Roman" w:hAnsi="Times New Roman" w:cs="Times New Roman"/>
          <w:szCs w:val="24"/>
          <w:lang w:val="es-ES"/>
        </w:rPr>
        <w:t>S</w:t>
      </w:r>
      <w:r w:rsidR="00D50D57" w:rsidRPr="0049647D">
        <w:rPr>
          <w:rFonts w:ascii="Times New Roman" w:hAnsi="Times New Roman" w:cs="Times New Roman"/>
          <w:szCs w:val="24"/>
          <w:lang w:val="es-ES"/>
        </w:rPr>
        <w:t xml:space="preserve">in embargo, la curaduría de este espacio se realizó sin participación de población LGBTIQ+ </w:t>
      </w:r>
      <w:r w:rsidR="000D46FE">
        <w:rPr>
          <w:rFonts w:ascii="Times New Roman" w:hAnsi="Times New Roman" w:cs="Times New Roman"/>
          <w:szCs w:val="24"/>
          <w:lang w:val="es-ES"/>
        </w:rPr>
        <w:t>y</w:t>
      </w:r>
      <w:r w:rsidR="00D50D57" w:rsidRPr="0049647D">
        <w:rPr>
          <w:rFonts w:ascii="Times New Roman" w:hAnsi="Times New Roman" w:cs="Times New Roman"/>
          <w:szCs w:val="24"/>
          <w:lang w:val="es-ES"/>
        </w:rPr>
        <w:t xml:space="preserve"> dentro del mismo tampoco se relatan las experiencias y vivencias de violencia que la población LGBTIQ+ experimentó, </w:t>
      </w:r>
      <w:r w:rsidR="000D46FE">
        <w:rPr>
          <w:rFonts w:ascii="Times New Roman" w:hAnsi="Times New Roman" w:cs="Times New Roman"/>
          <w:szCs w:val="24"/>
          <w:lang w:val="es-ES"/>
        </w:rPr>
        <w:t xml:space="preserve">pese a </w:t>
      </w:r>
      <w:r w:rsidR="003655DC">
        <w:rPr>
          <w:rFonts w:ascii="Times New Roman" w:hAnsi="Times New Roman" w:cs="Times New Roman"/>
          <w:szCs w:val="24"/>
          <w:lang w:val="es-ES"/>
        </w:rPr>
        <w:t xml:space="preserve">que </w:t>
      </w:r>
      <w:r w:rsidR="00D50D57" w:rsidRPr="0049647D">
        <w:rPr>
          <w:rFonts w:ascii="Times New Roman" w:hAnsi="Times New Roman" w:cs="Times New Roman"/>
          <w:szCs w:val="24"/>
          <w:lang w:val="es-ES"/>
        </w:rPr>
        <w:t xml:space="preserve">fueron relatadas en el Informe de la Comisión de la Verdad. </w:t>
      </w:r>
    </w:p>
    <w:p w14:paraId="040FFFDD" w14:textId="77777777" w:rsidR="000D46FE" w:rsidRPr="000D46FE" w:rsidRDefault="000D46FE" w:rsidP="000D46FE">
      <w:pPr>
        <w:jc w:val="both"/>
        <w:rPr>
          <w:rFonts w:ascii="Times New Roman" w:hAnsi="Times New Roman" w:cs="Times New Roman"/>
          <w:u w:val="single"/>
          <w:lang w:val="es-ES"/>
        </w:rPr>
      </w:pPr>
    </w:p>
    <w:p w14:paraId="3377AD07" w14:textId="1561ABF7" w:rsidR="00D50D57" w:rsidRPr="0049647D" w:rsidRDefault="00D50D57" w:rsidP="00D50D57">
      <w:pPr>
        <w:pStyle w:val="Prrafodelista"/>
        <w:numPr>
          <w:ilvl w:val="0"/>
          <w:numId w:val="1"/>
        </w:numPr>
        <w:spacing w:line="240" w:lineRule="auto"/>
        <w:jc w:val="both"/>
        <w:rPr>
          <w:rFonts w:ascii="Times New Roman" w:hAnsi="Times New Roman" w:cs="Times New Roman"/>
          <w:szCs w:val="24"/>
          <w:u w:val="single"/>
          <w:lang w:val="es-ES"/>
        </w:rPr>
      </w:pPr>
      <w:r w:rsidRPr="0049647D">
        <w:rPr>
          <w:rFonts w:ascii="Times New Roman" w:hAnsi="Times New Roman" w:cs="Times New Roman"/>
          <w:szCs w:val="24"/>
        </w:rPr>
        <w:t xml:space="preserve">Respecto a la denuncia por delitos de lesa humanidad presentada por las víctimas y sobrevivientes de la violencia de Estado de Ecuador parte de la población LGBTIQ+, </w:t>
      </w:r>
      <w:r w:rsidR="000D46FE">
        <w:rPr>
          <w:rFonts w:ascii="Times New Roman" w:hAnsi="Times New Roman" w:cs="Times New Roman"/>
          <w:szCs w:val="24"/>
        </w:rPr>
        <w:t>se tiene la</w:t>
      </w:r>
      <w:r w:rsidRPr="0049647D">
        <w:rPr>
          <w:rFonts w:ascii="Times New Roman" w:hAnsi="Times New Roman" w:cs="Times New Roman"/>
          <w:szCs w:val="24"/>
        </w:rPr>
        <w:t xml:space="preserve"> </w:t>
      </w:r>
      <w:r w:rsidR="000D46FE">
        <w:rPr>
          <w:rFonts w:ascii="Times New Roman" w:hAnsi="Times New Roman" w:cs="Times New Roman"/>
          <w:szCs w:val="24"/>
        </w:rPr>
        <w:t>siguiente</w:t>
      </w:r>
      <w:r w:rsidRPr="0049647D">
        <w:rPr>
          <w:rFonts w:ascii="Times New Roman" w:hAnsi="Times New Roman" w:cs="Times New Roman"/>
          <w:szCs w:val="24"/>
        </w:rPr>
        <w:t xml:space="preserve"> información del proceso penal:</w:t>
      </w:r>
    </w:p>
    <w:p w14:paraId="1135A1F0" w14:textId="77777777" w:rsidR="00D50D57" w:rsidRPr="00835172" w:rsidRDefault="00D50D57" w:rsidP="00D50D57">
      <w:pPr>
        <w:jc w:val="both"/>
        <w:rPr>
          <w:sz w:val="22"/>
          <w:szCs w:val="22"/>
        </w:rPr>
      </w:pPr>
    </w:p>
    <w:tbl>
      <w:tblPr>
        <w:tblStyle w:val="Tablaconcuadrcula"/>
        <w:tblW w:w="9072" w:type="dxa"/>
        <w:tblInd w:w="279" w:type="dxa"/>
        <w:tblLook w:val="04A0" w:firstRow="1" w:lastRow="0" w:firstColumn="1" w:lastColumn="0" w:noHBand="0" w:noVBand="1"/>
      </w:tblPr>
      <w:tblGrid>
        <w:gridCol w:w="1716"/>
        <w:gridCol w:w="5104"/>
        <w:gridCol w:w="1105"/>
        <w:gridCol w:w="1147"/>
      </w:tblGrid>
      <w:tr w:rsidR="00D50D57" w:rsidRPr="001F41EE" w14:paraId="164C4473" w14:textId="77777777" w:rsidTr="000D46FE">
        <w:trPr>
          <w:trHeight w:val="697"/>
        </w:trPr>
        <w:tc>
          <w:tcPr>
            <w:tcW w:w="996" w:type="dxa"/>
          </w:tcPr>
          <w:p w14:paraId="51923719"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lastRenderedPageBreak/>
              <w:t>No. de proceso en Fiscalía</w:t>
            </w:r>
          </w:p>
        </w:tc>
        <w:tc>
          <w:tcPr>
            <w:tcW w:w="5379" w:type="dxa"/>
          </w:tcPr>
          <w:p w14:paraId="71589BC9"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Sujetos procesales</w:t>
            </w:r>
          </w:p>
        </w:tc>
        <w:tc>
          <w:tcPr>
            <w:tcW w:w="854" w:type="dxa"/>
          </w:tcPr>
          <w:p w14:paraId="6F5D68D3"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Delito</w:t>
            </w:r>
          </w:p>
        </w:tc>
        <w:tc>
          <w:tcPr>
            <w:tcW w:w="1843" w:type="dxa"/>
          </w:tcPr>
          <w:p w14:paraId="6D8B5BC3" w14:textId="77777777" w:rsidR="00D50D57" w:rsidRPr="000D46FE" w:rsidRDefault="00D50D57">
            <w:pPr>
              <w:jc w:val="center"/>
              <w:rPr>
                <w:rFonts w:ascii="Times New Roman" w:hAnsi="Times New Roman" w:cs="Times New Roman"/>
                <w:b/>
                <w:bCs/>
                <w:sz w:val="20"/>
                <w:szCs w:val="20"/>
              </w:rPr>
            </w:pPr>
            <w:r w:rsidRPr="000D46FE">
              <w:rPr>
                <w:rFonts w:ascii="Times New Roman" w:hAnsi="Times New Roman" w:cs="Times New Roman"/>
                <w:b/>
                <w:bCs/>
                <w:sz w:val="20"/>
                <w:szCs w:val="20"/>
              </w:rPr>
              <w:t>Agente Fiscal que investiga</w:t>
            </w:r>
          </w:p>
        </w:tc>
      </w:tr>
      <w:tr w:rsidR="00D50D57" w:rsidRPr="001F41EE" w14:paraId="3AD300AB" w14:textId="77777777" w:rsidTr="000D46FE">
        <w:trPr>
          <w:trHeight w:val="2627"/>
        </w:trPr>
        <w:tc>
          <w:tcPr>
            <w:tcW w:w="996" w:type="dxa"/>
          </w:tcPr>
          <w:p w14:paraId="06EAA5F4" w14:textId="77777777" w:rsidR="00D50D57" w:rsidRPr="000D46FE" w:rsidRDefault="00D50D57">
            <w:pPr>
              <w:jc w:val="both"/>
              <w:rPr>
                <w:rFonts w:ascii="Times New Roman" w:hAnsi="Times New Roman" w:cs="Times New Roman"/>
                <w:sz w:val="20"/>
                <w:szCs w:val="20"/>
              </w:rPr>
            </w:pPr>
            <w:r w:rsidRPr="000D46FE">
              <w:rPr>
                <w:rFonts w:ascii="Times New Roman" w:hAnsi="Times New Roman" w:cs="Times New Roman"/>
                <w:sz w:val="20"/>
                <w:szCs w:val="20"/>
              </w:rPr>
              <w:t>170101819060675</w:t>
            </w:r>
          </w:p>
        </w:tc>
        <w:tc>
          <w:tcPr>
            <w:tcW w:w="5379" w:type="dxa"/>
          </w:tcPr>
          <w:tbl>
            <w:tblPr>
              <w:tblpPr w:leftFromText="141" w:rightFromText="141" w:vertAnchor="text" w:horzAnchor="margin" w:tblpXSpec="center" w:tblpY="169"/>
              <w:tblW w:w="4812" w:type="dxa"/>
              <w:tblCellSpacing w:w="0" w:type="dxa"/>
              <w:tblBorders>
                <w:top w:val="single" w:sz="6" w:space="0" w:color="D9D9D9"/>
                <w:left w:val="single" w:sz="6" w:space="0" w:color="D9D9D9"/>
                <w:bottom w:val="single" w:sz="6" w:space="0" w:color="D9D9D9"/>
                <w:right w:val="single" w:sz="6" w:space="0" w:color="D9D9D9"/>
              </w:tblBorders>
              <w:shd w:val="clear" w:color="auto" w:fill="FFFFFF"/>
              <w:tblCellMar>
                <w:left w:w="0" w:type="dxa"/>
                <w:right w:w="0" w:type="dxa"/>
              </w:tblCellMar>
              <w:tblLook w:val="04A0" w:firstRow="1" w:lastRow="0" w:firstColumn="1" w:lastColumn="0" w:noHBand="0" w:noVBand="1"/>
            </w:tblPr>
            <w:tblGrid>
              <w:gridCol w:w="3111"/>
              <w:gridCol w:w="1701"/>
            </w:tblGrid>
            <w:tr w:rsidR="00D50D57" w:rsidRPr="000D46FE" w14:paraId="12FB9BFA" w14:textId="77777777" w:rsidTr="00D90A53">
              <w:trPr>
                <w:trHeight w:val="484"/>
                <w:tblHeader/>
                <w:tblCellSpacing w:w="0" w:type="dxa"/>
              </w:trPr>
              <w:tc>
                <w:tcPr>
                  <w:tcW w:w="4812" w:type="dxa"/>
                  <w:gridSpan w:val="2"/>
                  <w:shd w:val="clear" w:color="auto" w:fill="E7E6E6" w:themeFill="background2"/>
                  <w:tcMar>
                    <w:top w:w="45" w:type="dxa"/>
                    <w:left w:w="135" w:type="dxa"/>
                    <w:bottom w:w="45" w:type="dxa"/>
                    <w:right w:w="135" w:type="dxa"/>
                  </w:tcMar>
                  <w:vAlign w:val="center"/>
                  <w:hideMark/>
                </w:tcPr>
                <w:p w14:paraId="72ED41A0" w14:textId="77777777" w:rsidR="00D50D57" w:rsidRPr="000D46FE" w:rsidRDefault="00D50D57">
                  <w:pPr>
                    <w:jc w:val="both"/>
                    <w:rPr>
                      <w:rFonts w:ascii="Times New Roman" w:hAnsi="Times New Roman" w:cs="Times New Roman"/>
                      <w:b/>
                      <w:bCs/>
                      <w:sz w:val="20"/>
                      <w:szCs w:val="20"/>
                    </w:rPr>
                  </w:pPr>
                  <w:r w:rsidRPr="000D46FE">
                    <w:rPr>
                      <w:rFonts w:ascii="Times New Roman" w:hAnsi="Times New Roman" w:cs="Times New Roman"/>
                      <w:b/>
                      <w:bCs/>
                      <w:sz w:val="20"/>
                      <w:szCs w:val="20"/>
                    </w:rPr>
                    <w:t>SUJETOS</w:t>
                  </w:r>
                </w:p>
              </w:tc>
            </w:tr>
            <w:tr w:rsidR="000D46FE" w:rsidRPr="000D46FE" w14:paraId="6C5E1F5B" w14:textId="77777777" w:rsidTr="00D90A53">
              <w:trPr>
                <w:trHeight w:val="242"/>
                <w:tblHeader/>
                <w:tblCellSpacing w:w="0" w:type="dxa"/>
              </w:trPr>
              <w:tc>
                <w:tcPr>
                  <w:tcW w:w="3111" w:type="dxa"/>
                  <w:shd w:val="clear" w:color="auto" w:fill="E7E6E6" w:themeFill="background2"/>
                  <w:vAlign w:val="center"/>
                  <w:hideMark/>
                </w:tcPr>
                <w:p w14:paraId="3CD3E6EB" w14:textId="77777777" w:rsidR="000D46FE" w:rsidRPr="000D46FE" w:rsidRDefault="000D46FE">
                  <w:pPr>
                    <w:jc w:val="both"/>
                    <w:rPr>
                      <w:rFonts w:ascii="Times New Roman" w:hAnsi="Times New Roman" w:cs="Times New Roman"/>
                      <w:b/>
                      <w:bCs/>
                      <w:sz w:val="20"/>
                      <w:szCs w:val="20"/>
                    </w:rPr>
                  </w:pPr>
                  <w:r w:rsidRPr="000D46FE">
                    <w:rPr>
                      <w:rFonts w:ascii="Times New Roman" w:hAnsi="Times New Roman" w:cs="Times New Roman"/>
                      <w:b/>
                      <w:bCs/>
                      <w:sz w:val="20"/>
                      <w:szCs w:val="20"/>
                    </w:rPr>
                    <w:t>NOMBRES COMPLETOS</w:t>
                  </w:r>
                </w:p>
              </w:tc>
              <w:tc>
                <w:tcPr>
                  <w:tcW w:w="1701" w:type="dxa"/>
                  <w:shd w:val="clear" w:color="auto" w:fill="E7E6E6" w:themeFill="background2"/>
                  <w:vAlign w:val="center"/>
                  <w:hideMark/>
                </w:tcPr>
                <w:p w14:paraId="284EA6B4" w14:textId="77777777" w:rsidR="000D46FE" w:rsidRPr="000D46FE" w:rsidRDefault="000D46FE" w:rsidP="000D46FE">
                  <w:pPr>
                    <w:ind w:left="141"/>
                    <w:jc w:val="both"/>
                    <w:rPr>
                      <w:rFonts w:ascii="Times New Roman" w:hAnsi="Times New Roman" w:cs="Times New Roman"/>
                      <w:b/>
                      <w:bCs/>
                      <w:sz w:val="20"/>
                      <w:szCs w:val="20"/>
                    </w:rPr>
                  </w:pPr>
                  <w:r w:rsidRPr="000D46FE">
                    <w:rPr>
                      <w:rFonts w:ascii="Times New Roman" w:hAnsi="Times New Roman" w:cs="Times New Roman"/>
                      <w:b/>
                      <w:bCs/>
                      <w:sz w:val="20"/>
                      <w:szCs w:val="20"/>
                    </w:rPr>
                    <w:t>ESTADO</w:t>
                  </w:r>
                </w:p>
              </w:tc>
            </w:tr>
            <w:tr w:rsidR="000D46FE" w:rsidRPr="000D46FE" w14:paraId="0E006E68" w14:textId="77777777" w:rsidTr="00D90A53">
              <w:trPr>
                <w:trHeight w:val="242"/>
                <w:tblCellSpacing w:w="0" w:type="dxa"/>
              </w:trPr>
              <w:tc>
                <w:tcPr>
                  <w:tcW w:w="3111" w:type="dxa"/>
                  <w:tcBorders>
                    <w:left w:val="single" w:sz="2" w:space="0" w:color="D9D9D9"/>
                  </w:tcBorders>
                  <w:shd w:val="clear" w:color="auto" w:fill="E7E6E6" w:themeFill="background2"/>
                  <w:vAlign w:val="center"/>
                  <w:hideMark/>
                </w:tcPr>
                <w:p w14:paraId="1769DC02"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CHIRIBOGA ARROYO PAMELA ALEXANDRA</w:t>
                  </w:r>
                </w:p>
              </w:tc>
              <w:tc>
                <w:tcPr>
                  <w:tcW w:w="1701" w:type="dxa"/>
                  <w:tcBorders>
                    <w:left w:val="single" w:sz="2" w:space="0" w:color="D9D9D9"/>
                  </w:tcBorders>
                  <w:shd w:val="clear" w:color="auto" w:fill="E7E6E6" w:themeFill="background2"/>
                  <w:vAlign w:val="center"/>
                  <w:hideMark/>
                </w:tcPr>
                <w:p w14:paraId="532A04A1"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ABOGADO DEFENSOR</w:t>
                  </w:r>
                </w:p>
              </w:tc>
            </w:tr>
            <w:tr w:rsidR="000D46FE" w:rsidRPr="000D46FE" w14:paraId="163304A6" w14:textId="77777777" w:rsidTr="00D90A53">
              <w:trPr>
                <w:trHeight w:val="252"/>
                <w:tblCellSpacing w:w="0" w:type="dxa"/>
              </w:trPr>
              <w:tc>
                <w:tcPr>
                  <w:tcW w:w="3111" w:type="dxa"/>
                  <w:tcBorders>
                    <w:left w:val="single" w:sz="2" w:space="0" w:color="D9D9D9"/>
                  </w:tcBorders>
                  <w:shd w:val="clear" w:color="auto" w:fill="E7E6E6" w:themeFill="background2"/>
                  <w:vAlign w:val="center"/>
                  <w:hideMark/>
                </w:tcPr>
                <w:p w14:paraId="08919AB9"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MUÑOZ LOPEZ HERNAN</w:t>
                  </w:r>
                </w:p>
              </w:tc>
              <w:tc>
                <w:tcPr>
                  <w:tcW w:w="1701" w:type="dxa"/>
                  <w:tcBorders>
                    <w:left w:val="single" w:sz="2" w:space="0" w:color="D9D9D9"/>
                  </w:tcBorders>
                  <w:shd w:val="clear" w:color="auto" w:fill="E7E6E6" w:themeFill="background2"/>
                  <w:vAlign w:val="center"/>
                  <w:hideMark/>
                </w:tcPr>
                <w:p w14:paraId="54E95371"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DENUNCIANTE</w:t>
                  </w:r>
                </w:p>
              </w:tc>
            </w:tr>
            <w:tr w:rsidR="000D46FE" w:rsidRPr="000D46FE" w14:paraId="38F7ED0D" w14:textId="77777777" w:rsidTr="00D90A53">
              <w:trPr>
                <w:trHeight w:val="569"/>
                <w:tblCellSpacing w:w="0" w:type="dxa"/>
              </w:trPr>
              <w:tc>
                <w:tcPr>
                  <w:tcW w:w="3111" w:type="dxa"/>
                  <w:tcBorders>
                    <w:left w:val="single" w:sz="2" w:space="0" w:color="D9D9D9"/>
                  </w:tcBorders>
                  <w:shd w:val="clear" w:color="auto" w:fill="E7E6E6" w:themeFill="background2"/>
                  <w:vAlign w:val="center"/>
                  <w:hideMark/>
                </w:tcPr>
                <w:p w14:paraId="203ACE9B"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ALMEIDA MUÑOZ JACINTO LEONARDO</w:t>
                  </w:r>
                </w:p>
              </w:tc>
              <w:tc>
                <w:tcPr>
                  <w:tcW w:w="1701" w:type="dxa"/>
                  <w:tcBorders>
                    <w:left w:val="single" w:sz="2" w:space="0" w:color="D9D9D9"/>
                  </w:tcBorders>
                  <w:shd w:val="clear" w:color="auto" w:fill="E7E6E6" w:themeFill="background2"/>
                  <w:vAlign w:val="center"/>
                  <w:hideMark/>
                </w:tcPr>
                <w:p w14:paraId="0B14D339"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DENUNCIANTE</w:t>
                  </w:r>
                </w:p>
              </w:tc>
            </w:tr>
            <w:tr w:rsidR="000D46FE" w:rsidRPr="000D46FE" w14:paraId="3D44A8D0" w14:textId="77777777" w:rsidTr="00D90A53">
              <w:trPr>
                <w:trHeight w:val="252"/>
                <w:tblCellSpacing w:w="0" w:type="dxa"/>
              </w:trPr>
              <w:tc>
                <w:tcPr>
                  <w:tcW w:w="3111" w:type="dxa"/>
                  <w:tcBorders>
                    <w:left w:val="single" w:sz="2" w:space="0" w:color="D9D9D9"/>
                  </w:tcBorders>
                  <w:shd w:val="clear" w:color="auto" w:fill="E7E6E6" w:themeFill="background2"/>
                  <w:vAlign w:val="center"/>
                  <w:hideMark/>
                </w:tcPr>
                <w:p w14:paraId="389DA04C"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URRIOLA PEREZ PEPE</w:t>
                  </w:r>
                </w:p>
              </w:tc>
              <w:tc>
                <w:tcPr>
                  <w:tcW w:w="1701" w:type="dxa"/>
                  <w:tcBorders>
                    <w:left w:val="single" w:sz="2" w:space="0" w:color="D9D9D9"/>
                  </w:tcBorders>
                  <w:shd w:val="clear" w:color="auto" w:fill="E7E6E6" w:themeFill="background2"/>
                  <w:vAlign w:val="center"/>
                  <w:hideMark/>
                </w:tcPr>
                <w:p w14:paraId="121B52D0"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DENUNCIANTE</w:t>
                  </w:r>
                </w:p>
              </w:tc>
            </w:tr>
            <w:tr w:rsidR="000D46FE" w:rsidRPr="000D46FE" w14:paraId="47C2CFC1" w14:textId="77777777" w:rsidTr="00D90A53">
              <w:trPr>
                <w:trHeight w:val="242"/>
                <w:tblCellSpacing w:w="0" w:type="dxa"/>
              </w:trPr>
              <w:tc>
                <w:tcPr>
                  <w:tcW w:w="3111" w:type="dxa"/>
                  <w:tcBorders>
                    <w:left w:val="single" w:sz="2" w:space="0" w:color="D9D9D9"/>
                  </w:tcBorders>
                  <w:shd w:val="clear" w:color="auto" w:fill="E7E6E6" w:themeFill="background2"/>
                  <w:vAlign w:val="center"/>
                  <w:hideMark/>
                </w:tcPr>
                <w:p w14:paraId="272C6A0E"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BRAVO VELEZ GALO AGUSTIN</w:t>
                  </w:r>
                </w:p>
              </w:tc>
              <w:tc>
                <w:tcPr>
                  <w:tcW w:w="1701" w:type="dxa"/>
                  <w:tcBorders>
                    <w:left w:val="single" w:sz="2" w:space="0" w:color="D9D9D9"/>
                  </w:tcBorders>
                  <w:shd w:val="clear" w:color="auto" w:fill="E7E6E6" w:themeFill="background2"/>
                  <w:vAlign w:val="center"/>
                  <w:hideMark/>
                </w:tcPr>
                <w:p w14:paraId="6DED682F"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DENUNCIANTE</w:t>
                  </w:r>
                </w:p>
              </w:tc>
            </w:tr>
            <w:tr w:rsidR="000D46FE" w:rsidRPr="000D46FE" w14:paraId="163CD253" w14:textId="77777777" w:rsidTr="00D90A53">
              <w:trPr>
                <w:trHeight w:val="252"/>
                <w:tblCellSpacing w:w="0" w:type="dxa"/>
              </w:trPr>
              <w:tc>
                <w:tcPr>
                  <w:tcW w:w="3111" w:type="dxa"/>
                  <w:tcBorders>
                    <w:left w:val="single" w:sz="2" w:space="0" w:color="D9D9D9"/>
                  </w:tcBorders>
                  <w:shd w:val="clear" w:color="auto" w:fill="E7E6E6" w:themeFill="background2"/>
                  <w:vAlign w:val="center"/>
                  <w:hideMark/>
                </w:tcPr>
                <w:p w14:paraId="49D369C2" w14:textId="77777777" w:rsidR="000D46FE" w:rsidRPr="000D46FE" w:rsidRDefault="000D46FE">
                  <w:pPr>
                    <w:jc w:val="both"/>
                    <w:rPr>
                      <w:rFonts w:ascii="Times New Roman" w:hAnsi="Times New Roman" w:cs="Times New Roman"/>
                      <w:sz w:val="20"/>
                      <w:szCs w:val="20"/>
                    </w:rPr>
                  </w:pPr>
                  <w:r w:rsidRPr="000D46FE">
                    <w:rPr>
                      <w:rFonts w:ascii="Times New Roman" w:hAnsi="Times New Roman" w:cs="Times New Roman"/>
                      <w:sz w:val="20"/>
                      <w:szCs w:val="20"/>
                    </w:rPr>
                    <w:t>LEON GURUMENDI KERLY NEBRASKA</w:t>
                  </w:r>
                </w:p>
              </w:tc>
              <w:tc>
                <w:tcPr>
                  <w:tcW w:w="1701" w:type="dxa"/>
                  <w:tcBorders>
                    <w:left w:val="single" w:sz="2" w:space="0" w:color="D9D9D9"/>
                  </w:tcBorders>
                  <w:shd w:val="clear" w:color="auto" w:fill="E7E6E6" w:themeFill="background2"/>
                  <w:vAlign w:val="center"/>
                  <w:hideMark/>
                </w:tcPr>
                <w:p w14:paraId="4E8D1A75" w14:textId="77777777" w:rsidR="000D46FE" w:rsidRPr="000D46FE" w:rsidRDefault="000D46FE" w:rsidP="000D46FE">
                  <w:pPr>
                    <w:ind w:left="141"/>
                    <w:jc w:val="both"/>
                    <w:rPr>
                      <w:rFonts w:ascii="Times New Roman" w:hAnsi="Times New Roman" w:cs="Times New Roman"/>
                      <w:sz w:val="20"/>
                      <w:szCs w:val="20"/>
                    </w:rPr>
                  </w:pPr>
                  <w:r w:rsidRPr="000D46FE">
                    <w:rPr>
                      <w:rFonts w:ascii="Times New Roman" w:hAnsi="Times New Roman" w:cs="Times New Roman"/>
                      <w:sz w:val="20"/>
                      <w:szCs w:val="20"/>
                    </w:rPr>
                    <w:t>DENUNCIANTE</w:t>
                  </w:r>
                </w:p>
              </w:tc>
            </w:tr>
          </w:tbl>
          <w:p w14:paraId="365D6922" w14:textId="77777777" w:rsidR="00D50D57" w:rsidRPr="000D46FE" w:rsidRDefault="00D50D57">
            <w:pPr>
              <w:jc w:val="both"/>
              <w:rPr>
                <w:rFonts w:ascii="Times New Roman" w:hAnsi="Times New Roman" w:cs="Times New Roman"/>
                <w:sz w:val="20"/>
                <w:szCs w:val="20"/>
              </w:rPr>
            </w:pPr>
          </w:p>
        </w:tc>
        <w:tc>
          <w:tcPr>
            <w:tcW w:w="854" w:type="dxa"/>
          </w:tcPr>
          <w:p w14:paraId="389712EC" w14:textId="77777777" w:rsidR="00D50D57" w:rsidRPr="000D46FE" w:rsidRDefault="00D50D57">
            <w:pPr>
              <w:jc w:val="both"/>
              <w:rPr>
                <w:rFonts w:ascii="Times New Roman" w:hAnsi="Times New Roman" w:cs="Times New Roman"/>
                <w:sz w:val="20"/>
                <w:szCs w:val="20"/>
              </w:rPr>
            </w:pPr>
            <w:r w:rsidRPr="000D46FE">
              <w:rPr>
                <w:rFonts w:ascii="Times New Roman" w:hAnsi="Times New Roman" w:cs="Times New Roman"/>
                <w:sz w:val="20"/>
                <w:szCs w:val="20"/>
              </w:rPr>
              <w:t>Delitos de Lesa humanidad</w:t>
            </w:r>
          </w:p>
        </w:tc>
        <w:tc>
          <w:tcPr>
            <w:tcW w:w="1843" w:type="dxa"/>
          </w:tcPr>
          <w:p w14:paraId="16BDABD9" w14:textId="77777777" w:rsidR="00D50D57" w:rsidRPr="000D46FE" w:rsidRDefault="00D50D57">
            <w:pPr>
              <w:jc w:val="both"/>
              <w:rPr>
                <w:rFonts w:ascii="Times New Roman" w:hAnsi="Times New Roman" w:cs="Times New Roman"/>
                <w:sz w:val="20"/>
                <w:szCs w:val="20"/>
              </w:rPr>
            </w:pPr>
            <w:r w:rsidRPr="000D46FE">
              <w:rPr>
                <w:rFonts w:ascii="Times New Roman" w:hAnsi="Times New Roman" w:cs="Times New Roman"/>
                <w:sz w:val="20"/>
                <w:szCs w:val="20"/>
              </w:rPr>
              <w:t>Fiscalía de Comisión de la Verdad – Norte – Patria (Quito)</w:t>
            </w:r>
          </w:p>
          <w:p w14:paraId="05765B95" w14:textId="77777777" w:rsidR="00D50D57" w:rsidRPr="000D46FE" w:rsidRDefault="00D50D57">
            <w:pPr>
              <w:jc w:val="both"/>
              <w:rPr>
                <w:rFonts w:ascii="Times New Roman" w:hAnsi="Times New Roman" w:cs="Times New Roman"/>
                <w:sz w:val="20"/>
                <w:szCs w:val="20"/>
              </w:rPr>
            </w:pPr>
          </w:p>
          <w:p w14:paraId="28A41C00" w14:textId="77777777" w:rsidR="00D50D57" w:rsidRPr="000D46FE" w:rsidRDefault="00D50D57">
            <w:pPr>
              <w:jc w:val="both"/>
              <w:rPr>
                <w:rFonts w:ascii="Times New Roman" w:hAnsi="Times New Roman" w:cs="Times New Roman"/>
                <w:sz w:val="20"/>
                <w:szCs w:val="20"/>
              </w:rPr>
            </w:pPr>
          </w:p>
        </w:tc>
      </w:tr>
    </w:tbl>
    <w:p w14:paraId="4BCD83B3" w14:textId="77777777" w:rsidR="00D50D57" w:rsidRPr="00A47AD6" w:rsidRDefault="00D50D57" w:rsidP="00D50D57">
      <w:pPr>
        <w:pStyle w:val="Prrafodelista"/>
        <w:rPr>
          <w:rFonts w:ascii="Times New Roman" w:hAnsi="Times New Roman" w:cs="Times New Roman"/>
          <w:szCs w:val="24"/>
          <w:u w:val="single"/>
          <w:lang w:val="es-ES"/>
        </w:rPr>
      </w:pPr>
    </w:p>
    <w:p w14:paraId="3858F749" w14:textId="5955F6F6" w:rsidR="00D50D57" w:rsidRPr="00D10D7D" w:rsidRDefault="00D50D57" w:rsidP="00FF7AD0">
      <w:pPr>
        <w:pStyle w:val="Prrafodelista"/>
        <w:numPr>
          <w:ilvl w:val="0"/>
          <w:numId w:val="1"/>
        </w:numPr>
        <w:spacing w:line="240" w:lineRule="auto"/>
        <w:jc w:val="both"/>
        <w:rPr>
          <w:rFonts w:ascii="Times New Roman" w:hAnsi="Times New Roman" w:cs="Times New Roman"/>
          <w:szCs w:val="24"/>
          <w:lang w:val="es-ES"/>
        </w:rPr>
      </w:pPr>
      <w:r w:rsidRPr="001F41EE">
        <w:rPr>
          <w:rFonts w:ascii="Times New Roman" w:hAnsi="Times New Roman" w:cs="Times New Roman"/>
          <w:szCs w:val="24"/>
          <w:lang w:val="es-ES"/>
        </w:rPr>
        <w:t xml:space="preserve">Con relación </w:t>
      </w:r>
      <w:r>
        <w:rPr>
          <w:rFonts w:ascii="Times New Roman" w:hAnsi="Times New Roman" w:cs="Times New Roman"/>
          <w:szCs w:val="24"/>
          <w:lang w:val="es-ES"/>
        </w:rPr>
        <w:t>a este proceso</w:t>
      </w:r>
      <w:r w:rsidR="00FF7AD0">
        <w:rPr>
          <w:rFonts w:ascii="Times New Roman" w:hAnsi="Times New Roman" w:cs="Times New Roman"/>
          <w:szCs w:val="24"/>
          <w:lang w:val="es-ES"/>
        </w:rPr>
        <w:t>,</w:t>
      </w:r>
      <w:r w:rsidRPr="001F41EE">
        <w:rPr>
          <w:rFonts w:ascii="Times New Roman" w:hAnsi="Times New Roman" w:cs="Times New Roman"/>
          <w:szCs w:val="24"/>
          <w:lang w:val="es-ES"/>
        </w:rPr>
        <w:t xml:space="preserve"> la principal falla es la </w:t>
      </w:r>
      <w:r>
        <w:rPr>
          <w:rFonts w:ascii="Times New Roman" w:hAnsi="Times New Roman" w:cs="Times New Roman"/>
          <w:szCs w:val="24"/>
          <w:lang w:val="es-ES"/>
        </w:rPr>
        <w:t xml:space="preserve">falta </w:t>
      </w:r>
      <w:r w:rsidRPr="001F41EE">
        <w:rPr>
          <w:rFonts w:ascii="Times New Roman" w:hAnsi="Times New Roman" w:cs="Times New Roman"/>
          <w:szCs w:val="24"/>
          <w:lang w:val="es-ES"/>
        </w:rPr>
        <w:t>celeridad</w:t>
      </w:r>
      <w:r w:rsidR="00FF7AD0">
        <w:rPr>
          <w:rFonts w:ascii="Times New Roman" w:hAnsi="Times New Roman" w:cs="Times New Roman"/>
          <w:szCs w:val="24"/>
          <w:lang w:val="es-ES"/>
        </w:rPr>
        <w:t>,</w:t>
      </w:r>
      <w:r w:rsidRPr="001F41EE">
        <w:rPr>
          <w:rFonts w:ascii="Times New Roman" w:hAnsi="Times New Roman" w:cs="Times New Roman"/>
          <w:szCs w:val="24"/>
          <w:lang w:val="es-ES"/>
        </w:rPr>
        <w:t xml:space="preserve"> ya que el último impulso procesal se realizó en mayo del 2022. Adicionalmente, muchas de las diligencias que se realizan a las personas denunciantes, como las visitas domiciliarias, informes de trabajo social o análisis periciales</w:t>
      </w:r>
      <w:r w:rsidR="00FF7AD0">
        <w:rPr>
          <w:rFonts w:ascii="Times New Roman" w:hAnsi="Times New Roman" w:cs="Times New Roman"/>
          <w:szCs w:val="24"/>
          <w:lang w:val="es-ES"/>
        </w:rPr>
        <w:t>,</w:t>
      </w:r>
      <w:r w:rsidRPr="001F41EE">
        <w:rPr>
          <w:rFonts w:ascii="Times New Roman" w:hAnsi="Times New Roman" w:cs="Times New Roman"/>
          <w:szCs w:val="24"/>
          <w:lang w:val="es-ES"/>
        </w:rPr>
        <w:t xml:space="preserve"> han resultado </w:t>
      </w:r>
      <w:proofErr w:type="spellStart"/>
      <w:r w:rsidRPr="001F41EE">
        <w:rPr>
          <w:rFonts w:ascii="Times New Roman" w:hAnsi="Times New Roman" w:cs="Times New Roman"/>
          <w:szCs w:val="24"/>
          <w:lang w:val="es-ES"/>
        </w:rPr>
        <w:t>revictimizantes</w:t>
      </w:r>
      <w:proofErr w:type="spellEnd"/>
      <w:r w:rsidRPr="001F41EE">
        <w:rPr>
          <w:rFonts w:ascii="Times New Roman" w:hAnsi="Times New Roman" w:cs="Times New Roman"/>
          <w:szCs w:val="24"/>
          <w:lang w:val="es-ES"/>
        </w:rPr>
        <w:t xml:space="preserve"> ya que no consideran </w:t>
      </w:r>
      <w:r w:rsidR="00D10D7D">
        <w:rPr>
          <w:rFonts w:ascii="Times New Roman" w:hAnsi="Times New Roman" w:cs="Times New Roman"/>
          <w:szCs w:val="24"/>
          <w:lang w:val="es-ES"/>
        </w:rPr>
        <w:t>su</w:t>
      </w:r>
      <w:r w:rsidRPr="001F41EE">
        <w:rPr>
          <w:rFonts w:ascii="Times New Roman" w:hAnsi="Times New Roman" w:cs="Times New Roman"/>
          <w:szCs w:val="24"/>
          <w:lang w:val="es-ES"/>
        </w:rPr>
        <w:t xml:space="preserve"> particularidad. Las personas denunciantes son en su mayoría personas adultas y adultas mayores pertenecientes a la población LGBTIQ+, especialmente personas Trans, quienes sobrevivieron la violencia de Estado de 2010.</w:t>
      </w:r>
      <w:r w:rsidR="00FF7AD0">
        <w:rPr>
          <w:rFonts w:ascii="Times New Roman" w:hAnsi="Times New Roman" w:cs="Times New Roman"/>
          <w:szCs w:val="24"/>
          <w:lang w:val="es-ES"/>
        </w:rPr>
        <w:t xml:space="preserve"> </w:t>
      </w:r>
      <w:r w:rsidRPr="00FF7AD0">
        <w:rPr>
          <w:rFonts w:ascii="Times New Roman" w:hAnsi="Times New Roman" w:cs="Times New Roman"/>
          <w:lang w:val="es-ES"/>
        </w:rPr>
        <w:t>Por lo tanto, en Ecuador existe una absoluta desatención al proceso de justicia transicional ignorando totalmente a las víctimas LGBTIQ+.</w:t>
      </w:r>
    </w:p>
    <w:p w14:paraId="03253B86" w14:textId="77777777" w:rsidR="00D10D7D" w:rsidRPr="00FF7AD0" w:rsidRDefault="00D10D7D" w:rsidP="00D10D7D">
      <w:pPr>
        <w:pStyle w:val="Prrafodelista"/>
        <w:spacing w:line="240" w:lineRule="auto"/>
        <w:ind w:left="360"/>
        <w:jc w:val="both"/>
        <w:rPr>
          <w:rFonts w:ascii="Times New Roman" w:hAnsi="Times New Roman" w:cs="Times New Roman"/>
          <w:szCs w:val="24"/>
          <w:lang w:val="es-ES"/>
        </w:rPr>
      </w:pPr>
    </w:p>
    <w:p w14:paraId="05DBDBF6" w14:textId="77777777" w:rsidR="00D50D57" w:rsidRPr="00A47AD6" w:rsidRDefault="00D50D57" w:rsidP="00D50D57">
      <w:pPr>
        <w:rPr>
          <w:rFonts w:ascii="Times New Roman" w:hAnsi="Times New Roman" w:cs="Times New Roman"/>
          <w:lang w:val="es-ES" w:eastAsia="en-US"/>
        </w:rPr>
      </w:pPr>
    </w:p>
    <w:p w14:paraId="5E923186" w14:textId="427F403A" w:rsidR="00D50D57" w:rsidRPr="00BE1101" w:rsidRDefault="00BE1101" w:rsidP="00BE1101">
      <w:pPr>
        <w:pStyle w:val="Prrafodelista"/>
        <w:numPr>
          <w:ilvl w:val="0"/>
          <w:numId w:val="2"/>
        </w:numPr>
        <w:rPr>
          <w:rFonts w:ascii="Times New Roman" w:hAnsi="Times New Roman" w:cs="Times New Roman"/>
          <w:b/>
          <w:bCs/>
          <w:lang w:val="es-ES"/>
        </w:rPr>
      </w:pPr>
      <w:r>
        <w:rPr>
          <w:rFonts w:ascii="Times New Roman" w:hAnsi="Times New Roman" w:cs="Times New Roman"/>
          <w:b/>
          <w:bCs/>
          <w:lang w:val="es-ES"/>
        </w:rPr>
        <w:t>RECOMENDACIONES A</w:t>
      </w:r>
      <w:r w:rsidR="00D10D7D">
        <w:rPr>
          <w:rFonts w:ascii="Times New Roman" w:hAnsi="Times New Roman" w:cs="Times New Roman"/>
          <w:b/>
          <w:bCs/>
          <w:lang w:val="es-ES"/>
        </w:rPr>
        <w:t xml:space="preserve"> LA REPÚBLICA DE</w:t>
      </w:r>
      <w:r>
        <w:rPr>
          <w:rFonts w:ascii="Times New Roman" w:hAnsi="Times New Roman" w:cs="Times New Roman"/>
          <w:b/>
          <w:bCs/>
          <w:lang w:val="es-ES"/>
        </w:rPr>
        <w:t xml:space="preserve"> ECUADOR</w:t>
      </w:r>
    </w:p>
    <w:p w14:paraId="0D678C54" w14:textId="77777777" w:rsidR="00D50D57" w:rsidRDefault="00D50D57" w:rsidP="00D50D57">
      <w:pPr>
        <w:contextualSpacing/>
        <w:jc w:val="both"/>
        <w:rPr>
          <w:rFonts w:ascii="Times New Roman" w:hAnsi="Times New Roman" w:cs="Times New Roman"/>
          <w:bCs/>
          <w:lang w:val="es-ES"/>
        </w:rPr>
      </w:pPr>
    </w:p>
    <w:p w14:paraId="7B718BDB"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lang w:val="es-ES"/>
        </w:rPr>
        <w:t>1. Protección de derechos de la niñez Trans, Intersex y de familias diversas:</w:t>
      </w:r>
    </w:p>
    <w:p w14:paraId="4E0F55EE" w14:textId="77777777" w:rsidR="00BE1101" w:rsidRPr="00BE1101" w:rsidRDefault="00BE1101" w:rsidP="00BE1101">
      <w:pPr>
        <w:contextualSpacing/>
        <w:jc w:val="both"/>
        <w:rPr>
          <w:rFonts w:ascii="Times New Roman" w:hAnsi="Times New Roman" w:cs="Times New Roman"/>
          <w:bCs/>
          <w:lang w:val="es-ES"/>
        </w:rPr>
      </w:pPr>
    </w:p>
    <w:p w14:paraId="3D607197" w14:textId="0D68B5A8" w:rsidR="00BE1101" w:rsidRPr="00BE1101" w:rsidRDefault="00BE1101" w:rsidP="00BE1101">
      <w:pPr>
        <w:pStyle w:val="Prrafodelista"/>
        <w:numPr>
          <w:ilvl w:val="0"/>
          <w:numId w:val="7"/>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Modificar la legislación especializada en niñez y adolescencia para proteger la identidad, integridad, salud y educación de la niñez Trans, Intersex y los hijos de parejas del mismo sexo.</w:t>
      </w:r>
    </w:p>
    <w:p w14:paraId="37F27770" w14:textId="61417E31" w:rsidR="00BE1101" w:rsidRPr="00BE1101" w:rsidRDefault="00BE1101" w:rsidP="00BE1101">
      <w:pPr>
        <w:pStyle w:val="Prrafodelista"/>
        <w:numPr>
          <w:ilvl w:val="0"/>
          <w:numId w:val="7"/>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Crear mecanismos para erradicar la violencia en los espacios educativos y de salud contra estos grupos.</w:t>
      </w:r>
    </w:p>
    <w:p w14:paraId="0F8DBF5C" w14:textId="204D12A1" w:rsidR="00BE1101" w:rsidRDefault="00BE1101" w:rsidP="00BE1101">
      <w:pPr>
        <w:pStyle w:val="Prrafodelista"/>
        <w:numPr>
          <w:ilvl w:val="0"/>
          <w:numId w:val="7"/>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Adoptar una Ley Integral de Identidad de Género para proteger a la niñez Trans e Intersex.</w:t>
      </w:r>
    </w:p>
    <w:p w14:paraId="25C18B59" w14:textId="77777777" w:rsidR="001F5A33" w:rsidRDefault="001F5A33" w:rsidP="001F5A33">
      <w:pPr>
        <w:contextualSpacing/>
        <w:jc w:val="both"/>
        <w:rPr>
          <w:rFonts w:ascii="Times New Roman" w:hAnsi="Times New Roman" w:cs="Times New Roman"/>
          <w:bCs/>
          <w:lang w:val="es-ES"/>
        </w:rPr>
      </w:pPr>
    </w:p>
    <w:p w14:paraId="646B7314" w14:textId="77777777" w:rsidR="001F5A33" w:rsidRDefault="001F5A33" w:rsidP="001F5A33">
      <w:pPr>
        <w:contextualSpacing/>
        <w:jc w:val="both"/>
        <w:rPr>
          <w:rFonts w:ascii="Times New Roman" w:hAnsi="Times New Roman" w:cs="Times New Roman"/>
          <w:bCs/>
          <w:lang w:val="es-ES"/>
        </w:rPr>
      </w:pPr>
    </w:p>
    <w:p w14:paraId="47B0EAEA" w14:textId="77777777" w:rsidR="001F5A33" w:rsidRDefault="001F5A33" w:rsidP="001F5A33">
      <w:pPr>
        <w:contextualSpacing/>
        <w:jc w:val="both"/>
        <w:rPr>
          <w:rFonts w:ascii="Times New Roman" w:hAnsi="Times New Roman" w:cs="Times New Roman"/>
          <w:bCs/>
          <w:lang w:val="es-ES"/>
        </w:rPr>
      </w:pPr>
    </w:p>
    <w:p w14:paraId="14E6F369" w14:textId="77777777" w:rsidR="001F5A33" w:rsidRPr="001F5A33" w:rsidRDefault="001F5A33" w:rsidP="001F5A33">
      <w:pPr>
        <w:contextualSpacing/>
        <w:jc w:val="both"/>
        <w:rPr>
          <w:rFonts w:ascii="Times New Roman" w:hAnsi="Times New Roman" w:cs="Times New Roman"/>
          <w:bCs/>
          <w:lang w:val="es-ES"/>
        </w:rPr>
      </w:pPr>
    </w:p>
    <w:p w14:paraId="704C619B" w14:textId="77777777" w:rsidR="00DB2B0E" w:rsidRPr="00DB2B0E" w:rsidRDefault="00DB2B0E" w:rsidP="00DB2B0E">
      <w:pPr>
        <w:contextualSpacing/>
        <w:jc w:val="both"/>
        <w:rPr>
          <w:rFonts w:ascii="Times New Roman" w:hAnsi="Times New Roman" w:cs="Times New Roman"/>
          <w:bCs/>
          <w:lang w:val="es-ES"/>
        </w:rPr>
      </w:pPr>
    </w:p>
    <w:p w14:paraId="22DC39EF" w14:textId="77777777" w:rsidR="00BE1101" w:rsidRPr="00BE1101" w:rsidRDefault="00BE1101" w:rsidP="00BE1101">
      <w:pPr>
        <w:contextualSpacing/>
        <w:jc w:val="both"/>
        <w:rPr>
          <w:rFonts w:ascii="Times New Roman" w:hAnsi="Times New Roman" w:cs="Times New Roman"/>
          <w:bCs/>
          <w:lang w:val="es-ES"/>
        </w:rPr>
      </w:pPr>
    </w:p>
    <w:p w14:paraId="4BF2F613"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lang w:val="es-ES"/>
        </w:rPr>
        <w:lastRenderedPageBreak/>
        <w:t>2. Cumplimiento de sentencias y fallos:</w:t>
      </w:r>
    </w:p>
    <w:p w14:paraId="42D725F2" w14:textId="77777777" w:rsidR="00BE1101" w:rsidRPr="00BE1101" w:rsidRDefault="00BE1101" w:rsidP="00BE1101">
      <w:pPr>
        <w:contextualSpacing/>
        <w:jc w:val="both"/>
        <w:rPr>
          <w:rFonts w:ascii="Times New Roman" w:hAnsi="Times New Roman" w:cs="Times New Roman"/>
          <w:bCs/>
          <w:lang w:val="es-ES"/>
        </w:rPr>
      </w:pPr>
    </w:p>
    <w:p w14:paraId="52D79618" w14:textId="24FC4281" w:rsidR="00BE1101" w:rsidRPr="00BE1101" w:rsidRDefault="00BE1101" w:rsidP="00BE1101">
      <w:pPr>
        <w:pStyle w:val="Prrafodelista"/>
        <w:numPr>
          <w:ilvl w:val="0"/>
          <w:numId w:val="8"/>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Garantizar el cumplimiento de las sentencias de la Corte Constitucional y establecer un mecanismo para su seguimiento e investigación</w:t>
      </w:r>
      <w:r w:rsidR="00D10D7D">
        <w:rPr>
          <w:rFonts w:ascii="Times New Roman" w:hAnsi="Times New Roman" w:cs="Times New Roman"/>
          <w:bCs/>
          <w:lang w:val="es-ES"/>
        </w:rPr>
        <w:t>, más aún considerando casos en que la Asamblea Legislativa se opone al cumplimiento</w:t>
      </w:r>
      <w:r w:rsidRPr="00BE1101">
        <w:rPr>
          <w:rFonts w:ascii="Times New Roman" w:hAnsi="Times New Roman" w:cs="Times New Roman"/>
          <w:bCs/>
          <w:lang w:val="es-ES"/>
        </w:rPr>
        <w:t>.</w:t>
      </w:r>
    </w:p>
    <w:p w14:paraId="33A6071D" w14:textId="781F3359" w:rsidR="00BE1101" w:rsidRPr="00BE1101" w:rsidRDefault="00BE1101" w:rsidP="00BE1101">
      <w:pPr>
        <w:pStyle w:val="Prrafodelista"/>
        <w:numPr>
          <w:ilvl w:val="0"/>
          <w:numId w:val="8"/>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 xml:space="preserve">Implementar el “Protocolo interno de la Corte Constitucional” para la participación </w:t>
      </w:r>
      <w:r w:rsidR="00D10D7D">
        <w:rPr>
          <w:rFonts w:ascii="Times New Roman" w:hAnsi="Times New Roman" w:cs="Times New Roman"/>
          <w:bCs/>
          <w:lang w:val="es-ES"/>
        </w:rPr>
        <w:t xml:space="preserve">efectiva </w:t>
      </w:r>
      <w:r w:rsidRPr="00BE1101">
        <w:rPr>
          <w:rFonts w:ascii="Times New Roman" w:hAnsi="Times New Roman" w:cs="Times New Roman"/>
          <w:bCs/>
          <w:lang w:val="es-ES"/>
        </w:rPr>
        <w:t xml:space="preserve">de la niñez </w:t>
      </w:r>
      <w:r>
        <w:rPr>
          <w:rFonts w:ascii="Times New Roman" w:hAnsi="Times New Roman" w:cs="Times New Roman"/>
          <w:bCs/>
          <w:lang w:val="es-ES"/>
        </w:rPr>
        <w:t xml:space="preserve">LGBTIQ+ </w:t>
      </w:r>
      <w:r w:rsidRPr="00BE1101">
        <w:rPr>
          <w:rFonts w:ascii="Times New Roman" w:hAnsi="Times New Roman" w:cs="Times New Roman"/>
          <w:bCs/>
          <w:lang w:val="es-ES"/>
        </w:rPr>
        <w:t>en procesos constitucionales.</w:t>
      </w:r>
    </w:p>
    <w:p w14:paraId="036BA8B3" w14:textId="60A6FEA5" w:rsidR="00BE1101" w:rsidRPr="00BE1101" w:rsidRDefault="00BE1101" w:rsidP="00BE1101">
      <w:pPr>
        <w:pStyle w:val="Prrafodelista"/>
        <w:numPr>
          <w:ilvl w:val="0"/>
          <w:numId w:val="8"/>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 xml:space="preserve">Tramitar </w:t>
      </w:r>
      <w:r w:rsidR="00D10D7D">
        <w:rPr>
          <w:rFonts w:ascii="Times New Roman" w:hAnsi="Times New Roman" w:cs="Times New Roman"/>
          <w:bCs/>
          <w:lang w:val="es-ES"/>
        </w:rPr>
        <w:t xml:space="preserve">las </w:t>
      </w:r>
      <w:r w:rsidRPr="00BE1101">
        <w:rPr>
          <w:rFonts w:ascii="Times New Roman" w:hAnsi="Times New Roman" w:cs="Times New Roman"/>
          <w:bCs/>
          <w:lang w:val="es-ES"/>
        </w:rPr>
        <w:t>denuncias por delitos de lesa humanidad relacionados con la población LGBTIQ+</w:t>
      </w:r>
      <w:r w:rsidR="00F669B4">
        <w:rPr>
          <w:rFonts w:ascii="Times New Roman" w:hAnsi="Times New Roman" w:cs="Times New Roman"/>
          <w:bCs/>
          <w:lang w:val="es-ES"/>
        </w:rPr>
        <w:t xml:space="preserve">, </w:t>
      </w:r>
      <w:r w:rsidR="00D10D7D">
        <w:rPr>
          <w:rFonts w:ascii="Times New Roman" w:hAnsi="Times New Roman" w:cs="Times New Roman"/>
          <w:bCs/>
          <w:lang w:val="es-ES"/>
        </w:rPr>
        <w:t>garantizando la</w:t>
      </w:r>
      <w:r w:rsidR="00F669B4">
        <w:rPr>
          <w:rFonts w:ascii="Times New Roman" w:hAnsi="Times New Roman" w:cs="Times New Roman"/>
          <w:bCs/>
          <w:lang w:val="es-ES"/>
        </w:rPr>
        <w:t xml:space="preserve"> reparación colectiva a favor de la población LGBTIQ+.</w:t>
      </w:r>
    </w:p>
    <w:p w14:paraId="7FD994A6" w14:textId="77777777" w:rsidR="00BE1101" w:rsidRPr="00BE1101" w:rsidRDefault="00BE1101" w:rsidP="00BE1101">
      <w:pPr>
        <w:contextualSpacing/>
        <w:jc w:val="both"/>
        <w:rPr>
          <w:rFonts w:ascii="Times New Roman" w:hAnsi="Times New Roman" w:cs="Times New Roman"/>
          <w:bCs/>
          <w:lang w:val="es-ES"/>
        </w:rPr>
      </w:pPr>
    </w:p>
    <w:p w14:paraId="5433813D"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lang w:val="es-ES"/>
        </w:rPr>
        <w:t xml:space="preserve">3. Recolección de datos y </w:t>
      </w:r>
      <w:proofErr w:type="spellStart"/>
      <w:r w:rsidRPr="00BE1101">
        <w:rPr>
          <w:rFonts w:ascii="Times New Roman" w:hAnsi="Times New Roman" w:cs="Times New Roman"/>
          <w:b/>
          <w:lang w:val="es-ES"/>
        </w:rPr>
        <w:t>visibilización</w:t>
      </w:r>
      <w:proofErr w:type="spellEnd"/>
      <w:r w:rsidRPr="00BE1101">
        <w:rPr>
          <w:rFonts w:ascii="Times New Roman" w:hAnsi="Times New Roman" w:cs="Times New Roman"/>
          <w:b/>
          <w:lang w:val="es-ES"/>
        </w:rPr>
        <w:t>:</w:t>
      </w:r>
    </w:p>
    <w:p w14:paraId="56F1F36D" w14:textId="77777777" w:rsidR="00BE1101" w:rsidRPr="00BE1101" w:rsidRDefault="00BE1101" w:rsidP="00BE1101">
      <w:pPr>
        <w:contextualSpacing/>
        <w:jc w:val="both"/>
        <w:rPr>
          <w:rFonts w:ascii="Times New Roman" w:hAnsi="Times New Roman" w:cs="Times New Roman"/>
          <w:bCs/>
          <w:lang w:val="es-ES"/>
        </w:rPr>
      </w:pPr>
    </w:p>
    <w:p w14:paraId="1B147684" w14:textId="03B21F37" w:rsidR="00BE1101" w:rsidRPr="00BE1101" w:rsidRDefault="00BE1101" w:rsidP="00BE1101">
      <w:pPr>
        <w:pStyle w:val="Prrafodelista"/>
        <w:numPr>
          <w:ilvl w:val="0"/>
          <w:numId w:val="9"/>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Actualizar la información estadística</w:t>
      </w:r>
      <w:r w:rsidR="00F669B4">
        <w:rPr>
          <w:rFonts w:ascii="Times New Roman" w:hAnsi="Times New Roman" w:cs="Times New Roman"/>
          <w:bCs/>
          <w:lang w:val="es-ES"/>
        </w:rPr>
        <w:t xml:space="preserve"> del censo poblacional, y la data</w:t>
      </w:r>
      <w:r w:rsidRPr="00BE1101">
        <w:rPr>
          <w:rFonts w:ascii="Times New Roman" w:hAnsi="Times New Roman" w:cs="Times New Roman"/>
          <w:bCs/>
          <w:lang w:val="es-ES"/>
        </w:rPr>
        <w:t xml:space="preserve"> sobre violencia y discriminación contra la población LGBTIQ+</w:t>
      </w:r>
      <w:r w:rsidR="00D10D7D">
        <w:rPr>
          <w:rFonts w:ascii="Times New Roman" w:hAnsi="Times New Roman" w:cs="Times New Roman"/>
          <w:bCs/>
          <w:lang w:val="es-ES"/>
        </w:rPr>
        <w:t>, incluyendo información sobre la situación de la</w:t>
      </w:r>
      <w:r w:rsidRPr="00BE1101">
        <w:rPr>
          <w:rFonts w:ascii="Times New Roman" w:hAnsi="Times New Roman" w:cs="Times New Roman"/>
          <w:bCs/>
          <w:lang w:val="es-ES"/>
        </w:rPr>
        <w:t xml:space="preserve"> niñez</w:t>
      </w:r>
      <w:r w:rsidR="00D10D7D">
        <w:rPr>
          <w:rFonts w:ascii="Times New Roman" w:hAnsi="Times New Roman" w:cs="Times New Roman"/>
          <w:bCs/>
          <w:lang w:val="es-ES"/>
        </w:rPr>
        <w:t xml:space="preserve"> y adolescencia</w:t>
      </w:r>
      <w:r w:rsidRPr="00BE1101">
        <w:rPr>
          <w:rFonts w:ascii="Times New Roman" w:hAnsi="Times New Roman" w:cs="Times New Roman"/>
          <w:bCs/>
          <w:lang w:val="es-ES"/>
        </w:rPr>
        <w:t>.</w:t>
      </w:r>
    </w:p>
    <w:p w14:paraId="7B13583A" w14:textId="37222AF8" w:rsidR="00BE1101" w:rsidRDefault="00BE1101" w:rsidP="00BE1101">
      <w:pPr>
        <w:pStyle w:val="Prrafodelista"/>
        <w:numPr>
          <w:ilvl w:val="0"/>
          <w:numId w:val="9"/>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Incorporar en el Museo de la Memoria la historia de la población LGBTIQ+</w:t>
      </w:r>
      <w:r w:rsidR="00D10D7D">
        <w:rPr>
          <w:rFonts w:ascii="Times New Roman" w:hAnsi="Times New Roman" w:cs="Times New Roman"/>
          <w:bCs/>
          <w:lang w:val="es-ES"/>
        </w:rPr>
        <w:t xml:space="preserve"> y la violencia que enfrentan</w:t>
      </w:r>
      <w:r w:rsidRPr="00BE1101">
        <w:rPr>
          <w:rFonts w:ascii="Times New Roman" w:hAnsi="Times New Roman" w:cs="Times New Roman"/>
          <w:bCs/>
          <w:lang w:val="es-ES"/>
        </w:rPr>
        <w:t>.</w:t>
      </w:r>
    </w:p>
    <w:p w14:paraId="6F37BE6C" w14:textId="41138ED8" w:rsidR="00BE1101" w:rsidRDefault="00F669B4" w:rsidP="00BE1101">
      <w:pPr>
        <w:pStyle w:val="Prrafodelista"/>
        <w:numPr>
          <w:ilvl w:val="0"/>
          <w:numId w:val="9"/>
        </w:numPr>
        <w:spacing w:line="240" w:lineRule="auto"/>
        <w:contextualSpacing/>
        <w:jc w:val="both"/>
        <w:rPr>
          <w:rFonts w:ascii="Times New Roman" w:hAnsi="Times New Roman" w:cs="Times New Roman"/>
          <w:bCs/>
          <w:lang w:val="es-ES"/>
        </w:rPr>
      </w:pPr>
      <w:r w:rsidRPr="00D10D7D">
        <w:rPr>
          <w:rFonts w:ascii="Times New Roman" w:hAnsi="Times New Roman" w:cs="Times New Roman"/>
          <w:bCs/>
          <w:lang w:val="es-ES"/>
        </w:rPr>
        <w:t xml:space="preserve">El Estado ecuatoriano debe generar </w:t>
      </w:r>
      <w:r w:rsidR="00D10D7D" w:rsidRPr="00D10D7D">
        <w:rPr>
          <w:rFonts w:ascii="Times New Roman" w:hAnsi="Times New Roman" w:cs="Times New Roman"/>
          <w:bCs/>
          <w:lang w:val="es-ES"/>
        </w:rPr>
        <w:t>un proceso de</w:t>
      </w:r>
      <w:r w:rsidRPr="00D10D7D">
        <w:rPr>
          <w:rFonts w:ascii="Times New Roman" w:hAnsi="Times New Roman" w:cs="Times New Roman"/>
          <w:bCs/>
          <w:lang w:val="es-ES"/>
        </w:rPr>
        <w:t xml:space="preserve"> registro </w:t>
      </w:r>
      <w:r w:rsidR="00D10D7D" w:rsidRPr="00D10D7D">
        <w:rPr>
          <w:rFonts w:ascii="Times New Roman" w:hAnsi="Times New Roman" w:cs="Times New Roman"/>
          <w:bCs/>
          <w:lang w:val="es-ES"/>
        </w:rPr>
        <w:t xml:space="preserve">y documentación </w:t>
      </w:r>
      <w:r w:rsidRPr="00D10D7D">
        <w:rPr>
          <w:rFonts w:ascii="Times New Roman" w:hAnsi="Times New Roman" w:cs="Times New Roman"/>
          <w:bCs/>
          <w:lang w:val="es-ES"/>
        </w:rPr>
        <w:t xml:space="preserve">de violencia contra la población LGBTIQ+ y establecer un registro específico de muertes violentas por prejuicio, que permita obtener datos cualitativos </w:t>
      </w:r>
      <w:r w:rsidR="00D10D7D">
        <w:rPr>
          <w:rFonts w:ascii="Times New Roman" w:hAnsi="Times New Roman" w:cs="Times New Roman"/>
          <w:bCs/>
          <w:lang w:val="es-ES"/>
        </w:rPr>
        <w:t>y cuantitativos para identificar patrones y dinámicas de violencia que serían útiles para generar acciones de prevención.</w:t>
      </w:r>
    </w:p>
    <w:p w14:paraId="1F04AC9A" w14:textId="77777777" w:rsidR="00D10D7D" w:rsidRPr="00D10D7D" w:rsidRDefault="00D10D7D" w:rsidP="00D10D7D">
      <w:pPr>
        <w:pStyle w:val="Prrafodelista"/>
        <w:spacing w:line="240" w:lineRule="auto"/>
        <w:ind w:left="720"/>
        <w:contextualSpacing/>
        <w:jc w:val="both"/>
        <w:rPr>
          <w:rFonts w:ascii="Times New Roman" w:hAnsi="Times New Roman" w:cs="Times New Roman"/>
          <w:bCs/>
          <w:lang w:val="es-ES"/>
        </w:rPr>
      </w:pPr>
    </w:p>
    <w:p w14:paraId="302CA4B4"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lang w:val="es-ES"/>
        </w:rPr>
        <w:t>4. Planes y políticas públicas:</w:t>
      </w:r>
    </w:p>
    <w:p w14:paraId="3BB75BFE" w14:textId="77777777" w:rsidR="00BE1101" w:rsidRPr="00BE1101" w:rsidRDefault="00BE1101" w:rsidP="00BE1101">
      <w:pPr>
        <w:contextualSpacing/>
        <w:jc w:val="both"/>
        <w:rPr>
          <w:rFonts w:ascii="Times New Roman" w:hAnsi="Times New Roman" w:cs="Times New Roman"/>
          <w:bCs/>
          <w:lang w:val="es-ES"/>
        </w:rPr>
      </w:pPr>
    </w:p>
    <w:p w14:paraId="788C98D1" w14:textId="535C280C" w:rsidR="00F669B4" w:rsidRPr="00F669B4" w:rsidRDefault="00F669B4" w:rsidP="00F669B4">
      <w:pPr>
        <w:pStyle w:val="Prrafodelista"/>
        <w:numPr>
          <w:ilvl w:val="0"/>
          <w:numId w:val="10"/>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Reformar la legislación para equiparar derechos de parejas heterosexuales y del mismo sexo, incluyendo la adopción</w:t>
      </w:r>
      <w:r>
        <w:rPr>
          <w:rFonts w:ascii="Times New Roman" w:hAnsi="Times New Roman" w:cs="Times New Roman"/>
          <w:bCs/>
          <w:lang w:val="es-ES"/>
        </w:rPr>
        <w:t xml:space="preserve"> que </w:t>
      </w:r>
      <w:r w:rsidR="00D10D7D">
        <w:rPr>
          <w:rFonts w:ascii="Times New Roman" w:hAnsi="Times New Roman" w:cs="Times New Roman"/>
          <w:bCs/>
          <w:lang w:val="es-ES"/>
        </w:rPr>
        <w:t>implicaría una</w:t>
      </w:r>
      <w:r>
        <w:rPr>
          <w:rFonts w:ascii="Times New Roman" w:hAnsi="Times New Roman" w:cs="Times New Roman"/>
          <w:bCs/>
          <w:lang w:val="es-ES"/>
        </w:rPr>
        <w:t xml:space="preserve"> reforma constitucional</w:t>
      </w:r>
      <w:r w:rsidR="00D10D7D">
        <w:rPr>
          <w:rFonts w:ascii="Times New Roman" w:hAnsi="Times New Roman" w:cs="Times New Roman"/>
          <w:bCs/>
          <w:lang w:val="es-ES"/>
        </w:rPr>
        <w:t xml:space="preserve">, así como adoptar </w:t>
      </w:r>
      <w:r>
        <w:rPr>
          <w:rFonts w:ascii="Times New Roman" w:hAnsi="Times New Roman" w:cs="Times New Roman"/>
          <w:bCs/>
          <w:lang w:val="es-ES"/>
        </w:rPr>
        <w:t>legislación particular sobre los derechos de la población LGBTIQ+ y legislación contra la discriminación.</w:t>
      </w:r>
    </w:p>
    <w:p w14:paraId="0450E782" w14:textId="2C884B5B" w:rsidR="00BE1101" w:rsidRPr="00BE1101" w:rsidRDefault="00BE1101" w:rsidP="00BE1101">
      <w:pPr>
        <w:pStyle w:val="Prrafodelista"/>
        <w:numPr>
          <w:ilvl w:val="0"/>
          <w:numId w:val="10"/>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 xml:space="preserve">Reformar el Plan de Acción de Diversidades LGBTI+ 2022-2025 </w:t>
      </w:r>
      <w:r w:rsidR="00D10D7D">
        <w:rPr>
          <w:rFonts w:ascii="Times New Roman" w:hAnsi="Times New Roman" w:cs="Times New Roman"/>
          <w:bCs/>
          <w:lang w:val="es-ES"/>
        </w:rPr>
        <w:t>para garantizar</w:t>
      </w:r>
      <w:r w:rsidRPr="00BE1101">
        <w:rPr>
          <w:rFonts w:ascii="Times New Roman" w:hAnsi="Times New Roman" w:cs="Times New Roman"/>
          <w:bCs/>
          <w:lang w:val="es-ES"/>
        </w:rPr>
        <w:t xml:space="preserve"> institucionalidad, presupuesto y participación civil.</w:t>
      </w:r>
    </w:p>
    <w:p w14:paraId="2ECE1D9A" w14:textId="5D30B882" w:rsidR="00BE1101" w:rsidRDefault="00BE1101" w:rsidP="00BE1101">
      <w:pPr>
        <w:pStyle w:val="Prrafodelista"/>
        <w:numPr>
          <w:ilvl w:val="0"/>
          <w:numId w:val="10"/>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 xml:space="preserve">Retomar el debate del </w:t>
      </w:r>
      <w:r w:rsidR="00D10D7D">
        <w:rPr>
          <w:rFonts w:ascii="Times New Roman" w:hAnsi="Times New Roman" w:cs="Times New Roman"/>
          <w:bCs/>
          <w:lang w:val="es-ES"/>
        </w:rPr>
        <w:t>Código de Salud</w:t>
      </w:r>
      <w:r w:rsidRPr="00BE1101">
        <w:rPr>
          <w:rFonts w:ascii="Times New Roman" w:hAnsi="Times New Roman" w:cs="Times New Roman"/>
          <w:bCs/>
          <w:lang w:val="es-ES"/>
        </w:rPr>
        <w:t xml:space="preserve"> y C</w:t>
      </w:r>
      <w:r w:rsidR="00D10D7D">
        <w:rPr>
          <w:rFonts w:ascii="Times New Roman" w:hAnsi="Times New Roman" w:cs="Times New Roman"/>
          <w:bCs/>
          <w:lang w:val="es-ES"/>
        </w:rPr>
        <w:t>ódigo de Niñez</w:t>
      </w:r>
      <w:r w:rsidRPr="00BE1101">
        <w:rPr>
          <w:rFonts w:ascii="Times New Roman" w:hAnsi="Times New Roman" w:cs="Times New Roman"/>
          <w:bCs/>
          <w:lang w:val="es-ES"/>
        </w:rPr>
        <w:t xml:space="preserve"> para garantizar el acceso a salud, educación e identidad para la niñez y adolescencia LGBTIQ+</w:t>
      </w:r>
      <w:r>
        <w:rPr>
          <w:rFonts w:ascii="Times New Roman" w:hAnsi="Times New Roman" w:cs="Times New Roman"/>
          <w:bCs/>
          <w:lang w:val="es-ES"/>
        </w:rPr>
        <w:t>.</w:t>
      </w:r>
    </w:p>
    <w:p w14:paraId="291B45EE" w14:textId="246E3E03" w:rsidR="00BE1101" w:rsidRDefault="00D10D7D" w:rsidP="00BE1101">
      <w:pPr>
        <w:pStyle w:val="Prrafodelista"/>
        <w:numPr>
          <w:ilvl w:val="0"/>
          <w:numId w:val="10"/>
        </w:numPr>
        <w:spacing w:line="240" w:lineRule="auto"/>
        <w:contextualSpacing/>
        <w:jc w:val="both"/>
        <w:rPr>
          <w:rFonts w:ascii="Times New Roman" w:hAnsi="Times New Roman" w:cs="Times New Roman"/>
          <w:bCs/>
          <w:lang w:val="es-ES"/>
        </w:rPr>
      </w:pPr>
      <w:r>
        <w:rPr>
          <w:rFonts w:ascii="Times New Roman" w:hAnsi="Times New Roman" w:cs="Times New Roman"/>
          <w:bCs/>
          <w:lang w:val="es-ES"/>
        </w:rPr>
        <w:t>Garantizar</w:t>
      </w:r>
      <w:r w:rsidR="00BE1101">
        <w:rPr>
          <w:rFonts w:ascii="Times New Roman" w:hAnsi="Times New Roman" w:cs="Times New Roman"/>
          <w:bCs/>
          <w:lang w:val="es-ES"/>
        </w:rPr>
        <w:t xml:space="preserve"> </w:t>
      </w:r>
      <w:r>
        <w:rPr>
          <w:rFonts w:ascii="Times New Roman" w:hAnsi="Times New Roman" w:cs="Times New Roman"/>
          <w:bCs/>
          <w:lang w:val="es-ES"/>
        </w:rPr>
        <w:t>la investigación de</w:t>
      </w:r>
      <w:r w:rsidR="00BE1101">
        <w:rPr>
          <w:rFonts w:ascii="Times New Roman" w:hAnsi="Times New Roman" w:cs="Times New Roman"/>
          <w:bCs/>
          <w:lang w:val="es-ES"/>
        </w:rPr>
        <w:t xml:space="preserve"> los delitos de odio y discriminación </w:t>
      </w:r>
      <w:r>
        <w:rPr>
          <w:rFonts w:ascii="Times New Roman" w:hAnsi="Times New Roman" w:cs="Times New Roman"/>
          <w:bCs/>
          <w:lang w:val="es-ES"/>
        </w:rPr>
        <w:t>mediante un</w:t>
      </w:r>
      <w:r w:rsidR="00BE1101">
        <w:rPr>
          <w:rFonts w:ascii="Times New Roman" w:hAnsi="Times New Roman" w:cs="Times New Roman"/>
          <w:bCs/>
          <w:lang w:val="es-ES"/>
        </w:rPr>
        <w:t xml:space="preserve"> Proceso Especial y Expedito</w:t>
      </w:r>
      <w:r>
        <w:rPr>
          <w:rFonts w:ascii="Times New Roman" w:hAnsi="Times New Roman" w:cs="Times New Roman"/>
          <w:bCs/>
          <w:lang w:val="es-ES"/>
        </w:rPr>
        <w:t xml:space="preserve"> penal</w:t>
      </w:r>
      <w:r w:rsidR="00BE1101">
        <w:rPr>
          <w:rFonts w:ascii="Times New Roman" w:hAnsi="Times New Roman" w:cs="Times New Roman"/>
          <w:bCs/>
          <w:lang w:val="es-ES"/>
        </w:rPr>
        <w:t>.</w:t>
      </w:r>
    </w:p>
    <w:p w14:paraId="6E6DFBC0" w14:textId="335A2D13" w:rsidR="00F669B4" w:rsidRDefault="00F669B4" w:rsidP="00BE1101">
      <w:pPr>
        <w:pStyle w:val="Prrafodelista"/>
        <w:numPr>
          <w:ilvl w:val="0"/>
          <w:numId w:val="10"/>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lang w:val="es-ES"/>
        </w:rPr>
        <w:t>Desarrollar políticas públicas</w:t>
      </w:r>
      <w:r>
        <w:rPr>
          <w:rFonts w:ascii="Times New Roman" w:hAnsi="Times New Roman" w:cs="Times New Roman"/>
          <w:bCs/>
          <w:lang w:val="es-ES"/>
        </w:rPr>
        <w:t xml:space="preserve"> </w:t>
      </w:r>
      <w:r w:rsidRPr="00F669B4">
        <w:rPr>
          <w:rFonts w:ascii="Times New Roman" w:hAnsi="Times New Roman" w:cs="Times New Roman"/>
          <w:bCs/>
          <w:lang w:val="es-ES"/>
        </w:rPr>
        <w:t>específicas</w:t>
      </w:r>
      <w:r>
        <w:rPr>
          <w:rFonts w:ascii="Times New Roman" w:hAnsi="Times New Roman" w:cs="Times New Roman"/>
          <w:bCs/>
          <w:lang w:val="es-ES"/>
        </w:rPr>
        <w:t>, para el sector justicia,</w:t>
      </w:r>
      <w:r w:rsidRPr="00F669B4">
        <w:rPr>
          <w:rFonts w:ascii="Times New Roman" w:hAnsi="Times New Roman" w:cs="Times New Roman"/>
          <w:bCs/>
          <w:lang w:val="es-ES"/>
        </w:rPr>
        <w:t xml:space="preserve"> que incluyan protocolos especiales para </w:t>
      </w:r>
      <w:r w:rsidR="00D10D7D">
        <w:rPr>
          <w:rFonts w:ascii="Times New Roman" w:hAnsi="Times New Roman" w:cs="Times New Roman"/>
          <w:bCs/>
          <w:lang w:val="es-ES"/>
        </w:rPr>
        <w:t xml:space="preserve">procesar </w:t>
      </w:r>
      <w:r w:rsidRPr="00F669B4">
        <w:rPr>
          <w:rFonts w:ascii="Times New Roman" w:hAnsi="Times New Roman" w:cs="Times New Roman"/>
          <w:bCs/>
          <w:lang w:val="es-ES"/>
        </w:rPr>
        <w:t xml:space="preserve">denuncias de violencia y muertes violentas, así como la atención a víctimas directas e indirectas </w:t>
      </w:r>
      <w:r>
        <w:rPr>
          <w:rFonts w:ascii="Times New Roman" w:hAnsi="Times New Roman" w:cs="Times New Roman"/>
          <w:bCs/>
          <w:lang w:val="es-ES"/>
        </w:rPr>
        <w:t>LGBTIQ+</w:t>
      </w:r>
      <w:r w:rsidRPr="00F669B4">
        <w:rPr>
          <w:rFonts w:ascii="Times New Roman" w:hAnsi="Times New Roman" w:cs="Times New Roman"/>
          <w:bCs/>
          <w:lang w:val="es-ES"/>
        </w:rPr>
        <w:t>.</w:t>
      </w:r>
    </w:p>
    <w:p w14:paraId="38F6F442" w14:textId="58B58611" w:rsidR="00F669B4" w:rsidRDefault="00F669B4" w:rsidP="00BE1101">
      <w:pPr>
        <w:pStyle w:val="Prrafodelista"/>
        <w:numPr>
          <w:ilvl w:val="0"/>
          <w:numId w:val="10"/>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lang w:val="es-ES"/>
        </w:rPr>
        <w:t>La Fiscalía General del Estado debe crear fiscalías especializadas en crímenes de odio, según lo establece el Art. 443, numeral 4 del Código Orgánico Integral Penal (COIP).</w:t>
      </w:r>
    </w:p>
    <w:p w14:paraId="68F0326B" w14:textId="77777777" w:rsidR="001F5A33" w:rsidRDefault="001F5A33" w:rsidP="001F5A33">
      <w:pPr>
        <w:contextualSpacing/>
        <w:jc w:val="both"/>
        <w:rPr>
          <w:rFonts w:ascii="Times New Roman" w:hAnsi="Times New Roman" w:cs="Times New Roman"/>
          <w:bCs/>
          <w:lang w:val="es-ES"/>
        </w:rPr>
      </w:pPr>
    </w:p>
    <w:p w14:paraId="2C364D6B" w14:textId="77777777" w:rsidR="001F5A33" w:rsidRPr="001F5A33" w:rsidRDefault="001F5A33" w:rsidP="001F5A33">
      <w:pPr>
        <w:contextualSpacing/>
        <w:jc w:val="both"/>
        <w:rPr>
          <w:rFonts w:ascii="Times New Roman" w:hAnsi="Times New Roman" w:cs="Times New Roman"/>
          <w:bCs/>
          <w:lang w:val="es-ES"/>
        </w:rPr>
      </w:pPr>
    </w:p>
    <w:p w14:paraId="1B7B17B5" w14:textId="77777777" w:rsidR="00BE1101" w:rsidRPr="00BE1101" w:rsidRDefault="00BE1101" w:rsidP="00BE1101">
      <w:pPr>
        <w:pStyle w:val="Prrafodelista"/>
        <w:spacing w:line="240" w:lineRule="auto"/>
        <w:ind w:left="720"/>
        <w:contextualSpacing/>
        <w:jc w:val="both"/>
        <w:rPr>
          <w:rFonts w:ascii="Times New Roman" w:hAnsi="Times New Roman" w:cs="Times New Roman"/>
          <w:bCs/>
          <w:lang w:val="es-ES"/>
        </w:rPr>
      </w:pPr>
    </w:p>
    <w:p w14:paraId="34525957" w14:textId="77777777" w:rsidR="00BE1101" w:rsidRPr="00BE1101" w:rsidRDefault="00BE1101" w:rsidP="00BE1101">
      <w:pPr>
        <w:contextualSpacing/>
        <w:jc w:val="both"/>
        <w:rPr>
          <w:rFonts w:ascii="Times New Roman" w:hAnsi="Times New Roman" w:cs="Times New Roman"/>
          <w:b/>
          <w:lang w:val="es-ES"/>
        </w:rPr>
      </w:pPr>
      <w:r w:rsidRPr="00BE1101">
        <w:rPr>
          <w:rFonts w:ascii="Times New Roman" w:hAnsi="Times New Roman" w:cs="Times New Roman"/>
          <w:b/>
          <w:lang w:val="es-ES"/>
        </w:rPr>
        <w:lastRenderedPageBreak/>
        <w:t>5. Instituciones y capacitación:</w:t>
      </w:r>
    </w:p>
    <w:p w14:paraId="563A2184" w14:textId="77777777" w:rsidR="00BE1101" w:rsidRPr="00BE1101" w:rsidRDefault="00BE1101" w:rsidP="00BE1101">
      <w:pPr>
        <w:contextualSpacing/>
        <w:jc w:val="both"/>
        <w:rPr>
          <w:rFonts w:ascii="Times New Roman" w:hAnsi="Times New Roman" w:cs="Times New Roman"/>
          <w:bCs/>
          <w:lang w:val="es-ES"/>
        </w:rPr>
      </w:pPr>
    </w:p>
    <w:p w14:paraId="0F24A6AA" w14:textId="7E722C80" w:rsidR="00BE1101" w:rsidRPr="00BE1101" w:rsidRDefault="00BE1101" w:rsidP="00BE1101">
      <w:pPr>
        <w:pStyle w:val="Prrafodelista"/>
        <w:numPr>
          <w:ilvl w:val="0"/>
          <w:numId w:val="11"/>
        </w:numPr>
        <w:spacing w:line="240" w:lineRule="auto"/>
        <w:contextualSpacing/>
        <w:jc w:val="both"/>
        <w:rPr>
          <w:rFonts w:ascii="Times New Roman" w:hAnsi="Times New Roman" w:cs="Times New Roman"/>
          <w:bCs/>
          <w:lang w:val="es-ES"/>
        </w:rPr>
      </w:pPr>
      <w:r w:rsidRPr="00BE1101">
        <w:rPr>
          <w:rFonts w:ascii="Times New Roman" w:hAnsi="Times New Roman" w:cs="Times New Roman"/>
          <w:bCs/>
          <w:lang w:val="es-ES"/>
        </w:rPr>
        <w:t>Capacitar al personal de la Función Ejecutiva, especialmente al Registro Civil, en la aplicación de fallos y derechos de la población LGBTIQ+.</w:t>
      </w:r>
    </w:p>
    <w:p w14:paraId="530F24A9" w14:textId="065AE81F" w:rsidR="00BE1101" w:rsidRDefault="00D10D7D" w:rsidP="00BE1101">
      <w:pPr>
        <w:pStyle w:val="Prrafodelista"/>
        <w:numPr>
          <w:ilvl w:val="0"/>
          <w:numId w:val="11"/>
        </w:numPr>
        <w:spacing w:line="240" w:lineRule="auto"/>
        <w:contextualSpacing/>
        <w:jc w:val="both"/>
        <w:rPr>
          <w:rFonts w:ascii="Times New Roman" w:hAnsi="Times New Roman" w:cs="Times New Roman"/>
          <w:bCs/>
          <w:lang w:val="es-ES"/>
        </w:rPr>
      </w:pPr>
      <w:r>
        <w:rPr>
          <w:rFonts w:ascii="Times New Roman" w:hAnsi="Times New Roman" w:cs="Times New Roman"/>
          <w:bCs/>
          <w:lang w:val="es-ES"/>
        </w:rPr>
        <w:t>La</w:t>
      </w:r>
      <w:r w:rsidR="00BE1101" w:rsidRPr="00BE1101">
        <w:rPr>
          <w:rFonts w:ascii="Times New Roman" w:hAnsi="Times New Roman" w:cs="Times New Roman"/>
          <w:bCs/>
          <w:lang w:val="es-ES"/>
        </w:rPr>
        <w:t xml:space="preserve"> Defensoría del Pueblo y a la Secretaría de Derechos Humanos </w:t>
      </w:r>
      <w:r>
        <w:rPr>
          <w:rFonts w:ascii="Times New Roman" w:hAnsi="Times New Roman" w:cs="Times New Roman"/>
          <w:bCs/>
          <w:lang w:val="es-ES"/>
        </w:rPr>
        <w:t xml:space="preserve">deben promover y defender la </w:t>
      </w:r>
      <w:r w:rsidR="00BE1101" w:rsidRPr="00BE1101">
        <w:rPr>
          <w:rFonts w:ascii="Times New Roman" w:hAnsi="Times New Roman" w:cs="Times New Roman"/>
          <w:bCs/>
          <w:lang w:val="es-ES"/>
        </w:rPr>
        <w:t>protección efectiva de la</w:t>
      </w:r>
      <w:r w:rsidR="00BE1101">
        <w:rPr>
          <w:rFonts w:ascii="Times New Roman" w:hAnsi="Times New Roman" w:cs="Times New Roman"/>
          <w:bCs/>
          <w:lang w:val="es-ES"/>
        </w:rPr>
        <w:t xml:space="preserve"> población </w:t>
      </w:r>
      <w:r w:rsidR="00BE1101" w:rsidRPr="00BE1101">
        <w:rPr>
          <w:rFonts w:ascii="Times New Roman" w:hAnsi="Times New Roman" w:cs="Times New Roman"/>
          <w:bCs/>
          <w:lang w:val="es-ES"/>
        </w:rPr>
        <w:t xml:space="preserve">LGBTIQ+ </w:t>
      </w:r>
      <w:r w:rsidR="00BE1101">
        <w:rPr>
          <w:rFonts w:ascii="Times New Roman" w:hAnsi="Times New Roman" w:cs="Times New Roman"/>
          <w:bCs/>
          <w:lang w:val="es-ES"/>
        </w:rPr>
        <w:t>y su niñez</w:t>
      </w:r>
      <w:r w:rsidR="00BE1101" w:rsidRPr="00BE1101">
        <w:rPr>
          <w:rFonts w:ascii="Times New Roman" w:hAnsi="Times New Roman" w:cs="Times New Roman"/>
          <w:bCs/>
          <w:lang w:val="es-ES"/>
        </w:rPr>
        <w:t>.</w:t>
      </w:r>
    </w:p>
    <w:p w14:paraId="7F6B166F" w14:textId="601FE861" w:rsidR="00F669B4" w:rsidRPr="00F669B4" w:rsidRDefault="00F669B4" w:rsidP="00F669B4">
      <w:pPr>
        <w:pStyle w:val="Prrafodelista"/>
        <w:numPr>
          <w:ilvl w:val="0"/>
          <w:numId w:val="11"/>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lang w:val="es-ES"/>
        </w:rPr>
        <w:t>El Estado ecuatoriano debe erradicar la violencia por prejuicios contra la población</w:t>
      </w:r>
      <w:r>
        <w:rPr>
          <w:rFonts w:ascii="Times New Roman" w:hAnsi="Times New Roman" w:cs="Times New Roman"/>
          <w:bCs/>
          <w:lang w:val="es-ES"/>
        </w:rPr>
        <w:t xml:space="preserve"> </w:t>
      </w:r>
      <w:r w:rsidRPr="00F669B4">
        <w:rPr>
          <w:rFonts w:ascii="Times New Roman" w:hAnsi="Times New Roman" w:cs="Times New Roman"/>
          <w:bCs/>
          <w:lang w:val="es-ES"/>
        </w:rPr>
        <w:t>LGBTIQ+ mediante procesos interinstitucionales de educación dirigidos a funcionarios públicos, agentes de investigación y operadores de justicia.</w:t>
      </w:r>
    </w:p>
    <w:p w14:paraId="66109F6C" w14:textId="4A48AEFD" w:rsidR="00F669B4" w:rsidRPr="00BE1101" w:rsidRDefault="00F669B4" w:rsidP="00F669B4">
      <w:pPr>
        <w:pStyle w:val="Prrafodelista"/>
        <w:numPr>
          <w:ilvl w:val="0"/>
          <w:numId w:val="11"/>
        </w:numPr>
        <w:spacing w:line="240" w:lineRule="auto"/>
        <w:contextualSpacing/>
        <w:jc w:val="both"/>
        <w:rPr>
          <w:rFonts w:ascii="Times New Roman" w:hAnsi="Times New Roman" w:cs="Times New Roman"/>
          <w:bCs/>
          <w:lang w:val="es-ES"/>
        </w:rPr>
      </w:pPr>
      <w:r w:rsidRPr="00F669B4">
        <w:rPr>
          <w:rFonts w:ascii="Times New Roman" w:hAnsi="Times New Roman" w:cs="Times New Roman"/>
          <w:bCs/>
          <w:lang w:val="es-ES"/>
        </w:rPr>
        <w:t>El Consejo de la Judicatura y la Fiscalía General del Estado deben capacitar adecuadamente a investigadores, fiscales, agentes policiales y receptores de denuncias, con el apoyo de la sociedad civil, en la investigación de violencia por prejuicio contra la población LGBTIQ+.</w:t>
      </w:r>
    </w:p>
    <w:p w14:paraId="11A588A7" w14:textId="77777777" w:rsidR="00BE1101" w:rsidRPr="00A47AD6" w:rsidRDefault="00BE1101" w:rsidP="00D50D57">
      <w:pPr>
        <w:contextualSpacing/>
        <w:jc w:val="both"/>
        <w:rPr>
          <w:rFonts w:ascii="Times New Roman" w:hAnsi="Times New Roman" w:cs="Times New Roman"/>
          <w:bCs/>
          <w:lang w:val="es-ES"/>
        </w:rPr>
      </w:pPr>
    </w:p>
    <w:p w14:paraId="587F2A09" w14:textId="77777777" w:rsidR="00D50D57" w:rsidRPr="00A47AD6" w:rsidRDefault="00D50D57" w:rsidP="00D50D57">
      <w:pPr>
        <w:contextualSpacing/>
        <w:jc w:val="both"/>
        <w:rPr>
          <w:rFonts w:ascii="Times New Roman" w:hAnsi="Times New Roman" w:cs="Times New Roman"/>
          <w:bCs/>
          <w:lang w:val="es-ES"/>
        </w:rPr>
      </w:pPr>
      <w:r w:rsidRPr="00A47AD6">
        <w:rPr>
          <w:rFonts w:ascii="Times New Roman" w:hAnsi="Times New Roman" w:cs="Times New Roman"/>
          <w:bCs/>
          <w:lang w:val="es-ES"/>
        </w:rPr>
        <w:t>Para ampliar la información proporcionada remitirse a las siguientes fuentes:</w:t>
      </w:r>
    </w:p>
    <w:p w14:paraId="217C8BF7" w14:textId="77777777" w:rsidR="00D50D57" w:rsidRPr="00A47AD6" w:rsidRDefault="00D50D57" w:rsidP="00D50D57">
      <w:pPr>
        <w:jc w:val="both"/>
        <w:rPr>
          <w:rFonts w:ascii="Times New Roman" w:hAnsi="Times New Roman" w:cs="Times New Roman"/>
          <w:bCs/>
          <w:lang w:val="es-ES"/>
        </w:rPr>
      </w:pPr>
    </w:p>
    <w:p w14:paraId="42123D66" w14:textId="77777777" w:rsidR="00D50D57" w:rsidRPr="00A47AD6"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1" w:history="1">
        <w:r w:rsidR="00D50D57" w:rsidRPr="00A47AD6">
          <w:rPr>
            <w:rStyle w:val="Hipervnculo"/>
            <w:rFonts w:ascii="Times New Roman" w:hAnsi="Times New Roman" w:cs="Times New Roman"/>
            <w:bCs/>
            <w:szCs w:val="24"/>
            <w:lang w:val="es-ES"/>
          </w:rPr>
          <w:t>https://issuu.com/sendasecuador/docs/informe_ddhh_lgbti_2020</w:t>
        </w:r>
      </w:hyperlink>
    </w:p>
    <w:p w14:paraId="50CA5482" w14:textId="77777777" w:rsidR="00D50D57"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2" w:history="1">
        <w:r w:rsidR="00D50D57" w:rsidRPr="00A47AD6">
          <w:rPr>
            <w:rStyle w:val="Hipervnculo"/>
            <w:rFonts w:ascii="Times New Roman" w:hAnsi="Times New Roman" w:cs="Times New Roman"/>
            <w:bCs/>
            <w:szCs w:val="24"/>
            <w:lang w:val="es-ES"/>
          </w:rPr>
          <w:t>https://www.sendas.org.ec/documentos/INFORME%20ANUAL%20DDHH%20LGBTI%202017.pdf</w:t>
        </w:r>
      </w:hyperlink>
      <w:r w:rsidR="00D50D57" w:rsidRPr="00A47AD6">
        <w:rPr>
          <w:rFonts w:ascii="Times New Roman" w:hAnsi="Times New Roman" w:cs="Times New Roman"/>
          <w:bCs/>
          <w:szCs w:val="24"/>
          <w:lang w:val="es-ES"/>
        </w:rPr>
        <w:t xml:space="preserve"> </w:t>
      </w:r>
    </w:p>
    <w:p w14:paraId="21B12746" w14:textId="4850EF90" w:rsidR="00BE1101" w:rsidRPr="00BE1101" w:rsidRDefault="00000000" w:rsidP="00BE1101">
      <w:pPr>
        <w:pStyle w:val="Prrafodelista"/>
        <w:numPr>
          <w:ilvl w:val="0"/>
          <w:numId w:val="4"/>
        </w:numPr>
        <w:rPr>
          <w:rFonts w:ascii="Times New Roman" w:hAnsi="Times New Roman" w:cs="Times New Roman"/>
          <w:bCs/>
          <w:szCs w:val="24"/>
          <w:lang w:val="es-ES"/>
        </w:rPr>
      </w:pPr>
      <w:hyperlink r:id="rId13" w:anchor="informes" w:history="1">
        <w:r w:rsidR="00C229DB" w:rsidRPr="00F759DF">
          <w:rPr>
            <w:rStyle w:val="Hipervnculo"/>
            <w:rFonts w:ascii="Times New Roman" w:hAnsi="Times New Roman" w:cs="Times New Roman"/>
            <w:bCs/>
            <w:szCs w:val="24"/>
            <w:lang w:val="es-ES"/>
          </w:rPr>
          <w:t>https://sinviolencia.lgbt/informes/?_sft_post_tag=ecuador#informes</w:t>
        </w:r>
      </w:hyperlink>
      <w:r w:rsidR="00C229DB">
        <w:rPr>
          <w:rFonts w:ascii="Times New Roman" w:hAnsi="Times New Roman" w:cs="Times New Roman"/>
          <w:bCs/>
          <w:szCs w:val="24"/>
          <w:lang w:val="es-ES"/>
        </w:rPr>
        <w:t xml:space="preserve"> </w:t>
      </w:r>
    </w:p>
    <w:p w14:paraId="412EC61A" w14:textId="77777777" w:rsidR="00D50D57" w:rsidRPr="00A47AD6" w:rsidRDefault="00000000"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4" w:history="1">
        <w:r w:rsidR="00D50D57" w:rsidRPr="00A47AD6">
          <w:rPr>
            <w:rStyle w:val="Hipervnculo"/>
            <w:rFonts w:ascii="Times New Roman" w:hAnsi="Times New Roman" w:cs="Times New Roman"/>
            <w:bCs/>
            <w:szCs w:val="24"/>
            <w:lang w:val="es-ES"/>
          </w:rPr>
          <w:t>https://www.youtube.com/watch?v=N3NI-8jgQBU</w:t>
        </w:r>
      </w:hyperlink>
    </w:p>
    <w:p w14:paraId="3A72A664" w14:textId="77777777" w:rsidR="00D50D57" w:rsidRPr="009C484F" w:rsidRDefault="00000000" w:rsidP="00D50D57">
      <w:pPr>
        <w:pStyle w:val="Prrafodelista"/>
        <w:numPr>
          <w:ilvl w:val="0"/>
          <w:numId w:val="4"/>
        </w:numPr>
        <w:spacing w:line="240" w:lineRule="auto"/>
        <w:contextualSpacing/>
        <w:jc w:val="both"/>
        <w:rPr>
          <w:rStyle w:val="Hipervnculo"/>
          <w:rFonts w:ascii="Times New Roman" w:hAnsi="Times New Roman" w:cs="Times New Roman"/>
          <w:bCs/>
          <w:color w:val="auto"/>
          <w:szCs w:val="24"/>
          <w:u w:val="none"/>
          <w:lang w:val="es-ES"/>
        </w:rPr>
      </w:pPr>
      <w:hyperlink r:id="rId15" w:history="1">
        <w:r w:rsidR="00D50D57" w:rsidRPr="00A47AD6">
          <w:rPr>
            <w:rStyle w:val="Hipervnculo"/>
            <w:rFonts w:ascii="Times New Roman" w:hAnsi="Times New Roman" w:cs="Times New Roman"/>
            <w:bCs/>
            <w:szCs w:val="24"/>
            <w:lang w:val="es-ES"/>
          </w:rPr>
          <w:t>https://www.youtube.com/watch?v=xZARZmwMZxg&amp;t=4168s</w:t>
        </w:r>
      </w:hyperlink>
    </w:p>
    <w:p w14:paraId="3730D161" w14:textId="3E86FEAF" w:rsidR="009C484F" w:rsidRPr="00A47AD6" w:rsidRDefault="009C484F" w:rsidP="00D50D57">
      <w:pPr>
        <w:pStyle w:val="Prrafodelista"/>
        <w:numPr>
          <w:ilvl w:val="0"/>
          <w:numId w:val="4"/>
        </w:numPr>
        <w:spacing w:line="240" w:lineRule="auto"/>
        <w:contextualSpacing/>
        <w:jc w:val="both"/>
        <w:rPr>
          <w:rFonts w:ascii="Times New Roman" w:hAnsi="Times New Roman" w:cs="Times New Roman"/>
          <w:bCs/>
          <w:szCs w:val="24"/>
          <w:lang w:val="es-ES"/>
        </w:rPr>
      </w:pPr>
      <w:hyperlink r:id="rId16" w:history="1">
        <w:r w:rsidRPr="009C484F">
          <w:rPr>
            <w:rStyle w:val="Hipervnculo"/>
            <w:rFonts w:ascii="Times New Roman" w:hAnsi="Times New Roman" w:cs="Times New Roman"/>
            <w:bCs/>
            <w:szCs w:val="24"/>
          </w:rPr>
          <w:t>Informe Anual: Homicidios de personas LGBTI+ en LAC 2023 (</w:t>
        </w:r>
        <w:proofErr w:type="spellStart"/>
        <w:proofErr w:type="gramStart"/>
        <w:r w:rsidRPr="009C484F">
          <w:rPr>
            <w:rStyle w:val="Hipervnculo"/>
            <w:rFonts w:ascii="Times New Roman" w:hAnsi="Times New Roman" w:cs="Times New Roman"/>
            <w:bCs/>
            <w:szCs w:val="24"/>
          </w:rPr>
          <w:t>sinviolencia.lgbt</w:t>
        </w:r>
        <w:proofErr w:type="spellEnd"/>
        <w:proofErr w:type="gramEnd"/>
        <w:r w:rsidRPr="009C484F">
          <w:rPr>
            <w:rStyle w:val="Hipervnculo"/>
            <w:rFonts w:ascii="Times New Roman" w:hAnsi="Times New Roman" w:cs="Times New Roman"/>
            <w:bCs/>
            <w:szCs w:val="24"/>
          </w:rPr>
          <w:t>)</w:t>
        </w:r>
      </w:hyperlink>
    </w:p>
    <w:p w14:paraId="5B662717" w14:textId="77777777" w:rsidR="00D50D57" w:rsidRPr="00A47AD6" w:rsidRDefault="00D50D57" w:rsidP="00D50D57">
      <w:pPr>
        <w:pStyle w:val="Prrafodelista"/>
        <w:spacing w:line="240" w:lineRule="auto"/>
        <w:ind w:left="720"/>
        <w:contextualSpacing/>
        <w:jc w:val="both"/>
        <w:rPr>
          <w:rFonts w:ascii="Times New Roman" w:hAnsi="Times New Roman" w:cs="Times New Roman"/>
          <w:bCs/>
          <w:szCs w:val="24"/>
          <w:lang w:val="es-ES"/>
        </w:rPr>
      </w:pPr>
    </w:p>
    <w:p w14:paraId="4CCBA604" w14:textId="77777777" w:rsidR="00322342" w:rsidRPr="00D50D57" w:rsidRDefault="00322342">
      <w:pPr>
        <w:rPr>
          <w:lang w:val="es-ES"/>
        </w:rPr>
      </w:pPr>
    </w:p>
    <w:sectPr w:rsidR="00322342" w:rsidRPr="00D50D57">
      <w:headerReference w:type="even" r:id="rId17"/>
      <w:headerReference w:type="default" r:id="rId18"/>
      <w:footerReference w:type="default" r:id="rId19"/>
      <w:headerReference w:type="firs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BC845B" w14:textId="77777777" w:rsidR="00AA31CA" w:rsidRDefault="00AA31CA" w:rsidP="00322342">
      <w:r>
        <w:separator/>
      </w:r>
    </w:p>
  </w:endnote>
  <w:endnote w:type="continuationSeparator" w:id="0">
    <w:p w14:paraId="63A5851F" w14:textId="77777777" w:rsidR="00AA31CA" w:rsidRDefault="00AA31CA" w:rsidP="0032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C0627" w14:textId="77777777" w:rsidR="00322342" w:rsidRDefault="00322342">
    <w:pPr>
      <w:pStyle w:val="Piedepgina"/>
    </w:pPr>
    <w:r>
      <w:rPr>
        <w:noProof/>
      </w:rPr>
      <w:drawing>
        <wp:anchor distT="0" distB="0" distL="114300" distR="114300" simplePos="0" relativeHeight="251674624" behindDoc="1" locked="0" layoutInCell="1" allowOverlap="1" wp14:anchorId="5DA474CF" wp14:editId="0F21A339">
          <wp:simplePos x="0" y="0"/>
          <wp:positionH relativeFrom="column">
            <wp:posOffset>-929640</wp:posOffset>
          </wp:positionH>
          <wp:positionV relativeFrom="paragraph">
            <wp:posOffset>-115570</wp:posOffset>
          </wp:positionV>
          <wp:extent cx="2209800" cy="732790"/>
          <wp:effectExtent l="0" t="0" r="0" b="3810"/>
          <wp:wrapTight wrapText="bothSides">
            <wp:wrapPolygon edited="0">
              <wp:start x="8193" y="0"/>
              <wp:lineTo x="1986" y="3744"/>
              <wp:lineTo x="0" y="5241"/>
              <wp:lineTo x="0" y="21338"/>
              <wp:lineTo x="1490" y="21338"/>
              <wp:lineTo x="1490" y="17969"/>
              <wp:lineTo x="15393" y="17969"/>
              <wp:lineTo x="18993" y="16846"/>
              <wp:lineTo x="18372" y="4492"/>
              <wp:lineTo x="13531" y="1123"/>
              <wp:lineTo x="9683" y="0"/>
              <wp:lineTo x="8193" y="0"/>
            </wp:wrapPolygon>
          </wp:wrapTight>
          <wp:docPr id="177077497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74976" name="Picture 1770774976"/>
                  <pic:cNvPicPr/>
                </pic:nvPicPr>
                <pic:blipFill rotWithShape="1">
                  <a:blip r:embed="rId1">
                    <a:extLst>
                      <a:ext uri="{28A0092B-C50C-407E-A947-70E740481C1C}">
                        <a14:useLocalDpi xmlns:a14="http://schemas.microsoft.com/office/drawing/2010/main" val="0"/>
                      </a:ext>
                    </a:extLst>
                  </a:blip>
                  <a:srcRect t="88735" r="52012"/>
                  <a:stretch/>
                </pic:blipFill>
                <pic:spPr bwMode="auto">
                  <a:xfrm>
                    <a:off x="0" y="0"/>
                    <a:ext cx="2209800" cy="73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28416" w14:textId="77777777" w:rsidR="00AA31CA" w:rsidRDefault="00AA31CA" w:rsidP="00322342">
      <w:r>
        <w:separator/>
      </w:r>
    </w:p>
  </w:footnote>
  <w:footnote w:type="continuationSeparator" w:id="0">
    <w:p w14:paraId="6400124F" w14:textId="77777777" w:rsidR="00AA31CA" w:rsidRDefault="00AA31CA" w:rsidP="00322342">
      <w:r>
        <w:continuationSeparator/>
      </w:r>
    </w:p>
  </w:footnote>
  <w:footnote w:id="1">
    <w:p w14:paraId="3F7EC059"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Comisión de la Verdad del Ecuador, </w:t>
      </w:r>
      <w:r w:rsidRPr="003655DC">
        <w:rPr>
          <w:rFonts w:cs="Times New Roman"/>
          <w:i/>
          <w:sz w:val="18"/>
          <w:szCs w:val="18"/>
        </w:rPr>
        <w:t>Informe Comisión de la Verdad Ecuador “Sin Verdad no hay Justicia”</w:t>
      </w:r>
      <w:r w:rsidRPr="003655DC">
        <w:rPr>
          <w:rFonts w:cs="Times New Roman"/>
          <w:sz w:val="18"/>
          <w:szCs w:val="18"/>
        </w:rPr>
        <w:t>, (Quito, Ecuaeditorial, 2010), Tomo1, 292-311.</w:t>
      </w:r>
    </w:p>
  </w:footnote>
  <w:footnote w:id="2">
    <w:p w14:paraId="7CA5F231"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Corte Interamericana de Derechos Humanos, Caso Flor Freire Vs. Ecuador. Excepciones Preliminares, Fondo, Reparaciones y Costas, (Costa Rica: Corte Interamericana de Derechos Humanos, 2006), 33-44.</w:t>
      </w:r>
    </w:p>
  </w:footnote>
  <w:footnote w:id="3">
    <w:p w14:paraId="0549362B"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INEC (Instituto Nacional de Estadísticas y Censos del Ecuador), Estudio de caso sobre condiciones de vida, inclusión social y cumplimiento de derechos humanos población de la LGBTI en el Ecuador, (Quito: Instituto Nacional de Estadísticas y Censos del Ecuador, 2013),19-29.</w:t>
      </w:r>
    </w:p>
  </w:footnote>
  <w:footnote w:id="4">
    <w:p w14:paraId="64AFC68B" w14:textId="77777777" w:rsidR="00D50D57" w:rsidRPr="003655DC" w:rsidRDefault="00D50D57" w:rsidP="003655DC">
      <w:pPr>
        <w:pStyle w:val="Textonotapie"/>
        <w:rPr>
          <w:rFonts w:cs="Times New Roman"/>
          <w:sz w:val="18"/>
          <w:szCs w:val="18"/>
          <w:lang w:val="es-AR"/>
        </w:rPr>
      </w:pPr>
      <w:r w:rsidRPr="003655DC">
        <w:rPr>
          <w:rStyle w:val="Refdenotaalpie"/>
          <w:rFonts w:cs="Times New Roman"/>
          <w:sz w:val="18"/>
          <w:szCs w:val="18"/>
        </w:rPr>
        <w:footnoteRef/>
      </w:r>
      <w:r w:rsidRPr="003655DC">
        <w:rPr>
          <w:rFonts w:cs="Times New Roman"/>
          <w:sz w:val="18"/>
          <w:szCs w:val="18"/>
        </w:rPr>
        <w:t xml:space="preserve"> Número y contenido de la sentencia se detalla en próximos puntos.</w:t>
      </w:r>
    </w:p>
  </w:footnote>
  <w:footnote w:id="5">
    <w:p w14:paraId="4660A1CE" w14:textId="687E0B6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002B2856" w:rsidRPr="002B2856">
        <w:rPr>
          <w:sz w:val="18"/>
          <w:szCs w:val="18"/>
        </w:rPr>
        <w:t>Ver más en:</w:t>
      </w:r>
      <w:r w:rsidR="002B2856">
        <w:t xml:space="preserve"> </w:t>
      </w:r>
      <w:hyperlink r:id="rId1" w:history="1">
        <w:r w:rsidR="002B2856" w:rsidRPr="00F759DF">
          <w:rPr>
            <w:rStyle w:val="Hipervnculo"/>
            <w:rFonts w:cs="Times New Roman"/>
            <w:sz w:val="18"/>
            <w:szCs w:val="18"/>
          </w:rPr>
          <w:t>https://inredh.org/corazon-borrado-las-secuelas-que-causan-los-centros-de-deshomosexualizacion/</w:t>
        </w:r>
      </w:hyperlink>
    </w:p>
  </w:footnote>
  <w:footnote w:id="6">
    <w:p w14:paraId="042C377A" w14:textId="6528B7D9"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002B2856">
        <w:rPr>
          <w:rFonts w:cs="Times New Roman"/>
          <w:sz w:val="18"/>
          <w:szCs w:val="18"/>
        </w:rPr>
        <w:t xml:space="preserve"> Ver más en: </w:t>
      </w:r>
      <w:hyperlink r:id="rId2" w:history="1">
        <w:r w:rsidR="002B2856" w:rsidRPr="00F759DF">
          <w:rPr>
            <w:rStyle w:val="Hipervnculo"/>
            <w:rFonts w:cs="Times New Roman"/>
            <w:sz w:val="18"/>
            <w:szCs w:val="18"/>
          </w:rPr>
          <w:t>https://edicion111.com/2023/09/05/la-falta-de-una-normativa-legal-especifica-permite-que-centros-de-tortura-o-deshomosexualizacion-sigan-operando-en-ecuador/</w:t>
        </w:r>
      </w:hyperlink>
      <w:r w:rsidR="002B2856">
        <w:rPr>
          <w:rFonts w:cs="Times New Roman"/>
          <w:sz w:val="18"/>
          <w:szCs w:val="18"/>
        </w:rPr>
        <w:t xml:space="preserve"> </w:t>
      </w:r>
    </w:p>
  </w:footnote>
  <w:footnote w:id="7">
    <w:p w14:paraId="75D76C94"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MJDHC (Ministerio de Justicia, Derechos Humanos y Cultos), </w:t>
      </w:r>
      <w:r w:rsidRPr="003655DC">
        <w:rPr>
          <w:rFonts w:cs="Times New Roman"/>
          <w:i/>
          <w:sz w:val="18"/>
          <w:szCs w:val="18"/>
        </w:rPr>
        <w:t>Tras Diálogo Nacional se conforma la Federación Ecuatoriana de Organizaciones LGBT</w:t>
      </w:r>
      <w:r w:rsidRPr="003655DC">
        <w:rPr>
          <w:rFonts w:cs="Times New Roman"/>
          <w:sz w:val="18"/>
          <w:szCs w:val="18"/>
        </w:rPr>
        <w:t>, http://www.justicia.gob.ec/tras-dialogo-nacional-se-conforma-la-federacion-ecuatoriana-de-organizaciones-lgbt/</w:t>
      </w:r>
    </w:p>
  </w:footnote>
  <w:footnote w:id="8">
    <w:p w14:paraId="646D5B44"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MCDS (Ministerio Coordinador de Desarrollo Social), </w:t>
      </w:r>
      <w:r w:rsidRPr="003655DC">
        <w:rPr>
          <w:rFonts w:cs="Times New Roman"/>
          <w:i/>
          <w:sz w:val="18"/>
          <w:szCs w:val="18"/>
        </w:rPr>
        <w:t>MCDS lidera la construcción de la política pública para personas GLBTI</w:t>
      </w:r>
      <w:r w:rsidRPr="003655DC">
        <w:rPr>
          <w:rFonts w:cs="Times New Roman"/>
          <w:sz w:val="18"/>
          <w:szCs w:val="18"/>
        </w:rPr>
        <w:t>, http://www.desarrollosocial.gob.ec/mcds-lidera-la-construccion-de-la-politica-publica-para-personas-glbti/</w:t>
      </w:r>
    </w:p>
  </w:footnote>
  <w:footnote w:id="9">
    <w:p w14:paraId="5253302B"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MCDS (Ministerio Coordinador de Desarrollo Social),</w:t>
      </w:r>
      <w:r w:rsidRPr="003655DC">
        <w:rPr>
          <w:rFonts w:cs="Times New Roman"/>
          <w:i/>
          <w:sz w:val="18"/>
          <w:szCs w:val="18"/>
        </w:rPr>
        <w:t xml:space="preserve"> Informe de Rendición de Cuentas 2015 Informe del Sector Social,</w:t>
      </w:r>
      <w:r w:rsidRPr="003655DC">
        <w:rPr>
          <w:rFonts w:cs="Times New Roman"/>
          <w:sz w:val="18"/>
          <w:szCs w:val="18"/>
        </w:rPr>
        <w:t xml:space="preserve"> (Quito: Ministerio Coordinador de Desarrollo Social, 2016), 26-27. http://www.desarrollosocial.gob.ec/wp-content/uploads/downloads/2016/03/informe_rendicio%CC%81n_de_cuentas_sector_social.pdf</w:t>
      </w:r>
    </w:p>
  </w:footnote>
  <w:footnote w:id="10">
    <w:p w14:paraId="5C6BD41C"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https://www.vicepresidencia.gob.ec/dia-historico-para-la-comunidad-lgbti-gobierno-presenta-politica-publica-para-la-garantia-de-sus-derechos/</w:t>
      </w:r>
    </w:p>
  </w:footnote>
  <w:footnote w:id="11">
    <w:p w14:paraId="5EB8780D" w14:textId="1B6676FE" w:rsidR="00D22AA6" w:rsidRPr="003655DC" w:rsidRDefault="00D22AA6"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Hoy Ministerio de la Mujer y Derechos Humanos</w:t>
      </w:r>
    </w:p>
  </w:footnote>
  <w:footnote w:id="12">
    <w:p w14:paraId="2FB524FE"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https://gk.city/2021/06/28/subsecretaria-diversidades-ecuador/</w:t>
      </w:r>
    </w:p>
  </w:footnote>
  <w:footnote w:id="13">
    <w:p w14:paraId="5358F08D" w14:textId="75D7DA6F" w:rsidR="00D539E4" w:rsidRPr="003655DC" w:rsidRDefault="00D539E4"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w:t>
      </w:r>
      <w:r w:rsidR="00D22AA6" w:rsidRPr="003655DC">
        <w:rPr>
          <w:rFonts w:cs="Times New Roman"/>
          <w:sz w:val="18"/>
          <w:szCs w:val="18"/>
        </w:rPr>
        <w:t>https://www.derechoshumanos.gob.ec/subsecretaria-de-diversidades/</w:t>
      </w:r>
    </w:p>
  </w:footnote>
  <w:footnote w:id="14">
    <w:p w14:paraId="1611279E"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https://www.facebook.com/watch/live/?ref=watch_permalink&amp;v=2383654211767553</w:t>
      </w:r>
    </w:p>
  </w:footnote>
  <w:footnote w:id="15">
    <w:p w14:paraId="2B299C6F" w14:textId="77777777" w:rsidR="00D539E4" w:rsidRPr="003655DC" w:rsidRDefault="00D539E4"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https://www.youtube.com/watch?v=UmZ-b427D1o&amp;t=1282s</w:t>
      </w:r>
    </w:p>
  </w:footnote>
  <w:footnote w:id="16">
    <w:p w14:paraId="76632576"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https://www.derechoshumanos.gob.ec/subsecretaria-de-diversidades/</w:t>
      </w:r>
    </w:p>
  </w:footnote>
  <w:footnote w:id="17">
    <w:p w14:paraId="54A12996"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https://www.derechoshumanos.gob.ec/wp-content/uploads/2023/08/RESUMEN_EJECUTIVO_PAD_MMDDHH_2023_QR.pdf</w:t>
      </w:r>
    </w:p>
  </w:footnote>
  <w:footnote w:id="18">
    <w:p w14:paraId="391B5166"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https://www.planv.com.ec/historias/sociedad/cuantos-son-lgbt-ecuador-razones-que-el-censo-no-podra-responderlo</w:t>
      </w:r>
    </w:p>
  </w:footnote>
  <w:footnote w:id="19">
    <w:p w14:paraId="680E7C43"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https://www.censoecuador.gob.ec/resultados-censo/#</w:t>
      </w:r>
    </w:p>
  </w:footnote>
  <w:footnote w:id="20">
    <w:p w14:paraId="3B2B894A" w14:textId="4B7EF2C4" w:rsidR="001C73A6" w:rsidRPr="003655DC" w:rsidRDefault="001C73A6"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https://www.ecuadorencifras.gob.ec/institucional/en-ecuador-2-4-de-personas-mayores-de-18-anios-se-identificaron-como-parte-de-la-poblacion-lgbti/</w:t>
      </w:r>
    </w:p>
  </w:footnote>
  <w:footnote w:id="21">
    <w:p w14:paraId="0E00A9B4" w14:textId="77777777" w:rsidR="001C73A6" w:rsidRPr="003655DC" w:rsidRDefault="001C73A6"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https://edicion111.com/2024/06/06/los-datos-lgbtiq-del-censo-que-nos-dicen-y-que-no/#:~:text=El%20INEC%20obtuvo%20como%20resultado,%2C43%25%20de%20la%20poblaci%C3%B3n.</w:t>
      </w:r>
    </w:p>
  </w:footnote>
  <w:footnote w:id="22">
    <w:p w14:paraId="12BE7BB7" w14:textId="4BD8CE45" w:rsidR="00973987" w:rsidRPr="003655DC" w:rsidRDefault="0097398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https://portal.corteconstitucional.gob.ec/FichaRelatoria.aspx?numdocumento=001-17-SIO-CC</w:t>
      </w:r>
    </w:p>
  </w:footnote>
  <w:footnote w:id="23">
    <w:p w14:paraId="3AD8160F" w14:textId="24C12141"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http://doc.corteconstitucional.gob.ec:8080/alfresco/d/d/workspace/SpacesStore/2d00a4e9-1240-40a0-8c6c-2c5ae5b97c34/0001-14-io-sen.pdf?guest=true</w:t>
      </w:r>
    </w:p>
  </w:footnote>
  <w:footnote w:id="24">
    <w:p w14:paraId="0D4E15C6" w14:textId="77777777" w:rsidR="00973987" w:rsidRPr="003655DC" w:rsidRDefault="0097398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https://www.elcomercio.com/actualidad/politica/convencion-interamericana-obligara-ecuador-sancionar-discriminacion-internet.html</w:t>
      </w:r>
    </w:p>
  </w:footnote>
  <w:footnote w:id="25">
    <w:p w14:paraId="07A5F9D1" w14:textId="77777777" w:rsidR="00973987" w:rsidRPr="003655DC" w:rsidRDefault="0097398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https://www.oas.org/es/sla/ddi/tratados_multilaterales_interamericanos_A69_discriminacion_intolerancia_firmas.asp</w:t>
      </w:r>
    </w:p>
  </w:footnote>
  <w:footnote w:id="26">
    <w:p w14:paraId="056D72D6"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https://www.registroficial.gob.ec/index.php/registro-oficial-web/publicaciones/suplementos/item/20943-segundo-suplemento-al-registro-oficial-no-567</w:t>
      </w:r>
    </w:p>
  </w:footnote>
  <w:footnote w:id="27">
    <w:p w14:paraId="52DB4027"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26. El Comité recomienda al Estado parte promover la adopción de una ley general de no discriminación que recoja todos los motivos de discriminación. El Comité alienta al Estado parte a adoptar medidas para dar cuenta de la discriminación formal y sustantiva en el Estado parte e informar del impacto de las medidas tomadas. Finalmente, el Comité alienta al Estado parte a tomar las medidas necesarias para dar efecto a la decisión de la Corte Constitucional del Ecuador sobre el matrimonio civil igualitario. El Comité señala a la atención del Estado parte su observación general núm. 20 (1998), relativa a la no discriminación y los derechos económicos, sociales y culturales</w:t>
      </w:r>
    </w:p>
  </w:footnote>
  <w:footnote w:id="28">
    <w:p w14:paraId="4038EBCA"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https://news.un.org/es/story/2020/10/1482742</w:t>
      </w:r>
    </w:p>
  </w:footnote>
  <w:footnote w:id="29">
    <w:p w14:paraId="62BA7321" w14:textId="77777777" w:rsidR="00973987" w:rsidRPr="003655DC" w:rsidRDefault="0097398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https://www.elcomercio.com/actualidad/politica/lasso-moreno-veto-codigo-salud.html</w:t>
      </w:r>
    </w:p>
  </w:footnote>
  <w:footnote w:id="30">
    <w:p w14:paraId="27E92EA5" w14:textId="77777777" w:rsidR="008B26B4" w:rsidRPr="003655DC" w:rsidRDefault="008B26B4"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https://sinviolencia.lgbt/informes/?_sft_post_tag=ecuador#informes</w:t>
      </w:r>
    </w:p>
  </w:footnote>
  <w:footnote w:id="31">
    <w:p w14:paraId="37AF31A8"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https://www.eluniverso.com/noticias/seguridad/el-2022-dejo-un-record-de-asesinatos-en-ecuador-4450-casos-solo-308-fueron-resueltos-nota/</w:t>
      </w:r>
    </w:p>
  </w:footnote>
  <w:footnote w:id="32">
    <w:p w14:paraId="5710B8F8" w14:textId="241AD1D0"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w:t>
      </w:r>
      <w:hyperlink r:id="rId3" w:history="1">
        <w:r w:rsidR="007467FF" w:rsidRPr="006D3510">
          <w:rPr>
            <w:rStyle w:val="Hipervnculo"/>
            <w:rFonts w:cs="Times New Roman"/>
            <w:sz w:val="18"/>
            <w:szCs w:val="18"/>
          </w:rPr>
          <w:t>https://oeco.padf.org/wp-content/uploads/2024/04/OECO.-BOLETIN-ANUAL-DE-HOMICIDIOS-2023.pdf</w:t>
        </w:r>
      </w:hyperlink>
      <w:r w:rsidR="007467FF">
        <w:rPr>
          <w:rFonts w:cs="Times New Roman"/>
          <w:sz w:val="18"/>
          <w:szCs w:val="18"/>
        </w:rPr>
        <w:t xml:space="preserve"> </w:t>
      </w:r>
    </w:p>
  </w:footnote>
  <w:footnote w:id="33">
    <w:p w14:paraId="18B598B5" w14:textId="77777777" w:rsidR="007467FF" w:rsidRPr="007467FF" w:rsidRDefault="007467FF" w:rsidP="007467FF">
      <w:pPr>
        <w:pStyle w:val="Textonotapie"/>
        <w:rPr>
          <w:lang w:val="es-ES"/>
        </w:rPr>
      </w:pPr>
      <w:r>
        <w:rPr>
          <w:rStyle w:val="Refdenotaalpie"/>
        </w:rPr>
        <w:footnoteRef/>
      </w:r>
      <w:r>
        <w:t xml:space="preserve"> </w:t>
      </w:r>
      <w:bookmarkStart w:id="0" w:name="_Hlk177212617"/>
      <w:r>
        <w:fldChar w:fldCharType="begin"/>
      </w:r>
      <w:r>
        <w:instrText>HYPERLINK "</w:instrText>
      </w:r>
      <w:r w:rsidRPr="007467FF">
        <w:instrText>https://sinviolencia.lgbt/informe-anual-homicidios-de-personas-lgbti-en-lac-2023/</w:instrText>
      </w:r>
      <w:r>
        <w:instrText>"</w:instrText>
      </w:r>
      <w:r>
        <w:fldChar w:fldCharType="separate"/>
      </w:r>
      <w:r w:rsidRPr="006D3510">
        <w:rPr>
          <w:rStyle w:val="Hipervnculo"/>
        </w:rPr>
        <w:t>https://sinviolencia.lgbt/informe-anual-homicidios-de-personas-lgbti-en-lac-2023/</w:t>
      </w:r>
      <w:r>
        <w:fldChar w:fldCharType="end"/>
      </w:r>
      <w:r>
        <w:t xml:space="preserve"> </w:t>
      </w:r>
      <w:bookmarkEnd w:id="0"/>
    </w:p>
  </w:footnote>
  <w:footnote w:id="34">
    <w:p w14:paraId="273AADAF" w14:textId="77777777" w:rsidR="007467FF" w:rsidRDefault="007467FF" w:rsidP="007467FF">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Times New Roman" w:eastAsia="Times New Roman" w:hAnsi="Times New Roman" w:cs="Times New Roman"/>
          <w:sz w:val="20"/>
          <w:szCs w:val="20"/>
        </w:rPr>
        <w:t>InSight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Crime</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Balance de </w:t>
      </w:r>
      <w:proofErr w:type="spellStart"/>
      <w:r>
        <w:rPr>
          <w:rFonts w:ascii="Times New Roman" w:eastAsia="Times New Roman" w:hAnsi="Times New Roman" w:cs="Times New Roman"/>
          <w:i/>
          <w:sz w:val="20"/>
          <w:szCs w:val="20"/>
        </w:rPr>
        <w:t>Insight</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Crime</w:t>
      </w:r>
      <w:proofErr w:type="spellEnd"/>
      <w:r>
        <w:rPr>
          <w:rFonts w:ascii="Times New Roman" w:eastAsia="Times New Roman" w:hAnsi="Times New Roman" w:cs="Times New Roman"/>
          <w:i/>
          <w:sz w:val="20"/>
          <w:szCs w:val="20"/>
        </w:rPr>
        <w:t xml:space="preserve"> de los homicidios en 2023</w:t>
      </w:r>
      <w:r>
        <w:rPr>
          <w:rFonts w:ascii="Times New Roman" w:eastAsia="Times New Roman" w:hAnsi="Times New Roman" w:cs="Times New Roman"/>
          <w:sz w:val="20"/>
          <w:szCs w:val="20"/>
        </w:rPr>
        <w:t>, p. 7.</w:t>
      </w:r>
    </w:p>
  </w:footnote>
  <w:footnote w:id="35">
    <w:p w14:paraId="59B58458" w14:textId="57F12620" w:rsidR="007467FF" w:rsidRPr="007467FF" w:rsidRDefault="007467FF">
      <w:pPr>
        <w:pStyle w:val="Textonotapie"/>
        <w:rPr>
          <w:lang w:val="es-ES"/>
        </w:rPr>
      </w:pPr>
      <w:r>
        <w:rPr>
          <w:rStyle w:val="Refdenotaalpie"/>
        </w:rPr>
        <w:footnoteRef/>
      </w:r>
      <w:r>
        <w:t xml:space="preserve"> </w:t>
      </w:r>
      <w:hyperlink r:id="rId4" w:history="1">
        <w:r w:rsidRPr="007467FF">
          <w:rPr>
            <w:rStyle w:val="Hipervnculo"/>
            <w:lang w:val="es-ES_tradnl"/>
          </w:rPr>
          <w:t>https://sinviolencia.lgbt/informe-anual-homicidios-de-personas-lgbti-en-lac-2023/</w:t>
        </w:r>
      </w:hyperlink>
    </w:p>
  </w:footnote>
  <w:footnote w:id="36">
    <w:p w14:paraId="3794F21D"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https://latamnews.lat/20240115/la-crisis-de-inseguridad-en-ecuador-tiene-causas-estructurales-1147409665.html</w:t>
      </w:r>
    </w:p>
  </w:footnote>
  <w:footnote w:id="37">
    <w:p w14:paraId="73707F93" w14:textId="51086DE2" w:rsidR="00484A7D" w:rsidRPr="003655DC" w:rsidRDefault="00484A7D" w:rsidP="003655DC">
      <w:pPr>
        <w:pStyle w:val="Textonotapie"/>
        <w:rPr>
          <w:rFonts w:cs="Times New Roman"/>
          <w:sz w:val="18"/>
          <w:szCs w:val="18"/>
        </w:rPr>
      </w:pPr>
      <w:r w:rsidRPr="003655DC">
        <w:rPr>
          <w:rStyle w:val="Refdenotaalpie"/>
          <w:rFonts w:cs="Times New Roman"/>
          <w:sz w:val="18"/>
          <w:szCs w:val="18"/>
        </w:rPr>
        <w:footnoteRef/>
      </w:r>
      <w:r w:rsidR="00094D3E">
        <w:rPr>
          <w:rFonts w:cs="Times New Roman"/>
          <w:sz w:val="18"/>
          <w:szCs w:val="18"/>
        </w:rPr>
        <w:t xml:space="preserve"> </w:t>
      </w:r>
      <w:r w:rsidRPr="003655DC">
        <w:rPr>
          <w:rFonts w:cs="Times New Roman"/>
          <w:sz w:val="18"/>
          <w:szCs w:val="18"/>
        </w:rPr>
        <w:t>https://www.planv.com.ec/historias/sociedad/mujeres-trans-viven-el-sistema-penitenciario-como-una-condena-contra-su-identidad</w:t>
      </w:r>
    </w:p>
  </w:footnote>
  <w:footnote w:id="38">
    <w:p w14:paraId="6F76E619" w14:textId="7BBC323B" w:rsidR="00AE3278" w:rsidRPr="003655DC" w:rsidRDefault="00AE3278"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https://www.revistaamazonas.com/2024/04/20/sentecia-a-personas-glbtiq-en-ecuador-doble-condena/</w:t>
      </w:r>
    </w:p>
  </w:footnote>
  <w:footnote w:id="39">
    <w:p w14:paraId="68190B37"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https://sinviolencia.lgbt/caracterizacion-de-casos-de-asesinato-contra-personas-lgbtiq/</w:t>
      </w:r>
    </w:p>
  </w:footnote>
  <w:footnote w:id="40">
    <w:p w14:paraId="32ED1BF3" w14:textId="77777777" w:rsidR="00D539E4" w:rsidRPr="003655DC" w:rsidRDefault="00D539E4" w:rsidP="003655DC">
      <w:pPr>
        <w:pStyle w:val="Textonotapie"/>
        <w:rPr>
          <w:rStyle w:val="Hipervnculo"/>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w:t>
      </w:r>
      <w:hyperlink r:id="rId5" w:history="1">
        <w:r w:rsidRPr="003655DC">
          <w:rPr>
            <w:rStyle w:val="Hipervnculo"/>
            <w:rFonts w:cs="Times New Roman"/>
            <w:sz w:val="18"/>
            <w:szCs w:val="18"/>
          </w:rPr>
          <w:t>https://www.participacionciudadana.org/web/wp-content/uploads/2024/02/A1-Ecuador-registra-los-niveles-mas-altos-de-crimen.pdf</w:t>
        </w:r>
      </w:hyperlink>
    </w:p>
    <w:p w14:paraId="4D5607BA" w14:textId="77777777" w:rsidR="00D539E4" w:rsidRPr="003655DC" w:rsidRDefault="00000000" w:rsidP="003655DC">
      <w:pPr>
        <w:pStyle w:val="Textonotapie"/>
        <w:rPr>
          <w:rFonts w:cs="Times New Roman"/>
          <w:sz w:val="18"/>
          <w:szCs w:val="18"/>
        </w:rPr>
      </w:pPr>
      <w:hyperlink r:id="rId6" w:history="1">
        <w:r w:rsidR="00D539E4" w:rsidRPr="003655DC">
          <w:rPr>
            <w:rStyle w:val="Hipervnculo"/>
            <w:rFonts w:cs="Times New Roman"/>
            <w:sz w:val="18"/>
            <w:szCs w:val="18"/>
          </w:rPr>
          <w:t>https://www.eluniverso.com/noticias/seguridad/el-91-de-los-crimenes-ocurridos-durante-2023-estan-bajo-investigacion-es-decir-no-han-sido-resueltos-nota/</w:t>
        </w:r>
      </w:hyperlink>
    </w:p>
    <w:p w14:paraId="78734B3A" w14:textId="77777777" w:rsidR="00D539E4" w:rsidRPr="003655DC" w:rsidRDefault="00D539E4" w:rsidP="003655DC">
      <w:pPr>
        <w:pStyle w:val="Textonotapie"/>
        <w:rPr>
          <w:rFonts w:cs="Times New Roman"/>
          <w:sz w:val="18"/>
          <w:szCs w:val="18"/>
        </w:rPr>
      </w:pPr>
      <w:r w:rsidRPr="003655DC">
        <w:rPr>
          <w:rFonts w:cs="Times New Roman"/>
          <w:sz w:val="18"/>
          <w:szCs w:val="18"/>
        </w:rPr>
        <w:t>https://www.prensa-latina.cu/2024/01/04/triste-record-para-ecuador-siete-mil-800-muertes-violentas-en-2023/</w:t>
      </w:r>
    </w:p>
  </w:footnote>
  <w:footnote w:id="41">
    <w:p w14:paraId="7A19D60B" w14:textId="77777777" w:rsidR="00D539E4" w:rsidRPr="003655DC" w:rsidRDefault="00D539E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Sentencia: 09572-2023-01004</w:t>
      </w:r>
    </w:p>
  </w:footnote>
  <w:footnote w:id="42">
    <w:p w14:paraId="4C356C71" w14:textId="77777777" w:rsidR="00D539E4" w:rsidRPr="003655DC" w:rsidRDefault="00D539E4" w:rsidP="003655DC">
      <w:pPr>
        <w:pStyle w:val="Textonotapie"/>
        <w:rPr>
          <w:rFonts w:cs="Times New Roman"/>
          <w:sz w:val="18"/>
          <w:szCs w:val="18"/>
          <w:lang w:val="es-ES_tradnl"/>
        </w:rPr>
      </w:pPr>
      <w:r w:rsidRPr="003655DC">
        <w:rPr>
          <w:rStyle w:val="Refdenotaalpie"/>
          <w:rFonts w:cs="Times New Roman"/>
          <w:sz w:val="18"/>
          <w:szCs w:val="18"/>
        </w:rPr>
        <w:footnoteRef/>
      </w:r>
      <w:r w:rsidRPr="003655DC">
        <w:rPr>
          <w:rFonts w:cs="Times New Roman"/>
          <w:sz w:val="18"/>
          <w:szCs w:val="18"/>
        </w:rPr>
        <w:t xml:space="preserve"> https://www.fiscalia.gob.ec/wp-content/uploads/2022/02/Protocolo-Nacional-17-02-2022.pdf</w:t>
      </w:r>
    </w:p>
  </w:footnote>
  <w:footnote w:id="43">
    <w:p w14:paraId="63E0F7EB"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https://www.primicias.ec/noticias/sociedad/en-derechos-ecuatorianos-prefieren-status-quo/</w:t>
      </w:r>
    </w:p>
  </w:footnote>
  <w:footnote w:id="44">
    <w:p w14:paraId="4893D9D9"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https://www.vanderbilt.edu/lapop/ecuador/ABECU2023-Pulso-de-la-democracia-final-20240307.pdf</w:t>
      </w:r>
    </w:p>
  </w:footnote>
  <w:footnote w:id="45">
    <w:p w14:paraId="6B192DC0"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https://www.ecuadorencifras.gob.ec/matrimonios-divorcios/</w:t>
      </w:r>
    </w:p>
  </w:footnote>
  <w:footnote w:id="46">
    <w:p w14:paraId="3FFD0960"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https://elquantificador.org/post/valores/2023-07-02-homosexualidad-qu-piensan-los-ecuatorianos/</w:t>
      </w:r>
    </w:p>
  </w:footnote>
  <w:footnote w:id="47">
    <w:p w14:paraId="695D6DA2"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hyperlink r:id="rId7" w:history="1">
        <w:r w:rsidRPr="003655DC">
          <w:rPr>
            <w:rStyle w:val="Hipervnculo"/>
            <w:rFonts w:cs="Times New Roman"/>
            <w:sz w:val="18"/>
            <w:szCs w:val="18"/>
          </w:rPr>
          <w:t>https://www.registrocivil.gob.ec/wp-content/uploads/downloads/2024/03/RO_LEY_REFORMATORIA_LOGIDAC.pd</w:t>
        </w:r>
      </w:hyperlink>
    </w:p>
    <w:p w14:paraId="4043BDD0" w14:textId="77777777" w:rsidR="00D50D57" w:rsidRPr="003655DC" w:rsidRDefault="00D50D57" w:rsidP="003655DC">
      <w:pPr>
        <w:pStyle w:val="Textonotapie"/>
        <w:rPr>
          <w:rFonts w:cs="Times New Roman"/>
          <w:sz w:val="18"/>
          <w:szCs w:val="18"/>
        </w:rPr>
      </w:pPr>
      <w:r w:rsidRPr="003655DC">
        <w:rPr>
          <w:rFonts w:cs="Times New Roman"/>
          <w:sz w:val="18"/>
          <w:szCs w:val="18"/>
        </w:rPr>
        <w:t>Artículo 18.- Eliminar en el artículo 54, la siguiente frase: “Se prohíbe el registro del matrimonio celebrado entre personas del mismo sexo”.</w:t>
      </w:r>
    </w:p>
  </w:footnote>
  <w:footnote w:id="48">
    <w:p w14:paraId="01D5A5DD"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https://edicion111.com/2021/12/28/dos-anos-de-espera-para-inscribir-a-su-hija/</w:t>
      </w:r>
    </w:p>
  </w:footnote>
  <w:footnote w:id="49">
    <w:p w14:paraId="7C48C5D4"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https://www.registrocivil.gob.ec/inscripcion-de-hijos-de-progenitoras-del-mismo-sexo-por-reproduccion-asistida/</w:t>
      </w:r>
    </w:p>
  </w:footnote>
  <w:footnote w:id="50">
    <w:p w14:paraId="0EDA5F37"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https://www.elcomercio.com/tendencias/sociedad/familias-diversas-reconocimiento-matrimonio-leyes.html</w:t>
      </w:r>
    </w:p>
  </w:footnote>
  <w:footnote w:id="51">
    <w:p w14:paraId="6A837B7F"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Caso No. 09332202011147</w:t>
      </w:r>
    </w:p>
  </w:footnote>
  <w:footnote w:id="52">
    <w:p w14:paraId="5125B205"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La sentencia se notificó el 23 de diciembre del 2021</w:t>
      </w:r>
    </w:p>
  </w:footnote>
  <w:footnote w:id="53">
    <w:p w14:paraId="2E2B3F76"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https://edicion111.com/2021/12/28/dos-anos-de-espera-para-inscribir-a-su-hija/</w:t>
      </w:r>
    </w:p>
  </w:footnote>
  <w:footnote w:id="54">
    <w:p w14:paraId="5DBD7E3E"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La familia está compuesta por una mujer ecuatoriana y una mujer venezolana (nacionalizada ecuatoriana)</w:t>
      </w:r>
    </w:p>
  </w:footnote>
  <w:footnote w:id="55">
    <w:p w14:paraId="45A94251" w14:textId="77777777" w:rsidR="008B26B4" w:rsidRPr="003655DC" w:rsidRDefault="008B26B4"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Ley de Gestión de Identidad y Datos Civiles: “Art. 36.- Nombres en la inscripción de nacimiento. Para la asignación de nombres en la inscripción de nacimiento deberán observarse las siguientes reglas: 1. No podrá asignarse más de dos nombres simples o uno compuesto que se tengan por tales en el uso general ecuatoriano. Tratándose de hijos de padre o madre extranjeros podrán escogerse libremente estos dos nombres. 2. No se podrá asignar nombres que constituyan palabras extravagantes, ridículas o que denigren la dignidad humana o que expresen cosas o nociones, a menos que su uso como nombres se hubiere consagrado tradicionalmente. Se utilizarán nombre o nombres que cumplan las reglas establecidas en los numerales anteriores respetando la interculturalidad y plurinacionalidad. </w:t>
      </w:r>
      <w:r w:rsidRPr="003655DC">
        <w:rPr>
          <w:rFonts w:cs="Times New Roman"/>
          <w:sz w:val="18"/>
          <w:szCs w:val="18"/>
          <w:u w:val="single"/>
        </w:rPr>
        <w:t>Las y los ecuatorianos nacidos en el exterior tendrán derecho a que la o el agente diplomático o consular respectivo proceda a inscribir su nacimiento con el nombre y número de nombres que permita el país de residencia y que consten en la respectiva partida o certificado de nacimiento”.</w:t>
      </w:r>
      <w:r w:rsidRPr="003655DC">
        <w:rPr>
          <w:rFonts w:cs="Times New Roman"/>
          <w:sz w:val="18"/>
          <w:szCs w:val="18"/>
        </w:rPr>
        <w:t xml:space="preserve"> (Subrayado nos pertenece)</w:t>
      </w:r>
    </w:p>
    <w:p w14:paraId="0961EF1A" w14:textId="77777777" w:rsidR="008B26B4" w:rsidRPr="003655DC" w:rsidRDefault="008B26B4" w:rsidP="003655DC">
      <w:pPr>
        <w:pStyle w:val="Textonotapie"/>
        <w:rPr>
          <w:rFonts w:cs="Times New Roman"/>
          <w:sz w:val="18"/>
          <w:szCs w:val="18"/>
        </w:rPr>
      </w:pPr>
    </w:p>
  </w:footnote>
  <w:footnote w:id="56">
    <w:p w14:paraId="0BC24F00" w14:textId="77777777" w:rsidR="00AD5B6D" w:rsidRPr="003655DC" w:rsidRDefault="00AD5B6D"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Constitución de la República del Ecuador (2008): </w:t>
      </w:r>
    </w:p>
    <w:p w14:paraId="27FA6BDF" w14:textId="6F9D974D" w:rsidR="00AD5B6D" w:rsidRPr="003655DC" w:rsidRDefault="00AD5B6D" w:rsidP="003655DC">
      <w:pPr>
        <w:pStyle w:val="Textonotapie"/>
        <w:rPr>
          <w:rFonts w:cs="Times New Roman"/>
          <w:sz w:val="18"/>
          <w:szCs w:val="18"/>
        </w:rPr>
      </w:pPr>
      <w:r w:rsidRPr="003655DC">
        <w:rPr>
          <w:rFonts w:cs="Times New Roman"/>
          <w:sz w:val="18"/>
          <w:szCs w:val="18"/>
        </w:rPr>
        <w:t>Art. 68.- La unión estable y monogámica entre dos personas libres de vínculo matrimonial que formen un hogar de hecho, por el lapso y bajo las condiciones y circunstancias que señale la ley, generará los mismos derechos y obligaciones que tienen las familias constituidas mediante matrimonio.</w:t>
      </w:r>
    </w:p>
    <w:p w14:paraId="3F7B2901" w14:textId="4D090F52" w:rsidR="00AD5B6D" w:rsidRPr="003655DC" w:rsidRDefault="00AD5B6D" w:rsidP="003655DC">
      <w:pPr>
        <w:pStyle w:val="Textonotapie"/>
        <w:rPr>
          <w:rFonts w:cs="Times New Roman"/>
          <w:sz w:val="18"/>
          <w:szCs w:val="18"/>
        </w:rPr>
      </w:pPr>
      <w:r w:rsidRPr="003655DC">
        <w:rPr>
          <w:rFonts w:cs="Times New Roman"/>
          <w:sz w:val="18"/>
          <w:szCs w:val="18"/>
        </w:rPr>
        <w:t>La adopción corresponderá sólo a parejas de distinto sexo.</w:t>
      </w:r>
    </w:p>
  </w:footnote>
  <w:footnote w:id="57">
    <w:p w14:paraId="3C362862"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Voto Salvado del Juez Ramiro Áviala en Dictamen: Si la norma constitucional se basa en un prejuicio, sin demostración fáctica alguna además, de que toda pareja homosexual no brinda un ambiente para el ejercicio y desarrollo de los niños y niñas, podría ser una norma discriminatoria y contraria a otros principios constitucionales y que se reconocen en instrumentos internacionales de derechos humanos. Además, como sostiene la Corte Interamericana de Derechos Humanos, la prohibición de discriminación es parte de las normas de ius cogens. Existe, pues, una tensión entra la prohibición constitucional establecida en la Constitución y otros derechos y principios establecidos en la Constitución y otros instrumentos internacionales de derechos humanos aplicables en el Ecuador. Por tanto, cabría una interpretación armónica de dicha norma. </w:t>
      </w:r>
    </w:p>
  </w:footnote>
  <w:footnote w:id="58">
    <w:p w14:paraId="04B81CAF"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https://www.inclusion.gob.ec/la-adopcion-garantiza-el-derecho-a-vivir-en-familia/</w:t>
      </w:r>
    </w:p>
  </w:footnote>
  <w:footnote w:id="59">
    <w:p w14:paraId="563FD939"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Amada es un nombre protegido</w:t>
      </w:r>
    </w:p>
  </w:footnote>
  <w:footnote w:id="60">
    <w:p w14:paraId="6A7D344C" w14:textId="77777777" w:rsidR="00D50D57" w:rsidRPr="003655DC" w:rsidRDefault="00D50D57" w:rsidP="003655DC">
      <w:pPr>
        <w:jc w:val="both"/>
        <w:rPr>
          <w:rFonts w:ascii="Times New Roman" w:hAnsi="Times New Roman" w:cs="Times New Roman"/>
          <w:sz w:val="18"/>
          <w:szCs w:val="18"/>
        </w:rPr>
      </w:pPr>
      <w:r w:rsidRPr="003655DC">
        <w:rPr>
          <w:rStyle w:val="Refdenotaalpie"/>
          <w:rFonts w:ascii="Times New Roman" w:hAnsi="Times New Roman" w:cs="Times New Roman"/>
          <w:sz w:val="18"/>
          <w:szCs w:val="18"/>
        </w:rPr>
        <w:footnoteRef/>
      </w:r>
      <w:r w:rsidRPr="003655DC">
        <w:rPr>
          <w:rFonts w:ascii="Times New Roman" w:hAnsi="Times New Roman" w:cs="Times New Roman"/>
          <w:sz w:val="18"/>
          <w:szCs w:val="18"/>
        </w:rPr>
        <w:t xml:space="preserve"> DW Español (2019): “Lorena Bonilla y su </w:t>
      </w:r>
      <w:proofErr w:type="spellStart"/>
      <w:r w:rsidRPr="003655DC">
        <w:rPr>
          <w:rFonts w:ascii="Times New Roman" w:hAnsi="Times New Roman" w:cs="Times New Roman"/>
          <w:sz w:val="18"/>
          <w:szCs w:val="18"/>
        </w:rPr>
        <w:t>Hij</w:t>
      </w:r>
      <w:proofErr w:type="spellEnd"/>
      <w:r w:rsidRPr="003655DC">
        <w:rPr>
          <w:rFonts w:ascii="Times New Roman" w:hAnsi="Times New Roman" w:cs="Times New Roman"/>
          <w:sz w:val="18"/>
          <w:szCs w:val="18"/>
        </w:rPr>
        <w:t xml:space="preserve">@ Amada˝, en </w:t>
      </w:r>
      <w:hyperlink r:id="rId8" w:history="1">
        <w:r w:rsidRPr="003655DC">
          <w:rPr>
            <w:rStyle w:val="Hipervnculo"/>
            <w:rFonts w:ascii="Times New Roman" w:hAnsi="Times New Roman" w:cs="Times New Roman"/>
            <w:sz w:val="18"/>
            <w:szCs w:val="18"/>
            <w:lang w:val="es-EC"/>
          </w:rPr>
          <w:t>https://www.youtube.com/watch?v=F2ha4fp--n0</w:t>
        </w:r>
      </w:hyperlink>
      <w:r w:rsidRPr="003655DC">
        <w:rPr>
          <w:rFonts w:ascii="Times New Roman" w:hAnsi="Times New Roman" w:cs="Times New Roman"/>
          <w:sz w:val="18"/>
          <w:szCs w:val="18"/>
        </w:rPr>
        <w:t xml:space="preserve">; Día a Día – Teleamazonas (2018): “Niños transgénero˝, en </w:t>
      </w:r>
      <w:hyperlink r:id="rId9" w:history="1">
        <w:r w:rsidRPr="003655DC">
          <w:rPr>
            <w:rStyle w:val="Hipervnculo"/>
            <w:rFonts w:ascii="Times New Roman" w:hAnsi="Times New Roman" w:cs="Times New Roman"/>
            <w:sz w:val="18"/>
            <w:szCs w:val="18"/>
          </w:rPr>
          <w:t>https://www.youtube.com/watch?v=btbpC1tF_4g&amp;t=937s</w:t>
        </w:r>
      </w:hyperlink>
    </w:p>
  </w:footnote>
  <w:footnote w:id="61">
    <w:p w14:paraId="604C4A95"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w:t>
      </w:r>
      <w:r w:rsidRPr="003655DC">
        <w:rPr>
          <w:rFonts w:cs="Times New Roman"/>
          <w:bCs/>
          <w:sz w:val="18"/>
          <w:szCs w:val="18"/>
        </w:rPr>
        <w:t>signada con el No.</w:t>
      </w:r>
      <w:r w:rsidRPr="003655DC">
        <w:rPr>
          <w:rFonts w:cs="Times New Roman"/>
          <w:b/>
          <w:sz w:val="18"/>
          <w:szCs w:val="18"/>
        </w:rPr>
        <w:t>17986-2018-00604</w:t>
      </w:r>
    </w:p>
  </w:footnote>
  <w:footnote w:id="62">
    <w:p w14:paraId="69D62372" w14:textId="77777777" w:rsidR="00D50D57" w:rsidRPr="003655DC" w:rsidRDefault="00D50D5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https://www.elcomercio.com/tendencias/sociedad/amada-nina-trans-genero-cedula.html</w:t>
      </w:r>
    </w:p>
  </w:footnote>
  <w:footnote w:id="63">
    <w:p w14:paraId="571ACD24" w14:textId="77777777" w:rsidR="00D50D57" w:rsidRPr="003655DC" w:rsidRDefault="00D50D57" w:rsidP="003655DC">
      <w:pPr>
        <w:shd w:val="clear" w:color="auto" w:fill="FFFFFF"/>
        <w:spacing w:line="276" w:lineRule="auto"/>
        <w:jc w:val="both"/>
        <w:rPr>
          <w:rFonts w:ascii="Times New Roman" w:eastAsia="Times New Roman" w:hAnsi="Times New Roman" w:cs="Times New Roman"/>
          <w:color w:val="222222"/>
          <w:sz w:val="18"/>
          <w:szCs w:val="18"/>
          <w:lang w:val="es-ES" w:eastAsia="es-ES_tradnl"/>
        </w:rPr>
      </w:pPr>
      <w:r w:rsidRPr="003655DC">
        <w:rPr>
          <w:rStyle w:val="Refdenotaalpie"/>
          <w:rFonts w:ascii="Times New Roman" w:hAnsi="Times New Roman" w:cs="Times New Roman"/>
          <w:sz w:val="18"/>
          <w:szCs w:val="18"/>
        </w:rPr>
        <w:footnoteRef/>
      </w:r>
      <w:r w:rsidRPr="003655DC">
        <w:rPr>
          <w:rFonts w:ascii="Times New Roman" w:hAnsi="Times New Roman" w:cs="Times New Roman"/>
          <w:sz w:val="18"/>
          <w:szCs w:val="18"/>
        </w:rPr>
        <w:t xml:space="preserve"> </w:t>
      </w:r>
      <w:r w:rsidRPr="003655DC">
        <w:rPr>
          <w:rFonts w:ascii="Times New Roman" w:eastAsia="Times New Roman" w:hAnsi="Times New Roman" w:cs="Times New Roman"/>
          <w:color w:val="222222"/>
          <w:sz w:val="18"/>
          <w:szCs w:val="18"/>
          <w:lang w:val="es-ES" w:eastAsia="es-ES_tradnl"/>
        </w:rPr>
        <w:t xml:space="preserve">Es importante señalar que las sentencias de este tribunal no generan jurisprudencia vinculante o que tenga efecto general y solo son aplicables al caso particular.  </w:t>
      </w:r>
    </w:p>
  </w:footnote>
  <w:footnote w:id="64">
    <w:p w14:paraId="3A3CBA2A"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https://www.corteconstitucional.gob.ec/protocolo-interno-de-la-corte-constitucional-para-garantizar-la-participacion-y-escucha-de-ninas-ninos-y-adolescentes-en-los-procesos-constitucionales/</w:t>
      </w:r>
    </w:p>
  </w:footnote>
  <w:footnote w:id="65">
    <w:p w14:paraId="46BEC02A"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Dirección General del Registro Civil del Ecuador, Oficio Nro. DIGERCIC-CGAJ-2023-0043-O de 24 de julio de 2023, firmado por Mgs. Alvaro Patricio Flores Tarambis (Coordinador General de Asesoría Jurídica)</w:t>
      </w:r>
    </w:p>
  </w:footnote>
  <w:footnote w:id="66">
    <w:p w14:paraId="1EDEDC1C"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https://www.registrocivil.gob.ec/wp-content/uploads/downloads/2024/03/RO_LEY_REFORMATORIA_LOGIDAC.pd</w:t>
      </w:r>
    </w:p>
  </w:footnote>
  <w:footnote w:id="67">
    <w:p w14:paraId="66AED145"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Clara es un nombre protegido.</w:t>
      </w:r>
    </w:p>
  </w:footnote>
  <w:footnote w:id="68">
    <w:p w14:paraId="5B9F3F9F"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Se asignó al caso el No.0095-18-EP</w:t>
      </w:r>
    </w:p>
  </w:footnote>
  <w:footnote w:id="69">
    <w:p w14:paraId="74A93092" w14:textId="77777777" w:rsidR="008B26B4" w:rsidRPr="003655DC" w:rsidRDefault="008B26B4" w:rsidP="003655DC">
      <w:pPr>
        <w:pStyle w:val="Sinespaciado"/>
        <w:spacing w:line="240" w:lineRule="auto"/>
        <w:ind w:firstLine="0"/>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 xml:space="preserve"> </w:t>
      </w:r>
      <w:r w:rsidRPr="003655DC">
        <w:rPr>
          <w:rFonts w:cs="Times New Roman"/>
          <w:sz w:val="18"/>
          <w:szCs w:val="18"/>
          <w:lang w:val="es-ES"/>
        </w:rPr>
        <w:t>https://www.youtube.com/watch?v=xZARZmwMZxg&amp;t=4168s</w:t>
      </w:r>
    </w:p>
  </w:footnote>
  <w:footnote w:id="70">
    <w:p w14:paraId="0758A4C3"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https://www.youtube.com/watch?v=N3NI-8jgQBU</w:t>
      </w:r>
    </w:p>
  </w:footnote>
  <w:footnote w:id="71">
    <w:p w14:paraId="6EB572D3" w14:textId="77777777" w:rsidR="00D50D57" w:rsidRPr="003655DC" w:rsidRDefault="00D50D5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https://www.unicef.org/ecuador/comunicados-prensa/unicef-recomienda-un-an%C3%A1lisis-m%C3%A1s-profundo-del-proyecto-de-c%C3%B3digo-org%C3%A1nico-de</w:t>
      </w:r>
    </w:p>
  </w:footnote>
  <w:footnote w:id="72">
    <w:p w14:paraId="42030C60" w14:textId="77777777" w:rsidR="00D50D57" w:rsidRPr="003655DC" w:rsidRDefault="00D50D57" w:rsidP="003655DC">
      <w:pPr>
        <w:pStyle w:val="Textonotapie"/>
        <w:rPr>
          <w:rFonts w:cs="Times New Roman"/>
          <w:sz w:val="18"/>
          <w:szCs w:val="18"/>
          <w:lang w:val="es-ES"/>
        </w:rPr>
      </w:pPr>
      <w:r w:rsidRPr="003655DC">
        <w:rPr>
          <w:rStyle w:val="Refdenotaalpie"/>
          <w:rFonts w:cs="Times New Roman"/>
          <w:sz w:val="18"/>
          <w:szCs w:val="18"/>
        </w:rPr>
        <w:footnoteRef/>
      </w:r>
      <w:r w:rsidRPr="003655DC">
        <w:rPr>
          <w:rFonts w:cs="Times New Roman"/>
          <w:sz w:val="18"/>
          <w:szCs w:val="18"/>
        </w:rPr>
        <w:t>https://www.elcomercio.com/tendencias/sociedad/legisladores-organizaciones-archivo-codigo-ninez.html</w:t>
      </w:r>
    </w:p>
  </w:footnote>
  <w:footnote w:id="73">
    <w:p w14:paraId="2358215F" w14:textId="77777777" w:rsidR="00D50D57" w:rsidRPr="003655DC" w:rsidRDefault="00D50D57" w:rsidP="003655DC">
      <w:pPr>
        <w:jc w:val="both"/>
        <w:rPr>
          <w:rFonts w:ascii="Times New Roman" w:hAnsi="Times New Roman" w:cs="Times New Roman"/>
          <w:sz w:val="18"/>
          <w:szCs w:val="18"/>
          <w:lang w:val="es-ES"/>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Comisión de la Verdad del Ecuador, </w:t>
      </w:r>
      <w:r w:rsidRPr="003655DC">
        <w:rPr>
          <w:rFonts w:ascii="Times New Roman" w:hAnsi="Times New Roman" w:cs="Times New Roman"/>
          <w:i/>
          <w:iCs/>
          <w:sz w:val="18"/>
          <w:szCs w:val="18"/>
        </w:rPr>
        <w:t>Informe Comisión de la Verdad Ecuador “Sin Verdad no hay Justicia”</w:t>
      </w:r>
      <w:r w:rsidRPr="003655DC">
        <w:rPr>
          <w:rFonts w:ascii="Times New Roman" w:hAnsi="Times New Roman" w:cs="Times New Roman"/>
          <w:sz w:val="18"/>
          <w:szCs w:val="18"/>
        </w:rPr>
        <w:t xml:space="preserve">, 1: 292-311: </w:t>
      </w:r>
      <w:r w:rsidRPr="003655DC">
        <w:rPr>
          <w:rFonts w:ascii="Times New Roman" w:hAnsi="Times New Roman" w:cs="Times New Roman"/>
          <w:sz w:val="18"/>
          <w:szCs w:val="18"/>
          <w:lang w:val="es-ES"/>
        </w:rPr>
        <w:t>Esta sección del informe relata la violencia estructural vivida por la población LGBTIQ+ en Ecuador, dividiendo su análisis en los siguientes títulos: (i) El contexto de discriminación al colectivo LGBTI, (</w:t>
      </w:r>
      <w:proofErr w:type="spellStart"/>
      <w:r w:rsidRPr="003655DC">
        <w:rPr>
          <w:rFonts w:ascii="Times New Roman" w:hAnsi="Times New Roman" w:cs="Times New Roman"/>
          <w:sz w:val="18"/>
          <w:szCs w:val="18"/>
          <w:lang w:val="es-ES"/>
        </w:rPr>
        <w:t>ii</w:t>
      </w:r>
      <w:proofErr w:type="spellEnd"/>
      <w:r w:rsidRPr="003655DC">
        <w:rPr>
          <w:rFonts w:ascii="Times New Roman" w:hAnsi="Times New Roman" w:cs="Times New Roman"/>
          <w:sz w:val="18"/>
          <w:szCs w:val="18"/>
          <w:lang w:val="es-ES"/>
        </w:rPr>
        <w:t>)  Políticas de seguridad local: violencia sistemática e invisibilidad, (</w:t>
      </w:r>
      <w:proofErr w:type="spellStart"/>
      <w:r w:rsidRPr="003655DC">
        <w:rPr>
          <w:rFonts w:ascii="Times New Roman" w:hAnsi="Times New Roman" w:cs="Times New Roman"/>
          <w:sz w:val="18"/>
          <w:szCs w:val="18"/>
          <w:lang w:val="es-ES"/>
        </w:rPr>
        <w:t>iii</w:t>
      </w:r>
      <w:proofErr w:type="spellEnd"/>
      <w:r w:rsidRPr="003655DC">
        <w:rPr>
          <w:rFonts w:ascii="Times New Roman" w:hAnsi="Times New Roman" w:cs="Times New Roman"/>
          <w:sz w:val="18"/>
          <w:szCs w:val="18"/>
          <w:lang w:val="es-ES"/>
        </w:rPr>
        <w:t>)  Pasividad de las autoridades frente a actos de violencia homofóbica; Discriminación y violencia homofóbica en la sociedad, (</w:t>
      </w:r>
      <w:proofErr w:type="spellStart"/>
      <w:r w:rsidRPr="003655DC">
        <w:rPr>
          <w:rFonts w:ascii="Times New Roman" w:hAnsi="Times New Roman" w:cs="Times New Roman"/>
          <w:sz w:val="18"/>
          <w:szCs w:val="18"/>
          <w:lang w:val="es-ES"/>
        </w:rPr>
        <w:t>iv</w:t>
      </w:r>
      <w:proofErr w:type="spellEnd"/>
      <w:r w:rsidRPr="003655DC">
        <w:rPr>
          <w:rFonts w:ascii="Times New Roman" w:hAnsi="Times New Roman" w:cs="Times New Roman"/>
          <w:sz w:val="18"/>
          <w:szCs w:val="18"/>
          <w:lang w:val="es-ES"/>
        </w:rPr>
        <w:t>)  Temor a las represalias e invisibilidad y (v)  Violación de derechos humanos y Violencia sexual.</w:t>
      </w:r>
      <w:r w:rsidRPr="003655DC">
        <w:rPr>
          <w:rFonts w:ascii="Times New Roman" w:hAnsi="Times New Roman" w:cs="Times New Roman"/>
          <w:sz w:val="18"/>
          <w:szCs w:val="18"/>
          <w:vertAlign w:val="superscript"/>
          <w:lang w:val="es-ES"/>
        </w:rPr>
        <w:footnoteRef/>
      </w:r>
      <w:r w:rsidRPr="003655DC">
        <w:rPr>
          <w:rFonts w:ascii="Times New Roman" w:hAnsi="Times New Roman" w:cs="Times New Roman"/>
          <w:sz w:val="18"/>
          <w:szCs w:val="18"/>
          <w:lang w:val="es-ES"/>
        </w:rPr>
        <w:t xml:space="preserve"> La Comisión determina que el Estado, especialmente mediante sus agentes de seguridad, no solo excluyeron y reprimieron a la población LGBTIQ+, ya que les deshumanizaron. </w:t>
      </w:r>
    </w:p>
    <w:p w14:paraId="0704EF2A"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rPr>
        <w:t>https://biblioteca.corteidh.or.cr/documento/59430</w:t>
      </w:r>
    </w:p>
  </w:footnote>
  <w:footnote w:id="74">
    <w:p w14:paraId="62979A6C"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Amnistía Internacional, </w:t>
      </w:r>
      <w:r w:rsidRPr="003655DC">
        <w:rPr>
          <w:rFonts w:ascii="Times New Roman" w:hAnsi="Times New Roman" w:cs="Times New Roman"/>
          <w:i/>
          <w:sz w:val="18"/>
          <w:szCs w:val="18"/>
        </w:rPr>
        <w:t>ECUADOR: Orgullo y prejuicio</w:t>
      </w:r>
      <w:r w:rsidRPr="003655DC">
        <w:rPr>
          <w:rFonts w:ascii="Times New Roman" w:hAnsi="Times New Roman" w:cs="Times New Roman"/>
          <w:sz w:val="18"/>
          <w:szCs w:val="18"/>
        </w:rPr>
        <w:t>, (Madrid: Editorial Amnistía Internacional, 2002), 1, https://www.amnesty.org/es/documents/amr28/001/2002/es/.</w:t>
      </w:r>
    </w:p>
  </w:footnote>
  <w:footnote w:id="75">
    <w:p w14:paraId="7D082406" w14:textId="77777777" w:rsidR="00A53AA0" w:rsidRPr="003655DC" w:rsidRDefault="00A53AA0"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w:t>
      </w:r>
      <w:proofErr w:type="spellStart"/>
      <w:r w:rsidRPr="003655DC">
        <w:rPr>
          <w:rFonts w:ascii="Times New Roman" w:hAnsi="Times New Roman" w:cs="Times New Roman"/>
          <w:sz w:val="18"/>
          <w:szCs w:val="18"/>
        </w:rPr>
        <w:t>Ibíd</w:t>
      </w:r>
      <w:proofErr w:type="spellEnd"/>
      <w:r w:rsidRPr="003655DC">
        <w:rPr>
          <w:rFonts w:ascii="Times New Roman" w:hAnsi="Times New Roman" w:cs="Times New Roman"/>
          <w:sz w:val="18"/>
          <w:szCs w:val="18"/>
        </w:rPr>
        <w:t>.</w:t>
      </w:r>
    </w:p>
  </w:footnote>
  <w:footnote w:id="76">
    <w:p w14:paraId="7F80BB83"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w:t>
      </w:r>
      <w:proofErr w:type="spellStart"/>
      <w:r w:rsidRPr="003655DC">
        <w:rPr>
          <w:rFonts w:ascii="Times New Roman" w:hAnsi="Times New Roman" w:cs="Times New Roman"/>
          <w:sz w:val="18"/>
          <w:szCs w:val="18"/>
        </w:rPr>
        <w:t>Ibíd</w:t>
      </w:r>
      <w:proofErr w:type="spellEnd"/>
      <w:r w:rsidRPr="003655DC">
        <w:rPr>
          <w:rFonts w:ascii="Times New Roman" w:hAnsi="Times New Roman" w:cs="Times New Roman"/>
          <w:sz w:val="18"/>
          <w:szCs w:val="18"/>
        </w:rPr>
        <w:t>., 12.</w:t>
      </w:r>
    </w:p>
  </w:footnote>
  <w:footnote w:id="77">
    <w:p w14:paraId="76C327DF"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 Tribunal Constitucional, “Sentencia”, en </w:t>
      </w:r>
      <w:r w:rsidRPr="003655DC">
        <w:rPr>
          <w:rFonts w:ascii="Times New Roman" w:hAnsi="Times New Roman" w:cs="Times New Roman"/>
          <w:i/>
          <w:sz w:val="18"/>
          <w:szCs w:val="18"/>
        </w:rPr>
        <w:t xml:space="preserve">Caso </w:t>
      </w:r>
      <w:proofErr w:type="spellStart"/>
      <w:r w:rsidRPr="003655DC">
        <w:rPr>
          <w:rFonts w:ascii="Times New Roman" w:hAnsi="Times New Roman" w:cs="Times New Roman"/>
          <w:i/>
          <w:sz w:val="18"/>
          <w:szCs w:val="18"/>
        </w:rPr>
        <w:t>n.°</w:t>
      </w:r>
      <w:proofErr w:type="spellEnd"/>
      <w:r w:rsidRPr="003655DC">
        <w:rPr>
          <w:rFonts w:ascii="Times New Roman" w:hAnsi="Times New Roman" w:cs="Times New Roman"/>
          <w:i/>
          <w:sz w:val="18"/>
          <w:szCs w:val="18"/>
        </w:rPr>
        <w:t xml:space="preserve"> 111-97-TC</w:t>
      </w:r>
      <w:r w:rsidRPr="003655DC">
        <w:rPr>
          <w:rFonts w:ascii="Times New Roman" w:hAnsi="Times New Roman" w:cs="Times New Roman"/>
          <w:sz w:val="18"/>
          <w:szCs w:val="18"/>
        </w:rPr>
        <w:t>, 25 de noviembre de 1997.</w:t>
      </w:r>
    </w:p>
  </w:footnote>
  <w:footnote w:id="78">
    <w:p w14:paraId="37DD9970"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w:t>
      </w:r>
      <w:r w:rsidRPr="003655DC">
        <w:rPr>
          <w:rFonts w:ascii="Times New Roman" w:hAnsi="Times New Roman" w:cs="Times New Roman"/>
          <w:i/>
          <w:iCs/>
          <w:sz w:val="18"/>
          <w:szCs w:val="18"/>
        </w:rPr>
        <w:t>, Ley para la Reparación de las Víctimas y la Judicialización de Graves Violaciones de Derechos Humanos y Delitos de Lesa Humanidad Ocurridos en el Ecuador entre el 4 de Octubre de 1983 y el 31 de diciembre de 2008</w:t>
      </w:r>
      <w:r w:rsidRPr="003655DC">
        <w:rPr>
          <w:rFonts w:ascii="Times New Roman" w:hAnsi="Times New Roman" w:cs="Times New Roman"/>
          <w:sz w:val="18"/>
          <w:szCs w:val="18"/>
        </w:rPr>
        <w:t>, Registro Oficial 143, 13 de diciembre de 2013, art.1.</w:t>
      </w:r>
    </w:p>
  </w:footnote>
  <w:footnote w:id="79">
    <w:p w14:paraId="4B542817" w14:textId="77777777" w:rsidR="00D50D57" w:rsidRPr="003655DC" w:rsidRDefault="00D50D57" w:rsidP="003655DC">
      <w:pPr>
        <w:pStyle w:val="Textonotapie"/>
        <w:rPr>
          <w:rFonts w:cs="Times New Roman"/>
          <w:sz w:val="18"/>
          <w:szCs w:val="18"/>
        </w:rPr>
      </w:pPr>
      <w:r w:rsidRPr="003655DC">
        <w:rPr>
          <w:rStyle w:val="Refdenotaalpie"/>
          <w:rFonts w:cs="Times New Roman"/>
          <w:sz w:val="18"/>
          <w:szCs w:val="18"/>
        </w:rPr>
        <w:footnoteRef/>
      </w:r>
      <w:r w:rsidRPr="003655DC">
        <w:rPr>
          <w:rFonts w:cs="Times New Roman"/>
          <w:sz w:val="18"/>
          <w:szCs w:val="18"/>
        </w:rPr>
        <w:t xml:space="preserve"> http://esacc.corteconstitucional.gob.ec/storage/api/v1/10_DWL_FL/e2NhcnBldGE6J3RyYW1pdGUnLCB1dWlkOidlYThmYzMzNS1mZjQzLTQ4YTMtOWY1MS0xYjI5YzQ2NTY2ZDIucGRmJ30=</w:t>
      </w:r>
    </w:p>
  </w:footnote>
  <w:footnote w:id="80">
    <w:p w14:paraId="096286D9" w14:textId="77777777" w:rsidR="00D50D57" w:rsidRPr="003655DC" w:rsidRDefault="00D50D57" w:rsidP="003655DC">
      <w:pPr>
        <w:jc w:val="both"/>
        <w:rPr>
          <w:rFonts w:ascii="Times New Roman" w:hAnsi="Times New Roman" w:cs="Times New Roman"/>
          <w:sz w:val="18"/>
          <w:szCs w:val="18"/>
        </w:rPr>
      </w:pPr>
      <w:r w:rsidRPr="003655DC">
        <w:rPr>
          <w:rFonts w:ascii="Times New Roman" w:hAnsi="Times New Roman" w:cs="Times New Roman"/>
          <w:sz w:val="18"/>
          <w:szCs w:val="18"/>
          <w:vertAlign w:val="superscript"/>
        </w:rPr>
        <w:footnoteRef/>
      </w:r>
      <w:r w:rsidRPr="003655DC">
        <w:rPr>
          <w:rFonts w:ascii="Times New Roman" w:hAnsi="Times New Roman" w:cs="Times New Roman"/>
          <w:sz w:val="18"/>
          <w:szCs w:val="18"/>
        </w:rPr>
        <w:t xml:space="preserve"> Ecuador Defensoría del Pueblo, </w:t>
      </w:r>
      <w:r w:rsidRPr="003655DC">
        <w:rPr>
          <w:rFonts w:ascii="Times New Roman" w:hAnsi="Times New Roman" w:cs="Times New Roman"/>
          <w:i/>
          <w:sz w:val="18"/>
          <w:szCs w:val="18"/>
        </w:rPr>
        <w:t>Respuesta a solicitud de intervención</w:t>
      </w:r>
      <w:r w:rsidRPr="003655DC">
        <w:rPr>
          <w:rFonts w:ascii="Times New Roman" w:hAnsi="Times New Roman" w:cs="Times New Roman"/>
          <w:sz w:val="18"/>
          <w:szCs w:val="18"/>
        </w:rPr>
        <w:t>, Oficio Nro. DPE-DPE-2021-0029, 25 de octubre de 2021.</w:t>
      </w:r>
    </w:p>
  </w:footnote>
  <w:footnote w:id="81">
    <w:p w14:paraId="371135C9" w14:textId="1CCFC0C9" w:rsidR="00FF7AD0" w:rsidRPr="003655DC" w:rsidRDefault="00FF7AD0" w:rsidP="003655DC">
      <w:pPr>
        <w:pStyle w:val="Textonotapie"/>
        <w:rPr>
          <w:rFonts w:cs="Times New Roman"/>
          <w:sz w:val="18"/>
          <w:szCs w:val="18"/>
          <w:lang w:val="es-ES_tradnl"/>
        </w:rPr>
      </w:pPr>
      <w:r w:rsidRPr="003655DC">
        <w:rPr>
          <w:rStyle w:val="Refdenotaalpie"/>
          <w:rFonts w:cs="Times New Roman"/>
          <w:sz w:val="18"/>
          <w:szCs w:val="18"/>
        </w:rPr>
        <w:footnoteRef/>
      </w:r>
      <w:r w:rsidRPr="003655DC">
        <w:rPr>
          <w:rFonts w:cs="Times New Roman"/>
          <w:sz w:val="18"/>
          <w:szCs w:val="18"/>
          <w:lang w:val="es-ES_tradnl"/>
        </w:rPr>
        <w:t xml:space="preserve"> http://esacc.corteconstitucional.gob.ec/storage/api/v1/10_DWL_FL/e2NhcnBldGE6J3RyYW1pdGUnLCB1dWlkOic0NjA2Y2Q4ZC1lODVhLTQzNWQtYWI4OS03NWE0OTQ3MDY2NzkucGRmJ30=</w:t>
      </w:r>
    </w:p>
  </w:footnote>
  <w:footnote w:id="82">
    <w:p w14:paraId="23DBF406" w14:textId="77777777" w:rsidR="00D50D57" w:rsidRPr="003655DC" w:rsidRDefault="00D50D57" w:rsidP="003655DC">
      <w:pPr>
        <w:jc w:val="both"/>
        <w:rPr>
          <w:rFonts w:ascii="Times New Roman" w:hAnsi="Times New Roman" w:cs="Times New Roman"/>
          <w:sz w:val="18"/>
          <w:szCs w:val="18"/>
          <w:lang w:val="en-US"/>
        </w:rPr>
      </w:pPr>
      <w:r w:rsidRPr="003655DC">
        <w:rPr>
          <w:rStyle w:val="Refdenotaalpie"/>
          <w:rFonts w:ascii="Times New Roman" w:hAnsi="Times New Roman" w:cs="Times New Roman"/>
          <w:sz w:val="18"/>
          <w:szCs w:val="18"/>
        </w:rPr>
        <w:footnoteRef/>
      </w:r>
      <w:r w:rsidRPr="003655DC">
        <w:rPr>
          <w:rFonts w:ascii="Times New Roman" w:hAnsi="Times New Roman" w:cs="Times New Roman"/>
          <w:sz w:val="18"/>
          <w:szCs w:val="18"/>
          <w:lang w:val="en-US"/>
        </w:rPr>
        <w:t xml:space="preserve"> Link: https://www.culturaypatrimonio.gob.ec/un-lugar-de-construccion-permanente-para-la-memoria-y-los-derechos-humanos/</w:t>
      </w:r>
    </w:p>
    <w:p w14:paraId="482D3EB4" w14:textId="77777777" w:rsidR="00D50D57" w:rsidRPr="003655DC" w:rsidRDefault="00D50D57" w:rsidP="003655DC">
      <w:pPr>
        <w:pStyle w:val="Textonotapie"/>
        <w:rPr>
          <w:rFonts w:cs="Times New Roman"/>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C572E" w14:textId="77777777" w:rsidR="00322342" w:rsidRDefault="00000000">
    <w:r>
      <w:rPr>
        <w:noProof/>
      </w:rPr>
      <w:pict w14:anchorId="1D316B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0084449" o:spid="_x0000_s1027" type="#_x0000_t75" style="position:absolute;margin-left:0;margin-top:0;width:457.7pt;height:647.2pt;z-index:-251643904;mso-wrap-edited:f;mso-position-horizontal:center;mso-position-horizontal-relative:margin;mso-position-vertical:center;mso-position-vertical-relative:margin" o:allowincell="f">
          <v:imagedata r:id="rId1" o:title="papeleria_pakta-02"/>
          <w10:wrap anchorx="margin" anchory="margin"/>
        </v:shape>
      </w:pict>
    </w:r>
    <w:r>
      <w:rPr>
        <w:noProof/>
      </w:rPr>
      <w:pict w14:anchorId="76EAC270">
        <v:shape id="WordPictureWatermark2000056353" o:spid="_x0000_s1026" type="#_x0000_t75" style="position:absolute;margin-left:0;margin-top:0;width:457.7pt;height:647.2pt;z-index:-251653120;mso-wrap-edited:f;mso-position-horizontal:center;mso-position-horizontal-relative:margin;mso-position-vertical:center;mso-position-vertical-relative:margin" o:allowincell="f">
          <v:imagedata r:id="rId1" o:title="papeleria_pakta-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F5A85" w14:textId="77777777" w:rsidR="00322342" w:rsidRPr="00322342" w:rsidRDefault="00322342">
    <w:r>
      <w:rPr>
        <w:noProof/>
      </w:rPr>
      <w:drawing>
        <wp:anchor distT="0" distB="0" distL="114300" distR="114300" simplePos="0" relativeHeight="251673600" behindDoc="1" locked="0" layoutInCell="1" allowOverlap="1" wp14:anchorId="2EF66276" wp14:editId="3D2C0ABB">
          <wp:simplePos x="0" y="0"/>
          <wp:positionH relativeFrom="column">
            <wp:posOffset>-837565</wp:posOffset>
          </wp:positionH>
          <wp:positionV relativeFrom="paragraph">
            <wp:posOffset>-182880</wp:posOffset>
          </wp:positionV>
          <wp:extent cx="7568565" cy="1320800"/>
          <wp:effectExtent l="0" t="0" r="0" b="0"/>
          <wp:wrapTight wrapText="bothSides">
            <wp:wrapPolygon edited="0">
              <wp:start x="942" y="5192"/>
              <wp:lineTo x="942" y="14538"/>
              <wp:lineTo x="1051" y="14746"/>
              <wp:lineTo x="2972" y="15162"/>
              <wp:lineTo x="20587" y="15162"/>
              <wp:lineTo x="20696" y="5608"/>
              <wp:lineTo x="2755" y="5192"/>
              <wp:lineTo x="942" y="5192"/>
            </wp:wrapPolygon>
          </wp:wrapTight>
          <wp:docPr id="180300866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008669" name="Picture 1803008669"/>
                  <pic:cNvPicPr/>
                </pic:nvPicPr>
                <pic:blipFill rotWithShape="1">
                  <a:blip r:embed="rId1">
                    <a:extLst>
                      <a:ext uri="{28A0092B-C50C-407E-A947-70E740481C1C}">
                        <a14:useLocalDpi xmlns:a14="http://schemas.microsoft.com/office/drawing/2010/main" val="0"/>
                      </a:ext>
                    </a:extLst>
                  </a:blip>
                  <a:srcRect b="87654"/>
                  <a:stretch/>
                </pic:blipFill>
                <pic:spPr bwMode="auto">
                  <a:xfrm>
                    <a:off x="0" y="0"/>
                    <a:ext cx="7568565" cy="13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7C616" w14:textId="77777777" w:rsidR="00322342" w:rsidRDefault="00000000">
    <w:r>
      <w:rPr>
        <w:noProof/>
      </w:rPr>
      <w:pict w14:anchorId="59BDB8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0084448" o:spid="_x0000_s1025" type="#_x0000_t75" style="position:absolute;margin-left:0;margin-top:0;width:457.7pt;height:647.2pt;z-index:-251646976;mso-wrap-edited:f;mso-position-horizontal:center;mso-position-horizontal-relative:margin;mso-position-vertical:center;mso-position-vertical-relative:margin" o:allowincell="f">
          <v:imagedata r:id="rId1" o:title="papeleria_pakta-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B1493"/>
    <w:multiLevelType w:val="hybridMultilevel"/>
    <w:tmpl w:val="F0E29D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9F5D40"/>
    <w:multiLevelType w:val="hybridMultilevel"/>
    <w:tmpl w:val="38B037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0683F88"/>
    <w:multiLevelType w:val="hybridMultilevel"/>
    <w:tmpl w:val="30F692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E436163"/>
    <w:multiLevelType w:val="hybridMultilevel"/>
    <w:tmpl w:val="D9DA01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E3455B3"/>
    <w:multiLevelType w:val="hybridMultilevel"/>
    <w:tmpl w:val="52E0ABCE"/>
    <w:lvl w:ilvl="0" w:tplc="5DD40F1E">
      <w:start w:val="14"/>
      <w:numFmt w:val="decimal"/>
      <w:lvlText w:val="%1."/>
      <w:lvlJc w:val="left"/>
      <w:pPr>
        <w:ind w:left="360" w:hanging="360"/>
      </w:pPr>
      <w:rPr>
        <w:rFonts w:ascii="Times New Roman" w:hAnsi="Times New Roman" w:hint="default"/>
        <w:b w:val="0"/>
        <w:i w:val="0"/>
        <w:sz w:val="22"/>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 w15:restartNumberingAfterBreak="0">
    <w:nsid w:val="511F66C1"/>
    <w:multiLevelType w:val="hybridMultilevel"/>
    <w:tmpl w:val="7A3CD6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3E96A17"/>
    <w:multiLevelType w:val="hybridMultilevel"/>
    <w:tmpl w:val="6F64C8D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6135004F"/>
    <w:multiLevelType w:val="hybridMultilevel"/>
    <w:tmpl w:val="1132EC2C"/>
    <w:lvl w:ilvl="0" w:tplc="AEDCD0E2">
      <w:start w:val="1"/>
      <w:numFmt w:val="bullet"/>
      <w:lvlText w:val="-"/>
      <w:lvlJc w:val="left"/>
      <w:pPr>
        <w:ind w:left="720" w:hanging="360"/>
      </w:pPr>
      <w:rPr>
        <w:rFonts w:ascii="Garamond" w:eastAsiaTheme="minorEastAsia" w:hAnsi="Garamond"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6AD54359"/>
    <w:multiLevelType w:val="hybridMultilevel"/>
    <w:tmpl w:val="C804C8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DA642A0"/>
    <w:multiLevelType w:val="hybridMultilevel"/>
    <w:tmpl w:val="8A84500C"/>
    <w:lvl w:ilvl="0" w:tplc="3DCAEF30">
      <w:start w:val="1"/>
      <w:numFmt w:val="decimal"/>
      <w:lvlText w:val="%1."/>
      <w:lvlJc w:val="left"/>
      <w:pPr>
        <w:ind w:left="360" w:hanging="360"/>
      </w:pPr>
      <w:rPr>
        <w:rFonts w:ascii="Times New Roman" w:hAnsi="Times New Roman" w:cs="Times New Roman" w:hint="default"/>
        <w:b w:val="0"/>
        <w:i w:val="0"/>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79090E8A"/>
    <w:multiLevelType w:val="hybridMultilevel"/>
    <w:tmpl w:val="21F4071A"/>
    <w:lvl w:ilvl="0" w:tplc="040A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24122105">
    <w:abstractNumId w:val="9"/>
  </w:num>
  <w:num w:numId="2" w16cid:durableId="1159539343">
    <w:abstractNumId w:val="10"/>
  </w:num>
  <w:num w:numId="3" w16cid:durableId="1527014595">
    <w:abstractNumId w:val="4"/>
  </w:num>
  <w:num w:numId="4" w16cid:durableId="1456144753">
    <w:abstractNumId w:val="1"/>
  </w:num>
  <w:num w:numId="5" w16cid:durableId="1361975768">
    <w:abstractNumId w:val="7"/>
  </w:num>
  <w:num w:numId="6" w16cid:durableId="455679929">
    <w:abstractNumId w:val="6"/>
  </w:num>
  <w:num w:numId="7" w16cid:durableId="1538079141">
    <w:abstractNumId w:val="3"/>
  </w:num>
  <w:num w:numId="8" w16cid:durableId="623081833">
    <w:abstractNumId w:val="0"/>
  </w:num>
  <w:num w:numId="9" w16cid:durableId="679937782">
    <w:abstractNumId w:val="2"/>
  </w:num>
  <w:num w:numId="10" w16cid:durableId="93214260">
    <w:abstractNumId w:val="5"/>
  </w:num>
  <w:num w:numId="11" w16cid:durableId="19274199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D57"/>
    <w:rsid w:val="000401A1"/>
    <w:rsid w:val="00094D3E"/>
    <w:rsid w:val="000D0B11"/>
    <w:rsid w:val="000D46FE"/>
    <w:rsid w:val="000E63E8"/>
    <w:rsid w:val="00187BB2"/>
    <w:rsid w:val="001C73A6"/>
    <w:rsid w:val="001C7EA4"/>
    <w:rsid w:val="001F3409"/>
    <w:rsid w:val="001F5A33"/>
    <w:rsid w:val="00282BB9"/>
    <w:rsid w:val="00285C9D"/>
    <w:rsid w:val="002A1868"/>
    <w:rsid w:val="002B2856"/>
    <w:rsid w:val="002E1B60"/>
    <w:rsid w:val="003206C4"/>
    <w:rsid w:val="003206CB"/>
    <w:rsid w:val="00322342"/>
    <w:rsid w:val="003655DC"/>
    <w:rsid w:val="00383208"/>
    <w:rsid w:val="003A7E30"/>
    <w:rsid w:val="003F764A"/>
    <w:rsid w:val="00426B51"/>
    <w:rsid w:val="00484A7D"/>
    <w:rsid w:val="0049647D"/>
    <w:rsid w:val="004A72D1"/>
    <w:rsid w:val="0052628B"/>
    <w:rsid w:val="00536EAE"/>
    <w:rsid w:val="0055695C"/>
    <w:rsid w:val="0058763E"/>
    <w:rsid w:val="00623DC9"/>
    <w:rsid w:val="00691B8B"/>
    <w:rsid w:val="00712FFD"/>
    <w:rsid w:val="007467FF"/>
    <w:rsid w:val="00773C3F"/>
    <w:rsid w:val="00774083"/>
    <w:rsid w:val="00785AF6"/>
    <w:rsid w:val="00793E67"/>
    <w:rsid w:val="007E35BB"/>
    <w:rsid w:val="008364AA"/>
    <w:rsid w:val="008B26B4"/>
    <w:rsid w:val="008D1CD3"/>
    <w:rsid w:val="00973987"/>
    <w:rsid w:val="009A5293"/>
    <w:rsid w:val="009A5F96"/>
    <w:rsid w:val="009C484F"/>
    <w:rsid w:val="009C5D09"/>
    <w:rsid w:val="009D192B"/>
    <w:rsid w:val="009E180F"/>
    <w:rsid w:val="00A53AA0"/>
    <w:rsid w:val="00AA31CA"/>
    <w:rsid w:val="00AB1C3C"/>
    <w:rsid w:val="00AC49E8"/>
    <w:rsid w:val="00AD5B6D"/>
    <w:rsid w:val="00AE3278"/>
    <w:rsid w:val="00B47FED"/>
    <w:rsid w:val="00BD0A7F"/>
    <w:rsid w:val="00BE1101"/>
    <w:rsid w:val="00C229DB"/>
    <w:rsid w:val="00C30B20"/>
    <w:rsid w:val="00D10D7D"/>
    <w:rsid w:val="00D22AA6"/>
    <w:rsid w:val="00D50D57"/>
    <w:rsid w:val="00D516F4"/>
    <w:rsid w:val="00D539E4"/>
    <w:rsid w:val="00D90A53"/>
    <w:rsid w:val="00D91C50"/>
    <w:rsid w:val="00DB2B0E"/>
    <w:rsid w:val="00DC3D19"/>
    <w:rsid w:val="00E34427"/>
    <w:rsid w:val="00F1744D"/>
    <w:rsid w:val="00F25961"/>
    <w:rsid w:val="00F669B4"/>
    <w:rsid w:val="00F954D4"/>
    <w:rsid w:val="00FC0E29"/>
    <w:rsid w:val="00FF7AD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2A5D"/>
  <w15:chartTrackingRefBased/>
  <w15:docId w15:val="{CABAC8F8-A266-433A-A617-2C6C491B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C"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sis"/>
    <w:qFormat/>
    <w:rsid w:val="00D50D57"/>
    <w:rPr>
      <w:rFonts w:eastAsiaTheme="minorEastAsia"/>
      <w:kern w:val="0"/>
      <w:lang w:val="es-ES_tradnl" w:eastAsia="es-ES"/>
      <w14:ligatures w14:val="none"/>
    </w:rPr>
  </w:style>
  <w:style w:type="paragraph" w:styleId="Ttulo2">
    <w:name w:val="heading 2"/>
    <w:basedOn w:val="Normal"/>
    <w:next w:val="Normal"/>
    <w:link w:val="Ttulo2Car"/>
    <w:uiPriority w:val="9"/>
    <w:semiHidden/>
    <w:unhideWhenUsed/>
    <w:qFormat/>
    <w:rsid w:val="00D50D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50D5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322342"/>
    <w:pPr>
      <w:tabs>
        <w:tab w:val="center" w:pos="4680"/>
        <w:tab w:val="right" w:pos="9360"/>
      </w:tabs>
    </w:pPr>
  </w:style>
  <w:style w:type="character" w:customStyle="1" w:styleId="PiedepginaCar">
    <w:name w:val="Pie de página Car"/>
    <w:basedOn w:val="Fuentedeprrafopredeter"/>
    <w:link w:val="Piedepgina"/>
    <w:uiPriority w:val="99"/>
    <w:rsid w:val="00322342"/>
  </w:style>
  <w:style w:type="character" w:customStyle="1" w:styleId="Ttulo2Car">
    <w:name w:val="Título 2 Car"/>
    <w:basedOn w:val="Fuentedeprrafopredeter"/>
    <w:link w:val="Ttulo2"/>
    <w:uiPriority w:val="9"/>
    <w:semiHidden/>
    <w:rsid w:val="00D50D57"/>
    <w:rPr>
      <w:rFonts w:asciiTheme="majorHAnsi" w:eastAsiaTheme="majorEastAsia" w:hAnsiTheme="majorHAnsi" w:cstheme="majorBidi"/>
      <w:color w:val="2F5496" w:themeColor="accent1" w:themeShade="BF"/>
      <w:kern w:val="0"/>
      <w:sz w:val="26"/>
      <w:szCs w:val="26"/>
      <w:lang w:val="es-ES_tradnl" w:eastAsia="es-ES"/>
      <w14:ligatures w14:val="none"/>
    </w:rPr>
  </w:style>
  <w:style w:type="character" w:customStyle="1" w:styleId="Ttulo4Car">
    <w:name w:val="Título 4 Car"/>
    <w:basedOn w:val="Fuentedeprrafopredeter"/>
    <w:link w:val="Ttulo4"/>
    <w:uiPriority w:val="9"/>
    <w:semiHidden/>
    <w:rsid w:val="00D50D57"/>
    <w:rPr>
      <w:rFonts w:asciiTheme="majorHAnsi" w:eastAsiaTheme="majorEastAsia" w:hAnsiTheme="majorHAnsi" w:cstheme="majorBidi"/>
      <w:i/>
      <w:iCs/>
      <w:color w:val="2F5496" w:themeColor="accent1" w:themeShade="BF"/>
      <w:kern w:val="0"/>
      <w:lang w:val="es-ES_tradnl" w:eastAsia="es-ES"/>
      <w14:ligatures w14:val="none"/>
    </w:rPr>
  </w:style>
  <w:style w:type="paragraph" w:styleId="Sinespaciado">
    <w:name w:val="No Spacing"/>
    <w:aliases w:val="APA"/>
    <w:link w:val="SinespaciadoCar"/>
    <w:uiPriority w:val="1"/>
    <w:qFormat/>
    <w:rsid w:val="00D50D57"/>
    <w:pPr>
      <w:spacing w:line="360" w:lineRule="auto"/>
      <w:ind w:firstLine="709"/>
      <w:jc w:val="both"/>
    </w:pPr>
    <w:rPr>
      <w:rFonts w:ascii="Times New Roman" w:eastAsia="Times New Roman" w:hAnsi="Times New Roman"/>
      <w:kern w:val="0"/>
      <w14:ligatures w14:val="non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ootnote Text Char"/>
    <w:basedOn w:val="Sinespaciado"/>
    <w:link w:val="TextonotapieCar"/>
    <w:autoRedefine/>
    <w:uiPriority w:val="99"/>
    <w:unhideWhenUsed/>
    <w:qFormat/>
    <w:rsid w:val="00AD5B6D"/>
    <w:pPr>
      <w:spacing w:line="240" w:lineRule="auto"/>
      <w:ind w:firstLine="0"/>
    </w:pPr>
    <w:rPr>
      <w:sz w:val="22"/>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AD5B6D"/>
    <w:rPr>
      <w:rFonts w:ascii="Times New Roman" w:eastAsia="Times New Roman" w:hAnsi="Times New Roman"/>
      <w:kern w:val="0"/>
      <w:sz w:val="22"/>
      <w:szCs w:val="20"/>
      <w14:ligatures w14:val="none"/>
    </w:rPr>
  </w:style>
  <w:style w:type="paragraph" w:styleId="Prrafodelista">
    <w:name w:val="List Paragraph"/>
    <w:aliases w:val="CIEP,TABLAS"/>
    <w:basedOn w:val="Normal"/>
    <w:link w:val="PrrafodelistaCar"/>
    <w:uiPriority w:val="34"/>
    <w:qFormat/>
    <w:rsid w:val="00D50D57"/>
    <w:pPr>
      <w:spacing w:line="360" w:lineRule="auto"/>
    </w:pPr>
    <w:rPr>
      <w:szCs w:val="22"/>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Footnote symbol"/>
    <w:basedOn w:val="Fuentedeprrafopredeter"/>
    <w:uiPriority w:val="99"/>
    <w:unhideWhenUsed/>
    <w:qFormat/>
    <w:rsid w:val="00D50D57"/>
    <w:rPr>
      <w:vertAlign w:val="superscript"/>
    </w:rPr>
  </w:style>
  <w:style w:type="character" w:customStyle="1" w:styleId="SinespaciadoCar">
    <w:name w:val="Sin espaciado Car"/>
    <w:aliases w:val="APA Car"/>
    <w:basedOn w:val="Fuentedeprrafopredeter"/>
    <w:link w:val="Sinespaciado"/>
    <w:uiPriority w:val="1"/>
    <w:rsid w:val="00D50D57"/>
    <w:rPr>
      <w:rFonts w:ascii="Times New Roman" w:eastAsia="Times New Roman" w:hAnsi="Times New Roman"/>
      <w:kern w:val="0"/>
      <w14:ligatures w14:val="none"/>
    </w:rPr>
  </w:style>
  <w:style w:type="character" w:styleId="Hipervnculo">
    <w:name w:val="Hyperlink"/>
    <w:basedOn w:val="Fuentedeprrafopredeter"/>
    <w:uiPriority w:val="99"/>
    <w:unhideWhenUsed/>
    <w:rsid w:val="00D50D57"/>
    <w:rPr>
      <w:color w:val="0563C1" w:themeColor="hyperlink"/>
      <w:u w:val="single"/>
    </w:rPr>
  </w:style>
  <w:style w:type="table" w:styleId="Tablaconcuadrcula">
    <w:name w:val="Table Grid"/>
    <w:basedOn w:val="Tablanormal"/>
    <w:uiPriority w:val="59"/>
    <w:rsid w:val="00D50D57"/>
    <w:rPr>
      <w:rFonts w:eastAsiaTheme="minorEastAsia"/>
      <w:kern w:val="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Fuentedeprrafopredeter"/>
    <w:rsid w:val="00D50D57"/>
  </w:style>
  <w:style w:type="paragraph" w:styleId="Revisin">
    <w:name w:val="Revision"/>
    <w:hidden/>
    <w:uiPriority w:val="99"/>
    <w:semiHidden/>
    <w:rsid w:val="00D50D57"/>
    <w:rPr>
      <w:rFonts w:eastAsiaTheme="minorEastAsia"/>
      <w:kern w:val="0"/>
      <w:lang w:val="es-ES_tradnl" w:eastAsia="es-ES"/>
      <w14:ligatures w14:val="none"/>
    </w:rPr>
  </w:style>
  <w:style w:type="paragraph" w:styleId="Encabezado">
    <w:name w:val="header"/>
    <w:basedOn w:val="Normal"/>
    <w:link w:val="EncabezadoCar"/>
    <w:uiPriority w:val="99"/>
    <w:unhideWhenUsed/>
    <w:rsid w:val="00D50D57"/>
    <w:pPr>
      <w:tabs>
        <w:tab w:val="center" w:pos="4252"/>
        <w:tab w:val="right" w:pos="8504"/>
      </w:tabs>
    </w:pPr>
  </w:style>
  <w:style w:type="character" w:customStyle="1" w:styleId="EncabezadoCar">
    <w:name w:val="Encabezado Car"/>
    <w:basedOn w:val="Fuentedeprrafopredeter"/>
    <w:link w:val="Encabezado"/>
    <w:uiPriority w:val="99"/>
    <w:rsid w:val="00D50D57"/>
    <w:rPr>
      <w:rFonts w:eastAsiaTheme="minorEastAsia"/>
      <w:kern w:val="0"/>
      <w:lang w:val="es-ES_tradnl" w:eastAsia="es-ES"/>
      <w14:ligatures w14:val="none"/>
    </w:rPr>
  </w:style>
  <w:style w:type="character" w:styleId="Refdecomentario">
    <w:name w:val="annotation reference"/>
    <w:basedOn w:val="Fuentedeprrafopredeter"/>
    <w:uiPriority w:val="99"/>
    <w:semiHidden/>
    <w:unhideWhenUsed/>
    <w:rsid w:val="00D50D57"/>
    <w:rPr>
      <w:sz w:val="16"/>
      <w:szCs w:val="16"/>
    </w:rPr>
  </w:style>
  <w:style w:type="paragraph" w:styleId="Textocomentario">
    <w:name w:val="annotation text"/>
    <w:basedOn w:val="Normal"/>
    <w:link w:val="TextocomentarioCar"/>
    <w:uiPriority w:val="99"/>
    <w:semiHidden/>
    <w:unhideWhenUsed/>
    <w:rsid w:val="00D50D57"/>
    <w:rPr>
      <w:sz w:val="20"/>
      <w:szCs w:val="20"/>
    </w:rPr>
  </w:style>
  <w:style w:type="character" w:customStyle="1" w:styleId="TextocomentarioCar">
    <w:name w:val="Texto comentario Car"/>
    <w:basedOn w:val="Fuentedeprrafopredeter"/>
    <w:link w:val="Textocomentario"/>
    <w:uiPriority w:val="99"/>
    <w:semiHidden/>
    <w:rsid w:val="00D50D57"/>
    <w:rPr>
      <w:rFonts w:eastAsiaTheme="minorEastAsia"/>
      <w:kern w:val="0"/>
      <w:sz w:val="20"/>
      <w:szCs w:val="20"/>
      <w:lang w:val="es-ES_tradnl" w:eastAsia="es-ES"/>
      <w14:ligatures w14:val="none"/>
    </w:rPr>
  </w:style>
  <w:style w:type="paragraph" w:styleId="Asuntodelcomentario">
    <w:name w:val="annotation subject"/>
    <w:basedOn w:val="Textocomentario"/>
    <w:next w:val="Textocomentario"/>
    <w:link w:val="AsuntodelcomentarioCar"/>
    <w:uiPriority w:val="99"/>
    <w:semiHidden/>
    <w:unhideWhenUsed/>
    <w:rsid w:val="00D50D57"/>
    <w:rPr>
      <w:b/>
      <w:bCs/>
    </w:rPr>
  </w:style>
  <w:style w:type="character" w:customStyle="1" w:styleId="AsuntodelcomentarioCar">
    <w:name w:val="Asunto del comentario Car"/>
    <w:basedOn w:val="TextocomentarioCar"/>
    <w:link w:val="Asuntodelcomentario"/>
    <w:uiPriority w:val="99"/>
    <w:semiHidden/>
    <w:rsid w:val="00D50D57"/>
    <w:rPr>
      <w:rFonts w:eastAsiaTheme="minorEastAsia"/>
      <w:b/>
      <w:bCs/>
      <w:kern w:val="0"/>
      <w:sz w:val="20"/>
      <w:szCs w:val="20"/>
      <w:lang w:val="es-ES_tradnl" w:eastAsia="es-ES"/>
      <w14:ligatures w14:val="none"/>
    </w:rPr>
  </w:style>
  <w:style w:type="paragraph" w:styleId="Textodeglobo">
    <w:name w:val="Balloon Text"/>
    <w:basedOn w:val="Normal"/>
    <w:link w:val="TextodegloboCar"/>
    <w:uiPriority w:val="99"/>
    <w:semiHidden/>
    <w:unhideWhenUsed/>
    <w:rsid w:val="00D50D5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50D57"/>
    <w:rPr>
      <w:rFonts w:ascii="Times New Roman" w:eastAsiaTheme="minorEastAsia" w:hAnsi="Times New Roman" w:cs="Times New Roman"/>
      <w:kern w:val="0"/>
      <w:sz w:val="18"/>
      <w:szCs w:val="18"/>
      <w:lang w:val="es-ES_tradnl" w:eastAsia="es-ES"/>
      <w14:ligatures w14:val="none"/>
    </w:rPr>
  </w:style>
  <w:style w:type="character" w:styleId="Mencinsinresolver">
    <w:name w:val="Unresolved Mention"/>
    <w:basedOn w:val="Fuentedeprrafopredeter"/>
    <w:uiPriority w:val="99"/>
    <w:semiHidden/>
    <w:unhideWhenUsed/>
    <w:rsid w:val="00D50D57"/>
    <w:rPr>
      <w:color w:val="605E5C"/>
      <w:shd w:val="clear" w:color="auto" w:fill="E1DFDD"/>
    </w:rPr>
  </w:style>
  <w:style w:type="character" w:styleId="Hipervnculovisitado">
    <w:name w:val="FollowedHyperlink"/>
    <w:basedOn w:val="Fuentedeprrafopredeter"/>
    <w:uiPriority w:val="99"/>
    <w:semiHidden/>
    <w:unhideWhenUsed/>
    <w:rsid w:val="00D50D57"/>
    <w:rPr>
      <w:color w:val="954F72" w:themeColor="followedHyperlink"/>
      <w:u w:val="single"/>
    </w:rPr>
  </w:style>
  <w:style w:type="character" w:customStyle="1" w:styleId="PrrafodelistaCar">
    <w:name w:val="Párrafo de lista Car"/>
    <w:aliases w:val="CIEP Car,TABLAS Car"/>
    <w:link w:val="Prrafodelista"/>
    <w:uiPriority w:val="34"/>
    <w:rsid w:val="00D50D57"/>
    <w:rPr>
      <w:rFonts w:eastAsiaTheme="minorEastAsia"/>
      <w:kern w:val="0"/>
      <w:szCs w:val="22"/>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nviolencia.lgbt/informes/?_sft_post_tag=ecuado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endas.org.ec/documentos/INFORME%20ANUAL%20DDHH%20LGBTI%202017.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inviolencia.lgbt/informe-anual-homicidios-de-personas-lgbti-en-lac-2023/"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suu.com/sendasecuador/docs/informe_ddhh_lgbti_2020"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youtube.com/watch?v=xZARZmwMZxg&amp;t=4168s" TargetMode="External"/><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N3NI-8jgQBU"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F2ha4fp--n0" TargetMode="External"/><Relationship Id="rId3" Type="http://schemas.openxmlformats.org/officeDocument/2006/relationships/hyperlink" Target="https://oeco.padf.org/wp-content/uploads/2024/04/OECO.-BOLETIN-ANUAL-DE-HOMICIDIOS-2023.pdf" TargetMode="External"/><Relationship Id="rId7" Type="http://schemas.openxmlformats.org/officeDocument/2006/relationships/hyperlink" Target="https://www.registrocivil.gob.ec/wp-content/uploads/downloads/2024/03/RO_LEY_REFORMATORIA_LOGIDAC.pd" TargetMode="External"/><Relationship Id="rId2" Type="http://schemas.openxmlformats.org/officeDocument/2006/relationships/hyperlink" Target="https://edicion111.com/2023/09/05/la-falta-de-una-normativa-legal-especifica-permite-que-centros-de-tortura-o-deshomosexualizacion-sigan-operando-en-ecuador/" TargetMode="External"/><Relationship Id="rId1" Type="http://schemas.openxmlformats.org/officeDocument/2006/relationships/hyperlink" Target="https://inredh.org/corazon-borrado-las-secuelas-que-causan-los-centros-de-deshomosexualizacion/" TargetMode="External"/><Relationship Id="rId6" Type="http://schemas.openxmlformats.org/officeDocument/2006/relationships/hyperlink" Target="https://www.eluniverso.com/noticias/seguridad/el-91-de-los-crimenes-ocurridos-durante-2023-estan-bajo-investigacion-es-decir-no-han-sido-resueltos-nota/" TargetMode="External"/><Relationship Id="rId5" Type="http://schemas.openxmlformats.org/officeDocument/2006/relationships/hyperlink" Target="https://www.participacionciudadana.org/web/wp-content/uploads/2024/02/A1-Ecuador-registra-los-niveles-mas-altos-de-crimen.pdf" TargetMode="External"/><Relationship Id="rId4" Type="http://schemas.openxmlformats.org/officeDocument/2006/relationships/hyperlink" Target="https://sinviolencia.lgbt/informe-anual-homicidios-de-personas-lgbti-en-lac-2023/" TargetMode="External"/><Relationship Id="rId9" Type="http://schemas.openxmlformats.org/officeDocument/2006/relationships/hyperlink" Target="https://www.youtube.com/watch?v=btbpC1tF_4g&amp;t=937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FD9993-20F3-C942-8793-D8CED070302C}">
  <ds:schemaRefs>
    <ds:schemaRef ds:uri="http://schemas.openxmlformats.org/officeDocument/2006/bibliography"/>
  </ds:schemaRefs>
</ds:datastoreItem>
</file>

<file path=customXml/itemProps2.xml><?xml version="1.0" encoding="utf-8"?>
<ds:datastoreItem xmlns:ds="http://schemas.openxmlformats.org/officeDocument/2006/customXml" ds:itemID="{713AAE31-DC7F-4570-AE4E-5D2D808B11FF}"/>
</file>

<file path=customXml/itemProps3.xml><?xml version="1.0" encoding="utf-8"?>
<ds:datastoreItem xmlns:ds="http://schemas.openxmlformats.org/officeDocument/2006/customXml" ds:itemID="{3093D279-41CF-44EA-B2A8-A333538FEA2F}"/>
</file>

<file path=docProps/app.xml><?xml version="1.0" encoding="utf-8"?>
<Properties xmlns="http://schemas.openxmlformats.org/officeDocument/2006/extended-properties" xmlns:vt="http://schemas.openxmlformats.org/officeDocument/2006/docPropsVTypes">
  <Template>Normal</Template>
  <TotalTime>2</TotalTime>
  <Pages>23</Pages>
  <Words>8040</Words>
  <Characters>44225</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Karen Anaya</cp:lastModifiedBy>
  <cp:revision>2</cp:revision>
  <cp:lastPrinted>2024-07-25T21:30:00Z</cp:lastPrinted>
  <dcterms:created xsi:type="dcterms:W3CDTF">2024-09-16T16:41:00Z</dcterms:created>
  <dcterms:modified xsi:type="dcterms:W3CDTF">2024-09-16T16:41:00Z</dcterms:modified>
</cp:coreProperties>
</file>