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5A8D8" w14:textId="77777777" w:rsidR="005C79B7" w:rsidRPr="005C79B7" w:rsidRDefault="005C79B7" w:rsidP="009C5243">
      <w:pPr>
        <w:spacing w:afterLines="120" w:after="288"/>
      </w:pPr>
      <w:bookmarkStart w:id="0" w:name="_Hlk194908732"/>
    </w:p>
    <w:p w14:paraId="73D6B209" w14:textId="5D14B737" w:rsidR="002D213D" w:rsidRPr="0033473A" w:rsidRDefault="002D213D" w:rsidP="00FF3207">
      <w:pPr>
        <w:spacing w:after="240"/>
        <w:jc w:val="center"/>
        <w:rPr>
          <w:rFonts w:asciiTheme="majorBidi" w:hAnsiTheme="majorBidi" w:cstheme="majorBidi"/>
          <w:b/>
          <w:sz w:val="24"/>
          <w:szCs w:val="24"/>
        </w:rPr>
      </w:pPr>
      <w:r w:rsidRPr="0033473A">
        <w:rPr>
          <w:rFonts w:asciiTheme="majorBidi" w:hAnsiTheme="majorBidi" w:cstheme="majorBidi"/>
          <w:b/>
          <w:sz w:val="24"/>
          <w:szCs w:val="24"/>
        </w:rPr>
        <w:t>C</w:t>
      </w:r>
      <w:r w:rsidR="6FA9A70D" w:rsidRPr="0033473A">
        <w:rPr>
          <w:rFonts w:asciiTheme="majorBidi" w:hAnsiTheme="majorBidi" w:cstheme="majorBidi"/>
          <w:b/>
          <w:sz w:val="24"/>
          <w:szCs w:val="24"/>
        </w:rPr>
        <w:t>roatia’s Compliance with the Convention on the Elimination of All Forms of Discrimination against Women</w:t>
      </w:r>
    </w:p>
    <w:p w14:paraId="33F59C98" w14:textId="32FC3FAA" w:rsidR="00B86F21" w:rsidRPr="0033473A" w:rsidRDefault="6FA9A70D" w:rsidP="0033473A">
      <w:pPr>
        <w:jc w:val="center"/>
        <w:rPr>
          <w:rFonts w:asciiTheme="majorBidi" w:hAnsiTheme="majorBidi" w:cstheme="majorBidi"/>
          <w:b/>
          <w:bCs/>
          <w:sz w:val="24"/>
          <w:szCs w:val="24"/>
        </w:rPr>
      </w:pPr>
      <w:r w:rsidRPr="0033473A">
        <w:rPr>
          <w:rFonts w:asciiTheme="majorBidi" w:hAnsiTheme="majorBidi" w:cstheme="majorBidi"/>
          <w:b/>
          <w:bCs/>
          <w:sz w:val="24"/>
          <w:szCs w:val="24"/>
        </w:rPr>
        <w:t>Suggested List of Issues Prior to Review Relating to: Gender-</w:t>
      </w:r>
      <w:r w:rsidR="000F5586">
        <w:rPr>
          <w:rFonts w:asciiTheme="majorBidi" w:hAnsiTheme="majorBidi" w:cstheme="majorBidi"/>
          <w:b/>
          <w:bCs/>
          <w:sz w:val="24"/>
          <w:szCs w:val="24"/>
        </w:rPr>
        <w:t>b</w:t>
      </w:r>
      <w:r w:rsidRPr="0033473A">
        <w:rPr>
          <w:rFonts w:asciiTheme="majorBidi" w:hAnsiTheme="majorBidi" w:cstheme="majorBidi"/>
          <w:b/>
          <w:bCs/>
          <w:sz w:val="24"/>
          <w:szCs w:val="24"/>
        </w:rPr>
        <w:t>ased Violence</w:t>
      </w:r>
    </w:p>
    <w:p w14:paraId="2B59F047" w14:textId="77777777" w:rsidR="0033473A" w:rsidRDefault="0033473A" w:rsidP="0033473A">
      <w:pPr>
        <w:jc w:val="center"/>
        <w:rPr>
          <w:rFonts w:asciiTheme="majorBidi" w:hAnsiTheme="majorBidi" w:cstheme="majorBidi"/>
          <w:sz w:val="24"/>
          <w:szCs w:val="24"/>
        </w:rPr>
      </w:pPr>
    </w:p>
    <w:p w14:paraId="5D8FF1FD" w14:textId="0FD9A349" w:rsidR="0033473A" w:rsidRPr="00727734" w:rsidRDefault="6FA9A70D" w:rsidP="0033473A">
      <w:pPr>
        <w:jc w:val="center"/>
        <w:rPr>
          <w:rFonts w:asciiTheme="majorBidi" w:hAnsiTheme="majorBidi" w:cstheme="majorBidi"/>
          <w:b/>
          <w:bCs/>
          <w:sz w:val="24"/>
          <w:szCs w:val="24"/>
        </w:rPr>
      </w:pPr>
      <w:r w:rsidRPr="00727734">
        <w:rPr>
          <w:rFonts w:asciiTheme="majorBidi" w:hAnsiTheme="majorBidi" w:cstheme="majorBidi"/>
          <w:b/>
          <w:bCs/>
          <w:sz w:val="24"/>
          <w:szCs w:val="24"/>
        </w:rPr>
        <w:t>Submitted by</w:t>
      </w:r>
    </w:p>
    <w:p w14:paraId="4A98F73C" w14:textId="77777777" w:rsidR="00544C84" w:rsidRDefault="00544C84" w:rsidP="00544C84">
      <w:pPr>
        <w:jc w:val="center"/>
        <w:rPr>
          <w:rFonts w:ascii="Times New Roman" w:hAnsi="Times New Roman" w:cs="Times New Roman"/>
          <w:sz w:val="24"/>
          <w:szCs w:val="24"/>
          <w:lang w:val="en-GB"/>
        </w:rPr>
      </w:pPr>
      <w:r w:rsidRPr="6B11DAB4">
        <w:rPr>
          <w:rFonts w:ascii="Times New Roman" w:hAnsi="Times New Roman" w:cs="Times New Roman"/>
          <w:b/>
          <w:bCs/>
          <w:sz w:val="24"/>
          <w:szCs w:val="24"/>
          <w:lang w:val="en-GB"/>
        </w:rPr>
        <w:t xml:space="preserve">Autonomous Women’s House Zagreb, </w:t>
      </w:r>
      <w:r w:rsidRPr="6B11DAB4">
        <w:rPr>
          <w:rFonts w:ascii="Times New Roman" w:hAnsi="Times New Roman" w:cs="Times New Roman"/>
          <w:sz w:val="24"/>
          <w:szCs w:val="24"/>
          <w:lang w:val="en-GB"/>
        </w:rPr>
        <w:t>a non-governmental organization</w:t>
      </w:r>
    </w:p>
    <w:p w14:paraId="0CBF0970" w14:textId="28641151" w:rsidR="00544C84" w:rsidRPr="002A3F27" w:rsidRDefault="00544C84" w:rsidP="00544C84">
      <w:pPr>
        <w:jc w:val="center"/>
        <w:rPr>
          <w:rFonts w:ascii="Times New Roman" w:hAnsi="Times New Roman" w:cs="Times New Roman"/>
          <w:b/>
          <w:sz w:val="24"/>
          <w:szCs w:val="24"/>
          <w:lang w:val="en-GB"/>
        </w:rPr>
      </w:pPr>
      <w:r>
        <w:rPr>
          <w:rFonts w:ascii="Times New Roman" w:hAnsi="Times New Roman" w:cs="Times New Roman"/>
          <w:sz w:val="24"/>
          <w:szCs w:val="24"/>
          <w:lang w:val="en-GB"/>
        </w:rPr>
        <w:t>and</w:t>
      </w:r>
    </w:p>
    <w:p w14:paraId="4A15C51D" w14:textId="38A24BC4" w:rsidR="002D213D" w:rsidRPr="00544C84" w:rsidRDefault="6FA9A70D" w:rsidP="00544C84">
      <w:pPr>
        <w:keepNext/>
        <w:keepLines/>
        <w:spacing w:afterLines="120" w:after="288"/>
        <w:jc w:val="center"/>
        <w:rPr>
          <w:rFonts w:ascii="Times New Roman" w:eastAsia="Times New Roman" w:hAnsi="Times New Roman" w:cs="Times New Roman"/>
          <w:b/>
          <w:bCs/>
          <w:color w:val="000000" w:themeColor="text1"/>
          <w:sz w:val="24"/>
          <w:szCs w:val="24"/>
        </w:rPr>
      </w:pPr>
      <w:r w:rsidRPr="1708CB86">
        <w:rPr>
          <w:rFonts w:ascii="Times New Roman" w:eastAsia="Times New Roman" w:hAnsi="Times New Roman" w:cs="Times New Roman"/>
          <w:b/>
          <w:bCs/>
          <w:color w:val="000000" w:themeColor="text1"/>
          <w:sz w:val="24"/>
          <w:szCs w:val="24"/>
        </w:rPr>
        <w:t>The Advocates for Human Rights</w:t>
      </w:r>
      <w:r w:rsidR="00544C84">
        <w:rPr>
          <w:rFonts w:ascii="Times New Roman" w:eastAsia="Times New Roman" w:hAnsi="Times New Roman" w:cs="Times New Roman"/>
          <w:b/>
          <w:bCs/>
          <w:color w:val="000000" w:themeColor="text1"/>
          <w:sz w:val="24"/>
          <w:szCs w:val="24"/>
        </w:rPr>
        <w:t xml:space="preserve">, </w:t>
      </w:r>
      <w:r w:rsidRPr="00EC1D6F">
        <w:rPr>
          <w:rFonts w:asciiTheme="majorBidi" w:hAnsiTheme="majorBidi" w:cstheme="majorBidi"/>
          <w:sz w:val="24"/>
          <w:szCs w:val="24"/>
        </w:rPr>
        <w:t>a non-governmental organization in special consultative status with ECOSOC since 1996</w:t>
      </w:r>
    </w:p>
    <w:p w14:paraId="00120045" w14:textId="5002B123" w:rsidR="36AE53C7" w:rsidRDefault="36AE53C7" w:rsidP="00F92788">
      <w:pPr>
        <w:pStyle w:val="TitlePageHeading"/>
        <w:rPr>
          <w:rFonts w:eastAsia="Times New Roman" w:cs="Times New Roman"/>
          <w:color w:val="000000" w:themeColor="text1"/>
          <w:lang w:val="en-GB"/>
        </w:rPr>
      </w:pPr>
      <w:r w:rsidRPr="6B11DAB4">
        <w:rPr>
          <w:rFonts w:eastAsia="Times New Roman" w:cs="Times New Roman"/>
          <w:color w:val="000000" w:themeColor="text1"/>
        </w:rPr>
        <w:t>for the 94</w:t>
      </w:r>
      <w:r w:rsidRPr="6B11DAB4">
        <w:rPr>
          <w:rFonts w:eastAsia="Times New Roman" w:cs="Times New Roman"/>
          <w:color w:val="000000" w:themeColor="text1"/>
          <w:vertAlign w:val="superscript"/>
        </w:rPr>
        <w:t>th</w:t>
      </w:r>
      <w:r w:rsidRPr="6B11DAB4">
        <w:rPr>
          <w:rFonts w:eastAsia="Times New Roman" w:cs="Times New Roman"/>
          <w:color w:val="000000" w:themeColor="text1"/>
        </w:rPr>
        <w:t xml:space="preserve"> Pre-Sessional Working Group of the Committee on the Elimination of Discrimination against Women</w:t>
      </w:r>
    </w:p>
    <w:p w14:paraId="62DD2F34" w14:textId="3B6F979B" w:rsidR="36AE53C7" w:rsidRDefault="36AE53C7" w:rsidP="00905978">
      <w:pPr>
        <w:pStyle w:val="TitlePageHeading"/>
        <w:spacing w:after="240"/>
        <w:rPr>
          <w:rFonts w:eastAsia="Times New Roman" w:cs="Times New Roman"/>
          <w:color w:val="000000" w:themeColor="text1"/>
          <w:lang w:val="en-GB"/>
        </w:rPr>
      </w:pPr>
      <w:r w:rsidRPr="6B11DAB4">
        <w:rPr>
          <w:rFonts w:eastAsia="Times New Roman" w:cs="Times New Roman"/>
          <w:color w:val="000000" w:themeColor="text1"/>
        </w:rPr>
        <w:t>27–31 October 2025</w:t>
      </w:r>
    </w:p>
    <w:p w14:paraId="4152817F" w14:textId="5A40D95A" w:rsidR="002D213D" w:rsidRPr="003B76D1" w:rsidRDefault="002D213D" w:rsidP="0033473A">
      <w:pPr>
        <w:spacing w:afterLines="120" w:after="288"/>
        <w:jc w:val="center"/>
        <w:rPr>
          <w:rFonts w:ascii="Times New Roman" w:hAnsi="Times New Roman" w:cs="Times New Roman"/>
          <w:b/>
          <w:bCs/>
          <w:color w:val="auto"/>
          <w:sz w:val="24"/>
          <w:szCs w:val="24"/>
          <w:lang w:val="en-GB"/>
        </w:rPr>
      </w:pPr>
      <w:r w:rsidRPr="6B11DAB4">
        <w:rPr>
          <w:rFonts w:ascii="Times New Roman" w:hAnsi="Times New Roman" w:cs="Times New Roman"/>
          <w:b/>
          <w:bCs/>
          <w:color w:val="auto"/>
          <w:sz w:val="24"/>
          <w:szCs w:val="24"/>
          <w:lang w:val="en-GB"/>
        </w:rPr>
        <w:t xml:space="preserve">Submitted </w:t>
      </w:r>
      <w:r w:rsidR="588B7BF4" w:rsidRPr="6B11DAB4">
        <w:rPr>
          <w:rFonts w:ascii="Times New Roman" w:hAnsi="Times New Roman" w:cs="Times New Roman"/>
          <w:b/>
          <w:bCs/>
          <w:color w:val="auto"/>
          <w:sz w:val="24"/>
          <w:szCs w:val="24"/>
          <w:lang w:val="en-GB"/>
        </w:rPr>
        <w:t xml:space="preserve">29 September </w:t>
      </w:r>
      <w:r w:rsidRPr="6B11DAB4">
        <w:rPr>
          <w:rFonts w:ascii="Times New Roman" w:hAnsi="Times New Roman" w:cs="Times New Roman"/>
          <w:b/>
          <w:bCs/>
          <w:color w:val="auto"/>
          <w:sz w:val="24"/>
          <w:szCs w:val="24"/>
          <w:lang w:val="en-GB"/>
        </w:rPr>
        <w:t>2025</w:t>
      </w:r>
    </w:p>
    <w:p w14:paraId="0160216D" w14:textId="02969E21" w:rsidR="00861C7F" w:rsidRPr="003B76D1" w:rsidRDefault="00861C7F" w:rsidP="002A3F27">
      <w:pPr>
        <w:spacing w:afterLines="120" w:after="288"/>
        <w:jc w:val="both"/>
        <w:rPr>
          <w:rFonts w:ascii="Times New Roman" w:hAnsi="Times New Roman" w:cs="Times New Roman"/>
          <w:sz w:val="24"/>
          <w:szCs w:val="24"/>
          <w:lang w:val="en-GB"/>
        </w:rPr>
      </w:pPr>
      <w:r w:rsidRPr="003B76D1">
        <w:rPr>
          <w:rFonts w:ascii="Times New Roman" w:hAnsi="Times New Roman" w:cs="Times New Roman"/>
          <w:b/>
          <w:sz w:val="24"/>
          <w:szCs w:val="24"/>
          <w:lang w:val="en-GB"/>
        </w:rPr>
        <w:t>Autonomous Women’s House Zagreb</w:t>
      </w:r>
      <w:r w:rsidRPr="003B76D1">
        <w:rPr>
          <w:rFonts w:ascii="Times New Roman" w:hAnsi="Times New Roman" w:cs="Times New Roman"/>
          <w:sz w:val="24"/>
          <w:szCs w:val="24"/>
          <w:lang w:val="en-GB"/>
        </w:rPr>
        <w:t xml:space="preserve"> (“AWHZ”) is a feminist, non-governmental, and non-profit organization providing support and help to women who have survived violence and empowering women’s position in society since 1990. AWHZ runs the only shelter in the country with a secret address, providing accommodation, legal aid and representation, and psychological aid, as well as a </w:t>
      </w:r>
      <w:r w:rsidR="003975D2" w:rsidRPr="003B76D1">
        <w:rPr>
          <w:rFonts w:ascii="Times New Roman" w:hAnsi="Times New Roman" w:cs="Times New Roman"/>
          <w:sz w:val="24"/>
          <w:szCs w:val="24"/>
          <w:lang w:val="en-GB"/>
        </w:rPr>
        <w:t>Counselling</w:t>
      </w:r>
      <w:r w:rsidRPr="003B76D1">
        <w:rPr>
          <w:rFonts w:ascii="Times New Roman" w:hAnsi="Times New Roman" w:cs="Times New Roman"/>
          <w:sz w:val="24"/>
          <w:szCs w:val="24"/>
          <w:lang w:val="en-GB"/>
        </w:rPr>
        <w:t xml:space="preserve"> Centre for women, with a free hotline, in-person </w:t>
      </w:r>
      <w:r w:rsidR="003975D2" w:rsidRPr="003B76D1">
        <w:rPr>
          <w:rFonts w:ascii="Times New Roman" w:hAnsi="Times New Roman" w:cs="Times New Roman"/>
          <w:sz w:val="24"/>
          <w:szCs w:val="24"/>
          <w:lang w:val="en-GB"/>
        </w:rPr>
        <w:t>counselling</w:t>
      </w:r>
      <w:r w:rsidRPr="003B76D1">
        <w:rPr>
          <w:rFonts w:ascii="Times New Roman" w:hAnsi="Times New Roman" w:cs="Times New Roman"/>
          <w:sz w:val="24"/>
          <w:szCs w:val="24"/>
          <w:lang w:val="en-GB"/>
        </w:rPr>
        <w:t xml:space="preserve">, risk assessment, and safety planning, psychological </w:t>
      </w:r>
      <w:r w:rsidR="003975D2" w:rsidRPr="003B76D1">
        <w:rPr>
          <w:rFonts w:ascii="Times New Roman" w:hAnsi="Times New Roman" w:cs="Times New Roman"/>
          <w:sz w:val="24"/>
          <w:szCs w:val="24"/>
          <w:lang w:val="en-GB"/>
        </w:rPr>
        <w:t>counselling</w:t>
      </w:r>
      <w:r w:rsidRPr="003B76D1">
        <w:rPr>
          <w:rFonts w:ascii="Times New Roman" w:hAnsi="Times New Roman" w:cs="Times New Roman"/>
          <w:sz w:val="24"/>
          <w:szCs w:val="24"/>
          <w:lang w:val="en-GB"/>
        </w:rPr>
        <w:t>, and legal aid. AWHZ has carried out numerous public campaigns against violence against women and has advocated for legal changes and better implementation of existing legislation.</w:t>
      </w:r>
    </w:p>
    <w:p w14:paraId="56E96A36" w14:textId="08013F27" w:rsidR="00861C7F" w:rsidRPr="003B76D1" w:rsidRDefault="00861C7F" w:rsidP="006B030B">
      <w:pPr>
        <w:spacing w:afterLines="120" w:after="288"/>
        <w:jc w:val="both"/>
        <w:rPr>
          <w:rFonts w:ascii="Times New Roman" w:hAnsi="Times New Roman" w:cs="Times New Roman"/>
          <w:b/>
          <w:bCs/>
          <w:sz w:val="24"/>
          <w:szCs w:val="24"/>
          <w:lang w:val="en-GB"/>
        </w:rPr>
      </w:pPr>
      <w:r w:rsidRPr="003B76D1">
        <w:rPr>
          <w:rStyle w:val="BoilerplatetitleChar"/>
          <w:rFonts w:eastAsia="Arial"/>
          <w:lang w:val="en-GB"/>
        </w:rPr>
        <w:t>The Advocates for Human Rights</w:t>
      </w:r>
      <w:r w:rsidRPr="003B76D1">
        <w:rPr>
          <w:rFonts w:ascii="Times New Roman" w:hAnsi="Times New Roman" w:cs="Times New Roman"/>
          <w:b/>
          <w:sz w:val="24"/>
          <w:szCs w:val="24"/>
          <w:lang w:val="en-GB"/>
        </w:rPr>
        <w:t xml:space="preserve"> </w:t>
      </w:r>
      <w:r w:rsidRPr="003B76D1">
        <w:rPr>
          <w:rStyle w:val="BoilerplatetextChar"/>
          <w:rFonts w:eastAsia="Arial"/>
          <w:lang w:val="en-GB"/>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bookmarkStart w:id="1" w:name="_Hlk41986669"/>
      <w:r w:rsidRPr="003B76D1">
        <w:rPr>
          <w:rStyle w:val="BoilerplatetextChar"/>
          <w:rFonts w:eastAsia="Arial"/>
          <w:lang w:val="en-GB"/>
        </w:rPr>
        <w:t xml:space="preserve">. The Advocates has published </w:t>
      </w:r>
      <w:r w:rsidR="00305263" w:rsidRPr="003B76D1">
        <w:rPr>
          <w:rStyle w:val="BoilerplatetextChar"/>
          <w:rFonts w:eastAsia="Arial"/>
          <w:lang w:val="en-GB"/>
        </w:rPr>
        <w:t>multiple</w:t>
      </w:r>
      <w:r w:rsidRPr="003B76D1">
        <w:rPr>
          <w:rStyle w:val="BoilerplatetextChar"/>
          <w:rFonts w:eastAsia="Arial"/>
          <w:lang w:val="en-GB"/>
        </w:rPr>
        <w:t xml:space="preserve">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bookmarkEnd w:id="1"/>
    <w:p w14:paraId="1359EB0C" w14:textId="59071F5B" w:rsidR="00BE20D4" w:rsidRPr="003B76D1" w:rsidRDefault="00BE20D4" w:rsidP="006B030B">
      <w:pPr>
        <w:spacing w:afterLines="120" w:after="288"/>
        <w:jc w:val="both"/>
        <w:rPr>
          <w:rFonts w:ascii="Times New Roman" w:hAnsi="Times New Roman" w:cs="Times New Roman"/>
          <w:sz w:val="24"/>
          <w:szCs w:val="24"/>
          <w:lang w:val="en-GB"/>
        </w:rPr>
      </w:pPr>
      <w:r w:rsidRPr="003B76D1">
        <w:rPr>
          <w:rFonts w:ascii="Times New Roman" w:hAnsi="Times New Roman" w:cs="Times New Roman"/>
          <w:sz w:val="24"/>
          <w:szCs w:val="24"/>
          <w:lang w:val="en-GB"/>
        </w:rPr>
        <w:br w:type="page"/>
      </w:r>
    </w:p>
    <w:p w14:paraId="646713C9" w14:textId="17674783" w:rsidR="0022554E" w:rsidRPr="003B76D1" w:rsidRDefault="31956503" w:rsidP="002A3F27">
      <w:pPr>
        <w:pStyle w:val="ListParagraph"/>
        <w:spacing w:afterLines="120" w:after="288"/>
        <w:ind w:left="1080"/>
        <w:contextualSpacing w:val="0"/>
        <w:jc w:val="center"/>
        <w:rPr>
          <w:rFonts w:ascii="Times New Roman" w:hAnsi="Times New Roman" w:cs="Times New Roman"/>
          <w:b/>
          <w:bCs/>
          <w:sz w:val="24"/>
          <w:szCs w:val="24"/>
          <w:lang w:val="en-GB"/>
        </w:rPr>
      </w:pPr>
      <w:r w:rsidRPr="6B11DAB4">
        <w:rPr>
          <w:rFonts w:ascii="Times New Roman" w:hAnsi="Times New Roman" w:cs="Times New Roman"/>
          <w:b/>
          <w:bCs/>
          <w:sz w:val="24"/>
          <w:szCs w:val="24"/>
          <w:lang w:val="en-GB"/>
        </w:rPr>
        <w:t>EXECUTIVE SUMMARY</w:t>
      </w:r>
    </w:p>
    <w:p w14:paraId="63D7EC68" w14:textId="68B7621F" w:rsidR="00786E46" w:rsidRPr="003B76D1" w:rsidRDefault="4555BDC6" w:rsidP="006B030B">
      <w:pPr>
        <w:pStyle w:val="ListParagraph"/>
        <w:numPr>
          <w:ilvl w:val="0"/>
          <w:numId w:val="23"/>
        </w:numPr>
        <w:spacing w:afterLines="120" w:after="288"/>
        <w:contextualSpacing w:val="0"/>
        <w:jc w:val="both"/>
        <w:rPr>
          <w:rFonts w:ascii="Times New Roman" w:hAnsi="Times New Roman" w:cs="Times New Roman"/>
          <w:color w:val="000000" w:themeColor="text1"/>
          <w:lang w:val="en-GB"/>
        </w:rPr>
      </w:pPr>
      <w:r w:rsidRPr="6B11DAB4">
        <w:rPr>
          <w:rFonts w:ascii="Times New Roman" w:hAnsi="Times New Roman" w:cs="Times New Roman"/>
          <w:sz w:val="24"/>
          <w:szCs w:val="24"/>
          <w:lang w:val="en-GB"/>
        </w:rPr>
        <w:t>The Committee last reviewed Croatia’s compliance with the Convention on the Elimination of All Forms of Discrimination against Women in 201</w:t>
      </w:r>
      <w:r w:rsidR="002E5BFE">
        <w:rPr>
          <w:rFonts w:ascii="Times New Roman" w:hAnsi="Times New Roman" w:cs="Times New Roman"/>
          <w:sz w:val="24"/>
          <w:szCs w:val="24"/>
          <w:lang w:val="en-GB"/>
        </w:rPr>
        <w:t>5</w:t>
      </w:r>
      <w:r w:rsidRPr="6B11DAB4">
        <w:rPr>
          <w:rFonts w:ascii="Times New Roman" w:hAnsi="Times New Roman" w:cs="Times New Roman"/>
          <w:sz w:val="24"/>
          <w:szCs w:val="24"/>
          <w:lang w:val="en-GB"/>
        </w:rPr>
        <w:t>.</w:t>
      </w:r>
      <w:r w:rsidR="00F2115C">
        <w:rPr>
          <w:rFonts w:ascii="Times New Roman" w:hAnsi="Times New Roman" w:cs="Times New Roman"/>
          <w:sz w:val="24"/>
          <w:szCs w:val="24"/>
          <w:lang w:val="en-GB"/>
        </w:rPr>
        <w:t xml:space="preserve"> </w:t>
      </w:r>
      <w:r w:rsidR="003B76D1" w:rsidRPr="00F2115C">
        <w:rPr>
          <w:rFonts w:ascii="Times New Roman" w:hAnsi="Times New Roman" w:cs="Times New Roman"/>
          <w:sz w:val="24"/>
          <w:szCs w:val="24"/>
          <w:lang w:val="en-GB"/>
        </w:rPr>
        <w:t>This report is submitted for Croatia’s</w:t>
      </w:r>
      <w:r w:rsidR="687573DD" w:rsidRPr="00F2115C">
        <w:rPr>
          <w:rFonts w:ascii="Times New Roman" w:hAnsi="Times New Roman" w:cs="Times New Roman"/>
          <w:sz w:val="24"/>
          <w:szCs w:val="24"/>
          <w:lang w:val="en-GB"/>
        </w:rPr>
        <w:t xml:space="preserve"> List of Issues Prior to Review</w:t>
      </w:r>
      <w:r w:rsidR="003B76D1" w:rsidRPr="00F2115C">
        <w:rPr>
          <w:rFonts w:ascii="Times New Roman" w:hAnsi="Times New Roman" w:cs="Times New Roman"/>
          <w:sz w:val="24"/>
          <w:szCs w:val="24"/>
          <w:lang w:val="en-GB"/>
        </w:rPr>
        <w:t xml:space="preserve"> and focuses on domestic violence </w:t>
      </w:r>
      <w:r w:rsidR="001F6CE9">
        <w:rPr>
          <w:rFonts w:ascii="Times New Roman" w:hAnsi="Times New Roman" w:cs="Times New Roman"/>
          <w:sz w:val="24"/>
          <w:szCs w:val="24"/>
          <w:lang w:val="en-GB"/>
        </w:rPr>
        <w:t xml:space="preserve">(DV) </w:t>
      </w:r>
      <w:r w:rsidR="003B76D1" w:rsidRPr="00F2115C">
        <w:rPr>
          <w:rFonts w:ascii="Times New Roman" w:hAnsi="Times New Roman" w:cs="Times New Roman"/>
          <w:sz w:val="24"/>
          <w:szCs w:val="24"/>
          <w:lang w:val="en-GB"/>
        </w:rPr>
        <w:t xml:space="preserve">and violence against women </w:t>
      </w:r>
      <w:r w:rsidR="001F6CE9">
        <w:rPr>
          <w:rFonts w:ascii="Times New Roman" w:hAnsi="Times New Roman" w:cs="Times New Roman"/>
          <w:sz w:val="24"/>
          <w:szCs w:val="24"/>
          <w:lang w:val="en-GB"/>
        </w:rPr>
        <w:t xml:space="preserve">(VAW) </w:t>
      </w:r>
      <w:r w:rsidR="003B76D1" w:rsidRPr="00F2115C">
        <w:rPr>
          <w:rFonts w:ascii="Times New Roman" w:hAnsi="Times New Roman" w:cs="Times New Roman"/>
          <w:sz w:val="24"/>
          <w:szCs w:val="24"/>
          <w:lang w:val="en-GB"/>
        </w:rPr>
        <w:t>as persistent and systemic human rights challenges. Drawing on recent research, case law, and monitoring by civil society organizations</w:t>
      </w:r>
      <w:r w:rsidR="001F6CE9">
        <w:rPr>
          <w:rFonts w:ascii="Times New Roman" w:hAnsi="Times New Roman" w:cs="Times New Roman"/>
          <w:sz w:val="24"/>
          <w:szCs w:val="24"/>
          <w:lang w:val="en-GB"/>
        </w:rPr>
        <w:t xml:space="preserve"> (CSOs)</w:t>
      </w:r>
      <w:r w:rsidR="003B76D1" w:rsidRPr="00F2115C">
        <w:rPr>
          <w:rFonts w:ascii="Times New Roman" w:hAnsi="Times New Roman" w:cs="Times New Roman"/>
          <w:sz w:val="24"/>
          <w:szCs w:val="24"/>
          <w:lang w:val="en-GB"/>
        </w:rPr>
        <w:t xml:space="preserve">, the report highlights key gaps in the implementation of international human rights standards, particularly in relation to prevention, protection, and access to justice for survivors. </w:t>
      </w:r>
    </w:p>
    <w:p w14:paraId="790676C1" w14:textId="19724FD1" w:rsidR="00BE20D4" w:rsidRPr="006B030B" w:rsidRDefault="003B76D1" w:rsidP="006B030B">
      <w:pPr>
        <w:pStyle w:val="ListParagraph"/>
        <w:numPr>
          <w:ilvl w:val="0"/>
          <w:numId w:val="23"/>
        </w:numPr>
        <w:spacing w:afterLines="120" w:after="288"/>
        <w:contextualSpacing w:val="0"/>
        <w:jc w:val="both"/>
        <w:rPr>
          <w:rFonts w:ascii="Times New Roman" w:hAnsi="Times New Roman" w:cs="Times New Roman"/>
          <w:color w:val="000000" w:themeColor="text1"/>
          <w:lang w:val="en-GB"/>
        </w:rPr>
      </w:pPr>
      <w:r w:rsidRPr="6B11DAB4">
        <w:rPr>
          <w:rFonts w:ascii="Times New Roman" w:hAnsi="Times New Roman" w:cs="Times New Roman"/>
          <w:sz w:val="24"/>
          <w:szCs w:val="24"/>
          <w:lang w:val="en-GB"/>
        </w:rPr>
        <w:t xml:space="preserve">It also identifies emerging concerning trends and institutional practices that undermine the rights of women and children, especially in the context of family law proceedings. </w:t>
      </w:r>
      <w:r w:rsidRPr="6B11DAB4">
        <w:rPr>
          <w:rFonts w:ascii="Times New Roman" w:hAnsi="Times New Roman" w:cs="Times New Roman"/>
          <w:sz w:val="24"/>
          <w:szCs w:val="24"/>
        </w:rPr>
        <w:t xml:space="preserve">In addition, the report addresses the availability, accessibility, and sustainability of shelters and specialized support services for women survivors of violence. </w:t>
      </w:r>
      <w:r w:rsidRPr="6B11DAB4">
        <w:rPr>
          <w:rFonts w:ascii="Times New Roman" w:hAnsi="Times New Roman" w:cs="Times New Roman"/>
          <w:sz w:val="24"/>
          <w:szCs w:val="24"/>
          <w:lang w:val="en-GB"/>
        </w:rPr>
        <w:t xml:space="preserve">The report concludes with </w:t>
      </w:r>
      <w:r w:rsidR="00B86F21">
        <w:rPr>
          <w:rFonts w:ascii="Times New Roman" w:hAnsi="Times New Roman" w:cs="Times New Roman"/>
          <w:sz w:val="24"/>
          <w:szCs w:val="24"/>
          <w:lang w:val="en-GB"/>
        </w:rPr>
        <w:t>a</w:t>
      </w:r>
      <w:r w:rsidRPr="6B11DAB4">
        <w:rPr>
          <w:rFonts w:ascii="Times New Roman" w:hAnsi="Times New Roman" w:cs="Times New Roman"/>
          <w:sz w:val="24"/>
          <w:szCs w:val="24"/>
          <w:lang w:val="en-GB"/>
        </w:rPr>
        <w:t xml:space="preserve"> targeted </w:t>
      </w:r>
      <w:r w:rsidR="002A3F27">
        <w:rPr>
          <w:rFonts w:ascii="Times New Roman" w:hAnsi="Times New Roman" w:cs="Times New Roman"/>
          <w:sz w:val="24"/>
          <w:szCs w:val="24"/>
          <w:lang w:val="en-GB"/>
        </w:rPr>
        <w:t xml:space="preserve">set of </w:t>
      </w:r>
      <w:r w:rsidR="00B86F21">
        <w:rPr>
          <w:rFonts w:ascii="Times New Roman" w:hAnsi="Times New Roman" w:cs="Times New Roman"/>
          <w:sz w:val="24"/>
          <w:szCs w:val="24"/>
          <w:lang w:val="en-GB"/>
        </w:rPr>
        <w:t>questions</w:t>
      </w:r>
      <w:r w:rsidRPr="6B11DAB4">
        <w:rPr>
          <w:rFonts w:ascii="Times New Roman" w:hAnsi="Times New Roman" w:cs="Times New Roman"/>
          <w:sz w:val="24"/>
          <w:szCs w:val="24"/>
          <w:lang w:val="en-GB"/>
        </w:rPr>
        <w:t xml:space="preserve"> aimed at </w:t>
      </w:r>
      <w:r w:rsidR="00B86F21">
        <w:rPr>
          <w:rFonts w:ascii="Times New Roman" w:hAnsi="Times New Roman" w:cs="Times New Roman"/>
          <w:sz w:val="24"/>
          <w:szCs w:val="24"/>
          <w:lang w:val="en-GB"/>
        </w:rPr>
        <w:t>evaluating</w:t>
      </w:r>
      <w:r w:rsidRPr="6B11DAB4">
        <w:rPr>
          <w:rFonts w:ascii="Times New Roman" w:hAnsi="Times New Roman" w:cs="Times New Roman"/>
          <w:sz w:val="24"/>
          <w:szCs w:val="24"/>
          <w:lang w:val="en-GB"/>
        </w:rPr>
        <w:t xml:space="preserve"> Croatia’s legal and policy response to gender-based violence </w:t>
      </w:r>
      <w:r w:rsidR="001F6CE9">
        <w:rPr>
          <w:rFonts w:ascii="Times New Roman" w:hAnsi="Times New Roman" w:cs="Times New Roman"/>
          <w:sz w:val="24"/>
          <w:szCs w:val="24"/>
          <w:lang w:val="en-GB"/>
        </w:rPr>
        <w:t xml:space="preserve">(GBV) </w:t>
      </w:r>
      <w:r w:rsidRPr="6B11DAB4">
        <w:rPr>
          <w:rFonts w:ascii="Times New Roman" w:hAnsi="Times New Roman" w:cs="Times New Roman"/>
          <w:sz w:val="24"/>
          <w:szCs w:val="24"/>
          <w:lang w:val="en-GB"/>
        </w:rPr>
        <w:t xml:space="preserve">and </w:t>
      </w:r>
      <w:r w:rsidR="002A3F27">
        <w:rPr>
          <w:rFonts w:ascii="Times New Roman" w:hAnsi="Times New Roman" w:cs="Times New Roman"/>
          <w:sz w:val="24"/>
          <w:szCs w:val="24"/>
          <w:lang w:val="en-GB"/>
        </w:rPr>
        <w:t xml:space="preserve">the </w:t>
      </w:r>
      <w:r w:rsidRPr="6B11DAB4">
        <w:rPr>
          <w:rFonts w:ascii="Times New Roman" w:hAnsi="Times New Roman" w:cs="Times New Roman"/>
          <w:sz w:val="24"/>
          <w:szCs w:val="24"/>
          <w:lang w:val="en-GB"/>
        </w:rPr>
        <w:t>ensuring full compliance with its international obligations.</w:t>
      </w:r>
    </w:p>
    <w:p w14:paraId="59B26B9C" w14:textId="5D7CFDC0" w:rsidR="6B11DAB4" w:rsidRPr="006B030B" w:rsidRDefault="6EAC36D3" w:rsidP="006B030B">
      <w:pPr>
        <w:spacing w:before="240" w:after="240"/>
        <w:jc w:val="center"/>
        <w:rPr>
          <w:rFonts w:ascii="Times New Roman" w:hAnsi="Times New Roman" w:cs="Times New Roman"/>
          <w:b/>
          <w:sz w:val="24"/>
          <w:szCs w:val="24"/>
          <w:lang w:val="en-GB"/>
        </w:rPr>
      </w:pPr>
      <w:r w:rsidRPr="6B11DAB4">
        <w:rPr>
          <w:rFonts w:ascii="Times New Roman" w:eastAsia="Times New Roman" w:hAnsi="Times New Roman" w:cs="Times New Roman"/>
          <w:b/>
          <w:bCs/>
          <w:color w:val="000000" w:themeColor="text1"/>
          <w:sz w:val="24"/>
          <w:szCs w:val="24"/>
        </w:rPr>
        <w:t>Croatia fails to uphold its obligations under the Convention on the Elimination of All Forms of Discrimination against Women</w:t>
      </w:r>
      <w:r w:rsidR="00B86F21">
        <w:rPr>
          <w:rFonts w:ascii="Times New Roman" w:eastAsia="Times New Roman" w:hAnsi="Times New Roman" w:cs="Times New Roman"/>
          <w:b/>
          <w:bCs/>
          <w:color w:val="000000" w:themeColor="text1"/>
          <w:sz w:val="24"/>
          <w:szCs w:val="24"/>
        </w:rPr>
        <w:t>.</w:t>
      </w:r>
      <w:r w:rsidRPr="6B11DAB4">
        <w:rPr>
          <w:lang w:val="en-GB"/>
        </w:rPr>
        <w:t xml:space="preserve"> </w:t>
      </w:r>
    </w:p>
    <w:p w14:paraId="76B99082" w14:textId="112070FF" w:rsidR="004F3D57" w:rsidRPr="003B76D1" w:rsidRDefault="0045408D" w:rsidP="006B030B">
      <w:pPr>
        <w:pStyle w:val="ListParagraph"/>
        <w:numPr>
          <w:ilvl w:val="0"/>
          <w:numId w:val="23"/>
        </w:numPr>
        <w:spacing w:afterLines="120" w:after="288"/>
        <w:contextualSpacing w:val="0"/>
        <w:jc w:val="both"/>
        <w:rPr>
          <w:rFonts w:ascii="Times New Roman" w:hAnsi="Times New Roman" w:cs="Times New Roman"/>
          <w:sz w:val="24"/>
          <w:szCs w:val="24"/>
          <w:lang w:val="en-GB"/>
        </w:rPr>
      </w:pPr>
      <w:r w:rsidRPr="003B76D1">
        <w:rPr>
          <w:rFonts w:ascii="Times New Roman" w:hAnsi="Times New Roman" w:cs="Times New Roman"/>
          <w:sz w:val="24"/>
          <w:szCs w:val="24"/>
          <w:lang w:val="en-GB"/>
        </w:rPr>
        <w:t xml:space="preserve">Croatia has ratified international and regional treaties relevant to its obligations to prevent and eliminate VAW. </w:t>
      </w:r>
      <w:r w:rsidR="005C3428" w:rsidRPr="003B76D1">
        <w:rPr>
          <w:rFonts w:ascii="Times New Roman" w:hAnsi="Times New Roman" w:cs="Times New Roman"/>
          <w:sz w:val="24"/>
          <w:szCs w:val="24"/>
          <w:lang w:val="en-GB"/>
        </w:rPr>
        <w:t xml:space="preserve">Croatia has ratified </w:t>
      </w:r>
      <w:r w:rsidR="00B86F21">
        <w:rPr>
          <w:rFonts w:ascii="Times New Roman" w:hAnsi="Times New Roman" w:cs="Times New Roman"/>
          <w:sz w:val="24"/>
          <w:szCs w:val="24"/>
          <w:lang w:val="en-GB"/>
        </w:rPr>
        <w:t xml:space="preserve">the </w:t>
      </w:r>
      <w:r w:rsidR="005C3428" w:rsidRPr="003B76D1">
        <w:rPr>
          <w:rFonts w:ascii="Times New Roman" w:hAnsi="Times New Roman" w:cs="Times New Roman"/>
          <w:sz w:val="24"/>
          <w:szCs w:val="24"/>
          <w:lang w:val="en-GB"/>
        </w:rPr>
        <w:t>Convention against Torture and Other Cruel, Inhuman or Degrading Treatment or Punishment (CAT)</w:t>
      </w:r>
      <w:r w:rsidR="00B1349C" w:rsidRPr="003B76D1">
        <w:rPr>
          <w:rStyle w:val="FootnoteReference"/>
          <w:rFonts w:ascii="Times New Roman" w:hAnsi="Times New Roman" w:cs="Times New Roman"/>
          <w:sz w:val="24"/>
          <w:szCs w:val="24"/>
          <w:lang w:val="en-GB"/>
        </w:rPr>
        <w:footnoteReference w:id="2"/>
      </w:r>
      <w:r w:rsidR="001F6CE9">
        <w:rPr>
          <w:rFonts w:ascii="Times New Roman" w:hAnsi="Times New Roman" w:cs="Times New Roman"/>
          <w:sz w:val="24"/>
          <w:szCs w:val="24"/>
          <w:lang w:val="en-GB"/>
        </w:rPr>
        <w:t xml:space="preserve">, </w:t>
      </w:r>
      <w:r w:rsidR="00B1349C" w:rsidRPr="003B76D1">
        <w:rPr>
          <w:rFonts w:ascii="Times New Roman" w:hAnsi="Times New Roman" w:cs="Times New Roman"/>
          <w:sz w:val="24"/>
          <w:szCs w:val="24"/>
          <w:lang w:val="en-GB"/>
        </w:rPr>
        <w:t>the International Covenant on Civil and Political Rights (ICCPR)</w:t>
      </w:r>
      <w:r w:rsidR="00B1349C" w:rsidRPr="003B76D1">
        <w:rPr>
          <w:rStyle w:val="FootnoteReference"/>
          <w:rFonts w:ascii="Times New Roman" w:hAnsi="Times New Roman" w:cs="Times New Roman"/>
          <w:sz w:val="24"/>
          <w:szCs w:val="24"/>
          <w:lang w:val="en-GB"/>
        </w:rPr>
        <w:footnoteReference w:id="3"/>
      </w:r>
      <w:r w:rsidR="001F6CE9">
        <w:rPr>
          <w:rFonts w:ascii="Times New Roman" w:hAnsi="Times New Roman" w:cs="Times New Roman"/>
          <w:sz w:val="24"/>
          <w:szCs w:val="24"/>
          <w:lang w:val="en-GB"/>
        </w:rPr>
        <w:t>,</w:t>
      </w:r>
      <w:r w:rsidR="00B1349C" w:rsidRPr="003B76D1">
        <w:rPr>
          <w:rFonts w:ascii="Times New Roman" w:hAnsi="Times New Roman" w:cs="Times New Roman"/>
          <w:sz w:val="24"/>
          <w:szCs w:val="24"/>
          <w:lang w:val="en-GB"/>
        </w:rPr>
        <w:t xml:space="preserve"> the Convention on the Elimination of All Forms of Discrimination Against Women (CEDAW)</w:t>
      </w:r>
      <w:r w:rsidR="00B1349C" w:rsidRPr="003B76D1">
        <w:rPr>
          <w:rStyle w:val="FootnoteReference"/>
          <w:rFonts w:ascii="Times New Roman" w:hAnsi="Times New Roman" w:cs="Times New Roman"/>
          <w:sz w:val="24"/>
          <w:szCs w:val="24"/>
          <w:lang w:val="en-GB"/>
        </w:rPr>
        <w:footnoteReference w:id="4"/>
      </w:r>
      <w:r w:rsidR="00B1349C" w:rsidRPr="003B76D1">
        <w:rPr>
          <w:rFonts w:ascii="Times New Roman" w:hAnsi="Times New Roman" w:cs="Times New Roman"/>
          <w:sz w:val="24"/>
          <w:szCs w:val="24"/>
          <w:lang w:val="en-GB"/>
        </w:rPr>
        <w:t>, and the Convention on the Rights of the Child (CRC)</w:t>
      </w:r>
      <w:r w:rsidR="00B1349C" w:rsidRPr="003B76D1">
        <w:rPr>
          <w:rStyle w:val="FootnoteReference"/>
          <w:rFonts w:ascii="Times New Roman" w:hAnsi="Times New Roman" w:cs="Times New Roman"/>
          <w:sz w:val="24"/>
          <w:szCs w:val="24"/>
          <w:lang w:val="en-GB"/>
        </w:rPr>
        <w:footnoteReference w:id="5"/>
      </w:r>
      <w:r w:rsidR="00B1349C" w:rsidRPr="003B76D1">
        <w:rPr>
          <w:rFonts w:ascii="Times New Roman" w:hAnsi="Times New Roman" w:cs="Times New Roman"/>
          <w:sz w:val="24"/>
          <w:szCs w:val="24"/>
          <w:lang w:val="en-GB"/>
        </w:rPr>
        <w:t>. Croatia adopted the International Conference on Population and Development Programme of Action</w:t>
      </w:r>
      <w:r w:rsidR="00B1349C" w:rsidRPr="003B76D1">
        <w:rPr>
          <w:rStyle w:val="FootnoteReference"/>
          <w:rFonts w:ascii="Times New Roman" w:hAnsi="Times New Roman" w:cs="Times New Roman"/>
          <w:sz w:val="24"/>
          <w:szCs w:val="24"/>
          <w:lang w:val="en-GB"/>
        </w:rPr>
        <w:footnoteReference w:id="6"/>
      </w:r>
      <w:r w:rsidR="00B1349C" w:rsidRPr="003B76D1">
        <w:rPr>
          <w:rFonts w:ascii="Times New Roman" w:hAnsi="Times New Roman" w:cs="Times New Roman"/>
          <w:sz w:val="24"/>
          <w:szCs w:val="24"/>
          <w:lang w:val="en-GB"/>
        </w:rPr>
        <w:t xml:space="preserve"> and the Beijing Platform for Action of the Fourth World Conference on Women</w:t>
      </w:r>
      <w:r w:rsidR="00B1349C" w:rsidRPr="003B76D1">
        <w:rPr>
          <w:rStyle w:val="FootnoteReference"/>
          <w:rFonts w:ascii="Times New Roman" w:hAnsi="Times New Roman" w:cs="Times New Roman"/>
          <w:sz w:val="24"/>
          <w:szCs w:val="24"/>
          <w:lang w:val="en-GB"/>
        </w:rPr>
        <w:footnoteReference w:id="7"/>
      </w:r>
      <w:r w:rsidR="00B1349C" w:rsidRPr="003B76D1">
        <w:rPr>
          <w:rFonts w:ascii="Times New Roman" w:hAnsi="Times New Roman" w:cs="Times New Roman"/>
          <w:sz w:val="24"/>
          <w:szCs w:val="24"/>
          <w:lang w:val="en-GB"/>
        </w:rPr>
        <w:t>. Croatia ratified the Council of Europe Convention on preventing and combating violence against women and domestic violence (“the Istanbul Convention”) on 13 April 2018</w:t>
      </w:r>
      <w:r w:rsidR="00B1349C" w:rsidRPr="003B76D1">
        <w:rPr>
          <w:rStyle w:val="FootnoteReference"/>
          <w:rFonts w:ascii="Times New Roman" w:hAnsi="Times New Roman" w:cs="Times New Roman"/>
          <w:sz w:val="24"/>
          <w:szCs w:val="24"/>
          <w:lang w:val="en-GB"/>
        </w:rPr>
        <w:footnoteReference w:id="8"/>
      </w:r>
      <w:r w:rsidR="00B1349C" w:rsidRPr="003B76D1">
        <w:rPr>
          <w:rFonts w:ascii="Times New Roman" w:hAnsi="Times New Roman" w:cs="Times New Roman"/>
          <w:sz w:val="24"/>
          <w:szCs w:val="24"/>
          <w:lang w:val="en-GB"/>
        </w:rPr>
        <w:t>. Croatia’s constitution includes the principle that binding international treaty provisions take precedence over conflicting provisions of domestic law.</w:t>
      </w:r>
      <w:r w:rsidR="00B1349C" w:rsidRPr="003B76D1">
        <w:rPr>
          <w:rStyle w:val="FootnoteReference"/>
          <w:rFonts w:ascii="Times New Roman" w:hAnsi="Times New Roman" w:cs="Times New Roman"/>
          <w:sz w:val="24"/>
          <w:szCs w:val="24"/>
          <w:lang w:val="en-GB"/>
        </w:rPr>
        <w:footnoteReference w:id="9"/>
      </w:r>
    </w:p>
    <w:p w14:paraId="6393B441" w14:textId="41529BB5" w:rsidR="004F3D57" w:rsidRPr="00B86F21" w:rsidRDefault="004F3D57" w:rsidP="006B030B">
      <w:pPr>
        <w:spacing w:afterLines="120" w:after="288"/>
        <w:jc w:val="center"/>
        <w:rPr>
          <w:rFonts w:ascii="Times New Roman" w:hAnsi="Times New Roman" w:cs="Times New Roman"/>
          <w:b/>
          <w:sz w:val="24"/>
          <w:szCs w:val="24"/>
          <w:lang w:val="en-GB"/>
        </w:rPr>
      </w:pPr>
      <w:r w:rsidRPr="00B86F21">
        <w:rPr>
          <w:rFonts w:ascii="Times New Roman" w:hAnsi="Times New Roman" w:cs="Times New Roman"/>
          <w:b/>
          <w:sz w:val="24"/>
          <w:szCs w:val="24"/>
          <w:lang w:val="en-GB"/>
        </w:rPr>
        <w:t>II</w:t>
      </w:r>
      <w:r w:rsidRPr="00716D08">
        <w:rPr>
          <w:rFonts w:ascii="Times New Roman" w:hAnsi="Times New Roman" w:cs="Times New Roman"/>
          <w:b/>
          <w:bCs/>
          <w:sz w:val="24"/>
          <w:szCs w:val="24"/>
          <w:lang w:val="en-GB"/>
        </w:rPr>
        <w:t>. Violence against women</w:t>
      </w:r>
      <w:r w:rsidR="00B8141E">
        <w:rPr>
          <w:rFonts w:ascii="Times New Roman" w:hAnsi="Times New Roman" w:cs="Times New Roman"/>
          <w:b/>
          <w:bCs/>
          <w:sz w:val="24"/>
          <w:szCs w:val="24"/>
          <w:lang w:val="en-GB"/>
        </w:rPr>
        <w:t xml:space="preserve"> and </w:t>
      </w:r>
      <w:r w:rsidR="00B8141E" w:rsidRPr="00B8141E">
        <w:rPr>
          <w:rFonts w:ascii="Times New Roman" w:hAnsi="Times New Roman" w:cs="Times New Roman"/>
          <w:b/>
          <w:bCs/>
          <w:sz w:val="24"/>
          <w:szCs w:val="24"/>
        </w:rPr>
        <w:t>Marriage and family relations</w:t>
      </w:r>
      <w:r w:rsidRPr="00716D08">
        <w:rPr>
          <w:rFonts w:ascii="Times New Roman" w:hAnsi="Times New Roman" w:cs="Times New Roman"/>
          <w:b/>
          <w:bCs/>
          <w:sz w:val="24"/>
          <w:szCs w:val="24"/>
          <w:lang w:val="en-GB"/>
        </w:rPr>
        <w:t xml:space="preserve"> (Concluding observations, para 18</w:t>
      </w:r>
      <w:r w:rsidR="00716D08" w:rsidRPr="00716D08">
        <w:rPr>
          <w:rFonts w:ascii="Times New Roman" w:hAnsi="Times New Roman" w:cs="Times New Roman"/>
          <w:b/>
          <w:bCs/>
          <w:sz w:val="24"/>
          <w:szCs w:val="24"/>
          <w:lang w:val="en-GB"/>
        </w:rPr>
        <w:t>-19</w:t>
      </w:r>
      <w:r w:rsidR="00B8141E">
        <w:rPr>
          <w:rFonts w:ascii="Times New Roman" w:hAnsi="Times New Roman" w:cs="Times New Roman"/>
          <w:b/>
          <w:bCs/>
          <w:sz w:val="24"/>
          <w:szCs w:val="24"/>
          <w:lang w:val="en-GB"/>
        </w:rPr>
        <w:t>, 42</w:t>
      </w:r>
      <w:r w:rsidRPr="00716D08">
        <w:rPr>
          <w:rFonts w:ascii="Times New Roman" w:hAnsi="Times New Roman" w:cs="Times New Roman"/>
          <w:b/>
          <w:bCs/>
          <w:sz w:val="24"/>
          <w:szCs w:val="24"/>
          <w:lang w:val="en-GB"/>
        </w:rPr>
        <w:t>)</w:t>
      </w:r>
    </w:p>
    <w:p w14:paraId="0E68758B" w14:textId="2C5A9603" w:rsidR="004F3D57" w:rsidRPr="006B030B" w:rsidRDefault="00B1349C" w:rsidP="006B030B">
      <w:pPr>
        <w:spacing w:afterLines="120" w:after="288"/>
        <w:jc w:val="both"/>
        <w:rPr>
          <w:rFonts w:ascii="Times New Roman" w:hAnsi="Times New Roman" w:cs="Times New Roman"/>
          <w:b/>
          <w:i/>
          <w:sz w:val="24"/>
          <w:szCs w:val="24"/>
          <w:lang w:val="en-GB"/>
        </w:rPr>
      </w:pPr>
      <w:r w:rsidRPr="004F3D57">
        <w:rPr>
          <w:rFonts w:ascii="Times New Roman" w:hAnsi="Times New Roman" w:cs="Times New Roman"/>
          <w:b/>
          <w:bCs/>
          <w:i/>
          <w:iCs/>
          <w:sz w:val="24"/>
          <w:szCs w:val="24"/>
          <w:lang w:val="en-GB"/>
        </w:rPr>
        <w:t>Domestic Legal Framework</w:t>
      </w:r>
    </w:p>
    <w:p w14:paraId="064524CD" w14:textId="724144C9" w:rsidR="00716D08" w:rsidRPr="00417369" w:rsidRDefault="004F3D57" w:rsidP="006B030B">
      <w:pPr>
        <w:pStyle w:val="ListParagraph"/>
        <w:numPr>
          <w:ilvl w:val="0"/>
          <w:numId w:val="23"/>
        </w:numPr>
        <w:spacing w:afterLines="120" w:after="288"/>
        <w:ind w:right="-18"/>
        <w:contextualSpacing w:val="0"/>
        <w:jc w:val="both"/>
        <w:rPr>
          <w:rFonts w:asciiTheme="majorBidi" w:hAnsiTheme="majorBidi" w:cstheme="majorBidi"/>
          <w:sz w:val="24"/>
          <w:szCs w:val="24"/>
        </w:rPr>
      </w:pPr>
      <w:r w:rsidRPr="00417369">
        <w:rPr>
          <w:rFonts w:asciiTheme="majorBidi" w:hAnsiTheme="majorBidi" w:cstheme="majorBidi"/>
          <w:sz w:val="24"/>
          <w:szCs w:val="24"/>
        </w:rPr>
        <w:t>In its 2015 Concluding Observations, the Committee expressed concern about</w:t>
      </w:r>
      <w:r w:rsidR="000300D6" w:rsidRPr="00417369">
        <w:rPr>
          <w:rFonts w:asciiTheme="majorBidi" w:hAnsiTheme="majorBidi" w:cstheme="majorBidi"/>
          <w:sz w:val="24"/>
          <w:szCs w:val="24"/>
        </w:rPr>
        <w:t xml:space="preserve"> </w:t>
      </w:r>
      <w:r w:rsidR="001A4660">
        <w:rPr>
          <w:rFonts w:asciiTheme="majorBidi" w:hAnsiTheme="majorBidi" w:cstheme="majorBidi"/>
          <w:sz w:val="24"/>
          <w:szCs w:val="24"/>
        </w:rPr>
        <w:t xml:space="preserve">how </w:t>
      </w:r>
      <w:r w:rsidR="004A0394" w:rsidRPr="00417369">
        <w:rPr>
          <w:rFonts w:asciiTheme="majorBidi" w:hAnsiTheme="majorBidi" w:cstheme="majorBidi"/>
          <w:sz w:val="24"/>
          <w:szCs w:val="24"/>
        </w:rPr>
        <w:t>Croatia’s</w:t>
      </w:r>
      <w:r w:rsidR="000300D6" w:rsidRPr="00417369">
        <w:rPr>
          <w:rFonts w:asciiTheme="majorBidi" w:hAnsiTheme="majorBidi" w:cstheme="majorBidi"/>
          <w:sz w:val="24"/>
          <w:szCs w:val="24"/>
        </w:rPr>
        <w:t xml:space="preserve"> </w:t>
      </w:r>
      <w:r w:rsidR="004A0394" w:rsidRPr="00417369">
        <w:rPr>
          <w:rFonts w:asciiTheme="majorBidi" w:hAnsiTheme="majorBidi" w:cstheme="majorBidi"/>
          <w:sz w:val="24"/>
          <w:szCs w:val="24"/>
        </w:rPr>
        <w:t xml:space="preserve">current legislative and policy framework prioritizes preserving the family unit over safeguarding women </w:t>
      </w:r>
      <w:r w:rsidR="001A4660">
        <w:rPr>
          <w:rFonts w:asciiTheme="majorBidi" w:hAnsiTheme="majorBidi" w:cstheme="majorBidi"/>
          <w:sz w:val="24"/>
          <w:szCs w:val="24"/>
        </w:rPr>
        <w:t>survivors of</w:t>
      </w:r>
      <w:r w:rsidR="004A0394" w:rsidRPr="00417369">
        <w:rPr>
          <w:rFonts w:asciiTheme="majorBidi" w:hAnsiTheme="majorBidi" w:cstheme="majorBidi"/>
          <w:sz w:val="24"/>
          <w:szCs w:val="24"/>
        </w:rPr>
        <w:t xml:space="preserve"> gender-based domestic violence.</w:t>
      </w:r>
      <w:r w:rsidR="004A0394" w:rsidRPr="00417369">
        <w:rPr>
          <w:rFonts w:asciiTheme="majorBidi" w:hAnsiTheme="majorBidi" w:cstheme="majorBidi"/>
          <w:sz w:val="24"/>
          <w:szCs w:val="24"/>
          <w:vertAlign w:val="superscript"/>
        </w:rPr>
        <w:footnoteReference w:id="10"/>
      </w:r>
      <w:r w:rsidR="004A0394" w:rsidRPr="00417369">
        <w:rPr>
          <w:rFonts w:asciiTheme="majorBidi" w:hAnsiTheme="majorBidi" w:cstheme="majorBidi"/>
          <w:sz w:val="24"/>
          <w:szCs w:val="24"/>
        </w:rPr>
        <w:t xml:space="preserve"> </w:t>
      </w:r>
      <w:r w:rsidR="00716D08" w:rsidRPr="00417369">
        <w:rPr>
          <w:rFonts w:asciiTheme="majorBidi" w:hAnsiTheme="majorBidi" w:cstheme="majorBidi"/>
          <w:sz w:val="24"/>
          <w:szCs w:val="24"/>
        </w:rPr>
        <w:t>Among the Committee’s principal concerns are the practice of dual arrests; the resulting accountability gap when women must pursue domestic-violence charges as misdemeanors instead of criminal offenses; and the insufficient availability of shelters for women experiencing violence.</w:t>
      </w:r>
      <w:r w:rsidR="00716D08" w:rsidRPr="00417369">
        <w:rPr>
          <w:rFonts w:asciiTheme="majorBidi" w:hAnsiTheme="majorBidi" w:cstheme="majorBidi"/>
          <w:sz w:val="24"/>
          <w:szCs w:val="24"/>
          <w:vertAlign w:val="superscript"/>
        </w:rPr>
        <w:footnoteReference w:id="11"/>
      </w:r>
      <w:r w:rsidR="00716D08" w:rsidRPr="00417369">
        <w:rPr>
          <w:rFonts w:asciiTheme="majorBidi" w:hAnsiTheme="majorBidi" w:cstheme="majorBidi"/>
          <w:sz w:val="24"/>
          <w:szCs w:val="24"/>
          <w:vertAlign w:val="superscript"/>
        </w:rPr>
        <w:t xml:space="preserve"> </w:t>
      </w:r>
      <w:r w:rsidR="00716D08" w:rsidRPr="00417369">
        <w:rPr>
          <w:rFonts w:asciiTheme="majorBidi" w:hAnsiTheme="majorBidi" w:cstheme="majorBidi"/>
          <w:sz w:val="24"/>
          <w:szCs w:val="24"/>
        </w:rPr>
        <w:t>The Committee recommended “</w:t>
      </w:r>
      <w:r w:rsidR="00716D08" w:rsidRPr="00417369">
        <w:rPr>
          <w:rFonts w:asciiTheme="majorBidi" w:hAnsiTheme="majorBidi" w:cstheme="majorBidi"/>
          <w:sz w:val="24"/>
          <w:szCs w:val="24"/>
          <w:lang w:val="en-GB"/>
        </w:rPr>
        <w:t>To abolish the practice of dual arrests in cases of domestic violence;</w:t>
      </w:r>
      <w:r w:rsidR="001A4660">
        <w:rPr>
          <w:rFonts w:asciiTheme="majorBidi" w:hAnsiTheme="majorBidi" w:cstheme="majorBidi"/>
          <w:sz w:val="24"/>
          <w:szCs w:val="24"/>
          <w:lang w:val="en-GB"/>
        </w:rPr>
        <w:t xml:space="preserve"> </w:t>
      </w:r>
      <w:r w:rsidR="00716D08" w:rsidRPr="00417369">
        <w:rPr>
          <w:rFonts w:asciiTheme="majorBidi" w:hAnsiTheme="majorBidi" w:cstheme="majorBidi"/>
          <w:sz w:val="24"/>
          <w:szCs w:val="24"/>
          <w:lang w:val="en-GB"/>
        </w:rPr>
        <w:t xml:space="preserve">To amend its criminal legislation on domestic violence to ensure the provision of expeditious protection orders for victims while criminal proceedings are pending and also to provide for civil protective measures that allow for both emergency, ex parte protective measures and/or long-term protective measures, as appropriate; and </w:t>
      </w:r>
      <w:r w:rsidR="00417369">
        <w:rPr>
          <w:rFonts w:asciiTheme="majorBidi" w:eastAsia="Times New Roman" w:hAnsiTheme="majorBidi" w:cstheme="majorBidi"/>
          <w:b/>
          <w:bCs/>
          <w:sz w:val="24"/>
          <w:szCs w:val="24"/>
          <w:lang w:val="en-GB"/>
        </w:rPr>
        <w:t>to</w:t>
      </w:r>
      <w:r w:rsidR="00716D08" w:rsidRPr="00417369">
        <w:rPr>
          <w:rFonts w:asciiTheme="majorBidi" w:eastAsia="Times New Roman" w:hAnsiTheme="majorBidi" w:cstheme="majorBidi"/>
          <w:b/>
          <w:bCs/>
          <w:sz w:val="24"/>
          <w:szCs w:val="24"/>
          <w:lang w:val="en-GB"/>
        </w:rPr>
        <w:t xml:space="preserve"> provide adequate, secure and autonomous funding to shelters and support services for women who are victims of violence</w:t>
      </w:r>
      <w:r w:rsidR="00417369" w:rsidRPr="00417369">
        <w:rPr>
          <w:rFonts w:asciiTheme="majorBidi" w:eastAsia="Times New Roman" w:hAnsiTheme="majorBidi" w:cstheme="majorBidi"/>
          <w:b/>
          <w:bCs/>
          <w:sz w:val="24"/>
          <w:szCs w:val="24"/>
          <w:lang w:val="en-GB"/>
        </w:rPr>
        <w:t>.</w:t>
      </w:r>
      <w:r w:rsidR="00E56068">
        <w:rPr>
          <w:rFonts w:asciiTheme="majorBidi" w:eastAsia="Times New Roman" w:hAnsiTheme="majorBidi" w:cstheme="majorBidi"/>
          <w:b/>
          <w:bCs/>
          <w:sz w:val="24"/>
          <w:szCs w:val="24"/>
          <w:lang w:val="en-GB"/>
        </w:rPr>
        <w:t>”</w:t>
      </w:r>
      <w:r w:rsidR="00E56068">
        <w:rPr>
          <w:rStyle w:val="FootnoteReference"/>
          <w:rFonts w:asciiTheme="majorBidi" w:eastAsia="Times New Roman" w:hAnsiTheme="majorBidi" w:cstheme="majorBidi"/>
          <w:b/>
          <w:bCs/>
          <w:sz w:val="24"/>
          <w:szCs w:val="24"/>
          <w:lang w:val="en-GB"/>
        </w:rPr>
        <w:footnoteReference w:id="12"/>
      </w:r>
      <w:r w:rsidR="00716D08" w:rsidRPr="00417369">
        <w:rPr>
          <w:rFonts w:asciiTheme="majorBidi" w:eastAsia="Times New Roman" w:hAnsiTheme="majorBidi" w:cstheme="majorBidi"/>
          <w:b/>
          <w:bCs/>
          <w:sz w:val="24"/>
          <w:szCs w:val="24"/>
          <w:lang w:val="en-GB"/>
        </w:rPr>
        <w:t xml:space="preserve"> </w:t>
      </w:r>
    </w:p>
    <w:p w14:paraId="7728A375" w14:textId="77777777" w:rsidR="00716D08" w:rsidRPr="00716D08" w:rsidRDefault="00B1349C" w:rsidP="006B030B">
      <w:pPr>
        <w:pStyle w:val="ListParagraph"/>
        <w:numPr>
          <w:ilvl w:val="0"/>
          <w:numId w:val="23"/>
        </w:numPr>
        <w:spacing w:before="240" w:afterLines="120" w:after="288"/>
        <w:ind w:right="-18"/>
        <w:contextualSpacing w:val="0"/>
        <w:jc w:val="both"/>
      </w:pPr>
      <w:r w:rsidRPr="00716D08">
        <w:rPr>
          <w:rFonts w:ascii="Times New Roman" w:hAnsi="Times New Roman" w:cs="Times New Roman"/>
          <w:sz w:val="24"/>
          <w:szCs w:val="24"/>
        </w:rPr>
        <w:t xml:space="preserve">In Croatia, domestic violence is criminalized both as a misdemeanor and as a criminal offence. </w:t>
      </w:r>
      <w:r w:rsidRPr="00716D08">
        <w:rPr>
          <w:rFonts w:ascii="Times New Roman" w:hAnsi="Times New Roman" w:cs="Times New Roman"/>
          <w:sz w:val="24"/>
          <w:szCs w:val="24"/>
          <w:lang w:val="en-GB"/>
        </w:rPr>
        <w:t xml:space="preserve">Police and prosecutors are responsible for deciding whether an act constitutes a misdemeanour under the Law for Protection from Domestic Violence (LPDV) or a crime under the Criminal Code. </w:t>
      </w:r>
      <w:r w:rsidRPr="00716D08">
        <w:rPr>
          <w:rFonts w:ascii="Times New Roman" w:hAnsi="Times New Roman" w:cs="Times New Roman"/>
          <w:sz w:val="24"/>
          <w:szCs w:val="24"/>
        </w:rPr>
        <w:t>However, the legislation lacks a clear and consistent distinction between acts treated as misdemeanors and those classified as crimes. The LPDV defines misdemeanor domestic violence to include physical violence that does not cause injury, corporal punishment, psychological and economic violence, as well as neglect of the needs of elderly or disabled persons. These acts are punishable by a minimum fine of 300 euros or up to 90 days of imprisonment.</w:t>
      </w:r>
      <w:r w:rsidRPr="003B76D1">
        <w:rPr>
          <w:rStyle w:val="FootnoteReference"/>
          <w:rFonts w:ascii="Times New Roman" w:hAnsi="Times New Roman" w:cs="Times New Roman"/>
          <w:sz w:val="24"/>
          <w:szCs w:val="24"/>
        </w:rPr>
        <w:footnoteReference w:id="13"/>
      </w:r>
      <w:r w:rsidRPr="00716D08">
        <w:rPr>
          <w:rFonts w:ascii="Times New Roman" w:hAnsi="Times New Roman" w:cs="Times New Roman"/>
          <w:sz w:val="24"/>
          <w:szCs w:val="24"/>
        </w:rPr>
        <w:t xml:space="preserve"> The law also mandates protection measures, including psychosocial treatment for the perpetrator; prohibition of approaching, harassing, or stalking the victim; removal from the shared household; and compulsory addiction treatment.</w:t>
      </w:r>
      <w:r w:rsidRPr="003B76D1">
        <w:rPr>
          <w:rStyle w:val="FootnoteReference"/>
          <w:rFonts w:ascii="Times New Roman" w:hAnsi="Times New Roman" w:cs="Times New Roman"/>
          <w:sz w:val="24"/>
          <w:szCs w:val="24"/>
        </w:rPr>
        <w:footnoteReference w:id="14"/>
      </w:r>
      <w:r w:rsidRPr="00716D08">
        <w:rPr>
          <w:rFonts w:ascii="Times New Roman" w:hAnsi="Times New Roman" w:cs="Times New Roman"/>
          <w:sz w:val="24"/>
          <w:szCs w:val="24"/>
        </w:rPr>
        <w:t xml:space="preserve"> </w:t>
      </w:r>
    </w:p>
    <w:p w14:paraId="0AF103C8" w14:textId="01C6E21F" w:rsidR="00B1349C" w:rsidRPr="00B86F21" w:rsidRDefault="00B1349C" w:rsidP="006B030B">
      <w:pPr>
        <w:pStyle w:val="ListParagraph"/>
        <w:numPr>
          <w:ilvl w:val="0"/>
          <w:numId w:val="23"/>
        </w:numPr>
        <w:spacing w:afterLines="120" w:after="288"/>
        <w:ind w:right="-18"/>
        <w:contextualSpacing w:val="0"/>
        <w:jc w:val="both"/>
      </w:pPr>
      <w:r w:rsidRPr="00716D08">
        <w:rPr>
          <w:rFonts w:ascii="Times New Roman" w:hAnsi="Times New Roman" w:cs="Times New Roman"/>
          <w:sz w:val="24"/>
          <w:szCs w:val="24"/>
        </w:rPr>
        <w:t>The most recent changes in 2024 extended the rights of the victims, increased fines, and removed the option to fine violations of protection measures, leaving only the option of jail.</w:t>
      </w:r>
      <w:r w:rsidRPr="003B76D1">
        <w:rPr>
          <w:rStyle w:val="FootnoteReference"/>
          <w:rFonts w:ascii="Times New Roman" w:hAnsi="Times New Roman" w:cs="Times New Roman"/>
          <w:sz w:val="24"/>
          <w:szCs w:val="24"/>
        </w:rPr>
        <w:footnoteReference w:id="15"/>
      </w:r>
      <w:r w:rsidRPr="00716D08">
        <w:rPr>
          <w:rFonts w:ascii="Times New Roman" w:hAnsi="Times New Roman" w:cs="Times New Roman"/>
          <w:sz w:val="24"/>
          <w:szCs w:val="24"/>
        </w:rPr>
        <w:t xml:space="preserve"> It also importantly removed the obligation of </w:t>
      </w:r>
      <w:r w:rsidR="00F62BCA">
        <w:rPr>
          <w:rFonts w:ascii="Times New Roman" w:hAnsi="Times New Roman" w:cs="Times New Roman"/>
          <w:sz w:val="24"/>
          <w:szCs w:val="24"/>
        </w:rPr>
        <w:t>CSOs</w:t>
      </w:r>
      <w:r w:rsidRPr="00716D08">
        <w:rPr>
          <w:rFonts w:ascii="Times New Roman" w:hAnsi="Times New Roman" w:cs="Times New Roman"/>
          <w:sz w:val="24"/>
          <w:szCs w:val="24"/>
        </w:rPr>
        <w:t xml:space="preserve"> to report each case of violence, which now allows women’s NGOs to provide anonymous and confidential support.</w:t>
      </w:r>
      <w:r w:rsidRPr="003B76D1">
        <w:rPr>
          <w:rStyle w:val="FootnoteReference"/>
          <w:rFonts w:ascii="Times New Roman" w:hAnsi="Times New Roman" w:cs="Times New Roman"/>
          <w:sz w:val="24"/>
          <w:szCs w:val="24"/>
        </w:rPr>
        <w:footnoteReference w:id="16"/>
      </w:r>
      <w:r w:rsidRPr="00716D08">
        <w:rPr>
          <w:rFonts w:ascii="Times New Roman" w:hAnsi="Times New Roman" w:cs="Times New Roman"/>
          <w:sz w:val="24"/>
          <w:szCs w:val="24"/>
        </w:rPr>
        <w:t xml:space="preserve"> The 2024 amendments also defined that a restraining order must apply for at least 100 meters.</w:t>
      </w:r>
      <w:r w:rsidRPr="003B76D1">
        <w:rPr>
          <w:rStyle w:val="FootnoteReference"/>
          <w:rFonts w:ascii="Times New Roman" w:hAnsi="Times New Roman" w:cs="Times New Roman"/>
          <w:sz w:val="24"/>
          <w:szCs w:val="24"/>
        </w:rPr>
        <w:footnoteReference w:id="17"/>
      </w:r>
      <w:r w:rsidRPr="00716D08">
        <w:rPr>
          <w:rFonts w:ascii="Times New Roman" w:hAnsi="Times New Roman" w:cs="Times New Roman"/>
          <w:sz w:val="24"/>
          <w:szCs w:val="24"/>
        </w:rPr>
        <w:t xml:space="preserve"> This change, which AWHZ lobbied for many years, is intended to eliminate the practice of issuing restraining orders for perpetrators who still live with the victim – the previous lack of minimum distance requirements forced victims to have to leave a room if the perpetrator entered. </w:t>
      </w:r>
      <w:r w:rsidRPr="00716D08">
        <w:rPr>
          <w:rFonts w:ascii="Times New Roman" w:hAnsi="Times New Roman" w:cs="Times New Roman"/>
          <w:sz w:val="24"/>
          <w:szCs w:val="24"/>
          <w:lang w:val="en-GB"/>
        </w:rPr>
        <w:t>While courts are issuing protection orders requiring a minimum distance of 100 meters, other legal changes have not yielded positive results after a year of implementation. Although fines for violating protection orders have been abolished, in practice, perpetrators are often not jailed. Instead, new misdemeanour proceedings are initiated, and fines continue to be imposed.</w:t>
      </w:r>
      <w:r w:rsidRPr="003B76D1">
        <w:rPr>
          <w:rStyle w:val="FootnoteReference"/>
          <w:rFonts w:ascii="Times New Roman" w:hAnsi="Times New Roman" w:cs="Times New Roman"/>
          <w:sz w:val="24"/>
          <w:szCs w:val="24"/>
        </w:rPr>
        <w:footnoteReference w:id="18"/>
      </w:r>
      <w:r w:rsidRPr="00716D08">
        <w:rPr>
          <w:rFonts w:ascii="Times New Roman" w:hAnsi="Times New Roman" w:cs="Times New Roman"/>
          <w:sz w:val="24"/>
          <w:szCs w:val="24"/>
        </w:rPr>
        <w:t xml:space="preserve"> </w:t>
      </w:r>
    </w:p>
    <w:p w14:paraId="2CD306A3" w14:textId="7DF600E3" w:rsidR="00B1349C" w:rsidRPr="006B030B" w:rsidRDefault="00B1349C" w:rsidP="006B030B">
      <w:pPr>
        <w:pStyle w:val="ListParagraph"/>
        <w:numPr>
          <w:ilvl w:val="0"/>
          <w:numId w:val="23"/>
        </w:numPr>
        <w:spacing w:afterLines="120" w:after="288"/>
        <w:contextualSpacing w:val="0"/>
        <w:jc w:val="both"/>
        <w:rPr>
          <w:rFonts w:ascii="Times New Roman" w:hAnsi="Times New Roman" w:cs="Times New Roman"/>
          <w:sz w:val="24"/>
          <w:szCs w:val="24"/>
        </w:rPr>
      </w:pPr>
      <w:r w:rsidRPr="003B76D1">
        <w:rPr>
          <w:rFonts w:ascii="Times New Roman" w:hAnsi="Times New Roman" w:cs="Times New Roman"/>
          <w:sz w:val="24"/>
          <w:szCs w:val="24"/>
        </w:rPr>
        <w:t>There are several articles in the Criminal Code on aggravated acts committed against a close person, including murder</w:t>
      </w:r>
      <w:r w:rsidRPr="003B76D1">
        <w:rPr>
          <w:rFonts w:ascii="Times New Roman" w:hAnsi="Times New Roman" w:cs="Times New Roman"/>
          <w:sz w:val="24"/>
          <w:szCs w:val="24"/>
          <w:vertAlign w:val="superscript"/>
        </w:rPr>
        <w:footnoteReference w:id="19"/>
      </w:r>
      <w:r w:rsidRPr="003B76D1">
        <w:rPr>
          <w:rFonts w:ascii="Times New Roman" w:hAnsi="Times New Roman" w:cs="Times New Roman"/>
          <w:sz w:val="24"/>
          <w:szCs w:val="24"/>
        </w:rPr>
        <w:t>, bodily injury</w:t>
      </w:r>
      <w:r w:rsidRPr="003B76D1">
        <w:rPr>
          <w:rFonts w:ascii="Times New Roman" w:hAnsi="Times New Roman" w:cs="Times New Roman"/>
          <w:sz w:val="24"/>
          <w:szCs w:val="24"/>
          <w:vertAlign w:val="superscript"/>
        </w:rPr>
        <w:footnoteReference w:id="20"/>
      </w:r>
      <w:r w:rsidRPr="003B76D1">
        <w:rPr>
          <w:rFonts w:ascii="Times New Roman" w:hAnsi="Times New Roman" w:cs="Times New Roman"/>
          <w:sz w:val="24"/>
          <w:szCs w:val="24"/>
        </w:rPr>
        <w:t>, grievous bodily injury</w:t>
      </w:r>
      <w:r w:rsidRPr="003B76D1">
        <w:rPr>
          <w:rFonts w:ascii="Times New Roman" w:hAnsi="Times New Roman" w:cs="Times New Roman"/>
          <w:sz w:val="24"/>
          <w:szCs w:val="24"/>
          <w:vertAlign w:val="superscript"/>
        </w:rPr>
        <w:footnoteReference w:id="21"/>
      </w:r>
      <w:r w:rsidRPr="003B76D1">
        <w:rPr>
          <w:rFonts w:ascii="Times New Roman" w:hAnsi="Times New Roman" w:cs="Times New Roman"/>
          <w:sz w:val="24"/>
          <w:szCs w:val="24"/>
        </w:rPr>
        <w:t>, particularly grievous bodily injury</w:t>
      </w:r>
      <w:r w:rsidRPr="003B76D1">
        <w:rPr>
          <w:rFonts w:ascii="Times New Roman" w:hAnsi="Times New Roman" w:cs="Times New Roman"/>
          <w:sz w:val="24"/>
          <w:szCs w:val="24"/>
          <w:vertAlign w:val="superscript"/>
        </w:rPr>
        <w:footnoteReference w:id="22"/>
      </w:r>
      <w:r w:rsidRPr="003B76D1">
        <w:rPr>
          <w:rFonts w:ascii="Times New Roman" w:hAnsi="Times New Roman" w:cs="Times New Roman"/>
          <w:sz w:val="24"/>
          <w:szCs w:val="24"/>
        </w:rPr>
        <w:t>, female genital mutilation</w:t>
      </w:r>
      <w:r w:rsidRPr="003B76D1">
        <w:rPr>
          <w:rFonts w:ascii="Times New Roman" w:hAnsi="Times New Roman" w:cs="Times New Roman"/>
          <w:sz w:val="24"/>
          <w:szCs w:val="24"/>
          <w:vertAlign w:val="superscript"/>
        </w:rPr>
        <w:footnoteReference w:id="23"/>
      </w:r>
      <w:r w:rsidRPr="003B76D1">
        <w:rPr>
          <w:rFonts w:ascii="Times New Roman" w:hAnsi="Times New Roman" w:cs="Times New Roman"/>
          <w:sz w:val="24"/>
          <w:szCs w:val="24"/>
        </w:rPr>
        <w:t>, unlawful deprivation of liberty</w:t>
      </w:r>
      <w:r w:rsidRPr="003B76D1">
        <w:rPr>
          <w:rFonts w:ascii="Times New Roman" w:hAnsi="Times New Roman" w:cs="Times New Roman"/>
          <w:sz w:val="24"/>
          <w:szCs w:val="24"/>
          <w:vertAlign w:val="superscript"/>
        </w:rPr>
        <w:footnoteReference w:id="24"/>
      </w:r>
      <w:r w:rsidRPr="003B76D1">
        <w:rPr>
          <w:rFonts w:ascii="Times New Roman" w:hAnsi="Times New Roman" w:cs="Times New Roman"/>
          <w:sz w:val="24"/>
          <w:szCs w:val="24"/>
        </w:rPr>
        <w:t>, coercion</w:t>
      </w:r>
      <w:r w:rsidRPr="003B76D1">
        <w:rPr>
          <w:rFonts w:ascii="Times New Roman" w:hAnsi="Times New Roman" w:cs="Times New Roman"/>
          <w:sz w:val="24"/>
          <w:szCs w:val="24"/>
          <w:vertAlign w:val="superscript"/>
        </w:rPr>
        <w:footnoteReference w:id="25"/>
      </w:r>
      <w:r w:rsidRPr="003B76D1">
        <w:rPr>
          <w:rFonts w:ascii="Times New Roman" w:hAnsi="Times New Roman" w:cs="Times New Roman"/>
          <w:sz w:val="24"/>
          <w:szCs w:val="24"/>
        </w:rPr>
        <w:t>, threat</w:t>
      </w:r>
      <w:r w:rsidRPr="003B76D1">
        <w:rPr>
          <w:rFonts w:ascii="Times New Roman" w:hAnsi="Times New Roman" w:cs="Times New Roman"/>
          <w:sz w:val="24"/>
          <w:szCs w:val="24"/>
          <w:vertAlign w:val="superscript"/>
        </w:rPr>
        <w:footnoteReference w:id="26"/>
      </w:r>
      <w:r w:rsidRPr="003B76D1">
        <w:rPr>
          <w:rFonts w:ascii="Times New Roman" w:hAnsi="Times New Roman" w:cs="Times New Roman"/>
          <w:sz w:val="24"/>
          <w:szCs w:val="24"/>
        </w:rPr>
        <w:t>, and stalking</w:t>
      </w:r>
      <w:r w:rsidRPr="003B76D1">
        <w:rPr>
          <w:rFonts w:ascii="Times New Roman" w:hAnsi="Times New Roman" w:cs="Times New Roman"/>
          <w:sz w:val="24"/>
          <w:szCs w:val="24"/>
          <w:vertAlign w:val="superscript"/>
        </w:rPr>
        <w:footnoteReference w:id="27"/>
      </w:r>
      <w:r w:rsidRPr="003B76D1">
        <w:rPr>
          <w:rFonts w:ascii="Times New Roman" w:hAnsi="Times New Roman" w:cs="Times New Roman"/>
          <w:sz w:val="24"/>
          <w:szCs w:val="24"/>
        </w:rPr>
        <w:t>. The Criminal Code also includes a separate offence of domestic violence in Art 179a.</w:t>
      </w:r>
      <w:r w:rsidRPr="003B76D1">
        <w:rPr>
          <w:rFonts w:ascii="Times New Roman" w:hAnsi="Times New Roman" w:cs="Times New Roman"/>
          <w:sz w:val="24"/>
          <w:szCs w:val="24"/>
          <w:vertAlign w:val="superscript"/>
        </w:rPr>
        <w:footnoteReference w:id="28"/>
      </w:r>
      <w:r w:rsidRPr="003B76D1">
        <w:rPr>
          <w:rFonts w:ascii="Times New Roman" w:hAnsi="Times New Roman" w:cs="Times New Roman"/>
          <w:sz w:val="24"/>
          <w:szCs w:val="24"/>
          <w:vertAlign w:val="superscript"/>
        </w:rPr>
        <w:t xml:space="preserve"> </w:t>
      </w:r>
      <w:r w:rsidRPr="003B76D1">
        <w:rPr>
          <w:rFonts w:ascii="Times New Roman" w:hAnsi="Times New Roman" w:cs="Times New Roman"/>
          <w:sz w:val="24"/>
          <w:szCs w:val="24"/>
        </w:rPr>
        <w:t>Both the Criminal Code and Code of Criminal Procedure include protection measures to ensure the victim's protection during court proceedings and after the verdict. In harmony with the LPDV, the Criminal Code includes five safety measures that can be used against the perpetrator in cases of VAW. These include: prohibition of approaching, harassing, or stalking the victim (Art. 73); removal from a joint household (Art. 74); compulsory psychiatric treatment (Art. 68); compulsory treatment for addiction (Art. 69); and compulsory psychosocial treatment (Art. 70). Recent changes to the Criminal Code clarified Art. 74, thus, restraining orders must be at least 100 meters, in line with the recent changes to the LPDV. The Croatian Parliament also included the crime of femicide in early 2024 into the Croatian Criminal Code in Art. 111a, under “Aggravated murder of a woman.”</w:t>
      </w:r>
      <w:bookmarkStart w:id="2" w:name="_Ref168658664"/>
      <w:r w:rsidRPr="003B76D1">
        <w:rPr>
          <w:rFonts w:ascii="Times New Roman" w:hAnsi="Times New Roman" w:cs="Times New Roman"/>
          <w:sz w:val="24"/>
          <w:szCs w:val="24"/>
          <w:vertAlign w:val="superscript"/>
        </w:rPr>
        <w:footnoteReference w:id="29"/>
      </w:r>
      <w:bookmarkEnd w:id="2"/>
      <w:r w:rsidRPr="003B76D1">
        <w:rPr>
          <w:rFonts w:ascii="Times New Roman" w:hAnsi="Times New Roman" w:cs="Times New Roman"/>
          <w:sz w:val="24"/>
          <w:szCs w:val="24"/>
        </w:rPr>
        <w:t xml:space="preserve"> </w:t>
      </w:r>
      <w:bookmarkStart w:id="3" w:name="_Ref168658404"/>
      <w:r w:rsidRPr="003B76D1">
        <w:rPr>
          <w:rFonts w:ascii="Times New Roman" w:hAnsi="Times New Roman" w:cs="Times New Roman"/>
          <w:sz w:val="24"/>
          <w:szCs w:val="24"/>
        </w:rPr>
        <w:t>This change was made following repeated requests from women’s organizations, fueled by several cases of femicide.</w:t>
      </w:r>
      <w:bookmarkEnd w:id="3"/>
      <w:r w:rsidRPr="003B76D1">
        <w:rPr>
          <w:rFonts w:ascii="Times New Roman" w:hAnsi="Times New Roman" w:cs="Times New Roman"/>
          <w:sz w:val="24"/>
          <w:szCs w:val="24"/>
          <w:vertAlign w:val="superscript"/>
        </w:rPr>
        <w:footnoteReference w:id="30"/>
      </w:r>
      <w:r w:rsidRPr="003B76D1">
        <w:rPr>
          <w:rFonts w:ascii="Times New Roman" w:hAnsi="Times New Roman" w:cs="Times New Roman"/>
          <w:sz w:val="24"/>
          <w:szCs w:val="24"/>
        </w:rPr>
        <w:t xml:space="preserve"> Legislative changes also include a definition of gender-based violence.</w:t>
      </w:r>
      <w:r w:rsidRPr="003B76D1">
        <w:rPr>
          <w:rFonts w:ascii="Times New Roman" w:hAnsi="Times New Roman" w:cs="Times New Roman"/>
          <w:sz w:val="24"/>
          <w:szCs w:val="24"/>
          <w:vertAlign w:val="superscript"/>
        </w:rPr>
        <w:footnoteReference w:id="31"/>
      </w:r>
    </w:p>
    <w:p w14:paraId="7527AEEA" w14:textId="77777777" w:rsidR="00B1349C" w:rsidRPr="003B76D1" w:rsidRDefault="00B1349C" w:rsidP="006B030B">
      <w:pPr>
        <w:pStyle w:val="NoSpacing"/>
        <w:spacing w:afterLines="120" w:after="288" w:line="276" w:lineRule="auto"/>
        <w:jc w:val="both"/>
        <w:rPr>
          <w:b/>
          <w:bCs/>
          <w:i/>
          <w:iCs/>
        </w:rPr>
      </w:pPr>
      <w:r w:rsidRPr="003B76D1">
        <w:rPr>
          <w:b/>
          <w:bCs/>
          <w:i/>
          <w:iCs/>
        </w:rPr>
        <w:t>Gender-neutral approach to VAW and DV</w:t>
      </w:r>
    </w:p>
    <w:p w14:paraId="77D12C7D" w14:textId="6303A9E3" w:rsidR="00B1349C" w:rsidRPr="003B76D1" w:rsidRDefault="00B1349C" w:rsidP="006B030B">
      <w:pPr>
        <w:pStyle w:val="NoSpacing"/>
        <w:numPr>
          <w:ilvl w:val="0"/>
          <w:numId w:val="23"/>
        </w:numPr>
        <w:spacing w:afterLines="120" w:after="288" w:line="276" w:lineRule="auto"/>
        <w:jc w:val="both"/>
        <w:rPr>
          <w:lang w:val="en-GB"/>
        </w:rPr>
      </w:pPr>
      <w:r w:rsidRPr="003B76D1">
        <w:rPr>
          <w:lang w:val="en-GB"/>
        </w:rPr>
        <w:t>A key issue inhibiting the state’s response to VAW and DV is the lack of recognition that women survivors experience severe trauma and need tailored, victim-centred, trauma-informed support from state institutions. VAW and DV are often treated as isolated incidents, ignoring patterns of coercive control and prolonged abuse. This leads to victim-blaming, secondary victimization, and discourages women from seeking help. Despite recent legal changes, the law still fails to clearly distinguish intimate partner violence from other forms of domestic violence, which remains a serious concern</w:t>
      </w:r>
      <w:r w:rsidRPr="003B76D1">
        <w:t>.</w:t>
      </w:r>
      <w:r w:rsidRPr="003B76D1">
        <w:rPr>
          <w:rStyle w:val="FootnoteReference"/>
        </w:rPr>
        <w:footnoteReference w:id="32"/>
      </w:r>
      <w:r w:rsidRPr="003B76D1">
        <w:t xml:space="preserve"> </w:t>
      </w:r>
    </w:p>
    <w:p w14:paraId="2EA4B12C" w14:textId="77777777" w:rsidR="00B1349C" w:rsidRPr="003B76D1" w:rsidRDefault="00B1349C" w:rsidP="006B030B">
      <w:pPr>
        <w:pStyle w:val="NoSpacing"/>
        <w:spacing w:afterLines="120" w:after="288" w:line="276" w:lineRule="auto"/>
        <w:jc w:val="both"/>
        <w:rPr>
          <w:b/>
          <w:bCs/>
          <w:i/>
          <w:iCs/>
        </w:rPr>
      </w:pPr>
      <w:r w:rsidRPr="003B76D1">
        <w:rPr>
          <w:b/>
          <w:bCs/>
          <w:i/>
          <w:iCs/>
        </w:rPr>
        <w:t>Prosecution and punishment</w:t>
      </w:r>
    </w:p>
    <w:p w14:paraId="7F2D9EE7" w14:textId="017B5B7E" w:rsidR="00B1349C" w:rsidRPr="003B76D1" w:rsidRDefault="00B1349C" w:rsidP="006B030B">
      <w:pPr>
        <w:pStyle w:val="NoSpacing"/>
        <w:numPr>
          <w:ilvl w:val="0"/>
          <w:numId w:val="23"/>
        </w:numPr>
        <w:spacing w:afterLines="120" w:after="288" w:line="276" w:lineRule="auto"/>
        <w:jc w:val="both"/>
        <w:rPr>
          <w:lang w:val="en-GB"/>
        </w:rPr>
      </w:pPr>
      <w:r w:rsidRPr="003B76D1">
        <w:rPr>
          <w:lang w:val="en-GB"/>
        </w:rPr>
        <w:t>Cases are frequently treated as isolated incidents without investigating the history of abuse. As a result, women are sometimes charged as equally violent, even when defending themselves or reacting to ongoing abuse</w:t>
      </w:r>
      <w:r w:rsidRPr="003B76D1">
        <w:t>.</w:t>
      </w:r>
      <w:r w:rsidRPr="003B76D1">
        <w:rPr>
          <w:rStyle w:val="FootnoteReference"/>
        </w:rPr>
        <w:footnoteReference w:id="33"/>
      </w:r>
      <w:r w:rsidRPr="003B76D1">
        <w:t xml:space="preserve"> </w:t>
      </w:r>
    </w:p>
    <w:p w14:paraId="3FE227DE" w14:textId="04680C5C" w:rsidR="00B1349C" w:rsidRPr="003B76D1" w:rsidRDefault="00B1349C" w:rsidP="006B030B">
      <w:pPr>
        <w:pStyle w:val="NoSpacing"/>
        <w:numPr>
          <w:ilvl w:val="0"/>
          <w:numId w:val="23"/>
        </w:numPr>
        <w:spacing w:afterLines="120" w:after="288" w:line="276" w:lineRule="auto"/>
        <w:jc w:val="both"/>
        <w:rPr>
          <w:lang w:val="en-GB"/>
        </w:rPr>
      </w:pPr>
      <w:r w:rsidRPr="003B76D1">
        <w:rPr>
          <w:lang w:val="en-GB"/>
        </w:rPr>
        <w:t>Fines and conditional sentences tend to be the most common punishments under both the Misdemeanour and Criminal Codes. In 2024</w:t>
      </w:r>
      <w:r w:rsidRPr="003B76D1" w:rsidDel="00F62BCA">
        <w:rPr>
          <w:lang w:val="en-GB"/>
        </w:rPr>
        <w:t xml:space="preserve">, </w:t>
      </w:r>
      <w:r w:rsidRPr="003B76D1">
        <w:rPr>
          <w:lang w:val="en-GB"/>
        </w:rPr>
        <w:t>there were 6,949 reported cases of domestic violence under the LPDV, involving 6,168 perpetrators—76% of whom were men</w:t>
      </w:r>
      <w:r w:rsidRPr="003B76D1">
        <w:t>.</w:t>
      </w:r>
      <w:r w:rsidRPr="003B76D1">
        <w:rPr>
          <w:rStyle w:val="FootnoteReference"/>
        </w:rPr>
        <w:footnoteReference w:id="34"/>
      </w:r>
      <w:r w:rsidRPr="003B76D1">
        <w:t xml:space="preserve"> Fines were imposed in 60% of cases, conditional sentences in 29% of cases, while prison sentences were imposed in only 7%.</w:t>
      </w:r>
      <w:r w:rsidRPr="003B76D1">
        <w:rPr>
          <w:rStyle w:val="FootnoteReference"/>
        </w:rPr>
        <w:footnoteReference w:id="35"/>
      </w:r>
      <w:r w:rsidRPr="003B76D1">
        <w:t xml:space="preserve"> Regarding the application of Article 179a of the Criminal Code – Domestic Violence, 65% were conditional sentences, 33.5% were unconditional imprisonment sentences, 0.19% were fines, and 1.16% were imposed community service sanctions.</w:t>
      </w:r>
      <w:r w:rsidRPr="003B76D1">
        <w:rPr>
          <w:rStyle w:val="FootnoteReference"/>
        </w:rPr>
        <w:footnoteReference w:id="36"/>
      </w:r>
      <w:r w:rsidRPr="003B76D1">
        <w:t xml:space="preserve"> </w:t>
      </w:r>
      <w:r w:rsidRPr="003B76D1">
        <w:rPr>
          <w:lang w:val="en-GB"/>
        </w:rPr>
        <w:t xml:space="preserve">While penalties for </w:t>
      </w:r>
      <w:r w:rsidR="00F62BCA">
        <w:rPr>
          <w:lang w:val="en-GB"/>
        </w:rPr>
        <w:t>DV</w:t>
      </w:r>
      <w:r w:rsidRPr="003B76D1">
        <w:rPr>
          <w:lang w:val="en-GB"/>
        </w:rPr>
        <w:t xml:space="preserve"> under the </w:t>
      </w:r>
      <w:r w:rsidRPr="003B76D1">
        <w:t>CC</w:t>
      </w:r>
      <w:r w:rsidRPr="003B76D1">
        <w:rPr>
          <w:lang w:val="en-GB"/>
        </w:rPr>
        <w:t xml:space="preserve"> are mostly conditional or minimal,</w:t>
      </w:r>
      <w:r w:rsidRPr="003B76D1">
        <w:rPr>
          <w:rStyle w:val="FootnoteReference"/>
          <w:lang w:val="en-GB"/>
        </w:rPr>
        <w:footnoteReference w:id="37"/>
      </w:r>
      <w:r w:rsidRPr="003B76D1">
        <w:rPr>
          <w:lang w:val="en-GB"/>
        </w:rPr>
        <w:t xml:space="preserve"> </w:t>
      </w:r>
      <w:r w:rsidRPr="003B76D1">
        <w:t>for women accused of manipulation, proposals and imposition of unconditional prison sentences for parental alienation or separation are more severe than those for abusers.</w:t>
      </w:r>
      <w:r w:rsidRPr="003B76D1">
        <w:rPr>
          <w:vertAlign w:val="superscript"/>
        </w:rPr>
        <w:footnoteReference w:id="38"/>
      </w:r>
    </w:p>
    <w:p w14:paraId="73E1F21E" w14:textId="288A91A4" w:rsidR="00B1349C" w:rsidRPr="003B76D1" w:rsidRDefault="00B1349C" w:rsidP="006B030B">
      <w:pPr>
        <w:pStyle w:val="NoSpacing"/>
        <w:numPr>
          <w:ilvl w:val="0"/>
          <w:numId w:val="23"/>
        </w:numPr>
        <w:spacing w:afterLines="120" w:after="288" w:line="276" w:lineRule="auto"/>
        <w:jc w:val="both"/>
        <w:rPr>
          <w:lang w:val="en-GB"/>
        </w:rPr>
      </w:pPr>
      <w:r w:rsidRPr="003B76D1">
        <w:t>Protection orders for victims are not sufficiently prioritized or implemented. While the number of issued restraining orders under LPDV have increased, the number of eviction orders are decreasing, with the police implementing 215 such orders in 2020</w:t>
      </w:r>
      <w:r w:rsidRPr="003B76D1">
        <w:rPr>
          <w:rStyle w:val="FootnoteReference"/>
        </w:rPr>
        <w:footnoteReference w:id="39"/>
      </w:r>
      <w:r w:rsidRPr="003B76D1">
        <w:t>, 212 in 2021</w:t>
      </w:r>
      <w:r w:rsidRPr="003B76D1">
        <w:rPr>
          <w:rStyle w:val="FootnoteReference"/>
        </w:rPr>
        <w:footnoteReference w:id="40"/>
      </w:r>
      <w:r w:rsidRPr="003B76D1">
        <w:t xml:space="preserve"> and 175 in 2022</w:t>
      </w:r>
      <w:r w:rsidRPr="003B76D1">
        <w:rPr>
          <w:rStyle w:val="FootnoteReference"/>
        </w:rPr>
        <w:footnoteReference w:id="41"/>
      </w:r>
      <w:r w:rsidRPr="003B76D1">
        <w:t>. Out of 162 perpetrators mandated to undergo psychosocial treatment in 2024, only 115 received such treatment (71%).</w:t>
      </w:r>
      <w:r w:rsidRPr="003B76D1">
        <w:rPr>
          <w:vertAlign w:val="superscript"/>
        </w:rPr>
        <w:footnoteReference w:id="42"/>
      </w:r>
      <w:r w:rsidRPr="003B76D1">
        <w:rPr>
          <w:vertAlign w:val="superscript"/>
        </w:rPr>
        <w:t xml:space="preserve"> </w:t>
      </w:r>
      <w:r w:rsidRPr="003B76D1">
        <w:t>The Ministry of the Interior attributes this to exclusion criteria, disqualifying 47 individuals.</w:t>
      </w:r>
      <w:r w:rsidRPr="003B76D1">
        <w:rPr>
          <w:rStyle w:val="FootnoteReference"/>
        </w:rPr>
        <w:footnoteReference w:id="43"/>
      </w:r>
      <w:r w:rsidRPr="003B76D1">
        <w:t xml:space="preserve"> This inconsistency prompts scrutiny of why such treatment is labeled mandatory when inclusion criteria render it effectively optional.</w:t>
      </w:r>
      <w:r w:rsidRPr="003B76D1">
        <w:rPr>
          <w:rStyle w:val="FootnoteReference"/>
        </w:rPr>
        <w:footnoteReference w:id="44"/>
      </w:r>
    </w:p>
    <w:p w14:paraId="69DAF7DB" w14:textId="7C1B0D4B" w:rsidR="00B1349C" w:rsidRPr="003B76D1" w:rsidRDefault="00B1349C" w:rsidP="006B030B">
      <w:pPr>
        <w:pStyle w:val="NoSpacing"/>
        <w:numPr>
          <w:ilvl w:val="0"/>
          <w:numId w:val="23"/>
        </w:numPr>
        <w:spacing w:afterLines="120" w:after="288" w:line="276" w:lineRule="auto"/>
        <w:jc w:val="both"/>
      </w:pPr>
      <w:r w:rsidRPr="003B76D1">
        <w:t>Research by civil society</w:t>
      </w:r>
      <w:r w:rsidRPr="003B76D1" w:rsidDel="000439CD">
        <w:t xml:space="preserve"> </w:t>
      </w:r>
      <w:r w:rsidRPr="003B76D1">
        <w:t xml:space="preserve">showed that only about a third of women </w:t>
      </w:r>
      <w:r w:rsidR="00F62BCA">
        <w:t xml:space="preserve">survivors  </w:t>
      </w:r>
      <w:r w:rsidRPr="003B76D1">
        <w:t xml:space="preserve"> of </w:t>
      </w:r>
      <w:r w:rsidR="00F62BCA">
        <w:t>DV</w:t>
      </w:r>
      <w:r w:rsidRPr="003B76D1">
        <w:t xml:space="preserve"> requested protection orders. According to the survey results, women who abstained from requesting any protection measures were mostly afraid (36.04%), did not feel they needed one (21.83%), or did not know that they could apply for one (14.72%). What is especially concerning is that over half of the respondents who have received the protection order (52.46%) did not perceive it to be effective in ensuring protection.</w:t>
      </w:r>
      <w:r w:rsidRPr="003B76D1">
        <w:rPr>
          <w:rStyle w:val="FootnoteReference"/>
        </w:rPr>
        <w:footnoteReference w:id="45"/>
      </w:r>
      <w:r w:rsidRPr="003B76D1">
        <w:t xml:space="preserve"> The same research showed that 56% of legal experts felt the protection orders in Croatia are generally ineffective. Related, most NGOs (73%) noted that the protection orders in Croatia are not adequately available to survivors</w:t>
      </w:r>
      <w:r w:rsidR="006B030B">
        <w:t>,</w:t>
      </w:r>
      <w:r w:rsidRPr="003B76D1">
        <w:t xml:space="preserve"> and over half (56%) of the surveyed NGOs considered </w:t>
      </w:r>
      <w:r w:rsidR="006B030B">
        <w:t xml:space="preserve">that </w:t>
      </w:r>
      <w:r w:rsidRPr="003B76D1">
        <w:t>protection orders are not adequately enforced.</w:t>
      </w:r>
      <w:r w:rsidRPr="003B76D1">
        <w:rPr>
          <w:rStyle w:val="FootnoteReference"/>
        </w:rPr>
        <w:footnoteReference w:id="46"/>
      </w:r>
      <w:r w:rsidRPr="003B76D1">
        <w:t xml:space="preserve"> </w:t>
      </w:r>
    </w:p>
    <w:p w14:paraId="3F1640E8" w14:textId="7015DB22" w:rsidR="00B1349C" w:rsidRPr="003B76D1" w:rsidRDefault="00B1349C" w:rsidP="006B030B">
      <w:pPr>
        <w:pStyle w:val="NoSpacing"/>
        <w:numPr>
          <w:ilvl w:val="0"/>
          <w:numId w:val="23"/>
        </w:numPr>
        <w:spacing w:afterLines="120" w:after="288" w:line="276" w:lineRule="auto"/>
        <w:jc w:val="both"/>
        <w:rPr>
          <w:lang w:val="en-GB"/>
        </w:rPr>
      </w:pPr>
      <w:r w:rsidRPr="003B76D1">
        <w:t>The practice of dual arrests, although lessened, still persists in Croatia.</w:t>
      </w:r>
      <w:r w:rsidRPr="003B76D1">
        <w:rPr>
          <w:vertAlign w:val="superscript"/>
        </w:rPr>
        <w:footnoteReference w:id="47"/>
      </w:r>
      <w:r w:rsidRPr="003B76D1">
        <w:t xml:space="preserve"> Women are charged alongside perpetrators for domestic violence when defending themselves or for insulting the perpetrator who was beating them. The Ministry of the Interior twice urged training on this issue, but this concept was met with resistance initially.</w:t>
      </w:r>
      <w:r w:rsidRPr="003B76D1">
        <w:rPr>
          <w:vertAlign w:val="superscript"/>
        </w:rPr>
        <w:footnoteReference w:id="48"/>
      </w:r>
      <w:r w:rsidRPr="003B76D1">
        <w:rPr>
          <w:vertAlign w:val="superscript"/>
        </w:rPr>
        <w:t xml:space="preserve"> </w:t>
      </w:r>
      <w:r w:rsidRPr="003B76D1">
        <w:t>Acceptance grew only after citing scientific sources to validate the necessity of such training.</w:t>
      </w:r>
      <w:r w:rsidRPr="003B76D1">
        <w:rPr>
          <w:vertAlign w:val="superscript"/>
        </w:rPr>
        <w:footnoteReference w:id="49"/>
      </w:r>
      <w:r w:rsidRPr="003B76D1">
        <w:t xml:space="preserve"> </w:t>
      </w:r>
      <w:r w:rsidRPr="003B76D1">
        <w:rPr>
          <w:lang w:val="en-GB"/>
        </w:rPr>
        <w:t>Despite the Ministry of Interior claims that such cases of dual arrests are rare, shelter and counselling staff report encountering them regularly.</w:t>
      </w:r>
      <w:r w:rsidRPr="003B76D1">
        <w:rPr>
          <w:rStyle w:val="FootnoteReference"/>
          <w:lang w:val="en-GB"/>
        </w:rPr>
        <w:footnoteReference w:id="50"/>
      </w:r>
    </w:p>
    <w:p w14:paraId="3FCA28DA" w14:textId="77777777" w:rsidR="00B1349C" w:rsidRPr="003B76D1" w:rsidRDefault="00B1349C" w:rsidP="006B030B">
      <w:pPr>
        <w:pStyle w:val="NoSpacing"/>
        <w:spacing w:afterLines="120" w:after="288" w:line="276" w:lineRule="auto"/>
        <w:jc w:val="both"/>
        <w:rPr>
          <w:b/>
          <w:bCs/>
          <w:i/>
          <w:iCs/>
        </w:rPr>
      </w:pPr>
      <w:r w:rsidRPr="003B76D1">
        <w:rPr>
          <w:b/>
          <w:bCs/>
          <w:i/>
          <w:iCs/>
        </w:rPr>
        <w:t>Divorce proceedings, including child custody and child contact</w:t>
      </w:r>
    </w:p>
    <w:p w14:paraId="498E0A30" w14:textId="7E5EC287" w:rsidR="00B1349C" w:rsidRPr="003B76D1" w:rsidRDefault="00B1349C" w:rsidP="006B030B">
      <w:pPr>
        <w:pStyle w:val="NoSpacing"/>
        <w:numPr>
          <w:ilvl w:val="0"/>
          <w:numId w:val="23"/>
        </w:numPr>
        <w:spacing w:afterLines="120" w:after="288" w:line="276" w:lineRule="auto"/>
        <w:jc w:val="both"/>
        <w:rPr>
          <w:lang w:val="en-GB"/>
        </w:rPr>
      </w:pPr>
      <w:bookmarkStart w:id="4" w:name="_Ref168659135"/>
      <w:r w:rsidRPr="003B76D1">
        <w:rPr>
          <w:lang w:val="en-GB"/>
        </w:rPr>
        <w:t xml:space="preserve">The State fails to recognize the structural nature of VAW and coercive control, leading to discrimination against women survivors in divorce proceedings. </w:t>
      </w:r>
      <w:r w:rsidR="00F62BCA">
        <w:rPr>
          <w:lang w:val="en-GB"/>
        </w:rPr>
        <w:t>DV</w:t>
      </w:r>
      <w:r w:rsidRPr="003B76D1">
        <w:rPr>
          <w:lang w:val="en-GB"/>
        </w:rPr>
        <w:t xml:space="preserve"> is rarely seen as a cause of divorce or a key factor in custody decisions</w:t>
      </w:r>
      <w:r w:rsidR="00996F57">
        <w:rPr>
          <w:lang w:val="en-GB"/>
        </w:rPr>
        <w:t>, even when the survivors reports such violence</w:t>
      </w:r>
      <w:r w:rsidRPr="003B76D1">
        <w:rPr>
          <w:lang w:val="en-GB"/>
        </w:rPr>
        <w:t>. Courts often mislabel such cases as “high-conflict” instead of recognizing abuse, and prioritize contact with both parents—even when one is violent—reflecting a lack of a gender-sensitive approach in civil proceedings</w:t>
      </w:r>
      <w:r w:rsidRPr="003B76D1">
        <w:t>.</w:t>
      </w:r>
      <w:r w:rsidRPr="003B76D1">
        <w:rPr>
          <w:rStyle w:val="FootnoteReference"/>
        </w:rPr>
        <w:footnoteReference w:id="51"/>
      </w:r>
      <w:r w:rsidRPr="003B76D1">
        <w:t xml:space="preserve"> This typically results in preserving the father’s rights to contact or even custody despite the child’s fear and the father’s abusive behavior.</w:t>
      </w:r>
      <w:r w:rsidRPr="003B76D1">
        <w:rPr>
          <w:rStyle w:val="FootnoteReference"/>
        </w:rPr>
        <w:footnoteReference w:id="52"/>
      </w:r>
      <w:r w:rsidRPr="003B76D1">
        <w:t xml:space="preserve"> According to reports, when children resist contact, mothers are often blamed by the perpetrator and the Croatian Institute for Social Work (CISW).</w:t>
      </w:r>
      <w:r w:rsidRPr="003B76D1">
        <w:rPr>
          <w:rStyle w:val="FootnoteReference"/>
        </w:rPr>
        <w:footnoteReference w:id="53"/>
      </w:r>
      <w:r w:rsidRPr="003B76D1">
        <w:t xml:space="preserve"> Civil society has reported instances where courts and CISW have ordered contact between the parent (reportedly violent) and the child to occur at the shelter, endangering residents and staff.</w:t>
      </w:r>
      <w:r w:rsidRPr="003B76D1">
        <w:rPr>
          <w:rStyle w:val="FootnoteReference"/>
        </w:rPr>
        <w:footnoteReference w:id="54"/>
      </w:r>
      <w:bookmarkEnd w:id="4"/>
    </w:p>
    <w:p w14:paraId="6929A8DB" w14:textId="336A93C3" w:rsidR="00B1349C" w:rsidRPr="003B76D1" w:rsidRDefault="00B1349C" w:rsidP="006B030B">
      <w:pPr>
        <w:pStyle w:val="NoSpacing"/>
        <w:numPr>
          <w:ilvl w:val="0"/>
          <w:numId w:val="23"/>
        </w:numPr>
        <w:spacing w:afterLines="120" w:after="288" w:line="276" w:lineRule="auto"/>
        <w:jc w:val="both"/>
      </w:pPr>
      <w:r w:rsidRPr="003B76D1">
        <w:t>Although the CISW can revoke parental rights in cases of violence</w:t>
      </w:r>
      <w:r w:rsidRPr="003B76D1">
        <w:rPr>
          <w:vertAlign w:val="superscript"/>
        </w:rPr>
        <w:footnoteReference w:id="55"/>
      </w:r>
      <w:r w:rsidRPr="003B76D1">
        <w:t xml:space="preserve"> and can also deny shared custody or limit contacts, they rarely do so. Contact is sometimes supervised, but this typically depends on whether the mother has access to a competent lawyer rather than being standard practice.</w:t>
      </w:r>
      <w:r w:rsidRPr="003B76D1">
        <w:rPr>
          <w:rStyle w:val="FootnoteReference"/>
        </w:rPr>
        <w:footnoteReference w:id="56"/>
      </w:r>
      <w:r w:rsidRPr="003B76D1">
        <w:t xml:space="preserve"> The CISW can issue protective measures for children or recommend other court actions, and they can report violence. If a restraining order includes the child, contact with the father is forbidden.</w:t>
      </w:r>
      <w:r w:rsidRPr="003B76D1">
        <w:rPr>
          <w:rStyle w:val="FootnoteReference"/>
        </w:rPr>
        <w:footnoteReference w:id="57"/>
      </w:r>
      <w:r w:rsidRPr="003B76D1">
        <w:t xml:space="preserve"> Despite the availability of protective measures, civil society has reported that if the order only protects the mother, supervised contact between the father and child is allowed, aiming to restore their relationship.</w:t>
      </w:r>
      <w:r w:rsidRPr="003B76D1">
        <w:rPr>
          <w:rStyle w:val="FootnoteReference"/>
        </w:rPr>
        <w:footnoteReference w:id="58"/>
      </w:r>
    </w:p>
    <w:p w14:paraId="6D399D12" w14:textId="186AA022" w:rsidR="00B1349C" w:rsidRPr="003B76D1" w:rsidRDefault="00B1349C" w:rsidP="006B030B">
      <w:pPr>
        <w:pStyle w:val="NoSpacing"/>
        <w:numPr>
          <w:ilvl w:val="0"/>
          <w:numId w:val="23"/>
        </w:numPr>
        <w:spacing w:afterLines="120" w:after="288" w:line="276" w:lineRule="auto"/>
        <w:jc w:val="both"/>
      </w:pPr>
      <w:r w:rsidRPr="003B76D1">
        <w:t>Reports from civil society present that in everyday work and cooperation with the CISW, organizations have identified a</w:t>
      </w:r>
      <w:r w:rsidRPr="003B76D1" w:rsidDel="00FE5488">
        <w:t xml:space="preserve"> </w:t>
      </w:r>
      <w:r w:rsidRPr="003B76D1">
        <w:t>lack of sensitivity towards women survivors of violence resulting in identifying victims as an “uncooperative mother,” which then follows the victim of violence through the entire criminal/misdemeanor and divorce proceedings. Such assumptions influence the adoption of temporary measures that force children to see the violent father despite the existence of clear signs of high traumatization by the child.</w:t>
      </w:r>
      <w:r w:rsidRPr="003B76D1">
        <w:rPr>
          <w:rStyle w:val="FootnoteReference"/>
        </w:rPr>
        <w:footnoteReference w:id="59"/>
      </w:r>
      <w:r w:rsidRPr="003B76D1">
        <w:t xml:space="preserve"> </w:t>
      </w:r>
      <w:r w:rsidRPr="003B76D1">
        <w:rPr>
          <w:lang w:val="en-GB"/>
        </w:rPr>
        <w:t>When CISW approaches reports of violence with distrust, women are often seen as manipulative or vengeful, aiming to separate fathers from children. Even with convictions, women are expected to co-parent positively with abusers. The system prioritizes the father's contact rights, assuming both parents are essential for the child's development, even when the child has witnessed or experienced violence.</w:t>
      </w:r>
      <w:r w:rsidRPr="003B76D1">
        <w:rPr>
          <w:rStyle w:val="FootnoteReference"/>
        </w:rPr>
        <w:footnoteReference w:id="60"/>
      </w:r>
    </w:p>
    <w:p w14:paraId="70703286" w14:textId="4BDE8C4D" w:rsidR="00B1349C" w:rsidRPr="003B76D1" w:rsidRDefault="00B1349C" w:rsidP="006B030B">
      <w:pPr>
        <w:pStyle w:val="NoSpacing"/>
        <w:numPr>
          <w:ilvl w:val="0"/>
          <w:numId w:val="23"/>
        </w:numPr>
        <w:spacing w:afterLines="120" w:after="288" w:line="276" w:lineRule="auto"/>
        <w:jc w:val="both"/>
        <w:rPr>
          <w:lang w:val="en-GB"/>
        </w:rPr>
      </w:pPr>
      <w:r w:rsidRPr="003B76D1">
        <w:rPr>
          <w:lang w:val="en-GB"/>
        </w:rPr>
        <w:t>Due to delays in judicial decisions, even on urgent temporary measures, women are often unable to exercise basic rights—especially regarding childcare and preschool enrolment. Many kindergartens require joint parental consent, which forces victims of violence into further contact with the perpetrator and often results in denied access when abusers withhold consent.</w:t>
      </w:r>
      <w:r w:rsidRPr="003B76D1">
        <w:rPr>
          <w:rStyle w:val="FootnoteReference"/>
          <w:lang w:val="en-GB"/>
        </w:rPr>
        <w:footnoteReference w:id="61"/>
      </w:r>
      <w:r w:rsidRPr="003B76D1">
        <w:rPr>
          <w:lang w:val="en-GB"/>
        </w:rPr>
        <w:t xml:space="preserve"> Although CISW can legally provide consent in the father's place, they routinely refuse to do so, citing the rights of both parents. Even when they do intervene, the process is unreasonably slow, making it impossible for women to enrol children, return to work, or achieve stability. These same institutions then criticize mothers for not enrolling children in kindergarten, accusing them of denying their children a “normal” childhood.</w:t>
      </w:r>
      <w:r w:rsidRPr="003B76D1">
        <w:rPr>
          <w:rStyle w:val="FootnoteReference"/>
          <w:lang w:val="en-GB"/>
        </w:rPr>
        <w:footnoteReference w:id="62"/>
      </w:r>
      <w:r w:rsidRPr="003B76D1">
        <w:rPr>
          <w:lang w:val="en-GB"/>
        </w:rPr>
        <w:t xml:space="preserve"> </w:t>
      </w:r>
    </w:p>
    <w:p w14:paraId="2D6673B6" w14:textId="694F371A" w:rsidR="00B1349C" w:rsidRPr="003B76D1" w:rsidRDefault="00B1349C" w:rsidP="006B030B">
      <w:pPr>
        <w:pStyle w:val="NoSpacing"/>
        <w:numPr>
          <w:ilvl w:val="0"/>
          <w:numId w:val="23"/>
        </w:numPr>
        <w:spacing w:afterLines="120" w:after="288" w:line="276" w:lineRule="auto"/>
        <w:jc w:val="both"/>
        <w:rPr>
          <w:lang w:val="en-GB"/>
        </w:rPr>
      </w:pPr>
      <w:r w:rsidRPr="003B76D1">
        <w:rPr>
          <w:lang w:val="en-GB"/>
        </w:rPr>
        <w:t>CISW also routinely impose supervisory measures on both parents after reports of domestic violence, including against mothers who are survivors. This not only equates the perpetrator with the victim, but also jeopardizes women’s employment, especially those working in education or as classroom aides, as such measures disqualify them from holding these jobs.</w:t>
      </w:r>
      <w:r w:rsidRPr="003B76D1">
        <w:rPr>
          <w:rStyle w:val="FootnoteReference"/>
          <w:lang w:val="en-GB"/>
        </w:rPr>
        <w:footnoteReference w:id="63"/>
      </w:r>
      <w:r w:rsidRPr="003B76D1">
        <w:rPr>
          <w:lang w:val="en-GB"/>
        </w:rPr>
        <w:t xml:space="preserve"> </w:t>
      </w:r>
      <w:r w:rsidRPr="003B76D1">
        <w:t>Child visitation supervision is poorly regulated—unqualified individuals like theologians or technicians can act as supervisors, often siding with fathers and blaming mothers.</w:t>
      </w:r>
      <w:r w:rsidRPr="003B76D1">
        <w:rPr>
          <w:rStyle w:val="FootnoteReference"/>
        </w:rPr>
        <w:footnoteReference w:id="64"/>
      </w:r>
      <w:r w:rsidRPr="003B76D1">
        <w:t xml:space="preserve"> </w:t>
      </w:r>
    </w:p>
    <w:p w14:paraId="0C280D31" w14:textId="4D425BDB" w:rsidR="00B1349C" w:rsidRPr="003B76D1" w:rsidRDefault="00B1349C" w:rsidP="006B030B">
      <w:pPr>
        <w:pStyle w:val="NoSpacing"/>
        <w:numPr>
          <w:ilvl w:val="0"/>
          <w:numId w:val="23"/>
        </w:numPr>
        <w:spacing w:afterLines="120" w:after="288" w:line="276" w:lineRule="auto"/>
        <w:jc w:val="both"/>
        <w:rPr>
          <w:lang w:val="en-GB"/>
        </w:rPr>
      </w:pPr>
      <w:r w:rsidRPr="003B76D1">
        <w:t>According to information by experts and legal aid providers, mandatory dispute resolution, or mediation, is explicitly forbidden in cases of domestic violence but still frequently finds its way into divorce proceedings.</w:t>
      </w:r>
      <w:r w:rsidRPr="003B76D1">
        <w:rPr>
          <w:rStyle w:val="FootnoteReference"/>
        </w:rPr>
        <w:footnoteReference w:id="65"/>
      </w:r>
      <w:r w:rsidRPr="003B76D1" w:rsidDel="004C594D">
        <w:t xml:space="preserve"> </w:t>
      </w:r>
      <w:r w:rsidRPr="003B76D1">
        <w:t>The Family Law was positively amended to forbid mediation in cases with claims of domestic violence.</w:t>
      </w:r>
      <w:r w:rsidRPr="003B76D1">
        <w:rPr>
          <w:rStyle w:val="FootnoteReference"/>
        </w:rPr>
        <w:footnoteReference w:id="66"/>
      </w:r>
      <w:r w:rsidRPr="003B76D1">
        <w:t xml:space="preserve"> </w:t>
      </w:r>
      <w:r w:rsidRPr="003B76D1">
        <w:rPr>
          <w:lang w:val="en-GB"/>
        </w:rPr>
        <w:t>A legal expert noted that Croatia fails to protect all women from revictimization, as survivors of non-physical violence may still be required to attend mediation, unlike women in shelters</w:t>
      </w:r>
      <w:r w:rsidRPr="003B76D1">
        <w:t>.</w:t>
      </w:r>
      <w:r w:rsidRPr="003B76D1">
        <w:rPr>
          <w:rStyle w:val="FootnoteReference"/>
        </w:rPr>
        <w:footnoteReference w:id="67"/>
      </w:r>
      <w:r w:rsidRPr="003B76D1">
        <w:t xml:space="preserve"> </w:t>
      </w:r>
    </w:p>
    <w:p w14:paraId="314512A3" w14:textId="3C03906C" w:rsidR="00B1349C" w:rsidRPr="003B76D1" w:rsidRDefault="00B1349C" w:rsidP="006B030B">
      <w:pPr>
        <w:pStyle w:val="NoSpacing"/>
        <w:numPr>
          <w:ilvl w:val="0"/>
          <w:numId w:val="23"/>
        </w:numPr>
        <w:spacing w:afterLines="120" w:after="288" w:line="276" w:lineRule="auto"/>
        <w:jc w:val="both"/>
        <w:rPr>
          <w:lang w:val="en-GB"/>
        </w:rPr>
      </w:pPr>
      <w:r w:rsidRPr="003B76D1">
        <w:rPr>
          <w:lang w:val="en-GB"/>
        </w:rPr>
        <w:t>In a 2022 online survey of 277 participants who underwent official separation procedures and had shared children, the results showed that institutional practices often lacked trauma-informed knowledge and an understanding of domestic violence dynamics</w:t>
      </w:r>
      <w:r w:rsidRPr="003B76D1">
        <w:rPr>
          <w:rStyle w:val="FootnoteReference"/>
          <w:lang w:val="en-GB"/>
        </w:rPr>
        <w:footnoteReference w:id="68"/>
      </w:r>
      <w:r w:rsidRPr="003B76D1">
        <w:rPr>
          <w:lang w:val="en-GB"/>
        </w:rPr>
        <w:t>. Just under half (47%) of participants had participated in mediation, and 38% gave joint statements at CISW</w:t>
      </w:r>
      <w:r w:rsidRPr="003B76D1">
        <w:rPr>
          <w:rStyle w:val="FootnoteReference"/>
          <w:lang w:val="en-GB"/>
        </w:rPr>
        <w:footnoteReference w:id="69"/>
      </w:r>
      <w:r w:rsidRPr="003B76D1">
        <w:rPr>
          <w:lang w:val="en-GB"/>
        </w:rPr>
        <w:t>. Regarding child-parent contact, 55% of participants</w:t>
      </w:r>
      <w:r w:rsidRPr="003B76D1">
        <w:rPr>
          <w:rStyle w:val="FootnoteReference"/>
          <w:lang w:val="en-GB"/>
        </w:rPr>
        <w:footnoteReference w:id="70"/>
      </w:r>
      <w:r w:rsidRPr="003B76D1">
        <w:rPr>
          <w:lang w:val="en-GB"/>
        </w:rPr>
        <w:t xml:space="preserve"> reported difficulties, with most children either refusing to see their father or doing so reluctantly. In 60% of cases</w:t>
      </w:r>
      <w:r w:rsidRPr="003B76D1">
        <w:rPr>
          <w:rStyle w:val="FootnoteReference"/>
          <w:lang w:val="en-GB"/>
        </w:rPr>
        <w:footnoteReference w:id="71"/>
      </w:r>
      <w:r w:rsidRPr="003B76D1">
        <w:rPr>
          <w:lang w:val="en-GB"/>
        </w:rPr>
        <w:t>, violence from the father was present, while 39% reported inappropriate behaviour during visits</w:t>
      </w:r>
      <w:r w:rsidRPr="003B76D1">
        <w:rPr>
          <w:rStyle w:val="FootnoteReference"/>
          <w:lang w:val="en-GB"/>
        </w:rPr>
        <w:footnoteReference w:id="72"/>
      </w:r>
      <w:r w:rsidRPr="003B76D1">
        <w:rPr>
          <w:lang w:val="en-GB"/>
        </w:rPr>
        <w:t>. Despite this, 81% were accused of manipulating the children, with accusations made by the former partner in most cases, and 45% of cases also raised by CISW, 10% by expert witnesses, and 9% by the court</w:t>
      </w:r>
      <w:r w:rsidRPr="003B76D1">
        <w:rPr>
          <w:rStyle w:val="FootnoteReference"/>
          <w:lang w:val="en-GB"/>
        </w:rPr>
        <w:footnoteReference w:id="73"/>
      </w:r>
      <w:r w:rsidRPr="003B76D1">
        <w:rPr>
          <w:lang w:val="en-GB"/>
        </w:rPr>
        <w:t>.</w:t>
      </w:r>
    </w:p>
    <w:p w14:paraId="4DF5C122" w14:textId="5C8EE1A8" w:rsidR="00B1349C" w:rsidRPr="003B76D1" w:rsidRDefault="00B1349C" w:rsidP="006B030B">
      <w:pPr>
        <w:pStyle w:val="NoSpacing"/>
        <w:numPr>
          <w:ilvl w:val="0"/>
          <w:numId w:val="23"/>
        </w:numPr>
        <w:spacing w:afterLines="120" w:after="288" w:line="276" w:lineRule="auto"/>
        <w:jc w:val="both"/>
      </w:pPr>
      <w:r w:rsidRPr="003B76D1">
        <w:t xml:space="preserve">The problem with the concept of “parental alienation” in Croatia stems from years of systematic training of professionals within institutions like the police, CISW, and courts on child manipulation in "high-conflict divorces" and situational violence. Training courses for systems actors implemented over the years introduced the concept of family conflict, especially the harmful “Parental Alienation Syndrome.” Consequently, discussing domestic violence in courts became challenging, as abusers and their lawyers would immediately claim “parental alienation syndrome” and accuse the mother of manipulation whenever a history of violence was mentioned.  </w:t>
      </w:r>
    </w:p>
    <w:p w14:paraId="7421E25F" w14:textId="422915F8" w:rsidR="00B1349C" w:rsidRPr="003B76D1" w:rsidRDefault="00B1349C" w:rsidP="006B030B">
      <w:pPr>
        <w:pStyle w:val="Paragraph"/>
        <w:numPr>
          <w:ilvl w:val="0"/>
          <w:numId w:val="23"/>
        </w:numPr>
        <w:spacing w:afterLines="120" w:after="288" w:line="276" w:lineRule="auto"/>
      </w:pPr>
      <w:r w:rsidRPr="003B76D1">
        <w:t>The concept of “parental alienation” is based on a theory of behaviors allegedly used by parents to harm the relationship between the child and the other parent. It relies on two dangerous misperceptions: women victims of domestic violence are 1) falsely reporting violence, and 2) creating the impression of danger. According to this theory, “parental alienation” is seen as severe emotional abuse, necessitating the urgent separation of the child from the alienating parent. “Parental alienation” has no universal scientific definition, and the World Health Organization dropped it from its index of diseases in 2020.</w:t>
      </w:r>
      <w:r w:rsidRPr="003B76D1">
        <w:rPr>
          <w:rStyle w:val="FootnoteReference"/>
        </w:rPr>
        <w:footnoteReference w:id="74"/>
      </w:r>
      <w:r w:rsidRPr="003B76D1">
        <w:t xml:space="preserve"> However, the idea resonated with the values and beliefs of experts who hold that children should have both parents and view the father as the head of the family. People who subscribe to “parental alienation” state that the concept </w:t>
      </w:r>
      <w:r w:rsidR="00053692">
        <w:t>provides</w:t>
      </w:r>
      <w:r w:rsidRPr="003B76D1">
        <w:t xml:space="preserve"> a framework to explain their daily observations of mothers allegedly manipulating their children.</w:t>
      </w:r>
      <w:r w:rsidRPr="003B76D1">
        <w:rPr>
          <w:vertAlign w:val="superscript"/>
        </w:rPr>
        <w:footnoteReference w:id="75"/>
      </w:r>
      <w:r w:rsidRPr="003B76D1">
        <w:t xml:space="preserve"> </w:t>
      </w:r>
    </w:p>
    <w:p w14:paraId="2FA25242" w14:textId="3096937E" w:rsidR="00B1349C" w:rsidRPr="003B76D1" w:rsidRDefault="00B1349C" w:rsidP="006B030B">
      <w:pPr>
        <w:pStyle w:val="Paragraph"/>
        <w:numPr>
          <w:ilvl w:val="0"/>
          <w:numId w:val="23"/>
        </w:numPr>
        <w:spacing w:afterLines="120" w:after="288" w:line="276" w:lineRule="auto"/>
      </w:pPr>
      <w:r w:rsidRPr="003B76D1">
        <w:t>State agents have</w:t>
      </w:r>
      <w:r w:rsidRPr="003B76D1" w:rsidDel="00A44AA9">
        <w:t xml:space="preserve"> </w:t>
      </w:r>
      <w:r w:rsidRPr="003B76D1">
        <w:t xml:space="preserve">undergone </w:t>
      </w:r>
      <w:r w:rsidR="00A44AA9">
        <w:t xml:space="preserve">only very sporadic </w:t>
      </w:r>
      <w:r w:rsidRPr="003B76D1">
        <w:t xml:space="preserve">training on gender-based violence in Croatia by civil sector representatives who work with </w:t>
      </w:r>
      <w:r w:rsidR="00A44AA9">
        <w:t>women survivors</w:t>
      </w:r>
      <w:r w:rsidRPr="003B76D1">
        <w:t xml:space="preserve"> of violence.</w:t>
      </w:r>
      <w:r w:rsidRPr="003B76D1">
        <w:rPr>
          <w:rStyle w:val="FootnoteReference"/>
        </w:rPr>
        <w:footnoteReference w:id="76"/>
      </w:r>
      <w:r w:rsidRPr="003B76D1">
        <w:t xml:space="preserve"> As a result, these state actors lack basic knowledge about the dynamics of violence, forms of abuse, its consequences on women and children, and relevant legal frameworks and protocols, despite these protocols being fundamental to their work.</w:t>
      </w:r>
      <w:r w:rsidRPr="003B76D1">
        <w:rPr>
          <w:rStyle w:val="FootnoteReference"/>
        </w:rPr>
        <w:footnoteReference w:id="77"/>
      </w:r>
    </w:p>
    <w:p w14:paraId="33F46B22" w14:textId="749867EF" w:rsidR="00B1349C" w:rsidRPr="003B76D1" w:rsidRDefault="00B1349C" w:rsidP="006B030B">
      <w:pPr>
        <w:pStyle w:val="NoSpacing"/>
        <w:numPr>
          <w:ilvl w:val="0"/>
          <w:numId w:val="23"/>
        </w:numPr>
        <w:spacing w:afterLines="120" w:after="288" w:line="276" w:lineRule="auto"/>
        <w:jc w:val="both"/>
        <w:rPr>
          <w:lang w:val="en-GB"/>
        </w:rPr>
      </w:pPr>
      <w:r w:rsidRPr="003B76D1">
        <w:t>After the reaction of the institutions and the “ban” on the use of the concept of alienation, proponents of Parental Alienation Syndrome increasingly note that it does not matter what the concept is called, because to them, it indicates emotional abuse of children, and they have encouraged staff in the institutions to act accordingly as if the so-called syndrome were valid in these cases.</w:t>
      </w:r>
      <w:r w:rsidRPr="003B76D1">
        <w:rPr>
          <w:vertAlign w:val="superscript"/>
        </w:rPr>
        <w:footnoteReference w:id="78"/>
      </w:r>
      <w:r w:rsidRPr="003B76D1">
        <w:t xml:space="preserve"> </w:t>
      </w:r>
      <w:r w:rsidRPr="003B76D1">
        <w:rPr>
          <w:lang w:val="en-GB"/>
        </w:rPr>
        <w:t>Despite efforts to limit its use, VAW experts and service providers report that the concept remains deeply embedded in social services and courts. While the term itself is used less openly, its logic continues to shape custody decisions, especially in domestic violence cases</w:t>
      </w:r>
      <w:r w:rsidRPr="003B76D1">
        <w:t>.</w:t>
      </w:r>
      <w:r w:rsidRPr="003B76D1">
        <w:rPr>
          <w:rStyle w:val="FootnoteReference"/>
        </w:rPr>
        <w:footnoteReference w:id="79"/>
      </w:r>
    </w:p>
    <w:p w14:paraId="26A28850" w14:textId="7A09926A" w:rsidR="00B1349C" w:rsidRPr="003B76D1" w:rsidRDefault="00B1349C" w:rsidP="00053692">
      <w:pPr>
        <w:pStyle w:val="ListParagraph"/>
        <w:numPr>
          <w:ilvl w:val="0"/>
          <w:numId w:val="23"/>
        </w:numPr>
        <w:spacing w:before="100" w:beforeAutospacing="1" w:afterLines="120" w:after="288"/>
        <w:contextualSpacing w:val="0"/>
        <w:jc w:val="both"/>
        <w:rPr>
          <w:rFonts w:ascii="Times New Roman" w:eastAsia="Times New Roman" w:hAnsi="Times New Roman" w:cs="Times New Roman"/>
          <w:color w:val="auto"/>
          <w:sz w:val="24"/>
          <w:szCs w:val="24"/>
          <w:lang w:val="en-GB" w:eastAsia="en-GB"/>
        </w:rPr>
      </w:pPr>
      <w:r w:rsidRPr="003B76D1">
        <w:rPr>
          <w:rFonts w:ascii="Times New Roman" w:eastAsia="Times New Roman" w:hAnsi="Times New Roman" w:cs="Times New Roman"/>
          <w:color w:val="auto"/>
          <w:sz w:val="24"/>
          <w:szCs w:val="24"/>
          <w:lang w:val="en-GB" w:eastAsia="en-GB"/>
        </w:rPr>
        <w:t xml:space="preserve">This concept continues to be promoted in the education of professionals, as illustrated by a </w:t>
      </w:r>
      <w:r w:rsidR="00A44AA9">
        <w:rPr>
          <w:rFonts w:ascii="Times New Roman" w:eastAsia="Times New Roman" w:hAnsi="Times New Roman" w:cs="Times New Roman"/>
          <w:color w:val="auto"/>
          <w:sz w:val="24"/>
          <w:szCs w:val="24"/>
          <w:lang w:val="en-GB" w:eastAsia="en-GB"/>
        </w:rPr>
        <w:t>March</w:t>
      </w:r>
      <w:r w:rsidRPr="003B76D1">
        <w:rPr>
          <w:rFonts w:ascii="Times New Roman" w:eastAsia="Times New Roman" w:hAnsi="Times New Roman" w:cs="Times New Roman"/>
          <w:color w:val="auto"/>
          <w:sz w:val="24"/>
          <w:szCs w:val="24"/>
          <w:lang w:val="en-GB" w:eastAsia="en-GB"/>
        </w:rPr>
        <w:t xml:space="preserve"> lecture at a meeting of the Section for Forensic Psychology of the Croatian Psychological Society</w:t>
      </w:r>
      <w:r w:rsidRPr="003B76D1">
        <w:rPr>
          <w:rStyle w:val="FootnoteReference"/>
          <w:rFonts w:ascii="Times New Roman" w:eastAsia="Times New Roman" w:hAnsi="Times New Roman" w:cs="Times New Roman"/>
          <w:color w:val="auto"/>
          <w:sz w:val="24"/>
          <w:szCs w:val="24"/>
          <w:lang w:val="en-GB" w:eastAsia="en-GB"/>
        </w:rPr>
        <w:footnoteReference w:id="80"/>
      </w:r>
      <w:r w:rsidRPr="003B76D1">
        <w:rPr>
          <w:rFonts w:ascii="Times New Roman" w:eastAsia="Times New Roman" w:hAnsi="Times New Roman" w:cs="Times New Roman"/>
          <w:color w:val="auto"/>
          <w:sz w:val="24"/>
          <w:szCs w:val="24"/>
          <w:lang w:val="en-GB" w:eastAsia="en-GB"/>
        </w:rPr>
        <w:t>. The sole topic of the meeting was “False accusations of abuse.</w:t>
      </w:r>
      <w:r w:rsidRPr="003B76D1">
        <w:rPr>
          <w:rStyle w:val="FootnoteReference"/>
          <w:rFonts w:ascii="Times New Roman" w:eastAsia="Times New Roman" w:hAnsi="Times New Roman" w:cs="Times New Roman"/>
          <w:color w:val="auto"/>
          <w:sz w:val="24"/>
          <w:szCs w:val="24"/>
          <w:lang w:val="en-GB" w:eastAsia="en-GB"/>
        </w:rPr>
        <w:footnoteReference w:id="81"/>
      </w:r>
      <w:r w:rsidRPr="003B76D1">
        <w:rPr>
          <w:rFonts w:ascii="Times New Roman" w:eastAsia="Times New Roman" w:hAnsi="Times New Roman" w:cs="Times New Roman"/>
          <w:color w:val="auto"/>
          <w:sz w:val="24"/>
          <w:szCs w:val="24"/>
          <w:lang w:val="en-GB" w:eastAsia="en-GB"/>
        </w:rPr>
        <w:t>” The presentation included statements such as “mothers use false accusations to gain an advantage in court,</w:t>
      </w:r>
      <w:r w:rsidRPr="003B76D1">
        <w:rPr>
          <w:rStyle w:val="FootnoteReference"/>
          <w:rFonts w:ascii="Times New Roman" w:eastAsia="Times New Roman" w:hAnsi="Times New Roman" w:cs="Times New Roman"/>
          <w:color w:val="auto"/>
          <w:sz w:val="24"/>
          <w:szCs w:val="24"/>
          <w:lang w:val="en-GB" w:eastAsia="en-GB"/>
        </w:rPr>
        <w:footnoteReference w:id="82"/>
      </w:r>
      <w:r w:rsidRPr="003B76D1">
        <w:rPr>
          <w:rFonts w:ascii="Times New Roman" w:eastAsia="Times New Roman" w:hAnsi="Times New Roman" w:cs="Times New Roman"/>
          <w:color w:val="auto"/>
          <w:sz w:val="24"/>
          <w:szCs w:val="24"/>
          <w:lang w:val="en-GB" w:eastAsia="en-GB"/>
        </w:rPr>
        <w:t>” and that false allegations of domestic or even sexual violence by children and teenagers are “a teenage attempt to deal with a strict parent.</w:t>
      </w:r>
      <w:r w:rsidRPr="003B76D1">
        <w:rPr>
          <w:rStyle w:val="FootnoteReference"/>
          <w:rFonts w:ascii="Times New Roman" w:eastAsia="Times New Roman" w:hAnsi="Times New Roman" w:cs="Times New Roman"/>
          <w:color w:val="auto"/>
          <w:sz w:val="24"/>
          <w:szCs w:val="24"/>
          <w:lang w:val="en-GB" w:eastAsia="en-GB"/>
        </w:rPr>
        <w:footnoteReference w:id="83"/>
      </w:r>
      <w:r w:rsidRPr="003B76D1">
        <w:rPr>
          <w:rFonts w:ascii="Times New Roman" w:eastAsia="Times New Roman" w:hAnsi="Times New Roman" w:cs="Times New Roman"/>
          <w:color w:val="auto"/>
          <w:sz w:val="24"/>
          <w:szCs w:val="24"/>
          <w:lang w:val="en-GB" w:eastAsia="en-GB"/>
        </w:rPr>
        <w:t>” The lecture also explicitly referred to “parental alienation syndrome</w:t>
      </w:r>
      <w:r w:rsidRPr="003B76D1">
        <w:rPr>
          <w:rStyle w:val="FootnoteReference"/>
          <w:rFonts w:ascii="Times New Roman" w:eastAsia="Times New Roman" w:hAnsi="Times New Roman" w:cs="Times New Roman"/>
          <w:color w:val="auto"/>
          <w:sz w:val="24"/>
          <w:szCs w:val="24"/>
          <w:lang w:val="en-GB" w:eastAsia="en-GB"/>
        </w:rPr>
        <w:footnoteReference w:id="84"/>
      </w:r>
      <w:r w:rsidRPr="003B76D1">
        <w:rPr>
          <w:rFonts w:ascii="Times New Roman" w:eastAsia="Times New Roman" w:hAnsi="Times New Roman" w:cs="Times New Roman"/>
          <w:color w:val="auto"/>
          <w:sz w:val="24"/>
          <w:szCs w:val="24"/>
          <w:lang w:val="en-GB" w:eastAsia="en-GB"/>
        </w:rPr>
        <w:t>,” using alternative terms like “parental programming</w:t>
      </w:r>
      <w:r w:rsidRPr="003B76D1">
        <w:rPr>
          <w:rStyle w:val="FootnoteReference"/>
          <w:rFonts w:ascii="Times New Roman" w:eastAsia="Times New Roman" w:hAnsi="Times New Roman" w:cs="Times New Roman"/>
          <w:color w:val="auto"/>
          <w:sz w:val="24"/>
          <w:szCs w:val="24"/>
          <w:lang w:val="en-GB" w:eastAsia="en-GB"/>
        </w:rPr>
        <w:footnoteReference w:id="85"/>
      </w:r>
      <w:r w:rsidRPr="003B76D1">
        <w:rPr>
          <w:rFonts w:ascii="Times New Roman" w:eastAsia="Times New Roman" w:hAnsi="Times New Roman" w:cs="Times New Roman"/>
          <w:color w:val="auto"/>
          <w:sz w:val="24"/>
          <w:szCs w:val="24"/>
          <w:lang w:val="en-GB" w:eastAsia="en-GB"/>
        </w:rPr>
        <w:t>” and “parental induction.</w:t>
      </w:r>
      <w:r w:rsidRPr="003B76D1">
        <w:rPr>
          <w:rStyle w:val="FootnoteReference"/>
          <w:rFonts w:ascii="Times New Roman" w:eastAsia="Times New Roman" w:hAnsi="Times New Roman" w:cs="Times New Roman"/>
          <w:color w:val="auto"/>
          <w:sz w:val="24"/>
          <w:szCs w:val="24"/>
          <w:lang w:val="en-GB" w:eastAsia="en-GB"/>
        </w:rPr>
        <w:footnoteReference w:id="86"/>
      </w:r>
      <w:r w:rsidRPr="003B76D1">
        <w:rPr>
          <w:rFonts w:ascii="Times New Roman" w:eastAsia="Times New Roman" w:hAnsi="Times New Roman" w:cs="Times New Roman"/>
          <w:color w:val="auto"/>
          <w:sz w:val="24"/>
          <w:szCs w:val="24"/>
          <w:lang w:val="en-GB" w:eastAsia="en-GB"/>
        </w:rPr>
        <w:t>” It was made clear that these tactics are typically attributed to mothers who, according to the presentation, try to turn both the children and the system against fathers—downplaying even clinical signs of trauma</w:t>
      </w:r>
      <w:r w:rsidRPr="003B76D1">
        <w:rPr>
          <w:rStyle w:val="FootnoteReference"/>
          <w:rFonts w:ascii="Times New Roman" w:eastAsia="Times New Roman" w:hAnsi="Times New Roman" w:cs="Times New Roman"/>
          <w:color w:val="auto"/>
          <w:sz w:val="24"/>
          <w:szCs w:val="24"/>
          <w:lang w:val="en-GB" w:eastAsia="en-GB"/>
        </w:rPr>
        <w:footnoteReference w:id="87"/>
      </w:r>
      <w:r w:rsidRPr="003B76D1">
        <w:rPr>
          <w:rFonts w:ascii="Times New Roman" w:eastAsia="Times New Roman" w:hAnsi="Times New Roman" w:cs="Times New Roman"/>
          <w:color w:val="auto"/>
          <w:sz w:val="24"/>
          <w:szCs w:val="24"/>
          <w:lang w:val="en-GB" w:eastAsia="en-GB"/>
        </w:rPr>
        <w:t>. Such education for both new and practicing psychologists risks causing long-term harm in the treatment of survivors of violence and their children.</w:t>
      </w:r>
    </w:p>
    <w:p w14:paraId="3E759BA9" w14:textId="2E0CF030" w:rsidR="00B1349C" w:rsidRPr="003B76D1" w:rsidRDefault="00B1349C" w:rsidP="00053692">
      <w:pPr>
        <w:pStyle w:val="ListParagraph"/>
        <w:numPr>
          <w:ilvl w:val="0"/>
          <w:numId w:val="23"/>
        </w:numPr>
        <w:spacing w:before="100" w:beforeAutospacing="1" w:afterLines="120" w:after="288"/>
        <w:contextualSpacing w:val="0"/>
        <w:jc w:val="both"/>
        <w:rPr>
          <w:rFonts w:ascii="Times New Roman" w:eastAsia="Times New Roman" w:hAnsi="Times New Roman" w:cs="Times New Roman"/>
          <w:color w:val="auto"/>
          <w:sz w:val="24"/>
          <w:szCs w:val="24"/>
          <w:lang w:val="en-GB" w:eastAsia="en-GB"/>
        </w:rPr>
      </w:pPr>
      <w:r w:rsidRPr="003B76D1">
        <w:rPr>
          <w:rFonts w:ascii="Times New Roman" w:eastAsia="Times New Roman" w:hAnsi="Times New Roman" w:cs="Times New Roman"/>
          <w:color w:val="auto"/>
          <w:sz w:val="24"/>
          <w:szCs w:val="24"/>
          <w:lang w:val="en-GB" w:eastAsia="en-GB"/>
        </w:rPr>
        <w:t>Courts in Croatia appoint expert witnesses to assist in decisions regarding child custody. In practice, many court-appointed psychologists and psychiatrists appear to lack familiarity with key international human rights instruments and fail to apply them in their assessments</w:t>
      </w:r>
      <w:r w:rsidRPr="003B76D1">
        <w:rPr>
          <w:rStyle w:val="FootnoteReference"/>
          <w:rFonts w:ascii="Times New Roman" w:eastAsia="Times New Roman" w:hAnsi="Times New Roman" w:cs="Times New Roman"/>
          <w:color w:val="auto"/>
          <w:sz w:val="24"/>
          <w:szCs w:val="24"/>
          <w:lang w:val="en-GB" w:eastAsia="en-GB"/>
        </w:rPr>
        <w:footnoteReference w:id="88"/>
      </w:r>
      <w:r w:rsidRPr="003B76D1">
        <w:rPr>
          <w:rFonts w:ascii="Times New Roman" w:eastAsia="Times New Roman" w:hAnsi="Times New Roman" w:cs="Times New Roman"/>
          <w:color w:val="auto"/>
          <w:sz w:val="24"/>
          <w:szCs w:val="24"/>
          <w:lang w:val="en-GB" w:eastAsia="en-GB"/>
        </w:rPr>
        <w:t>. This has serious implications for the protection of the rights of women and children, especially in cases involving domestic violence. In numerous instances, the work of these experts has further traumatized survivors by employing victim-blaming approaches and lacking trauma-informed, gender-sensitive methodologies</w:t>
      </w:r>
      <w:r w:rsidRPr="003B76D1">
        <w:rPr>
          <w:rStyle w:val="FootnoteReference"/>
          <w:rFonts w:ascii="Times New Roman" w:eastAsia="Times New Roman" w:hAnsi="Times New Roman" w:cs="Times New Roman"/>
          <w:color w:val="auto"/>
          <w:sz w:val="24"/>
          <w:szCs w:val="24"/>
          <w:lang w:val="en-GB" w:eastAsia="en-GB"/>
        </w:rPr>
        <w:footnoteReference w:id="89"/>
      </w:r>
      <w:r w:rsidRPr="003B76D1">
        <w:rPr>
          <w:rFonts w:ascii="Times New Roman" w:eastAsia="Times New Roman" w:hAnsi="Times New Roman" w:cs="Times New Roman"/>
          <w:color w:val="auto"/>
          <w:sz w:val="24"/>
          <w:szCs w:val="24"/>
          <w:lang w:val="en-GB" w:eastAsia="en-GB"/>
        </w:rPr>
        <w:t xml:space="preserve">. </w:t>
      </w:r>
    </w:p>
    <w:p w14:paraId="4EACE026" w14:textId="10F6DFC8" w:rsidR="00B1349C" w:rsidRPr="00053692" w:rsidRDefault="00B1349C" w:rsidP="00053692">
      <w:pPr>
        <w:pStyle w:val="ListParagraph"/>
        <w:numPr>
          <w:ilvl w:val="0"/>
          <w:numId w:val="23"/>
        </w:numPr>
        <w:spacing w:before="100" w:beforeAutospacing="1" w:afterLines="120" w:after="288"/>
        <w:contextualSpacing w:val="0"/>
        <w:jc w:val="both"/>
        <w:rPr>
          <w:lang w:val="en-GB" w:eastAsia="en-GB"/>
        </w:rPr>
      </w:pPr>
      <w:r w:rsidRPr="00C061AE">
        <w:rPr>
          <w:rFonts w:asciiTheme="majorBidi" w:hAnsiTheme="majorBidi" w:cstheme="majorBidi"/>
          <w:sz w:val="24"/>
          <w:szCs w:val="24"/>
          <w:lang w:val="en-GB" w:eastAsia="en-GB"/>
        </w:rPr>
        <w:t>Court experts frequently fail to acknowledge the violence experienced by women, often downplaying it, questioning its validity, or accusing women of manipulation—even in cases where fathers have been convicted of abuse</w:t>
      </w:r>
      <w:r w:rsidRPr="00C061AE">
        <w:rPr>
          <w:rStyle w:val="FootnoteReference"/>
          <w:rFonts w:asciiTheme="majorBidi" w:eastAsia="Times New Roman" w:hAnsiTheme="majorBidi" w:cstheme="majorBidi"/>
          <w:color w:val="auto"/>
          <w:sz w:val="24"/>
          <w:szCs w:val="24"/>
          <w:lang w:val="en-GB" w:eastAsia="en-GB"/>
        </w:rPr>
        <w:footnoteReference w:id="90"/>
      </w:r>
      <w:r w:rsidRPr="00C061AE">
        <w:rPr>
          <w:rFonts w:asciiTheme="majorBidi" w:hAnsiTheme="majorBidi" w:cstheme="majorBidi"/>
          <w:sz w:val="24"/>
          <w:szCs w:val="24"/>
          <w:lang w:val="en-GB" w:eastAsia="en-GB"/>
        </w:rPr>
        <w:t>. As a result, many experts’ reports ultimately favour abusive fathers.</w:t>
      </w:r>
      <w:r w:rsidRPr="00C061AE">
        <w:rPr>
          <w:rStyle w:val="FootnoteReference"/>
          <w:rFonts w:asciiTheme="majorBidi" w:eastAsia="Times New Roman" w:hAnsiTheme="majorBidi" w:cstheme="majorBidi"/>
          <w:color w:val="auto"/>
          <w:sz w:val="24"/>
          <w:szCs w:val="24"/>
          <w:lang w:val="en-GB" w:eastAsia="en-GB"/>
        </w:rPr>
        <w:footnoteReference w:id="91"/>
      </w:r>
      <w:r w:rsidRPr="00C061AE">
        <w:rPr>
          <w:rFonts w:asciiTheme="majorBidi" w:hAnsiTheme="majorBidi" w:cstheme="majorBidi"/>
          <w:sz w:val="24"/>
          <w:szCs w:val="24"/>
          <w:lang w:val="en-GB" w:eastAsia="en-GB"/>
        </w:rPr>
        <w:t xml:space="preserve"> It is therefore essential to provide continuous education for expert witnesses and to introduce mechanisms for the regular evaluation of their work to improve both the quality of their assessments and their alignment with international standards.</w:t>
      </w:r>
    </w:p>
    <w:p w14:paraId="42BED6E3" w14:textId="7EE26796" w:rsidR="00B1349C" w:rsidRPr="003B76D1" w:rsidRDefault="00B1349C" w:rsidP="00053692">
      <w:pPr>
        <w:spacing w:before="100" w:beforeAutospacing="1" w:afterLines="120" w:after="288"/>
        <w:ind w:left="360"/>
        <w:jc w:val="both"/>
        <w:rPr>
          <w:b/>
          <w:i/>
        </w:rPr>
      </w:pPr>
      <w:r w:rsidRPr="003B76D1">
        <w:rPr>
          <w:b/>
          <w:i/>
        </w:rPr>
        <w:t>Provision of shelters and other specialized services</w:t>
      </w:r>
    </w:p>
    <w:p w14:paraId="2E468CA5" w14:textId="5859B567" w:rsidR="00B1349C" w:rsidRPr="003B76D1" w:rsidRDefault="00B1349C" w:rsidP="006B030B">
      <w:pPr>
        <w:pStyle w:val="NoSpacing"/>
        <w:numPr>
          <w:ilvl w:val="0"/>
          <w:numId w:val="23"/>
        </w:numPr>
        <w:spacing w:afterLines="120" w:after="288" w:line="276" w:lineRule="auto"/>
        <w:jc w:val="both"/>
      </w:pPr>
      <w:r w:rsidRPr="003B76D1">
        <w:t xml:space="preserve">Croatia must improve support services for women victims of GBV, particularly access to shelters. </w:t>
      </w:r>
      <w:r w:rsidR="00B05544">
        <w:t>T</w:t>
      </w:r>
      <w:r w:rsidRPr="003B76D1">
        <w:t>he Council of Europe recommends 428 shelter spaces,</w:t>
      </w:r>
      <w:r w:rsidRPr="003B76D1">
        <w:rPr>
          <w:rStyle w:val="FootnoteReference"/>
        </w:rPr>
        <w:footnoteReference w:id="92"/>
      </w:r>
      <w:r w:rsidRPr="003B76D1">
        <w:t xml:space="preserve"> </w:t>
      </w:r>
      <w:r w:rsidR="00B05544">
        <w:t>and</w:t>
      </w:r>
      <w:r w:rsidRPr="003B76D1">
        <w:t xml:space="preserve"> 2</w:t>
      </w:r>
      <w:r w:rsidR="00B05544">
        <w:t>6</w:t>
      </w:r>
      <w:r w:rsidRPr="003B76D1">
        <w:t xml:space="preserve"> shelters with </w:t>
      </w:r>
      <w:r w:rsidR="00B05544">
        <w:t>402</w:t>
      </w:r>
      <w:r w:rsidRPr="003B76D1">
        <w:t xml:space="preserve"> spaces currently exist.</w:t>
      </w:r>
      <w:r w:rsidRPr="003B76D1">
        <w:rPr>
          <w:vertAlign w:val="superscript"/>
        </w:rPr>
        <w:footnoteReference w:id="93"/>
      </w:r>
      <w:r w:rsidRPr="003B76D1">
        <w:t xml:space="preserve"> </w:t>
      </w:r>
      <w:r w:rsidR="00B05544">
        <w:t>While the state has invested efforts into opening and/or supporting shelters and the numbers don’t fall much short of the minimum requirements, t</w:t>
      </w:r>
      <w:r w:rsidRPr="003B76D1">
        <w:t>hese shelters differ greatly in their approach, principles, experience, resources, and funding.</w:t>
      </w:r>
    </w:p>
    <w:p w14:paraId="638E6909" w14:textId="0E892460" w:rsidR="00B1349C" w:rsidRPr="003B76D1" w:rsidRDefault="00B1349C" w:rsidP="006B030B">
      <w:pPr>
        <w:pStyle w:val="NoSpacing"/>
        <w:numPr>
          <w:ilvl w:val="0"/>
          <w:numId w:val="23"/>
        </w:numPr>
        <w:spacing w:afterLines="120" w:after="288" w:line="276" w:lineRule="auto"/>
        <w:jc w:val="both"/>
      </w:pPr>
      <w:r w:rsidRPr="003B76D1">
        <w:t>Croatia's history of women’s shelters began in 1990 when AWHZ opened its first shelter. Following this, six additional autonomous women’s shelters were established, mostly in the 2000s. These shelters are now funded based on three-year contracts following public tenders.</w:t>
      </w:r>
      <w:r w:rsidRPr="003B76D1">
        <w:rPr>
          <w:rStyle w:val="FootnoteReference"/>
        </w:rPr>
        <w:footnoteReference w:id="94"/>
      </w:r>
      <w:r w:rsidRPr="003B76D1">
        <w:t xml:space="preserve"> AWHZ has reported that, unlike the early years of joint agreements between the state, city, county, and women’s NGOs </w:t>
      </w:r>
      <w:r w:rsidRPr="003B76D1">
        <w:rPr>
          <w:color w:val="1F1F1F"/>
          <w:shd w:val="clear" w:color="auto" w:fill="FFFFFF"/>
        </w:rPr>
        <w:t>—</w:t>
      </w:r>
      <w:r w:rsidRPr="003B76D1">
        <w:t>where each covered 30% of the annual funding, amounting to 90% of the total budget</w:t>
      </w:r>
      <w:r w:rsidRPr="003B76D1">
        <w:rPr>
          <w:color w:val="1F1F1F"/>
          <w:shd w:val="clear" w:color="auto" w:fill="FFFFFF"/>
        </w:rPr>
        <w:t xml:space="preserve"> —</w:t>
      </w:r>
      <w:r w:rsidRPr="003B76D1">
        <w:t>current funding is less comprehensive, with each covering less than 30% of operational costs.</w:t>
      </w:r>
      <w:r w:rsidRPr="003B76D1">
        <w:rPr>
          <w:rStyle w:val="FootnoteReference"/>
        </w:rPr>
        <w:footnoteReference w:id="95"/>
      </w:r>
      <w:r w:rsidRPr="003B76D1">
        <w:t xml:space="preserve"> Shelters must raise the remaining funds independently, often through tenders, direct agreements, or project fundraising. In addition to the regression in sufficient funding for support services, the delivery of such resources is</w:t>
      </w:r>
      <w:r w:rsidRPr="003B76D1" w:rsidDel="00D765B3">
        <w:t xml:space="preserve"> </w:t>
      </w:r>
      <w:r w:rsidRPr="003B76D1">
        <w:t>often delayed. For instance, the 2022–2024 funding decision was made two months into 2022, causing shelters to wait at least three months for the first payment while still covering operational costs.</w:t>
      </w:r>
      <w:r w:rsidRPr="003B76D1">
        <w:rPr>
          <w:rStyle w:val="FootnoteReference"/>
        </w:rPr>
        <w:footnoteReference w:id="96"/>
      </w:r>
    </w:p>
    <w:p w14:paraId="17C6AED5" w14:textId="04912310" w:rsidR="00B1349C" w:rsidRPr="003B76D1" w:rsidRDefault="00B1349C" w:rsidP="006B030B">
      <w:pPr>
        <w:pStyle w:val="NoSpacing"/>
        <w:numPr>
          <w:ilvl w:val="0"/>
          <w:numId w:val="23"/>
        </w:numPr>
        <w:spacing w:afterLines="120" w:after="288" w:line="276" w:lineRule="auto"/>
        <w:jc w:val="both"/>
      </w:pPr>
      <w:r w:rsidRPr="003B76D1">
        <w:t xml:space="preserve">State, church, city, and some NGOs run homes for children and adult victims of </w:t>
      </w:r>
      <w:r w:rsidR="007E61EF">
        <w:t>DV</w:t>
      </w:r>
      <w:r w:rsidRPr="003B76D1">
        <w:t>, based on state guidelines and funded per bed. As per the protocols and according to legislation, access to these homes requires CISW to issue a decision on accommodation, contingent on the victim reporting the violence to the police.</w:t>
      </w:r>
      <w:r w:rsidRPr="003B76D1">
        <w:rPr>
          <w:rStyle w:val="FootnoteReference"/>
        </w:rPr>
        <w:footnoteReference w:id="97"/>
      </w:r>
      <w:r w:rsidRPr="003B76D1">
        <w:t xml:space="preserve"> Article 71 of the Social Services Act (SSA) lists the types of social services a person can receive, including accommodation.</w:t>
      </w:r>
      <w:r w:rsidRPr="003B76D1">
        <w:rPr>
          <w:rStyle w:val="FootnoteReference"/>
        </w:rPr>
        <w:footnoteReference w:id="98"/>
      </w:r>
      <w:r w:rsidRPr="003B76D1">
        <w:t xml:space="preserve"> In its decision, which is required for these types of homes to receive per person-based funding, Article 112 of the SSA defines accommodation for victims of domestic violence as accommodation service in crisis situations</w:t>
      </w:r>
      <w:r w:rsidRPr="003B76D1">
        <w:rPr>
          <w:rStyle w:val="FootnoteReference"/>
        </w:rPr>
        <w:footnoteReference w:id="99"/>
      </w:r>
      <w:r w:rsidRPr="003B76D1">
        <w:t xml:space="preserve"> which can last up to 6 months, but can be extended for victims of violence.</w:t>
      </w:r>
      <w:r w:rsidRPr="003B76D1">
        <w:rPr>
          <w:rStyle w:val="FootnoteReference"/>
        </w:rPr>
        <w:footnoteReference w:id="100"/>
      </w:r>
      <w:r w:rsidRPr="003B76D1">
        <w:t xml:space="preserve"> In contrast, autonomous women’s shelters have no referral requirements and allow women to stay up to a year or longer, which is crucial given lengthy legal procedures.</w:t>
      </w:r>
      <w:r w:rsidRPr="003B76D1">
        <w:rPr>
          <w:rStyle w:val="FootnoteReference"/>
        </w:rPr>
        <w:footnoteReference w:id="101"/>
      </w:r>
    </w:p>
    <w:p w14:paraId="24FD3CB0" w14:textId="29CADB06" w:rsidR="00B1349C" w:rsidRPr="003B76D1" w:rsidRDefault="00B1349C" w:rsidP="006B030B">
      <w:pPr>
        <w:pStyle w:val="NoSpacing"/>
        <w:numPr>
          <w:ilvl w:val="0"/>
          <w:numId w:val="23"/>
        </w:numPr>
        <w:spacing w:afterLines="120" w:after="288" w:line="276" w:lineRule="auto"/>
        <w:jc w:val="both"/>
        <w:rPr>
          <w:rStyle w:val="FootnoteReference"/>
          <w:vertAlign w:val="baseline"/>
        </w:rPr>
      </w:pPr>
      <w:r w:rsidRPr="003B76D1">
        <w:t>The Ministry for Labor, Pension System, Family, and Social Policy imposes licensing rules designed for state institutions, making it challenging for shelters to meet space and furnishing requirements without state funding.</w:t>
      </w:r>
      <w:r w:rsidRPr="003B76D1">
        <w:rPr>
          <w:rStyle w:val="FootnoteReference"/>
        </w:rPr>
        <w:footnoteReference w:id="102"/>
      </w:r>
      <w:r w:rsidRPr="003B76D1">
        <w:t xml:space="preserve"> Despite this, six new shelters were opened in 2019–2020 with funding from European Social Fund (ESF) and are mostly run by women’s NGOs with experience in providing support. Aligning these shelters with state regulations has been challenging, especially in rural areas lacking social workers.</w:t>
      </w:r>
      <w:r w:rsidRPr="003B76D1">
        <w:rPr>
          <w:rStyle w:val="FootnoteReference"/>
        </w:rPr>
        <w:footnoteReference w:id="103"/>
      </w:r>
      <w:r w:rsidRPr="003B76D1">
        <w:t xml:space="preserve"> Historically, specialized training, rather than specific professional qualifications, was prioritized for shelter staff, developed by women’s NGOs.</w:t>
      </w:r>
      <w:r w:rsidRPr="003B76D1">
        <w:rPr>
          <w:vertAlign w:val="superscript"/>
        </w:rPr>
        <w:footnoteReference w:id="104"/>
      </w:r>
      <w:r w:rsidRPr="003B76D1">
        <w:t xml:space="preserve"> The Ministry's tender for these new shelters overlooked essential aspects like the security, and data protection of the shelters, focusing instead on visibility and promotion.</w:t>
      </w:r>
      <w:r w:rsidRPr="003B76D1">
        <w:rPr>
          <w:vertAlign w:val="superscript"/>
        </w:rPr>
        <w:footnoteReference w:id="105"/>
      </w:r>
      <w:r w:rsidRPr="003B76D1">
        <w:t xml:space="preserve"> </w:t>
      </w:r>
      <w:r w:rsidR="007E61EF">
        <w:t>The most recent accommodation that received state funding through the same tender as autonomous women’s shelters (which are only partially funded) is the St. Michael shelter</w:t>
      </w:r>
      <w:r w:rsidR="007E61EF">
        <w:rPr>
          <w:rStyle w:val="FootnoteReference"/>
        </w:rPr>
        <w:footnoteReference w:id="106"/>
      </w:r>
      <w:r w:rsidR="007E61EF">
        <w:t>, run by Association Betlehem</w:t>
      </w:r>
      <w:r w:rsidR="007E61EF">
        <w:rPr>
          <w:rStyle w:val="FootnoteReference"/>
        </w:rPr>
        <w:footnoteReference w:id="107"/>
      </w:r>
      <w:r w:rsidR="007E61EF">
        <w:t xml:space="preserve">, whose mission is protection of life from conception. This is a strongly religious organization which promotes anti-abortion views and is against women’s SRHR. </w:t>
      </w:r>
    </w:p>
    <w:p w14:paraId="0A2E6851" w14:textId="2C11BAA5" w:rsidR="00B1349C" w:rsidRPr="003B76D1" w:rsidRDefault="00B1349C" w:rsidP="00053692">
      <w:pPr>
        <w:pStyle w:val="NoSpacing"/>
        <w:numPr>
          <w:ilvl w:val="0"/>
          <w:numId w:val="23"/>
        </w:numPr>
        <w:spacing w:afterLines="120" w:after="288" w:line="276" w:lineRule="auto"/>
        <w:jc w:val="both"/>
      </w:pPr>
      <w:r w:rsidRPr="003B76D1">
        <w:rPr>
          <w:lang w:val="en-GB"/>
        </w:rPr>
        <w:t>In late 2020, funding for the national specialized hotline was redirected to the National Call Centre of the Association for Victim and Witness Support. However, this centre is not specialized for women or victims of gender-based or domestic violence and is not advertised as such. As a result, many women seeking help may be unaware of its existence and not accessing it. The 2024 report from the National Call Centre cites 2,369 beneficiaries without disaggregated data on women survivors of VAW and domestic violence</w:t>
      </w:r>
      <w:r w:rsidRPr="003B76D1">
        <w:t>.</w:t>
      </w:r>
      <w:r w:rsidRPr="003B76D1">
        <w:rPr>
          <w:rStyle w:val="FootnoteReference"/>
        </w:rPr>
        <w:footnoteReference w:id="108"/>
      </w:r>
      <w:r w:rsidRPr="003B76D1">
        <w:t xml:space="preserve"> </w:t>
      </w:r>
      <w:r w:rsidRPr="003B76D1">
        <w:rPr>
          <w:lang w:val="en-GB"/>
        </w:rPr>
        <w:t>Croatia's decision to fund this centre ignores existing specialized hotlines, such as the one run by AWHZ, which has operated for over 30 years</w:t>
      </w:r>
      <w:r w:rsidRPr="003B76D1">
        <w:t>.</w:t>
      </w:r>
      <w:r w:rsidRPr="003B76D1">
        <w:rPr>
          <w:vertAlign w:val="superscript"/>
        </w:rPr>
        <w:footnoteReference w:id="109"/>
      </w:r>
      <w:r w:rsidRPr="003B76D1">
        <w:t xml:space="preserve"> </w:t>
      </w:r>
      <w:r w:rsidRPr="003B76D1">
        <w:rPr>
          <w:lang w:val="en-GB"/>
        </w:rPr>
        <w:t>Despite receiving the European harmonized helpline number 116 016 for women survivors of violence, the government has not provided additional funding to ensure its 24/7 operation</w:t>
      </w:r>
      <w:r w:rsidRPr="003B76D1">
        <w:t>.</w:t>
      </w:r>
      <w:r w:rsidRPr="003B76D1">
        <w:rPr>
          <w:rStyle w:val="FootnoteReference"/>
        </w:rPr>
        <w:footnoteReference w:id="110"/>
      </w:r>
      <w:r w:rsidRPr="003B76D1">
        <w:t xml:space="preserve"> </w:t>
      </w:r>
    </w:p>
    <w:p w14:paraId="0C809F59" w14:textId="3410CBAA" w:rsidR="00B1349C" w:rsidRPr="004A0394" w:rsidRDefault="00B1349C" w:rsidP="006B030B">
      <w:pPr>
        <w:pStyle w:val="ListParagraph"/>
        <w:numPr>
          <w:ilvl w:val="0"/>
          <w:numId w:val="26"/>
        </w:numPr>
        <w:spacing w:afterLines="120" w:after="288"/>
        <w:contextualSpacing w:val="0"/>
        <w:jc w:val="center"/>
        <w:rPr>
          <w:rFonts w:ascii="Times New Roman" w:hAnsi="Times New Roman" w:cs="Times New Roman"/>
          <w:b/>
          <w:bCs/>
          <w:sz w:val="24"/>
          <w:szCs w:val="24"/>
          <w:lang w:val="en-GB"/>
        </w:rPr>
      </w:pPr>
      <w:r w:rsidRPr="004A0394">
        <w:rPr>
          <w:rFonts w:ascii="Times New Roman" w:hAnsi="Times New Roman" w:cs="Times New Roman"/>
          <w:b/>
          <w:bCs/>
          <w:sz w:val="24"/>
          <w:szCs w:val="24"/>
          <w:lang w:val="en-GB"/>
        </w:rPr>
        <w:t>SUGGESTED QUESTIONS</w:t>
      </w:r>
    </w:p>
    <w:p w14:paraId="7E4F9518" w14:textId="413C0312" w:rsidR="00B1349C" w:rsidRDefault="00B1349C" w:rsidP="006B030B">
      <w:pPr>
        <w:spacing w:afterLines="120" w:after="288"/>
        <w:jc w:val="both"/>
        <w:rPr>
          <w:rFonts w:ascii="Times New Roman" w:hAnsi="Times New Roman" w:cs="Times New Roman"/>
          <w:b/>
          <w:bCs/>
          <w:sz w:val="24"/>
          <w:szCs w:val="24"/>
        </w:rPr>
      </w:pPr>
      <w:r w:rsidRPr="6B11DAB4">
        <w:rPr>
          <w:rFonts w:ascii="Times New Roman" w:hAnsi="Times New Roman" w:cs="Times New Roman"/>
          <w:b/>
          <w:bCs/>
          <w:sz w:val="24"/>
          <w:szCs w:val="24"/>
        </w:rPr>
        <w:t xml:space="preserve">The coauthors of this report suggest the following </w:t>
      </w:r>
      <w:r w:rsidR="004A0394">
        <w:rPr>
          <w:rFonts w:ascii="Times New Roman" w:hAnsi="Times New Roman" w:cs="Times New Roman"/>
          <w:b/>
          <w:bCs/>
          <w:sz w:val="24"/>
          <w:szCs w:val="24"/>
        </w:rPr>
        <w:t>List of Issues for</w:t>
      </w:r>
      <w:r w:rsidRPr="6B11DAB4">
        <w:rPr>
          <w:rFonts w:ascii="Times New Roman" w:hAnsi="Times New Roman" w:cs="Times New Roman"/>
          <w:b/>
          <w:bCs/>
          <w:sz w:val="24"/>
          <w:szCs w:val="24"/>
        </w:rPr>
        <w:t xml:space="preserve"> government of Croatia:</w:t>
      </w:r>
    </w:p>
    <w:bookmarkEnd w:id="0"/>
    <w:p w14:paraId="7066D223" w14:textId="2043DFFA" w:rsidR="00AC3383"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rPr>
      </w:pPr>
      <w:r w:rsidRPr="00AC3383">
        <w:rPr>
          <w:rFonts w:ascii="Times New Roman" w:hAnsi="Times New Roman" w:cs="Times New Roman"/>
          <w:sz w:val="24"/>
          <w:szCs w:val="24"/>
        </w:rPr>
        <w:t>What measures has the State party taken to fully implement the Istanbul Convention through national laws and policies, ensuring a gender-sensitive</w:t>
      </w:r>
      <w:r>
        <w:rPr>
          <w:rFonts w:ascii="Times New Roman" w:hAnsi="Times New Roman" w:cs="Times New Roman"/>
          <w:sz w:val="24"/>
          <w:szCs w:val="24"/>
        </w:rPr>
        <w:t>, victim-</w:t>
      </w:r>
      <w:r w:rsidR="0031313E">
        <w:rPr>
          <w:rFonts w:ascii="Times New Roman" w:hAnsi="Times New Roman" w:cs="Times New Roman"/>
          <w:sz w:val="24"/>
          <w:szCs w:val="24"/>
        </w:rPr>
        <w:t>centered</w:t>
      </w:r>
      <w:r>
        <w:rPr>
          <w:rFonts w:ascii="Times New Roman" w:hAnsi="Times New Roman" w:cs="Times New Roman"/>
          <w:sz w:val="24"/>
          <w:szCs w:val="24"/>
        </w:rPr>
        <w:t>, holistic</w:t>
      </w:r>
      <w:r w:rsidRPr="00AC3383">
        <w:rPr>
          <w:rFonts w:ascii="Times New Roman" w:hAnsi="Times New Roman" w:cs="Times New Roman"/>
          <w:sz w:val="24"/>
          <w:szCs w:val="24"/>
        </w:rPr>
        <w:t xml:space="preserve"> approach throughout, including the abolition of dual arrests, the identification of the predominant aggressor, and the prevention of victim criminalization?</w:t>
      </w:r>
    </w:p>
    <w:p w14:paraId="1E218EB3" w14:textId="42381A3C" w:rsidR="00AC3383"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rPr>
      </w:pPr>
      <w:r w:rsidRPr="00AC3383">
        <w:rPr>
          <w:rFonts w:ascii="Times New Roman" w:hAnsi="Times New Roman" w:cs="Times New Roman"/>
          <w:sz w:val="24"/>
          <w:szCs w:val="24"/>
        </w:rPr>
        <w:t xml:space="preserve">What steps has the State party taken to systematically consider domestic violence in custody and visitation proceedings, to protect children </w:t>
      </w:r>
      <w:r>
        <w:rPr>
          <w:rFonts w:ascii="Times New Roman" w:hAnsi="Times New Roman" w:cs="Times New Roman"/>
          <w:sz w:val="24"/>
          <w:szCs w:val="24"/>
        </w:rPr>
        <w:t xml:space="preserve">victims and/or witnesses of violence from further violence and </w:t>
      </w:r>
      <w:r w:rsidR="0031313E">
        <w:rPr>
          <w:rFonts w:ascii="Times New Roman" w:hAnsi="Times New Roman" w:cs="Times New Roman"/>
          <w:sz w:val="24"/>
          <w:szCs w:val="24"/>
        </w:rPr>
        <w:t>victimization</w:t>
      </w:r>
      <w:r w:rsidRPr="00AC3383">
        <w:rPr>
          <w:rFonts w:ascii="Times New Roman" w:hAnsi="Times New Roman" w:cs="Times New Roman"/>
          <w:sz w:val="24"/>
          <w:szCs w:val="24"/>
        </w:rPr>
        <w:t xml:space="preserve">, to </w:t>
      </w:r>
      <w:r>
        <w:rPr>
          <w:rFonts w:ascii="Times New Roman" w:hAnsi="Times New Roman" w:cs="Times New Roman"/>
          <w:sz w:val="24"/>
          <w:szCs w:val="24"/>
        </w:rPr>
        <w:t>eliminate</w:t>
      </w:r>
      <w:r w:rsidRPr="00AC3383">
        <w:rPr>
          <w:rFonts w:ascii="Times New Roman" w:hAnsi="Times New Roman" w:cs="Times New Roman"/>
          <w:sz w:val="24"/>
          <w:szCs w:val="24"/>
        </w:rPr>
        <w:t xml:space="preserve"> the use of “parental alienation” and </w:t>
      </w:r>
      <w:r>
        <w:rPr>
          <w:rFonts w:ascii="Times New Roman" w:hAnsi="Times New Roman" w:cs="Times New Roman"/>
          <w:sz w:val="24"/>
          <w:szCs w:val="24"/>
        </w:rPr>
        <w:t xml:space="preserve">any </w:t>
      </w:r>
      <w:r w:rsidRPr="00AC3383">
        <w:rPr>
          <w:rFonts w:ascii="Times New Roman" w:hAnsi="Times New Roman" w:cs="Times New Roman"/>
          <w:sz w:val="24"/>
          <w:szCs w:val="24"/>
        </w:rPr>
        <w:t>similar concept in judicial and administrative proceedings, and to ensure that children exposed to violence are recognized as victims with appropriate protection measures for both them and the non-violent parent?</w:t>
      </w:r>
    </w:p>
    <w:p w14:paraId="3C14D98B" w14:textId="0D6C5818" w:rsidR="00AC3383"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rPr>
      </w:pPr>
      <w:r w:rsidRPr="00AC3383">
        <w:rPr>
          <w:rFonts w:ascii="Times New Roman" w:hAnsi="Times New Roman" w:cs="Times New Roman"/>
          <w:sz w:val="24"/>
          <w:szCs w:val="24"/>
        </w:rPr>
        <w:t>What measures are in place to guarantee effective prosecution and punishment of perpetrators of violence against women, including appropriate sanctions for violations, accountability for professionals who apply harmful concepts such as “parental alienation,” and regular evaluation of court-appointed psychologists and psychiatrists to prevent harmful practices and ensure compliance with international and European standards?</w:t>
      </w:r>
    </w:p>
    <w:p w14:paraId="293DE198" w14:textId="718A5CD9" w:rsidR="00AC3383"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rPr>
      </w:pPr>
      <w:r w:rsidRPr="00AC3383">
        <w:rPr>
          <w:rFonts w:ascii="Times New Roman" w:hAnsi="Times New Roman" w:cs="Times New Roman"/>
          <w:sz w:val="24"/>
          <w:szCs w:val="24"/>
        </w:rPr>
        <w:t>What measures ensure the effective access to and enforcement of protection orders, including the prioritization of remedies that protect victim safety (such as removal of the perpetrator from the shared home), the use of sanctions for violations, and compliance monitoring through measures such as electronic surveillance?</w:t>
      </w:r>
    </w:p>
    <w:p w14:paraId="3343746F" w14:textId="73F1237F" w:rsidR="00AC3383"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rPr>
      </w:pPr>
      <w:r w:rsidRPr="00AC3383">
        <w:rPr>
          <w:rFonts w:ascii="Times New Roman" w:hAnsi="Times New Roman" w:cs="Times New Roman"/>
          <w:sz w:val="24"/>
          <w:szCs w:val="24"/>
        </w:rPr>
        <w:t>What measures has the State party adopted to ensure mandatory, regular, and gender-sensitive training of judges, prosecutors, police, social workers, healthcare providers, and court-appointed experts on the dynamics of domestic violence and coercive control, including trauma-informed approaches developed and delivered in partnership with women’s rights NGOs?</w:t>
      </w:r>
    </w:p>
    <w:p w14:paraId="17C95AAB" w14:textId="421C02C6" w:rsidR="00AC3383"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rPr>
      </w:pPr>
      <w:r w:rsidRPr="00AC3383">
        <w:rPr>
          <w:rFonts w:ascii="Times New Roman" w:hAnsi="Times New Roman" w:cs="Times New Roman"/>
          <w:sz w:val="24"/>
          <w:szCs w:val="24"/>
        </w:rPr>
        <w:t>What mechanisms are in place to formally recognize women’s civil society organizations, including autonomous feminist NGOs and shelters, as equal partners in policy development, monitoring, and implementation, and to involve them in coordinated community responses to violence against women and domestic violence?</w:t>
      </w:r>
    </w:p>
    <w:p w14:paraId="6A522196" w14:textId="012E0D84" w:rsidR="00AC3383" w:rsidRPr="003B76D1" w:rsidRDefault="00AC3383" w:rsidP="006B030B">
      <w:pPr>
        <w:pStyle w:val="ListParagraph"/>
        <w:numPr>
          <w:ilvl w:val="0"/>
          <w:numId w:val="30"/>
        </w:numPr>
        <w:spacing w:afterLines="120" w:after="288"/>
        <w:ind w:left="1260" w:hanging="450"/>
        <w:contextualSpacing w:val="0"/>
        <w:jc w:val="both"/>
        <w:rPr>
          <w:rFonts w:ascii="Times New Roman" w:hAnsi="Times New Roman" w:cs="Times New Roman"/>
          <w:sz w:val="24"/>
          <w:szCs w:val="24"/>
          <w:lang w:val="en-GB"/>
        </w:rPr>
      </w:pPr>
      <w:r w:rsidRPr="00AC3383">
        <w:rPr>
          <w:rFonts w:ascii="Times New Roman" w:hAnsi="Times New Roman" w:cs="Times New Roman"/>
          <w:sz w:val="24"/>
          <w:szCs w:val="24"/>
        </w:rPr>
        <w:t xml:space="preserve">What steps has the State party taken to ensure regular, sufficient, and sustainable funding for women’s shelters, counselling </w:t>
      </w:r>
      <w:r w:rsidR="0031313E" w:rsidRPr="00AC3383">
        <w:rPr>
          <w:rFonts w:ascii="Times New Roman" w:hAnsi="Times New Roman" w:cs="Times New Roman"/>
          <w:sz w:val="24"/>
          <w:szCs w:val="24"/>
        </w:rPr>
        <w:t>centers</w:t>
      </w:r>
      <w:r w:rsidRPr="00AC3383">
        <w:rPr>
          <w:rFonts w:ascii="Times New Roman" w:hAnsi="Times New Roman" w:cs="Times New Roman"/>
          <w:sz w:val="24"/>
          <w:szCs w:val="24"/>
        </w:rPr>
        <w:t xml:space="preserve">, and helplines, </w:t>
      </w:r>
      <w:r>
        <w:rPr>
          <w:rFonts w:ascii="Times New Roman" w:hAnsi="Times New Roman" w:cs="Times New Roman"/>
          <w:sz w:val="24"/>
          <w:szCs w:val="24"/>
        </w:rPr>
        <w:t>while ensuring the autonomy of their work</w:t>
      </w:r>
      <w:r w:rsidRPr="00AC3383">
        <w:rPr>
          <w:rFonts w:ascii="Times New Roman" w:hAnsi="Times New Roman" w:cs="Times New Roman"/>
          <w:sz w:val="24"/>
          <w:szCs w:val="24"/>
        </w:rPr>
        <w:t>?</w:t>
      </w:r>
    </w:p>
    <w:sectPr w:rsidR="00AC3383" w:rsidRPr="003B76D1" w:rsidSect="00BE20D4">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C7AFF" w14:textId="77777777" w:rsidR="004933FB" w:rsidRDefault="004933FB" w:rsidP="002D213D">
      <w:pPr>
        <w:spacing w:line="240" w:lineRule="auto"/>
      </w:pPr>
      <w:r>
        <w:separator/>
      </w:r>
    </w:p>
  </w:endnote>
  <w:endnote w:type="continuationSeparator" w:id="0">
    <w:p w14:paraId="64076734" w14:textId="77777777" w:rsidR="004933FB" w:rsidRDefault="004933FB" w:rsidP="002D213D">
      <w:pPr>
        <w:spacing w:line="240" w:lineRule="auto"/>
      </w:pPr>
      <w:r>
        <w:continuationSeparator/>
      </w:r>
    </w:p>
  </w:endnote>
  <w:endnote w:type="continuationNotice" w:id="1">
    <w:p w14:paraId="5EE367B0" w14:textId="77777777" w:rsidR="004933FB" w:rsidRDefault="004933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574450"/>
      <w:docPartObj>
        <w:docPartGallery w:val="Page Numbers (Bottom of Page)"/>
        <w:docPartUnique/>
      </w:docPartObj>
    </w:sdtPr>
    <w:sdtEndPr>
      <w:rPr>
        <w:noProof/>
      </w:rPr>
    </w:sdtEndPr>
    <w:sdtContent>
      <w:p w14:paraId="4417F913" w14:textId="4834E9FD" w:rsidR="0045408D" w:rsidRDefault="004540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0C413D" w14:textId="77777777" w:rsidR="0045408D" w:rsidRDefault="00454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38051" w14:textId="77777777" w:rsidR="004933FB" w:rsidRDefault="004933FB" w:rsidP="002D213D">
      <w:pPr>
        <w:spacing w:line="240" w:lineRule="auto"/>
      </w:pPr>
      <w:r>
        <w:separator/>
      </w:r>
    </w:p>
  </w:footnote>
  <w:footnote w:type="continuationSeparator" w:id="0">
    <w:p w14:paraId="0B4DA897" w14:textId="77777777" w:rsidR="004933FB" w:rsidRDefault="004933FB" w:rsidP="002D213D">
      <w:pPr>
        <w:spacing w:line="240" w:lineRule="auto"/>
      </w:pPr>
      <w:r>
        <w:continuationSeparator/>
      </w:r>
    </w:p>
  </w:footnote>
  <w:footnote w:type="continuationNotice" w:id="1">
    <w:p w14:paraId="42F1F458" w14:textId="77777777" w:rsidR="004933FB" w:rsidRDefault="004933FB">
      <w:pPr>
        <w:spacing w:line="240" w:lineRule="auto"/>
      </w:pPr>
    </w:p>
  </w:footnote>
  <w:footnote w:id="2">
    <w:p w14:paraId="51152441" w14:textId="65211C34"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United Nations Treaty Collection. </w:t>
      </w:r>
      <w:r w:rsidRPr="003E0AFD">
        <w:rPr>
          <w:rFonts w:asciiTheme="majorBidi" w:hAnsiTheme="majorBidi" w:cstheme="majorBidi"/>
          <w:i/>
          <w:iCs/>
          <w:sz w:val="20"/>
          <w:szCs w:val="20"/>
        </w:rPr>
        <w:t>“Status of treaties:</w:t>
      </w:r>
      <w:r w:rsidRPr="003E0AFD">
        <w:rPr>
          <w:rFonts w:asciiTheme="majorBidi" w:hAnsiTheme="majorBidi" w:cstheme="majorBidi"/>
          <w:sz w:val="20"/>
          <w:szCs w:val="20"/>
        </w:rPr>
        <w:t xml:space="preserve"> </w:t>
      </w:r>
      <w:r w:rsidRPr="003E0AFD">
        <w:rPr>
          <w:rFonts w:asciiTheme="majorBidi" w:hAnsiTheme="majorBidi" w:cstheme="majorBidi"/>
          <w:i/>
          <w:iCs/>
          <w:sz w:val="20"/>
          <w:szCs w:val="20"/>
        </w:rPr>
        <w:t>Convention against Torture and Other Cruel, Inhuman or Degrading Treatment or Punishment – Status as at 17/03/2025.”</w:t>
      </w:r>
      <w:r w:rsidRPr="003E0AFD">
        <w:rPr>
          <w:rFonts w:asciiTheme="majorBidi" w:hAnsiTheme="majorBidi" w:cstheme="majorBidi"/>
          <w:sz w:val="20"/>
          <w:szCs w:val="20"/>
        </w:rPr>
        <w:t xml:space="preserve"> </w:t>
      </w:r>
      <w:r w:rsidRPr="003E0AFD">
        <w:rPr>
          <w:rFonts w:asciiTheme="majorBidi" w:hAnsiTheme="majorBidi" w:cstheme="majorBidi"/>
          <w:sz w:val="20"/>
          <w:szCs w:val="20"/>
          <w:lang w:val="en-GB"/>
        </w:rPr>
        <w:t>Accessed Mar 24, 2025, https://treaties.un.org/Pages/ViewDetails.aspx?src=IND&amp;mtdsg_no=IV-9&amp;chapter=4&amp;clang=_en</w:t>
      </w:r>
    </w:p>
  </w:footnote>
  <w:footnote w:id="3">
    <w:p w14:paraId="75EBEE2A" w14:textId="76479109"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D67641" w:rsidRPr="009C5243">
        <w:rPr>
          <w:rFonts w:asciiTheme="majorBidi" w:hAnsiTheme="majorBidi" w:cstheme="majorBidi"/>
          <w:sz w:val="20"/>
          <w:szCs w:val="20"/>
        </w:rPr>
        <w:t>Ibid.</w:t>
      </w:r>
    </w:p>
  </w:footnote>
  <w:footnote w:id="4">
    <w:p w14:paraId="6E32C482" w14:textId="1CD505E8"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D67641" w:rsidRPr="009C5243">
        <w:rPr>
          <w:rFonts w:asciiTheme="majorBidi" w:hAnsiTheme="majorBidi" w:cstheme="majorBidi"/>
          <w:sz w:val="20"/>
          <w:szCs w:val="20"/>
        </w:rPr>
        <w:t>Ibid.</w:t>
      </w:r>
    </w:p>
  </w:footnote>
  <w:footnote w:id="5">
    <w:p w14:paraId="5AAF752D" w14:textId="096CF52C"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OHCHR. "</w:t>
      </w:r>
      <w:r w:rsidRPr="003E0AFD">
        <w:rPr>
          <w:rFonts w:asciiTheme="majorBidi" w:hAnsiTheme="majorBidi" w:cstheme="majorBidi"/>
          <w:i/>
          <w:sz w:val="20"/>
          <w:szCs w:val="20"/>
        </w:rPr>
        <w:t xml:space="preserve">View the ratification by country or by treaty. Ratification Status for Croatia.” </w:t>
      </w:r>
      <w:r w:rsidRPr="003E0AFD">
        <w:rPr>
          <w:rFonts w:asciiTheme="majorBidi" w:hAnsiTheme="majorBidi" w:cstheme="majorBidi"/>
          <w:sz w:val="20"/>
          <w:szCs w:val="20"/>
        </w:rPr>
        <w:t>Accessed 17 Mar 2025, https://indicators.ohchr.org/.</w:t>
      </w:r>
    </w:p>
  </w:footnote>
  <w:footnote w:id="6">
    <w:p w14:paraId="22C1D1AC" w14:textId="544B7745"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t>
      </w:r>
      <w:r w:rsidRPr="003E0AFD">
        <w:rPr>
          <w:rFonts w:asciiTheme="majorBidi" w:hAnsiTheme="majorBidi" w:cstheme="majorBidi"/>
          <w:sz w:val="20"/>
          <w:szCs w:val="20"/>
          <w:lang w:val="en-GB"/>
        </w:rPr>
        <w:t>Permanent Mission of Croatia to the United Nations. Statement by H.E. Minister of Health Prof. Dr. Željko Reiner: The review and appraisal of the implementation of the Programme of Action of the International Conference on Population and Development - New York, 30 June - 2 July 1999, (July 2, 1999), available at https://www.unfpa.org/sites/default/files/resource-pdf/croatia.pdf.</w:t>
      </w:r>
    </w:p>
  </w:footnote>
  <w:footnote w:id="7">
    <w:p w14:paraId="21F3E276" w14:textId="733220CD" w:rsidR="00B1349C" w:rsidRPr="009C5243" w:rsidRDefault="00B1349C">
      <w:pPr>
        <w:pStyle w:val="FootnoteText"/>
        <w:rPr>
          <w:rFonts w:asciiTheme="majorBidi" w:hAnsiTheme="majorBidi" w:cstheme="majorBidi"/>
          <w:sz w:val="20"/>
          <w:szCs w:val="20"/>
          <w:lang w:val="hr-HR"/>
        </w:rPr>
      </w:pPr>
      <w:r w:rsidRPr="009C5243">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Pr="009C5243">
        <w:rPr>
          <w:rFonts w:asciiTheme="majorBidi" w:hAnsiTheme="majorBidi" w:cstheme="majorBidi"/>
          <w:sz w:val="20"/>
          <w:szCs w:val="20"/>
          <w:lang w:val="en-GB"/>
        </w:rPr>
        <w:t>The Office for Gender Equality, Government of the Republic of Croatia. The Republic of Croatia: A Comprehensive Review of the Situation at the National Level on the Occasion of the Twenty-fifth Anniversary of the Fourth World Conference on Women and the Adoption of the Beijing Declaration and Platform for Action, (May 2019), available at https://www.unwomen.org/sites/default/files/Headquarters/Attachments/Sections/CSW/64/National-reviews/Croatia.pdf.</w:t>
      </w:r>
    </w:p>
  </w:footnote>
  <w:footnote w:id="8">
    <w:p w14:paraId="07A65D14" w14:textId="37738586"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t>
      </w:r>
      <w:r w:rsidRPr="003E0AFD">
        <w:rPr>
          <w:rFonts w:asciiTheme="majorBidi" w:hAnsiTheme="majorBidi" w:cstheme="majorBidi"/>
          <w:sz w:val="20"/>
          <w:szCs w:val="20"/>
          <w:lang w:val="en-GB"/>
        </w:rPr>
        <w:t>Council of Europe Treaty Office. "</w:t>
      </w:r>
      <w:r w:rsidRPr="003E0AFD">
        <w:rPr>
          <w:rFonts w:asciiTheme="majorBidi" w:hAnsiTheme="majorBidi" w:cstheme="majorBidi"/>
          <w:i/>
          <w:sz w:val="20"/>
          <w:szCs w:val="20"/>
          <w:lang w:val="en-GB"/>
        </w:rPr>
        <w:t xml:space="preserve">Chart of signatures and ratifications of Treaty 210: Council of Europe Convention on preventing and combating violence against women and domestic violence (CETS No. 210) – Status as of 17/03/2025.” </w:t>
      </w:r>
      <w:r w:rsidRPr="003E0AFD">
        <w:rPr>
          <w:rFonts w:asciiTheme="majorBidi" w:hAnsiTheme="majorBidi" w:cstheme="majorBidi"/>
          <w:sz w:val="20"/>
          <w:szCs w:val="20"/>
          <w:lang w:val="en-GB"/>
        </w:rPr>
        <w:t>Accessed Mar 24, 2025, https://www.coe.int/en/web/conventions/full-list?module=treaty-detail&amp;treatynum=210.</w:t>
      </w:r>
    </w:p>
  </w:footnote>
  <w:footnote w:id="9">
    <w:p w14:paraId="38C32999" w14:textId="52283A09"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Croatian Constitution, Art. 141, translation available at:  https://www.wipo.int/edocs/lexdocs/laws/en/hr/hr060en.pdf.</w:t>
      </w:r>
    </w:p>
  </w:footnote>
  <w:footnote w:id="10">
    <w:p w14:paraId="13F894AA" w14:textId="4349A625" w:rsidR="004A0394" w:rsidRPr="003E0AFD" w:rsidRDefault="004A0394">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9A0EAA" w:rsidRPr="009C5243">
        <w:rPr>
          <w:rFonts w:asciiTheme="majorBidi" w:hAnsiTheme="majorBidi" w:cstheme="majorBidi"/>
          <w:sz w:val="20"/>
          <w:szCs w:val="20"/>
        </w:rPr>
        <w:t>Committee on the Elimination of Discrimination against Women</w:t>
      </w:r>
      <w:r w:rsidRPr="009C5243">
        <w:rPr>
          <w:rFonts w:asciiTheme="majorBidi" w:hAnsiTheme="majorBidi" w:cstheme="majorBidi"/>
          <w:sz w:val="20"/>
          <w:szCs w:val="20"/>
        </w:rPr>
        <w:t>,</w:t>
      </w:r>
      <w:r w:rsidR="0099032E" w:rsidRPr="009C5243">
        <w:rPr>
          <w:rFonts w:asciiTheme="majorBidi" w:hAnsiTheme="majorBidi" w:cstheme="majorBidi"/>
          <w:sz w:val="20"/>
          <w:szCs w:val="20"/>
        </w:rPr>
        <w:t xml:space="preserve"> Concluding observations on the combined fourth and fifth periodic reports of Croatia</w:t>
      </w:r>
      <w:r w:rsidR="00C62640" w:rsidRPr="009C5243">
        <w:rPr>
          <w:rFonts w:asciiTheme="majorBidi" w:hAnsiTheme="majorBidi" w:cstheme="majorBidi"/>
          <w:sz w:val="20"/>
          <w:szCs w:val="20"/>
        </w:rPr>
        <w:t>, UN Doc. CEDAW/C/HRV/CO/4-5, 28 July 2015,</w:t>
      </w:r>
      <w:r w:rsidRPr="009C5243">
        <w:rPr>
          <w:rFonts w:asciiTheme="majorBidi" w:hAnsiTheme="majorBidi" w:cstheme="majorBidi"/>
          <w:sz w:val="20"/>
          <w:szCs w:val="20"/>
        </w:rPr>
        <w:t xml:space="preserve"> </w:t>
      </w:r>
      <w:r w:rsidR="003037C2" w:rsidRPr="009C5243">
        <w:rPr>
          <w:rFonts w:asciiTheme="majorBidi" w:hAnsiTheme="majorBidi" w:cstheme="majorBidi"/>
          <w:b/>
          <w:bCs/>
          <w:sz w:val="20"/>
          <w:szCs w:val="20"/>
        </w:rPr>
        <w:t>¶</w:t>
      </w:r>
      <w:r w:rsidRPr="009C5243">
        <w:rPr>
          <w:rFonts w:asciiTheme="majorBidi" w:hAnsiTheme="majorBidi" w:cstheme="majorBidi"/>
          <w:sz w:val="20"/>
          <w:szCs w:val="20"/>
        </w:rPr>
        <w:t>. 18</w:t>
      </w:r>
    </w:p>
  </w:footnote>
  <w:footnote w:id="11">
    <w:p w14:paraId="075E4F94" w14:textId="66E84B25" w:rsidR="00716D08" w:rsidRPr="00DB2C88" w:rsidRDefault="00716D08">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DB2C88">
        <w:rPr>
          <w:rFonts w:asciiTheme="majorBidi" w:hAnsiTheme="majorBidi" w:cstheme="majorBidi"/>
          <w:sz w:val="20"/>
          <w:szCs w:val="20"/>
        </w:rPr>
        <w:t xml:space="preserve"> </w:t>
      </w:r>
      <w:r w:rsidR="002E5281" w:rsidRPr="00DB2C88">
        <w:rPr>
          <w:rFonts w:asciiTheme="majorBidi" w:hAnsiTheme="majorBidi" w:cstheme="majorBidi"/>
          <w:sz w:val="20"/>
          <w:szCs w:val="20"/>
        </w:rPr>
        <w:t>Ibid</w:t>
      </w:r>
      <w:r w:rsidR="003037C2" w:rsidRPr="00DB2C88">
        <w:rPr>
          <w:rFonts w:asciiTheme="majorBidi" w:hAnsiTheme="majorBidi" w:cstheme="majorBidi"/>
          <w:sz w:val="20"/>
          <w:szCs w:val="20"/>
        </w:rPr>
        <w:t xml:space="preserve"> </w:t>
      </w:r>
      <w:r w:rsidRPr="00DB2C88">
        <w:rPr>
          <w:rFonts w:asciiTheme="majorBidi" w:hAnsiTheme="majorBidi" w:cstheme="majorBidi"/>
          <w:sz w:val="20"/>
          <w:szCs w:val="20"/>
        </w:rPr>
        <w:t>18</w:t>
      </w:r>
      <w:r w:rsidR="003037C2" w:rsidRPr="00DB2C88">
        <w:rPr>
          <w:rFonts w:asciiTheme="majorBidi" w:hAnsiTheme="majorBidi" w:cstheme="majorBidi"/>
          <w:sz w:val="20"/>
          <w:szCs w:val="20"/>
        </w:rPr>
        <w:t xml:space="preserve"> (</w:t>
      </w:r>
      <w:r w:rsidRPr="00DB2C88">
        <w:rPr>
          <w:rFonts w:asciiTheme="majorBidi" w:hAnsiTheme="majorBidi" w:cstheme="majorBidi"/>
          <w:sz w:val="20"/>
          <w:szCs w:val="20"/>
        </w:rPr>
        <w:t>c</w:t>
      </w:r>
      <w:r w:rsidR="003037C2" w:rsidRPr="00DB2C88">
        <w:rPr>
          <w:rFonts w:asciiTheme="majorBidi" w:hAnsiTheme="majorBidi" w:cstheme="majorBidi"/>
          <w:sz w:val="20"/>
          <w:szCs w:val="20"/>
        </w:rPr>
        <w:t>)</w:t>
      </w:r>
      <w:r w:rsidRPr="00DB2C88">
        <w:rPr>
          <w:rFonts w:asciiTheme="majorBidi" w:hAnsiTheme="majorBidi" w:cstheme="majorBidi"/>
          <w:sz w:val="20"/>
          <w:szCs w:val="20"/>
        </w:rPr>
        <w:t>,</w:t>
      </w:r>
      <w:r w:rsidR="003037C2" w:rsidRPr="00DB2C88">
        <w:rPr>
          <w:rFonts w:asciiTheme="majorBidi" w:hAnsiTheme="majorBidi" w:cstheme="majorBidi"/>
          <w:sz w:val="20"/>
          <w:szCs w:val="20"/>
        </w:rPr>
        <w:t>(</w:t>
      </w:r>
      <w:r w:rsidRPr="00DB2C88">
        <w:rPr>
          <w:rFonts w:asciiTheme="majorBidi" w:hAnsiTheme="majorBidi" w:cstheme="majorBidi"/>
          <w:sz w:val="20"/>
          <w:szCs w:val="20"/>
        </w:rPr>
        <w:t>e</w:t>
      </w:r>
      <w:r w:rsidR="003037C2" w:rsidRPr="00DB2C88">
        <w:rPr>
          <w:rFonts w:asciiTheme="majorBidi" w:hAnsiTheme="majorBidi" w:cstheme="majorBidi"/>
          <w:sz w:val="20"/>
          <w:szCs w:val="20"/>
        </w:rPr>
        <w:t>)</w:t>
      </w:r>
      <w:r w:rsidRPr="00DB2C88">
        <w:rPr>
          <w:rFonts w:asciiTheme="majorBidi" w:hAnsiTheme="majorBidi" w:cstheme="majorBidi"/>
          <w:sz w:val="20"/>
          <w:szCs w:val="20"/>
        </w:rPr>
        <w:t>,</w:t>
      </w:r>
      <w:r w:rsidR="003037C2" w:rsidRPr="00DB2C88">
        <w:rPr>
          <w:rFonts w:asciiTheme="majorBidi" w:hAnsiTheme="majorBidi" w:cstheme="majorBidi"/>
          <w:sz w:val="20"/>
          <w:szCs w:val="20"/>
        </w:rPr>
        <w:t>(</w:t>
      </w:r>
      <w:r w:rsidRPr="00DB2C88">
        <w:rPr>
          <w:rFonts w:asciiTheme="majorBidi" w:hAnsiTheme="majorBidi" w:cstheme="majorBidi"/>
          <w:sz w:val="20"/>
          <w:szCs w:val="20"/>
        </w:rPr>
        <w:t>h</w:t>
      </w:r>
      <w:r w:rsidR="003037C2" w:rsidRPr="00DB2C88">
        <w:rPr>
          <w:rFonts w:asciiTheme="majorBidi" w:hAnsiTheme="majorBidi" w:cstheme="majorBidi"/>
          <w:sz w:val="20"/>
          <w:szCs w:val="20"/>
        </w:rPr>
        <w:t>)</w:t>
      </w:r>
    </w:p>
  </w:footnote>
  <w:footnote w:id="12">
    <w:p w14:paraId="34A982EF" w14:textId="5FB75043" w:rsidR="00E56068" w:rsidRPr="009C5243" w:rsidRDefault="00E56068">
      <w:pPr>
        <w:pStyle w:val="FootnoteText"/>
        <w:rPr>
          <w:rFonts w:asciiTheme="majorBidi" w:hAnsiTheme="majorBidi" w:cstheme="majorBidi"/>
          <w:sz w:val="20"/>
          <w:szCs w:val="20"/>
        </w:rPr>
      </w:pPr>
      <w:r w:rsidRPr="009C5243">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Ibid</w:t>
      </w:r>
      <w:r w:rsidR="002E5281" w:rsidRPr="009C5243">
        <w:rPr>
          <w:rFonts w:asciiTheme="majorBidi" w:hAnsiTheme="majorBidi" w:cstheme="majorBidi"/>
          <w:sz w:val="20"/>
          <w:szCs w:val="20"/>
        </w:rPr>
        <w:t>, 19 (</w:t>
      </w:r>
      <w:r w:rsidR="003865FB" w:rsidRPr="009C5243">
        <w:rPr>
          <w:rFonts w:asciiTheme="majorBidi" w:hAnsiTheme="majorBidi" w:cstheme="majorBidi"/>
          <w:sz w:val="20"/>
          <w:szCs w:val="20"/>
        </w:rPr>
        <w:t xml:space="preserve">c), </w:t>
      </w:r>
      <w:r w:rsidR="00890D8D" w:rsidRPr="009C5243">
        <w:rPr>
          <w:rFonts w:asciiTheme="majorBidi" w:hAnsiTheme="majorBidi" w:cstheme="majorBidi"/>
          <w:sz w:val="20"/>
          <w:szCs w:val="20"/>
        </w:rPr>
        <w:t>(d), (e), (</w:t>
      </w:r>
      <w:r w:rsidR="00E42843" w:rsidRPr="009C5243">
        <w:rPr>
          <w:rFonts w:asciiTheme="majorBidi" w:hAnsiTheme="majorBidi" w:cstheme="majorBidi"/>
          <w:sz w:val="20"/>
          <w:szCs w:val="20"/>
        </w:rPr>
        <w:t>g)</w:t>
      </w:r>
    </w:p>
  </w:footnote>
  <w:footnote w:id="13">
    <w:p w14:paraId="5581B8FC" w14:textId="5BC425E8"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Law on Protection from Domestic Violence, National Gazette 36/24, available in Croatian at </w:t>
      </w:r>
      <w:r w:rsidRPr="008434BA">
        <w:rPr>
          <w:rFonts w:asciiTheme="majorBidi" w:eastAsiaTheme="majorEastAsia" w:hAnsiTheme="majorBidi" w:cstheme="majorBidi"/>
          <w:sz w:val="20"/>
          <w:szCs w:val="20"/>
        </w:rPr>
        <w:t>https://www.zakon.hr/z/81/Zakon-o-za%C5%A1titi-od-nasilja-u-obitelji</w:t>
      </w:r>
      <w:r w:rsidRPr="003E0AFD">
        <w:rPr>
          <w:rFonts w:asciiTheme="majorBidi" w:hAnsiTheme="majorBidi" w:cstheme="majorBidi"/>
          <w:sz w:val="20"/>
          <w:szCs w:val="20"/>
        </w:rPr>
        <w:t>.</w:t>
      </w:r>
    </w:p>
  </w:footnote>
  <w:footnote w:id="14">
    <w:p w14:paraId="79791524" w14:textId="7CEDA68A" w:rsidR="00B1349C" w:rsidRPr="003E0AFD" w:rsidRDefault="00B1349C" w:rsidP="00B37A8A">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vertAlign w:val="subscript"/>
        </w:rPr>
        <w:t xml:space="preserve"> </w:t>
      </w:r>
      <w:r w:rsidRPr="003E0AFD">
        <w:rPr>
          <w:rFonts w:asciiTheme="majorBidi" w:hAnsiTheme="majorBidi" w:cstheme="majorBidi"/>
          <w:sz w:val="20"/>
          <w:szCs w:val="20"/>
        </w:rPr>
        <w:t xml:space="preserve">Law on Protection from Domestic Violence, Articles 13 and 15-18, National Gazette 36/24, available in Croatian at </w:t>
      </w:r>
      <w:r w:rsidRPr="008434BA">
        <w:rPr>
          <w:rFonts w:asciiTheme="majorBidi" w:eastAsiaTheme="majorEastAsia" w:hAnsiTheme="majorBidi" w:cstheme="majorBidi"/>
          <w:sz w:val="20"/>
          <w:szCs w:val="20"/>
        </w:rPr>
        <w:t>https://www.zakon.hr/z/81/Zakon-o-za%C5%A1titi-od-nasilja-u-obitelji</w:t>
      </w:r>
      <w:r w:rsidRPr="003E0AFD">
        <w:rPr>
          <w:rFonts w:asciiTheme="majorBidi" w:hAnsiTheme="majorBidi" w:cstheme="majorBidi"/>
          <w:sz w:val="20"/>
          <w:szCs w:val="20"/>
        </w:rPr>
        <w:t>.</w:t>
      </w:r>
    </w:p>
  </w:footnote>
  <w:footnote w:id="15">
    <w:p w14:paraId="32E70E0D" w14:textId="0027480B" w:rsidR="00B1349C" w:rsidRPr="003E0AFD" w:rsidRDefault="00B1349C" w:rsidP="00160496">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vertAlign w:val="subscript"/>
        </w:rPr>
        <w:t xml:space="preserve"> </w:t>
      </w:r>
      <w:r w:rsidRPr="003E0AFD">
        <w:rPr>
          <w:rFonts w:asciiTheme="majorBidi" w:hAnsiTheme="majorBidi" w:cstheme="majorBidi"/>
          <w:sz w:val="20"/>
          <w:szCs w:val="20"/>
        </w:rPr>
        <w:t xml:space="preserve">Law on Protection from Domestic Violence, Article 24, National Gazette 36/24, available in Croatian at </w:t>
      </w:r>
      <w:r w:rsidRPr="008434BA">
        <w:rPr>
          <w:rFonts w:asciiTheme="majorBidi" w:eastAsiaTheme="majorEastAsia" w:hAnsiTheme="majorBidi" w:cstheme="majorBidi"/>
          <w:sz w:val="20"/>
          <w:szCs w:val="20"/>
        </w:rPr>
        <w:t>https://www.zakon.hr/z/81/Zakon-o-za%C5%A1titi-od-nasilja-u-obitelji</w:t>
      </w:r>
      <w:r w:rsidRPr="003E0AFD">
        <w:rPr>
          <w:rFonts w:asciiTheme="majorBidi" w:hAnsiTheme="majorBidi" w:cstheme="majorBidi"/>
          <w:sz w:val="20"/>
          <w:szCs w:val="20"/>
        </w:rPr>
        <w:t>.</w:t>
      </w:r>
    </w:p>
  </w:footnote>
  <w:footnote w:id="16">
    <w:p w14:paraId="6512E256" w14:textId="6451D5BF" w:rsidR="00B1349C" w:rsidRPr="003E0AFD" w:rsidRDefault="00B1349C" w:rsidP="00160496">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vertAlign w:val="subscript"/>
        </w:rPr>
        <w:t xml:space="preserve"> </w:t>
      </w:r>
      <w:r w:rsidRPr="003E0AFD">
        <w:rPr>
          <w:rFonts w:asciiTheme="majorBidi" w:hAnsiTheme="majorBidi" w:cstheme="majorBidi"/>
          <w:sz w:val="20"/>
          <w:szCs w:val="20"/>
        </w:rPr>
        <w:t xml:space="preserve">Law on Protection from Domestic Violence, Article7 ¶1, National Gazette 36/24, available in Croatian at </w:t>
      </w:r>
      <w:r w:rsidRPr="008434BA">
        <w:rPr>
          <w:rFonts w:asciiTheme="majorBidi" w:eastAsiaTheme="majorEastAsia" w:hAnsiTheme="majorBidi" w:cstheme="majorBidi"/>
          <w:sz w:val="20"/>
          <w:szCs w:val="20"/>
        </w:rPr>
        <w:t>https://www.zakon.hr/z/81/Zakon-o-za%C5%A1titi-od-nasilja-u-obitelji</w:t>
      </w:r>
      <w:r w:rsidRPr="003E0AFD">
        <w:rPr>
          <w:rFonts w:asciiTheme="majorBidi" w:hAnsiTheme="majorBidi" w:cstheme="majorBidi"/>
          <w:sz w:val="20"/>
          <w:szCs w:val="20"/>
        </w:rPr>
        <w:t>.</w:t>
      </w:r>
    </w:p>
  </w:footnote>
  <w:footnote w:id="17">
    <w:p w14:paraId="2081E060" w14:textId="3480AF7F" w:rsidR="00B1349C" w:rsidRPr="003E0AFD" w:rsidRDefault="00B1349C" w:rsidP="00160496">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vertAlign w:val="subscript"/>
        </w:rPr>
        <w:t xml:space="preserve"> </w:t>
      </w:r>
      <w:r w:rsidRPr="003E0AFD">
        <w:rPr>
          <w:rFonts w:asciiTheme="majorBidi" w:hAnsiTheme="majorBidi" w:cstheme="majorBidi"/>
          <w:sz w:val="20"/>
          <w:szCs w:val="20"/>
        </w:rPr>
        <w:t xml:space="preserve">Law on Protection from Domestic Violence, Article 16 ¶2, National Gazette 36/24, available in Croatian at </w:t>
      </w:r>
      <w:r w:rsidRPr="008434BA">
        <w:rPr>
          <w:rFonts w:asciiTheme="majorBidi" w:eastAsiaTheme="majorEastAsia" w:hAnsiTheme="majorBidi" w:cstheme="majorBidi"/>
          <w:sz w:val="20"/>
          <w:szCs w:val="20"/>
        </w:rPr>
        <w:t>https://www.zakon.hr/z/81/Zakon-o-za%C5%A1titi-od-nasilja-u-obitelji</w:t>
      </w:r>
      <w:r w:rsidRPr="003E0AFD">
        <w:rPr>
          <w:rFonts w:asciiTheme="majorBidi" w:hAnsiTheme="majorBidi" w:cstheme="majorBidi"/>
          <w:sz w:val="20"/>
          <w:szCs w:val="20"/>
        </w:rPr>
        <w:t>.</w:t>
      </w:r>
    </w:p>
  </w:footnote>
  <w:footnote w:id="18">
    <w:p w14:paraId="1DAB5468" w14:textId="05D6A2B3"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AWHZ lawyer from 4 April 2025.</w:t>
      </w:r>
    </w:p>
  </w:footnote>
  <w:footnote w:id="19">
    <w:p w14:paraId="24F4BE80" w14:textId="329702FD"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Official Gazette 125/11, 144/12, 56/15, 61/15, 101/17, 118/18, 126/19, 84/21, 114/22, 114/23, 36/24, art 111.3 «whoever murders a close person whom they have abused before...», will be punished by at least 10 years of imprisonment (5 years for regular murder). Available in Croatian at </w:t>
      </w:r>
      <w:r w:rsidRPr="008434BA">
        <w:rPr>
          <w:rFonts w:asciiTheme="majorBidi" w:eastAsiaTheme="majorEastAsia" w:hAnsiTheme="majorBidi" w:cstheme="majorBidi"/>
          <w:sz w:val="20"/>
          <w:szCs w:val="20"/>
        </w:rPr>
        <w:t>https://www.zakon.hr/z/98/Kazneni-zakon</w:t>
      </w:r>
      <w:r w:rsidRPr="003E0AFD">
        <w:rPr>
          <w:rFonts w:asciiTheme="majorBidi" w:hAnsiTheme="majorBidi" w:cstheme="majorBidi"/>
          <w:sz w:val="20"/>
          <w:szCs w:val="20"/>
        </w:rPr>
        <w:t xml:space="preserve">. </w:t>
      </w:r>
    </w:p>
  </w:footnote>
  <w:footnote w:id="20">
    <w:p w14:paraId="5C3D0AAB" w14:textId="33505B0A"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art 117.2. </w:t>
      </w:r>
    </w:p>
  </w:footnote>
  <w:footnote w:id="21">
    <w:p w14:paraId="2CCF179E" w14:textId="14000D73"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art 118.2. </w:t>
      </w:r>
    </w:p>
  </w:footnote>
  <w:footnote w:id="22">
    <w:p w14:paraId="1FC9C58B" w14:textId="6110AA33"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art 119.2. </w:t>
      </w:r>
    </w:p>
  </w:footnote>
  <w:footnote w:id="23">
    <w:p w14:paraId="1AAC215E" w14:textId="658A565C"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art 116.3. </w:t>
      </w:r>
    </w:p>
  </w:footnote>
  <w:footnote w:id="24">
    <w:p w14:paraId="5888CBA5" w14:textId="2DA439FB"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Criminal Code, art 136.3 </w:t>
      </w:r>
    </w:p>
  </w:footnote>
  <w:footnote w:id="25">
    <w:p w14:paraId="12F95123" w14:textId="21C3C6CB"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Criminal Code, art 138.2. </w:t>
      </w:r>
    </w:p>
  </w:footnote>
  <w:footnote w:id="26">
    <w:p w14:paraId="01AA572D" w14:textId="105124E8"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Criminal Code, art 139.2. </w:t>
      </w:r>
    </w:p>
  </w:footnote>
  <w:footnote w:id="27">
    <w:p w14:paraId="7EDF1A4F" w14:textId="1401A024"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art 140.2. </w:t>
      </w:r>
    </w:p>
  </w:footnote>
  <w:footnote w:id="28">
    <w:p w14:paraId="5001350C" w14:textId="309722C2"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Criminal Code, art 179a</w:t>
      </w:r>
    </w:p>
  </w:footnote>
  <w:footnote w:id="29">
    <w:p w14:paraId="305AF7AB" w14:textId="22A5A5AE" w:rsidR="00B1349C" w:rsidRPr="003E0AFD" w:rsidRDefault="00B1349C" w:rsidP="00846C5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Criminal Code, art 111a</w:t>
      </w:r>
      <w:r w:rsidR="000C670E" w:rsidRPr="009C5243">
        <w:rPr>
          <w:rFonts w:asciiTheme="majorBidi" w:hAnsiTheme="majorBidi" w:cstheme="majorBidi"/>
          <w:sz w:val="20"/>
          <w:szCs w:val="20"/>
        </w:rPr>
        <w:t>.</w:t>
      </w:r>
    </w:p>
  </w:footnote>
  <w:footnote w:id="30">
    <w:p w14:paraId="2CDC2574" w14:textId="77777777" w:rsidR="00B1349C" w:rsidRPr="003E0AFD" w:rsidRDefault="00B1349C" w:rsidP="00846C5C">
      <w:pPr>
        <w:pStyle w:val="FootnoteText"/>
        <w:rPr>
          <w:rFonts w:asciiTheme="majorBidi" w:hAnsiTheme="majorBidi" w:cstheme="majorBidi"/>
          <w:color w:val="000000" w:themeColor="text1"/>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WAVE, “</w:t>
      </w:r>
      <w:r w:rsidRPr="003E0AFD">
        <w:rPr>
          <w:rFonts w:asciiTheme="majorBidi" w:hAnsiTheme="majorBidi" w:cstheme="majorBidi"/>
          <w:color w:val="000000" w:themeColor="text1"/>
          <w:sz w:val="20"/>
          <w:szCs w:val="20"/>
        </w:rPr>
        <w:t>Femicide as a Separate Criminal Offense: A Milestone in Croatia - WOMEN AGAINST VIOLENCE EUROPE”, (Apr. 4, 2024), https://wave-network.org/femicide-criminal-offense-croatia/ (last visited May 30, 2024).</w:t>
      </w:r>
    </w:p>
  </w:footnote>
  <w:footnote w:id="31">
    <w:p w14:paraId="0CA6CCD0" w14:textId="3659B89C" w:rsidR="00B1349C" w:rsidRPr="003E0AFD" w:rsidRDefault="00B1349C" w:rsidP="00CA3878">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Criminal Code, art. 87 ¶ 32 defines gender-based violence as Gender-based violence against women refers to violence directed at a woman because she is a woman or that disproportionately affects women. Such conduct will be considered an aggravating circumstance if this law does not explicitly prescribe stricter punishment.”</w:t>
      </w:r>
    </w:p>
  </w:footnote>
  <w:footnote w:id="32">
    <w:p w14:paraId="5BA23070"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Group of Experts on Action against Violence against Women and Domestic Violence (GREVIO), </w:t>
      </w:r>
      <w:r w:rsidRPr="003E0AFD">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3E0AFD">
        <w:rPr>
          <w:rFonts w:asciiTheme="majorBidi" w:hAnsiTheme="majorBidi" w:cstheme="majorBidi"/>
          <w:sz w:val="20"/>
          <w:szCs w:val="20"/>
        </w:rPr>
        <w:t>, (Sept. 6, 2023), ¶13, available at https://rm.coe.int/baseline-evaluation-report-on-croatia/1680ac76c9.</w:t>
      </w:r>
    </w:p>
  </w:footnote>
  <w:footnote w:id="33">
    <w:p w14:paraId="362FE8E9"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Information on file with the authors, 2024.</w:t>
      </w:r>
    </w:p>
  </w:footnote>
  <w:footnote w:id="34">
    <w:p w14:paraId="1FB06D6A" w14:textId="761F0402"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Ombudsperson for Gender Equality Year Report 2024, 93-94.</w:t>
      </w:r>
    </w:p>
  </w:footnote>
  <w:footnote w:id="35">
    <w:p w14:paraId="4E624EC1" w14:textId="6E389A9E"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36">
    <w:p w14:paraId="5440EEA6" w14:textId="77777777" w:rsidR="00B1349C" w:rsidRPr="003E0AFD" w:rsidRDefault="00B1349C" w:rsidP="00695A32">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 98.</w:t>
      </w:r>
    </w:p>
  </w:footnote>
  <w:footnote w:id="37">
    <w:p w14:paraId="02D5C8A5" w14:textId="5DC00560" w:rsidR="00B1349C" w:rsidRPr="003E0AFD" w:rsidRDefault="00B1349C">
      <w:pPr>
        <w:pStyle w:val="FootnoteText"/>
        <w:rPr>
          <w:rFonts w:asciiTheme="majorBidi" w:hAnsiTheme="majorBidi" w:cstheme="majorBidi"/>
          <w:sz w:val="20"/>
          <w:szCs w:val="20"/>
          <w:lang w:val="en-GB"/>
        </w:rPr>
      </w:pPr>
      <w:r w:rsidRPr="003E0AFD">
        <w:rPr>
          <w:rStyle w:val="FootnoteReference"/>
          <w:rFonts w:asciiTheme="majorBidi" w:hAnsiTheme="majorBidi" w:cstheme="majorBidi"/>
          <w:sz w:val="20"/>
          <w:szCs w:val="20"/>
          <w:lang w:val="en-GB"/>
        </w:rPr>
        <w:footnoteRef/>
      </w:r>
      <w:r w:rsidRPr="003E0AFD">
        <w:rPr>
          <w:rFonts w:asciiTheme="majorBidi" w:hAnsiTheme="majorBidi" w:cstheme="majorBidi"/>
          <w:sz w:val="20"/>
          <w:szCs w:val="20"/>
          <w:lang w:val="en-GB"/>
        </w:rPr>
        <w:t xml:space="preserve"> Interview with AWHZ lawyer, 2025.</w:t>
      </w:r>
    </w:p>
  </w:footnote>
  <w:footnote w:id="38">
    <w:p w14:paraId="20E07DFF" w14:textId="77777777" w:rsidR="00B1349C" w:rsidRPr="003E0AFD" w:rsidRDefault="00B1349C" w:rsidP="00695A32">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Ibid.</w:t>
      </w:r>
    </w:p>
  </w:footnote>
  <w:footnote w:id="39">
    <w:p w14:paraId="7C3EDE5F"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Ministry of Justice and Administration: „Report on the Work of the Commission for Monitoring and Improving the Work of Criminal and Misdemeanor Procedure Bodies and the Enforcement of Sanctions Related to Protection from Domestic Violence 2020“, 21 Jun 2021, chrome-extension://efaidnbmnnnibpcajpcglclefindmkaj/https://mpudt.gov.hr/UserDocsImages/dokumenti/Izvje%C5%A1%C4%87e%20Povjerenstva%20za%202020.pdf </w:t>
      </w:r>
    </w:p>
  </w:footnote>
  <w:footnote w:id="40">
    <w:p w14:paraId="12E5DC80" w14:textId="03B10338" w:rsidR="00B1349C" w:rsidRPr="003E0AFD" w:rsidRDefault="00B1349C" w:rsidP="00EF2F6D">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Ministry of Justice and Administration: Report on the Work of the Commission for Monitoring and Improving the Work of Criminal and Misdemeanor Procedure Bodies and the Enforcement of Sanctions Related to Protection from Domestic Violence 2021”, 29 Jun 2022, chrome-extension://efaidnbmnnnibpcajpcglclefindmkaj/https://mpudt.gov.hr/UserDocsImages/dokumenti/Pravo%20na%20pristup%20informacijama/Izvje%C5%A1%C4%87a/Izvje%C5%A1%C4%87e%20Povjerenstva-2021.pdf </w:t>
      </w:r>
    </w:p>
  </w:footnote>
  <w:footnote w:id="41">
    <w:p w14:paraId="1748C2E4" w14:textId="38D53B42" w:rsidR="00B1349C" w:rsidRPr="003E0AFD" w:rsidRDefault="00B1349C" w:rsidP="00EF2F6D">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Ministry of Justice and Administration: Report on the Work of the Commission for Monitoring and Improving the Work of Criminal and Misdemeanor Procedure Bodies and the Enforcement of Sanctions Related to Protection from Domestic Violence 2022”, 21 Jun 2023, chrome-extension://efaidnbmnnnibpcajpcglclefindmkaj/https://mpudt.gov.hr/UserDocsImages/dokumenti/Strategije,%20planovi,%20izvje%C5%A1%C4%87a/Izvje%C5%A1%C4%87e%20o%20radu%20Povjerenstva%20za%202022.%20godinu..pdf</w:t>
      </w:r>
    </w:p>
  </w:footnote>
  <w:footnote w:id="42">
    <w:p w14:paraId="5D6954A2" w14:textId="73D01E20"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Ombudsperson for Gender Equality Year Report 2024, 103.</w:t>
      </w:r>
    </w:p>
  </w:footnote>
  <w:footnote w:id="43">
    <w:p w14:paraId="20E40B4A" w14:textId="41A7E3E9"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 </w:t>
      </w:r>
    </w:p>
  </w:footnote>
  <w:footnote w:id="44">
    <w:p w14:paraId="2CE0A059"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Ombudsperson for Gender Equality Year Report 2023, 95-96.</w:t>
      </w:r>
    </w:p>
  </w:footnote>
  <w:footnote w:id="45">
    <w:p w14:paraId="1E38F49E" w14:textId="622068C4"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r w:rsidR="00B86F21" w:rsidRPr="009C5243">
        <w:rPr>
          <w:rFonts w:asciiTheme="majorBidi" w:hAnsiTheme="majorBidi" w:cstheme="majorBidi"/>
          <w:sz w:val="20"/>
          <w:szCs w:val="20"/>
        </w:rPr>
        <w:t>.</w:t>
      </w:r>
      <w:r w:rsidRPr="009C5243">
        <w:rPr>
          <w:rFonts w:asciiTheme="majorBidi" w:hAnsiTheme="majorBidi" w:cstheme="majorBidi"/>
          <w:sz w:val="20"/>
          <w:szCs w:val="20"/>
        </w:rPr>
        <w:t>,</w:t>
      </w:r>
      <w:r w:rsidRPr="003E0AFD">
        <w:rPr>
          <w:rFonts w:asciiTheme="majorBidi" w:hAnsiTheme="majorBidi" w:cstheme="majorBidi"/>
          <w:sz w:val="20"/>
          <w:szCs w:val="20"/>
        </w:rPr>
        <w:t xml:space="preserve"> 32. </w:t>
      </w:r>
    </w:p>
  </w:footnote>
  <w:footnote w:id="46">
    <w:p w14:paraId="2D200E98" w14:textId="3BBD27CF" w:rsidR="00B1349C" w:rsidRPr="003E0AFD" w:rsidRDefault="00B1349C" w:rsidP="0073251F">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AWHZ, ARTEMIS: Promoting the right of protection of women through the application of the EC Directive 2011/99/EU and the European Protection Order – National report Croatia”, 2020. </w:t>
      </w:r>
      <w:r w:rsidRPr="008434BA">
        <w:rPr>
          <w:rFonts w:asciiTheme="majorBidi" w:eastAsiaTheme="majorEastAsia" w:hAnsiTheme="majorBidi" w:cstheme="majorBidi"/>
          <w:sz w:val="20"/>
          <w:szCs w:val="20"/>
        </w:rPr>
        <w:t>https://www.artemis-europa.eu/wp-content/uploads/2020/09/Artemis-national-report-Croatia.pdf</w:t>
      </w:r>
      <w:r w:rsidRPr="003E0AFD">
        <w:rPr>
          <w:rFonts w:asciiTheme="majorBidi" w:hAnsiTheme="majorBidi" w:cstheme="majorBidi"/>
          <w:sz w:val="20"/>
          <w:szCs w:val="20"/>
        </w:rPr>
        <w:t xml:space="preserve"> </w:t>
      </w:r>
    </w:p>
  </w:footnote>
  <w:footnote w:id="47">
    <w:p w14:paraId="7115E5F1" w14:textId="19BE7480"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GREVIO Baseline report para. 225.b; CEDAW Concluding observations on the combined fourth and fifth periodic reports of Croatia* para. 19.c, chrome-extension://efaidnbmnnnibpcajpcglclefindmkaj/https://documents.un.org/doc/undoc/gen/n15/234/47/pdf/n1523447.pdf?token=ZMAfaIOI6xm8gkggjJ&amp;fe=true; CAT Concluding observations on the combined fourth and fifth periodic reports of Croatia* para. 16</w:t>
      </w:r>
    </w:p>
  </w:footnote>
  <w:footnote w:id="48">
    <w:p w14:paraId="702336D9" w14:textId="77777777"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Interview with a lawyer, 2024.</w:t>
      </w:r>
    </w:p>
  </w:footnote>
  <w:footnote w:id="49">
    <w:p w14:paraId="11FC1D0B" w14:textId="77777777" w:rsidR="00B1349C" w:rsidRPr="003E0AFD" w:rsidRDefault="00B1349C" w:rsidP="00EF2F6D">
      <w:pPr>
        <w:pStyle w:val="FootnoteText"/>
        <w:rPr>
          <w:rFonts w:asciiTheme="majorBidi" w:hAnsiTheme="majorBidi" w:cstheme="majorBidi"/>
          <w: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i/>
          <w:sz w:val="20"/>
          <w:szCs w:val="20"/>
        </w:rPr>
        <w:t xml:space="preserve"> </w:t>
      </w:r>
      <w:r w:rsidRPr="003E0AFD">
        <w:rPr>
          <w:rFonts w:asciiTheme="majorBidi" w:hAnsiTheme="majorBidi" w:cstheme="majorBidi"/>
          <w:i/>
          <w:iCs/>
          <w:sz w:val="20"/>
          <w:szCs w:val="20"/>
        </w:rPr>
        <w:t xml:space="preserve"> </w:t>
      </w:r>
      <w:r w:rsidRPr="003E0AFD">
        <w:rPr>
          <w:rFonts w:asciiTheme="majorBidi" w:hAnsiTheme="majorBidi" w:cstheme="majorBidi"/>
          <w:sz w:val="20"/>
          <w:szCs w:val="20"/>
        </w:rPr>
        <w:t>Ibid.</w:t>
      </w:r>
    </w:p>
  </w:footnote>
  <w:footnote w:id="50">
    <w:p w14:paraId="49CC7714" w14:textId="08EB0F3F"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the shelter director, Mar. 20, 2025.</w:t>
      </w:r>
    </w:p>
  </w:footnote>
  <w:footnote w:id="51">
    <w:p w14:paraId="5E514C72"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GREVIO, </w:t>
      </w:r>
      <w:r w:rsidRPr="003E0AFD">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3E0AFD">
        <w:rPr>
          <w:rFonts w:asciiTheme="majorBidi" w:hAnsiTheme="majorBidi" w:cstheme="majorBidi"/>
          <w:sz w:val="20"/>
          <w:szCs w:val="20"/>
        </w:rPr>
        <w:t>, (Sept. 6, 2023), ¶193, available at https://rm.coe.int/baseline-evaluation-report-on-croatia/1680ac76c9.</w:t>
      </w:r>
    </w:p>
  </w:footnote>
  <w:footnote w:id="52">
    <w:p w14:paraId="6FEE8ACD" w14:textId="7FA7703E"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3741AB" w:rsidRPr="009C5243">
        <w:rPr>
          <w:rFonts w:asciiTheme="majorBidi" w:hAnsiTheme="majorBidi" w:cstheme="majorBidi"/>
          <w:sz w:val="20"/>
          <w:szCs w:val="20"/>
        </w:rPr>
        <w:t>Ibid.</w:t>
      </w:r>
    </w:p>
  </w:footnote>
  <w:footnote w:id="53">
    <w:p w14:paraId="2D4FCF10" w14:textId="7FF0245B"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3741AB" w:rsidRPr="009C5243">
        <w:rPr>
          <w:rFonts w:asciiTheme="majorBidi" w:hAnsiTheme="majorBidi" w:cstheme="majorBidi"/>
          <w:sz w:val="20"/>
          <w:szCs w:val="20"/>
        </w:rPr>
        <w:t>Ibid.</w:t>
      </w:r>
    </w:p>
  </w:footnote>
  <w:footnote w:id="54">
    <w:p w14:paraId="2169DAA8" w14:textId="7CFD2F4A"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Women’s Network Croatia, “Croatian NGO Joint Shadow report to GREVIO”, 2022,  Available at </w:t>
      </w:r>
      <w:r w:rsidRPr="008434BA">
        <w:rPr>
          <w:rFonts w:asciiTheme="majorBidi" w:eastAsiaTheme="majorEastAsia" w:hAnsiTheme="majorBidi" w:cstheme="majorBidi"/>
          <w:sz w:val="20"/>
          <w:szCs w:val="20"/>
        </w:rPr>
        <w:t>https://rm.coe.int/croatian-ngo-joint-shadow-report-to-grevio-final/1680a795c4</w:t>
      </w:r>
      <w:r w:rsidRPr="003E0AFD">
        <w:rPr>
          <w:rStyle w:val="Hyperlink"/>
          <w:rFonts w:asciiTheme="majorBidi" w:eastAsiaTheme="majorEastAsia" w:hAnsiTheme="majorBidi" w:cstheme="majorBidi"/>
          <w:sz w:val="20"/>
          <w:szCs w:val="20"/>
        </w:rPr>
        <w:t>.</w:t>
      </w:r>
      <w:r w:rsidRPr="003E0AFD">
        <w:rPr>
          <w:rFonts w:asciiTheme="majorBidi" w:hAnsiTheme="majorBidi" w:cstheme="majorBidi"/>
          <w:sz w:val="20"/>
          <w:szCs w:val="20"/>
        </w:rPr>
        <w:t xml:space="preserve"> </w:t>
      </w:r>
    </w:p>
  </w:footnote>
  <w:footnote w:id="55">
    <w:p w14:paraId="74F6198C" w14:textId="10E2DD12"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Family Law, Official Gazette 103/15, 98/19, 47/20, 49/23, 156/23, art. 171. </w:t>
      </w:r>
      <w:r w:rsidRPr="008434BA">
        <w:rPr>
          <w:rFonts w:asciiTheme="majorBidi" w:eastAsiaTheme="majorEastAsia" w:hAnsiTheme="majorBidi" w:cstheme="majorBidi"/>
          <w:sz w:val="20"/>
          <w:szCs w:val="20"/>
        </w:rPr>
        <w:t>https://www.zakon.hr/z/88/Obiteljski-zakon</w:t>
      </w:r>
    </w:p>
  </w:footnote>
  <w:footnote w:id="56">
    <w:p w14:paraId="203F0ABE" w14:textId="5D3145AE" w:rsidR="00B1349C" w:rsidRPr="003E0AFD" w:rsidRDefault="00B1349C" w:rsidP="00EF2F6D">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Women’s Network Croatia, “Croatian NGO Joint Shadow report to GREVIO”, 2022, Available at </w:t>
      </w:r>
      <w:r w:rsidRPr="008434BA">
        <w:rPr>
          <w:rFonts w:asciiTheme="majorBidi" w:eastAsiaTheme="majorEastAsia" w:hAnsiTheme="majorBidi" w:cstheme="majorBidi"/>
          <w:sz w:val="20"/>
          <w:szCs w:val="20"/>
        </w:rPr>
        <w:t>https://rm.coe.int/croatian-ngo-joint-shadow-report-to-grevio-final/1680a795c4</w:t>
      </w:r>
      <w:r w:rsidRPr="003E0AFD">
        <w:rPr>
          <w:rFonts w:asciiTheme="majorBidi" w:hAnsiTheme="majorBidi" w:cstheme="majorBidi"/>
          <w:sz w:val="20"/>
          <w:szCs w:val="20"/>
          <w:lang w:val="hr-HR"/>
        </w:rPr>
        <w:t xml:space="preserve">. </w:t>
      </w:r>
    </w:p>
  </w:footnote>
  <w:footnote w:id="57">
    <w:p w14:paraId="2D8BF0AB"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GREVIO, </w:t>
      </w:r>
      <w:r w:rsidRPr="003E0AFD">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3E0AFD">
        <w:rPr>
          <w:rFonts w:asciiTheme="majorBidi" w:hAnsiTheme="majorBidi" w:cstheme="majorBidi"/>
          <w:sz w:val="20"/>
          <w:szCs w:val="20"/>
        </w:rPr>
        <w:t>, (Sept. 6, 2023), ¶194, available at https://rm.coe.int/baseline-evaluation-report-on-croatia/1680ac76c9.</w:t>
      </w:r>
    </w:p>
  </w:footnote>
  <w:footnote w:id="58">
    <w:p w14:paraId="6C9C9B32" w14:textId="49F1FD00" w:rsidR="00B1349C" w:rsidRPr="003E0AFD" w:rsidRDefault="00B1349C" w:rsidP="00EF2F6D">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Women’s Network Croatia, “Croatian NGO Joint Shadow report to GREVIO”, 2022,  40. Available at </w:t>
      </w:r>
      <w:r w:rsidRPr="008434BA">
        <w:rPr>
          <w:rFonts w:asciiTheme="majorBidi" w:eastAsiaTheme="majorEastAsia" w:hAnsiTheme="majorBidi" w:cstheme="majorBidi"/>
          <w:sz w:val="20"/>
          <w:szCs w:val="20"/>
        </w:rPr>
        <w:t>https://rm.coe.int/croatian-ngo-joint-shadow-report-to-grevio-final/1680a795c4</w:t>
      </w:r>
      <w:r w:rsidRPr="003E0AFD">
        <w:rPr>
          <w:rFonts w:asciiTheme="majorBidi" w:hAnsiTheme="majorBidi" w:cstheme="majorBidi"/>
          <w:sz w:val="20"/>
          <w:szCs w:val="20"/>
          <w:lang w:val="hr-HR"/>
        </w:rPr>
        <w:t xml:space="preserve">. </w:t>
      </w:r>
    </w:p>
  </w:footnote>
  <w:footnote w:id="59">
    <w:p w14:paraId="4EFACD84"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AWHZ and CWWV ROSA 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p>
  </w:footnote>
  <w:footnote w:id="60">
    <w:p w14:paraId="06AB20A4"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 </w:t>
      </w:r>
    </w:p>
  </w:footnote>
  <w:footnote w:id="61">
    <w:p w14:paraId="2143D94E" w14:textId="182F821F"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the director of a women’s shelter, Mar. 20, 2025.</w:t>
      </w:r>
    </w:p>
  </w:footnote>
  <w:footnote w:id="62">
    <w:p w14:paraId="31E7157B" w14:textId="7CC38E8E"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63">
    <w:p w14:paraId="77E8B154" w14:textId="7406652F"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64">
    <w:p w14:paraId="3F04C975"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the director of a women's shelter, May 23, 2024.</w:t>
      </w:r>
    </w:p>
  </w:footnote>
  <w:footnote w:id="65">
    <w:p w14:paraId="18488BB4"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a legal expert, May 23, 2024.</w:t>
      </w:r>
    </w:p>
  </w:footnote>
  <w:footnote w:id="66">
    <w:p w14:paraId="32243EC0" w14:textId="394D4378"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Family Law, Official Gazette art. 332 </w:t>
      </w:r>
      <w:r w:rsidRPr="003E0AFD">
        <w:rPr>
          <w:rFonts w:asciiTheme="majorBidi" w:hAnsiTheme="majorBidi" w:cstheme="majorBidi"/>
          <w:color w:val="000000" w:themeColor="text1"/>
          <w:sz w:val="20"/>
          <w:szCs w:val="20"/>
        </w:rPr>
        <w:t>¶</w:t>
      </w:r>
      <w:r w:rsidRPr="003E0AFD">
        <w:rPr>
          <w:rFonts w:asciiTheme="majorBidi" w:hAnsiTheme="majorBidi" w:cstheme="majorBidi"/>
          <w:sz w:val="20"/>
          <w:szCs w:val="20"/>
        </w:rPr>
        <w:t xml:space="preserve"> 1. available in Croatian at </w:t>
      </w:r>
      <w:r w:rsidRPr="008434BA">
        <w:rPr>
          <w:rFonts w:asciiTheme="majorBidi" w:eastAsiaTheme="majorEastAsia" w:hAnsiTheme="majorBidi" w:cstheme="majorBidi"/>
          <w:sz w:val="20"/>
          <w:szCs w:val="20"/>
        </w:rPr>
        <w:t>https://www.zakon.hr/z/88/Obiteljski-zakon</w:t>
      </w:r>
      <w:r w:rsidRPr="003E0AFD">
        <w:rPr>
          <w:rFonts w:asciiTheme="majorBidi" w:hAnsiTheme="majorBidi" w:cstheme="majorBidi"/>
          <w:sz w:val="20"/>
          <w:szCs w:val="20"/>
        </w:rPr>
        <w:t xml:space="preserve"> </w:t>
      </w:r>
    </w:p>
  </w:footnote>
  <w:footnote w:id="67">
    <w:p w14:paraId="338814BB"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legal expert, May 23, 2024.</w:t>
      </w:r>
    </w:p>
  </w:footnote>
  <w:footnote w:id="68">
    <w:p w14:paraId="0FAF90F6" w14:textId="48F5B700" w:rsidR="00B1349C" w:rsidRPr="003E0AFD" w:rsidRDefault="00B1349C">
      <w:pPr>
        <w:pStyle w:val="FootnoteText"/>
        <w:rPr>
          <w:rFonts w:asciiTheme="majorBidi" w:hAnsiTheme="majorBidi" w:cstheme="majorBidi"/>
          <w:sz w:val="20"/>
          <w:szCs w:val="20"/>
          <w:lang w:val="en-GB"/>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Lauri Korajlija, A. “</w:t>
      </w:r>
      <w:r w:rsidRPr="003E0AFD">
        <w:rPr>
          <w:rFonts w:asciiTheme="majorBidi" w:hAnsiTheme="majorBidi" w:cstheme="majorBidi"/>
          <w:i/>
          <w:iCs/>
          <w:sz w:val="20"/>
          <w:szCs w:val="20"/>
          <w:lang w:val="en-GB"/>
        </w:rPr>
        <w:t>Monitoring and improving the support system for women survivors of violence: Research findings report”</w:t>
      </w:r>
      <w:r w:rsidRPr="003E0AFD">
        <w:rPr>
          <w:rFonts w:asciiTheme="majorBidi" w:hAnsiTheme="majorBidi" w:cstheme="majorBidi"/>
          <w:sz w:val="20"/>
          <w:szCs w:val="20"/>
          <w:lang w:val="en-GB"/>
        </w:rPr>
        <w:t>, January 2025, Autonomous Women’s House Zagreb, available in Croatian at https://azkz.hr/pracenje-i-unaprjedenje-sustava-podrske-zrtvama-nasilja-izvjesce-o-rezultatima-istrazivanja/.</w:t>
      </w:r>
    </w:p>
  </w:footnote>
  <w:footnote w:id="69">
    <w:p w14:paraId="17546C31" w14:textId="4C442012"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t>
      </w:r>
      <w:r w:rsidRPr="003E0AFD">
        <w:rPr>
          <w:rFonts w:asciiTheme="majorBidi" w:hAnsiTheme="majorBidi" w:cstheme="majorBidi"/>
          <w:sz w:val="20"/>
          <w:szCs w:val="20"/>
          <w:lang w:val="hr-HR"/>
        </w:rPr>
        <w:t>Ibid.</w:t>
      </w:r>
    </w:p>
  </w:footnote>
  <w:footnote w:id="70">
    <w:p w14:paraId="496770C6" w14:textId="1BD67E2D"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t>
      </w:r>
      <w:r w:rsidRPr="003E0AFD">
        <w:rPr>
          <w:rFonts w:asciiTheme="majorBidi" w:hAnsiTheme="majorBidi" w:cstheme="majorBidi"/>
          <w:sz w:val="20"/>
          <w:szCs w:val="20"/>
          <w:lang w:val="hr-HR"/>
        </w:rPr>
        <w:t>Ibid.</w:t>
      </w:r>
    </w:p>
  </w:footnote>
  <w:footnote w:id="71">
    <w:p w14:paraId="0BB0D3FE" w14:textId="78E5C3AA"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72">
    <w:p w14:paraId="18996960" w14:textId="560EABC8"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73">
    <w:p w14:paraId="52A863C3" w14:textId="52C41082"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74">
    <w:p w14:paraId="1B41A1D4" w14:textId="3A3E972F" w:rsidR="00B1349C" w:rsidRPr="003E0AFD" w:rsidRDefault="00B1349C" w:rsidP="00D55FAA">
      <w:pPr>
        <w:pStyle w:val="FootnoteText"/>
        <w:rPr>
          <w:rFonts w:asciiTheme="majorBidi" w:hAnsiTheme="majorBidi" w:cstheme="majorBidi"/>
          <w:sz w:val="20"/>
          <w:szCs w:val="20"/>
          <w:lang w:val="en-GB"/>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University College London, </w:t>
      </w:r>
      <w:r w:rsidRPr="003E0AFD">
        <w:rPr>
          <w:rFonts w:asciiTheme="majorBidi" w:hAnsiTheme="majorBidi" w:cstheme="majorBidi"/>
          <w:i/>
          <w:iCs/>
          <w:sz w:val="20"/>
          <w:szCs w:val="20"/>
        </w:rPr>
        <w:t>Parental Alienation: Domestic Abusers’ Legal Tool Against Protective Parents and Children</w:t>
      </w:r>
      <w:r w:rsidRPr="003E0AFD">
        <w:rPr>
          <w:rFonts w:asciiTheme="majorBidi" w:hAnsiTheme="majorBidi" w:cstheme="majorBidi"/>
          <w:sz w:val="20"/>
          <w:szCs w:val="20"/>
        </w:rPr>
        <w:t>, by Haocheng Fang (15 Feb 2023), accessed 5 June 2024, available online at https://reflect.ucl.ac.uk/lwob-ucl/2023/02/15/parental-alienation-domestic-abusers-legal-tool-against-protective-parents-and-children/.</w:t>
      </w:r>
    </w:p>
  </w:footnote>
  <w:footnote w:id="75">
    <w:p w14:paraId="3FEA05FA" w14:textId="77777777" w:rsidR="00B1349C" w:rsidRPr="003E0AFD" w:rsidRDefault="00B1349C" w:rsidP="00D55FAA">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AWHZ, “Response to the Call for inputs – Custody cases, violence against women and violence against children of the UN Special Rapporteur on violence against women and girls, its causes and consequences”, Dec. 2022.</w:t>
      </w:r>
    </w:p>
  </w:footnote>
  <w:footnote w:id="76">
    <w:p w14:paraId="0FF417FF" w14:textId="77777777" w:rsidR="00B1349C" w:rsidRPr="009C5243" w:rsidRDefault="00B1349C" w:rsidP="00D55FAA">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Ibid.</w:t>
      </w:r>
    </w:p>
  </w:footnote>
  <w:footnote w:id="77">
    <w:p w14:paraId="224952C0" w14:textId="77777777" w:rsidR="00B1349C" w:rsidRPr="009C5243" w:rsidRDefault="00B1349C" w:rsidP="00D55FAA">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Ibid.</w:t>
      </w:r>
    </w:p>
  </w:footnote>
  <w:footnote w:id="78">
    <w:p w14:paraId="5B7198DA" w14:textId="2025E7E4"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Information on file with the authors, 2024.</w:t>
      </w:r>
    </w:p>
  </w:footnote>
  <w:footnote w:id="79">
    <w:p w14:paraId="4E648C71"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Information on file with the authors, 2024.</w:t>
      </w:r>
    </w:p>
  </w:footnote>
  <w:footnote w:id="80">
    <w:p w14:paraId="3053916F" w14:textId="0B11CB68"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Croatian Psychological Society – Section for Forensic Psychology, </w:t>
      </w:r>
      <w:r w:rsidRPr="003E0AFD">
        <w:rPr>
          <w:rFonts w:asciiTheme="majorBidi" w:hAnsiTheme="majorBidi" w:cstheme="majorBidi"/>
          <w:i/>
          <w:iCs/>
          <w:sz w:val="20"/>
          <w:szCs w:val="20"/>
        </w:rPr>
        <w:t>“Announcement of the 119</w:t>
      </w:r>
      <w:r w:rsidRPr="003E0AFD">
        <w:rPr>
          <w:rFonts w:asciiTheme="majorBidi" w:hAnsiTheme="majorBidi" w:cstheme="majorBidi"/>
          <w:i/>
          <w:iCs/>
          <w:sz w:val="20"/>
          <w:szCs w:val="20"/>
          <w:vertAlign w:val="superscript"/>
        </w:rPr>
        <w:t>th</w:t>
      </w:r>
      <w:r w:rsidRPr="003E0AFD">
        <w:rPr>
          <w:rFonts w:asciiTheme="majorBidi" w:hAnsiTheme="majorBidi" w:cstheme="majorBidi"/>
          <w:i/>
          <w:iCs/>
          <w:sz w:val="20"/>
          <w:szCs w:val="20"/>
        </w:rPr>
        <w:t xml:space="preserve"> meeting with a lecture,”</w:t>
      </w:r>
      <w:r w:rsidRPr="003E0AFD">
        <w:rPr>
          <w:rFonts w:asciiTheme="majorBidi" w:hAnsiTheme="majorBidi" w:cstheme="majorBidi"/>
          <w:sz w:val="20"/>
          <w:szCs w:val="20"/>
        </w:rPr>
        <w:t xml:space="preserve"> Mar. 31, 2025. Document on file with the authors. </w:t>
      </w:r>
    </w:p>
  </w:footnote>
  <w:footnote w:id="81">
    <w:p w14:paraId="006D1A53" w14:textId="3B0A2157"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82">
    <w:p w14:paraId="3C1E6E67" w14:textId="721C2D14"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Croatian Psychological Society – Section for Forensic Psychology, PowerPoint presentation “</w:t>
      </w:r>
      <w:r w:rsidRPr="003E0AFD">
        <w:rPr>
          <w:rFonts w:asciiTheme="majorBidi" w:hAnsiTheme="majorBidi" w:cstheme="majorBidi"/>
          <w:i/>
          <w:iCs/>
          <w:sz w:val="20"/>
          <w:szCs w:val="20"/>
        </w:rPr>
        <w:t>False accusations of abuse”,</w:t>
      </w:r>
      <w:r w:rsidRPr="003E0AFD">
        <w:rPr>
          <w:rFonts w:asciiTheme="majorBidi" w:hAnsiTheme="majorBidi" w:cstheme="majorBidi"/>
          <w:sz w:val="20"/>
          <w:szCs w:val="20"/>
        </w:rPr>
        <w:t xml:space="preserve"> document on file with the authors. </w:t>
      </w:r>
    </w:p>
  </w:footnote>
  <w:footnote w:id="83">
    <w:p w14:paraId="3C8B8E6D" w14:textId="1ED5BA0D"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 </w:t>
      </w:r>
    </w:p>
  </w:footnote>
  <w:footnote w:id="84">
    <w:p w14:paraId="671F752A" w14:textId="70FFFE6F"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85">
    <w:p w14:paraId="52361476" w14:textId="150DC1D7"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86">
    <w:p w14:paraId="527ADAFE" w14:textId="262952C1"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87">
    <w:p w14:paraId="39F15DCD" w14:textId="49DB49AC"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88">
    <w:p w14:paraId="7D6E5D59" w14:textId="693DD464"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Interview with the shelter director from Mar. 20, 2025.</w:t>
      </w:r>
    </w:p>
  </w:footnote>
  <w:footnote w:id="89">
    <w:p w14:paraId="08FB426B" w14:textId="36FBAA54"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Cases on file with the authors</w:t>
      </w:r>
      <w:r w:rsidR="00C061AE" w:rsidRPr="009C5243">
        <w:rPr>
          <w:rFonts w:asciiTheme="majorBidi" w:hAnsiTheme="majorBidi" w:cstheme="majorBidi"/>
          <w:sz w:val="20"/>
          <w:szCs w:val="20"/>
        </w:rPr>
        <w:t>, 2024</w:t>
      </w:r>
      <w:r w:rsidRPr="003E0AFD">
        <w:rPr>
          <w:rFonts w:asciiTheme="majorBidi" w:hAnsiTheme="majorBidi" w:cstheme="majorBidi"/>
          <w:sz w:val="20"/>
          <w:szCs w:val="20"/>
        </w:rPr>
        <w:t xml:space="preserve">. </w:t>
      </w:r>
    </w:p>
  </w:footnote>
  <w:footnote w:id="90">
    <w:p w14:paraId="157F4C01" w14:textId="70F6195C" w:rsidR="00B1349C" w:rsidRPr="003E0AFD" w:rsidRDefault="00B1349C">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Ibid.</w:t>
      </w:r>
    </w:p>
  </w:footnote>
  <w:footnote w:id="91">
    <w:p w14:paraId="752B200A" w14:textId="6E02CEBE"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t>
      </w:r>
      <w:r w:rsidRPr="003E0AFD">
        <w:rPr>
          <w:rFonts w:asciiTheme="majorBidi" w:hAnsiTheme="majorBidi" w:cstheme="majorBidi"/>
          <w:sz w:val="20"/>
          <w:szCs w:val="20"/>
          <w:lang w:val="hr-HR"/>
        </w:rPr>
        <w:t>Ibid.</w:t>
      </w:r>
    </w:p>
  </w:footnote>
  <w:footnote w:id="92">
    <w:p w14:paraId="026C9B9A" w14:textId="406EDB6E"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Croatian Ministry of Interior: Survey of Basic Safety Indicators in 2018 in the Republic of Croatia (Jan 2019), available (in Croatian) at https://mup.gov.hr/pristup-informacijama-16/statistika-228/statistika-mup-a-i-bilteni-osigurnosti-cestovnog-prometa/283233.</w:t>
      </w:r>
    </w:p>
  </w:footnote>
  <w:footnote w:id="93">
    <w:p w14:paraId="1B9A208A" w14:textId="56A4A377"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Human Rights Committee, Fourth periodic report submitted by Croatia under article 40 of the Covenant pursuant to the optional reporting procedure, due in 2020 (date received: 3 May 2022), U.N. Doc. CCPR/C/HRV/4 (10 Jan 2023), ¶90.</w:t>
      </w:r>
    </w:p>
  </w:footnote>
  <w:footnote w:id="94">
    <w:p w14:paraId="02DF0D74"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Women’s Network Croatia, “Croatian NGO Joint Shadow report to GREVIO”, 2022.</w:t>
      </w:r>
    </w:p>
  </w:footnote>
  <w:footnote w:id="95">
    <w:p w14:paraId="4213D1EA" w14:textId="667CE3BD"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5A0106" w:rsidRPr="009C5243">
        <w:rPr>
          <w:rFonts w:asciiTheme="majorBidi" w:hAnsiTheme="majorBidi" w:cstheme="majorBidi"/>
          <w:sz w:val="20"/>
          <w:szCs w:val="20"/>
        </w:rPr>
        <w:t>Ibid.</w:t>
      </w:r>
    </w:p>
  </w:footnote>
  <w:footnote w:id="96">
    <w:p w14:paraId="08E8B720" w14:textId="0369129E"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5A0106" w:rsidRPr="009C5243">
        <w:rPr>
          <w:rFonts w:asciiTheme="majorBidi" w:hAnsiTheme="majorBidi" w:cstheme="majorBidi"/>
          <w:sz w:val="20"/>
          <w:szCs w:val="20"/>
        </w:rPr>
        <w:t>Ibid.</w:t>
      </w:r>
    </w:p>
  </w:footnote>
  <w:footnote w:id="97">
    <w:p w14:paraId="62C5F5E7" w14:textId="0DD312B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Law on Protection from Domestic Violence, Official Gazette , Art 7 para. 1, </w:t>
      </w:r>
      <w:r w:rsidRPr="008434BA">
        <w:rPr>
          <w:rFonts w:asciiTheme="majorBidi" w:eastAsiaTheme="majorEastAsia" w:hAnsiTheme="majorBidi" w:cstheme="majorBidi"/>
          <w:sz w:val="20"/>
          <w:szCs w:val="20"/>
        </w:rPr>
        <w:t>https://www.zakon.hr/z/81/Zakon-o-za%C5%A1titi-od-nasilja-u-obitelji</w:t>
      </w:r>
      <w:r w:rsidRPr="003E0AFD">
        <w:rPr>
          <w:rFonts w:asciiTheme="majorBidi" w:hAnsiTheme="majorBidi" w:cstheme="majorBidi"/>
          <w:sz w:val="20"/>
          <w:szCs w:val="20"/>
        </w:rPr>
        <w:t xml:space="preserve">. </w:t>
      </w:r>
    </w:p>
  </w:footnote>
  <w:footnote w:id="98">
    <w:p w14:paraId="5F77905C" w14:textId="0BC93D83"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Social Services Act, Art 71 para. 15, Official Gazette 18/22, 46/22, 119/22, 71/23, 156/23 </w:t>
      </w:r>
      <w:r w:rsidRPr="008434BA">
        <w:rPr>
          <w:rFonts w:asciiTheme="majorBidi" w:eastAsiaTheme="majorEastAsia" w:hAnsiTheme="majorBidi" w:cstheme="majorBidi"/>
          <w:sz w:val="20"/>
          <w:szCs w:val="20"/>
        </w:rPr>
        <w:t>https://www.zakon.hr/z/222/Zakon-o-socijalnoj-skrbi</w:t>
      </w:r>
      <w:r w:rsidRPr="003E0AFD">
        <w:rPr>
          <w:rFonts w:asciiTheme="majorBidi" w:hAnsiTheme="majorBidi" w:cstheme="majorBidi"/>
          <w:sz w:val="20"/>
          <w:szCs w:val="20"/>
        </w:rPr>
        <w:t xml:space="preserve">. </w:t>
      </w:r>
    </w:p>
  </w:footnote>
  <w:footnote w:id="99">
    <w:p w14:paraId="08E9F36A" w14:textId="3D89E8EA"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5A0106" w:rsidRPr="009C5243">
        <w:rPr>
          <w:rFonts w:asciiTheme="majorBidi" w:hAnsiTheme="majorBidi" w:cstheme="majorBidi"/>
          <w:sz w:val="20"/>
          <w:szCs w:val="20"/>
        </w:rPr>
        <w:t>Ibid.</w:t>
      </w:r>
    </w:p>
  </w:footnote>
  <w:footnote w:id="100">
    <w:p w14:paraId="122BE2C2" w14:textId="7D1F5BA5"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w:t>
      </w:r>
      <w:r w:rsidR="005A0106" w:rsidRPr="009C5243">
        <w:rPr>
          <w:rFonts w:asciiTheme="majorBidi" w:hAnsiTheme="majorBidi" w:cstheme="majorBidi"/>
          <w:sz w:val="20"/>
          <w:szCs w:val="20"/>
        </w:rPr>
        <w:t>Ibid.</w:t>
      </w:r>
    </w:p>
  </w:footnote>
  <w:footnote w:id="101">
    <w:p w14:paraId="38A6D743" w14:textId="77777777"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GREVIO Baseline Evaluation Report Croatia, 2023, </w:t>
      </w:r>
      <w:r w:rsidRPr="003E0AFD">
        <w:rPr>
          <w:rFonts w:asciiTheme="majorBidi" w:hAnsiTheme="majorBidi" w:cstheme="majorBidi"/>
          <w:color w:val="000000" w:themeColor="text1"/>
          <w:sz w:val="20"/>
          <w:szCs w:val="20"/>
        </w:rPr>
        <w:t>¶ 115.</w:t>
      </w:r>
    </w:p>
  </w:footnote>
  <w:footnote w:id="102">
    <w:p w14:paraId="67558C22" w14:textId="1BB1FE9B" w:rsidR="00B1349C" w:rsidRPr="003E0AFD" w:rsidRDefault="00B1349C" w:rsidP="00EF2F6D">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Regulation on criteria for providing social services, Official Gazette 110/22, </w:t>
      </w:r>
      <w:r w:rsidRPr="008434BA">
        <w:rPr>
          <w:rFonts w:asciiTheme="majorBidi" w:eastAsiaTheme="majorEastAsia" w:hAnsiTheme="majorBidi" w:cstheme="majorBidi"/>
          <w:sz w:val="20"/>
          <w:szCs w:val="20"/>
        </w:rPr>
        <w:t>https://narodne-novine.nn.hr/clanci/sluzbeni/2022_09_110_1624.html</w:t>
      </w:r>
      <w:r w:rsidRPr="003E0AFD">
        <w:rPr>
          <w:rFonts w:asciiTheme="majorBidi" w:hAnsiTheme="majorBidi" w:cstheme="majorBidi"/>
          <w:sz w:val="20"/>
          <w:szCs w:val="20"/>
        </w:rPr>
        <w:t xml:space="preserve">. </w:t>
      </w:r>
    </w:p>
  </w:footnote>
  <w:footnote w:id="103">
    <w:p w14:paraId="17A1FBFD" w14:textId="597EBC43" w:rsidR="00B1349C" w:rsidRPr="003E0AFD" w:rsidRDefault="00B1349C">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w:t>
      </w:r>
      <w:r w:rsidRPr="003E0AFD">
        <w:rPr>
          <w:rFonts w:asciiTheme="majorBidi" w:hAnsiTheme="majorBidi" w:cstheme="majorBidi"/>
          <w:sz w:val="20"/>
          <w:szCs w:val="20"/>
          <w:lang w:val="hr-HR"/>
        </w:rPr>
        <w:t xml:space="preserve">Ibid. </w:t>
      </w:r>
    </w:p>
  </w:footnote>
  <w:footnote w:id="104">
    <w:p w14:paraId="42B47732" w14:textId="77777777" w:rsidR="00B1349C" w:rsidRPr="003E0AFD" w:rsidRDefault="00B1349C" w:rsidP="000968E4">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i/>
          <w:sz w:val="20"/>
          <w:szCs w:val="20"/>
        </w:rPr>
        <w:t xml:space="preserve"> </w:t>
      </w:r>
      <w:r w:rsidRPr="003E0AFD">
        <w:rPr>
          <w:rFonts w:asciiTheme="majorBidi" w:hAnsiTheme="majorBidi" w:cstheme="majorBidi"/>
          <w:sz w:val="20"/>
          <w:szCs w:val="20"/>
        </w:rPr>
        <w:t>Ibid</w:t>
      </w:r>
      <w:r w:rsidRPr="003E0AFD">
        <w:rPr>
          <w:rFonts w:asciiTheme="majorBidi" w:hAnsiTheme="majorBidi" w:cstheme="majorBidi"/>
          <w:i/>
          <w:iCs/>
          <w:sz w:val="20"/>
          <w:szCs w:val="20"/>
        </w:rPr>
        <w:t>.</w:t>
      </w:r>
    </w:p>
  </w:footnote>
  <w:footnote w:id="105">
    <w:p w14:paraId="204D8106" w14:textId="77777777" w:rsidR="00B1349C" w:rsidRPr="003E0AFD" w:rsidRDefault="00B1349C" w:rsidP="000968E4">
      <w:pPr>
        <w:pStyle w:val="FootnoteText"/>
        <w:rPr>
          <w:rFonts w:asciiTheme="majorBidi" w:hAnsiTheme="majorBidi" w:cstheme="majorBidi"/>
          <w:i/>
          <w:iCs/>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Ibid.</w:t>
      </w:r>
    </w:p>
  </w:footnote>
  <w:footnote w:id="106">
    <w:p w14:paraId="532A7311" w14:textId="763CA1AB" w:rsidR="007E61EF" w:rsidRPr="009C5243" w:rsidRDefault="007E61EF">
      <w:pPr>
        <w:pStyle w:val="FootnoteText"/>
        <w:rPr>
          <w:rFonts w:asciiTheme="majorBidi" w:hAnsiTheme="majorBidi" w:cstheme="majorBidi"/>
          <w:sz w:val="20"/>
          <w:szCs w:val="20"/>
        </w:rPr>
      </w:pPr>
      <w:r w:rsidRPr="009C5243">
        <w:rPr>
          <w:rStyle w:val="FootnoteReference"/>
          <w:rFonts w:asciiTheme="majorBidi" w:hAnsiTheme="majorBidi" w:cstheme="majorBidi"/>
          <w:sz w:val="20"/>
          <w:szCs w:val="20"/>
        </w:rPr>
        <w:footnoteRef/>
      </w:r>
      <w:r w:rsidRPr="009C5243">
        <w:rPr>
          <w:rFonts w:asciiTheme="majorBidi" w:hAnsiTheme="majorBidi" w:cstheme="majorBidi"/>
          <w:sz w:val="20"/>
          <w:szCs w:val="20"/>
        </w:rPr>
        <w:t xml:space="preserve"> Information on file with the authors.</w:t>
      </w:r>
    </w:p>
  </w:footnote>
  <w:footnote w:id="107">
    <w:p w14:paraId="66413850" w14:textId="44B2C147" w:rsidR="007E61EF" w:rsidRPr="009C5243" w:rsidRDefault="007E61EF">
      <w:pPr>
        <w:pStyle w:val="FootnoteText"/>
        <w:rPr>
          <w:rFonts w:asciiTheme="majorBidi" w:hAnsiTheme="majorBidi" w:cstheme="majorBidi"/>
          <w:sz w:val="20"/>
          <w:szCs w:val="20"/>
          <w:lang w:val="en-GB"/>
        </w:rPr>
      </w:pPr>
      <w:r w:rsidRPr="009C5243">
        <w:rPr>
          <w:rStyle w:val="FootnoteReference"/>
          <w:rFonts w:asciiTheme="majorBidi" w:hAnsiTheme="majorBidi" w:cstheme="majorBidi"/>
          <w:sz w:val="20"/>
          <w:szCs w:val="20"/>
        </w:rPr>
        <w:footnoteRef/>
      </w:r>
      <w:r w:rsidRPr="009C5243">
        <w:rPr>
          <w:rFonts w:asciiTheme="majorBidi" w:hAnsiTheme="majorBidi" w:cstheme="majorBidi"/>
          <w:sz w:val="20"/>
          <w:szCs w:val="20"/>
          <w:lang w:val="en-GB"/>
        </w:rPr>
        <w:t xml:space="preserve"> Association Betlehem safe house, website (accessed Sept 28 2025) https://www.betlehem.hr/hr/group/19/Sigurna+ku%C4%87a</w:t>
      </w:r>
    </w:p>
  </w:footnote>
  <w:footnote w:id="108">
    <w:p w14:paraId="42993026" w14:textId="47C91BE4" w:rsidR="00B1349C" w:rsidRPr="003E0AFD" w:rsidRDefault="00B1349C" w:rsidP="00EF2F6D">
      <w:pPr>
        <w:pStyle w:val="FootnoteText"/>
        <w:rPr>
          <w:rFonts w:asciiTheme="majorBidi" w:hAnsiTheme="majorBidi" w:cstheme="majorBidi"/>
          <w:sz w:val="20"/>
          <w:szCs w:val="20"/>
          <w:lang w:val="hr-HR"/>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Association for Victim and Witness Support “Year Report 2024”, 45, available in Croatian at chrome-extension://efaidnbmnnnibpcajpcglclefindmkaj/https://pzs.hr/wp-content/uploads/2025/01/Godisnji_izvjestaj_2024_UPZS__compressed.pdf. </w:t>
      </w:r>
    </w:p>
  </w:footnote>
  <w:footnote w:id="109">
    <w:p w14:paraId="09D8FFB2" w14:textId="77777777" w:rsidR="00B1349C" w:rsidRPr="003E0AFD" w:rsidRDefault="00B1349C" w:rsidP="00EF2F6D">
      <w:pPr>
        <w:pStyle w:val="FootnoteText"/>
        <w:rPr>
          <w:rFonts w:asciiTheme="majorBidi" w:hAnsiTheme="majorBidi" w:cstheme="majorBidi"/>
          <w:sz w:val="20"/>
          <w:szCs w:val="20"/>
        </w:rPr>
      </w:pPr>
      <w:r w:rsidRPr="003E0AFD">
        <w:rPr>
          <w:rFonts w:asciiTheme="majorBidi" w:hAnsiTheme="majorBidi" w:cstheme="majorBidi"/>
          <w:sz w:val="20"/>
          <w:szCs w:val="20"/>
          <w:vertAlign w:val="superscript"/>
        </w:rPr>
        <w:footnoteRef/>
      </w:r>
      <w:r w:rsidRPr="003E0AFD">
        <w:rPr>
          <w:rFonts w:asciiTheme="majorBidi" w:hAnsiTheme="majorBidi" w:cstheme="majorBidi"/>
          <w:sz w:val="20"/>
          <w:szCs w:val="20"/>
        </w:rPr>
        <w:t xml:space="preserve"> Women’s Network Croatia, Croatian NGO Joint Shadow report to GREVIO, 2022.</w:t>
      </w:r>
    </w:p>
  </w:footnote>
  <w:footnote w:id="110">
    <w:p w14:paraId="64D5F3A1" w14:textId="16AE11B6" w:rsidR="00B1349C" w:rsidRPr="003E0AFD" w:rsidRDefault="00B1349C" w:rsidP="00EF2F6D">
      <w:pPr>
        <w:pStyle w:val="FootnoteText"/>
        <w:rPr>
          <w:rFonts w:asciiTheme="majorBidi" w:hAnsiTheme="majorBidi" w:cstheme="majorBidi"/>
          <w:sz w:val="20"/>
          <w:szCs w:val="20"/>
        </w:rPr>
      </w:pPr>
      <w:r w:rsidRPr="003E0AFD">
        <w:rPr>
          <w:rStyle w:val="FootnoteReference"/>
          <w:rFonts w:asciiTheme="majorBidi" w:hAnsiTheme="majorBidi" w:cstheme="majorBidi"/>
          <w:sz w:val="20"/>
          <w:szCs w:val="20"/>
        </w:rPr>
        <w:footnoteRef/>
      </w:r>
      <w:r w:rsidRPr="003E0AFD">
        <w:rPr>
          <w:rFonts w:asciiTheme="majorBidi" w:hAnsiTheme="majorBidi" w:cstheme="majorBidi"/>
          <w:sz w:val="20"/>
          <w:szCs w:val="20"/>
        </w:rPr>
        <w:t xml:space="preserve"> Information on file with the authors</w:t>
      </w:r>
      <w:r w:rsidR="009C5243" w:rsidRPr="009C5243">
        <w:rPr>
          <w:rFonts w:asciiTheme="majorBidi" w:hAnsiTheme="majorBidi" w:cstheme="majorBidi"/>
          <w:sz w:val="20"/>
          <w:szCs w:val="20"/>
        </w:rPr>
        <w:t>,2024</w:t>
      </w:r>
      <w:r w:rsidRPr="003E0AFD">
        <w:rPr>
          <w:rFonts w:asciiTheme="majorBidi" w:hAnsiTheme="majorBidi" w:cstheme="majorBid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4E978" w14:textId="6991E10C" w:rsidR="002D213D" w:rsidRDefault="002D213D">
    <w:pPr>
      <w:pStyle w:val="Header"/>
    </w:pP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A508" w14:textId="09F87E77" w:rsidR="00BE20D4" w:rsidRDefault="00BE20D4">
    <w:pPr>
      <w:pStyle w:val="Header"/>
    </w:pPr>
    <w:r>
      <w:rPr>
        <w:noProof/>
      </w:rPr>
      <w:drawing>
        <wp:anchor distT="0" distB="0" distL="114300" distR="114300" simplePos="0" relativeHeight="251658240" behindDoc="1" locked="0" layoutInCell="1" allowOverlap="1" wp14:anchorId="4CE4CFD1" wp14:editId="5FCDBB41">
          <wp:simplePos x="0" y="0"/>
          <wp:positionH relativeFrom="margin">
            <wp:align>right</wp:align>
          </wp:positionH>
          <wp:positionV relativeFrom="paragraph">
            <wp:posOffset>-8255</wp:posOffset>
          </wp:positionV>
          <wp:extent cx="1824990" cy="699135"/>
          <wp:effectExtent l="0" t="0" r="3810" b="5715"/>
          <wp:wrapTight wrapText="bothSides">
            <wp:wrapPolygon edited="0">
              <wp:start x="0" y="0"/>
              <wp:lineTo x="0" y="21188"/>
              <wp:lineTo x="21420" y="21188"/>
              <wp:lineTo x="21420" y="0"/>
              <wp:lineTo x="0" y="0"/>
            </wp:wrapPolygon>
          </wp:wrapTight>
          <wp:docPr id="19" name="Picture 1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499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EB57C17" wp14:editId="536649E2">
          <wp:extent cx="1104900" cy="580352"/>
          <wp:effectExtent l="0" t="0" r="0" b="0"/>
          <wp:docPr id="409321370" name="m_-1854142034694116160Picture 6" descr="A red arrow with black text&#10;&#10;Description automatically generated">
            <a:hlinkClick xmlns:a="http://schemas.openxmlformats.org/drawingml/2006/main" r:id="rId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_-1854142034694116160Picture 6" descr="A red arrow with black text&#10;&#10;Description automatically generated">
                    <a:hlinkClick r:id="rId2" tgtFrame="_blank"/>
                  </pic:cNvPr>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2506" cy="584347"/>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6940"/>
    <w:multiLevelType w:val="hybridMultilevel"/>
    <w:tmpl w:val="0832A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593392"/>
    <w:multiLevelType w:val="hybridMultilevel"/>
    <w:tmpl w:val="F1E0E6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761C70"/>
    <w:multiLevelType w:val="hybridMultilevel"/>
    <w:tmpl w:val="3C864664"/>
    <w:lvl w:ilvl="0" w:tplc="B8AE62A8">
      <w:start w:val="1"/>
      <w:numFmt w:val="decimal"/>
      <w:lvlText w:val="%1."/>
      <w:lvlJc w:val="left"/>
      <w:pPr>
        <w:ind w:left="540" w:hanging="360"/>
      </w:pPr>
      <w:rPr>
        <w:rFonts w:ascii="Times New Roman" w:hAnsi="Times New Roman" w:cs="Times New Roman" w:hint="default"/>
        <w:b w:val="0"/>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771605"/>
    <w:multiLevelType w:val="multilevel"/>
    <w:tmpl w:val="EDEE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3093C"/>
    <w:multiLevelType w:val="multilevel"/>
    <w:tmpl w:val="0F13093C"/>
    <w:lvl w:ilvl="0">
      <w:start w:val="1"/>
      <w:numFmt w:val="decimal"/>
      <w:lvlText w:val="%1."/>
      <w:lvlJc w:val="left"/>
      <w:pPr>
        <w:ind w:left="927" w:hanging="360"/>
      </w:pPr>
      <w:rPr>
        <w:rFonts w:ascii="Times New Roman" w:hAnsi="Times New Roman" w:cs="Times New Roman" w:hint="default"/>
        <w:sz w:val="24"/>
        <w:szCs w:val="24"/>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1C77F9"/>
    <w:multiLevelType w:val="hybridMultilevel"/>
    <w:tmpl w:val="FCD870CC"/>
    <w:lvl w:ilvl="0" w:tplc="935844E2">
      <w:start w:val="1"/>
      <w:numFmt w:val="decimal"/>
      <w:lvlText w:val="%1."/>
      <w:lvlJc w:val="left"/>
      <w:pPr>
        <w:ind w:left="720" w:hanging="360"/>
      </w:pPr>
      <w:rPr>
        <w:rFonts w:ascii="Times New Roman" w:hAnsi="Times New Roman" w:cs="Times New Roman" w:hint="default"/>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536A0"/>
    <w:multiLevelType w:val="hybridMultilevel"/>
    <w:tmpl w:val="B8505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153BE"/>
    <w:multiLevelType w:val="hybridMultilevel"/>
    <w:tmpl w:val="A208A188"/>
    <w:lvl w:ilvl="0" w:tplc="828A79EE">
      <w:start w:val="1"/>
      <w:numFmt w:val="decimal"/>
      <w:pStyle w:val="Paragraph"/>
      <w:lvlText w:val="%1."/>
      <w:lvlJc w:val="left"/>
      <w:pPr>
        <w:ind w:left="225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251EF"/>
    <w:multiLevelType w:val="multilevel"/>
    <w:tmpl w:val="0F13093C"/>
    <w:lvl w:ilvl="0">
      <w:start w:val="1"/>
      <w:numFmt w:val="decimal"/>
      <w:lvlText w:val="%1."/>
      <w:lvlJc w:val="left"/>
      <w:pPr>
        <w:ind w:left="927" w:hanging="360"/>
      </w:pPr>
      <w:rPr>
        <w:rFonts w:ascii="Times New Roman" w:hAnsi="Times New Roman" w:cs="Times New Roman" w:hint="default"/>
        <w:sz w:val="24"/>
        <w:szCs w:val="24"/>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EC794F"/>
    <w:multiLevelType w:val="multilevel"/>
    <w:tmpl w:val="3528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BF4E96"/>
    <w:multiLevelType w:val="multilevel"/>
    <w:tmpl w:val="0AD85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E01952"/>
    <w:multiLevelType w:val="hybridMultilevel"/>
    <w:tmpl w:val="701EAE9A"/>
    <w:lvl w:ilvl="0" w:tplc="3EA6C9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A43D2"/>
    <w:multiLevelType w:val="hybridMultilevel"/>
    <w:tmpl w:val="0AD84DAE"/>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468C2B2D"/>
    <w:multiLevelType w:val="multilevel"/>
    <w:tmpl w:val="391A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7E33AD"/>
    <w:multiLevelType w:val="multilevel"/>
    <w:tmpl w:val="6214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321BC"/>
    <w:multiLevelType w:val="hybridMultilevel"/>
    <w:tmpl w:val="7546A2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F46A65"/>
    <w:multiLevelType w:val="hybridMultilevel"/>
    <w:tmpl w:val="D05632F8"/>
    <w:lvl w:ilvl="0" w:tplc="041A0015">
      <w:start w:val="1"/>
      <w:numFmt w:val="upp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2234752"/>
    <w:multiLevelType w:val="hybridMultilevel"/>
    <w:tmpl w:val="F1E0E6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5C53869"/>
    <w:multiLevelType w:val="multilevel"/>
    <w:tmpl w:val="C966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4E260F"/>
    <w:multiLevelType w:val="hybridMultilevel"/>
    <w:tmpl w:val="32DCB2FC"/>
    <w:lvl w:ilvl="0" w:tplc="B9C089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901CFD"/>
    <w:multiLevelType w:val="hybridMultilevel"/>
    <w:tmpl w:val="9966846A"/>
    <w:lvl w:ilvl="0" w:tplc="8C503C0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A715E3"/>
    <w:multiLevelType w:val="hybridMultilevel"/>
    <w:tmpl w:val="C788278A"/>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2" w15:restartNumberingAfterBreak="0">
    <w:nsid w:val="574D6C28"/>
    <w:multiLevelType w:val="hybridMultilevel"/>
    <w:tmpl w:val="3088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FA1A91"/>
    <w:multiLevelType w:val="hybridMultilevel"/>
    <w:tmpl w:val="AE125E0E"/>
    <w:lvl w:ilvl="0" w:tplc="654EB768">
      <w:start w:val="1"/>
      <w:numFmt w:val="upperRoman"/>
      <w:lvlText w:val="%1."/>
      <w:lvlJc w:val="left"/>
      <w:pPr>
        <w:ind w:left="1080" w:hanging="720"/>
      </w:pPr>
      <w:rPr>
        <w:rFonts w:hint="default"/>
      </w:rPr>
    </w:lvl>
    <w:lvl w:ilvl="1" w:tplc="9D80E4A8">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115407"/>
    <w:multiLevelType w:val="hybridMultilevel"/>
    <w:tmpl w:val="90EC4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DC3D5B"/>
    <w:multiLevelType w:val="multilevel"/>
    <w:tmpl w:val="F47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450DA8"/>
    <w:multiLevelType w:val="multilevel"/>
    <w:tmpl w:val="22E0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AA7C9B"/>
    <w:multiLevelType w:val="multilevel"/>
    <w:tmpl w:val="3EB6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4F0A3C"/>
    <w:multiLevelType w:val="hybridMultilevel"/>
    <w:tmpl w:val="3AD0CB02"/>
    <w:lvl w:ilvl="0" w:tplc="FFFFFFFF">
      <w:start w:val="1"/>
      <w:numFmt w:val="bullet"/>
      <w:lvlText w:val=""/>
      <w:lvlJc w:val="left"/>
      <w:pPr>
        <w:ind w:left="720" w:hanging="360"/>
      </w:pPr>
      <w:rPr>
        <w:rFonts w:ascii="Symbol" w:hAnsi="Symbol" w:hint="default"/>
      </w:rPr>
    </w:lvl>
    <w:lvl w:ilvl="1" w:tplc="041A0015">
      <w:start w:val="1"/>
      <w:numFmt w:val="upp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DD63F43"/>
    <w:multiLevelType w:val="multilevel"/>
    <w:tmpl w:val="7DD63F43"/>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9225067">
    <w:abstractNumId w:val="29"/>
  </w:num>
  <w:num w:numId="2" w16cid:durableId="2097436732">
    <w:abstractNumId w:val="4"/>
  </w:num>
  <w:num w:numId="3" w16cid:durableId="268315655">
    <w:abstractNumId w:val="8"/>
  </w:num>
  <w:num w:numId="4" w16cid:durableId="1938251912">
    <w:abstractNumId w:val="7"/>
  </w:num>
  <w:num w:numId="5" w16cid:durableId="1046562103">
    <w:abstractNumId w:val="5"/>
  </w:num>
  <w:num w:numId="6" w16cid:durableId="1126433634">
    <w:abstractNumId w:val="2"/>
  </w:num>
  <w:num w:numId="7" w16cid:durableId="289015894">
    <w:abstractNumId w:val="0"/>
  </w:num>
  <w:num w:numId="8" w16cid:durableId="1806388189">
    <w:abstractNumId w:val="27"/>
  </w:num>
  <w:num w:numId="9" w16cid:durableId="1151866359">
    <w:abstractNumId w:val="9"/>
  </w:num>
  <w:num w:numId="10" w16cid:durableId="378021608">
    <w:abstractNumId w:val="18"/>
  </w:num>
  <w:num w:numId="11" w16cid:durableId="2082632362">
    <w:abstractNumId w:val="14"/>
  </w:num>
  <w:num w:numId="12" w16cid:durableId="1166820548">
    <w:abstractNumId w:val="13"/>
  </w:num>
  <w:num w:numId="13" w16cid:durableId="1913614325">
    <w:abstractNumId w:val="26"/>
  </w:num>
  <w:num w:numId="14" w16cid:durableId="1218590199">
    <w:abstractNumId w:val="25"/>
  </w:num>
  <w:num w:numId="15" w16cid:durableId="1137994299">
    <w:abstractNumId w:val="3"/>
  </w:num>
  <w:num w:numId="16" w16cid:durableId="291791090">
    <w:abstractNumId w:val="24"/>
  </w:num>
  <w:num w:numId="17" w16cid:durableId="2039233901">
    <w:abstractNumId w:val="23"/>
  </w:num>
  <w:num w:numId="18" w16cid:durableId="1348555559">
    <w:abstractNumId w:val="22"/>
  </w:num>
  <w:num w:numId="19" w16cid:durableId="723606939">
    <w:abstractNumId w:val="15"/>
  </w:num>
  <w:num w:numId="20" w16cid:durableId="2058579870">
    <w:abstractNumId w:val="16"/>
  </w:num>
  <w:num w:numId="21" w16cid:durableId="1924027908">
    <w:abstractNumId w:val="6"/>
  </w:num>
  <w:num w:numId="22" w16cid:durableId="1315373910">
    <w:abstractNumId w:val="28"/>
  </w:num>
  <w:num w:numId="23" w16cid:durableId="435059318">
    <w:abstractNumId w:val="19"/>
  </w:num>
  <w:num w:numId="24" w16cid:durableId="798916072">
    <w:abstractNumId w:val="10"/>
  </w:num>
  <w:num w:numId="25" w16cid:durableId="1535074921">
    <w:abstractNumId w:val="11"/>
  </w:num>
  <w:num w:numId="26" w16cid:durableId="1426030301">
    <w:abstractNumId w:val="20"/>
  </w:num>
  <w:num w:numId="27" w16cid:durableId="1323505002">
    <w:abstractNumId w:val="17"/>
  </w:num>
  <w:num w:numId="28" w16cid:durableId="717634131">
    <w:abstractNumId w:val="1"/>
  </w:num>
  <w:num w:numId="29" w16cid:durableId="957298633">
    <w:abstractNumId w:val="21"/>
  </w:num>
  <w:num w:numId="30" w16cid:durableId="331759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13D"/>
    <w:rsid w:val="000127D1"/>
    <w:rsid w:val="00023396"/>
    <w:rsid w:val="0002472B"/>
    <w:rsid w:val="000279D8"/>
    <w:rsid w:val="000300D6"/>
    <w:rsid w:val="00030A52"/>
    <w:rsid w:val="00032CD0"/>
    <w:rsid w:val="00053692"/>
    <w:rsid w:val="000617E2"/>
    <w:rsid w:val="000621A8"/>
    <w:rsid w:val="00063A16"/>
    <w:rsid w:val="00065EE9"/>
    <w:rsid w:val="000752B8"/>
    <w:rsid w:val="000800A7"/>
    <w:rsid w:val="000920CB"/>
    <w:rsid w:val="00092AC4"/>
    <w:rsid w:val="00095E0C"/>
    <w:rsid w:val="000968E4"/>
    <w:rsid w:val="00096C4B"/>
    <w:rsid w:val="0009792E"/>
    <w:rsid w:val="00097FD5"/>
    <w:rsid w:val="000A1831"/>
    <w:rsid w:val="000B05A6"/>
    <w:rsid w:val="000B3822"/>
    <w:rsid w:val="000B6D06"/>
    <w:rsid w:val="000C670E"/>
    <w:rsid w:val="000E7DFE"/>
    <w:rsid w:val="000F1B3C"/>
    <w:rsid w:val="000F5586"/>
    <w:rsid w:val="00107D3C"/>
    <w:rsid w:val="00117B73"/>
    <w:rsid w:val="00122302"/>
    <w:rsid w:val="0012440B"/>
    <w:rsid w:val="0012525C"/>
    <w:rsid w:val="0013156F"/>
    <w:rsid w:val="001337D7"/>
    <w:rsid w:val="00160496"/>
    <w:rsid w:val="001607D7"/>
    <w:rsid w:val="00170BEC"/>
    <w:rsid w:val="00175F78"/>
    <w:rsid w:val="00176BFA"/>
    <w:rsid w:val="001A1A1D"/>
    <w:rsid w:val="001A4660"/>
    <w:rsid w:val="001A6602"/>
    <w:rsid w:val="001B33C2"/>
    <w:rsid w:val="001B5947"/>
    <w:rsid w:val="001B7AD4"/>
    <w:rsid w:val="001E083F"/>
    <w:rsid w:val="001E2294"/>
    <w:rsid w:val="001F4AB5"/>
    <w:rsid w:val="001F6CE9"/>
    <w:rsid w:val="00205199"/>
    <w:rsid w:val="00224224"/>
    <w:rsid w:val="0022554E"/>
    <w:rsid w:val="00245B5E"/>
    <w:rsid w:val="00245C4E"/>
    <w:rsid w:val="002505B6"/>
    <w:rsid w:val="00252C29"/>
    <w:rsid w:val="00260BDF"/>
    <w:rsid w:val="002630A3"/>
    <w:rsid w:val="00296D90"/>
    <w:rsid w:val="002A3F27"/>
    <w:rsid w:val="002C4FCC"/>
    <w:rsid w:val="002D213D"/>
    <w:rsid w:val="002D4145"/>
    <w:rsid w:val="002D73E5"/>
    <w:rsid w:val="002E2EBF"/>
    <w:rsid w:val="002E4304"/>
    <w:rsid w:val="002E5281"/>
    <w:rsid w:val="002E5BFE"/>
    <w:rsid w:val="003037C2"/>
    <w:rsid w:val="00303EDA"/>
    <w:rsid w:val="00305263"/>
    <w:rsid w:val="00311F02"/>
    <w:rsid w:val="0031313E"/>
    <w:rsid w:val="00321D73"/>
    <w:rsid w:val="0033473A"/>
    <w:rsid w:val="00354DE2"/>
    <w:rsid w:val="003572BD"/>
    <w:rsid w:val="00367AA0"/>
    <w:rsid w:val="003741AB"/>
    <w:rsid w:val="003865FB"/>
    <w:rsid w:val="00387A4D"/>
    <w:rsid w:val="00395AFE"/>
    <w:rsid w:val="003975D2"/>
    <w:rsid w:val="003A7A08"/>
    <w:rsid w:val="003A7FA2"/>
    <w:rsid w:val="003B52A6"/>
    <w:rsid w:val="003B76D1"/>
    <w:rsid w:val="003C4DE3"/>
    <w:rsid w:val="003E0AFD"/>
    <w:rsid w:val="003E7F89"/>
    <w:rsid w:val="004016F5"/>
    <w:rsid w:val="004038DF"/>
    <w:rsid w:val="00417369"/>
    <w:rsid w:val="004476A7"/>
    <w:rsid w:val="0045408D"/>
    <w:rsid w:val="00457D00"/>
    <w:rsid w:val="0046159D"/>
    <w:rsid w:val="0047445A"/>
    <w:rsid w:val="004830AA"/>
    <w:rsid w:val="004933FB"/>
    <w:rsid w:val="0049736F"/>
    <w:rsid w:val="00497CC7"/>
    <w:rsid w:val="004A0394"/>
    <w:rsid w:val="004B1163"/>
    <w:rsid w:val="004D3FCD"/>
    <w:rsid w:val="004E34D8"/>
    <w:rsid w:val="004F0079"/>
    <w:rsid w:val="004F0609"/>
    <w:rsid w:val="004F3D57"/>
    <w:rsid w:val="0050225E"/>
    <w:rsid w:val="005048E4"/>
    <w:rsid w:val="00517616"/>
    <w:rsid w:val="00531209"/>
    <w:rsid w:val="00544C84"/>
    <w:rsid w:val="00547703"/>
    <w:rsid w:val="00564E2B"/>
    <w:rsid w:val="005869D1"/>
    <w:rsid w:val="00591904"/>
    <w:rsid w:val="005A0106"/>
    <w:rsid w:val="005B5D5F"/>
    <w:rsid w:val="005B6150"/>
    <w:rsid w:val="005C3428"/>
    <w:rsid w:val="005C79B7"/>
    <w:rsid w:val="005D5EB4"/>
    <w:rsid w:val="005E6167"/>
    <w:rsid w:val="005F7287"/>
    <w:rsid w:val="005F799B"/>
    <w:rsid w:val="0060590F"/>
    <w:rsid w:val="006127A0"/>
    <w:rsid w:val="0061369B"/>
    <w:rsid w:val="00613E81"/>
    <w:rsid w:val="00617A4F"/>
    <w:rsid w:val="00634BF4"/>
    <w:rsid w:val="006429D9"/>
    <w:rsid w:val="006524C3"/>
    <w:rsid w:val="00674089"/>
    <w:rsid w:val="00695A32"/>
    <w:rsid w:val="00696E64"/>
    <w:rsid w:val="006A1F73"/>
    <w:rsid w:val="006B030B"/>
    <w:rsid w:val="006B0467"/>
    <w:rsid w:val="006B23E5"/>
    <w:rsid w:val="006C3C29"/>
    <w:rsid w:val="006C7DB1"/>
    <w:rsid w:val="006D21C9"/>
    <w:rsid w:val="006D44D0"/>
    <w:rsid w:val="006E0C3F"/>
    <w:rsid w:val="006F0CE5"/>
    <w:rsid w:val="00710DF4"/>
    <w:rsid w:val="00716D08"/>
    <w:rsid w:val="00724281"/>
    <w:rsid w:val="00727734"/>
    <w:rsid w:val="007300B6"/>
    <w:rsid w:val="0073251F"/>
    <w:rsid w:val="00737180"/>
    <w:rsid w:val="00740576"/>
    <w:rsid w:val="00755782"/>
    <w:rsid w:val="007618E0"/>
    <w:rsid w:val="0078052E"/>
    <w:rsid w:val="00785435"/>
    <w:rsid w:val="00786E46"/>
    <w:rsid w:val="00787C4B"/>
    <w:rsid w:val="007B0378"/>
    <w:rsid w:val="007B2682"/>
    <w:rsid w:val="007C213F"/>
    <w:rsid w:val="007E3B53"/>
    <w:rsid w:val="007E61EF"/>
    <w:rsid w:val="007E7107"/>
    <w:rsid w:val="00801F40"/>
    <w:rsid w:val="00810CC9"/>
    <w:rsid w:val="008116A2"/>
    <w:rsid w:val="00834B82"/>
    <w:rsid w:val="008434BA"/>
    <w:rsid w:val="00843567"/>
    <w:rsid w:val="00846C5C"/>
    <w:rsid w:val="00861C7F"/>
    <w:rsid w:val="00886345"/>
    <w:rsid w:val="00890D8D"/>
    <w:rsid w:val="00891250"/>
    <w:rsid w:val="008958AF"/>
    <w:rsid w:val="008A4D01"/>
    <w:rsid w:val="008C78B8"/>
    <w:rsid w:val="008D4F2B"/>
    <w:rsid w:val="009016B9"/>
    <w:rsid w:val="00905978"/>
    <w:rsid w:val="0090784F"/>
    <w:rsid w:val="0091395B"/>
    <w:rsid w:val="00924346"/>
    <w:rsid w:val="009305B5"/>
    <w:rsid w:val="00947516"/>
    <w:rsid w:val="00951348"/>
    <w:rsid w:val="00971AA1"/>
    <w:rsid w:val="0099032E"/>
    <w:rsid w:val="00996F57"/>
    <w:rsid w:val="0099764E"/>
    <w:rsid w:val="00997C1A"/>
    <w:rsid w:val="009A0231"/>
    <w:rsid w:val="009A0E2E"/>
    <w:rsid w:val="009A0EAA"/>
    <w:rsid w:val="009A1566"/>
    <w:rsid w:val="009A78F0"/>
    <w:rsid w:val="009C5243"/>
    <w:rsid w:val="009D2398"/>
    <w:rsid w:val="009F317D"/>
    <w:rsid w:val="00A12869"/>
    <w:rsid w:val="00A146C8"/>
    <w:rsid w:val="00A3036D"/>
    <w:rsid w:val="00A33A31"/>
    <w:rsid w:val="00A44AA9"/>
    <w:rsid w:val="00A61B89"/>
    <w:rsid w:val="00A7024F"/>
    <w:rsid w:val="00A70A4C"/>
    <w:rsid w:val="00A7195F"/>
    <w:rsid w:val="00A81E29"/>
    <w:rsid w:val="00A95E97"/>
    <w:rsid w:val="00A97974"/>
    <w:rsid w:val="00AA551C"/>
    <w:rsid w:val="00AA7359"/>
    <w:rsid w:val="00AB7830"/>
    <w:rsid w:val="00AC3383"/>
    <w:rsid w:val="00AE3D45"/>
    <w:rsid w:val="00AF5DAC"/>
    <w:rsid w:val="00AF66A7"/>
    <w:rsid w:val="00B0266D"/>
    <w:rsid w:val="00B05544"/>
    <w:rsid w:val="00B06A71"/>
    <w:rsid w:val="00B1349C"/>
    <w:rsid w:val="00B177CF"/>
    <w:rsid w:val="00B25EBC"/>
    <w:rsid w:val="00B35F0E"/>
    <w:rsid w:val="00B37A8A"/>
    <w:rsid w:val="00B4101A"/>
    <w:rsid w:val="00B60199"/>
    <w:rsid w:val="00B8141E"/>
    <w:rsid w:val="00B86F21"/>
    <w:rsid w:val="00B942B4"/>
    <w:rsid w:val="00BA7F2E"/>
    <w:rsid w:val="00BC197B"/>
    <w:rsid w:val="00BD0CF2"/>
    <w:rsid w:val="00BD420A"/>
    <w:rsid w:val="00BE20D4"/>
    <w:rsid w:val="00C0309A"/>
    <w:rsid w:val="00C061AE"/>
    <w:rsid w:val="00C14DFE"/>
    <w:rsid w:val="00C446DB"/>
    <w:rsid w:val="00C53401"/>
    <w:rsid w:val="00C62640"/>
    <w:rsid w:val="00C70BDA"/>
    <w:rsid w:val="00C7164A"/>
    <w:rsid w:val="00C82219"/>
    <w:rsid w:val="00C83038"/>
    <w:rsid w:val="00C85BA5"/>
    <w:rsid w:val="00C901DA"/>
    <w:rsid w:val="00C94BF0"/>
    <w:rsid w:val="00C96C24"/>
    <w:rsid w:val="00CA1254"/>
    <w:rsid w:val="00CA3878"/>
    <w:rsid w:val="00CA5B42"/>
    <w:rsid w:val="00CA60CC"/>
    <w:rsid w:val="00CA6452"/>
    <w:rsid w:val="00CA649A"/>
    <w:rsid w:val="00CB2E98"/>
    <w:rsid w:val="00CB5313"/>
    <w:rsid w:val="00CC7F8E"/>
    <w:rsid w:val="00CD5D63"/>
    <w:rsid w:val="00CE17EB"/>
    <w:rsid w:val="00CE541F"/>
    <w:rsid w:val="00CF71B5"/>
    <w:rsid w:val="00D037E2"/>
    <w:rsid w:val="00D260F3"/>
    <w:rsid w:val="00D313F4"/>
    <w:rsid w:val="00D45512"/>
    <w:rsid w:val="00D478E8"/>
    <w:rsid w:val="00D55FAA"/>
    <w:rsid w:val="00D57887"/>
    <w:rsid w:val="00D6099C"/>
    <w:rsid w:val="00D67641"/>
    <w:rsid w:val="00D703C1"/>
    <w:rsid w:val="00D72C80"/>
    <w:rsid w:val="00D75E72"/>
    <w:rsid w:val="00D76CE3"/>
    <w:rsid w:val="00D837BE"/>
    <w:rsid w:val="00DB13A7"/>
    <w:rsid w:val="00DB2C88"/>
    <w:rsid w:val="00DB6A1E"/>
    <w:rsid w:val="00DD1037"/>
    <w:rsid w:val="00DE32BB"/>
    <w:rsid w:val="00DE58C7"/>
    <w:rsid w:val="00E33AA9"/>
    <w:rsid w:val="00E36B0A"/>
    <w:rsid w:val="00E42843"/>
    <w:rsid w:val="00E435B1"/>
    <w:rsid w:val="00E47FE2"/>
    <w:rsid w:val="00E517B6"/>
    <w:rsid w:val="00E51946"/>
    <w:rsid w:val="00E56068"/>
    <w:rsid w:val="00E560C2"/>
    <w:rsid w:val="00E71271"/>
    <w:rsid w:val="00E776E6"/>
    <w:rsid w:val="00E77EC2"/>
    <w:rsid w:val="00E80519"/>
    <w:rsid w:val="00E95BB2"/>
    <w:rsid w:val="00EA29C3"/>
    <w:rsid w:val="00EB3D0A"/>
    <w:rsid w:val="00EB76E0"/>
    <w:rsid w:val="00EC1D6F"/>
    <w:rsid w:val="00EC53BB"/>
    <w:rsid w:val="00ED37F5"/>
    <w:rsid w:val="00ED398A"/>
    <w:rsid w:val="00EE1F03"/>
    <w:rsid w:val="00EE43E6"/>
    <w:rsid w:val="00EE4E81"/>
    <w:rsid w:val="00EE6091"/>
    <w:rsid w:val="00EE7DFB"/>
    <w:rsid w:val="00EF2F6D"/>
    <w:rsid w:val="00EF4B79"/>
    <w:rsid w:val="00F04E52"/>
    <w:rsid w:val="00F11F24"/>
    <w:rsid w:val="00F14A7D"/>
    <w:rsid w:val="00F2115C"/>
    <w:rsid w:val="00F2570C"/>
    <w:rsid w:val="00F30B84"/>
    <w:rsid w:val="00F31E90"/>
    <w:rsid w:val="00F3326A"/>
    <w:rsid w:val="00F377BE"/>
    <w:rsid w:val="00F40767"/>
    <w:rsid w:val="00F50F75"/>
    <w:rsid w:val="00F62BCA"/>
    <w:rsid w:val="00F63B96"/>
    <w:rsid w:val="00F90206"/>
    <w:rsid w:val="00F92788"/>
    <w:rsid w:val="00F963F4"/>
    <w:rsid w:val="00FA0EB1"/>
    <w:rsid w:val="00FA3291"/>
    <w:rsid w:val="00FF3207"/>
    <w:rsid w:val="0C21846A"/>
    <w:rsid w:val="1122AB10"/>
    <w:rsid w:val="16DAD865"/>
    <w:rsid w:val="1708CB86"/>
    <w:rsid w:val="2420869A"/>
    <w:rsid w:val="2584948C"/>
    <w:rsid w:val="288A0453"/>
    <w:rsid w:val="2AF53E1B"/>
    <w:rsid w:val="31956503"/>
    <w:rsid w:val="34E02EFF"/>
    <w:rsid w:val="35785FDD"/>
    <w:rsid w:val="36AE53C7"/>
    <w:rsid w:val="3B9CEDC9"/>
    <w:rsid w:val="3D54102E"/>
    <w:rsid w:val="4555BDC6"/>
    <w:rsid w:val="4801B5A2"/>
    <w:rsid w:val="4B96696C"/>
    <w:rsid w:val="4D9268D6"/>
    <w:rsid w:val="52BBF507"/>
    <w:rsid w:val="588B7BF4"/>
    <w:rsid w:val="61EFA4D6"/>
    <w:rsid w:val="687573DD"/>
    <w:rsid w:val="6B11DAB4"/>
    <w:rsid w:val="6E0D97CB"/>
    <w:rsid w:val="6E41F3E3"/>
    <w:rsid w:val="6EAC36D3"/>
    <w:rsid w:val="6FA9A70D"/>
    <w:rsid w:val="719017FF"/>
    <w:rsid w:val="71C0A449"/>
    <w:rsid w:val="73FA1FD3"/>
  </w:rsids>
  <m:mathPr>
    <m:mathFont m:val="Cambria Math"/>
    <m:brkBin m:val="before"/>
    <m:brkBinSub m:val="--"/>
    <m:smallFrac m:val="0"/>
    <m:dispDef/>
    <m:lMargin m:val="0"/>
    <m:rMargin m:val="0"/>
    <m:defJc m:val="centerGroup"/>
    <m:wrapIndent m:val="1440"/>
    <m:intLim m:val="subSup"/>
    <m:naryLim m:val="undOvr"/>
  </m:mathPr>
  <w:themeFontLang w:val="hr-H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EB73C1"/>
  <w15:chartTrackingRefBased/>
  <w15:docId w15:val="{0224A80A-415D-4014-AAE3-4DCA6C6AE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13D"/>
    <w:pPr>
      <w:spacing w:after="0" w:line="276" w:lineRule="auto"/>
    </w:pPr>
    <w:rPr>
      <w:rFonts w:ascii="Arial" w:eastAsia="Arial" w:hAnsi="Arial" w:cs="Arial"/>
      <w:color w:val="000000"/>
      <w:kern w:val="0"/>
      <w:lang w:val="en-US"/>
      <w14:ligatures w14:val="none"/>
    </w:rPr>
  </w:style>
  <w:style w:type="paragraph" w:styleId="Heading1">
    <w:name w:val="heading 1"/>
    <w:basedOn w:val="Normal"/>
    <w:next w:val="Normal"/>
    <w:link w:val="Heading1Char"/>
    <w:uiPriority w:val="9"/>
    <w:qFormat/>
    <w:rsid w:val="002D21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21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21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21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21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21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1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1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1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1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21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21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21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21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2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13D"/>
    <w:rPr>
      <w:rFonts w:eastAsiaTheme="majorEastAsia" w:cstheme="majorBidi"/>
      <w:color w:val="272727" w:themeColor="text1" w:themeTint="D8"/>
    </w:rPr>
  </w:style>
  <w:style w:type="paragraph" w:styleId="Title">
    <w:name w:val="Title"/>
    <w:basedOn w:val="Normal"/>
    <w:next w:val="Normal"/>
    <w:link w:val="TitleChar"/>
    <w:uiPriority w:val="10"/>
    <w:qFormat/>
    <w:rsid w:val="002D2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13D"/>
    <w:pPr>
      <w:spacing w:before="160"/>
      <w:jc w:val="center"/>
    </w:pPr>
    <w:rPr>
      <w:i/>
      <w:iCs/>
      <w:color w:val="404040" w:themeColor="text1" w:themeTint="BF"/>
    </w:rPr>
  </w:style>
  <w:style w:type="character" w:customStyle="1" w:styleId="QuoteChar">
    <w:name w:val="Quote Char"/>
    <w:basedOn w:val="DefaultParagraphFont"/>
    <w:link w:val="Quote"/>
    <w:uiPriority w:val="29"/>
    <w:rsid w:val="002D213D"/>
    <w:rPr>
      <w:i/>
      <w:iCs/>
      <w:color w:val="404040" w:themeColor="text1" w:themeTint="BF"/>
    </w:rPr>
  </w:style>
  <w:style w:type="paragraph" w:styleId="ListParagraph">
    <w:name w:val="List Paragraph"/>
    <w:basedOn w:val="Normal"/>
    <w:uiPriority w:val="34"/>
    <w:qFormat/>
    <w:rsid w:val="002D213D"/>
    <w:pPr>
      <w:ind w:left="720"/>
      <w:contextualSpacing/>
    </w:pPr>
  </w:style>
  <w:style w:type="character" w:styleId="IntenseEmphasis">
    <w:name w:val="Intense Emphasis"/>
    <w:basedOn w:val="DefaultParagraphFont"/>
    <w:uiPriority w:val="21"/>
    <w:qFormat/>
    <w:rsid w:val="002D213D"/>
    <w:rPr>
      <w:i/>
      <w:iCs/>
      <w:color w:val="2F5496" w:themeColor="accent1" w:themeShade="BF"/>
    </w:rPr>
  </w:style>
  <w:style w:type="paragraph" w:styleId="IntenseQuote">
    <w:name w:val="Intense Quote"/>
    <w:basedOn w:val="Normal"/>
    <w:next w:val="Normal"/>
    <w:link w:val="IntenseQuoteChar"/>
    <w:uiPriority w:val="30"/>
    <w:qFormat/>
    <w:rsid w:val="002D21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213D"/>
    <w:rPr>
      <w:i/>
      <w:iCs/>
      <w:color w:val="2F5496" w:themeColor="accent1" w:themeShade="BF"/>
    </w:rPr>
  </w:style>
  <w:style w:type="character" w:styleId="IntenseReference">
    <w:name w:val="Intense Reference"/>
    <w:basedOn w:val="DefaultParagraphFont"/>
    <w:uiPriority w:val="32"/>
    <w:qFormat/>
    <w:rsid w:val="002D213D"/>
    <w:rPr>
      <w:b/>
      <w:bCs/>
      <w:smallCaps/>
      <w:color w:val="2F5496" w:themeColor="accent1" w:themeShade="BF"/>
      <w:spacing w:val="5"/>
    </w:rPr>
  </w:style>
  <w:style w:type="paragraph" w:styleId="Header">
    <w:name w:val="header"/>
    <w:basedOn w:val="Normal"/>
    <w:link w:val="HeaderChar"/>
    <w:uiPriority w:val="99"/>
    <w:unhideWhenUsed/>
    <w:rsid w:val="002D213D"/>
    <w:pPr>
      <w:tabs>
        <w:tab w:val="center" w:pos="4536"/>
        <w:tab w:val="right" w:pos="9072"/>
      </w:tabs>
      <w:spacing w:line="240" w:lineRule="auto"/>
    </w:pPr>
  </w:style>
  <w:style w:type="character" w:customStyle="1" w:styleId="HeaderChar">
    <w:name w:val="Header Char"/>
    <w:basedOn w:val="DefaultParagraphFont"/>
    <w:link w:val="Header"/>
    <w:uiPriority w:val="99"/>
    <w:rsid w:val="002D213D"/>
  </w:style>
  <w:style w:type="paragraph" w:styleId="Footer">
    <w:name w:val="footer"/>
    <w:basedOn w:val="Normal"/>
    <w:link w:val="FooterChar"/>
    <w:uiPriority w:val="99"/>
    <w:unhideWhenUsed/>
    <w:rsid w:val="002D213D"/>
    <w:pPr>
      <w:tabs>
        <w:tab w:val="center" w:pos="4536"/>
        <w:tab w:val="right" w:pos="9072"/>
      </w:tabs>
      <w:spacing w:line="240" w:lineRule="auto"/>
    </w:pPr>
  </w:style>
  <w:style w:type="character" w:customStyle="1" w:styleId="FooterChar">
    <w:name w:val="Footer Char"/>
    <w:basedOn w:val="DefaultParagraphFont"/>
    <w:link w:val="Footer"/>
    <w:uiPriority w:val="99"/>
    <w:rsid w:val="002D213D"/>
  </w:style>
  <w:style w:type="character" w:styleId="Hyperlink">
    <w:name w:val="Hyperlink"/>
    <w:uiPriority w:val="99"/>
    <w:unhideWhenUsed/>
    <w:rsid w:val="00861C7F"/>
    <w:rPr>
      <w:color w:val="0000FF"/>
      <w:u w:val="single"/>
    </w:rPr>
  </w:style>
  <w:style w:type="paragraph" w:styleId="EndnoteText">
    <w:name w:val="endnote text"/>
    <w:basedOn w:val="Normal"/>
    <w:link w:val="EndnoteTextChar"/>
    <w:uiPriority w:val="99"/>
    <w:unhideWhenUsed/>
    <w:rsid w:val="00861C7F"/>
    <w:rPr>
      <w:sz w:val="20"/>
      <w:szCs w:val="20"/>
    </w:rPr>
  </w:style>
  <w:style w:type="character" w:customStyle="1" w:styleId="EndnoteTextChar">
    <w:name w:val="Endnote Text Char"/>
    <w:basedOn w:val="DefaultParagraphFont"/>
    <w:link w:val="EndnoteText"/>
    <w:uiPriority w:val="99"/>
    <w:rsid w:val="00861C7F"/>
    <w:rPr>
      <w:rFonts w:ascii="Arial" w:eastAsia="Arial" w:hAnsi="Arial" w:cs="Arial"/>
      <w:color w:val="000000"/>
      <w:kern w:val="0"/>
      <w:sz w:val="20"/>
      <w:szCs w:val="20"/>
      <w:lang w:val="en-US"/>
      <w14:ligatures w14:val="none"/>
    </w:rPr>
  </w:style>
  <w:style w:type="character" w:styleId="EndnoteReference">
    <w:name w:val="endnote reference"/>
    <w:uiPriority w:val="99"/>
    <w:unhideWhenUsed/>
    <w:rsid w:val="00861C7F"/>
    <w:rPr>
      <w:vertAlign w:val="superscript"/>
    </w:rPr>
  </w:style>
  <w:style w:type="paragraph" w:customStyle="1" w:styleId="Boilerplatetitle">
    <w:name w:val="Boilerplate title"/>
    <w:basedOn w:val="Normal"/>
    <w:link w:val="BoilerplatetitleChar"/>
    <w:qFormat/>
    <w:rsid w:val="00861C7F"/>
    <w:pPr>
      <w:spacing w:line="240" w:lineRule="auto"/>
      <w:jc w:val="both"/>
    </w:pPr>
    <w:rPr>
      <w:rFonts w:ascii="Times New Roman" w:eastAsia="Times New Roman" w:hAnsi="Times New Roman" w:cs="Times New Roman"/>
      <w:b/>
      <w:color w:val="auto"/>
      <w:kern w:val="28"/>
      <w:sz w:val="24"/>
      <w:szCs w:val="24"/>
      <w:lang w:eastAsia="ja-JP"/>
    </w:rPr>
  </w:style>
  <w:style w:type="character" w:customStyle="1" w:styleId="BoilerplatetitleChar">
    <w:name w:val="Boilerplate title Char"/>
    <w:basedOn w:val="DefaultParagraphFont"/>
    <w:link w:val="Boilerplatetitle"/>
    <w:rsid w:val="00861C7F"/>
    <w:rPr>
      <w:rFonts w:ascii="Times New Roman" w:eastAsia="Times New Roman" w:hAnsi="Times New Roman" w:cs="Times New Roman"/>
      <w:b/>
      <w:kern w:val="28"/>
      <w:sz w:val="24"/>
      <w:szCs w:val="24"/>
      <w:lang w:val="en-US" w:eastAsia="ja-JP"/>
      <w14:ligatures w14:val="none"/>
    </w:rPr>
  </w:style>
  <w:style w:type="paragraph" w:customStyle="1" w:styleId="Boilerplatetext">
    <w:name w:val="Boilerplate text"/>
    <w:basedOn w:val="Normal"/>
    <w:link w:val="BoilerplatetextChar"/>
    <w:qFormat/>
    <w:rsid w:val="00861C7F"/>
    <w:pPr>
      <w:spacing w:line="240" w:lineRule="auto"/>
      <w:jc w:val="both"/>
    </w:pPr>
    <w:rPr>
      <w:rFonts w:ascii="Times New Roman" w:eastAsia="Times New Roman" w:hAnsi="Times New Roman" w:cs="Times New Roman"/>
      <w:color w:val="auto"/>
      <w:kern w:val="28"/>
      <w:sz w:val="24"/>
      <w:szCs w:val="24"/>
      <w:lang w:eastAsia="ja-JP"/>
    </w:rPr>
  </w:style>
  <w:style w:type="character" w:customStyle="1" w:styleId="BoilerplatetextChar">
    <w:name w:val="Boilerplate text Char"/>
    <w:basedOn w:val="DefaultParagraphFont"/>
    <w:link w:val="Boilerplatetext"/>
    <w:rsid w:val="00861C7F"/>
    <w:rPr>
      <w:rFonts w:ascii="Times New Roman" w:eastAsia="Times New Roman" w:hAnsi="Times New Roman" w:cs="Times New Roman"/>
      <w:kern w:val="28"/>
      <w:sz w:val="24"/>
      <w:szCs w:val="24"/>
      <w:lang w:val="en-US" w:eastAsia="ja-JP"/>
      <w14:ligatures w14:val="none"/>
    </w:rPr>
  </w:style>
  <w:style w:type="paragraph" w:styleId="FootnoteText">
    <w:name w:val="footnote text"/>
    <w:basedOn w:val="Normal"/>
    <w:link w:val="FootnoteTextChar"/>
    <w:uiPriority w:val="99"/>
    <w:rsid w:val="0045408D"/>
    <w:pPr>
      <w:spacing w:line="240" w:lineRule="auto"/>
    </w:pPr>
    <w:rPr>
      <w:rFonts w:ascii="Times New Roman" w:eastAsia="Times New Roman" w:hAnsi="Times New Roman" w:cs="Times New Roman"/>
      <w:color w:val="auto"/>
      <w:kern w:val="28"/>
      <w:sz w:val="24"/>
      <w:szCs w:val="24"/>
      <w:lang w:eastAsia="ja-JP"/>
    </w:rPr>
  </w:style>
  <w:style w:type="character" w:customStyle="1" w:styleId="FootnoteTextChar">
    <w:name w:val="Footnote Text Char"/>
    <w:basedOn w:val="DefaultParagraphFont"/>
    <w:link w:val="FootnoteText"/>
    <w:uiPriority w:val="99"/>
    <w:rsid w:val="0045408D"/>
    <w:rPr>
      <w:rFonts w:ascii="Times New Roman" w:eastAsia="Times New Roman" w:hAnsi="Times New Roman" w:cs="Times New Roman"/>
      <w:kern w:val="28"/>
      <w:sz w:val="24"/>
      <w:szCs w:val="24"/>
      <w:lang w:val="en-US" w:eastAsia="ja-JP"/>
      <w14:ligatures w14:val="none"/>
    </w:rPr>
  </w:style>
  <w:style w:type="character" w:styleId="FootnoteReference">
    <w:name w:val="footnote reference"/>
    <w:aliases w:val="4_G,Ref,de nota al pie,Footnote Reference Number"/>
    <w:uiPriority w:val="99"/>
    <w:rsid w:val="0045408D"/>
    <w:rPr>
      <w:vertAlign w:val="superscript"/>
    </w:rPr>
  </w:style>
  <w:style w:type="paragraph" w:customStyle="1" w:styleId="Paragraph">
    <w:name w:val="Paragraph"/>
    <w:basedOn w:val="Normal"/>
    <w:link w:val="ParagraphChar"/>
    <w:qFormat/>
    <w:rsid w:val="0045408D"/>
    <w:pPr>
      <w:numPr>
        <w:numId w:val="4"/>
      </w:numPr>
      <w:spacing w:after="120" w:line="240" w:lineRule="auto"/>
      <w:jc w:val="both"/>
    </w:pPr>
    <w:rPr>
      <w:rFonts w:ascii="Times New Roman" w:eastAsia="Times New Roman" w:hAnsi="Times New Roman" w:cs="Times New Roman"/>
      <w:color w:val="auto"/>
      <w:kern w:val="28"/>
      <w:sz w:val="24"/>
      <w:szCs w:val="24"/>
      <w:lang w:eastAsia="ja-JP"/>
    </w:rPr>
  </w:style>
  <w:style w:type="character" w:customStyle="1" w:styleId="ParagraphChar">
    <w:name w:val="Paragraph Char"/>
    <w:basedOn w:val="DefaultParagraphFont"/>
    <w:link w:val="Paragraph"/>
    <w:rsid w:val="0045408D"/>
    <w:rPr>
      <w:rFonts w:ascii="Times New Roman" w:eastAsia="Times New Roman" w:hAnsi="Times New Roman" w:cs="Times New Roman"/>
      <w:kern w:val="28"/>
      <w:sz w:val="24"/>
      <w:szCs w:val="24"/>
      <w:lang w:val="en-US" w:eastAsia="ja-JP"/>
      <w14:ligatures w14:val="none"/>
    </w:rPr>
  </w:style>
  <w:style w:type="paragraph" w:styleId="NoSpacing">
    <w:name w:val="No Spacing"/>
    <w:uiPriority w:val="1"/>
    <w:qFormat/>
    <w:rsid w:val="00EF2F6D"/>
    <w:pPr>
      <w:spacing w:after="0" w:line="240" w:lineRule="auto"/>
    </w:pPr>
    <w:rPr>
      <w:rFonts w:ascii="Times New Roman" w:eastAsia="Times New Roman" w:hAnsi="Times New Roman" w:cs="Times New Roman"/>
      <w:kern w:val="28"/>
      <w:sz w:val="24"/>
      <w:szCs w:val="24"/>
      <w:lang w:val="en-US" w:eastAsia="ja-JP"/>
      <w14:ligatures w14:val="none"/>
    </w:rPr>
  </w:style>
  <w:style w:type="paragraph" w:styleId="NormalWeb">
    <w:name w:val="Normal (Web)"/>
    <w:basedOn w:val="Normal"/>
    <w:uiPriority w:val="99"/>
    <w:semiHidden/>
    <w:unhideWhenUsed/>
    <w:rsid w:val="00CA1254"/>
    <w:rPr>
      <w:rFonts w:ascii="Times New Roman" w:hAnsi="Times New Roman" w:cs="Times New Roman"/>
      <w:sz w:val="24"/>
      <w:szCs w:val="24"/>
    </w:rPr>
  </w:style>
  <w:style w:type="paragraph" w:styleId="Revision">
    <w:name w:val="Revision"/>
    <w:hidden/>
    <w:uiPriority w:val="99"/>
    <w:semiHidden/>
    <w:rsid w:val="00305263"/>
    <w:pPr>
      <w:spacing w:after="0" w:line="240" w:lineRule="auto"/>
    </w:pPr>
    <w:rPr>
      <w:rFonts w:ascii="Arial" w:eastAsia="Arial" w:hAnsi="Arial" w:cs="Arial"/>
      <w:color w:val="000000"/>
      <w:kern w:val="0"/>
      <w:lang w:val="en-US"/>
      <w14:ligatures w14:val="none"/>
    </w:rPr>
  </w:style>
  <w:style w:type="character" w:styleId="CommentReference">
    <w:name w:val="annotation reference"/>
    <w:basedOn w:val="DefaultParagraphFont"/>
    <w:uiPriority w:val="99"/>
    <w:semiHidden/>
    <w:unhideWhenUsed/>
    <w:rsid w:val="00BC197B"/>
    <w:rPr>
      <w:sz w:val="16"/>
      <w:szCs w:val="16"/>
    </w:rPr>
  </w:style>
  <w:style w:type="paragraph" w:styleId="CommentText">
    <w:name w:val="annotation text"/>
    <w:basedOn w:val="Normal"/>
    <w:link w:val="CommentTextChar"/>
    <w:uiPriority w:val="99"/>
    <w:unhideWhenUsed/>
    <w:rsid w:val="00BC197B"/>
    <w:pPr>
      <w:spacing w:line="240" w:lineRule="auto"/>
    </w:pPr>
    <w:rPr>
      <w:sz w:val="20"/>
      <w:szCs w:val="20"/>
    </w:rPr>
  </w:style>
  <w:style w:type="character" w:customStyle="1" w:styleId="CommentTextChar">
    <w:name w:val="Comment Text Char"/>
    <w:basedOn w:val="DefaultParagraphFont"/>
    <w:link w:val="CommentText"/>
    <w:uiPriority w:val="99"/>
    <w:rsid w:val="00BC197B"/>
    <w:rPr>
      <w:rFonts w:ascii="Arial" w:eastAsia="Arial" w:hAnsi="Arial" w:cs="Arial"/>
      <w:color w:val="000000"/>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BC197B"/>
    <w:rPr>
      <w:b/>
      <w:bCs/>
    </w:rPr>
  </w:style>
  <w:style w:type="character" w:customStyle="1" w:styleId="CommentSubjectChar">
    <w:name w:val="Comment Subject Char"/>
    <w:basedOn w:val="CommentTextChar"/>
    <w:link w:val="CommentSubject"/>
    <w:uiPriority w:val="99"/>
    <w:semiHidden/>
    <w:rsid w:val="00BC197B"/>
    <w:rPr>
      <w:rFonts w:ascii="Arial" w:eastAsia="Arial" w:hAnsi="Arial" w:cs="Arial"/>
      <w:b/>
      <w:bCs/>
      <w:color w:val="000000"/>
      <w:kern w:val="0"/>
      <w:sz w:val="20"/>
      <w:szCs w:val="20"/>
      <w:lang w:val="en-US"/>
      <w14:ligatures w14:val="none"/>
    </w:rPr>
  </w:style>
  <w:style w:type="character" w:styleId="Strong">
    <w:name w:val="Strong"/>
    <w:basedOn w:val="DefaultParagraphFont"/>
    <w:uiPriority w:val="22"/>
    <w:qFormat/>
    <w:rsid w:val="00DB13A7"/>
    <w:rPr>
      <w:b/>
      <w:bCs/>
    </w:rPr>
  </w:style>
  <w:style w:type="paragraph" w:customStyle="1" w:styleId="TitlePageSubheading">
    <w:name w:val="Title Page Subheading"/>
    <w:basedOn w:val="Normal"/>
    <w:link w:val="TitlePageSubheadingChar"/>
    <w:uiPriority w:val="1"/>
    <w:qFormat/>
    <w:rsid w:val="1708CB86"/>
    <w:pPr>
      <w:jc w:val="center"/>
    </w:pPr>
    <w:rPr>
      <w:rFonts w:ascii="Times New Roman" w:eastAsia="Times New Roman" w:hAnsi="Times New Roman" w:cs="Times New Roman"/>
      <w:sz w:val="24"/>
      <w:szCs w:val="24"/>
    </w:rPr>
  </w:style>
  <w:style w:type="character" w:customStyle="1" w:styleId="TitlePageSubheadingChar">
    <w:name w:val="Title Page Subheading Char"/>
    <w:basedOn w:val="DefaultParagraphFont"/>
    <w:link w:val="TitlePageSubheading"/>
    <w:uiPriority w:val="1"/>
    <w:rsid w:val="1708CB86"/>
    <w:rPr>
      <w:rFonts w:ascii="Times New Roman" w:eastAsia="Times New Roman" w:hAnsi="Times New Roman" w:cs="Times New Roman"/>
      <w:sz w:val="24"/>
      <w:szCs w:val="24"/>
    </w:rPr>
  </w:style>
  <w:style w:type="paragraph" w:customStyle="1" w:styleId="TitlePageHeading">
    <w:name w:val="Title Page Heading"/>
    <w:basedOn w:val="Normal"/>
    <w:link w:val="TitlePageHeadingChar"/>
    <w:uiPriority w:val="1"/>
    <w:qFormat/>
    <w:rsid w:val="6B11DAB4"/>
    <w:pPr>
      <w:keepNext/>
      <w:keepLines/>
      <w:jc w:val="center"/>
      <w:outlineLvl w:val="0"/>
    </w:pPr>
    <w:rPr>
      <w:rFonts w:ascii="Times New Roman" w:eastAsiaTheme="majorEastAsia" w:hAnsi="Times New Roman" w:cstheme="majorBidi"/>
      <w:b/>
      <w:bCs/>
      <w:sz w:val="24"/>
      <w:szCs w:val="24"/>
    </w:rPr>
  </w:style>
  <w:style w:type="character" w:customStyle="1" w:styleId="TitlePageHeadingChar">
    <w:name w:val="Title Page Heading Char"/>
    <w:basedOn w:val="DefaultParagraphFont"/>
    <w:link w:val="TitlePageHeading"/>
    <w:uiPriority w:val="1"/>
    <w:rsid w:val="6B11DAB4"/>
    <w:rPr>
      <w:rFonts w:ascii="Times New Roman" w:eastAsiaTheme="majorEastAsia" w:hAnsi="Times New Roman" w:cstheme="majorBidi"/>
      <w:b/>
      <w:b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1804">
      <w:bodyDiv w:val="1"/>
      <w:marLeft w:val="0"/>
      <w:marRight w:val="0"/>
      <w:marTop w:val="0"/>
      <w:marBottom w:val="0"/>
      <w:divBdr>
        <w:top w:val="none" w:sz="0" w:space="0" w:color="auto"/>
        <w:left w:val="none" w:sz="0" w:space="0" w:color="auto"/>
        <w:bottom w:val="none" w:sz="0" w:space="0" w:color="auto"/>
        <w:right w:val="none" w:sz="0" w:space="0" w:color="auto"/>
      </w:divBdr>
    </w:div>
    <w:div w:id="85925618">
      <w:bodyDiv w:val="1"/>
      <w:marLeft w:val="0"/>
      <w:marRight w:val="0"/>
      <w:marTop w:val="0"/>
      <w:marBottom w:val="0"/>
      <w:divBdr>
        <w:top w:val="none" w:sz="0" w:space="0" w:color="auto"/>
        <w:left w:val="none" w:sz="0" w:space="0" w:color="auto"/>
        <w:bottom w:val="none" w:sz="0" w:space="0" w:color="auto"/>
        <w:right w:val="none" w:sz="0" w:space="0" w:color="auto"/>
      </w:divBdr>
    </w:div>
    <w:div w:id="112213007">
      <w:bodyDiv w:val="1"/>
      <w:marLeft w:val="0"/>
      <w:marRight w:val="0"/>
      <w:marTop w:val="0"/>
      <w:marBottom w:val="0"/>
      <w:divBdr>
        <w:top w:val="none" w:sz="0" w:space="0" w:color="auto"/>
        <w:left w:val="none" w:sz="0" w:space="0" w:color="auto"/>
        <w:bottom w:val="none" w:sz="0" w:space="0" w:color="auto"/>
        <w:right w:val="none" w:sz="0" w:space="0" w:color="auto"/>
      </w:divBdr>
    </w:div>
    <w:div w:id="125855227">
      <w:bodyDiv w:val="1"/>
      <w:marLeft w:val="0"/>
      <w:marRight w:val="0"/>
      <w:marTop w:val="0"/>
      <w:marBottom w:val="0"/>
      <w:divBdr>
        <w:top w:val="none" w:sz="0" w:space="0" w:color="auto"/>
        <w:left w:val="none" w:sz="0" w:space="0" w:color="auto"/>
        <w:bottom w:val="none" w:sz="0" w:space="0" w:color="auto"/>
        <w:right w:val="none" w:sz="0" w:space="0" w:color="auto"/>
      </w:divBdr>
    </w:div>
    <w:div w:id="196822932">
      <w:bodyDiv w:val="1"/>
      <w:marLeft w:val="0"/>
      <w:marRight w:val="0"/>
      <w:marTop w:val="0"/>
      <w:marBottom w:val="0"/>
      <w:divBdr>
        <w:top w:val="none" w:sz="0" w:space="0" w:color="auto"/>
        <w:left w:val="none" w:sz="0" w:space="0" w:color="auto"/>
        <w:bottom w:val="none" w:sz="0" w:space="0" w:color="auto"/>
        <w:right w:val="none" w:sz="0" w:space="0" w:color="auto"/>
      </w:divBdr>
    </w:div>
    <w:div w:id="258291273">
      <w:bodyDiv w:val="1"/>
      <w:marLeft w:val="0"/>
      <w:marRight w:val="0"/>
      <w:marTop w:val="0"/>
      <w:marBottom w:val="0"/>
      <w:divBdr>
        <w:top w:val="none" w:sz="0" w:space="0" w:color="auto"/>
        <w:left w:val="none" w:sz="0" w:space="0" w:color="auto"/>
        <w:bottom w:val="none" w:sz="0" w:space="0" w:color="auto"/>
        <w:right w:val="none" w:sz="0" w:space="0" w:color="auto"/>
      </w:divBdr>
    </w:div>
    <w:div w:id="393427421">
      <w:bodyDiv w:val="1"/>
      <w:marLeft w:val="0"/>
      <w:marRight w:val="0"/>
      <w:marTop w:val="0"/>
      <w:marBottom w:val="0"/>
      <w:divBdr>
        <w:top w:val="none" w:sz="0" w:space="0" w:color="auto"/>
        <w:left w:val="none" w:sz="0" w:space="0" w:color="auto"/>
        <w:bottom w:val="none" w:sz="0" w:space="0" w:color="auto"/>
        <w:right w:val="none" w:sz="0" w:space="0" w:color="auto"/>
      </w:divBdr>
    </w:div>
    <w:div w:id="410466728">
      <w:bodyDiv w:val="1"/>
      <w:marLeft w:val="0"/>
      <w:marRight w:val="0"/>
      <w:marTop w:val="0"/>
      <w:marBottom w:val="0"/>
      <w:divBdr>
        <w:top w:val="none" w:sz="0" w:space="0" w:color="auto"/>
        <w:left w:val="none" w:sz="0" w:space="0" w:color="auto"/>
        <w:bottom w:val="none" w:sz="0" w:space="0" w:color="auto"/>
        <w:right w:val="none" w:sz="0" w:space="0" w:color="auto"/>
      </w:divBdr>
    </w:div>
    <w:div w:id="494885630">
      <w:bodyDiv w:val="1"/>
      <w:marLeft w:val="0"/>
      <w:marRight w:val="0"/>
      <w:marTop w:val="0"/>
      <w:marBottom w:val="0"/>
      <w:divBdr>
        <w:top w:val="none" w:sz="0" w:space="0" w:color="auto"/>
        <w:left w:val="none" w:sz="0" w:space="0" w:color="auto"/>
        <w:bottom w:val="none" w:sz="0" w:space="0" w:color="auto"/>
        <w:right w:val="none" w:sz="0" w:space="0" w:color="auto"/>
      </w:divBdr>
    </w:div>
    <w:div w:id="518933894">
      <w:bodyDiv w:val="1"/>
      <w:marLeft w:val="0"/>
      <w:marRight w:val="0"/>
      <w:marTop w:val="0"/>
      <w:marBottom w:val="0"/>
      <w:divBdr>
        <w:top w:val="none" w:sz="0" w:space="0" w:color="auto"/>
        <w:left w:val="none" w:sz="0" w:space="0" w:color="auto"/>
        <w:bottom w:val="none" w:sz="0" w:space="0" w:color="auto"/>
        <w:right w:val="none" w:sz="0" w:space="0" w:color="auto"/>
      </w:divBdr>
    </w:div>
    <w:div w:id="531236650">
      <w:bodyDiv w:val="1"/>
      <w:marLeft w:val="0"/>
      <w:marRight w:val="0"/>
      <w:marTop w:val="0"/>
      <w:marBottom w:val="0"/>
      <w:divBdr>
        <w:top w:val="none" w:sz="0" w:space="0" w:color="auto"/>
        <w:left w:val="none" w:sz="0" w:space="0" w:color="auto"/>
        <w:bottom w:val="none" w:sz="0" w:space="0" w:color="auto"/>
        <w:right w:val="none" w:sz="0" w:space="0" w:color="auto"/>
      </w:divBdr>
    </w:div>
    <w:div w:id="538398523">
      <w:bodyDiv w:val="1"/>
      <w:marLeft w:val="0"/>
      <w:marRight w:val="0"/>
      <w:marTop w:val="0"/>
      <w:marBottom w:val="0"/>
      <w:divBdr>
        <w:top w:val="none" w:sz="0" w:space="0" w:color="auto"/>
        <w:left w:val="none" w:sz="0" w:space="0" w:color="auto"/>
        <w:bottom w:val="none" w:sz="0" w:space="0" w:color="auto"/>
        <w:right w:val="none" w:sz="0" w:space="0" w:color="auto"/>
      </w:divBdr>
      <w:divsChild>
        <w:div w:id="743067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599827">
      <w:bodyDiv w:val="1"/>
      <w:marLeft w:val="0"/>
      <w:marRight w:val="0"/>
      <w:marTop w:val="0"/>
      <w:marBottom w:val="0"/>
      <w:divBdr>
        <w:top w:val="none" w:sz="0" w:space="0" w:color="auto"/>
        <w:left w:val="none" w:sz="0" w:space="0" w:color="auto"/>
        <w:bottom w:val="none" w:sz="0" w:space="0" w:color="auto"/>
        <w:right w:val="none" w:sz="0" w:space="0" w:color="auto"/>
      </w:divBdr>
      <w:divsChild>
        <w:div w:id="1737505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9998372">
      <w:bodyDiv w:val="1"/>
      <w:marLeft w:val="0"/>
      <w:marRight w:val="0"/>
      <w:marTop w:val="0"/>
      <w:marBottom w:val="0"/>
      <w:divBdr>
        <w:top w:val="none" w:sz="0" w:space="0" w:color="auto"/>
        <w:left w:val="none" w:sz="0" w:space="0" w:color="auto"/>
        <w:bottom w:val="none" w:sz="0" w:space="0" w:color="auto"/>
        <w:right w:val="none" w:sz="0" w:space="0" w:color="auto"/>
      </w:divBdr>
    </w:div>
    <w:div w:id="556360344">
      <w:bodyDiv w:val="1"/>
      <w:marLeft w:val="0"/>
      <w:marRight w:val="0"/>
      <w:marTop w:val="0"/>
      <w:marBottom w:val="0"/>
      <w:divBdr>
        <w:top w:val="none" w:sz="0" w:space="0" w:color="auto"/>
        <w:left w:val="none" w:sz="0" w:space="0" w:color="auto"/>
        <w:bottom w:val="none" w:sz="0" w:space="0" w:color="auto"/>
        <w:right w:val="none" w:sz="0" w:space="0" w:color="auto"/>
      </w:divBdr>
    </w:div>
    <w:div w:id="560285235">
      <w:bodyDiv w:val="1"/>
      <w:marLeft w:val="0"/>
      <w:marRight w:val="0"/>
      <w:marTop w:val="0"/>
      <w:marBottom w:val="0"/>
      <w:divBdr>
        <w:top w:val="none" w:sz="0" w:space="0" w:color="auto"/>
        <w:left w:val="none" w:sz="0" w:space="0" w:color="auto"/>
        <w:bottom w:val="none" w:sz="0" w:space="0" w:color="auto"/>
        <w:right w:val="none" w:sz="0" w:space="0" w:color="auto"/>
      </w:divBdr>
    </w:div>
    <w:div w:id="647324869">
      <w:bodyDiv w:val="1"/>
      <w:marLeft w:val="0"/>
      <w:marRight w:val="0"/>
      <w:marTop w:val="0"/>
      <w:marBottom w:val="0"/>
      <w:divBdr>
        <w:top w:val="none" w:sz="0" w:space="0" w:color="auto"/>
        <w:left w:val="none" w:sz="0" w:space="0" w:color="auto"/>
        <w:bottom w:val="none" w:sz="0" w:space="0" w:color="auto"/>
        <w:right w:val="none" w:sz="0" w:space="0" w:color="auto"/>
      </w:divBdr>
    </w:div>
    <w:div w:id="661003299">
      <w:bodyDiv w:val="1"/>
      <w:marLeft w:val="0"/>
      <w:marRight w:val="0"/>
      <w:marTop w:val="0"/>
      <w:marBottom w:val="0"/>
      <w:divBdr>
        <w:top w:val="none" w:sz="0" w:space="0" w:color="auto"/>
        <w:left w:val="none" w:sz="0" w:space="0" w:color="auto"/>
        <w:bottom w:val="none" w:sz="0" w:space="0" w:color="auto"/>
        <w:right w:val="none" w:sz="0" w:space="0" w:color="auto"/>
      </w:divBdr>
    </w:div>
    <w:div w:id="700865553">
      <w:bodyDiv w:val="1"/>
      <w:marLeft w:val="0"/>
      <w:marRight w:val="0"/>
      <w:marTop w:val="0"/>
      <w:marBottom w:val="0"/>
      <w:divBdr>
        <w:top w:val="none" w:sz="0" w:space="0" w:color="auto"/>
        <w:left w:val="none" w:sz="0" w:space="0" w:color="auto"/>
        <w:bottom w:val="none" w:sz="0" w:space="0" w:color="auto"/>
        <w:right w:val="none" w:sz="0" w:space="0" w:color="auto"/>
      </w:divBdr>
    </w:div>
    <w:div w:id="749346858">
      <w:bodyDiv w:val="1"/>
      <w:marLeft w:val="0"/>
      <w:marRight w:val="0"/>
      <w:marTop w:val="0"/>
      <w:marBottom w:val="0"/>
      <w:divBdr>
        <w:top w:val="none" w:sz="0" w:space="0" w:color="auto"/>
        <w:left w:val="none" w:sz="0" w:space="0" w:color="auto"/>
        <w:bottom w:val="none" w:sz="0" w:space="0" w:color="auto"/>
        <w:right w:val="none" w:sz="0" w:space="0" w:color="auto"/>
      </w:divBdr>
      <w:divsChild>
        <w:div w:id="491140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8130267">
      <w:bodyDiv w:val="1"/>
      <w:marLeft w:val="0"/>
      <w:marRight w:val="0"/>
      <w:marTop w:val="0"/>
      <w:marBottom w:val="0"/>
      <w:divBdr>
        <w:top w:val="none" w:sz="0" w:space="0" w:color="auto"/>
        <w:left w:val="none" w:sz="0" w:space="0" w:color="auto"/>
        <w:bottom w:val="none" w:sz="0" w:space="0" w:color="auto"/>
        <w:right w:val="none" w:sz="0" w:space="0" w:color="auto"/>
      </w:divBdr>
    </w:div>
    <w:div w:id="834758066">
      <w:bodyDiv w:val="1"/>
      <w:marLeft w:val="0"/>
      <w:marRight w:val="0"/>
      <w:marTop w:val="0"/>
      <w:marBottom w:val="0"/>
      <w:divBdr>
        <w:top w:val="none" w:sz="0" w:space="0" w:color="auto"/>
        <w:left w:val="none" w:sz="0" w:space="0" w:color="auto"/>
        <w:bottom w:val="none" w:sz="0" w:space="0" w:color="auto"/>
        <w:right w:val="none" w:sz="0" w:space="0" w:color="auto"/>
      </w:divBdr>
    </w:div>
    <w:div w:id="873232272">
      <w:bodyDiv w:val="1"/>
      <w:marLeft w:val="0"/>
      <w:marRight w:val="0"/>
      <w:marTop w:val="0"/>
      <w:marBottom w:val="0"/>
      <w:divBdr>
        <w:top w:val="none" w:sz="0" w:space="0" w:color="auto"/>
        <w:left w:val="none" w:sz="0" w:space="0" w:color="auto"/>
        <w:bottom w:val="none" w:sz="0" w:space="0" w:color="auto"/>
        <w:right w:val="none" w:sz="0" w:space="0" w:color="auto"/>
      </w:divBdr>
    </w:div>
    <w:div w:id="874385650">
      <w:bodyDiv w:val="1"/>
      <w:marLeft w:val="0"/>
      <w:marRight w:val="0"/>
      <w:marTop w:val="0"/>
      <w:marBottom w:val="0"/>
      <w:divBdr>
        <w:top w:val="none" w:sz="0" w:space="0" w:color="auto"/>
        <w:left w:val="none" w:sz="0" w:space="0" w:color="auto"/>
        <w:bottom w:val="none" w:sz="0" w:space="0" w:color="auto"/>
        <w:right w:val="none" w:sz="0" w:space="0" w:color="auto"/>
      </w:divBdr>
    </w:div>
    <w:div w:id="876043326">
      <w:bodyDiv w:val="1"/>
      <w:marLeft w:val="0"/>
      <w:marRight w:val="0"/>
      <w:marTop w:val="0"/>
      <w:marBottom w:val="0"/>
      <w:divBdr>
        <w:top w:val="none" w:sz="0" w:space="0" w:color="auto"/>
        <w:left w:val="none" w:sz="0" w:space="0" w:color="auto"/>
        <w:bottom w:val="none" w:sz="0" w:space="0" w:color="auto"/>
        <w:right w:val="none" w:sz="0" w:space="0" w:color="auto"/>
      </w:divBdr>
    </w:div>
    <w:div w:id="908536966">
      <w:bodyDiv w:val="1"/>
      <w:marLeft w:val="0"/>
      <w:marRight w:val="0"/>
      <w:marTop w:val="0"/>
      <w:marBottom w:val="0"/>
      <w:divBdr>
        <w:top w:val="none" w:sz="0" w:space="0" w:color="auto"/>
        <w:left w:val="none" w:sz="0" w:space="0" w:color="auto"/>
        <w:bottom w:val="none" w:sz="0" w:space="0" w:color="auto"/>
        <w:right w:val="none" w:sz="0" w:space="0" w:color="auto"/>
      </w:divBdr>
    </w:div>
    <w:div w:id="968903718">
      <w:bodyDiv w:val="1"/>
      <w:marLeft w:val="0"/>
      <w:marRight w:val="0"/>
      <w:marTop w:val="0"/>
      <w:marBottom w:val="0"/>
      <w:divBdr>
        <w:top w:val="none" w:sz="0" w:space="0" w:color="auto"/>
        <w:left w:val="none" w:sz="0" w:space="0" w:color="auto"/>
        <w:bottom w:val="none" w:sz="0" w:space="0" w:color="auto"/>
        <w:right w:val="none" w:sz="0" w:space="0" w:color="auto"/>
      </w:divBdr>
    </w:div>
    <w:div w:id="973634501">
      <w:bodyDiv w:val="1"/>
      <w:marLeft w:val="0"/>
      <w:marRight w:val="0"/>
      <w:marTop w:val="0"/>
      <w:marBottom w:val="0"/>
      <w:divBdr>
        <w:top w:val="none" w:sz="0" w:space="0" w:color="auto"/>
        <w:left w:val="none" w:sz="0" w:space="0" w:color="auto"/>
        <w:bottom w:val="none" w:sz="0" w:space="0" w:color="auto"/>
        <w:right w:val="none" w:sz="0" w:space="0" w:color="auto"/>
      </w:divBdr>
    </w:div>
    <w:div w:id="1097290583">
      <w:bodyDiv w:val="1"/>
      <w:marLeft w:val="0"/>
      <w:marRight w:val="0"/>
      <w:marTop w:val="0"/>
      <w:marBottom w:val="0"/>
      <w:divBdr>
        <w:top w:val="none" w:sz="0" w:space="0" w:color="auto"/>
        <w:left w:val="none" w:sz="0" w:space="0" w:color="auto"/>
        <w:bottom w:val="none" w:sz="0" w:space="0" w:color="auto"/>
        <w:right w:val="none" w:sz="0" w:space="0" w:color="auto"/>
      </w:divBdr>
    </w:div>
    <w:div w:id="1116826314">
      <w:bodyDiv w:val="1"/>
      <w:marLeft w:val="0"/>
      <w:marRight w:val="0"/>
      <w:marTop w:val="0"/>
      <w:marBottom w:val="0"/>
      <w:divBdr>
        <w:top w:val="none" w:sz="0" w:space="0" w:color="auto"/>
        <w:left w:val="none" w:sz="0" w:space="0" w:color="auto"/>
        <w:bottom w:val="none" w:sz="0" w:space="0" w:color="auto"/>
        <w:right w:val="none" w:sz="0" w:space="0" w:color="auto"/>
      </w:divBdr>
    </w:div>
    <w:div w:id="1184976331">
      <w:bodyDiv w:val="1"/>
      <w:marLeft w:val="0"/>
      <w:marRight w:val="0"/>
      <w:marTop w:val="0"/>
      <w:marBottom w:val="0"/>
      <w:divBdr>
        <w:top w:val="none" w:sz="0" w:space="0" w:color="auto"/>
        <w:left w:val="none" w:sz="0" w:space="0" w:color="auto"/>
        <w:bottom w:val="none" w:sz="0" w:space="0" w:color="auto"/>
        <w:right w:val="none" w:sz="0" w:space="0" w:color="auto"/>
      </w:divBdr>
    </w:div>
    <w:div w:id="1187987763">
      <w:bodyDiv w:val="1"/>
      <w:marLeft w:val="0"/>
      <w:marRight w:val="0"/>
      <w:marTop w:val="0"/>
      <w:marBottom w:val="0"/>
      <w:divBdr>
        <w:top w:val="none" w:sz="0" w:space="0" w:color="auto"/>
        <w:left w:val="none" w:sz="0" w:space="0" w:color="auto"/>
        <w:bottom w:val="none" w:sz="0" w:space="0" w:color="auto"/>
        <w:right w:val="none" w:sz="0" w:space="0" w:color="auto"/>
      </w:divBdr>
    </w:div>
    <w:div w:id="1211846594">
      <w:bodyDiv w:val="1"/>
      <w:marLeft w:val="0"/>
      <w:marRight w:val="0"/>
      <w:marTop w:val="0"/>
      <w:marBottom w:val="0"/>
      <w:divBdr>
        <w:top w:val="none" w:sz="0" w:space="0" w:color="auto"/>
        <w:left w:val="none" w:sz="0" w:space="0" w:color="auto"/>
        <w:bottom w:val="none" w:sz="0" w:space="0" w:color="auto"/>
        <w:right w:val="none" w:sz="0" w:space="0" w:color="auto"/>
      </w:divBdr>
    </w:div>
    <w:div w:id="1246766952">
      <w:bodyDiv w:val="1"/>
      <w:marLeft w:val="0"/>
      <w:marRight w:val="0"/>
      <w:marTop w:val="0"/>
      <w:marBottom w:val="0"/>
      <w:divBdr>
        <w:top w:val="none" w:sz="0" w:space="0" w:color="auto"/>
        <w:left w:val="none" w:sz="0" w:space="0" w:color="auto"/>
        <w:bottom w:val="none" w:sz="0" w:space="0" w:color="auto"/>
        <w:right w:val="none" w:sz="0" w:space="0" w:color="auto"/>
      </w:divBdr>
    </w:div>
    <w:div w:id="1261255772">
      <w:bodyDiv w:val="1"/>
      <w:marLeft w:val="0"/>
      <w:marRight w:val="0"/>
      <w:marTop w:val="0"/>
      <w:marBottom w:val="0"/>
      <w:divBdr>
        <w:top w:val="none" w:sz="0" w:space="0" w:color="auto"/>
        <w:left w:val="none" w:sz="0" w:space="0" w:color="auto"/>
        <w:bottom w:val="none" w:sz="0" w:space="0" w:color="auto"/>
        <w:right w:val="none" w:sz="0" w:space="0" w:color="auto"/>
      </w:divBdr>
    </w:div>
    <w:div w:id="1313025095">
      <w:bodyDiv w:val="1"/>
      <w:marLeft w:val="0"/>
      <w:marRight w:val="0"/>
      <w:marTop w:val="0"/>
      <w:marBottom w:val="0"/>
      <w:divBdr>
        <w:top w:val="none" w:sz="0" w:space="0" w:color="auto"/>
        <w:left w:val="none" w:sz="0" w:space="0" w:color="auto"/>
        <w:bottom w:val="none" w:sz="0" w:space="0" w:color="auto"/>
        <w:right w:val="none" w:sz="0" w:space="0" w:color="auto"/>
      </w:divBdr>
    </w:div>
    <w:div w:id="1349987999">
      <w:bodyDiv w:val="1"/>
      <w:marLeft w:val="0"/>
      <w:marRight w:val="0"/>
      <w:marTop w:val="0"/>
      <w:marBottom w:val="0"/>
      <w:divBdr>
        <w:top w:val="none" w:sz="0" w:space="0" w:color="auto"/>
        <w:left w:val="none" w:sz="0" w:space="0" w:color="auto"/>
        <w:bottom w:val="none" w:sz="0" w:space="0" w:color="auto"/>
        <w:right w:val="none" w:sz="0" w:space="0" w:color="auto"/>
      </w:divBdr>
    </w:div>
    <w:div w:id="1375693287">
      <w:bodyDiv w:val="1"/>
      <w:marLeft w:val="0"/>
      <w:marRight w:val="0"/>
      <w:marTop w:val="0"/>
      <w:marBottom w:val="0"/>
      <w:divBdr>
        <w:top w:val="none" w:sz="0" w:space="0" w:color="auto"/>
        <w:left w:val="none" w:sz="0" w:space="0" w:color="auto"/>
        <w:bottom w:val="none" w:sz="0" w:space="0" w:color="auto"/>
        <w:right w:val="none" w:sz="0" w:space="0" w:color="auto"/>
      </w:divBdr>
    </w:div>
    <w:div w:id="1385594736">
      <w:bodyDiv w:val="1"/>
      <w:marLeft w:val="0"/>
      <w:marRight w:val="0"/>
      <w:marTop w:val="0"/>
      <w:marBottom w:val="0"/>
      <w:divBdr>
        <w:top w:val="none" w:sz="0" w:space="0" w:color="auto"/>
        <w:left w:val="none" w:sz="0" w:space="0" w:color="auto"/>
        <w:bottom w:val="none" w:sz="0" w:space="0" w:color="auto"/>
        <w:right w:val="none" w:sz="0" w:space="0" w:color="auto"/>
      </w:divBdr>
    </w:div>
    <w:div w:id="1433624494">
      <w:bodyDiv w:val="1"/>
      <w:marLeft w:val="0"/>
      <w:marRight w:val="0"/>
      <w:marTop w:val="0"/>
      <w:marBottom w:val="0"/>
      <w:divBdr>
        <w:top w:val="none" w:sz="0" w:space="0" w:color="auto"/>
        <w:left w:val="none" w:sz="0" w:space="0" w:color="auto"/>
        <w:bottom w:val="none" w:sz="0" w:space="0" w:color="auto"/>
        <w:right w:val="none" w:sz="0" w:space="0" w:color="auto"/>
      </w:divBdr>
    </w:div>
    <w:div w:id="1467508715">
      <w:bodyDiv w:val="1"/>
      <w:marLeft w:val="0"/>
      <w:marRight w:val="0"/>
      <w:marTop w:val="0"/>
      <w:marBottom w:val="0"/>
      <w:divBdr>
        <w:top w:val="none" w:sz="0" w:space="0" w:color="auto"/>
        <w:left w:val="none" w:sz="0" w:space="0" w:color="auto"/>
        <w:bottom w:val="none" w:sz="0" w:space="0" w:color="auto"/>
        <w:right w:val="none" w:sz="0" w:space="0" w:color="auto"/>
      </w:divBdr>
    </w:div>
    <w:div w:id="1476416166">
      <w:bodyDiv w:val="1"/>
      <w:marLeft w:val="0"/>
      <w:marRight w:val="0"/>
      <w:marTop w:val="0"/>
      <w:marBottom w:val="0"/>
      <w:divBdr>
        <w:top w:val="none" w:sz="0" w:space="0" w:color="auto"/>
        <w:left w:val="none" w:sz="0" w:space="0" w:color="auto"/>
        <w:bottom w:val="none" w:sz="0" w:space="0" w:color="auto"/>
        <w:right w:val="none" w:sz="0" w:space="0" w:color="auto"/>
      </w:divBdr>
    </w:div>
    <w:div w:id="1522359431">
      <w:bodyDiv w:val="1"/>
      <w:marLeft w:val="0"/>
      <w:marRight w:val="0"/>
      <w:marTop w:val="0"/>
      <w:marBottom w:val="0"/>
      <w:divBdr>
        <w:top w:val="none" w:sz="0" w:space="0" w:color="auto"/>
        <w:left w:val="none" w:sz="0" w:space="0" w:color="auto"/>
        <w:bottom w:val="none" w:sz="0" w:space="0" w:color="auto"/>
        <w:right w:val="none" w:sz="0" w:space="0" w:color="auto"/>
      </w:divBdr>
    </w:div>
    <w:div w:id="1552157672">
      <w:bodyDiv w:val="1"/>
      <w:marLeft w:val="0"/>
      <w:marRight w:val="0"/>
      <w:marTop w:val="0"/>
      <w:marBottom w:val="0"/>
      <w:divBdr>
        <w:top w:val="none" w:sz="0" w:space="0" w:color="auto"/>
        <w:left w:val="none" w:sz="0" w:space="0" w:color="auto"/>
        <w:bottom w:val="none" w:sz="0" w:space="0" w:color="auto"/>
        <w:right w:val="none" w:sz="0" w:space="0" w:color="auto"/>
      </w:divBdr>
    </w:div>
    <w:div w:id="1577739793">
      <w:bodyDiv w:val="1"/>
      <w:marLeft w:val="0"/>
      <w:marRight w:val="0"/>
      <w:marTop w:val="0"/>
      <w:marBottom w:val="0"/>
      <w:divBdr>
        <w:top w:val="none" w:sz="0" w:space="0" w:color="auto"/>
        <w:left w:val="none" w:sz="0" w:space="0" w:color="auto"/>
        <w:bottom w:val="none" w:sz="0" w:space="0" w:color="auto"/>
        <w:right w:val="none" w:sz="0" w:space="0" w:color="auto"/>
      </w:divBdr>
    </w:div>
    <w:div w:id="1619213694">
      <w:bodyDiv w:val="1"/>
      <w:marLeft w:val="0"/>
      <w:marRight w:val="0"/>
      <w:marTop w:val="0"/>
      <w:marBottom w:val="0"/>
      <w:divBdr>
        <w:top w:val="none" w:sz="0" w:space="0" w:color="auto"/>
        <w:left w:val="none" w:sz="0" w:space="0" w:color="auto"/>
        <w:bottom w:val="none" w:sz="0" w:space="0" w:color="auto"/>
        <w:right w:val="none" w:sz="0" w:space="0" w:color="auto"/>
      </w:divBdr>
    </w:div>
    <w:div w:id="1645621244">
      <w:bodyDiv w:val="1"/>
      <w:marLeft w:val="0"/>
      <w:marRight w:val="0"/>
      <w:marTop w:val="0"/>
      <w:marBottom w:val="0"/>
      <w:divBdr>
        <w:top w:val="none" w:sz="0" w:space="0" w:color="auto"/>
        <w:left w:val="none" w:sz="0" w:space="0" w:color="auto"/>
        <w:bottom w:val="none" w:sz="0" w:space="0" w:color="auto"/>
        <w:right w:val="none" w:sz="0" w:space="0" w:color="auto"/>
      </w:divBdr>
    </w:div>
    <w:div w:id="1662736719">
      <w:bodyDiv w:val="1"/>
      <w:marLeft w:val="0"/>
      <w:marRight w:val="0"/>
      <w:marTop w:val="0"/>
      <w:marBottom w:val="0"/>
      <w:divBdr>
        <w:top w:val="none" w:sz="0" w:space="0" w:color="auto"/>
        <w:left w:val="none" w:sz="0" w:space="0" w:color="auto"/>
        <w:bottom w:val="none" w:sz="0" w:space="0" w:color="auto"/>
        <w:right w:val="none" w:sz="0" w:space="0" w:color="auto"/>
      </w:divBdr>
    </w:div>
    <w:div w:id="1664166869">
      <w:bodyDiv w:val="1"/>
      <w:marLeft w:val="0"/>
      <w:marRight w:val="0"/>
      <w:marTop w:val="0"/>
      <w:marBottom w:val="0"/>
      <w:divBdr>
        <w:top w:val="none" w:sz="0" w:space="0" w:color="auto"/>
        <w:left w:val="none" w:sz="0" w:space="0" w:color="auto"/>
        <w:bottom w:val="none" w:sz="0" w:space="0" w:color="auto"/>
        <w:right w:val="none" w:sz="0" w:space="0" w:color="auto"/>
      </w:divBdr>
    </w:div>
    <w:div w:id="1719864303">
      <w:bodyDiv w:val="1"/>
      <w:marLeft w:val="0"/>
      <w:marRight w:val="0"/>
      <w:marTop w:val="0"/>
      <w:marBottom w:val="0"/>
      <w:divBdr>
        <w:top w:val="none" w:sz="0" w:space="0" w:color="auto"/>
        <w:left w:val="none" w:sz="0" w:space="0" w:color="auto"/>
        <w:bottom w:val="none" w:sz="0" w:space="0" w:color="auto"/>
        <w:right w:val="none" w:sz="0" w:space="0" w:color="auto"/>
      </w:divBdr>
    </w:div>
    <w:div w:id="1790317649">
      <w:bodyDiv w:val="1"/>
      <w:marLeft w:val="0"/>
      <w:marRight w:val="0"/>
      <w:marTop w:val="0"/>
      <w:marBottom w:val="0"/>
      <w:divBdr>
        <w:top w:val="none" w:sz="0" w:space="0" w:color="auto"/>
        <w:left w:val="none" w:sz="0" w:space="0" w:color="auto"/>
        <w:bottom w:val="none" w:sz="0" w:space="0" w:color="auto"/>
        <w:right w:val="none" w:sz="0" w:space="0" w:color="auto"/>
      </w:divBdr>
    </w:div>
    <w:div w:id="1827552820">
      <w:bodyDiv w:val="1"/>
      <w:marLeft w:val="0"/>
      <w:marRight w:val="0"/>
      <w:marTop w:val="0"/>
      <w:marBottom w:val="0"/>
      <w:divBdr>
        <w:top w:val="none" w:sz="0" w:space="0" w:color="auto"/>
        <w:left w:val="none" w:sz="0" w:space="0" w:color="auto"/>
        <w:bottom w:val="none" w:sz="0" w:space="0" w:color="auto"/>
        <w:right w:val="none" w:sz="0" w:space="0" w:color="auto"/>
      </w:divBdr>
    </w:div>
    <w:div w:id="1830049932">
      <w:bodyDiv w:val="1"/>
      <w:marLeft w:val="0"/>
      <w:marRight w:val="0"/>
      <w:marTop w:val="0"/>
      <w:marBottom w:val="0"/>
      <w:divBdr>
        <w:top w:val="none" w:sz="0" w:space="0" w:color="auto"/>
        <w:left w:val="none" w:sz="0" w:space="0" w:color="auto"/>
        <w:bottom w:val="none" w:sz="0" w:space="0" w:color="auto"/>
        <w:right w:val="none" w:sz="0" w:space="0" w:color="auto"/>
      </w:divBdr>
    </w:div>
    <w:div w:id="1929654464">
      <w:bodyDiv w:val="1"/>
      <w:marLeft w:val="0"/>
      <w:marRight w:val="0"/>
      <w:marTop w:val="0"/>
      <w:marBottom w:val="0"/>
      <w:divBdr>
        <w:top w:val="none" w:sz="0" w:space="0" w:color="auto"/>
        <w:left w:val="none" w:sz="0" w:space="0" w:color="auto"/>
        <w:bottom w:val="none" w:sz="0" w:space="0" w:color="auto"/>
        <w:right w:val="none" w:sz="0" w:space="0" w:color="auto"/>
      </w:divBdr>
    </w:div>
    <w:div w:id="1977946655">
      <w:bodyDiv w:val="1"/>
      <w:marLeft w:val="0"/>
      <w:marRight w:val="0"/>
      <w:marTop w:val="0"/>
      <w:marBottom w:val="0"/>
      <w:divBdr>
        <w:top w:val="none" w:sz="0" w:space="0" w:color="auto"/>
        <w:left w:val="none" w:sz="0" w:space="0" w:color="auto"/>
        <w:bottom w:val="none" w:sz="0" w:space="0" w:color="auto"/>
        <w:right w:val="none" w:sz="0" w:space="0" w:color="auto"/>
      </w:divBdr>
    </w:div>
    <w:div w:id="2013601626">
      <w:bodyDiv w:val="1"/>
      <w:marLeft w:val="0"/>
      <w:marRight w:val="0"/>
      <w:marTop w:val="0"/>
      <w:marBottom w:val="0"/>
      <w:divBdr>
        <w:top w:val="none" w:sz="0" w:space="0" w:color="auto"/>
        <w:left w:val="none" w:sz="0" w:space="0" w:color="auto"/>
        <w:bottom w:val="none" w:sz="0" w:space="0" w:color="auto"/>
        <w:right w:val="none" w:sz="0" w:space="0" w:color="auto"/>
      </w:divBdr>
    </w:div>
    <w:div w:id="2112118358">
      <w:bodyDiv w:val="1"/>
      <w:marLeft w:val="0"/>
      <w:marRight w:val="0"/>
      <w:marTop w:val="0"/>
      <w:marBottom w:val="0"/>
      <w:divBdr>
        <w:top w:val="none" w:sz="0" w:space="0" w:color="auto"/>
        <w:left w:val="none" w:sz="0" w:space="0" w:color="auto"/>
        <w:bottom w:val="none" w:sz="0" w:space="0" w:color="auto"/>
        <w:right w:val="none" w:sz="0" w:space="0" w:color="auto"/>
      </w:divBdr>
      <w:divsChild>
        <w:div w:id="18442725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911460">
      <w:bodyDiv w:val="1"/>
      <w:marLeft w:val="0"/>
      <w:marRight w:val="0"/>
      <w:marTop w:val="0"/>
      <w:marBottom w:val="0"/>
      <w:divBdr>
        <w:top w:val="none" w:sz="0" w:space="0" w:color="auto"/>
        <w:left w:val="none" w:sz="0" w:space="0" w:color="auto"/>
        <w:bottom w:val="none" w:sz="0" w:space="0" w:color="auto"/>
        <w:right w:val="none" w:sz="0" w:space="0" w:color="auto"/>
      </w:divBdr>
    </w:div>
    <w:div w:id="2126730430">
      <w:bodyDiv w:val="1"/>
      <w:marLeft w:val="0"/>
      <w:marRight w:val="0"/>
      <w:marTop w:val="0"/>
      <w:marBottom w:val="0"/>
      <w:divBdr>
        <w:top w:val="none" w:sz="0" w:space="0" w:color="auto"/>
        <w:left w:val="none" w:sz="0" w:space="0" w:color="auto"/>
        <w:bottom w:val="none" w:sz="0" w:space="0" w:color="auto"/>
        <w:right w:val="none" w:sz="0" w:space="0" w:color="auto"/>
      </w:divBdr>
    </w:div>
    <w:div w:id="214080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azkz.hr/" TargetMode="External"/><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B7B78-58B9-48C4-9568-E9DB2F794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B4A91D-45AE-47F4-ADAF-AE6738730564}">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3.xml><?xml version="1.0" encoding="utf-8"?>
<ds:datastoreItem xmlns:ds="http://schemas.openxmlformats.org/officeDocument/2006/customXml" ds:itemID="{4916DFC0-3D24-49FD-9144-10B815DEAABB}">
  <ds:schemaRefs>
    <ds:schemaRef ds:uri="http://schemas.microsoft.com/sharepoint/v3/contenttype/forms"/>
  </ds:schemaRefs>
</ds:datastoreItem>
</file>

<file path=customXml/itemProps4.xml><?xml version="1.0" encoding="utf-8"?>
<ds:datastoreItem xmlns:ds="http://schemas.openxmlformats.org/officeDocument/2006/customXml" ds:itemID="{7C8DACCA-04E1-4B26-94CD-5019296C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Pages>
  <Words>4486</Words>
  <Characters>25573</Characters>
  <Application>Microsoft Office Word</Application>
  <DocSecurity>4</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Andrasek</dc:creator>
  <cp:keywords/>
  <dc:description/>
  <cp:lastModifiedBy>Valentina Andrasek</cp:lastModifiedBy>
  <cp:revision>14</cp:revision>
  <dcterms:created xsi:type="dcterms:W3CDTF">2025-09-28T05:48:00Z</dcterms:created>
  <dcterms:modified xsi:type="dcterms:W3CDTF">2025-10-06T15:22:00Z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fab04dbc-6210-4914-ad67-d2e3117b70d6</vt:lpwstr>
  </property>
</Properties>
</file>