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4A6BD" w14:textId="77777777" w:rsidR="00E83324" w:rsidRPr="00387E60" w:rsidRDefault="00E83324">
      <w:pPr>
        <w:spacing w:after="120"/>
        <w:jc w:val="center"/>
        <w:rPr>
          <w:rFonts w:eastAsia="Tahoma"/>
          <w:b/>
          <w:sz w:val="32"/>
          <w:szCs w:val="32"/>
        </w:rPr>
      </w:pPr>
    </w:p>
    <w:p w14:paraId="753659D5" w14:textId="6E418628" w:rsidR="00D35C8D" w:rsidRPr="00387E60" w:rsidRDefault="00000000">
      <w:pPr>
        <w:spacing w:after="120"/>
        <w:jc w:val="center"/>
        <w:rPr>
          <w:rFonts w:eastAsia="Tahoma"/>
          <w:b/>
          <w:sz w:val="32"/>
          <w:szCs w:val="32"/>
        </w:rPr>
      </w:pPr>
      <w:r w:rsidRPr="00387E60">
        <w:rPr>
          <w:rFonts w:eastAsia="Tahoma"/>
          <w:b/>
          <w:sz w:val="32"/>
          <w:szCs w:val="32"/>
        </w:rPr>
        <w:t>El Impacto Interseccional de las Políticas de Drogas</w:t>
      </w:r>
    </w:p>
    <w:p w14:paraId="41213A96" w14:textId="5C9283CB" w:rsidR="00D35C8D" w:rsidRPr="00387E60" w:rsidRDefault="00E83324">
      <w:pPr>
        <w:spacing w:after="120"/>
        <w:jc w:val="center"/>
        <w:rPr>
          <w:rFonts w:eastAsia="Tahoma"/>
          <w:b/>
          <w:sz w:val="32"/>
          <w:szCs w:val="32"/>
        </w:rPr>
      </w:pPr>
      <w:r w:rsidRPr="00387E60">
        <w:rPr>
          <w:rFonts w:eastAsia="Tahoma"/>
          <w:b/>
          <w:sz w:val="32"/>
          <w:szCs w:val="32"/>
        </w:rPr>
        <w:t>Informe paralelo sobre los Derechos Económicos, Sociales y Culturales de las Personas que Usan Drogas en Brasil</w:t>
      </w:r>
    </w:p>
    <w:p w14:paraId="32D17039" w14:textId="77777777" w:rsidR="00D35C8D" w:rsidRPr="00387E60" w:rsidRDefault="00D35C8D">
      <w:pPr>
        <w:spacing w:after="120"/>
        <w:jc w:val="both"/>
        <w:rPr>
          <w:rFonts w:eastAsia="Tahoma"/>
        </w:rPr>
      </w:pPr>
    </w:p>
    <w:p w14:paraId="27CB0B7B" w14:textId="77777777" w:rsidR="00D35C8D" w:rsidRPr="00387E60" w:rsidRDefault="00D35C8D">
      <w:pPr>
        <w:spacing w:after="120" w:line="276" w:lineRule="auto"/>
        <w:jc w:val="both"/>
        <w:rPr>
          <w:rFonts w:eastAsia="Tahoma"/>
        </w:rPr>
      </w:pPr>
    </w:p>
    <w:p w14:paraId="2C0CC11A" w14:textId="0596975A" w:rsidR="00E83324" w:rsidRPr="00FE1961" w:rsidRDefault="00E83324">
      <w:pPr>
        <w:spacing w:after="120" w:line="276" w:lineRule="auto"/>
        <w:jc w:val="both"/>
        <w:rPr>
          <w:rFonts w:eastAsia="Tahoma"/>
          <w:b/>
          <w:bCs/>
        </w:rPr>
      </w:pPr>
      <w:r w:rsidRPr="00FE1961">
        <w:rPr>
          <w:rFonts w:eastAsia="Tahoma"/>
          <w:b/>
          <w:bCs/>
        </w:rPr>
        <w:t>Se</w:t>
      </w:r>
      <w:r w:rsidR="003A1B3E" w:rsidRPr="00387E60">
        <w:rPr>
          <w:rFonts w:eastAsia="Tahoma"/>
          <w:b/>
          <w:bCs/>
        </w:rPr>
        <w:t>p</w:t>
      </w:r>
      <w:r w:rsidRPr="00FE1961">
        <w:rPr>
          <w:rFonts w:eastAsia="Tahoma"/>
          <w:b/>
          <w:bCs/>
        </w:rPr>
        <w:t>tiembre de 2023</w:t>
      </w:r>
    </w:p>
    <w:p w14:paraId="6AEDFADD" w14:textId="77777777" w:rsidR="00E83324" w:rsidRPr="00387E60" w:rsidRDefault="00E83324">
      <w:pPr>
        <w:spacing w:after="120" w:line="276" w:lineRule="auto"/>
        <w:jc w:val="both"/>
        <w:rPr>
          <w:rFonts w:eastAsia="Tahoma"/>
        </w:rPr>
      </w:pPr>
    </w:p>
    <w:p w14:paraId="6C26294E" w14:textId="77777777" w:rsidR="00E83324" w:rsidRPr="00387E60" w:rsidRDefault="00E83324">
      <w:pPr>
        <w:spacing w:after="120" w:line="276" w:lineRule="auto"/>
        <w:jc w:val="both"/>
        <w:rPr>
          <w:rFonts w:eastAsia="Tahoma"/>
        </w:rPr>
      </w:pPr>
    </w:p>
    <w:p w14:paraId="158DB500" w14:textId="13713AE8" w:rsidR="00E83324" w:rsidRPr="00FE1961" w:rsidRDefault="00E83324" w:rsidP="00FE1961">
      <w:pPr>
        <w:spacing w:after="120" w:line="276" w:lineRule="auto"/>
        <w:jc w:val="both"/>
        <w:rPr>
          <w:rFonts w:eastAsia="Tahoma"/>
          <w:b/>
          <w:bCs/>
        </w:rPr>
      </w:pPr>
      <w:r w:rsidRPr="00FE1961">
        <w:rPr>
          <w:rFonts w:eastAsia="Tahoma"/>
          <w:b/>
          <w:bCs/>
        </w:rPr>
        <w:t>Organizaciones y datos de contacto</w:t>
      </w:r>
    </w:p>
    <w:p w14:paraId="78656DB1" w14:textId="77777777" w:rsidR="00E83324" w:rsidRPr="00387E60" w:rsidRDefault="00E83324" w:rsidP="00E83324">
      <w:pPr>
        <w:pBdr>
          <w:top w:val="nil"/>
          <w:left w:val="nil"/>
          <w:bottom w:val="nil"/>
          <w:right w:val="nil"/>
          <w:between w:val="nil"/>
        </w:pBdr>
        <w:jc w:val="both"/>
        <w:rPr>
          <w:b/>
          <w:color w:val="000000"/>
        </w:rPr>
      </w:pP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3564"/>
        <w:gridCol w:w="5650"/>
      </w:tblGrid>
      <w:tr w:rsidR="00E83324" w:rsidRPr="00086431" w14:paraId="253D1887" w14:textId="77777777" w:rsidTr="00086431">
        <w:trPr>
          <w:trHeight w:val="979"/>
        </w:trPr>
        <w:tc>
          <w:tcPr>
            <w:tcW w:w="3564" w:type="dxa"/>
          </w:tcPr>
          <w:p w14:paraId="662E19B2" w14:textId="6A767F39" w:rsidR="00E83324" w:rsidRPr="00FE1961" w:rsidRDefault="00E83324" w:rsidP="00190AF1">
            <w:pPr>
              <w:rPr>
                <w:b/>
                <w:color w:val="000000"/>
                <w:sz w:val="22"/>
                <w:szCs w:val="22"/>
                <w:lang w:val="es-ES"/>
              </w:rPr>
            </w:pPr>
            <w:r w:rsidRPr="00FE1961">
              <w:rPr>
                <w:b/>
                <w:color w:val="000000"/>
                <w:sz w:val="22"/>
                <w:szCs w:val="22"/>
                <w:lang w:val="es-ES"/>
              </w:rPr>
              <w:t>Red Latin</w:t>
            </w:r>
            <w:r w:rsidR="00387E60" w:rsidRPr="00387E60">
              <w:rPr>
                <w:b/>
                <w:color w:val="000000"/>
                <w:sz w:val="22"/>
                <w:szCs w:val="22"/>
                <w:lang w:val="es-ES"/>
              </w:rPr>
              <w:t>o</w:t>
            </w:r>
            <w:r w:rsidRPr="00FE1961">
              <w:rPr>
                <w:b/>
                <w:color w:val="000000"/>
                <w:sz w:val="22"/>
                <w:szCs w:val="22"/>
                <w:lang w:val="es-ES"/>
              </w:rPr>
              <w:t>americana y del Cari</w:t>
            </w:r>
            <w:r w:rsidRPr="00387E60">
              <w:rPr>
                <w:b/>
                <w:color w:val="000000"/>
                <w:sz w:val="22"/>
                <w:szCs w:val="22"/>
                <w:lang w:val="es-ES"/>
              </w:rPr>
              <w:t>be de Personas que Usan Dr</w:t>
            </w:r>
            <w:r w:rsidR="00FE1961">
              <w:rPr>
                <w:b/>
                <w:color w:val="000000"/>
                <w:sz w:val="22"/>
                <w:szCs w:val="22"/>
                <w:lang w:val="es-ES"/>
              </w:rPr>
              <w:t>o</w:t>
            </w:r>
            <w:r w:rsidRPr="00387E60">
              <w:rPr>
                <w:b/>
                <w:color w:val="000000"/>
                <w:sz w:val="22"/>
                <w:szCs w:val="22"/>
                <w:lang w:val="es-ES"/>
              </w:rPr>
              <w:t>gas</w:t>
            </w:r>
          </w:p>
          <w:p w14:paraId="119CA399" w14:textId="77777777" w:rsidR="00E83324" w:rsidRPr="00FE1961" w:rsidRDefault="00E83324" w:rsidP="00190AF1">
            <w:pPr>
              <w:rPr>
                <w:b/>
                <w:color w:val="000000"/>
                <w:sz w:val="22"/>
                <w:szCs w:val="22"/>
                <w:lang w:val="es-ES"/>
              </w:rPr>
            </w:pPr>
          </w:p>
        </w:tc>
        <w:tc>
          <w:tcPr>
            <w:tcW w:w="5650" w:type="dxa"/>
          </w:tcPr>
          <w:p w14:paraId="588C8E59" w14:textId="7DDAC58F" w:rsidR="00E83324" w:rsidRDefault="00D31978" w:rsidP="00190AF1">
            <w:pPr>
              <w:jc w:val="both"/>
              <w:rPr>
                <w:color w:val="000000"/>
                <w:sz w:val="22"/>
                <w:szCs w:val="22"/>
                <w:lang w:val="es-ES"/>
              </w:rPr>
            </w:pPr>
            <w:r w:rsidRPr="00D31978">
              <w:rPr>
                <w:color w:val="000000"/>
                <w:sz w:val="22"/>
                <w:szCs w:val="22"/>
                <w:lang w:val="es-ES"/>
              </w:rPr>
              <w:t>LANPUD es una organización de personas que usan drogas en América Latina y el Caribe que sirve como apoyo y punto de referencia regional para influir en las políticas públicas para la eliminación del estigma, la discriminación y la criminalización.</w:t>
            </w:r>
          </w:p>
          <w:p w14:paraId="4CD9F0C4" w14:textId="77777777" w:rsidR="00D31978" w:rsidRPr="00FE1961" w:rsidRDefault="00D31978" w:rsidP="00190AF1">
            <w:pPr>
              <w:jc w:val="both"/>
              <w:rPr>
                <w:color w:val="000000"/>
                <w:sz w:val="22"/>
                <w:szCs w:val="22"/>
                <w:lang w:val="es-ES"/>
              </w:rPr>
            </w:pPr>
          </w:p>
          <w:p w14:paraId="233DE305" w14:textId="36E81E1B" w:rsidR="00E83324" w:rsidRPr="00086431" w:rsidRDefault="00D31978" w:rsidP="00190AF1">
            <w:pPr>
              <w:jc w:val="both"/>
              <w:rPr>
                <w:color w:val="000000"/>
                <w:sz w:val="22"/>
                <w:szCs w:val="22"/>
                <w:lang w:val="es-ES"/>
              </w:rPr>
            </w:pPr>
            <w:r w:rsidRPr="00086431">
              <w:rPr>
                <w:color w:val="000000"/>
                <w:sz w:val="22"/>
                <w:szCs w:val="22"/>
                <w:lang w:val="es-ES"/>
              </w:rPr>
              <w:t>Contact</w:t>
            </w:r>
            <w:r w:rsidR="00086431" w:rsidRPr="00086431">
              <w:rPr>
                <w:color w:val="000000"/>
                <w:sz w:val="22"/>
                <w:szCs w:val="22"/>
                <w:lang w:val="es-ES"/>
              </w:rPr>
              <w:t>o</w:t>
            </w:r>
            <w:r w:rsidRPr="00086431">
              <w:rPr>
                <w:color w:val="000000"/>
                <w:sz w:val="22"/>
                <w:szCs w:val="22"/>
                <w:lang w:val="es-ES"/>
              </w:rPr>
              <w:t>:</w:t>
            </w:r>
            <w:hyperlink r:id="rId8" w:history="1">
              <w:r w:rsidR="00193DA5" w:rsidRPr="00086431">
                <w:rPr>
                  <w:rStyle w:val="Hipervnculo"/>
                  <w:sz w:val="22"/>
                  <w:szCs w:val="22"/>
                  <w:lang w:val="es-ES"/>
                </w:rPr>
                <w:t>ecortes@aceidcr.org</w:t>
              </w:r>
            </w:hyperlink>
            <w:r w:rsidR="00086431">
              <w:rPr>
                <w:color w:val="000000"/>
                <w:sz w:val="22"/>
                <w:szCs w:val="22"/>
                <w:lang w:val="es-ES"/>
              </w:rPr>
              <w:t xml:space="preserve"> </w:t>
            </w:r>
            <w:r w:rsidR="00193DA5" w:rsidRPr="00086431">
              <w:rPr>
                <w:color w:val="000000"/>
                <w:sz w:val="22"/>
                <w:szCs w:val="22"/>
                <w:lang w:val="es-ES"/>
              </w:rPr>
              <w:t xml:space="preserve">/ </w:t>
            </w:r>
            <w:hyperlink r:id="rId9" w:history="1">
              <w:r w:rsidR="00193DA5" w:rsidRPr="00086431">
                <w:rPr>
                  <w:rStyle w:val="Hipervnculo"/>
                  <w:sz w:val="22"/>
                  <w:szCs w:val="22"/>
                  <w:lang w:val="es-ES"/>
                </w:rPr>
                <w:t>inforedlanpud</w:t>
              </w:r>
              <w:r w:rsidR="00193DA5" w:rsidRPr="00086431">
                <w:rPr>
                  <w:rStyle w:val="Hipervnculo"/>
                  <w:sz w:val="22"/>
                  <w:szCs w:val="22"/>
                  <w:lang w:val="es-ES"/>
                </w:rPr>
                <w:t>@</w:t>
              </w:r>
              <w:r w:rsidR="00193DA5" w:rsidRPr="00086431">
                <w:rPr>
                  <w:rStyle w:val="Hipervnculo"/>
                  <w:sz w:val="22"/>
                  <w:szCs w:val="22"/>
                  <w:lang w:val="es-ES"/>
                </w:rPr>
                <w:t>gmail.com</w:t>
              </w:r>
            </w:hyperlink>
            <w:r w:rsidR="00193DA5" w:rsidRPr="00086431">
              <w:rPr>
                <w:color w:val="000000"/>
                <w:sz w:val="22"/>
                <w:szCs w:val="22"/>
                <w:lang w:val="es-ES"/>
              </w:rPr>
              <w:t xml:space="preserve"> </w:t>
            </w:r>
          </w:p>
          <w:p w14:paraId="183B05DE" w14:textId="77777777" w:rsidR="00E83324" w:rsidRPr="00086431" w:rsidRDefault="00E83324" w:rsidP="00190AF1">
            <w:pPr>
              <w:jc w:val="both"/>
              <w:rPr>
                <w:color w:val="000000"/>
                <w:sz w:val="22"/>
                <w:szCs w:val="22"/>
                <w:lang w:val="es-ES"/>
              </w:rPr>
            </w:pPr>
          </w:p>
          <w:p w14:paraId="2B5CE154" w14:textId="77777777" w:rsidR="00E83324" w:rsidRPr="00086431" w:rsidRDefault="00E83324" w:rsidP="00190AF1">
            <w:pPr>
              <w:jc w:val="both"/>
              <w:rPr>
                <w:color w:val="000000"/>
                <w:sz w:val="22"/>
                <w:szCs w:val="22"/>
                <w:lang w:val="es-ES"/>
              </w:rPr>
            </w:pPr>
          </w:p>
        </w:tc>
      </w:tr>
      <w:tr w:rsidR="00E83324" w:rsidRPr="00387E60" w14:paraId="74B49C23" w14:textId="77777777" w:rsidTr="00086431">
        <w:trPr>
          <w:trHeight w:val="979"/>
        </w:trPr>
        <w:tc>
          <w:tcPr>
            <w:tcW w:w="3564" w:type="dxa"/>
          </w:tcPr>
          <w:p w14:paraId="33E2B1AF" w14:textId="4A7F7901" w:rsidR="00E83324" w:rsidRPr="001D36AB" w:rsidRDefault="00086431" w:rsidP="00190AF1">
            <w:pPr>
              <w:rPr>
                <w:b/>
                <w:bCs/>
                <w:color w:val="000000"/>
                <w:sz w:val="22"/>
                <w:szCs w:val="22"/>
                <w:lang w:val="pt-BR"/>
              </w:rPr>
            </w:pPr>
            <w:r w:rsidRPr="001D36AB">
              <w:rPr>
                <w:b/>
                <w:bCs/>
                <w:color w:val="000000"/>
                <w:sz w:val="22"/>
                <w:szCs w:val="22"/>
                <w:lang w:val="pt-BR"/>
              </w:rPr>
              <w:t>Red</w:t>
            </w:r>
            <w:r w:rsidR="001D36AB" w:rsidRPr="001D36AB">
              <w:rPr>
                <w:b/>
                <w:bCs/>
                <w:color w:val="000000"/>
                <w:sz w:val="22"/>
                <w:szCs w:val="22"/>
                <w:lang w:val="pt-BR"/>
              </w:rPr>
              <w:t>e</w:t>
            </w:r>
            <w:r w:rsidRPr="001D36AB">
              <w:rPr>
                <w:b/>
                <w:bCs/>
                <w:color w:val="000000"/>
                <w:sz w:val="22"/>
                <w:szCs w:val="22"/>
                <w:lang w:val="pt-BR"/>
              </w:rPr>
              <w:t xml:space="preserve"> Nacional </w:t>
            </w:r>
            <w:r w:rsidR="001D36AB" w:rsidRPr="001D36AB">
              <w:rPr>
                <w:b/>
                <w:bCs/>
                <w:color w:val="000000"/>
                <w:sz w:val="22"/>
                <w:szCs w:val="22"/>
                <w:lang w:val="pt-BR"/>
              </w:rPr>
              <w:t xml:space="preserve">de </w:t>
            </w:r>
            <w:r w:rsidRPr="001D36AB">
              <w:rPr>
                <w:b/>
                <w:bCs/>
                <w:color w:val="000000"/>
                <w:sz w:val="22"/>
                <w:szCs w:val="22"/>
                <w:lang w:val="pt-BR"/>
              </w:rPr>
              <w:t>Feminista</w:t>
            </w:r>
            <w:r w:rsidR="001D36AB" w:rsidRPr="001D36AB">
              <w:rPr>
                <w:b/>
                <w:bCs/>
                <w:color w:val="000000"/>
                <w:sz w:val="22"/>
                <w:szCs w:val="22"/>
                <w:lang w:val="pt-BR"/>
              </w:rPr>
              <w:t>s</w:t>
            </w:r>
            <w:r w:rsidRPr="001D36AB">
              <w:rPr>
                <w:b/>
                <w:bCs/>
                <w:color w:val="000000"/>
                <w:sz w:val="22"/>
                <w:szCs w:val="22"/>
                <w:lang w:val="pt-BR"/>
              </w:rPr>
              <w:t xml:space="preserve"> </w:t>
            </w:r>
            <w:proofErr w:type="spellStart"/>
            <w:r w:rsidRPr="001D36AB">
              <w:rPr>
                <w:b/>
                <w:bCs/>
                <w:color w:val="000000"/>
                <w:sz w:val="22"/>
                <w:szCs w:val="22"/>
                <w:lang w:val="pt-BR"/>
              </w:rPr>
              <w:t>Antiproibicionista</w:t>
            </w:r>
            <w:proofErr w:type="spellEnd"/>
            <w:r w:rsidRPr="001D36AB">
              <w:rPr>
                <w:b/>
                <w:bCs/>
                <w:color w:val="000000"/>
                <w:sz w:val="22"/>
                <w:szCs w:val="22"/>
                <w:lang w:val="pt-BR"/>
              </w:rPr>
              <w:t xml:space="preserve"> (RENFA)</w:t>
            </w:r>
          </w:p>
          <w:p w14:paraId="1AC75AB9" w14:textId="77777777" w:rsidR="00E83324" w:rsidRPr="001D36AB" w:rsidRDefault="00E83324" w:rsidP="00190AF1">
            <w:pPr>
              <w:rPr>
                <w:b/>
                <w:color w:val="000000"/>
                <w:sz w:val="22"/>
                <w:szCs w:val="22"/>
                <w:lang w:val="pt-BR"/>
              </w:rPr>
            </w:pPr>
          </w:p>
        </w:tc>
        <w:tc>
          <w:tcPr>
            <w:tcW w:w="5650" w:type="dxa"/>
          </w:tcPr>
          <w:p w14:paraId="25C36CD1" w14:textId="22B23EBC" w:rsidR="00E83324" w:rsidRDefault="00086431" w:rsidP="00E83324">
            <w:pPr>
              <w:jc w:val="both"/>
              <w:rPr>
                <w:color w:val="000000"/>
                <w:sz w:val="22"/>
                <w:szCs w:val="22"/>
                <w:lang w:val="es-ES"/>
              </w:rPr>
            </w:pPr>
            <w:r w:rsidRPr="00086431">
              <w:rPr>
                <w:color w:val="000000"/>
                <w:sz w:val="22"/>
                <w:szCs w:val="22"/>
                <w:lang w:val="es-ES"/>
              </w:rPr>
              <w:t xml:space="preserve">RENFA es una organización política feminista, </w:t>
            </w:r>
            <w:r w:rsidRPr="00086431">
              <w:rPr>
                <w:color w:val="000000"/>
                <w:sz w:val="22"/>
                <w:szCs w:val="22"/>
                <w:lang w:val="es-ES"/>
              </w:rPr>
              <w:t>antirracista</w:t>
            </w:r>
            <w:r w:rsidRPr="00086431">
              <w:rPr>
                <w:color w:val="000000"/>
                <w:sz w:val="22"/>
                <w:szCs w:val="22"/>
                <w:lang w:val="es-ES"/>
              </w:rPr>
              <w:t>, supra partidarista y anticapitalista, creada para actuar en reda por la lucha de los derechos humanos y el fortalecimiento político de las mujeres y personas trans</w:t>
            </w:r>
          </w:p>
          <w:p w14:paraId="21B1AE3F" w14:textId="77777777" w:rsidR="00086431" w:rsidRPr="00387E60" w:rsidRDefault="00086431" w:rsidP="00E83324">
            <w:pPr>
              <w:jc w:val="both"/>
              <w:rPr>
                <w:color w:val="000000"/>
                <w:sz w:val="22"/>
                <w:szCs w:val="22"/>
                <w:lang w:val="es-ES"/>
              </w:rPr>
            </w:pPr>
          </w:p>
          <w:p w14:paraId="55325A80" w14:textId="4067A824" w:rsidR="00E83324" w:rsidRPr="00387E60" w:rsidRDefault="00E83324" w:rsidP="00E83324">
            <w:pPr>
              <w:jc w:val="both"/>
              <w:rPr>
                <w:color w:val="000000"/>
                <w:sz w:val="22"/>
                <w:szCs w:val="22"/>
              </w:rPr>
            </w:pPr>
            <w:r w:rsidRPr="00387E60">
              <w:rPr>
                <w:color w:val="000000"/>
                <w:sz w:val="22"/>
                <w:szCs w:val="22"/>
              </w:rPr>
              <w:t xml:space="preserve">Contacto: </w:t>
            </w:r>
            <w:hyperlink r:id="rId10" w:history="1">
              <w:r w:rsidR="00E37B56" w:rsidRPr="007B06BF">
                <w:rPr>
                  <w:rStyle w:val="Hipervnculo"/>
                  <w:sz w:val="22"/>
                  <w:szCs w:val="22"/>
                  <w:lang w:val="pt-BR"/>
                </w:rPr>
                <w:t>luana.malheiro@gmail.com</w:t>
              </w:r>
            </w:hyperlink>
          </w:p>
          <w:p w14:paraId="30BD24B7" w14:textId="77777777" w:rsidR="00E83324" w:rsidRDefault="00E83324" w:rsidP="00190AF1">
            <w:pPr>
              <w:jc w:val="both"/>
              <w:rPr>
                <w:color w:val="000000"/>
                <w:sz w:val="22"/>
                <w:szCs w:val="22"/>
              </w:rPr>
            </w:pPr>
          </w:p>
          <w:p w14:paraId="6F679B10" w14:textId="77777777" w:rsidR="00086431" w:rsidRPr="00387E60" w:rsidRDefault="00086431" w:rsidP="00190AF1">
            <w:pPr>
              <w:jc w:val="both"/>
              <w:rPr>
                <w:color w:val="000000"/>
                <w:sz w:val="22"/>
                <w:szCs w:val="22"/>
              </w:rPr>
            </w:pPr>
          </w:p>
        </w:tc>
      </w:tr>
      <w:tr w:rsidR="00193DA5" w:rsidRPr="00387E60" w14:paraId="78FDE71D" w14:textId="77777777" w:rsidTr="00086431">
        <w:trPr>
          <w:trHeight w:val="979"/>
        </w:trPr>
        <w:tc>
          <w:tcPr>
            <w:tcW w:w="3564" w:type="dxa"/>
          </w:tcPr>
          <w:p w14:paraId="14D4705B" w14:textId="1E572979" w:rsidR="00193DA5" w:rsidRPr="001D36AB" w:rsidRDefault="001D36AB" w:rsidP="00193DA5">
            <w:pPr>
              <w:rPr>
                <w:b/>
                <w:bCs/>
                <w:color w:val="000000"/>
                <w:sz w:val="22"/>
                <w:szCs w:val="22"/>
              </w:rPr>
            </w:pPr>
            <w:r w:rsidRPr="001D36AB">
              <w:rPr>
                <w:b/>
                <w:bCs/>
                <w:color w:val="000000"/>
                <w:sz w:val="22"/>
                <w:szCs w:val="22"/>
                <w:lang w:val="es-ES"/>
              </w:rPr>
              <w:t>Consorcio Internacional de Políticas de Drogas (IDPC)</w:t>
            </w:r>
          </w:p>
          <w:p w14:paraId="3EB370D9" w14:textId="77777777" w:rsidR="00193DA5" w:rsidRPr="00387E60" w:rsidRDefault="00193DA5" w:rsidP="00193DA5">
            <w:pPr>
              <w:rPr>
                <w:color w:val="000000"/>
                <w:sz w:val="22"/>
                <w:szCs w:val="22"/>
                <w:lang w:val="es-ES"/>
              </w:rPr>
            </w:pPr>
          </w:p>
        </w:tc>
        <w:tc>
          <w:tcPr>
            <w:tcW w:w="5650" w:type="dxa"/>
          </w:tcPr>
          <w:p w14:paraId="2145612A" w14:textId="7C0A6A29" w:rsidR="00193DA5" w:rsidRDefault="00086431" w:rsidP="00193DA5">
            <w:pPr>
              <w:jc w:val="both"/>
              <w:rPr>
                <w:color w:val="000000"/>
                <w:sz w:val="22"/>
                <w:szCs w:val="22"/>
                <w:lang w:val="es-ES"/>
              </w:rPr>
            </w:pPr>
            <w:r w:rsidRPr="00086431">
              <w:rPr>
                <w:color w:val="000000"/>
                <w:sz w:val="22"/>
                <w:szCs w:val="22"/>
                <w:lang w:val="es-ES"/>
              </w:rPr>
              <w:t>Somos una red global que aboga por políticas de drogas que promuevan la justicia social y los derechos humanos.</w:t>
            </w:r>
          </w:p>
          <w:p w14:paraId="72514311" w14:textId="77777777" w:rsidR="00086431" w:rsidRPr="00387E60" w:rsidRDefault="00086431" w:rsidP="00193DA5">
            <w:pPr>
              <w:jc w:val="both"/>
              <w:rPr>
                <w:color w:val="000000"/>
                <w:sz w:val="22"/>
                <w:szCs w:val="22"/>
                <w:lang w:val="es-ES"/>
              </w:rPr>
            </w:pPr>
          </w:p>
          <w:p w14:paraId="7DAD4313" w14:textId="7D64A2B7" w:rsidR="00193DA5" w:rsidRPr="00387E60" w:rsidRDefault="00193DA5" w:rsidP="00193DA5">
            <w:pPr>
              <w:jc w:val="both"/>
              <w:rPr>
                <w:color w:val="000000"/>
                <w:sz w:val="22"/>
                <w:szCs w:val="22"/>
              </w:rPr>
            </w:pPr>
            <w:r w:rsidRPr="00387E60">
              <w:rPr>
                <w:color w:val="000000"/>
                <w:sz w:val="22"/>
                <w:szCs w:val="22"/>
              </w:rPr>
              <w:t xml:space="preserve">Contacto: </w:t>
            </w:r>
            <w:hyperlink r:id="rId11" w:history="1">
              <w:r w:rsidR="00E37B56" w:rsidRPr="007B06BF">
                <w:rPr>
                  <w:rStyle w:val="Hipervnculo"/>
                  <w:sz w:val="22"/>
                  <w:szCs w:val="22"/>
                  <w:lang w:val="es-ES"/>
                </w:rPr>
                <w:t>acotsfernandez@idpc.net</w:t>
              </w:r>
            </w:hyperlink>
          </w:p>
          <w:p w14:paraId="04FD0037" w14:textId="77777777" w:rsidR="00193DA5" w:rsidRPr="00387E60" w:rsidRDefault="00193DA5" w:rsidP="00193DA5">
            <w:pPr>
              <w:jc w:val="both"/>
              <w:rPr>
                <w:color w:val="000000"/>
                <w:sz w:val="22"/>
                <w:szCs w:val="22"/>
                <w:lang w:val="es-ES"/>
              </w:rPr>
            </w:pPr>
          </w:p>
        </w:tc>
      </w:tr>
    </w:tbl>
    <w:p w14:paraId="47ABC0F4" w14:textId="77777777" w:rsidR="00E83324" w:rsidRPr="00387E60" w:rsidRDefault="00E83324">
      <w:pPr>
        <w:spacing w:after="120" w:line="276" w:lineRule="auto"/>
        <w:jc w:val="both"/>
        <w:rPr>
          <w:rFonts w:eastAsia="Tahoma"/>
        </w:rPr>
      </w:pPr>
    </w:p>
    <w:p w14:paraId="7CF6EB76" w14:textId="77777777" w:rsidR="00E83324" w:rsidRPr="00387E60" w:rsidRDefault="00E83324">
      <w:pPr>
        <w:spacing w:after="120" w:line="276" w:lineRule="auto"/>
        <w:jc w:val="both"/>
        <w:rPr>
          <w:rFonts w:eastAsia="Tahoma"/>
        </w:rPr>
      </w:pPr>
    </w:p>
    <w:p w14:paraId="4366E4DF" w14:textId="77777777" w:rsidR="00E83324" w:rsidRPr="00387E60" w:rsidRDefault="00E83324">
      <w:pPr>
        <w:spacing w:after="120" w:line="276" w:lineRule="auto"/>
        <w:jc w:val="both"/>
        <w:rPr>
          <w:rFonts w:eastAsia="Tahoma"/>
        </w:rPr>
      </w:pPr>
    </w:p>
    <w:p w14:paraId="58B54368" w14:textId="77777777" w:rsidR="00E83324" w:rsidRPr="00387E60" w:rsidRDefault="00E83324">
      <w:pPr>
        <w:spacing w:after="120" w:line="276" w:lineRule="auto"/>
        <w:jc w:val="both"/>
        <w:rPr>
          <w:rFonts w:eastAsia="Tahoma"/>
        </w:rPr>
      </w:pPr>
    </w:p>
    <w:p w14:paraId="2587533C" w14:textId="77777777" w:rsidR="00E83324" w:rsidRPr="00387E60" w:rsidRDefault="00E83324">
      <w:pPr>
        <w:spacing w:after="120" w:line="276" w:lineRule="auto"/>
        <w:jc w:val="both"/>
        <w:rPr>
          <w:rFonts w:eastAsia="Tahoma"/>
        </w:rPr>
      </w:pPr>
    </w:p>
    <w:p w14:paraId="78275731" w14:textId="77777777" w:rsidR="00E83324" w:rsidRPr="00387E60" w:rsidRDefault="00E83324">
      <w:pPr>
        <w:spacing w:after="120" w:line="276" w:lineRule="auto"/>
        <w:jc w:val="both"/>
        <w:rPr>
          <w:rFonts w:eastAsia="Tahoma"/>
        </w:rPr>
      </w:pPr>
    </w:p>
    <w:p w14:paraId="03844D78" w14:textId="4870BDCC" w:rsidR="00E83324" w:rsidRPr="00387E60" w:rsidRDefault="00E83324" w:rsidP="00387E60">
      <w:pPr>
        <w:spacing w:after="120" w:line="276" w:lineRule="auto"/>
        <w:jc w:val="both"/>
        <w:rPr>
          <w:rFonts w:eastAsia="Tahoma"/>
          <w:b/>
          <w:bCs/>
          <w:sz w:val="22"/>
          <w:szCs w:val="22"/>
        </w:rPr>
      </w:pPr>
      <w:r w:rsidRPr="00387E60">
        <w:rPr>
          <w:rFonts w:eastAsia="Tahoma"/>
          <w:b/>
          <w:bCs/>
          <w:sz w:val="22"/>
          <w:szCs w:val="22"/>
        </w:rPr>
        <w:lastRenderedPageBreak/>
        <w:t>Introducción</w:t>
      </w:r>
    </w:p>
    <w:p w14:paraId="3384402E" w14:textId="32124F98" w:rsidR="00D35C8D" w:rsidRPr="00387E60" w:rsidRDefault="00000000">
      <w:pPr>
        <w:spacing w:after="120" w:line="276" w:lineRule="auto"/>
        <w:ind w:firstLine="720"/>
        <w:jc w:val="both"/>
        <w:rPr>
          <w:rFonts w:eastAsia="Tahoma"/>
          <w:sz w:val="22"/>
          <w:szCs w:val="22"/>
        </w:rPr>
      </w:pPr>
      <w:r w:rsidRPr="00387E60">
        <w:rPr>
          <w:rFonts w:eastAsia="Tahoma"/>
          <w:sz w:val="22"/>
          <w:szCs w:val="22"/>
        </w:rPr>
        <w:t xml:space="preserve">Las políticas de control de drogas en Brasil han generado un impacto profundo y complejo en diversos aspectos de los derechos humanos de las personas que usan drogas, especialmente en el derecho a la salud y ciudadanía. Mostrando cómo existen leyes y políticas que violentan el derecho a la salud de distintas poblaciones y que tienen consecuencias desproporcionadas, especialmente entre aquellas que se encuentran en mayor situación de vulnerabilidad. </w:t>
      </w:r>
    </w:p>
    <w:p w14:paraId="739EFE06" w14:textId="77777777" w:rsidR="00D35C8D" w:rsidRPr="00387E60" w:rsidRDefault="00000000">
      <w:pPr>
        <w:spacing w:after="120" w:line="276" w:lineRule="auto"/>
        <w:ind w:firstLine="720"/>
        <w:jc w:val="both"/>
        <w:rPr>
          <w:rFonts w:eastAsia="Tahoma"/>
          <w:sz w:val="22"/>
          <w:szCs w:val="22"/>
        </w:rPr>
      </w:pPr>
      <w:r w:rsidRPr="00387E60">
        <w:rPr>
          <w:rFonts w:eastAsia="Tahoma"/>
          <w:sz w:val="22"/>
          <w:szCs w:val="22"/>
        </w:rPr>
        <w:t xml:space="preserve">El presente análisis parte de un enfoque interseccional que considera el género, la etnia, la raza, la edad, la orientación sexual, privación de libertad, entre otras. Se fundamenta en documentación existente como informes de estudios o investigaciones, así como reportajes periodísticos o de medios de comunicación. Asimismo, se incluyen citas de entrevistas con personas que usan drogas, como fuentes directas del impacto en sus derechos económicos, sociales y cultures. </w:t>
      </w:r>
    </w:p>
    <w:p w14:paraId="358419CD" w14:textId="77777777" w:rsidR="00D35C8D" w:rsidRPr="00387E60" w:rsidRDefault="00000000">
      <w:pPr>
        <w:spacing w:after="120" w:line="276" w:lineRule="auto"/>
        <w:ind w:firstLine="720"/>
        <w:jc w:val="both"/>
        <w:rPr>
          <w:rFonts w:eastAsia="Tahoma"/>
          <w:sz w:val="22"/>
          <w:szCs w:val="22"/>
        </w:rPr>
      </w:pPr>
      <w:r w:rsidRPr="00387E60">
        <w:rPr>
          <w:rFonts w:eastAsia="Tahoma"/>
          <w:sz w:val="22"/>
          <w:szCs w:val="22"/>
        </w:rPr>
        <w:t>Este informe es elaborado por personas que usan drogas de Brasil y América Latina, que trabajamos de forma organizada a nivel nacional e internacional y demandamos reformas urgentes en las políticas de drogas punitivas e inefectivas. Ya que nuestro objetivo principal es la protección y garantía de los derechos fundamentales de nuestra comunidad.</w:t>
      </w:r>
    </w:p>
    <w:p w14:paraId="27DE9D6C" w14:textId="77777777" w:rsidR="00D35C8D" w:rsidRPr="00387E60" w:rsidRDefault="00D35C8D">
      <w:pPr>
        <w:spacing w:after="120" w:line="276" w:lineRule="auto"/>
        <w:jc w:val="both"/>
        <w:rPr>
          <w:rFonts w:eastAsia="Tahoma"/>
          <w:sz w:val="22"/>
          <w:szCs w:val="22"/>
        </w:rPr>
      </w:pPr>
    </w:p>
    <w:p w14:paraId="224A0ACF" w14:textId="639B9BBF" w:rsidR="00D35C8D" w:rsidRPr="00FE1961" w:rsidRDefault="00B05C96">
      <w:pPr>
        <w:spacing w:after="120" w:line="276" w:lineRule="auto"/>
        <w:jc w:val="both"/>
        <w:rPr>
          <w:rFonts w:eastAsia="Tahoma"/>
          <w:b/>
          <w:sz w:val="22"/>
          <w:szCs w:val="22"/>
          <w:u w:val="single"/>
        </w:rPr>
      </w:pPr>
      <w:r w:rsidRPr="00FE1961">
        <w:rPr>
          <w:rFonts w:eastAsia="Tahoma"/>
          <w:b/>
          <w:sz w:val="22"/>
          <w:szCs w:val="22"/>
          <w:u w:val="single"/>
        </w:rPr>
        <w:t>Derecho a la salud (Artículo 12 ICESCR)</w:t>
      </w:r>
    </w:p>
    <w:p w14:paraId="2DB745FB" w14:textId="5FF54F4A" w:rsidR="00B05C96" w:rsidRPr="00387E60" w:rsidRDefault="00B05C96">
      <w:pPr>
        <w:spacing w:after="120" w:line="276" w:lineRule="auto"/>
        <w:jc w:val="both"/>
        <w:rPr>
          <w:rFonts w:eastAsia="Tahoma"/>
          <w:b/>
          <w:sz w:val="22"/>
          <w:szCs w:val="22"/>
        </w:rPr>
      </w:pPr>
      <w:r w:rsidRPr="00387E60">
        <w:rPr>
          <w:rFonts w:eastAsia="Tahoma"/>
          <w:b/>
          <w:sz w:val="22"/>
          <w:szCs w:val="22"/>
        </w:rPr>
        <w:t xml:space="preserve">Respuesta al Listado de Cuestiones, para. 30. </w:t>
      </w:r>
    </w:p>
    <w:p w14:paraId="0F0B68AA" w14:textId="5A514853" w:rsidR="00B05C96" w:rsidRPr="00387E60" w:rsidRDefault="00B05C96" w:rsidP="00B05C96">
      <w:pPr>
        <w:spacing w:after="120" w:line="276" w:lineRule="auto"/>
        <w:ind w:left="720"/>
        <w:jc w:val="both"/>
        <w:rPr>
          <w:color w:val="000000"/>
          <w:sz w:val="22"/>
          <w:szCs w:val="22"/>
        </w:rPr>
      </w:pPr>
      <w:r w:rsidRPr="00387E60">
        <w:rPr>
          <w:rFonts w:eastAsia="Tahoma"/>
          <w:b/>
          <w:sz w:val="22"/>
          <w:szCs w:val="22"/>
          <w:lang w:val="es-ES"/>
        </w:rPr>
        <w:t>“</w:t>
      </w:r>
      <w:r w:rsidRPr="00FE1961">
        <w:rPr>
          <w:i/>
          <w:iCs/>
          <w:color w:val="000000"/>
          <w:sz w:val="22"/>
          <w:szCs w:val="22"/>
        </w:rPr>
        <w:t>Sírvanse indicar si el Estado parte está considerando la posibilidad de ampliar el alcance de los servicios de reducción de daños para las personas que consumen drogas, y proporcionar información acerca de las medidas adoptadas para velar por que los tratamientos para la drogodependencia, incluidos los prestados en el sector privado, estén fundamentados científicamente y se ajusten a los derechos humanos</w:t>
      </w:r>
      <w:r w:rsidRPr="00387E60">
        <w:rPr>
          <w:color w:val="000000"/>
          <w:sz w:val="22"/>
          <w:szCs w:val="22"/>
        </w:rPr>
        <w:t>”</w:t>
      </w:r>
    </w:p>
    <w:p w14:paraId="7496D888" w14:textId="77777777" w:rsidR="00B05C96" w:rsidRPr="00FE1961" w:rsidRDefault="00B05C96" w:rsidP="00FE1961">
      <w:pPr>
        <w:spacing w:after="120" w:line="276" w:lineRule="auto"/>
        <w:ind w:left="720"/>
        <w:jc w:val="both"/>
        <w:rPr>
          <w:rFonts w:eastAsia="Tahoma"/>
          <w:b/>
          <w:sz w:val="22"/>
          <w:szCs w:val="22"/>
          <w:lang w:val="es-ES"/>
        </w:rPr>
      </w:pPr>
    </w:p>
    <w:p w14:paraId="36D24648" w14:textId="5DD7E8FF" w:rsidR="000977AB" w:rsidRDefault="000977AB" w:rsidP="00FE1961">
      <w:pPr>
        <w:spacing w:after="120" w:line="276" w:lineRule="auto"/>
        <w:ind w:firstLine="720"/>
        <w:jc w:val="both"/>
        <w:rPr>
          <w:rFonts w:eastAsia="Tahoma"/>
          <w:sz w:val="22"/>
          <w:szCs w:val="22"/>
        </w:rPr>
      </w:pPr>
      <w:r w:rsidRPr="00387E60">
        <w:rPr>
          <w:rFonts w:eastAsia="Tahoma"/>
          <w:sz w:val="22"/>
          <w:szCs w:val="22"/>
        </w:rPr>
        <w:t>Los programas de reducción de daños son esenciales para abordar los desafíos de salud pública relacionados con el uso de drogas. En los últimos 6 años hubo un enflaquecimiento de las políticas de reducción de daños en Brasil, que tenía un rol importante en las políticas de atención y cuidados a personas usuarias del Ministerio de Salud en los ejes de salud mental y en el Programa Nacional de VIH/SIDA. Con la centralización del cuidado en instituciones religiosas y grupos de ayuda mutua, los servicios de bajo umbral y servicios de tratamientos que actuaban con la lógica de Reducción De daños en el Sistema Único de Salud sufrieron con el desfinanciamiento. El gobierno de Bolsonaro fue responsable por una verdadera persecución a la reducción de daños, llegando a sacar el concepto de la política nacional de drogas.</w:t>
      </w:r>
    </w:p>
    <w:p w14:paraId="791B4D62" w14:textId="77777777" w:rsidR="000977AB" w:rsidRDefault="000977AB">
      <w:pPr>
        <w:spacing w:line="276" w:lineRule="auto"/>
        <w:ind w:firstLine="720"/>
        <w:jc w:val="both"/>
        <w:rPr>
          <w:rFonts w:eastAsia="Tahoma"/>
          <w:sz w:val="22"/>
          <w:szCs w:val="22"/>
        </w:rPr>
      </w:pPr>
    </w:p>
    <w:p w14:paraId="0D8D611F" w14:textId="1186BD5D" w:rsidR="00D35C8D" w:rsidRPr="00387E60" w:rsidRDefault="00000000">
      <w:pPr>
        <w:spacing w:line="276" w:lineRule="auto"/>
        <w:ind w:firstLine="720"/>
        <w:jc w:val="both"/>
        <w:rPr>
          <w:rFonts w:eastAsia="Tahoma"/>
          <w:sz w:val="22"/>
          <w:szCs w:val="22"/>
        </w:rPr>
      </w:pPr>
      <w:r w:rsidRPr="00387E60">
        <w:rPr>
          <w:rFonts w:eastAsia="Tahoma"/>
          <w:sz w:val="22"/>
          <w:szCs w:val="22"/>
        </w:rPr>
        <w:t xml:space="preserve">El año 2019 estuvo marcado por el inicio del gobierno de extrema derecha de Jair Bolsonaro, continuando las políticas del gobierno de Michel Temer, en el desmantelamiento del Estado de bienestar para profundizar el pacto neoliberal (Malheiro, 2020), militarizado y reafirmando el proyecto político de cristianos conservadores con fundamentalismo evangélico para políticas públicas de atención a personas que consumen drogas. El año 2019 estuvo marcado por intensas transformaciones, lo que incluye: el tema del porte de armas; la destitución de la sociedad civil de los </w:t>
      </w:r>
      <w:r w:rsidRPr="00387E60">
        <w:rPr>
          <w:rFonts w:eastAsia="Tahoma"/>
          <w:sz w:val="22"/>
          <w:szCs w:val="22"/>
        </w:rPr>
        <w:lastRenderedPageBreak/>
        <w:t xml:space="preserve">consejos (Drogas, LGBT'S, Consejo de Mujeres); el cambio en la política de drogas hacia la centralización de la atención en instituciones de carácter religioso, estableciendo el requisito de abstinencia para ingresar a tratamiento, además de eliminar la reducción de daños del texto de la política oficial. </w:t>
      </w:r>
    </w:p>
    <w:p w14:paraId="03D3A567" w14:textId="77777777" w:rsidR="00D35C8D" w:rsidRPr="00387E60" w:rsidRDefault="00D35C8D">
      <w:pPr>
        <w:spacing w:line="276" w:lineRule="auto"/>
        <w:jc w:val="both"/>
        <w:rPr>
          <w:rFonts w:eastAsia="Tahoma"/>
          <w:sz w:val="22"/>
          <w:szCs w:val="22"/>
        </w:rPr>
      </w:pPr>
    </w:p>
    <w:p w14:paraId="697D0A4D" w14:textId="665A4EA6" w:rsidR="00D35C8D" w:rsidRPr="00387E60" w:rsidRDefault="00000000">
      <w:pPr>
        <w:spacing w:line="276" w:lineRule="auto"/>
        <w:ind w:firstLine="720"/>
        <w:jc w:val="both"/>
        <w:rPr>
          <w:rFonts w:eastAsia="Tahoma"/>
          <w:b/>
          <w:sz w:val="22"/>
          <w:szCs w:val="22"/>
        </w:rPr>
      </w:pPr>
      <w:r w:rsidRPr="00387E60">
        <w:rPr>
          <w:rFonts w:eastAsia="Tahoma"/>
          <w:sz w:val="22"/>
          <w:szCs w:val="22"/>
        </w:rPr>
        <w:t>El presupuesto para cuidado y atención a personas usuarias de drogas apoyó servicios de internación religiosa nombrado comunidades terapéuticas y centros de tratamiento privados</w:t>
      </w:r>
      <w:r w:rsidR="003A1B3E" w:rsidRPr="00387E60">
        <w:rPr>
          <w:rFonts w:eastAsia="Tahoma"/>
          <w:sz w:val="22"/>
          <w:szCs w:val="22"/>
        </w:rPr>
        <w:t>. O</w:t>
      </w:r>
      <w:r w:rsidRPr="00387E60">
        <w:rPr>
          <w:rFonts w:eastAsia="Tahoma"/>
          <w:sz w:val="22"/>
          <w:szCs w:val="22"/>
        </w:rPr>
        <w:t>tro hecho importante fue el veto a las campañas de VIH/SIDA dirigidas a personas LGBTQIA+ y consecuentemente el enflaquecimiento de las políticas de  VIH/SIDA donde también estaba ubicada las estrategias de reducción de riesgos y daños para personas usuarias. En Brasil, históricamente, las políticas de reducción de riesgos y daños fueron desarrolladas con el apoyo de las políticas para  VIH/SIDA.</w:t>
      </w:r>
    </w:p>
    <w:p w14:paraId="7D011A6A" w14:textId="77777777" w:rsidR="00D35C8D" w:rsidRPr="00387E60" w:rsidRDefault="00D35C8D">
      <w:pPr>
        <w:spacing w:line="276" w:lineRule="auto"/>
        <w:jc w:val="both"/>
        <w:rPr>
          <w:rFonts w:eastAsia="Tahoma"/>
          <w:sz w:val="22"/>
          <w:szCs w:val="22"/>
        </w:rPr>
      </w:pPr>
    </w:p>
    <w:p w14:paraId="2E5F4AAC" w14:textId="77777777" w:rsidR="00D35C8D" w:rsidRPr="00387E60" w:rsidRDefault="00000000">
      <w:pPr>
        <w:spacing w:line="276" w:lineRule="auto"/>
        <w:ind w:firstLine="720"/>
        <w:jc w:val="both"/>
        <w:rPr>
          <w:rFonts w:eastAsia="Tahoma"/>
          <w:sz w:val="22"/>
          <w:szCs w:val="22"/>
        </w:rPr>
      </w:pPr>
      <w:r w:rsidRPr="00387E60">
        <w:rPr>
          <w:rFonts w:eastAsia="Tahoma"/>
          <w:sz w:val="22"/>
          <w:szCs w:val="22"/>
        </w:rPr>
        <w:t>Dos de las promesas de campaña de Jair Bolsonaro, el tema del porte de armas y el cambio en la política de drogas, constituye otro hito importante para comprender la lógica política de esta administración. En un informe hecho por Malheiro y Larrat (2021)</w:t>
      </w:r>
      <w:r w:rsidRPr="00387E60">
        <w:rPr>
          <w:rFonts w:eastAsia="Tahoma"/>
          <w:sz w:val="22"/>
          <w:szCs w:val="22"/>
          <w:vertAlign w:val="superscript"/>
        </w:rPr>
        <w:footnoteReference w:id="1"/>
      </w:r>
      <w:r w:rsidRPr="00387E60">
        <w:rPr>
          <w:rFonts w:eastAsia="Tahoma"/>
          <w:sz w:val="22"/>
          <w:szCs w:val="22"/>
        </w:rPr>
        <w:t xml:space="preserve"> sobre los 4 años del gobierno y los retrocesos en las agendas de derechos humanos, género, sexualidad y políticas sobre drogas es posible comprender la centralidad de este gobierno en atacar los derechos de las personas usuarias, mujeres y disidencias. El resurgimiento del Estado militarizado ya era una marca en el primer año de gobierno. Guiado por procesos de “desdemocratización”, el razonamiento del Estado produce la sustracción de la sociedad civil de las instancias de participación política, a partir de decretos presidenciales que reemplazan los consejos nacionales por comités técnicos formados con aliados del gobierno. En lugar de una dictadura abierta, anunciada y nombrada, la opción es utilizar mecanismos institucionales para transformar las funciones del Estado, ahora más punitivas y represivas.</w:t>
      </w:r>
    </w:p>
    <w:p w14:paraId="18C06D32" w14:textId="77777777" w:rsidR="00D35C8D" w:rsidRPr="00387E60" w:rsidRDefault="00D35C8D">
      <w:pPr>
        <w:spacing w:line="276" w:lineRule="auto"/>
        <w:jc w:val="both"/>
        <w:rPr>
          <w:rFonts w:eastAsia="Tahoma"/>
          <w:sz w:val="22"/>
          <w:szCs w:val="22"/>
        </w:rPr>
      </w:pPr>
    </w:p>
    <w:p w14:paraId="2929E04C" w14:textId="77777777" w:rsidR="00D35C8D" w:rsidRPr="00387E60" w:rsidRDefault="00000000">
      <w:pPr>
        <w:spacing w:line="276" w:lineRule="auto"/>
        <w:ind w:firstLine="720"/>
        <w:jc w:val="both"/>
        <w:rPr>
          <w:rFonts w:eastAsia="Tahoma"/>
          <w:sz w:val="22"/>
          <w:szCs w:val="22"/>
        </w:rPr>
      </w:pPr>
      <w:r w:rsidRPr="00387E60">
        <w:rPr>
          <w:rFonts w:eastAsia="Tahoma"/>
          <w:sz w:val="22"/>
          <w:szCs w:val="22"/>
        </w:rPr>
        <w:t>El financiamiento de comunidades terapéuticas como ejes centrales de apoyo y la reorientación de la atención hacia la exigencia de la abstinencia para el acceso a las políticas públicas es un retroceso a las nociones de universalidad y equidad que proclama el Sistema Universal de Salud de Brasil</w:t>
      </w:r>
      <w:r w:rsidRPr="00387E60">
        <w:rPr>
          <w:rFonts w:eastAsia="Tahoma"/>
          <w:sz w:val="22"/>
          <w:szCs w:val="22"/>
          <w:vertAlign w:val="superscript"/>
        </w:rPr>
        <w:footnoteReference w:id="2"/>
      </w:r>
      <w:r w:rsidRPr="00387E60">
        <w:rPr>
          <w:rFonts w:eastAsia="Tahoma"/>
          <w:sz w:val="22"/>
          <w:szCs w:val="22"/>
        </w:rPr>
        <w:t>, y fue también una importante barrera de acceso al derecho a la salud. Como Estado, es importante ofrecer una serie de modalidades de atención, prevención y tratamiento que se adapten a cada realidad:</w:t>
      </w:r>
    </w:p>
    <w:p w14:paraId="468E81E0" w14:textId="77777777" w:rsidR="00D35C8D" w:rsidRPr="00387E60" w:rsidRDefault="00D35C8D">
      <w:pPr>
        <w:spacing w:line="276" w:lineRule="auto"/>
        <w:jc w:val="both"/>
        <w:rPr>
          <w:rFonts w:eastAsia="Tahoma"/>
          <w:sz w:val="22"/>
          <w:szCs w:val="22"/>
        </w:rPr>
      </w:pPr>
    </w:p>
    <w:p w14:paraId="6419460A" w14:textId="77777777" w:rsidR="00D35C8D" w:rsidRPr="00387E60" w:rsidRDefault="00000000">
      <w:pPr>
        <w:spacing w:line="276" w:lineRule="auto"/>
        <w:ind w:firstLine="720"/>
        <w:jc w:val="both"/>
        <w:rPr>
          <w:rFonts w:eastAsia="Tahoma"/>
          <w:sz w:val="22"/>
          <w:szCs w:val="22"/>
        </w:rPr>
      </w:pPr>
      <w:r w:rsidRPr="00387E60">
        <w:rPr>
          <w:rFonts w:eastAsia="Tahoma"/>
          <w:sz w:val="22"/>
          <w:szCs w:val="22"/>
        </w:rPr>
        <w:t>Exigir al sujeto la abstinencia para el inicio del tratamiento es uno de los puntos que hacen fracasar los modelos que operan en el binomio abstinencia/hospitalización. En 2019, se anunció la nueva política de drogas con la eliminación del término reducción de daños y el flujo de atención centrado en servicios de base religiosa.</w:t>
      </w:r>
    </w:p>
    <w:p w14:paraId="38A0DB67" w14:textId="77777777" w:rsidR="00D35C8D" w:rsidRPr="00387E60" w:rsidRDefault="00D35C8D">
      <w:pPr>
        <w:spacing w:line="276" w:lineRule="auto"/>
        <w:jc w:val="both"/>
        <w:rPr>
          <w:rFonts w:eastAsia="Tahoma"/>
          <w:sz w:val="22"/>
          <w:szCs w:val="22"/>
        </w:rPr>
      </w:pPr>
    </w:p>
    <w:p w14:paraId="6A12995D" w14:textId="6AD3D4CE" w:rsidR="0033661D" w:rsidRPr="00387E60" w:rsidRDefault="00000000" w:rsidP="0033661D">
      <w:pPr>
        <w:spacing w:line="276" w:lineRule="auto"/>
        <w:ind w:firstLine="720"/>
        <w:jc w:val="both"/>
        <w:rPr>
          <w:rFonts w:eastAsia="Tahoma"/>
          <w:sz w:val="22"/>
          <w:szCs w:val="22"/>
        </w:rPr>
      </w:pPr>
      <w:r w:rsidRPr="00387E60">
        <w:rPr>
          <w:rFonts w:eastAsia="Tahoma"/>
          <w:sz w:val="22"/>
          <w:szCs w:val="22"/>
        </w:rPr>
        <w:t xml:space="preserve">El desmantelamiento del Mecanismo de Lucha contra la Tortura, realizado en los últimos tres años, fue también una operación que tuvo como objetivo reestructurar las nociones de derechos humanos, protección, agendas de acción en situaciones de violaciones de derechos. El Mecanismo ha </w:t>
      </w:r>
      <w:r w:rsidRPr="00387E60">
        <w:rPr>
          <w:rFonts w:eastAsia="Tahoma"/>
          <w:sz w:val="22"/>
          <w:szCs w:val="22"/>
        </w:rPr>
        <w:lastRenderedPageBreak/>
        <w:t>jugado un papel importante en varios casos de tortura a personas usuarias de sustancias: dentro del sistema penitenciario, pero también en las innumerables comunidades terapéuticas que estaban siendo denunciadas a partir del accionar de la sociedad civil en el Mecanismo.</w:t>
      </w:r>
      <w:r w:rsidR="0033661D" w:rsidRPr="00387E60">
        <w:rPr>
          <w:rFonts w:eastAsia="Tahoma"/>
          <w:sz w:val="22"/>
          <w:szCs w:val="22"/>
        </w:rPr>
        <w:t xml:space="preserve"> En la revisión de Brasil ante el Comité contra la Tortura de la ONU en Junio de 2023, el Comité dio las siguientes recomendaciones:</w:t>
      </w:r>
    </w:p>
    <w:p w14:paraId="092854EF" w14:textId="77777777" w:rsidR="0033661D" w:rsidRPr="00FE1961" w:rsidRDefault="0033661D" w:rsidP="00FE1961">
      <w:pPr>
        <w:pStyle w:val="NormalWeb"/>
        <w:ind w:left="720"/>
        <w:rPr>
          <w:rFonts w:ascii="Calibri" w:hAnsi="Calibri" w:cs="Calibri"/>
          <w:i/>
          <w:iCs/>
          <w:color w:val="000000"/>
          <w:sz w:val="22"/>
          <w:szCs w:val="22"/>
          <w:lang w:val="es-ES"/>
        </w:rPr>
      </w:pPr>
      <w:r w:rsidRPr="00FE1961">
        <w:rPr>
          <w:rFonts w:ascii="Calibri" w:eastAsia="Tahoma" w:hAnsi="Calibri" w:cs="Calibri"/>
          <w:i/>
          <w:iCs/>
          <w:sz w:val="22"/>
          <w:szCs w:val="22"/>
          <w:lang w:val="es-ES"/>
        </w:rPr>
        <w:t>‘</w:t>
      </w:r>
      <w:r w:rsidRPr="00FE1961">
        <w:rPr>
          <w:rFonts w:ascii="Calibri" w:hAnsi="Calibri" w:cs="Calibri"/>
          <w:i/>
          <w:iCs/>
          <w:color w:val="000000"/>
          <w:sz w:val="22"/>
          <w:szCs w:val="22"/>
          <w:lang w:val="es-ES"/>
        </w:rPr>
        <w:t xml:space="preserve">b) Velar por que las denuncias de violaciones de los derechos humanos, incluida la tortura y los malos tratos, en las comunidades terapéuticas se investiguen con prontitud, exhaustividad e imparcialidad, </w:t>
      </w:r>
      <w:proofErr w:type="spellStart"/>
      <w:r w:rsidRPr="00FE1961">
        <w:rPr>
          <w:rFonts w:ascii="Calibri" w:hAnsi="Calibri" w:cs="Calibri"/>
          <w:i/>
          <w:iCs/>
          <w:color w:val="000000"/>
          <w:sz w:val="22"/>
          <w:szCs w:val="22"/>
          <w:lang w:val="es-ES"/>
        </w:rPr>
        <w:t>por que</w:t>
      </w:r>
      <w:proofErr w:type="spellEnd"/>
      <w:r w:rsidRPr="00FE1961">
        <w:rPr>
          <w:rFonts w:ascii="Calibri" w:hAnsi="Calibri" w:cs="Calibri"/>
          <w:i/>
          <w:iCs/>
          <w:color w:val="000000"/>
          <w:sz w:val="22"/>
          <w:szCs w:val="22"/>
          <w:lang w:val="es-ES"/>
        </w:rPr>
        <w:t xml:space="preserve"> los presuntos autores sean enjuiciados y, de ser declarados culpables, se les imponga una pena acorde con la gravedad de sus actos, y </w:t>
      </w:r>
      <w:proofErr w:type="spellStart"/>
      <w:r w:rsidRPr="00FE1961">
        <w:rPr>
          <w:rFonts w:ascii="Calibri" w:hAnsi="Calibri" w:cs="Calibri"/>
          <w:i/>
          <w:iCs/>
          <w:color w:val="000000"/>
          <w:sz w:val="22"/>
          <w:szCs w:val="22"/>
          <w:lang w:val="es-ES"/>
        </w:rPr>
        <w:t>por que</w:t>
      </w:r>
      <w:proofErr w:type="spellEnd"/>
      <w:r w:rsidRPr="00FE1961">
        <w:rPr>
          <w:rFonts w:ascii="Calibri" w:hAnsi="Calibri" w:cs="Calibri"/>
          <w:i/>
          <w:iCs/>
          <w:color w:val="000000"/>
          <w:sz w:val="22"/>
          <w:szCs w:val="22"/>
          <w:lang w:val="es-ES"/>
        </w:rPr>
        <w:t xml:space="preserve"> todas las víctimas reciban una reparación adecuada;</w:t>
      </w:r>
    </w:p>
    <w:p w14:paraId="44C686CB" w14:textId="537B6408" w:rsidR="00D35C8D" w:rsidRPr="00387E60" w:rsidRDefault="0033661D" w:rsidP="00FE1961">
      <w:pPr>
        <w:spacing w:before="100" w:beforeAutospacing="1" w:after="100" w:afterAutospacing="1"/>
        <w:ind w:left="720"/>
        <w:rPr>
          <w:rFonts w:eastAsia="Tahoma"/>
          <w:sz w:val="22"/>
          <w:szCs w:val="22"/>
        </w:rPr>
      </w:pPr>
      <w:r w:rsidRPr="00FE1961">
        <w:rPr>
          <w:rFonts w:eastAsia="Times New Roman"/>
          <w:i/>
          <w:iCs/>
          <w:color w:val="000000"/>
          <w:sz w:val="22"/>
          <w:szCs w:val="22"/>
          <w:lang w:val="es-ES"/>
        </w:rPr>
        <w:t>c) Garantizar que los centros de rehabilitación para toxicómanos sean supervisados periódicamente por las autoridades de inspección sanitaria y de servicios sociales y por mecanismos de control independientes, y que cuentan con suficiente personal médico cualificado y formado.’</w:t>
      </w:r>
    </w:p>
    <w:p w14:paraId="0F2DFEE7" w14:textId="6C22D4F9" w:rsidR="00D35C8D" w:rsidRPr="00387E60" w:rsidRDefault="00000000">
      <w:pPr>
        <w:spacing w:line="276" w:lineRule="auto"/>
        <w:ind w:firstLine="720"/>
        <w:jc w:val="both"/>
        <w:rPr>
          <w:rFonts w:eastAsia="Tahoma"/>
          <w:b/>
          <w:sz w:val="22"/>
          <w:szCs w:val="22"/>
        </w:rPr>
      </w:pPr>
      <w:r w:rsidRPr="00387E60">
        <w:rPr>
          <w:rFonts w:eastAsia="Tahoma"/>
          <w:sz w:val="22"/>
          <w:szCs w:val="22"/>
        </w:rPr>
        <w:t>Las declaraciones del presidente y de los representantes estatales durante discursos o publicaciones en las redes sociales ayudaron a crear un espacio para la expansión del discurso de odio contra las personas LGBTQIA+ y las mujeres. Tales discursos se convierten en prácticas de violencia contra esta población. No es casualidad que todas las encuestas realizadas sobre violencia en el país destaquen un aumento, en los últimos tres años, de episodios de violencia doméstica, violencia contra mujeres trans y travestis, feminicidios, violencia política contra mujeres cis, trans y travestis</w:t>
      </w:r>
      <w:r w:rsidRPr="00387E60">
        <w:rPr>
          <w:rFonts w:eastAsia="Tahoma"/>
          <w:sz w:val="22"/>
          <w:szCs w:val="22"/>
          <w:vertAlign w:val="superscript"/>
        </w:rPr>
        <w:footnoteReference w:id="3"/>
      </w:r>
      <w:r w:rsidRPr="00387E60">
        <w:rPr>
          <w:rFonts w:eastAsia="Tahoma"/>
          <w:sz w:val="22"/>
          <w:szCs w:val="22"/>
        </w:rPr>
        <w:t>.</w:t>
      </w:r>
    </w:p>
    <w:p w14:paraId="72989FA2" w14:textId="77777777" w:rsidR="00D35C8D" w:rsidRDefault="00D35C8D">
      <w:pPr>
        <w:spacing w:after="120" w:line="276" w:lineRule="auto"/>
        <w:jc w:val="both"/>
        <w:rPr>
          <w:rFonts w:eastAsia="Tahoma"/>
          <w:sz w:val="22"/>
          <w:szCs w:val="22"/>
        </w:rPr>
      </w:pPr>
    </w:p>
    <w:p w14:paraId="51CF6E35" w14:textId="433208C8" w:rsidR="000977AB" w:rsidRPr="00FE1961" w:rsidRDefault="000977AB">
      <w:pPr>
        <w:spacing w:after="120" w:line="276" w:lineRule="auto"/>
        <w:jc w:val="both"/>
        <w:rPr>
          <w:rFonts w:eastAsia="Tahoma"/>
          <w:b/>
          <w:bCs/>
          <w:sz w:val="22"/>
          <w:szCs w:val="22"/>
        </w:rPr>
      </w:pPr>
      <w:r w:rsidRPr="00FE1961">
        <w:rPr>
          <w:rFonts w:eastAsia="Tahoma"/>
          <w:b/>
          <w:bCs/>
          <w:sz w:val="22"/>
          <w:szCs w:val="22"/>
        </w:rPr>
        <w:t xml:space="preserve">Buenas prácticas </w:t>
      </w:r>
      <w:r>
        <w:rPr>
          <w:rFonts w:eastAsia="Tahoma"/>
          <w:b/>
          <w:bCs/>
          <w:sz w:val="22"/>
          <w:szCs w:val="22"/>
        </w:rPr>
        <w:t>en reducción de daños</w:t>
      </w:r>
    </w:p>
    <w:p w14:paraId="5DDF373A" w14:textId="137EBB4E" w:rsidR="000977AB" w:rsidRPr="00387E60" w:rsidRDefault="00000000" w:rsidP="000977AB">
      <w:pPr>
        <w:spacing w:after="120" w:line="276" w:lineRule="auto"/>
        <w:jc w:val="both"/>
        <w:rPr>
          <w:rFonts w:eastAsia="Tahoma"/>
          <w:b/>
          <w:sz w:val="22"/>
          <w:szCs w:val="22"/>
        </w:rPr>
      </w:pPr>
      <w:r w:rsidRPr="00387E60">
        <w:rPr>
          <w:rFonts w:eastAsia="Tahoma"/>
          <w:sz w:val="22"/>
          <w:szCs w:val="22"/>
        </w:rPr>
        <w:t>El año de 2022 fue marcado por la retomada del gobierno de izquierda al poder con las elecciones presidenciales y la victoria de Lula. Un profundo cambio fue una marca de este momento de transición, donde  los movimientos sociales fueron consultados sobre las políticas públicas sobre drogas. En un hecho histórico, por la primera vez en el país el consejo nacional de políticas sobre drogas pasó por un proceso de elecciones teniendo como ganadores dos organizaciones de personas usuarias: LANPUD y la Red Nacional de feministas Antiprohibicionistas. Además de 10 organizaciones, 9 son organizaciones de reducción de riesgos y daños, defensores de los derechos humanos y organizaciones antiprohibicionistas</w:t>
      </w:r>
      <w:r w:rsidRPr="00387E60">
        <w:rPr>
          <w:rFonts w:eastAsia="Tahoma"/>
          <w:sz w:val="22"/>
          <w:szCs w:val="22"/>
          <w:vertAlign w:val="superscript"/>
        </w:rPr>
        <w:footnoteReference w:id="4"/>
      </w:r>
      <w:r w:rsidRPr="00387E60">
        <w:rPr>
          <w:rFonts w:eastAsia="Tahoma"/>
          <w:sz w:val="22"/>
          <w:szCs w:val="22"/>
        </w:rPr>
        <w:t>.</w:t>
      </w:r>
    </w:p>
    <w:p w14:paraId="3C4637E1" w14:textId="77777777" w:rsidR="000977AB" w:rsidRPr="00387E60" w:rsidRDefault="000977AB" w:rsidP="000977AB">
      <w:pPr>
        <w:spacing w:after="120" w:line="276" w:lineRule="auto"/>
        <w:jc w:val="both"/>
        <w:rPr>
          <w:rFonts w:eastAsia="Tahoma"/>
          <w:sz w:val="22"/>
          <w:szCs w:val="22"/>
        </w:rPr>
      </w:pPr>
    </w:p>
    <w:p w14:paraId="6CDA8EF9" w14:textId="77777777" w:rsidR="000977AB" w:rsidRPr="00387E60" w:rsidRDefault="000977AB" w:rsidP="000977AB">
      <w:pPr>
        <w:spacing w:after="120" w:line="276" w:lineRule="auto"/>
        <w:ind w:firstLine="720"/>
        <w:jc w:val="both"/>
        <w:rPr>
          <w:rFonts w:eastAsia="Tahoma"/>
          <w:sz w:val="22"/>
          <w:szCs w:val="22"/>
        </w:rPr>
      </w:pPr>
      <w:r w:rsidRPr="00387E60">
        <w:rPr>
          <w:rFonts w:eastAsia="Tahoma"/>
          <w:sz w:val="22"/>
          <w:szCs w:val="22"/>
        </w:rPr>
        <w:t xml:space="preserve">En la sociedad civil, organizaciones como el </w:t>
      </w:r>
      <w:hyperlink r:id="rId12">
        <w:r w:rsidRPr="00387E60">
          <w:rPr>
            <w:rFonts w:eastAsia="Tahoma"/>
            <w:sz w:val="22"/>
            <w:szCs w:val="22"/>
            <w:u w:val="single"/>
          </w:rPr>
          <w:t>Centro de convivencia É de Lei</w:t>
        </w:r>
      </w:hyperlink>
      <w:r w:rsidRPr="00387E60">
        <w:rPr>
          <w:rFonts w:eastAsia="Tahoma"/>
          <w:sz w:val="22"/>
          <w:szCs w:val="22"/>
          <w:vertAlign w:val="superscript"/>
        </w:rPr>
        <w:footnoteReference w:id="5"/>
      </w:r>
      <w:r w:rsidRPr="00387E60">
        <w:rPr>
          <w:rFonts w:eastAsia="Tahoma"/>
          <w:sz w:val="22"/>
          <w:szCs w:val="22"/>
        </w:rPr>
        <w:t>en la ciudad de San Pablo, la</w:t>
      </w:r>
      <w:hyperlink r:id="rId13">
        <w:r w:rsidRPr="00387E60">
          <w:rPr>
            <w:rFonts w:eastAsia="Tahoma"/>
            <w:sz w:val="22"/>
            <w:szCs w:val="22"/>
            <w:u w:val="single"/>
          </w:rPr>
          <w:t xml:space="preserve"> Escuela Libre de Reducción de Daños</w:t>
        </w:r>
      </w:hyperlink>
      <w:r w:rsidRPr="00387E60">
        <w:rPr>
          <w:rFonts w:eastAsia="Tahoma"/>
          <w:sz w:val="22"/>
          <w:szCs w:val="22"/>
          <w:vertAlign w:val="superscript"/>
        </w:rPr>
        <w:footnoteReference w:id="6"/>
      </w:r>
      <w:r w:rsidRPr="00387E60">
        <w:rPr>
          <w:rFonts w:eastAsia="Tahoma"/>
          <w:sz w:val="22"/>
          <w:szCs w:val="22"/>
        </w:rPr>
        <w:t xml:space="preserve"> en Recife, Pernambuco son responsables por sostener la Reducción de daños en el momento donde no se tenía apoyo gubernamental en la instancia </w:t>
      </w:r>
      <w:r w:rsidRPr="00387E60">
        <w:rPr>
          <w:rFonts w:eastAsia="Tahoma"/>
          <w:sz w:val="22"/>
          <w:szCs w:val="22"/>
        </w:rPr>
        <w:lastRenderedPageBreak/>
        <w:t>nacional. En Rio de Janeiro, la organización Redes da Maré</w:t>
      </w:r>
      <w:r w:rsidRPr="00387E60">
        <w:rPr>
          <w:rFonts w:eastAsia="Tahoma"/>
          <w:sz w:val="22"/>
          <w:szCs w:val="22"/>
          <w:vertAlign w:val="superscript"/>
        </w:rPr>
        <w:footnoteReference w:id="7"/>
      </w:r>
      <w:r w:rsidRPr="00387E60">
        <w:rPr>
          <w:rFonts w:eastAsia="Tahoma"/>
          <w:sz w:val="22"/>
          <w:szCs w:val="22"/>
        </w:rPr>
        <w:t xml:space="preserve"> con el Espacio normal también es una organización de la sociedad civil que actúa con derecho a la salud y reducción de daños para personas usuarias de drogas.</w:t>
      </w:r>
    </w:p>
    <w:p w14:paraId="17ABD74D" w14:textId="77777777" w:rsidR="000977AB" w:rsidRPr="00387E60" w:rsidRDefault="000977AB" w:rsidP="000977AB">
      <w:pPr>
        <w:shd w:val="clear" w:color="auto" w:fill="FFFFFF"/>
        <w:spacing w:line="276" w:lineRule="auto"/>
        <w:ind w:firstLine="720"/>
        <w:jc w:val="both"/>
        <w:rPr>
          <w:rFonts w:eastAsia="Tahoma"/>
          <w:sz w:val="22"/>
          <w:szCs w:val="22"/>
        </w:rPr>
      </w:pPr>
    </w:p>
    <w:p w14:paraId="366F6D94" w14:textId="77777777" w:rsidR="000977AB" w:rsidRPr="00387E60" w:rsidRDefault="000977AB" w:rsidP="000977AB">
      <w:pPr>
        <w:shd w:val="clear" w:color="auto" w:fill="FFFFFF"/>
        <w:spacing w:line="276" w:lineRule="auto"/>
        <w:ind w:firstLine="720"/>
        <w:jc w:val="both"/>
        <w:rPr>
          <w:rFonts w:eastAsia="Tahoma"/>
          <w:sz w:val="22"/>
          <w:szCs w:val="22"/>
        </w:rPr>
      </w:pPr>
      <w:r w:rsidRPr="00387E60">
        <w:rPr>
          <w:rFonts w:eastAsia="Tahoma"/>
          <w:sz w:val="22"/>
          <w:szCs w:val="22"/>
        </w:rPr>
        <w:t>El Programa Corra pro Abraço</w:t>
      </w:r>
      <w:r w:rsidRPr="00387E60">
        <w:rPr>
          <w:rFonts w:eastAsia="Tahoma"/>
          <w:sz w:val="22"/>
          <w:szCs w:val="22"/>
          <w:vertAlign w:val="superscript"/>
        </w:rPr>
        <w:footnoteReference w:id="8"/>
      </w:r>
      <w:r w:rsidRPr="00387E60">
        <w:rPr>
          <w:rFonts w:eastAsia="Tahoma"/>
          <w:sz w:val="22"/>
          <w:szCs w:val="22"/>
        </w:rPr>
        <w:t>, es una iniciativa del Gobierno del Estado de Bahía, que tiene como objetivo promover la ciudadanía y garantizar los derechos de las personas que abusan de drogas en contextos de vulnerabilidad, o afectadas por problemas relacionados con la criminalización de las drogas, trabajando con una mirada de RRD. El Programa Atitude Programa de Atención Integral a Usuarios de Drogas y sus Familiares, el Programa Actitud es coordinado por la Secretaría de Políticas de Prevención de la Violencia y las Drogas (SPVD), a través de la Secretaría Ejecutiva de Políticas sobre Drogas (SEPOD) del gobierno estadual de Pernambuco. Brinda asistencia a usuarios de crack, alcohol y otras drogas, con gran exposición a la violencia; También se amplió la atención a los familiares.</w:t>
      </w:r>
    </w:p>
    <w:p w14:paraId="6BCBA0FA" w14:textId="77777777" w:rsidR="000977AB" w:rsidRPr="00387E60" w:rsidRDefault="000977AB" w:rsidP="000977AB">
      <w:pPr>
        <w:shd w:val="clear" w:color="auto" w:fill="FFFFFF"/>
        <w:spacing w:line="276" w:lineRule="auto"/>
        <w:jc w:val="both"/>
        <w:rPr>
          <w:rFonts w:eastAsia="Tahoma"/>
          <w:sz w:val="22"/>
          <w:szCs w:val="22"/>
        </w:rPr>
      </w:pPr>
    </w:p>
    <w:p w14:paraId="7DEB8B55" w14:textId="77777777" w:rsidR="000977AB" w:rsidRPr="00387E60" w:rsidRDefault="000977AB" w:rsidP="000977AB">
      <w:pPr>
        <w:shd w:val="clear" w:color="auto" w:fill="FFFFFF"/>
        <w:spacing w:line="276" w:lineRule="auto"/>
        <w:ind w:firstLine="720"/>
        <w:jc w:val="both"/>
        <w:rPr>
          <w:rFonts w:eastAsia="Tahoma"/>
          <w:sz w:val="22"/>
          <w:szCs w:val="22"/>
        </w:rPr>
      </w:pPr>
      <w:r w:rsidRPr="00387E60">
        <w:rPr>
          <w:rFonts w:eastAsia="Tahoma"/>
          <w:sz w:val="22"/>
          <w:szCs w:val="22"/>
        </w:rPr>
        <w:t>En febrero del inicio del año de 2023 las organizaciones de la sociedad civil empezaron a sufrir persecución más severa a sus acciones de la policía y también diputados contrarios a las reducción de daños. Un proceso de criminalización de la reducción de daños fue abierto en contra la Escuela libre de reducción de daños por una acción de cuidados en carnaval</w:t>
      </w:r>
      <w:r w:rsidRPr="00387E60">
        <w:rPr>
          <w:rFonts w:eastAsia="Tahoma"/>
          <w:sz w:val="22"/>
          <w:szCs w:val="22"/>
          <w:vertAlign w:val="superscript"/>
        </w:rPr>
        <w:footnoteReference w:id="9"/>
      </w:r>
      <w:r w:rsidRPr="00387E60">
        <w:rPr>
          <w:rFonts w:eastAsia="Tahoma"/>
          <w:sz w:val="22"/>
          <w:szCs w:val="22"/>
        </w:rPr>
        <w:t>revelando la fragilidad de la acción de reducción de daños en contextos de gran criminalización de la práctica de uso de sustancias.</w:t>
      </w:r>
    </w:p>
    <w:p w14:paraId="504D271A" w14:textId="77777777" w:rsidR="000977AB" w:rsidRPr="00387E60" w:rsidRDefault="000977AB" w:rsidP="000977AB">
      <w:pPr>
        <w:shd w:val="clear" w:color="auto" w:fill="FFFFFF"/>
        <w:spacing w:line="276" w:lineRule="auto"/>
        <w:jc w:val="both"/>
        <w:rPr>
          <w:rFonts w:eastAsia="Tahoma"/>
          <w:sz w:val="22"/>
          <w:szCs w:val="22"/>
        </w:rPr>
      </w:pPr>
    </w:p>
    <w:p w14:paraId="3AE1E796" w14:textId="77777777" w:rsidR="000977AB" w:rsidRPr="00387E60" w:rsidRDefault="000977AB" w:rsidP="000977AB">
      <w:pPr>
        <w:shd w:val="clear" w:color="auto" w:fill="FFFFFF"/>
        <w:spacing w:line="276" w:lineRule="auto"/>
        <w:ind w:firstLine="720"/>
        <w:jc w:val="both"/>
        <w:rPr>
          <w:rFonts w:eastAsia="Tahoma"/>
          <w:sz w:val="22"/>
          <w:szCs w:val="22"/>
        </w:rPr>
      </w:pPr>
      <w:r w:rsidRPr="00387E60">
        <w:rPr>
          <w:rFonts w:eastAsia="Tahoma"/>
          <w:sz w:val="22"/>
          <w:szCs w:val="22"/>
        </w:rPr>
        <w:t>Los desafíos ahora para la agenda de la reducción de riesgos y daños son la formalización de una política nacional, la creación del cargo de reductor de daños (agente de cuidado entre pares) y el fortalecimiento de acciones y servicios por todo el país. Las personas que usan drogas a menudo enfrentan barreras para acceder a servicios de salud, incluida la atención médica y el tratamiento de adicciones, por eso, la reducción de daños es indicada para la promoción del acceso de las personas usuarias a las redes de salud, justicia y protección social.</w:t>
      </w:r>
    </w:p>
    <w:p w14:paraId="2A476F1A" w14:textId="77777777" w:rsidR="000977AB" w:rsidRPr="00387E60" w:rsidRDefault="000977AB">
      <w:pPr>
        <w:spacing w:after="120" w:line="276" w:lineRule="auto"/>
        <w:jc w:val="both"/>
        <w:rPr>
          <w:rFonts w:eastAsia="Tahoma"/>
          <w:b/>
          <w:sz w:val="22"/>
          <w:szCs w:val="22"/>
          <w:u w:val="single"/>
        </w:rPr>
      </w:pPr>
    </w:p>
    <w:p w14:paraId="47057C26" w14:textId="475F4CC0" w:rsidR="00D35C8D" w:rsidRPr="00FE1961" w:rsidRDefault="00252080">
      <w:pPr>
        <w:spacing w:after="120" w:line="276" w:lineRule="auto"/>
        <w:jc w:val="both"/>
        <w:rPr>
          <w:rFonts w:eastAsia="Tahoma"/>
          <w:b/>
          <w:sz w:val="22"/>
          <w:szCs w:val="22"/>
          <w:u w:val="single"/>
        </w:rPr>
      </w:pPr>
      <w:r w:rsidRPr="00387E60">
        <w:rPr>
          <w:rFonts w:eastAsia="Tahoma"/>
          <w:b/>
          <w:sz w:val="22"/>
          <w:szCs w:val="22"/>
          <w:u w:val="single"/>
        </w:rPr>
        <w:t>Derecho a la salud (Artículo 12 ICESCR)</w:t>
      </w:r>
    </w:p>
    <w:p w14:paraId="38788EE1" w14:textId="16B8D2B4" w:rsidR="00D35C8D" w:rsidRPr="00387E60" w:rsidRDefault="00000000">
      <w:pPr>
        <w:spacing w:after="120" w:line="276" w:lineRule="auto"/>
        <w:jc w:val="both"/>
        <w:rPr>
          <w:rFonts w:eastAsia="Tahoma"/>
          <w:b/>
          <w:sz w:val="22"/>
          <w:szCs w:val="22"/>
        </w:rPr>
      </w:pPr>
      <w:r w:rsidRPr="00387E60">
        <w:rPr>
          <w:rFonts w:eastAsia="Tahoma"/>
          <w:b/>
          <w:sz w:val="22"/>
          <w:szCs w:val="22"/>
        </w:rPr>
        <w:t>Criminalización de la posesión de drogas</w:t>
      </w:r>
      <w:r w:rsidR="00252080" w:rsidRPr="00387E60">
        <w:rPr>
          <w:rFonts w:eastAsia="Tahoma"/>
          <w:b/>
          <w:sz w:val="22"/>
          <w:szCs w:val="22"/>
        </w:rPr>
        <w:t xml:space="preserve"> para consumo personal</w:t>
      </w:r>
    </w:p>
    <w:p w14:paraId="040E15C0" w14:textId="77777777" w:rsidR="00D35C8D" w:rsidRPr="00387E60" w:rsidRDefault="00000000">
      <w:pPr>
        <w:spacing w:after="120" w:line="276" w:lineRule="auto"/>
        <w:ind w:firstLine="720"/>
        <w:jc w:val="both"/>
        <w:rPr>
          <w:rFonts w:eastAsia="Tahoma"/>
          <w:sz w:val="22"/>
          <w:szCs w:val="22"/>
        </w:rPr>
      </w:pPr>
      <w:r w:rsidRPr="00387E60">
        <w:rPr>
          <w:rFonts w:eastAsia="Tahoma"/>
          <w:sz w:val="22"/>
          <w:szCs w:val="22"/>
        </w:rPr>
        <w:t>La criminalización del uso y posesión de drogas ha llevado a un aumento en la discriminación, abuso de autoridad y encarcelamiento masivo en Brasil. Las personas que viven en mayores condiciones de vulnerabilidad económica y social, que a menudo son afrodescendientes, se encuentran en mayor riesgo de ser arrestadas y enfrentar consecuencias legales graves. Además, la intersección de género y raza magnifica estas desigualdades, impactando de manera desproporcionada a las mujeres afrodescendientes que son madres. La falta de acceso a representación legal adecuada también contribuye a la perpetuación de esta injusticia.</w:t>
      </w:r>
    </w:p>
    <w:p w14:paraId="2B650938" w14:textId="68709A94" w:rsidR="00D35C8D" w:rsidRPr="00387E60" w:rsidRDefault="00000000">
      <w:pPr>
        <w:spacing w:after="120" w:line="276" w:lineRule="auto"/>
        <w:ind w:firstLine="720"/>
        <w:jc w:val="both"/>
        <w:rPr>
          <w:rFonts w:eastAsia="Tahoma"/>
          <w:sz w:val="22"/>
          <w:szCs w:val="22"/>
        </w:rPr>
      </w:pPr>
      <w:r w:rsidRPr="00387E60">
        <w:rPr>
          <w:rFonts w:eastAsia="Tahoma"/>
          <w:sz w:val="22"/>
          <w:szCs w:val="22"/>
        </w:rPr>
        <w:t>En Brasil hubo en 2006 un importante cambio en la ley de drogas con la distinción de usuario/a/es y traficantes y la definición de diferentes penalidades. Para las personas usuarias en la teoría no se aplica más la pena de prisión, solo para traficantes</w:t>
      </w:r>
      <w:r w:rsidR="0033661D" w:rsidRPr="00387E60">
        <w:rPr>
          <w:rFonts w:eastAsia="Tahoma"/>
          <w:sz w:val="22"/>
          <w:szCs w:val="22"/>
        </w:rPr>
        <w:t>. L</w:t>
      </w:r>
      <w:r w:rsidRPr="00387E60">
        <w:rPr>
          <w:rFonts w:eastAsia="Tahoma"/>
          <w:sz w:val="22"/>
          <w:szCs w:val="22"/>
        </w:rPr>
        <w:t xml:space="preserve">a idea de la protección a la salud y de </w:t>
      </w:r>
      <w:r w:rsidRPr="00387E60">
        <w:rPr>
          <w:rFonts w:eastAsia="Tahoma"/>
          <w:sz w:val="22"/>
          <w:szCs w:val="22"/>
        </w:rPr>
        <w:lastRenderedPageBreak/>
        <w:t xml:space="preserve">un cambio </w:t>
      </w:r>
      <w:r w:rsidR="0033661D" w:rsidRPr="00387E60">
        <w:rPr>
          <w:rFonts w:eastAsia="Tahoma"/>
          <w:sz w:val="22"/>
          <w:szCs w:val="22"/>
        </w:rPr>
        <w:t xml:space="preserve">desde un enfoque </w:t>
      </w:r>
      <w:r w:rsidRPr="00387E60">
        <w:rPr>
          <w:rFonts w:eastAsia="Tahoma"/>
          <w:sz w:val="22"/>
          <w:szCs w:val="22"/>
        </w:rPr>
        <w:t xml:space="preserve">penal </w:t>
      </w:r>
      <w:r w:rsidR="0033661D" w:rsidRPr="00387E60">
        <w:rPr>
          <w:rFonts w:eastAsia="Tahoma"/>
          <w:sz w:val="22"/>
          <w:szCs w:val="22"/>
        </w:rPr>
        <w:t xml:space="preserve">hacia un enfoque </w:t>
      </w:r>
      <w:r w:rsidRPr="00387E60">
        <w:rPr>
          <w:rFonts w:eastAsia="Tahoma"/>
          <w:sz w:val="22"/>
          <w:szCs w:val="22"/>
        </w:rPr>
        <w:t xml:space="preserve">de salud fue una de las </w:t>
      </w:r>
      <w:r w:rsidR="0033661D" w:rsidRPr="00387E60">
        <w:rPr>
          <w:rFonts w:eastAsia="Tahoma"/>
          <w:sz w:val="22"/>
          <w:szCs w:val="22"/>
        </w:rPr>
        <w:t xml:space="preserve">justificaciones </w:t>
      </w:r>
      <w:r w:rsidRPr="00387E60">
        <w:rPr>
          <w:rFonts w:eastAsia="Tahoma"/>
          <w:sz w:val="22"/>
          <w:szCs w:val="22"/>
        </w:rPr>
        <w:t>para la nueva ley</w:t>
      </w:r>
      <w:r w:rsidRPr="00387E60">
        <w:rPr>
          <w:rFonts w:eastAsia="Tahoma"/>
          <w:sz w:val="22"/>
          <w:szCs w:val="22"/>
          <w:vertAlign w:val="superscript"/>
        </w:rPr>
        <w:footnoteReference w:id="10"/>
      </w:r>
      <w:r w:rsidRPr="00387E60">
        <w:rPr>
          <w:rFonts w:eastAsia="Tahoma"/>
          <w:sz w:val="22"/>
          <w:szCs w:val="22"/>
        </w:rPr>
        <w:t xml:space="preserve">. </w:t>
      </w:r>
      <w:r w:rsidR="005A5BB4">
        <w:rPr>
          <w:rFonts w:eastAsia="Tahoma"/>
          <w:sz w:val="22"/>
          <w:szCs w:val="22"/>
        </w:rPr>
        <w:t xml:space="preserve">Sin embargo, el consumo de drogas y la posesión para consumo personal siguen siendo un delito. </w:t>
      </w:r>
      <w:r w:rsidRPr="00387E60">
        <w:rPr>
          <w:rFonts w:eastAsia="Tahoma"/>
          <w:sz w:val="22"/>
          <w:szCs w:val="22"/>
        </w:rPr>
        <w:t>Según la Ley de Drogas 11.343/2006, se consideran delito los actos de adquisición, almacenamiento, transporte o cultivo de drogas para consumo personal, que tiene como pena, por ser menor el grado de desaprobación de la conducta, disposición de servicios a medidas comunitarias y educativas o de tratamiento.</w:t>
      </w:r>
    </w:p>
    <w:p w14:paraId="5E1F7219" w14:textId="77777777" w:rsidR="00D35C8D" w:rsidRPr="00387E60" w:rsidRDefault="00000000">
      <w:pPr>
        <w:spacing w:line="276" w:lineRule="auto"/>
        <w:ind w:firstLine="720"/>
        <w:jc w:val="both"/>
        <w:rPr>
          <w:rFonts w:eastAsia="Tahoma"/>
          <w:sz w:val="22"/>
          <w:szCs w:val="22"/>
        </w:rPr>
      </w:pPr>
      <w:r w:rsidRPr="00387E60">
        <w:rPr>
          <w:rFonts w:eastAsia="Tahoma"/>
          <w:sz w:val="22"/>
          <w:szCs w:val="22"/>
        </w:rPr>
        <w:t>La ley establece que, para determinar si la droga es para consumo personal, el juez deberá observar la cantidad, lugar y condiciones de la incautación, las circunstancias sociales y personales, así como la conducta y antecedentes del imputado. Según el artículo 28 "El que adquiera, guarde, almacene, transporte o traiga consigo, para consumo personal, drogas sin autorización o en disconformidad con determinaciones legales o reglamentarias, estará sujeto a las siguientes sanciones:</w:t>
      </w:r>
    </w:p>
    <w:p w14:paraId="7769113B" w14:textId="77777777" w:rsidR="00D35C8D" w:rsidRPr="00387E60" w:rsidRDefault="00000000">
      <w:pPr>
        <w:spacing w:line="276" w:lineRule="auto"/>
        <w:jc w:val="both"/>
        <w:rPr>
          <w:rFonts w:eastAsia="Tahoma"/>
          <w:sz w:val="22"/>
          <w:szCs w:val="22"/>
        </w:rPr>
      </w:pPr>
      <w:r w:rsidRPr="00387E60">
        <w:rPr>
          <w:rFonts w:eastAsia="Tahoma"/>
          <w:sz w:val="22"/>
          <w:szCs w:val="22"/>
        </w:rPr>
        <w:t>I - advertencia sobre los efectos de las drogas;</w:t>
      </w:r>
    </w:p>
    <w:p w14:paraId="14C6F0B5" w14:textId="77777777" w:rsidR="00D35C8D" w:rsidRPr="00387E60" w:rsidRDefault="00000000">
      <w:pPr>
        <w:spacing w:line="276" w:lineRule="auto"/>
        <w:jc w:val="both"/>
        <w:rPr>
          <w:rFonts w:eastAsia="Tahoma"/>
          <w:sz w:val="22"/>
          <w:szCs w:val="22"/>
        </w:rPr>
      </w:pPr>
      <w:r w:rsidRPr="00387E60">
        <w:rPr>
          <w:rFonts w:eastAsia="Tahoma"/>
          <w:sz w:val="22"/>
          <w:szCs w:val="22"/>
        </w:rPr>
        <w:t>II - prestación de servicios a la comunidad;</w:t>
      </w:r>
    </w:p>
    <w:p w14:paraId="2F0D155D" w14:textId="77777777" w:rsidR="00D35C8D" w:rsidRPr="00387E60" w:rsidRDefault="00000000">
      <w:pPr>
        <w:spacing w:line="276" w:lineRule="auto"/>
        <w:jc w:val="both"/>
        <w:rPr>
          <w:rFonts w:eastAsia="Tahoma"/>
          <w:sz w:val="22"/>
          <w:szCs w:val="22"/>
        </w:rPr>
      </w:pPr>
      <w:r w:rsidRPr="00387E60">
        <w:rPr>
          <w:rFonts w:eastAsia="Tahoma"/>
          <w:sz w:val="22"/>
          <w:szCs w:val="22"/>
        </w:rPr>
        <w:t>III- medida educativa de asistencia a un programa o curso educativo. "</w:t>
      </w:r>
    </w:p>
    <w:p w14:paraId="02252D8C" w14:textId="77777777" w:rsidR="0033661D" w:rsidRPr="00387E60" w:rsidRDefault="0033661D">
      <w:pPr>
        <w:spacing w:line="276" w:lineRule="auto"/>
        <w:jc w:val="both"/>
        <w:rPr>
          <w:rFonts w:eastAsia="Tahoma"/>
          <w:sz w:val="22"/>
          <w:szCs w:val="22"/>
        </w:rPr>
      </w:pPr>
    </w:p>
    <w:p w14:paraId="23F960D0" w14:textId="644C8071" w:rsidR="00D35C8D" w:rsidRPr="00387E60" w:rsidRDefault="00000000">
      <w:pPr>
        <w:spacing w:line="276" w:lineRule="auto"/>
        <w:jc w:val="both"/>
        <w:rPr>
          <w:rFonts w:eastAsia="Tahoma"/>
          <w:sz w:val="22"/>
          <w:szCs w:val="22"/>
        </w:rPr>
      </w:pPr>
      <w:r w:rsidRPr="00387E60">
        <w:rPr>
          <w:rFonts w:eastAsia="Tahoma"/>
          <w:sz w:val="22"/>
          <w:szCs w:val="22"/>
        </w:rPr>
        <w:t>En la realidad del encarcelamiento en Brasil por la ley de drogas, los jueces suelen juzgar a partir del perfilamiento racial y por condiciones de pobreza</w:t>
      </w:r>
      <w:r w:rsidR="005A5BB4">
        <w:rPr>
          <w:rFonts w:eastAsia="Tahoma"/>
          <w:sz w:val="22"/>
          <w:szCs w:val="22"/>
        </w:rPr>
        <w:t>. L</w:t>
      </w:r>
      <w:r w:rsidRPr="00387E60">
        <w:rPr>
          <w:rFonts w:eastAsia="Tahoma"/>
          <w:sz w:val="22"/>
          <w:szCs w:val="22"/>
        </w:rPr>
        <w:t xml:space="preserve">as personas blancas fácilmente son consideradas usuarias, portando drogas para consumo personal, y las personas negras, </w:t>
      </w:r>
      <w:r w:rsidR="0033661D" w:rsidRPr="00387E60">
        <w:rPr>
          <w:rFonts w:eastAsia="Tahoma"/>
          <w:sz w:val="22"/>
          <w:szCs w:val="22"/>
        </w:rPr>
        <w:t xml:space="preserve">aún </w:t>
      </w:r>
      <w:r w:rsidRPr="00387E60">
        <w:rPr>
          <w:rFonts w:eastAsia="Tahoma"/>
          <w:sz w:val="22"/>
          <w:szCs w:val="22"/>
        </w:rPr>
        <w:t>sin evidencias, son consideradas narcotraficantes con la pena de 10 a 15 años de encarcelamiento.</w:t>
      </w:r>
    </w:p>
    <w:p w14:paraId="6D73581A" w14:textId="77777777" w:rsidR="0033661D" w:rsidRPr="00387E60" w:rsidRDefault="0033661D">
      <w:pPr>
        <w:spacing w:line="276" w:lineRule="auto"/>
        <w:jc w:val="both"/>
        <w:rPr>
          <w:rFonts w:eastAsia="Tahoma"/>
          <w:sz w:val="22"/>
          <w:szCs w:val="22"/>
        </w:rPr>
      </w:pPr>
    </w:p>
    <w:p w14:paraId="284C6F2C" w14:textId="65E84B5C" w:rsidR="00252080" w:rsidRDefault="00000000">
      <w:pPr>
        <w:spacing w:after="120" w:line="276" w:lineRule="auto"/>
        <w:jc w:val="both"/>
        <w:rPr>
          <w:rFonts w:eastAsia="Tahoma"/>
          <w:sz w:val="22"/>
          <w:szCs w:val="22"/>
        </w:rPr>
      </w:pPr>
      <w:r w:rsidRPr="00387E60">
        <w:rPr>
          <w:rFonts w:eastAsia="Tahoma"/>
          <w:sz w:val="22"/>
          <w:szCs w:val="22"/>
          <w:highlight w:val="white"/>
        </w:rPr>
        <w:t xml:space="preserve">Uno de los efectos de la nueva ley ha sido el encarcelamiento </w:t>
      </w:r>
      <w:r w:rsidR="0033661D" w:rsidRPr="00387E60">
        <w:rPr>
          <w:rFonts w:eastAsia="Tahoma"/>
          <w:sz w:val="22"/>
          <w:szCs w:val="22"/>
          <w:highlight w:val="white"/>
        </w:rPr>
        <w:t xml:space="preserve">masivo </w:t>
      </w:r>
      <w:r w:rsidRPr="00387E60">
        <w:rPr>
          <w:rFonts w:eastAsia="Tahoma"/>
          <w:sz w:val="22"/>
          <w:szCs w:val="22"/>
          <w:highlight w:val="white"/>
        </w:rPr>
        <w:t xml:space="preserve">de personas negras, sobre todo mujeres negras (Malheiro,2020). </w:t>
      </w:r>
      <w:r w:rsidRPr="00387E60">
        <w:rPr>
          <w:rFonts w:eastAsia="Tahoma"/>
          <w:sz w:val="22"/>
          <w:szCs w:val="22"/>
        </w:rPr>
        <w:t>La criminalización es una importante barrera de acceso a derechos económicos, sociales y a la salud, ya que la privación de libertad genera violaciones de derechos con episodios de torturas a las personas presas. Hoy muchas mujeres negras tienen que cuidarse de cuestiones de consumo problemático de sustancia en la cárcel con un tratamiento basado en la super medicalización.</w:t>
      </w:r>
    </w:p>
    <w:p w14:paraId="7B9846ED" w14:textId="77777777" w:rsidR="005A5BB4" w:rsidRPr="00FE1961" w:rsidRDefault="005A5BB4">
      <w:pPr>
        <w:spacing w:after="120" w:line="276" w:lineRule="auto"/>
        <w:jc w:val="both"/>
        <w:rPr>
          <w:rFonts w:eastAsia="Tahoma"/>
          <w:sz w:val="22"/>
          <w:szCs w:val="22"/>
        </w:rPr>
      </w:pPr>
    </w:p>
    <w:p w14:paraId="172C462A" w14:textId="6435C248" w:rsidR="00D35C8D" w:rsidRPr="00387E60" w:rsidRDefault="00000000">
      <w:pPr>
        <w:spacing w:after="120" w:line="276" w:lineRule="auto"/>
        <w:jc w:val="both"/>
        <w:rPr>
          <w:rFonts w:eastAsia="Tahoma"/>
          <w:sz w:val="22"/>
          <w:szCs w:val="22"/>
        </w:rPr>
      </w:pPr>
      <w:r w:rsidRPr="00387E60">
        <w:rPr>
          <w:rFonts w:eastAsia="Tahoma"/>
          <w:sz w:val="22"/>
          <w:szCs w:val="22"/>
          <w:highlight w:val="white"/>
        </w:rPr>
        <w:t>De ese modo, con el pretexto de proteger la salud pública, se deja de proteger la vida y se ignoran los efectos perversos que alcanzan a la sociedad al aplicar la ley de drogas.</w:t>
      </w:r>
      <w:r w:rsidRPr="00387E60">
        <w:rPr>
          <w:rFonts w:eastAsia="Tahoma"/>
          <w:sz w:val="22"/>
          <w:szCs w:val="22"/>
        </w:rPr>
        <w:t xml:space="preserve"> Según Rodrigues (2020), la respuesta de las autoridades estatales y del gobierno federal de Brasil ha sido prioritariamente mantener políticas “duras” contra el narcotráfico. Sin embargo, estas políticas terminan influyendo en las desigualdades, afectando de manera desproporcionada a la población pobre y negra, lo cual sobrecarga al sistema penitenciario brasileño. Es importante observar esto en el contexto de varios países latinoamericanos, donde hoy se desarrolla una ofensiva política y económica conservadora y neoliberal como respuesta a los procesos de expansión de derechos implementados en las últimas décadas.</w:t>
      </w:r>
    </w:p>
    <w:p w14:paraId="263D15DF" w14:textId="5130E319" w:rsidR="00387E60" w:rsidRPr="00387E60" w:rsidRDefault="00387E60" w:rsidP="005A5BB4">
      <w:pPr>
        <w:spacing w:line="308" w:lineRule="auto"/>
        <w:ind w:firstLine="720"/>
        <w:jc w:val="both"/>
        <w:rPr>
          <w:rFonts w:eastAsia="Arial"/>
          <w:color w:val="202124"/>
          <w:sz w:val="22"/>
          <w:szCs w:val="22"/>
        </w:rPr>
      </w:pPr>
      <w:r w:rsidRPr="00387E60">
        <w:rPr>
          <w:rFonts w:eastAsia="Arial"/>
          <w:color w:val="202124"/>
          <w:sz w:val="22"/>
          <w:szCs w:val="22"/>
        </w:rPr>
        <w:t xml:space="preserve">El Tribunal Supremo Federal </w:t>
      </w:r>
      <w:r w:rsidR="005A5BB4">
        <w:rPr>
          <w:rFonts w:eastAsia="Arial"/>
          <w:color w:val="202124"/>
          <w:sz w:val="22"/>
          <w:szCs w:val="22"/>
        </w:rPr>
        <w:t>está incurso en el proceso de votar</w:t>
      </w:r>
      <w:r w:rsidR="00E90684">
        <w:rPr>
          <w:rFonts w:eastAsia="Arial"/>
          <w:color w:val="202124"/>
          <w:sz w:val="22"/>
          <w:szCs w:val="22"/>
        </w:rPr>
        <w:t xml:space="preserve"> sobre</w:t>
      </w:r>
      <w:r w:rsidR="005A5BB4">
        <w:rPr>
          <w:rFonts w:eastAsia="Arial"/>
          <w:color w:val="202124"/>
          <w:sz w:val="22"/>
          <w:szCs w:val="22"/>
        </w:rPr>
        <w:t xml:space="preserve"> </w:t>
      </w:r>
      <w:r w:rsidRPr="00387E60">
        <w:rPr>
          <w:rFonts w:eastAsia="Arial"/>
          <w:color w:val="202124"/>
          <w:sz w:val="22"/>
          <w:szCs w:val="22"/>
        </w:rPr>
        <w:t>el recurso extraordinario RE 635659</w:t>
      </w:r>
      <w:r w:rsidRPr="00387E60">
        <w:rPr>
          <w:rFonts w:eastAsia="Arial"/>
          <w:color w:val="202124"/>
          <w:sz w:val="22"/>
          <w:szCs w:val="22"/>
          <w:vertAlign w:val="superscript"/>
        </w:rPr>
        <w:footnoteReference w:id="11"/>
      </w:r>
      <w:r w:rsidRPr="00387E60">
        <w:rPr>
          <w:rFonts w:eastAsia="Arial"/>
          <w:color w:val="202124"/>
          <w:sz w:val="22"/>
          <w:szCs w:val="22"/>
        </w:rPr>
        <w:t xml:space="preserve"> en el que se discute, a la luz del art. 5, X, de la Constitución Federal, la compatibilidad, o </w:t>
      </w:r>
      <w:r w:rsidRPr="00387E60">
        <w:rPr>
          <w:rFonts w:eastAsia="Arial"/>
          <w:color w:val="202124"/>
          <w:sz w:val="22"/>
          <w:szCs w:val="22"/>
        </w:rPr>
        <w:lastRenderedPageBreak/>
        <w:t xml:space="preserve">no, del art. 28 de la Ley 11.343/2006, que tipifica la posesión de drogas para consumo personal, con los principios constitucionales de la intimidad y la vida privada. Por primera vez en la historia del país, el </w:t>
      </w:r>
      <w:r w:rsidR="00E90684">
        <w:rPr>
          <w:rFonts w:eastAsia="Arial"/>
          <w:color w:val="202124"/>
          <w:sz w:val="22"/>
          <w:szCs w:val="22"/>
        </w:rPr>
        <w:t xml:space="preserve">Tribunal Supremo Federal </w:t>
      </w:r>
      <w:r w:rsidR="005A5BB4">
        <w:rPr>
          <w:rFonts w:eastAsia="Arial"/>
          <w:color w:val="202124"/>
          <w:sz w:val="22"/>
          <w:szCs w:val="22"/>
        </w:rPr>
        <w:t xml:space="preserve">podría decriminaizar </w:t>
      </w:r>
      <w:r w:rsidRPr="00387E60">
        <w:rPr>
          <w:rFonts w:eastAsia="Arial"/>
          <w:color w:val="202124"/>
          <w:sz w:val="22"/>
          <w:szCs w:val="22"/>
        </w:rPr>
        <w:t>la posesión de drogas para consumo personal. Aunque pequeño, este avance contribu</w:t>
      </w:r>
      <w:r w:rsidR="005A5BB4">
        <w:rPr>
          <w:rFonts w:eastAsia="Arial"/>
          <w:color w:val="202124"/>
          <w:sz w:val="22"/>
          <w:szCs w:val="22"/>
        </w:rPr>
        <w:t xml:space="preserve">iría </w:t>
      </w:r>
      <w:r w:rsidRPr="00387E60">
        <w:rPr>
          <w:rFonts w:eastAsia="Arial"/>
          <w:color w:val="202124"/>
          <w:sz w:val="22"/>
          <w:szCs w:val="22"/>
        </w:rPr>
        <w:t>a la formulación de otros hitos de la política de drogas en Brasil, además de descalificar el encarcelamiento de un gran número de jóvenes negros. La política de drogas necesita cambios urgentes, que van desde la legislación y las políticas públicas en el campo de la salud hasta la asistencia social.</w:t>
      </w:r>
      <w:r w:rsidR="005A5BB4">
        <w:rPr>
          <w:rFonts w:eastAsia="Arial"/>
          <w:color w:val="202124"/>
          <w:sz w:val="22"/>
          <w:szCs w:val="22"/>
        </w:rPr>
        <w:t xml:space="preserve"> Una recomendación del Comité en favor de la descriminalización del consumo y posesión para consumo personal sería altamente </w:t>
      </w:r>
      <w:r w:rsidR="00E90684">
        <w:rPr>
          <w:rFonts w:eastAsia="Arial"/>
          <w:color w:val="202124"/>
          <w:sz w:val="22"/>
          <w:szCs w:val="22"/>
        </w:rPr>
        <w:t>relevante para el proceso que se sigue ante el Tribunal Supremo Federal.</w:t>
      </w:r>
    </w:p>
    <w:p w14:paraId="7DA6F23E" w14:textId="77777777" w:rsidR="00387E60" w:rsidRPr="00387E60" w:rsidRDefault="00387E60">
      <w:pPr>
        <w:spacing w:after="120" w:line="276" w:lineRule="auto"/>
        <w:jc w:val="both"/>
        <w:rPr>
          <w:rFonts w:eastAsia="Tahoma"/>
          <w:sz w:val="22"/>
          <w:szCs w:val="22"/>
        </w:rPr>
      </w:pPr>
    </w:p>
    <w:p w14:paraId="73C2EB19" w14:textId="77777777" w:rsidR="00387E60" w:rsidRPr="00387E60" w:rsidRDefault="00387E60">
      <w:pPr>
        <w:spacing w:after="120" w:line="276" w:lineRule="auto"/>
        <w:jc w:val="both"/>
        <w:rPr>
          <w:rFonts w:eastAsia="Tahoma"/>
          <w:sz w:val="22"/>
          <w:szCs w:val="22"/>
        </w:rPr>
      </w:pPr>
    </w:p>
    <w:p w14:paraId="3E46CEFD" w14:textId="35B57AFA" w:rsidR="00CC0E8E" w:rsidRPr="00FE1961" w:rsidRDefault="00CC0E8E">
      <w:pPr>
        <w:spacing w:after="120" w:line="276" w:lineRule="auto"/>
        <w:jc w:val="both"/>
        <w:rPr>
          <w:rFonts w:eastAsia="Tahoma"/>
          <w:b/>
          <w:sz w:val="22"/>
          <w:szCs w:val="22"/>
          <w:u w:val="single"/>
        </w:rPr>
      </w:pPr>
      <w:r w:rsidRPr="00387E60">
        <w:rPr>
          <w:rFonts w:eastAsia="Tahoma"/>
          <w:b/>
          <w:sz w:val="22"/>
          <w:szCs w:val="22"/>
          <w:u w:val="single"/>
        </w:rPr>
        <w:t>Derecho a la salud (Artículo 12 ICESCR)</w:t>
      </w:r>
    </w:p>
    <w:p w14:paraId="188C8610" w14:textId="77777777" w:rsidR="00D35C8D" w:rsidRPr="00387E60" w:rsidRDefault="00000000">
      <w:pPr>
        <w:spacing w:after="120" w:line="276" w:lineRule="auto"/>
        <w:jc w:val="both"/>
        <w:rPr>
          <w:rFonts w:eastAsia="Tahoma"/>
          <w:b/>
          <w:sz w:val="22"/>
          <w:szCs w:val="22"/>
        </w:rPr>
      </w:pPr>
      <w:r w:rsidRPr="00387E60">
        <w:rPr>
          <w:rFonts w:eastAsia="Tahoma"/>
          <w:b/>
          <w:sz w:val="22"/>
          <w:szCs w:val="22"/>
        </w:rPr>
        <w:t>Personas privadas de libertad</w:t>
      </w:r>
    </w:p>
    <w:p w14:paraId="61FFCE41" w14:textId="77777777" w:rsidR="00D35C8D" w:rsidRPr="00387E60" w:rsidRDefault="00000000">
      <w:pPr>
        <w:spacing w:after="120" w:line="276" w:lineRule="auto"/>
        <w:jc w:val="both"/>
        <w:rPr>
          <w:rFonts w:eastAsia="Tahoma"/>
          <w:sz w:val="22"/>
          <w:szCs w:val="22"/>
        </w:rPr>
      </w:pPr>
      <w:r w:rsidRPr="00387E60">
        <w:rPr>
          <w:rFonts w:eastAsia="Tahoma"/>
          <w:sz w:val="22"/>
          <w:szCs w:val="22"/>
        </w:rPr>
        <w:t>El sistema penitenciario en Brasil sufre de sobrepoblación y condiciones inhumanas, lo que afecta de manera desproporcionada a personas en situación de vulnerabilidad, incluidos aquellos, aquellas y aquelles acusades de delitos relacionados con drogas. La falta de acceso a atención médica adecuada y el aumento del riesgo de transmisión de enfermedades son problemas críticos en este entorno. La criminalización en cárceles y detenciones perpetúa un ciclo de violencia y marginalización.</w:t>
      </w:r>
    </w:p>
    <w:p w14:paraId="2D988787" w14:textId="77777777" w:rsidR="00D35C8D" w:rsidRPr="00387E60" w:rsidRDefault="00000000">
      <w:pPr>
        <w:spacing w:line="276" w:lineRule="auto"/>
        <w:jc w:val="both"/>
        <w:rPr>
          <w:rFonts w:eastAsia="Tahoma"/>
          <w:sz w:val="22"/>
          <w:szCs w:val="22"/>
        </w:rPr>
      </w:pPr>
      <w:r w:rsidRPr="00387E60">
        <w:rPr>
          <w:rFonts w:eastAsia="Tahoma"/>
          <w:sz w:val="22"/>
          <w:szCs w:val="22"/>
        </w:rPr>
        <w:t xml:space="preserve">Brasil tiene la tercera población carcelaria más grande del mundo (DEPEN, 2020). Ajustando la lupa sobre una de las facetas del genocidio negro brasileno, y adoptando como regla el analises interseccional, observamos que Brasil cuenta con más de 42 mil mujeres encarceladas, ocupando el quarto lugar del ranking mundial, el 62% de las cuales son mujeres negras o pardas, según datos del INFOPEN (2022). Datos de la Secretaría Nacional de Política Penal, que datan del período de enero a junio de 2022, muestran que el número de personas privadas de la libertad en Brasil supera las 660.000. De este universo, más de 190.000 se encuentran en prisión provisional, es decir, sin condena definitiva. Esto significa, en términos generales, que el 28,8% de los encarcelados no han recibido condena. </w:t>
      </w:r>
    </w:p>
    <w:p w14:paraId="7BA4A446" w14:textId="77777777" w:rsidR="00252080" w:rsidRPr="00387E60" w:rsidRDefault="00252080">
      <w:pPr>
        <w:spacing w:line="276" w:lineRule="auto"/>
        <w:jc w:val="both"/>
        <w:rPr>
          <w:rFonts w:eastAsia="Tahoma"/>
          <w:sz w:val="22"/>
          <w:szCs w:val="22"/>
        </w:rPr>
      </w:pPr>
    </w:p>
    <w:p w14:paraId="4F941FCE" w14:textId="77777777" w:rsidR="00D35C8D" w:rsidRPr="00387E60" w:rsidRDefault="00000000">
      <w:pPr>
        <w:spacing w:line="276" w:lineRule="auto"/>
        <w:jc w:val="both"/>
        <w:rPr>
          <w:rFonts w:eastAsia="Tahoma"/>
          <w:sz w:val="22"/>
          <w:szCs w:val="22"/>
        </w:rPr>
      </w:pPr>
      <w:r w:rsidRPr="00387E60">
        <w:rPr>
          <w:rFonts w:eastAsia="Tahoma"/>
          <w:sz w:val="22"/>
          <w:szCs w:val="22"/>
        </w:rPr>
        <w:t>Según datos de la Secretaría Nacional de Políticas Penales, organismo del Ministerio de Justicia y Seguridad Pública, casi el 28% de la población penitenciaria del país está privada de libertad por delitos previstos en la Ley de Drogas. En el caso de las prisiones departamentales, por ejemplo, donde hubo un total de 659.351 personas detenidas provisionalmente o condenadas en el primer semestre de 2022 (datos más recientes), 182.958 fueron arrestadas por este tipo de delitos, el 27,75% del total.</w:t>
      </w:r>
    </w:p>
    <w:p w14:paraId="6F937BD9" w14:textId="77777777" w:rsidR="00252080" w:rsidRPr="00387E60" w:rsidRDefault="00252080">
      <w:pPr>
        <w:spacing w:line="276" w:lineRule="auto"/>
        <w:jc w:val="both"/>
        <w:rPr>
          <w:rFonts w:eastAsia="Tahoma"/>
          <w:sz w:val="22"/>
          <w:szCs w:val="22"/>
        </w:rPr>
      </w:pPr>
    </w:p>
    <w:p w14:paraId="009512E8" w14:textId="77777777" w:rsidR="00D35C8D" w:rsidRPr="00387E60" w:rsidRDefault="00000000">
      <w:pPr>
        <w:spacing w:line="276" w:lineRule="auto"/>
        <w:jc w:val="both"/>
        <w:rPr>
          <w:rFonts w:eastAsia="Tahoma"/>
          <w:sz w:val="22"/>
          <w:szCs w:val="22"/>
        </w:rPr>
      </w:pPr>
      <w:r w:rsidRPr="00387E60">
        <w:rPr>
          <w:rFonts w:eastAsia="Tahoma"/>
          <w:sz w:val="22"/>
          <w:szCs w:val="22"/>
        </w:rPr>
        <w:t>Un estudio reciente del Instituto de Investigaciones Económicas Aplicadas (Ipea), que analizó una muestra de casos juzgados en primera instancia judicial en todo el país en el primer semestre de 2019</w:t>
      </w:r>
      <w:r w:rsidRPr="00387E60">
        <w:rPr>
          <w:rFonts w:eastAsia="Tahoma"/>
          <w:sz w:val="22"/>
          <w:szCs w:val="22"/>
          <w:vertAlign w:val="superscript"/>
        </w:rPr>
        <w:footnoteReference w:id="12"/>
      </w:r>
      <w:r w:rsidRPr="00387E60">
        <w:rPr>
          <w:rFonts w:eastAsia="Tahoma"/>
          <w:sz w:val="22"/>
          <w:szCs w:val="22"/>
        </w:rPr>
        <w:t>, estimó que el 58,7% de los imputados que respondieron por tráfico de marihuana portaban hasta 150 gramos. Y sólo el 11,1% portaba más de dos kilos de la droga.</w:t>
      </w:r>
    </w:p>
    <w:p w14:paraId="4C28753E" w14:textId="77777777" w:rsidR="00252080" w:rsidRPr="00387E60" w:rsidRDefault="00252080">
      <w:pPr>
        <w:spacing w:line="276" w:lineRule="auto"/>
        <w:jc w:val="both"/>
        <w:rPr>
          <w:rFonts w:eastAsia="Tahoma"/>
          <w:sz w:val="22"/>
          <w:szCs w:val="22"/>
        </w:rPr>
      </w:pPr>
    </w:p>
    <w:p w14:paraId="7203056D" w14:textId="0F158000" w:rsidR="00D35C8D" w:rsidRPr="00387E60" w:rsidRDefault="00000000">
      <w:pPr>
        <w:spacing w:line="276" w:lineRule="auto"/>
        <w:jc w:val="both"/>
        <w:rPr>
          <w:rFonts w:eastAsia="Tahoma"/>
          <w:sz w:val="22"/>
          <w:szCs w:val="22"/>
        </w:rPr>
      </w:pPr>
      <w:r w:rsidRPr="00387E60">
        <w:rPr>
          <w:rFonts w:eastAsia="Tahoma"/>
          <w:sz w:val="22"/>
          <w:szCs w:val="22"/>
        </w:rPr>
        <w:lastRenderedPageBreak/>
        <w:t xml:space="preserve">A continuación tenemos la narrativa de una mujer, joven, negra usuaria de sustancias que fue encarcelada provisionalmente y </w:t>
      </w:r>
      <w:r w:rsidR="00252080" w:rsidRPr="00387E60">
        <w:rPr>
          <w:rFonts w:eastAsia="Tahoma"/>
          <w:sz w:val="22"/>
          <w:szCs w:val="22"/>
        </w:rPr>
        <w:t xml:space="preserve">estuvo </w:t>
      </w:r>
      <w:r w:rsidRPr="00387E60">
        <w:rPr>
          <w:rFonts w:eastAsia="Tahoma"/>
          <w:sz w:val="22"/>
          <w:szCs w:val="22"/>
        </w:rPr>
        <w:t xml:space="preserve">8 meses en </w:t>
      </w:r>
      <w:r w:rsidR="00252080" w:rsidRPr="00387E60">
        <w:rPr>
          <w:rFonts w:eastAsia="Tahoma"/>
          <w:sz w:val="22"/>
          <w:szCs w:val="22"/>
        </w:rPr>
        <w:t xml:space="preserve">prisión </w:t>
      </w:r>
      <w:r w:rsidRPr="00387E60">
        <w:rPr>
          <w:rFonts w:eastAsia="Tahoma"/>
          <w:sz w:val="22"/>
          <w:szCs w:val="22"/>
        </w:rPr>
        <w:t>sin condena, involucrándose também con organizaciones del mercado ilícito, ya que lideran los presidios en Brasil:</w:t>
      </w:r>
    </w:p>
    <w:p w14:paraId="78F41ACF" w14:textId="77777777" w:rsidR="00D35C8D" w:rsidRPr="00387E60" w:rsidRDefault="00D35C8D">
      <w:pPr>
        <w:spacing w:line="276" w:lineRule="auto"/>
        <w:jc w:val="both"/>
        <w:rPr>
          <w:rFonts w:eastAsia="Tahoma"/>
          <w:sz w:val="22"/>
          <w:szCs w:val="22"/>
        </w:rPr>
      </w:pPr>
    </w:p>
    <w:p w14:paraId="47B5784D" w14:textId="46DC2B9C" w:rsidR="00D35C8D" w:rsidRPr="00387E60" w:rsidRDefault="00000000" w:rsidP="00FE1961">
      <w:pPr>
        <w:spacing w:line="276" w:lineRule="auto"/>
        <w:ind w:left="720"/>
        <w:jc w:val="both"/>
        <w:rPr>
          <w:rFonts w:eastAsia="Tahoma"/>
          <w:sz w:val="22"/>
          <w:szCs w:val="22"/>
        </w:rPr>
      </w:pPr>
      <w:r w:rsidRPr="00387E60">
        <w:rPr>
          <w:rFonts w:eastAsia="Tahoma"/>
          <w:i/>
          <w:sz w:val="22"/>
          <w:szCs w:val="22"/>
        </w:rPr>
        <w:t xml:space="preserve">"Estuve presa durante 8 meses esperando ser juzgada. Fueron los peores 8 meses de mi vida. Fue detenida </w:t>
      </w:r>
      <w:r w:rsidR="00252080" w:rsidRPr="00387E60">
        <w:rPr>
          <w:rFonts w:eastAsia="Tahoma"/>
          <w:i/>
          <w:sz w:val="22"/>
          <w:szCs w:val="22"/>
        </w:rPr>
        <w:t>por consumo de drogas</w:t>
      </w:r>
      <w:r w:rsidRPr="00387E60">
        <w:rPr>
          <w:rFonts w:eastAsia="Tahoma"/>
          <w:i/>
          <w:sz w:val="22"/>
          <w:szCs w:val="22"/>
        </w:rPr>
        <w:t>, no estaba traficando, ¡ni siquiera tenía drogas conmigo! Cuando el policía me llevó, repetía que yo era demasiado joven para estar así en la calle, que ese no era un lugar para mujeres</w:t>
      </w:r>
      <w:r w:rsidRPr="00387E60">
        <w:rPr>
          <w:rFonts w:eastAsia="Tahoma"/>
          <w:sz w:val="22"/>
          <w:szCs w:val="22"/>
        </w:rPr>
        <w:t>."</w:t>
      </w:r>
    </w:p>
    <w:p w14:paraId="17D4FA9E" w14:textId="77777777" w:rsidR="00D35C8D" w:rsidRPr="00387E60" w:rsidRDefault="00D35C8D">
      <w:pPr>
        <w:widowControl w:val="0"/>
        <w:spacing w:line="276" w:lineRule="auto"/>
        <w:jc w:val="both"/>
        <w:rPr>
          <w:rFonts w:eastAsia="Tahoma"/>
          <w:sz w:val="22"/>
          <w:szCs w:val="22"/>
        </w:rPr>
      </w:pPr>
    </w:p>
    <w:p w14:paraId="609F2E4D" w14:textId="19DE9B25" w:rsidR="00D35C8D" w:rsidRPr="00387E60" w:rsidRDefault="00000000">
      <w:pPr>
        <w:spacing w:line="276" w:lineRule="auto"/>
        <w:jc w:val="both"/>
        <w:rPr>
          <w:rFonts w:eastAsia="Tahoma"/>
          <w:sz w:val="22"/>
          <w:szCs w:val="22"/>
        </w:rPr>
      </w:pPr>
      <w:r w:rsidRPr="00387E60">
        <w:rPr>
          <w:rFonts w:eastAsia="Tahoma"/>
          <w:sz w:val="22"/>
          <w:szCs w:val="22"/>
        </w:rPr>
        <w:t xml:space="preserve">Es posible observar también el sexismo en el abordaje policial. Otra cuestión importante es que los productos de higiene personal para mujeres no </w:t>
      </w:r>
      <w:r w:rsidR="00252080" w:rsidRPr="00387E60">
        <w:rPr>
          <w:rFonts w:eastAsia="Tahoma"/>
          <w:sz w:val="22"/>
          <w:szCs w:val="22"/>
        </w:rPr>
        <w:t>están disponibles en prisión</w:t>
      </w:r>
      <w:r w:rsidRPr="00387E60">
        <w:rPr>
          <w:rFonts w:eastAsia="Tahoma"/>
          <w:sz w:val="22"/>
          <w:szCs w:val="22"/>
        </w:rPr>
        <w:t>, son organizaciones de la sociedad civil que hacen el trabajo de distribución de tampones por ejemplo.</w:t>
      </w:r>
    </w:p>
    <w:p w14:paraId="55C034EF" w14:textId="77777777" w:rsidR="00D35C8D" w:rsidRPr="00387E60" w:rsidRDefault="00D35C8D">
      <w:pPr>
        <w:spacing w:line="276" w:lineRule="auto"/>
        <w:jc w:val="both"/>
        <w:rPr>
          <w:rFonts w:eastAsia="Tahoma"/>
          <w:sz w:val="22"/>
          <w:szCs w:val="22"/>
        </w:rPr>
      </w:pPr>
    </w:p>
    <w:p w14:paraId="49BBA36B" w14:textId="5DA0C664" w:rsidR="00D35C8D" w:rsidRPr="00387E60" w:rsidRDefault="00000000">
      <w:pPr>
        <w:spacing w:line="276" w:lineRule="auto"/>
        <w:jc w:val="both"/>
        <w:rPr>
          <w:rFonts w:eastAsia="Tahoma"/>
          <w:sz w:val="22"/>
          <w:szCs w:val="22"/>
        </w:rPr>
      </w:pPr>
      <w:r w:rsidRPr="00387E60">
        <w:rPr>
          <w:rFonts w:eastAsia="Tahoma"/>
          <w:sz w:val="22"/>
          <w:szCs w:val="22"/>
        </w:rPr>
        <w:t xml:space="preserve">Las organizaciones del mercado ilícito de sustancias nacieron y se fortalecieron en Brasil en </w:t>
      </w:r>
      <w:r w:rsidR="00252080" w:rsidRPr="00387E60">
        <w:rPr>
          <w:rFonts w:eastAsia="Tahoma"/>
          <w:sz w:val="22"/>
          <w:szCs w:val="22"/>
        </w:rPr>
        <w:t xml:space="preserve">la prisión </w:t>
      </w:r>
      <w:r w:rsidRPr="00387E60">
        <w:rPr>
          <w:rFonts w:eastAsia="Tahoma"/>
          <w:sz w:val="22"/>
          <w:szCs w:val="22"/>
        </w:rPr>
        <w:t>(Lima, 2017)</w:t>
      </w:r>
      <w:r w:rsidRPr="00387E60">
        <w:rPr>
          <w:rFonts w:eastAsia="Tahoma"/>
          <w:sz w:val="22"/>
          <w:szCs w:val="22"/>
          <w:vertAlign w:val="superscript"/>
        </w:rPr>
        <w:footnoteReference w:id="13"/>
      </w:r>
      <w:r w:rsidR="00252080" w:rsidRPr="00387E60">
        <w:rPr>
          <w:rFonts w:eastAsia="Tahoma"/>
          <w:sz w:val="22"/>
          <w:szCs w:val="22"/>
        </w:rPr>
        <w:t>.</w:t>
      </w:r>
      <w:r w:rsidRPr="00387E60">
        <w:rPr>
          <w:rFonts w:eastAsia="Tahoma"/>
          <w:sz w:val="22"/>
          <w:szCs w:val="22"/>
        </w:rPr>
        <w:t xml:space="preserve"> </w:t>
      </w:r>
      <w:r w:rsidR="00252080" w:rsidRPr="00387E60">
        <w:rPr>
          <w:rFonts w:eastAsia="Tahoma"/>
          <w:sz w:val="22"/>
          <w:szCs w:val="22"/>
        </w:rPr>
        <w:t>E</w:t>
      </w:r>
      <w:r w:rsidRPr="00387E60">
        <w:rPr>
          <w:rFonts w:eastAsia="Tahoma"/>
          <w:sz w:val="22"/>
          <w:szCs w:val="22"/>
        </w:rPr>
        <w:t xml:space="preserve">ntonces muchas veces, para organizarse en </w:t>
      </w:r>
      <w:r w:rsidR="00252080" w:rsidRPr="00387E60">
        <w:rPr>
          <w:rFonts w:eastAsia="Tahoma"/>
          <w:sz w:val="22"/>
          <w:szCs w:val="22"/>
        </w:rPr>
        <w:t>l</w:t>
      </w:r>
      <w:r w:rsidR="00E90684">
        <w:rPr>
          <w:rFonts w:eastAsia="Tahoma"/>
          <w:sz w:val="22"/>
          <w:szCs w:val="22"/>
        </w:rPr>
        <w:t>a</w:t>
      </w:r>
      <w:r w:rsidR="00252080" w:rsidRPr="00387E60">
        <w:rPr>
          <w:rFonts w:eastAsia="Tahoma"/>
          <w:sz w:val="22"/>
          <w:szCs w:val="22"/>
        </w:rPr>
        <w:t xml:space="preserve"> aprisión </w:t>
      </w:r>
      <w:r w:rsidRPr="00387E60">
        <w:rPr>
          <w:rFonts w:eastAsia="Tahoma"/>
          <w:sz w:val="22"/>
          <w:szCs w:val="22"/>
        </w:rPr>
        <w:t xml:space="preserve">las personas presas tienen que involucrarse con el sistema de las organizaciones del mercado ilícito para garantizar protección y lucha por derechos. El ingreso </w:t>
      </w:r>
      <w:r w:rsidR="00252080" w:rsidRPr="00387E60">
        <w:rPr>
          <w:rFonts w:eastAsia="Tahoma"/>
          <w:sz w:val="22"/>
          <w:szCs w:val="22"/>
        </w:rPr>
        <w:t xml:space="preserve">en prisión </w:t>
      </w:r>
      <w:r w:rsidRPr="00387E60">
        <w:rPr>
          <w:rFonts w:eastAsia="Tahoma"/>
          <w:sz w:val="22"/>
          <w:szCs w:val="22"/>
        </w:rPr>
        <w:t>para muchas personas significó también en ingreso a organizaciones paraestatales. En Brasil, algunas organizaciones de la sociedad civil son responsables por organizar la lucha anti-</w:t>
      </w:r>
      <w:r w:rsidR="00252080" w:rsidRPr="00387E60">
        <w:rPr>
          <w:rFonts w:eastAsia="Tahoma"/>
          <w:sz w:val="22"/>
          <w:szCs w:val="22"/>
        </w:rPr>
        <w:t xml:space="preserve">carcelario </w:t>
      </w:r>
      <w:r w:rsidRPr="00387E60">
        <w:rPr>
          <w:rFonts w:eastAsia="Tahoma"/>
          <w:sz w:val="22"/>
          <w:szCs w:val="22"/>
        </w:rPr>
        <w:t xml:space="preserve">con destaque </w:t>
      </w:r>
      <w:r w:rsidR="00252080" w:rsidRPr="00387E60">
        <w:rPr>
          <w:rFonts w:eastAsia="Tahoma"/>
          <w:sz w:val="22"/>
          <w:szCs w:val="22"/>
        </w:rPr>
        <w:t>de</w:t>
      </w:r>
      <w:r w:rsidRPr="00387E60">
        <w:rPr>
          <w:rFonts w:eastAsia="Tahoma"/>
          <w:sz w:val="22"/>
          <w:szCs w:val="22"/>
        </w:rPr>
        <w:t xml:space="preserve"> organizaciones de personas presas y familiares, </w:t>
      </w:r>
      <w:r w:rsidR="00252080" w:rsidRPr="00387E60">
        <w:rPr>
          <w:rFonts w:eastAsia="Tahoma"/>
          <w:sz w:val="22"/>
          <w:szCs w:val="22"/>
        </w:rPr>
        <w:t>por ejemplo la</w:t>
      </w:r>
      <w:r w:rsidRPr="00387E60">
        <w:rPr>
          <w:rFonts w:eastAsia="Tahoma"/>
          <w:sz w:val="22"/>
          <w:szCs w:val="22"/>
        </w:rPr>
        <w:t xml:space="preserve"> </w:t>
      </w:r>
      <w:r w:rsidRPr="00387E60">
        <w:rPr>
          <w:rFonts w:eastAsia="Tahoma"/>
          <w:i/>
          <w:sz w:val="22"/>
          <w:szCs w:val="22"/>
        </w:rPr>
        <w:t>Agenda Nacional por el Desencarceramento</w:t>
      </w:r>
      <w:r w:rsidRPr="00387E60">
        <w:rPr>
          <w:rFonts w:eastAsia="Tahoma"/>
          <w:i/>
          <w:sz w:val="22"/>
          <w:szCs w:val="22"/>
          <w:vertAlign w:val="superscript"/>
        </w:rPr>
        <w:footnoteReference w:id="14"/>
      </w:r>
      <w:r w:rsidRPr="00387E60">
        <w:rPr>
          <w:rFonts w:eastAsia="Tahoma"/>
          <w:i/>
          <w:sz w:val="22"/>
          <w:szCs w:val="22"/>
        </w:rPr>
        <w:t xml:space="preserve"> </w:t>
      </w:r>
      <w:r w:rsidRPr="00387E60">
        <w:rPr>
          <w:rFonts w:eastAsia="Tahoma"/>
          <w:sz w:val="22"/>
          <w:szCs w:val="22"/>
        </w:rPr>
        <w:t>y la</w:t>
      </w:r>
      <w:r w:rsidRPr="00387E60">
        <w:rPr>
          <w:rFonts w:eastAsia="Tahoma"/>
          <w:i/>
          <w:sz w:val="22"/>
          <w:szCs w:val="22"/>
        </w:rPr>
        <w:t xml:space="preserve"> Red Nacional de Feministas Antiprohibicionistas</w:t>
      </w:r>
      <w:r w:rsidRPr="00387E60">
        <w:rPr>
          <w:rFonts w:eastAsia="Tahoma"/>
          <w:i/>
          <w:sz w:val="22"/>
          <w:szCs w:val="22"/>
          <w:vertAlign w:val="superscript"/>
        </w:rPr>
        <w:footnoteReference w:id="15"/>
      </w:r>
      <w:r w:rsidRPr="00387E60">
        <w:rPr>
          <w:rFonts w:eastAsia="Tahoma"/>
          <w:i/>
          <w:sz w:val="22"/>
          <w:szCs w:val="22"/>
        </w:rPr>
        <w:t xml:space="preserve">. </w:t>
      </w:r>
      <w:r w:rsidRPr="00387E60">
        <w:rPr>
          <w:rFonts w:eastAsia="Tahoma"/>
          <w:sz w:val="22"/>
          <w:szCs w:val="22"/>
        </w:rPr>
        <w:t xml:space="preserve">La Red Nacional de Feministas Anti Prohibicionistas es una organización de mujeres y personas trans usuarias de drogas y sobrevivientes de </w:t>
      </w:r>
      <w:r w:rsidR="00252080" w:rsidRPr="00387E60">
        <w:rPr>
          <w:rFonts w:eastAsia="Tahoma"/>
          <w:sz w:val="22"/>
          <w:szCs w:val="22"/>
        </w:rPr>
        <w:t xml:space="preserve">prisión </w:t>
      </w:r>
      <w:r w:rsidRPr="00387E60">
        <w:rPr>
          <w:rFonts w:eastAsia="Tahoma"/>
          <w:sz w:val="22"/>
          <w:szCs w:val="22"/>
        </w:rPr>
        <w:t>que hoy ofrecen servicio de educación jurídica y acceso a justicia a personas condenadas por la ley de drogas.</w:t>
      </w:r>
    </w:p>
    <w:p w14:paraId="375CAF64" w14:textId="77777777" w:rsidR="00252080" w:rsidRPr="00387E60" w:rsidRDefault="00252080">
      <w:pPr>
        <w:spacing w:line="276" w:lineRule="auto"/>
        <w:jc w:val="both"/>
        <w:rPr>
          <w:rFonts w:eastAsia="Tahoma"/>
          <w:sz w:val="22"/>
          <w:szCs w:val="22"/>
        </w:rPr>
      </w:pPr>
    </w:p>
    <w:p w14:paraId="3E791D9B" w14:textId="4C9626D6" w:rsidR="00D35C8D" w:rsidRPr="00387E60" w:rsidRDefault="00000000">
      <w:pPr>
        <w:spacing w:line="276" w:lineRule="auto"/>
        <w:jc w:val="both"/>
        <w:rPr>
          <w:rFonts w:eastAsia="Tahoma"/>
          <w:sz w:val="22"/>
          <w:szCs w:val="22"/>
          <w:shd w:val="clear" w:color="auto" w:fill="F8F9FA"/>
        </w:rPr>
      </w:pPr>
      <w:r w:rsidRPr="00387E60">
        <w:rPr>
          <w:rFonts w:eastAsia="Tahoma"/>
          <w:sz w:val="22"/>
          <w:szCs w:val="22"/>
        </w:rPr>
        <w:t>A pesar de la garantía al acceso a derechos al acceso a protección social, educación, ciudadanía y salud a personas presas previstos en la ley de ejecución penal</w:t>
      </w:r>
      <w:r w:rsidRPr="00387E60">
        <w:rPr>
          <w:rFonts w:eastAsia="Tahoma"/>
          <w:sz w:val="22"/>
          <w:szCs w:val="22"/>
          <w:vertAlign w:val="superscript"/>
        </w:rPr>
        <w:footnoteReference w:id="16"/>
      </w:r>
      <w:r w:rsidRPr="00387E60">
        <w:rPr>
          <w:rFonts w:eastAsia="Tahoma"/>
          <w:sz w:val="22"/>
          <w:szCs w:val="22"/>
        </w:rPr>
        <w:t xml:space="preserve"> en la realidad la ley no se cumple y tenemos una situación de, además de no acceder a los derechos, las personas presas sufren torturas y trato inhumano. De esta manera, creemos que el encarcelamiento en Brasil genera la retirada de los derechos económicos, sociales y culturales de las personas usuarias de drogas.</w:t>
      </w:r>
    </w:p>
    <w:p w14:paraId="4771A610" w14:textId="77777777" w:rsidR="00D35C8D" w:rsidRPr="00387E60" w:rsidRDefault="00D35C8D">
      <w:pPr>
        <w:spacing w:after="120" w:line="276" w:lineRule="auto"/>
        <w:jc w:val="both"/>
        <w:rPr>
          <w:rFonts w:eastAsia="Tahoma"/>
          <w:b/>
          <w:sz w:val="22"/>
          <w:szCs w:val="22"/>
        </w:rPr>
      </w:pPr>
    </w:p>
    <w:p w14:paraId="20047778" w14:textId="15749EF2" w:rsidR="00CC0E8E" w:rsidRPr="00FE1961" w:rsidRDefault="00CC0E8E">
      <w:pPr>
        <w:spacing w:after="120" w:line="276" w:lineRule="auto"/>
        <w:jc w:val="both"/>
        <w:rPr>
          <w:rFonts w:eastAsia="Tahoma"/>
          <w:b/>
          <w:sz w:val="22"/>
          <w:szCs w:val="22"/>
          <w:u w:val="single"/>
        </w:rPr>
      </w:pPr>
      <w:r w:rsidRPr="00387E60">
        <w:rPr>
          <w:rFonts w:eastAsia="Tahoma"/>
          <w:b/>
          <w:sz w:val="22"/>
          <w:szCs w:val="22"/>
          <w:u w:val="single"/>
        </w:rPr>
        <w:t>Derecho a la salud (Artículo 12 ICESCR)</w:t>
      </w:r>
    </w:p>
    <w:p w14:paraId="6DFC9D16" w14:textId="77777777" w:rsidR="00D35C8D" w:rsidRPr="00387E60" w:rsidRDefault="00000000">
      <w:pPr>
        <w:spacing w:after="120" w:line="276" w:lineRule="auto"/>
        <w:jc w:val="both"/>
        <w:rPr>
          <w:rFonts w:eastAsia="Tahoma"/>
          <w:b/>
          <w:sz w:val="22"/>
          <w:szCs w:val="22"/>
        </w:rPr>
      </w:pPr>
      <w:r w:rsidRPr="00387E60">
        <w:rPr>
          <w:rFonts w:eastAsia="Tahoma"/>
          <w:b/>
          <w:sz w:val="22"/>
          <w:szCs w:val="22"/>
        </w:rPr>
        <w:t>Mujeres que Usan Drogas</w:t>
      </w:r>
    </w:p>
    <w:p w14:paraId="0F2336B4" w14:textId="77777777" w:rsidR="00D35C8D" w:rsidRPr="00387E60" w:rsidRDefault="00000000">
      <w:pPr>
        <w:spacing w:after="120" w:line="276" w:lineRule="auto"/>
        <w:jc w:val="both"/>
        <w:rPr>
          <w:rFonts w:eastAsia="Tahoma"/>
          <w:sz w:val="22"/>
          <w:szCs w:val="22"/>
        </w:rPr>
      </w:pPr>
      <w:r w:rsidRPr="00387E60">
        <w:rPr>
          <w:rFonts w:eastAsia="Tahoma"/>
          <w:sz w:val="22"/>
          <w:szCs w:val="22"/>
        </w:rPr>
        <w:t xml:space="preserve">Las políticas de drogas del país han demostrado ser desiguales y, a menudo, afectan de manera desproporcionada a las mujeres en varias formas. Las leyes de drogas en Brasil tienden a criminalizar a las mujeres negras y en situación de vulnerabilidad económica que participan en el microtráfico a nivel local. Las mujeres también son víctimas de violencia en la lucha contra el tráfico de drogas por parte de la policía, especialmente en las favelas, que a menudo resultan en abusos de derechos humanos. Por último, las mujeres que usan drogas a menudo enfrentan una mayor estigmatización y </w:t>
      </w:r>
      <w:r w:rsidRPr="00387E60">
        <w:rPr>
          <w:rFonts w:eastAsia="Tahoma"/>
          <w:sz w:val="22"/>
          <w:szCs w:val="22"/>
        </w:rPr>
        <w:lastRenderedPageBreak/>
        <w:t>falta de acceso a servicios de salud adecuados, lo que aumenta la discriminación y sus condiciones de vulnerabilidad.</w:t>
      </w:r>
    </w:p>
    <w:p w14:paraId="54F64578" w14:textId="77777777" w:rsidR="00D35C8D" w:rsidRPr="00387E60" w:rsidRDefault="00000000">
      <w:pPr>
        <w:spacing w:line="276" w:lineRule="auto"/>
        <w:jc w:val="both"/>
        <w:rPr>
          <w:rFonts w:eastAsia="Tahoma"/>
          <w:sz w:val="22"/>
          <w:szCs w:val="22"/>
        </w:rPr>
      </w:pPr>
      <w:r w:rsidRPr="00387E60">
        <w:rPr>
          <w:rFonts w:eastAsia="Tahoma"/>
          <w:sz w:val="22"/>
          <w:szCs w:val="22"/>
        </w:rPr>
        <w:t xml:space="preserve">El imaginario social sobre las mujeres que consumen drogas está permeado por el discurso de la locura, la promiscuidad, la agresividad y la inadaptación con el llamado rol social femenino (Campbell, 2000). Según Oliveira y Santos (2007), en Brasil el consumo de drogas ilegales entre las mujeres conlleva una carga emocional de asco y miedo del público, que se relaciona con la asociación de la concepción del consumo de drogas como un comportamiento socialmente desviante (Becker, 1966); con los roles sociales y culturales hegemónicamente asignados a la mujer blanca, a saber: madre, esposa y cuidadora familiar; y los roles sociales e imaginarios sociales destinados a las mujeres negras, que ya ocupaban los espacios públicos desde su fuerza de trabajo y que eran vistas por la mirada deshumanizadora del racismo como incapaces de ejercer la maternidad y delincuentes (Malheiro, 2020). Los imaginarios sociales entonces, actúan con la reproducción de los mandatos no sólo de género, sino también de raza, clase, territorio, generando procesos desiguales en el acceso  y cuidado a salud. </w:t>
      </w:r>
    </w:p>
    <w:p w14:paraId="06D401A3" w14:textId="77777777" w:rsidR="00D35C8D" w:rsidRPr="00387E60" w:rsidRDefault="00D35C8D">
      <w:pPr>
        <w:spacing w:line="276" w:lineRule="auto"/>
        <w:jc w:val="both"/>
        <w:rPr>
          <w:rFonts w:eastAsia="Tahoma"/>
          <w:sz w:val="22"/>
          <w:szCs w:val="22"/>
        </w:rPr>
      </w:pPr>
    </w:p>
    <w:p w14:paraId="0E4F730E" w14:textId="04CFC74D" w:rsidR="00D35C8D" w:rsidRPr="00387E60" w:rsidRDefault="00000000">
      <w:pPr>
        <w:spacing w:line="276" w:lineRule="auto"/>
        <w:jc w:val="both"/>
        <w:rPr>
          <w:rFonts w:eastAsia="Tahoma"/>
          <w:sz w:val="22"/>
          <w:szCs w:val="22"/>
        </w:rPr>
      </w:pPr>
      <w:r w:rsidRPr="00387E60">
        <w:rPr>
          <w:rFonts w:eastAsia="Tahoma"/>
          <w:sz w:val="22"/>
          <w:szCs w:val="22"/>
        </w:rPr>
        <w:t xml:space="preserve">Estos imaginarios sociales, además de hacer parte de la vida de las mujeres con consumos de sustancias ilícitas producen </w:t>
      </w:r>
      <w:r w:rsidR="00CC0E8E" w:rsidRPr="00387E60">
        <w:rPr>
          <w:rFonts w:eastAsia="Tahoma"/>
          <w:sz w:val="22"/>
          <w:szCs w:val="22"/>
        </w:rPr>
        <w:t xml:space="preserve">una </w:t>
      </w:r>
      <w:r w:rsidRPr="00387E60">
        <w:rPr>
          <w:rFonts w:eastAsia="Tahoma"/>
          <w:sz w:val="22"/>
          <w:szCs w:val="22"/>
        </w:rPr>
        <w:t xml:space="preserve">cultura de exclusiones y estigmatizaciones en nuestra sociedad que influyen a las mujeres de distintas maneras en su búsqueda y permanencia en el tratamiento. En esta perspectiva, cuando hablamos de los aspectos culturales del consumo de drogas, las cuestiones raciales, sociales y de género son fundamentales para el análisis. En este sentido, Campbell (2000) </w:t>
      </w:r>
      <w:r w:rsidR="00E90684">
        <w:rPr>
          <w:rFonts w:eastAsia="Tahoma"/>
          <w:sz w:val="22"/>
          <w:szCs w:val="22"/>
        </w:rPr>
        <w:t>explica</w:t>
      </w:r>
      <w:r w:rsidR="00E90684" w:rsidRPr="00387E60">
        <w:rPr>
          <w:rFonts w:eastAsia="Tahoma"/>
          <w:sz w:val="22"/>
          <w:szCs w:val="22"/>
        </w:rPr>
        <w:t xml:space="preserve"> </w:t>
      </w:r>
      <w:r w:rsidRPr="00387E60">
        <w:rPr>
          <w:rFonts w:eastAsia="Tahoma"/>
          <w:sz w:val="22"/>
          <w:szCs w:val="22"/>
        </w:rPr>
        <w:t xml:space="preserve">que en una sociedad patriarcal y racista las mujeres que consumen drogas ilícitas encarnan fracasos sociales y reciben fuertes sanciones. </w:t>
      </w:r>
    </w:p>
    <w:p w14:paraId="18FD9357" w14:textId="77777777" w:rsidR="00D35C8D" w:rsidRPr="00387E60" w:rsidRDefault="00D35C8D">
      <w:pPr>
        <w:spacing w:line="276" w:lineRule="auto"/>
        <w:jc w:val="both"/>
        <w:rPr>
          <w:rFonts w:eastAsia="Tahoma"/>
          <w:sz w:val="22"/>
          <w:szCs w:val="22"/>
        </w:rPr>
      </w:pPr>
    </w:p>
    <w:p w14:paraId="530A2D5F" w14:textId="77777777" w:rsidR="00D35C8D" w:rsidRPr="00387E60" w:rsidRDefault="00000000">
      <w:pPr>
        <w:spacing w:line="276" w:lineRule="auto"/>
        <w:jc w:val="both"/>
        <w:rPr>
          <w:rFonts w:eastAsia="Tahoma"/>
          <w:sz w:val="22"/>
          <w:szCs w:val="22"/>
        </w:rPr>
      </w:pPr>
      <w:r w:rsidRPr="00387E60">
        <w:rPr>
          <w:rFonts w:eastAsia="Tahoma"/>
          <w:sz w:val="22"/>
          <w:szCs w:val="22"/>
        </w:rPr>
        <w:t xml:space="preserve">Además de llevar en consideración los roles de género, hay que profundizar en los marcadores de raza, sexualidad, clase, territorio, generación que ayudan a componer la complejidad de las experiencias vividas por las personas en su contexto social marcado por los entramados de opresiones y privilegios que marca el Brasil. </w:t>
      </w:r>
    </w:p>
    <w:p w14:paraId="487B7B44" w14:textId="77777777" w:rsidR="00D35C8D" w:rsidRPr="00387E60" w:rsidRDefault="00D35C8D">
      <w:pPr>
        <w:spacing w:line="276" w:lineRule="auto"/>
        <w:jc w:val="both"/>
        <w:rPr>
          <w:rFonts w:eastAsia="Tahoma"/>
          <w:sz w:val="22"/>
          <w:szCs w:val="22"/>
          <w:highlight w:val="white"/>
        </w:rPr>
      </w:pPr>
    </w:p>
    <w:p w14:paraId="4434ACCE" w14:textId="675D8FEF" w:rsidR="00D35C8D" w:rsidRPr="00387E60" w:rsidRDefault="00000000">
      <w:pPr>
        <w:spacing w:line="276" w:lineRule="auto"/>
        <w:jc w:val="both"/>
        <w:rPr>
          <w:rFonts w:eastAsia="Tahoma"/>
          <w:sz w:val="22"/>
          <w:szCs w:val="22"/>
          <w:highlight w:val="white"/>
        </w:rPr>
      </w:pPr>
      <w:r w:rsidRPr="00387E60">
        <w:rPr>
          <w:rFonts w:eastAsia="Tahoma"/>
          <w:sz w:val="22"/>
          <w:szCs w:val="22"/>
          <w:highlight w:val="white"/>
        </w:rPr>
        <w:t xml:space="preserve">En investigación anterior, Malheiro (2020), concluye que las </w:t>
      </w:r>
      <w:r w:rsidR="00E90684">
        <w:rPr>
          <w:rFonts w:eastAsia="Tahoma"/>
          <w:sz w:val="22"/>
          <w:szCs w:val="22"/>
          <w:highlight w:val="white"/>
        </w:rPr>
        <w:t>historias</w:t>
      </w:r>
      <w:r w:rsidR="00E90684" w:rsidRPr="00387E60">
        <w:rPr>
          <w:rFonts w:eastAsia="Tahoma"/>
          <w:sz w:val="22"/>
          <w:szCs w:val="22"/>
          <w:highlight w:val="white"/>
        </w:rPr>
        <w:t xml:space="preserve"> </w:t>
      </w:r>
      <w:r w:rsidRPr="00387E60">
        <w:rPr>
          <w:rFonts w:eastAsia="Tahoma"/>
          <w:sz w:val="22"/>
          <w:szCs w:val="22"/>
          <w:highlight w:val="white"/>
        </w:rPr>
        <w:t>de consumo problemático de cocaína fumada por mujeres con trayectoria de vivir en las calles y la adicción estaba</w:t>
      </w:r>
      <w:r w:rsidR="00E90684">
        <w:rPr>
          <w:rFonts w:eastAsia="Tahoma"/>
          <w:sz w:val="22"/>
          <w:szCs w:val="22"/>
          <w:highlight w:val="white"/>
        </w:rPr>
        <w:t>n</w:t>
      </w:r>
      <w:r w:rsidRPr="00387E60">
        <w:rPr>
          <w:rFonts w:eastAsia="Tahoma"/>
          <w:sz w:val="22"/>
          <w:szCs w:val="22"/>
          <w:highlight w:val="white"/>
        </w:rPr>
        <w:t xml:space="preserve"> completamente relacionada</w:t>
      </w:r>
      <w:r w:rsidR="00E90684">
        <w:rPr>
          <w:rFonts w:eastAsia="Tahoma"/>
          <w:sz w:val="22"/>
          <w:szCs w:val="22"/>
          <w:highlight w:val="white"/>
        </w:rPr>
        <w:t>s</w:t>
      </w:r>
      <w:r w:rsidRPr="00387E60">
        <w:rPr>
          <w:rFonts w:eastAsia="Tahoma"/>
          <w:sz w:val="22"/>
          <w:szCs w:val="22"/>
          <w:highlight w:val="white"/>
        </w:rPr>
        <w:t xml:space="preserve"> con procesos de automedicación </w:t>
      </w:r>
      <w:r w:rsidR="00E90684">
        <w:rPr>
          <w:rFonts w:eastAsia="Tahoma"/>
          <w:sz w:val="22"/>
          <w:szCs w:val="22"/>
          <w:highlight w:val="white"/>
        </w:rPr>
        <w:t xml:space="preserve">por el </w:t>
      </w:r>
      <w:r w:rsidRPr="00387E60">
        <w:rPr>
          <w:rFonts w:eastAsia="Tahoma"/>
          <w:sz w:val="22"/>
          <w:szCs w:val="22"/>
          <w:highlight w:val="white"/>
        </w:rPr>
        <w:t xml:space="preserve">sufrimiento y trauma </w:t>
      </w:r>
      <w:r w:rsidR="00E90684">
        <w:rPr>
          <w:rFonts w:eastAsia="Tahoma"/>
          <w:sz w:val="22"/>
          <w:szCs w:val="22"/>
          <w:highlight w:val="white"/>
        </w:rPr>
        <w:t xml:space="preserve">causados por </w:t>
      </w:r>
      <w:r w:rsidRPr="00387E60">
        <w:rPr>
          <w:rFonts w:eastAsia="Tahoma"/>
          <w:sz w:val="22"/>
          <w:szCs w:val="22"/>
          <w:highlight w:val="white"/>
        </w:rPr>
        <w:t xml:space="preserve">situaciones de violencia </w:t>
      </w:r>
      <w:r w:rsidR="00E90684">
        <w:rPr>
          <w:rFonts w:eastAsia="Tahoma"/>
          <w:sz w:val="22"/>
          <w:szCs w:val="22"/>
          <w:highlight w:val="white"/>
        </w:rPr>
        <w:t xml:space="preserve">relativas a </w:t>
      </w:r>
      <w:r w:rsidRPr="00387E60">
        <w:rPr>
          <w:rFonts w:eastAsia="Tahoma"/>
          <w:sz w:val="22"/>
          <w:szCs w:val="22"/>
          <w:highlight w:val="white"/>
        </w:rPr>
        <w:t>cuestiones de género, raza, clase y también sexualidad. Es decir, situaciones de violacion sexual en la infancia, la fuga de</w:t>
      </w:r>
      <w:r w:rsidR="00E90684">
        <w:rPr>
          <w:rFonts w:eastAsia="Tahoma"/>
          <w:sz w:val="22"/>
          <w:szCs w:val="22"/>
          <w:highlight w:val="white"/>
        </w:rPr>
        <w:t>sde</w:t>
      </w:r>
      <w:r w:rsidRPr="00387E60">
        <w:rPr>
          <w:rFonts w:eastAsia="Tahoma"/>
          <w:sz w:val="22"/>
          <w:szCs w:val="22"/>
          <w:highlight w:val="white"/>
        </w:rPr>
        <w:t xml:space="preserve"> casa </w:t>
      </w:r>
      <w:r w:rsidR="00E90684">
        <w:rPr>
          <w:rFonts w:eastAsia="Tahoma"/>
          <w:sz w:val="22"/>
          <w:szCs w:val="22"/>
          <w:highlight w:val="white"/>
        </w:rPr>
        <w:t xml:space="preserve">hacia </w:t>
      </w:r>
      <w:r w:rsidRPr="00387E60">
        <w:rPr>
          <w:rFonts w:eastAsia="Tahoma"/>
          <w:sz w:val="22"/>
          <w:szCs w:val="22"/>
          <w:highlight w:val="white"/>
        </w:rPr>
        <w:t>la calle, experiencia</w:t>
      </w:r>
      <w:r w:rsidR="00E90684">
        <w:rPr>
          <w:rFonts w:eastAsia="Tahoma"/>
          <w:sz w:val="22"/>
          <w:szCs w:val="22"/>
          <w:highlight w:val="white"/>
        </w:rPr>
        <w:t>s</w:t>
      </w:r>
      <w:r w:rsidRPr="00387E60">
        <w:rPr>
          <w:rFonts w:eastAsia="Tahoma"/>
          <w:sz w:val="22"/>
          <w:szCs w:val="22"/>
          <w:highlight w:val="white"/>
        </w:rPr>
        <w:t xml:space="preserve"> de violencia policial, humillaciones y discriminación de orden racial, fueron las explicaciones y motivaciones para que las mujeres ingresen en una cultura de consumo problemático de cocaina fumada como manera de "o</w:t>
      </w:r>
      <w:r w:rsidRPr="00387E60">
        <w:rPr>
          <w:rFonts w:eastAsia="Tahoma"/>
          <w:i/>
          <w:sz w:val="22"/>
          <w:szCs w:val="22"/>
          <w:highlight w:val="white"/>
        </w:rPr>
        <w:t>lvidarse de las dolores</w:t>
      </w:r>
      <w:r w:rsidRPr="00387E60">
        <w:rPr>
          <w:rFonts w:eastAsia="Tahoma"/>
          <w:sz w:val="22"/>
          <w:szCs w:val="22"/>
          <w:highlight w:val="white"/>
        </w:rPr>
        <w:t>".</w:t>
      </w:r>
      <w:r w:rsidRPr="00387E60">
        <w:rPr>
          <w:rFonts w:eastAsia="Tahoma"/>
          <w:sz w:val="22"/>
          <w:szCs w:val="22"/>
          <w:highlight w:val="white"/>
          <w:vertAlign w:val="superscript"/>
        </w:rPr>
        <w:footnoteReference w:id="17"/>
      </w:r>
      <w:r w:rsidRPr="00387E60">
        <w:rPr>
          <w:rFonts w:eastAsia="Tahoma"/>
          <w:sz w:val="22"/>
          <w:szCs w:val="22"/>
          <w:highlight w:val="white"/>
        </w:rPr>
        <w:t xml:space="preserve"> En ese sentido, es importante para el diseño de propuestas de tratamiento la utilización de la herramienta analítica de la interseccionalidad, produciendo estrategias de cuidados al uso problemático de drogas a partir de la complejidad de las trayectorias de vida en el marco de los sistemas de dominación y opresión.</w:t>
      </w:r>
    </w:p>
    <w:p w14:paraId="33D63128" w14:textId="77777777" w:rsidR="00D35C8D" w:rsidRPr="00387E60" w:rsidRDefault="00D35C8D">
      <w:pPr>
        <w:spacing w:line="276" w:lineRule="auto"/>
        <w:jc w:val="both"/>
        <w:rPr>
          <w:rFonts w:eastAsia="Tahoma"/>
          <w:sz w:val="22"/>
          <w:szCs w:val="22"/>
          <w:highlight w:val="white"/>
        </w:rPr>
      </w:pPr>
    </w:p>
    <w:p w14:paraId="3ADE7271" w14:textId="77777777" w:rsidR="00E90684" w:rsidRDefault="00000000">
      <w:pPr>
        <w:spacing w:line="276" w:lineRule="auto"/>
        <w:jc w:val="both"/>
        <w:rPr>
          <w:rFonts w:eastAsia="Tahoma"/>
          <w:sz w:val="22"/>
          <w:szCs w:val="22"/>
          <w:highlight w:val="white"/>
        </w:rPr>
      </w:pPr>
      <w:r w:rsidRPr="00387E60">
        <w:rPr>
          <w:rFonts w:eastAsia="Tahoma"/>
          <w:sz w:val="22"/>
          <w:szCs w:val="22"/>
          <w:highlight w:val="white"/>
        </w:rPr>
        <w:t xml:space="preserve">El estigma y la discriminacion hacia las mujeres usuarias son entonces barreras de acceso a la salud, una vez que impiden el acceso y la permanencia en los tratamientos a la salud. Además, los servicios </w:t>
      </w:r>
      <w:r w:rsidRPr="00387E60">
        <w:rPr>
          <w:rFonts w:eastAsia="Tahoma"/>
          <w:sz w:val="22"/>
          <w:szCs w:val="22"/>
          <w:highlight w:val="white"/>
        </w:rPr>
        <w:lastRenderedPageBreak/>
        <w:t xml:space="preserve">de salud y protección social no están preparados para recibir a la mujer en toda su complejidad. Los espacios de tratamiento no cuentan con espacios de cuidados a las infancias y tampoco a las familias. </w:t>
      </w:r>
    </w:p>
    <w:p w14:paraId="7E85D5BB" w14:textId="77777777" w:rsidR="00E90684" w:rsidRDefault="00E90684">
      <w:pPr>
        <w:spacing w:line="276" w:lineRule="auto"/>
        <w:jc w:val="both"/>
        <w:rPr>
          <w:rFonts w:eastAsia="Tahoma"/>
          <w:sz w:val="22"/>
          <w:szCs w:val="22"/>
          <w:highlight w:val="white"/>
        </w:rPr>
      </w:pPr>
    </w:p>
    <w:p w14:paraId="3B288899" w14:textId="1FEA6733" w:rsidR="00D35C8D" w:rsidRPr="00387E60" w:rsidRDefault="00000000">
      <w:pPr>
        <w:spacing w:line="276" w:lineRule="auto"/>
        <w:jc w:val="both"/>
        <w:rPr>
          <w:rFonts w:eastAsia="Tahoma"/>
          <w:sz w:val="22"/>
          <w:szCs w:val="22"/>
          <w:highlight w:val="white"/>
        </w:rPr>
      </w:pPr>
      <w:r w:rsidRPr="00387E60">
        <w:rPr>
          <w:rFonts w:eastAsia="Tahoma"/>
          <w:sz w:val="22"/>
          <w:szCs w:val="22"/>
          <w:highlight w:val="white"/>
        </w:rPr>
        <w:t>Según Malheiro (2020) en su estudio profundiza la cuestión del acceso a las políticas públicas por mujeres usuarias de sustancias, enfocando en cómo las políticas para protección a las mujeres no están preparadas para atender las mujeres negras usuarias de sustancias psicoactivas, son políticas hechas para mujeres blancas hegemónicas. A continuación una mujer negra, joven, usuaria de sustancias cuenta como fue el intento de acceder a la política de protección a la mujer en la comisaría de la mujer.</w:t>
      </w:r>
    </w:p>
    <w:p w14:paraId="1D0D30D9" w14:textId="77777777" w:rsidR="00D35C8D" w:rsidRPr="00387E60" w:rsidRDefault="00D35C8D">
      <w:pPr>
        <w:shd w:val="clear" w:color="auto" w:fill="FFFFFF"/>
        <w:spacing w:after="220" w:line="276" w:lineRule="auto"/>
        <w:ind w:left="1700"/>
        <w:jc w:val="both"/>
        <w:rPr>
          <w:rFonts w:eastAsia="Tahoma"/>
          <w:sz w:val="22"/>
          <w:szCs w:val="22"/>
        </w:rPr>
      </w:pPr>
    </w:p>
    <w:p w14:paraId="1E17B174" w14:textId="77777777" w:rsidR="00D35C8D" w:rsidRPr="00387E60" w:rsidRDefault="00000000">
      <w:pPr>
        <w:spacing w:line="276" w:lineRule="auto"/>
        <w:ind w:left="1700"/>
        <w:jc w:val="both"/>
        <w:rPr>
          <w:rFonts w:eastAsia="Tahoma"/>
          <w:sz w:val="22"/>
          <w:szCs w:val="22"/>
          <w:highlight w:val="white"/>
        </w:rPr>
      </w:pPr>
      <w:r w:rsidRPr="00387E60">
        <w:rPr>
          <w:rFonts w:eastAsia="Tahoma"/>
          <w:sz w:val="22"/>
          <w:szCs w:val="22"/>
        </w:rPr>
        <w:t>Mi marido me estaba amenazando. Vivía  con él allí en la Plaza de los Correios, él, mi hija y yo. Vivíamos en la calle y yo le tuve miedo y fui a la comisaría de mujeres. Yo no sabía cómo era eso, así que el mismo día que él me amenazó, junté mi dinero, dejé a la niña con una amiga y fui a poner la denuncia. Me trataron muy mal. Quería hablar de las amenazas y la jefa de policía preguntando si fumaba crack, si tenía un hijo, que no debía ir a ciertos lugares. Le pedí ayuda casi llorando, necesitaba salir de la calle e ir a algún lado. Ella me dijo que había un refugio, pero que no podía entrar porque no tenía hogar y consumía drogas y allí no lo aceptaban. Salí lleno de odio, ¿no era eso una comisaría de mujeres? ¿Entonces soy menos mujer? No soy una mujer, ¿verdad?</w:t>
      </w:r>
    </w:p>
    <w:p w14:paraId="0DFF6099" w14:textId="77777777" w:rsidR="00D35C8D" w:rsidRPr="00387E60" w:rsidRDefault="00D35C8D">
      <w:pPr>
        <w:spacing w:line="276" w:lineRule="auto"/>
        <w:jc w:val="both"/>
        <w:rPr>
          <w:rFonts w:eastAsia="Tahoma"/>
          <w:sz w:val="22"/>
          <w:szCs w:val="22"/>
          <w:highlight w:val="white"/>
        </w:rPr>
      </w:pPr>
    </w:p>
    <w:p w14:paraId="19297C91" w14:textId="77777777" w:rsidR="00D35C8D" w:rsidRPr="00387E60" w:rsidRDefault="00D35C8D">
      <w:pPr>
        <w:spacing w:line="276" w:lineRule="auto"/>
        <w:jc w:val="both"/>
        <w:rPr>
          <w:rFonts w:eastAsia="Tahoma"/>
          <w:sz w:val="22"/>
          <w:szCs w:val="22"/>
          <w:highlight w:val="white"/>
        </w:rPr>
      </w:pPr>
    </w:p>
    <w:p w14:paraId="679C75E1" w14:textId="2306BE30" w:rsidR="00D35C8D" w:rsidRPr="00387E60" w:rsidRDefault="00000000">
      <w:pPr>
        <w:spacing w:line="276" w:lineRule="auto"/>
        <w:jc w:val="both"/>
        <w:rPr>
          <w:rFonts w:eastAsia="Tahoma"/>
          <w:sz w:val="22"/>
          <w:szCs w:val="22"/>
          <w:highlight w:val="white"/>
        </w:rPr>
      </w:pPr>
      <w:r w:rsidRPr="00387E60">
        <w:rPr>
          <w:rFonts w:eastAsia="Tahoma"/>
          <w:sz w:val="22"/>
          <w:szCs w:val="22"/>
          <w:highlight w:val="white"/>
        </w:rPr>
        <w:t>Las políticas para mujeres en Brasil están enfocadas en una mirada hegemónica a las mujeres blancas con domicilio. La ley de protección a la mujer</w:t>
      </w:r>
      <w:r w:rsidRPr="00387E60">
        <w:rPr>
          <w:rFonts w:eastAsia="Tahoma"/>
          <w:sz w:val="22"/>
          <w:szCs w:val="22"/>
          <w:highlight w:val="white"/>
          <w:vertAlign w:val="superscript"/>
        </w:rPr>
        <w:footnoteReference w:id="18"/>
      </w:r>
      <w:r w:rsidRPr="00387E60">
        <w:rPr>
          <w:rFonts w:eastAsia="Tahoma"/>
          <w:sz w:val="22"/>
          <w:szCs w:val="22"/>
          <w:highlight w:val="white"/>
        </w:rPr>
        <w:t xml:space="preserve">, es una ley que protege a las mujeres que tienen un domicilio, a parte de eso, hay todavía muchos prejuicios a las mujeres usuarias de sustancias, sobre todo a las madres. Solo por el hecho de ser mujer (género), negra (raza) y consumidora declarada de drogas ilícitas, podes tener rechazado el acceso a un derecho, ó a una política pública. </w:t>
      </w:r>
    </w:p>
    <w:p w14:paraId="78632335" w14:textId="77777777" w:rsidR="00D35C8D" w:rsidRPr="00387E60" w:rsidRDefault="00D35C8D">
      <w:pPr>
        <w:spacing w:line="276" w:lineRule="auto"/>
        <w:jc w:val="both"/>
        <w:rPr>
          <w:rFonts w:eastAsia="Tahoma"/>
          <w:sz w:val="22"/>
          <w:szCs w:val="22"/>
          <w:highlight w:val="white"/>
        </w:rPr>
      </w:pPr>
    </w:p>
    <w:p w14:paraId="3F7ABAFE" w14:textId="5133A5B7" w:rsidR="00D35C8D" w:rsidRPr="00387E60" w:rsidRDefault="00D35C8D">
      <w:pPr>
        <w:spacing w:line="276" w:lineRule="auto"/>
        <w:jc w:val="both"/>
        <w:rPr>
          <w:rFonts w:eastAsia="Tahoma"/>
          <w:sz w:val="22"/>
          <w:szCs w:val="22"/>
          <w:highlight w:val="white"/>
        </w:rPr>
      </w:pPr>
    </w:p>
    <w:p w14:paraId="1285C659" w14:textId="16EAAF41" w:rsidR="0026414E" w:rsidRPr="00FE1961" w:rsidRDefault="0026414E">
      <w:pPr>
        <w:spacing w:line="276" w:lineRule="auto"/>
        <w:jc w:val="both"/>
        <w:rPr>
          <w:rFonts w:eastAsia="Tahoma"/>
          <w:b/>
          <w:bCs/>
          <w:sz w:val="22"/>
          <w:szCs w:val="22"/>
          <w:highlight w:val="white"/>
          <w:u w:val="single"/>
        </w:rPr>
      </w:pPr>
      <w:r w:rsidRPr="00FE1961">
        <w:rPr>
          <w:rFonts w:eastAsia="Tahoma"/>
          <w:b/>
          <w:bCs/>
          <w:sz w:val="22"/>
          <w:szCs w:val="22"/>
          <w:highlight w:val="white"/>
          <w:u w:val="single"/>
        </w:rPr>
        <w:t>Artículo 12 ICESCR</w:t>
      </w:r>
    </w:p>
    <w:p w14:paraId="594CF222" w14:textId="77777777" w:rsidR="0026414E" w:rsidRPr="00387E60" w:rsidRDefault="0026414E">
      <w:pPr>
        <w:spacing w:line="276" w:lineRule="auto"/>
        <w:jc w:val="both"/>
        <w:rPr>
          <w:b/>
          <w:bCs/>
          <w:color w:val="000000"/>
          <w:sz w:val="22"/>
          <w:szCs w:val="22"/>
        </w:rPr>
      </w:pPr>
    </w:p>
    <w:p w14:paraId="58E894F9" w14:textId="632338F5" w:rsidR="0026414E" w:rsidRPr="00FE1961" w:rsidRDefault="0026414E">
      <w:pPr>
        <w:spacing w:line="276" w:lineRule="auto"/>
        <w:jc w:val="both"/>
        <w:rPr>
          <w:b/>
          <w:bCs/>
          <w:color w:val="000000"/>
          <w:sz w:val="22"/>
          <w:szCs w:val="22"/>
        </w:rPr>
      </w:pPr>
      <w:r w:rsidRPr="00FE1961">
        <w:rPr>
          <w:b/>
          <w:bCs/>
          <w:color w:val="000000"/>
          <w:sz w:val="22"/>
          <w:szCs w:val="22"/>
        </w:rPr>
        <w:t xml:space="preserve">Respuesta el Listado de Cuestiones para. 29. </w:t>
      </w:r>
    </w:p>
    <w:p w14:paraId="0277AD79" w14:textId="77777777" w:rsidR="0026414E" w:rsidRPr="00387E60" w:rsidRDefault="0026414E" w:rsidP="0026414E">
      <w:pPr>
        <w:spacing w:line="276" w:lineRule="auto"/>
        <w:ind w:left="720"/>
        <w:jc w:val="both"/>
        <w:rPr>
          <w:color w:val="000000"/>
          <w:sz w:val="22"/>
          <w:szCs w:val="22"/>
        </w:rPr>
      </w:pPr>
    </w:p>
    <w:p w14:paraId="710FD1EF" w14:textId="3146C170" w:rsidR="0026414E" w:rsidRPr="00387E60" w:rsidRDefault="0026414E" w:rsidP="00FE1961">
      <w:pPr>
        <w:spacing w:line="276" w:lineRule="auto"/>
        <w:ind w:left="720"/>
        <w:jc w:val="both"/>
        <w:rPr>
          <w:color w:val="000000"/>
          <w:sz w:val="22"/>
          <w:szCs w:val="22"/>
        </w:rPr>
      </w:pPr>
      <w:r w:rsidRPr="00387E60">
        <w:rPr>
          <w:color w:val="000000"/>
          <w:sz w:val="22"/>
          <w:szCs w:val="22"/>
        </w:rPr>
        <w:t xml:space="preserve">´ </w:t>
      </w:r>
      <w:r w:rsidRPr="00FE1961">
        <w:rPr>
          <w:i/>
          <w:iCs/>
          <w:color w:val="000000"/>
          <w:sz w:val="22"/>
          <w:szCs w:val="22"/>
        </w:rPr>
        <w:t>Describan los obstáculos que impiden lograr el acceso universal a la atención de la salud sexual y reproductiva y a una atención de la salud materna de calidad en el Estado parte</w:t>
      </w:r>
      <w:r w:rsidRPr="00387E60">
        <w:rPr>
          <w:color w:val="000000"/>
          <w:sz w:val="22"/>
          <w:szCs w:val="22"/>
        </w:rPr>
        <w:t>.´</w:t>
      </w:r>
    </w:p>
    <w:p w14:paraId="18E76DFD" w14:textId="77777777" w:rsidR="0026414E" w:rsidRDefault="0026414E">
      <w:pPr>
        <w:spacing w:line="276" w:lineRule="auto"/>
        <w:jc w:val="both"/>
        <w:rPr>
          <w:rFonts w:eastAsia="Tahoma"/>
          <w:sz w:val="22"/>
          <w:szCs w:val="22"/>
          <w:highlight w:val="white"/>
        </w:rPr>
      </w:pPr>
    </w:p>
    <w:p w14:paraId="6F9CF954" w14:textId="64E76A74" w:rsidR="00034502" w:rsidRPr="00FE1961" w:rsidRDefault="00034502" w:rsidP="00FE1961">
      <w:pPr>
        <w:spacing w:after="120" w:line="276" w:lineRule="auto"/>
        <w:jc w:val="both"/>
        <w:rPr>
          <w:rFonts w:eastAsia="Tahoma"/>
          <w:b/>
          <w:sz w:val="22"/>
          <w:szCs w:val="22"/>
        </w:rPr>
      </w:pPr>
      <w:r>
        <w:rPr>
          <w:rFonts w:eastAsia="Tahoma"/>
          <w:b/>
          <w:sz w:val="22"/>
          <w:szCs w:val="22"/>
        </w:rPr>
        <w:t>Actuaciones contra madres que usan drogas</w:t>
      </w:r>
    </w:p>
    <w:p w14:paraId="62646B7A" w14:textId="77777777" w:rsidR="00D35C8D" w:rsidRPr="00387E60" w:rsidRDefault="00000000">
      <w:pPr>
        <w:spacing w:line="276" w:lineRule="auto"/>
        <w:jc w:val="both"/>
        <w:rPr>
          <w:rFonts w:eastAsia="Tahoma"/>
          <w:sz w:val="22"/>
          <w:szCs w:val="22"/>
          <w:highlight w:val="white"/>
        </w:rPr>
      </w:pPr>
      <w:r w:rsidRPr="00387E60">
        <w:rPr>
          <w:rFonts w:eastAsia="Tahoma"/>
          <w:sz w:val="22"/>
          <w:szCs w:val="22"/>
          <w:highlight w:val="white"/>
        </w:rPr>
        <w:t xml:space="preserve">Con respecto a los derechos sexuales y reproductivos tenemos el dato de un flujo de retirada del derecho a la maternidad de las mujeres usuarias de crack en Brasil (Malheiro, 2020) y el intento de un proyecto de ley para la esterilización forzada a mujeres usuarias de drogas en "riesgo social" . El uso de sustancias psicoactivas ilícitas por mujeres y disidencias es un riesgo para la pedida de tenencia de </w:t>
      </w:r>
      <w:r w:rsidRPr="00387E60">
        <w:rPr>
          <w:rFonts w:eastAsia="Tahoma"/>
          <w:sz w:val="22"/>
          <w:szCs w:val="22"/>
          <w:highlight w:val="white"/>
        </w:rPr>
        <w:lastRenderedPageBreak/>
        <w:t>sus hijes, violando así su derecho a la maternidad y el derecho del niño de ser criado en su familia de origen. Según la entrevistada Dandara, Mujer, negra, Adulta y Catarina, Mujer, Negra, Adulta:</w:t>
      </w:r>
    </w:p>
    <w:p w14:paraId="417C12EB" w14:textId="61D9435A" w:rsidR="00D35C8D" w:rsidRPr="00387E60" w:rsidRDefault="00D35C8D">
      <w:pPr>
        <w:shd w:val="clear" w:color="auto" w:fill="FFFFFF"/>
        <w:spacing w:after="220" w:line="276" w:lineRule="auto"/>
        <w:jc w:val="both"/>
        <w:rPr>
          <w:rFonts w:eastAsia="Tahoma"/>
          <w:sz w:val="22"/>
          <w:szCs w:val="22"/>
          <w:highlight w:val="white"/>
        </w:rPr>
      </w:pPr>
    </w:p>
    <w:p w14:paraId="4FEE94EA" w14:textId="77777777" w:rsidR="00D35C8D" w:rsidRPr="00387E60" w:rsidRDefault="00000000">
      <w:pPr>
        <w:shd w:val="clear" w:color="auto" w:fill="FFFFFF"/>
        <w:spacing w:after="220" w:line="276" w:lineRule="auto"/>
        <w:ind w:left="2880" w:firstLine="720"/>
        <w:jc w:val="both"/>
        <w:rPr>
          <w:rFonts w:eastAsia="Tahoma"/>
          <w:sz w:val="22"/>
          <w:szCs w:val="22"/>
        </w:rPr>
      </w:pPr>
      <w:r w:rsidRPr="00387E60">
        <w:rPr>
          <w:rFonts w:eastAsia="Tahoma"/>
          <w:sz w:val="22"/>
          <w:szCs w:val="22"/>
        </w:rPr>
        <w:t>“En la maternidad te hacen los análisis y descubren que el crack que fumaste le pasó a tu hijo, eso dicen, ¿no? Entonces, ninguna mujer que vaya a dar a luz con esta sustancia crack puede salir de la maternidad sin la familia responsable, si no, no saldrá de la maternidad en absoluto. En ninguna parte, el juzgado de menores ya está en la puerta esperando. O la mujer tiene una familia que se hace cargo del niño o pierde la custodia.” (Dandara, 2017)</w:t>
      </w:r>
    </w:p>
    <w:p w14:paraId="0ED3C328" w14:textId="77777777" w:rsidR="00D35C8D" w:rsidRPr="00387E60" w:rsidRDefault="00000000">
      <w:pPr>
        <w:shd w:val="clear" w:color="auto" w:fill="FFFFFF"/>
        <w:spacing w:after="220" w:line="276" w:lineRule="auto"/>
        <w:ind w:left="2880" w:firstLine="720"/>
        <w:jc w:val="both"/>
        <w:rPr>
          <w:rFonts w:eastAsia="Tahoma"/>
          <w:sz w:val="22"/>
          <w:szCs w:val="22"/>
        </w:rPr>
      </w:pPr>
      <w:r w:rsidRPr="00387E60">
        <w:rPr>
          <w:rFonts w:eastAsia="Tahoma"/>
          <w:sz w:val="22"/>
          <w:szCs w:val="22"/>
        </w:rPr>
        <w:t>“Sólo cuando descubren que estás en la calle y fumas crack quieren llevarte a tu hijo. Hay varias historias. Las mujeres van a la maternidad a tener el niño y el tribunal se lo lleva. No quieren mantenerte o ni siquiera te preguntan si quieres quedarte con el niño. Después de que se llevaron a mi primer hijo me volví loca. Cuando quedé embarazada comencé a cuidarme más y te juro que quería salir de esta vida. Probé refugio, probé “mi casa, mi vida” y nada. Luego cuando me robaron a mi niño me tiré  al crack. No quería quedarme "de cara" ni un minuto para no recordar que me habían quitado a mi hijo. Vas por la calle y hablas con otras mujeres y la historia simplemente se repite. Quien aguanta un dolor de esta sin crack? (Catarina, 2017)</w:t>
      </w:r>
    </w:p>
    <w:p w14:paraId="2F9022A0" w14:textId="70F78876" w:rsidR="00D35C8D" w:rsidRPr="00387E60" w:rsidRDefault="00000000" w:rsidP="00FE1961">
      <w:pPr>
        <w:shd w:val="clear" w:color="auto" w:fill="FFFFFF"/>
        <w:spacing w:after="220" w:line="276" w:lineRule="auto"/>
        <w:jc w:val="both"/>
        <w:rPr>
          <w:rFonts w:eastAsia="Tahoma"/>
          <w:b/>
          <w:sz w:val="22"/>
          <w:szCs w:val="22"/>
        </w:rPr>
      </w:pPr>
      <w:r w:rsidRPr="00387E60">
        <w:rPr>
          <w:rFonts w:eastAsia="Tahoma"/>
          <w:sz w:val="22"/>
          <w:szCs w:val="22"/>
        </w:rPr>
        <w:t>Brasil ahora necesita hacer una política sobre drogas con una mirada interseccional para contemplar las diversidades de expresiones de mujeres y disidencias. La major participación de mujeres usuarias de droga</w:t>
      </w:r>
      <w:r w:rsidR="00556A2F">
        <w:rPr>
          <w:rFonts w:eastAsia="Tahoma"/>
          <w:sz w:val="22"/>
          <w:szCs w:val="22"/>
        </w:rPr>
        <w:t>s</w:t>
      </w:r>
      <w:r w:rsidR="00556A2F" w:rsidRPr="00387E60">
        <w:rPr>
          <w:rFonts w:eastAsia="Tahoma"/>
          <w:sz w:val="22"/>
          <w:szCs w:val="22"/>
          <w:vertAlign w:val="superscript"/>
        </w:rPr>
        <w:footnoteReference w:id="19"/>
      </w:r>
      <w:r w:rsidRPr="00387E60">
        <w:rPr>
          <w:rFonts w:eastAsia="Tahoma"/>
          <w:sz w:val="22"/>
          <w:szCs w:val="22"/>
        </w:rPr>
        <w:t xml:space="preserve"> en la lucha feminista antiproibicionista y antiracista con una agenda de ocupación de los espacios de poder y representacion politica ha combatido toda la violencia politica de la invisibilidad que vive las mujeres en las politicas públicas del Estado Brasileno e de toda nuestra región.</w:t>
      </w:r>
    </w:p>
    <w:p w14:paraId="478D14CA" w14:textId="77777777" w:rsidR="00D35C8D" w:rsidRPr="00387E60" w:rsidRDefault="00000000">
      <w:pPr>
        <w:spacing w:after="120" w:line="276" w:lineRule="auto"/>
        <w:jc w:val="both"/>
        <w:rPr>
          <w:rFonts w:eastAsia="Tahoma"/>
          <w:b/>
          <w:sz w:val="22"/>
          <w:szCs w:val="22"/>
        </w:rPr>
      </w:pPr>
      <w:r w:rsidRPr="00387E60">
        <w:rPr>
          <w:rFonts w:eastAsia="Tahoma"/>
          <w:b/>
          <w:sz w:val="22"/>
          <w:szCs w:val="22"/>
        </w:rPr>
        <w:t>Población LGBTIQ+</w:t>
      </w:r>
    </w:p>
    <w:p w14:paraId="0A6359DC" w14:textId="77777777" w:rsidR="00D35C8D" w:rsidRPr="00387E60" w:rsidRDefault="00000000">
      <w:pPr>
        <w:spacing w:after="120" w:line="276" w:lineRule="auto"/>
        <w:jc w:val="both"/>
        <w:rPr>
          <w:rFonts w:eastAsia="Tahoma"/>
          <w:sz w:val="22"/>
          <w:szCs w:val="22"/>
        </w:rPr>
      </w:pPr>
      <w:r w:rsidRPr="00387E60">
        <w:rPr>
          <w:rFonts w:eastAsia="Tahoma"/>
          <w:sz w:val="22"/>
          <w:szCs w:val="22"/>
        </w:rPr>
        <w:t>Las personas Lesbianas, Gays, Trans, Intersex, Queer y más, suelen sufrir mayores situaciones de vulneración de sus derechos humanos. Asimismo, se encuentran realizando trabajo sexual y consumen drogas enfrentan una doble o triple discriminación. Las políticas de drogas y la criminalización del trabajo sexual las dejan vulnerables a la violencia policial y a la explotación por parte de terceros (como la trata de personas y violencia sexual comercial). La falta de acceso a servicios de salud adecuados y programas de reducción de daños agrava aún más su situación (como una mayor exposición al VIH, las hepatitis virales y las ITS). Las experiencias de violencia, discriminación y exclusión a menudo las empujan hacia un ciclo de uso de drogas como mecanismo de supervivencia.</w:t>
      </w:r>
    </w:p>
    <w:p w14:paraId="207B038C" w14:textId="77777777" w:rsidR="00D35C8D" w:rsidRPr="00387E60" w:rsidRDefault="00D35C8D">
      <w:pPr>
        <w:spacing w:after="120" w:line="276" w:lineRule="auto"/>
        <w:jc w:val="both"/>
        <w:rPr>
          <w:rFonts w:eastAsia="Tahoma"/>
          <w:sz w:val="22"/>
          <w:szCs w:val="22"/>
        </w:rPr>
      </w:pPr>
    </w:p>
    <w:p w14:paraId="2A43D54C" w14:textId="77777777" w:rsidR="00D35C8D" w:rsidRPr="00387E60" w:rsidRDefault="00000000">
      <w:pPr>
        <w:spacing w:after="120" w:line="276" w:lineRule="auto"/>
        <w:jc w:val="both"/>
        <w:rPr>
          <w:rFonts w:eastAsia="Tahoma"/>
          <w:b/>
          <w:sz w:val="22"/>
          <w:szCs w:val="22"/>
        </w:rPr>
      </w:pPr>
      <w:r w:rsidRPr="00387E60">
        <w:rPr>
          <w:rFonts w:eastAsia="Tahoma"/>
          <w:b/>
          <w:sz w:val="22"/>
          <w:szCs w:val="22"/>
        </w:rPr>
        <w:t>Afrodescendientes</w:t>
      </w:r>
    </w:p>
    <w:p w14:paraId="24BF233B" w14:textId="2C0E6D73" w:rsidR="00D35C8D" w:rsidRPr="00387E60" w:rsidRDefault="00000000" w:rsidP="00556A2F">
      <w:pPr>
        <w:spacing w:line="307" w:lineRule="auto"/>
        <w:ind w:firstLine="720"/>
        <w:jc w:val="both"/>
        <w:rPr>
          <w:rFonts w:eastAsia="Tahoma"/>
          <w:color w:val="202124"/>
          <w:sz w:val="22"/>
          <w:szCs w:val="22"/>
        </w:rPr>
      </w:pPr>
      <w:r w:rsidRPr="00387E60">
        <w:rPr>
          <w:rFonts w:eastAsia="Arial"/>
          <w:color w:val="202124"/>
          <w:sz w:val="22"/>
          <w:szCs w:val="22"/>
        </w:rPr>
        <w:lastRenderedPageBreak/>
        <w:t>La esclavitud de millones de africanos y afrodescendientes en Brasil que duró casi cuatrocientos años se considera el mayor desplazamiento forzado de la era moderna.</w:t>
      </w:r>
      <w:r w:rsidR="000977AB">
        <w:rPr>
          <w:rFonts w:eastAsia="Tahoma"/>
          <w:sz w:val="22"/>
          <w:szCs w:val="22"/>
        </w:rPr>
        <w:t xml:space="preserve"> </w:t>
      </w:r>
      <w:r w:rsidRPr="00387E60">
        <w:rPr>
          <w:rFonts w:eastAsia="Tahoma"/>
          <w:color w:val="202124"/>
          <w:sz w:val="22"/>
          <w:szCs w:val="22"/>
        </w:rPr>
        <w:t>La población negra, aunque mayoritaria en el país, alrededor del 56% de la población, según el Instituto Brasileño de Geografía y Estadística (IBGE)³, enfrenta obstáculos causados ​​por el racismo en todas las dimensiones de su vida cotidiana.</w:t>
      </w:r>
    </w:p>
    <w:p w14:paraId="53B75BD5" w14:textId="77777777" w:rsidR="00D35C8D" w:rsidRPr="00387E60" w:rsidRDefault="00D35C8D">
      <w:pPr>
        <w:spacing w:line="276" w:lineRule="auto"/>
        <w:ind w:firstLine="720"/>
        <w:jc w:val="both"/>
        <w:rPr>
          <w:rFonts w:eastAsia="Tahoma"/>
          <w:sz w:val="22"/>
          <w:szCs w:val="22"/>
        </w:rPr>
      </w:pPr>
    </w:p>
    <w:p w14:paraId="3C4AEC92" w14:textId="77777777" w:rsidR="00D35C8D" w:rsidRPr="00387E60" w:rsidRDefault="00000000">
      <w:pPr>
        <w:spacing w:line="308" w:lineRule="auto"/>
        <w:ind w:firstLine="720"/>
        <w:jc w:val="both"/>
        <w:rPr>
          <w:rFonts w:eastAsia="Tahoma"/>
          <w:color w:val="202124"/>
          <w:sz w:val="22"/>
          <w:szCs w:val="22"/>
        </w:rPr>
      </w:pPr>
      <w:r w:rsidRPr="00387E60">
        <w:rPr>
          <w:rFonts w:eastAsia="Tahoma"/>
          <w:color w:val="202124"/>
          <w:sz w:val="22"/>
          <w:szCs w:val="22"/>
        </w:rPr>
        <w:t>Los resultados de la reciente encuesta "Percepciones sobre el racismo en Brasil⁴, realizada por el Instituto de Referencia Negra Peregum, IPEC y Action Aid, demuestran que la mayoría de la población brasileña no tiene dudas de que el racismo existe en Brasil⁴ y que esto es un riesgo. factor para la población negra:</w:t>
      </w:r>
    </w:p>
    <w:p w14:paraId="21626FFD" w14:textId="77777777" w:rsidR="00D35C8D" w:rsidRPr="00387E60" w:rsidRDefault="00D35C8D">
      <w:pPr>
        <w:spacing w:line="276" w:lineRule="auto"/>
        <w:ind w:firstLine="720"/>
        <w:jc w:val="both"/>
        <w:rPr>
          <w:rFonts w:eastAsia="Tahoma"/>
          <w:sz w:val="22"/>
          <w:szCs w:val="22"/>
        </w:rPr>
      </w:pPr>
    </w:p>
    <w:p w14:paraId="586EF34F" w14:textId="77777777" w:rsidR="00D35C8D" w:rsidRPr="00387E60" w:rsidRDefault="00000000">
      <w:pPr>
        <w:spacing w:line="308" w:lineRule="auto"/>
        <w:ind w:firstLine="720"/>
        <w:jc w:val="both"/>
        <w:rPr>
          <w:rFonts w:eastAsia="Tahoma"/>
          <w:color w:val="202124"/>
          <w:sz w:val="22"/>
          <w:szCs w:val="22"/>
        </w:rPr>
      </w:pPr>
      <w:r w:rsidRPr="00387E60">
        <w:rPr>
          <w:rFonts w:eastAsia="Tahoma"/>
          <w:color w:val="202124"/>
          <w:sz w:val="22"/>
          <w:szCs w:val="22"/>
        </w:rPr>
        <w:t>Los negros y los blancos reciben un trato diferente por parte de la policía, el 84% está de acuerdo (total y parcialmente);</w:t>
      </w:r>
    </w:p>
    <w:p w14:paraId="41FF8357" w14:textId="77777777" w:rsidR="00D35C8D" w:rsidRPr="00387E60" w:rsidRDefault="00D35C8D">
      <w:pPr>
        <w:spacing w:line="276" w:lineRule="auto"/>
        <w:jc w:val="both"/>
        <w:rPr>
          <w:rFonts w:eastAsia="Tahoma"/>
          <w:sz w:val="22"/>
          <w:szCs w:val="22"/>
        </w:rPr>
      </w:pPr>
    </w:p>
    <w:p w14:paraId="7DFF33E9" w14:textId="40899AB0" w:rsidR="00D35C8D" w:rsidRPr="00387E60" w:rsidRDefault="00000000" w:rsidP="000977AB">
      <w:pPr>
        <w:spacing w:line="276" w:lineRule="auto"/>
        <w:ind w:left="1440"/>
        <w:jc w:val="both"/>
        <w:rPr>
          <w:rFonts w:eastAsia="Tahoma"/>
          <w:sz w:val="22"/>
          <w:szCs w:val="22"/>
        </w:rPr>
      </w:pPr>
      <w:r w:rsidRPr="00387E60">
        <w:rPr>
          <w:rFonts w:eastAsia="Tahoma"/>
          <w:sz w:val="22"/>
          <w:szCs w:val="22"/>
        </w:rPr>
        <w:t>•</w:t>
      </w:r>
      <w:r w:rsidRPr="00387E60">
        <w:rPr>
          <w:rFonts w:eastAsia="Tahoma"/>
          <w:color w:val="202124"/>
          <w:sz w:val="22"/>
          <w:szCs w:val="22"/>
        </w:rPr>
        <w:t>Las  personas negros y  blancas reciben un trato diferente por parte de la policía, el 84% está de acuerdo (total y parcialmente);</w:t>
      </w:r>
      <w:r w:rsidRPr="00387E60">
        <w:rPr>
          <w:rFonts w:eastAsia="Tahoma"/>
          <w:sz w:val="22"/>
          <w:szCs w:val="22"/>
        </w:rPr>
        <w:t>;</w:t>
      </w:r>
    </w:p>
    <w:p w14:paraId="568E42D3" w14:textId="1037BED4" w:rsidR="00D35C8D" w:rsidRPr="00387E60" w:rsidRDefault="00000000" w:rsidP="000977AB">
      <w:pPr>
        <w:spacing w:line="276" w:lineRule="auto"/>
        <w:ind w:left="1440"/>
        <w:jc w:val="both"/>
        <w:rPr>
          <w:rFonts w:eastAsia="Tahoma"/>
          <w:sz w:val="22"/>
          <w:szCs w:val="22"/>
        </w:rPr>
      </w:pPr>
      <w:r w:rsidRPr="00387E60">
        <w:rPr>
          <w:rFonts w:eastAsia="Tahoma"/>
          <w:sz w:val="22"/>
          <w:szCs w:val="22"/>
        </w:rPr>
        <w:t xml:space="preserve">• </w:t>
      </w:r>
      <w:r w:rsidRPr="00387E60">
        <w:rPr>
          <w:rFonts w:eastAsia="Tahoma"/>
          <w:color w:val="202124"/>
          <w:sz w:val="22"/>
          <w:szCs w:val="22"/>
        </w:rPr>
        <w:t>El enfoque policial se basa en el color de piel, tipo de cabello y vestimenta de las personas, 79% (total y parcialmente);</w:t>
      </w:r>
    </w:p>
    <w:p w14:paraId="2AA6793D" w14:textId="77777777" w:rsidR="00D35C8D" w:rsidRPr="00387E60" w:rsidRDefault="00000000">
      <w:pPr>
        <w:spacing w:line="276" w:lineRule="auto"/>
        <w:ind w:left="1440"/>
        <w:jc w:val="both"/>
        <w:rPr>
          <w:rFonts w:eastAsia="Tahoma"/>
          <w:color w:val="202124"/>
          <w:sz w:val="22"/>
          <w:szCs w:val="22"/>
        </w:rPr>
      </w:pPr>
      <w:r w:rsidRPr="00387E60">
        <w:rPr>
          <w:rFonts w:eastAsia="Tahoma"/>
          <w:sz w:val="22"/>
          <w:szCs w:val="22"/>
        </w:rPr>
        <w:t xml:space="preserve">• </w:t>
      </w:r>
      <w:r w:rsidRPr="00387E60">
        <w:rPr>
          <w:rFonts w:eastAsia="Tahoma"/>
          <w:color w:val="202124"/>
          <w:sz w:val="22"/>
          <w:szCs w:val="22"/>
        </w:rPr>
        <w:t>Las personas negras son más criminalizados y castigados que los blancos, 88% (total y parcialmente).</w:t>
      </w:r>
    </w:p>
    <w:p w14:paraId="5BCEB1F6" w14:textId="77777777" w:rsidR="00D35C8D" w:rsidRPr="00387E60" w:rsidRDefault="00D35C8D" w:rsidP="00FE1961">
      <w:pPr>
        <w:spacing w:line="276" w:lineRule="auto"/>
        <w:jc w:val="both"/>
        <w:rPr>
          <w:rFonts w:eastAsia="Tahoma"/>
          <w:sz w:val="22"/>
          <w:szCs w:val="22"/>
        </w:rPr>
      </w:pPr>
    </w:p>
    <w:p w14:paraId="5920013B" w14:textId="053E86B0" w:rsidR="00D35C8D" w:rsidRPr="00387E60" w:rsidRDefault="00000000" w:rsidP="00FE1961">
      <w:pPr>
        <w:spacing w:line="308" w:lineRule="auto"/>
        <w:ind w:left="1440"/>
        <w:jc w:val="both"/>
        <w:rPr>
          <w:rFonts w:eastAsia="Tahoma"/>
          <w:sz w:val="22"/>
          <w:szCs w:val="22"/>
        </w:rPr>
      </w:pPr>
      <w:r w:rsidRPr="00387E60">
        <w:rPr>
          <w:rFonts w:eastAsia="Tahoma"/>
          <w:color w:val="202124"/>
          <w:sz w:val="22"/>
          <w:szCs w:val="22"/>
        </w:rPr>
        <w:t>La investigación: Periferia, racismo y violencia (2020)⁵, concluyó que:</w:t>
      </w:r>
    </w:p>
    <w:p w14:paraId="51C9DF78" w14:textId="056539D9" w:rsidR="00D35C8D" w:rsidRPr="00387E60" w:rsidRDefault="00000000" w:rsidP="000977AB">
      <w:pPr>
        <w:spacing w:line="276" w:lineRule="auto"/>
        <w:ind w:left="1440"/>
        <w:jc w:val="both"/>
        <w:rPr>
          <w:rFonts w:eastAsia="Tahoma"/>
          <w:sz w:val="22"/>
          <w:szCs w:val="22"/>
        </w:rPr>
      </w:pPr>
      <w:r w:rsidRPr="00387E60">
        <w:rPr>
          <w:rFonts w:eastAsia="Tahoma"/>
          <w:sz w:val="22"/>
          <w:szCs w:val="22"/>
        </w:rPr>
        <w:t xml:space="preserve">• </w:t>
      </w:r>
      <w:r w:rsidRPr="00387E60">
        <w:rPr>
          <w:rFonts w:eastAsia="Tahoma"/>
          <w:color w:val="202124"/>
          <w:sz w:val="22"/>
          <w:szCs w:val="22"/>
        </w:rPr>
        <w:t>Sólo el 5% de los brasileños, de todas las clases y razas, dicen creer que la policía no es racista.</w:t>
      </w:r>
    </w:p>
    <w:p w14:paraId="2E732512" w14:textId="3075D516" w:rsidR="00D35C8D" w:rsidRPr="00387E60" w:rsidRDefault="00000000" w:rsidP="000977AB">
      <w:pPr>
        <w:spacing w:line="276" w:lineRule="auto"/>
        <w:ind w:left="1440"/>
        <w:jc w:val="both"/>
        <w:rPr>
          <w:rFonts w:eastAsia="Tahoma"/>
          <w:sz w:val="22"/>
          <w:szCs w:val="22"/>
        </w:rPr>
      </w:pPr>
      <w:r w:rsidRPr="00387E60">
        <w:rPr>
          <w:rFonts w:eastAsia="Tahoma"/>
          <w:sz w:val="22"/>
          <w:szCs w:val="22"/>
        </w:rPr>
        <w:t>•  </w:t>
      </w:r>
      <w:r w:rsidRPr="00387E60">
        <w:rPr>
          <w:rFonts w:eastAsia="Tahoma"/>
          <w:color w:val="202124"/>
          <w:sz w:val="22"/>
          <w:szCs w:val="22"/>
        </w:rPr>
        <w:t>4 de cada 10 brasileños periféricos han sido víctimas de violencia policial, ya sea falta de respeto, agresión verbal, agresión física o extorsión</w:t>
      </w:r>
    </w:p>
    <w:p w14:paraId="4E84E463" w14:textId="4A0E5968" w:rsidR="00D35C8D" w:rsidRPr="00387E60" w:rsidRDefault="00000000" w:rsidP="000977AB">
      <w:pPr>
        <w:spacing w:line="276" w:lineRule="auto"/>
        <w:ind w:left="1440"/>
        <w:jc w:val="both"/>
        <w:rPr>
          <w:rFonts w:eastAsia="Tahoma"/>
          <w:sz w:val="22"/>
          <w:szCs w:val="22"/>
        </w:rPr>
      </w:pPr>
      <w:r w:rsidRPr="00387E60">
        <w:rPr>
          <w:rFonts w:eastAsia="Tahoma"/>
          <w:sz w:val="22"/>
          <w:szCs w:val="22"/>
        </w:rPr>
        <w:t xml:space="preserve">• </w:t>
      </w:r>
      <w:r w:rsidRPr="00387E60">
        <w:rPr>
          <w:rFonts w:eastAsia="Tahoma"/>
          <w:color w:val="202124"/>
          <w:sz w:val="22"/>
          <w:szCs w:val="22"/>
        </w:rPr>
        <w:t>El 56% afirmó que ya había sentido miedo al ver o interactuar con agentes policiales en situaciones cotidianas.</w:t>
      </w:r>
    </w:p>
    <w:p w14:paraId="5B3A829B" w14:textId="77777777" w:rsidR="00D35C8D" w:rsidRPr="00387E60" w:rsidRDefault="00000000">
      <w:pPr>
        <w:spacing w:line="276" w:lineRule="auto"/>
        <w:ind w:left="1440"/>
        <w:jc w:val="both"/>
        <w:rPr>
          <w:rFonts w:eastAsia="Tahoma"/>
          <w:color w:val="202124"/>
          <w:sz w:val="22"/>
          <w:szCs w:val="22"/>
        </w:rPr>
      </w:pPr>
      <w:r w:rsidRPr="00387E60">
        <w:rPr>
          <w:rFonts w:eastAsia="Tahoma"/>
          <w:sz w:val="22"/>
          <w:szCs w:val="22"/>
        </w:rPr>
        <w:t xml:space="preserve">• </w:t>
      </w:r>
      <w:r w:rsidRPr="00387E60">
        <w:rPr>
          <w:rFonts w:eastAsia="Tahoma"/>
          <w:color w:val="202124"/>
          <w:sz w:val="22"/>
          <w:szCs w:val="22"/>
        </w:rPr>
        <w:t>El 52% considera que la empresa es muy racista. Entre los negros, esta cifra es aún mayor (60%).</w:t>
      </w:r>
    </w:p>
    <w:p w14:paraId="2260815E" w14:textId="77777777" w:rsidR="00D35C8D" w:rsidRPr="00387E60" w:rsidRDefault="00D35C8D">
      <w:pPr>
        <w:spacing w:line="276" w:lineRule="auto"/>
        <w:jc w:val="both"/>
        <w:rPr>
          <w:rFonts w:eastAsia="Tahoma"/>
          <w:sz w:val="22"/>
          <w:szCs w:val="22"/>
        </w:rPr>
      </w:pPr>
    </w:p>
    <w:p w14:paraId="6B4FBB74" w14:textId="77777777" w:rsidR="00D35C8D" w:rsidRPr="00387E60" w:rsidRDefault="00000000">
      <w:pPr>
        <w:spacing w:line="308" w:lineRule="auto"/>
        <w:ind w:firstLine="720"/>
        <w:jc w:val="both"/>
        <w:rPr>
          <w:rFonts w:eastAsia="Tahoma"/>
          <w:color w:val="202124"/>
          <w:sz w:val="22"/>
          <w:szCs w:val="22"/>
        </w:rPr>
      </w:pPr>
      <w:r w:rsidRPr="00387E60">
        <w:rPr>
          <w:rFonts w:eastAsia="Tahoma"/>
          <w:color w:val="202124"/>
          <w:sz w:val="22"/>
          <w:szCs w:val="22"/>
        </w:rPr>
        <w:t>La ascención de gobiernos de extrema derecha de 2016 a 2022 introdujo una agenda política con discurso de odio racial y persecución de grupos marginados. Esta política contó con el apoyo de los sectores militares y fue sin duda uno de los factores que provocó el aumento de la violencia y letalidad por parte de las fuerzas policiales contra estas poblaciones.</w:t>
      </w:r>
    </w:p>
    <w:p w14:paraId="6CD735D8" w14:textId="77777777" w:rsidR="00D35C8D" w:rsidRPr="00387E60" w:rsidRDefault="00D35C8D">
      <w:pPr>
        <w:spacing w:line="276" w:lineRule="auto"/>
        <w:ind w:firstLine="720"/>
        <w:jc w:val="both"/>
        <w:rPr>
          <w:rFonts w:eastAsia="Tahoma"/>
          <w:sz w:val="22"/>
          <w:szCs w:val="22"/>
        </w:rPr>
      </w:pPr>
    </w:p>
    <w:p w14:paraId="17397E1B" w14:textId="77777777" w:rsidR="00D35C8D" w:rsidRPr="00387E60" w:rsidRDefault="00000000">
      <w:pPr>
        <w:spacing w:line="308" w:lineRule="auto"/>
        <w:ind w:firstLine="720"/>
        <w:jc w:val="both"/>
        <w:rPr>
          <w:rFonts w:eastAsia="Tahoma"/>
          <w:color w:val="202124"/>
          <w:sz w:val="22"/>
          <w:szCs w:val="22"/>
        </w:rPr>
      </w:pPr>
      <w:r w:rsidRPr="00387E60">
        <w:rPr>
          <w:rFonts w:eastAsia="Tahoma"/>
          <w:color w:val="202124"/>
          <w:sz w:val="22"/>
          <w:szCs w:val="22"/>
        </w:rPr>
        <w:t>No es casualidad que, a partir de este período, hayamos observado un aumento de las operaciones policiales en favelas y comunidades pobres, desconociendo la determinación del Tribunal Supremo Federal, ADPF 635 (Arguição de Descumprimento de Preceito Fundamental)⁶, que prohibía las intervenciones de fuerzas policiales en comunidades pobres durante la pandemia. Esta ilegalidad por parte de la policía provocó un aumento de las ejecuciones sumarias, principalmente de niños y jóvenes negros, e hizo que las masacres fueran frecuentes en estos territorios.</w:t>
      </w:r>
    </w:p>
    <w:p w14:paraId="13A7952C" w14:textId="77777777" w:rsidR="00D35C8D" w:rsidRPr="00387E60" w:rsidRDefault="00D35C8D">
      <w:pPr>
        <w:spacing w:line="276" w:lineRule="auto"/>
        <w:ind w:firstLine="720"/>
        <w:jc w:val="both"/>
        <w:rPr>
          <w:rFonts w:eastAsia="Tahoma"/>
          <w:sz w:val="22"/>
          <w:szCs w:val="22"/>
        </w:rPr>
      </w:pPr>
    </w:p>
    <w:p w14:paraId="1F1277C7" w14:textId="77777777" w:rsidR="00D35C8D" w:rsidRPr="00387E60" w:rsidRDefault="00000000">
      <w:pPr>
        <w:spacing w:line="308" w:lineRule="auto"/>
        <w:ind w:firstLine="720"/>
        <w:jc w:val="both"/>
        <w:rPr>
          <w:rFonts w:eastAsia="Tahoma"/>
          <w:color w:val="202124"/>
          <w:sz w:val="22"/>
          <w:szCs w:val="22"/>
        </w:rPr>
      </w:pPr>
      <w:r w:rsidRPr="00387E60">
        <w:rPr>
          <w:rFonts w:eastAsia="Tahoma"/>
          <w:color w:val="202124"/>
          <w:sz w:val="22"/>
          <w:szCs w:val="22"/>
        </w:rPr>
        <w:t>El Anuario Brasileño de Seguridad Pública 2023⁷, elaborado por el Foro Brasileño de Seguridad Pública, con datos sobre la letalidad policial en 2022, no deja dudas sobre la escala de barbarie a la que está sometida la población afrodescendiente en Brasil:</w:t>
      </w:r>
    </w:p>
    <w:p w14:paraId="1AF14904" w14:textId="77777777" w:rsidR="00D35C8D" w:rsidRPr="00387E60" w:rsidRDefault="00D35C8D" w:rsidP="00FE1961">
      <w:pPr>
        <w:spacing w:line="276" w:lineRule="auto"/>
        <w:jc w:val="both"/>
        <w:rPr>
          <w:rFonts w:eastAsia="Tahoma"/>
          <w:sz w:val="22"/>
          <w:szCs w:val="22"/>
        </w:rPr>
      </w:pPr>
    </w:p>
    <w:p w14:paraId="2AA15DC1" w14:textId="2388C140" w:rsidR="00D35C8D" w:rsidRPr="00387E60" w:rsidRDefault="00000000" w:rsidP="000977AB">
      <w:pPr>
        <w:spacing w:line="276" w:lineRule="auto"/>
        <w:ind w:left="1440"/>
        <w:jc w:val="both"/>
        <w:rPr>
          <w:rFonts w:eastAsia="Tahoma"/>
          <w:sz w:val="22"/>
          <w:szCs w:val="22"/>
        </w:rPr>
      </w:pPr>
      <w:r w:rsidRPr="00387E60">
        <w:rPr>
          <w:rFonts w:eastAsia="Tahoma"/>
          <w:sz w:val="22"/>
          <w:szCs w:val="22"/>
        </w:rPr>
        <w:t xml:space="preserve">• </w:t>
      </w:r>
      <w:r w:rsidRPr="00387E60">
        <w:rPr>
          <w:rFonts w:eastAsia="Tahoma"/>
          <w:color w:val="202124"/>
          <w:sz w:val="22"/>
          <w:szCs w:val="22"/>
        </w:rPr>
        <w:t>6.429 víctimas de la letalidad policial brasileña con un promedio de 17 muertes por día;</w:t>
      </w:r>
    </w:p>
    <w:p w14:paraId="0B967D1F" w14:textId="77777777" w:rsidR="00D35C8D" w:rsidRPr="00387E60" w:rsidRDefault="00D35C8D">
      <w:pPr>
        <w:spacing w:line="276" w:lineRule="auto"/>
        <w:ind w:left="1440"/>
        <w:jc w:val="both"/>
        <w:rPr>
          <w:rFonts w:eastAsia="Tahoma"/>
          <w:sz w:val="22"/>
          <w:szCs w:val="22"/>
        </w:rPr>
      </w:pPr>
    </w:p>
    <w:p w14:paraId="274AD718" w14:textId="77777777" w:rsidR="00D35C8D" w:rsidRPr="00387E60" w:rsidRDefault="00000000">
      <w:pPr>
        <w:spacing w:line="276" w:lineRule="auto"/>
        <w:ind w:left="1440"/>
        <w:jc w:val="both"/>
        <w:rPr>
          <w:rFonts w:eastAsia="Tahoma"/>
          <w:color w:val="202124"/>
          <w:sz w:val="22"/>
          <w:szCs w:val="22"/>
        </w:rPr>
      </w:pPr>
      <w:r w:rsidRPr="00387E60">
        <w:rPr>
          <w:rFonts w:eastAsia="Tahoma"/>
          <w:sz w:val="22"/>
          <w:szCs w:val="22"/>
        </w:rPr>
        <w:t>• </w:t>
      </w:r>
      <w:r w:rsidRPr="00387E60">
        <w:rPr>
          <w:rFonts w:eastAsia="Tahoma"/>
          <w:color w:val="202124"/>
          <w:sz w:val="22"/>
          <w:szCs w:val="22"/>
        </w:rPr>
        <w:t>El 83% de los asesinados eran negros y el 76% tenían entre 12 y 29 años;</w:t>
      </w:r>
    </w:p>
    <w:p w14:paraId="61F6161B" w14:textId="77777777" w:rsidR="00D35C8D" w:rsidRPr="00387E60" w:rsidRDefault="00D35C8D" w:rsidP="000977AB">
      <w:pPr>
        <w:spacing w:line="276" w:lineRule="auto"/>
        <w:ind w:left="1440"/>
        <w:jc w:val="both"/>
        <w:rPr>
          <w:rFonts w:eastAsia="Tahoma"/>
          <w:sz w:val="22"/>
          <w:szCs w:val="22"/>
        </w:rPr>
      </w:pPr>
    </w:p>
    <w:p w14:paraId="3E36167A" w14:textId="50713FFD" w:rsidR="00D35C8D" w:rsidRPr="00387E60" w:rsidRDefault="00000000" w:rsidP="000977AB">
      <w:pPr>
        <w:spacing w:line="276" w:lineRule="auto"/>
        <w:ind w:left="1440"/>
        <w:jc w:val="both"/>
        <w:rPr>
          <w:rFonts w:eastAsia="Tahoma"/>
          <w:sz w:val="22"/>
          <w:szCs w:val="22"/>
        </w:rPr>
      </w:pPr>
      <w:r w:rsidRPr="00387E60">
        <w:rPr>
          <w:rFonts w:eastAsia="Tahoma"/>
          <w:sz w:val="22"/>
          <w:szCs w:val="22"/>
        </w:rPr>
        <w:t>•</w:t>
      </w:r>
      <w:r w:rsidRPr="00387E60">
        <w:rPr>
          <w:rFonts w:eastAsia="Tahoma"/>
          <w:color w:val="202124"/>
          <w:sz w:val="22"/>
          <w:szCs w:val="22"/>
        </w:rPr>
        <w:t>Tasa de 3,2 muertes por intervención policial (MDIP) por 100.000 habitantes</w:t>
      </w:r>
    </w:p>
    <w:p w14:paraId="3C092C00" w14:textId="77777777" w:rsidR="00D35C8D" w:rsidRPr="00387E60" w:rsidRDefault="00D35C8D">
      <w:pPr>
        <w:spacing w:line="276" w:lineRule="auto"/>
        <w:ind w:left="1440"/>
        <w:jc w:val="both"/>
        <w:rPr>
          <w:rFonts w:eastAsia="Tahoma"/>
          <w:sz w:val="22"/>
          <w:szCs w:val="22"/>
        </w:rPr>
      </w:pPr>
    </w:p>
    <w:p w14:paraId="46E9C222" w14:textId="77777777" w:rsidR="00D35C8D" w:rsidRPr="00387E60" w:rsidRDefault="00000000">
      <w:pPr>
        <w:spacing w:line="276" w:lineRule="auto"/>
        <w:ind w:left="1440"/>
        <w:jc w:val="both"/>
        <w:rPr>
          <w:rFonts w:eastAsia="Tahoma"/>
          <w:color w:val="202124"/>
          <w:sz w:val="22"/>
          <w:szCs w:val="22"/>
        </w:rPr>
      </w:pPr>
      <w:r w:rsidRPr="00387E60">
        <w:rPr>
          <w:rFonts w:eastAsia="Tahoma"/>
          <w:sz w:val="22"/>
          <w:szCs w:val="22"/>
        </w:rPr>
        <w:t xml:space="preserve">• </w:t>
      </w:r>
      <w:r w:rsidRPr="00387E60">
        <w:rPr>
          <w:rFonts w:eastAsia="Tahoma"/>
          <w:color w:val="202124"/>
          <w:sz w:val="22"/>
          <w:szCs w:val="22"/>
        </w:rPr>
        <w:t>0,9% de crecimiento en la tasa de personas privadas de libertad; en números absolutos hay 832.295 personas con su libertad restringida y bajo tutela del Estado;</w:t>
      </w:r>
    </w:p>
    <w:p w14:paraId="1A5F6471" w14:textId="77777777" w:rsidR="00D35C8D" w:rsidRPr="00387E60" w:rsidRDefault="00D35C8D" w:rsidP="00FE1961">
      <w:pPr>
        <w:spacing w:line="276" w:lineRule="auto"/>
        <w:jc w:val="both"/>
        <w:rPr>
          <w:rFonts w:eastAsia="Tahoma"/>
          <w:sz w:val="22"/>
          <w:szCs w:val="22"/>
        </w:rPr>
      </w:pPr>
    </w:p>
    <w:p w14:paraId="589CFB78" w14:textId="77777777" w:rsidR="00D35C8D" w:rsidRPr="00387E60" w:rsidRDefault="00000000">
      <w:pPr>
        <w:spacing w:line="276" w:lineRule="auto"/>
        <w:ind w:left="1440"/>
        <w:jc w:val="both"/>
        <w:rPr>
          <w:rFonts w:eastAsia="Tahoma"/>
          <w:color w:val="202124"/>
          <w:sz w:val="22"/>
          <w:szCs w:val="22"/>
        </w:rPr>
      </w:pPr>
      <w:r w:rsidRPr="00387E60">
        <w:rPr>
          <w:rFonts w:eastAsia="Tahoma"/>
          <w:sz w:val="22"/>
          <w:szCs w:val="22"/>
        </w:rPr>
        <w:t xml:space="preserve">• </w:t>
      </w:r>
      <w:r w:rsidRPr="00387E60">
        <w:rPr>
          <w:rFonts w:eastAsia="Tahoma"/>
          <w:color w:val="202124"/>
          <w:sz w:val="22"/>
          <w:szCs w:val="22"/>
        </w:rPr>
        <w:t>Perfil de personas con privación de libertad: jóvenes hasta 29 años (43,1%), negros (68,2%);</w:t>
      </w:r>
    </w:p>
    <w:p w14:paraId="1968222F" w14:textId="77777777" w:rsidR="00D35C8D" w:rsidRPr="00387E60" w:rsidRDefault="00D35C8D">
      <w:pPr>
        <w:spacing w:line="276" w:lineRule="auto"/>
        <w:ind w:left="1440"/>
        <w:jc w:val="both"/>
        <w:rPr>
          <w:rFonts w:eastAsia="Tahoma"/>
          <w:sz w:val="22"/>
          <w:szCs w:val="22"/>
        </w:rPr>
      </w:pPr>
    </w:p>
    <w:p w14:paraId="4AF414A7" w14:textId="77777777" w:rsidR="00D35C8D" w:rsidRPr="00387E60" w:rsidRDefault="00000000">
      <w:pPr>
        <w:spacing w:line="276" w:lineRule="auto"/>
        <w:ind w:left="1440"/>
        <w:jc w:val="both"/>
        <w:rPr>
          <w:rFonts w:eastAsia="Tahoma"/>
          <w:color w:val="202124"/>
          <w:sz w:val="22"/>
          <w:szCs w:val="22"/>
        </w:rPr>
      </w:pPr>
      <w:r w:rsidRPr="00387E60">
        <w:rPr>
          <w:rFonts w:eastAsia="Tahoma"/>
          <w:sz w:val="22"/>
          <w:szCs w:val="22"/>
        </w:rPr>
        <w:t xml:space="preserve">• </w:t>
      </w:r>
      <w:r w:rsidRPr="00387E60">
        <w:rPr>
          <w:rFonts w:eastAsia="Tahoma"/>
          <w:color w:val="202124"/>
          <w:sz w:val="22"/>
          <w:szCs w:val="22"/>
        </w:rPr>
        <w:t>12.154 niños, niñas y adolescentes cumplían medida en el sistema socioeducativo en el formato cerrado.</w:t>
      </w:r>
    </w:p>
    <w:p w14:paraId="11816A45" w14:textId="77777777" w:rsidR="00D35C8D" w:rsidRPr="00387E60" w:rsidRDefault="00D35C8D">
      <w:pPr>
        <w:spacing w:line="276" w:lineRule="auto"/>
        <w:jc w:val="both"/>
        <w:rPr>
          <w:rFonts w:eastAsia="Tahoma"/>
          <w:sz w:val="22"/>
          <w:szCs w:val="22"/>
        </w:rPr>
      </w:pPr>
    </w:p>
    <w:p w14:paraId="2CD693D0" w14:textId="77777777" w:rsidR="00D35C8D" w:rsidRPr="00387E60" w:rsidRDefault="00000000">
      <w:pPr>
        <w:spacing w:line="308" w:lineRule="auto"/>
        <w:ind w:firstLine="720"/>
        <w:jc w:val="both"/>
        <w:rPr>
          <w:rFonts w:eastAsia="Tahoma"/>
          <w:color w:val="202124"/>
          <w:sz w:val="22"/>
          <w:szCs w:val="22"/>
        </w:rPr>
      </w:pPr>
      <w:r w:rsidRPr="00387E60">
        <w:rPr>
          <w:rFonts w:eastAsia="Tahoma"/>
          <w:color w:val="202124"/>
          <w:sz w:val="22"/>
          <w:szCs w:val="22"/>
        </w:rPr>
        <w:t>Los movimientos sociales negros denuncian que los perfiles raciales anti-negros tienen ramificaciones en los sistemas de justicia, ya que es explícita la desproporcionalidad en las condenas de este sistema en relación a las personas negras, en comparación con las personas blancas sometidas a los mismos delitos⁵. Es la mano dura de los tribunales de justicia brasileños en relación con la población negra la que lleva a miles de niños y adolescentes a la privación de libertad⁸. Este mismo sistema de justicia no da respuestas a la sociedad en relación a los frecuentes asesinatos de defensores de derechos humanos, generalmente negros que trabajan en zonas rurales, comunidades remanentes de quilombos, colonos y zonas donde se desarrolla el extractivismo. El asesinato de la madre María Bernadete Pacífico, líder religiosa y quilombola, el 17 de agosto de 2023, en el estado de Bahía, provocó una fuerte indignación de los movimientos sociales negros.</w:t>
      </w:r>
    </w:p>
    <w:p w14:paraId="088F2015" w14:textId="77777777" w:rsidR="000977AB" w:rsidRPr="00387E60" w:rsidRDefault="000977AB">
      <w:pPr>
        <w:spacing w:line="276" w:lineRule="auto"/>
        <w:jc w:val="both"/>
        <w:rPr>
          <w:rFonts w:eastAsia="Tahoma"/>
          <w:sz w:val="22"/>
          <w:szCs w:val="22"/>
        </w:rPr>
      </w:pPr>
    </w:p>
    <w:p w14:paraId="00511E59" w14:textId="77777777" w:rsidR="00452A9C" w:rsidRDefault="00452A9C" w:rsidP="0026414E">
      <w:pPr>
        <w:spacing w:line="308" w:lineRule="auto"/>
        <w:ind w:firstLine="720"/>
        <w:jc w:val="both"/>
        <w:rPr>
          <w:rFonts w:eastAsia="Tahoma"/>
          <w:color w:val="202124"/>
          <w:sz w:val="22"/>
          <w:szCs w:val="22"/>
        </w:rPr>
      </w:pPr>
    </w:p>
    <w:p w14:paraId="52BD2C14" w14:textId="77777777" w:rsidR="00452A9C" w:rsidRPr="00387E60" w:rsidRDefault="00452A9C" w:rsidP="0026414E">
      <w:pPr>
        <w:spacing w:line="308" w:lineRule="auto"/>
        <w:ind w:firstLine="720"/>
        <w:jc w:val="both"/>
        <w:rPr>
          <w:rFonts w:eastAsia="Tahoma"/>
          <w:color w:val="202124"/>
          <w:sz w:val="22"/>
          <w:szCs w:val="22"/>
        </w:rPr>
      </w:pPr>
    </w:p>
    <w:p w14:paraId="7CEF660E" w14:textId="22FD1626" w:rsidR="00D35C8D" w:rsidRPr="00387E60" w:rsidRDefault="00D35C8D">
      <w:pPr>
        <w:spacing w:after="120" w:line="276" w:lineRule="auto"/>
        <w:jc w:val="both"/>
        <w:rPr>
          <w:rFonts w:eastAsia="Tahoma"/>
          <w:sz w:val="22"/>
          <w:szCs w:val="22"/>
        </w:rPr>
      </w:pPr>
    </w:p>
    <w:p w14:paraId="072B2C63" w14:textId="62476633" w:rsidR="00D35C8D" w:rsidRPr="00387E60" w:rsidRDefault="000977AB">
      <w:pPr>
        <w:spacing w:after="120" w:line="276" w:lineRule="auto"/>
        <w:jc w:val="both"/>
        <w:rPr>
          <w:rFonts w:eastAsia="Tahoma"/>
          <w:b/>
          <w:sz w:val="22"/>
          <w:szCs w:val="22"/>
        </w:rPr>
      </w:pPr>
      <w:r>
        <w:rPr>
          <w:rFonts w:eastAsia="Tahoma"/>
          <w:b/>
          <w:sz w:val="22"/>
          <w:szCs w:val="22"/>
        </w:rPr>
        <w:t xml:space="preserve">Recomendaciones para al Comité: </w:t>
      </w:r>
    </w:p>
    <w:p w14:paraId="1E528AD6" w14:textId="77777777" w:rsidR="00D35C8D" w:rsidRPr="00387E60" w:rsidRDefault="00000000">
      <w:pPr>
        <w:spacing w:after="120" w:line="276" w:lineRule="auto"/>
        <w:ind w:firstLine="720"/>
        <w:jc w:val="both"/>
        <w:rPr>
          <w:rFonts w:eastAsia="Tahoma"/>
          <w:sz w:val="22"/>
          <w:szCs w:val="22"/>
        </w:rPr>
      </w:pPr>
      <w:r w:rsidRPr="00387E60">
        <w:rPr>
          <w:rFonts w:eastAsia="Tahoma"/>
          <w:sz w:val="22"/>
          <w:szCs w:val="22"/>
        </w:rPr>
        <w:t>Es fundamental abordar los desafíos de las políticas de drogas en Brasil desde una perspectiva interseccional que reconozca las múltiples dimensiones de la discriminación y la injusticia. Se requiere una reforma integral que promueva la descriminalización del uso de drogas, la implementación efectiva de programas de reducción de daños y el enfoque en enfoques basados en derechos humanos y salud pública en lugar de enfoques punitivos.</w:t>
      </w:r>
    </w:p>
    <w:p w14:paraId="57E65F5B" w14:textId="3C558608" w:rsidR="00387E60" w:rsidRPr="00387E60" w:rsidRDefault="00387E60">
      <w:pPr>
        <w:spacing w:after="120" w:line="276" w:lineRule="auto"/>
        <w:ind w:firstLine="720"/>
        <w:jc w:val="both"/>
        <w:rPr>
          <w:rFonts w:eastAsia="Tahoma"/>
          <w:sz w:val="22"/>
          <w:szCs w:val="22"/>
        </w:rPr>
      </w:pPr>
      <w:r w:rsidRPr="00387E60">
        <w:rPr>
          <w:rFonts w:eastAsia="Tahoma"/>
          <w:sz w:val="22"/>
          <w:szCs w:val="22"/>
        </w:rPr>
        <w:lastRenderedPageBreak/>
        <w:t xml:space="preserve">En consecuencia, recomendamos que el Comité formule las siguientes recomendaciones en el marco </w:t>
      </w:r>
      <w:r w:rsidR="00452A9C">
        <w:rPr>
          <w:rFonts w:eastAsia="Tahoma"/>
          <w:sz w:val="22"/>
          <w:szCs w:val="22"/>
        </w:rPr>
        <w:t>del derecho a la salud física y mental (artículo 12 ICESCR)</w:t>
      </w:r>
      <w:r w:rsidRPr="00387E60">
        <w:rPr>
          <w:rFonts w:eastAsia="Tahoma"/>
          <w:sz w:val="22"/>
          <w:szCs w:val="22"/>
        </w:rPr>
        <w:t>.</w:t>
      </w:r>
    </w:p>
    <w:p w14:paraId="5DE32D93" w14:textId="742F9FD3" w:rsidR="00387E60" w:rsidRDefault="00452A9C" w:rsidP="00452A9C">
      <w:pPr>
        <w:pStyle w:val="Prrafodelista"/>
        <w:numPr>
          <w:ilvl w:val="0"/>
          <w:numId w:val="1"/>
        </w:numPr>
        <w:spacing w:after="120" w:line="276" w:lineRule="auto"/>
        <w:jc w:val="both"/>
        <w:rPr>
          <w:rFonts w:eastAsia="Arial"/>
          <w:color w:val="202124"/>
          <w:sz w:val="22"/>
          <w:szCs w:val="22"/>
        </w:rPr>
      </w:pPr>
      <w:r>
        <w:rPr>
          <w:rFonts w:eastAsia="Arial"/>
          <w:color w:val="202124"/>
          <w:sz w:val="22"/>
          <w:szCs w:val="22"/>
        </w:rPr>
        <w:t>El Comité recomienda que el Estado increment</w:t>
      </w:r>
      <w:r w:rsidR="00DB170C">
        <w:rPr>
          <w:rFonts w:eastAsia="Arial"/>
          <w:color w:val="202124"/>
          <w:sz w:val="22"/>
          <w:szCs w:val="22"/>
        </w:rPr>
        <w:t>e</w:t>
      </w:r>
      <w:r>
        <w:rPr>
          <w:rFonts w:eastAsia="Arial"/>
          <w:color w:val="202124"/>
          <w:sz w:val="22"/>
          <w:szCs w:val="22"/>
        </w:rPr>
        <w:t xml:space="preserve"> </w:t>
      </w:r>
      <w:r w:rsidR="00DB170C">
        <w:rPr>
          <w:rFonts w:eastAsia="Arial"/>
          <w:color w:val="202124"/>
          <w:sz w:val="22"/>
          <w:szCs w:val="22"/>
        </w:rPr>
        <w:t xml:space="preserve">la inversión, </w:t>
      </w:r>
      <w:r>
        <w:rPr>
          <w:rFonts w:eastAsia="Arial"/>
          <w:color w:val="202124"/>
          <w:sz w:val="22"/>
          <w:szCs w:val="22"/>
        </w:rPr>
        <w:t xml:space="preserve">disponibilidad y acceso a los servicios de reducción de daños a través del país, </w:t>
      </w:r>
      <w:r w:rsidR="00DB170C">
        <w:rPr>
          <w:rFonts w:eastAsia="Arial"/>
          <w:color w:val="202124"/>
          <w:sz w:val="22"/>
          <w:szCs w:val="22"/>
        </w:rPr>
        <w:t xml:space="preserve">tanto en la comunidad como en prisones, particularmente </w:t>
      </w:r>
      <w:r>
        <w:rPr>
          <w:rFonts w:eastAsia="Arial"/>
          <w:color w:val="202124"/>
          <w:sz w:val="22"/>
          <w:szCs w:val="22"/>
        </w:rPr>
        <w:t xml:space="preserve">servicios </w:t>
      </w:r>
      <w:r w:rsidR="00DB170C">
        <w:rPr>
          <w:rFonts w:eastAsia="Arial"/>
          <w:color w:val="202124"/>
          <w:sz w:val="22"/>
          <w:szCs w:val="22"/>
        </w:rPr>
        <w:t xml:space="preserve">con perspectiva de género adaptados a las necesidades específicas de las </w:t>
      </w:r>
      <w:r>
        <w:rPr>
          <w:rFonts w:eastAsia="Arial"/>
          <w:color w:val="202124"/>
          <w:sz w:val="22"/>
          <w:szCs w:val="22"/>
        </w:rPr>
        <w:t>poblaciones históricamente marginalizadas como mujeres, personas LGBTQI</w:t>
      </w:r>
      <w:r w:rsidRPr="00FE1961">
        <w:rPr>
          <w:rFonts w:eastAsia="Arial"/>
          <w:color w:val="202124"/>
          <w:sz w:val="22"/>
          <w:szCs w:val="22"/>
          <w:lang w:val="es-ES"/>
        </w:rPr>
        <w:t>+</w:t>
      </w:r>
      <w:r>
        <w:rPr>
          <w:rFonts w:eastAsia="Arial"/>
          <w:color w:val="202124"/>
          <w:sz w:val="22"/>
          <w:szCs w:val="22"/>
        </w:rPr>
        <w:t xml:space="preserve">, y personas </w:t>
      </w:r>
      <w:r w:rsidR="00DB170C">
        <w:rPr>
          <w:rFonts w:eastAsia="Arial"/>
          <w:color w:val="202124"/>
          <w:sz w:val="22"/>
          <w:szCs w:val="22"/>
        </w:rPr>
        <w:t>a</w:t>
      </w:r>
      <w:r>
        <w:rPr>
          <w:rFonts w:eastAsia="Arial"/>
          <w:color w:val="202124"/>
          <w:sz w:val="22"/>
          <w:szCs w:val="22"/>
        </w:rPr>
        <w:t xml:space="preserve">frodescendientes. </w:t>
      </w:r>
    </w:p>
    <w:p w14:paraId="6C4DCFF3" w14:textId="735C952B" w:rsidR="00DB170C" w:rsidRDefault="00DB170C" w:rsidP="00452A9C">
      <w:pPr>
        <w:pStyle w:val="Prrafodelista"/>
        <w:numPr>
          <w:ilvl w:val="0"/>
          <w:numId w:val="1"/>
        </w:numPr>
        <w:spacing w:after="120" w:line="276" w:lineRule="auto"/>
        <w:jc w:val="both"/>
        <w:rPr>
          <w:rFonts w:eastAsia="Arial"/>
          <w:color w:val="202124"/>
          <w:sz w:val="22"/>
          <w:szCs w:val="22"/>
        </w:rPr>
      </w:pPr>
      <w:r>
        <w:rPr>
          <w:rFonts w:eastAsia="Arial"/>
          <w:color w:val="202124"/>
          <w:sz w:val="22"/>
          <w:szCs w:val="22"/>
        </w:rPr>
        <w:t>El Comité recomienda que el Estado facilite la inclusión de organizaciones de sociedad civil y de comunidades en el diseño y la implementación de las políticas de drogas.</w:t>
      </w:r>
    </w:p>
    <w:p w14:paraId="28597809" w14:textId="5201264C" w:rsidR="00DB170C" w:rsidRDefault="00452A9C" w:rsidP="00452A9C">
      <w:pPr>
        <w:pStyle w:val="Prrafodelista"/>
        <w:numPr>
          <w:ilvl w:val="0"/>
          <w:numId w:val="1"/>
        </w:numPr>
        <w:spacing w:after="120" w:line="276" w:lineRule="auto"/>
        <w:jc w:val="both"/>
        <w:rPr>
          <w:rFonts w:eastAsia="Arial"/>
          <w:color w:val="202124"/>
          <w:sz w:val="22"/>
          <w:szCs w:val="22"/>
        </w:rPr>
      </w:pPr>
      <w:r>
        <w:rPr>
          <w:rFonts w:eastAsia="Arial"/>
          <w:color w:val="202124"/>
          <w:sz w:val="22"/>
          <w:szCs w:val="22"/>
        </w:rPr>
        <w:t>E</w:t>
      </w:r>
      <w:r w:rsidR="00DB170C">
        <w:rPr>
          <w:rFonts w:eastAsia="Arial"/>
          <w:color w:val="202124"/>
          <w:sz w:val="22"/>
          <w:szCs w:val="22"/>
        </w:rPr>
        <w:t>l Comité recomienda la descriminalización del use y la posesión por uso personal de drogas como una medida esencial para facilitar el acceso al derecho a la salud de las personas que usan drogas.</w:t>
      </w:r>
    </w:p>
    <w:p w14:paraId="79E7C0C8" w14:textId="1A652501" w:rsidR="00452A9C" w:rsidRDefault="00DB170C" w:rsidP="00452A9C">
      <w:pPr>
        <w:pStyle w:val="Prrafodelista"/>
        <w:numPr>
          <w:ilvl w:val="0"/>
          <w:numId w:val="1"/>
        </w:numPr>
        <w:spacing w:after="120" w:line="276" w:lineRule="auto"/>
        <w:jc w:val="both"/>
        <w:rPr>
          <w:rFonts w:eastAsia="Arial"/>
          <w:color w:val="202124"/>
          <w:sz w:val="22"/>
          <w:szCs w:val="22"/>
        </w:rPr>
      </w:pPr>
      <w:r>
        <w:rPr>
          <w:rFonts w:eastAsia="Arial"/>
          <w:color w:val="202124"/>
          <w:sz w:val="22"/>
          <w:szCs w:val="22"/>
        </w:rPr>
        <w:t>El Comité recomienda la reforma del enfoque punitivo de las leyes de drogas que han tenido un impacto desproporcionado en el encarcelamiento de mujeres y personas afrodescendientes.</w:t>
      </w:r>
    </w:p>
    <w:p w14:paraId="68720CD0" w14:textId="6310315C" w:rsidR="00DB170C" w:rsidRPr="00FE1961" w:rsidRDefault="00DB170C" w:rsidP="00FE1961">
      <w:pPr>
        <w:pStyle w:val="Prrafodelista"/>
        <w:numPr>
          <w:ilvl w:val="0"/>
          <w:numId w:val="1"/>
        </w:numPr>
        <w:spacing w:after="120" w:line="276" w:lineRule="auto"/>
        <w:jc w:val="both"/>
        <w:rPr>
          <w:rFonts w:eastAsia="Arial"/>
          <w:color w:val="202124"/>
          <w:sz w:val="22"/>
          <w:szCs w:val="22"/>
        </w:rPr>
      </w:pPr>
      <w:r>
        <w:rPr>
          <w:rFonts w:eastAsia="Arial"/>
          <w:color w:val="202124"/>
          <w:sz w:val="22"/>
          <w:szCs w:val="22"/>
        </w:rPr>
        <w:t>El Comité recomienda que el Estado tome medidas para regular y supervisar los centros de tratamiento de drogas sobre los que ha habido reportes de tortura y malos tratos, incluyendo comunidades terapéuticas.</w:t>
      </w:r>
    </w:p>
    <w:p w14:paraId="6098E302" w14:textId="3C7B7CDD" w:rsidR="00DB170C" w:rsidRPr="00FE1961" w:rsidRDefault="00DB170C" w:rsidP="00FE1961">
      <w:pPr>
        <w:spacing w:after="120" w:line="276" w:lineRule="auto"/>
        <w:ind w:firstLine="720"/>
        <w:jc w:val="both"/>
        <w:rPr>
          <w:rFonts w:eastAsia="Arial"/>
          <w:color w:val="202124"/>
          <w:sz w:val="22"/>
          <w:szCs w:val="22"/>
        </w:rPr>
      </w:pPr>
      <w:r>
        <w:rPr>
          <w:rFonts w:eastAsia="Arial"/>
          <w:color w:val="202124"/>
          <w:sz w:val="22"/>
          <w:szCs w:val="22"/>
        </w:rPr>
        <w:t>También recomendamos que el Comité formule la siguiente recomendación en el marco del del artículo 10 (derecho de las familias).</w:t>
      </w:r>
    </w:p>
    <w:p w14:paraId="14044226" w14:textId="3C072D4B" w:rsidR="00DB170C" w:rsidRPr="00FE1961" w:rsidRDefault="00DB170C" w:rsidP="00FE1961">
      <w:pPr>
        <w:pStyle w:val="Prrafodelista"/>
        <w:numPr>
          <w:ilvl w:val="0"/>
          <w:numId w:val="1"/>
        </w:numPr>
        <w:spacing w:after="120" w:line="276" w:lineRule="auto"/>
        <w:jc w:val="both"/>
        <w:rPr>
          <w:rFonts w:eastAsia="Arial"/>
          <w:color w:val="202124"/>
          <w:sz w:val="22"/>
          <w:szCs w:val="22"/>
        </w:rPr>
      </w:pPr>
      <w:r>
        <w:rPr>
          <w:rFonts w:eastAsia="Arial"/>
          <w:color w:val="202124"/>
          <w:sz w:val="22"/>
          <w:szCs w:val="22"/>
        </w:rPr>
        <w:t xml:space="preserve">El Comité recomienda que el Estado tome medidas para que no se proceda a la retirada de los derechos paternales a las mujeres simplemente por el hecho de usar drogas. </w:t>
      </w:r>
    </w:p>
    <w:p w14:paraId="3BCBA124" w14:textId="77777777" w:rsidR="00D35C8D" w:rsidRPr="00387E60" w:rsidRDefault="00D35C8D">
      <w:pPr>
        <w:spacing w:after="120" w:line="276" w:lineRule="auto"/>
        <w:jc w:val="both"/>
        <w:rPr>
          <w:rFonts w:eastAsia="Tahoma"/>
        </w:rPr>
      </w:pPr>
    </w:p>
    <w:sectPr w:rsidR="00D35C8D" w:rsidRPr="00387E60">
      <w:headerReference w:type="default" r:id="rId14"/>
      <w:footerReference w:type="even" r:id="rId15"/>
      <w:footerReference w:type="default" r:id="rId16"/>
      <w:pgSz w:w="11900" w:h="16840"/>
      <w:pgMar w:top="1701" w:right="1418"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350B5" w14:textId="77777777" w:rsidR="000A3A54" w:rsidRDefault="000A3A54">
      <w:r>
        <w:separator/>
      </w:r>
    </w:p>
  </w:endnote>
  <w:endnote w:type="continuationSeparator" w:id="0">
    <w:p w14:paraId="0470F093" w14:textId="77777777" w:rsidR="000A3A54" w:rsidRDefault="000A3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886754925"/>
      <w:docPartObj>
        <w:docPartGallery w:val="Page Numbers (Bottom of Page)"/>
        <w:docPartUnique/>
      </w:docPartObj>
    </w:sdtPr>
    <w:sdtContent>
      <w:p w14:paraId="24603E6D" w14:textId="26CC5519" w:rsidR="00B05C96" w:rsidRDefault="00B05C96" w:rsidP="003C52D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7BC0D8B" w14:textId="77777777" w:rsidR="00B05C96" w:rsidRDefault="00B05C96" w:rsidP="00FE196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18859244"/>
      <w:docPartObj>
        <w:docPartGallery w:val="Page Numbers (Bottom of Page)"/>
        <w:docPartUnique/>
      </w:docPartObj>
    </w:sdtPr>
    <w:sdtContent>
      <w:p w14:paraId="241E871D" w14:textId="2531CAC7" w:rsidR="00B05C96" w:rsidRDefault="00B05C96" w:rsidP="003C52D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29C5CB8C" w14:textId="77777777" w:rsidR="00B05C96" w:rsidRDefault="00B05C96" w:rsidP="00FE196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9E20D" w14:textId="77777777" w:rsidR="000A3A54" w:rsidRDefault="000A3A54">
      <w:r>
        <w:separator/>
      </w:r>
    </w:p>
  </w:footnote>
  <w:footnote w:type="continuationSeparator" w:id="0">
    <w:p w14:paraId="5E997CD5" w14:textId="77777777" w:rsidR="000A3A54" w:rsidRDefault="000A3A54">
      <w:r>
        <w:continuationSeparator/>
      </w:r>
    </w:p>
  </w:footnote>
  <w:footnote w:id="1">
    <w:p w14:paraId="6853DA79" w14:textId="77777777" w:rsidR="00D35C8D" w:rsidRPr="00193DA5" w:rsidRDefault="00000000" w:rsidP="00FE1961">
      <w:pPr>
        <w:jc w:val="both"/>
        <w:rPr>
          <w:rFonts w:eastAsia="Arial"/>
          <w:sz w:val="20"/>
          <w:szCs w:val="20"/>
          <w:lang w:val="pt-BR"/>
        </w:rPr>
      </w:pPr>
      <w:r w:rsidRPr="00FE1961">
        <w:rPr>
          <w:sz w:val="20"/>
          <w:szCs w:val="20"/>
          <w:vertAlign w:val="superscript"/>
        </w:rPr>
        <w:footnoteRef/>
      </w:r>
      <w:r w:rsidRPr="00193DA5">
        <w:rPr>
          <w:rFonts w:eastAsia="Arial"/>
          <w:sz w:val="20"/>
          <w:szCs w:val="20"/>
          <w:lang w:val="pt-BR"/>
        </w:rPr>
        <w:t xml:space="preserve"> </w:t>
      </w:r>
      <w:hyperlink r:id="rId1">
        <w:r w:rsidRPr="00193DA5">
          <w:rPr>
            <w:rFonts w:eastAsia="Arial"/>
            <w:color w:val="1155CC"/>
            <w:sz w:val="20"/>
            <w:szCs w:val="20"/>
            <w:u w:val="single"/>
            <w:lang w:val="pt-BR"/>
          </w:rPr>
          <w:t>https://escolageneros.com.br/</w:t>
        </w:r>
      </w:hyperlink>
      <w:r w:rsidRPr="00193DA5">
        <w:rPr>
          <w:rFonts w:eastAsia="Arial"/>
          <w:sz w:val="20"/>
          <w:szCs w:val="20"/>
          <w:lang w:val="pt-BR"/>
        </w:rPr>
        <w:t xml:space="preserve"> </w:t>
      </w:r>
    </w:p>
  </w:footnote>
  <w:footnote w:id="2">
    <w:p w14:paraId="73F14984" w14:textId="77777777" w:rsidR="00D35C8D" w:rsidRPr="00193DA5" w:rsidRDefault="00000000" w:rsidP="00FE1961">
      <w:pPr>
        <w:jc w:val="both"/>
        <w:rPr>
          <w:rFonts w:eastAsia="Arial"/>
          <w:sz w:val="20"/>
          <w:szCs w:val="20"/>
          <w:lang w:val="pt-BR"/>
        </w:rPr>
      </w:pPr>
      <w:r w:rsidRPr="00FE1961">
        <w:rPr>
          <w:sz w:val="20"/>
          <w:szCs w:val="20"/>
          <w:vertAlign w:val="superscript"/>
        </w:rPr>
        <w:footnoteRef/>
      </w:r>
      <w:r w:rsidRPr="00193DA5">
        <w:rPr>
          <w:rFonts w:eastAsia="Arial"/>
          <w:sz w:val="20"/>
          <w:szCs w:val="20"/>
          <w:lang w:val="pt-BR"/>
        </w:rPr>
        <w:t xml:space="preserve"> </w:t>
      </w:r>
      <w:hyperlink r:id="rId2">
        <w:r w:rsidRPr="00193DA5">
          <w:rPr>
            <w:rFonts w:eastAsia="Arial"/>
            <w:color w:val="262526"/>
            <w:sz w:val="20"/>
            <w:szCs w:val="20"/>
            <w:highlight w:val="white"/>
            <w:lang w:val="pt-BR"/>
          </w:rPr>
          <w:t>MALHEIRO, L. S. B.</w:t>
        </w:r>
      </w:hyperlink>
      <w:r w:rsidRPr="00193DA5">
        <w:rPr>
          <w:rFonts w:eastAsia="Arial"/>
          <w:color w:val="262526"/>
          <w:sz w:val="20"/>
          <w:szCs w:val="20"/>
          <w:highlight w:val="white"/>
          <w:lang w:val="pt-BR"/>
        </w:rPr>
        <w:t xml:space="preserve">; LIMA, D. D. </w:t>
      </w:r>
      <w:r w:rsidRPr="00193DA5">
        <w:rPr>
          <w:rFonts w:eastAsia="Arial"/>
          <w:b/>
          <w:color w:val="262526"/>
          <w:sz w:val="20"/>
          <w:szCs w:val="20"/>
          <w:highlight w:val="white"/>
          <w:lang w:val="pt-BR"/>
        </w:rPr>
        <w:t>Questões atuais sobre Políticas de Drogas no Brasil: a comunidade terapêutica e a atenção à saúde</w:t>
      </w:r>
      <w:r w:rsidRPr="00193DA5">
        <w:rPr>
          <w:rFonts w:eastAsia="Arial"/>
          <w:color w:val="262526"/>
          <w:sz w:val="20"/>
          <w:szCs w:val="20"/>
          <w:highlight w:val="white"/>
          <w:lang w:val="pt-BR"/>
        </w:rPr>
        <w:t>. A atenção integral ao consumo e aos consumidores de psicoativos: conexões interdisciplinares. 1. ed. Salvador: EDUFBA, 2018. 551p.</w:t>
      </w:r>
    </w:p>
  </w:footnote>
  <w:footnote w:id="3">
    <w:p w14:paraId="0A9E4CEF" w14:textId="77777777" w:rsidR="00D35C8D" w:rsidRPr="00193DA5" w:rsidRDefault="00000000" w:rsidP="00FE1961">
      <w:pPr>
        <w:jc w:val="both"/>
        <w:rPr>
          <w:rFonts w:eastAsia="Arial"/>
          <w:sz w:val="20"/>
          <w:szCs w:val="20"/>
          <w:lang w:val="pt-BR"/>
        </w:rPr>
      </w:pPr>
      <w:r w:rsidRPr="00FE1961">
        <w:rPr>
          <w:sz w:val="20"/>
          <w:szCs w:val="20"/>
          <w:vertAlign w:val="superscript"/>
        </w:rPr>
        <w:footnoteRef/>
      </w:r>
      <w:r w:rsidRPr="00193DA5">
        <w:rPr>
          <w:rFonts w:eastAsia="Arial"/>
          <w:sz w:val="20"/>
          <w:szCs w:val="20"/>
          <w:lang w:val="pt-BR"/>
        </w:rPr>
        <w:t>http://observatorioseguranca.com.br/wordpress/wp-content/uploads/2023/03/RELATORIO_REDE-DE-OBS-elas-vivem_final-2.pdf</w:t>
      </w:r>
    </w:p>
  </w:footnote>
  <w:footnote w:id="4">
    <w:p w14:paraId="75FA2997" w14:textId="77777777" w:rsidR="00D35C8D" w:rsidRPr="00193DA5" w:rsidRDefault="00000000" w:rsidP="00FE1961">
      <w:pPr>
        <w:jc w:val="both"/>
        <w:rPr>
          <w:sz w:val="20"/>
          <w:szCs w:val="20"/>
          <w:lang w:val="pt-BR"/>
        </w:rPr>
      </w:pPr>
      <w:r w:rsidRPr="00FE1961">
        <w:rPr>
          <w:sz w:val="20"/>
          <w:szCs w:val="20"/>
          <w:vertAlign w:val="superscript"/>
        </w:rPr>
        <w:footnoteRef/>
      </w:r>
      <w:r w:rsidRPr="00193DA5">
        <w:rPr>
          <w:sz w:val="20"/>
          <w:szCs w:val="20"/>
          <w:lang w:val="pt-BR"/>
        </w:rPr>
        <w:t>https://midianinja.org/colunistaninja/nada-sobre-nos-sem-a-nossa-participacao-conad-por-uma-perspectiva-feminista-antiproibicionista-e-antirracista/</w:t>
      </w:r>
    </w:p>
  </w:footnote>
  <w:footnote w:id="5">
    <w:p w14:paraId="077E48DA" w14:textId="77777777" w:rsidR="000977AB" w:rsidRPr="00193DA5" w:rsidRDefault="000977AB" w:rsidP="00FE1961">
      <w:pPr>
        <w:jc w:val="both"/>
        <w:rPr>
          <w:sz w:val="20"/>
          <w:szCs w:val="20"/>
          <w:lang w:val="pt-BR"/>
        </w:rPr>
      </w:pPr>
      <w:r w:rsidRPr="00FE1961">
        <w:rPr>
          <w:sz w:val="20"/>
          <w:szCs w:val="20"/>
          <w:vertAlign w:val="superscript"/>
        </w:rPr>
        <w:footnoteRef/>
      </w:r>
      <w:r w:rsidRPr="00193DA5">
        <w:rPr>
          <w:sz w:val="20"/>
          <w:szCs w:val="20"/>
          <w:lang w:val="pt-BR"/>
        </w:rPr>
        <w:t xml:space="preserve"> https://edelei.org/</w:t>
      </w:r>
    </w:p>
  </w:footnote>
  <w:footnote w:id="6">
    <w:p w14:paraId="12BD8121" w14:textId="77777777" w:rsidR="000977AB" w:rsidRPr="00193DA5" w:rsidRDefault="000977AB" w:rsidP="00FE1961">
      <w:pPr>
        <w:jc w:val="both"/>
        <w:rPr>
          <w:sz w:val="20"/>
          <w:szCs w:val="20"/>
          <w:lang w:val="pt-BR"/>
        </w:rPr>
      </w:pPr>
      <w:r w:rsidRPr="00FE1961">
        <w:rPr>
          <w:sz w:val="20"/>
          <w:szCs w:val="20"/>
          <w:vertAlign w:val="superscript"/>
        </w:rPr>
        <w:footnoteRef/>
      </w:r>
      <w:r w:rsidRPr="00193DA5">
        <w:rPr>
          <w:sz w:val="20"/>
          <w:szCs w:val="20"/>
          <w:lang w:val="pt-BR"/>
        </w:rPr>
        <w:t xml:space="preserve"> </w:t>
      </w:r>
      <w:hyperlink r:id="rId3">
        <w:r w:rsidRPr="00193DA5">
          <w:rPr>
            <w:color w:val="1155CC"/>
            <w:sz w:val="20"/>
            <w:szCs w:val="20"/>
            <w:u w:val="single"/>
            <w:lang w:val="pt-BR"/>
          </w:rPr>
          <w:t>https://www.escolalivredereducaodedanos.org/</w:t>
        </w:r>
      </w:hyperlink>
    </w:p>
    <w:p w14:paraId="0B0F8FBB" w14:textId="77777777" w:rsidR="000977AB" w:rsidRPr="00193DA5" w:rsidRDefault="000977AB" w:rsidP="00FE1961">
      <w:pPr>
        <w:jc w:val="both"/>
        <w:rPr>
          <w:sz w:val="20"/>
          <w:szCs w:val="20"/>
          <w:lang w:val="pt-BR"/>
        </w:rPr>
      </w:pPr>
    </w:p>
  </w:footnote>
  <w:footnote w:id="7">
    <w:p w14:paraId="6F09AA02" w14:textId="77777777" w:rsidR="000977AB" w:rsidRPr="00193DA5" w:rsidRDefault="000977AB" w:rsidP="00FE1961">
      <w:pPr>
        <w:jc w:val="both"/>
        <w:rPr>
          <w:sz w:val="20"/>
          <w:szCs w:val="20"/>
          <w:lang w:val="pt-BR"/>
        </w:rPr>
      </w:pPr>
      <w:r w:rsidRPr="00FE1961">
        <w:rPr>
          <w:sz w:val="20"/>
          <w:szCs w:val="20"/>
          <w:vertAlign w:val="superscript"/>
        </w:rPr>
        <w:footnoteRef/>
      </w:r>
      <w:r w:rsidRPr="00193DA5">
        <w:rPr>
          <w:sz w:val="20"/>
          <w:szCs w:val="20"/>
          <w:lang w:val="pt-BR"/>
        </w:rPr>
        <w:t xml:space="preserve"> </w:t>
      </w:r>
      <w:hyperlink r:id="rId4">
        <w:r w:rsidRPr="00193DA5">
          <w:rPr>
            <w:color w:val="1155CC"/>
            <w:sz w:val="20"/>
            <w:szCs w:val="20"/>
            <w:u w:val="single"/>
            <w:lang w:val="pt-BR"/>
          </w:rPr>
          <w:t>https://www.redesdamare.org.br/</w:t>
        </w:r>
      </w:hyperlink>
      <w:r w:rsidRPr="00193DA5">
        <w:rPr>
          <w:sz w:val="20"/>
          <w:szCs w:val="20"/>
          <w:lang w:val="pt-BR"/>
        </w:rPr>
        <w:t xml:space="preserve"> </w:t>
      </w:r>
    </w:p>
  </w:footnote>
  <w:footnote w:id="8">
    <w:p w14:paraId="60CC0DF4" w14:textId="77777777" w:rsidR="000977AB" w:rsidRPr="00193DA5" w:rsidRDefault="000977AB" w:rsidP="00FE1961">
      <w:pPr>
        <w:jc w:val="both"/>
        <w:rPr>
          <w:sz w:val="20"/>
          <w:szCs w:val="20"/>
          <w:lang w:val="pt-BR"/>
        </w:rPr>
      </w:pPr>
      <w:r w:rsidRPr="00FE1961">
        <w:rPr>
          <w:sz w:val="20"/>
          <w:szCs w:val="20"/>
          <w:vertAlign w:val="superscript"/>
        </w:rPr>
        <w:footnoteRef/>
      </w:r>
      <w:r w:rsidRPr="00193DA5">
        <w:rPr>
          <w:sz w:val="20"/>
          <w:szCs w:val="20"/>
          <w:lang w:val="pt-BR"/>
        </w:rPr>
        <w:t xml:space="preserve"> </w:t>
      </w:r>
      <w:hyperlink r:id="rId5">
        <w:r w:rsidRPr="00193DA5">
          <w:rPr>
            <w:color w:val="1155CC"/>
            <w:sz w:val="20"/>
            <w:szCs w:val="20"/>
            <w:u w:val="single"/>
            <w:lang w:val="pt-BR"/>
          </w:rPr>
          <w:t>https://corraproabraco.ba.gov.br/</w:t>
        </w:r>
      </w:hyperlink>
      <w:r w:rsidRPr="00193DA5">
        <w:rPr>
          <w:sz w:val="20"/>
          <w:szCs w:val="20"/>
          <w:lang w:val="pt-BR"/>
        </w:rPr>
        <w:t xml:space="preserve"> </w:t>
      </w:r>
    </w:p>
  </w:footnote>
  <w:footnote w:id="9">
    <w:p w14:paraId="0F4033D1" w14:textId="77777777" w:rsidR="000977AB" w:rsidRPr="00193DA5" w:rsidRDefault="000977AB" w:rsidP="00FE1961">
      <w:pPr>
        <w:jc w:val="both"/>
        <w:rPr>
          <w:sz w:val="20"/>
          <w:szCs w:val="20"/>
          <w:lang w:val="pt-BR"/>
        </w:rPr>
      </w:pPr>
      <w:r w:rsidRPr="00FE1961">
        <w:rPr>
          <w:sz w:val="20"/>
          <w:szCs w:val="20"/>
          <w:vertAlign w:val="superscript"/>
        </w:rPr>
        <w:footnoteRef/>
      </w:r>
      <w:hyperlink r:id="rId6">
        <w:r w:rsidRPr="00193DA5">
          <w:rPr>
            <w:color w:val="1155CC"/>
            <w:sz w:val="20"/>
            <w:szCs w:val="20"/>
            <w:u w:val="single"/>
            <w:lang w:val="pt-BR"/>
          </w:rPr>
          <w:t>https://www.brasildefato.com.br/2023/03/01/tentativa-de-criminalizacao-de-medidas-de-reducao-de-danos-em-olinda-gera-mobilizacao</w:t>
        </w:r>
      </w:hyperlink>
      <w:r w:rsidRPr="00193DA5">
        <w:rPr>
          <w:sz w:val="20"/>
          <w:szCs w:val="20"/>
          <w:lang w:val="pt-BR"/>
        </w:rPr>
        <w:t xml:space="preserve"> </w:t>
      </w:r>
    </w:p>
  </w:footnote>
  <w:footnote w:id="10">
    <w:p w14:paraId="191A6B9C" w14:textId="77777777" w:rsidR="00D35C8D" w:rsidRPr="00193DA5" w:rsidRDefault="00000000" w:rsidP="00FE1961">
      <w:pPr>
        <w:jc w:val="both"/>
        <w:rPr>
          <w:sz w:val="20"/>
          <w:szCs w:val="20"/>
          <w:lang w:val="pt-BR"/>
        </w:rPr>
      </w:pPr>
      <w:r w:rsidRPr="00FE1961">
        <w:rPr>
          <w:sz w:val="20"/>
          <w:szCs w:val="20"/>
          <w:vertAlign w:val="superscript"/>
        </w:rPr>
        <w:footnoteRef/>
      </w:r>
      <w:r w:rsidRPr="00193DA5">
        <w:rPr>
          <w:sz w:val="20"/>
          <w:szCs w:val="20"/>
          <w:lang w:val="pt-BR"/>
        </w:rPr>
        <w:t xml:space="preserve"> </w:t>
      </w:r>
      <w:r w:rsidRPr="00193DA5">
        <w:rPr>
          <w:rFonts w:eastAsia="Arial"/>
          <w:color w:val="231F20"/>
          <w:sz w:val="20"/>
          <w:szCs w:val="20"/>
          <w:highlight w:val="white"/>
          <w:lang w:val="pt-BR"/>
        </w:rPr>
        <w:t xml:space="preserve">RODRIGUES, Luciana Boiteux de Figueiredo. </w:t>
      </w:r>
      <w:r w:rsidRPr="00193DA5">
        <w:rPr>
          <w:rFonts w:eastAsia="Arial"/>
          <w:b/>
          <w:color w:val="231F20"/>
          <w:sz w:val="20"/>
          <w:szCs w:val="20"/>
          <w:highlight w:val="white"/>
          <w:lang w:val="pt-BR"/>
        </w:rPr>
        <w:t>Controle penal sobre as drogas ilícitas: o impacto do proibicionismo no sistema penal e na sociedade.</w:t>
      </w:r>
      <w:r w:rsidRPr="00193DA5">
        <w:rPr>
          <w:rFonts w:eastAsia="Arial"/>
          <w:color w:val="231F20"/>
          <w:sz w:val="20"/>
          <w:szCs w:val="20"/>
          <w:highlight w:val="white"/>
          <w:lang w:val="pt-BR"/>
        </w:rPr>
        <w:t xml:space="preserve"> Tese de doutorado apresentada no Programa de Pós-graduação em Direito da PUC/SP. São Paulo, 2006, p. 152.</w:t>
      </w:r>
    </w:p>
  </w:footnote>
  <w:footnote w:id="11">
    <w:p w14:paraId="107CDD2A" w14:textId="77777777" w:rsidR="00387E60" w:rsidRPr="00193DA5" w:rsidRDefault="00387E60" w:rsidP="00FE1961">
      <w:pPr>
        <w:jc w:val="both"/>
        <w:rPr>
          <w:sz w:val="20"/>
          <w:szCs w:val="20"/>
          <w:lang w:val="pt-BR"/>
        </w:rPr>
      </w:pPr>
      <w:r w:rsidRPr="00FE1961">
        <w:rPr>
          <w:sz w:val="20"/>
          <w:szCs w:val="20"/>
          <w:vertAlign w:val="superscript"/>
        </w:rPr>
        <w:footnoteRef/>
      </w:r>
      <w:r w:rsidRPr="00193DA5">
        <w:rPr>
          <w:sz w:val="20"/>
          <w:szCs w:val="20"/>
          <w:lang w:val="pt-BR"/>
        </w:rPr>
        <w:t xml:space="preserve"> https://portal.stf.jus.br/noticias/verNoticiaDetalhe.asp?idConteudo=512815&amp;ori=1</w:t>
      </w:r>
    </w:p>
  </w:footnote>
  <w:footnote w:id="12">
    <w:p w14:paraId="259F0CC6" w14:textId="77777777" w:rsidR="00D35C8D" w:rsidRPr="00193DA5" w:rsidRDefault="00000000" w:rsidP="00FE1961">
      <w:pPr>
        <w:jc w:val="both"/>
        <w:rPr>
          <w:rFonts w:eastAsia="Arial"/>
          <w:sz w:val="20"/>
          <w:szCs w:val="20"/>
          <w:lang w:val="pt-BR"/>
        </w:rPr>
      </w:pPr>
      <w:r w:rsidRPr="00FE1961">
        <w:rPr>
          <w:sz w:val="20"/>
          <w:szCs w:val="20"/>
          <w:vertAlign w:val="superscript"/>
        </w:rPr>
        <w:footnoteRef/>
      </w:r>
      <w:r w:rsidRPr="00193DA5">
        <w:rPr>
          <w:rFonts w:eastAsia="Arial"/>
          <w:sz w:val="20"/>
          <w:szCs w:val="20"/>
          <w:lang w:val="pt-BR"/>
        </w:rPr>
        <w:t xml:space="preserve"> https://repositorio.ipea.gov.br/handle/11058/12089</w:t>
      </w:r>
    </w:p>
  </w:footnote>
  <w:footnote w:id="13">
    <w:p w14:paraId="61B9DE3F" w14:textId="77777777" w:rsidR="00D35C8D" w:rsidRPr="00193DA5" w:rsidRDefault="00000000" w:rsidP="00FE1961">
      <w:pPr>
        <w:jc w:val="both"/>
        <w:rPr>
          <w:sz w:val="20"/>
          <w:szCs w:val="20"/>
          <w:lang w:val="pt-BR"/>
        </w:rPr>
      </w:pPr>
      <w:r w:rsidRPr="00FE1961">
        <w:rPr>
          <w:sz w:val="20"/>
          <w:szCs w:val="20"/>
          <w:vertAlign w:val="superscript"/>
        </w:rPr>
        <w:footnoteRef/>
      </w:r>
      <w:r w:rsidRPr="00193DA5">
        <w:rPr>
          <w:sz w:val="20"/>
          <w:szCs w:val="20"/>
          <w:lang w:val="pt-BR"/>
        </w:rPr>
        <w:t xml:space="preserve"> </w:t>
      </w:r>
      <w:r w:rsidRPr="00193DA5">
        <w:rPr>
          <w:rFonts w:eastAsia="Times New Roman"/>
          <w:sz w:val="20"/>
          <w:szCs w:val="20"/>
          <w:lang w:val="pt-BR"/>
        </w:rPr>
        <w:t xml:space="preserve">LIMA, </w:t>
      </w:r>
      <w:proofErr w:type="gramStart"/>
      <w:r w:rsidRPr="00193DA5">
        <w:rPr>
          <w:rFonts w:eastAsia="Times New Roman"/>
          <w:sz w:val="20"/>
          <w:szCs w:val="20"/>
          <w:lang w:val="pt-BR"/>
        </w:rPr>
        <w:t>A.S.</w:t>
      </w:r>
      <w:r w:rsidRPr="00193DA5">
        <w:rPr>
          <w:rFonts w:eastAsia="Times New Roman"/>
          <w:b/>
          <w:sz w:val="20"/>
          <w:szCs w:val="20"/>
          <w:lang w:val="pt-BR"/>
        </w:rPr>
        <w:t>.</w:t>
      </w:r>
      <w:proofErr w:type="gramEnd"/>
      <w:r w:rsidRPr="00193DA5">
        <w:rPr>
          <w:rFonts w:eastAsia="Times New Roman"/>
          <w:b/>
          <w:sz w:val="20"/>
          <w:szCs w:val="20"/>
          <w:lang w:val="pt-BR"/>
        </w:rPr>
        <w:t xml:space="preserve"> Rastros de fogo e Sangue: </w:t>
      </w:r>
      <w:r w:rsidRPr="00193DA5">
        <w:rPr>
          <w:rFonts w:eastAsia="Times New Roman"/>
          <w:sz w:val="20"/>
          <w:szCs w:val="20"/>
          <w:lang w:val="pt-BR"/>
        </w:rPr>
        <w:t>estudo sobre a (</w:t>
      </w:r>
      <w:proofErr w:type="spellStart"/>
      <w:r w:rsidRPr="00193DA5">
        <w:rPr>
          <w:rFonts w:eastAsia="Times New Roman"/>
          <w:sz w:val="20"/>
          <w:szCs w:val="20"/>
          <w:lang w:val="pt-BR"/>
        </w:rPr>
        <w:t>des</w:t>
      </w:r>
      <w:proofErr w:type="spellEnd"/>
      <w:r w:rsidRPr="00193DA5">
        <w:rPr>
          <w:rFonts w:eastAsia="Times New Roman"/>
          <w:sz w:val="20"/>
          <w:szCs w:val="20"/>
          <w:lang w:val="pt-BR"/>
        </w:rPr>
        <w:t xml:space="preserve">)centralização de um mercado varejista de drogas na grande Salvador. Editora: </w:t>
      </w:r>
      <w:proofErr w:type="spellStart"/>
      <w:r w:rsidRPr="00193DA5">
        <w:rPr>
          <w:rFonts w:eastAsia="Times New Roman"/>
          <w:sz w:val="20"/>
          <w:szCs w:val="20"/>
          <w:lang w:val="pt-BR"/>
        </w:rPr>
        <w:t>Edufba</w:t>
      </w:r>
      <w:proofErr w:type="spellEnd"/>
      <w:r w:rsidRPr="00193DA5">
        <w:rPr>
          <w:rFonts w:eastAsia="Times New Roman"/>
          <w:sz w:val="20"/>
          <w:szCs w:val="20"/>
          <w:lang w:val="pt-BR"/>
        </w:rPr>
        <w:t xml:space="preserve"> Edição:1ª, 2017.</w:t>
      </w:r>
    </w:p>
  </w:footnote>
  <w:footnote w:id="14">
    <w:p w14:paraId="328FFA51" w14:textId="77777777" w:rsidR="00D35C8D" w:rsidRPr="00193DA5" w:rsidRDefault="00000000" w:rsidP="00FE1961">
      <w:pPr>
        <w:jc w:val="both"/>
        <w:rPr>
          <w:sz w:val="20"/>
          <w:szCs w:val="20"/>
          <w:lang w:val="pt-BR"/>
        </w:rPr>
      </w:pPr>
      <w:r w:rsidRPr="00FE1961">
        <w:rPr>
          <w:sz w:val="20"/>
          <w:szCs w:val="20"/>
          <w:vertAlign w:val="superscript"/>
        </w:rPr>
        <w:footnoteRef/>
      </w:r>
      <w:r w:rsidRPr="00193DA5">
        <w:rPr>
          <w:sz w:val="20"/>
          <w:szCs w:val="20"/>
          <w:lang w:val="pt-BR"/>
        </w:rPr>
        <w:t xml:space="preserve"> https://desencarceramento.org.br/</w:t>
      </w:r>
    </w:p>
  </w:footnote>
  <w:footnote w:id="15">
    <w:p w14:paraId="5882D0B0" w14:textId="77777777" w:rsidR="00D35C8D" w:rsidRPr="00193DA5" w:rsidRDefault="00000000" w:rsidP="00FE1961">
      <w:pPr>
        <w:jc w:val="both"/>
        <w:rPr>
          <w:sz w:val="20"/>
          <w:szCs w:val="20"/>
          <w:lang w:val="pt-BR"/>
        </w:rPr>
      </w:pPr>
      <w:r w:rsidRPr="00FE1961">
        <w:rPr>
          <w:sz w:val="20"/>
          <w:szCs w:val="20"/>
          <w:vertAlign w:val="superscript"/>
        </w:rPr>
        <w:footnoteRef/>
      </w:r>
      <w:r w:rsidRPr="00193DA5">
        <w:rPr>
          <w:sz w:val="20"/>
          <w:szCs w:val="20"/>
          <w:lang w:val="pt-BR"/>
        </w:rPr>
        <w:t xml:space="preserve"> https://renfa.org/</w:t>
      </w:r>
    </w:p>
  </w:footnote>
  <w:footnote w:id="16">
    <w:p w14:paraId="2D8CD2EB" w14:textId="77777777" w:rsidR="00D35C8D" w:rsidRPr="00193DA5" w:rsidRDefault="00000000" w:rsidP="00FE1961">
      <w:pPr>
        <w:jc w:val="both"/>
        <w:rPr>
          <w:sz w:val="20"/>
          <w:szCs w:val="20"/>
          <w:lang w:val="pt-BR"/>
        </w:rPr>
      </w:pPr>
      <w:r w:rsidRPr="00FE1961">
        <w:rPr>
          <w:sz w:val="20"/>
          <w:szCs w:val="20"/>
          <w:vertAlign w:val="superscript"/>
        </w:rPr>
        <w:footnoteRef/>
      </w:r>
      <w:r w:rsidRPr="00193DA5">
        <w:rPr>
          <w:sz w:val="20"/>
          <w:szCs w:val="20"/>
          <w:lang w:val="pt-BR"/>
        </w:rPr>
        <w:t xml:space="preserve"> </w:t>
      </w:r>
      <w:r w:rsidRPr="00193DA5">
        <w:rPr>
          <w:rFonts w:eastAsia="Arial"/>
          <w:color w:val="040C28"/>
          <w:sz w:val="20"/>
          <w:szCs w:val="20"/>
          <w:lang w:val="pt-BR"/>
        </w:rPr>
        <w:t>Lei nº 7.210, de 11 de julho de 1984</w:t>
      </w:r>
    </w:p>
  </w:footnote>
  <w:footnote w:id="17">
    <w:p w14:paraId="0E845931" w14:textId="77777777" w:rsidR="00D35C8D" w:rsidRPr="00FE1961" w:rsidRDefault="00000000" w:rsidP="00FE1961">
      <w:pPr>
        <w:jc w:val="both"/>
        <w:rPr>
          <w:rFonts w:eastAsia="Arial"/>
          <w:sz w:val="20"/>
          <w:szCs w:val="20"/>
        </w:rPr>
      </w:pPr>
      <w:r w:rsidRPr="00FE1961">
        <w:rPr>
          <w:sz w:val="20"/>
          <w:szCs w:val="20"/>
          <w:vertAlign w:val="superscript"/>
        </w:rPr>
        <w:footnoteRef/>
      </w:r>
      <w:r w:rsidRPr="00FE1961">
        <w:rPr>
          <w:rFonts w:eastAsia="Arial"/>
          <w:sz w:val="20"/>
          <w:szCs w:val="20"/>
        </w:rPr>
        <w:t xml:space="preserve"> Mujer joven consumidora de crack del centro de la ciudad de Salvador, </w:t>
      </w:r>
      <w:proofErr w:type="spellStart"/>
      <w:r w:rsidRPr="00FE1961">
        <w:rPr>
          <w:rFonts w:eastAsia="Arial"/>
          <w:sz w:val="20"/>
          <w:szCs w:val="20"/>
        </w:rPr>
        <w:t>Bahia</w:t>
      </w:r>
      <w:proofErr w:type="spellEnd"/>
      <w:r w:rsidRPr="00FE1961">
        <w:rPr>
          <w:rFonts w:eastAsia="Arial"/>
          <w:sz w:val="20"/>
          <w:szCs w:val="20"/>
        </w:rPr>
        <w:t>, Brasil. 2017</w:t>
      </w:r>
    </w:p>
  </w:footnote>
  <w:footnote w:id="18">
    <w:p w14:paraId="065E5BC9" w14:textId="77777777" w:rsidR="00D35C8D" w:rsidRPr="00FE1961" w:rsidRDefault="00000000" w:rsidP="00FE1961">
      <w:pPr>
        <w:jc w:val="both"/>
        <w:rPr>
          <w:sz w:val="20"/>
          <w:szCs w:val="20"/>
        </w:rPr>
      </w:pPr>
      <w:r w:rsidRPr="00FE1961">
        <w:rPr>
          <w:sz w:val="20"/>
          <w:szCs w:val="20"/>
          <w:vertAlign w:val="superscript"/>
        </w:rPr>
        <w:footnoteRef/>
      </w:r>
      <w:r w:rsidRPr="00FE1961">
        <w:rPr>
          <w:sz w:val="20"/>
          <w:szCs w:val="20"/>
        </w:rPr>
        <w:t xml:space="preserve"> Ley 11.340 de 2006 de Brasil </w:t>
      </w:r>
    </w:p>
  </w:footnote>
  <w:footnote w:id="19">
    <w:p w14:paraId="5BF941EF" w14:textId="77777777" w:rsidR="00556A2F" w:rsidRPr="00FE1961" w:rsidRDefault="00556A2F" w:rsidP="00556A2F">
      <w:pPr>
        <w:jc w:val="both"/>
        <w:rPr>
          <w:sz w:val="20"/>
          <w:szCs w:val="20"/>
        </w:rPr>
      </w:pPr>
      <w:r w:rsidRPr="00FE1961">
        <w:rPr>
          <w:sz w:val="20"/>
          <w:szCs w:val="20"/>
          <w:vertAlign w:val="superscript"/>
        </w:rPr>
        <w:footnoteRef/>
      </w:r>
      <w:r w:rsidRPr="00FE1961">
        <w:rPr>
          <w:sz w:val="20"/>
          <w:szCs w:val="20"/>
        </w:rPr>
        <w:t xml:space="preserve"> </w:t>
      </w:r>
      <w:hyperlink r:id="rId7">
        <w:r w:rsidRPr="00FE1961">
          <w:rPr>
            <w:color w:val="0563C1"/>
            <w:sz w:val="20"/>
            <w:szCs w:val="20"/>
            <w:u w:val="single"/>
          </w:rPr>
          <w:t>http://www.redlanpud.net/uncategorized/manifiesto-feminista-antiprohibicionista/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3EC53" w14:textId="49CEB317" w:rsidR="00D35C8D" w:rsidRDefault="001D36AB">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62336" behindDoc="1" locked="0" layoutInCell="1" allowOverlap="1" wp14:anchorId="19B966AE" wp14:editId="6BCEB794">
          <wp:simplePos x="0" y="0"/>
          <wp:positionH relativeFrom="margin">
            <wp:posOffset>4552950</wp:posOffset>
          </wp:positionH>
          <wp:positionV relativeFrom="paragraph">
            <wp:posOffset>-257810</wp:posOffset>
          </wp:positionV>
          <wp:extent cx="1476375" cy="1042779"/>
          <wp:effectExtent l="0" t="0" r="0" b="0"/>
          <wp:wrapNone/>
          <wp:docPr id="173267415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104277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233B1694" wp14:editId="61B15BDB">
          <wp:simplePos x="0" y="0"/>
          <wp:positionH relativeFrom="margin">
            <wp:align>center</wp:align>
          </wp:positionH>
          <wp:positionV relativeFrom="paragraph">
            <wp:posOffset>-229235</wp:posOffset>
          </wp:positionV>
          <wp:extent cx="1333500" cy="967441"/>
          <wp:effectExtent l="0" t="0" r="0" b="4445"/>
          <wp:wrapNone/>
          <wp:docPr id="17732737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3500" cy="967441"/>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drawing>
        <wp:anchor distT="0" distB="0" distL="0" distR="0" simplePos="0" relativeHeight="251658240" behindDoc="1" locked="0" layoutInCell="1" hidden="0" allowOverlap="1" wp14:anchorId="56044754" wp14:editId="7D315341">
          <wp:simplePos x="0" y="0"/>
          <wp:positionH relativeFrom="column">
            <wp:posOffset>0</wp:posOffset>
          </wp:positionH>
          <wp:positionV relativeFrom="paragraph">
            <wp:posOffset>-354964</wp:posOffset>
          </wp:positionV>
          <wp:extent cx="1257300" cy="1157382"/>
          <wp:effectExtent l="0" t="0" r="0" b="0"/>
          <wp:wrapNone/>
          <wp:docPr id="89194300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257300" cy="115738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B85A8E"/>
    <w:multiLevelType w:val="hybridMultilevel"/>
    <w:tmpl w:val="772C6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30505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C8D"/>
    <w:rsid w:val="00034502"/>
    <w:rsid w:val="00086431"/>
    <w:rsid w:val="000977AB"/>
    <w:rsid w:val="000A20FE"/>
    <w:rsid w:val="000A3A54"/>
    <w:rsid w:val="00193DA5"/>
    <w:rsid w:val="001D36AB"/>
    <w:rsid w:val="00252080"/>
    <w:rsid w:val="0026414E"/>
    <w:rsid w:val="0033661D"/>
    <w:rsid w:val="00387E60"/>
    <w:rsid w:val="003A1B3E"/>
    <w:rsid w:val="00452A9C"/>
    <w:rsid w:val="00556A2F"/>
    <w:rsid w:val="005A5BB4"/>
    <w:rsid w:val="00655E25"/>
    <w:rsid w:val="00A55AF0"/>
    <w:rsid w:val="00AA4FA5"/>
    <w:rsid w:val="00B05C96"/>
    <w:rsid w:val="00CC0E8E"/>
    <w:rsid w:val="00CF1BF8"/>
    <w:rsid w:val="00D31978"/>
    <w:rsid w:val="00D35C8D"/>
    <w:rsid w:val="00DB170C"/>
    <w:rsid w:val="00E37B56"/>
    <w:rsid w:val="00E83324"/>
    <w:rsid w:val="00E90684"/>
    <w:rsid w:val="00ED6F9D"/>
    <w:rsid w:val="00FE1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DEA06"/>
  <w15:docId w15:val="{19121D58-0033-DC40-8AB4-D6BC5939D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P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237532"/>
    <w:pPr>
      <w:tabs>
        <w:tab w:val="center" w:pos="4419"/>
        <w:tab w:val="right" w:pos="8838"/>
      </w:tabs>
    </w:pPr>
  </w:style>
  <w:style w:type="character" w:customStyle="1" w:styleId="EncabezadoCar">
    <w:name w:val="Encabezado Car"/>
    <w:basedOn w:val="Fuentedeprrafopredeter"/>
    <w:link w:val="Encabezado"/>
    <w:uiPriority w:val="99"/>
    <w:rsid w:val="00237532"/>
  </w:style>
  <w:style w:type="paragraph" w:styleId="Piedepgina">
    <w:name w:val="footer"/>
    <w:basedOn w:val="Normal"/>
    <w:link w:val="PiedepginaCar"/>
    <w:uiPriority w:val="99"/>
    <w:unhideWhenUsed/>
    <w:rsid w:val="00237532"/>
    <w:pPr>
      <w:tabs>
        <w:tab w:val="center" w:pos="4419"/>
        <w:tab w:val="right" w:pos="8838"/>
      </w:tabs>
    </w:pPr>
  </w:style>
  <w:style w:type="character" w:customStyle="1" w:styleId="PiedepginaCar">
    <w:name w:val="Pie de página Car"/>
    <w:basedOn w:val="Fuentedeprrafopredeter"/>
    <w:link w:val="Piedepgina"/>
    <w:uiPriority w:val="99"/>
    <w:rsid w:val="00237532"/>
  </w:style>
  <w:style w:type="character" w:styleId="Hipervnculo">
    <w:name w:val="Hyperlink"/>
    <w:basedOn w:val="Fuentedeprrafopredeter"/>
    <w:uiPriority w:val="99"/>
    <w:unhideWhenUsed/>
    <w:rsid w:val="003504A0"/>
    <w:rPr>
      <w:color w:val="0563C1" w:themeColor="hyperlink"/>
      <w:u w:val="single"/>
    </w:rPr>
  </w:style>
  <w:style w:type="character" w:styleId="Mencinsinresolver">
    <w:name w:val="Unresolved Mention"/>
    <w:basedOn w:val="Fuentedeprrafopredeter"/>
    <w:uiPriority w:val="99"/>
    <w:semiHidden/>
    <w:unhideWhenUsed/>
    <w:rsid w:val="003504A0"/>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Refdecomentario">
    <w:name w:val="annotation reference"/>
    <w:basedOn w:val="Fuentedeprrafopredeter"/>
    <w:uiPriority w:val="99"/>
    <w:semiHidden/>
    <w:unhideWhenUsed/>
    <w:rsid w:val="00E83324"/>
    <w:rPr>
      <w:sz w:val="16"/>
      <w:szCs w:val="16"/>
    </w:rPr>
  </w:style>
  <w:style w:type="paragraph" w:styleId="Textocomentario">
    <w:name w:val="annotation text"/>
    <w:basedOn w:val="Normal"/>
    <w:link w:val="TextocomentarioCar"/>
    <w:uiPriority w:val="99"/>
    <w:semiHidden/>
    <w:unhideWhenUsed/>
    <w:rsid w:val="00E83324"/>
    <w:rPr>
      <w:sz w:val="20"/>
      <w:szCs w:val="20"/>
    </w:rPr>
  </w:style>
  <w:style w:type="character" w:customStyle="1" w:styleId="TextocomentarioCar">
    <w:name w:val="Texto comentario Car"/>
    <w:basedOn w:val="Fuentedeprrafopredeter"/>
    <w:link w:val="Textocomentario"/>
    <w:uiPriority w:val="99"/>
    <w:semiHidden/>
    <w:rsid w:val="00E83324"/>
    <w:rPr>
      <w:sz w:val="20"/>
      <w:szCs w:val="20"/>
    </w:rPr>
  </w:style>
  <w:style w:type="paragraph" w:styleId="Asuntodelcomentario">
    <w:name w:val="annotation subject"/>
    <w:basedOn w:val="Textocomentario"/>
    <w:next w:val="Textocomentario"/>
    <w:link w:val="AsuntodelcomentarioCar"/>
    <w:uiPriority w:val="99"/>
    <w:semiHidden/>
    <w:unhideWhenUsed/>
    <w:rsid w:val="00E83324"/>
    <w:rPr>
      <w:b/>
      <w:bCs/>
    </w:rPr>
  </w:style>
  <w:style w:type="character" w:customStyle="1" w:styleId="AsuntodelcomentarioCar">
    <w:name w:val="Asunto del comentario Car"/>
    <w:basedOn w:val="TextocomentarioCar"/>
    <w:link w:val="Asuntodelcomentario"/>
    <w:uiPriority w:val="99"/>
    <w:semiHidden/>
    <w:rsid w:val="00E83324"/>
    <w:rPr>
      <w:b/>
      <w:bCs/>
      <w:sz w:val="20"/>
      <w:szCs w:val="20"/>
    </w:rPr>
  </w:style>
  <w:style w:type="paragraph" w:styleId="Revisin">
    <w:name w:val="Revision"/>
    <w:hidden/>
    <w:uiPriority w:val="99"/>
    <w:semiHidden/>
    <w:rsid w:val="00E83324"/>
  </w:style>
  <w:style w:type="character" w:styleId="Nmerodepgina">
    <w:name w:val="page number"/>
    <w:basedOn w:val="Fuentedeprrafopredeter"/>
    <w:uiPriority w:val="99"/>
    <w:semiHidden/>
    <w:unhideWhenUsed/>
    <w:rsid w:val="00B05C96"/>
  </w:style>
  <w:style w:type="paragraph" w:styleId="Textonotapie">
    <w:name w:val="footnote text"/>
    <w:basedOn w:val="Normal"/>
    <w:link w:val="TextonotapieCar"/>
    <w:uiPriority w:val="99"/>
    <w:semiHidden/>
    <w:unhideWhenUsed/>
    <w:rsid w:val="0033661D"/>
    <w:rPr>
      <w:sz w:val="20"/>
      <w:szCs w:val="20"/>
    </w:rPr>
  </w:style>
  <w:style w:type="character" w:customStyle="1" w:styleId="TextonotapieCar">
    <w:name w:val="Texto nota pie Car"/>
    <w:basedOn w:val="Fuentedeprrafopredeter"/>
    <w:link w:val="Textonotapie"/>
    <w:uiPriority w:val="99"/>
    <w:semiHidden/>
    <w:rsid w:val="0033661D"/>
    <w:rPr>
      <w:sz w:val="20"/>
      <w:szCs w:val="20"/>
    </w:rPr>
  </w:style>
  <w:style w:type="character" w:styleId="Refdenotaalpie">
    <w:name w:val="footnote reference"/>
    <w:basedOn w:val="Fuentedeprrafopredeter"/>
    <w:uiPriority w:val="99"/>
    <w:semiHidden/>
    <w:unhideWhenUsed/>
    <w:rsid w:val="0033661D"/>
    <w:rPr>
      <w:vertAlign w:val="superscript"/>
    </w:rPr>
  </w:style>
  <w:style w:type="paragraph" w:styleId="NormalWeb">
    <w:name w:val="Normal (Web)"/>
    <w:basedOn w:val="Normal"/>
    <w:uiPriority w:val="99"/>
    <w:semiHidden/>
    <w:unhideWhenUsed/>
    <w:rsid w:val="0033661D"/>
    <w:pPr>
      <w:spacing w:before="100" w:beforeAutospacing="1" w:after="100" w:afterAutospacing="1"/>
    </w:pPr>
    <w:rPr>
      <w:rFonts w:ascii="Times New Roman" w:eastAsia="Times New Roman" w:hAnsi="Times New Roman" w:cs="Times New Roman"/>
      <w:lang w:val="en-GB"/>
    </w:rPr>
  </w:style>
  <w:style w:type="paragraph" w:styleId="Prrafodelista">
    <w:name w:val="List Paragraph"/>
    <w:basedOn w:val="Normal"/>
    <w:uiPriority w:val="34"/>
    <w:qFormat/>
    <w:rsid w:val="00452A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2232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cortes@aceidcr.org" TargetMode="External"/><Relationship Id="rId13" Type="http://schemas.openxmlformats.org/officeDocument/2006/relationships/hyperlink" Target="https://www.escolalivredereducaodedano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elei.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otsfernandez@idpc.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uana.malheiro@gmail.com" TargetMode="External"/><Relationship Id="rId4" Type="http://schemas.openxmlformats.org/officeDocument/2006/relationships/settings" Target="settings.xml"/><Relationship Id="rId9" Type="http://schemas.openxmlformats.org/officeDocument/2006/relationships/hyperlink" Target="mailto:inforedlanpud@gmail.com"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escolalivredereducaodedanos.org/" TargetMode="External"/><Relationship Id="rId7" Type="http://schemas.openxmlformats.org/officeDocument/2006/relationships/hyperlink" Target="http://www.redlanpud.net/uncategorized/manifiesto-feminista-antiprohibicionista/" TargetMode="External"/><Relationship Id="rId2" Type="http://schemas.openxmlformats.org/officeDocument/2006/relationships/hyperlink" Target="http://lattes.cnpq.br/7084080036769684" TargetMode="External"/><Relationship Id="rId1" Type="http://schemas.openxmlformats.org/officeDocument/2006/relationships/hyperlink" Target="https://escolageneros.com.br/" TargetMode="External"/><Relationship Id="rId6" Type="http://schemas.openxmlformats.org/officeDocument/2006/relationships/hyperlink" Target="https://www.brasildefato.com.br/2023/03/01/tentativa-de-criminalizacao-de-medidas-de-reducao-de-danos-em-olinda-gera-mobilizacao" TargetMode="External"/><Relationship Id="rId5" Type="http://schemas.openxmlformats.org/officeDocument/2006/relationships/hyperlink" Target="https://corraproabraco.ba.gov.br/" TargetMode="External"/><Relationship Id="rId4" Type="http://schemas.openxmlformats.org/officeDocument/2006/relationships/hyperlink" Target="https://www.redesdamare.org.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37MGcwisgY0QLtSmTkzkkdMA0w==">CgMxLjA4AGomChRzdWdnZXN0LjlzYTh2ZTNpOTRycRIOTHVhbmEgTWFsaGVpcm9qJgoUc3VnZ2VzdC5lN3l1Zng5ZjV0bmESDkx1YW5hIE1hbGhlaXJvciExb2MtM3ZDTVp6ZzdUd25nRVhrbC1MeHRLWUh6TGo2b2Q=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14</Pages>
  <Words>5839</Words>
  <Characters>32116</Characters>
  <Application>Microsoft Office Word</Application>
  <DocSecurity>0</DocSecurity>
  <Lines>267</Lines>
  <Paragraphs>75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jerome mang</dc:creator>
  <cp:lastModifiedBy>Hivos Licencias</cp:lastModifiedBy>
  <cp:revision>5</cp:revision>
  <dcterms:created xsi:type="dcterms:W3CDTF">2023-09-06T10:33:00Z</dcterms:created>
  <dcterms:modified xsi:type="dcterms:W3CDTF">2023-09-07T07:10:00Z</dcterms:modified>
</cp:coreProperties>
</file>