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A7DD64" w14:textId="77E52096" w:rsidR="00E77973" w:rsidRDefault="00E77973" w:rsidP="00996AE9">
      <w:pPr>
        <w:jc w:val="center"/>
        <w:rPr>
          <w:rFonts w:cstheme="minorHAnsi"/>
          <w:b/>
          <w:bCs/>
        </w:rPr>
      </w:pPr>
      <w:bookmarkStart w:id="0" w:name="_GoBack"/>
      <w:bookmarkEnd w:id="0"/>
      <w:r>
        <w:rPr>
          <w:rFonts w:ascii="MetaPro-Norm" w:hAnsi="MetaPro-Norm"/>
          <w:b/>
          <w:noProof/>
          <w:lang w:val="en-GB" w:eastAsia="en-GB"/>
        </w:rPr>
        <w:drawing>
          <wp:inline distT="0" distB="0" distL="0" distR="0" wp14:anchorId="2C2023D6" wp14:editId="680BA0A2">
            <wp:extent cx="907531" cy="1171575"/>
            <wp:effectExtent l="0" t="0" r="6985" b="0"/>
            <wp:docPr id="4" name="Picture 4"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pplication&#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8989" cy="1186367"/>
                    </a:xfrm>
                    <a:prstGeom prst="rect">
                      <a:avLst/>
                    </a:prstGeom>
                    <a:noFill/>
                  </pic:spPr>
                </pic:pic>
              </a:graphicData>
            </a:graphic>
          </wp:inline>
        </w:drawing>
      </w:r>
    </w:p>
    <w:p w14:paraId="4B4C7ADA" w14:textId="0750966F" w:rsidR="00996AE9" w:rsidRPr="00CF7F29" w:rsidRDefault="00996AE9" w:rsidP="00996AE9">
      <w:pPr>
        <w:jc w:val="center"/>
        <w:rPr>
          <w:rFonts w:cstheme="minorHAnsi"/>
          <w:b/>
          <w:bCs/>
        </w:rPr>
      </w:pPr>
      <w:r w:rsidRPr="00CF7F29">
        <w:rPr>
          <w:rFonts w:cstheme="minorHAnsi"/>
          <w:b/>
          <w:bCs/>
        </w:rPr>
        <w:t>Submission to the Committee on Economic, Social and Cultural Rights on Kyrgyzstan</w:t>
      </w:r>
    </w:p>
    <w:p w14:paraId="4B90335C" w14:textId="63EDEE7D" w:rsidR="00996AE9" w:rsidRPr="00CF7F29" w:rsidRDefault="00996AE9" w:rsidP="00996AE9">
      <w:pPr>
        <w:jc w:val="center"/>
        <w:rPr>
          <w:rFonts w:cstheme="minorHAnsi"/>
          <w:b/>
          <w:bCs/>
        </w:rPr>
      </w:pPr>
      <w:r w:rsidRPr="00CF7F29">
        <w:rPr>
          <w:rFonts w:cstheme="minorHAnsi"/>
          <w:b/>
          <w:bCs/>
        </w:rPr>
        <w:t>70</w:t>
      </w:r>
      <w:r w:rsidRPr="00CF7F29">
        <w:rPr>
          <w:rFonts w:cstheme="minorHAnsi"/>
          <w:b/>
          <w:bCs/>
          <w:vertAlign w:val="superscript"/>
        </w:rPr>
        <w:t>th</w:t>
      </w:r>
      <w:r w:rsidRPr="00CF7F29">
        <w:rPr>
          <w:rFonts w:cstheme="minorHAnsi"/>
          <w:b/>
          <w:bCs/>
        </w:rPr>
        <w:t xml:space="preserve"> pre-sessional, 2022</w:t>
      </w:r>
    </w:p>
    <w:p w14:paraId="39E32B18" w14:textId="3CF6B3BA" w:rsidR="00996AE9" w:rsidRDefault="00996AE9" w:rsidP="00996AE9">
      <w:pPr>
        <w:rPr>
          <w:rFonts w:cstheme="minorHAnsi"/>
          <w:color w:val="444444"/>
        </w:rPr>
      </w:pPr>
      <w:r w:rsidRPr="00CF7F29">
        <w:rPr>
          <w:rFonts w:cstheme="minorHAnsi"/>
          <w:color w:val="444444"/>
        </w:rPr>
        <w:t xml:space="preserve">This submission is to inform the Committee on Economic, Social and Cultural Rights’ </w:t>
      </w:r>
      <w:r w:rsidR="00DC4368">
        <w:rPr>
          <w:rFonts w:cstheme="minorHAnsi"/>
          <w:color w:val="444444"/>
        </w:rPr>
        <w:t xml:space="preserve">list of issues ahead of its </w:t>
      </w:r>
      <w:r w:rsidRPr="00CF7F29">
        <w:rPr>
          <w:rFonts w:cstheme="minorHAnsi"/>
          <w:color w:val="444444"/>
        </w:rPr>
        <w:t>review of</w:t>
      </w:r>
      <w:r w:rsidR="0066082E" w:rsidRPr="00CF7F29">
        <w:rPr>
          <w:rFonts w:cstheme="minorHAnsi"/>
          <w:color w:val="444444"/>
        </w:rPr>
        <w:t xml:space="preserve"> Kyrgyzstan</w:t>
      </w:r>
      <w:r w:rsidRPr="00CF7F29">
        <w:rPr>
          <w:rFonts w:cstheme="minorHAnsi"/>
          <w:color w:val="444444"/>
        </w:rPr>
        <w:t xml:space="preserve"> under the International Covenant on Economic, Social and Cultural Rights</w:t>
      </w:r>
      <w:r w:rsidR="00A434F4">
        <w:rPr>
          <w:rFonts w:cstheme="minorHAnsi"/>
          <w:color w:val="444444"/>
        </w:rPr>
        <w:t xml:space="preserve"> (ICESCR)</w:t>
      </w:r>
      <w:r w:rsidRPr="00CF7F29">
        <w:rPr>
          <w:rFonts w:cstheme="minorHAnsi"/>
          <w:color w:val="444444"/>
        </w:rPr>
        <w:t xml:space="preserve">. It focuses on </w:t>
      </w:r>
      <w:r w:rsidR="006A54B5">
        <w:rPr>
          <w:rFonts w:cstheme="minorHAnsi"/>
          <w:color w:val="444444"/>
        </w:rPr>
        <w:t>access to education for</w:t>
      </w:r>
      <w:r w:rsidR="00517682" w:rsidRPr="00CF7F29">
        <w:rPr>
          <w:rFonts w:cstheme="minorHAnsi"/>
          <w:color w:val="444444"/>
        </w:rPr>
        <w:t xml:space="preserve"> children with disabilities</w:t>
      </w:r>
      <w:r w:rsidR="006A54B5">
        <w:rPr>
          <w:rFonts w:cstheme="minorHAnsi"/>
          <w:color w:val="444444"/>
        </w:rPr>
        <w:t xml:space="preserve">, as well as access to education during the Covid-19 pandemic and protecting access to education during military conflicts; </w:t>
      </w:r>
      <w:r w:rsidR="00837C41">
        <w:rPr>
          <w:rFonts w:cstheme="minorHAnsi"/>
          <w:color w:val="444444"/>
        </w:rPr>
        <w:t>equality and protection of</w:t>
      </w:r>
      <w:r w:rsidR="00517682" w:rsidRPr="00CF7F29">
        <w:rPr>
          <w:rFonts w:cstheme="minorHAnsi"/>
          <w:color w:val="444444"/>
        </w:rPr>
        <w:t xml:space="preserve"> </w:t>
      </w:r>
      <w:r w:rsidR="00497B2D" w:rsidRPr="00CF7F29">
        <w:rPr>
          <w:rFonts w:cstheme="minorHAnsi"/>
          <w:color w:val="444444"/>
        </w:rPr>
        <w:t>women</w:t>
      </w:r>
      <w:r w:rsidR="00837C41">
        <w:rPr>
          <w:rFonts w:cstheme="minorHAnsi"/>
          <w:color w:val="444444"/>
        </w:rPr>
        <w:t>’s rights</w:t>
      </w:r>
      <w:r w:rsidR="00497B2D">
        <w:rPr>
          <w:rFonts w:cstheme="minorHAnsi"/>
          <w:color w:val="444444"/>
        </w:rPr>
        <w:t xml:space="preserve">; </w:t>
      </w:r>
      <w:r w:rsidR="00517682" w:rsidRPr="00CF7F29">
        <w:rPr>
          <w:rFonts w:cstheme="minorHAnsi"/>
          <w:color w:val="444444"/>
        </w:rPr>
        <w:t>attempts at restricting the work of trade unions</w:t>
      </w:r>
      <w:r w:rsidR="006A54B5">
        <w:rPr>
          <w:rFonts w:cstheme="minorHAnsi"/>
          <w:color w:val="444444"/>
        </w:rPr>
        <w:t xml:space="preserve"> in Kyrgyzstan.</w:t>
      </w:r>
    </w:p>
    <w:p w14:paraId="4E6AD7DC" w14:textId="31C00DF6" w:rsidR="00C272A5" w:rsidRDefault="00C272A5" w:rsidP="002D5B6A">
      <w:pPr>
        <w:shd w:val="clear" w:color="auto" w:fill="FFFFFF"/>
        <w:spacing w:after="150" w:line="240" w:lineRule="auto"/>
        <w:rPr>
          <w:rFonts w:eastAsia="Times New Roman" w:cstheme="minorHAnsi"/>
          <w:b/>
          <w:bCs/>
          <w:i/>
          <w:iCs/>
          <w:color w:val="000000"/>
        </w:rPr>
      </w:pPr>
      <w:r>
        <w:rPr>
          <w:rFonts w:eastAsia="Times New Roman" w:cstheme="minorHAnsi"/>
          <w:b/>
          <w:bCs/>
          <w:i/>
          <w:iCs/>
          <w:color w:val="000000"/>
        </w:rPr>
        <w:t>Domestic Violence</w:t>
      </w:r>
      <w:r w:rsidR="00DB0DFB">
        <w:rPr>
          <w:rFonts w:eastAsia="Times New Roman" w:cstheme="minorHAnsi"/>
          <w:b/>
          <w:bCs/>
          <w:i/>
          <w:iCs/>
          <w:color w:val="000000"/>
        </w:rPr>
        <w:t xml:space="preserve"> (Articles 2, 3)</w:t>
      </w:r>
    </w:p>
    <w:p w14:paraId="47CFCC66" w14:textId="3AB7519F" w:rsidR="00C272A5" w:rsidRDefault="00C272A5" w:rsidP="002D5B6A">
      <w:pPr>
        <w:shd w:val="clear" w:color="auto" w:fill="FFFFFF"/>
        <w:spacing w:after="150" w:line="240" w:lineRule="auto"/>
      </w:pPr>
      <w:r>
        <w:t xml:space="preserve">Despite </w:t>
      </w:r>
      <w:r w:rsidR="00686112">
        <w:t>the</w:t>
      </w:r>
      <w:r>
        <w:t xml:space="preserve"> strengthened legal and policy framework</w:t>
      </w:r>
      <w:r w:rsidR="00686112">
        <w:t xml:space="preserve"> established by the 2017 Family Violence Law</w:t>
      </w:r>
      <w:r>
        <w:t>, there remain significant gaps in protection of women and girls from domestic violence and domestic violence remains a pervasive problem in Kyrgyzstan. In addition, the Kyrgyz government is doing little to increase the number of shelter spaces, or access to medical, mental health, legal and socio-economic services, or ensure proper investigation and prosecution of cases</w:t>
      </w:r>
      <w:r w:rsidR="00DB0DFB">
        <w:rPr>
          <w:rStyle w:val="FootnoteReference"/>
        </w:rPr>
        <w:footnoteReference w:id="1"/>
      </w:r>
      <w:r>
        <w:t>.</w:t>
      </w:r>
    </w:p>
    <w:p w14:paraId="5CD54300" w14:textId="54C757D1" w:rsidR="00C272A5" w:rsidRDefault="00C272A5" w:rsidP="002D5B6A">
      <w:pPr>
        <w:shd w:val="clear" w:color="auto" w:fill="FFFFFF"/>
        <w:spacing w:after="150" w:line="240" w:lineRule="auto"/>
      </w:pPr>
      <w:r>
        <w:t>The risk to women and girls has increased significantly due to the Covid-19 pandemic. On March 22, 2020, the Kyrgyz government introduced a state of emergency, including restrictions on freedom of movement and introducing a curfew, which left women and girls at risk of domestic violence without means or opportunity to escape their aggressors. Within the first six months of 2020, the Ministry of Interior Affairs reported a 65 percent rise in the number of domestic violence cases compared to the same period in 2019</w:t>
      </w:r>
      <w:r w:rsidR="00DB0DFB">
        <w:rPr>
          <w:rStyle w:val="FootnoteReference"/>
        </w:rPr>
        <w:footnoteReference w:id="2"/>
      </w:r>
      <w:r>
        <w:t>.</w:t>
      </w:r>
    </w:p>
    <w:p w14:paraId="0C3F3C0D" w14:textId="4B1B9594" w:rsidR="00C272A5" w:rsidRDefault="00C272A5" w:rsidP="002D5B6A">
      <w:pPr>
        <w:shd w:val="clear" w:color="auto" w:fill="FFFFFF"/>
        <w:spacing w:after="150" w:line="240" w:lineRule="auto"/>
      </w:pPr>
      <w:r>
        <w:t>Human Rights Watch documented how poor police and judicial response</w:t>
      </w:r>
      <w:r w:rsidR="00837C41">
        <w:t>s</w:t>
      </w:r>
      <w:r>
        <w:t>, the lack of services such as shelters, and social pressure by families and authorities inhibit victims from coming forward to report abuse. Despite the 2017 Family Violence Law, which requires authorities to establish or support medical, psychological, shelter, and legal assistance for domestic violence survivors, those who do seek help and justice often are unable to access the support or protection they need.</w:t>
      </w:r>
    </w:p>
    <w:p w14:paraId="1BACB3F7" w14:textId="67453B37" w:rsidR="00DB0DFB" w:rsidRDefault="00DB0DFB" w:rsidP="002D5B6A">
      <w:pPr>
        <w:shd w:val="clear" w:color="auto" w:fill="FFFFFF"/>
        <w:spacing w:after="150" w:line="240" w:lineRule="auto"/>
      </w:pPr>
      <w:r>
        <w:t>Human Rights Watch research has found that multiple barriers keep survivors of abuse from getting justice in Kyrgyzstan and that critical gaps in the 2017 Family Violence Law and its implementation hamper its effectiveness</w:t>
      </w:r>
      <w:r w:rsidR="00837C41">
        <w:t>.</w:t>
      </w:r>
      <w:r>
        <w:rPr>
          <w:rStyle w:val="FootnoteReference"/>
        </w:rPr>
        <w:footnoteReference w:id="3"/>
      </w:r>
    </w:p>
    <w:p w14:paraId="504E0374" w14:textId="4CE198AA" w:rsidR="00497B2D" w:rsidRDefault="00DB0DFB" w:rsidP="002D5B6A">
      <w:pPr>
        <w:shd w:val="clear" w:color="auto" w:fill="FFFFFF"/>
        <w:spacing w:after="150" w:line="240" w:lineRule="auto"/>
      </w:pPr>
      <w:r>
        <w:lastRenderedPageBreak/>
        <w:t xml:space="preserve">Although service providers said police are more likely to accept complaints than in the past, these generally stall unless victims are accompanied by a lawyer or crisis center worker. “A complaint might be registered, but it won’t go any further,” an Osh crisis center staff member told Human Rights Watch. </w:t>
      </w:r>
      <w:r w:rsidR="00837C41">
        <w:t>L</w:t>
      </w:r>
      <w:r>
        <w:t>egal assistance remains difficult to access or is non-existent. As one lawyer said: “There aren’t many lawyers specializing in domestic violence in the country, and victims of domestic violence normally can’t afford lawyers.”</w:t>
      </w:r>
      <w:r w:rsidR="00497B2D">
        <w:rPr>
          <w:rStyle w:val="FootnoteReference"/>
        </w:rPr>
        <w:footnoteReference w:id="4"/>
      </w:r>
      <w:r>
        <w:t xml:space="preserve"> </w:t>
      </w:r>
    </w:p>
    <w:p w14:paraId="0ED0D3A6" w14:textId="32004B1A" w:rsidR="00DB0DFB" w:rsidRDefault="00DB0DFB" w:rsidP="002D5B6A">
      <w:pPr>
        <w:shd w:val="clear" w:color="auto" w:fill="FFFFFF"/>
        <w:spacing w:after="150" w:line="240" w:lineRule="auto"/>
      </w:pPr>
      <w:r>
        <w:t>Service providers and lawyers told Human Rights Watch that police and judges often dissuade victims from filing complaints, and pressure them to reconcile with their abusers and withdraw complaints. A Bishkek crisis center lawyer said this happens even when she accompanies victims: “Still, the police try to convince the woman not to file a complaint, saying, ‘We have a lot of other cases ... and just because you got a slap on the cheek, you want to file a complaint, and then you will withdraw it and it will be a waste of our time.’”</w:t>
      </w:r>
    </w:p>
    <w:p w14:paraId="17B1F554" w14:textId="3AE3DD33" w:rsidR="00275414" w:rsidRPr="00497B2D" w:rsidRDefault="00DB0DFB" w:rsidP="00497B2D">
      <w:pPr>
        <w:shd w:val="clear" w:color="auto" w:fill="FFFFFF"/>
        <w:spacing w:after="150" w:line="240" w:lineRule="auto"/>
        <w:rPr>
          <w:rFonts w:eastAsia="Times New Roman" w:cstheme="minorHAnsi"/>
          <w:b/>
          <w:bCs/>
          <w:color w:val="000000"/>
        </w:rPr>
      </w:pPr>
      <w:r>
        <w:t>Since the Family Violence Law was adopted in 2017, the government has yet to fulfill the law’s requirement to designate a body to oversee domestic violence prevention and protection activities, due in part to disagreement on responsibilities of government agencies. The body’s responsibilities include conducting research, collecting and analyzing data, and coordinating correctional programs for abusers</w:t>
      </w:r>
      <w:r w:rsidR="00497B2D">
        <w:rPr>
          <w:rStyle w:val="FootnoteReference"/>
        </w:rPr>
        <w:footnoteReference w:id="5"/>
      </w:r>
      <w:r>
        <w:t>. A consequence of this has been ministries using different iterations of the law as the basis for data collection resulting in inconsistent statistics on the number of cases registered</w:t>
      </w:r>
      <w:r w:rsidR="001B35DA">
        <w:t>.</w:t>
      </w:r>
    </w:p>
    <w:p w14:paraId="77488C12" w14:textId="05AA8B4D" w:rsidR="00C272A5" w:rsidRDefault="00C272A5" w:rsidP="00996AE9">
      <w:r>
        <w:t>Human Rights Watch recommends the Committee use</w:t>
      </w:r>
      <w:r w:rsidR="00A434F4">
        <w:t>s</w:t>
      </w:r>
      <w:r>
        <w:t xml:space="preserve"> the upcoming review </w:t>
      </w:r>
      <w:proofErr w:type="gramStart"/>
      <w:r>
        <w:t>to :</w:t>
      </w:r>
      <w:proofErr w:type="gramEnd"/>
      <w:r>
        <w:t xml:space="preserve"> </w:t>
      </w:r>
    </w:p>
    <w:p w14:paraId="70C8B31D" w14:textId="0BE22B45" w:rsidR="00C272A5" w:rsidRDefault="00A31F3B" w:rsidP="00497B2D">
      <w:pPr>
        <w:pStyle w:val="ListParagraph"/>
        <w:numPr>
          <w:ilvl w:val="0"/>
          <w:numId w:val="1"/>
        </w:numPr>
      </w:pPr>
      <w:r>
        <w:t>Ask the Kyrgyz Government to clarify if and when it plans to e</w:t>
      </w:r>
      <w:r w:rsidR="00C272A5">
        <w:t>stablish, disclose, and implement a plan of action to ensure that women subject to or at risk of domestic violence have full access to essential services, including short-term and long-term shelters, medical care, psychosocial support, and legal assistance, including in rural areas;</w:t>
      </w:r>
    </w:p>
    <w:p w14:paraId="0AF6EC25" w14:textId="7EA2BA9F" w:rsidR="00DB0DFB" w:rsidRDefault="00A31F3B" w:rsidP="00497B2D">
      <w:pPr>
        <w:pStyle w:val="ListParagraph"/>
        <w:numPr>
          <w:ilvl w:val="0"/>
          <w:numId w:val="1"/>
        </w:numPr>
      </w:pPr>
      <w:r>
        <w:t xml:space="preserve">Ask the Kyrgyz government to clarify if </w:t>
      </w:r>
      <w:r w:rsidR="00C272A5">
        <w:t xml:space="preserve">staff at both government and NGO-run crisis centers undergo mandatory and ongoing training to enable them to provide services and support for survivors while respecting their rights and dignity and protecting their safety; </w:t>
      </w:r>
    </w:p>
    <w:p w14:paraId="73475D25" w14:textId="2965D609" w:rsidR="00A31F3B" w:rsidRDefault="00A31F3B" w:rsidP="00A31F3B">
      <w:pPr>
        <w:pStyle w:val="ListParagraph"/>
        <w:numPr>
          <w:ilvl w:val="0"/>
          <w:numId w:val="1"/>
        </w:numPr>
      </w:pPr>
      <w:r>
        <w:t xml:space="preserve">Ask the Kyrgyz government to clarify if relevant personnel within the judicial system (including judges and prosecutors) participate in mandatory training on appropriate responses to domestic violence at regular intervals and in accordance with international best practice standards on a survivor-centered response; </w:t>
      </w:r>
    </w:p>
    <w:p w14:paraId="0F9FE7DD" w14:textId="42D0EABD" w:rsidR="00C272A5" w:rsidRDefault="00C90FC1" w:rsidP="00497B2D">
      <w:pPr>
        <w:pStyle w:val="ListParagraph"/>
        <w:numPr>
          <w:ilvl w:val="0"/>
          <w:numId w:val="1"/>
        </w:numPr>
      </w:pPr>
      <w:r>
        <w:t>Urge the government of Kyrgyzstan t</w:t>
      </w:r>
      <w:r w:rsidR="00C272A5">
        <w:t xml:space="preserve">ake measures to raise public awareness regarding domestic violence, available services, and how and why to access them; </w:t>
      </w:r>
    </w:p>
    <w:p w14:paraId="690DCC5C" w14:textId="63CA3BD6" w:rsidR="002D5B6A" w:rsidRDefault="00C90FC1" w:rsidP="00497B2D">
      <w:pPr>
        <w:pStyle w:val="ListParagraph"/>
        <w:numPr>
          <w:ilvl w:val="0"/>
          <w:numId w:val="1"/>
        </w:numPr>
      </w:pPr>
      <w:r>
        <w:t>Urge the government of Kyrgyzstan e</w:t>
      </w:r>
      <w:r w:rsidR="00C272A5">
        <w:t>nsure availability of guaranteed free legal services to domestic violence survivors who lack the financial means to secure legal representation;</w:t>
      </w:r>
    </w:p>
    <w:p w14:paraId="710254C9" w14:textId="7AAEBEC5" w:rsidR="00DB0DFB" w:rsidRDefault="00A31F3B" w:rsidP="00497B2D">
      <w:pPr>
        <w:pStyle w:val="ListParagraph"/>
        <w:numPr>
          <w:ilvl w:val="0"/>
          <w:numId w:val="1"/>
        </w:numPr>
      </w:pPr>
      <w:r>
        <w:t>Ask the Kyrgyz Government to clarify if and when it plans to</w:t>
      </w:r>
      <w:r w:rsidDel="00A31F3B">
        <w:t xml:space="preserve"> </w:t>
      </w:r>
      <w:r>
        <w:t>de</w:t>
      </w:r>
      <w:r w:rsidR="00DB0DFB">
        <w:t xml:space="preserve">sign and implement a mandatory core curriculum on domestic violence response at the police training institute, as well as in police retraining and qualification courses, in accordance with the above protocols and UNODC standards; </w:t>
      </w:r>
    </w:p>
    <w:p w14:paraId="33A1C20C" w14:textId="28A40C1D" w:rsidR="00DB0DFB" w:rsidRPr="00DB0DFB" w:rsidRDefault="00A31F3B" w:rsidP="00497B2D">
      <w:pPr>
        <w:pStyle w:val="ListParagraph"/>
        <w:numPr>
          <w:ilvl w:val="0"/>
          <w:numId w:val="1"/>
        </w:numPr>
        <w:rPr>
          <w:rFonts w:cstheme="minorHAnsi"/>
          <w:color w:val="444444"/>
        </w:rPr>
      </w:pPr>
      <w:r>
        <w:lastRenderedPageBreak/>
        <w:t xml:space="preserve">Ask the Kyrgyz government to clarify if </w:t>
      </w:r>
      <w:r w:rsidR="00DB0DFB">
        <w:t xml:space="preserve">law enforcement officers </w:t>
      </w:r>
      <w:r>
        <w:t xml:space="preserve">are trained </w:t>
      </w:r>
      <w:r w:rsidR="00DB0DFB">
        <w:t>to accurately classify cases of domestic violence under relevant Administrative and Criminal Code articles;</w:t>
      </w:r>
    </w:p>
    <w:p w14:paraId="0182C833" w14:textId="19EF1845" w:rsidR="00497B2D" w:rsidRDefault="00497B2D" w:rsidP="002D5B6A">
      <w:pPr>
        <w:shd w:val="clear" w:color="auto" w:fill="FFFFFF"/>
        <w:spacing w:after="150" w:line="240" w:lineRule="auto"/>
        <w:rPr>
          <w:rFonts w:eastAsia="Times New Roman" w:cstheme="minorHAnsi"/>
          <w:b/>
          <w:bCs/>
          <w:i/>
          <w:iCs/>
          <w:color w:val="000000"/>
        </w:rPr>
      </w:pPr>
      <w:r>
        <w:rPr>
          <w:rFonts w:eastAsia="Times New Roman" w:cstheme="minorHAnsi"/>
          <w:b/>
          <w:bCs/>
          <w:i/>
          <w:iCs/>
          <w:color w:val="000000"/>
        </w:rPr>
        <w:t>Interference in Trade Union Activities (Article 8)</w:t>
      </w:r>
    </w:p>
    <w:p w14:paraId="6C9D5B6B" w14:textId="5BDA5800" w:rsidR="00D62D69" w:rsidRDefault="00D62D69" w:rsidP="00D62D69">
      <w:pPr>
        <w:rPr>
          <w:rFonts w:cstheme="minorHAnsi"/>
          <w:color w:val="444444"/>
        </w:rPr>
      </w:pPr>
      <w:r>
        <w:rPr>
          <w:rFonts w:cstheme="minorHAnsi"/>
          <w:color w:val="444444"/>
        </w:rPr>
        <w:t xml:space="preserve">Since October 2019 Kyrgyz </w:t>
      </w:r>
      <w:r w:rsidRPr="00D62D69">
        <w:rPr>
          <w:rFonts w:cstheme="minorHAnsi"/>
          <w:color w:val="444444"/>
        </w:rPr>
        <w:t xml:space="preserve">Parliament </w:t>
      </w:r>
      <w:r>
        <w:rPr>
          <w:rFonts w:cstheme="minorHAnsi"/>
          <w:color w:val="444444"/>
        </w:rPr>
        <w:t xml:space="preserve">has repeatedly </w:t>
      </w:r>
      <w:r w:rsidRPr="00D62D69">
        <w:rPr>
          <w:rFonts w:cstheme="minorHAnsi"/>
          <w:color w:val="444444"/>
        </w:rPr>
        <w:t xml:space="preserve">tried to </w:t>
      </w:r>
      <w:r w:rsidR="00DE20CF">
        <w:rPr>
          <w:rFonts w:cstheme="minorHAnsi"/>
          <w:color w:val="444444"/>
        </w:rPr>
        <w:t xml:space="preserve">promote </w:t>
      </w:r>
      <w:r w:rsidRPr="00D62D69">
        <w:rPr>
          <w:rFonts w:cstheme="minorHAnsi"/>
          <w:color w:val="444444"/>
        </w:rPr>
        <w:t xml:space="preserve">a restrictive trade union bill that had been stalled </w:t>
      </w:r>
      <w:r w:rsidR="00990B44">
        <w:rPr>
          <w:rFonts w:cstheme="minorHAnsi"/>
          <w:color w:val="444444"/>
        </w:rPr>
        <w:t xml:space="preserve">and vetoed by President </w:t>
      </w:r>
      <w:proofErr w:type="spellStart"/>
      <w:r w:rsidR="00990B44">
        <w:rPr>
          <w:rFonts w:cstheme="minorHAnsi"/>
          <w:color w:val="444444"/>
        </w:rPr>
        <w:t>Japarov</w:t>
      </w:r>
      <w:proofErr w:type="spellEnd"/>
      <w:r w:rsidR="001B35DA">
        <w:rPr>
          <w:rFonts w:cstheme="minorHAnsi"/>
          <w:color w:val="444444"/>
        </w:rPr>
        <w:t xml:space="preserve"> on three separate occasions</w:t>
      </w:r>
      <w:r w:rsidR="00990B44">
        <w:rPr>
          <w:rFonts w:cstheme="minorHAnsi"/>
          <w:color w:val="444444"/>
        </w:rPr>
        <w:t xml:space="preserve"> – in May</w:t>
      </w:r>
      <w:r w:rsidR="00BE3AA9">
        <w:rPr>
          <w:rFonts w:cstheme="minorHAnsi"/>
          <w:color w:val="444444"/>
        </w:rPr>
        <w:t xml:space="preserve">, </w:t>
      </w:r>
      <w:r w:rsidR="00990B44">
        <w:rPr>
          <w:rFonts w:cstheme="minorHAnsi"/>
          <w:color w:val="444444"/>
        </w:rPr>
        <w:t>August</w:t>
      </w:r>
      <w:r w:rsidR="00BE3AA9">
        <w:rPr>
          <w:rFonts w:cstheme="minorHAnsi"/>
          <w:color w:val="444444"/>
        </w:rPr>
        <w:t>, and December</w:t>
      </w:r>
      <w:r w:rsidR="00990B44">
        <w:rPr>
          <w:rFonts w:cstheme="minorHAnsi"/>
          <w:color w:val="444444"/>
        </w:rPr>
        <w:t xml:space="preserve"> 2021</w:t>
      </w:r>
      <w:r w:rsidRPr="00D62D69">
        <w:rPr>
          <w:rFonts w:cstheme="minorHAnsi"/>
          <w:color w:val="444444"/>
        </w:rPr>
        <w:t xml:space="preserve">. The bill would grant the Federation of Trade Unions a monopoly over all federal-level union activity and require industrial and regional trade unions to affiliate with the federation. </w:t>
      </w:r>
      <w:r w:rsidR="00990B44" w:rsidRPr="00990B44">
        <w:rPr>
          <w:rFonts w:cstheme="minorHAnsi"/>
          <w:color w:val="444444"/>
        </w:rPr>
        <w:t>The federation, which would be the only union recognized by the national government, would have the authority to approve charters and other activities of lower-tier unions, severely limiting their ability to operate independently.</w:t>
      </w:r>
      <w:r w:rsidR="00990B44">
        <w:rPr>
          <w:rFonts w:cstheme="minorHAnsi"/>
          <w:color w:val="444444"/>
        </w:rPr>
        <w:t xml:space="preserve"> </w:t>
      </w:r>
      <w:r w:rsidRPr="00D62D69">
        <w:rPr>
          <w:rFonts w:cstheme="minorHAnsi"/>
          <w:color w:val="444444"/>
        </w:rPr>
        <w:t xml:space="preserve">It would undermine trade union pluralism and the right of trade unions to freely determine their structures and statutes. </w:t>
      </w:r>
    </w:p>
    <w:p w14:paraId="7F794FE3" w14:textId="6339059E" w:rsidR="00990B44" w:rsidRPr="00D62D69" w:rsidRDefault="00990B44" w:rsidP="00990B44">
      <w:pPr>
        <w:rPr>
          <w:rFonts w:cstheme="minorHAnsi"/>
          <w:color w:val="444444"/>
        </w:rPr>
      </w:pPr>
      <w:r w:rsidRPr="00990B44">
        <w:rPr>
          <w:rFonts w:cstheme="minorHAnsi"/>
          <w:color w:val="444444"/>
        </w:rPr>
        <w:t>The independent Kyrgyzstan legal clinic Adilet</w:t>
      </w:r>
      <w:r>
        <w:rPr>
          <w:rStyle w:val="FootnoteReference"/>
          <w:rFonts w:cstheme="minorHAnsi"/>
          <w:color w:val="444444"/>
        </w:rPr>
        <w:footnoteReference w:id="6"/>
      </w:r>
      <w:r w:rsidRPr="00990B44">
        <w:rPr>
          <w:rFonts w:cstheme="minorHAnsi"/>
          <w:color w:val="444444"/>
        </w:rPr>
        <w:t xml:space="preserve"> analyzed the law and concluded that it would effectively grant “monopoly rights” over union activity to the federation.</w:t>
      </w:r>
      <w:r>
        <w:rPr>
          <w:rFonts w:cstheme="minorHAnsi"/>
          <w:color w:val="444444"/>
        </w:rPr>
        <w:t xml:space="preserve"> </w:t>
      </w:r>
      <w:proofErr w:type="spellStart"/>
      <w:r w:rsidRPr="00990B44">
        <w:rPr>
          <w:rFonts w:cstheme="minorHAnsi"/>
          <w:color w:val="444444"/>
        </w:rPr>
        <w:t>IndustriALL</w:t>
      </w:r>
      <w:proofErr w:type="spellEnd"/>
      <w:r w:rsidRPr="00990B44">
        <w:rPr>
          <w:rFonts w:cstheme="minorHAnsi"/>
          <w:color w:val="444444"/>
        </w:rPr>
        <w:t xml:space="preserve"> Global Union</w:t>
      </w:r>
      <w:r>
        <w:rPr>
          <w:rStyle w:val="FootnoteReference"/>
          <w:rFonts w:cstheme="minorHAnsi"/>
          <w:color w:val="444444"/>
        </w:rPr>
        <w:footnoteReference w:id="7"/>
      </w:r>
      <w:r w:rsidRPr="00990B44">
        <w:rPr>
          <w:rFonts w:cstheme="minorHAnsi"/>
          <w:color w:val="444444"/>
        </w:rPr>
        <w:t>, which represents industrial workers in more than 140 countries, including Kyrgyzstan, said the bill “threatens the existence of independent trade unions in the country.”</w:t>
      </w:r>
    </w:p>
    <w:p w14:paraId="6C98BED7" w14:textId="37F6BFEA" w:rsidR="00BE3AA9" w:rsidRDefault="00BE3AA9" w:rsidP="00BE3AA9">
      <w:pPr>
        <w:rPr>
          <w:rFonts w:cstheme="minorHAnsi"/>
          <w:color w:val="444444"/>
        </w:rPr>
      </w:pPr>
      <w:r>
        <w:rPr>
          <w:rFonts w:cstheme="minorHAnsi"/>
          <w:color w:val="444444"/>
        </w:rPr>
        <w:t>In 2020 following unsuccessful attempts at passing the bill</w:t>
      </w:r>
      <w:r w:rsidR="001B35DA">
        <w:rPr>
          <w:rFonts w:cstheme="minorHAnsi"/>
          <w:color w:val="444444"/>
        </w:rPr>
        <w:t>,</w:t>
      </w:r>
      <w:r>
        <w:rPr>
          <w:rFonts w:cstheme="minorHAnsi"/>
          <w:color w:val="444444"/>
        </w:rPr>
        <w:t xml:space="preserve"> </w:t>
      </w:r>
      <w:r w:rsidR="00D62D69" w:rsidRPr="00D62D69">
        <w:rPr>
          <w:rFonts w:cstheme="minorHAnsi"/>
          <w:color w:val="444444"/>
        </w:rPr>
        <w:t xml:space="preserve">Kyrgyz authorities have increased scrutiny of trade union leaders, including through criminal investigations, and </w:t>
      </w:r>
      <w:r>
        <w:rPr>
          <w:rFonts w:cstheme="minorHAnsi"/>
          <w:color w:val="444444"/>
        </w:rPr>
        <w:t>have been</w:t>
      </w:r>
      <w:r w:rsidR="00D62D69" w:rsidRPr="00D62D69">
        <w:rPr>
          <w:rFonts w:cstheme="minorHAnsi"/>
          <w:color w:val="444444"/>
        </w:rPr>
        <w:t xml:space="preserve"> unduly interfering in legitimate trade union activities in the country</w:t>
      </w:r>
      <w:r>
        <w:rPr>
          <w:rFonts w:cstheme="minorHAnsi"/>
          <w:color w:val="444444"/>
        </w:rPr>
        <w:t xml:space="preserve">. </w:t>
      </w:r>
      <w:r w:rsidR="00D62D69" w:rsidRPr="00D62D69">
        <w:rPr>
          <w:rFonts w:cstheme="minorHAnsi"/>
          <w:color w:val="444444"/>
        </w:rPr>
        <w:t>On November 21, 2020, the Office of the Prime Minister barred the country’s main trade union body, the Federation of Trade Unions of Kyrgyzstan, from holding its December 4 congress, when elections for the position of chairperson were planned.</w:t>
      </w:r>
      <w:r w:rsidRPr="00BE3AA9">
        <w:rPr>
          <w:rFonts w:cstheme="minorHAnsi"/>
          <w:color w:val="444444"/>
        </w:rPr>
        <w:t xml:space="preserve"> </w:t>
      </w:r>
      <w:r>
        <w:rPr>
          <w:rFonts w:cstheme="minorHAnsi"/>
          <w:color w:val="444444"/>
        </w:rPr>
        <w:t xml:space="preserve">Human Rights Watch has seen this decision, signed by Kyrgyzstan’s vice prime minister. </w:t>
      </w:r>
    </w:p>
    <w:p w14:paraId="253EC8DC" w14:textId="545D49C5" w:rsidR="00BE3AA9" w:rsidRPr="00D62D69" w:rsidRDefault="00BE3AA9" w:rsidP="00BE3AA9">
      <w:pPr>
        <w:rPr>
          <w:rFonts w:cstheme="minorHAnsi"/>
          <w:color w:val="444444"/>
        </w:rPr>
      </w:pPr>
      <w:r w:rsidRPr="00D62D69">
        <w:rPr>
          <w:rFonts w:cstheme="minorHAnsi"/>
          <w:color w:val="444444"/>
        </w:rPr>
        <w:t xml:space="preserve">Efforts by the federation to reschedule its congress have been unsuccessful. Preventing trade unions from holding meetings or a congress, particularly on questionable legal authority, violates trade union rights </w:t>
      </w:r>
      <w:r w:rsidR="001B35DA">
        <w:rPr>
          <w:rFonts w:cstheme="minorHAnsi"/>
          <w:color w:val="444444"/>
        </w:rPr>
        <w:t>protected under</w:t>
      </w:r>
      <w:r w:rsidRPr="00D62D69">
        <w:rPr>
          <w:rFonts w:cstheme="minorHAnsi"/>
          <w:color w:val="444444"/>
        </w:rPr>
        <w:t xml:space="preserve"> international labor and human rights standards</w:t>
      </w:r>
      <w:r>
        <w:rPr>
          <w:rFonts w:cstheme="minorHAnsi"/>
          <w:color w:val="444444"/>
        </w:rPr>
        <w:t xml:space="preserve">. </w:t>
      </w:r>
    </w:p>
    <w:p w14:paraId="2A272160" w14:textId="760AB6D8" w:rsidR="00D62D69" w:rsidRPr="00D62D69" w:rsidRDefault="00D62D69" w:rsidP="00D62D69">
      <w:pPr>
        <w:rPr>
          <w:rFonts w:cstheme="minorHAnsi"/>
          <w:color w:val="444444"/>
        </w:rPr>
      </w:pPr>
      <w:r w:rsidRPr="00D62D69">
        <w:rPr>
          <w:rFonts w:cstheme="minorHAnsi"/>
          <w:color w:val="444444"/>
        </w:rPr>
        <w:t>According to members of the Central Asia Labour Rights Monitoring Mission</w:t>
      </w:r>
      <w:r w:rsidR="00606FD6">
        <w:rPr>
          <w:rStyle w:val="FootnoteReference"/>
          <w:rFonts w:cstheme="minorHAnsi"/>
          <w:color w:val="444444"/>
        </w:rPr>
        <w:footnoteReference w:id="8"/>
      </w:r>
      <w:r w:rsidRPr="00D62D69">
        <w:rPr>
          <w:rFonts w:cstheme="minorHAnsi"/>
          <w:color w:val="444444"/>
        </w:rPr>
        <w:t>, a network of Central Asian and international trade union and human rights groups, since February</w:t>
      </w:r>
      <w:r w:rsidR="00BE3AA9">
        <w:rPr>
          <w:rFonts w:cstheme="minorHAnsi"/>
          <w:color w:val="444444"/>
        </w:rPr>
        <w:t xml:space="preserve"> 2020</w:t>
      </w:r>
      <w:r w:rsidRPr="00D62D69">
        <w:rPr>
          <w:rFonts w:cstheme="minorHAnsi"/>
          <w:color w:val="444444"/>
        </w:rPr>
        <w:t>, law enforcement authorities in Bishkek have initiated over 50 criminal investigations into trade union activists involving interrogations and searches of their homes. Authorities in June</w:t>
      </w:r>
      <w:r w:rsidR="00606FD6">
        <w:rPr>
          <w:rFonts w:cstheme="minorHAnsi"/>
          <w:color w:val="444444"/>
        </w:rPr>
        <w:t xml:space="preserve"> 2021</w:t>
      </w:r>
      <w:r w:rsidRPr="00D62D69">
        <w:rPr>
          <w:rFonts w:cstheme="minorHAnsi"/>
          <w:color w:val="444444"/>
        </w:rPr>
        <w:t xml:space="preserve"> opened criminal cases against at least four members of the Federation Council, the highest decision-making body within the federation.</w:t>
      </w:r>
    </w:p>
    <w:p w14:paraId="185326F1" w14:textId="77777777" w:rsidR="00D62D69" w:rsidRPr="00D62D69" w:rsidRDefault="00D62D69" w:rsidP="00D62D69">
      <w:pPr>
        <w:rPr>
          <w:rFonts w:cstheme="minorHAnsi"/>
          <w:color w:val="444444"/>
        </w:rPr>
      </w:pPr>
      <w:r w:rsidRPr="00D62D69">
        <w:rPr>
          <w:rFonts w:cstheme="minorHAnsi"/>
          <w:color w:val="444444"/>
        </w:rPr>
        <w:t>The police informed the four they were suspected of “corporate raiding” or hostile takeover (article 219 of the Criminal Code), “forging documents” (article 359 of the Criminal Code), and “abuse of authority in a commercial or other organization” (article 233 of the Criminal Code). The charges carry a maximum sentence of seven-and-a-half years in prison.</w:t>
      </w:r>
    </w:p>
    <w:p w14:paraId="26332173" w14:textId="283B4AC0" w:rsidR="00D62D69" w:rsidRPr="00D62D69" w:rsidRDefault="00D62D69" w:rsidP="00D62D69">
      <w:pPr>
        <w:rPr>
          <w:rFonts w:cstheme="minorHAnsi"/>
          <w:color w:val="444444"/>
        </w:rPr>
      </w:pPr>
      <w:r w:rsidRPr="00D62D69">
        <w:rPr>
          <w:rFonts w:cstheme="minorHAnsi"/>
          <w:color w:val="444444"/>
        </w:rPr>
        <w:lastRenderedPageBreak/>
        <w:t>The council members’ lawyer refutes these charges as groundless. The lawyer’s legal brief, seen by Human Rights Watch, says that as the federation is not a commercial venture, its council members cannot be charged with “corporate raiding” and that none of the council members has any authority over administrative or financial matters in the federation, which means they could not have “abused power.”</w:t>
      </w:r>
    </w:p>
    <w:p w14:paraId="171E25FA" w14:textId="0D6619CB" w:rsidR="002D5B6A" w:rsidRDefault="00606FD6" w:rsidP="00606FD6">
      <w:r>
        <w:t>Human Rights Watch recommends the Committee use</w:t>
      </w:r>
      <w:r w:rsidR="00A434F4">
        <w:t>s</w:t>
      </w:r>
      <w:r>
        <w:t xml:space="preserve"> the upcoming review to urge the government of Kyrgyzstan to:</w:t>
      </w:r>
    </w:p>
    <w:p w14:paraId="7C2DE2E8" w14:textId="25CA0C91" w:rsidR="00606FD6" w:rsidRDefault="00606FD6" w:rsidP="00606FD6">
      <w:pPr>
        <w:pStyle w:val="ListParagraph"/>
        <w:numPr>
          <w:ilvl w:val="0"/>
          <w:numId w:val="6"/>
        </w:numPr>
      </w:pPr>
      <w:r>
        <w:t>Stop harassment and persecution of trade union leaders and allow independent activities of all trade unions in the country</w:t>
      </w:r>
      <w:r w:rsidR="00DD3B05">
        <w:t>.</w:t>
      </w:r>
    </w:p>
    <w:p w14:paraId="5350E008" w14:textId="013CF33E" w:rsidR="00612288" w:rsidRDefault="00612288" w:rsidP="00606FD6">
      <w:pPr>
        <w:pStyle w:val="ListParagraph"/>
        <w:numPr>
          <w:ilvl w:val="0"/>
          <w:numId w:val="6"/>
        </w:numPr>
      </w:pPr>
      <w:r>
        <w:t>Ensure all amendments to the trade union bill are subject to full and proper consultation with representatives of all trade unions in Kyrgyzstan, before they are presented to the full parliament</w:t>
      </w:r>
    </w:p>
    <w:p w14:paraId="5640ADB1" w14:textId="0FC1B2F8" w:rsidR="00517682" w:rsidRDefault="00CF7F29" w:rsidP="00996AE9">
      <w:pPr>
        <w:rPr>
          <w:rFonts w:cstheme="minorHAnsi"/>
          <w:b/>
          <w:bCs/>
          <w:color w:val="444444"/>
        </w:rPr>
      </w:pPr>
      <w:r w:rsidRPr="00CF7F29">
        <w:rPr>
          <w:rFonts w:cstheme="minorHAnsi"/>
          <w:b/>
          <w:bCs/>
          <w:color w:val="444444"/>
        </w:rPr>
        <w:t>Access to education for children with disabilities (Article 13)</w:t>
      </w:r>
    </w:p>
    <w:p w14:paraId="7BF5FB2D" w14:textId="120A212C" w:rsidR="00CF7F29" w:rsidRPr="00E6081E" w:rsidRDefault="00E6081E" w:rsidP="00996AE9">
      <w:pPr>
        <w:rPr>
          <w:rFonts w:cstheme="minorHAnsi"/>
          <w:b/>
          <w:bCs/>
          <w:color w:val="444444"/>
        </w:rPr>
      </w:pPr>
      <w:r>
        <w:rPr>
          <w:rFonts w:cstheme="minorHAnsi"/>
          <w:color w:val="444444"/>
        </w:rPr>
        <w:t xml:space="preserve">Thousands of </w:t>
      </w:r>
      <w:r w:rsidRPr="00CF7F29">
        <w:rPr>
          <w:rFonts w:cstheme="minorHAnsi"/>
          <w:color w:val="444444"/>
        </w:rPr>
        <w:t>children with disabilities</w:t>
      </w:r>
      <w:r>
        <w:rPr>
          <w:rFonts w:cstheme="minorHAnsi"/>
          <w:color w:val="444444"/>
        </w:rPr>
        <w:t xml:space="preserve"> in Kyrgyzstan</w:t>
      </w:r>
      <w:r w:rsidRPr="00CF7F29">
        <w:rPr>
          <w:rFonts w:cstheme="minorHAnsi"/>
          <w:color w:val="444444"/>
        </w:rPr>
        <w:t xml:space="preserve"> often live in large residential institutions, and can experience segregation, neglect, physical and emotional abuse, physical and chemical restraints, inappropriate medical treatment, lack of access to education</w:t>
      </w:r>
      <w:r>
        <w:rPr>
          <w:rFonts w:cstheme="minorHAnsi"/>
          <w:color w:val="444444"/>
        </w:rPr>
        <w:t>, and discrimination</w:t>
      </w:r>
      <w:r w:rsidRPr="00CF7F29">
        <w:rPr>
          <w:rFonts w:cstheme="minorHAnsi"/>
          <w:color w:val="444444"/>
        </w:rPr>
        <w:t>.</w:t>
      </w:r>
      <w:r>
        <w:rPr>
          <w:rFonts w:cstheme="minorHAnsi"/>
          <w:b/>
          <w:bCs/>
          <w:color w:val="444444"/>
        </w:rPr>
        <w:t xml:space="preserve"> </w:t>
      </w:r>
      <w:r>
        <w:rPr>
          <w:rFonts w:cstheme="minorHAnsi"/>
          <w:color w:val="444444"/>
        </w:rPr>
        <w:t>C</w:t>
      </w:r>
      <w:r w:rsidR="00CF7F29" w:rsidRPr="00CF7F29">
        <w:rPr>
          <w:rFonts w:cstheme="minorHAnsi"/>
          <w:color w:val="444444"/>
        </w:rPr>
        <w:t>hildren are frequently denied quality, inclusive education, in which children with and without disabilities study together in mainstream schools. Children with disabilities are subject to discriminatory government evaluations that often lead to segregation in special schools or at home</w:t>
      </w:r>
      <w:r>
        <w:rPr>
          <w:rFonts w:cstheme="minorHAnsi"/>
          <w:color w:val="444444"/>
        </w:rPr>
        <w:t>.</w:t>
      </w:r>
    </w:p>
    <w:p w14:paraId="0A477990" w14:textId="0BE00500" w:rsidR="00CF7F29" w:rsidRPr="00CF7F29" w:rsidRDefault="00CF7F29" w:rsidP="00996AE9">
      <w:pPr>
        <w:rPr>
          <w:rFonts w:cstheme="minorHAnsi"/>
          <w:color w:val="444444"/>
        </w:rPr>
      </w:pPr>
      <w:r w:rsidRPr="00CF7F29">
        <w:rPr>
          <w:rFonts w:cstheme="minorHAnsi"/>
          <w:color w:val="444444"/>
        </w:rPr>
        <w:t>Human Rights Watch</w:t>
      </w:r>
      <w:r w:rsidR="00275414">
        <w:rPr>
          <w:rStyle w:val="FootnoteReference"/>
          <w:rFonts w:cstheme="minorHAnsi"/>
          <w:color w:val="444444"/>
        </w:rPr>
        <w:footnoteReference w:id="9"/>
      </w:r>
      <w:r w:rsidRPr="00CF7F29">
        <w:rPr>
          <w:rFonts w:cstheme="minorHAnsi"/>
          <w:color w:val="444444"/>
        </w:rPr>
        <w:t xml:space="preserve"> interviewed 111 people between October 2019 and July 2020, including children and young adults with disabilities, teachers and staff at residential institutions and special schools, parents, and disability rights activists. Human Rights Watch also visited six residential institutions and schools for children with disabilities in four regions.</w:t>
      </w:r>
    </w:p>
    <w:p w14:paraId="1B1614F6" w14:textId="27353F30" w:rsidR="00E6081E" w:rsidRDefault="00CF7F29" w:rsidP="00275414">
      <w:pPr>
        <w:rPr>
          <w:rFonts w:cstheme="minorHAnsi"/>
          <w:color w:val="444444"/>
        </w:rPr>
      </w:pPr>
      <w:r w:rsidRPr="00CF7F29">
        <w:rPr>
          <w:rFonts w:cstheme="minorHAnsi"/>
          <w:color w:val="444444"/>
        </w:rPr>
        <w:t>Human Rights Watch found that the institutions had insufficient personnel to care for children with disabilities, resulting in neglect or lack of individualized attention. Children were segregated according to disability, which is discriminatory.</w:t>
      </w:r>
      <w:r w:rsidR="00E6081E">
        <w:rPr>
          <w:rFonts w:cstheme="minorHAnsi"/>
          <w:color w:val="444444"/>
        </w:rPr>
        <w:t xml:space="preserve"> </w:t>
      </w:r>
      <w:r w:rsidRPr="00CF7F29">
        <w:rPr>
          <w:rFonts w:cstheme="minorHAnsi"/>
          <w:color w:val="444444"/>
        </w:rPr>
        <w:t>Human Rights Watch also documented that institution staff regularly use psychotropic drugs or forced psychiatric hospitalization to control children’s behavior and punish them</w:t>
      </w:r>
      <w:r w:rsidR="00E6081E">
        <w:rPr>
          <w:rFonts w:cstheme="minorHAnsi"/>
          <w:color w:val="444444"/>
        </w:rPr>
        <w:t xml:space="preserve">. </w:t>
      </w:r>
      <w:r w:rsidRPr="00CF7F29">
        <w:rPr>
          <w:rFonts w:cstheme="minorHAnsi"/>
          <w:color w:val="444444"/>
        </w:rPr>
        <w:t>None of the six institutions visited had accessible and confidential complaint systems, meaning that children there cannot report abuse or neglect.</w:t>
      </w:r>
      <w:r w:rsidRPr="00CF7F29">
        <w:rPr>
          <w:rFonts w:cstheme="minorHAnsi"/>
          <w:color w:val="444444"/>
        </w:rPr>
        <w:br/>
      </w:r>
      <w:r w:rsidRPr="00CF7F29">
        <w:rPr>
          <w:rFonts w:cstheme="minorHAnsi"/>
          <w:color w:val="444444"/>
        </w:rPr>
        <w:br/>
        <w:t>Since 2012, the Kyrgyz government has pledged to close 17 residential institutions for children, including three for children with disabilities. But 3,000 children with disabilities remain in institutions, and the government has closed only one residential special school.</w:t>
      </w:r>
      <w:r w:rsidRPr="00CF7F29">
        <w:rPr>
          <w:rFonts w:cstheme="minorHAnsi"/>
          <w:color w:val="444444"/>
        </w:rPr>
        <w:br/>
      </w:r>
      <w:r w:rsidRPr="00CF7F29">
        <w:rPr>
          <w:rFonts w:cstheme="minorHAnsi"/>
          <w:color w:val="444444"/>
        </w:rPr>
        <w:br/>
        <w:t xml:space="preserve">Two bodies evaluate children and can make recommendations based on a child’s disability that block their access to mainstream education, or to any education at all. The Psycho-Medical-Pedagogical Consultations (PMPC), made up of doctors and education specialists, often recommends that children </w:t>
      </w:r>
      <w:r w:rsidRPr="00CF7F29">
        <w:rPr>
          <w:rFonts w:cstheme="minorHAnsi"/>
          <w:color w:val="444444"/>
        </w:rPr>
        <w:lastRenderedPageBreak/>
        <w:t>with disabilities study in special schools or receive home education. Another body, made up only of doctors, can make similar recommendations, including that some children should not receive any education.</w:t>
      </w:r>
      <w:r w:rsidRPr="00CF7F29">
        <w:rPr>
          <w:rFonts w:cstheme="minorHAnsi"/>
          <w:color w:val="444444"/>
        </w:rPr>
        <w:br/>
      </w:r>
      <w:r w:rsidRPr="00CF7F29">
        <w:rPr>
          <w:rFonts w:cstheme="minorHAnsi"/>
          <w:color w:val="444444"/>
        </w:rPr>
        <w:br/>
        <w:t>While evaluations by these two bodies are formally recommendations only, Human Rights Watch found that mainstream schools often deny enrollment to children who were recommended for special school or home education.</w:t>
      </w:r>
      <w:r w:rsidR="00E6081E">
        <w:rPr>
          <w:rFonts w:cstheme="minorHAnsi"/>
          <w:color w:val="444444"/>
        </w:rPr>
        <w:t xml:space="preserve"> </w:t>
      </w:r>
      <w:r w:rsidRPr="00CF7F29">
        <w:rPr>
          <w:rFonts w:cstheme="minorHAnsi"/>
          <w:color w:val="444444"/>
        </w:rPr>
        <w:t>Human Rights Watch found that children who live at home, including those whose parents have taken them out of an institution, encounter significant, discriminatory obstacles to their education in mainstream schools.</w:t>
      </w:r>
      <w:r w:rsidRPr="00CF7F29">
        <w:rPr>
          <w:rFonts w:cstheme="minorHAnsi"/>
          <w:color w:val="444444"/>
        </w:rPr>
        <w:br/>
      </w:r>
      <w:r w:rsidRPr="00CF7F29">
        <w:rPr>
          <w:rFonts w:cstheme="minorHAnsi"/>
          <w:color w:val="444444"/>
        </w:rPr>
        <w:br/>
        <w:t>A major barrier to inclusive education is that mainstream schools are physically inaccessible or do not provide necessary support to children with disabilities. Due to the absence of support or accommodations, many parents may feel compelled to accompany their children to school to help them move between floors of the school, use the bathroom, or read the blackboard.</w:t>
      </w:r>
      <w:r w:rsidRPr="00CF7F29">
        <w:rPr>
          <w:rFonts w:cstheme="minorHAnsi"/>
          <w:color w:val="444444"/>
        </w:rPr>
        <w:br/>
      </w:r>
      <w:r w:rsidRPr="00CF7F29">
        <w:rPr>
          <w:rFonts w:cstheme="minorHAnsi"/>
          <w:color w:val="444444"/>
        </w:rPr>
        <w:br/>
        <w:t>While many children with disabilities receive education at home, parents said teachers come for very few hours and are often not trained in teaching a child with a disability.</w:t>
      </w:r>
      <w:r w:rsidR="00275414">
        <w:rPr>
          <w:rFonts w:cstheme="minorHAnsi"/>
          <w:color w:val="444444"/>
        </w:rPr>
        <w:t xml:space="preserve"> </w:t>
      </w:r>
      <w:r w:rsidRPr="00CF7F29">
        <w:rPr>
          <w:rFonts w:cstheme="minorHAnsi"/>
          <w:color w:val="444444"/>
        </w:rPr>
        <w:t>Children in residential institutions and special schools receive either a poor education or no education at all.</w:t>
      </w:r>
      <w:r w:rsidR="00275414">
        <w:rPr>
          <w:rFonts w:cstheme="minorHAnsi"/>
          <w:color w:val="444444"/>
        </w:rPr>
        <w:t xml:space="preserve"> </w:t>
      </w:r>
      <w:r w:rsidRPr="00CF7F29">
        <w:rPr>
          <w:rFonts w:cstheme="minorHAnsi"/>
          <w:color w:val="444444"/>
        </w:rPr>
        <w:t>The limited access for children with disabilities to mainstream schools is discriminatory and violates Kyrgyz and international law,</w:t>
      </w:r>
      <w:r w:rsidR="00E6081E">
        <w:rPr>
          <w:rFonts w:cstheme="minorHAnsi"/>
          <w:color w:val="444444"/>
        </w:rPr>
        <w:t xml:space="preserve"> including Article 13 of this Covenant</w:t>
      </w:r>
      <w:r w:rsidRPr="00CF7F29">
        <w:rPr>
          <w:rFonts w:cstheme="minorHAnsi"/>
          <w:color w:val="444444"/>
        </w:rPr>
        <w:t xml:space="preserve">. </w:t>
      </w:r>
    </w:p>
    <w:p w14:paraId="7ED82A93" w14:textId="6DCFD6AD" w:rsidR="00C62651" w:rsidRPr="002D5B6A" w:rsidRDefault="00C62651" w:rsidP="00C62651">
      <w:pPr>
        <w:rPr>
          <w:rFonts w:cstheme="minorHAnsi"/>
        </w:rPr>
      </w:pPr>
      <w:r w:rsidRPr="002D5B6A">
        <w:rPr>
          <w:rFonts w:cstheme="minorHAnsi"/>
        </w:rPr>
        <w:t>Human Rights Watch recommends the Committee use</w:t>
      </w:r>
      <w:r w:rsidR="00167792">
        <w:rPr>
          <w:rFonts w:cstheme="minorHAnsi"/>
        </w:rPr>
        <w:t>s</w:t>
      </w:r>
      <w:r w:rsidRPr="002D5B6A">
        <w:rPr>
          <w:rFonts w:cstheme="minorHAnsi"/>
        </w:rPr>
        <w:t xml:space="preserve"> the upcoming review </w:t>
      </w:r>
      <w:proofErr w:type="gramStart"/>
      <w:r w:rsidRPr="002D5B6A">
        <w:rPr>
          <w:rFonts w:cstheme="minorHAnsi"/>
        </w:rPr>
        <w:t>to :</w:t>
      </w:r>
      <w:proofErr w:type="gramEnd"/>
    </w:p>
    <w:p w14:paraId="2EB05C61" w14:textId="54B8F8E8" w:rsidR="00275414" w:rsidRPr="00497B2D" w:rsidRDefault="00CB205C" w:rsidP="00497B2D">
      <w:pPr>
        <w:pStyle w:val="ListParagraph"/>
        <w:numPr>
          <w:ilvl w:val="0"/>
          <w:numId w:val="5"/>
        </w:numPr>
        <w:rPr>
          <w:rFonts w:cstheme="minorHAnsi"/>
          <w:color w:val="444444"/>
        </w:rPr>
      </w:pPr>
      <w:r>
        <w:rPr>
          <w:rFonts w:cstheme="minorHAnsi"/>
        </w:rPr>
        <w:t xml:space="preserve">Ask </w:t>
      </w:r>
      <w:r w:rsidRPr="002D5B6A">
        <w:rPr>
          <w:rFonts w:cstheme="minorHAnsi"/>
        </w:rPr>
        <w:t xml:space="preserve">the government of Kyrgyzstan </w:t>
      </w:r>
      <w:r>
        <w:rPr>
          <w:rFonts w:cstheme="minorHAnsi"/>
        </w:rPr>
        <w:t>what measure</w:t>
      </w:r>
      <w:r w:rsidR="00E47488">
        <w:rPr>
          <w:rFonts w:cstheme="minorHAnsi"/>
        </w:rPr>
        <w:t>s</w:t>
      </w:r>
      <w:r>
        <w:rPr>
          <w:rFonts w:cstheme="minorHAnsi"/>
        </w:rPr>
        <w:t xml:space="preserve"> it plans to take to s</w:t>
      </w:r>
      <w:r w:rsidR="00CF7F29" w:rsidRPr="00497B2D">
        <w:rPr>
          <w:rFonts w:cstheme="minorHAnsi"/>
          <w:color w:val="444444"/>
        </w:rPr>
        <w:t xml:space="preserve">top segregating children </w:t>
      </w:r>
      <w:r w:rsidR="00167792" w:rsidRPr="00497B2D">
        <w:rPr>
          <w:rFonts w:cstheme="minorHAnsi"/>
          <w:color w:val="444444"/>
        </w:rPr>
        <w:t xml:space="preserve">with disabilities </w:t>
      </w:r>
      <w:r w:rsidR="00CF7F29" w:rsidRPr="00497B2D">
        <w:rPr>
          <w:rFonts w:cstheme="minorHAnsi"/>
          <w:color w:val="444444"/>
        </w:rPr>
        <w:t xml:space="preserve">and identify and provide individualized supports, known as reasonable accommodations, to </w:t>
      </w:r>
      <w:r w:rsidR="00167792">
        <w:rPr>
          <w:rFonts w:cstheme="minorHAnsi"/>
          <w:color w:val="444444"/>
        </w:rPr>
        <w:t xml:space="preserve">fulfil the right to </w:t>
      </w:r>
      <w:r w:rsidR="00CF7F29" w:rsidRPr="00497B2D">
        <w:rPr>
          <w:rFonts w:cstheme="minorHAnsi"/>
          <w:color w:val="444444"/>
        </w:rPr>
        <w:t xml:space="preserve">education. </w:t>
      </w:r>
    </w:p>
    <w:p w14:paraId="48C3D327" w14:textId="5A2FA6D5" w:rsidR="00275414" w:rsidRPr="00497B2D" w:rsidRDefault="00CB205C" w:rsidP="00497B2D">
      <w:pPr>
        <w:pStyle w:val="ListParagraph"/>
        <w:numPr>
          <w:ilvl w:val="0"/>
          <w:numId w:val="5"/>
        </w:numPr>
        <w:rPr>
          <w:rFonts w:cstheme="minorHAnsi"/>
          <w:color w:val="444444"/>
        </w:rPr>
      </w:pPr>
      <w:r>
        <w:rPr>
          <w:rFonts w:cstheme="minorHAnsi"/>
          <w:color w:val="444444"/>
        </w:rPr>
        <w:t xml:space="preserve">Press the </w:t>
      </w:r>
      <w:r w:rsidR="00CF7F29" w:rsidRPr="00497B2D">
        <w:rPr>
          <w:rFonts w:cstheme="minorHAnsi"/>
          <w:color w:val="444444"/>
        </w:rPr>
        <w:t xml:space="preserve">Kyrgyz authorities </w:t>
      </w:r>
      <w:r>
        <w:rPr>
          <w:rFonts w:cstheme="minorHAnsi"/>
          <w:color w:val="444444"/>
        </w:rPr>
        <w:t>to provide</w:t>
      </w:r>
      <w:r w:rsidR="00CF7F29" w:rsidRPr="00497B2D">
        <w:rPr>
          <w:rFonts w:cstheme="minorHAnsi"/>
          <w:color w:val="444444"/>
        </w:rPr>
        <w:t xml:space="preserve"> inclusive education for children with disabilities </w:t>
      </w:r>
      <w:r>
        <w:rPr>
          <w:rFonts w:cstheme="minorHAnsi"/>
          <w:color w:val="444444"/>
        </w:rPr>
        <w:t xml:space="preserve">as </w:t>
      </w:r>
      <w:r w:rsidR="00CF7F29" w:rsidRPr="00497B2D">
        <w:rPr>
          <w:rFonts w:cstheme="minorHAnsi"/>
          <w:color w:val="444444"/>
        </w:rPr>
        <w:t>a priority</w:t>
      </w:r>
      <w:r>
        <w:rPr>
          <w:rFonts w:cstheme="minorHAnsi"/>
          <w:color w:val="444444"/>
        </w:rPr>
        <w:t>,</w:t>
      </w:r>
      <w:r w:rsidR="00CF7F29" w:rsidRPr="00497B2D">
        <w:rPr>
          <w:rFonts w:cstheme="minorHAnsi"/>
          <w:color w:val="444444"/>
        </w:rPr>
        <w:t xml:space="preserve"> despite the country’s</w:t>
      </w:r>
      <w:r w:rsidR="00275414" w:rsidRPr="00497B2D">
        <w:rPr>
          <w:rFonts w:cstheme="minorHAnsi"/>
          <w:color w:val="444444"/>
        </w:rPr>
        <w:t xml:space="preserve"> current political </w:t>
      </w:r>
      <w:r w:rsidR="00B8550D">
        <w:rPr>
          <w:rFonts w:cstheme="minorHAnsi"/>
          <w:color w:val="444444"/>
        </w:rPr>
        <w:t>crisis.</w:t>
      </w:r>
      <w:r w:rsidR="00275414" w:rsidRPr="00497B2D">
        <w:rPr>
          <w:rFonts w:cstheme="minorHAnsi"/>
          <w:color w:val="444444"/>
        </w:rPr>
        <w:t xml:space="preserve"> </w:t>
      </w:r>
      <w:r w:rsidR="00CF7F29" w:rsidRPr="00497B2D">
        <w:rPr>
          <w:rFonts w:cstheme="minorHAnsi"/>
          <w:color w:val="444444"/>
        </w:rPr>
        <w:t> </w:t>
      </w:r>
    </w:p>
    <w:p w14:paraId="5AD3BBFD" w14:textId="5F3AA8D3" w:rsidR="00275414" w:rsidRPr="00497B2D" w:rsidRDefault="00CB205C" w:rsidP="00497B2D">
      <w:pPr>
        <w:pStyle w:val="ListParagraph"/>
        <w:numPr>
          <w:ilvl w:val="0"/>
          <w:numId w:val="5"/>
        </w:numPr>
        <w:rPr>
          <w:rFonts w:cstheme="minorHAnsi"/>
          <w:color w:val="444444"/>
        </w:rPr>
      </w:pPr>
      <w:r>
        <w:rPr>
          <w:rFonts w:cstheme="minorHAnsi"/>
          <w:color w:val="444444"/>
        </w:rPr>
        <w:t>Ask</w:t>
      </w:r>
      <w:r w:rsidRPr="00CB205C">
        <w:rPr>
          <w:rFonts w:cstheme="minorHAnsi"/>
        </w:rPr>
        <w:t xml:space="preserve"> </w:t>
      </w:r>
      <w:r w:rsidRPr="002D5B6A">
        <w:rPr>
          <w:rFonts w:cstheme="minorHAnsi"/>
        </w:rPr>
        <w:t>the government of Kyrgyzstan</w:t>
      </w:r>
      <w:r>
        <w:rPr>
          <w:rFonts w:cstheme="minorHAnsi"/>
        </w:rPr>
        <w:t xml:space="preserve"> whether it plans to</w:t>
      </w:r>
      <w:r w:rsidR="00CF7F29" w:rsidRPr="00497B2D">
        <w:rPr>
          <w:rFonts w:cstheme="minorHAnsi"/>
          <w:color w:val="444444"/>
        </w:rPr>
        <w:t xml:space="preserve"> abolish or reform the bodies that block access to quality, inclusive education for children with disabilities. </w:t>
      </w:r>
      <w:r>
        <w:rPr>
          <w:rFonts w:cstheme="minorHAnsi"/>
          <w:color w:val="444444"/>
        </w:rPr>
        <w:t xml:space="preserve">The government </w:t>
      </w:r>
      <w:r w:rsidR="00CF7F29" w:rsidRPr="00497B2D">
        <w:rPr>
          <w:rFonts w:cstheme="minorHAnsi"/>
          <w:color w:val="444444"/>
        </w:rPr>
        <w:t xml:space="preserve">should establish a clear, time-bound plan to close institutions for children, including children with disabilities, and develop community-based services to support children to grow up with their families. </w:t>
      </w:r>
    </w:p>
    <w:p w14:paraId="37F2EECF" w14:textId="0077C494" w:rsidR="002D5B6A" w:rsidRPr="00497B2D" w:rsidRDefault="00CB205C" w:rsidP="00497B2D">
      <w:pPr>
        <w:pStyle w:val="ListParagraph"/>
        <w:numPr>
          <w:ilvl w:val="0"/>
          <w:numId w:val="5"/>
        </w:numPr>
        <w:rPr>
          <w:rFonts w:cstheme="minorHAnsi"/>
          <w:color w:val="444444"/>
        </w:rPr>
      </w:pPr>
      <w:r>
        <w:rPr>
          <w:rFonts w:cstheme="minorHAnsi"/>
          <w:color w:val="444444"/>
        </w:rPr>
        <w:t>Ask</w:t>
      </w:r>
      <w:r w:rsidRPr="00CB205C">
        <w:rPr>
          <w:rFonts w:cstheme="minorHAnsi"/>
        </w:rPr>
        <w:t xml:space="preserve"> </w:t>
      </w:r>
      <w:r w:rsidRPr="002D5B6A">
        <w:rPr>
          <w:rFonts w:cstheme="minorHAnsi"/>
        </w:rPr>
        <w:t>the government of Kyrgyzstan</w:t>
      </w:r>
      <w:r>
        <w:rPr>
          <w:rFonts w:cstheme="minorHAnsi"/>
          <w:color w:val="444444"/>
        </w:rPr>
        <w:t xml:space="preserve"> what measures it plans to take, p</w:t>
      </w:r>
      <w:r w:rsidRPr="00497B2D">
        <w:rPr>
          <w:rFonts w:cstheme="minorHAnsi"/>
          <w:color w:val="444444"/>
        </w:rPr>
        <w:t>ending the end of institutionalization</w:t>
      </w:r>
      <w:r w:rsidR="00275414" w:rsidRPr="00497B2D">
        <w:rPr>
          <w:rFonts w:cstheme="minorHAnsi"/>
          <w:color w:val="444444"/>
        </w:rPr>
        <w:t xml:space="preserve">, </w:t>
      </w:r>
      <w:r>
        <w:rPr>
          <w:rFonts w:cstheme="minorHAnsi"/>
          <w:color w:val="444444"/>
        </w:rPr>
        <w:t xml:space="preserve">to </w:t>
      </w:r>
      <w:r w:rsidR="00275414" w:rsidRPr="00497B2D">
        <w:rPr>
          <w:rFonts w:cstheme="minorHAnsi"/>
          <w:color w:val="444444"/>
        </w:rPr>
        <w:t xml:space="preserve">protect children living in institutions from neglect and inappropriate medical treatment, ensure children’s rights to food, education, healthcare, and provide accessible complaint systems. </w:t>
      </w:r>
    </w:p>
    <w:p w14:paraId="139A56B3" w14:textId="77777777" w:rsidR="00810A71" w:rsidRDefault="00810A71" w:rsidP="002D5B6A">
      <w:pPr>
        <w:rPr>
          <w:rFonts w:cstheme="minorHAnsi"/>
          <w:b/>
          <w:bCs/>
        </w:rPr>
      </w:pPr>
    </w:p>
    <w:p w14:paraId="73B4E3D3" w14:textId="77777777" w:rsidR="00810A71" w:rsidRDefault="002D5B6A" w:rsidP="00810A71">
      <w:pPr>
        <w:rPr>
          <w:rFonts w:cstheme="minorHAnsi"/>
          <w:b/>
          <w:bCs/>
        </w:rPr>
      </w:pPr>
      <w:r w:rsidRPr="002D5B6A">
        <w:rPr>
          <w:rFonts w:cstheme="minorHAnsi"/>
          <w:b/>
          <w:bCs/>
        </w:rPr>
        <w:t>Access to Education during the Covid-19 Pandemic (Article 1</w:t>
      </w:r>
      <w:r>
        <w:rPr>
          <w:rFonts w:cstheme="minorHAnsi"/>
          <w:b/>
          <w:bCs/>
        </w:rPr>
        <w:t>3</w:t>
      </w:r>
      <w:r w:rsidRPr="002D5B6A">
        <w:rPr>
          <w:rFonts w:cstheme="minorHAnsi"/>
          <w:b/>
          <w:bCs/>
        </w:rPr>
        <w:t>)</w:t>
      </w:r>
    </w:p>
    <w:p w14:paraId="45E385B6" w14:textId="55748F93" w:rsidR="002D5B6A" w:rsidRPr="00810A71" w:rsidRDefault="002D5B6A" w:rsidP="00810A71">
      <w:pPr>
        <w:rPr>
          <w:rFonts w:cstheme="minorHAnsi"/>
          <w:b/>
          <w:bCs/>
        </w:rPr>
      </w:pPr>
      <w:r w:rsidRPr="002D5B6A">
        <w:rPr>
          <w:rFonts w:cstheme="minorHAnsi"/>
        </w:rPr>
        <w:lastRenderedPageBreak/>
        <w:t>As of August 30, 2021, children in Kyrgyzstan had been affected by approximately 135 days of full and partial school closures due to the Covid-19 pandemic, though most schools had fully opened by December 2020</w:t>
      </w:r>
      <w:r w:rsidR="00C62651">
        <w:rPr>
          <w:rStyle w:val="FootnoteReference"/>
          <w:rFonts w:cstheme="minorHAnsi"/>
        </w:rPr>
        <w:footnoteReference w:id="10"/>
      </w:r>
      <w:r w:rsidRPr="002D5B6A">
        <w:rPr>
          <w:rFonts w:cstheme="minorHAnsi"/>
        </w:rPr>
        <w:t>. According to UNICEF, school closures during this time affected 1.44 million children</w:t>
      </w:r>
      <w:r w:rsidR="00C62651">
        <w:rPr>
          <w:rStyle w:val="FootnoteReference"/>
          <w:rFonts w:cstheme="minorHAnsi"/>
        </w:rPr>
        <w:footnoteReference w:id="11"/>
      </w:r>
      <w:r w:rsidRPr="002D5B6A">
        <w:rPr>
          <w:rFonts w:cstheme="minorHAnsi"/>
        </w:rPr>
        <w:t>.</w:t>
      </w:r>
    </w:p>
    <w:p w14:paraId="00EE3BC9" w14:textId="44312DCE" w:rsidR="002D5B6A" w:rsidRPr="002D5B6A" w:rsidRDefault="002D5B6A" w:rsidP="002D5B6A">
      <w:pPr>
        <w:rPr>
          <w:rFonts w:cstheme="minorHAnsi"/>
        </w:rPr>
      </w:pPr>
      <w:r w:rsidRPr="002D5B6A">
        <w:rPr>
          <w:rFonts w:cstheme="minorHAnsi"/>
        </w:rPr>
        <w:t>Though distance learning was implemented for some students during school closures, there were still some setbacks for students. One 17-year-old girl described to Human Rights Watch the difficulties in adapting to the online environment: “I find it complicated to deal with the Classroom app.... No one explained [to] us how to use [it].”</w:t>
      </w:r>
      <w:r w:rsidR="00C62651">
        <w:rPr>
          <w:rStyle w:val="FootnoteReference"/>
          <w:rFonts w:cstheme="minorHAnsi"/>
        </w:rPr>
        <w:footnoteReference w:id="12"/>
      </w:r>
      <w:r w:rsidR="00C62651">
        <w:rPr>
          <w:rFonts w:cstheme="minorHAnsi"/>
        </w:rPr>
        <w:t xml:space="preserve"> </w:t>
      </w:r>
      <w:r w:rsidRPr="002D5B6A">
        <w:rPr>
          <w:rFonts w:cstheme="minorHAnsi"/>
        </w:rPr>
        <w:t xml:space="preserve">Poor internet connection acted as a barrier from even being able to attend her classes, which ultimately made her give up and not take English classes. She also described her poor academic performance </w:t>
      </w:r>
      <w:r w:rsidR="00C62651" w:rsidRPr="002D5B6A">
        <w:rPr>
          <w:rFonts w:cstheme="minorHAnsi"/>
        </w:rPr>
        <w:t>because of</w:t>
      </w:r>
      <w:r w:rsidRPr="002D5B6A">
        <w:rPr>
          <w:rFonts w:cstheme="minorHAnsi"/>
        </w:rPr>
        <w:t xml:space="preserve"> inadequate distance learning methods: “My grades are getting worse ... I don’t understand subjects, assignments.”</w:t>
      </w:r>
      <w:r w:rsidR="00C62651">
        <w:rPr>
          <w:rStyle w:val="FootnoteReference"/>
          <w:rFonts w:cstheme="minorHAnsi"/>
        </w:rPr>
        <w:footnoteReference w:id="13"/>
      </w:r>
    </w:p>
    <w:p w14:paraId="73F75384" w14:textId="7FC33511" w:rsidR="002D5B6A" w:rsidRPr="002D5B6A" w:rsidRDefault="002D5B6A" w:rsidP="002D5B6A">
      <w:pPr>
        <w:rPr>
          <w:rFonts w:cstheme="minorHAnsi"/>
        </w:rPr>
      </w:pPr>
      <w:r w:rsidRPr="002D5B6A">
        <w:rPr>
          <w:rFonts w:cstheme="minorHAnsi"/>
        </w:rPr>
        <w:t>As parents and other caregivers assumed more responsibility for children’s education during Covid-19 related school closures, the quality of children’s education increasingly depended upon caregivers’ time, ability, capacity, and education. Women predominantly assumed a disproportionate level of the domestic workload and responsibilities for ensuring and monitoring remote learning</w:t>
      </w:r>
      <w:r w:rsidR="00C62651">
        <w:rPr>
          <w:rStyle w:val="FootnoteReference"/>
          <w:rFonts w:cstheme="minorHAnsi"/>
        </w:rPr>
        <w:footnoteReference w:id="14"/>
      </w:r>
      <w:r w:rsidRPr="002D5B6A">
        <w:rPr>
          <w:rFonts w:cstheme="minorHAnsi"/>
        </w:rPr>
        <w:t>. One mother of four children described her experience during this time: “I am all by myself educating and taking care of my children. My husband doesn’t help me at all as he has to work.”</w:t>
      </w:r>
      <w:r w:rsidR="00C62651">
        <w:rPr>
          <w:rStyle w:val="FootnoteReference"/>
          <w:rFonts w:cstheme="minorHAnsi"/>
        </w:rPr>
        <w:footnoteReference w:id="15"/>
      </w:r>
    </w:p>
    <w:p w14:paraId="66E8FA47" w14:textId="5731C3C2" w:rsidR="002D5B6A" w:rsidRPr="002D5B6A" w:rsidRDefault="002D5B6A" w:rsidP="002D5B6A">
      <w:pPr>
        <w:rPr>
          <w:rFonts w:cstheme="minorHAnsi"/>
        </w:rPr>
      </w:pPr>
      <w:r w:rsidRPr="002D5B6A">
        <w:rPr>
          <w:rFonts w:cstheme="minorHAnsi"/>
        </w:rPr>
        <w:t>Human Rights Watch recommends the Committee use</w:t>
      </w:r>
      <w:r w:rsidR="00167792">
        <w:rPr>
          <w:rFonts w:cstheme="minorHAnsi"/>
        </w:rPr>
        <w:t>s</w:t>
      </w:r>
      <w:r w:rsidRPr="002D5B6A">
        <w:rPr>
          <w:rFonts w:cstheme="minorHAnsi"/>
        </w:rPr>
        <w:t xml:space="preserve"> the upcoming review to </w:t>
      </w:r>
      <w:r w:rsidR="00FA4A71">
        <w:rPr>
          <w:rFonts w:cstheme="minorHAnsi"/>
        </w:rPr>
        <w:t>ask</w:t>
      </w:r>
      <w:r w:rsidR="00FA4A71" w:rsidRPr="002D5B6A">
        <w:rPr>
          <w:rFonts w:cstheme="minorHAnsi"/>
        </w:rPr>
        <w:t xml:space="preserve"> </w:t>
      </w:r>
      <w:r w:rsidRPr="002D5B6A">
        <w:rPr>
          <w:rFonts w:cstheme="minorHAnsi"/>
        </w:rPr>
        <w:t>the government of Kyrgyzstan to</w:t>
      </w:r>
      <w:r w:rsidR="00FA4A71">
        <w:rPr>
          <w:rFonts w:cstheme="minorHAnsi"/>
        </w:rPr>
        <w:t xml:space="preserve"> inform the committee on</w:t>
      </w:r>
      <w:r w:rsidRPr="002D5B6A">
        <w:rPr>
          <w:rFonts w:cstheme="minorHAnsi"/>
        </w:rPr>
        <w:t>:</w:t>
      </w:r>
    </w:p>
    <w:p w14:paraId="12D665D0" w14:textId="27CB3562" w:rsidR="002D5B6A" w:rsidRPr="006A54B5" w:rsidRDefault="00FA4A71" w:rsidP="006A54B5">
      <w:pPr>
        <w:pStyle w:val="ListParagraph"/>
        <w:numPr>
          <w:ilvl w:val="0"/>
          <w:numId w:val="3"/>
        </w:numPr>
        <w:rPr>
          <w:rFonts w:cstheme="minorHAnsi"/>
        </w:rPr>
      </w:pPr>
      <w:r>
        <w:rPr>
          <w:rFonts w:cstheme="minorHAnsi"/>
        </w:rPr>
        <w:t>S</w:t>
      </w:r>
      <w:r w:rsidR="002D5B6A" w:rsidRPr="006A54B5">
        <w:rPr>
          <w:rFonts w:cstheme="minorHAnsi"/>
        </w:rPr>
        <w:t>trategies to mitigate the impacts of in-person school closures on children’s learning, for example by working with teachers, school officials, and teachers’ unions and associations, and local education and parent committees, to recover teaching or contact hours lost and, where necessary, adjusting school calendars and exam schedules.</w:t>
      </w:r>
    </w:p>
    <w:p w14:paraId="460CA53E" w14:textId="39CBB280" w:rsidR="002D5B6A" w:rsidRPr="006A54B5" w:rsidRDefault="00FA4A71" w:rsidP="006A54B5">
      <w:pPr>
        <w:pStyle w:val="ListParagraph"/>
        <w:numPr>
          <w:ilvl w:val="0"/>
          <w:numId w:val="3"/>
        </w:numPr>
        <w:rPr>
          <w:rFonts w:cstheme="minorHAnsi"/>
        </w:rPr>
      </w:pPr>
      <w:r>
        <w:rPr>
          <w:rFonts w:cstheme="minorHAnsi"/>
        </w:rPr>
        <w:t>M</w:t>
      </w:r>
      <w:r w:rsidR="002D5B6A" w:rsidRPr="006A54B5">
        <w:rPr>
          <w:rFonts w:cstheme="minorHAnsi"/>
        </w:rPr>
        <w:t>easures to provide affordable, reliable, quality, and accessible internet, including targeted measures to provide free, equitable access to the internet for educational content, and capable devices for every student. Children most likely to be excluded or have inadequate access, including those from marginalized or vulnerable communities, living in rural areas, with disabilities, or living in families with multiple children, or due to their gender, should receive targeted support.</w:t>
      </w:r>
    </w:p>
    <w:p w14:paraId="6E2C1CB4" w14:textId="568BBC0B" w:rsidR="002D5B6A" w:rsidRPr="006A54B5" w:rsidRDefault="00FA4A71" w:rsidP="006A54B5">
      <w:pPr>
        <w:pStyle w:val="ListParagraph"/>
        <w:numPr>
          <w:ilvl w:val="0"/>
          <w:numId w:val="3"/>
        </w:numPr>
        <w:rPr>
          <w:rFonts w:cstheme="minorHAnsi"/>
        </w:rPr>
      </w:pPr>
      <w:r>
        <w:rPr>
          <w:rFonts w:cstheme="minorHAnsi"/>
        </w:rPr>
        <w:t xml:space="preserve">Measures to mitigate </w:t>
      </w:r>
      <w:r w:rsidR="002D5B6A" w:rsidRPr="006A54B5">
        <w:rPr>
          <w:rFonts w:cstheme="minorHAnsi"/>
        </w:rPr>
        <w:t xml:space="preserve">the disproportionate effects on children and adolescents who already experience barriers accessing education, or who are at higher risk of being excluded, including </w:t>
      </w:r>
      <w:r w:rsidR="002D5B6A" w:rsidRPr="006A54B5">
        <w:rPr>
          <w:rFonts w:cstheme="minorHAnsi"/>
        </w:rPr>
        <w:lastRenderedPageBreak/>
        <w:t>students in remote locations, girls, and children from poor households or otherwise vulnerable communities;</w:t>
      </w:r>
    </w:p>
    <w:p w14:paraId="2D5615C9" w14:textId="49B9C491" w:rsidR="002D5B6A" w:rsidRPr="006A54B5" w:rsidRDefault="00FA4A71" w:rsidP="006A54B5">
      <w:pPr>
        <w:pStyle w:val="ListParagraph"/>
        <w:numPr>
          <w:ilvl w:val="0"/>
          <w:numId w:val="3"/>
        </w:numPr>
        <w:rPr>
          <w:rFonts w:cstheme="minorHAnsi"/>
        </w:rPr>
      </w:pPr>
      <w:r>
        <w:rPr>
          <w:rFonts w:cstheme="minorHAnsi"/>
        </w:rPr>
        <w:t xml:space="preserve">Measures to mitigate </w:t>
      </w:r>
      <w:r w:rsidR="002D5B6A" w:rsidRPr="006A54B5">
        <w:rPr>
          <w:rFonts w:cstheme="minorHAnsi"/>
        </w:rPr>
        <w:t>the disproportionate impact of increased child-care and teaching responsibilities on women at home.</w:t>
      </w:r>
    </w:p>
    <w:p w14:paraId="58F900F6" w14:textId="77777777" w:rsidR="00810A71" w:rsidRDefault="00810A71" w:rsidP="002D5B6A">
      <w:pPr>
        <w:rPr>
          <w:rFonts w:cstheme="minorHAnsi"/>
          <w:b/>
          <w:bCs/>
        </w:rPr>
      </w:pPr>
    </w:p>
    <w:p w14:paraId="2898024A" w14:textId="7D95054B" w:rsidR="002D5B6A" w:rsidRPr="006A54B5" w:rsidRDefault="002D5B6A" w:rsidP="002D5B6A">
      <w:pPr>
        <w:rPr>
          <w:rFonts w:cstheme="minorHAnsi"/>
          <w:b/>
          <w:bCs/>
        </w:rPr>
      </w:pPr>
      <w:r w:rsidRPr="006A54B5">
        <w:rPr>
          <w:rFonts w:cstheme="minorHAnsi"/>
          <w:b/>
          <w:bCs/>
        </w:rPr>
        <w:t>Protection of Education from Attack (Article 1</w:t>
      </w:r>
      <w:r w:rsidR="006A54B5" w:rsidRPr="006A54B5">
        <w:rPr>
          <w:rFonts w:cstheme="minorHAnsi"/>
          <w:b/>
          <w:bCs/>
        </w:rPr>
        <w:t>3</w:t>
      </w:r>
      <w:r w:rsidRPr="006A54B5">
        <w:rPr>
          <w:rFonts w:cstheme="minorHAnsi"/>
          <w:b/>
          <w:bCs/>
        </w:rPr>
        <w:t>)</w:t>
      </w:r>
    </w:p>
    <w:p w14:paraId="1537A4F0" w14:textId="234F27BA" w:rsidR="002D5B6A" w:rsidRPr="002D5B6A" w:rsidRDefault="002D5B6A" w:rsidP="002D5B6A">
      <w:pPr>
        <w:rPr>
          <w:rFonts w:cstheme="minorHAnsi"/>
        </w:rPr>
      </w:pPr>
      <w:r w:rsidRPr="002D5B6A">
        <w:rPr>
          <w:rFonts w:cstheme="minorHAnsi"/>
        </w:rPr>
        <w:t>Conflict in the border areas between Kyrgyzstan and Tajikistan in late April 2021 resulted in over 50 people killed, hundreds injured, and thousands fleeing their homes. At least two children were killed in the conflict. Two schools and one kindergarten in Kyrgyzstan were damaged or destroyed in the fighting, disrupting education</w:t>
      </w:r>
      <w:r w:rsidR="00C62651">
        <w:rPr>
          <w:rStyle w:val="FootnoteReference"/>
          <w:rFonts w:cstheme="minorHAnsi"/>
        </w:rPr>
        <w:footnoteReference w:id="16"/>
      </w:r>
      <w:r w:rsidRPr="002D5B6A">
        <w:rPr>
          <w:rFonts w:cstheme="minorHAnsi"/>
        </w:rPr>
        <w:t>.</w:t>
      </w:r>
    </w:p>
    <w:p w14:paraId="4DA5D380" w14:textId="05D7E928" w:rsidR="002D5B6A" w:rsidRPr="002D5B6A" w:rsidRDefault="002D5B6A" w:rsidP="002D5B6A">
      <w:pPr>
        <w:rPr>
          <w:rFonts w:cstheme="minorHAnsi"/>
        </w:rPr>
      </w:pPr>
      <w:r w:rsidRPr="002D5B6A">
        <w:rPr>
          <w:rFonts w:cstheme="minorHAnsi"/>
        </w:rPr>
        <w:t>As recognized by th</w:t>
      </w:r>
      <w:r w:rsidR="006A54B5">
        <w:rPr>
          <w:rFonts w:cstheme="minorHAnsi"/>
        </w:rPr>
        <w:t>e UN</w:t>
      </w:r>
      <w:r w:rsidRPr="002D5B6A">
        <w:rPr>
          <w:rFonts w:cstheme="minorHAnsi"/>
        </w:rPr>
        <w:t xml:space="preserve"> Committee</w:t>
      </w:r>
      <w:r w:rsidR="006A54B5">
        <w:rPr>
          <w:rFonts w:cstheme="minorHAnsi"/>
        </w:rPr>
        <w:t xml:space="preserve"> on Elimination of Discrimination Against Women</w:t>
      </w:r>
      <w:r w:rsidRPr="002D5B6A">
        <w:rPr>
          <w:rFonts w:cstheme="minorHAnsi"/>
        </w:rPr>
        <w:t xml:space="preserve"> in its General Recommendation No. 30, attacks on students and schools, and the use of schools for military purposes, disproportionately affect girls, who are sometimes the focus of targeted attacks and are more likely to be kept out of school due to security concerns</w:t>
      </w:r>
      <w:r w:rsidR="00C62651">
        <w:rPr>
          <w:rStyle w:val="FootnoteReference"/>
          <w:rFonts w:cstheme="minorHAnsi"/>
        </w:rPr>
        <w:footnoteReference w:id="17"/>
      </w:r>
      <w:r w:rsidRPr="002D5B6A">
        <w:rPr>
          <w:rFonts w:cstheme="minorHAnsi"/>
        </w:rPr>
        <w:t>.</w:t>
      </w:r>
    </w:p>
    <w:p w14:paraId="063741AE" w14:textId="20DBD06E" w:rsidR="002D5B6A" w:rsidRPr="002D5B6A" w:rsidRDefault="002D5B6A" w:rsidP="002D5B6A">
      <w:pPr>
        <w:rPr>
          <w:rFonts w:cstheme="minorHAnsi"/>
        </w:rPr>
      </w:pPr>
      <w:r w:rsidRPr="002D5B6A">
        <w:rPr>
          <w:rFonts w:cstheme="minorHAnsi"/>
        </w:rPr>
        <w:t>The Safe Schools Declaration is an inter-governmental political commitment that provides countries the opportunity to express political support for the protection of students, teachers, and schools during times of armed conflict</w:t>
      </w:r>
      <w:r w:rsidR="00C62651">
        <w:rPr>
          <w:rStyle w:val="FootnoteReference"/>
          <w:rFonts w:cstheme="minorHAnsi"/>
        </w:rPr>
        <w:footnoteReference w:id="18"/>
      </w:r>
      <w:r w:rsidRPr="002D5B6A">
        <w:rPr>
          <w:rFonts w:cstheme="minorHAnsi"/>
        </w:rPr>
        <w:t>; the importance of the continuation of education during armed conflict; and the implementation of the Guidelines for Protecting Schools and Universities from Military Use during Armed Conflict</w:t>
      </w:r>
      <w:r w:rsidR="00C62651">
        <w:rPr>
          <w:rStyle w:val="FootnoteReference"/>
          <w:rFonts w:cstheme="minorHAnsi"/>
        </w:rPr>
        <w:footnoteReference w:id="19"/>
      </w:r>
      <w:r w:rsidRPr="002D5B6A">
        <w:rPr>
          <w:rFonts w:cstheme="minorHAnsi"/>
        </w:rPr>
        <w:t>. As of September 2021, 112 countries have endorsed the Safe Schools Declaration</w:t>
      </w:r>
      <w:r w:rsidR="00C62651">
        <w:rPr>
          <w:rStyle w:val="FootnoteReference"/>
          <w:rFonts w:cstheme="minorHAnsi"/>
        </w:rPr>
        <w:footnoteReference w:id="20"/>
      </w:r>
      <w:r w:rsidRPr="002D5B6A">
        <w:rPr>
          <w:rFonts w:cstheme="minorHAnsi"/>
        </w:rPr>
        <w:t xml:space="preserve">; </w:t>
      </w:r>
      <w:r w:rsidR="006A54B5" w:rsidRPr="002D5B6A">
        <w:rPr>
          <w:rFonts w:cstheme="minorHAnsi"/>
        </w:rPr>
        <w:t>however,</w:t>
      </w:r>
      <w:r w:rsidRPr="002D5B6A">
        <w:rPr>
          <w:rFonts w:cstheme="minorHAnsi"/>
        </w:rPr>
        <w:t xml:space="preserve"> Kyrgyzstan has yet to do so.</w:t>
      </w:r>
    </w:p>
    <w:p w14:paraId="6595A1E2" w14:textId="2B2FBD66" w:rsidR="002D5B6A" w:rsidRPr="002D5B6A" w:rsidRDefault="002D5B6A" w:rsidP="002D5B6A">
      <w:pPr>
        <w:rPr>
          <w:rFonts w:cstheme="minorHAnsi"/>
        </w:rPr>
      </w:pPr>
      <w:r w:rsidRPr="002D5B6A">
        <w:rPr>
          <w:rFonts w:cstheme="minorHAnsi"/>
        </w:rPr>
        <w:t>Human Rights Watch recommends the Committee use</w:t>
      </w:r>
      <w:r w:rsidR="00E4392C">
        <w:rPr>
          <w:rFonts w:cstheme="minorHAnsi"/>
        </w:rPr>
        <w:t>s</w:t>
      </w:r>
      <w:r w:rsidRPr="002D5B6A">
        <w:rPr>
          <w:rFonts w:cstheme="minorHAnsi"/>
        </w:rPr>
        <w:t xml:space="preserve"> the upcoming review to urge the government of Kyrgyzstan to:</w:t>
      </w:r>
    </w:p>
    <w:p w14:paraId="38704460" w14:textId="54A94907" w:rsidR="002D5B6A" w:rsidRPr="006A54B5" w:rsidRDefault="002D5B6A" w:rsidP="006A54B5">
      <w:pPr>
        <w:pStyle w:val="ListParagraph"/>
        <w:numPr>
          <w:ilvl w:val="0"/>
          <w:numId w:val="3"/>
        </w:numPr>
        <w:rPr>
          <w:rFonts w:cstheme="minorHAnsi"/>
        </w:rPr>
      </w:pPr>
      <w:r w:rsidRPr="006A54B5">
        <w:rPr>
          <w:rFonts w:cstheme="minorHAnsi"/>
        </w:rPr>
        <w:t>Take steps to examine and address and, as relevant, remedy any disproportionate harm to girls’ access to education as a result of hostilities;</w:t>
      </w:r>
    </w:p>
    <w:p w14:paraId="45FBF895" w14:textId="0ECB52E5" w:rsidR="002D5B6A" w:rsidRPr="006A54B5" w:rsidRDefault="002D5B6A" w:rsidP="006A54B5">
      <w:pPr>
        <w:pStyle w:val="ListParagraph"/>
        <w:numPr>
          <w:ilvl w:val="0"/>
          <w:numId w:val="3"/>
        </w:numPr>
        <w:rPr>
          <w:rFonts w:cstheme="minorHAnsi"/>
        </w:rPr>
      </w:pPr>
      <w:r w:rsidRPr="006A54B5">
        <w:rPr>
          <w:rFonts w:cstheme="minorHAnsi"/>
        </w:rPr>
        <w:t>Ensure Kyrgyz laws, policies, or trainings provide explicit protection for schools and universities from military use during armed conflict;</w:t>
      </w:r>
    </w:p>
    <w:p w14:paraId="1722FE79" w14:textId="46192DE4" w:rsidR="002D5B6A" w:rsidRPr="006A54B5" w:rsidRDefault="002D5B6A" w:rsidP="006A54B5">
      <w:pPr>
        <w:pStyle w:val="ListParagraph"/>
        <w:numPr>
          <w:ilvl w:val="0"/>
          <w:numId w:val="3"/>
        </w:numPr>
        <w:rPr>
          <w:rFonts w:cstheme="minorHAnsi"/>
        </w:rPr>
      </w:pPr>
      <w:r w:rsidRPr="006A54B5">
        <w:rPr>
          <w:rFonts w:cstheme="minorHAnsi"/>
        </w:rPr>
        <w:t>Endorse and implement the Safe Schools Declaration to deter the military use of schools.</w:t>
      </w:r>
    </w:p>
    <w:sectPr w:rsidR="002D5B6A" w:rsidRPr="006A54B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CD3E2" w14:textId="77777777" w:rsidR="00130F13" w:rsidRDefault="00130F13" w:rsidP="00275414">
      <w:pPr>
        <w:spacing w:after="0" w:line="240" w:lineRule="auto"/>
      </w:pPr>
      <w:r>
        <w:separator/>
      </w:r>
    </w:p>
  </w:endnote>
  <w:endnote w:type="continuationSeparator" w:id="0">
    <w:p w14:paraId="56E806AE" w14:textId="77777777" w:rsidR="00130F13" w:rsidRDefault="00130F13" w:rsidP="0027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etaPro-Norm">
    <w:altName w:val="Arial"/>
    <w:panose1 w:val="00000000000000000000"/>
    <w:charset w:val="00"/>
    <w:family w:val="swiss"/>
    <w:notTrueType/>
    <w:pitch w:val="variable"/>
    <w:sig w:usb0="00000001"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6D8F0B" w14:textId="77777777" w:rsidR="00130F13" w:rsidRDefault="00130F13" w:rsidP="00275414">
      <w:pPr>
        <w:spacing w:after="0" w:line="240" w:lineRule="auto"/>
      </w:pPr>
      <w:r>
        <w:separator/>
      </w:r>
    </w:p>
  </w:footnote>
  <w:footnote w:type="continuationSeparator" w:id="0">
    <w:p w14:paraId="7A20843F" w14:textId="77777777" w:rsidR="00130F13" w:rsidRDefault="00130F13" w:rsidP="00275414">
      <w:pPr>
        <w:spacing w:after="0" w:line="240" w:lineRule="auto"/>
      </w:pPr>
      <w:r>
        <w:continuationSeparator/>
      </w:r>
    </w:p>
  </w:footnote>
  <w:footnote w:id="1">
    <w:p w14:paraId="1F287FA3" w14:textId="7B27243D" w:rsidR="00DB0DFB" w:rsidRPr="00DB0DFB" w:rsidRDefault="00DB0DFB">
      <w:pPr>
        <w:pStyle w:val="FootnoteText"/>
        <w:rPr>
          <w:rFonts w:cstheme="minorHAnsi"/>
        </w:rPr>
      </w:pPr>
      <w:r>
        <w:rPr>
          <w:rStyle w:val="FootnoteReference"/>
        </w:rPr>
        <w:footnoteRef/>
      </w:r>
      <w:r>
        <w:t xml:space="preserve"> </w:t>
      </w:r>
      <w:r w:rsidRPr="00DB0DFB">
        <w:rPr>
          <w:rFonts w:cstheme="minorHAnsi"/>
          <w:color w:val="444444"/>
        </w:rPr>
        <w:t>“Call Me When He Tries to Kill You,” Human Rights Watch news release, October 28, 2015, https://www.hrw.org/report/2015/10/28/call-me-when-he-tries-kill-you/state-response-domestic-violence-kyrgyzstan.</w:t>
      </w:r>
    </w:p>
  </w:footnote>
  <w:footnote w:id="2">
    <w:p w14:paraId="7E80C723" w14:textId="570F9E32" w:rsidR="00DB0DFB" w:rsidRDefault="00DB0DFB">
      <w:pPr>
        <w:pStyle w:val="FootnoteText"/>
      </w:pPr>
      <w:r>
        <w:rPr>
          <w:rStyle w:val="FootnoteReference"/>
        </w:rPr>
        <w:footnoteRef/>
      </w:r>
      <w:r>
        <w:t xml:space="preserve"> </w:t>
      </w:r>
      <w:r w:rsidRPr="00DB0DFB">
        <w:t>“Number of domestic violence cases has grown by 2-3 times,” Kloop.kg, February 24, 2021, https://kloop.kg/blog/2021/02/24/religionvsabuse/ (accessed September 16, 2021).</w:t>
      </w:r>
    </w:p>
  </w:footnote>
  <w:footnote w:id="3">
    <w:p w14:paraId="5801AE38" w14:textId="0771EC6D" w:rsidR="00DB0DFB" w:rsidRPr="00DB0DFB" w:rsidRDefault="00DB0DFB" w:rsidP="00DB0DFB">
      <w:pPr>
        <w:rPr>
          <w:sz w:val="20"/>
          <w:szCs w:val="20"/>
        </w:rPr>
      </w:pPr>
      <w:r>
        <w:rPr>
          <w:rStyle w:val="FootnoteReference"/>
        </w:rPr>
        <w:footnoteRef/>
      </w:r>
      <w:r>
        <w:t xml:space="preserve"> </w:t>
      </w:r>
      <w:r w:rsidRPr="00DB0DFB">
        <w:rPr>
          <w:sz w:val="20"/>
          <w:szCs w:val="20"/>
        </w:rPr>
        <w:t>“Kyrgyzstan: Pressure Builds to Protect Women and Girls,” Human Rights Watch news release, May 28, 2020, https://www.hrw.org/news/2019/05/28/kyrgyzstan-pressure-builds-protect-women-and-girls.</w:t>
      </w:r>
    </w:p>
  </w:footnote>
  <w:footnote w:id="4">
    <w:p w14:paraId="4CC5AF66" w14:textId="57CEC249" w:rsidR="00497B2D" w:rsidRDefault="00497B2D">
      <w:pPr>
        <w:pStyle w:val="FootnoteText"/>
      </w:pPr>
      <w:r>
        <w:rPr>
          <w:rStyle w:val="FootnoteReference"/>
        </w:rPr>
        <w:footnoteRef/>
      </w:r>
      <w:r>
        <w:t xml:space="preserve"> Ibid</w:t>
      </w:r>
    </w:p>
  </w:footnote>
  <w:footnote w:id="5">
    <w:p w14:paraId="204A53C2" w14:textId="0D103863" w:rsidR="00497B2D" w:rsidRDefault="00497B2D">
      <w:pPr>
        <w:pStyle w:val="FootnoteText"/>
      </w:pPr>
      <w:r>
        <w:rPr>
          <w:rStyle w:val="FootnoteReference"/>
        </w:rPr>
        <w:footnoteRef/>
      </w:r>
      <w:r>
        <w:t xml:space="preserve"> </w:t>
      </w:r>
      <w:r w:rsidRPr="00497B2D">
        <w:t>“Kyrgyzstan: Pressure Builds to Protect Women and Girls,” Human Rights Watch news release, May 28, 2020, https://www.hrw.org/news/2019/05/28/kyrgyzstan-pressure-builds-protect-women-and-girls.</w:t>
      </w:r>
    </w:p>
  </w:footnote>
  <w:footnote w:id="6">
    <w:p w14:paraId="3B0A8E01" w14:textId="4BBBE699" w:rsidR="00990B44" w:rsidRDefault="00990B44">
      <w:pPr>
        <w:pStyle w:val="FootnoteText"/>
      </w:pPr>
      <w:r>
        <w:rPr>
          <w:rStyle w:val="FootnoteReference"/>
        </w:rPr>
        <w:footnoteRef/>
      </w:r>
      <w:r>
        <w:t xml:space="preserve"> Analysis of the trade union bill by legal clinic “Adilet”: </w:t>
      </w:r>
      <w:hyperlink r:id="rId1" w:history="1">
        <w:r w:rsidR="00BE3AA9" w:rsidRPr="00C61CB3">
          <w:rPr>
            <w:rStyle w:val="Hyperlink"/>
          </w:rPr>
          <w:t>http://adilet.kg/ru/news/full/373</w:t>
        </w:r>
      </w:hyperlink>
      <w:r w:rsidR="00BE3AA9">
        <w:t xml:space="preserve"> </w:t>
      </w:r>
    </w:p>
  </w:footnote>
  <w:footnote w:id="7">
    <w:p w14:paraId="1D99577E" w14:textId="7D963A58" w:rsidR="00990B44" w:rsidRDefault="00990B44">
      <w:pPr>
        <w:pStyle w:val="FootnoteText"/>
      </w:pPr>
      <w:r>
        <w:rPr>
          <w:rStyle w:val="FootnoteReference"/>
        </w:rPr>
        <w:footnoteRef/>
      </w:r>
      <w:r w:rsidR="00BE3AA9">
        <w:t xml:space="preserve"> </w:t>
      </w:r>
      <w:r>
        <w:t>Statement by</w:t>
      </w:r>
      <w:r w:rsidR="00BE3AA9">
        <w:t xml:space="preserve"> </w:t>
      </w:r>
      <w:proofErr w:type="spellStart"/>
      <w:r w:rsidR="00BE3AA9">
        <w:t>IndustriAll</w:t>
      </w:r>
      <w:proofErr w:type="spellEnd"/>
      <w:r w:rsidR="00BE3AA9">
        <w:t xml:space="preserve">: </w:t>
      </w:r>
      <w:hyperlink r:id="rId2" w:history="1">
        <w:r w:rsidR="00BE3AA9" w:rsidRPr="00C61CB3">
          <w:rPr>
            <w:rStyle w:val="Hyperlink"/>
          </w:rPr>
          <w:t>http://www.industriall-union.org/sites/default/files/uploads/documents/2019/KYRGYZSTAN/industriall_letter_to_the_president_of_the_kyrgyz_republic.doc.pdf</w:t>
        </w:r>
      </w:hyperlink>
      <w:r w:rsidR="00BE3AA9">
        <w:t xml:space="preserve"> </w:t>
      </w:r>
    </w:p>
  </w:footnote>
  <w:footnote w:id="8">
    <w:p w14:paraId="57479A5D" w14:textId="1673FB3E" w:rsidR="00606FD6" w:rsidRDefault="00606FD6">
      <w:pPr>
        <w:pStyle w:val="FootnoteText"/>
      </w:pPr>
      <w:r>
        <w:rPr>
          <w:rStyle w:val="FootnoteReference"/>
        </w:rPr>
        <w:footnoteRef/>
      </w:r>
      <w:r>
        <w:t xml:space="preserve"> Central Asia Labour Rights Monitoring Mission report: </w:t>
      </w:r>
      <w:hyperlink r:id="rId3" w:history="1">
        <w:r w:rsidRPr="00C61CB3">
          <w:rPr>
            <w:rStyle w:val="Hyperlink"/>
          </w:rPr>
          <w:t>https://www.solidarnost.org/news/deputaty-kyrgyzstana-namereny-priostanovit-vybory-profsoyuznogo-lidera.html</w:t>
        </w:r>
      </w:hyperlink>
      <w:r>
        <w:t xml:space="preserve"> </w:t>
      </w:r>
    </w:p>
  </w:footnote>
  <w:footnote w:id="9">
    <w:p w14:paraId="2C2C85E7" w14:textId="23754D3F" w:rsidR="00275414" w:rsidRDefault="00275414">
      <w:pPr>
        <w:pStyle w:val="FootnoteText"/>
      </w:pPr>
      <w:r>
        <w:rPr>
          <w:rStyle w:val="FootnoteReference"/>
        </w:rPr>
        <w:footnoteRef/>
      </w:r>
      <w:r>
        <w:t xml:space="preserve"> Human Rights Watch report: “Insisting on Inclusion: Institutionalization and Barriers to Education for Children with Disabilities in Kyrgyzstan”, 2020. </w:t>
      </w:r>
      <w:hyperlink r:id="rId4" w:history="1">
        <w:r>
          <w:rPr>
            <w:rStyle w:val="Hyperlink"/>
          </w:rPr>
          <w:t>https://www.hrw.org/report/2020/12/10/insisting-inclusion/institutionalization-and-barriers-education-children</w:t>
        </w:r>
      </w:hyperlink>
      <w:r>
        <w:t xml:space="preserve">  </w:t>
      </w:r>
    </w:p>
  </w:footnote>
  <w:footnote w:id="10">
    <w:p w14:paraId="6220E116" w14:textId="2D87424A" w:rsidR="00C62651" w:rsidRDefault="00C62651">
      <w:pPr>
        <w:pStyle w:val="FootnoteText"/>
      </w:pPr>
      <w:r>
        <w:rPr>
          <w:rStyle w:val="FootnoteReference"/>
        </w:rPr>
        <w:footnoteRef/>
      </w:r>
      <w:r>
        <w:t xml:space="preserve"> </w:t>
      </w:r>
      <w:r w:rsidRPr="00C62651">
        <w:t>UNESCO, “Duration of School Closures”, undated, https://en.unesco.org/covid19/educationresponse#durationschoolclosures (accessed September 17, 2021); “The Government of Japan allocates US 2.7 million to ensure the safe reopening of schools and catch-up learning in response to COVID-19 in Kyrgyzstan,” UNICEF press release, August 4, 2021, https://www.unicef.org/kyrgyzstan/press-releases/government-japan-allocates-us-27-million-ensure-safe-reopening-schools-and-catch (accessed September 17, 2021).</w:t>
      </w:r>
    </w:p>
  </w:footnote>
  <w:footnote w:id="11">
    <w:p w14:paraId="54B1CCE5" w14:textId="720AA399" w:rsidR="00C62651" w:rsidRDefault="00C62651">
      <w:pPr>
        <w:pStyle w:val="FootnoteText"/>
      </w:pPr>
      <w:r>
        <w:rPr>
          <w:rStyle w:val="FootnoteReference"/>
        </w:rPr>
        <w:footnoteRef/>
      </w:r>
      <w:r>
        <w:t xml:space="preserve"> Ibid.</w:t>
      </w:r>
    </w:p>
  </w:footnote>
  <w:footnote w:id="12">
    <w:p w14:paraId="2073CA41" w14:textId="18ACB2A3" w:rsidR="00C62651" w:rsidRDefault="00C62651">
      <w:pPr>
        <w:pStyle w:val="FootnoteText"/>
      </w:pPr>
      <w:r>
        <w:rPr>
          <w:rStyle w:val="FootnoteReference"/>
        </w:rPr>
        <w:footnoteRef/>
      </w:r>
      <w:r>
        <w:t xml:space="preserve"> </w:t>
      </w:r>
      <w:r w:rsidRPr="00C62651">
        <w:t>Human Rights Watch interview with M. J., 17, Bishkek, Kyrgyzstan, May 31, 2020.</w:t>
      </w:r>
    </w:p>
  </w:footnote>
  <w:footnote w:id="13">
    <w:p w14:paraId="703EEDB5" w14:textId="5027A0F7" w:rsidR="00C62651" w:rsidRDefault="00C62651">
      <w:pPr>
        <w:pStyle w:val="FootnoteText"/>
      </w:pPr>
      <w:r>
        <w:rPr>
          <w:rStyle w:val="FootnoteReference"/>
        </w:rPr>
        <w:footnoteRef/>
      </w:r>
      <w:r>
        <w:t xml:space="preserve"> Ibid</w:t>
      </w:r>
    </w:p>
  </w:footnote>
  <w:footnote w:id="14">
    <w:p w14:paraId="6A5BEEA7" w14:textId="04255A52" w:rsidR="00C62651" w:rsidRDefault="00C62651">
      <w:pPr>
        <w:pStyle w:val="FootnoteText"/>
      </w:pPr>
      <w:r>
        <w:rPr>
          <w:rStyle w:val="FootnoteReference"/>
        </w:rPr>
        <w:footnoteRef/>
      </w:r>
      <w:r>
        <w:t xml:space="preserve"> </w:t>
      </w:r>
      <w:r w:rsidRPr="00C62651">
        <w:t xml:space="preserve">Damaris </w:t>
      </w:r>
      <w:proofErr w:type="spellStart"/>
      <w:r w:rsidRPr="00C62651">
        <w:t>Seleina</w:t>
      </w:r>
      <w:proofErr w:type="spellEnd"/>
      <w:r w:rsidRPr="00C62651">
        <w:t xml:space="preserve"> </w:t>
      </w:r>
      <w:proofErr w:type="spellStart"/>
      <w:r w:rsidRPr="00C62651">
        <w:t>Parsitau</w:t>
      </w:r>
      <w:proofErr w:type="spellEnd"/>
      <w:proofErr w:type="gramStart"/>
      <w:r w:rsidRPr="00C62651">
        <w:t>,“</w:t>
      </w:r>
      <w:proofErr w:type="gramEnd"/>
      <w:r w:rsidRPr="00C62651">
        <w:t>Invisible lives, missing voices: Putting women and girls at the center of post-COVID-19 recovery and reconstruction,” Brookings Institution, January 28, 2021, https://www.brookings.edu/blog/africa-infocus/2021/01/28/invisible-lives-missing-voices-putting-women-and-girls-at-the-center-of-post-covid-19-recovery-andreconstruction/ (accessed February 22, 2021).</w:t>
      </w:r>
    </w:p>
  </w:footnote>
  <w:footnote w:id="15">
    <w:p w14:paraId="4D4AD594" w14:textId="02811490" w:rsidR="00C62651" w:rsidRDefault="00C62651">
      <w:pPr>
        <w:pStyle w:val="FootnoteText"/>
      </w:pPr>
      <w:r>
        <w:rPr>
          <w:rStyle w:val="FootnoteReference"/>
        </w:rPr>
        <w:footnoteRef/>
      </w:r>
      <w:r>
        <w:t xml:space="preserve"> </w:t>
      </w:r>
      <w:r w:rsidRPr="00C62651">
        <w:t xml:space="preserve">Human Rights Watch interview with mother, </w:t>
      </w:r>
      <w:proofErr w:type="spellStart"/>
      <w:r w:rsidRPr="00C62651">
        <w:t>Karabalta</w:t>
      </w:r>
      <w:proofErr w:type="spellEnd"/>
      <w:r w:rsidRPr="00C62651">
        <w:t xml:space="preserve">, </w:t>
      </w:r>
      <w:proofErr w:type="spellStart"/>
      <w:r w:rsidRPr="00C62651">
        <w:t>Chuy</w:t>
      </w:r>
      <w:proofErr w:type="spellEnd"/>
      <w:r w:rsidRPr="00C62651">
        <w:t xml:space="preserve"> region, Kyrgyzstan, June 1, 2020.</w:t>
      </w:r>
    </w:p>
  </w:footnote>
  <w:footnote w:id="16">
    <w:p w14:paraId="5F1D4280" w14:textId="7B8F467D" w:rsidR="00C62651" w:rsidRDefault="00C62651">
      <w:pPr>
        <w:pStyle w:val="FootnoteText"/>
      </w:pPr>
      <w:r>
        <w:rPr>
          <w:rStyle w:val="FootnoteReference"/>
        </w:rPr>
        <w:footnoteRef/>
      </w:r>
      <w:r>
        <w:t xml:space="preserve"> </w:t>
      </w:r>
      <w:r w:rsidRPr="00C62651">
        <w:t xml:space="preserve">“After Kyrgyzstan-Tajikistan Border Conflict, Time </w:t>
      </w:r>
      <w:proofErr w:type="gramStart"/>
      <w:r w:rsidRPr="00C62651">
        <w:t>For</w:t>
      </w:r>
      <w:proofErr w:type="gramEnd"/>
      <w:r w:rsidRPr="00C62651">
        <w:t xml:space="preserve"> a Human Rights Agenda,” Human Rights Watch news release, May 21, 2021, https://www.hrw.org/news/2021/05/21/after-kyrgyzstan-tajikistan-border-conflict-time-human-rights-agenda.</w:t>
      </w:r>
    </w:p>
  </w:footnote>
  <w:footnote w:id="17">
    <w:p w14:paraId="5B32D098" w14:textId="0F31FD54" w:rsidR="00C62651" w:rsidRDefault="00C62651">
      <w:pPr>
        <w:pStyle w:val="FootnoteText"/>
      </w:pPr>
      <w:r>
        <w:rPr>
          <w:rStyle w:val="FootnoteReference"/>
        </w:rPr>
        <w:footnoteRef/>
      </w:r>
      <w:r>
        <w:t xml:space="preserve"> </w:t>
      </w:r>
      <w:r w:rsidRPr="00C62651">
        <w:t>UN Committee on the Elimination of Discrimination against Women, General Recommendation No. 30, Access to Education, U.N Doc. CEDAW/C/GC/30 (2013), para. 48. See also African Committee on the Rights and Welfare of the Child, General Comment on Article 22: Children in Situations of Conflict, (2020), para. 78.</w:t>
      </w:r>
    </w:p>
  </w:footnote>
  <w:footnote w:id="18">
    <w:p w14:paraId="45910662" w14:textId="7D7A0A53" w:rsidR="00C62651" w:rsidRDefault="00C62651">
      <w:pPr>
        <w:pStyle w:val="FootnoteText"/>
      </w:pPr>
      <w:r>
        <w:rPr>
          <w:rStyle w:val="FootnoteReference"/>
        </w:rPr>
        <w:footnoteRef/>
      </w:r>
      <w:r>
        <w:t xml:space="preserve"> </w:t>
      </w:r>
      <w:r w:rsidRPr="00C62651">
        <w:t>Safe Schools Declaration, May 28, 2015, https://www.regjeringen.no/globalassets/departementene/ud/vedlegg/utvikling/safe_schools_declaration.pdf (accessed July 26, 2021).</w:t>
      </w:r>
    </w:p>
  </w:footnote>
  <w:footnote w:id="19">
    <w:p w14:paraId="61A69287" w14:textId="61DDCCB1" w:rsidR="00C62651" w:rsidRDefault="00C62651">
      <w:pPr>
        <w:pStyle w:val="FootnoteText"/>
      </w:pPr>
      <w:r>
        <w:rPr>
          <w:rStyle w:val="FootnoteReference"/>
        </w:rPr>
        <w:footnoteRef/>
      </w:r>
      <w:r>
        <w:t xml:space="preserve"> </w:t>
      </w:r>
      <w:r w:rsidRPr="00C62651">
        <w:t>Guidelines for Protecting Schools and Universities from Military Use during Armed Conflict, March 18, 2014, http://protectingeducation.org/sites/default/files/documents/guidelines_en.pdf (accessed July 26, 2021).</w:t>
      </w:r>
    </w:p>
  </w:footnote>
  <w:footnote w:id="20">
    <w:p w14:paraId="729D7AAC" w14:textId="26793472" w:rsidR="00C62651" w:rsidRDefault="00C62651">
      <w:pPr>
        <w:pStyle w:val="FootnoteText"/>
      </w:pPr>
      <w:r>
        <w:rPr>
          <w:rStyle w:val="FootnoteReference"/>
        </w:rPr>
        <w:footnoteRef/>
      </w:r>
      <w:r>
        <w:t xml:space="preserve"> </w:t>
      </w:r>
      <w:r w:rsidRPr="00C62651">
        <w:t>The Global Coalition to Protect Education from Attack, “Safe Schools Declaration Endorsements”, undated, https://ssd.protectingeducation.org/endorsement/ (accessed September 16,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C5738"/>
    <w:multiLevelType w:val="hybridMultilevel"/>
    <w:tmpl w:val="B5CE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211D52"/>
    <w:multiLevelType w:val="hybridMultilevel"/>
    <w:tmpl w:val="2EEA4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383783"/>
    <w:multiLevelType w:val="hybridMultilevel"/>
    <w:tmpl w:val="012C7298"/>
    <w:lvl w:ilvl="0" w:tplc="96061174">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4A35EBD"/>
    <w:multiLevelType w:val="multilevel"/>
    <w:tmpl w:val="A2F65B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F514EF"/>
    <w:multiLevelType w:val="hybridMultilevel"/>
    <w:tmpl w:val="89900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2B3F76"/>
    <w:multiLevelType w:val="hybridMultilevel"/>
    <w:tmpl w:val="940E495E"/>
    <w:lvl w:ilvl="0" w:tplc="04090001">
      <w:start w:val="1"/>
      <w:numFmt w:val="bullet"/>
      <w:lvlText w:val=""/>
      <w:lvlJc w:val="left"/>
      <w:rPr>
        <w:rFonts w:ascii="Symbol" w:hAnsi="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AE9"/>
    <w:rsid w:val="000878B5"/>
    <w:rsid w:val="000D7507"/>
    <w:rsid w:val="00130F13"/>
    <w:rsid w:val="00167792"/>
    <w:rsid w:val="001874AB"/>
    <w:rsid w:val="001B35DA"/>
    <w:rsid w:val="00210066"/>
    <w:rsid w:val="00275414"/>
    <w:rsid w:val="002D5B6A"/>
    <w:rsid w:val="003717BF"/>
    <w:rsid w:val="004055DB"/>
    <w:rsid w:val="00497B2D"/>
    <w:rsid w:val="00517682"/>
    <w:rsid w:val="00606FD6"/>
    <w:rsid w:val="00612288"/>
    <w:rsid w:val="0066082E"/>
    <w:rsid w:val="00686112"/>
    <w:rsid w:val="006A54B5"/>
    <w:rsid w:val="006F7D2A"/>
    <w:rsid w:val="0073260A"/>
    <w:rsid w:val="00810A71"/>
    <w:rsid w:val="00837C41"/>
    <w:rsid w:val="00990B44"/>
    <w:rsid w:val="00996AE9"/>
    <w:rsid w:val="00A052F8"/>
    <w:rsid w:val="00A31F3B"/>
    <w:rsid w:val="00A434F4"/>
    <w:rsid w:val="00B8550D"/>
    <w:rsid w:val="00BE3AA9"/>
    <w:rsid w:val="00C272A5"/>
    <w:rsid w:val="00C62651"/>
    <w:rsid w:val="00C90FC1"/>
    <w:rsid w:val="00CB205C"/>
    <w:rsid w:val="00CF7F29"/>
    <w:rsid w:val="00D30FBF"/>
    <w:rsid w:val="00D62D69"/>
    <w:rsid w:val="00D91995"/>
    <w:rsid w:val="00DB0DFB"/>
    <w:rsid w:val="00DC4368"/>
    <w:rsid w:val="00DD3B05"/>
    <w:rsid w:val="00DE20CF"/>
    <w:rsid w:val="00E4392C"/>
    <w:rsid w:val="00E47488"/>
    <w:rsid w:val="00E6081E"/>
    <w:rsid w:val="00E77973"/>
    <w:rsid w:val="00EB493E"/>
    <w:rsid w:val="00EB6080"/>
    <w:rsid w:val="00F756BF"/>
    <w:rsid w:val="00FA4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DB927"/>
  <w15:chartTrackingRefBased/>
  <w15:docId w15:val="{20F161E7-581B-4527-B4D8-46BF45203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96AE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AE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608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oltip-container">
    <w:name w:val="tooltip-container"/>
    <w:basedOn w:val="DefaultParagraphFont"/>
    <w:rsid w:val="0066082E"/>
  </w:style>
  <w:style w:type="character" w:styleId="Hyperlink">
    <w:name w:val="Hyperlink"/>
    <w:basedOn w:val="DefaultParagraphFont"/>
    <w:uiPriority w:val="99"/>
    <w:unhideWhenUsed/>
    <w:rsid w:val="0066082E"/>
    <w:rPr>
      <w:color w:val="0000FF"/>
      <w:u w:val="single"/>
    </w:rPr>
  </w:style>
  <w:style w:type="character" w:styleId="Strong">
    <w:name w:val="Strong"/>
    <w:basedOn w:val="DefaultParagraphFont"/>
    <w:uiPriority w:val="22"/>
    <w:qFormat/>
    <w:rsid w:val="000D7507"/>
    <w:rPr>
      <w:b/>
      <w:bCs/>
    </w:rPr>
  </w:style>
  <w:style w:type="paragraph" w:styleId="ListParagraph">
    <w:name w:val="List Paragraph"/>
    <w:basedOn w:val="Normal"/>
    <w:uiPriority w:val="34"/>
    <w:qFormat/>
    <w:rsid w:val="000D7507"/>
    <w:pPr>
      <w:ind w:left="720"/>
      <w:contextualSpacing/>
    </w:pPr>
  </w:style>
  <w:style w:type="paragraph" w:styleId="FootnoteText">
    <w:name w:val="footnote text"/>
    <w:basedOn w:val="Normal"/>
    <w:link w:val="FootnoteTextChar"/>
    <w:uiPriority w:val="99"/>
    <w:semiHidden/>
    <w:unhideWhenUsed/>
    <w:rsid w:val="002754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5414"/>
    <w:rPr>
      <w:sz w:val="20"/>
      <w:szCs w:val="20"/>
    </w:rPr>
  </w:style>
  <w:style w:type="character" w:styleId="FootnoteReference">
    <w:name w:val="footnote reference"/>
    <w:basedOn w:val="DefaultParagraphFont"/>
    <w:uiPriority w:val="99"/>
    <w:semiHidden/>
    <w:unhideWhenUsed/>
    <w:rsid w:val="00275414"/>
    <w:rPr>
      <w:vertAlign w:val="superscript"/>
    </w:rPr>
  </w:style>
  <w:style w:type="character" w:customStyle="1" w:styleId="UnresolvedMention">
    <w:name w:val="Unresolved Mention"/>
    <w:basedOn w:val="DefaultParagraphFont"/>
    <w:uiPriority w:val="99"/>
    <w:semiHidden/>
    <w:unhideWhenUsed/>
    <w:rsid w:val="00BE3AA9"/>
    <w:rPr>
      <w:color w:val="605E5C"/>
      <w:shd w:val="clear" w:color="auto" w:fill="E1DFDD"/>
    </w:rPr>
  </w:style>
  <w:style w:type="paragraph" w:styleId="Revision">
    <w:name w:val="Revision"/>
    <w:hidden/>
    <w:uiPriority w:val="99"/>
    <w:semiHidden/>
    <w:rsid w:val="00DC4368"/>
    <w:pPr>
      <w:spacing w:after="0" w:line="240" w:lineRule="auto"/>
    </w:pPr>
  </w:style>
  <w:style w:type="character" w:styleId="CommentReference">
    <w:name w:val="annotation reference"/>
    <w:basedOn w:val="DefaultParagraphFont"/>
    <w:uiPriority w:val="99"/>
    <w:semiHidden/>
    <w:unhideWhenUsed/>
    <w:rsid w:val="00C90FC1"/>
    <w:rPr>
      <w:sz w:val="16"/>
      <w:szCs w:val="16"/>
    </w:rPr>
  </w:style>
  <w:style w:type="paragraph" w:styleId="CommentText">
    <w:name w:val="annotation text"/>
    <w:basedOn w:val="Normal"/>
    <w:link w:val="CommentTextChar"/>
    <w:uiPriority w:val="99"/>
    <w:unhideWhenUsed/>
    <w:rsid w:val="00C90FC1"/>
    <w:pPr>
      <w:spacing w:line="240" w:lineRule="auto"/>
    </w:pPr>
    <w:rPr>
      <w:sz w:val="20"/>
      <w:szCs w:val="20"/>
    </w:rPr>
  </w:style>
  <w:style w:type="character" w:customStyle="1" w:styleId="CommentTextChar">
    <w:name w:val="Comment Text Char"/>
    <w:basedOn w:val="DefaultParagraphFont"/>
    <w:link w:val="CommentText"/>
    <w:uiPriority w:val="99"/>
    <w:rsid w:val="00C90FC1"/>
    <w:rPr>
      <w:sz w:val="20"/>
      <w:szCs w:val="20"/>
    </w:rPr>
  </w:style>
  <w:style w:type="paragraph" w:styleId="CommentSubject">
    <w:name w:val="annotation subject"/>
    <w:basedOn w:val="CommentText"/>
    <w:next w:val="CommentText"/>
    <w:link w:val="CommentSubjectChar"/>
    <w:uiPriority w:val="99"/>
    <w:semiHidden/>
    <w:unhideWhenUsed/>
    <w:rsid w:val="00C90FC1"/>
    <w:rPr>
      <w:b/>
      <w:bCs/>
    </w:rPr>
  </w:style>
  <w:style w:type="character" w:customStyle="1" w:styleId="CommentSubjectChar">
    <w:name w:val="Comment Subject Char"/>
    <w:basedOn w:val="CommentTextChar"/>
    <w:link w:val="CommentSubject"/>
    <w:uiPriority w:val="99"/>
    <w:semiHidden/>
    <w:rsid w:val="00C90F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65243">
      <w:bodyDiv w:val="1"/>
      <w:marLeft w:val="0"/>
      <w:marRight w:val="0"/>
      <w:marTop w:val="0"/>
      <w:marBottom w:val="0"/>
      <w:divBdr>
        <w:top w:val="none" w:sz="0" w:space="0" w:color="auto"/>
        <w:left w:val="none" w:sz="0" w:space="0" w:color="auto"/>
        <w:bottom w:val="none" w:sz="0" w:space="0" w:color="auto"/>
        <w:right w:val="none" w:sz="0" w:space="0" w:color="auto"/>
      </w:divBdr>
    </w:div>
    <w:div w:id="86194897">
      <w:bodyDiv w:val="1"/>
      <w:marLeft w:val="0"/>
      <w:marRight w:val="0"/>
      <w:marTop w:val="0"/>
      <w:marBottom w:val="0"/>
      <w:divBdr>
        <w:top w:val="none" w:sz="0" w:space="0" w:color="auto"/>
        <w:left w:val="none" w:sz="0" w:space="0" w:color="auto"/>
        <w:bottom w:val="none" w:sz="0" w:space="0" w:color="auto"/>
        <w:right w:val="none" w:sz="0" w:space="0" w:color="auto"/>
      </w:divBdr>
    </w:div>
    <w:div w:id="108814584">
      <w:bodyDiv w:val="1"/>
      <w:marLeft w:val="0"/>
      <w:marRight w:val="0"/>
      <w:marTop w:val="0"/>
      <w:marBottom w:val="0"/>
      <w:divBdr>
        <w:top w:val="none" w:sz="0" w:space="0" w:color="auto"/>
        <w:left w:val="none" w:sz="0" w:space="0" w:color="auto"/>
        <w:bottom w:val="none" w:sz="0" w:space="0" w:color="auto"/>
        <w:right w:val="none" w:sz="0" w:space="0" w:color="auto"/>
      </w:divBdr>
    </w:div>
    <w:div w:id="197159505">
      <w:bodyDiv w:val="1"/>
      <w:marLeft w:val="0"/>
      <w:marRight w:val="0"/>
      <w:marTop w:val="0"/>
      <w:marBottom w:val="0"/>
      <w:divBdr>
        <w:top w:val="none" w:sz="0" w:space="0" w:color="auto"/>
        <w:left w:val="none" w:sz="0" w:space="0" w:color="auto"/>
        <w:bottom w:val="none" w:sz="0" w:space="0" w:color="auto"/>
        <w:right w:val="none" w:sz="0" w:space="0" w:color="auto"/>
      </w:divBdr>
    </w:div>
    <w:div w:id="441264649">
      <w:bodyDiv w:val="1"/>
      <w:marLeft w:val="0"/>
      <w:marRight w:val="0"/>
      <w:marTop w:val="0"/>
      <w:marBottom w:val="0"/>
      <w:divBdr>
        <w:top w:val="none" w:sz="0" w:space="0" w:color="auto"/>
        <w:left w:val="none" w:sz="0" w:space="0" w:color="auto"/>
        <w:bottom w:val="none" w:sz="0" w:space="0" w:color="auto"/>
        <w:right w:val="none" w:sz="0" w:space="0" w:color="auto"/>
      </w:divBdr>
    </w:div>
    <w:div w:id="687215530">
      <w:bodyDiv w:val="1"/>
      <w:marLeft w:val="0"/>
      <w:marRight w:val="0"/>
      <w:marTop w:val="0"/>
      <w:marBottom w:val="0"/>
      <w:divBdr>
        <w:top w:val="none" w:sz="0" w:space="0" w:color="auto"/>
        <w:left w:val="none" w:sz="0" w:space="0" w:color="auto"/>
        <w:bottom w:val="none" w:sz="0" w:space="0" w:color="auto"/>
        <w:right w:val="none" w:sz="0" w:space="0" w:color="auto"/>
      </w:divBdr>
    </w:div>
    <w:div w:id="751389672">
      <w:bodyDiv w:val="1"/>
      <w:marLeft w:val="0"/>
      <w:marRight w:val="0"/>
      <w:marTop w:val="0"/>
      <w:marBottom w:val="0"/>
      <w:divBdr>
        <w:top w:val="none" w:sz="0" w:space="0" w:color="auto"/>
        <w:left w:val="none" w:sz="0" w:space="0" w:color="auto"/>
        <w:bottom w:val="none" w:sz="0" w:space="0" w:color="auto"/>
        <w:right w:val="none" w:sz="0" w:space="0" w:color="auto"/>
      </w:divBdr>
    </w:div>
    <w:div w:id="820578887">
      <w:bodyDiv w:val="1"/>
      <w:marLeft w:val="0"/>
      <w:marRight w:val="0"/>
      <w:marTop w:val="0"/>
      <w:marBottom w:val="0"/>
      <w:divBdr>
        <w:top w:val="none" w:sz="0" w:space="0" w:color="auto"/>
        <w:left w:val="none" w:sz="0" w:space="0" w:color="auto"/>
        <w:bottom w:val="none" w:sz="0" w:space="0" w:color="auto"/>
        <w:right w:val="none" w:sz="0" w:space="0" w:color="auto"/>
      </w:divBdr>
    </w:div>
    <w:div w:id="980842687">
      <w:bodyDiv w:val="1"/>
      <w:marLeft w:val="0"/>
      <w:marRight w:val="0"/>
      <w:marTop w:val="0"/>
      <w:marBottom w:val="0"/>
      <w:divBdr>
        <w:top w:val="none" w:sz="0" w:space="0" w:color="auto"/>
        <w:left w:val="none" w:sz="0" w:space="0" w:color="auto"/>
        <w:bottom w:val="none" w:sz="0" w:space="0" w:color="auto"/>
        <w:right w:val="none" w:sz="0" w:space="0" w:color="auto"/>
      </w:divBdr>
    </w:div>
    <w:div w:id="1088424091">
      <w:bodyDiv w:val="1"/>
      <w:marLeft w:val="0"/>
      <w:marRight w:val="0"/>
      <w:marTop w:val="0"/>
      <w:marBottom w:val="0"/>
      <w:divBdr>
        <w:top w:val="none" w:sz="0" w:space="0" w:color="auto"/>
        <w:left w:val="none" w:sz="0" w:space="0" w:color="auto"/>
        <w:bottom w:val="none" w:sz="0" w:space="0" w:color="auto"/>
        <w:right w:val="none" w:sz="0" w:space="0" w:color="auto"/>
      </w:divBdr>
    </w:div>
    <w:div w:id="1380279139">
      <w:bodyDiv w:val="1"/>
      <w:marLeft w:val="0"/>
      <w:marRight w:val="0"/>
      <w:marTop w:val="0"/>
      <w:marBottom w:val="0"/>
      <w:divBdr>
        <w:top w:val="none" w:sz="0" w:space="0" w:color="auto"/>
        <w:left w:val="none" w:sz="0" w:space="0" w:color="auto"/>
        <w:bottom w:val="none" w:sz="0" w:space="0" w:color="auto"/>
        <w:right w:val="none" w:sz="0" w:space="0" w:color="auto"/>
      </w:divBdr>
    </w:div>
    <w:div w:id="15755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solidarnost.org/news/deputaty-kyrgyzstana-namereny-priostanovit-vybory-profsoyuznogo-lidera.html" TargetMode="External"/><Relationship Id="rId2" Type="http://schemas.openxmlformats.org/officeDocument/2006/relationships/hyperlink" Target="http://www.industriall-union.org/sites/default/files/uploads/documents/2019/KYRGYZSTAN/industriall_letter_to_the_president_of_the_kyrgyz_republic.doc.pdf" TargetMode="External"/><Relationship Id="rId1" Type="http://schemas.openxmlformats.org/officeDocument/2006/relationships/hyperlink" Target="http://adilet.kg/ru/news/full/373" TargetMode="External"/><Relationship Id="rId4" Type="http://schemas.openxmlformats.org/officeDocument/2006/relationships/hyperlink" Target="https://www.hrw.org/report/2020/12/10/insisting-inclusion/institutionalization-and-barriers-education-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2D5F4B-FF79-4ECF-84C9-1AD0C5E168C9}">
  <ds:schemaRefs>
    <ds:schemaRef ds:uri="http://schemas.openxmlformats.org/officeDocument/2006/bibliography"/>
  </ds:schemaRefs>
</ds:datastoreItem>
</file>

<file path=customXml/itemProps2.xml><?xml version="1.0" encoding="utf-8"?>
<ds:datastoreItem xmlns:ds="http://schemas.openxmlformats.org/officeDocument/2006/customXml" ds:itemID="{17B3EA99-80AE-4F85-A4FC-2ACDE5CF829A}"/>
</file>

<file path=customXml/itemProps3.xml><?xml version="1.0" encoding="utf-8"?>
<ds:datastoreItem xmlns:ds="http://schemas.openxmlformats.org/officeDocument/2006/customXml" ds:itemID="{2E967987-978C-4EC9-8350-F929A73A5681}"/>
</file>

<file path=customXml/itemProps4.xml><?xml version="1.0" encoding="utf-8"?>
<ds:datastoreItem xmlns:ds="http://schemas.openxmlformats.org/officeDocument/2006/customXml" ds:itemID="{A86B08BE-7CFE-4677-82A9-0665B8CDCE4D}"/>
</file>

<file path=docProps/app.xml><?xml version="1.0" encoding="utf-8"?>
<Properties xmlns="http://schemas.openxmlformats.org/officeDocument/2006/extended-properties" xmlns:vt="http://schemas.openxmlformats.org/officeDocument/2006/docPropsVTypes">
  <Template>Normal.dotm</Template>
  <TotalTime>0</TotalTime>
  <Pages>7</Pages>
  <Words>2846</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Syinat Sultanalieva</dc:creator>
  <cp:keywords/>
  <dc:description/>
  <cp:lastModifiedBy>REYNAUD Céline</cp:lastModifiedBy>
  <cp:revision>2</cp:revision>
  <dcterms:created xsi:type="dcterms:W3CDTF">2022-01-21T13:13:00Z</dcterms:created>
  <dcterms:modified xsi:type="dcterms:W3CDTF">2022-01-21T13:13:00Z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