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D8176" w14:textId="3EB2ECEB" w:rsidR="00586C7E" w:rsidRDefault="004165A6" w:rsidP="004165A6">
      <w:pPr>
        <w:pStyle w:val="NJKLOtsikko"/>
        <w:rPr>
          <w:rStyle w:val="eop"/>
          <w:rFonts w:asciiTheme="minorHAnsi" w:hAnsiTheme="minorHAnsi" w:cs="Calibri"/>
          <w:szCs w:val="28"/>
          <w:lang w:val="en-US"/>
        </w:rPr>
      </w:pPr>
      <w:r w:rsidRPr="004165A6">
        <w:rPr>
          <w:rStyle w:val="eop"/>
          <w:rFonts w:asciiTheme="minorHAnsi" w:hAnsiTheme="minorHAnsi" w:cs="Calibri"/>
          <w:szCs w:val="28"/>
          <w:lang w:val="en-US"/>
        </w:rPr>
        <w:t xml:space="preserve">Comments by </w:t>
      </w:r>
      <w:r w:rsidRPr="004165A6">
        <w:rPr>
          <w:rStyle w:val="eop"/>
          <w:rFonts w:asciiTheme="minorHAnsi" w:hAnsiTheme="minorHAnsi" w:cs="Calibri"/>
          <w:szCs w:val="28"/>
          <w:lang w:val="en-US"/>
        </w:rPr>
        <w:t xml:space="preserve">the </w:t>
      </w:r>
      <w:r w:rsidRPr="004165A6">
        <w:rPr>
          <w:rStyle w:val="eop"/>
          <w:rFonts w:asciiTheme="minorHAnsi" w:hAnsiTheme="minorHAnsi" w:cs="Calibri"/>
          <w:szCs w:val="28"/>
          <w:lang w:val="en-US"/>
        </w:rPr>
        <w:t>National Council of Women of Finland on the Government's Interim Report on ICCPR articles 15, 19, and 43</w:t>
      </w:r>
    </w:p>
    <w:p w14:paraId="18E04D3C" w14:textId="6923EE4A" w:rsidR="004165A6" w:rsidRPr="004165A6" w:rsidRDefault="004165A6" w:rsidP="004165A6">
      <w:pPr>
        <w:rPr>
          <w:rStyle w:val="eop"/>
          <w:rFonts w:cs="Calibri"/>
          <w:sz w:val="22"/>
          <w:szCs w:val="22"/>
          <w:lang w:val="en-US"/>
        </w:rPr>
      </w:pPr>
      <w:r w:rsidRPr="004165A6">
        <w:rPr>
          <w:rStyle w:val="eop"/>
          <w:rFonts w:cs="Calibri"/>
          <w:sz w:val="22"/>
          <w:szCs w:val="22"/>
          <w:lang w:val="en-US"/>
        </w:rPr>
        <w:t>18</w:t>
      </w:r>
      <w:r w:rsidRPr="004165A6">
        <w:rPr>
          <w:rStyle w:val="eop"/>
          <w:rFonts w:cs="Calibri"/>
          <w:sz w:val="22"/>
          <w:szCs w:val="22"/>
          <w:vertAlign w:val="superscript"/>
          <w:lang w:val="en-US"/>
        </w:rPr>
        <w:t>th</w:t>
      </w:r>
      <w:r w:rsidRPr="004165A6">
        <w:rPr>
          <w:rStyle w:val="eop"/>
          <w:rFonts w:cs="Calibri"/>
          <w:sz w:val="22"/>
          <w:szCs w:val="22"/>
          <w:lang w:val="en-US"/>
        </w:rPr>
        <w:t xml:space="preserve"> December 2023</w:t>
      </w:r>
    </w:p>
    <w:p w14:paraId="7E90BCDA" w14:textId="77777777" w:rsidR="004165A6" w:rsidRPr="004165A6" w:rsidRDefault="004165A6"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4AAC69E7"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 xml:space="preserve">4) The aggravating factors for criminal penalties (Chapter 6, Section 5, Subsection 4 of the Criminal Code) should also include gender identity and gender expression. Article 46 of the Istanbul Convention obliges contracting parties to ensure that the factors mentioned in the article can be considered as aggravating circumstances in the offenses specified in the convention. However, aggravating factors typical of domestic violence are not systematically </w:t>
      </w:r>
      <w:proofErr w:type="gramStart"/>
      <w:r w:rsidRPr="00586C7E">
        <w:rPr>
          <w:rStyle w:val="normaltextrun"/>
          <w:rFonts w:asciiTheme="minorHAnsi" w:hAnsiTheme="minorHAnsi" w:cs="Calibri"/>
          <w:sz w:val="22"/>
          <w:szCs w:val="22"/>
          <w:lang w:val="en-US"/>
        </w:rPr>
        <w:t>taken into account</w:t>
      </w:r>
      <w:proofErr w:type="gramEnd"/>
      <w:r w:rsidRPr="00586C7E">
        <w:rPr>
          <w:rStyle w:val="normaltextrun"/>
          <w:rFonts w:asciiTheme="minorHAnsi" w:hAnsiTheme="minorHAnsi" w:cs="Calibri"/>
          <w:sz w:val="22"/>
          <w:szCs w:val="22"/>
          <w:lang w:val="en-US"/>
        </w:rPr>
        <w:t xml:space="preserve"> in criminal law. These include targeting a former or current partner, abuse of a position of power, repetition of offenses, targeting a vulnerable person, or committing the crime in the presence of a child. The Non-Discrimination Ombudsman recommends adding as an aggravating factor in the criminal law when the offense involves an intimate relationship between the offender and the victim. The aggravating factors outlined in the Istanbul Convention should be systematically considered in the aggravating circumstances of Chapter 6 of the Criminal Code.</w:t>
      </w:r>
      <w:r w:rsidRPr="00586C7E">
        <w:rPr>
          <w:rStyle w:val="eop"/>
          <w:rFonts w:asciiTheme="minorHAnsi" w:hAnsiTheme="minorHAnsi" w:cs="Calibri"/>
          <w:sz w:val="22"/>
          <w:szCs w:val="22"/>
          <w:lang w:val="en-US"/>
        </w:rPr>
        <w:t> </w:t>
      </w:r>
    </w:p>
    <w:p w14:paraId="53679B2F"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48B932DD" w14:textId="0BD2C06D"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 xml:space="preserve">5) The current government led by Petteri </w:t>
      </w:r>
      <w:proofErr w:type="spellStart"/>
      <w:r w:rsidRPr="00586C7E">
        <w:rPr>
          <w:rStyle w:val="normaltextrun"/>
          <w:rFonts w:asciiTheme="minorHAnsi" w:hAnsiTheme="minorHAnsi" w:cs="Calibri"/>
          <w:sz w:val="22"/>
          <w:szCs w:val="22"/>
          <w:lang w:val="en-US"/>
        </w:rPr>
        <w:t>Orpo</w:t>
      </w:r>
      <w:proofErr w:type="spellEnd"/>
      <w:r w:rsidRPr="00586C7E">
        <w:rPr>
          <w:rStyle w:val="normaltextrun"/>
          <w:rFonts w:asciiTheme="minorHAnsi" w:hAnsiTheme="minorHAnsi" w:cs="Calibri"/>
          <w:sz w:val="22"/>
          <w:szCs w:val="22"/>
          <w:lang w:val="en-US"/>
        </w:rPr>
        <w:t xml:space="preserve"> has decided not to promote the criminalization of shaming during this term, despite recommendations from the Ministry of Justice memorandum in 2022, </w:t>
      </w:r>
      <w:r w:rsidR="004165A6">
        <w:rPr>
          <w:rStyle w:val="normaltextrun"/>
          <w:rFonts w:asciiTheme="minorHAnsi" w:hAnsiTheme="minorHAnsi" w:cs="Calibri"/>
          <w:sz w:val="22"/>
          <w:szCs w:val="22"/>
          <w:lang w:val="en-US"/>
        </w:rPr>
        <w:t xml:space="preserve">several </w:t>
      </w:r>
      <w:r w:rsidRPr="00586C7E">
        <w:rPr>
          <w:rStyle w:val="normaltextrun"/>
          <w:rFonts w:asciiTheme="minorHAnsi" w:hAnsiTheme="minorHAnsi" w:cs="Calibri"/>
          <w:sz w:val="22"/>
          <w:szCs w:val="22"/>
          <w:lang w:val="en-US"/>
        </w:rPr>
        <w:t>prosecutors, judges, police, and women's and civil society organizations.</w:t>
      </w:r>
      <w:r w:rsidRPr="00586C7E">
        <w:rPr>
          <w:rStyle w:val="eop"/>
          <w:rFonts w:asciiTheme="minorHAnsi" w:hAnsiTheme="minorHAnsi" w:cs="Calibri"/>
          <w:sz w:val="22"/>
          <w:szCs w:val="22"/>
          <w:lang w:val="en-US"/>
        </w:rPr>
        <w:t> </w:t>
      </w:r>
    </w:p>
    <w:p w14:paraId="03E12B7F"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704E4721"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6) The Government statement to Parliament on promoting equality, gender equality, and non-discrimination in Finnish society, by the current government, arose from public pressure regarding ministers' racist writings. The statement represents the government's public commitment to promoting equity. However, neither the government program nor the equity statement includes proposals against hate speech.</w:t>
      </w:r>
      <w:r w:rsidRPr="00586C7E">
        <w:rPr>
          <w:rStyle w:val="eop"/>
          <w:rFonts w:asciiTheme="minorHAnsi" w:hAnsiTheme="minorHAnsi" w:cs="Calibri"/>
          <w:sz w:val="22"/>
          <w:szCs w:val="22"/>
          <w:lang w:val="en-US"/>
        </w:rPr>
        <w:t> </w:t>
      </w:r>
    </w:p>
    <w:p w14:paraId="060BAC56"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08DF0FB9"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8) In Finland, hate speech targeting an individual member of a race, skin color, religion, origin, or national or ethnically determined group is still not criminalized. </w:t>
      </w:r>
      <w:r w:rsidRPr="00586C7E">
        <w:rPr>
          <w:rStyle w:val="eop"/>
          <w:rFonts w:asciiTheme="minorHAnsi" w:hAnsiTheme="minorHAnsi" w:cs="Calibri"/>
          <w:sz w:val="22"/>
          <w:szCs w:val="22"/>
          <w:lang w:val="en-US"/>
        </w:rPr>
        <w:t> </w:t>
      </w:r>
    </w:p>
    <w:p w14:paraId="706AF3B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52138BB7"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 xml:space="preserve">11) </w:t>
      </w:r>
      <w:hyperlink r:id="rId11" w:tgtFrame="_blank" w:history="1">
        <w:r w:rsidRPr="00586C7E">
          <w:rPr>
            <w:rStyle w:val="normaltextrun"/>
            <w:rFonts w:asciiTheme="minorHAnsi" w:hAnsiTheme="minorHAnsi" w:cs="Calibri"/>
            <w:color w:val="0563C1"/>
            <w:sz w:val="22"/>
            <w:szCs w:val="22"/>
            <w:u w:val="single"/>
            <w:lang w:val="en-US"/>
          </w:rPr>
          <w:t>The Police University College's report in 2022</w:t>
        </w:r>
      </w:hyperlink>
      <w:r w:rsidRPr="00586C7E">
        <w:rPr>
          <w:rStyle w:val="normaltextrun"/>
          <w:rFonts w:asciiTheme="minorHAnsi" w:hAnsiTheme="minorHAnsi" w:cs="Calibri"/>
          <w:sz w:val="22"/>
          <w:szCs w:val="22"/>
          <w:lang w:val="en-US"/>
        </w:rPr>
        <w:t xml:space="preserve"> highlighted deficiencies in handling hate crimes. The police do not identify all hate crimes, and the suspicion of a crime's possible bias motive is not always forwarded to the prosecutor. According to the police guidelines, all suspected hate crimes should be classified with a separate hate crime code if the victim or the police considers the act partially a hate crime. However, this classification is not mandatory. The report also revealed shortcomings in justifying even half of the hate-motivated enhanced sentences, where the district court did not justify how the enhancement </w:t>
      </w:r>
      <w:proofErr w:type="gramStart"/>
      <w:r w:rsidRPr="00586C7E">
        <w:rPr>
          <w:rStyle w:val="normaltextrun"/>
          <w:rFonts w:asciiTheme="minorHAnsi" w:hAnsiTheme="minorHAnsi" w:cs="Calibri"/>
          <w:sz w:val="22"/>
          <w:szCs w:val="22"/>
          <w:lang w:val="en-US"/>
        </w:rPr>
        <w:t>actually increased</w:t>
      </w:r>
      <w:proofErr w:type="gramEnd"/>
      <w:r w:rsidRPr="00586C7E">
        <w:rPr>
          <w:rStyle w:val="normaltextrun"/>
          <w:rFonts w:asciiTheme="minorHAnsi" w:hAnsiTheme="minorHAnsi" w:cs="Calibri"/>
          <w:sz w:val="22"/>
          <w:szCs w:val="22"/>
          <w:lang w:val="en-US"/>
        </w:rPr>
        <w:t xml:space="preserve"> the sentence. In cases where the punishment was not enhanced despite the prosecutor's demand, the justifications were also lacking. Inadequate justifications can undermine confidence in the functioning of the justice system, thus perpetuating structures that enable underreporting.</w:t>
      </w:r>
      <w:r w:rsidRPr="00586C7E">
        <w:rPr>
          <w:rStyle w:val="eop"/>
          <w:rFonts w:asciiTheme="minorHAnsi" w:hAnsiTheme="minorHAnsi" w:cs="Calibri"/>
          <w:sz w:val="22"/>
          <w:szCs w:val="22"/>
          <w:lang w:val="en-US"/>
        </w:rPr>
        <w:t> </w:t>
      </w:r>
    </w:p>
    <w:p w14:paraId="59C8F65D"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52E3D128"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lastRenderedPageBreak/>
        <w:t>The solution proposed in the report includes mandatory use of hate crime classification in the context of filing a crime report, improving pre-investigation cooperation, updating police interrogation guidelines, and expanding the discussion of enhanced punishment in court judgments.</w:t>
      </w:r>
      <w:r w:rsidRPr="00586C7E">
        <w:rPr>
          <w:rStyle w:val="eop"/>
          <w:rFonts w:asciiTheme="minorHAnsi" w:hAnsiTheme="minorHAnsi" w:cs="Calibri"/>
          <w:sz w:val="22"/>
          <w:szCs w:val="22"/>
          <w:lang w:val="en-US"/>
        </w:rPr>
        <w:t> </w:t>
      </w:r>
    </w:p>
    <w:p w14:paraId="08DBD808"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The UN Convention on the Rights of Persons with Disabilities obliges Finland to collect statistical and research data as a basis for implementing the convention. This requires statistics, for example, on discrimination against persons with disabilities. Accurate and regularly updated information is lacking because, according to the Act on the Publicity of Government Activities (Section 24, Subsection 25), disability is confidential information.</w:t>
      </w:r>
      <w:r w:rsidRPr="00586C7E">
        <w:rPr>
          <w:rStyle w:val="eop"/>
          <w:rFonts w:asciiTheme="minorHAnsi" w:hAnsiTheme="minorHAnsi" w:cs="Calibri"/>
          <w:sz w:val="22"/>
          <w:szCs w:val="22"/>
          <w:lang w:val="en-US"/>
        </w:rPr>
        <w:t> </w:t>
      </w:r>
    </w:p>
    <w:p w14:paraId="74FB5EF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6A77A63D" w14:textId="010E6079"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With the</w:t>
      </w:r>
      <w:r w:rsidRPr="00586C7E">
        <w:rPr>
          <w:lang w:val="en-US"/>
        </w:rPr>
        <w:t xml:space="preserve"> </w:t>
      </w:r>
      <w:r w:rsidRPr="00586C7E">
        <w:rPr>
          <w:rStyle w:val="normaltextrun"/>
          <w:rFonts w:asciiTheme="minorHAnsi" w:hAnsiTheme="minorHAnsi" w:cs="Calibri"/>
          <w:sz w:val="22"/>
          <w:szCs w:val="22"/>
          <w:lang w:val="en-US"/>
        </w:rPr>
        <w:t>Convention on the Rights of Persons with Disabilities</w:t>
      </w:r>
      <w:r>
        <w:rPr>
          <w:rStyle w:val="normaltextrun"/>
          <w:rFonts w:asciiTheme="minorHAnsi" w:hAnsiTheme="minorHAnsi" w:cs="Calibri"/>
          <w:sz w:val="22"/>
          <w:szCs w:val="22"/>
          <w:lang w:val="en-US"/>
        </w:rPr>
        <w:t>,</w:t>
      </w:r>
      <w:r w:rsidRPr="00586C7E">
        <w:rPr>
          <w:rStyle w:val="normaltextrun"/>
          <w:rFonts w:asciiTheme="minorHAnsi" w:hAnsiTheme="minorHAnsi" w:cs="Calibri"/>
          <w:sz w:val="22"/>
          <w:szCs w:val="22"/>
          <w:lang w:val="en-US"/>
        </w:rPr>
        <w:t xml:space="preserve"> disability ceased to be considered an illness and became a human rights issue. Therefore, there is no justification for treating disability as health information. It is essential to ensure that inter-agency information exchange and proactive sharing of information related to violence against women and human trafficking occur. The confidentiality of disability as information in the police registry should be removed so that information about violence against disabled women can be obtained.</w:t>
      </w:r>
      <w:r w:rsidRPr="00586C7E">
        <w:rPr>
          <w:rStyle w:val="eop"/>
          <w:rFonts w:asciiTheme="minorHAnsi" w:hAnsiTheme="minorHAnsi" w:cs="Calibri"/>
          <w:sz w:val="22"/>
          <w:szCs w:val="22"/>
          <w:lang w:val="en-US"/>
        </w:rPr>
        <w:t> </w:t>
      </w:r>
    </w:p>
    <w:p w14:paraId="0B315119"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7E00E4E0"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 xml:space="preserve">12) The Victim Support Finland (RIKU) has organized training sessions on the phenomena of violence against women for judges, prosecutors, police, and legal aid attorneys as part of the Ministry of Justice's Program to Combat Violence Against Women (2020–2023) in the NAKO project. The aim was to organize 10 training sessions across Finland in 2022, but due to low participation numbers, only six were practically held. It was challenging to attract participants, especially judges, prosecutors, and legal aid attorneys. Due to the lower-than-planned number of participants, it was decided to organize one last additional NAKO training in early 2023, which was open to other target groups as well. Approximately 40 new prosecutors attended this training, as they were obligated to do so. This suggests that mandatory participation significantly affects attendance. It seems that voluntary participation in training related to violence against women in this target group is difficult to achieve. Therefore, </w:t>
      </w:r>
      <w:proofErr w:type="gramStart"/>
      <w:r w:rsidRPr="00586C7E">
        <w:rPr>
          <w:rStyle w:val="normaltextrun"/>
          <w:rFonts w:asciiTheme="minorHAnsi" w:hAnsiTheme="minorHAnsi" w:cs="Calibri"/>
          <w:sz w:val="22"/>
          <w:szCs w:val="22"/>
          <w:lang w:val="en-US"/>
        </w:rPr>
        <w:t>systematic</w:t>
      </w:r>
      <w:proofErr w:type="gramEnd"/>
      <w:r w:rsidRPr="00586C7E">
        <w:rPr>
          <w:rStyle w:val="normaltextrun"/>
          <w:rFonts w:asciiTheme="minorHAnsi" w:hAnsiTheme="minorHAnsi" w:cs="Calibri"/>
          <w:sz w:val="22"/>
          <w:szCs w:val="22"/>
          <w:lang w:val="en-US"/>
        </w:rPr>
        <w:t xml:space="preserve"> and mandatory basic training is needed. However, there are no plans for systematic and mandatory training based on available information.</w:t>
      </w:r>
      <w:r w:rsidRPr="00586C7E">
        <w:rPr>
          <w:rStyle w:val="eop"/>
          <w:rFonts w:asciiTheme="minorHAnsi" w:hAnsiTheme="minorHAnsi" w:cs="Calibri"/>
          <w:sz w:val="22"/>
          <w:szCs w:val="22"/>
          <w:lang w:val="en-US"/>
        </w:rPr>
        <w:t> </w:t>
      </w:r>
    </w:p>
    <w:p w14:paraId="1AFE2AA7"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03595971"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Currently, police training on sexual offense legislation consists of two three-hour self-study webinars, supplemented with background material. Some police officers feel that the training does not provide enough preparation for the application of new legislation. Proficiency is especially required in investigations but also in fieldwork.</w:t>
      </w:r>
      <w:r w:rsidRPr="00586C7E">
        <w:rPr>
          <w:rStyle w:val="eop"/>
          <w:rFonts w:asciiTheme="minorHAnsi" w:hAnsiTheme="minorHAnsi" w:cs="Calibri"/>
          <w:sz w:val="22"/>
          <w:szCs w:val="22"/>
          <w:lang w:val="en-US"/>
        </w:rPr>
        <w:t> </w:t>
      </w:r>
    </w:p>
    <w:p w14:paraId="41F1CB23"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15C90577"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Typical of training programs implemented with a gender-neutral approach is that violence against women is presented as statistical information, and there is a listing of national legislation and international human rights treaties. However, the gendered nature of the phenomenon is lost in the content. The dynamics of gendered violence, various forms of gendered violence, or different myths, stereotypes, harmful gender roles, or attitudes are not addressed as training themes. The dynamics of gendered violence may also be described using gender-neutral language, distorting the dynamics of the phenomenon.</w:t>
      </w:r>
      <w:r w:rsidRPr="00586C7E">
        <w:rPr>
          <w:rStyle w:val="eop"/>
          <w:rFonts w:asciiTheme="minorHAnsi" w:hAnsiTheme="minorHAnsi" w:cs="Calibri"/>
          <w:sz w:val="22"/>
          <w:szCs w:val="22"/>
          <w:lang w:val="en-US"/>
        </w:rPr>
        <w:t> </w:t>
      </w:r>
    </w:p>
    <w:p w14:paraId="641F3017" w14:textId="77777777" w:rsidR="004165A6" w:rsidRPr="00586C7E" w:rsidRDefault="004165A6"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5BE36FA9"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 xml:space="preserve">There is also no information about whether online courses offered by the Council of Europe on various human rights themes have been utilized by authorities. The European </w:t>
      </w:r>
      <w:proofErr w:type="spellStart"/>
      <w:r w:rsidRPr="00586C7E">
        <w:rPr>
          <w:rStyle w:val="normaltextrun"/>
          <w:rFonts w:asciiTheme="minorHAnsi" w:hAnsiTheme="minorHAnsi" w:cs="Calibri"/>
          <w:sz w:val="22"/>
          <w:szCs w:val="22"/>
          <w:lang w:val="en-US"/>
        </w:rPr>
        <w:t>Programme</w:t>
      </w:r>
      <w:proofErr w:type="spellEnd"/>
      <w:r w:rsidRPr="00586C7E">
        <w:rPr>
          <w:rStyle w:val="normaltextrun"/>
          <w:rFonts w:asciiTheme="minorHAnsi" w:hAnsiTheme="minorHAnsi" w:cs="Calibri"/>
          <w:sz w:val="22"/>
          <w:szCs w:val="22"/>
          <w:lang w:val="en-US"/>
        </w:rPr>
        <w:t xml:space="preserve"> for Human Rights </w:t>
      </w:r>
      <w:r w:rsidRPr="00586C7E">
        <w:rPr>
          <w:rStyle w:val="normaltextrun"/>
          <w:rFonts w:asciiTheme="minorHAnsi" w:hAnsiTheme="minorHAnsi" w:cs="Calibri"/>
          <w:sz w:val="22"/>
          <w:szCs w:val="22"/>
          <w:lang w:val="en-US"/>
        </w:rPr>
        <w:lastRenderedPageBreak/>
        <w:t>Education for Legal Professionals (HELP) offers a diverse perspective on human rights, including violence against women, in the form of online courses. </w:t>
      </w:r>
      <w:r w:rsidRPr="00586C7E">
        <w:rPr>
          <w:rStyle w:val="eop"/>
          <w:rFonts w:asciiTheme="minorHAnsi" w:hAnsiTheme="minorHAnsi" w:cs="Calibri"/>
          <w:sz w:val="22"/>
          <w:szCs w:val="22"/>
          <w:lang w:val="en-US"/>
        </w:rPr>
        <w:t> </w:t>
      </w:r>
    </w:p>
    <w:p w14:paraId="60B57071"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3F3F8089"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Through practical experience, it is evident that systematic basic and ongoing training on all forms of violence covered by the Istanbul Convention for all law enforcement and prosecutors should be mandatory. Efforts to reduce violence against women and legal changes also need a strong investment in their careful and precise implementation. Shared understanding of the phenomenon and collectively considered practices for addressing violence against women and domestic violence cannot be achieved without interactive learning. Therefore, despite their convenience, online training alone is not sufficient for understanding these phenomena.</w:t>
      </w:r>
      <w:r w:rsidRPr="00586C7E">
        <w:rPr>
          <w:rStyle w:val="eop"/>
          <w:rFonts w:asciiTheme="minorHAnsi" w:hAnsiTheme="minorHAnsi" w:cs="Calibri"/>
          <w:sz w:val="22"/>
          <w:szCs w:val="22"/>
          <w:lang w:val="en-US"/>
        </w:rPr>
        <w:t> </w:t>
      </w:r>
    </w:p>
    <w:p w14:paraId="0232CEF5"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723A2F8B"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16) Changes to restraining orders approved by the parliament in December 2022 improve the effectiveness of restraining orders and strengthen the right to life, personal integrity, and safety of victims or individuals living under the threat of domestic and family violence. The police and prosecutors are obligated to guide those protected by a temporary restraining order to support services. However, the police or the district court should also have an obligation to guide individuals to services when the victim seeks a restraining order. Legislation should ensure that the protection needs of the victim are assessed immediately upon the occurrence or suspicion of domestic violence.</w:t>
      </w:r>
      <w:r w:rsidRPr="00586C7E">
        <w:rPr>
          <w:rStyle w:val="eop"/>
          <w:rFonts w:asciiTheme="minorHAnsi" w:hAnsiTheme="minorHAnsi" w:cs="Calibri"/>
          <w:sz w:val="22"/>
          <w:szCs w:val="22"/>
          <w:lang w:val="en-US"/>
        </w:rPr>
        <w:t> </w:t>
      </w:r>
    </w:p>
    <w:p w14:paraId="563F6D2F"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3D3EDD96"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Despite numerous improvements, there is still room for development in legislation related to restraining orders. For example, the consideration of safety remains on uncertain ground despite improvements. The benefits of the enhanced restraining order law do not extend to community violence where there may be multiple perpetrators. Authorities must ensure adequate protection for victims of honor-related violence outside the scope of restraining orders. Applying for restraining orders against the violent party should be easier, and they should more broadly safeguard the rights of the victim. Especially, police-imposed restraining orders are rare in Finland.</w:t>
      </w:r>
      <w:r w:rsidRPr="00586C7E">
        <w:rPr>
          <w:rStyle w:val="eop"/>
          <w:rFonts w:asciiTheme="minorHAnsi" w:hAnsiTheme="minorHAnsi" w:cs="Calibri"/>
          <w:sz w:val="22"/>
          <w:szCs w:val="22"/>
          <w:lang w:val="en-US"/>
        </w:rPr>
        <w:t> </w:t>
      </w:r>
    </w:p>
    <w:p w14:paraId="2FC7983D"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17282059"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17) Investigations may take years, and even issues such as driving license matters have been prioritized over rape cases, despite them being serious crimes against life and health. By police departments' metrics, the clearance rate for rape crimes is at its worst, below half. Only about 20 percent of reported rape allegations lead to charges, and 15 percent result in a guilty verdict.</w:t>
      </w:r>
      <w:r w:rsidRPr="00586C7E">
        <w:rPr>
          <w:rStyle w:val="eop"/>
          <w:rFonts w:asciiTheme="minorHAnsi" w:hAnsiTheme="minorHAnsi" w:cs="Calibri"/>
          <w:sz w:val="22"/>
          <w:szCs w:val="22"/>
          <w:lang w:val="en-US"/>
        </w:rPr>
        <w:t> </w:t>
      </w:r>
    </w:p>
    <w:p w14:paraId="509BC029" w14:textId="77777777" w:rsidR="004165A6" w:rsidRPr="00586C7E" w:rsidRDefault="004165A6"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796DB50B"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Resources for police and judicial investigation of serious crimes, such as violence against women, must be secured. It is also crucial to ensure police expertise in violence against women, such as sexual violence and digital violence, through training. Crimes should be investigated promptly and thoroughly throughout Finland. According to the Pre-trial Investigation Act (Chapter 4, Section 7), investigative measures involving individuals under 18 must be assigned to investigators specifically trained for this task. Similarly, legislation should be established for the investigation of violence against women. Consideration should be given to legislating the prioritization of investigated criminal suspicions.</w:t>
      </w:r>
      <w:r w:rsidRPr="00586C7E">
        <w:rPr>
          <w:rStyle w:val="eop"/>
          <w:rFonts w:asciiTheme="minorHAnsi" w:hAnsiTheme="minorHAnsi" w:cs="Calibri"/>
          <w:sz w:val="22"/>
          <w:szCs w:val="22"/>
          <w:lang w:val="en-US"/>
        </w:rPr>
        <w:t> </w:t>
      </w:r>
    </w:p>
    <w:p w14:paraId="00C7687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7CFFBEFF"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 xml:space="preserve">19) The results of the multi-professional MARAC model for assessing and supporting domestic violence risks have been extremely positive. The model has significantly reduced the number of </w:t>
      </w:r>
      <w:proofErr w:type="gramStart"/>
      <w:r w:rsidRPr="00586C7E">
        <w:rPr>
          <w:rStyle w:val="normaltextrun"/>
          <w:rFonts w:asciiTheme="minorHAnsi" w:hAnsiTheme="minorHAnsi" w:cs="Calibri"/>
          <w:sz w:val="22"/>
          <w:szCs w:val="22"/>
          <w:lang w:val="en-US"/>
        </w:rPr>
        <w:t>crime</w:t>
      </w:r>
      <w:proofErr w:type="gramEnd"/>
      <w:r w:rsidRPr="00586C7E">
        <w:rPr>
          <w:rStyle w:val="normaltextrun"/>
          <w:rFonts w:asciiTheme="minorHAnsi" w:hAnsiTheme="minorHAnsi" w:cs="Calibri"/>
          <w:sz w:val="22"/>
          <w:szCs w:val="22"/>
          <w:lang w:val="en-US"/>
        </w:rPr>
        <w:t xml:space="preserve"> reports to the police from victims repeatedly in contact with the police due to domestic violence. GREVIO has urged </w:t>
      </w:r>
      <w:r w:rsidRPr="00586C7E">
        <w:rPr>
          <w:rStyle w:val="normaltextrun"/>
          <w:rFonts w:asciiTheme="minorHAnsi" w:hAnsiTheme="minorHAnsi" w:cs="Calibri"/>
          <w:sz w:val="22"/>
          <w:szCs w:val="22"/>
          <w:lang w:val="en-US"/>
        </w:rPr>
        <w:lastRenderedPageBreak/>
        <w:t>Finland to ensure that systematic and gender-sensitive risk assessment becomes a standard procedure in all authorities' operations. However, the model is currently in use in only 38 locations in Finland, and risk assessment does not have a mandatory basis in legislation.</w:t>
      </w:r>
      <w:r w:rsidRPr="00586C7E">
        <w:rPr>
          <w:rStyle w:val="eop"/>
          <w:rFonts w:asciiTheme="minorHAnsi" w:hAnsiTheme="minorHAnsi" w:cs="Calibri"/>
          <w:sz w:val="22"/>
          <w:szCs w:val="22"/>
          <w:lang w:val="en-US"/>
        </w:rPr>
        <w:t> </w:t>
      </w:r>
    </w:p>
    <w:p w14:paraId="49CD03F8" w14:textId="77777777" w:rsidR="004165A6" w:rsidRPr="00586C7E" w:rsidRDefault="004165A6"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7A4F430E"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There is a lack of structures at the national, municipal, and regional levels for actions aimed at reducing violence against women and domestic violence. Multi-professional collaboration and the involvement of organizations vary significantly. It would be crucial for the training of professionals on risk assessment, especially in the new regional entities, to involve organizations in this collaboration. The MARAC model and, in general, collaboration structures are missing in several locations, making multi-professional risk assessment very challenging. Staff turnovers may disrupt previously effective collaboration. There are also many ambiguities and variations in the interpretation of reporting rights and obligations, leading to their underutilization.</w:t>
      </w:r>
      <w:r w:rsidRPr="00586C7E">
        <w:rPr>
          <w:rStyle w:val="eop"/>
          <w:rFonts w:asciiTheme="minorHAnsi" w:hAnsiTheme="minorHAnsi" w:cs="Calibri"/>
          <w:sz w:val="22"/>
          <w:szCs w:val="22"/>
          <w:lang w:val="en-US"/>
        </w:rPr>
        <w:t> </w:t>
      </w:r>
    </w:p>
    <w:p w14:paraId="456FF5B2"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4DCC7695"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The new government program mentions that the government will assess the need for legislation to obligate municipalities and regional entities to strengthen the structures for violence prevention and anti-violence work. Women's organizations have long advocated for a law on the prevention of intimate partner violence. The law would clarify the collaboration, roles, and responsibilities of municipalities, regions, and the central government in preventing intimate partner violence, facilitating the creation of consistent structures. The law should stipulate the tasks of the state, municipalities, and regional entities within their organizations, as well as cross-administrative multi-professional collaboration structures for the prevention of intimate partner violence and the organization of effective service chains. Municipalities and regional entities would appoint a violence prevention coordinator and a multi-professional working group coordinating violence prevention.</w:t>
      </w:r>
      <w:r w:rsidRPr="00586C7E">
        <w:rPr>
          <w:rStyle w:val="eop"/>
          <w:rFonts w:asciiTheme="minorHAnsi" w:hAnsiTheme="minorHAnsi" w:cs="Calibri"/>
          <w:sz w:val="22"/>
          <w:szCs w:val="22"/>
          <w:lang w:val="en-US"/>
        </w:rPr>
        <w:t> </w:t>
      </w:r>
    </w:p>
    <w:p w14:paraId="37EE0DC4"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4292F7A9"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20) The research has also revealed that the most common reason for not filing a crime report for minor assaults during home visits is that the victim did not want it. It appears that police understanding of the general charge of minor assault is inadequate.</w:t>
      </w:r>
      <w:r w:rsidRPr="00586C7E">
        <w:rPr>
          <w:rStyle w:val="eop"/>
          <w:rFonts w:asciiTheme="minorHAnsi" w:hAnsiTheme="minorHAnsi" w:cs="Calibri"/>
          <w:sz w:val="22"/>
          <w:szCs w:val="22"/>
          <w:lang w:val="en-US"/>
        </w:rPr>
        <w:t> </w:t>
      </w:r>
    </w:p>
    <w:p w14:paraId="4C95C3A4"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1B33F7F9"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Alongside delays in pre-trial investigations, several serious deficiencies and neglects were identified by the own-initiative investigation by Deputy Chancellor of Justice Mikko Puumalainen. These include shortcomings in assessing the need for victim protection, guiding to support services, and informing the victim about their rights. Additionally, Puumalainen drew attention to a case where the proceedings were delayed by almost three years because the initial police handling the case had failed to recognize the characteristics of a rape offense, leading to the case being mistakenly prioritized. In another case involving an assault that included strangulation, it had been investigated under the charge of minor assault. Puumalainen refers to the Supreme Court's precedent, stating that, concerning such life-threatening violence, the charge should not be classified as minor assault. Finally, Puumalainen notes that his observations raise the question of whether, despite the training and guidelines provided to police departments, the obligations set by the Istanbul Convention, the Victims' Directive, the Pre-trial Investigation Act, and the guidelines of the Police Administration regarding victim encounters have been effectively adopted in practice, especially in cases of domestic violence or sexual crimes. </w:t>
      </w:r>
      <w:r w:rsidRPr="00586C7E">
        <w:rPr>
          <w:rStyle w:val="eop"/>
          <w:rFonts w:asciiTheme="minorHAnsi" w:hAnsiTheme="minorHAnsi" w:cs="Calibri"/>
          <w:sz w:val="22"/>
          <w:szCs w:val="22"/>
          <w:lang w:val="en-US"/>
        </w:rPr>
        <w:t> </w:t>
      </w:r>
    </w:p>
    <w:p w14:paraId="359E8C7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33BCBC5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lastRenderedPageBreak/>
        <w:t>Special attention should be directed towards deficiencies in recognizing the gendered nature of violence and the persistent dismissive and victim-blaming attitude within the police organization, which, so far, has not been adequately addressed through the training implemented.</w:t>
      </w:r>
      <w:r w:rsidRPr="00586C7E">
        <w:rPr>
          <w:rStyle w:val="eop"/>
          <w:rFonts w:asciiTheme="minorHAnsi" w:hAnsiTheme="minorHAnsi" w:cs="Calibri"/>
          <w:sz w:val="22"/>
          <w:szCs w:val="22"/>
          <w:lang w:val="en-US"/>
        </w:rPr>
        <w:t> </w:t>
      </w:r>
    </w:p>
    <w:p w14:paraId="6A910D05"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59AD6F5A"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23) Shelter accessibility is challenging in many places due to lack of space or geographical distance, and not all shelters are accessible. According to the Council of Europe's recommendation, Finland should have 550 shelter places instead of the current 228. Although the number of shelter places has increased in recent years, there were over 2000 instances in 2019 where those experiencing violence were directed to another shelter. </w:t>
      </w:r>
      <w:r w:rsidRPr="00586C7E">
        <w:rPr>
          <w:rStyle w:val="eop"/>
          <w:rFonts w:asciiTheme="minorHAnsi" w:hAnsiTheme="minorHAnsi" w:cs="Calibri"/>
          <w:sz w:val="22"/>
          <w:szCs w:val="22"/>
          <w:lang w:val="en-US"/>
        </w:rPr>
        <w:t> </w:t>
      </w:r>
    </w:p>
    <w:p w14:paraId="2B132CF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6D95B72B"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Even though there has been positive development in recent years regarding the funding of shelters and family placements, the funding for these is still not at a sufficient level. In the state budget for the year 2024, 26.55 million euros are allocated for state funding of shelter operations. While it is positive that there is an increase of 1.4 million euros compared to 2023, funding the necessary 262-367 family placements would require an annual budget increase from 29.6 million to 36.7 million euros, according to a report by the National Institute for Health and Welfare (THL). It should also be noted that, considering the 2 million euro increase in salary and other costs for shelter service providers in the budget for 2024, the additional funding of 1.4 million euros is insufficient to cover the rising costs.</w:t>
      </w:r>
      <w:r w:rsidRPr="00586C7E">
        <w:rPr>
          <w:rStyle w:val="eop"/>
          <w:rFonts w:asciiTheme="minorHAnsi" w:hAnsiTheme="minorHAnsi" w:cs="Calibri"/>
          <w:sz w:val="22"/>
          <w:szCs w:val="22"/>
          <w:lang w:val="en-US"/>
        </w:rPr>
        <w:t> </w:t>
      </w:r>
    </w:p>
    <w:p w14:paraId="038B0E92"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23A0E6E8"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In July 2023, the Parliamentary Ombudsman pointed out that shelters had not yet become accessible by the end of 2022. Improving the accessibility of shelter services is essential to ensure equal treatment of disabled individuals and safeguard rights stipulated by law. Therefore, it is concerning that funding for improving the accessibility of shelters is being reduced by 600,000 compared to the previous year.</w:t>
      </w:r>
      <w:r w:rsidRPr="00586C7E">
        <w:rPr>
          <w:rStyle w:val="eop"/>
          <w:rFonts w:asciiTheme="minorHAnsi" w:hAnsiTheme="minorHAnsi" w:cs="Calibri"/>
          <w:sz w:val="22"/>
          <w:szCs w:val="22"/>
          <w:lang w:val="en-US"/>
        </w:rPr>
        <w:t> </w:t>
      </w:r>
    </w:p>
    <w:p w14:paraId="6EC7168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66B8982D"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 xml:space="preserve">The budget allocated for shelter operations should be larger to increase the number of shelter places, improve the accessibility and inclusivity of shelters, and not just cover a fraction of the increased costs. There is no dedicated shelter for individuals with substance abuse problems. A pilot project for such shelters is underway in </w:t>
      </w:r>
      <w:proofErr w:type="spellStart"/>
      <w:r w:rsidRPr="00586C7E">
        <w:rPr>
          <w:rStyle w:val="normaltextrun"/>
          <w:rFonts w:asciiTheme="minorHAnsi" w:hAnsiTheme="minorHAnsi" w:cs="Calibri"/>
          <w:sz w:val="22"/>
          <w:szCs w:val="22"/>
          <w:lang w:val="en-US"/>
        </w:rPr>
        <w:t>Pirkanmaa</w:t>
      </w:r>
      <w:proofErr w:type="spellEnd"/>
      <w:r w:rsidRPr="00586C7E">
        <w:rPr>
          <w:rStyle w:val="normaltextrun"/>
          <w:rFonts w:asciiTheme="minorHAnsi" w:hAnsiTheme="minorHAnsi" w:cs="Calibri"/>
          <w:sz w:val="22"/>
          <w:szCs w:val="22"/>
          <w:lang w:val="en-US"/>
        </w:rPr>
        <w:t xml:space="preserve"> but not in the capital region. Particularly in large cities, finding rental housing after a shelter stay has become a barrier to starting a new, safer life.</w:t>
      </w:r>
      <w:r w:rsidRPr="00586C7E">
        <w:rPr>
          <w:rStyle w:val="eop"/>
          <w:rFonts w:asciiTheme="minorHAnsi" w:hAnsiTheme="minorHAnsi" w:cs="Calibri"/>
          <w:sz w:val="22"/>
          <w:szCs w:val="22"/>
          <w:lang w:val="en-US"/>
        </w:rPr>
        <w:t> </w:t>
      </w:r>
    </w:p>
    <w:p w14:paraId="52B2F3D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A significant problem is that individuals suspected of being victims of human trafficking only have access to shelters if they are also victims of domestic violence.</w:t>
      </w:r>
      <w:r w:rsidRPr="00586C7E">
        <w:rPr>
          <w:rStyle w:val="eop"/>
          <w:rFonts w:asciiTheme="minorHAnsi" w:hAnsiTheme="minorHAnsi" w:cs="Calibri"/>
          <w:sz w:val="22"/>
          <w:szCs w:val="22"/>
          <w:lang w:val="en-US"/>
        </w:rPr>
        <w:t> </w:t>
      </w:r>
    </w:p>
    <w:p w14:paraId="3641D58D"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16AA5685"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24) Welfare regions began their operations at the turn of 2022-2023, but so far, no specific funding has been allocated for anti-violence work. The deficits and cost-cutting pressures of welfare regions also threaten services aimed at victims of violence, such as the potential deterioration of sexual violence support centers. The National Institute for Health and Welfare (THL) coordinates activities with a 30% workload in 2024, and there are no resources planned for 2025. The need for support has been growing annually. According to the state budget proposal and government program, sexual violence support centers assist adults with the welfare regions' own funding. The mention of adulthood is problematic because sexual violence support centers serve all those aged 16 and above, and some centers accept those aged 13 and above. According to this entry, underage victims of sexual violence would be entirely excluded from the services of sexual violence support centers.</w:t>
      </w:r>
      <w:r w:rsidRPr="00586C7E">
        <w:rPr>
          <w:rStyle w:val="eop"/>
          <w:rFonts w:asciiTheme="minorHAnsi" w:hAnsiTheme="minorHAnsi" w:cs="Calibri"/>
          <w:sz w:val="22"/>
          <w:szCs w:val="22"/>
          <w:lang w:val="en-US"/>
        </w:rPr>
        <w:t> </w:t>
      </w:r>
    </w:p>
    <w:p w14:paraId="7BF89DF3"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1FC5ED0F"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lastRenderedPageBreak/>
        <w:t>Additionally, survivors can only seek sexual violence support center services within one month of experiencing violence. Especially regarding psychosocial support, this time frame is too short. The CEDAW Committee has recommended flexibility for Finland regarding the one-month deadline.</w:t>
      </w:r>
      <w:r w:rsidRPr="00586C7E">
        <w:rPr>
          <w:rStyle w:val="eop"/>
          <w:rFonts w:asciiTheme="minorHAnsi" w:hAnsiTheme="minorHAnsi" w:cs="Calibri"/>
          <w:sz w:val="22"/>
          <w:szCs w:val="22"/>
          <w:lang w:val="en-US"/>
        </w:rPr>
        <w:t> </w:t>
      </w:r>
    </w:p>
    <w:p w14:paraId="07240988"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Without separate and sufficient funding, the cost-cutting pressures of welfare regions also affect sexual violence support centers, where, due to budget cuts, psychosocial work is at risk. There is a significant need, especially in university hospitals, for funding dedicated to psychosocial work. Untreated rape survivors face mental and physical health challenges, the treatment of which becomes much more expensive than acute-phase care. Sexual crime statistics steadily increase each year. For example, the capitol region’s Sexual Violence Support Center investigates and treats nearly 600 rape cases annually, so many clients are at risk of being left without treatment.</w:t>
      </w:r>
      <w:r w:rsidRPr="00586C7E">
        <w:rPr>
          <w:rStyle w:val="eop"/>
          <w:rFonts w:asciiTheme="minorHAnsi" w:hAnsiTheme="minorHAnsi" w:cs="Calibri"/>
          <w:sz w:val="22"/>
          <w:szCs w:val="22"/>
          <w:lang w:val="en-US"/>
        </w:rPr>
        <w:t> </w:t>
      </w:r>
    </w:p>
    <w:p w14:paraId="56780C9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0C8E58E9"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To ensure the continuity of operations, it would be crucial to secure funding for sexual violence support centers through state grants, like shelter funding (even though there is no specific law for Sexual Violence Support Centers), or otherwise with state funding and ensure coordination by the National Institute for Health and Welfare. Support for organizations must be ensured to prevent the disruption of the client's care chain. </w:t>
      </w:r>
      <w:r w:rsidRPr="00586C7E">
        <w:rPr>
          <w:rStyle w:val="eop"/>
          <w:rFonts w:asciiTheme="minorHAnsi" w:hAnsiTheme="minorHAnsi" w:cs="Calibri"/>
          <w:sz w:val="22"/>
          <w:szCs w:val="22"/>
          <w:lang w:val="en-US"/>
        </w:rPr>
        <w:t> </w:t>
      </w:r>
    </w:p>
    <w:p w14:paraId="483276C8"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4BF5A674"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 xml:space="preserve">25) Support services for those who have experienced violence are mainly provided by organizations. However, there are insufficient services, and their long-term funding is uncertain. The COVID-19 period increased the demand for low-threshold outpatient services, but the only earmarked funding during the COVID years 2020-2021 for combating domestic violence was 26,000 euros used to open the </w:t>
      </w:r>
      <w:proofErr w:type="spellStart"/>
      <w:r w:rsidRPr="00586C7E">
        <w:rPr>
          <w:rStyle w:val="normaltextrun"/>
          <w:rFonts w:asciiTheme="minorHAnsi" w:hAnsiTheme="minorHAnsi" w:cs="Calibri"/>
          <w:sz w:val="22"/>
          <w:szCs w:val="22"/>
          <w:lang w:val="en-US"/>
        </w:rPr>
        <w:t>Nollalinja</w:t>
      </w:r>
      <w:proofErr w:type="spellEnd"/>
      <w:r w:rsidRPr="00586C7E">
        <w:rPr>
          <w:rStyle w:val="normaltextrun"/>
          <w:rFonts w:asciiTheme="minorHAnsi" w:hAnsiTheme="minorHAnsi" w:cs="Calibri"/>
          <w:sz w:val="22"/>
          <w:szCs w:val="22"/>
          <w:lang w:val="en-US"/>
        </w:rPr>
        <w:t xml:space="preserve"> chat service.</w:t>
      </w:r>
      <w:r w:rsidRPr="00586C7E">
        <w:rPr>
          <w:rStyle w:val="eop"/>
          <w:rFonts w:asciiTheme="minorHAnsi" w:hAnsiTheme="minorHAnsi" w:cs="Calibri"/>
          <w:sz w:val="22"/>
          <w:szCs w:val="22"/>
          <w:lang w:val="en-US"/>
        </w:rPr>
        <w:t> </w:t>
      </w:r>
    </w:p>
    <w:p w14:paraId="29FF98BE"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4D937A61"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27) The reform is historic and highly commendable. The main issue with the law pertains to the section on sexual abuse (Section 5) and situations involving the abuse of a position of power. The law defines situations as sexual abuse that should be interpreted as rape: if a rape occurs in institutional settings (e.g., facilities for the housing of persons with disabilities), the length of the sentence is shorter, and it is classified as sexual abuse. This also applies to 16-18-year-olds who, due to school or leisure activities, are in a subordinate position to the perpetrator. This places young people and persons with disabilities in a legally unequal position. The provision was criticized by many experts during the consultation process, but for some reason, it was left in the legislative proposal.</w:t>
      </w:r>
      <w:r w:rsidRPr="00586C7E">
        <w:rPr>
          <w:rStyle w:val="eop"/>
          <w:rFonts w:asciiTheme="minorHAnsi" w:hAnsiTheme="minorHAnsi" w:cs="Calibri"/>
          <w:sz w:val="22"/>
          <w:szCs w:val="22"/>
          <w:lang w:val="en-US"/>
        </w:rPr>
        <w:t> </w:t>
      </w:r>
    </w:p>
    <w:p w14:paraId="2DCAAE69"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5391BD72"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28) A victim of forced marriage has the right to annul the marriage. Women's organizations propose that individuals forced into marriage should have the option to choose between nullifying the marriage, an annulment, and divorce, as annulment and divorce would maintain the legal implications of the marriage regarding shared children and property. The same recommendation has been made by the CEDAW Committee (2022). Forced marriage should also be a criminally prosecutable offense. Child marriages contracted abroad for individuals under 18 should, in all cases, be considered contrary to the principles of the Finnish legal system without case-by-case consideration, unlike the current legislation. Forced marriages should be explicitly criminalized, as condemning them as human trafficking or coercion does not cover all situations of forced marriage.</w:t>
      </w:r>
      <w:r w:rsidRPr="00586C7E">
        <w:rPr>
          <w:rStyle w:val="eop"/>
          <w:rFonts w:asciiTheme="minorHAnsi" w:hAnsiTheme="minorHAnsi" w:cs="Calibri"/>
          <w:sz w:val="22"/>
          <w:szCs w:val="22"/>
          <w:lang w:val="en-US"/>
        </w:rPr>
        <w:t> </w:t>
      </w:r>
    </w:p>
    <w:p w14:paraId="191DAD5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228E82F2"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lastRenderedPageBreak/>
        <w:t>35) The non-discrimination ombudsman has investigated the implementation of the principle of impunity for victims of human trafficking in Finland. According to the report, victims of trafficking in human beings who are forced to commit a crime are not identified in the criminal process. </w:t>
      </w:r>
      <w:r w:rsidRPr="00586C7E">
        <w:rPr>
          <w:rStyle w:val="eop"/>
          <w:rFonts w:asciiTheme="minorHAnsi" w:hAnsiTheme="minorHAnsi" w:cs="Calibri"/>
          <w:sz w:val="22"/>
          <w:szCs w:val="22"/>
          <w:lang w:val="en-US"/>
        </w:rPr>
        <w:t> </w:t>
      </w:r>
    </w:p>
    <w:p w14:paraId="5042502F"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The main obstacles to the application of the principle of impunity are the poor identification of victims of trafficking, the lack of practical experience in its application and the lack of attention during the criminal procedure to the underlying exploitation that contributed to the crime committed by the victim. </w:t>
      </w:r>
      <w:r w:rsidRPr="00586C7E">
        <w:rPr>
          <w:rStyle w:val="eop"/>
          <w:rFonts w:asciiTheme="minorHAnsi" w:hAnsiTheme="minorHAnsi" w:cs="Calibri"/>
          <w:sz w:val="22"/>
          <w:szCs w:val="22"/>
          <w:lang w:val="en-US"/>
        </w:rPr>
        <w:t> </w:t>
      </w:r>
    </w:p>
    <w:p w14:paraId="1B0B05DA"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 xml:space="preserve">Police expertise on violence against women, sexual violence, digital </w:t>
      </w:r>
      <w:proofErr w:type="gramStart"/>
      <w:r w:rsidRPr="00586C7E">
        <w:rPr>
          <w:rStyle w:val="normaltextrun"/>
          <w:rFonts w:asciiTheme="minorHAnsi" w:hAnsiTheme="minorHAnsi" w:cs="Calibri"/>
          <w:sz w:val="22"/>
          <w:szCs w:val="22"/>
          <w:lang w:val="en-US"/>
        </w:rPr>
        <w:t>violence</w:t>
      </w:r>
      <w:proofErr w:type="gramEnd"/>
      <w:r w:rsidRPr="00586C7E">
        <w:rPr>
          <w:rStyle w:val="normaltextrun"/>
          <w:rFonts w:asciiTheme="minorHAnsi" w:hAnsiTheme="minorHAnsi" w:cs="Calibri"/>
          <w:sz w:val="22"/>
          <w:szCs w:val="22"/>
          <w:lang w:val="en-US"/>
        </w:rPr>
        <w:t xml:space="preserve"> and human trafficking must be ensured by concentrating investigations on investigators and investigators who are specifically trained in the Pre-Trial Investigation Act. </w:t>
      </w:r>
      <w:r w:rsidRPr="00586C7E">
        <w:rPr>
          <w:rStyle w:val="eop"/>
          <w:rFonts w:asciiTheme="minorHAnsi" w:hAnsiTheme="minorHAnsi" w:cs="Calibri"/>
          <w:sz w:val="22"/>
          <w:szCs w:val="22"/>
          <w:lang w:val="en-US"/>
        </w:rPr>
        <w:t> </w:t>
      </w:r>
    </w:p>
    <w:p w14:paraId="516594FD"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10EC2975"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The key piece of evidence in cases of trafficking in human beings remains the reports of those involved. This have often led to the prosecution of trafficking charges have been dismissed based on insufficient evidence. However, several coercive measures could be used in the investigation of trafficking in human beings if the conditions for their use are met.  </w:t>
      </w:r>
      <w:r w:rsidRPr="00586C7E">
        <w:rPr>
          <w:rStyle w:val="eop"/>
          <w:rFonts w:asciiTheme="minorHAnsi" w:hAnsiTheme="minorHAnsi" w:cs="Calibri"/>
          <w:sz w:val="22"/>
          <w:szCs w:val="22"/>
          <w:lang w:val="en-US"/>
        </w:rPr>
        <w:t> </w:t>
      </w:r>
    </w:p>
    <w:p w14:paraId="56CE56BA"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4EFF15E4"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Better consideration of the violence and intimate partner violence experienced by immigrant women in the criteria for a residence permit should be ensured. The criteria for a residence permit for victims of human trafficking should include “vulnerable position” instead of “particularly vulnerable position”. According to the researchers, the threshold for interpreting a victim of trafficking as being in a particularly vulnerable situation is very high in the practice of the Immigration Service, and victims of trafficking have not usually received a residence permit on this basis. </w:t>
      </w:r>
      <w:r w:rsidRPr="00586C7E">
        <w:rPr>
          <w:rStyle w:val="eop"/>
          <w:rFonts w:asciiTheme="minorHAnsi" w:hAnsiTheme="minorHAnsi" w:cs="Calibri"/>
          <w:sz w:val="22"/>
          <w:szCs w:val="22"/>
          <w:lang w:val="en-US"/>
        </w:rPr>
        <w:t> </w:t>
      </w:r>
    </w:p>
    <w:p w14:paraId="2B05B284"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2AF7A1FF"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The current referral clause on the sale of sexual services makes it more difficult for people from outside the EU to be recognized as victims of trafficking.  </w:t>
      </w:r>
      <w:r w:rsidRPr="00586C7E">
        <w:rPr>
          <w:rStyle w:val="eop"/>
          <w:rFonts w:asciiTheme="minorHAnsi" w:hAnsiTheme="minorHAnsi" w:cs="Calibri"/>
          <w:sz w:val="22"/>
          <w:szCs w:val="22"/>
          <w:lang w:val="en-US"/>
        </w:rPr>
        <w:t> </w:t>
      </w:r>
    </w:p>
    <w:p w14:paraId="790E892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3DAF9A7E"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36) The Finnish government presented a proposal to the parliament regarding the Sámi Parliament Act on December 14</w:t>
      </w:r>
      <w:proofErr w:type="gramStart"/>
      <w:r w:rsidRPr="00586C7E">
        <w:rPr>
          <w:rStyle w:val="normaltextrun"/>
          <w:rFonts w:asciiTheme="minorHAnsi" w:hAnsiTheme="minorHAnsi" w:cs="Calibri"/>
          <w:sz w:val="22"/>
          <w:szCs w:val="22"/>
          <w:lang w:val="en-US"/>
        </w:rPr>
        <w:t xml:space="preserve"> 2023</w:t>
      </w:r>
      <w:proofErr w:type="gramEnd"/>
      <w:r w:rsidRPr="00586C7E">
        <w:rPr>
          <w:rStyle w:val="normaltextrun"/>
          <w:rFonts w:asciiTheme="minorHAnsi" w:hAnsiTheme="minorHAnsi" w:cs="Calibri"/>
          <w:sz w:val="22"/>
          <w:szCs w:val="22"/>
          <w:lang w:val="en-US"/>
        </w:rPr>
        <w:t>. According to the Sámi Parliament, the proposed amendments to the Sámi Parliament Act promote the self-determination of the Sámi people, and it is crucial to finalize the law. At the same time, it is important to continue the work of the Truth and Reconciliation Commission and continue psychosocial support to the Sámi people during the process.</w:t>
      </w:r>
      <w:r w:rsidRPr="00586C7E">
        <w:rPr>
          <w:rStyle w:val="eop"/>
          <w:rFonts w:asciiTheme="minorHAnsi" w:hAnsiTheme="minorHAnsi" w:cs="Calibri"/>
          <w:sz w:val="22"/>
          <w:szCs w:val="22"/>
          <w:lang w:val="en-US"/>
        </w:rPr>
        <w:t> </w:t>
      </w:r>
    </w:p>
    <w:p w14:paraId="14C6B602"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p w14:paraId="26412339" w14:textId="15C4C835"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 xml:space="preserve">The right of Sámi individuals residing outside their homeland to learn their mother tongue is poorly realized, as funding is secured only within the homeland area. Sámi-related knowledge in school education is still limited, impacting positive community </w:t>
      </w:r>
      <w:r w:rsidRPr="00586C7E">
        <w:rPr>
          <w:rStyle w:val="normaltextrun"/>
          <w:rFonts w:asciiTheme="minorHAnsi" w:hAnsiTheme="minorHAnsi" w:cs="Calibri"/>
          <w:sz w:val="22"/>
          <w:szCs w:val="22"/>
          <w:lang w:val="en-US"/>
        </w:rPr>
        <w:t>relations,</w:t>
      </w:r>
      <w:r w:rsidRPr="00586C7E">
        <w:rPr>
          <w:rStyle w:val="normaltextrun"/>
          <w:rFonts w:asciiTheme="minorHAnsi" w:hAnsiTheme="minorHAnsi" w:cs="Calibri"/>
          <w:sz w:val="22"/>
          <w:szCs w:val="22"/>
          <w:lang w:val="en-US"/>
        </w:rPr>
        <w:t xml:space="preserve"> and perpetuating Finnish stereotypes about the Sámi people.</w:t>
      </w:r>
      <w:r w:rsidRPr="00586C7E">
        <w:rPr>
          <w:rStyle w:val="eop"/>
          <w:rFonts w:asciiTheme="minorHAnsi" w:hAnsiTheme="minorHAnsi" w:cs="Calibri"/>
          <w:sz w:val="22"/>
          <w:szCs w:val="22"/>
          <w:lang w:val="en-US"/>
        </w:rPr>
        <w:t> </w:t>
      </w:r>
    </w:p>
    <w:p w14:paraId="18109972"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2BF119E6" w14:textId="77777777" w:rsidR="00586C7E" w:rsidRDefault="00586C7E" w:rsidP="00586C7E">
      <w:pPr>
        <w:pStyle w:val="paragraph"/>
        <w:spacing w:before="0" w:beforeAutospacing="0" w:after="0" w:afterAutospacing="0" w:line="276" w:lineRule="auto"/>
        <w:textAlignment w:val="baseline"/>
        <w:rPr>
          <w:rStyle w:val="eop"/>
          <w:rFonts w:asciiTheme="minorHAnsi" w:hAnsiTheme="minorHAnsi" w:cs="Calibri"/>
          <w:sz w:val="22"/>
          <w:szCs w:val="22"/>
          <w:lang w:val="en-US"/>
        </w:rPr>
      </w:pPr>
      <w:r w:rsidRPr="00586C7E">
        <w:rPr>
          <w:rStyle w:val="normaltextrun"/>
          <w:rFonts w:asciiTheme="minorHAnsi" w:hAnsiTheme="minorHAnsi" w:cs="Calibri"/>
          <w:sz w:val="22"/>
          <w:szCs w:val="22"/>
          <w:lang w:val="en-US"/>
        </w:rPr>
        <w:t>The Action Plan of the United Nations Declaration on the Rights of Indigenous Peoples would bring concreteness to advancing the rights of the Sámi people. The Sámi Parliament and the CEDAW Committee have highlighted the absence of shelters in the Sámi homeland areas.</w:t>
      </w:r>
      <w:r w:rsidRPr="00586C7E">
        <w:rPr>
          <w:rStyle w:val="eop"/>
          <w:rFonts w:asciiTheme="minorHAnsi" w:hAnsiTheme="minorHAnsi" w:cs="Calibri"/>
          <w:sz w:val="22"/>
          <w:szCs w:val="22"/>
          <w:lang w:val="en-US"/>
        </w:rPr>
        <w:t> </w:t>
      </w:r>
    </w:p>
    <w:p w14:paraId="18A259B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p>
    <w:p w14:paraId="5B7B5E60" w14:textId="77777777" w:rsidR="00586C7E"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normaltextrun"/>
          <w:rFonts w:asciiTheme="minorHAnsi" w:hAnsiTheme="minorHAnsi" w:cs="Calibri"/>
          <w:sz w:val="22"/>
          <w:szCs w:val="22"/>
          <w:lang w:val="en-US"/>
        </w:rPr>
        <w:t xml:space="preserve">Improvements in the status of women in traditional Sámi livelihoods can be achieved by reforming the Substitute Help Act for reindeer herders (1238/2014). This reform would provide Sámi women the opportunity to receive substitute help for reindeer herding tasks during pregnancy, childbirth, and </w:t>
      </w:r>
      <w:r w:rsidRPr="00586C7E">
        <w:rPr>
          <w:rStyle w:val="normaltextrun"/>
          <w:rFonts w:asciiTheme="minorHAnsi" w:hAnsiTheme="minorHAnsi" w:cs="Calibri"/>
          <w:sz w:val="22"/>
          <w:szCs w:val="22"/>
          <w:lang w:val="en-US"/>
        </w:rPr>
        <w:lastRenderedPageBreak/>
        <w:t>childcare. In contrast, other substitute help laws in agriculture allow women to receive substitute help for childbirth and childcare.</w:t>
      </w:r>
      <w:r w:rsidRPr="00586C7E">
        <w:rPr>
          <w:rStyle w:val="eop"/>
          <w:rFonts w:asciiTheme="minorHAnsi" w:hAnsiTheme="minorHAnsi" w:cs="Calibri"/>
          <w:sz w:val="22"/>
          <w:szCs w:val="22"/>
          <w:lang w:val="en-US"/>
        </w:rPr>
        <w:t> </w:t>
      </w:r>
    </w:p>
    <w:p w14:paraId="49394FAB" w14:textId="5B439C04" w:rsidR="00CE3F0A" w:rsidRPr="00586C7E" w:rsidRDefault="00586C7E" w:rsidP="00586C7E">
      <w:pPr>
        <w:pStyle w:val="paragraph"/>
        <w:spacing w:before="0" w:beforeAutospacing="0" w:after="0" w:afterAutospacing="0" w:line="276" w:lineRule="auto"/>
        <w:textAlignment w:val="baseline"/>
        <w:rPr>
          <w:rFonts w:asciiTheme="minorHAnsi" w:hAnsiTheme="minorHAnsi" w:cs="Segoe UI"/>
          <w:sz w:val="22"/>
          <w:szCs w:val="22"/>
          <w:lang w:val="en-US"/>
        </w:rPr>
      </w:pPr>
      <w:r w:rsidRPr="00586C7E">
        <w:rPr>
          <w:rStyle w:val="eop"/>
          <w:rFonts w:asciiTheme="minorHAnsi" w:hAnsiTheme="minorHAnsi" w:cs="Calibri"/>
          <w:sz w:val="22"/>
          <w:szCs w:val="22"/>
          <w:lang w:val="en-US"/>
        </w:rPr>
        <w:t> </w:t>
      </w:r>
    </w:p>
    <w:sectPr w:rsidR="00CE3F0A" w:rsidRPr="00586C7E" w:rsidSect="00F81DDE">
      <w:headerReference w:type="default" r:id="rId12"/>
      <w:footerReference w:type="default" r:id="rId13"/>
      <w:pgSz w:w="11900" w:h="16840"/>
      <w:pgMar w:top="1701" w:right="1134" w:bottom="1418" w:left="1134" w:header="1701"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B9D4D" w14:textId="77777777" w:rsidR="00586C7E" w:rsidRDefault="00586C7E" w:rsidP="00C47822">
      <w:r>
        <w:separator/>
      </w:r>
    </w:p>
  </w:endnote>
  <w:endnote w:type="continuationSeparator" w:id="0">
    <w:p w14:paraId="6DC981D3" w14:textId="77777777" w:rsidR="00586C7E" w:rsidRDefault="00586C7E" w:rsidP="00C47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 New Roman (Leipäteksti, m">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936B" w14:textId="77777777" w:rsidR="00F35D5D" w:rsidRDefault="00F35D5D">
    <w:pPr>
      <w:pStyle w:val="Alatunniste"/>
    </w:pPr>
    <w:r>
      <w:rPr>
        <w:noProof/>
      </w:rPr>
      <w:drawing>
        <wp:anchor distT="0" distB="0" distL="114300" distR="114300" simplePos="0" relativeHeight="251659264" behindDoc="0" locked="0" layoutInCell="1" allowOverlap="1" wp14:anchorId="65785B58" wp14:editId="55553461">
          <wp:simplePos x="0" y="0"/>
          <wp:positionH relativeFrom="rightMargin">
            <wp:posOffset>-1139680</wp:posOffset>
          </wp:positionH>
          <wp:positionV relativeFrom="bottomMargin">
            <wp:posOffset>357505</wp:posOffset>
          </wp:positionV>
          <wp:extent cx="1074857" cy="136800"/>
          <wp:effectExtent l="0" t="0" r="0" b="3175"/>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ww-osoite.png"/>
                  <pic:cNvPicPr/>
                </pic:nvPicPr>
                <pic:blipFill>
                  <a:blip r:embed="rId1">
                    <a:extLst>
                      <a:ext uri="{28A0092B-C50C-407E-A947-70E740481C1C}">
                        <a14:useLocalDpi xmlns:a14="http://schemas.microsoft.com/office/drawing/2010/main" val="0"/>
                      </a:ext>
                    </a:extLst>
                  </a:blip>
                  <a:stretch>
                    <a:fillRect/>
                  </a:stretch>
                </pic:blipFill>
                <pic:spPr>
                  <a:xfrm>
                    <a:off x="0" y="0"/>
                    <a:ext cx="1074857" cy="136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AE611" w14:textId="77777777" w:rsidR="00586C7E" w:rsidRDefault="00586C7E" w:rsidP="00C47822">
      <w:r>
        <w:separator/>
      </w:r>
    </w:p>
  </w:footnote>
  <w:footnote w:type="continuationSeparator" w:id="0">
    <w:p w14:paraId="003CD208" w14:textId="77777777" w:rsidR="00586C7E" w:rsidRDefault="00586C7E" w:rsidP="00C47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C9083" w14:textId="77777777" w:rsidR="00AA3E7F" w:rsidRDefault="00BC54AA">
    <w:r>
      <w:rPr>
        <w:noProof/>
      </w:rPr>
      <w:drawing>
        <wp:anchor distT="0" distB="0" distL="114300" distR="114300" simplePos="0" relativeHeight="251658240" behindDoc="1" locked="0" layoutInCell="1" allowOverlap="1" wp14:anchorId="498E1C59" wp14:editId="6BE258DF">
          <wp:simplePos x="0" y="0"/>
          <wp:positionH relativeFrom="column">
            <wp:posOffset>3810</wp:posOffset>
          </wp:positionH>
          <wp:positionV relativeFrom="topMargin">
            <wp:posOffset>252095</wp:posOffset>
          </wp:positionV>
          <wp:extent cx="1080000" cy="7668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JKL_logo_word.png"/>
                  <pic:cNvPicPr/>
                </pic:nvPicPr>
                <pic:blipFill>
                  <a:blip r:embed="rId1">
                    <a:extLst>
                      <a:ext uri="{28A0092B-C50C-407E-A947-70E740481C1C}">
                        <a14:useLocalDpi xmlns:a14="http://schemas.microsoft.com/office/drawing/2010/main" val="0"/>
                      </a:ext>
                    </a:extLst>
                  </a:blip>
                  <a:stretch>
                    <a:fillRect/>
                  </a:stretch>
                </pic:blipFill>
                <pic:spPr>
                  <a:xfrm>
                    <a:off x="0" y="0"/>
                    <a:ext cx="1080000" cy="766800"/>
                  </a:xfrm>
                  <a:prstGeom prst="rect">
                    <a:avLst/>
                  </a:prstGeom>
                </pic:spPr>
              </pic:pic>
            </a:graphicData>
          </a:graphic>
          <wp14:sizeRelH relativeFrom="margin">
            <wp14:pctWidth>0</wp14:pctWidth>
          </wp14:sizeRelH>
          <wp14:sizeRelV relativeFrom="margin">
            <wp14:pctHeight>0</wp14:pctHeight>
          </wp14:sizeRelV>
        </wp:anchor>
      </w:drawing>
    </w:r>
    <w:r w:rsidR="00F35D5D">
      <w:tab/>
    </w:r>
    <w:r w:rsidR="00F35D5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7EF7"/>
    <w:multiLevelType w:val="multilevel"/>
    <w:tmpl w:val="4C2C9040"/>
    <w:lvl w:ilvl="0">
      <w:start w:val="1"/>
      <w:numFmt w:val="decimal"/>
      <w:lvlText w:val="%1."/>
      <w:lvlJc w:val="left"/>
      <w:pPr>
        <w:ind w:left="227" w:hanging="227"/>
      </w:pPr>
      <w:rPr>
        <w:rFonts w:hint="default"/>
      </w:rPr>
    </w:lvl>
    <w:lvl w:ilvl="1">
      <w:start w:val="1"/>
      <w:numFmt w:val="decimal"/>
      <w:lvlText w:val="%1.%2."/>
      <w:lvlJc w:val="left"/>
      <w:pPr>
        <w:ind w:left="567" w:hanging="340"/>
      </w:pPr>
      <w:rPr>
        <w:rFonts w:hint="default"/>
      </w:rPr>
    </w:lvl>
    <w:lvl w:ilvl="2">
      <w:start w:val="1"/>
      <w:numFmt w:val="decimal"/>
      <w:lvlText w:val="%1.%2.%3."/>
      <w:lvlJc w:val="left"/>
      <w:pPr>
        <w:ind w:left="1134" w:hanging="45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155" w:hanging="794"/>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 w15:restartNumberingAfterBreak="0">
    <w:nsid w:val="05857030"/>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BC1E6C"/>
    <w:multiLevelType w:val="multilevel"/>
    <w:tmpl w:val="C45EE3CC"/>
    <w:lvl w:ilvl="0">
      <w:start w:val="1"/>
      <w:numFmt w:val="bullet"/>
      <w:lvlText w:val=""/>
      <w:lvlJc w:val="left"/>
      <w:pPr>
        <w:ind w:left="567" w:hanging="283"/>
      </w:pPr>
      <w:rPr>
        <w:rFonts w:ascii="Symbol" w:hAnsi="Symbol" w:hint="default"/>
      </w:rPr>
    </w:lvl>
    <w:lvl w:ilvl="1">
      <w:start w:val="1"/>
      <w:numFmt w:val="bullet"/>
      <w:lvlText w:val=""/>
      <w:lvlJc w:val="left"/>
      <w:pPr>
        <w:ind w:left="1418" w:hanging="567"/>
      </w:pPr>
      <w:rPr>
        <w:rFonts w:ascii="Symbol" w:hAnsi="Symbol" w:hint="default"/>
      </w:rPr>
    </w:lvl>
    <w:lvl w:ilvl="2">
      <w:start w:val="1"/>
      <w:numFmt w:val="bullet"/>
      <w:lvlText w:val=""/>
      <w:lvlJc w:val="left"/>
      <w:pPr>
        <w:ind w:left="2268" w:hanging="567"/>
      </w:pPr>
      <w:rPr>
        <w:rFonts w:ascii="Symbol" w:hAnsi="Symbol" w:hint="default"/>
      </w:rPr>
    </w:lvl>
    <w:lvl w:ilvl="3">
      <w:start w:val="1"/>
      <w:numFmt w:val="bullet"/>
      <w:lvlText w:val=""/>
      <w:lvlJc w:val="left"/>
      <w:pPr>
        <w:ind w:left="2835" w:hanging="567"/>
      </w:pPr>
      <w:rPr>
        <w:rFonts w:ascii="Symbol" w:hAnsi="Symbol" w:hint="default"/>
      </w:rPr>
    </w:lvl>
    <w:lvl w:ilvl="4">
      <w:start w:val="1"/>
      <w:numFmt w:val="bullet"/>
      <w:lvlText w:val=""/>
      <w:lvlJc w:val="left"/>
      <w:pPr>
        <w:ind w:left="3686" w:hanging="567"/>
      </w:pPr>
      <w:rPr>
        <w:rFonts w:ascii="Symbol" w:hAnsi="Symbol" w:hint="default"/>
      </w:rPr>
    </w:lvl>
    <w:lvl w:ilvl="5">
      <w:start w:val="1"/>
      <w:numFmt w:val="bullet"/>
      <w:lvlText w:val=""/>
      <w:lvlJc w:val="left"/>
      <w:pPr>
        <w:ind w:left="4253" w:hanging="284"/>
      </w:pPr>
      <w:rPr>
        <w:rFonts w:ascii="Symbol" w:hAnsi="Symbol" w:hint="default"/>
      </w:rPr>
    </w:lvl>
    <w:lvl w:ilvl="6">
      <w:start w:val="1"/>
      <w:numFmt w:val="bullet"/>
      <w:lvlText w:val=""/>
      <w:lvlJc w:val="left"/>
      <w:pPr>
        <w:ind w:left="4820" w:hanging="284"/>
      </w:pPr>
      <w:rPr>
        <w:rFonts w:ascii="Symbol" w:hAnsi="Symbol" w:hint="default"/>
      </w:rPr>
    </w:lvl>
    <w:lvl w:ilvl="7">
      <w:start w:val="1"/>
      <w:numFmt w:val="bullet"/>
      <w:lvlText w:val=""/>
      <w:lvlJc w:val="left"/>
      <w:pPr>
        <w:ind w:left="5670" w:hanging="283"/>
      </w:pPr>
      <w:rPr>
        <w:rFonts w:ascii="Symbol" w:hAnsi="Symbol" w:hint="default"/>
      </w:rPr>
    </w:lvl>
    <w:lvl w:ilvl="8">
      <w:start w:val="1"/>
      <w:numFmt w:val="bullet"/>
      <w:lvlText w:val=""/>
      <w:lvlJc w:val="left"/>
      <w:pPr>
        <w:ind w:left="6521" w:hanging="284"/>
      </w:pPr>
      <w:rPr>
        <w:rFonts w:ascii="Symbol" w:hAnsi="Symbol" w:hint="default"/>
      </w:rPr>
    </w:lvl>
  </w:abstractNum>
  <w:abstractNum w:abstractNumId="3" w15:restartNumberingAfterBreak="0">
    <w:nsid w:val="0A1D2248"/>
    <w:multiLevelType w:val="multilevel"/>
    <w:tmpl w:val="C902FD5C"/>
    <w:lvl w:ilvl="0">
      <w:start w:val="1"/>
      <w:numFmt w:val="decimal"/>
      <w:lvlText w:val="%1."/>
      <w:lvlJc w:val="left"/>
      <w:pPr>
        <w:ind w:left="227" w:hanging="227"/>
      </w:pPr>
      <w:rPr>
        <w:rFonts w:hint="default"/>
      </w:rPr>
    </w:lvl>
    <w:lvl w:ilvl="1">
      <w:start w:val="1"/>
      <w:numFmt w:val="decimal"/>
      <w:lvlText w:val="%1.%2."/>
      <w:lvlJc w:val="left"/>
      <w:pPr>
        <w:ind w:left="680" w:hanging="453"/>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4" w15:restartNumberingAfterBreak="0">
    <w:nsid w:val="0D453A0E"/>
    <w:multiLevelType w:val="multilevel"/>
    <w:tmpl w:val="F26A5982"/>
    <w:lvl w:ilvl="0">
      <w:start w:val="1"/>
      <w:numFmt w:val="decimal"/>
      <w:lvlText w:val="%1."/>
      <w:lvlJc w:val="left"/>
      <w:pPr>
        <w:ind w:left="170" w:hanging="170"/>
      </w:pPr>
      <w:rPr>
        <w:rFonts w:hint="default"/>
      </w:rPr>
    </w:lvl>
    <w:lvl w:ilvl="1">
      <w:start w:val="1"/>
      <w:numFmt w:val="decimal"/>
      <w:lvlText w:val="%1.%2."/>
      <w:lvlJc w:val="left"/>
      <w:pPr>
        <w:ind w:left="794" w:hanging="433"/>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5" w15:restartNumberingAfterBreak="0">
    <w:nsid w:val="159F2274"/>
    <w:multiLevelType w:val="multilevel"/>
    <w:tmpl w:val="6204C7A6"/>
    <w:lvl w:ilvl="0">
      <w:start w:val="1"/>
      <w:numFmt w:val="decimal"/>
      <w:lvlText w:val="%1."/>
      <w:lvlJc w:val="left"/>
      <w:pPr>
        <w:ind w:left="284" w:hanging="284"/>
      </w:pPr>
      <w:rPr>
        <w:rFonts w:hint="default"/>
      </w:rPr>
    </w:lvl>
    <w:lvl w:ilvl="1">
      <w:start w:val="1"/>
      <w:numFmt w:val="decimal"/>
      <w:lvlText w:val="%1.%2."/>
      <w:lvlJc w:val="left"/>
      <w:pPr>
        <w:ind w:left="793" w:hanging="432"/>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6" w15:restartNumberingAfterBreak="0">
    <w:nsid w:val="1F0404D3"/>
    <w:multiLevelType w:val="multilevel"/>
    <w:tmpl w:val="040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3327736"/>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51636F"/>
    <w:multiLevelType w:val="multilevel"/>
    <w:tmpl w:val="034847D4"/>
    <w:lvl w:ilvl="0">
      <w:start w:val="1"/>
      <w:numFmt w:val="decimal"/>
      <w:lvlText w:val="%1."/>
      <w:lvlJc w:val="left"/>
      <w:pPr>
        <w:ind w:left="227" w:hanging="227"/>
      </w:pPr>
      <w:rPr>
        <w:rFonts w:hint="default"/>
      </w:rPr>
    </w:lvl>
    <w:lvl w:ilvl="1">
      <w:start w:val="1"/>
      <w:numFmt w:val="decimal"/>
      <w:lvlText w:val="%1.%2."/>
      <w:lvlJc w:val="left"/>
      <w:pPr>
        <w:ind w:left="737" w:hanging="453"/>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9" w15:restartNumberingAfterBreak="0">
    <w:nsid w:val="33546706"/>
    <w:multiLevelType w:val="multilevel"/>
    <w:tmpl w:val="E98E6B2A"/>
    <w:lvl w:ilvl="0">
      <w:start w:val="1"/>
      <w:numFmt w:val="decimal"/>
      <w:lvlText w:val="%1."/>
      <w:lvlJc w:val="left"/>
      <w:pPr>
        <w:ind w:left="227" w:hanging="227"/>
      </w:pPr>
      <w:rPr>
        <w:rFonts w:hint="default"/>
      </w:rPr>
    </w:lvl>
    <w:lvl w:ilvl="1">
      <w:start w:val="1"/>
      <w:numFmt w:val="decimal"/>
      <w:lvlText w:val="%1.%2."/>
      <w:lvlJc w:val="left"/>
      <w:pPr>
        <w:ind w:left="567" w:hanging="340"/>
      </w:pPr>
      <w:rPr>
        <w:rFonts w:hint="default"/>
      </w:rPr>
    </w:lvl>
    <w:lvl w:ilvl="2">
      <w:start w:val="1"/>
      <w:numFmt w:val="decimal"/>
      <w:lvlText w:val="%1.%2.%3."/>
      <w:lvlJc w:val="left"/>
      <w:pPr>
        <w:ind w:left="1134" w:hanging="45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0" w15:restartNumberingAfterBreak="0">
    <w:nsid w:val="3E545BA0"/>
    <w:multiLevelType w:val="multilevel"/>
    <w:tmpl w:val="7A52002C"/>
    <w:lvl w:ilvl="0">
      <w:start w:val="1"/>
      <w:numFmt w:val="bullet"/>
      <w:lvlText w:val=""/>
      <w:lvlJc w:val="left"/>
      <w:pPr>
        <w:ind w:left="567" w:hanging="283"/>
      </w:pPr>
      <w:rPr>
        <w:rFonts w:ascii="Symbol" w:hAnsi="Symbol" w:hint="default"/>
      </w:rPr>
    </w:lvl>
    <w:lvl w:ilvl="1">
      <w:start w:val="1"/>
      <w:numFmt w:val="bullet"/>
      <w:lvlText w:val=""/>
      <w:lvlJc w:val="left"/>
      <w:pPr>
        <w:ind w:left="1134" w:hanging="283"/>
      </w:pPr>
      <w:rPr>
        <w:rFonts w:ascii="Symbol" w:hAnsi="Symbol" w:hint="default"/>
      </w:rPr>
    </w:lvl>
    <w:lvl w:ilvl="2">
      <w:start w:val="1"/>
      <w:numFmt w:val="bullet"/>
      <w:lvlText w:val=""/>
      <w:lvlJc w:val="left"/>
      <w:pPr>
        <w:ind w:left="2268" w:hanging="567"/>
      </w:pPr>
      <w:rPr>
        <w:rFonts w:ascii="Symbol" w:hAnsi="Symbol" w:hint="default"/>
      </w:rPr>
    </w:lvl>
    <w:lvl w:ilvl="3">
      <w:start w:val="1"/>
      <w:numFmt w:val="bullet"/>
      <w:lvlText w:val=""/>
      <w:lvlJc w:val="left"/>
      <w:pPr>
        <w:ind w:left="2835" w:hanging="567"/>
      </w:pPr>
      <w:rPr>
        <w:rFonts w:ascii="Symbol" w:hAnsi="Symbol" w:hint="default"/>
      </w:rPr>
    </w:lvl>
    <w:lvl w:ilvl="4">
      <w:start w:val="1"/>
      <w:numFmt w:val="bullet"/>
      <w:lvlText w:val=""/>
      <w:lvlJc w:val="left"/>
      <w:pPr>
        <w:ind w:left="3686" w:hanging="567"/>
      </w:pPr>
      <w:rPr>
        <w:rFonts w:ascii="Symbol" w:hAnsi="Symbol" w:hint="default"/>
      </w:rPr>
    </w:lvl>
    <w:lvl w:ilvl="5">
      <w:start w:val="1"/>
      <w:numFmt w:val="bullet"/>
      <w:lvlText w:val=""/>
      <w:lvlJc w:val="left"/>
      <w:pPr>
        <w:ind w:left="4253" w:hanging="284"/>
      </w:pPr>
      <w:rPr>
        <w:rFonts w:ascii="Symbol" w:hAnsi="Symbol" w:hint="default"/>
      </w:rPr>
    </w:lvl>
    <w:lvl w:ilvl="6">
      <w:start w:val="1"/>
      <w:numFmt w:val="bullet"/>
      <w:lvlText w:val=""/>
      <w:lvlJc w:val="left"/>
      <w:pPr>
        <w:ind w:left="4820" w:hanging="284"/>
      </w:pPr>
      <w:rPr>
        <w:rFonts w:ascii="Symbol" w:hAnsi="Symbol" w:hint="default"/>
      </w:rPr>
    </w:lvl>
    <w:lvl w:ilvl="7">
      <w:start w:val="1"/>
      <w:numFmt w:val="bullet"/>
      <w:lvlText w:val=""/>
      <w:lvlJc w:val="left"/>
      <w:pPr>
        <w:ind w:left="5670" w:hanging="283"/>
      </w:pPr>
      <w:rPr>
        <w:rFonts w:ascii="Symbol" w:hAnsi="Symbol" w:hint="default"/>
      </w:rPr>
    </w:lvl>
    <w:lvl w:ilvl="8">
      <w:start w:val="1"/>
      <w:numFmt w:val="bullet"/>
      <w:lvlText w:val=""/>
      <w:lvlJc w:val="left"/>
      <w:pPr>
        <w:ind w:left="6521" w:hanging="284"/>
      </w:pPr>
      <w:rPr>
        <w:rFonts w:ascii="Symbol" w:hAnsi="Symbol" w:hint="default"/>
      </w:rPr>
    </w:lvl>
  </w:abstractNum>
  <w:abstractNum w:abstractNumId="11" w15:restartNumberingAfterBreak="0">
    <w:nsid w:val="4E4D3818"/>
    <w:multiLevelType w:val="multilevel"/>
    <w:tmpl w:val="163EAAE6"/>
    <w:lvl w:ilvl="0">
      <w:start w:val="1"/>
      <w:numFmt w:val="decimal"/>
      <w:lvlText w:val="%1."/>
      <w:lvlJc w:val="left"/>
      <w:pPr>
        <w:ind w:left="361" w:hanging="360"/>
      </w:pPr>
      <w:rPr>
        <w:rFonts w:hint="default"/>
      </w:rPr>
    </w:lvl>
    <w:lvl w:ilvl="1">
      <w:start w:val="1"/>
      <w:numFmt w:val="decimal"/>
      <w:lvlText w:val="%1.%2."/>
      <w:lvlJc w:val="left"/>
      <w:pPr>
        <w:ind w:left="793" w:hanging="432"/>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2" w15:restartNumberingAfterBreak="0">
    <w:nsid w:val="50CE39D2"/>
    <w:multiLevelType w:val="multilevel"/>
    <w:tmpl w:val="AA922252"/>
    <w:lvl w:ilvl="0">
      <w:start w:val="1"/>
      <w:numFmt w:val="decimal"/>
      <w:lvlText w:val="%1."/>
      <w:lvlJc w:val="left"/>
      <w:pPr>
        <w:ind w:left="227" w:hanging="227"/>
      </w:pPr>
      <w:rPr>
        <w:rFonts w:hint="default"/>
      </w:rPr>
    </w:lvl>
    <w:lvl w:ilvl="1">
      <w:start w:val="1"/>
      <w:numFmt w:val="decimal"/>
      <w:lvlText w:val="%1.%2."/>
      <w:lvlJc w:val="left"/>
      <w:pPr>
        <w:ind w:left="680" w:hanging="396"/>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3" w15:restartNumberingAfterBreak="0">
    <w:nsid w:val="541030C5"/>
    <w:multiLevelType w:val="multilevel"/>
    <w:tmpl w:val="E30E35E2"/>
    <w:lvl w:ilvl="0">
      <w:start w:val="1"/>
      <w:numFmt w:val="decimal"/>
      <w:lvlText w:val="%1."/>
      <w:lvlJc w:val="left"/>
      <w:pPr>
        <w:ind w:left="284" w:hanging="284"/>
      </w:pPr>
      <w:rPr>
        <w:rFonts w:hint="default"/>
      </w:rPr>
    </w:lvl>
    <w:lvl w:ilvl="1">
      <w:start w:val="1"/>
      <w:numFmt w:val="decimal"/>
      <w:lvlText w:val="%1.%2."/>
      <w:lvlJc w:val="left"/>
      <w:pPr>
        <w:ind w:left="567" w:hanging="206"/>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4" w15:restartNumberingAfterBreak="0">
    <w:nsid w:val="570D6562"/>
    <w:multiLevelType w:val="multilevel"/>
    <w:tmpl w:val="A08211EA"/>
    <w:lvl w:ilvl="0">
      <w:start w:val="1"/>
      <w:numFmt w:val="bullet"/>
      <w:lvlText w:val=""/>
      <w:lvlJc w:val="left"/>
      <w:pPr>
        <w:ind w:left="567" w:hanging="283"/>
      </w:pPr>
      <w:rPr>
        <w:rFonts w:ascii="Symbol" w:hAnsi="Symbol" w:hint="default"/>
      </w:rPr>
    </w:lvl>
    <w:lvl w:ilvl="1">
      <w:start w:val="1"/>
      <w:numFmt w:val="bullet"/>
      <w:lvlText w:val=""/>
      <w:lvlJc w:val="left"/>
      <w:pPr>
        <w:ind w:left="1134" w:hanging="283"/>
      </w:pPr>
      <w:rPr>
        <w:rFonts w:ascii="Symbol" w:hAnsi="Symbol" w:hint="default"/>
      </w:rPr>
    </w:lvl>
    <w:lvl w:ilvl="2">
      <w:start w:val="1"/>
      <w:numFmt w:val="bullet"/>
      <w:lvlText w:val=""/>
      <w:lvlJc w:val="left"/>
      <w:pPr>
        <w:ind w:left="1701" w:hanging="283"/>
      </w:pPr>
      <w:rPr>
        <w:rFonts w:ascii="Symbol" w:hAnsi="Symbol" w:hint="default"/>
      </w:rPr>
    </w:lvl>
    <w:lvl w:ilvl="3">
      <w:start w:val="1"/>
      <w:numFmt w:val="bullet"/>
      <w:lvlText w:val=""/>
      <w:lvlJc w:val="left"/>
      <w:pPr>
        <w:ind w:left="2268" w:hanging="283"/>
      </w:pPr>
      <w:rPr>
        <w:rFonts w:ascii="Symbol" w:hAnsi="Symbol" w:hint="default"/>
      </w:rPr>
    </w:lvl>
    <w:lvl w:ilvl="4">
      <w:start w:val="1"/>
      <w:numFmt w:val="bullet"/>
      <w:lvlText w:val=""/>
      <w:lvlJc w:val="left"/>
      <w:pPr>
        <w:ind w:left="2835" w:hanging="283"/>
      </w:pPr>
      <w:rPr>
        <w:rFonts w:ascii="Symbol" w:hAnsi="Symbol" w:hint="default"/>
      </w:rPr>
    </w:lvl>
    <w:lvl w:ilvl="5">
      <w:start w:val="1"/>
      <w:numFmt w:val="bullet"/>
      <w:lvlText w:val=""/>
      <w:lvlJc w:val="left"/>
      <w:pPr>
        <w:ind w:left="3402" w:hanging="283"/>
      </w:pPr>
      <w:rPr>
        <w:rFonts w:ascii="Symbol" w:hAnsi="Symbol" w:hint="default"/>
      </w:rPr>
    </w:lvl>
    <w:lvl w:ilvl="6">
      <w:start w:val="1"/>
      <w:numFmt w:val="bullet"/>
      <w:lvlText w:val=""/>
      <w:lvlJc w:val="left"/>
      <w:pPr>
        <w:ind w:left="3402" w:firstLine="284"/>
      </w:pPr>
      <w:rPr>
        <w:rFonts w:ascii="Symbol" w:hAnsi="Symbol" w:hint="default"/>
      </w:rPr>
    </w:lvl>
    <w:lvl w:ilvl="7">
      <w:start w:val="1"/>
      <w:numFmt w:val="bullet"/>
      <w:lvlText w:val=""/>
      <w:lvlJc w:val="left"/>
      <w:pPr>
        <w:ind w:left="3969" w:firstLine="284"/>
      </w:pPr>
      <w:rPr>
        <w:rFonts w:ascii="Symbol" w:hAnsi="Symbol" w:hint="default"/>
      </w:rPr>
    </w:lvl>
    <w:lvl w:ilvl="8">
      <w:start w:val="1"/>
      <w:numFmt w:val="bullet"/>
      <w:lvlText w:val=""/>
      <w:lvlJc w:val="left"/>
      <w:pPr>
        <w:ind w:left="4536" w:firstLine="284"/>
      </w:pPr>
      <w:rPr>
        <w:rFonts w:ascii="Symbol" w:hAnsi="Symbol" w:hint="default"/>
      </w:rPr>
    </w:lvl>
  </w:abstractNum>
  <w:abstractNum w:abstractNumId="15" w15:restartNumberingAfterBreak="0">
    <w:nsid w:val="5C4C0C86"/>
    <w:multiLevelType w:val="hybridMultilevel"/>
    <w:tmpl w:val="A4E42936"/>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5CE0405B"/>
    <w:multiLevelType w:val="multilevel"/>
    <w:tmpl w:val="504A9220"/>
    <w:lvl w:ilvl="0">
      <w:start w:val="1"/>
      <w:numFmt w:val="bullet"/>
      <w:lvlText w:val=""/>
      <w:lvlJc w:val="left"/>
      <w:pPr>
        <w:ind w:left="397" w:hanging="113"/>
      </w:pPr>
      <w:rPr>
        <w:rFonts w:ascii="Symbol" w:hAnsi="Symbol" w:hint="default"/>
      </w:rPr>
    </w:lvl>
    <w:lvl w:ilvl="1">
      <w:start w:val="1"/>
      <w:numFmt w:val="bullet"/>
      <w:lvlText w:val=""/>
      <w:lvlJc w:val="left"/>
      <w:pPr>
        <w:ind w:left="1134" w:hanging="283"/>
      </w:pPr>
      <w:rPr>
        <w:rFonts w:ascii="Symbol" w:hAnsi="Symbol" w:hint="default"/>
      </w:rPr>
    </w:lvl>
    <w:lvl w:ilvl="2">
      <w:start w:val="1"/>
      <w:numFmt w:val="bullet"/>
      <w:lvlText w:val=""/>
      <w:lvlJc w:val="left"/>
      <w:pPr>
        <w:ind w:left="1701" w:hanging="283"/>
      </w:pPr>
      <w:rPr>
        <w:rFonts w:ascii="Symbol" w:hAnsi="Symbol" w:hint="default"/>
      </w:rPr>
    </w:lvl>
    <w:lvl w:ilvl="3">
      <w:start w:val="1"/>
      <w:numFmt w:val="bullet"/>
      <w:lvlText w:val=""/>
      <w:lvlJc w:val="left"/>
      <w:pPr>
        <w:ind w:left="2268" w:hanging="283"/>
      </w:pPr>
      <w:rPr>
        <w:rFonts w:ascii="Symbol" w:hAnsi="Symbol" w:hint="default"/>
      </w:rPr>
    </w:lvl>
    <w:lvl w:ilvl="4">
      <w:start w:val="1"/>
      <w:numFmt w:val="bullet"/>
      <w:lvlText w:val=""/>
      <w:lvlJc w:val="left"/>
      <w:pPr>
        <w:ind w:left="2835" w:hanging="283"/>
      </w:pPr>
      <w:rPr>
        <w:rFonts w:ascii="Symbol" w:hAnsi="Symbol" w:hint="default"/>
      </w:rPr>
    </w:lvl>
    <w:lvl w:ilvl="5">
      <w:start w:val="1"/>
      <w:numFmt w:val="bullet"/>
      <w:lvlText w:val=""/>
      <w:lvlJc w:val="left"/>
      <w:pPr>
        <w:ind w:left="3402" w:hanging="283"/>
      </w:pPr>
      <w:rPr>
        <w:rFonts w:ascii="Symbol" w:hAnsi="Symbol" w:hint="default"/>
      </w:rPr>
    </w:lvl>
    <w:lvl w:ilvl="6">
      <w:start w:val="1"/>
      <w:numFmt w:val="bullet"/>
      <w:lvlText w:val=""/>
      <w:lvlJc w:val="left"/>
      <w:pPr>
        <w:ind w:left="3402" w:firstLine="284"/>
      </w:pPr>
      <w:rPr>
        <w:rFonts w:ascii="Symbol" w:hAnsi="Symbol" w:hint="default"/>
      </w:rPr>
    </w:lvl>
    <w:lvl w:ilvl="7">
      <w:start w:val="1"/>
      <w:numFmt w:val="bullet"/>
      <w:lvlText w:val=""/>
      <w:lvlJc w:val="left"/>
      <w:pPr>
        <w:ind w:left="3969" w:firstLine="284"/>
      </w:pPr>
      <w:rPr>
        <w:rFonts w:ascii="Symbol" w:hAnsi="Symbol" w:hint="default"/>
      </w:rPr>
    </w:lvl>
    <w:lvl w:ilvl="8">
      <w:start w:val="1"/>
      <w:numFmt w:val="bullet"/>
      <w:lvlText w:val=""/>
      <w:lvlJc w:val="left"/>
      <w:pPr>
        <w:ind w:left="4536" w:firstLine="284"/>
      </w:pPr>
      <w:rPr>
        <w:rFonts w:ascii="Symbol" w:hAnsi="Symbol" w:hint="default"/>
      </w:rPr>
    </w:lvl>
  </w:abstractNum>
  <w:abstractNum w:abstractNumId="17" w15:restartNumberingAfterBreak="0">
    <w:nsid w:val="61415621"/>
    <w:multiLevelType w:val="hybridMultilevel"/>
    <w:tmpl w:val="E8964250"/>
    <w:lvl w:ilvl="0" w:tplc="040B0001">
      <w:start w:val="1"/>
      <w:numFmt w:val="bullet"/>
      <w:lvlText w:val=""/>
      <w:lvlJc w:val="left"/>
      <w:pPr>
        <w:ind w:left="720" w:hanging="360"/>
      </w:pPr>
      <w:rPr>
        <w:rFonts w:ascii="Symbol" w:hAnsi="Symbol" w:hint="default"/>
      </w:rPr>
    </w:lvl>
    <w:lvl w:ilvl="1" w:tplc="040B0001">
      <w:start w:val="1"/>
      <w:numFmt w:val="bullet"/>
      <w:lvlText w:val=""/>
      <w:lvlJc w:val="left"/>
      <w:pPr>
        <w:ind w:left="144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65C75F7D"/>
    <w:multiLevelType w:val="multilevel"/>
    <w:tmpl w:val="191EFFC4"/>
    <w:lvl w:ilvl="0">
      <w:start w:val="1"/>
      <w:numFmt w:val="bullet"/>
      <w:lvlText w:val=""/>
      <w:lvlJc w:val="left"/>
      <w:pPr>
        <w:ind w:left="567" w:hanging="283"/>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6BB5B8F"/>
    <w:multiLevelType w:val="multilevel"/>
    <w:tmpl w:val="5128C4F8"/>
    <w:lvl w:ilvl="0">
      <w:start w:val="1"/>
      <w:numFmt w:val="decimal"/>
      <w:pStyle w:val="NJKLLeiptekstinumerointi"/>
      <w:lvlText w:val="%1."/>
      <w:lvlJc w:val="left"/>
      <w:pPr>
        <w:ind w:left="227" w:hanging="227"/>
      </w:pPr>
      <w:rPr>
        <w:rFonts w:hint="default"/>
      </w:rPr>
    </w:lvl>
    <w:lvl w:ilvl="1">
      <w:start w:val="1"/>
      <w:numFmt w:val="decimal"/>
      <w:lvlText w:val="%1.%2."/>
      <w:lvlJc w:val="left"/>
      <w:pPr>
        <w:ind w:left="567" w:hanging="340"/>
      </w:pPr>
      <w:rPr>
        <w:rFonts w:hint="default"/>
      </w:rPr>
    </w:lvl>
    <w:lvl w:ilvl="2">
      <w:start w:val="1"/>
      <w:numFmt w:val="decimal"/>
      <w:lvlText w:val="%1.%2.%3."/>
      <w:lvlJc w:val="left"/>
      <w:pPr>
        <w:ind w:left="1134" w:hanging="454"/>
      </w:pPr>
      <w:rPr>
        <w:rFonts w:hint="default"/>
      </w:rPr>
    </w:lvl>
    <w:lvl w:ilvl="3">
      <w:start w:val="1"/>
      <w:numFmt w:val="decimal"/>
      <w:lvlText w:val="%1.%2.%3.%4."/>
      <w:lvlJc w:val="left"/>
      <w:pPr>
        <w:ind w:left="1701" w:hanging="567"/>
      </w:pPr>
      <w:rPr>
        <w:rFonts w:hint="default"/>
      </w:rPr>
    </w:lvl>
    <w:lvl w:ilvl="4">
      <w:start w:val="1"/>
      <w:numFmt w:val="decimal"/>
      <w:lvlText w:val="%1.%2.%3.%4.%5."/>
      <w:lvlJc w:val="left"/>
      <w:pPr>
        <w:ind w:left="2268" w:hanging="850"/>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0" w15:restartNumberingAfterBreak="0">
    <w:nsid w:val="66F51F61"/>
    <w:multiLevelType w:val="hybridMultilevel"/>
    <w:tmpl w:val="4896F330"/>
    <w:lvl w:ilvl="0" w:tplc="77E86C44">
      <w:start w:val="1"/>
      <w:numFmt w:val="bullet"/>
      <w:lvlText w:val=""/>
      <w:lvlJc w:val="left"/>
      <w:pPr>
        <w:ind w:left="567" w:hanging="283"/>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68E61F43"/>
    <w:multiLevelType w:val="multilevel"/>
    <w:tmpl w:val="4F644640"/>
    <w:lvl w:ilvl="0">
      <w:start w:val="1"/>
      <w:numFmt w:val="decimal"/>
      <w:lvlText w:val="%1."/>
      <w:lvlJc w:val="left"/>
      <w:pPr>
        <w:ind w:left="227" w:hanging="227"/>
      </w:pPr>
      <w:rPr>
        <w:rFonts w:hint="default"/>
      </w:rPr>
    </w:lvl>
    <w:lvl w:ilvl="1">
      <w:start w:val="1"/>
      <w:numFmt w:val="decimal"/>
      <w:lvlText w:val="%1.%2."/>
      <w:lvlJc w:val="left"/>
      <w:pPr>
        <w:ind w:left="624" w:hanging="263"/>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2" w15:restartNumberingAfterBreak="0">
    <w:nsid w:val="72142E7A"/>
    <w:multiLevelType w:val="multilevel"/>
    <w:tmpl w:val="9BD6EA8C"/>
    <w:lvl w:ilvl="0">
      <w:start w:val="1"/>
      <w:numFmt w:val="decimal"/>
      <w:lvlText w:val="%1."/>
      <w:lvlJc w:val="left"/>
      <w:pPr>
        <w:ind w:left="227" w:hanging="227"/>
      </w:pPr>
      <w:rPr>
        <w:rFonts w:hint="default"/>
      </w:rPr>
    </w:lvl>
    <w:lvl w:ilvl="1">
      <w:start w:val="1"/>
      <w:numFmt w:val="decimal"/>
      <w:lvlText w:val="%1.%2."/>
      <w:lvlJc w:val="left"/>
      <w:pPr>
        <w:ind w:left="680" w:hanging="567"/>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3" w15:restartNumberingAfterBreak="0">
    <w:nsid w:val="72B31C84"/>
    <w:multiLevelType w:val="multilevel"/>
    <w:tmpl w:val="040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C120501"/>
    <w:multiLevelType w:val="multilevel"/>
    <w:tmpl w:val="AB8499AE"/>
    <w:lvl w:ilvl="0">
      <w:start w:val="1"/>
      <w:numFmt w:val="bullet"/>
      <w:pStyle w:val="NJKLLeiptekstibulleteilla"/>
      <w:lvlText w:val=""/>
      <w:lvlJc w:val="left"/>
      <w:pPr>
        <w:ind w:left="644" w:hanging="360"/>
      </w:pPr>
      <w:rPr>
        <w:rFonts w:ascii="Symbol" w:hAnsi="Symbol" w:hint="default"/>
      </w:rPr>
    </w:lvl>
    <w:lvl w:ilvl="1">
      <w:start w:val="1"/>
      <w:numFmt w:val="bullet"/>
      <w:lvlText w:val=""/>
      <w:lvlJc w:val="left"/>
      <w:pPr>
        <w:ind w:left="1134" w:hanging="283"/>
      </w:pPr>
      <w:rPr>
        <w:rFonts w:ascii="Symbol" w:hAnsi="Symbol" w:hint="default"/>
      </w:rPr>
    </w:lvl>
    <w:lvl w:ilvl="2">
      <w:start w:val="1"/>
      <w:numFmt w:val="bullet"/>
      <w:lvlText w:val=""/>
      <w:lvlJc w:val="left"/>
      <w:pPr>
        <w:ind w:left="1701" w:hanging="283"/>
      </w:pPr>
      <w:rPr>
        <w:rFonts w:ascii="Symbol" w:hAnsi="Symbol" w:hint="default"/>
      </w:rPr>
    </w:lvl>
    <w:lvl w:ilvl="3">
      <w:start w:val="1"/>
      <w:numFmt w:val="bullet"/>
      <w:lvlText w:val=""/>
      <w:lvlJc w:val="left"/>
      <w:pPr>
        <w:ind w:left="2268" w:hanging="283"/>
      </w:pPr>
      <w:rPr>
        <w:rFonts w:ascii="Symbol" w:hAnsi="Symbol" w:hint="default"/>
      </w:rPr>
    </w:lvl>
    <w:lvl w:ilvl="4">
      <w:start w:val="1"/>
      <w:numFmt w:val="bullet"/>
      <w:lvlText w:val=""/>
      <w:lvlJc w:val="left"/>
      <w:pPr>
        <w:ind w:left="2835" w:hanging="283"/>
      </w:pPr>
      <w:rPr>
        <w:rFonts w:ascii="Symbol" w:hAnsi="Symbol" w:hint="default"/>
      </w:rPr>
    </w:lvl>
    <w:lvl w:ilvl="5">
      <w:start w:val="1"/>
      <w:numFmt w:val="bullet"/>
      <w:lvlText w:val=""/>
      <w:lvlJc w:val="left"/>
      <w:pPr>
        <w:ind w:left="3402" w:hanging="283"/>
      </w:pPr>
      <w:rPr>
        <w:rFonts w:ascii="Symbol" w:hAnsi="Symbol" w:hint="default"/>
      </w:rPr>
    </w:lvl>
    <w:lvl w:ilvl="6">
      <w:start w:val="1"/>
      <w:numFmt w:val="bullet"/>
      <w:lvlText w:val=""/>
      <w:lvlJc w:val="left"/>
      <w:pPr>
        <w:ind w:left="3402" w:firstLine="284"/>
      </w:pPr>
      <w:rPr>
        <w:rFonts w:ascii="Symbol" w:hAnsi="Symbol" w:hint="default"/>
      </w:rPr>
    </w:lvl>
    <w:lvl w:ilvl="7">
      <w:start w:val="1"/>
      <w:numFmt w:val="bullet"/>
      <w:lvlText w:val=""/>
      <w:lvlJc w:val="left"/>
      <w:pPr>
        <w:ind w:left="3969" w:firstLine="284"/>
      </w:pPr>
      <w:rPr>
        <w:rFonts w:ascii="Symbol" w:hAnsi="Symbol" w:hint="default"/>
      </w:rPr>
    </w:lvl>
    <w:lvl w:ilvl="8">
      <w:start w:val="1"/>
      <w:numFmt w:val="bullet"/>
      <w:lvlText w:val=""/>
      <w:lvlJc w:val="left"/>
      <w:pPr>
        <w:ind w:left="4536" w:firstLine="284"/>
      </w:pPr>
      <w:rPr>
        <w:rFonts w:ascii="Symbol" w:hAnsi="Symbol" w:hint="default"/>
      </w:rPr>
    </w:lvl>
  </w:abstractNum>
  <w:abstractNum w:abstractNumId="25" w15:restartNumberingAfterBreak="0">
    <w:nsid w:val="7C8836B5"/>
    <w:multiLevelType w:val="multilevel"/>
    <w:tmpl w:val="57E2E79E"/>
    <w:lvl w:ilvl="0">
      <w:start w:val="1"/>
      <w:numFmt w:val="decimal"/>
      <w:lvlText w:val="%1."/>
      <w:lvlJc w:val="left"/>
      <w:pPr>
        <w:ind w:left="227" w:hanging="227"/>
      </w:pPr>
      <w:rPr>
        <w:rFonts w:hint="default"/>
      </w:rPr>
    </w:lvl>
    <w:lvl w:ilvl="1">
      <w:start w:val="1"/>
      <w:numFmt w:val="decimal"/>
      <w:lvlText w:val="%1.%2."/>
      <w:lvlJc w:val="left"/>
      <w:pPr>
        <w:ind w:left="624" w:hanging="397"/>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26" w15:restartNumberingAfterBreak="0">
    <w:nsid w:val="7EF2501B"/>
    <w:multiLevelType w:val="multilevel"/>
    <w:tmpl w:val="C0D07608"/>
    <w:lvl w:ilvl="0">
      <w:start w:val="1"/>
      <w:numFmt w:val="decimal"/>
      <w:lvlText w:val="%1."/>
      <w:lvlJc w:val="left"/>
      <w:pPr>
        <w:ind w:left="170" w:hanging="170"/>
      </w:pPr>
      <w:rPr>
        <w:rFonts w:hint="default"/>
      </w:rPr>
    </w:lvl>
    <w:lvl w:ilvl="1">
      <w:start w:val="1"/>
      <w:numFmt w:val="decimal"/>
      <w:lvlText w:val="%1.%2."/>
      <w:lvlJc w:val="left"/>
      <w:pPr>
        <w:ind w:left="794" w:hanging="433"/>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num w:numId="1" w16cid:durableId="812335063">
    <w:abstractNumId w:val="1"/>
  </w:num>
  <w:num w:numId="2" w16cid:durableId="2009091956">
    <w:abstractNumId w:val="7"/>
  </w:num>
  <w:num w:numId="3" w16cid:durableId="740254025">
    <w:abstractNumId w:val="23"/>
  </w:num>
  <w:num w:numId="4" w16cid:durableId="1103182928">
    <w:abstractNumId w:val="19"/>
  </w:num>
  <w:num w:numId="5" w16cid:durableId="488326184">
    <w:abstractNumId w:val="11"/>
  </w:num>
  <w:num w:numId="6" w16cid:durableId="987322247">
    <w:abstractNumId w:val="5"/>
  </w:num>
  <w:num w:numId="7" w16cid:durableId="776674955">
    <w:abstractNumId w:val="4"/>
  </w:num>
  <w:num w:numId="8" w16cid:durableId="396052300">
    <w:abstractNumId w:val="17"/>
  </w:num>
  <w:num w:numId="9" w16cid:durableId="1311834924">
    <w:abstractNumId w:val="26"/>
  </w:num>
  <w:num w:numId="10" w16cid:durableId="1895652535">
    <w:abstractNumId w:val="13"/>
  </w:num>
  <w:num w:numId="11" w16cid:durableId="1530492137">
    <w:abstractNumId w:val="21"/>
  </w:num>
  <w:num w:numId="12" w16cid:durableId="1583563459">
    <w:abstractNumId w:val="8"/>
  </w:num>
  <w:num w:numId="13" w16cid:durableId="1571772640">
    <w:abstractNumId w:val="12"/>
  </w:num>
  <w:num w:numId="14" w16cid:durableId="1097363925">
    <w:abstractNumId w:val="3"/>
  </w:num>
  <w:num w:numId="15" w16cid:durableId="1268349840">
    <w:abstractNumId w:val="22"/>
  </w:num>
  <w:num w:numId="16" w16cid:durableId="616064120">
    <w:abstractNumId w:val="25"/>
  </w:num>
  <w:num w:numId="17" w16cid:durableId="582104459">
    <w:abstractNumId w:val="9"/>
  </w:num>
  <w:num w:numId="18" w16cid:durableId="457842105">
    <w:abstractNumId w:val="20"/>
  </w:num>
  <w:num w:numId="19" w16cid:durableId="799803384">
    <w:abstractNumId w:val="18"/>
  </w:num>
  <w:num w:numId="20" w16cid:durableId="518279101">
    <w:abstractNumId w:val="24"/>
  </w:num>
  <w:num w:numId="21" w16cid:durableId="977106905">
    <w:abstractNumId w:val="2"/>
  </w:num>
  <w:num w:numId="22" w16cid:durableId="762805434">
    <w:abstractNumId w:val="0"/>
  </w:num>
  <w:num w:numId="23" w16cid:durableId="779297056">
    <w:abstractNumId w:val="10"/>
  </w:num>
  <w:num w:numId="24" w16cid:durableId="824399576">
    <w:abstractNumId w:val="15"/>
  </w:num>
  <w:num w:numId="25" w16cid:durableId="1499808155">
    <w:abstractNumId w:val="14"/>
  </w:num>
  <w:num w:numId="26" w16cid:durableId="1398632202">
    <w:abstractNumId w:val="16"/>
  </w:num>
  <w:num w:numId="27" w16cid:durableId="2930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C7E"/>
    <w:rsid w:val="00006747"/>
    <w:rsid w:val="000862F1"/>
    <w:rsid w:val="000953A7"/>
    <w:rsid w:val="00154A2F"/>
    <w:rsid w:val="001E015D"/>
    <w:rsid w:val="00240384"/>
    <w:rsid w:val="00243845"/>
    <w:rsid w:val="00281886"/>
    <w:rsid w:val="0028364B"/>
    <w:rsid w:val="00290F8C"/>
    <w:rsid w:val="002A2F16"/>
    <w:rsid w:val="002E1CFC"/>
    <w:rsid w:val="002E2B06"/>
    <w:rsid w:val="00305092"/>
    <w:rsid w:val="00373936"/>
    <w:rsid w:val="00380938"/>
    <w:rsid w:val="003A25D2"/>
    <w:rsid w:val="004037CA"/>
    <w:rsid w:val="004165A6"/>
    <w:rsid w:val="00442CD0"/>
    <w:rsid w:val="004E0A72"/>
    <w:rsid w:val="004F1716"/>
    <w:rsid w:val="004F3071"/>
    <w:rsid w:val="00542954"/>
    <w:rsid w:val="00552FE2"/>
    <w:rsid w:val="00586C7E"/>
    <w:rsid w:val="0059183B"/>
    <w:rsid w:val="005A44A9"/>
    <w:rsid w:val="005C1F12"/>
    <w:rsid w:val="005C47A7"/>
    <w:rsid w:val="006241EE"/>
    <w:rsid w:val="006373D3"/>
    <w:rsid w:val="00650E9B"/>
    <w:rsid w:val="006B7F5E"/>
    <w:rsid w:val="006D2A3A"/>
    <w:rsid w:val="006F1B91"/>
    <w:rsid w:val="007354A8"/>
    <w:rsid w:val="007F17DC"/>
    <w:rsid w:val="00862069"/>
    <w:rsid w:val="00885AB1"/>
    <w:rsid w:val="00897BB7"/>
    <w:rsid w:val="008B51F9"/>
    <w:rsid w:val="00965D6E"/>
    <w:rsid w:val="009A1991"/>
    <w:rsid w:val="009B189A"/>
    <w:rsid w:val="00A41C3C"/>
    <w:rsid w:val="00A527F2"/>
    <w:rsid w:val="00A74872"/>
    <w:rsid w:val="00AA1790"/>
    <w:rsid w:val="00AA3E7F"/>
    <w:rsid w:val="00AE339C"/>
    <w:rsid w:val="00B250AA"/>
    <w:rsid w:val="00B53F8A"/>
    <w:rsid w:val="00B542B1"/>
    <w:rsid w:val="00B715E4"/>
    <w:rsid w:val="00B90F8B"/>
    <w:rsid w:val="00B92EF3"/>
    <w:rsid w:val="00BC3DC3"/>
    <w:rsid w:val="00BC54AA"/>
    <w:rsid w:val="00C47822"/>
    <w:rsid w:val="00CB184F"/>
    <w:rsid w:val="00CE3F0A"/>
    <w:rsid w:val="00D0383A"/>
    <w:rsid w:val="00DE77ED"/>
    <w:rsid w:val="00E048CB"/>
    <w:rsid w:val="00E10782"/>
    <w:rsid w:val="00E37676"/>
    <w:rsid w:val="00F051AA"/>
    <w:rsid w:val="00F35D5D"/>
    <w:rsid w:val="00F81DDE"/>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F122A"/>
  <w15:chartTrackingRefBased/>
  <w15:docId w15:val="{4282ECCC-3463-4F65-911E-F9F28489B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ali">
    <w:name w:val="Normal"/>
    <w:qFormat/>
  </w:style>
  <w:style w:type="paragraph" w:styleId="Otsikko2">
    <w:name w:val="heading 2"/>
    <w:basedOn w:val="Normaali"/>
    <w:next w:val="Normaali"/>
    <w:link w:val="Otsikko2Char"/>
    <w:uiPriority w:val="9"/>
    <w:unhideWhenUsed/>
    <w:qFormat/>
    <w:rsid w:val="00F35D5D"/>
    <w:pPr>
      <w:keepNext/>
      <w:keepLines/>
      <w:spacing w:before="40"/>
      <w:outlineLvl w:val="1"/>
    </w:pPr>
    <w:rPr>
      <w:rFonts w:asciiTheme="majorHAnsi" w:eastAsiaTheme="majorEastAsia" w:hAnsiTheme="majorHAnsi" w:cstheme="majorBidi"/>
      <w:color w:val="BF3900" w:themeColor="accent1" w:themeShade="BF"/>
      <w:sz w:val="26"/>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NJKLLeipteksti">
    <w:name w:val="NJKL Leipäteksti"/>
    <w:basedOn w:val="Normaali"/>
    <w:qFormat/>
    <w:rsid w:val="00E10782"/>
    <w:pPr>
      <w:tabs>
        <w:tab w:val="left" w:pos="284"/>
        <w:tab w:val="left" w:pos="567"/>
        <w:tab w:val="left" w:pos="851"/>
        <w:tab w:val="left" w:pos="1134"/>
        <w:tab w:val="left" w:pos="1701"/>
        <w:tab w:val="left" w:pos="2268"/>
        <w:tab w:val="left" w:pos="2835"/>
        <w:tab w:val="left" w:pos="3402"/>
        <w:tab w:val="left" w:pos="3969"/>
        <w:tab w:val="left" w:pos="4536"/>
        <w:tab w:val="left" w:pos="5103"/>
        <w:tab w:val="left" w:pos="5670"/>
      </w:tabs>
      <w:spacing w:before="40" w:after="40"/>
    </w:pPr>
    <w:rPr>
      <w:color w:val="000000"/>
      <w:sz w:val="18"/>
    </w:rPr>
  </w:style>
  <w:style w:type="paragraph" w:customStyle="1" w:styleId="NJKLAllekirjoitus">
    <w:name w:val="NJKL Allekirjoitus"/>
    <w:basedOn w:val="NJKLLeipteksti"/>
    <w:qFormat/>
    <w:rsid w:val="00F35D5D"/>
    <w:rPr>
      <w:rFonts w:cs="Times New Roman (Leipäteksti, m"/>
      <w:b/>
      <w:spacing w:val="10"/>
      <w:lang w:val="en-US"/>
    </w:rPr>
  </w:style>
  <w:style w:type="paragraph" w:customStyle="1" w:styleId="NJKLVliotsikko2">
    <w:name w:val="NJKL Väliotsikko 2"/>
    <w:basedOn w:val="NJKLVliotsikko"/>
    <w:qFormat/>
    <w:rsid w:val="00F35D5D"/>
    <w:rPr>
      <w:color w:val="FF4D00" w:themeColor="accent1"/>
    </w:rPr>
  </w:style>
  <w:style w:type="paragraph" w:customStyle="1" w:styleId="NJKLOtsikko">
    <w:name w:val="NJKL Otsikko"/>
    <w:qFormat/>
    <w:rsid w:val="00897BB7"/>
    <w:pPr>
      <w:spacing w:after="200"/>
    </w:pPr>
    <w:rPr>
      <w:rFonts w:asciiTheme="majorHAnsi" w:hAnsiTheme="majorHAnsi"/>
      <w:b/>
      <w:bCs/>
      <w:color w:val="FF4D00" w:themeColor="accent1"/>
      <w:sz w:val="28"/>
      <w:szCs w:val="18"/>
    </w:rPr>
  </w:style>
  <w:style w:type="paragraph" w:customStyle="1" w:styleId="NJKLIngressi">
    <w:name w:val="NJKL Ingressi"/>
    <w:basedOn w:val="NJKLOtsikko"/>
    <w:qFormat/>
    <w:rsid w:val="00897BB7"/>
    <w:rPr>
      <w:b w:val="0"/>
      <w:color w:val="CF63CE" w:themeColor="text1"/>
      <w:sz w:val="24"/>
    </w:rPr>
  </w:style>
  <w:style w:type="paragraph" w:customStyle="1" w:styleId="NJKLVliotsikko">
    <w:name w:val="NJKL Väliotsikko"/>
    <w:aliases w:val="musta"/>
    <w:next w:val="NJKLLeipteksti"/>
    <w:qFormat/>
    <w:rsid w:val="00F81DDE"/>
    <w:pPr>
      <w:tabs>
        <w:tab w:val="left" w:pos="284"/>
        <w:tab w:val="left" w:pos="397"/>
        <w:tab w:val="left" w:pos="567"/>
      </w:tabs>
      <w:spacing w:before="320" w:after="160"/>
    </w:pPr>
    <w:rPr>
      <w:rFonts w:asciiTheme="majorHAnsi" w:hAnsiTheme="majorHAnsi"/>
      <w:b/>
      <w:bCs/>
      <w:color w:val="000000"/>
      <w:lang w:val="en-US"/>
    </w:rPr>
  </w:style>
  <w:style w:type="paragraph" w:customStyle="1" w:styleId="NJKLLeiptekstinumerointi">
    <w:name w:val="NJKL Leipäteksti numerointi"/>
    <w:basedOn w:val="NJKLLeipteksti"/>
    <w:next w:val="NJKLLeipteksti"/>
    <w:qFormat/>
    <w:rsid w:val="00F81DDE"/>
    <w:pPr>
      <w:numPr>
        <w:numId w:val="4"/>
      </w:numPr>
      <w:ind w:left="511"/>
    </w:pPr>
    <w:rPr>
      <w:lang w:val="en-US"/>
    </w:rPr>
  </w:style>
  <w:style w:type="paragraph" w:customStyle="1" w:styleId="NJKLLeiptekstibulleteilla">
    <w:name w:val="NJKL Leipäteksti bulleteilla"/>
    <w:basedOn w:val="NJKLLeipteksti"/>
    <w:next w:val="NJKLLeipteksti"/>
    <w:qFormat/>
    <w:rsid w:val="007354A8"/>
    <w:pPr>
      <w:numPr>
        <w:numId w:val="20"/>
      </w:numPr>
    </w:pPr>
  </w:style>
  <w:style w:type="table" w:styleId="TaulukkoRuudukko">
    <w:name w:val="Table Grid"/>
    <w:basedOn w:val="Normaalitaulukko"/>
    <w:uiPriority w:val="39"/>
    <w:rsid w:val="00B250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uudukkotaulukko2-korostus2">
    <w:name w:val="Grid Table 2 Accent 2"/>
    <w:basedOn w:val="Normaalitaulukko"/>
    <w:uiPriority w:val="47"/>
    <w:rsid w:val="00B250AA"/>
    <w:tblPr>
      <w:tblStyleRowBandSize w:val="1"/>
      <w:tblStyleColBandSize w:val="1"/>
      <w:tblBorders>
        <w:top w:val="single" w:sz="2" w:space="0" w:color="FFF9F0" w:themeColor="accent2" w:themeTint="99"/>
        <w:bottom w:val="single" w:sz="2" w:space="0" w:color="FFF9F0" w:themeColor="accent2" w:themeTint="99"/>
        <w:insideH w:val="single" w:sz="2" w:space="0" w:color="FFF9F0" w:themeColor="accent2" w:themeTint="99"/>
        <w:insideV w:val="single" w:sz="2" w:space="0" w:color="FFF9F0" w:themeColor="accent2" w:themeTint="99"/>
      </w:tblBorders>
    </w:tblPr>
    <w:tblStylePr w:type="firstRow">
      <w:rPr>
        <w:b/>
        <w:bCs/>
      </w:rPr>
      <w:tblPr/>
      <w:tcPr>
        <w:tcBorders>
          <w:top w:val="nil"/>
          <w:bottom w:val="single" w:sz="12" w:space="0" w:color="FFF9F0" w:themeColor="accent2" w:themeTint="99"/>
          <w:insideH w:val="nil"/>
          <w:insideV w:val="nil"/>
        </w:tcBorders>
        <w:shd w:val="clear" w:color="auto" w:fill="F8F7F3" w:themeFill="background1"/>
      </w:tcPr>
    </w:tblStylePr>
    <w:tblStylePr w:type="lastRow">
      <w:rPr>
        <w:b/>
        <w:bCs/>
      </w:rPr>
      <w:tblPr/>
      <w:tcPr>
        <w:tcBorders>
          <w:top w:val="double" w:sz="2" w:space="0" w:color="FFF9F0" w:themeColor="accent2" w:themeTint="99"/>
          <w:bottom w:val="nil"/>
          <w:insideH w:val="nil"/>
          <w:insideV w:val="nil"/>
        </w:tcBorders>
        <w:shd w:val="clear" w:color="auto" w:fill="F8F7F3" w:themeFill="background1"/>
      </w:tcPr>
    </w:tblStylePr>
    <w:tblStylePr w:type="firstCol">
      <w:rPr>
        <w:b/>
        <w:bCs/>
      </w:rPr>
    </w:tblStylePr>
    <w:tblStylePr w:type="lastCol">
      <w:rPr>
        <w:b/>
        <w:bCs/>
      </w:rPr>
    </w:tblStylePr>
    <w:tblStylePr w:type="band1Vert">
      <w:tblPr/>
      <w:tcPr>
        <w:shd w:val="clear" w:color="auto" w:fill="FFFDFA" w:themeFill="accent2" w:themeFillTint="33"/>
      </w:tcPr>
    </w:tblStylePr>
    <w:tblStylePr w:type="band1Horz">
      <w:tblPr/>
      <w:tcPr>
        <w:shd w:val="clear" w:color="auto" w:fill="FFFDFA" w:themeFill="accent2" w:themeFillTint="33"/>
      </w:tcPr>
    </w:tblStylePr>
  </w:style>
  <w:style w:type="table" w:styleId="Ruudukkotaulukko2">
    <w:name w:val="Grid Table 2"/>
    <w:basedOn w:val="Normaalitaulukko"/>
    <w:uiPriority w:val="47"/>
    <w:rsid w:val="00B250AA"/>
    <w:tblPr>
      <w:tblStyleRowBandSize w:val="1"/>
      <w:tblStyleColBandSize w:val="1"/>
      <w:tblBorders>
        <w:top w:val="single" w:sz="2" w:space="0" w:color="E2A1E1" w:themeColor="text1" w:themeTint="99"/>
        <w:bottom w:val="single" w:sz="2" w:space="0" w:color="E2A1E1" w:themeColor="text1" w:themeTint="99"/>
        <w:insideH w:val="single" w:sz="2" w:space="0" w:color="E2A1E1" w:themeColor="text1" w:themeTint="99"/>
        <w:insideV w:val="single" w:sz="2" w:space="0" w:color="E2A1E1" w:themeColor="text1" w:themeTint="99"/>
      </w:tblBorders>
    </w:tblPr>
    <w:tblStylePr w:type="firstRow">
      <w:rPr>
        <w:b/>
        <w:bCs/>
      </w:rPr>
      <w:tblPr/>
      <w:tcPr>
        <w:tcBorders>
          <w:top w:val="nil"/>
          <w:bottom w:val="single" w:sz="12" w:space="0" w:color="E2A1E1" w:themeColor="text1" w:themeTint="99"/>
          <w:insideH w:val="nil"/>
          <w:insideV w:val="nil"/>
        </w:tcBorders>
        <w:shd w:val="clear" w:color="auto" w:fill="F8F7F3" w:themeFill="background1"/>
      </w:tcPr>
    </w:tblStylePr>
    <w:tblStylePr w:type="lastRow">
      <w:rPr>
        <w:b/>
        <w:bCs/>
      </w:rPr>
      <w:tblPr/>
      <w:tcPr>
        <w:tcBorders>
          <w:top w:val="double" w:sz="2" w:space="0" w:color="E2A1E1" w:themeColor="text1" w:themeTint="99"/>
          <w:bottom w:val="nil"/>
          <w:insideH w:val="nil"/>
          <w:insideV w:val="nil"/>
        </w:tcBorders>
        <w:shd w:val="clear" w:color="auto" w:fill="F8F7F3" w:themeFill="background1"/>
      </w:tcPr>
    </w:tblStylePr>
    <w:tblStylePr w:type="firstCol">
      <w:rPr>
        <w:b/>
        <w:bCs/>
      </w:rPr>
    </w:tblStylePr>
    <w:tblStylePr w:type="lastCol">
      <w:rPr>
        <w:b/>
        <w:bCs/>
      </w:rPr>
    </w:tblStylePr>
    <w:tblStylePr w:type="band1Vert">
      <w:tblPr/>
      <w:tcPr>
        <w:shd w:val="clear" w:color="auto" w:fill="F5DFF5" w:themeFill="text1" w:themeFillTint="33"/>
      </w:tcPr>
    </w:tblStylePr>
    <w:tblStylePr w:type="band1Horz">
      <w:tblPr/>
      <w:tcPr>
        <w:shd w:val="clear" w:color="auto" w:fill="F5DFF5" w:themeFill="text1" w:themeFillTint="33"/>
      </w:tcPr>
    </w:tblStylePr>
  </w:style>
  <w:style w:type="paragraph" w:styleId="Yltunniste">
    <w:name w:val="header"/>
    <w:basedOn w:val="Normaali"/>
    <w:link w:val="YltunnisteChar"/>
    <w:uiPriority w:val="99"/>
    <w:unhideWhenUsed/>
    <w:rsid w:val="00BC54AA"/>
    <w:pPr>
      <w:tabs>
        <w:tab w:val="center" w:pos="4819"/>
        <w:tab w:val="right" w:pos="9638"/>
      </w:tabs>
    </w:pPr>
  </w:style>
  <w:style w:type="character" w:customStyle="1" w:styleId="YltunnisteChar">
    <w:name w:val="Ylätunniste Char"/>
    <w:basedOn w:val="Kappaleenoletusfontti"/>
    <w:link w:val="Yltunniste"/>
    <w:uiPriority w:val="99"/>
    <w:rsid w:val="00BC54AA"/>
  </w:style>
  <w:style w:type="paragraph" w:styleId="Alatunniste">
    <w:name w:val="footer"/>
    <w:basedOn w:val="Normaali"/>
    <w:link w:val="AlatunnisteChar"/>
    <w:uiPriority w:val="99"/>
    <w:unhideWhenUsed/>
    <w:rsid w:val="00BC54AA"/>
    <w:pPr>
      <w:tabs>
        <w:tab w:val="center" w:pos="4819"/>
        <w:tab w:val="right" w:pos="9638"/>
      </w:tabs>
    </w:pPr>
  </w:style>
  <w:style w:type="character" w:customStyle="1" w:styleId="AlatunnisteChar">
    <w:name w:val="Alatunniste Char"/>
    <w:basedOn w:val="Kappaleenoletusfontti"/>
    <w:link w:val="Alatunniste"/>
    <w:uiPriority w:val="99"/>
    <w:rsid w:val="00BC54AA"/>
  </w:style>
  <w:style w:type="character" w:customStyle="1" w:styleId="Otsikko2Char">
    <w:name w:val="Otsikko 2 Char"/>
    <w:basedOn w:val="Kappaleenoletusfontti"/>
    <w:link w:val="Otsikko2"/>
    <w:uiPriority w:val="9"/>
    <w:rsid w:val="00F35D5D"/>
    <w:rPr>
      <w:rFonts w:asciiTheme="majorHAnsi" w:eastAsiaTheme="majorEastAsia" w:hAnsiTheme="majorHAnsi" w:cstheme="majorBidi"/>
      <w:color w:val="BF3900" w:themeColor="accent1" w:themeShade="BF"/>
      <w:sz w:val="26"/>
      <w:szCs w:val="26"/>
    </w:rPr>
  </w:style>
  <w:style w:type="paragraph" w:customStyle="1" w:styleId="paragraph">
    <w:name w:val="paragraph"/>
    <w:basedOn w:val="Normaali"/>
    <w:rsid w:val="00586C7E"/>
    <w:pPr>
      <w:spacing w:before="100" w:beforeAutospacing="1" w:after="100" w:afterAutospacing="1"/>
    </w:pPr>
    <w:rPr>
      <w:rFonts w:ascii="Times New Roman" w:eastAsia="Times New Roman" w:hAnsi="Times New Roman" w:cs="Times New Roman"/>
      <w:lang w:eastAsia="fi-FI"/>
    </w:rPr>
  </w:style>
  <w:style w:type="character" w:customStyle="1" w:styleId="normaltextrun">
    <w:name w:val="normaltextrun"/>
    <w:basedOn w:val="Kappaleenoletusfontti"/>
    <w:rsid w:val="00586C7E"/>
  </w:style>
  <w:style w:type="character" w:customStyle="1" w:styleId="eop">
    <w:name w:val="eop"/>
    <w:basedOn w:val="Kappaleenoletusfontti"/>
    <w:rsid w:val="00586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29278">
      <w:bodyDiv w:val="1"/>
      <w:marLeft w:val="0"/>
      <w:marRight w:val="0"/>
      <w:marTop w:val="0"/>
      <w:marBottom w:val="0"/>
      <w:divBdr>
        <w:top w:val="none" w:sz="0" w:space="0" w:color="auto"/>
        <w:left w:val="none" w:sz="0" w:space="0" w:color="auto"/>
        <w:bottom w:val="none" w:sz="0" w:space="0" w:color="auto"/>
        <w:right w:val="none" w:sz="0" w:space="0" w:color="auto"/>
      </w:divBdr>
    </w:div>
    <w:div w:id="131021089">
      <w:bodyDiv w:val="1"/>
      <w:marLeft w:val="0"/>
      <w:marRight w:val="0"/>
      <w:marTop w:val="0"/>
      <w:marBottom w:val="0"/>
      <w:divBdr>
        <w:top w:val="none" w:sz="0" w:space="0" w:color="auto"/>
        <w:left w:val="none" w:sz="0" w:space="0" w:color="auto"/>
        <w:bottom w:val="none" w:sz="0" w:space="0" w:color="auto"/>
        <w:right w:val="none" w:sz="0" w:space="0" w:color="auto"/>
      </w:divBdr>
      <w:divsChild>
        <w:div w:id="918977996">
          <w:marLeft w:val="0"/>
          <w:marRight w:val="0"/>
          <w:marTop w:val="0"/>
          <w:marBottom w:val="0"/>
          <w:divBdr>
            <w:top w:val="none" w:sz="0" w:space="0" w:color="auto"/>
            <w:left w:val="none" w:sz="0" w:space="0" w:color="auto"/>
            <w:bottom w:val="none" w:sz="0" w:space="0" w:color="auto"/>
            <w:right w:val="none" w:sz="0" w:space="0" w:color="auto"/>
          </w:divBdr>
        </w:div>
        <w:div w:id="952443183">
          <w:marLeft w:val="0"/>
          <w:marRight w:val="0"/>
          <w:marTop w:val="0"/>
          <w:marBottom w:val="0"/>
          <w:divBdr>
            <w:top w:val="none" w:sz="0" w:space="0" w:color="auto"/>
            <w:left w:val="none" w:sz="0" w:space="0" w:color="auto"/>
            <w:bottom w:val="none" w:sz="0" w:space="0" w:color="auto"/>
            <w:right w:val="none" w:sz="0" w:space="0" w:color="auto"/>
          </w:divBdr>
        </w:div>
        <w:div w:id="167328606">
          <w:marLeft w:val="0"/>
          <w:marRight w:val="0"/>
          <w:marTop w:val="0"/>
          <w:marBottom w:val="0"/>
          <w:divBdr>
            <w:top w:val="none" w:sz="0" w:space="0" w:color="auto"/>
            <w:left w:val="none" w:sz="0" w:space="0" w:color="auto"/>
            <w:bottom w:val="none" w:sz="0" w:space="0" w:color="auto"/>
            <w:right w:val="none" w:sz="0" w:space="0" w:color="auto"/>
          </w:divBdr>
        </w:div>
        <w:div w:id="818889723">
          <w:marLeft w:val="0"/>
          <w:marRight w:val="0"/>
          <w:marTop w:val="0"/>
          <w:marBottom w:val="0"/>
          <w:divBdr>
            <w:top w:val="none" w:sz="0" w:space="0" w:color="auto"/>
            <w:left w:val="none" w:sz="0" w:space="0" w:color="auto"/>
            <w:bottom w:val="none" w:sz="0" w:space="0" w:color="auto"/>
            <w:right w:val="none" w:sz="0" w:space="0" w:color="auto"/>
          </w:divBdr>
        </w:div>
        <w:div w:id="80832929">
          <w:marLeft w:val="0"/>
          <w:marRight w:val="0"/>
          <w:marTop w:val="0"/>
          <w:marBottom w:val="0"/>
          <w:divBdr>
            <w:top w:val="none" w:sz="0" w:space="0" w:color="auto"/>
            <w:left w:val="none" w:sz="0" w:space="0" w:color="auto"/>
            <w:bottom w:val="none" w:sz="0" w:space="0" w:color="auto"/>
            <w:right w:val="none" w:sz="0" w:space="0" w:color="auto"/>
          </w:divBdr>
        </w:div>
        <w:div w:id="1991597390">
          <w:marLeft w:val="0"/>
          <w:marRight w:val="0"/>
          <w:marTop w:val="0"/>
          <w:marBottom w:val="0"/>
          <w:divBdr>
            <w:top w:val="none" w:sz="0" w:space="0" w:color="auto"/>
            <w:left w:val="none" w:sz="0" w:space="0" w:color="auto"/>
            <w:bottom w:val="none" w:sz="0" w:space="0" w:color="auto"/>
            <w:right w:val="none" w:sz="0" w:space="0" w:color="auto"/>
          </w:divBdr>
        </w:div>
        <w:div w:id="588198910">
          <w:marLeft w:val="0"/>
          <w:marRight w:val="0"/>
          <w:marTop w:val="0"/>
          <w:marBottom w:val="0"/>
          <w:divBdr>
            <w:top w:val="none" w:sz="0" w:space="0" w:color="auto"/>
            <w:left w:val="none" w:sz="0" w:space="0" w:color="auto"/>
            <w:bottom w:val="none" w:sz="0" w:space="0" w:color="auto"/>
            <w:right w:val="none" w:sz="0" w:space="0" w:color="auto"/>
          </w:divBdr>
        </w:div>
        <w:div w:id="665786786">
          <w:marLeft w:val="0"/>
          <w:marRight w:val="0"/>
          <w:marTop w:val="0"/>
          <w:marBottom w:val="0"/>
          <w:divBdr>
            <w:top w:val="none" w:sz="0" w:space="0" w:color="auto"/>
            <w:left w:val="none" w:sz="0" w:space="0" w:color="auto"/>
            <w:bottom w:val="none" w:sz="0" w:space="0" w:color="auto"/>
            <w:right w:val="none" w:sz="0" w:space="0" w:color="auto"/>
          </w:divBdr>
        </w:div>
        <w:div w:id="1546942661">
          <w:marLeft w:val="0"/>
          <w:marRight w:val="0"/>
          <w:marTop w:val="0"/>
          <w:marBottom w:val="0"/>
          <w:divBdr>
            <w:top w:val="none" w:sz="0" w:space="0" w:color="auto"/>
            <w:left w:val="none" w:sz="0" w:space="0" w:color="auto"/>
            <w:bottom w:val="none" w:sz="0" w:space="0" w:color="auto"/>
            <w:right w:val="none" w:sz="0" w:space="0" w:color="auto"/>
          </w:divBdr>
        </w:div>
        <w:div w:id="978146434">
          <w:marLeft w:val="0"/>
          <w:marRight w:val="0"/>
          <w:marTop w:val="0"/>
          <w:marBottom w:val="0"/>
          <w:divBdr>
            <w:top w:val="none" w:sz="0" w:space="0" w:color="auto"/>
            <w:left w:val="none" w:sz="0" w:space="0" w:color="auto"/>
            <w:bottom w:val="none" w:sz="0" w:space="0" w:color="auto"/>
            <w:right w:val="none" w:sz="0" w:space="0" w:color="auto"/>
          </w:divBdr>
        </w:div>
        <w:div w:id="526216535">
          <w:marLeft w:val="0"/>
          <w:marRight w:val="0"/>
          <w:marTop w:val="0"/>
          <w:marBottom w:val="0"/>
          <w:divBdr>
            <w:top w:val="none" w:sz="0" w:space="0" w:color="auto"/>
            <w:left w:val="none" w:sz="0" w:space="0" w:color="auto"/>
            <w:bottom w:val="none" w:sz="0" w:space="0" w:color="auto"/>
            <w:right w:val="none" w:sz="0" w:space="0" w:color="auto"/>
          </w:divBdr>
        </w:div>
        <w:div w:id="1565021700">
          <w:marLeft w:val="0"/>
          <w:marRight w:val="0"/>
          <w:marTop w:val="0"/>
          <w:marBottom w:val="0"/>
          <w:divBdr>
            <w:top w:val="none" w:sz="0" w:space="0" w:color="auto"/>
            <w:left w:val="none" w:sz="0" w:space="0" w:color="auto"/>
            <w:bottom w:val="none" w:sz="0" w:space="0" w:color="auto"/>
            <w:right w:val="none" w:sz="0" w:space="0" w:color="auto"/>
          </w:divBdr>
        </w:div>
        <w:div w:id="1785490740">
          <w:marLeft w:val="0"/>
          <w:marRight w:val="0"/>
          <w:marTop w:val="0"/>
          <w:marBottom w:val="0"/>
          <w:divBdr>
            <w:top w:val="none" w:sz="0" w:space="0" w:color="auto"/>
            <w:left w:val="none" w:sz="0" w:space="0" w:color="auto"/>
            <w:bottom w:val="none" w:sz="0" w:space="0" w:color="auto"/>
            <w:right w:val="none" w:sz="0" w:space="0" w:color="auto"/>
          </w:divBdr>
        </w:div>
        <w:div w:id="201789324">
          <w:marLeft w:val="0"/>
          <w:marRight w:val="0"/>
          <w:marTop w:val="0"/>
          <w:marBottom w:val="0"/>
          <w:divBdr>
            <w:top w:val="none" w:sz="0" w:space="0" w:color="auto"/>
            <w:left w:val="none" w:sz="0" w:space="0" w:color="auto"/>
            <w:bottom w:val="none" w:sz="0" w:space="0" w:color="auto"/>
            <w:right w:val="none" w:sz="0" w:space="0" w:color="auto"/>
          </w:divBdr>
        </w:div>
        <w:div w:id="63141466">
          <w:marLeft w:val="0"/>
          <w:marRight w:val="0"/>
          <w:marTop w:val="0"/>
          <w:marBottom w:val="0"/>
          <w:divBdr>
            <w:top w:val="none" w:sz="0" w:space="0" w:color="auto"/>
            <w:left w:val="none" w:sz="0" w:space="0" w:color="auto"/>
            <w:bottom w:val="none" w:sz="0" w:space="0" w:color="auto"/>
            <w:right w:val="none" w:sz="0" w:space="0" w:color="auto"/>
          </w:divBdr>
        </w:div>
        <w:div w:id="203830215">
          <w:marLeft w:val="0"/>
          <w:marRight w:val="0"/>
          <w:marTop w:val="0"/>
          <w:marBottom w:val="0"/>
          <w:divBdr>
            <w:top w:val="none" w:sz="0" w:space="0" w:color="auto"/>
            <w:left w:val="none" w:sz="0" w:space="0" w:color="auto"/>
            <w:bottom w:val="none" w:sz="0" w:space="0" w:color="auto"/>
            <w:right w:val="none" w:sz="0" w:space="0" w:color="auto"/>
          </w:divBdr>
        </w:div>
        <w:div w:id="1896117868">
          <w:marLeft w:val="0"/>
          <w:marRight w:val="0"/>
          <w:marTop w:val="0"/>
          <w:marBottom w:val="0"/>
          <w:divBdr>
            <w:top w:val="none" w:sz="0" w:space="0" w:color="auto"/>
            <w:left w:val="none" w:sz="0" w:space="0" w:color="auto"/>
            <w:bottom w:val="none" w:sz="0" w:space="0" w:color="auto"/>
            <w:right w:val="none" w:sz="0" w:space="0" w:color="auto"/>
          </w:divBdr>
        </w:div>
        <w:div w:id="1258251101">
          <w:marLeft w:val="0"/>
          <w:marRight w:val="0"/>
          <w:marTop w:val="0"/>
          <w:marBottom w:val="0"/>
          <w:divBdr>
            <w:top w:val="none" w:sz="0" w:space="0" w:color="auto"/>
            <w:left w:val="none" w:sz="0" w:space="0" w:color="auto"/>
            <w:bottom w:val="none" w:sz="0" w:space="0" w:color="auto"/>
            <w:right w:val="none" w:sz="0" w:space="0" w:color="auto"/>
          </w:divBdr>
        </w:div>
        <w:div w:id="46144686">
          <w:marLeft w:val="0"/>
          <w:marRight w:val="0"/>
          <w:marTop w:val="0"/>
          <w:marBottom w:val="0"/>
          <w:divBdr>
            <w:top w:val="none" w:sz="0" w:space="0" w:color="auto"/>
            <w:left w:val="none" w:sz="0" w:space="0" w:color="auto"/>
            <w:bottom w:val="none" w:sz="0" w:space="0" w:color="auto"/>
            <w:right w:val="none" w:sz="0" w:space="0" w:color="auto"/>
          </w:divBdr>
        </w:div>
        <w:div w:id="1205679048">
          <w:marLeft w:val="0"/>
          <w:marRight w:val="0"/>
          <w:marTop w:val="0"/>
          <w:marBottom w:val="0"/>
          <w:divBdr>
            <w:top w:val="none" w:sz="0" w:space="0" w:color="auto"/>
            <w:left w:val="none" w:sz="0" w:space="0" w:color="auto"/>
            <w:bottom w:val="none" w:sz="0" w:space="0" w:color="auto"/>
            <w:right w:val="none" w:sz="0" w:space="0" w:color="auto"/>
          </w:divBdr>
        </w:div>
        <w:div w:id="210655470">
          <w:marLeft w:val="0"/>
          <w:marRight w:val="0"/>
          <w:marTop w:val="0"/>
          <w:marBottom w:val="0"/>
          <w:divBdr>
            <w:top w:val="none" w:sz="0" w:space="0" w:color="auto"/>
            <w:left w:val="none" w:sz="0" w:space="0" w:color="auto"/>
            <w:bottom w:val="none" w:sz="0" w:space="0" w:color="auto"/>
            <w:right w:val="none" w:sz="0" w:space="0" w:color="auto"/>
          </w:divBdr>
        </w:div>
        <w:div w:id="1167743699">
          <w:marLeft w:val="0"/>
          <w:marRight w:val="0"/>
          <w:marTop w:val="0"/>
          <w:marBottom w:val="0"/>
          <w:divBdr>
            <w:top w:val="none" w:sz="0" w:space="0" w:color="auto"/>
            <w:left w:val="none" w:sz="0" w:space="0" w:color="auto"/>
            <w:bottom w:val="none" w:sz="0" w:space="0" w:color="auto"/>
            <w:right w:val="none" w:sz="0" w:space="0" w:color="auto"/>
          </w:divBdr>
        </w:div>
        <w:div w:id="1883858822">
          <w:marLeft w:val="0"/>
          <w:marRight w:val="0"/>
          <w:marTop w:val="0"/>
          <w:marBottom w:val="0"/>
          <w:divBdr>
            <w:top w:val="none" w:sz="0" w:space="0" w:color="auto"/>
            <w:left w:val="none" w:sz="0" w:space="0" w:color="auto"/>
            <w:bottom w:val="none" w:sz="0" w:space="0" w:color="auto"/>
            <w:right w:val="none" w:sz="0" w:space="0" w:color="auto"/>
          </w:divBdr>
        </w:div>
        <w:div w:id="476066841">
          <w:marLeft w:val="0"/>
          <w:marRight w:val="0"/>
          <w:marTop w:val="0"/>
          <w:marBottom w:val="0"/>
          <w:divBdr>
            <w:top w:val="none" w:sz="0" w:space="0" w:color="auto"/>
            <w:left w:val="none" w:sz="0" w:space="0" w:color="auto"/>
            <w:bottom w:val="none" w:sz="0" w:space="0" w:color="auto"/>
            <w:right w:val="none" w:sz="0" w:space="0" w:color="auto"/>
          </w:divBdr>
        </w:div>
        <w:div w:id="1049574928">
          <w:marLeft w:val="0"/>
          <w:marRight w:val="0"/>
          <w:marTop w:val="0"/>
          <w:marBottom w:val="0"/>
          <w:divBdr>
            <w:top w:val="none" w:sz="0" w:space="0" w:color="auto"/>
            <w:left w:val="none" w:sz="0" w:space="0" w:color="auto"/>
            <w:bottom w:val="none" w:sz="0" w:space="0" w:color="auto"/>
            <w:right w:val="none" w:sz="0" w:space="0" w:color="auto"/>
          </w:divBdr>
        </w:div>
        <w:div w:id="2012873030">
          <w:marLeft w:val="0"/>
          <w:marRight w:val="0"/>
          <w:marTop w:val="0"/>
          <w:marBottom w:val="0"/>
          <w:divBdr>
            <w:top w:val="none" w:sz="0" w:space="0" w:color="auto"/>
            <w:left w:val="none" w:sz="0" w:space="0" w:color="auto"/>
            <w:bottom w:val="none" w:sz="0" w:space="0" w:color="auto"/>
            <w:right w:val="none" w:sz="0" w:space="0" w:color="auto"/>
          </w:divBdr>
        </w:div>
        <w:div w:id="1342506392">
          <w:marLeft w:val="0"/>
          <w:marRight w:val="0"/>
          <w:marTop w:val="0"/>
          <w:marBottom w:val="0"/>
          <w:divBdr>
            <w:top w:val="none" w:sz="0" w:space="0" w:color="auto"/>
            <w:left w:val="none" w:sz="0" w:space="0" w:color="auto"/>
            <w:bottom w:val="none" w:sz="0" w:space="0" w:color="auto"/>
            <w:right w:val="none" w:sz="0" w:space="0" w:color="auto"/>
          </w:divBdr>
        </w:div>
        <w:div w:id="348876053">
          <w:marLeft w:val="0"/>
          <w:marRight w:val="0"/>
          <w:marTop w:val="0"/>
          <w:marBottom w:val="0"/>
          <w:divBdr>
            <w:top w:val="none" w:sz="0" w:space="0" w:color="auto"/>
            <w:left w:val="none" w:sz="0" w:space="0" w:color="auto"/>
            <w:bottom w:val="none" w:sz="0" w:space="0" w:color="auto"/>
            <w:right w:val="none" w:sz="0" w:space="0" w:color="auto"/>
          </w:divBdr>
        </w:div>
        <w:div w:id="1768885327">
          <w:marLeft w:val="0"/>
          <w:marRight w:val="0"/>
          <w:marTop w:val="0"/>
          <w:marBottom w:val="0"/>
          <w:divBdr>
            <w:top w:val="none" w:sz="0" w:space="0" w:color="auto"/>
            <w:left w:val="none" w:sz="0" w:space="0" w:color="auto"/>
            <w:bottom w:val="none" w:sz="0" w:space="0" w:color="auto"/>
            <w:right w:val="none" w:sz="0" w:space="0" w:color="auto"/>
          </w:divBdr>
        </w:div>
        <w:div w:id="1086994647">
          <w:marLeft w:val="0"/>
          <w:marRight w:val="0"/>
          <w:marTop w:val="0"/>
          <w:marBottom w:val="0"/>
          <w:divBdr>
            <w:top w:val="none" w:sz="0" w:space="0" w:color="auto"/>
            <w:left w:val="none" w:sz="0" w:space="0" w:color="auto"/>
            <w:bottom w:val="none" w:sz="0" w:space="0" w:color="auto"/>
            <w:right w:val="none" w:sz="0" w:space="0" w:color="auto"/>
          </w:divBdr>
        </w:div>
        <w:div w:id="719086255">
          <w:marLeft w:val="0"/>
          <w:marRight w:val="0"/>
          <w:marTop w:val="0"/>
          <w:marBottom w:val="0"/>
          <w:divBdr>
            <w:top w:val="none" w:sz="0" w:space="0" w:color="auto"/>
            <w:left w:val="none" w:sz="0" w:space="0" w:color="auto"/>
            <w:bottom w:val="none" w:sz="0" w:space="0" w:color="auto"/>
            <w:right w:val="none" w:sz="0" w:space="0" w:color="auto"/>
          </w:divBdr>
        </w:div>
        <w:div w:id="60257901">
          <w:marLeft w:val="0"/>
          <w:marRight w:val="0"/>
          <w:marTop w:val="0"/>
          <w:marBottom w:val="0"/>
          <w:divBdr>
            <w:top w:val="none" w:sz="0" w:space="0" w:color="auto"/>
            <w:left w:val="none" w:sz="0" w:space="0" w:color="auto"/>
            <w:bottom w:val="none" w:sz="0" w:space="0" w:color="auto"/>
            <w:right w:val="none" w:sz="0" w:space="0" w:color="auto"/>
          </w:divBdr>
        </w:div>
        <w:div w:id="1784687528">
          <w:marLeft w:val="0"/>
          <w:marRight w:val="0"/>
          <w:marTop w:val="0"/>
          <w:marBottom w:val="0"/>
          <w:divBdr>
            <w:top w:val="none" w:sz="0" w:space="0" w:color="auto"/>
            <w:left w:val="none" w:sz="0" w:space="0" w:color="auto"/>
            <w:bottom w:val="none" w:sz="0" w:space="0" w:color="auto"/>
            <w:right w:val="none" w:sz="0" w:space="0" w:color="auto"/>
          </w:divBdr>
        </w:div>
        <w:div w:id="1346904118">
          <w:marLeft w:val="0"/>
          <w:marRight w:val="0"/>
          <w:marTop w:val="0"/>
          <w:marBottom w:val="0"/>
          <w:divBdr>
            <w:top w:val="none" w:sz="0" w:space="0" w:color="auto"/>
            <w:left w:val="none" w:sz="0" w:space="0" w:color="auto"/>
            <w:bottom w:val="none" w:sz="0" w:space="0" w:color="auto"/>
            <w:right w:val="none" w:sz="0" w:space="0" w:color="auto"/>
          </w:divBdr>
        </w:div>
        <w:div w:id="1346860221">
          <w:marLeft w:val="0"/>
          <w:marRight w:val="0"/>
          <w:marTop w:val="0"/>
          <w:marBottom w:val="0"/>
          <w:divBdr>
            <w:top w:val="none" w:sz="0" w:space="0" w:color="auto"/>
            <w:left w:val="none" w:sz="0" w:space="0" w:color="auto"/>
            <w:bottom w:val="none" w:sz="0" w:space="0" w:color="auto"/>
            <w:right w:val="none" w:sz="0" w:space="0" w:color="auto"/>
          </w:divBdr>
        </w:div>
        <w:div w:id="678124124">
          <w:marLeft w:val="0"/>
          <w:marRight w:val="0"/>
          <w:marTop w:val="0"/>
          <w:marBottom w:val="0"/>
          <w:divBdr>
            <w:top w:val="none" w:sz="0" w:space="0" w:color="auto"/>
            <w:left w:val="none" w:sz="0" w:space="0" w:color="auto"/>
            <w:bottom w:val="none" w:sz="0" w:space="0" w:color="auto"/>
            <w:right w:val="none" w:sz="0" w:space="0" w:color="auto"/>
          </w:divBdr>
        </w:div>
        <w:div w:id="659121542">
          <w:marLeft w:val="0"/>
          <w:marRight w:val="0"/>
          <w:marTop w:val="0"/>
          <w:marBottom w:val="0"/>
          <w:divBdr>
            <w:top w:val="none" w:sz="0" w:space="0" w:color="auto"/>
            <w:left w:val="none" w:sz="0" w:space="0" w:color="auto"/>
            <w:bottom w:val="none" w:sz="0" w:space="0" w:color="auto"/>
            <w:right w:val="none" w:sz="0" w:space="0" w:color="auto"/>
          </w:divBdr>
        </w:div>
        <w:div w:id="1906986351">
          <w:marLeft w:val="0"/>
          <w:marRight w:val="0"/>
          <w:marTop w:val="0"/>
          <w:marBottom w:val="0"/>
          <w:divBdr>
            <w:top w:val="none" w:sz="0" w:space="0" w:color="auto"/>
            <w:left w:val="none" w:sz="0" w:space="0" w:color="auto"/>
            <w:bottom w:val="none" w:sz="0" w:space="0" w:color="auto"/>
            <w:right w:val="none" w:sz="0" w:space="0" w:color="auto"/>
          </w:divBdr>
        </w:div>
        <w:div w:id="806355797">
          <w:marLeft w:val="0"/>
          <w:marRight w:val="0"/>
          <w:marTop w:val="0"/>
          <w:marBottom w:val="0"/>
          <w:divBdr>
            <w:top w:val="none" w:sz="0" w:space="0" w:color="auto"/>
            <w:left w:val="none" w:sz="0" w:space="0" w:color="auto"/>
            <w:bottom w:val="none" w:sz="0" w:space="0" w:color="auto"/>
            <w:right w:val="none" w:sz="0" w:space="0" w:color="auto"/>
          </w:divBdr>
        </w:div>
        <w:div w:id="1854806968">
          <w:marLeft w:val="0"/>
          <w:marRight w:val="0"/>
          <w:marTop w:val="0"/>
          <w:marBottom w:val="0"/>
          <w:divBdr>
            <w:top w:val="none" w:sz="0" w:space="0" w:color="auto"/>
            <w:left w:val="none" w:sz="0" w:space="0" w:color="auto"/>
            <w:bottom w:val="none" w:sz="0" w:space="0" w:color="auto"/>
            <w:right w:val="none" w:sz="0" w:space="0" w:color="auto"/>
          </w:divBdr>
        </w:div>
        <w:div w:id="2121294574">
          <w:marLeft w:val="0"/>
          <w:marRight w:val="0"/>
          <w:marTop w:val="0"/>
          <w:marBottom w:val="0"/>
          <w:divBdr>
            <w:top w:val="none" w:sz="0" w:space="0" w:color="auto"/>
            <w:left w:val="none" w:sz="0" w:space="0" w:color="auto"/>
            <w:bottom w:val="none" w:sz="0" w:space="0" w:color="auto"/>
            <w:right w:val="none" w:sz="0" w:space="0" w:color="auto"/>
          </w:divBdr>
        </w:div>
        <w:div w:id="1777171617">
          <w:marLeft w:val="0"/>
          <w:marRight w:val="0"/>
          <w:marTop w:val="0"/>
          <w:marBottom w:val="0"/>
          <w:divBdr>
            <w:top w:val="none" w:sz="0" w:space="0" w:color="auto"/>
            <w:left w:val="none" w:sz="0" w:space="0" w:color="auto"/>
            <w:bottom w:val="none" w:sz="0" w:space="0" w:color="auto"/>
            <w:right w:val="none" w:sz="0" w:space="0" w:color="auto"/>
          </w:divBdr>
        </w:div>
        <w:div w:id="1244073214">
          <w:marLeft w:val="0"/>
          <w:marRight w:val="0"/>
          <w:marTop w:val="0"/>
          <w:marBottom w:val="0"/>
          <w:divBdr>
            <w:top w:val="none" w:sz="0" w:space="0" w:color="auto"/>
            <w:left w:val="none" w:sz="0" w:space="0" w:color="auto"/>
            <w:bottom w:val="none" w:sz="0" w:space="0" w:color="auto"/>
            <w:right w:val="none" w:sz="0" w:space="0" w:color="auto"/>
          </w:divBdr>
        </w:div>
        <w:div w:id="2053455139">
          <w:marLeft w:val="0"/>
          <w:marRight w:val="0"/>
          <w:marTop w:val="0"/>
          <w:marBottom w:val="0"/>
          <w:divBdr>
            <w:top w:val="none" w:sz="0" w:space="0" w:color="auto"/>
            <w:left w:val="none" w:sz="0" w:space="0" w:color="auto"/>
            <w:bottom w:val="none" w:sz="0" w:space="0" w:color="auto"/>
            <w:right w:val="none" w:sz="0" w:space="0" w:color="auto"/>
          </w:divBdr>
        </w:div>
        <w:div w:id="39981479">
          <w:marLeft w:val="0"/>
          <w:marRight w:val="0"/>
          <w:marTop w:val="0"/>
          <w:marBottom w:val="0"/>
          <w:divBdr>
            <w:top w:val="none" w:sz="0" w:space="0" w:color="auto"/>
            <w:left w:val="none" w:sz="0" w:space="0" w:color="auto"/>
            <w:bottom w:val="none" w:sz="0" w:space="0" w:color="auto"/>
            <w:right w:val="none" w:sz="0" w:space="0" w:color="auto"/>
          </w:divBdr>
        </w:div>
        <w:div w:id="790125517">
          <w:marLeft w:val="0"/>
          <w:marRight w:val="0"/>
          <w:marTop w:val="0"/>
          <w:marBottom w:val="0"/>
          <w:divBdr>
            <w:top w:val="none" w:sz="0" w:space="0" w:color="auto"/>
            <w:left w:val="none" w:sz="0" w:space="0" w:color="auto"/>
            <w:bottom w:val="none" w:sz="0" w:space="0" w:color="auto"/>
            <w:right w:val="none" w:sz="0" w:space="0" w:color="auto"/>
          </w:divBdr>
        </w:div>
        <w:div w:id="1758792361">
          <w:marLeft w:val="0"/>
          <w:marRight w:val="0"/>
          <w:marTop w:val="0"/>
          <w:marBottom w:val="0"/>
          <w:divBdr>
            <w:top w:val="none" w:sz="0" w:space="0" w:color="auto"/>
            <w:left w:val="none" w:sz="0" w:space="0" w:color="auto"/>
            <w:bottom w:val="none" w:sz="0" w:space="0" w:color="auto"/>
            <w:right w:val="none" w:sz="0" w:space="0" w:color="auto"/>
          </w:divBdr>
        </w:div>
        <w:div w:id="305277298">
          <w:marLeft w:val="0"/>
          <w:marRight w:val="0"/>
          <w:marTop w:val="0"/>
          <w:marBottom w:val="0"/>
          <w:divBdr>
            <w:top w:val="none" w:sz="0" w:space="0" w:color="auto"/>
            <w:left w:val="none" w:sz="0" w:space="0" w:color="auto"/>
            <w:bottom w:val="none" w:sz="0" w:space="0" w:color="auto"/>
            <w:right w:val="none" w:sz="0" w:space="0" w:color="auto"/>
          </w:divBdr>
        </w:div>
        <w:div w:id="13725701">
          <w:marLeft w:val="0"/>
          <w:marRight w:val="0"/>
          <w:marTop w:val="0"/>
          <w:marBottom w:val="0"/>
          <w:divBdr>
            <w:top w:val="none" w:sz="0" w:space="0" w:color="auto"/>
            <w:left w:val="none" w:sz="0" w:space="0" w:color="auto"/>
            <w:bottom w:val="none" w:sz="0" w:space="0" w:color="auto"/>
            <w:right w:val="none" w:sz="0" w:space="0" w:color="auto"/>
          </w:divBdr>
        </w:div>
        <w:div w:id="318852280">
          <w:marLeft w:val="0"/>
          <w:marRight w:val="0"/>
          <w:marTop w:val="0"/>
          <w:marBottom w:val="0"/>
          <w:divBdr>
            <w:top w:val="none" w:sz="0" w:space="0" w:color="auto"/>
            <w:left w:val="none" w:sz="0" w:space="0" w:color="auto"/>
            <w:bottom w:val="none" w:sz="0" w:space="0" w:color="auto"/>
            <w:right w:val="none" w:sz="0" w:space="0" w:color="auto"/>
          </w:divBdr>
        </w:div>
        <w:div w:id="1015376641">
          <w:marLeft w:val="0"/>
          <w:marRight w:val="0"/>
          <w:marTop w:val="0"/>
          <w:marBottom w:val="0"/>
          <w:divBdr>
            <w:top w:val="none" w:sz="0" w:space="0" w:color="auto"/>
            <w:left w:val="none" w:sz="0" w:space="0" w:color="auto"/>
            <w:bottom w:val="none" w:sz="0" w:space="0" w:color="auto"/>
            <w:right w:val="none" w:sz="0" w:space="0" w:color="auto"/>
          </w:divBdr>
        </w:div>
        <w:div w:id="1072972958">
          <w:marLeft w:val="0"/>
          <w:marRight w:val="0"/>
          <w:marTop w:val="0"/>
          <w:marBottom w:val="0"/>
          <w:divBdr>
            <w:top w:val="none" w:sz="0" w:space="0" w:color="auto"/>
            <w:left w:val="none" w:sz="0" w:space="0" w:color="auto"/>
            <w:bottom w:val="none" w:sz="0" w:space="0" w:color="auto"/>
            <w:right w:val="none" w:sz="0" w:space="0" w:color="auto"/>
          </w:divBdr>
        </w:div>
        <w:div w:id="1847279388">
          <w:marLeft w:val="0"/>
          <w:marRight w:val="0"/>
          <w:marTop w:val="0"/>
          <w:marBottom w:val="0"/>
          <w:divBdr>
            <w:top w:val="none" w:sz="0" w:space="0" w:color="auto"/>
            <w:left w:val="none" w:sz="0" w:space="0" w:color="auto"/>
            <w:bottom w:val="none" w:sz="0" w:space="0" w:color="auto"/>
            <w:right w:val="none" w:sz="0" w:space="0" w:color="auto"/>
          </w:divBdr>
        </w:div>
        <w:div w:id="520552957">
          <w:marLeft w:val="0"/>
          <w:marRight w:val="0"/>
          <w:marTop w:val="0"/>
          <w:marBottom w:val="0"/>
          <w:divBdr>
            <w:top w:val="none" w:sz="0" w:space="0" w:color="auto"/>
            <w:left w:val="none" w:sz="0" w:space="0" w:color="auto"/>
            <w:bottom w:val="none" w:sz="0" w:space="0" w:color="auto"/>
            <w:right w:val="none" w:sz="0" w:space="0" w:color="auto"/>
          </w:divBdr>
        </w:div>
        <w:div w:id="1412892674">
          <w:marLeft w:val="0"/>
          <w:marRight w:val="0"/>
          <w:marTop w:val="0"/>
          <w:marBottom w:val="0"/>
          <w:divBdr>
            <w:top w:val="none" w:sz="0" w:space="0" w:color="auto"/>
            <w:left w:val="none" w:sz="0" w:space="0" w:color="auto"/>
            <w:bottom w:val="none" w:sz="0" w:space="0" w:color="auto"/>
            <w:right w:val="none" w:sz="0" w:space="0" w:color="auto"/>
          </w:divBdr>
        </w:div>
        <w:div w:id="988900293">
          <w:marLeft w:val="0"/>
          <w:marRight w:val="0"/>
          <w:marTop w:val="0"/>
          <w:marBottom w:val="0"/>
          <w:divBdr>
            <w:top w:val="none" w:sz="0" w:space="0" w:color="auto"/>
            <w:left w:val="none" w:sz="0" w:space="0" w:color="auto"/>
            <w:bottom w:val="none" w:sz="0" w:space="0" w:color="auto"/>
            <w:right w:val="none" w:sz="0" w:space="0" w:color="auto"/>
          </w:divBdr>
        </w:div>
        <w:div w:id="2111779525">
          <w:marLeft w:val="0"/>
          <w:marRight w:val="0"/>
          <w:marTop w:val="0"/>
          <w:marBottom w:val="0"/>
          <w:divBdr>
            <w:top w:val="none" w:sz="0" w:space="0" w:color="auto"/>
            <w:left w:val="none" w:sz="0" w:space="0" w:color="auto"/>
            <w:bottom w:val="none" w:sz="0" w:space="0" w:color="auto"/>
            <w:right w:val="none" w:sz="0" w:space="0" w:color="auto"/>
          </w:divBdr>
        </w:div>
        <w:div w:id="1388341002">
          <w:marLeft w:val="0"/>
          <w:marRight w:val="0"/>
          <w:marTop w:val="0"/>
          <w:marBottom w:val="0"/>
          <w:divBdr>
            <w:top w:val="none" w:sz="0" w:space="0" w:color="auto"/>
            <w:left w:val="none" w:sz="0" w:space="0" w:color="auto"/>
            <w:bottom w:val="none" w:sz="0" w:space="0" w:color="auto"/>
            <w:right w:val="none" w:sz="0" w:space="0" w:color="auto"/>
          </w:divBdr>
        </w:div>
        <w:div w:id="18433368">
          <w:marLeft w:val="0"/>
          <w:marRight w:val="0"/>
          <w:marTop w:val="0"/>
          <w:marBottom w:val="0"/>
          <w:divBdr>
            <w:top w:val="none" w:sz="0" w:space="0" w:color="auto"/>
            <w:left w:val="none" w:sz="0" w:space="0" w:color="auto"/>
            <w:bottom w:val="none" w:sz="0" w:space="0" w:color="auto"/>
            <w:right w:val="none" w:sz="0" w:space="0" w:color="auto"/>
          </w:divBdr>
        </w:div>
        <w:div w:id="1249076046">
          <w:marLeft w:val="0"/>
          <w:marRight w:val="0"/>
          <w:marTop w:val="0"/>
          <w:marBottom w:val="0"/>
          <w:divBdr>
            <w:top w:val="none" w:sz="0" w:space="0" w:color="auto"/>
            <w:left w:val="none" w:sz="0" w:space="0" w:color="auto"/>
            <w:bottom w:val="none" w:sz="0" w:space="0" w:color="auto"/>
            <w:right w:val="none" w:sz="0" w:space="0" w:color="auto"/>
          </w:divBdr>
        </w:div>
        <w:div w:id="1289778489">
          <w:marLeft w:val="0"/>
          <w:marRight w:val="0"/>
          <w:marTop w:val="0"/>
          <w:marBottom w:val="0"/>
          <w:divBdr>
            <w:top w:val="none" w:sz="0" w:space="0" w:color="auto"/>
            <w:left w:val="none" w:sz="0" w:space="0" w:color="auto"/>
            <w:bottom w:val="none" w:sz="0" w:space="0" w:color="auto"/>
            <w:right w:val="none" w:sz="0" w:space="0" w:color="auto"/>
          </w:divBdr>
        </w:div>
        <w:div w:id="923690349">
          <w:marLeft w:val="0"/>
          <w:marRight w:val="0"/>
          <w:marTop w:val="0"/>
          <w:marBottom w:val="0"/>
          <w:divBdr>
            <w:top w:val="none" w:sz="0" w:space="0" w:color="auto"/>
            <w:left w:val="none" w:sz="0" w:space="0" w:color="auto"/>
            <w:bottom w:val="none" w:sz="0" w:space="0" w:color="auto"/>
            <w:right w:val="none" w:sz="0" w:space="0" w:color="auto"/>
          </w:divBdr>
        </w:div>
        <w:div w:id="688675748">
          <w:marLeft w:val="0"/>
          <w:marRight w:val="0"/>
          <w:marTop w:val="0"/>
          <w:marBottom w:val="0"/>
          <w:divBdr>
            <w:top w:val="none" w:sz="0" w:space="0" w:color="auto"/>
            <w:left w:val="none" w:sz="0" w:space="0" w:color="auto"/>
            <w:bottom w:val="none" w:sz="0" w:space="0" w:color="auto"/>
            <w:right w:val="none" w:sz="0" w:space="0" w:color="auto"/>
          </w:divBdr>
        </w:div>
        <w:div w:id="1366978457">
          <w:marLeft w:val="0"/>
          <w:marRight w:val="0"/>
          <w:marTop w:val="0"/>
          <w:marBottom w:val="0"/>
          <w:divBdr>
            <w:top w:val="none" w:sz="0" w:space="0" w:color="auto"/>
            <w:left w:val="none" w:sz="0" w:space="0" w:color="auto"/>
            <w:bottom w:val="none" w:sz="0" w:space="0" w:color="auto"/>
            <w:right w:val="none" w:sz="0" w:space="0" w:color="auto"/>
          </w:divBdr>
        </w:div>
        <w:div w:id="2052605992">
          <w:marLeft w:val="0"/>
          <w:marRight w:val="0"/>
          <w:marTop w:val="0"/>
          <w:marBottom w:val="0"/>
          <w:divBdr>
            <w:top w:val="none" w:sz="0" w:space="0" w:color="auto"/>
            <w:left w:val="none" w:sz="0" w:space="0" w:color="auto"/>
            <w:bottom w:val="none" w:sz="0" w:space="0" w:color="auto"/>
            <w:right w:val="none" w:sz="0" w:space="0" w:color="auto"/>
          </w:divBdr>
        </w:div>
        <w:div w:id="1114716702">
          <w:marLeft w:val="0"/>
          <w:marRight w:val="0"/>
          <w:marTop w:val="0"/>
          <w:marBottom w:val="0"/>
          <w:divBdr>
            <w:top w:val="none" w:sz="0" w:space="0" w:color="auto"/>
            <w:left w:val="none" w:sz="0" w:space="0" w:color="auto"/>
            <w:bottom w:val="none" w:sz="0" w:space="0" w:color="auto"/>
            <w:right w:val="none" w:sz="0" w:space="0" w:color="auto"/>
          </w:divBdr>
        </w:div>
        <w:div w:id="713965804">
          <w:marLeft w:val="0"/>
          <w:marRight w:val="0"/>
          <w:marTop w:val="0"/>
          <w:marBottom w:val="0"/>
          <w:divBdr>
            <w:top w:val="none" w:sz="0" w:space="0" w:color="auto"/>
            <w:left w:val="none" w:sz="0" w:space="0" w:color="auto"/>
            <w:bottom w:val="none" w:sz="0" w:space="0" w:color="auto"/>
            <w:right w:val="none" w:sz="0" w:space="0" w:color="auto"/>
          </w:divBdr>
        </w:div>
        <w:div w:id="805049883">
          <w:marLeft w:val="0"/>
          <w:marRight w:val="0"/>
          <w:marTop w:val="0"/>
          <w:marBottom w:val="0"/>
          <w:divBdr>
            <w:top w:val="none" w:sz="0" w:space="0" w:color="auto"/>
            <w:left w:val="none" w:sz="0" w:space="0" w:color="auto"/>
            <w:bottom w:val="none" w:sz="0" w:space="0" w:color="auto"/>
            <w:right w:val="none" w:sz="0" w:space="0" w:color="auto"/>
          </w:divBdr>
        </w:div>
        <w:div w:id="385300492">
          <w:marLeft w:val="0"/>
          <w:marRight w:val="0"/>
          <w:marTop w:val="0"/>
          <w:marBottom w:val="0"/>
          <w:divBdr>
            <w:top w:val="none" w:sz="0" w:space="0" w:color="auto"/>
            <w:left w:val="none" w:sz="0" w:space="0" w:color="auto"/>
            <w:bottom w:val="none" w:sz="0" w:space="0" w:color="auto"/>
            <w:right w:val="none" w:sz="0" w:space="0" w:color="auto"/>
          </w:divBdr>
        </w:div>
        <w:div w:id="743062863">
          <w:marLeft w:val="0"/>
          <w:marRight w:val="0"/>
          <w:marTop w:val="0"/>
          <w:marBottom w:val="0"/>
          <w:divBdr>
            <w:top w:val="none" w:sz="0" w:space="0" w:color="auto"/>
            <w:left w:val="none" w:sz="0" w:space="0" w:color="auto"/>
            <w:bottom w:val="none" w:sz="0" w:space="0" w:color="auto"/>
            <w:right w:val="none" w:sz="0" w:space="0" w:color="auto"/>
          </w:divBdr>
        </w:div>
        <w:div w:id="557015105">
          <w:marLeft w:val="0"/>
          <w:marRight w:val="0"/>
          <w:marTop w:val="0"/>
          <w:marBottom w:val="0"/>
          <w:divBdr>
            <w:top w:val="none" w:sz="0" w:space="0" w:color="auto"/>
            <w:left w:val="none" w:sz="0" w:space="0" w:color="auto"/>
            <w:bottom w:val="none" w:sz="0" w:space="0" w:color="auto"/>
            <w:right w:val="none" w:sz="0" w:space="0" w:color="auto"/>
          </w:divBdr>
        </w:div>
        <w:div w:id="1362166065">
          <w:marLeft w:val="0"/>
          <w:marRight w:val="0"/>
          <w:marTop w:val="0"/>
          <w:marBottom w:val="0"/>
          <w:divBdr>
            <w:top w:val="none" w:sz="0" w:space="0" w:color="auto"/>
            <w:left w:val="none" w:sz="0" w:space="0" w:color="auto"/>
            <w:bottom w:val="none" w:sz="0" w:space="0" w:color="auto"/>
            <w:right w:val="none" w:sz="0" w:space="0" w:color="auto"/>
          </w:divBdr>
        </w:div>
        <w:div w:id="1074737328">
          <w:marLeft w:val="0"/>
          <w:marRight w:val="0"/>
          <w:marTop w:val="0"/>
          <w:marBottom w:val="0"/>
          <w:divBdr>
            <w:top w:val="none" w:sz="0" w:space="0" w:color="auto"/>
            <w:left w:val="none" w:sz="0" w:space="0" w:color="auto"/>
            <w:bottom w:val="none" w:sz="0" w:space="0" w:color="auto"/>
            <w:right w:val="none" w:sz="0" w:space="0" w:color="auto"/>
          </w:divBdr>
        </w:div>
        <w:div w:id="1514147772">
          <w:marLeft w:val="0"/>
          <w:marRight w:val="0"/>
          <w:marTop w:val="0"/>
          <w:marBottom w:val="0"/>
          <w:divBdr>
            <w:top w:val="none" w:sz="0" w:space="0" w:color="auto"/>
            <w:left w:val="none" w:sz="0" w:space="0" w:color="auto"/>
            <w:bottom w:val="none" w:sz="0" w:space="0" w:color="auto"/>
            <w:right w:val="none" w:sz="0" w:space="0" w:color="auto"/>
          </w:divBdr>
        </w:div>
        <w:div w:id="929776013">
          <w:marLeft w:val="0"/>
          <w:marRight w:val="0"/>
          <w:marTop w:val="0"/>
          <w:marBottom w:val="0"/>
          <w:divBdr>
            <w:top w:val="none" w:sz="0" w:space="0" w:color="auto"/>
            <w:left w:val="none" w:sz="0" w:space="0" w:color="auto"/>
            <w:bottom w:val="none" w:sz="0" w:space="0" w:color="auto"/>
            <w:right w:val="none" w:sz="0" w:space="0" w:color="auto"/>
          </w:divBdr>
        </w:div>
        <w:div w:id="1289437469">
          <w:marLeft w:val="0"/>
          <w:marRight w:val="0"/>
          <w:marTop w:val="0"/>
          <w:marBottom w:val="0"/>
          <w:divBdr>
            <w:top w:val="none" w:sz="0" w:space="0" w:color="auto"/>
            <w:left w:val="none" w:sz="0" w:space="0" w:color="auto"/>
            <w:bottom w:val="none" w:sz="0" w:space="0" w:color="auto"/>
            <w:right w:val="none" w:sz="0" w:space="0" w:color="auto"/>
          </w:divBdr>
        </w:div>
        <w:div w:id="204174277">
          <w:marLeft w:val="0"/>
          <w:marRight w:val="0"/>
          <w:marTop w:val="0"/>
          <w:marBottom w:val="0"/>
          <w:divBdr>
            <w:top w:val="none" w:sz="0" w:space="0" w:color="auto"/>
            <w:left w:val="none" w:sz="0" w:space="0" w:color="auto"/>
            <w:bottom w:val="none" w:sz="0" w:space="0" w:color="auto"/>
            <w:right w:val="none" w:sz="0" w:space="0" w:color="auto"/>
          </w:divBdr>
        </w:div>
      </w:divsChild>
    </w:div>
    <w:div w:id="796677215">
      <w:bodyDiv w:val="1"/>
      <w:marLeft w:val="0"/>
      <w:marRight w:val="0"/>
      <w:marTop w:val="0"/>
      <w:marBottom w:val="0"/>
      <w:divBdr>
        <w:top w:val="none" w:sz="0" w:space="0" w:color="auto"/>
        <w:left w:val="none" w:sz="0" w:space="0" w:color="auto"/>
        <w:bottom w:val="none" w:sz="0" w:space="0" w:color="auto"/>
        <w:right w:val="none" w:sz="0" w:space="0" w:color="auto"/>
      </w:divBdr>
    </w:div>
    <w:div w:id="1117604055">
      <w:bodyDiv w:val="1"/>
      <w:marLeft w:val="0"/>
      <w:marRight w:val="0"/>
      <w:marTop w:val="0"/>
      <w:marBottom w:val="0"/>
      <w:divBdr>
        <w:top w:val="none" w:sz="0" w:space="0" w:color="auto"/>
        <w:left w:val="none" w:sz="0" w:space="0" w:color="auto"/>
        <w:bottom w:val="none" w:sz="0" w:space="0" w:color="auto"/>
        <w:right w:val="none" w:sz="0" w:space="0" w:color="auto"/>
      </w:divBdr>
      <w:divsChild>
        <w:div w:id="302974575">
          <w:marLeft w:val="0"/>
          <w:marRight w:val="0"/>
          <w:marTop w:val="0"/>
          <w:marBottom w:val="0"/>
          <w:divBdr>
            <w:top w:val="none" w:sz="0" w:space="0" w:color="auto"/>
            <w:left w:val="none" w:sz="0" w:space="0" w:color="auto"/>
            <w:bottom w:val="none" w:sz="0" w:space="0" w:color="auto"/>
            <w:right w:val="none" w:sz="0" w:space="0" w:color="auto"/>
          </w:divBdr>
        </w:div>
        <w:div w:id="1223297887">
          <w:marLeft w:val="0"/>
          <w:marRight w:val="0"/>
          <w:marTop w:val="0"/>
          <w:marBottom w:val="0"/>
          <w:divBdr>
            <w:top w:val="none" w:sz="0" w:space="0" w:color="auto"/>
            <w:left w:val="none" w:sz="0" w:space="0" w:color="auto"/>
            <w:bottom w:val="none" w:sz="0" w:space="0" w:color="auto"/>
            <w:right w:val="none" w:sz="0" w:space="0" w:color="auto"/>
          </w:divBdr>
        </w:div>
      </w:divsChild>
    </w:div>
    <w:div w:id="1280529270">
      <w:bodyDiv w:val="1"/>
      <w:marLeft w:val="0"/>
      <w:marRight w:val="0"/>
      <w:marTop w:val="0"/>
      <w:marBottom w:val="0"/>
      <w:divBdr>
        <w:top w:val="none" w:sz="0" w:space="0" w:color="auto"/>
        <w:left w:val="none" w:sz="0" w:space="0" w:color="auto"/>
        <w:bottom w:val="none" w:sz="0" w:space="0" w:color="auto"/>
        <w:right w:val="none" w:sz="0" w:space="0" w:color="auto"/>
      </w:divBdr>
      <w:divsChild>
        <w:div w:id="872378262">
          <w:marLeft w:val="0"/>
          <w:marRight w:val="0"/>
          <w:marTop w:val="0"/>
          <w:marBottom w:val="0"/>
          <w:divBdr>
            <w:top w:val="none" w:sz="0" w:space="0" w:color="auto"/>
            <w:left w:val="none" w:sz="0" w:space="0" w:color="auto"/>
            <w:bottom w:val="none" w:sz="0" w:space="0" w:color="auto"/>
            <w:right w:val="none" w:sz="0" w:space="0" w:color="auto"/>
          </w:divBdr>
        </w:div>
        <w:div w:id="133254848">
          <w:marLeft w:val="0"/>
          <w:marRight w:val="0"/>
          <w:marTop w:val="0"/>
          <w:marBottom w:val="0"/>
          <w:divBdr>
            <w:top w:val="none" w:sz="0" w:space="0" w:color="auto"/>
            <w:left w:val="none" w:sz="0" w:space="0" w:color="auto"/>
            <w:bottom w:val="none" w:sz="0" w:space="0" w:color="auto"/>
            <w:right w:val="none" w:sz="0" w:space="0" w:color="auto"/>
          </w:divBdr>
        </w:div>
      </w:divsChild>
    </w:div>
    <w:div w:id="1638799925">
      <w:bodyDiv w:val="1"/>
      <w:marLeft w:val="0"/>
      <w:marRight w:val="0"/>
      <w:marTop w:val="0"/>
      <w:marBottom w:val="0"/>
      <w:divBdr>
        <w:top w:val="none" w:sz="0" w:space="0" w:color="auto"/>
        <w:left w:val="none" w:sz="0" w:space="0" w:color="auto"/>
        <w:bottom w:val="none" w:sz="0" w:space="0" w:color="auto"/>
        <w:right w:val="none" w:sz="0" w:space="0" w:color="auto"/>
      </w:divBdr>
      <w:divsChild>
        <w:div w:id="820076485">
          <w:marLeft w:val="0"/>
          <w:marRight w:val="0"/>
          <w:marTop w:val="0"/>
          <w:marBottom w:val="0"/>
          <w:divBdr>
            <w:top w:val="none" w:sz="0" w:space="0" w:color="auto"/>
            <w:left w:val="none" w:sz="0" w:space="0" w:color="auto"/>
            <w:bottom w:val="none" w:sz="0" w:space="0" w:color="auto"/>
            <w:right w:val="none" w:sz="0" w:space="0" w:color="auto"/>
          </w:divBdr>
        </w:div>
        <w:div w:id="1016614426">
          <w:marLeft w:val="0"/>
          <w:marRight w:val="0"/>
          <w:marTop w:val="0"/>
          <w:marBottom w:val="0"/>
          <w:divBdr>
            <w:top w:val="none" w:sz="0" w:space="0" w:color="auto"/>
            <w:left w:val="none" w:sz="0" w:space="0" w:color="auto"/>
            <w:bottom w:val="none" w:sz="0" w:space="0" w:color="auto"/>
            <w:right w:val="none" w:sz="0" w:space="0" w:color="auto"/>
          </w:divBdr>
        </w:div>
      </w:divsChild>
    </w:div>
    <w:div w:id="1808165133">
      <w:bodyDiv w:val="1"/>
      <w:marLeft w:val="0"/>
      <w:marRight w:val="0"/>
      <w:marTop w:val="0"/>
      <w:marBottom w:val="0"/>
      <w:divBdr>
        <w:top w:val="none" w:sz="0" w:space="0" w:color="auto"/>
        <w:left w:val="none" w:sz="0" w:space="0" w:color="auto"/>
        <w:bottom w:val="none" w:sz="0" w:space="0" w:color="auto"/>
        <w:right w:val="none" w:sz="0" w:space="0" w:color="auto"/>
      </w:divBdr>
    </w:div>
    <w:div w:id="1812137733">
      <w:bodyDiv w:val="1"/>
      <w:marLeft w:val="0"/>
      <w:marRight w:val="0"/>
      <w:marTop w:val="0"/>
      <w:marBottom w:val="0"/>
      <w:divBdr>
        <w:top w:val="none" w:sz="0" w:space="0" w:color="auto"/>
        <w:left w:val="none" w:sz="0" w:space="0" w:color="auto"/>
        <w:bottom w:val="none" w:sz="0" w:space="0" w:color="auto"/>
        <w:right w:val="none" w:sz="0" w:space="0" w:color="auto"/>
      </w:divBdr>
      <w:divsChild>
        <w:div w:id="73212178">
          <w:marLeft w:val="0"/>
          <w:marRight w:val="0"/>
          <w:marTop w:val="0"/>
          <w:marBottom w:val="0"/>
          <w:divBdr>
            <w:top w:val="none" w:sz="0" w:space="0" w:color="auto"/>
            <w:left w:val="none" w:sz="0" w:space="0" w:color="auto"/>
            <w:bottom w:val="none" w:sz="0" w:space="0" w:color="auto"/>
            <w:right w:val="none" w:sz="0" w:space="0" w:color="auto"/>
          </w:divBdr>
        </w:div>
        <w:div w:id="104139387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lkaisut.valtioneuvosto.fi/handle/10024/16338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ikaHinkkanen\Naisj&#228;rjest&#246;jen%20Keskusliitto\Yhteinen%20-%20Tiedostot\Viestint&#228;\Graafinen%20ohjeistus\PP-%20ja%20Word-pohjat\NJKL_pohja_0405%20K&#196;YT&#196;%20T&#196;T&#196;.dotx" TargetMode="External"/></Relationships>
</file>

<file path=word/theme/theme1.xml><?xml version="1.0" encoding="utf-8"?>
<a:theme xmlns:a="http://schemas.openxmlformats.org/drawingml/2006/main" name="Office-teema">
  <a:themeElements>
    <a:clrScheme name="NJKL">
      <a:dk1>
        <a:srgbClr val="CF63CE"/>
      </a:dk1>
      <a:lt1>
        <a:srgbClr val="F8F7F3"/>
      </a:lt1>
      <a:dk2>
        <a:srgbClr val="59014C"/>
      </a:dk2>
      <a:lt2>
        <a:srgbClr val="FFFFFF"/>
      </a:lt2>
      <a:accent1>
        <a:srgbClr val="FF4D00"/>
      </a:accent1>
      <a:accent2>
        <a:srgbClr val="FFF5E6"/>
      </a:accent2>
      <a:accent3>
        <a:srgbClr val="87E1D1"/>
      </a:accent3>
      <a:accent4>
        <a:srgbClr val="CF63CE"/>
      </a:accent4>
      <a:accent5>
        <a:srgbClr val="FFF500"/>
      </a:accent5>
      <a:accent6>
        <a:srgbClr val="59014C"/>
      </a:accent6>
      <a:hlink>
        <a:srgbClr val="FF4D00"/>
      </a:hlink>
      <a:folHlink>
        <a:srgbClr val="CF63CE"/>
      </a:folHlink>
    </a:clrScheme>
    <a:fontScheme name="Corbel">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cc08ad9-8c7d-48e4-bac7-ffe665672c6a">
      <Terms xmlns="http://schemas.microsoft.com/office/infopath/2007/PartnerControls"/>
    </lcf76f155ced4ddcb4097134ff3c332f>
    <TaxCatchAll xmlns="c5c6e1a4-59f0-43d8-9045-96a36c4222e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siakirja" ma:contentTypeID="0x010100D1D34561EFF3FC42B3BCCD4B7BC64677" ma:contentTypeVersion="14" ma:contentTypeDescription="Luo uusi asiakirja." ma:contentTypeScope="" ma:versionID="8b2eb50ccb896304c14555b7104844d2">
  <xsd:schema xmlns:xsd="http://www.w3.org/2001/XMLSchema" xmlns:xs="http://www.w3.org/2001/XMLSchema" xmlns:p="http://schemas.microsoft.com/office/2006/metadata/properties" xmlns:ns2="5cc08ad9-8c7d-48e4-bac7-ffe665672c6a" xmlns:ns3="c5c6e1a4-59f0-43d8-9045-96a36c4222e6" targetNamespace="http://schemas.microsoft.com/office/2006/metadata/properties" ma:root="true" ma:fieldsID="1bd597042ed57c7be910accc9973f481" ns2:_="" ns3:_="">
    <xsd:import namespace="5cc08ad9-8c7d-48e4-bac7-ffe665672c6a"/>
    <xsd:import namespace="c5c6e1a4-59f0-43d8-9045-96a36c4222e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c08ad9-8c7d-48e4-bac7-ffe665672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Kuvien tunnisteet" ma:readOnly="false" ma:fieldId="{5cf76f15-5ced-4ddc-b409-7134ff3c332f}" ma:taxonomyMulti="true" ma:sspId="bbaf7ab7-a1bd-4355-9859-80b69374d01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6e1a4-59f0-43d8-9045-96a36c4222e6"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element name="TaxCatchAll" ma:index="14" nillable="true" ma:displayName="Taxonomy Catch All Column" ma:hidden="true" ma:list="{2b8e861a-df1f-42f2-be62-9a3e0a9a831b}" ma:internalName="TaxCatchAll" ma:showField="CatchAllData" ma:web="c5c6e1a4-59f0-43d8-9045-96a36c4222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B68EE5-3583-2E44-9D68-C3A4662ACDF4}">
  <ds:schemaRefs>
    <ds:schemaRef ds:uri="http://schemas.openxmlformats.org/officeDocument/2006/bibliography"/>
  </ds:schemaRefs>
</ds:datastoreItem>
</file>

<file path=customXml/itemProps2.xml><?xml version="1.0" encoding="utf-8"?>
<ds:datastoreItem xmlns:ds="http://schemas.openxmlformats.org/officeDocument/2006/customXml" ds:itemID="{AFAA5F7C-CA13-4BC4-8BA7-BFA6B207990A}">
  <ds:schemaRefs>
    <ds:schemaRef ds:uri="http://schemas.microsoft.com/office/2006/metadata/properties"/>
    <ds:schemaRef ds:uri="http://schemas.microsoft.com/office/infopath/2007/PartnerControls"/>
    <ds:schemaRef ds:uri="5cc08ad9-8c7d-48e4-bac7-ffe665672c6a"/>
    <ds:schemaRef ds:uri="c5c6e1a4-59f0-43d8-9045-96a36c4222e6"/>
  </ds:schemaRefs>
</ds:datastoreItem>
</file>

<file path=customXml/itemProps3.xml><?xml version="1.0" encoding="utf-8"?>
<ds:datastoreItem xmlns:ds="http://schemas.openxmlformats.org/officeDocument/2006/customXml" ds:itemID="{985ACD99-7673-43DF-95B0-23D52C2A1593}">
  <ds:schemaRefs>
    <ds:schemaRef ds:uri="http://schemas.microsoft.com/sharepoint/v3/contenttype/forms"/>
  </ds:schemaRefs>
</ds:datastoreItem>
</file>

<file path=customXml/itemProps4.xml><?xml version="1.0" encoding="utf-8"?>
<ds:datastoreItem xmlns:ds="http://schemas.openxmlformats.org/officeDocument/2006/customXml" ds:itemID="{D091C08D-3AA0-4FEF-A5E9-51DDDA42B8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c08ad9-8c7d-48e4-bac7-ffe665672c6a"/>
    <ds:schemaRef ds:uri="c5c6e1a4-59f0-43d8-9045-96a36c4222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NJKL_pohja_0405 KÄYTÄ TÄTÄ</Template>
  <TotalTime>25</TotalTime>
  <Pages>8</Pages>
  <Words>2685</Words>
  <Characters>21756</Characters>
  <Application>Microsoft Office Word</Application>
  <DocSecurity>0</DocSecurity>
  <Lines>181</Lines>
  <Paragraphs>48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Annika Hinkkanen</dc:creator>
  <cp:keywords/>
  <dc:description/>
  <cp:lastModifiedBy>Annika Hinkkanen</cp:lastModifiedBy>
  <cp:revision>1</cp:revision>
  <cp:lastPrinted>2017-01-19T11:28:00Z</cp:lastPrinted>
  <dcterms:created xsi:type="dcterms:W3CDTF">2023-12-18T12:16:00Z</dcterms:created>
  <dcterms:modified xsi:type="dcterms:W3CDTF">2023-12-18T12:55:00Z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0x010100D1D34561EFF3FC42B3BCCD4B7BC64677</vt:lpwstr>
  </property>
  <property fmtid="{D5CDD505-2E9C-101B-9397-08002B2CF9AE}" pid="3" name="MediaServiceImageTags">
    <vt:lpwstr/>
  </property>
</Properties>
</file>