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lang w:val="en-GB"/>
        </w:rPr>
        <w:id w:val="2003314189"/>
        <w:docPartObj>
          <w:docPartGallery w:val="Cover Pages"/>
          <w:docPartUnique/>
        </w:docPartObj>
      </w:sdtPr>
      <w:sdtEndPr/>
      <w:sdtContent>
        <w:p w14:paraId="418EE295" w14:textId="77777777" w:rsidR="00B6593B" w:rsidRPr="00D62B4A" w:rsidRDefault="00B6593B">
          <w:pPr>
            <w:rPr>
              <w:lang w:val="en-GB"/>
            </w:rPr>
          </w:pPr>
          <w:r w:rsidRPr="00D62B4A">
            <w:rPr>
              <w:noProof/>
              <w:lang w:val="en-GB" w:eastAsia="en-GB"/>
            </w:rPr>
            <mc:AlternateContent>
              <mc:Choice Requires="wps">
                <w:drawing>
                  <wp:anchor distT="0" distB="0" distL="114300" distR="114300" simplePos="0" relativeHeight="251659264" behindDoc="0" locked="0" layoutInCell="1" allowOverlap="1" wp14:anchorId="37856491" wp14:editId="136FEF56">
                    <wp:simplePos x="0" y="0"/>
                    <wp:positionH relativeFrom="page">
                      <wp:align>center</wp:align>
                    </wp:positionH>
                    <wp:positionV relativeFrom="page">
                      <wp:align>center</wp:align>
                    </wp:positionV>
                    <wp:extent cx="1712890" cy="3840480"/>
                    <wp:effectExtent l="0" t="0" r="1270" b="0"/>
                    <wp:wrapNone/>
                    <wp:docPr id="138" name="Zone de texte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333"/>
                                  <w:gridCol w:w="838"/>
                                </w:tblGrid>
                                <w:tr w:rsidR="00B72834" w14:paraId="6C956847" w14:textId="77777777" w:rsidTr="00B13AE4">
                                  <w:trPr>
                                    <w:jc w:val="center"/>
                                  </w:trPr>
                                  <w:tc>
                                    <w:tcPr>
                                      <w:tcW w:w="4625" w:type="pct"/>
                                      <w:vAlign w:val="center"/>
                                    </w:tcPr>
                                    <w:p w14:paraId="79F2BFE2" w14:textId="77777777" w:rsidR="00B72834" w:rsidRDefault="00B72834">
                                      <w:pPr>
                                        <w:jc w:val="right"/>
                                      </w:pPr>
                                      <w:r>
                                        <w:rPr>
                                          <w:noProof/>
                                          <w:lang w:val="en-GB" w:eastAsia="en-GB"/>
                                        </w:rPr>
                                        <w:drawing>
                                          <wp:inline distT="0" distB="0" distL="0" distR="0" wp14:anchorId="605065F8" wp14:editId="0764B35D">
                                            <wp:extent cx="5597224" cy="2019935"/>
                                            <wp:effectExtent l="0" t="0" r="3810" b="0"/>
                                            <wp:docPr id="139" name="Imag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5743590" cy="2072756"/>
                                                    </a:xfrm>
                                                    <a:prstGeom prst="rect">
                                                      <a:avLst/>
                                                    </a:prstGeom>
                                                  </pic:spPr>
                                                </pic:pic>
                                              </a:graphicData>
                                            </a:graphic>
                                          </wp:inline>
                                        </w:drawing>
                                      </w:r>
                                    </w:p>
                                    <w:sdt>
                                      <w:sdtPr>
                                        <w:rPr>
                                          <w:caps/>
                                          <w:color w:val="191919" w:themeColor="text1" w:themeTint="E6"/>
                                          <w:sz w:val="72"/>
                                          <w:szCs w:val="72"/>
                                        </w:rPr>
                                        <w:alias w:val="Titr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0B83F81" w14:textId="65825CFA" w:rsidR="00B72834" w:rsidRPr="00DE1D45" w:rsidRDefault="002E4A93">
                                          <w:pPr>
                                            <w:pStyle w:val="NoSpacing"/>
                                            <w:spacing w:line="312" w:lineRule="auto"/>
                                            <w:jc w:val="right"/>
                                            <w:rPr>
                                              <w:caps/>
                                              <w:color w:val="191919" w:themeColor="text1" w:themeTint="E6"/>
                                              <w:sz w:val="72"/>
                                              <w:szCs w:val="72"/>
                                            </w:rPr>
                                          </w:pPr>
                                          <w:r>
                                            <w:rPr>
                                              <w:caps/>
                                              <w:color w:val="191919" w:themeColor="text1" w:themeTint="E6"/>
                                              <w:sz w:val="72"/>
                                              <w:szCs w:val="72"/>
                                            </w:rPr>
                                            <w:t>Violence against Children and Child Rights in Turkey</w:t>
                                          </w:r>
                                        </w:p>
                                      </w:sdtContent>
                                    </w:sdt>
                                    <w:p w14:paraId="6769222F" w14:textId="77777777" w:rsidR="00B72834" w:rsidRDefault="00B72834">
                                      <w:pPr>
                                        <w:jc w:val="right"/>
                                        <w:rPr>
                                          <w:caps/>
                                          <w:color w:val="ED7D31" w:themeColor="accent2"/>
                                          <w:sz w:val="26"/>
                                          <w:szCs w:val="26"/>
                                          <w:lang w:val="en-US"/>
                                        </w:rPr>
                                      </w:pPr>
                                      <w:r w:rsidRPr="00B13AE4">
                                        <w:rPr>
                                          <w:caps/>
                                          <w:color w:val="ED7D31" w:themeColor="accent2"/>
                                          <w:sz w:val="26"/>
                                          <w:szCs w:val="26"/>
                                          <w:lang w:val="en-US"/>
                                        </w:rPr>
                                        <w:t>TO The United Nations CoMMITTEE on the Rights of the Child (UNCRC)</w:t>
                                      </w:r>
                                    </w:p>
                                    <w:sdt>
                                      <w:sdtPr>
                                        <w:rPr>
                                          <w:color w:val="000000" w:themeColor="text1"/>
                                          <w:lang w:val="en-US"/>
                                        </w:rPr>
                                        <w:alias w:val="Résumé"/>
                                        <w:tag w:val=""/>
                                        <w:id w:val="-1141029795"/>
                                        <w:dataBinding w:prefixMappings="xmlns:ns0='http://schemas.microsoft.com/office/2006/coverPageProps' " w:xpath="/ns0:CoverPageProperties[1]/ns0:Abstract[1]" w:storeItemID="{55AF091B-3C7A-41E3-B477-F2FDAA23CFDA}"/>
                                        <w:text/>
                                      </w:sdtPr>
                                      <w:sdtEndPr/>
                                      <w:sdtContent>
                                        <w:p w14:paraId="47515BB0" w14:textId="3834F7B6" w:rsidR="00B72834" w:rsidRDefault="00B72834" w:rsidP="00B13AE4">
                                          <w:pPr>
                                            <w:rPr>
                                              <w:color w:val="000000" w:themeColor="text1"/>
                                              <w:lang w:val="en-US"/>
                                            </w:rPr>
                                          </w:pPr>
                                          <w:r>
                                            <w:rPr>
                                              <w:color w:val="000000" w:themeColor="text1"/>
                                              <w:lang w:val="en-US"/>
                                            </w:rPr>
                                            <w:t xml:space="preserve">As additional information for the occasion of the </w:t>
                                          </w:r>
                                          <w:r w:rsidRPr="00E21CB6">
                                            <w:rPr>
                                              <w:color w:val="000000" w:themeColor="text1"/>
                                              <w:lang w:val="en-US"/>
                                            </w:rPr>
                                            <w:t xml:space="preserve">constructive dialogue </w:t>
                                          </w:r>
                                          <w:r w:rsidRPr="0098285B">
                                            <w:rPr>
                                              <w:color w:val="000000" w:themeColor="text1"/>
                                              <w:lang w:val="en-US"/>
                                            </w:rPr>
                                            <w:t xml:space="preserve">between Turkey and the UNCRC </w:t>
                                          </w:r>
                                          <w:r>
                                            <w:rPr>
                                              <w:color w:val="000000" w:themeColor="text1"/>
                                              <w:lang w:val="en-US"/>
                                            </w:rPr>
                                            <w:t>on the c</w:t>
                                          </w:r>
                                          <w:r w:rsidRPr="00DE1D45">
                                            <w:rPr>
                                              <w:color w:val="000000" w:themeColor="text1"/>
                                              <w:lang w:val="en-US"/>
                                            </w:rPr>
                                            <w:t>ombined 4th and 5th Periodic Reports</w:t>
                                          </w:r>
                                          <w:r>
                                            <w:rPr>
                                              <w:color w:val="000000" w:themeColor="text1"/>
                                              <w:lang w:val="en-US"/>
                                            </w:rPr>
                                            <w:t xml:space="preserve"> of Turkey</w:t>
                                          </w:r>
                                          <w:r w:rsidRPr="00DE1D45">
                                            <w:rPr>
                                              <w:color w:val="000000" w:themeColor="text1"/>
                                              <w:lang w:val="en-US"/>
                                            </w:rPr>
                                            <w:t xml:space="preserve"> </w:t>
                                          </w:r>
                                          <w:r w:rsidR="008D1AC3">
                                            <w:rPr>
                                              <w:color w:val="000000" w:themeColor="text1"/>
                                              <w:lang w:val="en-US"/>
                                            </w:rPr>
                                            <w:t xml:space="preserve">– 93rd Pre-session </w:t>
                                          </w:r>
                                        </w:p>
                                      </w:sdtContent>
                                    </w:sdt>
                                    <w:p w14:paraId="17373705" w14:textId="77777777" w:rsidR="00B72834" w:rsidRDefault="00B72834" w:rsidP="00B13AE4">
                                      <w:pPr>
                                        <w:rPr>
                                          <w:color w:val="000000" w:themeColor="text1"/>
                                          <w:lang w:val="en-US"/>
                                        </w:rPr>
                                      </w:pPr>
                                    </w:p>
                                    <w:sdt>
                                      <w:sdtPr>
                                        <w:rPr>
                                          <w:color w:val="ED7D31" w:themeColor="accent2"/>
                                          <w:sz w:val="26"/>
                                          <w:szCs w:val="26"/>
                                        </w:rPr>
                                        <w:alias w:val="Auteur"/>
                                        <w:tag w:val=""/>
                                        <w:id w:val="-391501377"/>
                                        <w:dataBinding w:prefixMappings="xmlns:ns0='http://purl.org/dc/elements/1.1/' xmlns:ns1='http://schemas.openxmlformats.org/package/2006/metadata/core-properties' " w:xpath="/ns1:coreProperties[1]/ns0:creator[1]" w:storeItemID="{6C3C8BC8-F283-45AE-878A-BAB7291924A1}"/>
                                        <w:text/>
                                      </w:sdtPr>
                                      <w:sdtEndPr/>
                                      <w:sdtContent>
                                        <w:p w14:paraId="3C468A9E" w14:textId="77777777" w:rsidR="00B72834" w:rsidRPr="00B13AE4" w:rsidRDefault="00B72834" w:rsidP="00B13AE4">
                                          <w:pPr>
                                            <w:pStyle w:val="NoSpacing"/>
                                            <w:rPr>
                                              <w:rFonts w:eastAsiaTheme="minorHAnsi"/>
                                              <w:color w:val="ED7D31" w:themeColor="accent2"/>
                                              <w:sz w:val="26"/>
                                              <w:szCs w:val="26"/>
                                              <w:lang w:eastAsia="en-US"/>
                                            </w:rPr>
                                          </w:pPr>
                                          <w:r>
                                            <w:rPr>
                                              <w:color w:val="ED7D31" w:themeColor="accent2"/>
                                              <w:sz w:val="26"/>
                                              <w:szCs w:val="26"/>
                                            </w:rPr>
                                            <w:t>Partnership Network for the Prevention of Violence against Children</w:t>
                                          </w:r>
                                        </w:p>
                                      </w:sdtContent>
                                    </w:sdt>
                                    <w:p w14:paraId="79409408" w14:textId="77777777" w:rsidR="00B72834" w:rsidRPr="00DE1D45" w:rsidRDefault="00B72834" w:rsidP="00B13AE4">
                                      <w:pPr>
                                        <w:rPr>
                                          <w:color w:val="000000" w:themeColor="text1"/>
                                          <w:lang w:val="en-US"/>
                                        </w:rPr>
                                      </w:pPr>
                                    </w:p>
                                    <w:p w14:paraId="3D7BDF6F" w14:textId="67AC4B21" w:rsidR="00B72834" w:rsidRPr="00B13AE4" w:rsidRDefault="001E237A" w:rsidP="00B13AE4">
                                      <w:pPr>
                                        <w:rPr>
                                          <w:lang w:val="en-US"/>
                                        </w:rPr>
                                      </w:pPr>
                                      <w:sdt>
                                        <w:sdtPr>
                                          <w:rPr>
                                            <w:color w:val="44546A" w:themeColor="text2"/>
                                          </w:rPr>
                                          <w:alias w:val="Cours"/>
                                          <w:tag w:val="Cours"/>
                                          <w:id w:val="-710501431"/>
                                          <w:dataBinding w:prefixMappings="xmlns:ns0='http://purl.org/dc/elements/1.1/' xmlns:ns1='http://schemas.openxmlformats.org/package/2006/metadata/core-properties' " w:xpath="/ns1:coreProperties[1]/ns1:category[1]" w:storeItemID="{6C3C8BC8-F283-45AE-878A-BAB7291924A1}"/>
                                          <w:text/>
                                        </w:sdtPr>
                                        <w:sdtEndPr/>
                                        <w:sdtContent>
                                          <w:r w:rsidR="00B72834">
                                            <w:rPr>
                                              <w:color w:val="44546A" w:themeColor="text2"/>
                                            </w:rPr>
                                            <w:t>202</w:t>
                                          </w:r>
                                          <w:r w:rsidR="008D1AC3">
                                            <w:rPr>
                                              <w:color w:val="44546A" w:themeColor="text2"/>
                                            </w:rPr>
                                            <w:t>2</w:t>
                                          </w:r>
                                        </w:sdtContent>
                                      </w:sdt>
                                    </w:p>
                                  </w:tc>
                                  <w:tc>
                                    <w:tcPr>
                                      <w:tcW w:w="375" w:type="pct"/>
                                      <w:vAlign w:val="center"/>
                                    </w:tcPr>
                                    <w:p w14:paraId="543767C9" w14:textId="77777777" w:rsidR="00B72834" w:rsidRPr="00B6593B" w:rsidRDefault="00B72834">
                                      <w:pPr>
                                        <w:pStyle w:val="NoSpacing"/>
                                        <w:rPr>
                                          <w:lang w:val="fr-FR"/>
                                        </w:rPr>
                                      </w:pPr>
                                    </w:p>
                                  </w:tc>
                                </w:tr>
                              </w:tbl>
                              <w:p w14:paraId="3ACE58F7" w14:textId="77777777" w:rsidR="00B72834" w:rsidRDefault="00B7283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7856491" id="_x0000_t202" coordsize="21600,21600" o:spt="202" path="m,l,21600r21600,l21600,xe">
                    <v:stroke joinstyle="miter"/>
                    <v:path gradientshapeok="t" o:connecttype="rect"/>
                  </v:shapetype>
                  <v:shape id="Zone de texte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333"/>
                            <w:gridCol w:w="838"/>
                          </w:tblGrid>
                          <w:tr w:rsidR="00B72834" w14:paraId="6C956847" w14:textId="77777777" w:rsidTr="00B13AE4">
                            <w:trPr>
                              <w:jc w:val="center"/>
                            </w:trPr>
                            <w:tc>
                              <w:tcPr>
                                <w:tcW w:w="4625" w:type="pct"/>
                                <w:vAlign w:val="center"/>
                              </w:tcPr>
                              <w:p w14:paraId="79F2BFE2" w14:textId="77777777" w:rsidR="00B72834" w:rsidRDefault="00B72834">
                                <w:pPr>
                                  <w:jc w:val="right"/>
                                </w:pPr>
                                <w:r>
                                  <w:rPr>
                                    <w:noProof/>
                                    <w:lang w:val="en-GB" w:eastAsia="en-GB"/>
                                  </w:rPr>
                                  <w:drawing>
                                    <wp:inline distT="0" distB="0" distL="0" distR="0" wp14:anchorId="605065F8" wp14:editId="0764B35D">
                                      <wp:extent cx="5597224" cy="2019935"/>
                                      <wp:effectExtent l="0" t="0" r="3810" b="0"/>
                                      <wp:docPr id="139" name="Imag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5743590" cy="2072756"/>
                                              </a:xfrm>
                                              <a:prstGeom prst="rect">
                                                <a:avLst/>
                                              </a:prstGeom>
                                            </pic:spPr>
                                          </pic:pic>
                                        </a:graphicData>
                                      </a:graphic>
                                    </wp:inline>
                                  </w:drawing>
                                </w:r>
                              </w:p>
                              <w:sdt>
                                <w:sdtPr>
                                  <w:rPr>
                                    <w:caps/>
                                    <w:color w:val="191919" w:themeColor="text1" w:themeTint="E6"/>
                                    <w:sz w:val="72"/>
                                    <w:szCs w:val="72"/>
                                  </w:rPr>
                                  <w:alias w:val="Titr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0B83F81" w14:textId="65825CFA" w:rsidR="00B72834" w:rsidRPr="00DE1D45" w:rsidRDefault="002E4A93">
                                    <w:pPr>
                                      <w:pStyle w:val="NoSpacing"/>
                                      <w:spacing w:line="312" w:lineRule="auto"/>
                                      <w:jc w:val="right"/>
                                      <w:rPr>
                                        <w:caps/>
                                        <w:color w:val="191919" w:themeColor="text1" w:themeTint="E6"/>
                                        <w:sz w:val="72"/>
                                        <w:szCs w:val="72"/>
                                      </w:rPr>
                                    </w:pPr>
                                    <w:r>
                                      <w:rPr>
                                        <w:caps/>
                                        <w:color w:val="191919" w:themeColor="text1" w:themeTint="E6"/>
                                        <w:sz w:val="72"/>
                                        <w:szCs w:val="72"/>
                                      </w:rPr>
                                      <w:t>Violence against Children and Child Rights in Turkey</w:t>
                                    </w:r>
                                  </w:p>
                                </w:sdtContent>
                              </w:sdt>
                              <w:p w14:paraId="6769222F" w14:textId="77777777" w:rsidR="00B72834" w:rsidRDefault="00B72834">
                                <w:pPr>
                                  <w:jc w:val="right"/>
                                  <w:rPr>
                                    <w:caps/>
                                    <w:color w:val="ED7D31" w:themeColor="accent2"/>
                                    <w:sz w:val="26"/>
                                    <w:szCs w:val="26"/>
                                    <w:lang w:val="en-US"/>
                                  </w:rPr>
                                </w:pPr>
                                <w:r w:rsidRPr="00B13AE4">
                                  <w:rPr>
                                    <w:caps/>
                                    <w:color w:val="ED7D31" w:themeColor="accent2"/>
                                    <w:sz w:val="26"/>
                                    <w:szCs w:val="26"/>
                                    <w:lang w:val="en-US"/>
                                  </w:rPr>
                                  <w:t>TO The United Nations CoMMITTEE on the Rights of the Child (UNCRC)</w:t>
                                </w:r>
                              </w:p>
                              <w:sdt>
                                <w:sdtPr>
                                  <w:rPr>
                                    <w:color w:val="000000" w:themeColor="text1"/>
                                    <w:lang w:val="en-US"/>
                                  </w:rPr>
                                  <w:alias w:val="Résumé"/>
                                  <w:tag w:val=""/>
                                  <w:id w:val="-1141029795"/>
                                  <w:dataBinding w:prefixMappings="xmlns:ns0='http://schemas.microsoft.com/office/2006/coverPageProps' " w:xpath="/ns0:CoverPageProperties[1]/ns0:Abstract[1]" w:storeItemID="{55AF091B-3C7A-41E3-B477-F2FDAA23CFDA}"/>
                                  <w:text/>
                                </w:sdtPr>
                                <w:sdtEndPr/>
                                <w:sdtContent>
                                  <w:p w14:paraId="47515BB0" w14:textId="3834F7B6" w:rsidR="00B72834" w:rsidRDefault="00B72834" w:rsidP="00B13AE4">
                                    <w:pPr>
                                      <w:rPr>
                                        <w:color w:val="000000" w:themeColor="text1"/>
                                        <w:lang w:val="en-US"/>
                                      </w:rPr>
                                    </w:pPr>
                                    <w:r>
                                      <w:rPr>
                                        <w:color w:val="000000" w:themeColor="text1"/>
                                        <w:lang w:val="en-US"/>
                                      </w:rPr>
                                      <w:t xml:space="preserve">As additional information for the occasion of the </w:t>
                                    </w:r>
                                    <w:r w:rsidRPr="00E21CB6">
                                      <w:rPr>
                                        <w:color w:val="000000" w:themeColor="text1"/>
                                        <w:lang w:val="en-US"/>
                                      </w:rPr>
                                      <w:t xml:space="preserve">constructive dialogue </w:t>
                                    </w:r>
                                    <w:r w:rsidRPr="0098285B">
                                      <w:rPr>
                                        <w:color w:val="000000" w:themeColor="text1"/>
                                        <w:lang w:val="en-US"/>
                                      </w:rPr>
                                      <w:t xml:space="preserve">between Turkey and the UNCRC </w:t>
                                    </w:r>
                                    <w:r>
                                      <w:rPr>
                                        <w:color w:val="000000" w:themeColor="text1"/>
                                        <w:lang w:val="en-US"/>
                                      </w:rPr>
                                      <w:t>on the c</w:t>
                                    </w:r>
                                    <w:r w:rsidRPr="00DE1D45">
                                      <w:rPr>
                                        <w:color w:val="000000" w:themeColor="text1"/>
                                        <w:lang w:val="en-US"/>
                                      </w:rPr>
                                      <w:t>ombined 4th and 5th Periodic Reports</w:t>
                                    </w:r>
                                    <w:r>
                                      <w:rPr>
                                        <w:color w:val="000000" w:themeColor="text1"/>
                                        <w:lang w:val="en-US"/>
                                      </w:rPr>
                                      <w:t xml:space="preserve"> of Turkey</w:t>
                                    </w:r>
                                    <w:r w:rsidRPr="00DE1D45">
                                      <w:rPr>
                                        <w:color w:val="000000" w:themeColor="text1"/>
                                        <w:lang w:val="en-US"/>
                                      </w:rPr>
                                      <w:t xml:space="preserve"> </w:t>
                                    </w:r>
                                    <w:r w:rsidR="008D1AC3">
                                      <w:rPr>
                                        <w:color w:val="000000" w:themeColor="text1"/>
                                        <w:lang w:val="en-US"/>
                                      </w:rPr>
                                      <w:t xml:space="preserve">– 93rd Pre-session </w:t>
                                    </w:r>
                                  </w:p>
                                </w:sdtContent>
                              </w:sdt>
                              <w:p w14:paraId="17373705" w14:textId="77777777" w:rsidR="00B72834" w:rsidRDefault="00B72834" w:rsidP="00B13AE4">
                                <w:pPr>
                                  <w:rPr>
                                    <w:color w:val="000000" w:themeColor="text1"/>
                                    <w:lang w:val="en-US"/>
                                  </w:rPr>
                                </w:pPr>
                              </w:p>
                              <w:sdt>
                                <w:sdtPr>
                                  <w:rPr>
                                    <w:color w:val="ED7D31" w:themeColor="accent2"/>
                                    <w:sz w:val="26"/>
                                    <w:szCs w:val="26"/>
                                  </w:rPr>
                                  <w:alias w:val="Auteur"/>
                                  <w:tag w:val=""/>
                                  <w:id w:val="-391501377"/>
                                  <w:dataBinding w:prefixMappings="xmlns:ns0='http://purl.org/dc/elements/1.1/' xmlns:ns1='http://schemas.openxmlformats.org/package/2006/metadata/core-properties' " w:xpath="/ns1:coreProperties[1]/ns0:creator[1]" w:storeItemID="{6C3C8BC8-F283-45AE-878A-BAB7291924A1}"/>
                                  <w:text/>
                                </w:sdtPr>
                                <w:sdtEndPr/>
                                <w:sdtContent>
                                  <w:p w14:paraId="3C468A9E" w14:textId="77777777" w:rsidR="00B72834" w:rsidRPr="00B13AE4" w:rsidRDefault="00B72834" w:rsidP="00B13AE4">
                                    <w:pPr>
                                      <w:pStyle w:val="NoSpacing"/>
                                      <w:rPr>
                                        <w:rFonts w:eastAsiaTheme="minorHAnsi"/>
                                        <w:color w:val="ED7D31" w:themeColor="accent2"/>
                                        <w:sz w:val="26"/>
                                        <w:szCs w:val="26"/>
                                        <w:lang w:eastAsia="en-US"/>
                                      </w:rPr>
                                    </w:pPr>
                                    <w:r>
                                      <w:rPr>
                                        <w:color w:val="ED7D31" w:themeColor="accent2"/>
                                        <w:sz w:val="26"/>
                                        <w:szCs w:val="26"/>
                                      </w:rPr>
                                      <w:t>Partnership Network for the Prevention of Violence against Children</w:t>
                                    </w:r>
                                  </w:p>
                                </w:sdtContent>
                              </w:sdt>
                              <w:p w14:paraId="79409408" w14:textId="77777777" w:rsidR="00B72834" w:rsidRPr="00DE1D45" w:rsidRDefault="00B72834" w:rsidP="00B13AE4">
                                <w:pPr>
                                  <w:rPr>
                                    <w:color w:val="000000" w:themeColor="text1"/>
                                    <w:lang w:val="en-US"/>
                                  </w:rPr>
                                </w:pPr>
                              </w:p>
                              <w:p w14:paraId="3D7BDF6F" w14:textId="67AC4B21" w:rsidR="00B72834" w:rsidRPr="00B13AE4" w:rsidRDefault="001E237A" w:rsidP="00B13AE4">
                                <w:pPr>
                                  <w:rPr>
                                    <w:lang w:val="en-US"/>
                                  </w:rPr>
                                </w:pPr>
                                <w:sdt>
                                  <w:sdtPr>
                                    <w:rPr>
                                      <w:color w:val="44546A" w:themeColor="text2"/>
                                    </w:rPr>
                                    <w:alias w:val="Cours"/>
                                    <w:tag w:val="Cours"/>
                                    <w:id w:val="-710501431"/>
                                    <w:dataBinding w:prefixMappings="xmlns:ns0='http://purl.org/dc/elements/1.1/' xmlns:ns1='http://schemas.openxmlformats.org/package/2006/metadata/core-properties' " w:xpath="/ns1:coreProperties[1]/ns1:category[1]" w:storeItemID="{6C3C8BC8-F283-45AE-878A-BAB7291924A1}"/>
                                    <w:text/>
                                  </w:sdtPr>
                                  <w:sdtEndPr/>
                                  <w:sdtContent>
                                    <w:r w:rsidR="00B72834">
                                      <w:rPr>
                                        <w:color w:val="44546A" w:themeColor="text2"/>
                                      </w:rPr>
                                      <w:t>202</w:t>
                                    </w:r>
                                    <w:r w:rsidR="008D1AC3">
                                      <w:rPr>
                                        <w:color w:val="44546A" w:themeColor="text2"/>
                                      </w:rPr>
                                      <w:t>2</w:t>
                                    </w:r>
                                  </w:sdtContent>
                                </w:sdt>
                              </w:p>
                            </w:tc>
                            <w:tc>
                              <w:tcPr>
                                <w:tcW w:w="375" w:type="pct"/>
                                <w:vAlign w:val="center"/>
                              </w:tcPr>
                              <w:p w14:paraId="543767C9" w14:textId="77777777" w:rsidR="00B72834" w:rsidRPr="00B6593B" w:rsidRDefault="00B72834">
                                <w:pPr>
                                  <w:pStyle w:val="NoSpacing"/>
                                  <w:rPr>
                                    <w:lang w:val="fr-FR"/>
                                  </w:rPr>
                                </w:pPr>
                              </w:p>
                            </w:tc>
                          </w:tr>
                        </w:tbl>
                        <w:p w14:paraId="3ACE58F7" w14:textId="77777777" w:rsidR="00B72834" w:rsidRDefault="00B72834"/>
                      </w:txbxContent>
                    </v:textbox>
                    <w10:wrap anchorx="page" anchory="page"/>
                  </v:shape>
                </w:pict>
              </mc:Fallback>
            </mc:AlternateContent>
          </w:r>
          <w:r w:rsidRPr="00D62B4A">
            <w:rPr>
              <w:lang w:val="en-GB"/>
            </w:rPr>
            <w:br w:type="page"/>
          </w:r>
        </w:p>
      </w:sdtContent>
    </w:sdt>
    <w:p w14:paraId="21973889" w14:textId="77777777" w:rsidR="005B79A5" w:rsidRPr="00D62B4A" w:rsidRDefault="005B79A5">
      <w:pPr>
        <w:rPr>
          <w:lang w:val="en-GB"/>
        </w:rPr>
      </w:pPr>
    </w:p>
    <w:sdt>
      <w:sdtPr>
        <w:rPr>
          <w:rFonts w:asciiTheme="minorHAnsi" w:hAnsiTheme="minorHAnsi"/>
          <w:sz w:val="24"/>
          <w:szCs w:val="24"/>
          <w:lang w:val="en-GB"/>
        </w:rPr>
        <w:alias w:val="Titre"/>
        <w:tag w:val=""/>
        <w:id w:val="1327474268"/>
        <w:dataBinding w:prefixMappings="xmlns:ns0='http://purl.org/dc/elements/1.1/' xmlns:ns1='http://schemas.openxmlformats.org/package/2006/metadata/core-properties' " w:xpath="/ns1:coreProperties[1]/ns0:title[1]" w:storeItemID="{6C3C8BC8-F283-45AE-878A-BAB7291924A1}"/>
        <w:text/>
      </w:sdtPr>
      <w:sdtEndPr/>
      <w:sdtContent>
        <w:p w14:paraId="4160A168" w14:textId="13222058" w:rsidR="005B79A5" w:rsidRPr="00D62B4A" w:rsidRDefault="005B79A5" w:rsidP="005B79A5">
          <w:pPr>
            <w:pStyle w:val="Title"/>
            <w:rPr>
              <w:rFonts w:asciiTheme="minorHAnsi" w:hAnsiTheme="minorHAnsi"/>
              <w:sz w:val="24"/>
              <w:szCs w:val="24"/>
              <w:lang w:val="en-GB"/>
            </w:rPr>
          </w:pPr>
          <w:r w:rsidRPr="00D62B4A">
            <w:rPr>
              <w:rFonts w:asciiTheme="minorHAnsi" w:hAnsiTheme="minorHAnsi"/>
              <w:sz w:val="24"/>
              <w:szCs w:val="24"/>
              <w:lang w:val="en-GB"/>
            </w:rPr>
            <w:t xml:space="preserve">Violence against Children and Child </w:t>
          </w:r>
          <w:r w:rsidR="002E4A93" w:rsidRPr="00D62B4A">
            <w:rPr>
              <w:rFonts w:asciiTheme="minorHAnsi" w:hAnsiTheme="minorHAnsi"/>
              <w:sz w:val="24"/>
              <w:szCs w:val="24"/>
              <w:lang w:val="en-GB"/>
            </w:rPr>
            <w:t xml:space="preserve">Rights </w:t>
          </w:r>
          <w:r w:rsidRPr="00D62B4A">
            <w:rPr>
              <w:rFonts w:asciiTheme="minorHAnsi" w:hAnsiTheme="minorHAnsi"/>
              <w:sz w:val="24"/>
              <w:szCs w:val="24"/>
              <w:lang w:val="en-GB"/>
            </w:rPr>
            <w:t>in Turkey</w:t>
          </w:r>
        </w:p>
      </w:sdtContent>
    </w:sdt>
    <w:p w14:paraId="331CF11E" w14:textId="42869C2B" w:rsidR="005B79A5" w:rsidRPr="00D62B4A" w:rsidRDefault="005B79A5" w:rsidP="005B79A5">
      <w:pPr>
        <w:rPr>
          <w:lang w:val="en-GB"/>
        </w:rPr>
      </w:pPr>
      <w:r w:rsidRPr="00D62B4A">
        <w:rPr>
          <w:lang w:val="en-GB"/>
        </w:rPr>
        <w:t>As additional information for the occasion of the constructive dialogue between Turkey and the UNCRC on the combined 4th and 5th Periodic Reports of Turkey</w:t>
      </w:r>
      <w:r w:rsidR="008D1AC3">
        <w:rPr>
          <w:lang w:val="en-GB"/>
        </w:rPr>
        <w:t xml:space="preserve"> – 93</w:t>
      </w:r>
      <w:r w:rsidR="008D1AC3" w:rsidRPr="008D1AC3">
        <w:rPr>
          <w:vertAlign w:val="superscript"/>
          <w:lang w:val="en-GB"/>
        </w:rPr>
        <w:t>rd</w:t>
      </w:r>
      <w:r w:rsidR="008D1AC3">
        <w:rPr>
          <w:lang w:val="en-GB"/>
        </w:rPr>
        <w:t xml:space="preserve"> Pre-session </w:t>
      </w:r>
    </w:p>
    <w:p w14:paraId="785AD9AC" w14:textId="77777777" w:rsidR="005B79A5" w:rsidRPr="00D62B4A" w:rsidRDefault="005B79A5" w:rsidP="005B79A5">
      <w:pPr>
        <w:rPr>
          <w:lang w:val="en-GB"/>
        </w:rPr>
      </w:pPr>
    </w:p>
    <w:p w14:paraId="505D8A27" w14:textId="77777777" w:rsidR="005B79A5" w:rsidRPr="00D62B4A" w:rsidRDefault="005B79A5" w:rsidP="005B79A5">
      <w:pPr>
        <w:rPr>
          <w:lang w:val="en-GB"/>
        </w:rPr>
      </w:pPr>
      <w:r w:rsidRPr="00D62B4A">
        <w:rPr>
          <w:lang w:val="en-GB"/>
        </w:rPr>
        <w:t xml:space="preserve">NGO report </w:t>
      </w:r>
    </w:p>
    <w:p w14:paraId="2F89DEF3" w14:textId="77777777" w:rsidR="005B79A5" w:rsidRPr="00D62B4A" w:rsidRDefault="005B79A5" w:rsidP="005B79A5">
      <w:pPr>
        <w:rPr>
          <w:lang w:val="en-GB"/>
        </w:rPr>
      </w:pPr>
    </w:p>
    <w:p w14:paraId="573ACF84" w14:textId="77777777" w:rsidR="005B79A5" w:rsidRPr="00D62B4A" w:rsidRDefault="005B79A5" w:rsidP="005B79A5">
      <w:pPr>
        <w:rPr>
          <w:lang w:val="en-GB"/>
        </w:rPr>
      </w:pPr>
      <w:r w:rsidRPr="00D62B4A">
        <w:rPr>
          <w:lang w:val="en-GB"/>
        </w:rPr>
        <w:t>Partnership Network for the Prevention of Violence against Children</w:t>
      </w:r>
    </w:p>
    <w:p w14:paraId="0637E07C" w14:textId="4F106E39" w:rsidR="005B79A5" w:rsidRPr="00D62B4A" w:rsidRDefault="008D1AC3" w:rsidP="005B79A5">
      <w:pPr>
        <w:rPr>
          <w:lang w:val="en-GB"/>
        </w:rPr>
      </w:pPr>
      <w:r>
        <w:rPr>
          <w:lang w:val="en-GB"/>
        </w:rPr>
        <w:t>June</w:t>
      </w:r>
      <w:r w:rsidR="005B79A5" w:rsidRPr="00D62B4A">
        <w:rPr>
          <w:lang w:val="en-GB"/>
        </w:rPr>
        <w:t xml:space="preserve"> 202</w:t>
      </w:r>
      <w:r>
        <w:rPr>
          <w:lang w:val="en-GB"/>
        </w:rPr>
        <w:t>2</w:t>
      </w:r>
    </w:p>
    <w:p w14:paraId="28ABAD3F" w14:textId="77777777" w:rsidR="005B79A5" w:rsidRPr="00D62B4A" w:rsidRDefault="005B79A5" w:rsidP="005B79A5">
      <w:pPr>
        <w:rPr>
          <w:lang w:val="en-GB"/>
        </w:rPr>
      </w:pPr>
    </w:p>
    <w:p w14:paraId="5D220634" w14:textId="0344337C" w:rsidR="005B79A5" w:rsidRPr="00D62B4A" w:rsidRDefault="005B79A5" w:rsidP="005B79A5">
      <w:pPr>
        <w:rPr>
          <w:lang w:val="en-GB"/>
        </w:rPr>
      </w:pPr>
      <w:r w:rsidRPr="00D62B4A">
        <w:rPr>
          <w:lang w:val="en-GB"/>
        </w:rPr>
        <w:t>Contact information</w:t>
      </w:r>
      <w:r w:rsidR="008D1AC3">
        <w:rPr>
          <w:lang w:val="en-GB"/>
        </w:rPr>
        <w:t xml:space="preserve">: </w:t>
      </w:r>
      <w:hyperlink r:id="rId10" w:history="1">
        <w:r w:rsidR="008D1AC3" w:rsidRPr="00612F72">
          <w:rPr>
            <w:rStyle w:val="Hyperlink"/>
            <w:lang w:val="en-GB"/>
          </w:rPr>
          <w:t>bilgi@cocugasiddetionluyoruz.net</w:t>
        </w:r>
      </w:hyperlink>
      <w:r w:rsidR="008D1AC3">
        <w:rPr>
          <w:lang w:val="en-GB"/>
        </w:rPr>
        <w:t xml:space="preserve"> </w:t>
      </w:r>
    </w:p>
    <w:p w14:paraId="7D54DB31" w14:textId="77777777" w:rsidR="005B79A5" w:rsidRPr="00D62B4A" w:rsidRDefault="005B79A5" w:rsidP="005B79A5">
      <w:pPr>
        <w:rPr>
          <w:lang w:val="en-GB"/>
        </w:rPr>
      </w:pPr>
    </w:p>
    <w:p w14:paraId="3B69F2FE" w14:textId="6650FB3E" w:rsidR="005B79A5" w:rsidRPr="00D62B4A" w:rsidRDefault="005B79A5" w:rsidP="005B79A5">
      <w:pPr>
        <w:rPr>
          <w:lang w:val="en-GB"/>
        </w:rPr>
      </w:pPr>
      <w:r w:rsidRPr="00D62B4A">
        <w:rPr>
          <w:lang w:val="en-GB"/>
        </w:rPr>
        <w:t xml:space="preserve">Report title in Turkish: </w:t>
      </w:r>
      <w:r w:rsidRPr="008D1AC3">
        <w:rPr>
          <w:lang w:val="tr-TR"/>
        </w:rPr>
        <w:t>T</w:t>
      </w:r>
      <w:r w:rsidR="008D1AC3" w:rsidRPr="008D1AC3">
        <w:rPr>
          <w:lang w:val="tr-TR"/>
        </w:rPr>
        <w:t>ü</w:t>
      </w:r>
      <w:r w:rsidRPr="008D1AC3">
        <w:rPr>
          <w:lang w:val="tr-TR"/>
        </w:rPr>
        <w:t xml:space="preserve">rkiye’de </w:t>
      </w:r>
      <w:r w:rsidR="008D1AC3" w:rsidRPr="008D1AC3">
        <w:rPr>
          <w:lang w:val="tr-TR"/>
        </w:rPr>
        <w:t>Çocuğa</w:t>
      </w:r>
      <w:r w:rsidRPr="008D1AC3">
        <w:rPr>
          <w:lang w:val="tr-TR"/>
        </w:rPr>
        <w:t xml:space="preserve"> </w:t>
      </w:r>
      <w:r w:rsidR="008D1AC3" w:rsidRPr="008D1AC3">
        <w:rPr>
          <w:lang w:val="tr-TR"/>
        </w:rPr>
        <w:t>Karşı</w:t>
      </w:r>
      <w:r w:rsidRPr="008D1AC3">
        <w:rPr>
          <w:lang w:val="tr-TR"/>
        </w:rPr>
        <w:t xml:space="preserve"> </w:t>
      </w:r>
      <w:r w:rsidR="008D1AC3" w:rsidRPr="008D1AC3">
        <w:rPr>
          <w:lang w:val="tr-TR"/>
        </w:rPr>
        <w:t>Şiddet</w:t>
      </w:r>
      <w:r w:rsidRPr="008D1AC3">
        <w:rPr>
          <w:lang w:val="tr-TR"/>
        </w:rPr>
        <w:t xml:space="preserve"> ve </w:t>
      </w:r>
      <w:r w:rsidR="008D1AC3" w:rsidRPr="008D1AC3">
        <w:rPr>
          <w:lang w:val="tr-TR"/>
        </w:rPr>
        <w:t>Çocuk</w:t>
      </w:r>
      <w:r w:rsidRPr="008D1AC3">
        <w:rPr>
          <w:lang w:val="tr-TR"/>
        </w:rPr>
        <w:t xml:space="preserve"> </w:t>
      </w:r>
      <w:r w:rsidR="008D1AC3" w:rsidRPr="008D1AC3">
        <w:rPr>
          <w:lang w:val="tr-TR"/>
        </w:rPr>
        <w:t>Hakları</w:t>
      </w:r>
      <w:r w:rsidRPr="00D62B4A">
        <w:rPr>
          <w:lang w:val="en-GB"/>
        </w:rPr>
        <w:t xml:space="preserve">  </w:t>
      </w:r>
    </w:p>
    <w:p w14:paraId="76E1CF50" w14:textId="77777777" w:rsidR="008D1AC3" w:rsidRDefault="008D1AC3" w:rsidP="005B79A5">
      <w:pPr>
        <w:rPr>
          <w:highlight w:val="yellow"/>
          <w:lang w:val="en-GB"/>
        </w:rPr>
      </w:pPr>
    </w:p>
    <w:p w14:paraId="6A9BCE6A" w14:textId="3047F89F" w:rsidR="005B79A5" w:rsidRPr="00D62B4A" w:rsidRDefault="008D1AC3" w:rsidP="005B79A5">
      <w:pPr>
        <w:rPr>
          <w:lang w:val="en-GB"/>
        </w:rPr>
      </w:pPr>
      <w:r w:rsidRPr="008D1AC3">
        <w:rPr>
          <w:lang w:val="en-GB"/>
        </w:rPr>
        <w:t>P</w:t>
      </w:r>
      <w:r w:rsidR="005B79A5" w:rsidRPr="008D1AC3">
        <w:rPr>
          <w:lang w:val="en-GB"/>
        </w:rPr>
        <w:t>ublic</w:t>
      </w:r>
      <w:r>
        <w:rPr>
          <w:lang w:val="en-GB"/>
        </w:rPr>
        <w:t xml:space="preserve"> document </w:t>
      </w:r>
    </w:p>
    <w:p w14:paraId="764AB808" w14:textId="77777777" w:rsidR="005B79A5" w:rsidRPr="00D62B4A" w:rsidRDefault="005B79A5" w:rsidP="005B79A5">
      <w:pPr>
        <w:rPr>
          <w:lang w:val="en-GB"/>
        </w:rPr>
      </w:pPr>
    </w:p>
    <w:p w14:paraId="2B8310F4" w14:textId="77777777" w:rsidR="00EF4EC6" w:rsidRPr="00D62B4A" w:rsidRDefault="005B79A5" w:rsidP="005B79A5">
      <w:pPr>
        <w:rPr>
          <w:lang w:val="en-GB"/>
        </w:rPr>
      </w:pPr>
      <w:r w:rsidRPr="00D62B4A">
        <w:rPr>
          <w:lang w:val="en-GB"/>
        </w:rPr>
        <w:t xml:space="preserve"> </w:t>
      </w:r>
      <w:r w:rsidR="00EF4EC6" w:rsidRPr="00D62B4A">
        <w:rPr>
          <w:lang w:val="en-GB"/>
        </w:rPr>
        <w:br w:type="page"/>
      </w:r>
    </w:p>
    <w:p w14:paraId="5E2E38D4" w14:textId="77777777" w:rsidR="006B0920" w:rsidRPr="00D62B4A" w:rsidRDefault="006B0920">
      <w:pPr>
        <w:rPr>
          <w:lang w:val="en-GB"/>
        </w:rPr>
      </w:pPr>
    </w:p>
    <w:sdt>
      <w:sdtPr>
        <w:rPr>
          <w:rFonts w:asciiTheme="minorHAnsi" w:eastAsiaTheme="minorHAnsi" w:hAnsiTheme="minorHAnsi" w:cstheme="minorBidi"/>
          <w:b w:val="0"/>
          <w:bCs w:val="0"/>
          <w:color w:val="auto"/>
          <w:sz w:val="24"/>
          <w:szCs w:val="24"/>
          <w:lang w:val="en-GB" w:eastAsia="en-US"/>
        </w:rPr>
        <w:id w:val="745540914"/>
        <w:docPartObj>
          <w:docPartGallery w:val="Table of Contents"/>
          <w:docPartUnique/>
        </w:docPartObj>
      </w:sdtPr>
      <w:sdtEndPr/>
      <w:sdtContent>
        <w:p w14:paraId="2E471534" w14:textId="77777777" w:rsidR="006B0920" w:rsidRPr="00D62B4A" w:rsidRDefault="00EA3A89">
          <w:pPr>
            <w:pStyle w:val="TOCHeading"/>
            <w:rPr>
              <w:rFonts w:asciiTheme="minorHAnsi" w:hAnsiTheme="minorHAnsi"/>
              <w:sz w:val="24"/>
              <w:szCs w:val="24"/>
              <w:lang w:val="en-GB"/>
            </w:rPr>
          </w:pPr>
          <w:r w:rsidRPr="00D62B4A">
            <w:rPr>
              <w:rFonts w:asciiTheme="minorHAnsi" w:hAnsiTheme="minorHAnsi"/>
              <w:sz w:val="24"/>
              <w:szCs w:val="24"/>
              <w:lang w:val="en-GB"/>
            </w:rPr>
            <w:t>Contents</w:t>
          </w:r>
        </w:p>
        <w:p w14:paraId="3C50BC3C" w14:textId="22A9D64B" w:rsidR="006C306C" w:rsidRDefault="006B0920">
          <w:pPr>
            <w:pStyle w:val="TOC1"/>
            <w:tabs>
              <w:tab w:val="right" w:leader="dot" w:pos="9055"/>
            </w:tabs>
            <w:rPr>
              <w:rFonts w:eastAsiaTheme="minorEastAsia" w:cstheme="minorBidi"/>
              <w:b w:val="0"/>
              <w:bCs w:val="0"/>
              <w:i w:val="0"/>
              <w:iCs w:val="0"/>
              <w:noProof/>
              <w:lang w:eastAsia="fr-FR"/>
            </w:rPr>
          </w:pPr>
          <w:r w:rsidRPr="00D62B4A">
            <w:rPr>
              <w:b w:val="0"/>
              <w:bCs w:val="0"/>
              <w:lang w:val="en-GB"/>
            </w:rPr>
            <w:fldChar w:fldCharType="begin"/>
          </w:r>
          <w:r w:rsidRPr="00D62B4A">
            <w:rPr>
              <w:lang w:val="en-GB"/>
            </w:rPr>
            <w:instrText>TOC \o "1-3" \h \z \u</w:instrText>
          </w:r>
          <w:r w:rsidRPr="00D62B4A">
            <w:rPr>
              <w:b w:val="0"/>
              <w:bCs w:val="0"/>
              <w:lang w:val="en-GB"/>
            </w:rPr>
            <w:fldChar w:fldCharType="separate"/>
          </w:r>
          <w:hyperlink w:anchor="_Toc107480658" w:history="1">
            <w:r w:rsidR="006C306C" w:rsidRPr="00987396">
              <w:rPr>
                <w:rStyle w:val="Hyperlink"/>
                <w:noProof/>
                <w:lang w:val="en-GB"/>
              </w:rPr>
              <w:t>Introduction</w:t>
            </w:r>
            <w:r w:rsidR="006C306C">
              <w:rPr>
                <w:noProof/>
                <w:webHidden/>
              </w:rPr>
              <w:tab/>
            </w:r>
            <w:r w:rsidR="006C306C">
              <w:rPr>
                <w:noProof/>
                <w:webHidden/>
              </w:rPr>
              <w:fldChar w:fldCharType="begin"/>
            </w:r>
            <w:r w:rsidR="006C306C">
              <w:rPr>
                <w:noProof/>
                <w:webHidden/>
              </w:rPr>
              <w:instrText xml:space="preserve"> PAGEREF _Toc107480658 \h </w:instrText>
            </w:r>
            <w:r w:rsidR="006C306C">
              <w:rPr>
                <w:noProof/>
                <w:webHidden/>
              </w:rPr>
            </w:r>
            <w:r w:rsidR="006C306C">
              <w:rPr>
                <w:noProof/>
                <w:webHidden/>
              </w:rPr>
              <w:fldChar w:fldCharType="separate"/>
            </w:r>
            <w:r w:rsidR="006C306C">
              <w:rPr>
                <w:noProof/>
                <w:webHidden/>
              </w:rPr>
              <w:t>5</w:t>
            </w:r>
            <w:r w:rsidR="006C306C">
              <w:rPr>
                <w:noProof/>
                <w:webHidden/>
              </w:rPr>
              <w:fldChar w:fldCharType="end"/>
            </w:r>
          </w:hyperlink>
        </w:p>
        <w:p w14:paraId="00521B06" w14:textId="2E98EE10" w:rsidR="006C306C" w:rsidRDefault="001E237A">
          <w:pPr>
            <w:pStyle w:val="TOC1"/>
            <w:tabs>
              <w:tab w:val="right" w:leader="dot" w:pos="9055"/>
            </w:tabs>
            <w:rPr>
              <w:rFonts w:eastAsiaTheme="minorEastAsia" w:cstheme="minorBidi"/>
              <w:b w:val="0"/>
              <w:bCs w:val="0"/>
              <w:i w:val="0"/>
              <w:iCs w:val="0"/>
              <w:noProof/>
              <w:lang w:eastAsia="fr-FR"/>
            </w:rPr>
          </w:pPr>
          <w:hyperlink w:anchor="_Toc107480659" w:history="1">
            <w:r w:rsidR="006C306C" w:rsidRPr="00987396">
              <w:rPr>
                <w:rStyle w:val="Hyperlink"/>
                <w:noProof/>
                <w:lang w:val="en-GB"/>
              </w:rPr>
              <w:t>General measures of implementation (arts. 4, 42, 44(6))</w:t>
            </w:r>
            <w:r w:rsidR="006C306C">
              <w:rPr>
                <w:noProof/>
                <w:webHidden/>
              </w:rPr>
              <w:tab/>
            </w:r>
            <w:r w:rsidR="006C306C">
              <w:rPr>
                <w:noProof/>
                <w:webHidden/>
              </w:rPr>
              <w:fldChar w:fldCharType="begin"/>
            </w:r>
            <w:r w:rsidR="006C306C">
              <w:rPr>
                <w:noProof/>
                <w:webHidden/>
              </w:rPr>
              <w:instrText xml:space="preserve"> PAGEREF _Toc107480659 \h </w:instrText>
            </w:r>
            <w:r w:rsidR="006C306C">
              <w:rPr>
                <w:noProof/>
                <w:webHidden/>
              </w:rPr>
            </w:r>
            <w:r w:rsidR="006C306C">
              <w:rPr>
                <w:noProof/>
                <w:webHidden/>
              </w:rPr>
              <w:fldChar w:fldCharType="separate"/>
            </w:r>
            <w:r w:rsidR="006C306C">
              <w:rPr>
                <w:noProof/>
                <w:webHidden/>
              </w:rPr>
              <w:t>5</w:t>
            </w:r>
            <w:r w:rsidR="006C306C">
              <w:rPr>
                <w:noProof/>
                <w:webHidden/>
              </w:rPr>
              <w:fldChar w:fldCharType="end"/>
            </w:r>
          </w:hyperlink>
        </w:p>
        <w:p w14:paraId="68E364C2" w14:textId="12F24F29" w:rsidR="006C306C" w:rsidRDefault="001E237A">
          <w:pPr>
            <w:pStyle w:val="TOC1"/>
            <w:tabs>
              <w:tab w:val="right" w:leader="dot" w:pos="9055"/>
            </w:tabs>
            <w:rPr>
              <w:rFonts w:eastAsiaTheme="minorEastAsia" w:cstheme="minorBidi"/>
              <w:b w:val="0"/>
              <w:bCs w:val="0"/>
              <w:i w:val="0"/>
              <w:iCs w:val="0"/>
              <w:noProof/>
              <w:lang w:eastAsia="fr-FR"/>
            </w:rPr>
          </w:pPr>
          <w:hyperlink w:anchor="_Toc107480660" w:history="1">
            <w:r w:rsidR="006C306C" w:rsidRPr="00987396">
              <w:rPr>
                <w:rStyle w:val="Hyperlink"/>
                <w:noProof/>
                <w:lang w:val="en-GB"/>
              </w:rPr>
              <w:t>Definition of the child (art.1)</w:t>
            </w:r>
            <w:r w:rsidR="006C306C">
              <w:rPr>
                <w:noProof/>
                <w:webHidden/>
              </w:rPr>
              <w:tab/>
            </w:r>
            <w:r w:rsidR="006C306C">
              <w:rPr>
                <w:noProof/>
                <w:webHidden/>
              </w:rPr>
              <w:fldChar w:fldCharType="begin"/>
            </w:r>
            <w:r w:rsidR="006C306C">
              <w:rPr>
                <w:noProof/>
                <w:webHidden/>
              </w:rPr>
              <w:instrText xml:space="preserve"> PAGEREF _Toc107480660 \h </w:instrText>
            </w:r>
            <w:r w:rsidR="006C306C">
              <w:rPr>
                <w:noProof/>
                <w:webHidden/>
              </w:rPr>
            </w:r>
            <w:r w:rsidR="006C306C">
              <w:rPr>
                <w:noProof/>
                <w:webHidden/>
              </w:rPr>
              <w:fldChar w:fldCharType="separate"/>
            </w:r>
            <w:r w:rsidR="006C306C">
              <w:rPr>
                <w:noProof/>
                <w:webHidden/>
              </w:rPr>
              <w:t>8</w:t>
            </w:r>
            <w:r w:rsidR="006C306C">
              <w:rPr>
                <w:noProof/>
                <w:webHidden/>
              </w:rPr>
              <w:fldChar w:fldCharType="end"/>
            </w:r>
          </w:hyperlink>
        </w:p>
        <w:p w14:paraId="769D4D6D" w14:textId="34990B71" w:rsidR="006C306C" w:rsidRDefault="001E237A">
          <w:pPr>
            <w:pStyle w:val="TOC1"/>
            <w:tabs>
              <w:tab w:val="right" w:leader="dot" w:pos="9055"/>
            </w:tabs>
            <w:rPr>
              <w:rFonts w:eastAsiaTheme="minorEastAsia" w:cstheme="minorBidi"/>
              <w:b w:val="0"/>
              <w:bCs w:val="0"/>
              <w:i w:val="0"/>
              <w:iCs w:val="0"/>
              <w:noProof/>
              <w:lang w:eastAsia="fr-FR"/>
            </w:rPr>
          </w:pPr>
          <w:hyperlink w:anchor="_Toc107480661" w:history="1">
            <w:r w:rsidR="006C306C" w:rsidRPr="00987396">
              <w:rPr>
                <w:rStyle w:val="Hyperlink"/>
                <w:noProof/>
                <w:lang w:val="en-GB"/>
              </w:rPr>
              <w:t>General principles (arts. 2, 3, 6, 12)</w:t>
            </w:r>
            <w:r w:rsidR="006C306C">
              <w:rPr>
                <w:noProof/>
                <w:webHidden/>
              </w:rPr>
              <w:tab/>
            </w:r>
            <w:r w:rsidR="006C306C">
              <w:rPr>
                <w:noProof/>
                <w:webHidden/>
              </w:rPr>
              <w:fldChar w:fldCharType="begin"/>
            </w:r>
            <w:r w:rsidR="006C306C">
              <w:rPr>
                <w:noProof/>
                <w:webHidden/>
              </w:rPr>
              <w:instrText xml:space="preserve"> PAGEREF _Toc107480661 \h </w:instrText>
            </w:r>
            <w:r w:rsidR="006C306C">
              <w:rPr>
                <w:noProof/>
                <w:webHidden/>
              </w:rPr>
            </w:r>
            <w:r w:rsidR="006C306C">
              <w:rPr>
                <w:noProof/>
                <w:webHidden/>
              </w:rPr>
              <w:fldChar w:fldCharType="separate"/>
            </w:r>
            <w:r w:rsidR="006C306C">
              <w:rPr>
                <w:noProof/>
                <w:webHidden/>
              </w:rPr>
              <w:t>8</w:t>
            </w:r>
            <w:r w:rsidR="006C306C">
              <w:rPr>
                <w:noProof/>
                <w:webHidden/>
              </w:rPr>
              <w:fldChar w:fldCharType="end"/>
            </w:r>
          </w:hyperlink>
        </w:p>
        <w:p w14:paraId="0BB04CDB" w14:textId="068187E2" w:rsidR="006C306C" w:rsidRDefault="001E237A">
          <w:pPr>
            <w:pStyle w:val="TOC1"/>
            <w:tabs>
              <w:tab w:val="right" w:leader="dot" w:pos="9055"/>
            </w:tabs>
            <w:rPr>
              <w:rFonts w:eastAsiaTheme="minorEastAsia" w:cstheme="minorBidi"/>
              <w:b w:val="0"/>
              <w:bCs w:val="0"/>
              <w:i w:val="0"/>
              <w:iCs w:val="0"/>
              <w:noProof/>
              <w:lang w:eastAsia="fr-FR"/>
            </w:rPr>
          </w:pPr>
          <w:hyperlink w:anchor="_Toc107480662" w:history="1">
            <w:r w:rsidR="006C306C" w:rsidRPr="00987396">
              <w:rPr>
                <w:rStyle w:val="Hyperlink"/>
                <w:noProof/>
                <w:lang w:val="en-GB"/>
              </w:rPr>
              <w:t>Civil rights and freedoms (arts. 7, 8, 13, 14, 15, 16, 17, 39)</w:t>
            </w:r>
            <w:r w:rsidR="006C306C">
              <w:rPr>
                <w:noProof/>
                <w:webHidden/>
              </w:rPr>
              <w:tab/>
            </w:r>
            <w:r w:rsidR="006C306C">
              <w:rPr>
                <w:noProof/>
                <w:webHidden/>
              </w:rPr>
              <w:fldChar w:fldCharType="begin"/>
            </w:r>
            <w:r w:rsidR="006C306C">
              <w:rPr>
                <w:noProof/>
                <w:webHidden/>
              </w:rPr>
              <w:instrText xml:space="preserve"> PAGEREF _Toc107480662 \h </w:instrText>
            </w:r>
            <w:r w:rsidR="006C306C">
              <w:rPr>
                <w:noProof/>
                <w:webHidden/>
              </w:rPr>
            </w:r>
            <w:r w:rsidR="006C306C">
              <w:rPr>
                <w:noProof/>
                <w:webHidden/>
              </w:rPr>
              <w:fldChar w:fldCharType="separate"/>
            </w:r>
            <w:r w:rsidR="006C306C">
              <w:rPr>
                <w:noProof/>
                <w:webHidden/>
              </w:rPr>
              <w:t>9</w:t>
            </w:r>
            <w:r w:rsidR="006C306C">
              <w:rPr>
                <w:noProof/>
                <w:webHidden/>
              </w:rPr>
              <w:fldChar w:fldCharType="end"/>
            </w:r>
          </w:hyperlink>
        </w:p>
        <w:p w14:paraId="05812396" w14:textId="54B820B3" w:rsidR="006C306C" w:rsidRDefault="001E237A">
          <w:pPr>
            <w:pStyle w:val="TOC1"/>
            <w:tabs>
              <w:tab w:val="right" w:leader="dot" w:pos="9055"/>
            </w:tabs>
            <w:rPr>
              <w:rFonts w:eastAsiaTheme="minorEastAsia" w:cstheme="minorBidi"/>
              <w:b w:val="0"/>
              <w:bCs w:val="0"/>
              <w:i w:val="0"/>
              <w:iCs w:val="0"/>
              <w:noProof/>
              <w:lang w:eastAsia="fr-FR"/>
            </w:rPr>
          </w:pPr>
          <w:hyperlink w:anchor="_Toc107480663" w:history="1">
            <w:r w:rsidR="006C306C" w:rsidRPr="00987396">
              <w:rPr>
                <w:rStyle w:val="Hyperlink"/>
                <w:noProof/>
                <w:lang w:val="en-GB"/>
              </w:rPr>
              <w:t>Violence against children (VAC) (arts. 19, 39, 24(3), 37(a), 28(2), 34)</w:t>
            </w:r>
            <w:r w:rsidR="006C306C">
              <w:rPr>
                <w:noProof/>
                <w:webHidden/>
              </w:rPr>
              <w:tab/>
            </w:r>
            <w:r w:rsidR="006C306C">
              <w:rPr>
                <w:noProof/>
                <w:webHidden/>
              </w:rPr>
              <w:fldChar w:fldCharType="begin"/>
            </w:r>
            <w:r w:rsidR="006C306C">
              <w:rPr>
                <w:noProof/>
                <w:webHidden/>
              </w:rPr>
              <w:instrText xml:space="preserve"> PAGEREF _Toc107480663 \h </w:instrText>
            </w:r>
            <w:r w:rsidR="006C306C">
              <w:rPr>
                <w:noProof/>
                <w:webHidden/>
              </w:rPr>
            </w:r>
            <w:r w:rsidR="006C306C">
              <w:rPr>
                <w:noProof/>
                <w:webHidden/>
              </w:rPr>
              <w:fldChar w:fldCharType="separate"/>
            </w:r>
            <w:r w:rsidR="006C306C">
              <w:rPr>
                <w:noProof/>
                <w:webHidden/>
              </w:rPr>
              <w:t>11</w:t>
            </w:r>
            <w:r w:rsidR="006C306C">
              <w:rPr>
                <w:noProof/>
                <w:webHidden/>
              </w:rPr>
              <w:fldChar w:fldCharType="end"/>
            </w:r>
          </w:hyperlink>
        </w:p>
        <w:p w14:paraId="463EE38B" w14:textId="39547F19" w:rsidR="006C306C" w:rsidRDefault="001E237A">
          <w:pPr>
            <w:pStyle w:val="TOC1"/>
            <w:tabs>
              <w:tab w:val="right" w:leader="dot" w:pos="9055"/>
            </w:tabs>
            <w:rPr>
              <w:rFonts w:eastAsiaTheme="minorEastAsia" w:cstheme="minorBidi"/>
              <w:b w:val="0"/>
              <w:bCs w:val="0"/>
              <w:i w:val="0"/>
              <w:iCs w:val="0"/>
              <w:noProof/>
              <w:lang w:eastAsia="fr-FR"/>
            </w:rPr>
          </w:pPr>
          <w:hyperlink w:anchor="_Toc107480664" w:history="1">
            <w:r w:rsidR="006C306C" w:rsidRPr="00987396">
              <w:rPr>
                <w:rStyle w:val="Hyperlink"/>
                <w:noProof/>
                <w:lang w:val="en-GB"/>
              </w:rPr>
              <w:t>Family environment and alternative care</w:t>
            </w:r>
            <w:r w:rsidR="006C306C">
              <w:rPr>
                <w:noProof/>
                <w:webHidden/>
              </w:rPr>
              <w:tab/>
            </w:r>
            <w:r w:rsidR="006C306C">
              <w:rPr>
                <w:noProof/>
                <w:webHidden/>
              </w:rPr>
              <w:fldChar w:fldCharType="begin"/>
            </w:r>
            <w:r w:rsidR="006C306C">
              <w:rPr>
                <w:noProof/>
                <w:webHidden/>
              </w:rPr>
              <w:instrText xml:space="preserve"> PAGEREF _Toc107480664 \h </w:instrText>
            </w:r>
            <w:r w:rsidR="006C306C">
              <w:rPr>
                <w:noProof/>
                <w:webHidden/>
              </w:rPr>
            </w:r>
            <w:r w:rsidR="006C306C">
              <w:rPr>
                <w:noProof/>
                <w:webHidden/>
              </w:rPr>
              <w:fldChar w:fldCharType="separate"/>
            </w:r>
            <w:r w:rsidR="006C306C">
              <w:rPr>
                <w:noProof/>
                <w:webHidden/>
              </w:rPr>
              <w:t>13</w:t>
            </w:r>
            <w:r w:rsidR="006C306C">
              <w:rPr>
                <w:noProof/>
                <w:webHidden/>
              </w:rPr>
              <w:fldChar w:fldCharType="end"/>
            </w:r>
          </w:hyperlink>
        </w:p>
        <w:p w14:paraId="75AC3238" w14:textId="739A75A3" w:rsidR="006C306C" w:rsidRDefault="001E237A">
          <w:pPr>
            <w:pStyle w:val="TOC1"/>
            <w:tabs>
              <w:tab w:val="right" w:leader="dot" w:pos="9055"/>
            </w:tabs>
            <w:rPr>
              <w:rFonts w:eastAsiaTheme="minorEastAsia" w:cstheme="minorBidi"/>
              <w:b w:val="0"/>
              <w:bCs w:val="0"/>
              <w:i w:val="0"/>
              <w:iCs w:val="0"/>
              <w:noProof/>
              <w:lang w:eastAsia="fr-FR"/>
            </w:rPr>
          </w:pPr>
          <w:hyperlink w:anchor="_Toc107480665" w:history="1">
            <w:r w:rsidR="006C306C" w:rsidRPr="00987396">
              <w:rPr>
                <w:rStyle w:val="Hyperlink"/>
                <w:noProof/>
                <w:lang w:val="en-GB"/>
              </w:rPr>
              <w:t>Disability, basic health and welfare (arts. 23, 6(2), 24, 26, 18(3), 27 (1-3), 33)</w:t>
            </w:r>
            <w:r w:rsidR="006C306C">
              <w:rPr>
                <w:noProof/>
                <w:webHidden/>
              </w:rPr>
              <w:tab/>
            </w:r>
            <w:r w:rsidR="006C306C">
              <w:rPr>
                <w:noProof/>
                <w:webHidden/>
              </w:rPr>
              <w:fldChar w:fldCharType="begin"/>
            </w:r>
            <w:r w:rsidR="006C306C">
              <w:rPr>
                <w:noProof/>
                <w:webHidden/>
              </w:rPr>
              <w:instrText xml:space="preserve"> PAGEREF _Toc107480665 \h </w:instrText>
            </w:r>
            <w:r w:rsidR="006C306C">
              <w:rPr>
                <w:noProof/>
                <w:webHidden/>
              </w:rPr>
            </w:r>
            <w:r w:rsidR="006C306C">
              <w:rPr>
                <w:noProof/>
                <w:webHidden/>
              </w:rPr>
              <w:fldChar w:fldCharType="separate"/>
            </w:r>
            <w:r w:rsidR="006C306C">
              <w:rPr>
                <w:noProof/>
                <w:webHidden/>
              </w:rPr>
              <w:t>13</w:t>
            </w:r>
            <w:r w:rsidR="006C306C">
              <w:rPr>
                <w:noProof/>
                <w:webHidden/>
              </w:rPr>
              <w:fldChar w:fldCharType="end"/>
            </w:r>
          </w:hyperlink>
        </w:p>
        <w:p w14:paraId="6A0F8FAB" w14:textId="4E2AEA14" w:rsidR="006C306C" w:rsidRDefault="001E237A">
          <w:pPr>
            <w:pStyle w:val="TOC1"/>
            <w:tabs>
              <w:tab w:val="right" w:leader="dot" w:pos="9055"/>
            </w:tabs>
            <w:rPr>
              <w:rFonts w:eastAsiaTheme="minorEastAsia" w:cstheme="minorBidi"/>
              <w:b w:val="0"/>
              <w:bCs w:val="0"/>
              <w:i w:val="0"/>
              <w:iCs w:val="0"/>
              <w:noProof/>
              <w:lang w:eastAsia="fr-FR"/>
            </w:rPr>
          </w:pPr>
          <w:hyperlink w:anchor="_Toc107480666" w:history="1">
            <w:r w:rsidR="006C306C" w:rsidRPr="00987396">
              <w:rPr>
                <w:rStyle w:val="Hyperlink"/>
                <w:noProof/>
                <w:lang w:val="en-GB"/>
              </w:rPr>
              <w:t>Education, leisure and cultural activities (arts. 28, 29, 30, 31)</w:t>
            </w:r>
            <w:r w:rsidR="006C306C">
              <w:rPr>
                <w:noProof/>
                <w:webHidden/>
              </w:rPr>
              <w:tab/>
            </w:r>
            <w:r w:rsidR="006C306C">
              <w:rPr>
                <w:noProof/>
                <w:webHidden/>
              </w:rPr>
              <w:fldChar w:fldCharType="begin"/>
            </w:r>
            <w:r w:rsidR="006C306C">
              <w:rPr>
                <w:noProof/>
                <w:webHidden/>
              </w:rPr>
              <w:instrText xml:space="preserve"> PAGEREF _Toc107480666 \h </w:instrText>
            </w:r>
            <w:r w:rsidR="006C306C">
              <w:rPr>
                <w:noProof/>
                <w:webHidden/>
              </w:rPr>
            </w:r>
            <w:r w:rsidR="006C306C">
              <w:rPr>
                <w:noProof/>
                <w:webHidden/>
              </w:rPr>
              <w:fldChar w:fldCharType="separate"/>
            </w:r>
            <w:r w:rsidR="006C306C">
              <w:rPr>
                <w:noProof/>
                <w:webHidden/>
              </w:rPr>
              <w:t>15</w:t>
            </w:r>
            <w:r w:rsidR="006C306C">
              <w:rPr>
                <w:noProof/>
                <w:webHidden/>
              </w:rPr>
              <w:fldChar w:fldCharType="end"/>
            </w:r>
          </w:hyperlink>
        </w:p>
        <w:p w14:paraId="720780BD" w14:textId="4966E06D" w:rsidR="006C306C" w:rsidRDefault="001E237A">
          <w:pPr>
            <w:pStyle w:val="TOC1"/>
            <w:tabs>
              <w:tab w:val="right" w:leader="dot" w:pos="9055"/>
            </w:tabs>
            <w:rPr>
              <w:rFonts w:eastAsiaTheme="minorEastAsia" w:cstheme="minorBidi"/>
              <w:b w:val="0"/>
              <w:bCs w:val="0"/>
              <w:i w:val="0"/>
              <w:iCs w:val="0"/>
              <w:noProof/>
              <w:lang w:eastAsia="fr-FR"/>
            </w:rPr>
          </w:pPr>
          <w:hyperlink w:anchor="_Toc107480667" w:history="1">
            <w:r w:rsidR="006C306C" w:rsidRPr="00987396">
              <w:rPr>
                <w:rStyle w:val="Hyperlink"/>
                <w:noProof/>
                <w:lang w:val="en-GB"/>
              </w:rPr>
              <w:t>Special protection measures (arts. 22, 30, 32, 33, 35, 36, 37, 38, 39, 40)</w:t>
            </w:r>
            <w:r w:rsidR="006C306C">
              <w:rPr>
                <w:noProof/>
                <w:webHidden/>
              </w:rPr>
              <w:tab/>
            </w:r>
            <w:r w:rsidR="006C306C">
              <w:rPr>
                <w:noProof/>
                <w:webHidden/>
              </w:rPr>
              <w:fldChar w:fldCharType="begin"/>
            </w:r>
            <w:r w:rsidR="006C306C">
              <w:rPr>
                <w:noProof/>
                <w:webHidden/>
              </w:rPr>
              <w:instrText xml:space="preserve"> PAGEREF _Toc107480667 \h </w:instrText>
            </w:r>
            <w:r w:rsidR="006C306C">
              <w:rPr>
                <w:noProof/>
                <w:webHidden/>
              </w:rPr>
            </w:r>
            <w:r w:rsidR="006C306C">
              <w:rPr>
                <w:noProof/>
                <w:webHidden/>
              </w:rPr>
              <w:fldChar w:fldCharType="separate"/>
            </w:r>
            <w:r w:rsidR="006C306C">
              <w:rPr>
                <w:noProof/>
                <w:webHidden/>
              </w:rPr>
              <w:t>16</w:t>
            </w:r>
            <w:r w:rsidR="006C306C">
              <w:rPr>
                <w:noProof/>
                <w:webHidden/>
              </w:rPr>
              <w:fldChar w:fldCharType="end"/>
            </w:r>
          </w:hyperlink>
        </w:p>
        <w:p w14:paraId="32E17B4F" w14:textId="24E2C8E6" w:rsidR="006B0920" w:rsidRPr="00D62B4A" w:rsidRDefault="006B0920">
          <w:pPr>
            <w:rPr>
              <w:lang w:val="en-GB"/>
            </w:rPr>
          </w:pPr>
          <w:r w:rsidRPr="00D62B4A">
            <w:rPr>
              <w:b/>
              <w:bCs/>
              <w:lang w:val="en-GB"/>
            </w:rPr>
            <w:fldChar w:fldCharType="end"/>
          </w:r>
        </w:p>
      </w:sdtContent>
    </w:sdt>
    <w:p w14:paraId="0F44677C" w14:textId="77777777" w:rsidR="006B0920" w:rsidRPr="00D62B4A" w:rsidRDefault="006B0920">
      <w:pPr>
        <w:rPr>
          <w:lang w:val="en-GB"/>
        </w:rPr>
      </w:pPr>
      <w:r w:rsidRPr="00D62B4A">
        <w:rPr>
          <w:lang w:val="en-GB"/>
        </w:rPr>
        <w:br w:type="page"/>
      </w:r>
    </w:p>
    <w:p w14:paraId="4E42B518" w14:textId="77777777" w:rsidR="00CA2F95" w:rsidRPr="00D62B4A" w:rsidRDefault="00CA2F95" w:rsidP="003028A5">
      <w:pPr>
        <w:pStyle w:val="Heading1"/>
        <w:rPr>
          <w:rFonts w:asciiTheme="minorHAnsi" w:hAnsiTheme="minorHAnsi"/>
          <w:sz w:val="24"/>
          <w:szCs w:val="24"/>
          <w:lang w:val="en-GB"/>
        </w:rPr>
      </w:pPr>
    </w:p>
    <w:p w14:paraId="7E70019F" w14:textId="77777777" w:rsidR="005B79A5" w:rsidRPr="00D62B4A" w:rsidRDefault="005B79A5">
      <w:pPr>
        <w:rPr>
          <w:rFonts w:eastAsiaTheme="majorEastAsia" w:cstheme="majorBidi"/>
          <w:color w:val="2F5496" w:themeColor="accent1" w:themeShade="BF"/>
          <w:lang w:val="en-GB"/>
        </w:rPr>
      </w:pPr>
      <w:r w:rsidRPr="00D62B4A">
        <w:rPr>
          <w:lang w:val="en-GB"/>
        </w:rPr>
        <w:br w:type="page"/>
      </w:r>
    </w:p>
    <w:p w14:paraId="2006BC89" w14:textId="77777777" w:rsidR="00A668E1" w:rsidRPr="00D62B4A" w:rsidRDefault="00A668E1" w:rsidP="003028A5">
      <w:pPr>
        <w:pStyle w:val="Heading1"/>
        <w:rPr>
          <w:rFonts w:asciiTheme="minorHAnsi" w:hAnsiTheme="minorHAnsi"/>
          <w:sz w:val="24"/>
          <w:szCs w:val="24"/>
          <w:lang w:val="en-GB"/>
        </w:rPr>
      </w:pPr>
      <w:bookmarkStart w:id="1" w:name="_Toc107480658"/>
      <w:r w:rsidRPr="00D62B4A">
        <w:rPr>
          <w:rFonts w:asciiTheme="minorHAnsi" w:hAnsiTheme="minorHAnsi"/>
          <w:sz w:val="24"/>
          <w:szCs w:val="24"/>
          <w:lang w:val="en-GB"/>
        </w:rPr>
        <w:t>Introduction</w:t>
      </w:r>
      <w:bookmarkEnd w:id="1"/>
    </w:p>
    <w:p w14:paraId="3D7BA584" w14:textId="77777777" w:rsidR="00A668E1" w:rsidRPr="00D62B4A" w:rsidRDefault="00A668E1" w:rsidP="00A668E1">
      <w:pPr>
        <w:rPr>
          <w:lang w:val="en-GB"/>
        </w:rPr>
      </w:pPr>
    </w:p>
    <w:p w14:paraId="5AF83FB6" w14:textId="77777777" w:rsidR="00703581" w:rsidRPr="00D62B4A" w:rsidRDefault="00703581" w:rsidP="00703581">
      <w:pPr>
        <w:pStyle w:val="ListParagraph"/>
        <w:numPr>
          <w:ilvl w:val="0"/>
          <w:numId w:val="35"/>
        </w:numPr>
        <w:jc w:val="both"/>
        <w:rPr>
          <w:rFonts w:cs="Times New Roman"/>
          <w:lang w:val="en-GB"/>
        </w:rPr>
      </w:pPr>
      <w:r w:rsidRPr="00D62B4A">
        <w:rPr>
          <w:rFonts w:cs="Times New Roman"/>
          <w:lang w:val="en-GB"/>
        </w:rPr>
        <w:t>Turkey has a big child population around 25 million with Syrian refugee children that represents over 30% of the overall population.</w:t>
      </w:r>
      <w:r w:rsidRPr="00D62B4A">
        <w:rPr>
          <w:rStyle w:val="FootnoteReference"/>
          <w:rFonts w:cs="Times New Roman"/>
          <w:lang w:val="en-GB"/>
        </w:rPr>
        <w:footnoteReference w:id="1"/>
      </w:r>
      <w:r w:rsidRPr="00D62B4A">
        <w:rPr>
          <w:rFonts w:cs="Times New Roman"/>
          <w:lang w:val="en-GB"/>
        </w:rPr>
        <w:t xml:space="preserve"> Therefore, any child rights concern that affects proportionally even a small number children affects a considerable number of children and points to a systemic shortcoming in laws, policies and programmes along with their implementation by a public administration and flawed accountability mechanisms. </w:t>
      </w:r>
    </w:p>
    <w:p w14:paraId="2937C11D" w14:textId="00B12295" w:rsidR="00703581" w:rsidRDefault="00703581" w:rsidP="00703581">
      <w:pPr>
        <w:pStyle w:val="ListParagraph"/>
        <w:numPr>
          <w:ilvl w:val="0"/>
          <w:numId w:val="35"/>
        </w:numPr>
        <w:jc w:val="both"/>
        <w:rPr>
          <w:lang w:val="en-GB"/>
        </w:rPr>
      </w:pPr>
      <w:r w:rsidRPr="00D62B4A">
        <w:rPr>
          <w:rFonts w:cs="Times New Roman"/>
          <w:lang w:val="en-GB"/>
        </w:rPr>
        <w:t>Turkey submitted its combined 4-5 periodic reports with two years delay in 2019 and with data from 2016. The reporting period from 2012 – 2019 covers a tumultuous period that is marred by three main events: violently supressed mass protests in 2013 against the restrictive government policies and corruption allegations, an attempted violent coup 2016 that resulted in two years of state of emergency with further erosion of fundamental rights and freedoms, and finally global COVID19 pandemic with public health measures in from early 2020 on.</w:t>
      </w:r>
    </w:p>
    <w:p w14:paraId="4B89994F" w14:textId="52DAA6A4" w:rsidR="00A668E1" w:rsidRPr="00D62B4A" w:rsidRDefault="00A668E1" w:rsidP="00930119">
      <w:pPr>
        <w:pStyle w:val="ListParagraph"/>
        <w:numPr>
          <w:ilvl w:val="0"/>
          <w:numId w:val="35"/>
        </w:numPr>
        <w:jc w:val="both"/>
        <w:rPr>
          <w:lang w:val="en-GB"/>
        </w:rPr>
      </w:pPr>
      <w:r w:rsidRPr="00D62B4A">
        <w:rPr>
          <w:lang w:val="en-GB"/>
        </w:rPr>
        <w:t xml:space="preserve">Since 2012, Turkey has </w:t>
      </w:r>
      <w:r w:rsidR="008A39F5" w:rsidRPr="00D62B4A">
        <w:rPr>
          <w:lang w:val="en-GB"/>
        </w:rPr>
        <w:t>delayed</w:t>
      </w:r>
      <w:r w:rsidRPr="00D62B4A">
        <w:rPr>
          <w:lang w:val="en-GB"/>
        </w:rPr>
        <w:t xml:space="preserve"> an opportunity to obtain expert guidance from the UNCRC on the state of child rights in Turkey.</w:t>
      </w:r>
      <w:r w:rsidR="008A39F5" w:rsidRPr="00D62B4A">
        <w:rPr>
          <w:lang w:val="en-GB"/>
        </w:rPr>
        <w:t xml:space="preserve"> </w:t>
      </w:r>
      <w:r w:rsidRPr="00D62B4A">
        <w:rPr>
          <w:lang w:val="en-GB"/>
        </w:rPr>
        <w:t xml:space="preserve">A </w:t>
      </w:r>
      <w:r w:rsidR="008A39F5" w:rsidRPr="00D62B4A">
        <w:rPr>
          <w:lang w:val="en-GB"/>
        </w:rPr>
        <w:t>highly flawed</w:t>
      </w:r>
      <w:r w:rsidRPr="00D62B4A">
        <w:rPr>
          <w:lang w:val="en-GB"/>
        </w:rPr>
        <w:t xml:space="preserve"> child rights monitoring and data </w:t>
      </w:r>
      <w:r w:rsidR="008A39F5" w:rsidRPr="00D62B4A">
        <w:rPr>
          <w:lang w:val="en-GB"/>
        </w:rPr>
        <w:t>have kept</w:t>
      </w:r>
      <w:r w:rsidRPr="00D62B4A">
        <w:rPr>
          <w:lang w:val="en-GB"/>
        </w:rPr>
        <w:t xml:space="preserve"> Turkey </w:t>
      </w:r>
      <w:r w:rsidR="008A39F5" w:rsidRPr="00D62B4A">
        <w:rPr>
          <w:lang w:val="en-GB"/>
        </w:rPr>
        <w:t>from timely</w:t>
      </w:r>
      <w:r w:rsidRPr="00D62B4A">
        <w:rPr>
          <w:lang w:val="en-GB"/>
        </w:rPr>
        <w:t xml:space="preserve"> </w:t>
      </w:r>
      <w:r w:rsidR="008A39F5" w:rsidRPr="00D62B4A">
        <w:rPr>
          <w:lang w:val="en-GB"/>
        </w:rPr>
        <w:t>submission</w:t>
      </w:r>
      <w:r w:rsidRPr="00D62B4A">
        <w:rPr>
          <w:lang w:val="en-GB"/>
        </w:rPr>
        <w:t xml:space="preserve"> </w:t>
      </w:r>
      <w:r w:rsidR="008A39F5" w:rsidRPr="00D62B4A">
        <w:rPr>
          <w:lang w:val="en-GB"/>
        </w:rPr>
        <w:t xml:space="preserve">of </w:t>
      </w:r>
      <w:r w:rsidRPr="00D62B4A">
        <w:rPr>
          <w:lang w:val="en-GB"/>
        </w:rPr>
        <w:t xml:space="preserve">its periodic report to the UNCRC to honour its legal obligations and </w:t>
      </w:r>
      <w:r w:rsidR="008A39F5" w:rsidRPr="00D62B4A">
        <w:rPr>
          <w:lang w:val="en-GB"/>
        </w:rPr>
        <w:t xml:space="preserve">to </w:t>
      </w:r>
      <w:r w:rsidRPr="00D62B4A">
        <w:rPr>
          <w:lang w:val="en-GB"/>
        </w:rPr>
        <w:t>obtain timely expert advice from the UNCRC.</w:t>
      </w:r>
      <w:r w:rsidR="003028A5" w:rsidRPr="00D62B4A">
        <w:rPr>
          <w:lang w:val="en-GB"/>
        </w:rPr>
        <w:t xml:space="preserve"> </w:t>
      </w:r>
    </w:p>
    <w:p w14:paraId="78CB5C2A" w14:textId="77777777" w:rsidR="00A668E1" w:rsidRPr="00D62B4A" w:rsidRDefault="00A668E1" w:rsidP="00C4608A">
      <w:pPr>
        <w:pStyle w:val="ListParagraph"/>
        <w:numPr>
          <w:ilvl w:val="0"/>
          <w:numId w:val="35"/>
        </w:numPr>
        <w:jc w:val="both"/>
        <w:rPr>
          <w:lang w:val="en-GB"/>
        </w:rPr>
      </w:pPr>
      <w:r w:rsidRPr="00D62B4A">
        <w:rPr>
          <w:lang w:val="en-GB"/>
        </w:rPr>
        <w:t>Turkey submitted its report with a delay of two years in early 2019. However, the latest data presented in the statistical annex of the report date back to 2016</w:t>
      </w:r>
      <w:r w:rsidR="008A39F5" w:rsidRPr="00D62B4A">
        <w:rPr>
          <w:lang w:val="en-GB"/>
        </w:rPr>
        <w:t>.</w:t>
      </w:r>
      <w:r w:rsidRPr="00D62B4A">
        <w:rPr>
          <w:lang w:val="en-GB"/>
        </w:rPr>
        <w:t xml:space="preserve"> This in and of itself shows the fact that Turkey needs to strengthen its child rights monitoring systems with up-to-date statistics and information along with child rights indicators to enable better policy analysis </w:t>
      </w:r>
      <w:r w:rsidR="008A39F5" w:rsidRPr="00D62B4A">
        <w:rPr>
          <w:lang w:val="en-GB"/>
        </w:rPr>
        <w:t xml:space="preserve">that </w:t>
      </w:r>
      <w:r w:rsidRPr="00D62B4A">
        <w:rPr>
          <w:lang w:val="en-GB"/>
        </w:rPr>
        <w:t>lead</w:t>
      </w:r>
      <w:r w:rsidR="008A39F5" w:rsidRPr="00D62B4A">
        <w:rPr>
          <w:lang w:val="en-GB"/>
        </w:rPr>
        <w:t>s</w:t>
      </w:r>
      <w:r w:rsidRPr="00D62B4A">
        <w:rPr>
          <w:lang w:val="en-GB"/>
        </w:rPr>
        <w:t xml:space="preserve"> to policy decisions for the best interest of </w:t>
      </w:r>
      <w:r w:rsidR="008A39F5" w:rsidRPr="00D62B4A">
        <w:rPr>
          <w:lang w:val="en-GB"/>
        </w:rPr>
        <w:t>each and every</w:t>
      </w:r>
      <w:r w:rsidRPr="00D62B4A">
        <w:rPr>
          <w:lang w:val="en-GB"/>
        </w:rPr>
        <w:t xml:space="preserve"> child</w:t>
      </w:r>
      <w:r w:rsidR="008A39F5" w:rsidRPr="00D62B4A">
        <w:rPr>
          <w:lang w:val="en-GB"/>
        </w:rPr>
        <w:t xml:space="preserve"> in Turkey</w:t>
      </w:r>
      <w:r w:rsidRPr="00D62B4A">
        <w:rPr>
          <w:lang w:val="en-GB"/>
        </w:rPr>
        <w:t xml:space="preserve">. </w:t>
      </w:r>
    </w:p>
    <w:p w14:paraId="2C9BA9C0" w14:textId="77777777" w:rsidR="00A668E1" w:rsidRPr="00D62B4A" w:rsidRDefault="00A668E1" w:rsidP="00C4608A">
      <w:pPr>
        <w:pStyle w:val="ListParagraph"/>
        <w:numPr>
          <w:ilvl w:val="0"/>
          <w:numId w:val="35"/>
        </w:numPr>
        <w:jc w:val="both"/>
        <w:rPr>
          <w:lang w:val="en-GB"/>
        </w:rPr>
      </w:pPr>
      <w:r w:rsidRPr="00D62B4A">
        <w:rPr>
          <w:lang w:val="en-GB"/>
        </w:rPr>
        <w:t>Commendable efforts in preparation of the statistical annex fall short of providing required data the reporting guide of the UNCRC asks for (CRC/C/58/Rev.3).</w:t>
      </w:r>
    </w:p>
    <w:p w14:paraId="6ACBF334" w14:textId="77777777" w:rsidR="001903B8" w:rsidRPr="00D62B4A" w:rsidRDefault="001903B8" w:rsidP="001903B8">
      <w:pPr>
        <w:pStyle w:val="ListParagraph"/>
        <w:numPr>
          <w:ilvl w:val="0"/>
          <w:numId w:val="35"/>
        </w:numPr>
        <w:jc w:val="both"/>
        <w:rPr>
          <w:lang w:val="en-GB"/>
        </w:rPr>
      </w:pPr>
      <w:r w:rsidRPr="00D62B4A">
        <w:rPr>
          <w:lang w:val="en-GB"/>
        </w:rPr>
        <w:t>Turkey’s report (CRC/C/TUR/4-5/6744/E and INT/CRC/ADR/TUR/34609/E) indicates that very little attention has been paid to the recommendations of the Committee in the concluding observations on the initial and the second reports</w:t>
      </w:r>
      <w:r w:rsidR="006357CA" w:rsidRPr="00D62B4A">
        <w:rPr>
          <w:lang w:val="en-GB"/>
        </w:rPr>
        <w:t xml:space="preserve"> as well as concluding observations on the optional protocols on armed conflict and sale of children</w:t>
      </w:r>
      <w:r w:rsidRPr="00D62B4A">
        <w:rPr>
          <w:lang w:val="en-GB"/>
        </w:rPr>
        <w:t xml:space="preserve">. </w:t>
      </w:r>
    </w:p>
    <w:p w14:paraId="2D3E0488" w14:textId="77777777" w:rsidR="00F6443F" w:rsidRPr="00D62B4A" w:rsidRDefault="00F6443F" w:rsidP="001903B8">
      <w:pPr>
        <w:pStyle w:val="ListParagraph"/>
        <w:numPr>
          <w:ilvl w:val="0"/>
          <w:numId w:val="35"/>
        </w:numPr>
        <w:jc w:val="both"/>
        <w:rPr>
          <w:lang w:val="en-GB"/>
        </w:rPr>
      </w:pPr>
      <w:r w:rsidRPr="00D62B4A">
        <w:rPr>
          <w:lang w:val="en-GB"/>
        </w:rPr>
        <w:t>Turkey also is behind updating its common core document dated back in 2001.</w:t>
      </w:r>
      <w:r w:rsidRPr="00D62B4A">
        <w:rPr>
          <w:rStyle w:val="FootnoteReference"/>
          <w:lang w:val="en-GB"/>
        </w:rPr>
        <w:footnoteReference w:id="2"/>
      </w:r>
    </w:p>
    <w:p w14:paraId="3F40ABF3" w14:textId="77777777" w:rsidR="00A668E1" w:rsidRPr="00D62B4A" w:rsidRDefault="00A00B4F" w:rsidP="00A00B4F">
      <w:pPr>
        <w:pStyle w:val="Heading1"/>
        <w:rPr>
          <w:rFonts w:asciiTheme="minorHAnsi" w:hAnsiTheme="minorHAnsi"/>
          <w:sz w:val="24"/>
          <w:szCs w:val="24"/>
          <w:lang w:val="en-GB"/>
        </w:rPr>
      </w:pPr>
      <w:bookmarkStart w:id="2" w:name="_Toc107480659"/>
      <w:r w:rsidRPr="00D62B4A">
        <w:rPr>
          <w:rFonts w:asciiTheme="minorHAnsi" w:hAnsiTheme="minorHAnsi"/>
          <w:sz w:val="24"/>
          <w:szCs w:val="24"/>
          <w:lang w:val="en-GB"/>
        </w:rPr>
        <w:t>General measures of implementation (art</w:t>
      </w:r>
      <w:r w:rsidR="00453C6F" w:rsidRPr="00D62B4A">
        <w:rPr>
          <w:rFonts w:asciiTheme="minorHAnsi" w:hAnsiTheme="minorHAnsi"/>
          <w:sz w:val="24"/>
          <w:szCs w:val="24"/>
          <w:lang w:val="en-GB"/>
        </w:rPr>
        <w:t>s</w:t>
      </w:r>
      <w:r w:rsidRPr="00D62B4A">
        <w:rPr>
          <w:rFonts w:asciiTheme="minorHAnsi" w:hAnsiTheme="minorHAnsi"/>
          <w:sz w:val="24"/>
          <w:szCs w:val="24"/>
          <w:lang w:val="en-GB"/>
        </w:rPr>
        <w:t>. 4, 42, 44(6))</w:t>
      </w:r>
      <w:bookmarkEnd w:id="2"/>
    </w:p>
    <w:p w14:paraId="2F115B40" w14:textId="77777777" w:rsidR="00453C6F" w:rsidRPr="00D62B4A" w:rsidRDefault="001903B8" w:rsidP="001903B8">
      <w:pPr>
        <w:pStyle w:val="ListParagraph"/>
        <w:numPr>
          <w:ilvl w:val="0"/>
          <w:numId w:val="35"/>
        </w:numPr>
        <w:jc w:val="both"/>
        <w:rPr>
          <w:lang w:val="en-GB"/>
        </w:rPr>
      </w:pPr>
      <w:r w:rsidRPr="00D62B4A">
        <w:rPr>
          <w:lang w:val="en-GB"/>
        </w:rPr>
        <w:t xml:space="preserve">Turkey still keeps its reservations even though it withdrew similar reservations from CEDAW and the reservations in question is against the object and purpose of the Convention as they mean discrimination against minorities. </w:t>
      </w:r>
    </w:p>
    <w:p w14:paraId="47E67526" w14:textId="77777777" w:rsidR="0066221F" w:rsidRPr="00D62B4A" w:rsidRDefault="0066221F" w:rsidP="002C6F9A">
      <w:pPr>
        <w:pStyle w:val="ListParagraph"/>
        <w:numPr>
          <w:ilvl w:val="0"/>
          <w:numId w:val="35"/>
        </w:numPr>
        <w:jc w:val="both"/>
        <w:rPr>
          <w:lang w:val="en-GB"/>
        </w:rPr>
      </w:pPr>
      <w:r w:rsidRPr="00D62B4A">
        <w:rPr>
          <w:rFonts w:cs="Times New Roman"/>
          <w:lang w:val="en-GB"/>
        </w:rPr>
        <w:t>Legal advances harmonising Turkish laws with the Convention fall short with a fast changing and intricate system of introduction of new laws that roll back advances made. A recent social media law</w:t>
      </w:r>
      <w:r w:rsidRPr="00D62B4A">
        <w:rPr>
          <w:rStyle w:val="FootnoteReference"/>
          <w:rFonts w:cs="Times New Roman"/>
          <w:lang w:val="en-GB"/>
        </w:rPr>
        <w:footnoteReference w:id="3"/>
      </w:r>
      <w:r w:rsidRPr="00D62B4A">
        <w:rPr>
          <w:rFonts w:cs="Times New Roman"/>
          <w:lang w:val="en-GB"/>
        </w:rPr>
        <w:t xml:space="preserve"> or recurrent discussions of marry-your-rapist bills</w:t>
      </w:r>
      <w:r w:rsidRPr="00D62B4A">
        <w:rPr>
          <w:rStyle w:val="FootnoteReference"/>
          <w:rFonts w:cs="Times New Roman"/>
          <w:lang w:val="en-GB"/>
        </w:rPr>
        <w:footnoteReference w:id="4"/>
      </w:r>
      <w:r w:rsidRPr="00D62B4A">
        <w:rPr>
          <w:rFonts w:cs="Times New Roman"/>
          <w:lang w:val="en-GB"/>
        </w:rPr>
        <w:t xml:space="preserve"> attest to the one step forward two steps back attitude towards children’s rights</w:t>
      </w:r>
      <w:r w:rsidR="000120C8" w:rsidRPr="00D62B4A">
        <w:rPr>
          <w:rFonts w:cs="Times New Roman"/>
          <w:lang w:val="en-GB"/>
        </w:rPr>
        <w:t xml:space="preserve"> in Turkey</w:t>
      </w:r>
      <w:r w:rsidRPr="00D62B4A">
        <w:rPr>
          <w:rFonts w:cs="Times New Roman"/>
          <w:lang w:val="en-GB"/>
        </w:rPr>
        <w:t>. A UNICEF commissioned legal analysis from 2011 is still relevant today and showed that the Constitution and laws need major amendments to be in line with the Convention.</w:t>
      </w:r>
      <w:r w:rsidRPr="00D62B4A">
        <w:rPr>
          <w:rStyle w:val="FootnoteReference"/>
          <w:rFonts w:cs="Times New Roman"/>
          <w:lang w:val="en-GB"/>
        </w:rPr>
        <w:footnoteReference w:id="5"/>
      </w:r>
      <w:r w:rsidR="00E51B24" w:rsidRPr="00D62B4A">
        <w:rPr>
          <w:rFonts w:cs="Times New Roman"/>
          <w:lang w:val="en-GB"/>
        </w:rPr>
        <w:t xml:space="preserve"> </w:t>
      </w:r>
      <w:r w:rsidR="00E51B24" w:rsidRPr="00D62B4A">
        <w:rPr>
          <w:lang w:val="en-GB"/>
        </w:rPr>
        <w:t>The implementation of the Convention entails direct execution of its executable provisions and adaptation of others in a manner to be executable in domestic law. Therefore, Turkey had to immediately comply with negative obligations such as banning all forms of violence against children in all settings. As for provisions that are not directly executable like setting up a child friendly justice and social service provision, Turkey had to introduce new laws for children to enjoy those rights enshrined in the Convention. Regrettably, only a small portion of such changes are realised.</w:t>
      </w:r>
      <w:r w:rsidR="00EB4331" w:rsidRPr="00D62B4A">
        <w:rPr>
          <w:lang w:val="en-GB"/>
        </w:rPr>
        <w:t xml:space="preserve"> In the Constitution Article 41 on the protection of family and child rights, </w:t>
      </w:r>
      <w:r w:rsidR="002C6F9A" w:rsidRPr="00D62B4A">
        <w:rPr>
          <w:lang w:val="en-GB"/>
        </w:rPr>
        <w:t>the emphasis is on</w:t>
      </w:r>
      <w:r w:rsidR="00EB4331" w:rsidRPr="00D62B4A">
        <w:rPr>
          <w:lang w:val="en-GB"/>
        </w:rPr>
        <w:t xml:space="preserve"> the peace and well-being of family. While paragraph 3 in Article 41 establishes the right of the child to protection and care, paragraph 4 envisages measures to protect children from all forms of abuse and violence. It is clear that other child-related arrangements in the Constitution including education, employment </w:t>
      </w:r>
      <w:r w:rsidR="002C6F9A" w:rsidRPr="00D62B4A">
        <w:rPr>
          <w:lang w:val="en-GB"/>
        </w:rPr>
        <w:t>and other all</w:t>
      </w:r>
      <w:r w:rsidR="00EB4331" w:rsidRPr="00D62B4A">
        <w:rPr>
          <w:lang w:val="en-GB"/>
        </w:rPr>
        <w:t xml:space="preserve"> have a perspective limited to protection only. </w:t>
      </w:r>
      <w:r w:rsidR="002C6F9A" w:rsidRPr="00D62B4A">
        <w:rPr>
          <w:lang w:val="en-GB"/>
        </w:rPr>
        <w:t>T</w:t>
      </w:r>
      <w:r w:rsidR="00EB4331" w:rsidRPr="00D62B4A">
        <w:rPr>
          <w:lang w:val="en-GB"/>
        </w:rPr>
        <w:t xml:space="preserve">hese </w:t>
      </w:r>
      <w:r w:rsidR="002C6F9A" w:rsidRPr="00D62B4A">
        <w:rPr>
          <w:lang w:val="en-GB"/>
        </w:rPr>
        <w:t>provisions</w:t>
      </w:r>
      <w:r w:rsidR="00EB4331" w:rsidRPr="00D62B4A">
        <w:rPr>
          <w:lang w:val="en-GB"/>
        </w:rPr>
        <w:t xml:space="preserve"> consider the child as a part of his/her family rather than an individual. This means that the child is not regarded as a subject of rights. For example, the Constitution remains entirely silent when it comes to child’s rights to development and participation. This rather limited outlook of the Constitution has its implications in lower-level norms as well.</w:t>
      </w:r>
    </w:p>
    <w:p w14:paraId="6F2916E8" w14:textId="77777777" w:rsidR="0066221F" w:rsidRPr="00D62B4A" w:rsidRDefault="0066221F" w:rsidP="0066221F">
      <w:pPr>
        <w:pStyle w:val="ListParagraph"/>
        <w:numPr>
          <w:ilvl w:val="0"/>
          <w:numId w:val="35"/>
        </w:numPr>
        <w:jc w:val="both"/>
        <w:rPr>
          <w:rFonts w:cs="Times New Roman"/>
          <w:lang w:val="en-GB"/>
        </w:rPr>
      </w:pPr>
      <w:r w:rsidRPr="00D62B4A">
        <w:rPr>
          <w:rFonts w:cs="Times New Roman"/>
          <w:lang w:val="en-GB"/>
        </w:rPr>
        <w:t>Turkish still lacks a holistic child rights policy. For the last 15 years, the governmental agency that was designated to coordinate efforts on the rights of the child has changed four times, from the Social Services and Child Protection Agency into different ministries with bigger and bigger mandates, now Family, Labour and Social Services Ministry</w:t>
      </w:r>
      <w:r w:rsidR="00932889" w:rsidRPr="00D62B4A">
        <w:rPr>
          <w:rFonts w:cs="Times New Roman"/>
          <w:lang w:val="en-GB"/>
        </w:rPr>
        <w:t xml:space="preserve"> which has a section on child rights with just a few personnel for all coordination a guidance needs of the country</w:t>
      </w:r>
      <w:r w:rsidRPr="00D62B4A">
        <w:rPr>
          <w:rFonts w:cs="Times New Roman"/>
          <w:lang w:val="en-GB"/>
        </w:rPr>
        <w:t xml:space="preserve">. No new efforts made to replace the Child Rights Strategy covering 2013-2017. It was never fully implemented or monitored. Child Rights Monitoring Board established just before Turkey’s dialogue with the Committee on the Rights of the Child in 2012 never convened since then. Child Protection Coordination Boards at the central and local levels were set up as per Child Protection Law (CPL) in 2005, but they are still not functional throughout the country. The CPL, itself seen as a Turkish Criminal Code (TCC) for children, falls short of providing a holistic normative framework for an enabling environment to prevent violence against children (VAC) from happening, protect children against VAC, and provide support and redress services to victims of VAC, hold perpetrators of VAC to account. TCC and anti-terror law still let children in conflict with the law get tried </w:t>
      </w:r>
      <w:r w:rsidR="000120C8" w:rsidRPr="00D62B4A">
        <w:rPr>
          <w:rFonts w:cs="Times New Roman"/>
          <w:lang w:val="en-GB"/>
        </w:rPr>
        <w:t xml:space="preserve">in </w:t>
      </w:r>
      <w:r w:rsidRPr="00D62B4A">
        <w:rPr>
          <w:rFonts w:cs="Times New Roman"/>
          <w:lang w:val="en-GB"/>
        </w:rPr>
        <w:t xml:space="preserve">adult courts and child heavy penalty courts, let children involved in human trafficking get further victimised within the security and justice systems. A draft law on victim rights has been pending at the parliament for the last 7 years, a strategy and plan of action on VAC has been pending finalisation and adoption for the last 8 years. </w:t>
      </w:r>
      <w:r w:rsidR="00745426" w:rsidRPr="00D62B4A">
        <w:rPr>
          <w:rFonts w:cs="Times New Roman"/>
          <w:lang w:val="en-GB"/>
        </w:rPr>
        <w:t xml:space="preserve">There is little effort to strategically coordinate issues of child rights with municipalities. </w:t>
      </w:r>
      <w:r w:rsidR="000120C8" w:rsidRPr="00D62B4A">
        <w:rPr>
          <w:rFonts w:cs="Times New Roman"/>
          <w:lang w:val="en-GB"/>
        </w:rPr>
        <w:t>Therefore, it is safe to say that there is still no clear legally and politically strong coordination structure and strategy between government institutions.</w:t>
      </w:r>
    </w:p>
    <w:p w14:paraId="1660B5E6" w14:textId="77777777" w:rsidR="00BE16F5" w:rsidRPr="00D62B4A" w:rsidRDefault="00AB4076" w:rsidP="00BE16F5">
      <w:pPr>
        <w:pStyle w:val="ListParagraph"/>
        <w:numPr>
          <w:ilvl w:val="0"/>
          <w:numId w:val="35"/>
        </w:numPr>
        <w:jc w:val="both"/>
        <w:rPr>
          <w:lang w:val="en-GB"/>
        </w:rPr>
      </w:pPr>
      <w:r w:rsidRPr="00D62B4A">
        <w:rPr>
          <w:rFonts w:cs="Times New Roman"/>
          <w:lang w:val="en-GB"/>
        </w:rPr>
        <w:t>Accountability mechanisms are underfunded, understaffed, and ill-equipped to address child rights violations. The c</w:t>
      </w:r>
      <w:r w:rsidR="000120C8" w:rsidRPr="00D62B4A">
        <w:rPr>
          <w:rFonts w:cs="Times New Roman"/>
          <w:lang w:val="en-GB"/>
        </w:rPr>
        <w:t>ourts do not use the Convention in its rulings although the Constitution (art90</w:t>
      </w:r>
      <w:r w:rsidR="00745426" w:rsidRPr="00D62B4A">
        <w:rPr>
          <w:rFonts w:cs="Times New Roman"/>
          <w:lang w:val="en-GB"/>
        </w:rPr>
        <w:t>§3</w:t>
      </w:r>
      <w:r w:rsidR="000120C8" w:rsidRPr="00D62B4A">
        <w:rPr>
          <w:rFonts w:cs="Times New Roman"/>
          <w:lang w:val="en-GB"/>
        </w:rPr>
        <w:t>) enables direct application of the Convention in all courts</w:t>
      </w:r>
      <w:r w:rsidR="00065EBE" w:rsidRPr="00D62B4A">
        <w:rPr>
          <w:rFonts w:cs="Times New Roman"/>
          <w:lang w:val="en-GB"/>
        </w:rPr>
        <w:t xml:space="preserve"> and the provisions of the Convention prevails if the national law affords less protection</w:t>
      </w:r>
      <w:r w:rsidR="000120C8" w:rsidRPr="00D62B4A">
        <w:rPr>
          <w:rFonts w:cs="Times New Roman"/>
          <w:lang w:val="en-GB"/>
        </w:rPr>
        <w:t>.</w:t>
      </w:r>
      <w:r w:rsidR="00EF4CDB" w:rsidRPr="00D62B4A">
        <w:rPr>
          <w:rFonts w:cs="Times New Roman"/>
          <w:lang w:val="en-GB"/>
        </w:rPr>
        <w:t xml:space="preserve"> </w:t>
      </w:r>
      <w:r w:rsidR="00BE16F5" w:rsidRPr="00D62B4A">
        <w:rPr>
          <w:rFonts w:cs="Times New Roman"/>
          <w:lang w:val="en-GB"/>
        </w:rPr>
        <w:t>A</w:t>
      </w:r>
      <w:r w:rsidR="00B60CD0" w:rsidRPr="00D62B4A">
        <w:rPr>
          <w:rFonts w:cs="Times New Roman"/>
          <w:lang w:val="en-GB"/>
        </w:rPr>
        <w:t>lthough welcome introduction to the human rights accountability mechanisms, both t</w:t>
      </w:r>
      <w:r w:rsidR="00745426" w:rsidRPr="00D62B4A">
        <w:rPr>
          <w:rFonts w:cs="Times New Roman"/>
          <w:lang w:val="en-GB"/>
        </w:rPr>
        <w:t>he Ombudsman Agency</w:t>
      </w:r>
      <w:r w:rsidR="000120C8" w:rsidRPr="00D62B4A">
        <w:rPr>
          <w:rFonts w:cs="Times New Roman"/>
          <w:lang w:val="en-GB"/>
        </w:rPr>
        <w:t xml:space="preserve"> </w:t>
      </w:r>
      <w:r w:rsidR="00745426" w:rsidRPr="00D62B4A">
        <w:rPr>
          <w:rFonts w:cs="Times New Roman"/>
          <w:lang w:val="en-GB"/>
        </w:rPr>
        <w:t xml:space="preserve">and </w:t>
      </w:r>
      <w:r w:rsidR="00B60CD0" w:rsidRPr="00D62B4A">
        <w:rPr>
          <w:rFonts w:cs="Times New Roman"/>
          <w:lang w:val="en-GB"/>
        </w:rPr>
        <w:t xml:space="preserve">Human Rights and </w:t>
      </w:r>
      <w:r w:rsidR="00745426" w:rsidRPr="00D62B4A">
        <w:rPr>
          <w:rFonts w:cs="Times New Roman"/>
          <w:lang w:val="en-GB"/>
        </w:rPr>
        <w:t xml:space="preserve">Equality </w:t>
      </w:r>
      <w:r w:rsidR="00B60CD0" w:rsidRPr="00D62B4A">
        <w:rPr>
          <w:rFonts w:cs="Times New Roman"/>
          <w:lang w:val="en-GB"/>
        </w:rPr>
        <w:t>Institution of Turkey</w:t>
      </w:r>
      <w:r w:rsidR="00EF4CDB" w:rsidRPr="00D62B4A">
        <w:rPr>
          <w:rFonts w:cs="Times New Roman"/>
          <w:lang w:val="en-GB"/>
        </w:rPr>
        <w:t xml:space="preserve"> (HREIT)</w:t>
      </w:r>
      <w:r w:rsidR="00B60CD0" w:rsidRPr="00D62B4A">
        <w:rPr>
          <w:rFonts w:cs="Times New Roman"/>
          <w:lang w:val="en-GB"/>
        </w:rPr>
        <w:t xml:space="preserve"> are not in compliance with Paris Principles. The Ombudsman Agency has an ombudsperson responsible </w:t>
      </w:r>
      <w:r w:rsidR="00EF4CDB" w:rsidRPr="00D62B4A">
        <w:rPr>
          <w:rFonts w:cs="Times New Roman"/>
          <w:lang w:val="en-GB"/>
        </w:rPr>
        <w:t xml:space="preserve">not only </w:t>
      </w:r>
      <w:r w:rsidR="00B60CD0" w:rsidRPr="00D62B4A">
        <w:rPr>
          <w:rFonts w:cs="Times New Roman"/>
          <w:lang w:val="en-GB"/>
        </w:rPr>
        <w:t>for children</w:t>
      </w:r>
      <w:r w:rsidR="00EF4CDB" w:rsidRPr="00D62B4A">
        <w:rPr>
          <w:rFonts w:cs="Times New Roman"/>
          <w:lang w:val="en-GB"/>
        </w:rPr>
        <w:t xml:space="preserve"> but also for</w:t>
      </w:r>
      <w:r w:rsidR="00B60CD0" w:rsidRPr="00D62B4A">
        <w:rPr>
          <w:rFonts w:cs="Times New Roman"/>
          <w:lang w:val="en-GB"/>
        </w:rPr>
        <w:t xml:space="preserve"> women, disabled and other vulnerable groups. It works with the UNICEF and a limited number of NGOs to child friendly procedures. However, it sits in the capital and is mostly accessible online, it </w:t>
      </w:r>
      <w:r w:rsidR="000E0B31" w:rsidRPr="00D62B4A">
        <w:rPr>
          <w:rFonts w:cs="Times New Roman"/>
          <w:lang w:val="en-GB"/>
        </w:rPr>
        <w:t>does</w:t>
      </w:r>
      <w:r w:rsidR="00B60CD0" w:rsidRPr="00D62B4A">
        <w:rPr>
          <w:rFonts w:cs="Times New Roman"/>
          <w:lang w:val="en-GB"/>
        </w:rPr>
        <w:t xml:space="preserve"> not have local offices</w:t>
      </w:r>
      <w:r w:rsidR="000E0B31" w:rsidRPr="00D62B4A">
        <w:rPr>
          <w:rFonts w:cs="Times New Roman"/>
          <w:lang w:val="en-GB"/>
        </w:rPr>
        <w:t xml:space="preserve">. </w:t>
      </w:r>
      <w:r w:rsidR="00EF4CDB" w:rsidRPr="00D62B4A">
        <w:rPr>
          <w:rFonts w:cs="Times New Roman"/>
          <w:lang w:val="en-GB"/>
        </w:rPr>
        <w:t xml:space="preserve">HREIT </w:t>
      </w:r>
      <w:r w:rsidR="00BE16F5" w:rsidRPr="00D62B4A">
        <w:rPr>
          <w:rFonts w:cs="Times New Roman"/>
          <w:lang w:val="en-GB"/>
        </w:rPr>
        <w:t xml:space="preserve">is the designated national preventive mechanism against torture </w:t>
      </w:r>
      <w:r w:rsidR="00EF4CDB" w:rsidRPr="00D62B4A">
        <w:rPr>
          <w:rFonts w:cs="Times New Roman"/>
          <w:lang w:val="en-GB"/>
        </w:rPr>
        <w:t>is widely criticised in its inaction against</w:t>
      </w:r>
      <w:r w:rsidR="00BE16F5" w:rsidRPr="00D62B4A">
        <w:rPr>
          <w:rFonts w:cs="Times New Roman"/>
          <w:lang w:val="en-GB"/>
        </w:rPr>
        <w:t xml:space="preserve"> human rights violations by the NGO community. </w:t>
      </w:r>
      <w:r w:rsidR="00BE16F5" w:rsidRPr="00D62B4A">
        <w:rPr>
          <w:lang w:val="en-GB"/>
        </w:rPr>
        <w:t>The UN Subcommittee against Torture expressed its concern “that the mechanism lacks capacity to carry out preventive work comprehensively, including visits, follow-up visits, advocacy, training activities and public engagement, especially taking into account the inadequate in-house medical, psychological and other expertise, such as in the areas of social work, security, pedagogy and issues related to children”.</w:t>
      </w:r>
      <w:r w:rsidR="00BE16F5" w:rsidRPr="00D62B4A">
        <w:rPr>
          <w:rStyle w:val="FootnoteReference"/>
          <w:lang w:val="en-GB"/>
        </w:rPr>
        <w:footnoteReference w:id="6"/>
      </w:r>
    </w:p>
    <w:p w14:paraId="172EF686" w14:textId="77777777" w:rsidR="005E1599" w:rsidRPr="00D62B4A" w:rsidRDefault="003236EC" w:rsidP="00BE16F5">
      <w:pPr>
        <w:pStyle w:val="ListParagraph"/>
        <w:numPr>
          <w:ilvl w:val="0"/>
          <w:numId w:val="35"/>
        </w:numPr>
        <w:jc w:val="both"/>
        <w:rPr>
          <w:lang w:val="en-GB"/>
        </w:rPr>
      </w:pPr>
      <w:r w:rsidRPr="00D62B4A">
        <w:rPr>
          <w:lang w:val="en-GB"/>
        </w:rPr>
        <w:t xml:space="preserve">Public participation in policy formulation through organised civil society has also been </w:t>
      </w:r>
      <w:r w:rsidR="00C669C0" w:rsidRPr="00D62B4A">
        <w:rPr>
          <w:lang w:val="en-GB"/>
        </w:rPr>
        <w:t>very limited as child rights NGOs critical to public administration have been mostly excluded</w:t>
      </w:r>
      <w:r w:rsidRPr="00D62B4A">
        <w:rPr>
          <w:lang w:val="en-GB"/>
        </w:rPr>
        <w:t xml:space="preserve">. </w:t>
      </w:r>
      <w:r w:rsidR="00C669C0" w:rsidRPr="00D62B4A">
        <w:rPr>
          <w:lang w:val="en-GB"/>
        </w:rPr>
        <w:t>Likewise, bar associations whose participatory status is protected in the Constitution have been an object of “</w:t>
      </w:r>
      <w:r w:rsidR="00F62C8A" w:rsidRPr="00D62B4A">
        <w:rPr>
          <w:lang w:val="en-GB"/>
        </w:rPr>
        <w:t>government plan to divide the legal profession along political lines and diminish the biggest bar associations’ role as human rights watchdogs</w:t>
      </w:r>
      <w:r w:rsidR="00C669C0" w:rsidRPr="00D62B4A">
        <w:rPr>
          <w:lang w:val="en-GB"/>
        </w:rPr>
        <w:t>.”</w:t>
      </w:r>
      <w:r w:rsidR="00C669C0" w:rsidRPr="00D62B4A">
        <w:rPr>
          <w:rStyle w:val="FootnoteReference"/>
          <w:lang w:val="en-GB"/>
        </w:rPr>
        <w:footnoteReference w:id="7"/>
      </w:r>
    </w:p>
    <w:p w14:paraId="7FB42E78" w14:textId="77777777" w:rsidR="0066221F" w:rsidRPr="00D62B4A" w:rsidRDefault="0066221F" w:rsidP="0066221F">
      <w:pPr>
        <w:pStyle w:val="ListParagraph"/>
        <w:numPr>
          <w:ilvl w:val="0"/>
          <w:numId w:val="35"/>
        </w:numPr>
        <w:jc w:val="both"/>
        <w:rPr>
          <w:rFonts w:cs="Times New Roman"/>
          <w:lang w:val="en-GB"/>
        </w:rPr>
      </w:pPr>
      <w:r w:rsidRPr="00D62B4A">
        <w:rPr>
          <w:rFonts w:cs="Times New Roman"/>
          <w:lang w:val="en-GB"/>
        </w:rPr>
        <w:t xml:space="preserve">A very limited and non-disaggregated statistical data and information about children, enjoyment of their rights and their wellbeing </w:t>
      </w:r>
      <w:r w:rsidR="00745426" w:rsidRPr="00D62B4A">
        <w:rPr>
          <w:rFonts w:cs="Times New Roman"/>
          <w:lang w:val="en-GB"/>
        </w:rPr>
        <w:t>create an environment where</w:t>
      </w:r>
      <w:r w:rsidRPr="00D62B4A">
        <w:rPr>
          <w:rFonts w:cs="Times New Roman"/>
          <w:lang w:val="en-GB"/>
        </w:rPr>
        <w:t xml:space="preserve"> </w:t>
      </w:r>
      <w:r w:rsidR="00745426" w:rsidRPr="00D62B4A">
        <w:rPr>
          <w:rFonts w:cs="Times New Roman"/>
          <w:lang w:val="en-GB"/>
        </w:rPr>
        <w:t xml:space="preserve">the public administration cannot </w:t>
      </w:r>
      <w:r w:rsidRPr="00D62B4A">
        <w:rPr>
          <w:rFonts w:cs="Times New Roman"/>
          <w:lang w:val="en-GB"/>
        </w:rPr>
        <w:t xml:space="preserve">develop and evaluate any legal or policy measure to protect children from violence and harm. In most cases, disaggregation of data of children by age, by sex, by disability and other protected groups is either missing or not shared publicly.           </w:t>
      </w:r>
    </w:p>
    <w:p w14:paraId="3E67AFD9" w14:textId="77777777" w:rsidR="00CC65B3" w:rsidRPr="00D62B4A" w:rsidRDefault="0066221F" w:rsidP="00453C6F">
      <w:pPr>
        <w:pStyle w:val="ListParagraph"/>
        <w:numPr>
          <w:ilvl w:val="0"/>
          <w:numId w:val="35"/>
        </w:numPr>
        <w:jc w:val="both"/>
        <w:rPr>
          <w:lang w:val="en-GB"/>
        </w:rPr>
      </w:pPr>
      <w:r w:rsidRPr="00D62B4A">
        <w:rPr>
          <w:rFonts w:cs="Times New Roman"/>
          <w:lang w:val="en-GB"/>
        </w:rPr>
        <w:t>Another area that is left neglected is a visible and sufficient budget for 25 million children Unfortunately, currently it is impossible to decipher if budget for children is increasing or decreasing, if budget spent corresponds to the impact it might have, and which programmes should get funding and which ones do not deliver for children and must stop being funded.</w:t>
      </w:r>
    </w:p>
    <w:p w14:paraId="2AD1F438" w14:textId="77777777" w:rsidR="003236EC" w:rsidRPr="00D62B4A" w:rsidRDefault="003236EC" w:rsidP="00453C6F">
      <w:pPr>
        <w:pStyle w:val="ListParagraph"/>
        <w:numPr>
          <w:ilvl w:val="0"/>
          <w:numId w:val="35"/>
        </w:numPr>
        <w:jc w:val="both"/>
        <w:rPr>
          <w:lang w:val="en-GB"/>
        </w:rPr>
      </w:pPr>
      <w:r w:rsidRPr="00D62B4A">
        <w:rPr>
          <w:rFonts w:cs="Times New Roman"/>
          <w:lang w:val="en-GB"/>
        </w:rPr>
        <w:t xml:space="preserve">It is commendable that Turkey ratified </w:t>
      </w:r>
      <w:r w:rsidR="00A80D36" w:rsidRPr="00D62B4A">
        <w:rPr>
          <w:rFonts w:cs="Times New Roman"/>
          <w:lang w:val="en-GB"/>
        </w:rPr>
        <w:t xml:space="preserve">the </w:t>
      </w:r>
      <w:r w:rsidR="004E687D" w:rsidRPr="00D62B4A">
        <w:rPr>
          <w:rFonts w:cs="Times New Roman"/>
          <w:lang w:val="en-GB"/>
        </w:rPr>
        <w:t xml:space="preserve">third Optional Protocol </w:t>
      </w:r>
      <w:r w:rsidR="00A80D36" w:rsidRPr="00D62B4A">
        <w:rPr>
          <w:rFonts w:cs="Times New Roman"/>
          <w:lang w:val="en-GB"/>
        </w:rPr>
        <w:t xml:space="preserve">of the Convention </w:t>
      </w:r>
      <w:r w:rsidR="004E687D" w:rsidRPr="00D62B4A">
        <w:rPr>
          <w:rFonts w:cs="Times New Roman"/>
          <w:lang w:val="en-GB"/>
        </w:rPr>
        <w:t xml:space="preserve">on a communications procedure. However, </w:t>
      </w:r>
      <w:r w:rsidR="00A80D36" w:rsidRPr="00D62B4A">
        <w:rPr>
          <w:rFonts w:cs="Times New Roman"/>
          <w:lang w:val="en-GB"/>
        </w:rPr>
        <w:t>a recent survey revealed that the Convention is not known by the public.</w:t>
      </w:r>
      <w:r w:rsidR="00A80D36" w:rsidRPr="00D62B4A">
        <w:rPr>
          <w:rStyle w:val="FootnoteReference"/>
          <w:rFonts w:cs="Times New Roman"/>
          <w:lang w:val="en-GB"/>
        </w:rPr>
        <w:footnoteReference w:id="8"/>
      </w:r>
      <w:r w:rsidR="004E687D" w:rsidRPr="00D62B4A">
        <w:rPr>
          <w:rFonts w:cs="Times New Roman"/>
          <w:lang w:val="en-GB"/>
        </w:rPr>
        <w:t xml:space="preserve"> </w:t>
      </w:r>
      <w:r w:rsidR="00A80D36" w:rsidRPr="00D62B4A">
        <w:rPr>
          <w:rFonts w:cs="Times New Roman"/>
          <w:lang w:val="en-GB"/>
        </w:rPr>
        <w:t>The situation is no different with other actors either with the law makers and public administration including municipalities and professionals working with</w:t>
      </w:r>
      <w:r w:rsidR="00FB6261" w:rsidRPr="00D62B4A">
        <w:rPr>
          <w:rFonts w:cs="Times New Roman"/>
          <w:lang w:val="en-GB"/>
        </w:rPr>
        <w:t>/ for</w:t>
      </w:r>
      <w:r w:rsidR="00A80D36" w:rsidRPr="00D62B4A">
        <w:rPr>
          <w:rFonts w:cs="Times New Roman"/>
          <w:lang w:val="en-GB"/>
        </w:rPr>
        <w:t xml:space="preserve"> children. </w:t>
      </w:r>
      <w:r w:rsidR="00FB6261" w:rsidRPr="00D62B4A">
        <w:rPr>
          <w:rFonts w:cs="Times New Roman"/>
          <w:lang w:val="en-GB"/>
        </w:rPr>
        <w:t xml:space="preserve">The Convention and </w:t>
      </w:r>
      <w:r w:rsidRPr="00D62B4A">
        <w:rPr>
          <w:rFonts w:cs="Times New Roman"/>
          <w:lang w:val="en-GB"/>
        </w:rPr>
        <w:t>its protocols</w:t>
      </w:r>
      <w:r w:rsidR="00F6443F" w:rsidRPr="00D62B4A">
        <w:rPr>
          <w:rFonts w:cs="Times New Roman"/>
          <w:lang w:val="en-GB"/>
        </w:rPr>
        <w:t xml:space="preserve"> </w:t>
      </w:r>
      <w:r w:rsidR="00FB6261" w:rsidRPr="00D62B4A">
        <w:rPr>
          <w:rFonts w:cs="Times New Roman"/>
          <w:lang w:val="en-GB"/>
        </w:rPr>
        <w:t>are not integrated into the</w:t>
      </w:r>
      <w:r w:rsidR="00F6443F" w:rsidRPr="00D62B4A">
        <w:rPr>
          <w:rFonts w:cs="Times New Roman"/>
          <w:lang w:val="en-GB"/>
        </w:rPr>
        <w:t xml:space="preserve"> curricula of school</w:t>
      </w:r>
      <w:r w:rsidR="00FB6261" w:rsidRPr="00D62B4A">
        <w:rPr>
          <w:rFonts w:cs="Times New Roman"/>
          <w:lang w:val="en-GB"/>
        </w:rPr>
        <w:t>s</w:t>
      </w:r>
      <w:r w:rsidR="00370540" w:rsidRPr="00D62B4A">
        <w:rPr>
          <w:rStyle w:val="FootnoteReference"/>
          <w:rFonts w:cs="Times New Roman"/>
          <w:lang w:val="en-GB"/>
        </w:rPr>
        <w:footnoteReference w:id="9"/>
      </w:r>
      <w:r w:rsidR="00FB6261" w:rsidRPr="00D62B4A">
        <w:rPr>
          <w:rFonts w:cs="Times New Roman"/>
          <w:lang w:val="en-GB"/>
        </w:rPr>
        <w:t xml:space="preserve"> and facult</w:t>
      </w:r>
      <w:r w:rsidR="00370540" w:rsidRPr="00D62B4A">
        <w:rPr>
          <w:rFonts w:cs="Times New Roman"/>
          <w:lang w:val="en-GB"/>
        </w:rPr>
        <w:t>y</w:t>
      </w:r>
      <w:r w:rsidR="00FB6261" w:rsidRPr="00D62B4A">
        <w:rPr>
          <w:rFonts w:cs="Times New Roman"/>
          <w:lang w:val="en-GB"/>
        </w:rPr>
        <w:t xml:space="preserve"> programmes of universities that train professionals that will work with/for children. </w:t>
      </w:r>
      <w:r w:rsidR="00941F5A" w:rsidRPr="00D62B4A">
        <w:rPr>
          <w:rFonts w:cs="Times New Roman"/>
          <w:lang w:val="en-GB"/>
        </w:rPr>
        <w:t xml:space="preserve">None of the concluding observations of the Committee were widely distributed and discussed, they were not utilised to help formulate policies or programmes.  </w:t>
      </w:r>
      <w:r w:rsidR="00F6443F" w:rsidRPr="00D62B4A">
        <w:rPr>
          <w:rFonts w:cs="Times New Roman"/>
          <w:lang w:val="en-GB"/>
        </w:rPr>
        <w:t xml:space="preserve"> </w:t>
      </w:r>
    </w:p>
    <w:p w14:paraId="5392E0C2" w14:textId="77777777" w:rsidR="004E687D" w:rsidRPr="00D62B4A" w:rsidRDefault="000F0E1E" w:rsidP="00F6443F">
      <w:pPr>
        <w:pStyle w:val="ListParagraph"/>
        <w:numPr>
          <w:ilvl w:val="0"/>
          <w:numId w:val="35"/>
        </w:numPr>
        <w:jc w:val="both"/>
        <w:rPr>
          <w:lang w:val="en-GB"/>
        </w:rPr>
      </w:pPr>
      <w:r w:rsidRPr="00D62B4A">
        <w:rPr>
          <w:rFonts w:cs="Times New Roman"/>
          <w:lang w:val="en-GB"/>
        </w:rPr>
        <w:t xml:space="preserve">Business and child rights are left to voluntary participation of the business around the UN Global Compact and corporate social responsibility. </w:t>
      </w:r>
      <w:r w:rsidR="00756E41" w:rsidRPr="00D62B4A">
        <w:rPr>
          <w:rFonts w:cs="Times New Roman"/>
          <w:lang w:val="en-GB"/>
        </w:rPr>
        <w:t>Turkey</w:t>
      </w:r>
      <w:r w:rsidR="00941F5A" w:rsidRPr="00D62B4A">
        <w:rPr>
          <w:rFonts w:cs="Times New Roman"/>
          <w:lang w:val="en-GB"/>
        </w:rPr>
        <w:t xml:space="preserve"> </w:t>
      </w:r>
      <w:r w:rsidR="00756E41" w:rsidRPr="00D62B4A">
        <w:rPr>
          <w:rFonts w:cs="Times New Roman"/>
          <w:lang w:val="en-GB"/>
        </w:rPr>
        <w:t xml:space="preserve">lacks legislative and administrative </w:t>
      </w:r>
      <w:r w:rsidR="00AD2E97" w:rsidRPr="00D62B4A">
        <w:rPr>
          <w:rFonts w:cs="Times New Roman"/>
          <w:lang w:val="en-GB"/>
        </w:rPr>
        <w:t xml:space="preserve">framework to honour its obligations towards </w:t>
      </w:r>
      <w:r w:rsidR="00756E41" w:rsidRPr="00D62B4A">
        <w:rPr>
          <w:rFonts w:cs="Times New Roman"/>
          <w:lang w:val="en-GB"/>
        </w:rPr>
        <w:t>regulati</w:t>
      </w:r>
      <w:r w:rsidR="00AD2E97" w:rsidRPr="00D62B4A">
        <w:rPr>
          <w:rFonts w:cs="Times New Roman"/>
          <w:lang w:val="en-GB"/>
        </w:rPr>
        <w:t>ng</w:t>
      </w:r>
      <w:r w:rsidR="00941F5A" w:rsidRPr="00D62B4A">
        <w:rPr>
          <w:rFonts w:cs="Times New Roman"/>
          <w:lang w:val="en-GB"/>
        </w:rPr>
        <w:t xml:space="preserve"> b</w:t>
      </w:r>
      <w:r w:rsidR="004E687D" w:rsidRPr="00D62B4A">
        <w:rPr>
          <w:rFonts w:cs="Times New Roman"/>
          <w:lang w:val="en-GB"/>
        </w:rPr>
        <w:t>usiness</w:t>
      </w:r>
      <w:r w:rsidR="00941F5A" w:rsidRPr="00D62B4A">
        <w:rPr>
          <w:rFonts w:cs="Times New Roman"/>
          <w:lang w:val="en-GB"/>
        </w:rPr>
        <w:t>es</w:t>
      </w:r>
      <w:r w:rsidR="004E687D" w:rsidRPr="00D62B4A">
        <w:rPr>
          <w:rFonts w:cs="Times New Roman"/>
          <w:lang w:val="en-GB"/>
        </w:rPr>
        <w:t xml:space="preserve"> </w:t>
      </w:r>
      <w:r w:rsidR="00941F5A" w:rsidRPr="00D62B4A">
        <w:rPr>
          <w:rFonts w:cs="Times New Roman"/>
          <w:lang w:val="en-GB"/>
        </w:rPr>
        <w:t>in their</w:t>
      </w:r>
      <w:r w:rsidR="004E687D" w:rsidRPr="00D62B4A">
        <w:rPr>
          <w:rFonts w:cs="Times New Roman"/>
          <w:lang w:val="en-GB"/>
        </w:rPr>
        <w:t xml:space="preserve"> </w:t>
      </w:r>
      <w:r w:rsidR="00756E41" w:rsidRPr="00D62B4A">
        <w:rPr>
          <w:rFonts w:cs="Times New Roman"/>
          <w:lang w:val="en-GB"/>
        </w:rPr>
        <w:t>child</w:t>
      </w:r>
      <w:r w:rsidR="004E687D" w:rsidRPr="00D62B4A">
        <w:rPr>
          <w:rFonts w:cs="Times New Roman"/>
          <w:lang w:val="en-GB"/>
        </w:rPr>
        <w:t xml:space="preserve"> rights </w:t>
      </w:r>
      <w:r w:rsidR="00941F5A" w:rsidRPr="00D62B4A">
        <w:rPr>
          <w:rFonts w:cs="Times New Roman"/>
          <w:lang w:val="en-GB"/>
        </w:rPr>
        <w:t xml:space="preserve">responsibilities such as </w:t>
      </w:r>
      <w:r w:rsidR="00756E41" w:rsidRPr="00D62B4A">
        <w:rPr>
          <w:rFonts w:cs="Times New Roman"/>
          <w:lang w:val="en-GB"/>
        </w:rPr>
        <w:t xml:space="preserve">introduction of laws and regulations to establish a monitoring mechanism, to facilitate </w:t>
      </w:r>
      <w:r w:rsidR="00F6443F" w:rsidRPr="00D62B4A">
        <w:rPr>
          <w:rFonts w:cs="Times New Roman"/>
          <w:lang w:val="en-GB"/>
        </w:rPr>
        <w:t>child rights impact assessment</w:t>
      </w:r>
      <w:r w:rsidR="00941F5A" w:rsidRPr="00D62B4A">
        <w:rPr>
          <w:rFonts w:cs="Times New Roman"/>
          <w:lang w:val="en-GB"/>
        </w:rPr>
        <w:t xml:space="preserve"> of all </w:t>
      </w:r>
      <w:r w:rsidR="00756E41" w:rsidRPr="00D62B4A">
        <w:rPr>
          <w:rFonts w:cs="Times New Roman"/>
          <w:lang w:val="en-GB"/>
        </w:rPr>
        <w:t xml:space="preserve">business actions, to </w:t>
      </w:r>
      <w:r w:rsidR="00AD2E97" w:rsidRPr="00D62B4A">
        <w:rPr>
          <w:rFonts w:cs="Times New Roman"/>
          <w:lang w:val="en-GB"/>
        </w:rPr>
        <w:t>protect and redress rights of victims.</w:t>
      </w:r>
      <w:r w:rsidR="00756E41" w:rsidRPr="00D62B4A">
        <w:rPr>
          <w:rFonts w:cs="Times New Roman"/>
          <w:lang w:val="en-GB"/>
        </w:rPr>
        <w:t xml:space="preserve"> </w:t>
      </w:r>
      <w:r w:rsidRPr="00D62B4A">
        <w:rPr>
          <w:rFonts w:cs="Times New Roman"/>
          <w:lang w:val="en-GB"/>
        </w:rPr>
        <w:t xml:space="preserve">There </w:t>
      </w:r>
      <w:r w:rsidR="0048271C" w:rsidRPr="00D62B4A">
        <w:rPr>
          <w:rFonts w:cs="Times New Roman"/>
          <w:lang w:val="en-GB"/>
        </w:rPr>
        <w:t>are still no</w:t>
      </w:r>
      <w:r w:rsidR="00B57BFC" w:rsidRPr="00D62B4A">
        <w:rPr>
          <w:rFonts w:cs="Times New Roman"/>
          <w:lang w:val="en-GB"/>
        </w:rPr>
        <w:t xml:space="preserve"> </w:t>
      </w:r>
      <w:r w:rsidR="0048271C" w:rsidRPr="00D62B4A">
        <w:rPr>
          <w:rFonts w:cs="Times New Roman"/>
          <w:lang w:val="en-GB"/>
        </w:rPr>
        <w:t xml:space="preserve">impact assessment regarding the </w:t>
      </w:r>
      <w:r w:rsidR="00B57BFC" w:rsidRPr="00D62B4A">
        <w:rPr>
          <w:rFonts w:cs="Times New Roman"/>
          <w:lang w:val="en-GB"/>
        </w:rPr>
        <w:t>mega projects such as Kanal Istanbul</w:t>
      </w:r>
      <w:r w:rsidR="00886AA5" w:rsidRPr="00D62B4A">
        <w:rPr>
          <w:rFonts w:cs="Times New Roman"/>
          <w:lang w:val="en-GB"/>
        </w:rPr>
        <w:t xml:space="preserve"> and</w:t>
      </w:r>
      <w:r w:rsidR="00B57BFC" w:rsidRPr="00D62B4A">
        <w:rPr>
          <w:rFonts w:cs="Times New Roman"/>
          <w:lang w:val="en-GB"/>
        </w:rPr>
        <w:t xml:space="preserve"> </w:t>
      </w:r>
      <w:r w:rsidR="0048271C" w:rsidRPr="00D62B4A">
        <w:rPr>
          <w:rFonts w:cs="Times New Roman"/>
          <w:lang w:val="en-GB"/>
        </w:rPr>
        <w:t xml:space="preserve">Ilisu dam and </w:t>
      </w:r>
      <w:r w:rsidR="00006C59" w:rsidRPr="00D62B4A">
        <w:rPr>
          <w:rFonts w:cs="Times New Roman"/>
          <w:lang w:val="en-GB"/>
        </w:rPr>
        <w:t>their</w:t>
      </w:r>
      <w:r w:rsidR="0048271C" w:rsidRPr="00D62B4A">
        <w:rPr>
          <w:rFonts w:cs="Times New Roman"/>
          <w:lang w:val="en-GB"/>
        </w:rPr>
        <w:t xml:space="preserve"> impact</w:t>
      </w:r>
      <w:r w:rsidR="00F6443F" w:rsidRPr="00D62B4A">
        <w:rPr>
          <w:rFonts w:cs="Times New Roman"/>
          <w:lang w:val="en-GB"/>
        </w:rPr>
        <w:t xml:space="preserve"> </w:t>
      </w:r>
      <w:r w:rsidR="0048271C" w:rsidRPr="00D62B4A">
        <w:rPr>
          <w:rFonts w:cs="Times New Roman"/>
          <w:lang w:val="en-GB"/>
        </w:rPr>
        <w:t>on the rights</w:t>
      </w:r>
      <w:r w:rsidR="00B57BFC" w:rsidRPr="00D62B4A">
        <w:rPr>
          <w:rFonts w:cs="Times New Roman"/>
          <w:lang w:val="en-GB"/>
        </w:rPr>
        <w:t xml:space="preserve"> of the child, toxic wastes</w:t>
      </w:r>
      <w:r w:rsidR="00006C59" w:rsidRPr="00D62B4A">
        <w:rPr>
          <w:rFonts w:cs="Times New Roman"/>
          <w:lang w:val="en-GB"/>
        </w:rPr>
        <w:t xml:space="preserve"> produced, destruction of </w:t>
      </w:r>
      <w:r w:rsidR="006C36F4" w:rsidRPr="00D62B4A">
        <w:rPr>
          <w:rFonts w:cs="Times New Roman"/>
          <w:lang w:val="en-GB"/>
        </w:rPr>
        <w:t xml:space="preserve">cultural heritage, </w:t>
      </w:r>
      <w:r w:rsidR="00006C59" w:rsidRPr="00D62B4A">
        <w:rPr>
          <w:rFonts w:cs="Times New Roman"/>
          <w:lang w:val="en-GB"/>
        </w:rPr>
        <w:t>healthy environment and livelihoods.</w:t>
      </w:r>
      <w:r w:rsidR="00886AA5" w:rsidRPr="00D62B4A">
        <w:rPr>
          <w:rStyle w:val="FootnoteReference"/>
          <w:rFonts w:cs="Times New Roman"/>
          <w:lang w:val="en-GB"/>
        </w:rPr>
        <w:footnoteReference w:id="10"/>
      </w:r>
    </w:p>
    <w:p w14:paraId="44C55934" w14:textId="77777777" w:rsidR="00453C6F" w:rsidRPr="00D62B4A" w:rsidRDefault="00453C6F" w:rsidP="00453C6F">
      <w:pPr>
        <w:pStyle w:val="Heading1"/>
        <w:rPr>
          <w:rFonts w:asciiTheme="minorHAnsi" w:hAnsiTheme="minorHAnsi"/>
          <w:sz w:val="24"/>
          <w:szCs w:val="24"/>
          <w:lang w:val="en-GB"/>
        </w:rPr>
      </w:pPr>
      <w:bookmarkStart w:id="3" w:name="_Toc107480660"/>
      <w:r w:rsidRPr="00D62B4A">
        <w:rPr>
          <w:rFonts w:asciiTheme="minorHAnsi" w:hAnsiTheme="minorHAnsi"/>
          <w:sz w:val="24"/>
          <w:szCs w:val="24"/>
          <w:lang w:val="en-GB"/>
        </w:rPr>
        <w:t>Definition of the child (art.1)</w:t>
      </w:r>
      <w:bookmarkEnd w:id="3"/>
    </w:p>
    <w:p w14:paraId="61FBFADA" w14:textId="77777777" w:rsidR="003A4E09" w:rsidRPr="00D62B4A" w:rsidRDefault="00C4659D" w:rsidP="00930119">
      <w:pPr>
        <w:pStyle w:val="ListParagraph"/>
        <w:numPr>
          <w:ilvl w:val="0"/>
          <w:numId w:val="35"/>
        </w:numPr>
        <w:jc w:val="both"/>
        <w:rPr>
          <w:lang w:val="en-GB"/>
        </w:rPr>
      </w:pPr>
      <w:r w:rsidRPr="00D62B4A">
        <w:rPr>
          <w:lang w:val="en-GB"/>
        </w:rPr>
        <w:t>Provisions related to</w:t>
      </w:r>
      <w:r w:rsidR="002F0C00" w:rsidRPr="00D62B4A">
        <w:rPr>
          <w:lang w:val="en-GB"/>
        </w:rPr>
        <w:t xml:space="preserve"> the definition of the</w:t>
      </w:r>
      <w:r w:rsidRPr="00D62B4A">
        <w:rPr>
          <w:lang w:val="en-GB"/>
        </w:rPr>
        <w:t xml:space="preserve"> children remain scattered in different pieces of legislation in Turkey.</w:t>
      </w:r>
      <w:r w:rsidR="002F0C00" w:rsidRPr="00D62B4A">
        <w:rPr>
          <w:lang w:val="en-GB"/>
        </w:rPr>
        <w:t xml:space="preserve"> </w:t>
      </w:r>
      <w:r w:rsidR="00D20363" w:rsidRPr="00D62B4A">
        <w:rPr>
          <w:lang w:val="en-GB"/>
        </w:rPr>
        <w:t>The age of majority is when age 18 is completed</w:t>
      </w:r>
      <w:r w:rsidR="00D35092" w:rsidRPr="00D62B4A">
        <w:rPr>
          <w:lang w:val="en-GB"/>
        </w:rPr>
        <w:t>.</w:t>
      </w:r>
      <w:r w:rsidR="00D35092" w:rsidRPr="00D62B4A">
        <w:rPr>
          <w:rStyle w:val="FootnoteReference"/>
          <w:lang w:val="en-GB"/>
        </w:rPr>
        <w:footnoteReference w:id="11"/>
      </w:r>
      <w:r w:rsidR="00D35092" w:rsidRPr="00D62B4A">
        <w:rPr>
          <w:lang w:val="en-GB"/>
        </w:rPr>
        <w:t xml:space="preserve"> Although not explicitly defined in law, legal age for sexual consent is also</w:t>
      </w:r>
      <w:r w:rsidR="007D439F" w:rsidRPr="00D62B4A">
        <w:rPr>
          <w:lang w:val="en-GB"/>
        </w:rPr>
        <w:t xml:space="preserve"> considered to be</w:t>
      </w:r>
      <w:r w:rsidR="00D35092" w:rsidRPr="00D62B4A">
        <w:rPr>
          <w:lang w:val="en-GB"/>
        </w:rPr>
        <w:t xml:space="preserve"> 18</w:t>
      </w:r>
      <w:r w:rsidR="00D20363" w:rsidRPr="00D62B4A">
        <w:rPr>
          <w:lang w:val="en-GB"/>
        </w:rPr>
        <w:t>.</w:t>
      </w:r>
      <w:r w:rsidR="007D439F" w:rsidRPr="00D62B4A">
        <w:rPr>
          <w:lang w:val="en-GB"/>
        </w:rPr>
        <w:t xml:space="preserve"> However, there are e</w:t>
      </w:r>
      <w:r w:rsidR="00D20363" w:rsidRPr="00D62B4A">
        <w:rPr>
          <w:lang w:val="en-GB"/>
        </w:rPr>
        <w:t>xceptions</w:t>
      </w:r>
      <w:r w:rsidR="007D439F" w:rsidRPr="00D62B4A">
        <w:rPr>
          <w:lang w:val="en-GB"/>
        </w:rPr>
        <w:t>. For example,</w:t>
      </w:r>
      <w:r w:rsidR="00D20363" w:rsidRPr="00D62B4A">
        <w:rPr>
          <w:lang w:val="en-GB"/>
        </w:rPr>
        <w:t xml:space="preserve"> </w:t>
      </w:r>
      <w:r w:rsidR="007D439F" w:rsidRPr="00D62B4A">
        <w:rPr>
          <w:lang w:val="en-GB"/>
        </w:rPr>
        <w:t>a</w:t>
      </w:r>
      <w:r w:rsidR="00D20363" w:rsidRPr="00D62B4A">
        <w:rPr>
          <w:lang w:val="en-GB"/>
        </w:rPr>
        <w:t xml:space="preserve"> minor at the age of fifteen </w:t>
      </w:r>
      <w:r w:rsidR="007D439F" w:rsidRPr="00D62B4A">
        <w:rPr>
          <w:lang w:val="en-GB"/>
        </w:rPr>
        <w:t xml:space="preserve">can be regarded as </w:t>
      </w:r>
      <w:r w:rsidR="00D20363" w:rsidRPr="00D62B4A">
        <w:rPr>
          <w:lang w:val="en-GB"/>
        </w:rPr>
        <w:t>adult by his/her own will or under parent</w:t>
      </w:r>
      <w:r w:rsidR="007D439F" w:rsidRPr="00D62B4A">
        <w:rPr>
          <w:lang w:val="en-GB"/>
        </w:rPr>
        <w:t>al</w:t>
      </w:r>
      <w:r w:rsidR="00D20363" w:rsidRPr="00D62B4A">
        <w:rPr>
          <w:lang w:val="en-GB"/>
        </w:rPr>
        <w:t xml:space="preserve"> consent subject to court decision</w:t>
      </w:r>
      <w:r w:rsidR="00D20363" w:rsidRPr="00D62B4A">
        <w:rPr>
          <w:rStyle w:val="FootnoteReference"/>
          <w:lang w:val="en-GB"/>
        </w:rPr>
        <w:footnoteReference w:id="12"/>
      </w:r>
      <w:r w:rsidR="00D20363" w:rsidRPr="00D62B4A">
        <w:rPr>
          <w:lang w:val="en-GB"/>
        </w:rPr>
        <w:t xml:space="preserve">, </w:t>
      </w:r>
      <w:r w:rsidR="007D439F" w:rsidRPr="00D62B4A">
        <w:rPr>
          <w:lang w:val="en-GB"/>
        </w:rPr>
        <w:t>m</w:t>
      </w:r>
      <w:r w:rsidR="00D20363" w:rsidRPr="00D62B4A">
        <w:rPr>
          <w:lang w:val="en-GB"/>
        </w:rPr>
        <w:t>arriage of minors completing age seventeen with the approval of parents or their legal guardian,</w:t>
      </w:r>
      <w:r w:rsidR="007D439F" w:rsidRPr="00D62B4A">
        <w:rPr>
          <w:lang w:val="en-GB"/>
        </w:rPr>
        <w:t xml:space="preserve"> m</w:t>
      </w:r>
      <w:r w:rsidR="00D20363" w:rsidRPr="00D62B4A">
        <w:rPr>
          <w:lang w:val="en-GB"/>
        </w:rPr>
        <w:t>arriage of children at age 16 in extraordinary situations and on the basis of some important reason with the decision of a judge.</w:t>
      </w:r>
      <w:r w:rsidR="00D20363" w:rsidRPr="00D62B4A">
        <w:rPr>
          <w:rStyle w:val="FootnoteReference"/>
          <w:lang w:val="en-GB"/>
        </w:rPr>
        <w:footnoteReference w:id="13"/>
      </w:r>
      <w:r w:rsidR="00D20363" w:rsidRPr="00D62B4A">
        <w:rPr>
          <w:lang w:val="en-GB"/>
        </w:rPr>
        <w:t xml:space="preserve"> In all these three cases, individuals under age 18 are taken out of the established definition of the child.</w:t>
      </w:r>
      <w:r w:rsidR="00D35092" w:rsidRPr="00D62B4A">
        <w:rPr>
          <w:lang w:val="en-GB"/>
        </w:rPr>
        <w:t xml:space="preserve"> </w:t>
      </w:r>
      <w:r w:rsidR="00D20363" w:rsidRPr="00D62B4A">
        <w:rPr>
          <w:lang w:val="en-GB"/>
        </w:rPr>
        <w:t xml:space="preserve">Hence, although the TCC recognizes that any person under age 18 is a child; other arrangements bring this age benchmark as low as 15 in practice. As to the TPC, it </w:t>
      </w:r>
      <w:r w:rsidR="007D439F" w:rsidRPr="00D62B4A">
        <w:rPr>
          <w:lang w:val="en-GB"/>
        </w:rPr>
        <w:t xml:space="preserve">sets the minimum age of </w:t>
      </w:r>
      <w:r w:rsidR="00D20363" w:rsidRPr="00D62B4A">
        <w:rPr>
          <w:lang w:val="en-GB"/>
        </w:rPr>
        <w:t xml:space="preserve">criminal </w:t>
      </w:r>
      <w:r w:rsidR="007D439F" w:rsidRPr="00D62B4A">
        <w:rPr>
          <w:lang w:val="en-GB"/>
        </w:rPr>
        <w:t xml:space="preserve">responsibility </w:t>
      </w:r>
      <w:r w:rsidR="00B0793A" w:rsidRPr="00D62B4A">
        <w:rPr>
          <w:lang w:val="en-GB"/>
        </w:rPr>
        <w:t xml:space="preserve">(MACR) </w:t>
      </w:r>
      <w:r w:rsidR="007D439F" w:rsidRPr="00D62B4A">
        <w:rPr>
          <w:lang w:val="en-GB"/>
        </w:rPr>
        <w:t>at the age of 12</w:t>
      </w:r>
      <w:r w:rsidR="00D20363" w:rsidRPr="00D62B4A">
        <w:rPr>
          <w:lang w:val="en-GB"/>
        </w:rPr>
        <w:t>.</w:t>
      </w:r>
      <w:r w:rsidR="00D20363" w:rsidRPr="00D62B4A">
        <w:rPr>
          <w:rStyle w:val="FootnoteReference"/>
          <w:lang w:val="en-GB"/>
        </w:rPr>
        <w:footnoteReference w:id="14"/>
      </w:r>
      <w:r w:rsidR="00D20363" w:rsidRPr="00D62B4A">
        <w:rPr>
          <w:lang w:val="en-GB"/>
        </w:rPr>
        <w:t xml:space="preserve"> </w:t>
      </w:r>
      <w:r w:rsidR="00B0793A" w:rsidRPr="00D62B4A">
        <w:rPr>
          <w:lang w:val="en-GB"/>
        </w:rPr>
        <w:t xml:space="preserve">Although </w:t>
      </w:r>
      <w:r w:rsidR="007D439F" w:rsidRPr="00D62B4A">
        <w:rPr>
          <w:lang w:val="en-GB"/>
        </w:rPr>
        <w:t xml:space="preserve">TPC provides a system of age clusters with </w:t>
      </w:r>
      <w:r w:rsidR="00D20363" w:rsidRPr="00D62B4A">
        <w:rPr>
          <w:lang w:val="en-GB"/>
        </w:rPr>
        <w:t>age</w:t>
      </w:r>
      <w:r w:rsidR="007D439F" w:rsidRPr="00D62B4A">
        <w:rPr>
          <w:lang w:val="en-GB"/>
        </w:rPr>
        <w:t>s</w:t>
      </w:r>
      <w:r w:rsidR="00D20363" w:rsidRPr="00D62B4A">
        <w:rPr>
          <w:lang w:val="en-GB"/>
        </w:rPr>
        <w:t xml:space="preserve"> </w:t>
      </w:r>
      <w:r w:rsidR="007D439F" w:rsidRPr="00D62B4A">
        <w:rPr>
          <w:lang w:val="en-GB"/>
        </w:rPr>
        <w:t xml:space="preserve">between </w:t>
      </w:r>
      <w:r w:rsidR="00D20363" w:rsidRPr="00D62B4A">
        <w:rPr>
          <w:lang w:val="en-GB"/>
        </w:rPr>
        <w:t xml:space="preserve">twelve </w:t>
      </w:r>
      <w:r w:rsidR="007D439F" w:rsidRPr="00D62B4A">
        <w:rPr>
          <w:lang w:val="en-GB"/>
        </w:rPr>
        <w:t>and</w:t>
      </w:r>
      <w:r w:rsidR="00D20363" w:rsidRPr="00D62B4A">
        <w:rPr>
          <w:lang w:val="en-GB"/>
        </w:rPr>
        <w:t xml:space="preserve"> under fifteen</w:t>
      </w:r>
      <w:r w:rsidR="007D439F" w:rsidRPr="00D62B4A">
        <w:rPr>
          <w:lang w:val="en-GB"/>
        </w:rPr>
        <w:t xml:space="preserve"> </w:t>
      </w:r>
      <w:r w:rsidR="00D20363" w:rsidRPr="00D62B4A">
        <w:rPr>
          <w:lang w:val="en-GB"/>
        </w:rPr>
        <w:t xml:space="preserve">and </w:t>
      </w:r>
      <w:r w:rsidR="00B0793A" w:rsidRPr="00D62B4A">
        <w:rPr>
          <w:lang w:val="en-GB"/>
        </w:rPr>
        <w:t xml:space="preserve">between </w:t>
      </w:r>
      <w:r w:rsidR="00D20363" w:rsidRPr="00D62B4A">
        <w:rPr>
          <w:lang w:val="en-GB"/>
        </w:rPr>
        <w:t>age</w:t>
      </w:r>
      <w:r w:rsidR="00B0793A" w:rsidRPr="00D62B4A">
        <w:rPr>
          <w:lang w:val="en-GB"/>
        </w:rPr>
        <w:t>s</w:t>
      </w:r>
      <w:r w:rsidR="00D20363" w:rsidRPr="00D62B4A">
        <w:rPr>
          <w:lang w:val="en-GB"/>
        </w:rPr>
        <w:t xml:space="preserve"> fifteen </w:t>
      </w:r>
      <w:r w:rsidR="00B0793A" w:rsidRPr="00D62B4A">
        <w:rPr>
          <w:lang w:val="en-GB"/>
        </w:rPr>
        <w:t>and</w:t>
      </w:r>
      <w:r w:rsidR="00D20363" w:rsidRPr="00D62B4A">
        <w:rPr>
          <w:lang w:val="en-GB"/>
        </w:rPr>
        <w:t xml:space="preserve"> under eighteen</w:t>
      </w:r>
      <w:r w:rsidR="00B0793A" w:rsidRPr="00D62B4A">
        <w:rPr>
          <w:lang w:val="en-GB"/>
        </w:rPr>
        <w:t xml:space="preserve"> to provide better protection for children under fifteen, the MACR is inconsistent with the Committee’s deliberations in the general comment 24 where the Committee recommends the States parties to raise the MACR at the very least to 14 years of age</w:t>
      </w:r>
      <w:r w:rsidR="00D20363" w:rsidRPr="00D62B4A">
        <w:rPr>
          <w:lang w:val="en-GB"/>
        </w:rPr>
        <w:t>.</w:t>
      </w:r>
      <w:r w:rsidR="00930119" w:rsidRPr="00D62B4A">
        <w:rPr>
          <w:lang w:val="en-GB"/>
        </w:rPr>
        <w:t xml:space="preserve"> As to t</w:t>
      </w:r>
      <w:r w:rsidR="003A4E09" w:rsidRPr="00D62B4A">
        <w:rPr>
          <w:lang w:val="en-GB"/>
        </w:rPr>
        <w:t>he CPL</w:t>
      </w:r>
      <w:r w:rsidR="00930119" w:rsidRPr="00D62B4A">
        <w:rPr>
          <w:lang w:val="en-GB"/>
        </w:rPr>
        <w:t>, it</w:t>
      </w:r>
      <w:r w:rsidR="003A4E09" w:rsidRPr="00D62B4A">
        <w:rPr>
          <w:lang w:val="en-GB"/>
        </w:rPr>
        <w:t xml:space="preserve"> recognizes persons under age eighteen as child even when majority may have been reached earlier</w:t>
      </w:r>
      <w:r w:rsidR="00930119" w:rsidRPr="00D62B4A">
        <w:rPr>
          <w:lang w:val="en-GB"/>
        </w:rPr>
        <w:t>, proving better protection for children</w:t>
      </w:r>
      <w:r w:rsidR="003A4E09" w:rsidRPr="00D62B4A">
        <w:rPr>
          <w:lang w:val="en-GB"/>
        </w:rPr>
        <w:t>.</w:t>
      </w:r>
      <w:r w:rsidR="00930119" w:rsidRPr="00D62B4A">
        <w:rPr>
          <w:lang w:val="en-GB"/>
        </w:rPr>
        <w:t xml:space="preserve"> There is, on the other hand, legal gaps with respect to emancipatory elements of the definition of the child in </w:t>
      </w:r>
      <w:r w:rsidR="00ED4854" w:rsidRPr="00D62B4A">
        <w:rPr>
          <w:lang w:val="en-GB"/>
        </w:rPr>
        <w:t xml:space="preserve">other such areas as </w:t>
      </w:r>
      <w:r w:rsidR="00930119" w:rsidRPr="00D62B4A">
        <w:rPr>
          <w:lang w:val="en-GB"/>
        </w:rPr>
        <w:t xml:space="preserve">the </w:t>
      </w:r>
      <w:r w:rsidR="00ED4854" w:rsidRPr="00D62B4A">
        <w:rPr>
          <w:lang w:val="en-GB"/>
        </w:rPr>
        <w:t>health care</w:t>
      </w:r>
      <w:r w:rsidR="00494085" w:rsidRPr="00D62B4A">
        <w:rPr>
          <w:lang w:val="en-GB"/>
        </w:rPr>
        <w:t>, sex change operations of intersex children</w:t>
      </w:r>
      <w:r w:rsidR="00ED4854" w:rsidRPr="00D62B4A">
        <w:rPr>
          <w:lang w:val="en-GB"/>
        </w:rPr>
        <w:t xml:space="preserve"> and participation in organised civil society and in protests where minimum age is set to 18.</w:t>
      </w:r>
      <w:r w:rsidR="00ED4854" w:rsidRPr="00D62B4A">
        <w:rPr>
          <w:rStyle w:val="FootnoteReference"/>
          <w:lang w:val="en-GB"/>
        </w:rPr>
        <w:footnoteReference w:id="15"/>
      </w:r>
      <w:r w:rsidR="00ED4854" w:rsidRPr="00D62B4A">
        <w:rPr>
          <w:lang w:val="en-GB"/>
        </w:rPr>
        <w:t xml:space="preserve">  </w:t>
      </w:r>
      <w:r w:rsidR="00930119" w:rsidRPr="00D62B4A">
        <w:rPr>
          <w:lang w:val="en-GB"/>
        </w:rPr>
        <w:t xml:space="preserve"> </w:t>
      </w:r>
    </w:p>
    <w:p w14:paraId="1AD36AAB" w14:textId="77777777" w:rsidR="00453C6F" w:rsidRPr="00D62B4A" w:rsidRDefault="00930119" w:rsidP="00453C6F">
      <w:pPr>
        <w:pStyle w:val="ListParagraph"/>
        <w:numPr>
          <w:ilvl w:val="0"/>
          <w:numId w:val="35"/>
        </w:numPr>
        <w:jc w:val="both"/>
        <w:rPr>
          <w:i/>
          <w:lang w:val="en-GB"/>
        </w:rPr>
      </w:pPr>
      <w:r w:rsidRPr="00D62B4A">
        <w:rPr>
          <w:lang w:val="en-GB"/>
        </w:rPr>
        <w:t>Because</w:t>
      </w:r>
      <w:r w:rsidR="003A4E09" w:rsidRPr="00D62B4A">
        <w:rPr>
          <w:lang w:val="en-GB"/>
        </w:rPr>
        <w:t xml:space="preserve"> the definition of the child </w:t>
      </w:r>
      <w:r w:rsidRPr="00D62B4A">
        <w:rPr>
          <w:lang w:val="en-GB"/>
        </w:rPr>
        <w:t xml:space="preserve">is </w:t>
      </w:r>
      <w:r w:rsidR="003A4E09" w:rsidRPr="00D62B4A">
        <w:rPr>
          <w:lang w:val="en-GB"/>
        </w:rPr>
        <w:t xml:space="preserve">scattered in these three fundamental pieces of legislation, </w:t>
      </w:r>
      <w:r w:rsidRPr="00D62B4A">
        <w:rPr>
          <w:lang w:val="en-GB"/>
        </w:rPr>
        <w:t xml:space="preserve">it is safe to say that Turkey needs to review its laws on the definition of the child balancing </w:t>
      </w:r>
      <w:r w:rsidR="00ED4854" w:rsidRPr="00D62B4A">
        <w:rPr>
          <w:lang w:val="en-GB"/>
        </w:rPr>
        <w:t>protective and emancipatory elements in line with the Convention.</w:t>
      </w:r>
    </w:p>
    <w:p w14:paraId="3BAFE40F" w14:textId="77777777" w:rsidR="00453C6F" w:rsidRPr="00D62B4A" w:rsidRDefault="00453C6F" w:rsidP="00453C6F">
      <w:pPr>
        <w:pStyle w:val="Heading1"/>
        <w:rPr>
          <w:rFonts w:asciiTheme="minorHAnsi" w:hAnsiTheme="minorHAnsi"/>
          <w:sz w:val="24"/>
          <w:szCs w:val="24"/>
          <w:lang w:val="en-GB"/>
        </w:rPr>
      </w:pPr>
      <w:bookmarkStart w:id="4" w:name="_Toc107480661"/>
      <w:r w:rsidRPr="00D62B4A">
        <w:rPr>
          <w:rFonts w:asciiTheme="minorHAnsi" w:hAnsiTheme="minorHAnsi"/>
          <w:sz w:val="24"/>
          <w:szCs w:val="24"/>
          <w:lang w:val="en-GB"/>
        </w:rPr>
        <w:t>General principles (arts. 2, 3, 6, 12)</w:t>
      </w:r>
      <w:bookmarkEnd w:id="4"/>
    </w:p>
    <w:p w14:paraId="65CCE74B" w14:textId="77777777" w:rsidR="00453C6F" w:rsidRPr="00D62B4A" w:rsidRDefault="00ED4854" w:rsidP="00F17F68">
      <w:pPr>
        <w:pStyle w:val="ListParagraph"/>
        <w:numPr>
          <w:ilvl w:val="0"/>
          <w:numId w:val="35"/>
        </w:numPr>
        <w:jc w:val="both"/>
        <w:rPr>
          <w:lang w:val="en-GB"/>
        </w:rPr>
      </w:pPr>
      <w:r w:rsidRPr="00D62B4A">
        <w:rPr>
          <w:lang w:val="en-GB"/>
        </w:rPr>
        <w:t>N</w:t>
      </w:r>
      <w:r w:rsidR="00453C6F" w:rsidRPr="00D62B4A">
        <w:rPr>
          <w:lang w:val="en-GB"/>
        </w:rPr>
        <w:t>on-discrimination (art. 2)</w:t>
      </w:r>
      <w:r w:rsidRPr="00D62B4A">
        <w:rPr>
          <w:lang w:val="en-GB"/>
        </w:rPr>
        <w:t xml:space="preserve">: Turkey does not have a </w:t>
      </w:r>
      <w:r w:rsidR="00F17F68" w:rsidRPr="00D62B4A">
        <w:rPr>
          <w:lang w:val="en-GB"/>
        </w:rPr>
        <w:t xml:space="preserve">limited </w:t>
      </w:r>
      <w:r w:rsidRPr="00D62B4A">
        <w:rPr>
          <w:lang w:val="en-GB"/>
        </w:rPr>
        <w:t>legal and administrative framework</w:t>
      </w:r>
      <w:r w:rsidR="00F17F68" w:rsidRPr="00D62B4A">
        <w:rPr>
          <w:lang w:val="en-GB"/>
        </w:rPr>
        <w:t xml:space="preserve"> to properly address discrimination against children and amongst children. </w:t>
      </w:r>
      <w:r w:rsidR="00324F33" w:rsidRPr="00D62B4A">
        <w:rPr>
          <w:lang w:val="en-GB"/>
        </w:rPr>
        <w:t>Although, TCC article 122 deals with crimes of discrimination and hate, latest figure available to the public shows that there were only 500 convictions of crime of discrimination in 2017.</w:t>
      </w:r>
      <w:r w:rsidR="00324F33" w:rsidRPr="00D62B4A">
        <w:rPr>
          <w:rStyle w:val="FootnoteReference"/>
          <w:lang w:val="en-GB"/>
        </w:rPr>
        <w:footnoteReference w:id="16"/>
      </w:r>
      <w:r w:rsidR="00324F33" w:rsidRPr="00D62B4A">
        <w:rPr>
          <w:lang w:val="en-GB"/>
        </w:rPr>
        <w:t xml:space="preserve"> There is very little information about the law available to the public. </w:t>
      </w:r>
      <w:r w:rsidR="00673807" w:rsidRPr="00D62B4A">
        <w:rPr>
          <w:lang w:val="en-GB"/>
        </w:rPr>
        <w:t>Also,</w:t>
      </w:r>
      <w:r w:rsidR="00324F33" w:rsidRPr="00D62B4A">
        <w:rPr>
          <w:lang w:val="en-GB"/>
        </w:rPr>
        <w:t xml:space="preserve"> no campaign to address any form of discrimination against any groups. Conversely, several NGOs publishes </w:t>
      </w:r>
      <w:r w:rsidR="00673807" w:rsidRPr="00D62B4A">
        <w:rPr>
          <w:lang w:val="en-GB"/>
        </w:rPr>
        <w:t>regular reports about the hate speech and discrimination and find that hate speech and discrimination are highly normalised in Turkey, low conviction rates attest to that.</w:t>
      </w:r>
      <w:r w:rsidR="00673807" w:rsidRPr="00D62B4A">
        <w:rPr>
          <w:rStyle w:val="FootnoteReference"/>
          <w:lang w:val="en-GB"/>
        </w:rPr>
        <w:footnoteReference w:id="17"/>
      </w:r>
      <w:r w:rsidR="00673807" w:rsidRPr="00D62B4A">
        <w:rPr>
          <w:lang w:val="en-GB"/>
        </w:rPr>
        <w:t xml:space="preserve"> </w:t>
      </w:r>
      <w:r w:rsidR="00B3581E" w:rsidRPr="00D62B4A">
        <w:rPr>
          <w:lang w:val="en-GB"/>
        </w:rPr>
        <w:t xml:space="preserve">Although in 2016 </w:t>
      </w:r>
      <w:r w:rsidR="00B3581E" w:rsidRPr="00D62B4A">
        <w:rPr>
          <w:rFonts w:cs="Times New Roman"/>
          <w:lang w:val="en-GB"/>
        </w:rPr>
        <w:t xml:space="preserve">HREIT was established, it remained mostly </w:t>
      </w:r>
      <w:r w:rsidR="00557CE1" w:rsidRPr="00D62B4A">
        <w:rPr>
          <w:rFonts w:cs="Times New Roman"/>
          <w:lang w:val="en-GB"/>
        </w:rPr>
        <w:t>inadept</w:t>
      </w:r>
      <w:r w:rsidR="00102788" w:rsidRPr="00D62B4A">
        <w:rPr>
          <w:rFonts w:cs="Times New Roman"/>
          <w:lang w:val="en-GB"/>
        </w:rPr>
        <w:t xml:space="preserve"> and</w:t>
      </w:r>
      <w:r w:rsidR="00557CE1" w:rsidRPr="00D62B4A">
        <w:rPr>
          <w:rFonts w:cs="Times New Roman"/>
          <w:lang w:val="en-GB"/>
        </w:rPr>
        <w:t xml:space="preserve"> unfunctional</w:t>
      </w:r>
      <w:r w:rsidR="00102788" w:rsidRPr="00D62B4A">
        <w:rPr>
          <w:rFonts w:cs="Times New Roman"/>
          <w:lang w:val="en-GB"/>
        </w:rPr>
        <w:t>.</w:t>
      </w:r>
      <w:r w:rsidR="00557CE1" w:rsidRPr="00D62B4A">
        <w:rPr>
          <w:rFonts w:cs="Times New Roman"/>
          <w:lang w:val="en-GB"/>
        </w:rPr>
        <w:t xml:space="preserve">      </w:t>
      </w:r>
      <w:r w:rsidR="00B3581E" w:rsidRPr="00D62B4A">
        <w:rPr>
          <w:rFonts w:cs="Times New Roman"/>
          <w:lang w:val="en-GB"/>
        </w:rPr>
        <w:t xml:space="preserve"> </w:t>
      </w:r>
      <w:r w:rsidR="00324F33" w:rsidRPr="00D62B4A">
        <w:rPr>
          <w:lang w:val="en-GB"/>
        </w:rPr>
        <w:t xml:space="preserve">   </w:t>
      </w:r>
      <w:r w:rsidR="00F17F68" w:rsidRPr="00D62B4A">
        <w:rPr>
          <w:lang w:val="en-GB"/>
        </w:rPr>
        <w:t xml:space="preserve">   </w:t>
      </w:r>
      <w:r w:rsidRPr="00D62B4A">
        <w:rPr>
          <w:lang w:val="en-GB"/>
        </w:rPr>
        <w:t xml:space="preserve"> </w:t>
      </w:r>
    </w:p>
    <w:p w14:paraId="00D20BE8" w14:textId="77777777" w:rsidR="00453C6F" w:rsidRPr="00D62B4A" w:rsidRDefault="00ED4854" w:rsidP="007F47FA">
      <w:pPr>
        <w:pStyle w:val="ListParagraph"/>
        <w:numPr>
          <w:ilvl w:val="0"/>
          <w:numId w:val="35"/>
        </w:numPr>
        <w:jc w:val="both"/>
        <w:rPr>
          <w:lang w:val="en-GB"/>
        </w:rPr>
      </w:pPr>
      <w:r w:rsidRPr="00D62B4A">
        <w:rPr>
          <w:lang w:val="en-GB"/>
        </w:rPr>
        <w:t>B</w:t>
      </w:r>
      <w:r w:rsidR="00453C6F" w:rsidRPr="00D62B4A">
        <w:rPr>
          <w:lang w:val="en-GB"/>
        </w:rPr>
        <w:t>est interest of the child (art. 3)</w:t>
      </w:r>
      <w:r w:rsidR="00034B9D" w:rsidRPr="00D62B4A">
        <w:rPr>
          <w:lang w:val="en-GB"/>
        </w:rPr>
        <w:t xml:space="preserve">: </w:t>
      </w:r>
      <w:r w:rsidR="007F47FA" w:rsidRPr="00D62B4A">
        <w:rPr>
          <w:lang w:val="en-GB"/>
        </w:rPr>
        <w:t>N</w:t>
      </w:r>
      <w:r w:rsidR="00034B9D" w:rsidRPr="00D62B4A">
        <w:rPr>
          <w:lang w:val="en-GB"/>
        </w:rPr>
        <w:t xml:space="preserve">o </w:t>
      </w:r>
      <w:r w:rsidR="007F47FA" w:rsidRPr="00D62B4A">
        <w:rPr>
          <w:lang w:val="en-GB"/>
        </w:rPr>
        <w:t xml:space="preserve">formal </w:t>
      </w:r>
      <w:r w:rsidR="00034B9D" w:rsidRPr="00D62B4A">
        <w:rPr>
          <w:lang w:val="en-GB"/>
        </w:rPr>
        <w:t>best interest</w:t>
      </w:r>
      <w:r w:rsidR="007F47FA" w:rsidRPr="00D62B4A">
        <w:rPr>
          <w:lang w:val="en-GB"/>
        </w:rPr>
        <w:t xml:space="preserve"> of the child</w:t>
      </w:r>
      <w:r w:rsidR="00034B9D" w:rsidRPr="00D62B4A">
        <w:rPr>
          <w:lang w:val="en-GB"/>
        </w:rPr>
        <w:t xml:space="preserve"> determination procedures </w:t>
      </w:r>
      <w:r w:rsidR="007F47FA" w:rsidRPr="00D62B4A">
        <w:rPr>
          <w:lang w:val="en-GB"/>
        </w:rPr>
        <w:t>is in place which would keep children from unnecessary deprivation of their liberty, from preventable separation from the family environment</w:t>
      </w:r>
      <w:r w:rsidR="000D698A" w:rsidRPr="00D62B4A">
        <w:rPr>
          <w:lang w:val="en-GB"/>
        </w:rPr>
        <w:t>, from further victimisation in the administration of justice.</w:t>
      </w:r>
      <w:r w:rsidR="007F47FA" w:rsidRPr="00D62B4A">
        <w:rPr>
          <w:lang w:val="en-GB"/>
        </w:rPr>
        <w:t xml:space="preserve"> </w:t>
      </w:r>
      <w:r w:rsidR="000D698A" w:rsidRPr="00D62B4A">
        <w:rPr>
          <w:lang w:val="en-GB"/>
        </w:rPr>
        <w:t>Likewise, there is no child rights impact assessment procedures to assess any bill before promulgation against the best interest of the child to avoid any harm</w:t>
      </w:r>
      <w:r w:rsidR="00B14FB3" w:rsidRPr="00D62B4A">
        <w:rPr>
          <w:lang w:val="en-GB"/>
        </w:rPr>
        <w:t xml:space="preserve"> in real life afterwards due to implementation and enforcement of any law.  </w:t>
      </w:r>
      <w:r w:rsidR="000D698A" w:rsidRPr="00D62B4A">
        <w:rPr>
          <w:lang w:val="en-GB"/>
        </w:rPr>
        <w:t xml:space="preserve">  </w:t>
      </w:r>
      <w:r w:rsidR="007F47FA" w:rsidRPr="00D62B4A">
        <w:rPr>
          <w:lang w:val="en-GB"/>
        </w:rPr>
        <w:t xml:space="preserve"> </w:t>
      </w:r>
    </w:p>
    <w:p w14:paraId="151F66BA" w14:textId="77777777" w:rsidR="00DA5E41" w:rsidRPr="00D62B4A" w:rsidRDefault="00ED4854" w:rsidP="00CE361C">
      <w:pPr>
        <w:pStyle w:val="ListParagraph"/>
        <w:numPr>
          <w:ilvl w:val="0"/>
          <w:numId w:val="35"/>
        </w:numPr>
        <w:autoSpaceDE w:val="0"/>
        <w:autoSpaceDN w:val="0"/>
        <w:adjustRightInd w:val="0"/>
        <w:jc w:val="both"/>
        <w:rPr>
          <w:rFonts w:cs="AppleSystemUIFont"/>
          <w:lang w:val="en-US"/>
        </w:rPr>
      </w:pPr>
      <w:r w:rsidRPr="00D62B4A">
        <w:rPr>
          <w:lang w:val="en-GB"/>
        </w:rPr>
        <w:t>R</w:t>
      </w:r>
      <w:r w:rsidR="00453C6F" w:rsidRPr="00D62B4A">
        <w:rPr>
          <w:lang w:val="en-GB"/>
        </w:rPr>
        <w:t>ight to life, survival and development (art. 6)</w:t>
      </w:r>
      <w:r w:rsidRPr="00D62B4A">
        <w:rPr>
          <w:lang w:val="en-GB"/>
        </w:rPr>
        <w:t xml:space="preserve">: </w:t>
      </w:r>
      <w:r w:rsidR="00494085" w:rsidRPr="00D62B4A">
        <w:rPr>
          <w:lang w:val="en-GB"/>
        </w:rPr>
        <w:t>T</w:t>
      </w:r>
      <w:r w:rsidR="00330DB1" w:rsidRPr="00D62B4A">
        <w:rPr>
          <w:lang w:val="en-GB"/>
        </w:rPr>
        <w:t xml:space="preserve">here is </w:t>
      </w:r>
      <w:r w:rsidR="00494085" w:rsidRPr="00D62B4A">
        <w:rPr>
          <w:lang w:val="en-GB"/>
        </w:rPr>
        <w:t>no available disaggregated data on right to life</w:t>
      </w:r>
      <w:r w:rsidR="00F32F3D" w:rsidRPr="00D62B4A">
        <w:rPr>
          <w:lang w:val="en-GB"/>
        </w:rPr>
        <w:t xml:space="preserve">, survival and development in Turkey. </w:t>
      </w:r>
      <w:r w:rsidR="008152EC" w:rsidRPr="00D62B4A">
        <w:rPr>
          <w:lang w:val="en-GB"/>
        </w:rPr>
        <w:t xml:space="preserve">There is no official data available to public on how many children’s survival and development in Turkey are affected by landmines, conflict, toxic wastes, air pollution, preventable environmental disasters and the like. Only available data are from NGOs. </w:t>
      </w:r>
      <w:r w:rsidR="00791BF4" w:rsidRPr="00D62B4A">
        <w:rPr>
          <w:lang w:val="en-GB"/>
        </w:rPr>
        <w:t>For example, according to The International Campaign to Ban Landmines</w:t>
      </w:r>
      <w:r w:rsidR="00791BF4" w:rsidRPr="00D62B4A">
        <w:rPr>
          <w:rStyle w:val="FootnoteReference"/>
          <w:vertAlign w:val="baseline"/>
          <w:lang w:val="en-GB"/>
        </w:rPr>
        <w:t xml:space="preserve"> </w:t>
      </w:r>
      <w:r w:rsidR="00791BF4" w:rsidRPr="00D62B4A">
        <w:rPr>
          <w:lang w:val="en-GB"/>
        </w:rPr>
        <w:t>only in 2017 there were 23 children were killed by landmines</w:t>
      </w:r>
      <w:r w:rsidR="00791BF4" w:rsidRPr="00D62B4A">
        <w:rPr>
          <w:rStyle w:val="FootnoteReference"/>
          <w:lang w:val="en-GB"/>
        </w:rPr>
        <w:footnoteReference w:id="18"/>
      </w:r>
      <w:r w:rsidR="00791BF4" w:rsidRPr="00D62B4A">
        <w:rPr>
          <w:lang w:val="en-GB"/>
        </w:rPr>
        <w:t>, according to Right to Clean Air Platform i</w:t>
      </w:r>
      <w:r w:rsidR="00F32F3D" w:rsidRPr="00D62B4A">
        <w:rPr>
          <w:lang w:val="en-GB"/>
        </w:rPr>
        <w:t xml:space="preserve">n 2017, only 1 out of 81 city </w:t>
      </w:r>
      <w:r w:rsidR="00791BF4" w:rsidRPr="00D62B4A">
        <w:rPr>
          <w:lang w:val="en-GB"/>
        </w:rPr>
        <w:t xml:space="preserve">in Turkey </w:t>
      </w:r>
      <w:r w:rsidR="00F32F3D" w:rsidRPr="00D62B4A">
        <w:rPr>
          <w:lang w:val="en-GB"/>
        </w:rPr>
        <w:t>had PM 10 levels below WHO guideline levels</w:t>
      </w:r>
      <w:r w:rsidR="00791BF4" w:rsidRPr="00D62B4A">
        <w:rPr>
          <w:rStyle w:val="FootnoteReference"/>
          <w:lang w:val="en-GB"/>
        </w:rPr>
        <w:footnoteReference w:id="19"/>
      </w:r>
      <w:r w:rsidR="00791BF4" w:rsidRPr="00D62B4A">
        <w:rPr>
          <w:lang w:val="en-GB"/>
        </w:rPr>
        <w:t xml:space="preserve">, according to Human Rights Association </w:t>
      </w:r>
      <w:r w:rsidR="00406E29" w:rsidRPr="00D62B4A">
        <w:rPr>
          <w:lang w:val="en-GB"/>
        </w:rPr>
        <w:t xml:space="preserve">just </w:t>
      </w:r>
      <w:r w:rsidR="00CE361C" w:rsidRPr="00D62B4A">
        <w:rPr>
          <w:lang w:val="en-GB"/>
        </w:rPr>
        <w:t xml:space="preserve">only in 2019 </w:t>
      </w:r>
      <w:r w:rsidR="00CE361C" w:rsidRPr="00D62B4A">
        <w:rPr>
          <w:rFonts w:cs="AppleSystemUIFont"/>
          <w:lang w:val="en-US"/>
        </w:rPr>
        <w:t xml:space="preserve">there were 123 child deaths </w:t>
      </w:r>
      <w:r w:rsidR="00406E29" w:rsidRPr="00D62B4A">
        <w:rPr>
          <w:rFonts w:cs="AppleSystemUIFont"/>
          <w:lang w:val="en-US"/>
        </w:rPr>
        <w:t>due to negligence and lack of due diligence of the public authorities</w:t>
      </w:r>
      <w:r w:rsidR="00CE361C" w:rsidRPr="00D62B4A">
        <w:rPr>
          <w:rFonts w:cs="AppleSystemUIFont"/>
          <w:lang w:val="en-US"/>
        </w:rPr>
        <w:t>.</w:t>
      </w:r>
      <w:r w:rsidR="00CE361C" w:rsidRPr="00D62B4A">
        <w:rPr>
          <w:rStyle w:val="FootnoteReference"/>
          <w:rFonts w:cs="AppleSystemUIFont"/>
          <w:lang w:val="en-US"/>
        </w:rPr>
        <w:footnoteReference w:id="20"/>
      </w:r>
    </w:p>
    <w:p w14:paraId="70B49DD3" w14:textId="77777777" w:rsidR="00453C6F" w:rsidRPr="00D62B4A" w:rsidRDefault="00494085" w:rsidP="00494085">
      <w:pPr>
        <w:pStyle w:val="ListParagraph"/>
        <w:numPr>
          <w:ilvl w:val="0"/>
          <w:numId w:val="35"/>
        </w:numPr>
        <w:jc w:val="both"/>
        <w:rPr>
          <w:lang w:val="en-GB"/>
        </w:rPr>
      </w:pPr>
      <w:r w:rsidRPr="00D62B4A">
        <w:rPr>
          <w:lang w:val="en-GB"/>
        </w:rPr>
        <w:t>R</w:t>
      </w:r>
      <w:r w:rsidR="00453C6F" w:rsidRPr="00D62B4A">
        <w:rPr>
          <w:lang w:val="en-GB"/>
        </w:rPr>
        <w:t>espect for the views of the child (art. 12)</w:t>
      </w:r>
      <w:r w:rsidRPr="00D62B4A">
        <w:rPr>
          <w:lang w:val="en-GB"/>
        </w:rPr>
        <w:t xml:space="preserve">: Although there are efforts in establishing formal channels of child participation in public </w:t>
      </w:r>
      <w:r w:rsidR="00102788" w:rsidRPr="00D62B4A">
        <w:rPr>
          <w:lang w:val="en-GB"/>
        </w:rPr>
        <w:t>decision-making</w:t>
      </w:r>
      <w:r w:rsidRPr="00D62B4A">
        <w:rPr>
          <w:lang w:val="en-GB"/>
        </w:rPr>
        <w:t xml:space="preserve"> mechanisms</w:t>
      </w:r>
      <w:r w:rsidR="00406E29" w:rsidRPr="00D62B4A">
        <w:rPr>
          <w:rStyle w:val="FootnoteReference"/>
          <w:lang w:val="en-GB"/>
        </w:rPr>
        <w:footnoteReference w:id="21"/>
      </w:r>
      <w:r w:rsidRPr="00D62B4A">
        <w:rPr>
          <w:lang w:val="en-GB"/>
        </w:rPr>
        <w:t>,</w:t>
      </w:r>
      <w:r w:rsidR="00170259" w:rsidRPr="00D62B4A">
        <w:rPr>
          <w:lang w:val="en-GB"/>
        </w:rPr>
        <w:t xml:space="preserve"> highly centralist and formal representative-based methodologies replicating the adult world along with a limited child-centred approach render some of these efforts feel tokenistic at the school</w:t>
      </w:r>
      <w:r w:rsidR="003918ED" w:rsidRPr="00D62B4A">
        <w:rPr>
          <w:rStyle w:val="FootnoteReference"/>
          <w:lang w:val="en-GB"/>
        </w:rPr>
        <w:footnoteReference w:id="22"/>
      </w:r>
      <w:r w:rsidR="00170259" w:rsidRPr="00D62B4A">
        <w:rPr>
          <w:lang w:val="en-GB"/>
        </w:rPr>
        <w:t xml:space="preserve">, </w:t>
      </w:r>
      <w:r w:rsidR="00726828" w:rsidRPr="00D62B4A">
        <w:rPr>
          <w:lang w:val="en-GB"/>
        </w:rPr>
        <w:t xml:space="preserve">at the </w:t>
      </w:r>
      <w:r w:rsidR="00170259" w:rsidRPr="00D62B4A">
        <w:rPr>
          <w:lang w:val="en-GB"/>
        </w:rPr>
        <w:t xml:space="preserve">local and </w:t>
      </w:r>
      <w:r w:rsidR="00726828" w:rsidRPr="00D62B4A">
        <w:rPr>
          <w:lang w:val="en-GB"/>
        </w:rPr>
        <w:t xml:space="preserve">the </w:t>
      </w:r>
      <w:r w:rsidR="00170259" w:rsidRPr="00D62B4A">
        <w:rPr>
          <w:lang w:val="en-GB"/>
        </w:rPr>
        <w:t>national level</w:t>
      </w:r>
      <w:r w:rsidR="00726828" w:rsidRPr="00D62B4A">
        <w:rPr>
          <w:lang w:val="en-GB"/>
        </w:rPr>
        <w:t>s</w:t>
      </w:r>
      <w:r w:rsidR="00170259" w:rsidRPr="00D62B4A">
        <w:rPr>
          <w:lang w:val="en-GB"/>
        </w:rPr>
        <w:t>.</w:t>
      </w:r>
      <w:r w:rsidR="00726828" w:rsidRPr="00D62B4A">
        <w:rPr>
          <w:rStyle w:val="FootnoteReference"/>
          <w:lang w:val="en-GB"/>
        </w:rPr>
        <w:footnoteReference w:id="23"/>
      </w:r>
      <w:r w:rsidR="00170259" w:rsidRPr="00D62B4A">
        <w:rPr>
          <w:lang w:val="en-GB"/>
        </w:rPr>
        <w:t xml:space="preserve">   </w:t>
      </w:r>
      <w:r w:rsidRPr="00D62B4A">
        <w:rPr>
          <w:lang w:val="en-GB"/>
        </w:rPr>
        <w:t xml:space="preserve">    </w:t>
      </w:r>
    </w:p>
    <w:p w14:paraId="5C178C18" w14:textId="77777777" w:rsidR="007718D0" w:rsidRPr="00D62B4A" w:rsidRDefault="007718D0" w:rsidP="007718D0">
      <w:pPr>
        <w:pStyle w:val="Heading1"/>
        <w:rPr>
          <w:rFonts w:asciiTheme="minorHAnsi" w:hAnsiTheme="minorHAnsi"/>
          <w:sz w:val="24"/>
          <w:szCs w:val="24"/>
          <w:lang w:val="en-GB"/>
        </w:rPr>
      </w:pPr>
      <w:bookmarkStart w:id="5" w:name="_Toc107480662"/>
      <w:r w:rsidRPr="00D62B4A">
        <w:rPr>
          <w:rFonts w:asciiTheme="minorHAnsi" w:hAnsiTheme="minorHAnsi"/>
          <w:sz w:val="24"/>
          <w:szCs w:val="24"/>
          <w:lang w:val="en-GB"/>
        </w:rPr>
        <w:t>Civil rights and freedoms (arts. 7, 8, 13, 14, 15, 16, 17, 39)</w:t>
      </w:r>
      <w:bookmarkEnd w:id="5"/>
    </w:p>
    <w:p w14:paraId="0E664E43" w14:textId="77777777" w:rsidR="00DF67AC" w:rsidRPr="00D62B4A" w:rsidRDefault="00675740" w:rsidP="00DF67AC">
      <w:pPr>
        <w:pStyle w:val="ListParagraph"/>
        <w:numPr>
          <w:ilvl w:val="0"/>
          <w:numId w:val="35"/>
        </w:numPr>
        <w:jc w:val="both"/>
        <w:rPr>
          <w:lang w:val="en-GB"/>
        </w:rPr>
      </w:pPr>
      <w:r w:rsidRPr="00D62B4A">
        <w:rPr>
          <w:lang w:val="en-GB"/>
        </w:rPr>
        <w:t xml:space="preserve">Children’s rights to freedom of thought, freedom of information, and freedom of conscience are seriously curtailed in Turkey. </w:t>
      </w:r>
      <w:r w:rsidR="001D6ED6" w:rsidRPr="00D62B4A">
        <w:rPr>
          <w:lang w:val="en-GB"/>
        </w:rPr>
        <w:t>For example, t</w:t>
      </w:r>
      <w:r w:rsidRPr="00D62B4A">
        <w:rPr>
          <w:lang w:val="en-GB"/>
        </w:rPr>
        <w:t xml:space="preserve">he Freedom House </w:t>
      </w:r>
      <w:r w:rsidR="005321FA" w:rsidRPr="00D62B4A">
        <w:rPr>
          <w:lang w:val="en-GB"/>
        </w:rPr>
        <w:t xml:space="preserve">ranked Turkey as not free </w:t>
      </w:r>
      <w:r w:rsidRPr="00D62B4A">
        <w:rPr>
          <w:lang w:val="en-GB"/>
        </w:rPr>
        <w:t xml:space="preserve">for the last </w:t>
      </w:r>
      <w:r w:rsidR="005321FA" w:rsidRPr="00D62B4A">
        <w:rPr>
          <w:lang w:val="en-GB"/>
        </w:rPr>
        <w:t>three</w:t>
      </w:r>
      <w:r w:rsidRPr="00D62B4A">
        <w:rPr>
          <w:lang w:val="en-GB"/>
        </w:rPr>
        <w:t xml:space="preserve"> years</w:t>
      </w:r>
      <w:r w:rsidR="005321FA" w:rsidRPr="00D62B4A">
        <w:rPr>
          <w:lang w:val="en-GB"/>
        </w:rPr>
        <w:t>.</w:t>
      </w:r>
      <w:r w:rsidR="005321FA" w:rsidRPr="00D62B4A">
        <w:rPr>
          <w:rStyle w:val="FootnoteReference"/>
          <w:lang w:val="en-GB"/>
        </w:rPr>
        <w:footnoteReference w:id="24"/>
      </w:r>
      <w:r w:rsidRPr="00D62B4A">
        <w:rPr>
          <w:lang w:val="en-GB"/>
        </w:rPr>
        <w:t xml:space="preserve"> </w:t>
      </w:r>
      <w:r w:rsidR="00DF67AC" w:rsidRPr="00D62B4A">
        <w:rPr>
          <w:lang w:val="en-GB"/>
        </w:rPr>
        <w:t>Economist Intelligence Unit’s Democracy Index ranked Turkey</w:t>
      </w:r>
      <w:r w:rsidRPr="00D62B4A">
        <w:rPr>
          <w:lang w:val="en-GB"/>
        </w:rPr>
        <w:t xml:space="preserve"> </w:t>
      </w:r>
      <w:r w:rsidR="00DF67AC" w:rsidRPr="00D62B4A">
        <w:rPr>
          <w:lang w:val="en-GB"/>
        </w:rPr>
        <w:t>at 110 as a hybrid regime.</w:t>
      </w:r>
      <w:r w:rsidR="00DF67AC" w:rsidRPr="00D62B4A">
        <w:rPr>
          <w:rStyle w:val="FootnoteReference"/>
          <w:lang w:val="en-GB"/>
        </w:rPr>
        <w:footnoteReference w:id="25"/>
      </w:r>
      <w:r w:rsidRPr="00D62B4A">
        <w:rPr>
          <w:lang w:val="en-GB"/>
        </w:rPr>
        <w:t xml:space="preserve"> </w:t>
      </w:r>
      <w:r w:rsidR="00DF67AC" w:rsidRPr="00D62B4A">
        <w:rPr>
          <w:lang w:val="en-GB"/>
        </w:rPr>
        <w:t xml:space="preserve">Turkey ranks at 152 </w:t>
      </w:r>
      <w:r w:rsidR="001D6ED6" w:rsidRPr="00D62B4A">
        <w:rPr>
          <w:lang w:val="en-GB"/>
        </w:rPr>
        <w:t>in the bottom in</w:t>
      </w:r>
      <w:r w:rsidR="00DF67AC" w:rsidRPr="00D62B4A">
        <w:rPr>
          <w:lang w:val="en-GB"/>
        </w:rPr>
        <w:t xml:space="preserve"> the Global Peace Index</w:t>
      </w:r>
      <w:r w:rsidR="001D6ED6" w:rsidRPr="00D62B4A">
        <w:rPr>
          <w:lang w:val="en-GB"/>
        </w:rPr>
        <w:t xml:space="preserve"> amongst 163 countries.</w:t>
      </w:r>
      <w:r w:rsidR="001D6ED6" w:rsidRPr="00D62B4A">
        <w:rPr>
          <w:rStyle w:val="FootnoteReference"/>
          <w:lang w:val="en-GB"/>
        </w:rPr>
        <w:footnoteReference w:id="26"/>
      </w:r>
      <w:r w:rsidRPr="00D62B4A">
        <w:rPr>
          <w:lang w:val="en-GB"/>
        </w:rPr>
        <w:t xml:space="preserve"> </w:t>
      </w:r>
    </w:p>
    <w:p w14:paraId="05D51624" w14:textId="77777777" w:rsidR="00675740" w:rsidRPr="00D62B4A" w:rsidRDefault="00675740" w:rsidP="002B41AF">
      <w:pPr>
        <w:pStyle w:val="ListParagraph"/>
        <w:numPr>
          <w:ilvl w:val="0"/>
          <w:numId w:val="35"/>
        </w:numPr>
        <w:jc w:val="both"/>
        <w:rPr>
          <w:lang w:val="en-GB"/>
        </w:rPr>
      </w:pPr>
      <w:r w:rsidRPr="00D62B4A">
        <w:rPr>
          <w:lang w:val="en-GB"/>
        </w:rPr>
        <w:t xml:space="preserve">According to the </w:t>
      </w:r>
      <w:r w:rsidR="001D6ED6" w:rsidRPr="00D62B4A">
        <w:rPr>
          <w:lang w:val="en-GB"/>
        </w:rPr>
        <w:t xml:space="preserve">Freedom of Expression Association’s </w:t>
      </w:r>
      <w:r w:rsidRPr="00D62B4A">
        <w:rPr>
          <w:lang w:val="en-GB"/>
        </w:rPr>
        <w:t xml:space="preserve">EngelliWeb 2019 report </w:t>
      </w:r>
      <w:r w:rsidR="001D6ED6" w:rsidRPr="00D62B4A">
        <w:rPr>
          <w:lang w:val="en-GB"/>
        </w:rPr>
        <w:t xml:space="preserve">which documents </w:t>
      </w:r>
      <w:r w:rsidR="00F45939" w:rsidRPr="00D62B4A">
        <w:rPr>
          <w:lang w:val="en-GB"/>
        </w:rPr>
        <w:t>blocked websites, news articles and social media content from Turkey revealed that “</w:t>
      </w:r>
      <w:r w:rsidRPr="00D62B4A">
        <w:rPr>
          <w:lang w:val="en-GB"/>
        </w:rPr>
        <w:t>408.494 websites was blocked from Turkey by the end of 2019. Access to a total of 61.049 websites and domain names was blocked only in 2019. Furthermore, the report highlights that 130.000 URLs, 7.000 Twitter accounts, 40.000 tweets, 10.000 YouTube videos, and 6.200 Facebook content were blocked subject to Law No. 5651 and other legal provisions by the end of 2019. In addition to these, nearly 50.000 content (URLs) were removed by content providers subject to access-blocking orders by the end of 2019.</w:t>
      </w:r>
      <w:r w:rsidR="00F45939" w:rsidRPr="00D62B4A">
        <w:rPr>
          <w:lang w:val="en-GB"/>
        </w:rPr>
        <w:t>”</w:t>
      </w:r>
      <w:r w:rsidRPr="00D62B4A">
        <w:rPr>
          <w:rStyle w:val="FootnoteReference"/>
          <w:lang w:val="en-GB"/>
        </w:rPr>
        <w:footnoteReference w:id="27"/>
      </w:r>
      <w:r w:rsidR="00D96B42" w:rsidRPr="00D62B4A">
        <w:rPr>
          <w:lang w:val="en-GB"/>
        </w:rPr>
        <w:t xml:space="preserve"> Amongst these, Wikipedia, YouTube, Twitter, Facebook</w:t>
      </w:r>
      <w:r w:rsidR="000C303D" w:rsidRPr="00D62B4A">
        <w:rPr>
          <w:lang w:val="en-GB"/>
        </w:rPr>
        <w:t>, and news about Darwinism</w:t>
      </w:r>
      <w:r w:rsidR="00D96B42" w:rsidRPr="00D62B4A">
        <w:rPr>
          <w:lang w:val="en-GB"/>
        </w:rPr>
        <w:t xml:space="preserve"> </w:t>
      </w:r>
      <w:r w:rsidR="000C303D" w:rsidRPr="00D62B4A">
        <w:rPr>
          <w:lang w:val="en-GB"/>
        </w:rPr>
        <w:t xml:space="preserve">and theory of evolution </w:t>
      </w:r>
      <w:r w:rsidR="00D96B42" w:rsidRPr="00D62B4A">
        <w:rPr>
          <w:lang w:val="en-GB"/>
        </w:rPr>
        <w:t xml:space="preserve">were blocked several times in Turkey. </w:t>
      </w:r>
      <w:r w:rsidR="00D00687" w:rsidRPr="00D62B4A">
        <w:rPr>
          <w:lang w:val="en-GB"/>
        </w:rPr>
        <w:t>Over 2000 websites news outlets</w:t>
      </w:r>
      <w:r w:rsidR="006E4200" w:rsidRPr="00D62B4A">
        <w:rPr>
          <w:lang w:val="en-GB"/>
        </w:rPr>
        <w:t xml:space="preserve"> and </w:t>
      </w:r>
      <w:r w:rsidR="00D00687" w:rsidRPr="00D62B4A">
        <w:rPr>
          <w:lang w:val="en-GB"/>
        </w:rPr>
        <w:t xml:space="preserve">around 9000 news/public information related </w:t>
      </w:r>
      <w:r w:rsidR="006E4200" w:rsidRPr="00D62B4A">
        <w:rPr>
          <w:lang w:val="en-GB"/>
        </w:rPr>
        <w:t>content blocked were blocked due to their dissenting contents</w:t>
      </w:r>
      <w:r w:rsidR="00D00687" w:rsidRPr="00D62B4A">
        <w:rPr>
          <w:rStyle w:val="FootnoteReference"/>
          <w:lang w:val="en-GB"/>
        </w:rPr>
        <w:footnoteReference w:id="28"/>
      </w:r>
      <w:r w:rsidR="00D00687" w:rsidRPr="00D62B4A">
        <w:rPr>
          <w:lang w:val="en-GB"/>
        </w:rPr>
        <w:t xml:space="preserve"> or news contents about perpetrators of violence against children and women</w:t>
      </w:r>
      <w:r w:rsidR="006E4200" w:rsidRPr="00D62B4A">
        <w:rPr>
          <w:lang w:val="en-GB"/>
        </w:rPr>
        <w:t>.</w:t>
      </w:r>
      <w:r w:rsidR="00D00687" w:rsidRPr="00D62B4A">
        <w:rPr>
          <w:rStyle w:val="FootnoteReference"/>
          <w:lang w:val="en-GB"/>
        </w:rPr>
        <w:footnoteReference w:id="29"/>
      </w:r>
      <w:r w:rsidR="00312F1F" w:rsidRPr="00D62B4A">
        <w:rPr>
          <w:lang w:val="en-GB"/>
        </w:rPr>
        <w:t xml:space="preserve"> </w:t>
      </w:r>
      <w:r w:rsidR="00942097" w:rsidRPr="00D62B4A">
        <w:rPr>
          <w:lang w:val="en-GB"/>
        </w:rPr>
        <w:t xml:space="preserve">Meanwhile </w:t>
      </w:r>
      <w:r w:rsidR="00942097" w:rsidRPr="00D62B4A">
        <w:rPr>
          <w:lang w:val="en-US"/>
        </w:rPr>
        <w:t xml:space="preserve">Reuters Institute Digital News Report 2018 revealed that </w:t>
      </w:r>
      <w:r w:rsidR="00942097" w:rsidRPr="00D62B4A">
        <w:rPr>
          <w:lang w:val="en-GB"/>
        </w:rPr>
        <w:t xml:space="preserve">40% of people </w:t>
      </w:r>
      <w:r w:rsidR="00312F1F" w:rsidRPr="00D62B4A">
        <w:rPr>
          <w:lang w:val="en-GB"/>
        </w:rPr>
        <w:t xml:space="preserve">distrust in Turkish news media. </w:t>
      </w:r>
      <w:r w:rsidR="00942097" w:rsidRPr="00D62B4A">
        <w:rPr>
          <w:lang w:val="en-GB"/>
        </w:rPr>
        <w:t xml:space="preserve">Likewise, the report attests that </w:t>
      </w:r>
      <w:r w:rsidR="00312F1F" w:rsidRPr="00D62B4A">
        <w:rPr>
          <w:lang w:val="en-GB"/>
        </w:rPr>
        <w:t xml:space="preserve">49% of </w:t>
      </w:r>
      <w:r w:rsidR="00942097" w:rsidRPr="00D62B4A">
        <w:rPr>
          <w:lang w:val="en-GB"/>
        </w:rPr>
        <w:t>people</w:t>
      </w:r>
      <w:r w:rsidR="00312F1F" w:rsidRPr="00D62B4A">
        <w:rPr>
          <w:lang w:val="en-GB"/>
        </w:rPr>
        <w:t xml:space="preserve"> have come across ‘stories that are completely made up for political or commercial reasons’.</w:t>
      </w:r>
      <w:r w:rsidR="00312F1F" w:rsidRPr="00D62B4A">
        <w:rPr>
          <w:rStyle w:val="FootnoteReference"/>
          <w:lang w:val="en-GB"/>
        </w:rPr>
        <w:footnoteReference w:id="30"/>
      </w:r>
      <w:r w:rsidR="00312F1F" w:rsidRPr="00D62B4A">
        <w:rPr>
          <w:lang w:val="en-GB"/>
        </w:rPr>
        <w:t xml:space="preserve"> </w:t>
      </w:r>
      <w:r w:rsidR="003D6F77" w:rsidRPr="00D62B4A">
        <w:rPr>
          <w:lang w:val="en-GB"/>
        </w:rPr>
        <w:t xml:space="preserve">According to a recent research on news media and children’s rights, </w:t>
      </w:r>
      <w:r w:rsidR="00B72834" w:rsidRPr="00D62B4A">
        <w:rPr>
          <w:lang w:val="en-GB"/>
        </w:rPr>
        <w:t>it is found out that only 1.4 percent of the content is about children, %79 of this content is about crimes against children, and %73 of this content violates children’s rights in terms of</w:t>
      </w:r>
      <w:r w:rsidR="00DA2022" w:rsidRPr="00D62B4A">
        <w:rPr>
          <w:lang w:val="en-GB"/>
        </w:rPr>
        <w:t xml:space="preserve"> the right to</w:t>
      </w:r>
      <w:r w:rsidR="00B72834" w:rsidRPr="00D62B4A">
        <w:rPr>
          <w:lang w:val="en-GB"/>
        </w:rPr>
        <w:t xml:space="preserve"> privacy of the child, </w:t>
      </w:r>
      <w:r w:rsidR="00DA2022" w:rsidRPr="00D62B4A">
        <w:rPr>
          <w:lang w:val="en-GB"/>
        </w:rPr>
        <w:t>the portrait of the child as either nuisance or voiceless victims, other biased or wrongful information.</w:t>
      </w:r>
      <w:r w:rsidR="003D6F77" w:rsidRPr="00D62B4A">
        <w:rPr>
          <w:rStyle w:val="FootnoteReference"/>
          <w:lang w:val="en-GB"/>
        </w:rPr>
        <w:footnoteReference w:id="31"/>
      </w:r>
      <w:r w:rsidR="002B41AF" w:rsidRPr="00D62B4A">
        <w:rPr>
          <w:lang w:val="en-GB"/>
        </w:rPr>
        <w:t xml:space="preserve"> </w:t>
      </w:r>
      <w:r w:rsidR="006662DF" w:rsidRPr="00D62B4A">
        <w:rPr>
          <w:lang w:val="en-GB"/>
        </w:rPr>
        <w:t xml:space="preserve">The situation is exacerbated with the development that in July 2020, </w:t>
      </w:r>
      <w:r w:rsidR="002B41AF" w:rsidRPr="00D62B4A">
        <w:rPr>
          <w:lang w:val="en-GB"/>
        </w:rPr>
        <w:t>the Turkish government has recently under the COVID19 public health crisis has “rushed a legal amendment to Turkey’s internet law through parliament before the summer recess in a move to force social media platforms like Twitter, Facebook, and YouTube to comply with any demands by the government to block or remove content”.</w:t>
      </w:r>
      <w:r w:rsidR="002B41AF" w:rsidRPr="00D62B4A">
        <w:rPr>
          <w:rStyle w:val="FootnoteReference"/>
          <w:lang w:val="en-GB"/>
        </w:rPr>
        <w:footnoteReference w:id="32"/>
      </w:r>
      <w:r w:rsidR="002B41AF" w:rsidRPr="00D62B4A">
        <w:rPr>
          <w:lang w:val="en-GB"/>
        </w:rPr>
        <w:t xml:space="preserve"> </w:t>
      </w:r>
      <w:r w:rsidR="00DA2022" w:rsidRPr="00D62B4A">
        <w:rPr>
          <w:lang w:val="en-GB"/>
        </w:rPr>
        <w:t>Meanwhile, a</w:t>
      </w:r>
      <w:r w:rsidR="00D96B42" w:rsidRPr="00D62B4A">
        <w:rPr>
          <w:lang w:val="en-GB"/>
        </w:rPr>
        <w:t xml:space="preserve">ccording to EU Kids Online research report in 2015 in Turkey, </w:t>
      </w:r>
      <w:r w:rsidR="006E4200" w:rsidRPr="00D62B4A">
        <w:rPr>
          <w:lang w:val="en-GB"/>
        </w:rPr>
        <w:t xml:space="preserve">%60 of </w:t>
      </w:r>
      <w:r w:rsidR="00D96B42" w:rsidRPr="00D62B4A">
        <w:rPr>
          <w:lang w:val="en-GB"/>
        </w:rPr>
        <w:t>children</w:t>
      </w:r>
      <w:r w:rsidR="006E4200" w:rsidRPr="00D62B4A">
        <w:rPr>
          <w:lang w:val="en-GB"/>
        </w:rPr>
        <w:t xml:space="preserve"> use websites and social media platforms to read news and get support from information they find online.</w:t>
      </w:r>
      <w:r w:rsidR="006E4200" w:rsidRPr="00D62B4A">
        <w:rPr>
          <w:rStyle w:val="FootnoteReference"/>
          <w:lang w:val="en-GB"/>
        </w:rPr>
        <w:footnoteReference w:id="33"/>
      </w:r>
      <w:r w:rsidR="006E4200" w:rsidRPr="00D62B4A">
        <w:rPr>
          <w:lang w:val="en-GB"/>
        </w:rPr>
        <w:t xml:space="preserve"> </w:t>
      </w:r>
      <w:r w:rsidR="008D5D66" w:rsidRPr="00D62B4A">
        <w:rPr>
          <w:lang w:val="en-GB"/>
        </w:rPr>
        <w:t xml:space="preserve">Under these circumstances, children find it difficult to access to </w:t>
      </w:r>
      <w:r w:rsidR="00DA2022" w:rsidRPr="00D62B4A">
        <w:rPr>
          <w:lang w:val="en-GB"/>
        </w:rPr>
        <w:t xml:space="preserve">truthful, timely information that is created with children’s developmental needs in mind. The situation is even more dire for children in Turkey whose mother tongue is not Turkish, who have learning or mental disabilities, children in residential care, in prisons who do not even have such access to the news media and information. </w:t>
      </w:r>
    </w:p>
    <w:p w14:paraId="5ABF2696" w14:textId="77777777" w:rsidR="00675740" w:rsidRPr="00D62B4A" w:rsidRDefault="006662DF" w:rsidP="00675740">
      <w:pPr>
        <w:pStyle w:val="ListParagraph"/>
        <w:numPr>
          <w:ilvl w:val="0"/>
          <w:numId w:val="35"/>
        </w:numPr>
        <w:jc w:val="both"/>
        <w:rPr>
          <w:lang w:val="en-GB"/>
        </w:rPr>
      </w:pPr>
      <w:r w:rsidRPr="00D62B4A">
        <w:rPr>
          <w:lang w:val="en-GB"/>
        </w:rPr>
        <w:t>Another child rights concern with respect to the right to freedom of expression is use of several draconian laws to intimidate children to freely express themselves even online. According to t</w:t>
      </w:r>
      <w:r w:rsidR="0039381E" w:rsidRPr="00D62B4A">
        <w:rPr>
          <w:lang w:val="en-GB"/>
        </w:rPr>
        <w:t xml:space="preserve">he Turkish Justice Ministry’s </w:t>
      </w:r>
      <w:r w:rsidRPr="00D62B4A">
        <w:rPr>
          <w:lang w:val="en-GB"/>
        </w:rPr>
        <w:t>figures</w:t>
      </w:r>
      <w:r w:rsidR="0039381E" w:rsidRPr="00D62B4A">
        <w:rPr>
          <w:lang w:val="en-GB"/>
        </w:rPr>
        <w:t xml:space="preserve"> </w:t>
      </w:r>
      <w:r w:rsidRPr="00D62B4A">
        <w:rPr>
          <w:lang w:val="en-GB"/>
        </w:rPr>
        <w:t xml:space="preserve">in </w:t>
      </w:r>
      <w:r w:rsidR="0039381E" w:rsidRPr="00D62B4A">
        <w:rPr>
          <w:lang w:val="en-GB"/>
        </w:rPr>
        <w:t>2018</w:t>
      </w:r>
      <w:r w:rsidRPr="00D62B4A">
        <w:rPr>
          <w:lang w:val="en-GB"/>
        </w:rPr>
        <w:t>,</w:t>
      </w:r>
      <w:r w:rsidR="0039381E" w:rsidRPr="00D62B4A">
        <w:rPr>
          <w:lang w:val="en-GB"/>
        </w:rPr>
        <w:t xml:space="preserve"> </w:t>
      </w:r>
      <w:r w:rsidRPr="00D62B4A">
        <w:rPr>
          <w:lang w:val="en-GB"/>
        </w:rPr>
        <w:t>168</w:t>
      </w:r>
      <w:r w:rsidR="0039381E" w:rsidRPr="00D62B4A">
        <w:rPr>
          <w:lang w:val="en-GB"/>
        </w:rPr>
        <w:t xml:space="preserve"> criminal investigations were conducted </w:t>
      </w:r>
      <w:r w:rsidR="008E489A" w:rsidRPr="00D62B4A">
        <w:rPr>
          <w:lang w:val="en-GB"/>
        </w:rPr>
        <w:t xml:space="preserve">against children (46 of them against children aged 12-14) </w:t>
      </w:r>
      <w:r w:rsidR="0039381E" w:rsidRPr="00D62B4A">
        <w:rPr>
          <w:lang w:val="en-GB"/>
        </w:rPr>
        <w:t xml:space="preserve">under </w:t>
      </w:r>
      <w:r w:rsidRPr="00D62B4A">
        <w:rPr>
          <w:lang w:val="en-GB"/>
        </w:rPr>
        <w:t>TCC</w:t>
      </w:r>
      <w:r w:rsidR="0039381E" w:rsidRPr="00D62B4A">
        <w:rPr>
          <w:lang w:val="en-GB"/>
        </w:rPr>
        <w:t xml:space="preserve"> Article 299</w:t>
      </w:r>
      <w:r w:rsidRPr="00D62B4A">
        <w:rPr>
          <w:lang w:val="en-GB"/>
        </w:rPr>
        <w:t xml:space="preserve"> insulting the president</w:t>
      </w:r>
      <w:r w:rsidR="0039381E" w:rsidRPr="00D62B4A">
        <w:rPr>
          <w:lang w:val="en-GB"/>
        </w:rPr>
        <w:t>, which punishes offenders with up to four years in prison.</w:t>
      </w:r>
      <w:r w:rsidR="00102788" w:rsidRPr="00D62B4A">
        <w:rPr>
          <w:lang w:val="en-GB"/>
        </w:rPr>
        <w:t xml:space="preserve"> </w:t>
      </w:r>
      <w:r w:rsidR="0039381E" w:rsidRPr="00D62B4A">
        <w:rPr>
          <w:lang w:val="en-GB"/>
        </w:rPr>
        <w:t>Of these cases, Turkish courts convicted 19 children.</w:t>
      </w:r>
      <w:r w:rsidR="006D0DAC" w:rsidRPr="00D62B4A">
        <w:rPr>
          <w:rStyle w:val="FootnoteReference"/>
          <w:lang w:val="en-GB"/>
        </w:rPr>
        <w:footnoteReference w:id="34"/>
      </w:r>
      <w:r w:rsidR="008E489A" w:rsidRPr="00D62B4A">
        <w:rPr>
          <w:lang w:val="en-GB"/>
        </w:rPr>
        <w:t xml:space="preserve"> In 2019, the ministry discontinued providing detailed information about such cases and others as convictions about protests, trafficking in children, prostitution, etc.    </w:t>
      </w:r>
    </w:p>
    <w:p w14:paraId="72383B94" w14:textId="77777777" w:rsidR="00482A6B" w:rsidRPr="00D62B4A" w:rsidRDefault="00544FC9" w:rsidP="00C4462B">
      <w:pPr>
        <w:pStyle w:val="ListParagraph"/>
        <w:numPr>
          <w:ilvl w:val="0"/>
          <w:numId w:val="35"/>
        </w:numPr>
        <w:jc w:val="both"/>
        <w:rPr>
          <w:lang w:val="en-GB"/>
        </w:rPr>
      </w:pPr>
      <w:r w:rsidRPr="00D62B4A">
        <w:rPr>
          <w:lang w:val="en-GB"/>
        </w:rPr>
        <w:t xml:space="preserve">With respect to right to from of conscience, belief and religion, the situation is not better either. </w:t>
      </w:r>
      <w:r w:rsidR="000B4C42" w:rsidRPr="00D62B4A">
        <w:rPr>
          <w:lang w:val="en-GB"/>
        </w:rPr>
        <w:t>According to Alevi Philosophy Centre Asociation’s latest submission to the Council of Europe’s Committee of Ministers, c</w:t>
      </w:r>
      <w:r w:rsidR="00871AF9" w:rsidRPr="00D62B4A">
        <w:rPr>
          <w:lang w:val="en-GB"/>
        </w:rPr>
        <w:t xml:space="preserve">ompulsory </w:t>
      </w:r>
      <w:r w:rsidR="000B4C42" w:rsidRPr="00D62B4A">
        <w:rPr>
          <w:lang w:val="en-GB"/>
        </w:rPr>
        <w:t xml:space="preserve">religion </w:t>
      </w:r>
      <w:r w:rsidR="00871AF9" w:rsidRPr="00D62B4A">
        <w:rPr>
          <w:lang w:val="en-GB"/>
        </w:rPr>
        <w:t>courses</w:t>
      </w:r>
      <w:r w:rsidR="000B4C42" w:rsidRPr="00D62B4A">
        <w:rPr>
          <w:lang w:val="en-GB"/>
        </w:rPr>
        <w:t xml:space="preserve"> which focuses on Sunni-Hanefi section of Islam</w:t>
      </w:r>
      <w:r w:rsidR="00871AF9" w:rsidRPr="00D62B4A">
        <w:rPr>
          <w:lang w:val="en-GB"/>
        </w:rPr>
        <w:t xml:space="preserve"> are still </w:t>
      </w:r>
      <w:r w:rsidR="00726828" w:rsidRPr="00D62B4A">
        <w:rPr>
          <w:lang w:val="en-GB"/>
        </w:rPr>
        <w:t>compulsory,</w:t>
      </w:r>
      <w:r w:rsidR="00871AF9" w:rsidRPr="00D62B4A">
        <w:rPr>
          <w:lang w:val="en-GB"/>
        </w:rPr>
        <w:t xml:space="preserve"> and an exemption procedure is not developed. Curriculum is basically the same with very minor insertions to texts</w:t>
      </w:r>
      <w:r w:rsidR="000B4C42" w:rsidRPr="00D62B4A">
        <w:rPr>
          <w:lang w:val="en-GB"/>
        </w:rPr>
        <w:t>.</w:t>
      </w:r>
      <w:r w:rsidR="00871AF9" w:rsidRPr="00D62B4A">
        <w:rPr>
          <w:rStyle w:val="FootnoteReference"/>
          <w:lang w:val="en-GB"/>
        </w:rPr>
        <w:footnoteReference w:id="35"/>
      </w:r>
      <w:r w:rsidR="000B4C42" w:rsidRPr="00D62B4A">
        <w:rPr>
          <w:lang w:val="en-GB"/>
        </w:rPr>
        <w:t xml:space="preserve"> </w:t>
      </w:r>
      <w:r w:rsidR="00871AF9" w:rsidRPr="00D62B4A">
        <w:rPr>
          <w:lang w:val="en-GB"/>
        </w:rPr>
        <w:t xml:space="preserve">Implementation of two </w:t>
      </w:r>
      <w:r w:rsidR="000B4C42" w:rsidRPr="00D62B4A">
        <w:rPr>
          <w:lang w:val="en-GB"/>
        </w:rPr>
        <w:t xml:space="preserve">European Court of Human Rights’ </w:t>
      </w:r>
      <w:r w:rsidR="00871AF9" w:rsidRPr="00D62B4A">
        <w:rPr>
          <w:lang w:val="en-GB"/>
        </w:rPr>
        <w:t>judgements directly focusing on religious education in Turkey</w:t>
      </w:r>
      <w:r w:rsidR="000B4C42" w:rsidRPr="00D62B4A">
        <w:rPr>
          <w:lang w:val="en-GB"/>
        </w:rPr>
        <w:t>,</w:t>
      </w:r>
      <w:r w:rsidR="00871AF9" w:rsidRPr="00D62B4A">
        <w:rPr>
          <w:lang w:val="en-GB"/>
        </w:rPr>
        <w:t xml:space="preserve"> </w:t>
      </w:r>
      <w:r w:rsidR="000B4C42" w:rsidRPr="00D62B4A">
        <w:rPr>
          <w:lang w:val="en-GB"/>
        </w:rPr>
        <w:t>t</w:t>
      </w:r>
      <w:r w:rsidR="00871AF9" w:rsidRPr="00D62B4A">
        <w:rPr>
          <w:lang w:val="en-GB"/>
        </w:rPr>
        <w:t>he Court decided in both cases that the Turkish educational system fails to meet the requirements of objectivity and pluralism as well as providing an adequate content for providing respect for parents’ convictions.</w:t>
      </w:r>
      <w:r w:rsidR="00871AF9" w:rsidRPr="00D62B4A">
        <w:rPr>
          <w:rStyle w:val="FootnoteReference"/>
          <w:lang w:val="en-GB"/>
        </w:rPr>
        <w:footnoteReference w:id="36"/>
      </w:r>
      <w:r w:rsidR="00A12F5B" w:rsidRPr="00D62B4A">
        <w:rPr>
          <w:lang w:val="en-GB"/>
        </w:rPr>
        <w:t xml:space="preserve"> </w:t>
      </w:r>
      <w:r w:rsidR="00482A6B" w:rsidRPr="00D62B4A">
        <w:rPr>
          <w:lang w:val="en-GB"/>
        </w:rPr>
        <w:t>According to the recent, compar</w:t>
      </w:r>
      <w:r w:rsidR="00A12F5B" w:rsidRPr="00D62B4A">
        <w:rPr>
          <w:lang w:val="en-GB"/>
        </w:rPr>
        <w:t>ing</w:t>
      </w:r>
      <w:r w:rsidR="00482A6B" w:rsidRPr="00D62B4A">
        <w:rPr>
          <w:lang w:val="en-GB"/>
        </w:rPr>
        <w:t xml:space="preserve"> 2016 and 2017 textbooks, there has been “a significant shift in terms of secularism” in 9th grade History, 9th grade Religious Culture and Morality textbooks. </w:t>
      </w:r>
      <w:r w:rsidR="00A12F5B" w:rsidRPr="00D62B4A">
        <w:rPr>
          <w:lang w:val="en-GB"/>
        </w:rPr>
        <w:t xml:space="preserve">There is a denial of other beliefs and values that are not Quran and Sunna centred in </w:t>
      </w:r>
      <w:r w:rsidR="00482A6B" w:rsidRPr="00D62B4A">
        <w:rPr>
          <w:lang w:val="en-GB"/>
        </w:rPr>
        <w:t>2016 and 2017 9th grade RCME textbooks.</w:t>
      </w:r>
      <w:r w:rsidR="00482A6B" w:rsidRPr="00D62B4A">
        <w:rPr>
          <w:rStyle w:val="FootnoteReference"/>
          <w:lang w:val="en-GB"/>
        </w:rPr>
        <w:footnoteReference w:id="37"/>
      </w:r>
    </w:p>
    <w:p w14:paraId="72529CF7" w14:textId="77777777" w:rsidR="00C65215" w:rsidRPr="00D62B4A" w:rsidRDefault="0049294A" w:rsidP="00675740">
      <w:pPr>
        <w:pStyle w:val="ListParagraph"/>
        <w:numPr>
          <w:ilvl w:val="0"/>
          <w:numId w:val="35"/>
        </w:numPr>
        <w:jc w:val="both"/>
        <w:rPr>
          <w:lang w:val="en-GB"/>
        </w:rPr>
      </w:pPr>
      <w:r w:rsidRPr="00D62B4A">
        <w:rPr>
          <w:lang w:val="en-GB"/>
        </w:rPr>
        <w:t>Concerns with regards to the right to freedom of association of children continues</w:t>
      </w:r>
      <w:r w:rsidR="00BD1344" w:rsidRPr="00D62B4A">
        <w:rPr>
          <w:lang w:val="en-GB"/>
        </w:rPr>
        <w:t xml:space="preserve">, the law still bars children from becoming part of organizational committee for outdoor meetings. </w:t>
      </w:r>
      <w:r w:rsidR="00F265EC" w:rsidRPr="00D62B4A">
        <w:rPr>
          <w:lang w:val="en-GB"/>
        </w:rPr>
        <w:t>For example, c</w:t>
      </w:r>
      <w:r w:rsidR="00BD1344" w:rsidRPr="00D62B4A">
        <w:rPr>
          <w:lang w:val="en-GB"/>
        </w:rPr>
        <w:t xml:space="preserve">limate change protests spearheaded by children and young people around the world have not found similar traction in Turkey due to restrictive measures against children’s mass informal participation in policy formulation.      </w:t>
      </w:r>
    </w:p>
    <w:p w14:paraId="665CA7D7" w14:textId="77777777" w:rsidR="007718D0" w:rsidRPr="00D62B4A" w:rsidRDefault="007718D0" w:rsidP="007718D0">
      <w:pPr>
        <w:pStyle w:val="Heading1"/>
        <w:rPr>
          <w:rFonts w:asciiTheme="minorHAnsi" w:hAnsiTheme="minorHAnsi"/>
          <w:sz w:val="24"/>
          <w:szCs w:val="24"/>
          <w:lang w:val="en-GB"/>
        </w:rPr>
      </w:pPr>
      <w:bookmarkStart w:id="6" w:name="_Toc107480663"/>
      <w:r w:rsidRPr="00D62B4A">
        <w:rPr>
          <w:rFonts w:asciiTheme="minorHAnsi" w:hAnsiTheme="minorHAnsi"/>
          <w:sz w:val="24"/>
          <w:szCs w:val="24"/>
          <w:lang w:val="en-GB"/>
        </w:rPr>
        <w:t xml:space="preserve">Violence against children </w:t>
      </w:r>
      <w:r w:rsidR="006A7ACA" w:rsidRPr="00D62B4A">
        <w:rPr>
          <w:rFonts w:asciiTheme="minorHAnsi" w:hAnsiTheme="minorHAnsi"/>
          <w:sz w:val="24"/>
          <w:szCs w:val="24"/>
          <w:lang w:val="en-GB"/>
        </w:rPr>
        <w:t xml:space="preserve">(VAC) </w:t>
      </w:r>
      <w:r w:rsidRPr="00D62B4A">
        <w:rPr>
          <w:rFonts w:asciiTheme="minorHAnsi" w:hAnsiTheme="minorHAnsi"/>
          <w:sz w:val="24"/>
          <w:szCs w:val="24"/>
          <w:lang w:val="en-GB"/>
        </w:rPr>
        <w:t>(arts. 19, 39, 24(3), 37(a), 28(2), 34)</w:t>
      </w:r>
      <w:bookmarkEnd w:id="6"/>
    </w:p>
    <w:p w14:paraId="0B9FC38B" w14:textId="77777777" w:rsidR="00315D52" w:rsidRPr="00D62B4A" w:rsidRDefault="006A7ACA" w:rsidP="00315D52">
      <w:pPr>
        <w:pStyle w:val="ListParagraph"/>
        <w:numPr>
          <w:ilvl w:val="0"/>
          <w:numId w:val="35"/>
        </w:numPr>
        <w:jc w:val="both"/>
        <w:rPr>
          <w:lang w:val="en-GB"/>
        </w:rPr>
      </w:pPr>
      <w:r w:rsidRPr="00D62B4A">
        <w:rPr>
          <w:lang w:val="en-GB"/>
        </w:rPr>
        <w:t xml:space="preserve">Information and disaggregated data on VAC </w:t>
      </w:r>
      <w:r w:rsidR="00545B05">
        <w:rPr>
          <w:lang w:val="en-GB"/>
        </w:rPr>
        <w:t>are</w:t>
      </w:r>
      <w:r w:rsidRPr="00D62B4A">
        <w:rPr>
          <w:lang w:val="en-GB"/>
        </w:rPr>
        <w:t xml:space="preserve"> very scarce and rather scattered. </w:t>
      </w:r>
    </w:p>
    <w:p w14:paraId="0B1D5635" w14:textId="77777777" w:rsidR="00942139" w:rsidRPr="00D62B4A" w:rsidRDefault="00315D52" w:rsidP="00847A92">
      <w:pPr>
        <w:pStyle w:val="ListParagraph"/>
        <w:numPr>
          <w:ilvl w:val="0"/>
          <w:numId w:val="35"/>
        </w:numPr>
        <w:jc w:val="both"/>
        <w:rPr>
          <w:lang w:val="en-GB"/>
        </w:rPr>
      </w:pPr>
      <w:r w:rsidRPr="00D62B4A">
        <w:rPr>
          <w:lang w:val="en-GB"/>
        </w:rPr>
        <w:t xml:space="preserve">According to official data </w:t>
      </w:r>
      <w:r w:rsidR="00545B05">
        <w:rPr>
          <w:lang w:val="en-GB"/>
        </w:rPr>
        <w:t>in</w:t>
      </w:r>
      <w:r w:rsidRPr="00D62B4A">
        <w:rPr>
          <w:lang w:val="en-GB"/>
        </w:rPr>
        <w:t xml:space="preserve"> 2016, as punishment, 20.7% of parents beat their children while 32,6% of them slap them in the face and 72,6% of them verbally chastise them.</w:t>
      </w:r>
      <w:r w:rsidR="000F4171">
        <w:rPr>
          <w:rStyle w:val="FootnoteReference"/>
          <w:lang w:val="en-GB"/>
        </w:rPr>
        <w:footnoteReference w:id="38"/>
      </w:r>
      <w:r w:rsidRPr="00D62B4A">
        <w:rPr>
          <w:lang w:val="en-GB"/>
        </w:rPr>
        <w:t xml:space="preserve">  Although Turkey accepted to act on banning corporal punishment of children in all settings, no progress was made. Corporal punishment is still not explicitly banned.</w:t>
      </w:r>
      <w:r w:rsidR="00AD7469" w:rsidRPr="00D62B4A">
        <w:rPr>
          <w:lang w:val="en-GB"/>
        </w:rPr>
        <w:t xml:space="preserve"> TPC a</w:t>
      </w:r>
      <w:r w:rsidRPr="00D62B4A">
        <w:rPr>
          <w:lang w:val="en-GB"/>
        </w:rPr>
        <w:t>rticle 232 authorizes parents or other persons teaching the child any profession or trade to apply disciplinary measures when necessary. It can be inferred from the judicial organs that this article is interpreted as legitimizing corporal punishment in this context.  For example, in its decision no. 2000/30, the General Criminal Assembly of the Supreme Court of Appeals considered teachers’ striking the hands of students by using a ruler as the “exercise of the right to give discipline”.  Further, the 3rd Criminal Chamber of the same court acquitted, on 22 September 2014, a father who slapped her daughter for running away from home on the ground that the father exercise</w:t>
      </w:r>
      <w:r w:rsidR="00AD7469" w:rsidRPr="00D62B4A">
        <w:rPr>
          <w:lang w:val="en-GB"/>
        </w:rPr>
        <w:t>s</w:t>
      </w:r>
      <w:r w:rsidRPr="00D62B4A">
        <w:rPr>
          <w:lang w:val="en-GB"/>
        </w:rPr>
        <w:t xml:space="preserve"> his “right to correct”. </w:t>
      </w:r>
      <w:r w:rsidR="00942139" w:rsidRPr="00D62B4A">
        <w:rPr>
          <w:lang w:val="en-GB"/>
        </w:rPr>
        <w:t>10 percent of the all calls to the Federation of Women’s Associations in Turkey on average reported domestic and gender-based violence against children.</w:t>
      </w:r>
      <w:r w:rsidR="00942139" w:rsidRPr="00D62B4A">
        <w:rPr>
          <w:rStyle w:val="FootnoteReference"/>
          <w:lang w:val="en-GB"/>
        </w:rPr>
        <w:footnoteReference w:id="39"/>
      </w:r>
      <w:r w:rsidR="00942139" w:rsidRPr="00D62B4A">
        <w:rPr>
          <w:lang w:val="en-GB"/>
        </w:rPr>
        <w:t xml:space="preserve">  </w:t>
      </w:r>
    </w:p>
    <w:p w14:paraId="7F80F742" w14:textId="77777777" w:rsidR="00847A92" w:rsidRDefault="0039381E" w:rsidP="00847A92">
      <w:pPr>
        <w:pStyle w:val="NormalWeb"/>
        <w:numPr>
          <w:ilvl w:val="0"/>
          <w:numId w:val="35"/>
        </w:numPr>
        <w:jc w:val="both"/>
        <w:rPr>
          <w:rFonts w:asciiTheme="minorHAnsi" w:hAnsiTheme="minorHAnsi"/>
          <w:lang w:val="en-GB"/>
        </w:rPr>
      </w:pPr>
      <w:r w:rsidRPr="00D62B4A">
        <w:rPr>
          <w:rFonts w:asciiTheme="minorHAnsi" w:hAnsiTheme="minorHAnsi"/>
          <w:lang w:val="en-GB"/>
        </w:rPr>
        <w:t xml:space="preserve">Number of children brought to security units </w:t>
      </w:r>
      <w:r w:rsidR="00E81B61" w:rsidRPr="00D62B4A">
        <w:rPr>
          <w:rFonts w:asciiTheme="minorHAnsi" w:hAnsiTheme="minorHAnsi"/>
          <w:lang w:val="en-GB"/>
        </w:rPr>
        <w:t>from</w:t>
      </w:r>
      <w:r w:rsidR="00B6129F" w:rsidRPr="00D62B4A">
        <w:rPr>
          <w:rFonts w:asciiTheme="minorHAnsi" w:hAnsiTheme="minorHAnsi"/>
          <w:lang w:val="en-GB"/>
        </w:rPr>
        <w:t xml:space="preserve"> 201</w:t>
      </w:r>
      <w:r w:rsidR="00E81B61" w:rsidRPr="00D62B4A">
        <w:rPr>
          <w:rFonts w:asciiTheme="minorHAnsi" w:hAnsiTheme="minorHAnsi"/>
          <w:lang w:val="en-GB"/>
        </w:rPr>
        <w:t>5</w:t>
      </w:r>
      <w:r w:rsidR="00B6129F" w:rsidRPr="00D62B4A">
        <w:rPr>
          <w:rFonts w:asciiTheme="minorHAnsi" w:hAnsiTheme="minorHAnsi"/>
          <w:lang w:val="en-GB"/>
        </w:rPr>
        <w:t xml:space="preserve"> </w:t>
      </w:r>
      <w:r w:rsidR="00E81B61" w:rsidRPr="00D62B4A">
        <w:rPr>
          <w:rFonts w:asciiTheme="minorHAnsi" w:hAnsiTheme="minorHAnsi"/>
          <w:lang w:val="en-GB"/>
        </w:rPr>
        <w:t>to</w:t>
      </w:r>
      <w:r w:rsidR="00B6129F" w:rsidRPr="00D62B4A">
        <w:rPr>
          <w:rFonts w:asciiTheme="minorHAnsi" w:hAnsiTheme="minorHAnsi"/>
          <w:lang w:val="en-GB"/>
        </w:rPr>
        <w:t xml:space="preserve"> </w:t>
      </w:r>
      <w:r w:rsidRPr="00D62B4A">
        <w:rPr>
          <w:rFonts w:asciiTheme="minorHAnsi" w:hAnsiTheme="minorHAnsi"/>
          <w:lang w:val="en-GB"/>
        </w:rPr>
        <w:t xml:space="preserve">2019 </w:t>
      </w:r>
      <w:r w:rsidR="00E81B61" w:rsidRPr="00D62B4A">
        <w:rPr>
          <w:rFonts w:asciiTheme="minorHAnsi" w:hAnsiTheme="minorHAnsi"/>
          <w:lang w:val="en-GB"/>
        </w:rPr>
        <w:t>as victims of</w:t>
      </w:r>
      <w:r w:rsidRPr="00D62B4A">
        <w:rPr>
          <w:rFonts w:asciiTheme="minorHAnsi" w:hAnsiTheme="minorHAnsi"/>
          <w:lang w:val="en-GB"/>
        </w:rPr>
        <w:t xml:space="preserve"> sexual </w:t>
      </w:r>
      <w:r w:rsidR="00E81B61" w:rsidRPr="00D62B4A">
        <w:rPr>
          <w:rFonts w:asciiTheme="minorHAnsi" w:hAnsiTheme="minorHAnsi"/>
          <w:lang w:val="en-GB"/>
        </w:rPr>
        <w:t xml:space="preserve">abuse and </w:t>
      </w:r>
      <w:r w:rsidRPr="00D62B4A">
        <w:rPr>
          <w:rFonts w:asciiTheme="minorHAnsi" w:hAnsiTheme="minorHAnsi"/>
          <w:lang w:val="en-GB"/>
        </w:rPr>
        <w:t xml:space="preserve">assault is </w:t>
      </w:r>
      <w:r w:rsidR="00E81B61" w:rsidRPr="00D62B4A">
        <w:rPr>
          <w:rFonts w:asciiTheme="minorHAnsi" w:hAnsiTheme="minorHAnsi"/>
          <w:lang w:val="en-GB"/>
        </w:rPr>
        <w:t>126,830</w:t>
      </w:r>
      <w:r w:rsidRPr="00D62B4A">
        <w:rPr>
          <w:rFonts w:asciiTheme="minorHAnsi" w:hAnsiTheme="minorHAnsi"/>
          <w:lang w:val="en-GB"/>
        </w:rPr>
        <w:t xml:space="preserve"> (</w:t>
      </w:r>
      <w:r w:rsidR="00E81B61" w:rsidRPr="00D62B4A">
        <w:rPr>
          <w:rFonts w:asciiTheme="minorHAnsi" w:hAnsiTheme="minorHAnsi"/>
          <w:lang w:val="en-GB"/>
        </w:rPr>
        <w:t>110,019</w:t>
      </w:r>
      <w:r w:rsidRPr="00D62B4A">
        <w:rPr>
          <w:rFonts w:asciiTheme="minorHAnsi" w:hAnsiTheme="minorHAnsi"/>
          <w:lang w:val="en-GB"/>
        </w:rPr>
        <w:t xml:space="preserve"> girls and </w:t>
      </w:r>
      <w:r w:rsidR="00E81B61" w:rsidRPr="00D62B4A">
        <w:rPr>
          <w:rFonts w:asciiTheme="minorHAnsi" w:hAnsiTheme="minorHAnsi"/>
          <w:lang w:val="en-GB"/>
        </w:rPr>
        <w:t>16,811</w:t>
      </w:r>
      <w:r w:rsidRPr="00D62B4A">
        <w:rPr>
          <w:rFonts w:asciiTheme="minorHAnsi" w:hAnsiTheme="minorHAnsi"/>
          <w:lang w:val="en-GB"/>
        </w:rPr>
        <w:t xml:space="preserve"> boys). In general, number of children brought/come to the security units (police, gendarme etc.) from </w:t>
      </w:r>
      <w:r w:rsidR="00994D8A" w:rsidRPr="00D62B4A">
        <w:rPr>
          <w:rFonts w:asciiTheme="minorHAnsi" w:hAnsiTheme="minorHAnsi"/>
          <w:lang w:val="en-GB"/>
        </w:rPr>
        <w:t>2015 to 2019 is almost 2,5 million! Of these children, over 1 million of the</w:t>
      </w:r>
      <w:r w:rsidR="00847A92" w:rsidRPr="00D62B4A">
        <w:rPr>
          <w:rFonts w:asciiTheme="minorHAnsi" w:hAnsiTheme="minorHAnsi"/>
          <w:lang w:val="en-GB"/>
        </w:rPr>
        <w:t>m</w:t>
      </w:r>
      <w:r w:rsidR="00994D8A" w:rsidRPr="00D62B4A">
        <w:rPr>
          <w:rFonts w:asciiTheme="minorHAnsi" w:hAnsiTheme="minorHAnsi"/>
          <w:lang w:val="en-GB"/>
        </w:rPr>
        <w:t xml:space="preserve"> were victims of crimes! </w:t>
      </w:r>
      <w:r w:rsidR="00847A92" w:rsidRPr="00D62B4A">
        <w:rPr>
          <w:rFonts w:asciiTheme="minorHAnsi" w:hAnsiTheme="minorHAnsi"/>
          <w:lang w:val="en-GB"/>
        </w:rPr>
        <w:t xml:space="preserve">Court cases involving sexual assaults against children rose from around %30 from 17589 in 2012 to 22689 in 2019. </w:t>
      </w:r>
      <w:r w:rsidR="00EB3285" w:rsidRPr="00D62B4A">
        <w:rPr>
          <w:rFonts w:asciiTheme="minorHAnsi" w:hAnsiTheme="minorHAnsi"/>
          <w:lang w:val="en-GB"/>
        </w:rPr>
        <w:t>C</w:t>
      </w:r>
      <w:r w:rsidR="00847A92" w:rsidRPr="00D62B4A">
        <w:rPr>
          <w:rFonts w:asciiTheme="minorHAnsi" w:hAnsiTheme="minorHAnsi"/>
          <w:lang w:val="en-GB"/>
        </w:rPr>
        <w:t xml:space="preserve">onviction rates are over 50%. </w:t>
      </w:r>
      <w:r w:rsidR="00EB3285" w:rsidRPr="00D62B4A">
        <w:rPr>
          <w:rFonts w:asciiTheme="minorHAnsi" w:hAnsiTheme="minorHAnsi"/>
          <w:lang w:val="en-GB"/>
        </w:rPr>
        <w:t>At the same time, from 51,598 sexual abuse and assault cases brought to the attention of the public prosecutor’s office, only around 20-thousand of them ended up in courts!</w:t>
      </w:r>
      <w:r w:rsidR="00223074" w:rsidRPr="00D62B4A">
        <w:rPr>
          <w:rStyle w:val="FootnoteReference"/>
          <w:rFonts w:asciiTheme="minorHAnsi" w:hAnsiTheme="minorHAnsi"/>
          <w:lang w:val="en-GB"/>
        </w:rPr>
        <w:footnoteReference w:id="40"/>
      </w:r>
      <w:r w:rsidR="00EB3285" w:rsidRPr="00D62B4A">
        <w:rPr>
          <w:rFonts w:asciiTheme="minorHAnsi" w:hAnsiTheme="minorHAnsi"/>
          <w:lang w:val="en-GB"/>
        </w:rPr>
        <w:t xml:space="preserve"> </w:t>
      </w:r>
      <w:r w:rsidR="00847A92" w:rsidRPr="00D62B4A">
        <w:rPr>
          <w:rFonts w:asciiTheme="minorHAnsi" w:hAnsiTheme="minorHAnsi"/>
          <w:lang w:val="en-GB"/>
        </w:rPr>
        <w:t xml:space="preserve">Therefore, it is safe to say that there is a mismatch with numbers of children brought to security units </w:t>
      </w:r>
      <w:r w:rsidR="009F525B" w:rsidRPr="00D62B4A">
        <w:rPr>
          <w:rFonts w:asciiTheme="minorHAnsi" w:hAnsiTheme="minorHAnsi"/>
          <w:lang w:val="en-GB"/>
        </w:rPr>
        <w:t>as victims of sexual abuse and assault and the number of court cases and convictions. It looks as though many of the child sexual abuse and assault cases do not end up in courts and perpetrators were never brought to justice</w:t>
      </w:r>
      <w:r w:rsidR="00195CE5" w:rsidRPr="00D62B4A">
        <w:rPr>
          <w:rFonts w:asciiTheme="minorHAnsi" w:hAnsiTheme="minorHAnsi"/>
          <w:lang w:val="en-GB"/>
        </w:rPr>
        <w:t xml:space="preserve"> that leads to </w:t>
      </w:r>
      <w:r w:rsidR="00B46ADB" w:rsidRPr="00D62B4A">
        <w:rPr>
          <w:rFonts w:asciiTheme="minorHAnsi" w:hAnsiTheme="minorHAnsi"/>
          <w:lang w:val="en-GB"/>
        </w:rPr>
        <w:t xml:space="preserve">grave </w:t>
      </w:r>
      <w:r w:rsidR="00195CE5" w:rsidRPr="00D62B4A">
        <w:rPr>
          <w:rFonts w:asciiTheme="minorHAnsi" w:hAnsiTheme="minorHAnsi"/>
          <w:lang w:val="en-GB"/>
        </w:rPr>
        <w:t>impunity</w:t>
      </w:r>
      <w:r w:rsidR="00B46ADB" w:rsidRPr="00D62B4A">
        <w:rPr>
          <w:rFonts w:asciiTheme="minorHAnsi" w:hAnsiTheme="minorHAnsi"/>
          <w:lang w:val="en-GB"/>
        </w:rPr>
        <w:t xml:space="preserve"> of child sexual abuse and exploitation</w:t>
      </w:r>
      <w:r w:rsidR="009F525B" w:rsidRPr="00D62B4A">
        <w:rPr>
          <w:rFonts w:asciiTheme="minorHAnsi" w:hAnsiTheme="minorHAnsi"/>
          <w:lang w:val="en-GB"/>
        </w:rPr>
        <w:t xml:space="preserve">. </w:t>
      </w:r>
    </w:p>
    <w:p w14:paraId="119A8E2C" w14:textId="77777777" w:rsidR="00E200E3" w:rsidRPr="005A71DB" w:rsidRDefault="00E200E3" w:rsidP="005A71DB">
      <w:pPr>
        <w:pStyle w:val="ListParagraph"/>
        <w:numPr>
          <w:ilvl w:val="0"/>
          <w:numId w:val="35"/>
        </w:numPr>
        <w:jc w:val="both"/>
        <w:rPr>
          <w:rFonts w:cs="Times New Roman"/>
          <w:lang w:val="en-GB"/>
        </w:rPr>
      </w:pPr>
      <w:r>
        <w:rPr>
          <w:lang w:val="en-GB"/>
        </w:rPr>
        <w:t xml:space="preserve">Latest figures in 2018 from the Ministry of Justice indicate that 22 boys and 8 girls under 14 years of age, 70 boys and 16 girls under 18 were tried in courts on account of crime of aiding and abetting prostitution. 11 boys and 3 girls under 14 and 22 boys and 10 of these children were convicted of this crime and serving prison terms. </w:t>
      </w:r>
      <w:r w:rsidR="008D294C">
        <w:rPr>
          <w:lang w:val="en-GB"/>
        </w:rPr>
        <w:t>Likewise, 1 boy under 14 and 2 boys under 18 were tried and 2 boys under 18 were convicted of human trafficking.</w:t>
      </w:r>
      <w:r w:rsidR="00607F25">
        <w:rPr>
          <w:rStyle w:val="FootnoteReference"/>
          <w:lang w:val="en-GB"/>
        </w:rPr>
        <w:footnoteReference w:id="41"/>
      </w:r>
      <w:r w:rsidR="008D294C">
        <w:rPr>
          <w:lang w:val="en-GB"/>
        </w:rPr>
        <w:t xml:space="preserve"> </w:t>
      </w:r>
      <w:r>
        <w:rPr>
          <w:lang w:val="en-GB"/>
        </w:rPr>
        <w:t xml:space="preserve">It is obvious that these children were objects of some form of VAC and they shouldn’t be tried or convicted of </w:t>
      </w:r>
      <w:r w:rsidR="00267A5F">
        <w:rPr>
          <w:lang w:val="en-GB"/>
        </w:rPr>
        <w:t>aiding prostitution of someone else</w:t>
      </w:r>
      <w:r w:rsidR="008A22BE">
        <w:rPr>
          <w:lang w:val="en-GB"/>
        </w:rPr>
        <w:t xml:space="preserve"> or human trafficking</w:t>
      </w:r>
      <w:r w:rsidR="00267A5F">
        <w:rPr>
          <w:lang w:val="en-GB"/>
        </w:rPr>
        <w:t>.</w:t>
      </w:r>
      <w:r w:rsidR="00587E84">
        <w:rPr>
          <w:lang w:val="en-GB"/>
        </w:rPr>
        <w:t xml:space="preserve"> There are no clear data on child victims of prostitution or child trafficking.</w:t>
      </w:r>
      <w:r w:rsidR="00267A5F">
        <w:rPr>
          <w:lang w:val="en-GB"/>
        </w:rPr>
        <w:t xml:space="preserve"> </w:t>
      </w:r>
      <w:r w:rsidR="005A71DB">
        <w:rPr>
          <w:rFonts w:cs="Times New Roman"/>
          <w:lang w:val="en-GB"/>
        </w:rPr>
        <w:t>E</w:t>
      </w:r>
      <w:r w:rsidR="005A71DB" w:rsidRPr="00D62B4A">
        <w:rPr>
          <w:rFonts w:cs="Times New Roman"/>
          <w:lang w:val="en-GB"/>
        </w:rPr>
        <w:t>xiting data about trafficking is not disaggregated and is not made fully available to the public to facilitate a constructive dialogue benefitting of child trafficking victims. Inconsistent annual fluctuations of trafficking victim numbers raises concerns that victim-centred efforts are not implemented.</w:t>
      </w:r>
      <w:r w:rsidR="005A71DB" w:rsidRPr="00D62B4A">
        <w:rPr>
          <w:rStyle w:val="FootnoteReference"/>
          <w:rFonts w:cs="Times New Roman"/>
          <w:lang w:val="en-GB"/>
        </w:rPr>
        <w:t xml:space="preserve"> </w:t>
      </w:r>
      <w:r w:rsidR="005A71DB" w:rsidRPr="00D62B4A">
        <w:rPr>
          <w:rStyle w:val="FootnoteReference"/>
          <w:rFonts w:cs="Times New Roman"/>
          <w:lang w:val="en-GB"/>
        </w:rPr>
        <w:footnoteReference w:id="42"/>
      </w:r>
      <w:r w:rsidR="005A71DB" w:rsidRPr="00D62B4A">
        <w:rPr>
          <w:rFonts w:cs="Times New Roman"/>
          <w:lang w:val="en-GB"/>
        </w:rPr>
        <w:t xml:space="preserve"> Additionally, there have been reports of disappearances of migrants in, or transiting through, Turkey, including reports of women and children disappearing in trafficking networks when being trafficked from the Syrian Arab Republic to Turkey.</w:t>
      </w:r>
      <w:r w:rsidR="005A71DB" w:rsidRPr="00D62B4A">
        <w:rPr>
          <w:rStyle w:val="FootnoteReference"/>
          <w:rFonts w:cs="Times New Roman"/>
          <w:lang w:val="en-GB"/>
        </w:rPr>
        <w:footnoteReference w:id="43"/>
      </w:r>
      <w:r w:rsidR="005A71DB">
        <w:rPr>
          <w:rFonts w:cs="Times New Roman"/>
          <w:lang w:val="en-GB"/>
        </w:rPr>
        <w:t xml:space="preserve"> </w:t>
      </w:r>
      <w:r w:rsidR="005A71DB" w:rsidRPr="005A71DB">
        <w:rPr>
          <w:rFonts w:cs="Times New Roman"/>
          <w:lang w:val="en-GB"/>
        </w:rPr>
        <w:t>The fact that only about %24 of the perpetrators of human trafficking received prison sentence in 2017 is another telling shortcoming of the existing judicial efforts against child trafficking.</w:t>
      </w:r>
      <w:r w:rsidR="005A71DB" w:rsidRPr="00D62B4A">
        <w:rPr>
          <w:rStyle w:val="FootnoteReference"/>
          <w:rFonts w:cs="Times New Roman"/>
          <w:lang w:val="en-GB"/>
        </w:rPr>
        <w:footnoteReference w:id="44"/>
      </w:r>
      <w:r w:rsidR="005A71DB" w:rsidRPr="005A71DB">
        <w:rPr>
          <w:rFonts w:cs="Times New Roman"/>
          <w:lang w:val="en-GB"/>
        </w:rPr>
        <w:t xml:space="preserve">  </w:t>
      </w:r>
    </w:p>
    <w:p w14:paraId="714CF6BD" w14:textId="77777777" w:rsidR="00A80E8C" w:rsidRPr="00D62B4A" w:rsidRDefault="008672D0" w:rsidP="0039281F">
      <w:pPr>
        <w:pStyle w:val="NormalWeb"/>
        <w:numPr>
          <w:ilvl w:val="0"/>
          <w:numId w:val="35"/>
        </w:numPr>
        <w:jc w:val="both"/>
        <w:rPr>
          <w:rFonts w:asciiTheme="minorHAnsi" w:hAnsiTheme="minorHAnsi"/>
          <w:lang w:val="en-GB"/>
        </w:rPr>
      </w:pPr>
      <w:r w:rsidRPr="00D62B4A">
        <w:rPr>
          <w:rFonts w:asciiTheme="minorHAnsi" w:hAnsiTheme="minorHAnsi"/>
          <w:lang w:val="en-GB"/>
        </w:rPr>
        <w:t>According to 2014 violence against women research commissioned by the government, o</w:t>
      </w:r>
      <w:r w:rsidR="009D53FE" w:rsidRPr="00D62B4A">
        <w:rPr>
          <w:rFonts w:asciiTheme="minorHAnsi" w:hAnsiTheme="minorHAnsi"/>
          <w:lang w:val="en-GB"/>
        </w:rPr>
        <w:t xml:space="preserve">ne </w:t>
      </w:r>
      <w:r w:rsidR="00124E8A" w:rsidRPr="00D62B4A">
        <w:rPr>
          <w:rFonts w:asciiTheme="minorHAnsi" w:hAnsiTheme="minorHAnsi"/>
          <w:lang w:val="en-GB"/>
        </w:rPr>
        <w:t>“</w:t>
      </w:r>
      <w:r w:rsidR="009D53FE" w:rsidRPr="00D62B4A">
        <w:rPr>
          <w:rFonts w:asciiTheme="minorHAnsi" w:hAnsiTheme="minorHAnsi"/>
          <w:lang w:val="en-GB"/>
        </w:rPr>
        <w:t>out of every 10 women who has married before the age of 18 has been exposed to sexual violence in their lifetime. Sexual abuse before the age of 15 is 9 percent. Nationwide, 38 percent of women have experienced sexual abuse before the age of 15 by strangers and 29 percent by male relatives other than their close family members. The acquaintances from the women’s neighbourhood constitute 15 percent of the perpetrators of childhood sexual abuse. Concerning the sexual abuse perpetrated by family members, maternal uncles, paternal uncles and older brothers are in the first place among the perpetrators of sexual abuse (4 percent, 2 percent and 2 percent, respectively).</w:t>
      </w:r>
      <w:r w:rsidR="00124E8A" w:rsidRPr="00D62B4A">
        <w:rPr>
          <w:rFonts w:asciiTheme="minorHAnsi" w:hAnsiTheme="minorHAnsi"/>
          <w:lang w:val="en-GB"/>
        </w:rPr>
        <w:t>”</w:t>
      </w:r>
      <w:r w:rsidR="00900D70" w:rsidRPr="00D62B4A">
        <w:rPr>
          <w:rStyle w:val="FootnoteReference"/>
          <w:rFonts w:asciiTheme="minorHAnsi" w:hAnsiTheme="minorHAnsi"/>
          <w:lang w:val="en-GB"/>
        </w:rPr>
        <w:footnoteReference w:id="45"/>
      </w:r>
    </w:p>
    <w:p w14:paraId="30A298D0" w14:textId="77777777" w:rsidR="007718D0" w:rsidRPr="00D62B4A" w:rsidRDefault="00DB702D" w:rsidP="00D62B4A">
      <w:pPr>
        <w:pStyle w:val="NormalWeb"/>
        <w:numPr>
          <w:ilvl w:val="0"/>
          <w:numId w:val="35"/>
        </w:numPr>
        <w:jc w:val="both"/>
        <w:rPr>
          <w:rFonts w:asciiTheme="minorHAnsi" w:hAnsiTheme="minorHAnsi"/>
          <w:lang w:val="en-GB"/>
        </w:rPr>
      </w:pPr>
      <w:r w:rsidRPr="00D62B4A">
        <w:rPr>
          <w:rFonts w:asciiTheme="minorHAnsi" w:hAnsiTheme="minorHAnsi"/>
          <w:lang w:val="en-GB"/>
        </w:rPr>
        <w:t>In 2016, 30 boys between the ages of eight and 12 were raped by a cleaner at the Nizip refugee camp, after he paid them between US</w:t>
      </w:r>
      <w:r w:rsidR="00D62B4A" w:rsidRPr="00D62B4A">
        <w:rPr>
          <w:rFonts w:asciiTheme="minorHAnsi" w:hAnsiTheme="minorHAnsi"/>
          <w:lang w:val="en-GB"/>
        </w:rPr>
        <w:t>D</w:t>
      </w:r>
      <w:r w:rsidRPr="00D62B4A">
        <w:rPr>
          <w:rFonts w:asciiTheme="minorHAnsi" w:hAnsiTheme="minorHAnsi"/>
          <w:lang w:val="en-GB"/>
        </w:rPr>
        <w:t xml:space="preserve"> 0.33- 0.84.</w:t>
      </w:r>
      <w:r w:rsidR="00823A1C" w:rsidRPr="00D62B4A">
        <w:rPr>
          <w:rFonts w:asciiTheme="minorHAnsi" w:hAnsiTheme="minorHAnsi"/>
          <w:color w:val="232323"/>
          <w:position w:val="8"/>
          <w:lang w:val="en-GB"/>
        </w:rPr>
        <w:t xml:space="preserve"> </w:t>
      </w:r>
      <w:r w:rsidRPr="00D62B4A">
        <w:rPr>
          <w:rFonts w:asciiTheme="minorHAnsi" w:hAnsiTheme="minorHAnsi"/>
          <w:lang w:val="en-GB"/>
        </w:rPr>
        <w:t>Of the 30 victims, only eight of the victims’ families filed criminal complaints with Turkish authorities, with the other 22 families reportedly refraining from taking legal action because of fear of threatening their legal</w:t>
      </w:r>
      <w:r w:rsidR="000037E6" w:rsidRPr="00D62B4A">
        <w:rPr>
          <w:rFonts w:asciiTheme="minorHAnsi" w:hAnsiTheme="minorHAnsi"/>
          <w:lang w:val="en-GB"/>
        </w:rPr>
        <w:t xml:space="preserve"> action.</w:t>
      </w:r>
      <w:r w:rsidR="000037E6" w:rsidRPr="00D62B4A">
        <w:rPr>
          <w:rStyle w:val="FootnoteReference"/>
          <w:rFonts w:asciiTheme="minorHAnsi" w:hAnsiTheme="minorHAnsi"/>
          <w:lang w:val="en-GB"/>
        </w:rPr>
        <w:footnoteReference w:id="46"/>
      </w:r>
      <w:r w:rsidRPr="00D62B4A">
        <w:rPr>
          <w:rFonts w:asciiTheme="minorHAnsi" w:hAnsiTheme="minorHAnsi"/>
          <w:lang w:val="en-GB"/>
        </w:rPr>
        <w:t xml:space="preserve"> </w:t>
      </w:r>
    </w:p>
    <w:p w14:paraId="68CD299E" w14:textId="77777777" w:rsidR="00942139" w:rsidRPr="00D62B4A" w:rsidRDefault="00942139" w:rsidP="00D62B4A">
      <w:pPr>
        <w:pStyle w:val="NormalWeb"/>
        <w:numPr>
          <w:ilvl w:val="0"/>
          <w:numId w:val="35"/>
        </w:numPr>
        <w:jc w:val="both"/>
        <w:rPr>
          <w:rFonts w:asciiTheme="minorHAnsi" w:hAnsiTheme="minorHAnsi"/>
          <w:lang w:val="en-GB"/>
        </w:rPr>
      </w:pPr>
      <w:r w:rsidRPr="00D62B4A">
        <w:rPr>
          <w:rFonts w:asciiTheme="minorHAnsi" w:hAnsiTheme="minorHAnsi"/>
          <w:lang w:val="en-GB"/>
        </w:rPr>
        <w:t>Throughout Turkey, 26 percent of women were married before the age of 18.</w:t>
      </w:r>
      <w:r w:rsidRPr="00D62B4A">
        <w:rPr>
          <w:vertAlign w:val="superscript"/>
        </w:rPr>
        <w:footnoteReference w:id="47"/>
      </w:r>
      <w:r w:rsidRPr="00D62B4A">
        <w:rPr>
          <w:rFonts w:asciiTheme="minorHAnsi" w:hAnsiTheme="minorHAnsi"/>
          <w:lang w:val="en-GB"/>
        </w:rPr>
        <w:t xml:space="preserve"> In 2016, 2018 and 2020, a legislative proposal has been on the Parliament’s agenda which stipulates “in cases of child abuse, should a perpetrator agree to marry the child, he will not be punished”. After widespread protests and advocacy by NGOs in 2016, Prime Minister announced the proposal was withdrawn. It was brought back in 2018, again with nationwide protests led to the proposal being withdrawn again. In 2020, the same proposed legislation remains on the government’s agenda.</w:t>
      </w:r>
      <w:r w:rsidRPr="00D62B4A">
        <w:rPr>
          <w:vertAlign w:val="superscript"/>
        </w:rPr>
        <w:footnoteReference w:id="48"/>
      </w:r>
      <w:r w:rsidRPr="00D62B4A">
        <w:rPr>
          <w:rFonts w:asciiTheme="minorHAnsi" w:hAnsiTheme="minorHAnsi"/>
          <w:lang w:val="en-GB"/>
        </w:rPr>
        <w:t xml:space="preserve"> At the same token, the government also started a public discussion of withdrawing from the Council of Europe Convention on preventing and combating violence against women and domestic violence.</w:t>
      </w:r>
    </w:p>
    <w:p w14:paraId="21C28C3C" w14:textId="77777777" w:rsidR="001F5F6B" w:rsidRPr="00D62B4A" w:rsidRDefault="001F5F6B" w:rsidP="001F5F6B">
      <w:pPr>
        <w:pStyle w:val="Heading1"/>
        <w:rPr>
          <w:rFonts w:asciiTheme="minorHAnsi" w:hAnsiTheme="minorHAnsi"/>
          <w:sz w:val="24"/>
          <w:szCs w:val="24"/>
          <w:lang w:val="en-GB"/>
        </w:rPr>
      </w:pPr>
      <w:bookmarkStart w:id="7" w:name="_Toc107480664"/>
      <w:r w:rsidRPr="00D62B4A">
        <w:rPr>
          <w:rFonts w:asciiTheme="minorHAnsi" w:hAnsiTheme="minorHAnsi"/>
          <w:sz w:val="24"/>
          <w:szCs w:val="24"/>
          <w:lang w:val="en-GB"/>
        </w:rPr>
        <w:t>Family environment and alternative care</w:t>
      </w:r>
      <w:bookmarkEnd w:id="7"/>
    </w:p>
    <w:p w14:paraId="3F8A9A9C" w14:textId="77777777" w:rsidR="001F5F6B" w:rsidRPr="00D62B4A" w:rsidRDefault="00545B05" w:rsidP="00833085">
      <w:pPr>
        <w:pStyle w:val="ListParagraph"/>
        <w:numPr>
          <w:ilvl w:val="0"/>
          <w:numId w:val="25"/>
        </w:numPr>
        <w:jc w:val="both"/>
        <w:rPr>
          <w:lang w:val="en-GB"/>
        </w:rPr>
      </w:pPr>
      <w:r>
        <w:rPr>
          <w:lang w:val="en-GB"/>
        </w:rPr>
        <w:t>There is no data or research with respect to VAC in alternative care settings</w:t>
      </w:r>
      <w:r w:rsidR="002E7025">
        <w:rPr>
          <w:lang w:val="en-GB"/>
        </w:rPr>
        <w:t xml:space="preserve"> for children deprived of family environment including </w:t>
      </w:r>
      <w:r w:rsidR="00833085">
        <w:rPr>
          <w:lang w:val="en-GB"/>
        </w:rPr>
        <w:t>residential care and foster care</w:t>
      </w:r>
      <w:r>
        <w:rPr>
          <w:lang w:val="en-GB"/>
        </w:rPr>
        <w:t xml:space="preserve">. </w:t>
      </w:r>
      <w:r w:rsidR="00833085">
        <w:rPr>
          <w:lang w:val="en-GB"/>
        </w:rPr>
        <w:t>As for the reasons of separating children from their families into residential or foster care, VAC and poverty were repeatedly mentioned as the leading causes.</w:t>
      </w:r>
      <w:r w:rsidR="00833085">
        <w:rPr>
          <w:rStyle w:val="FootnoteReference"/>
          <w:lang w:val="en-GB"/>
        </w:rPr>
        <w:footnoteReference w:id="49"/>
      </w:r>
      <w:r w:rsidR="00833085">
        <w:rPr>
          <w:lang w:val="en-GB"/>
        </w:rPr>
        <w:t xml:space="preserve"> </w:t>
      </w:r>
      <w:r w:rsidR="009104F7">
        <w:rPr>
          <w:lang w:val="en-GB"/>
        </w:rPr>
        <w:t xml:space="preserve">This is in direct contravention of the </w:t>
      </w:r>
      <w:r w:rsidR="00F13CAE">
        <w:rPr>
          <w:lang w:val="en-GB"/>
        </w:rPr>
        <w:t xml:space="preserve">part B of the </w:t>
      </w:r>
      <w:r w:rsidR="009104F7">
        <w:rPr>
          <w:lang w:val="en-GB"/>
        </w:rPr>
        <w:t xml:space="preserve">UN </w:t>
      </w:r>
      <w:r w:rsidR="009104F7" w:rsidRPr="009104F7">
        <w:rPr>
          <w:lang w:val="en-GB"/>
        </w:rPr>
        <w:t>Guidelines for the Alternative Care of Children</w:t>
      </w:r>
      <w:r w:rsidR="009104F7">
        <w:rPr>
          <w:lang w:val="en-GB"/>
        </w:rPr>
        <w:t xml:space="preserve"> </w:t>
      </w:r>
      <w:r w:rsidR="009104F7" w:rsidRPr="009104F7">
        <w:rPr>
          <w:lang w:val="en-GB"/>
        </w:rPr>
        <w:t xml:space="preserve">adopted by the </w:t>
      </w:r>
      <w:r w:rsidR="009104F7">
        <w:rPr>
          <w:lang w:val="en-GB"/>
        </w:rPr>
        <w:t xml:space="preserve">UN </w:t>
      </w:r>
      <w:r w:rsidR="009104F7" w:rsidRPr="009104F7">
        <w:rPr>
          <w:lang w:val="en-GB"/>
        </w:rPr>
        <w:t>General Assembly</w:t>
      </w:r>
      <w:r w:rsidR="009104F7">
        <w:rPr>
          <w:lang w:val="en-GB"/>
        </w:rPr>
        <w:t>.</w:t>
      </w:r>
      <w:r w:rsidR="00833085">
        <w:rPr>
          <w:lang w:val="en-GB"/>
        </w:rPr>
        <w:t xml:space="preserve"> </w:t>
      </w:r>
      <w:r>
        <w:rPr>
          <w:lang w:val="en-GB"/>
        </w:rPr>
        <w:t xml:space="preserve"> </w:t>
      </w:r>
    </w:p>
    <w:p w14:paraId="435A3115" w14:textId="77777777" w:rsidR="001F5F6B" w:rsidRPr="00D62B4A" w:rsidRDefault="001F5F6B" w:rsidP="001F5F6B">
      <w:pPr>
        <w:pStyle w:val="Heading1"/>
        <w:rPr>
          <w:rFonts w:asciiTheme="minorHAnsi" w:hAnsiTheme="minorHAnsi"/>
          <w:sz w:val="24"/>
          <w:szCs w:val="24"/>
          <w:lang w:val="en-GB"/>
        </w:rPr>
      </w:pPr>
      <w:bookmarkStart w:id="8" w:name="_Toc107480665"/>
      <w:r w:rsidRPr="00D62B4A">
        <w:rPr>
          <w:rFonts w:asciiTheme="minorHAnsi" w:hAnsiTheme="minorHAnsi"/>
          <w:sz w:val="24"/>
          <w:szCs w:val="24"/>
          <w:lang w:val="en-GB"/>
        </w:rPr>
        <w:t>Disability, basic health and welfare</w:t>
      </w:r>
      <w:r w:rsidR="00A53F42" w:rsidRPr="00D62B4A">
        <w:rPr>
          <w:rFonts w:asciiTheme="minorHAnsi" w:hAnsiTheme="minorHAnsi"/>
          <w:sz w:val="24"/>
          <w:szCs w:val="24"/>
          <w:lang w:val="en-GB"/>
        </w:rPr>
        <w:t xml:space="preserve"> (arts. 23, 6(2), 24, 26, 18(3), 27 (1-3), 33)</w:t>
      </w:r>
      <w:bookmarkEnd w:id="8"/>
    </w:p>
    <w:p w14:paraId="7619C75F" w14:textId="77777777" w:rsidR="00206B87" w:rsidRPr="0061123F" w:rsidRDefault="006E2EF9" w:rsidP="007B6F0D">
      <w:pPr>
        <w:pStyle w:val="ListParagraph"/>
        <w:numPr>
          <w:ilvl w:val="0"/>
          <w:numId w:val="35"/>
        </w:numPr>
        <w:jc w:val="both"/>
        <w:rPr>
          <w:rFonts w:cs="Times New Roman"/>
          <w:lang w:val="en-GB"/>
        </w:rPr>
      </w:pPr>
      <w:r w:rsidRPr="0061123F">
        <w:rPr>
          <w:rFonts w:cs="Times New Roman"/>
          <w:lang w:val="en-GB"/>
        </w:rPr>
        <w:t>Although Turkey made progress in inclusive education, progress in other areas have been slow especially in data about children with disabilities and protecting them. Likewise, the UN Committee on Rights of Persons with Disabilities (CRPD) indicated there is no updated and transparent information about progress about accessibility and care service plans, action plan on child rights and child protection services.</w:t>
      </w:r>
      <w:r w:rsidR="00206B87" w:rsidRPr="00D62B4A">
        <w:rPr>
          <w:rStyle w:val="FootnoteReference"/>
          <w:rFonts w:cs="Times New Roman"/>
          <w:lang w:val="en-GB"/>
        </w:rPr>
        <w:footnoteReference w:id="50"/>
      </w:r>
      <w:r w:rsidR="00206B87" w:rsidRPr="0061123F">
        <w:rPr>
          <w:rFonts w:cs="Times New Roman"/>
          <w:lang w:val="en-GB"/>
        </w:rPr>
        <w:t xml:space="preserve"> Lack of reliable and timely statistics and lack of strategy make it difficult to develop informed policy interventions for the best interest of the children with disabilities. Former national disability strategy ended in 2013 and has never been evaluated. A new strategy is being prepared for the 2018-2023 period</w:t>
      </w:r>
      <w:r w:rsidR="00206B87" w:rsidRPr="00D62B4A">
        <w:rPr>
          <w:rStyle w:val="FootnoteReference"/>
          <w:rFonts w:cs="Times New Roman"/>
          <w:lang w:val="en-GB"/>
        </w:rPr>
        <w:footnoteReference w:id="51"/>
      </w:r>
      <w:r w:rsidR="00206B87" w:rsidRPr="0061123F">
        <w:rPr>
          <w:rFonts w:cs="Times New Roman"/>
          <w:lang w:val="en-GB"/>
        </w:rPr>
        <w:t xml:space="preserve"> as a project is still not out and largely unknown by the disability rights organisations. The families allowance system for children with disabilities are subject to impairment assessment system with 40 % threshold.</w:t>
      </w:r>
      <w:r w:rsidR="00206B87" w:rsidRPr="00D62B4A">
        <w:rPr>
          <w:rStyle w:val="FootnoteReference"/>
          <w:rFonts w:cs="Times New Roman"/>
          <w:lang w:val="en-GB"/>
        </w:rPr>
        <w:footnoteReference w:id="52"/>
      </w:r>
      <w:r w:rsidR="00206B87" w:rsidRPr="0061123F">
        <w:rPr>
          <w:rFonts w:cs="Times New Roman"/>
          <w:lang w:val="en-GB"/>
        </w:rPr>
        <w:t xml:space="preserve"> This may result in further harm to the children with disabilities if even a minor disability is not well attended in childhood. Institutionalization of children with disabilities is still prevalent in nursery residential schools and orphanages</w:t>
      </w:r>
      <w:r w:rsidR="0061123F" w:rsidRPr="0061123F">
        <w:rPr>
          <w:rFonts w:cs="Times New Roman"/>
          <w:lang w:val="en-GB"/>
        </w:rPr>
        <w:t>.</w:t>
      </w:r>
      <w:r w:rsidR="00206B87" w:rsidRPr="00D62B4A">
        <w:rPr>
          <w:rStyle w:val="FootnoteReference"/>
          <w:rFonts w:cs="Times New Roman"/>
          <w:lang w:val="en-GB"/>
        </w:rPr>
        <w:footnoteReference w:id="53"/>
      </w:r>
      <w:r w:rsidR="0061123F" w:rsidRPr="0061123F">
        <w:rPr>
          <w:rFonts w:cs="Times New Roman"/>
          <w:lang w:val="en-GB"/>
        </w:rPr>
        <w:t xml:space="preserve"> </w:t>
      </w:r>
      <w:r w:rsidR="00206B87" w:rsidRPr="0061123F">
        <w:rPr>
          <w:rFonts w:cs="Times New Roman"/>
          <w:lang w:val="en-GB"/>
        </w:rPr>
        <w:t>Even though the exact number of disabled children of schooling age is not known in Turkey, the estimated number is at least 480000 children aged 3-19, according to data from 2011 Population and Housing Survey</w:t>
      </w:r>
      <w:r w:rsidR="00206B87" w:rsidRPr="00D62B4A">
        <w:rPr>
          <w:rStyle w:val="FootnoteReference"/>
          <w:rFonts w:cs="Times New Roman"/>
          <w:lang w:val="en-GB"/>
        </w:rPr>
        <w:footnoteReference w:id="54"/>
      </w:r>
      <w:r w:rsidR="0061123F" w:rsidRPr="0061123F">
        <w:rPr>
          <w:rFonts w:cs="Times New Roman"/>
          <w:lang w:val="en-GB"/>
        </w:rPr>
        <w:t xml:space="preserve"> </w:t>
      </w:r>
      <w:r w:rsidR="00206B87" w:rsidRPr="0061123F">
        <w:rPr>
          <w:rFonts w:cs="Times New Roman"/>
          <w:lang w:val="en-GB"/>
        </w:rPr>
        <w:t xml:space="preserve">Such weaknesses in the disability and child protection systems facilitates VAC with disabilities. Furthermore, there is no effective child friendly and disability-conscious mechanisms to support children with disabilities in the community, especially in rural areas. Likewise, there is no mechanisms specifically tailored to the needs of children with disabilities to lodge complaints about violation of their rights. Existing mechanisms like there is only one social support line (phone based 183 call centre) caters for all disenfranchised groups, including all children regardless of their abilities, their age or other characteristics. It has a highly limited project-based section for people with hearing disabilities. Different groups of children with disabilities are not considered in this service. </w:t>
      </w:r>
      <w:r w:rsidR="0061123F" w:rsidRPr="0061123F">
        <w:rPr>
          <w:rFonts w:cs="Times New Roman"/>
          <w:lang w:val="en-GB"/>
        </w:rPr>
        <w:t>V</w:t>
      </w:r>
      <w:r w:rsidR="00206B87" w:rsidRPr="0061123F">
        <w:rPr>
          <w:rFonts w:cs="Times New Roman"/>
          <w:lang w:val="en-GB"/>
        </w:rPr>
        <w:t>AC with disabilities is not reported, fear of reprisal of family members, of professionals</w:t>
      </w:r>
      <w:r w:rsidR="0061123F" w:rsidRPr="0061123F">
        <w:rPr>
          <w:rFonts w:cs="Times New Roman"/>
          <w:lang w:val="en-GB"/>
        </w:rPr>
        <w:t xml:space="preserve"> working in residential care and/or rehabilitation services. </w:t>
      </w:r>
      <w:r w:rsidR="00206B87" w:rsidRPr="0061123F">
        <w:rPr>
          <w:rFonts w:cs="Times New Roman"/>
          <w:lang w:val="en-GB"/>
        </w:rPr>
        <w:t xml:space="preserve">Children with disabilities in general are catered for in public or privately-owned centres under the supervision of Ministry of National Education (MoNE). These places are not open to independent oversight mechanisms. As per required by article 3 of the Optional Protocol to the Convention against Torture and other Cruel, Inhuman or Degrading Treatment or Punishment, Turkey is required to establish one or more designated visiting body as national preventive mechanism. Turkey established only one which is underfunded and understaffed to make visits to rehabilitation centres for children with disabilities. As of 1 September 2017, there is new system of biometric surveillance camera control system in the rehabilitation centres. However, this system is used only to identify the person with disability at the centre and control if the education programmes are delivered or not, because these programmes are directly funded by MoNE and have been exploited by parents and rehabilitation centre founders. Due to poverty and myriad of other social and economic difficulties, this conditional state support has been used as a lifeline for majority of the families with children with disabilities. </w:t>
      </w:r>
      <w:r w:rsidR="001A2FE8">
        <w:rPr>
          <w:rFonts w:cs="Times New Roman"/>
          <w:lang w:val="en-GB"/>
        </w:rPr>
        <w:t>Recent factsheet of the Prevention Network of Prevention of VAC on children with disabilities found out at least 391 cases of VAC against children with disabilities from 2012-2016.</w:t>
      </w:r>
      <w:r w:rsidR="001A2FE8">
        <w:rPr>
          <w:rStyle w:val="FootnoteReference"/>
          <w:rFonts w:cs="Times New Roman"/>
          <w:lang w:val="en-GB"/>
        </w:rPr>
        <w:footnoteReference w:id="55"/>
      </w:r>
      <w:r w:rsidR="001A2FE8">
        <w:rPr>
          <w:rFonts w:cs="Times New Roman"/>
          <w:lang w:val="en-GB"/>
        </w:rPr>
        <w:t xml:space="preserve"> </w:t>
      </w:r>
      <w:r w:rsidR="00206B87" w:rsidRPr="0061123F">
        <w:rPr>
          <w:rFonts w:cs="Times New Roman"/>
          <w:lang w:val="en-GB"/>
        </w:rPr>
        <w:t xml:space="preserve">   </w:t>
      </w:r>
    </w:p>
    <w:p w14:paraId="5602720F" w14:textId="77777777" w:rsidR="00206B87" w:rsidRPr="00D62B4A" w:rsidRDefault="00206B87" w:rsidP="00F75D64">
      <w:pPr>
        <w:pStyle w:val="ListParagraph"/>
        <w:numPr>
          <w:ilvl w:val="0"/>
          <w:numId w:val="35"/>
        </w:numPr>
        <w:jc w:val="both"/>
        <w:rPr>
          <w:rFonts w:cs="Times New Roman"/>
          <w:lang w:val="en-GB"/>
        </w:rPr>
      </w:pPr>
      <w:r w:rsidRPr="00D62B4A">
        <w:rPr>
          <w:rFonts w:cs="Times New Roman"/>
          <w:lang w:val="en-GB"/>
        </w:rPr>
        <w:t>However, there are still areas that need urgent attention with respect to children’s right to health and VAC. For example, MoH statistics indicate that there is noticeable increase in child deaths by external causes of injury and poisoning, from 11000 deaths in 2009 to 19000 deaths in 2017. Statistics suggest that gender plays an important role as boys constitute around ¾ of deaths by external causes of injury and poisoning in Turkey.</w:t>
      </w:r>
      <w:r w:rsidRPr="00D62B4A">
        <w:rPr>
          <w:rStyle w:val="FootnoteReference"/>
          <w:rFonts w:cs="Times New Roman"/>
          <w:lang w:val="en-GB"/>
        </w:rPr>
        <w:footnoteReference w:id="56"/>
      </w:r>
    </w:p>
    <w:p w14:paraId="36DE8EAE" w14:textId="77777777" w:rsidR="00206B87" w:rsidRPr="001A2FE8" w:rsidRDefault="00206B87" w:rsidP="001A2FE8">
      <w:pPr>
        <w:pStyle w:val="ListParagraph"/>
        <w:numPr>
          <w:ilvl w:val="0"/>
          <w:numId w:val="35"/>
        </w:numPr>
        <w:jc w:val="both"/>
        <w:rPr>
          <w:rFonts w:cs="Times New Roman"/>
          <w:lang w:val="en-GB"/>
        </w:rPr>
      </w:pPr>
      <w:r w:rsidRPr="00D62B4A">
        <w:rPr>
          <w:rFonts w:cs="Times New Roman"/>
          <w:lang w:val="en-GB"/>
        </w:rPr>
        <w:t>Another VAC related area of concern is sexual and reproductive health rights (SRHR) of children. For example, adolescents cannot receive lifesaving information and other support and services without parental consent. Considering the high rates of gender-based violence (over 40%</w:t>
      </w:r>
      <w:r w:rsidRPr="00D62B4A">
        <w:rPr>
          <w:rStyle w:val="FootnoteReference"/>
          <w:rFonts w:cs="Times New Roman"/>
          <w:lang w:val="en-GB"/>
        </w:rPr>
        <w:footnoteReference w:id="57"/>
      </w:r>
      <w:r w:rsidRPr="00D62B4A">
        <w:rPr>
          <w:rFonts w:cs="Times New Roman"/>
          <w:lang w:val="en-GB"/>
        </w:rPr>
        <w:t>) including honour killings, sexual abuse (over 8%</w:t>
      </w:r>
      <w:r w:rsidRPr="00D62B4A">
        <w:rPr>
          <w:rStyle w:val="FootnoteReference"/>
          <w:rFonts w:cs="Times New Roman"/>
          <w:lang w:val="en-GB"/>
        </w:rPr>
        <w:footnoteReference w:id="58"/>
      </w:r>
      <w:r w:rsidRPr="00D62B4A">
        <w:rPr>
          <w:rFonts w:cs="Times New Roman"/>
          <w:lang w:val="en-GB"/>
        </w:rPr>
        <w:t>), child marriage (over %6</w:t>
      </w:r>
      <w:r w:rsidRPr="00D62B4A">
        <w:rPr>
          <w:rStyle w:val="FootnoteReference"/>
          <w:rFonts w:cs="Times New Roman"/>
          <w:lang w:val="en-GB"/>
        </w:rPr>
        <w:footnoteReference w:id="59"/>
      </w:r>
      <w:r w:rsidRPr="00D62B4A">
        <w:rPr>
          <w:rFonts w:cs="Times New Roman"/>
          <w:lang w:val="en-GB"/>
        </w:rPr>
        <w:t>) and adolescent fertility (over %21</w:t>
      </w:r>
      <w:r w:rsidRPr="00D62B4A">
        <w:rPr>
          <w:rStyle w:val="FootnoteReference"/>
          <w:rFonts w:cs="Times New Roman"/>
          <w:lang w:val="en-GB"/>
        </w:rPr>
        <w:footnoteReference w:id="60"/>
      </w:r>
      <w:r w:rsidRPr="00D62B4A">
        <w:rPr>
          <w:rFonts w:cs="Times New Roman"/>
          <w:lang w:val="en-GB"/>
        </w:rPr>
        <w:t>) in Turkey, lack of SRHR services means more violence and life-threatening situations for children in general, girls in particular.</w:t>
      </w:r>
    </w:p>
    <w:p w14:paraId="13146BE6" w14:textId="77777777" w:rsidR="00206B87" w:rsidRPr="00D62B4A" w:rsidRDefault="00206B87" w:rsidP="005D1B81">
      <w:pPr>
        <w:pStyle w:val="Heading1"/>
        <w:rPr>
          <w:rFonts w:asciiTheme="minorHAnsi" w:hAnsiTheme="minorHAnsi"/>
          <w:sz w:val="24"/>
          <w:szCs w:val="24"/>
          <w:lang w:val="en-GB"/>
        </w:rPr>
      </w:pPr>
      <w:bookmarkStart w:id="9" w:name="_Toc107480666"/>
      <w:r w:rsidRPr="00D62B4A">
        <w:rPr>
          <w:rFonts w:asciiTheme="minorHAnsi" w:hAnsiTheme="minorHAnsi"/>
          <w:sz w:val="24"/>
          <w:szCs w:val="24"/>
          <w:lang w:val="en-GB"/>
        </w:rPr>
        <w:t>Education, leisure and cultural activities (arts. 28, 29, 30, 31)</w:t>
      </w:r>
      <w:bookmarkEnd w:id="9"/>
    </w:p>
    <w:p w14:paraId="117C235C" w14:textId="77777777" w:rsidR="00957FE1" w:rsidRDefault="00957FE1" w:rsidP="00871AF9">
      <w:pPr>
        <w:pStyle w:val="ListParagraph"/>
        <w:numPr>
          <w:ilvl w:val="0"/>
          <w:numId w:val="35"/>
        </w:numPr>
        <w:jc w:val="both"/>
        <w:rPr>
          <w:lang w:val="en-GB"/>
        </w:rPr>
      </w:pPr>
      <w:r>
        <w:rPr>
          <w:lang w:val="en-GB"/>
        </w:rPr>
        <w:t xml:space="preserve">Similar to other rights clusters, disaggregated data of VAC is scarce and scattered in education as well. </w:t>
      </w:r>
    </w:p>
    <w:p w14:paraId="62653ADD" w14:textId="77777777" w:rsidR="00957FE1" w:rsidRPr="00D62B4A" w:rsidRDefault="00957FE1" w:rsidP="00957FE1">
      <w:pPr>
        <w:pStyle w:val="ListParagraph"/>
        <w:numPr>
          <w:ilvl w:val="0"/>
          <w:numId w:val="35"/>
        </w:numPr>
        <w:jc w:val="both"/>
        <w:rPr>
          <w:lang w:val="en-GB"/>
        </w:rPr>
      </w:pPr>
      <w:r>
        <w:rPr>
          <w:lang w:val="en-GB"/>
        </w:rPr>
        <w:t>E</w:t>
      </w:r>
      <w:r w:rsidRPr="00D62B4A">
        <w:rPr>
          <w:lang w:val="en-GB"/>
        </w:rPr>
        <w:t xml:space="preserve">lective lessons for the </w:t>
      </w:r>
      <w:r>
        <w:rPr>
          <w:lang w:val="en-GB"/>
        </w:rPr>
        <w:t xml:space="preserve">minority languages such as </w:t>
      </w:r>
      <w:r w:rsidRPr="00D62B4A">
        <w:rPr>
          <w:lang w:val="en-GB"/>
        </w:rPr>
        <w:t xml:space="preserve">Kurmanji, Zazaki, Abaza, Adyghe and Laz languages were introduced, and National Security lessons were removed from the curriculum. </w:t>
      </w:r>
      <w:r>
        <w:rPr>
          <w:lang w:val="en-GB"/>
        </w:rPr>
        <w:t>However, a research on textbooks’ compliance with human rights norms revealed that “…c</w:t>
      </w:r>
      <w:r w:rsidRPr="00D62B4A">
        <w:rPr>
          <w:lang w:val="en-GB"/>
        </w:rPr>
        <w:t xml:space="preserve">itizens with a different religion, language or ethnic background are </w:t>
      </w:r>
      <w:r>
        <w:rPr>
          <w:lang w:val="en-GB"/>
        </w:rPr>
        <w:t xml:space="preserve">still </w:t>
      </w:r>
      <w:r w:rsidRPr="00D62B4A">
        <w:rPr>
          <w:lang w:val="en-GB"/>
        </w:rPr>
        <w:t>mentioned in the textbooks with statements that present them as a threat</w:t>
      </w:r>
      <w:r>
        <w:rPr>
          <w:lang w:val="en-GB"/>
        </w:rPr>
        <w:t>…</w:t>
      </w:r>
      <w:r w:rsidRPr="00D62B4A">
        <w:rPr>
          <w:lang w:val="en-GB"/>
        </w:rPr>
        <w:t xml:space="preserve"> Values related to war, martyrdom and the army have spread throughout the curriculum.</w:t>
      </w:r>
      <w:r>
        <w:rPr>
          <w:lang w:val="en-GB"/>
        </w:rPr>
        <w:t>”</w:t>
      </w:r>
      <w:r w:rsidRPr="00D62B4A">
        <w:rPr>
          <w:rStyle w:val="FootnoteReference"/>
          <w:lang w:val="en-GB"/>
        </w:rPr>
        <w:footnoteReference w:id="61"/>
      </w:r>
    </w:p>
    <w:p w14:paraId="60902433" w14:textId="77777777" w:rsidR="009B1BE0" w:rsidRPr="005C725E" w:rsidRDefault="00957FE1" w:rsidP="001F2D8A">
      <w:pPr>
        <w:pStyle w:val="ListParagraph"/>
        <w:numPr>
          <w:ilvl w:val="0"/>
          <w:numId w:val="35"/>
        </w:numPr>
        <w:jc w:val="both"/>
        <w:rPr>
          <w:lang w:val="en-GB"/>
        </w:rPr>
      </w:pPr>
      <w:r w:rsidRPr="005C725E">
        <w:rPr>
          <w:lang w:val="en-GB"/>
        </w:rPr>
        <w:t>Another research revealed that rights and freedoms are mostly discussed in relation to duties and obligations, while freedoms receive much less coverage. The notion of gender equality is non-existent in these textbooks.</w:t>
      </w:r>
      <w:r w:rsidRPr="00D62B4A">
        <w:rPr>
          <w:rStyle w:val="FootnoteReference"/>
          <w:lang w:val="en-GB"/>
        </w:rPr>
        <w:footnoteReference w:id="62"/>
      </w:r>
      <w:r w:rsidR="005C725E" w:rsidRPr="005C725E">
        <w:rPr>
          <w:lang w:val="en-GB"/>
        </w:rPr>
        <w:t xml:space="preserve"> </w:t>
      </w:r>
      <w:r w:rsidR="009B1BE0" w:rsidRPr="005C725E">
        <w:rPr>
          <w:lang w:val="en-GB"/>
        </w:rPr>
        <w:t>Under a regulatory amendment published in the Official Gazette on September 12, 2019, the Ministry</w:t>
      </w:r>
      <w:r w:rsidR="005C725E">
        <w:rPr>
          <w:lang w:val="en-GB"/>
        </w:rPr>
        <w:t xml:space="preserve"> of National Education</w:t>
      </w:r>
      <w:r w:rsidR="009B1BE0" w:rsidRPr="005C725E">
        <w:rPr>
          <w:lang w:val="en-GB"/>
        </w:rPr>
        <w:t xml:space="preserve"> removed the term “gender equality” from the scope of activities</w:t>
      </w:r>
      <w:r w:rsidR="005533CD" w:rsidRPr="005C725E">
        <w:rPr>
          <w:lang w:val="en-GB"/>
        </w:rPr>
        <w:t xml:space="preserve"> in The Strategic Plan of the Ministry of National Education for 2015-2019</w:t>
      </w:r>
      <w:r w:rsidR="009B1BE0" w:rsidRPr="005C725E">
        <w:rPr>
          <w:lang w:val="en-GB"/>
        </w:rPr>
        <w:t>.</w:t>
      </w:r>
      <w:r w:rsidR="005533CD" w:rsidRPr="00D62B4A">
        <w:rPr>
          <w:rStyle w:val="FootnoteReference"/>
          <w:lang w:val="en-GB"/>
        </w:rPr>
        <w:footnoteReference w:id="63"/>
      </w:r>
      <w:r w:rsidR="00564176">
        <w:rPr>
          <w:lang w:val="en-GB"/>
        </w:rPr>
        <w:t xml:space="preserve"> </w:t>
      </w:r>
      <w:r w:rsidR="00564176">
        <w:rPr>
          <w:rFonts w:cs="Times New Roman"/>
          <w:lang w:val="en-GB"/>
        </w:rPr>
        <w:t>G</w:t>
      </w:r>
      <w:r w:rsidR="00564176" w:rsidRPr="00D62B4A">
        <w:rPr>
          <w:rFonts w:cs="Times New Roman"/>
          <w:lang w:val="en-GB"/>
        </w:rPr>
        <w:t>ender gap persists in secondary education (gender parity 0.933), in education attainment (%83 girls as opposed to %96 boys), in choice of science and engineering subjects in higher education (%36 girls as opposed to 61 boys).</w:t>
      </w:r>
      <w:r w:rsidR="00564176">
        <w:rPr>
          <w:rStyle w:val="FootnoteReference"/>
          <w:rFonts w:cs="Times New Roman"/>
          <w:lang w:val="en-GB"/>
        </w:rPr>
        <w:footnoteReference w:id="64"/>
      </w:r>
    </w:p>
    <w:p w14:paraId="14C9924B" w14:textId="77777777" w:rsidR="00206B87" w:rsidRPr="00564176" w:rsidRDefault="00871AF9" w:rsidP="00564176">
      <w:pPr>
        <w:pStyle w:val="ListParagraph"/>
        <w:numPr>
          <w:ilvl w:val="0"/>
          <w:numId w:val="35"/>
        </w:numPr>
        <w:jc w:val="both"/>
        <w:rPr>
          <w:lang w:val="en-GB"/>
        </w:rPr>
      </w:pPr>
      <w:r w:rsidRPr="00D62B4A">
        <w:rPr>
          <w:lang w:val="en-GB"/>
        </w:rPr>
        <w:t>In the 2019 budget of Turkey 8.679 billion Turkish lira and in the 2020 budget of Turkey 9.9 billion Turkish lira got allocated for the Imam Hatip (Hanafi Sunni preacher) schools. Although the 645,000 Imam Hatip students make up only 11 percent of the total upper school population, they receive 23 percent of funding - double of what spend per pupil at mainstream schools.</w:t>
      </w:r>
      <w:r w:rsidRPr="00D62B4A">
        <w:rPr>
          <w:rStyle w:val="FootnoteReference"/>
          <w:lang w:val="en-GB"/>
        </w:rPr>
        <w:footnoteReference w:id="65"/>
      </w:r>
    </w:p>
    <w:p w14:paraId="13FE11F4" w14:textId="77777777" w:rsidR="00206B87" w:rsidRPr="00D62B4A" w:rsidRDefault="00206B87" w:rsidP="003514EF">
      <w:pPr>
        <w:pStyle w:val="ListParagraph"/>
        <w:numPr>
          <w:ilvl w:val="0"/>
          <w:numId w:val="35"/>
        </w:numPr>
        <w:jc w:val="both"/>
        <w:rPr>
          <w:rFonts w:cs="Times New Roman"/>
          <w:lang w:val="en-GB"/>
        </w:rPr>
      </w:pPr>
      <w:r w:rsidRPr="00D62B4A">
        <w:rPr>
          <w:rFonts w:cs="Times New Roman"/>
          <w:lang w:val="en-GB"/>
        </w:rPr>
        <w:t xml:space="preserve">Second recommendation was noted by Turkey (Czechia) to do more on human rights education and training (HRET) to law enforcement professionals on the protection of women, children, minorities and LGBTI+ persons. There have been efforts in provision of HRET, however their efficacy and impact are not evaluated.     </w:t>
      </w:r>
    </w:p>
    <w:p w14:paraId="150374CA" w14:textId="77777777" w:rsidR="00206B87" w:rsidRPr="00D62B4A" w:rsidRDefault="00206B87" w:rsidP="003514EF">
      <w:pPr>
        <w:pStyle w:val="ListParagraph"/>
        <w:numPr>
          <w:ilvl w:val="0"/>
          <w:numId w:val="35"/>
        </w:numPr>
        <w:jc w:val="both"/>
        <w:rPr>
          <w:rFonts w:cs="Times New Roman"/>
          <w:lang w:val="en-GB"/>
        </w:rPr>
      </w:pPr>
      <w:r w:rsidRPr="00D62B4A">
        <w:rPr>
          <w:rFonts w:cs="Times New Roman"/>
          <w:lang w:val="en-GB"/>
        </w:rPr>
        <w:t>There is very little information regarding VAC issues in education in Turkey, even though that there is a rolling strategy and plan on VAC prevention in schools from 2006 on and each school is asked by the MoNE to develop plans to prevent VAC in schools. The rolling plan and school plans do not include efforts to eliminate discriminatory expressions, images and biased information in the education materials in schools</w:t>
      </w:r>
      <w:r w:rsidR="00BB4AD1">
        <w:rPr>
          <w:rFonts w:cs="Times New Roman"/>
          <w:lang w:val="en-GB"/>
        </w:rPr>
        <w:t>.</w:t>
      </w:r>
      <w:r w:rsidRPr="00D62B4A">
        <w:rPr>
          <w:rStyle w:val="FootnoteReference"/>
          <w:rFonts w:cs="Times New Roman"/>
          <w:lang w:val="en-GB"/>
        </w:rPr>
        <w:footnoteReference w:id="66"/>
      </w:r>
      <w:r w:rsidRPr="00D62B4A">
        <w:rPr>
          <w:rFonts w:cs="Times New Roman"/>
          <w:lang w:val="en-GB"/>
        </w:rPr>
        <w:t xml:space="preserve"> </w:t>
      </w:r>
    </w:p>
    <w:p w14:paraId="40A4373C" w14:textId="77777777" w:rsidR="00206B87" w:rsidRPr="00D62B4A" w:rsidRDefault="00206B87" w:rsidP="00F75B1E">
      <w:pPr>
        <w:pStyle w:val="ListParagraph"/>
        <w:numPr>
          <w:ilvl w:val="0"/>
          <w:numId w:val="35"/>
        </w:numPr>
        <w:jc w:val="both"/>
        <w:rPr>
          <w:lang w:val="en-GB"/>
        </w:rPr>
      </w:pPr>
      <w:r w:rsidRPr="00D62B4A">
        <w:rPr>
          <w:rFonts w:cs="Times New Roman"/>
          <w:iCs/>
          <w:lang w:val="en-GB"/>
        </w:rPr>
        <w:t>Another issue that needs to be highlighted is bullying in schools. Although there is limited data and research around the issue, recent OECD numbers suggest that around % 20 of children experience at least one form of bullying at school</w:t>
      </w:r>
      <w:r w:rsidRPr="00D62B4A">
        <w:rPr>
          <w:rFonts w:cs="Times New Roman"/>
          <w:lang w:val="en-GB"/>
        </w:rPr>
        <w:t>.</w:t>
      </w:r>
      <w:r w:rsidRPr="00D62B4A">
        <w:rPr>
          <w:rStyle w:val="FootnoteReference"/>
          <w:rFonts w:cs="Times New Roman"/>
          <w:lang w:val="en-GB"/>
        </w:rPr>
        <w:footnoteReference w:id="67"/>
      </w:r>
      <w:r w:rsidRPr="00D62B4A">
        <w:rPr>
          <w:rFonts w:cs="Times New Roman"/>
          <w:lang w:val="en-GB"/>
        </w:rPr>
        <w:t xml:space="preserve">  </w:t>
      </w:r>
    </w:p>
    <w:p w14:paraId="76E7C811" w14:textId="77777777" w:rsidR="00206B87" w:rsidRPr="00D62B4A" w:rsidRDefault="00206B87" w:rsidP="005D1B81">
      <w:pPr>
        <w:pStyle w:val="Heading1"/>
        <w:rPr>
          <w:rFonts w:asciiTheme="minorHAnsi" w:hAnsiTheme="minorHAnsi"/>
          <w:sz w:val="24"/>
          <w:szCs w:val="24"/>
          <w:lang w:val="en-GB"/>
        </w:rPr>
      </w:pPr>
      <w:bookmarkStart w:id="10" w:name="_Toc107480667"/>
      <w:r w:rsidRPr="00D62B4A">
        <w:rPr>
          <w:rFonts w:asciiTheme="minorHAnsi" w:hAnsiTheme="minorHAnsi"/>
          <w:sz w:val="24"/>
          <w:szCs w:val="24"/>
          <w:lang w:val="en-GB"/>
        </w:rPr>
        <w:t>Special protection measures (arts. 22, 30, 32, 33, 35, 36, 37, 38, 39, 40)</w:t>
      </w:r>
      <w:bookmarkEnd w:id="10"/>
    </w:p>
    <w:p w14:paraId="34F33B1F" w14:textId="77777777" w:rsidR="00206B87" w:rsidRPr="00D62B4A" w:rsidRDefault="00206B87" w:rsidP="001A3242">
      <w:pPr>
        <w:pStyle w:val="ListParagraph"/>
        <w:numPr>
          <w:ilvl w:val="0"/>
          <w:numId w:val="35"/>
        </w:numPr>
        <w:jc w:val="both"/>
        <w:rPr>
          <w:rFonts w:cs="Times New Roman"/>
          <w:lang w:val="en-GB"/>
        </w:rPr>
      </w:pPr>
      <w:r w:rsidRPr="00D62B4A">
        <w:rPr>
          <w:rFonts w:cs="Times New Roman"/>
          <w:lang w:val="en-GB"/>
        </w:rPr>
        <w:t>Official child labour survey in 201</w:t>
      </w:r>
      <w:r w:rsidR="00F70A6E">
        <w:rPr>
          <w:rFonts w:cs="Times New Roman"/>
          <w:lang w:val="en-GB"/>
        </w:rPr>
        <w:t>9</w:t>
      </w:r>
      <w:r w:rsidRPr="00D62B4A">
        <w:rPr>
          <w:rFonts w:cs="Times New Roman"/>
          <w:lang w:val="en-GB"/>
        </w:rPr>
        <w:t xml:space="preserve"> revealed that</w:t>
      </w:r>
      <w:r w:rsidR="0026367A" w:rsidRPr="0026367A">
        <w:rPr>
          <w:lang w:val="en-US"/>
        </w:rPr>
        <w:t xml:space="preserve"> </w:t>
      </w:r>
      <w:r w:rsidR="0026367A">
        <w:rPr>
          <w:rFonts w:cs="Times New Roman"/>
          <w:lang w:val="en-GB"/>
        </w:rPr>
        <w:t>t</w:t>
      </w:r>
      <w:r w:rsidR="0026367A" w:rsidRPr="0026367A">
        <w:rPr>
          <w:rFonts w:cs="Times New Roman"/>
          <w:lang w:val="en-GB"/>
        </w:rPr>
        <w:t xml:space="preserve">he number of children engaged in </w:t>
      </w:r>
      <w:r w:rsidR="0026367A">
        <w:rPr>
          <w:rFonts w:cs="Times New Roman"/>
          <w:lang w:val="en-GB"/>
        </w:rPr>
        <w:t>child labour</w:t>
      </w:r>
      <w:r w:rsidR="0026367A" w:rsidRPr="0026367A">
        <w:rPr>
          <w:rFonts w:cs="Times New Roman"/>
          <w:lang w:val="en-GB"/>
        </w:rPr>
        <w:t xml:space="preserve"> was 720 thousand</w:t>
      </w:r>
      <w:r w:rsidR="0026367A">
        <w:rPr>
          <w:rFonts w:cs="Times New Roman"/>
          <w:lang w:val="en-GB"/>
        </w:rPr>
        <w:t>, 146 thousand of them were between 5-14 years of age</w:t>
      </w:r>
      <w:r w:rsidRPr="00D62B4A">
        <w:rPr>
          <w:rFonts w:cs="Times New Roman"/>
          <w:lang w:val="en-GB"/>
        </w:rPr>
        <w:t xml:space="preserve">. With children </w:t>
      </w:r>
      <w:r w:rsidR="0026367A">
        <w:rPr>
          <w:rFonts w:cs="Times New Roman"/>
          <w:lang w:val="en-GB"/>
        </w:rPr>
        <w:t xml:space="preserve">doing domestic </w:t>
      </w:r>
      <w:r w:rsidRPr="00D62B4A">
        <w:rPr>
          <w:rFonts w:cs="Times New Roman"/>
          <w:lang w:val="en-GB"/>
        </w:rPr>
        <w:t>work, the total number reaches to</w:t>
      </w:r>
      <w:r w:rsidR="0026367A">
        <w:rPr>
          <w:rFonts w:cs="Times New Roman"/>
          <w:lang w:val="en-GB"/>
        </w:rPr>
        <w:t xml:space="preserve"> over</w:t>
      </w:r>
      <w:r w:rsidRPr="00D62B4A">
        <w:rPr>
          <w:rFonts w:cs="Times New Roman"/>
          <w:lang w:val="en-GB"/>
        </w:rPr>
        <w:t xml:space="preserve"> 8 million.</w:t>
      </w:r>
      <w:r w:rsidRPr="00D62B4A">
        <w:rPr>
          <w:rStyle w:val="FootnoteReference"/>
          <w:rFonts w:cs="Times New Roman"/>
          <w:lang w:val="en-GB"/>
        </w:rPr>
        <w:footnoteReference w:id="68"/>
      </w:r>
      <w:r w:rsidRPr="00D62B4A">
        <w:rPr>
          <w:rFonts w:cs="Times New Roman"/>
          <w:lang w:val="en-GB"/>
        </w:rPr>
        <w:t xml:space="preserve"> One of the main reasons of child labour is the level of poverty in Turkey. A recent study revealed that according to poverty definition of the European Union, seven million or one in three (1 in 3) children in Turkey live in households in severe material deprivation (poverty) in 2017.</w:t>
      </w:r>
      <w:r w:rsidRPr="00D62B4A">
        <w:rPr>
          <w:rStyle w:val="FootnoteReference"/>
          <w:rFonts w:cs="Times New Roman"/>
          <w:lang w:val="en-GB"/>
        </w:rPr>
        <w:footnoteReference w:id="69"/>
      </w:r>
      <w:r w:rsidR="00F82662">
        <w:rPr>
          <w:rFonts w:cs="Times New Roman"/>
          <w:lang w:val="en-GB"/>
        </w:rPr>
        <w:t xml:space="preserve"> 16 thousand children work in domestic labour work over 43 hours a week, 248 thousand children in economic activity work over 43 hours a week.</w:t>
      </w:r>
      <w:r w:rsidR="00F82662">
        <w:rPr>
          <w:rStyle w:val="FootnoteReference"/>
          <w:rFonts w:cs="Times New Roman"/>
          <w:lang w:val="en-GB"/>
        </w:rPr>
        <w:footnoteReference w:id="70"/>
      </w:r>
      <w:r w:rsidR="00F82662">
        <w:rPr>
          <w:rFonts w:cs="Times New Roman"/>
          <w:lang w:val="en-GB"/>
        </w:rPr>
        <w:t xml:space="preserve"> </w:t>
      </w:r>
      <w:r w:rsidR="00E132F3">
        <w:rPr>
          <w:rFonts w:cs="Times New Roman"/>
          <w:lang w:val="en-GB"/>
        </w:rPr>
        <w:t xml:space="preserve">Nine thousand </w:t>
      </w:r>
      <w:r w:rsidR="004C174E">
        <w:rPr>
          <w:rFonts w:cs="Times New Roman"/>
          <w:lang w:val="en-GB"/>
        </w:rPr>
        <w:t xml:space="preserve">working </w:t>
      </w:r>
      <w:r w:rsidR="00E132F3">
        <w:rPr>
          <w:rFonts w:cs="Times New Roman"/>
          <w:lang w:val="en-GB"/>
        </w:rPr>
        <w:t xml:space="preserve">children were injured, four thousand </w:t>
      </w:r>
      <w:r w:rsidR="004C174E">
        <w:rPr>
          <w:rFonts w:cs="Times New Roman"/>
          <w:lang w:val="en-GB"/>
        </w:rPr>
        <w:t>them</w:t>
      </w:r>
      <w:r w:rsidR="00E132F3">
        <w:rPr>
          <w:rFonts w:cs="Times New Roman"/>
          <w:lang w:val="en-GB"/>
        </w:rPr>
        <w:t xml:space="preserve"> were exposed to a</w:t>
      </w:r>
      <w:r w:rsidR="00E132F3" w:rsidRPr="00E132F3">
        <w:rPr>
          <w:rFonts w:cs="Times New Roman"/>
          <w:lang w:val="en-GB"/>
        </w:rPr>
        <w:t>ny discomfort arising from the working conditions in the workplace</w:t>
      </w:r>
      <w:r w:rsidR="00E132F3">
        <w:rPr>
          <w:rFonts w:cs="Times New Roman"/>
          <w:lang w:val="en-GB"/>
        </w:rPr>
        <w:t xml:space="preserve">, </w:t>
      </w:r>
      <w:r w:rsidR="004C174E">
        <w:rPr>
          <w:rFonts w:cs="Times New Roman"/>
          <w:lang w:val="en-GB"/>
        </w:rPr>
        <w:t>a thousand of them were e</w:t>
      </w:r>
      <w:r w:rsidR="004C174E" w:rsidRPr="004C174E">
        <w:rPr>
          <w:rFonts w:cs="Times New Roman"/>
          <w:lang w:val="en-GB"/>
        </w:rPr>
        <w:t>xpos</w:t>
      </w:r>
      <w:r w:rsidR="004C174E">
        <w:rPr>
          <w:rFonts w:cs="Times New Roman"/>
          <w:lang w:val="en-GB"/>
        </w:rPr>
        <w:t>ed</w:t>
      </w:r>
      <w:r w:rsidR="004C174E" w:rsidRPr="004C174E">
        <w:rPr>
          <w:rFonts w:cs="Times New Roman"/>
          <w:lang w:val="en-GB"/>
        </w:rPr>
        <w:t xml:space="preserve"> to physical, verbal violence or unpleasant behaviour</w:t>
      </w:r>
      <w:r w:rsidR="004C174E">
        <w:rPr>
          <w:rFonts w:cs="Times New Roman"/>
          <w:lang w:val="en-GB"/>
        </w:rPr>
        <w:t xml:space="preserve">, while 11 thousand working children witnessed such </w:t>
      </w:r>
      <w:r w:rsidR="004C174E" w:rsidRPr="004C174E">
        <w:rPr>
          <w:rFonts w:cs="Times New Roman"/>
          <w:lang w:val="en-GB"/>
        </w:rPr>
        <w:t>physical, verbal violence</w:t>
      </w:r>
      <w:r w:rsidR="004C174E">
        <w:rPr>
          <w:rFonts w:cs="Times New Roman"/>
          <w:lang w:val="en-GB"/>
        </w:rPr>
        <w:t>.</w:t>
      </w:r>
      <w:r w:rsidR="00BF2837">
        <w:rPr>
          <w:rStyle w:val="FootnoteReference"/>
          <w:rFonts w:cs="Times New Roman"/>
          <w:lang w:val="en-GB"/>
        </w:rPr>
        <w:footnoteReference w:id="71"/>
      </w:r>
      <w:r w:rsidR="00E132F3">
        <w:rPr>
          <w:rFonts w:cs="Times New Roman"/>
          <w:lang w:val="en-GB"/>
        </w:rPr>
        <w:t xml:space="preserve"> </w:t>
      </w:r>
      <w:r w:rsidR="00F82662">
        <w:rPr>
          <w:rFonts w:cs="Times New Roman"/>
          <w:lang w:val="en-GB"/>
        </w:rPr>
        <w:t xml:space="preserve"> </w:t>
      </w:r>
    </w:p>
    <w:p w14:paraId="722FF358" w14:textId="77777777" w:rsidR="00206B87" w:rsidRPr="00D62B4A" w:rsidRDefault="00206B87" w:rsidP="001A3242">
      <w:pPr>
        <w:pStyle w:val="ListParagraph"/>
        <w:numPr>
          <w:ilvl w:val="0"/>
          <w:numId w:val="35"/>
        </w:numPr>
        <w:jc w:val="both"/>
        <w:rPr>
          <w:rFonts w:cs="Times New Roman"/>
          <w:lang w:val="en-GB"/>
        </w:rPr>
      </w:pPr>
      <w:r w:rsidRPr="00D62B4A">
        <w:rPr>
          <w:rFonts w:cs="Times New Roman"/>
          <w:lang w:val="en-GB"/>
        </w:rPr>
        <w:t xml:space="preserve">With around one and half a million refugee children mostly from Syria and few other countries like Iraq, Afghanistan, it is safe to say that child labour will continue to be an issue of concern with respect to VAC. This necessitates Turkey to adopt new policy and programmes to combat child labour.   </w:t>
      </w:r>
    </w:p>
    <w:p w14:paraId="34976411" w14:textId="77777777" w:rsidR="00206B87" w:rsidRPr="00B920B1" w:rsidRDefault="00AF29CD" w:rsidP="008A7CE9">
      <w:pPr>
        <w:pStyle w:val="ListParagraph"/>
        <w:numPr>
          <w:ilvl w:val="0"/>
          <w:numId w:val="35"/>
        </w:numPr>
        <w:jc w:val="both"/>
        <w:rPr>
          <w:rFonts w:cs="Times New Roman"/>
          <w:lang w:val="en-GB"/>
        </w:rPr>
      </w:pPr>
      <w:r w:rsidRPr="00B920B1">
        <w:rPr>
          <w:rFonts w:cs="Times New Roman"/>
          <w:lang w:val="en-GB"/>
        </w:rPr>
        <w:t>As for children in conflict with the law, f</w:t>
      </w:r>
      <w:r w:rsidR="00206B87" w:rsidRPr="00B920B1">
        <w:rPr>
          <w:rFonts w:cs="Times New Roman"/>
          <w:lang w:val="en-GB"/>
        </w:rPr>
        <w:t>or crimes involving children and adults, children are tried at adult courts due to a legal weakness in the CPL article 17/3 which enables this issue.</w:t>
      </w:r>
      <w:r w:rsidR="00206B87" w:rsidRPr="00D62B4A">
        <w:rPr>
          <w:rStyle w:val="FootnoteReference"/>
          <w:rFonts w:cs="Times New Roman"/>
          <w:lang w:val="en-GB"/>
        </w:rPr>
        <w:footnoteReference w:id="72"/>
      </w:r>
      <w:r w:rsidR="00206B87" w:rsidRPr="00B920B1">
        <w:rPr>
          <w:rFonts w:cs="Times New Roman"/>
          <w:lang w:val="en-GB"/>
        </w:rPr>
        <w:t xml:space="preserve"> Another issue is that bar associations observed that CPL is seen and formulated as a criminal law with respect to juvenile offenders instead of a public law to protect all children from harm. Although, the law strives to do that in practice it is used mainly about children in conflict with the law. Even then, in practice it falls short of protecting children from first instance and unnecessary detention and deprivation of their liberty. For example, </w:t>
      </w:r>
      <w:r w:rsidRPr="00B920B1">
        <w:rPr>
          <w:rFonts w:cs="Times New Roman"/>
          <w:lang w:val="en-GB"/>
        </w:rPr>
        <w:t>from 2015 to 2019</w:t>
      </w:r>
      <w:r w:rsidR="00206B87" w:rsidRPr="00B920B1">
        <w:rPr>
          <w:rFonts w:cs="Times New Roman"/>
          <w:lang w:val="en-GB"/>
        </w:rPr>
        <w:t xml:space="preserve"> </w:t>
      </w:r>
      <w:r w:rsidRPr="00B920B1">
        <w:rPr>
          <w:lang w:val="en-GB"/>
        </w:rPr>
        <w:t>almost 750 thousand of children were brought to security units as children involved in a crime/offenders</w:t>
      </w:r>
      <w:r w:rsidR="00B920B1" w:rsidRPr="00B920B1">
        <w:rPr>
          <w:lang w:val="en-GB"/>
        </w:rPr>
        <w:t>.</w:t>
      </w:r>
      <w:r w:rsidR="00206B87" w:rsidRPr="00D62B4A">
        <w:rPr>
          <w:rStyle w:val="FootnoteReference"/>
          <w:rFonts w:cs="Times New Roman"/>
          <w:lang w:val="en-GB"/>
        </w:rPr>
        <w:footnoteReference w:id="73"/>
      </w:r>
      <w:r w:rsidR="00206B87" w:rsidRPr="00B920B1">
        <w:rPr>
          <w:rFonts w:cs="Times New Roman"/>
          <w:lang w:val="en-GB"/>
        </w:rPr>
        <w:t xml:space="preserve"> </w:t>
      </w:r>
      <w:r w:rsidR="00B920B1" w:rsidRPr="00B920B1">
        <w:rPr>
          <w:lang w:val="en-GB"/>
        </w:rPr>
        <w:t>Human Rights Foundation annual report attests that there were 3100 in remand pending trial (around 2600) and convicted children (over 500 children) in prison. There were 780 children under 6 years old living in prisons with their mothers.</w:t>
      </w:r>
      <w:r w:rsidR="00B920B1">
        <w:rPr>
          <w:rStyle w:val="FootnoteReference"/>
          <w:lang w:val="en-GB"/>
        </w:rPr>
        <w:footnoteReference w:id="74"/>
      </w:r>
      <w:r w:rsidR="00B920B1" w:rsidRPr="00B920B1">
        <w:rPr>
          <w:lang w:val="en-GB"/>
        </w:rPr>
        <w:t xml:space="preserve"> </w:t>
      </w:r>
      <w:r w:rsidR="006270CD">
        <w:rPr>
          <w:lang w:val="en-GB"/>
        </w:rPr>
        <w:t>There were 7803 cases in child heavy penalty courts (replacing anti-terror courts) in 2019 with</w:t>
      </w:r>
      <w:r w:rsidR="00B920B1" w:rsidRPr="00B920B1">
        <w:rPr>
          <w:lang w:val="en-GB"/>
        </w:rPr>
        <w:t xml:space="preserve"> </w:t>
      </w:r>
      <w:r w:rsidR="006270CD">
        <w:rPr>
          <w:lang w:val="en-GB"/>
        </w:rPr>
        <w:t>o</w:t>
      </w:r>
      <w:r w:rsidR="00B920B1" w:rsidRPr="00B920B1">
        <w:rPr>
          <w:lang w:val="en-GB"/>
        </w:rPr>
        <w:t xml:space="preserve">n average 230 days per case </w:t>
      </w:r>
      <w:r w:rsidR="006270CD">
        <w:rPr>
          <w:lang w:val="en-GB"/>
        </w:rPr>
        <w:t>to conclude at</w:t>
      </w:r>
      <w:r w:rsidR="00B920B1" w:rsidRPr="00B920B1">
        <w:rPr>
          <w:lang w:val="en-GB"/>
        </w:rPr>
        <w:t xml:space="preserve"> %32.1 convictions</w:t>
      </w:r>
      <w:r w:rsidR="006270CD">
        <w:rPr>
          <w:lang w:val="en-GB"/>
        </w:rPr>
        <w:t xml:space="preserve"> rate. There were </w:t>
      </w:r>
      <w:r w:rsidR="00B920B1" w:rsidRPr="00B920B1">
        <w:rPr>
          <w:lang w:val="en-GB"/>
        </w:rPr>
        <w:t xml:space="preserve">80086 </w:t>
      </w:r>
      <w:r w:rsidR="006270CD">
        <w:rPr>
          <w:lang w:val="en-GB"/>
        </w:rPr>
        <w:t xml:space="preserve">cases in child penalty courts </w:t>
      </w:r>
      <w:r w:rsidR="00B920B1" w:rsidRPr="00B920B1">
        <w:rPr>
          <w:lang w:val="en-GB"/>
        </w:rPr>
        <w:t xml:space="preserve">on average 261 days </w:t>
      </w:r>
      <w:r w:rsidR="006270CD">
        <w:rPr>
          <w:lang w:val="en-GB"/>
        </w:rPr>
        <w:t xml:space="preserve">per case to conclude at </w:t>
      </w:r>
      <w:r w:rsidR="00B920B1" w:rsidRPr="00B920B1">
        <w:rPr>
          <w:lang w:val="en-GB"/>
        </w:rPr>
        <w:t>%36,6 convictions.</w:t>
      </w:r>
      <w:r w:rsidR="006270CD">
        <w:rPr>
          <w:rStyle w:val="FootnoteReference"/>
          <w:lang w:val="en-GB"/>
        </w:rPr>
        <w:footnoteReference w:id="75"/>
      </w:r>
      <w:r w:rsidR="00B920B1" w:rsidRPr="00B920B1">
        <w:rPr>
          <w:lang w:val="en-GB"/>
        </w:rPr>
        <w:t xml:space="preserve"> </w:t>
      </w:r>
      <w:r w:rsidR="00206B87" w:rsidRPr="00B920B1">
        <w:rPr>
          <w:rFonts w:cs="Times New Roman"/>
          <w:lang w:val="en-GB"/>
        </w:rPr>
        <w:t>Although, there is an effort to increasingly use probation and diversion for children (around 20000 children</w:t>
      </w:r>
      <w:r w:rsidR="00206B87" w:rsidRPr="00D62B4A">
        <w:rPr>
          <w:rStyle w:val="FootnoteReference"/>
          <w:rFonts w:cs="Times New Roman"/>
          <w:lang w:val="en-GB"/>
        </w:rPr>
        <w:footnoteReference w:id="76"/>
      </w:r>
      <w:r w:rsidR="00206B87" w:rsidRPr="00B920B1">
        <w:rPr>
          <w:rFonts w:cs="Times New Roman"/>
          <w:lang w:val="en-GB"/>
        </w:rPr>
        <w:t xml:space="preserve">), it is observed by the bar associations that it is not seen as a norm for children by the judges and prosecutors yet. Likewise, it is observed by court appointed social workers that judges and prosecutors are undermining the importance of social enquiry reports that are compulsory under the CPL to decrease the unnecessary and arbitrary deprivation of liberty of children. The current justice system envisages child courts and heave penalty child courts instead of a streamlined juvenile justice system where deprivation of liberty is an exception as these courts are not set up everywhere in Turkey. </w:t>
      </w:r>
    </w:p>
    <w:p w14:paraId="24432E05" w14:textId="77777777" w:rsidR="005D1B81" w:rsidRPr="00C862E0" w:rsidRDefault="00206B87" w:rsidP="005D1B81">
      <w:pPr>
        <w:pStyle w:val="ListParagraph"/>
        <w:numPr>
          <w:ilvl w:val="0"/>
          <w:numId w:val="35"/>
        </w:numPr>
        <w:jc w:val="both"/>
        <w:rPr>
          <w:lang w:val="en-GB"/>
        </w:rPr>
      </w:pPr>
      <w:r w:rsidRPr="00D62B4A">
        <w:rPr>
          <w:rFonts w:cs="Times New Roman"/>
          <w:lang w:val="en-GB"/>
        </w:rPr>
        <w:t>The other issue of concern is that laws and procedures fall short of protection against unlawful and unnecessary deprivation of liberty to those detained outside the criminal justice system, whether on the grounds of mental health issues, or because they are minors at risk. For example, even the limited evidence shows that 67.3% of the children in conflict with the law in Turkey had at least one psychiatric disorder.</w:t>
      </w:r>
      <w:r w:rsidRPr="00D62B4A">
        <w:rPr>
          <w:rStyle w:val="FootnoteReference"/>
          <w:rFonts w:cs="Times New Roman"/>
          <w:lang w:val="en-GB"/>
        </w:rPr>
        <w:footnoteReference w:id="77"/>
      </w:r>
    </w:p>
    <w:p w14:paraId="6F7DD533" w14:textId="77777777" w:rsidR="00C862E0" w:rsidRDefault="00C862E0" w:rsidP="00C862E0">
      <w:pPr>
        <w:jc w:val="both"/>
        <w:rPr>
          <w:lang w:val="en-GB"/>
        </w:rPr>
      </w:pPr>
    </w:p>
    <w:p w14:paraId="5CC00C19" w14:textId="77777777" w:rsidR="00C862E0" w:rsidRDefault="00C862E0" w:rsidP="00C862E0">
      <w:pPr>
        <w:jc w:val="both"/>
        <w:rPr>
          <w:lang w:val="en-GB"/>
        </w:rPr>
      </w:pPr>
    </w:p>
    <w:p w14:paraId="035D90B7" w14:textId="77777777" w:rsidR="00863254" w:rsidRPr="00D62B4A" w:rsidRDefault="00863254" w:rsidP="00C862E0">
      <w:pPr>
        <w:pStyle w:val="Heading1"/>
        <w:rPr>
          <w:lang w:val="en-GB"/>
        </w:rPr>
      </w:pPr>
    </w:p>
    <w:sectPr w:rsidR="00863254" w:rsidRPr="00D62B4A" w:rsidSect="00C862E0">
      <w:headerReference w:type="default" r:id="rId11"/>
      <w:footerReference w:type="even" r:id="rId12"/>
      <w:footerReference w:type="default" r:id="rId13"/>
      <w:pgSz w:w="11901" w:h="16817"/>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31654" w14:textId="77777777" w:rsidR="008C44AC" w:rsidRDefault="008C44AC" w:rsidP="00B6593B">
      <w:r>
        <w:separator/>
      </w:r>
    </w:p>
  </w:endnote>
  <w:endnote w:type="continuationSeparator" w:id="0">
    <w:p w14:paraId="4AC1616B" w14:textId="77777777" w:rsidR="008C44AC" w:rsidRDefault="008C44AC" w:rsidP="00B65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92158015"/>
      <w:docPartObj>
        <w:docPartGallery w:val="Page Numbers (Bottom of Page)"/>
        <w:docPartUnique/>
      </w:docPartObj>
    </w:sdtPr>
    <w:sdtEndPr>
      <w:rPr>
        <w:rStyle w:val="PageNumber"/>
      </w:rPr>
    </w:sdtEndPr>
    <w:sdtContent>
      <w:p w14:paraId="2FFB4F3A" w14:textId="77777777" w:rsidR="00B72834" w:rsidRDefault="00B72834" w:rsidP="00662F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1B1E23" w14:textId="77777777" w:rsidR="00B72834" w:rsidRDefault="00B728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46955815"/>
      <w:docPartObj>
        <w:docPartGallery w:val="Page Numbers (Bottom of Page)"/>
        <w:docPartUnique/>
      </w:docPartObj>
    </w:sdtPr>
    <w:sdtEndPr>
      <w:rPr>
        <w:rStyle w:val="PageNumber"/>
      </w:rPr>
    </w:sdtEndPr>
    <w:sdtContent>
      <w:p w14:paraId="7024CC2C" w14:textId="7E7EA52F" w:rsidR="00B72834" w:rsidRDefault="00B72834" w:rsidP="00662F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E237A">
          <w:rPr>
            <w:rStyle w:val="PageNumber"/>
            <w:noProof/>
          </w:rPr>
          <w:t>1</w:t>
        </w:r>
        <w:r>
          <w:rPr>
            <w:rStyle w:val="PageNumber"/>
          </w:rPr>
          <w:fldChar w:fldCharType="end"/>
        </w:r>
      </w:p>
    </w:sdtContent>
  </w:sdt>
  <w:p w14:paraId="4EB9A32D" w14:textId="77777777" w:rsidR="00B72834" w:rsidRDefault="00B72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5D34F" w14:textId="77777777" w:rsidR="008C44AC" w:rsidRDefault="008C44AC" w:rsidP="00B6593B">
      <w:r>
        <w:separator/>
      </w:r>
    </w:p>
  </w:footnote>
  <w:footnote w:type="continuationSeparator" w:id="0">
    <w:p w14:paraId="0094CC02" w14:textId="77777777" w:rsidR="008C44AC" w:rsidRDefault="008C44AC" w:rsidP="00B6593B">
      <w:r>
        <w:continuationSeparator/>
      </w:r>
    </w:p>
  </w:footnote>
  <w:footnote w:id="1">
    <w:p w14:paraId="26884C1A" w14:textId="77777777" w:rsidR="00703581" w:rsidRPr="00485D32" w:rsidRDefault="00703581" w:rsidP="00703581">
      <w:pPr>
        <w:pStyle w:val="FootnoteText"/>
        <w:rPr>
          <w:lang w:val="en-GB"/>
        </w:rPr>
      </w:pPr>
      <w:r w:rsidRPr="00485D32">
        <w:rPr>
          <w:rStyle w:val="FootnoteReference"/>
          <w:lang w:val="en-GB"/>
        </w:rPr>
        <w:footnoteRef/>
      </w:r>
      <w:r w:rsidRPr="00485D32">
        <w:rPr>
          <w:lang w:val="en-GB"/>
        </w:rPr>
        <w:t xml:space="preserve"> Turkish Statistical Institute. (n.d.). Address Based Population Registration System. </w:t>
      </w:r>
    </w:p>
  </w:footnote>
  <w:footnote w:id="2">
    <w:p w14:paraId="5AD0C11F"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w:t>
      </w:r>
      <w:hyperlink r:id="rId1" w:history="1">
        <w:r w:rsidRPr="00485D32">
          <w:rPr>
            <w:rStyle w:val="Hyperlink"/>
            <w:lang w:val="en-GB"/>
          </w:rPr>
          <w:t>https://bit.ly/3l8phqE</w:t>
        </w:r>
      </w:hyperlink>
      <w:r w:rsidRPr="00485D32">
        <w:rPr>
          <w:lang w:val="en-GB"/>
        </w:rPr>
        <w:t xml:space="preserve"> </w:t>
      </w:r>
    </w:p>
  </w:footnote>
  <w:footnote w:id="3">
    <w:p w14:paraId="158DB1AF" w14:textId="77777777" w:rsidR="00B72834" w:rsidRPr="00485D32" w:rsidRDefault="00B72834" w:rsidP="0066221F">
      <w:pPr>
        <w:pStyle w:val="FootnoteText"/>
        <w:rPr>
          <w:lang w:val="en-GB"/>
        </w:rPr>
      </w:pPr>
      <w:r w:rsidRPr="00485D32">
        <w:rPr>
          <w:rStyle w:val="FootnoteReference"/>
          <w:lang w:val="en-GB"/>
        </w:rPr>
        <w:footnoteRef/>
      </w:r>
      <w:r w:rsidRPr="00485D32">
        <w:rPr>
          <w:lang w:val="en-GB"/>
        </w:rPr>
        <w:t xml:space="preserve"> See recent report by Amnesty International at </w:t>
      </w:r>
      <w:hyperlink r:id="rId2" w:history="1">
        <w:r w:rsidRPr="00485D32">
          <w:rPr>
            <w:rStyle w:val="Hyperlink"/>
            <w:lang w:val="en-GB"/>
          </w:rPr>
          <w:t>https://www.amnesty.org/en/latest/news/2020/07/turkey-draconian-social-media-law-poses-grave-threat-to-freedom-of-expression/</w:t>
        </w:r>
      </w:hyperlink>
      <w:r w:rsidRPr="00485D32">
        <w:rPr>
          <w:lang w:val="en-GB"/>
        </w:rPr>
        <w:t xml:space="preserve"> </w:t>
      </w:r>
    </w:p>
  </w:footnote>
  <w:footnote w:id="4">
    <w:p w14:paraId="77E63DDE" w14:textId="77777777" w:rsidR="00B72834" w:rsidRPr="00485D32" w:rsidRDefault="00B72834" w:rsidP="0066221F">
      <w:pPr>
        <w:pStyle w:val="FootnoteText"/>
        <w:rPr>
          <w:lang w:val="en-GB"/>
        </w:rPr>
      </w:pPr>
      <w:r w:rsidRPr="00485D32">
        <w:rPr>
          <w:rStyle w:val="FootnoteReference"/>
          <w:lang w:val="en-GB"/>
        </w:rPr>
        <w:footnoteRef/>
      </w:r>
      <w:r w:rsidRPr="00485D32">
        <w:rPr>
          <w:lang w:val="en-GB"/>
        </w:rPr>
        <w:t xml:space="preserve"> See a recent news story documenting several attempts of introducing the bill at </w:t>
      </w:r>
      <w:hyperlink r:id="rId3" w:history="1">
        <w:r w:rsidRPr="00485D32">
          <w:rPr>
            <w:rStyle w:val="Hyperlink"/>
            <w:lang w:val="en-GB"/>
          </w:rPr>
          <w:t>https://www.theguardian.com/world/2020/jan/23/turkish-activists-oppose-amnesties-for-child-rapists</w:t>
        </w:r>
      </w:hyperlink>
      <w:r w:rsidRPr="00485D32">
        <w:rPr>
          <w:lang w:val="en-GB"/>
        </w:rPr>
        <w:t xml:space="preserve"> </w:t>
      </w:r>
    </w:p>
  </w:footnote>
  <w:footnote w:id="5">
    <w:p w14:paraId="56E06FCC" w14:textId="77777777" w:rsidR="00B72834" w:rsidRPr="00485D32" w:rsidRDefault="00B72834" w:rsidP="0066221F">
      <w:pPr>
        <w:pStyle w:val="FootnoteText"/>
        <w:rPr>
          <w:lang w:val="en-GB"/>
        </w:rPr>
      </w:pPr>
      <w:r w:rsidRPr="00485D32">
        <w:rPr>
          <w:rStyle w:val="FootnoteReference"/>
          <w:lang w:val="en-GB"/>
        </w:rPr>
        <w:footnoteRef/>
      </w:r>
      <w:r w:rsidRPr="00485D32">
        <w:rPr>
          <w:lang w:val="en-GB"/>
        </w:rPr>
        <w:t xml:space="preserve"> Tarhanlı, T., Gül, İ. I., İnceoğlu, A. A., Tokuzlu, L. B., Başalp, N., Karan, U., et al. (2011). Birleşmiş Milletlerin Çocuk Haklarına dair Sözleşmesi ile Türk Hukuk Mevzuatı Karşılaştırmalı Analizi. Ankara: UNICEF. (Comparative Analysis of UNCRC and Turkish Laws)</w:t>
      </w:r>
    </w:p>
  </w:footnote>
  <w:footnote w:id="6">
    <w:p w14:paraId="7B2DD294" w14:textId="77777777" w:rsidR="00B72834" w:rsidRPr="00485D32" w:rsidRDefault="00B72834" w:rsidP="00BE16F5">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sz w:val="16"/>
          <w:szCs w:val="16"/>
          <w:lang w:val="en-GB"/>
        </w:rPr>
        <w:t>CAT/OP/TUR/1 (2019) para.39.</w:t>
      </w:r>
    </w:p>
  </w:footnote>
  <w:footnote w:id="7">
    <w:p w14:paraId="27F46011" w14:textId="77777777" w:rsidR="00B72834" w:rsidRPr="00485D32" w:rsidRDefault="00B72834">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sz w:val="16"/>
          <w:szCs w:val="16"/>
          <w:lang w:val="en-GB"/>
        </w:rPr>
        <w:t xml:space="preserve">Recent press release (July 8, 2020) of the Human Rights Watch and the International Commission of Jurists </w:t>
      </w:r>
      <w:hyperlink r:id="rId4" w:history="1">
        <w:r w:rsidRPr="00485D32">
          <w:rPr>
            <w:rStyle w:val="Hyperlink"/>
            <w:sz w:val="16"/>
            <w:szCs w:val="16"/>
            <w:lang w:val="en-GB"/>
          </w:rPr>
          <w:t>https://www.hrw.org/news/2020/07/08/turkey-plan-divide-undermine-legal-profession</w:t>
        </w:r>
      </w:hyperlink>
      <w:r w:rsidRPr="00485D32">
        <w:rPr>
          <w:sz w:val="16"/>
          <w:szCs w:val="16"/>
          <w:lang w:val="en-GB"/>
        </w:rPr>
        <w:t xml:space="preserve"> </w:t>
      </w:r>
    </w:p>
  </w:footnote>
  <w:footnote w:id="8">
    <w:p w14:paraId="65164005" w14:textId="77777777" w:rsidR="00B72834" w:rsidRPr="00485D32" w:rsidRDefault="00B72834">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hyperlink r:id="rId5" w:history="1">
        <w:r w:rsidRPr="00485D32">
          <w:rPr>
            <w:rStyle w:val="Hyperlink"/>
            <w:sz w:val="16"/>
            <w:szCs w:val="16"/>
            <w:lang w:val="en-GB"/>
          </w:rPr>
          <w:t>http://bianet.org/bianet/insan-haklari/206551-cocuk-haklari-sozlesmesi-30-yilda-hala-ogrenilmemis</w:t>
        </w:r>
      </w:hyperlink>
      <w:r w:rsidRPr="00485D32">
        <w:rPr>
          <w:sz w:val="16"/>
          <w:szCs w:val="16"/>
          <w:lang w:val="en-GB"/>
        </w:rPr>
        <w:t xml:space="preserve"> </w:t>
      </w:r>
    </w:p>
  </w:footnote>
  <w:footnote w:id="9">
    <w:p w14:paraId="21A2E379" w14:textId="77777777" w:rsidR="00B72834" w:rsidRPr="00485D32" w:rsidRDefault="00B72834" w:rsidP="00370540">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sz w:val="16"/>
          <w:szCs w:val="16"/>
          <w:lang w:val="en-GB"/>
        </w:rPr>
        <w:t>see for example recent research on discrimination in school curricula: Kaya, Nurcan. (2015) Discrimination based on Colour, Ethnic Origin, Language, Religion and Belief in Turkey’s Education System. History Foundation and Minority Rights Group International.</w:t>
      </w:r>
    </w:p>
  </w:footnote>
  <w:footnote w:id="10">
    <w:p w14:paraId="00FD62C4" w14:textId="77777777" w:rsidR="00B72834" w:rsidRPr="00485D32" w:rsidRDefault="00B72834">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sz w:val="16"/>
          <w:szCs w:val="16"/>
          <w:lang w:val="en-GB"/>
        </w:rPr>
        <w:t xml:space="preserve">Kuzey Ormanlari Savunmasi. (November 15, 2016) Impact of the 3rd Airport Project on Local Communities: Violations of the Right to Life and Livelihood </w:t>
      </w:r>
      <w:hyperlink r:id="rId6" w:history="1">
        <w:r w:rsidRPr="00485D32">
          <w:rPr>
            <w:rStyle w:val="Hyperlink"/>
            <w:sz w:val="16"/>
            <w:szCs w:val="16"/>
            <w:lang w:val="en-GB"/>
          </w:rPr>
          <w:t>https://kuzeyormanlari.org/2016/11/15/impact-of-the-3rd-airport-project-on-local-communities-violations-of-the-right-to-life-and-livelihood/</w:t>
        </w:r>
      </w:hyperlink>
      <w:r w:rsidRPr="00485D32">
        <w:rPr>
          <w:sz w:val="16"/>
          <w:szCs w:val="16"/>
          <w:lang w:val="en-GB"/>
        </w:rPr>
        <w:t xml:space="preserve"> </w:t>
      </w:r>
    </w:p>
  </w:footnote>
  <w:footnote w:id="11">
    <w:p w14:paraId="13C2A976" w14:textId="77777777" w:rsidR="00B72834" w:rsidRPr="00485D32" w:rsidRDefault="00B72834" w:rsidP="00D35092">
      <w:pPr>
        <w:pStyle w:val="FootnoteText"/>
        <w:rPr>
          <w:sz w:val="16"/>
          <w:szCs w:val="16"/>
          <w:lang w:val="en-GB"/>
        </w:rPr>
      </w:pPr>
      <w:r w:rsidRPr="00485D32">
        <w:rPr>
          <w:rStyle w:val="FootnoteReference"/>
          <w:sz w:val="16"/>
          <w:szCs w:val="16"/>
          <w:lang w:val="en-GB"/>
        </w:rPr>
        <w:footnoteRef/>
      </w:r>
      <w:r w:rsidRPr="00485D32">
        <w:rPr>
          <w:sz w:val="16"/>
          <w:szCs w:val="16"/>
          <w:lang w:val="en-GB"/>
        </w:rPr>
        <w:t xml:space="preserve"> Turkish Civil Code, article 11.</w:t>
      </w:r>
    </w:p>
  </w:footnote>
  <w:footnote w:id="12">
    <w:p w14:paraId="2DEBC672" w14:textId="77777777" w:rsidR="00B72834" w:rsidRPr="00485D32" w:rsidRDefault="00B72834" w:rsidP="00D20363">
      <w:pPr>
        <w:pStyle w:val="FootnoteText"/>
        <w:rPr>
          <w:sz w:val="16"/>
          <w:szCs w:val="16"/>
          <w:lang w:val="en-GB"/>
        </w:rPr>
      </w:pPr>
      <w:r w:rsidRPr="00485D32">
        <w:rPr>
          <w:rStyle w:val="FootnoteReference"/>
          <w:sz w:val="16"/>
          <w:szCs w:val="16"/>
          <w:lang w:val="en-GB"/>
        </w:rPr>
        <w:footnoteRef/>
      </w:r>
      <w:r w:rsidRPr="00485D32">
        <w:rPr>
          <w:sz w:val="16"/>
          <w:szCs w:val="16"/>
          <w:lang w:val="en-GB"/>
        </w:rPr>
        <w:t xml:space="preserve"> Turkish Civil Code, article 12.</w:t>
      </w:r>
    </w:p>
  </w:footnote>
  <w:footnote w:id="13">
    <w:p w14:paraId="4928D9B2" w14:textId="77777777" w:rsidR="00B72834" w:rsidRPr="00485D32" w:rsidRDefault="00B72834" w:rsidP="00D20363">
      <w:pPr>
        <w:pStyle w:val="FootnoteText"/>
        <w:rPr>
          <w:sz w:val="16"/>
          <w:szCs w:val="16"/>
          <w:lang w:val="en-GB"/>
        </w:rPr>
      </w:pPr>
      <w:r w:rsidRPr="00485D32">
        <w:rPr>
          <w:rStyle w:val="FootnoteReference"/>
          <w:sz w:val="16"/>
          <w:szCs w:val="16"/>
          <w:lang w:val="en-GB"/>
        </w:rPr>
        <w:footnoteRef/>
      </w:r>
      <w:r w:rsidRPr="00485D32">
        <w:rPr>
          <w:sz w:val="16"/>
          <w:szCs w:val="16"/>
          <w:lang w:val="en-GB"/>
        </w:rPr>
        <w:t xml:space="preserve"> Turkish Civil Code, article 124.</w:t>
      </w:r>
    </w:p>
  </w:footnote>
  <w:footnote w:id="14">
    <w:p w14:paraId="3F344E6E" w14:textId="77777777" w:rsidR="00B72834" w:rsidRPr="00485D32" w:rsidRDefault="00B72834" w:rsidP="00D20363">
      <w:pPr>
        <w:pStyle w:val="FootnoteText"/>
        <w:rPr>
          <w:sz w:val="16"/>
          <w:szCs w:val="16"/>
          <w:lang w:val="en-GB"/>
        </w:rPr>
      </w:pPr>
      <w:r w:rsidRPr="00485D32">
        <w:rPr>
          <w:rStyle w:val="FootnoteReference"/>
          <w:sz w:val="16"/>
          <w:szCs w:val="16"/>
          <w:lang w:val="en-GB"/>
        </w:rPr>
        <w:footnoteRef/>
      </w:r>
      <w:r w:rsidRPr="00485D32">
        <w:rPr>
          <w:sz w:val="16"/>
          <w:szCs w:val="16"/>
          <w:lang w:val="en-GB"/>
        </w:rPr>
        <w:t xml:space="preserve"> Turkish Penal Code, article 31.</w:t>
      </w:r>
    </w:p>
  </w:footnote>
  <w:footnote w:id="15">
    <w:p w14:paraId="54B19C24" w14:textId="77777777" w:rsidR="00B72834" w:rsidRPr="00485D32" w:rsidRDefault="00B72834">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sz w:val="16"/>
          <w:szCs w:val="16"/>
          <w:lang w:val="en-GB"/>
        </w:rPr>
        <w:t>Law on meetings and demonstrations, article 9.</w:t>
      </w:r>
    </w:p>
  </w:footnote>
  <w:footnote w:id="16">
    <w:p w14:paraId="3CBFE42D" w14:textId="77777777" w:rsidR="00B72834" w:rsidRPr="00485D32" w:rsidRDefault="00B72834">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rStyle w:val="FootnoteReference"/>
          <w:sz w:val="16"/>
          <w:szCs w:val="16"/>
          <w:vertAlign w:val="baseline"/>
          <w:lang w:val="en-GB"/>
        </w:rPr>
        <w:t>O</w:t>
      </w:r>
      <w:r w:rsidRPr="00485D32">
        <w:rPr>
          <w:sz w:val="16"/>
          <w:szCs w:val="16"/>
          <w:lang w:val="en-GB"/>
        </w:rPr>
        <w:t xml:space="preserve">SCE Heath Crimes Database: </w:t>
      </w:r>
      <w:hyperlink r:id="rId7" w:history="1">
        <w:r w:rsidRPr="00485D32">
          <w:rPr>
            <w:rStyle w:val="Hyperlink"/>
            <w:sz w:val="16"/>
            <w:szCs w:val="16"/>
            <w:lang w:val="en-GB"/>
          </w:rPr>
          <w:t>https://hatecrime.osce.org/turkey</w:t>
        </w:r>
      </w:hyperlink>
      <w:r w:rsidRPr="00485D32">
        <w:rPr>
          <w:sz w:val="16"/>
          <w:szCs w:val="16"/>
          <w:lang w:val="en-GB"/>
        </w:rPr>
        <w:t xml:space="preserve"> </w:t>
      </w:r>
    </w:p>
  </w:footnote>
  <w:footnote w:id="17">
    <w:p w14:paraId="28A156AF" w14:textId="77777777" w:rsidR="00B72834" w:rsidRPr="00485D32" w:rsidRDefault="00B72834">
      <w:pPr>
        <w:pStyle w:val="FootnoteText"/>
        <w:rPr>
          <w:lang w:val="en-GB"/>
        </w:rPr>
      </w:pPr>
      <w:r w:rsidRPr="00485D32">
        <w:rPr>
          <w:rStyle w:val="FootnoteReference"/>
          <w:sz w:val="16"/>
          <w:szCs w:val="16"/>
          <w:lang w:val="en-GB"/>
        </w:rPr>
        <w:footnoteRef/>
      </w:r>
      <w:r w:rsidRPr="00485D32">
        <w:rPr>
          <w:rStyle w:val="FootnoteReference"/>
          <w:sz w:val="16"/>
          <w:szCs w:val="16"/>
          <w:lang w:val="en-GB"/>
        </w:rPr>
        <w:t xml:space="preserve"> </w:t>
      </w:r>
      <w:r w:rsidRPr="00485D32">
        <w:rPr>
          <w:sz w:val="16"/>
          <w:szCs w:val="16"/>
          <w:lang w:val="en-GB"/>
        </w:rPr>
        <w:t xml:space="preserve">See for example media watch on hate speech of Hrant Fink Foundation </w:t>
      </w:r>
      <w:hyperlink r:id="rId8" w:history="1">
        <w:r w:rsidRPr="00485D32">
          <w:rPr>
            <w:sz w:val="16"/>
            <w:szCs w:val="16"/>
            <w:lang w:val="en-GB"/>
          </w:rPr>
          <w:t>https://hrantdink.org/en/asulis-en/activities/projects/media-watch-on-hate-speech</w:t>
        </w:r>
      </w:hyperlink>
      <w:r w:rsidRPr="00485D32">
        <w:rPr>
          <w:sz w:val="16"/>
          <w:szCs w:val="16"/>
          <w:lang w:val="en-GB"/>
        </w:rPr>
        <w:t xml:space="preserve"> and hate crimes report of KaosGL Association </w:t>
      </w:r>
      <w:hyperlink r:id="rId9" w:history="1">
        <w:r w:rsidRPr="00485D32">
          <w:rPr>
            <w:sz w:val="16"/>
            <w:szCs w:val="16"/>
            <w:lang w:val="en-GB"/>
          </w:rPr>
          <w:t>http://kaosgldernegi.org/yayindetay.php?id=312</w:t>
        </w:r>
      </w:hyperlink>
      <w:r w:rsidRPr="00485D32">
        <w:rPr>
          <w:sz w:val="16"/>
          <w:szCs w:val="16"/>
          <w:lang w:val="en-GB"/>
        </w:rPr>
        <w:t xml:space="preserve"> (Turkish).</w:t>
      </w:r>
    </w:p>
  </w:footnote>
  <w:footnote w:id="18">
    <w:p w14:paraId="5087443A"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The International Campaign to Ban Landmines </w:t>
      </w:r>
      <w:hyperlink r:id="rId10" w:history="1">
        <w:r w:rsidRPr="00485D32">
          <w:rPr>
            <w:rStyle w:val="Hyperlink"/>
            <w:lang w:val="en-GB"/>
          </w:rPr>
          <w:t>http://www.the-monitor.org/en-gb/reports/2019/turkey/casualties.aspx</w:t>
        </w:r>
      </w:hyperlink>
      <w:r w:rsidRPr="00485D32">
        <w:rPr>
          <w:lang w:val="en-GB"/>
        </w:rPr>
        <w:t xml:space="preserve"> </w:t>
      </w:r>
    </w:p>
  </w:footnote>
  <w:footnote w:id="19">
    <w:p w14:paraId="705137F0"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The Right to Clean Air Platform </w:t>
      </w:r>
      <w:hyperlink r:id="rId11" w:history="1">
        <w:r w:rsidRPr="00485D32">
          <w:rPr>
            <w:rStyle w:val="Hyperlink"/>
            <w:lang w:val="en-GB"/>
          </w:rPr>
          <w:t>https://www.temizhavahakki.com/english/</w:t>
        </w:r>
      </w:hyperlink>
      <w:r w:rsidRPr="00485D32">
        <w:rPr>
          <w:lang w:val="en-GB"/>
        </w:rPr>
        <w:t xml:space="preserve"> </w:t>
      </w:r>
    </w:p>
  </w:footnote>
  <w:footnote w:id="20">
    <w:p w14:paraId="76DBEE57"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The Human Rights Association of Turkey publishes annual reports </w:t>
      </w:r>
      <w:hyperlink r:id="rId12" w:history="1">
        <w:r w:rsidRPr="00485D32">
          <w:rPr>
            <w:rStyle w:val="Hyperlink"/>
            <w:lang w:val="en-GB"/>
          </w:rPr>
          <w:t>https://ihd.org.tr/en/ihd-2019-report-on-human-rights-violations-in-turkey/</w:t>
        </w:r>
      </w:hyperlink>
      <w:r w:rsidRPr="00485D32">
        <w:rPr>
          <w:lang w:val="en-GB"/>
        </w:rPr>
        <w:t xml:space="preserve">  </w:t>
      </w:r>
    </w:p>
  </w:footnote>
  <w:footnote w:id="21">
    <w:p w14:paraId="6E537F0E"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See UNICEF’s ADEP programme with the Turkish Government </w:t>
      </w:r>
      <w:hyperlink r:id="rId13" w:history="1">
        <w:r w:rsidRPr="00485D32">
          <w:rPr>
            <w:rStyle w:val="Hyperlink"/>
            <w:lang w:val="en-GB"/>
          </w:rPr>
          <w:t>https://www.unicef.org/turkey/en/youth-participation</w:t>
        </w:r>
      </w:hyperlink>
      <w:r w:rsidRPr="00485D32">
        <w:rPr>
          <w:lang w:val="en-GB"/>
        </w:rPr>
        <w:t xml:space="preserve"> </w:t>
      </w:r>
    </w:p>
  </w:footnote>
  <w:footnote w:id="22">
    <w:p w14:paraId="143E3B3E"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See for example a recent evaluation of the child participation in schools by the Education Reform Initiative and the Bilgi University Child Studies Centre </w:t>
      </w:r>
      <w:hyperlink r:id="rId14" w:history="1">
        <w:r w:rsidRPr="00485D32">
          <w:rPr>
            <w:rStyle w:val="Hyperlink"/>
            <w:lang w:val="en-GB"/>
          </w:rPr>
          <w:t>http://cocuk.bilgi.edu.tr/wp-content/uploads/2020/02/DOD_DAR_kitap_baski.pdf</w:t>
        </w:r>
      </w:hyperlink>
      <w:r w:rsidRPr="00485D32">
        <w:rPr>
          <w:lang w:val="en-GB"/>
        </w:rPr>
        <w:t xml:space="preserve"> </w:t>
      </w:r>
    </w:p>
  </w:footnote>
  <w:footnote w:id="23">
    <w:p w14:paraId="32737671"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Ercüment Erbay. (2017). Çocuk Katılımı. pp 23-26 and 182-184. NOBEL Akademik Yayıncılık.</w:t>
      </w:r>
    </w:p>
  </w:footnote>
  <w:footnote w:id="24">
    <w:p w14:paraId="12939A61"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w:t>
      </w:r>
      <w:hyperlink r:id="rId15" w:history="1">
        <w:r w:rsidRPr="00485D32">
          <w:rPr>
            <w:rStyle w:val="Hyperlink"/>
            <w:lang w:val="en-GB"/>
          </w:rPr>
          <w:t>https://freedomhouse.org/country/turkey/freedom-world/2020</w:t>
        </w:r>
      </w:hyperlink>
      <w:r w:rsidRPr="00485D32">
        <w:rPr>
          <w:lang w:val="en-GB"/>
        </w:rPr>
        <w:t xml:space="preserve"> </w:t>
      </w:r>
    </w:p>
  </w:footnote>
  <w:footnote w:id="25">
    <w:p w14:paraId="43964019" w14:textId="77777777" w:rsidR="00B72834" w:rsidRPr="00485D32" w:rsidRDefault="00B72834" w:rsidP="00DF67AC">
      <w:pPr>
        <w:pStyle w:val="FootnoteText"/>
        <w:rPr>
          <w:lang w:val="en-GB"/>
        </w:rPr>
      </w:pPr>
      <w:r w:rsidRPr="00485D32">
        <w:rPr>
          <w:rStyle w:val="FootnoteReference"/>
          <w:lang w:val="en-GB"/>
        </w:rPr>
        <w:footnoteRef/>
      </w:r>
      <w:r w:rsidRPr="00485D32">
        <w:rPr>
          <w:lang w:val="en-GB"/>
        </w:rPr>
        <w:t xml:space="preserve"> </w:t>
      </w:r>
      <w:hyperlink r:id="rId16" w:history="1">
        <w:r w:rsidRPr="00485D32">
          <w:rPr>
            <w:rStyle w:val="Hyperlink"/>
            <w:lang w:val="en-GB"/>
          </w:rPr>
          <w:t>https://en.wikipedia.org/wiki/Democracy_Index</w:t>
        </w:r>
      </w:hyperlink>
      <w:r w:rsidRPr="00485D32">
        <w:rPr>
          <w:lang w:val="en-GB"/>
        </w:rPr>
        <w:t xml:space="preserve"> </w:t>
      </w:r>
    </w:p>
  </w:footnote>
  <w:footnote w:id="26">
    <w:p w14:paraId="7625D625"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w:t>
      </w:r>
      <w:hyperlink r:id="rId17" w:history="1">
        <w:r w:rsidRPr="00485D32">
          <w:rPr>
            <w:rStyle w:val="Hyperlink"/>
            <w:lang w:val="en-GB"/>
          </w:rPr>
          <w:t>http://visionofhumanity.org/app/uploads/2019/06/GPI-2019-web003.pdf</w:t>
        </w:r>
      </w:hyperlink>
      <w:r w:rsidRPr="00485D32">
        <w:rPr>
          <w:lang w:val="en-GB"/>
        </w:rPr>
        <w:t xml:space="preserve"> </w:t>
      </w:r>
    </w:p>
  </w:footnote>
  <w:footnote w:id="27">
    <w:p w14:paraId="24954C31" w14:textId="77777777" w:rsidR="00B72834" w:rsidRPr="00485D32" w:rsidRDefault="00B72834" w:rsidP="00675740">
      <w:pPr>
        <w:pStyle w:val="FootnoteText"/>
        <w:rPr>
          <w:lang w:val="en-GB"/>
        </w:rPr>
      </w:pPr>
      <w:r w:rsidRPr="00485D32">
        <w:rPr>
          <w:rStyle w:val="FootnoteReference"/>
          <w:lang w:val="en-GB"/>
        </w:rPr>
        <w:footnoteRef/>
      </w:r>
      <w:r w:rsidRPr="00485D32">
        <w:rPr>
          <w:lang w:val="en-GB"/>
        </w:rPr>
        <w:t xml:space="preserve"> İFÖD, EngelliWeb 2019: An Iceberg of Unseen Internet Censorship in Turkey, August 2020, at </w:t>
      </w:r>
      <w:hyperlink r:id="rId18" w:history="1">
        <w:r w:rsidRPr="00485D32">
          <w:rPr>
            <w:rStyle w:val="Hyperlink"/>
            <w:lang w:val="en-GB"/>
          </w:rPr>
          <w:t>https://ifade.org.tr/reports/EngelliWeb_2019_Eng.pdf</w:t>
        </w:r>
      </w:hyperlink>
      <w:r w:rsidRPr="00485D32">
        <w:rPr>
          <w:lang w:val="en-GB"/>
        </w:rPr>
        <w:t xml:space="preserve"> </w:t>
      </w:r>
    </w:p>
  </w:footnote>
  <w:footnote w:id="28">
    <w:p w14:paraId="0E98CC4B" w14:textId="77777777" w:rsidR="00B72834" w:rsidRPr="00485D32" w:rsidRDefault="00B72834" w:rsidP="00D00687">
      <w:pPr>
        <w:pStyle w:val="FootnoteText"/>
        <w:rPr>
          <w:lang w:val="en-GB"/>
        </w:rPr>
      </w:pPr>
      <w:r w:rsidRPr="00485D32">
        <w:rPr>
          <w:rStyle w:val="FootnoteReference"/>
          <w:lang w:val="en-GB"/>
        </w:rPr>
        <w:footnoteRef/>
      </w:r>
      <w:r w:rsidRPr="00485D32">
        <w:rPr>
          <w:lang w:val="en-GB"/>
        </w:rPr>
        <w:t xml:space="preserve"> ibid. </w:t>
      </w:r>
    </w:p>
  </w:footnote>
  <w:footnote w:id="29">
    <w:p w14:paraId="16E22095"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See for example news blocked in 2016 about a highly contraversial child abuse scandal where 10 children were sexually abused at a dormitory for primary school children managed by a Islamic foundation Ensar: </w:t>
      </w:r>
      <w:hyperlink r:id="rId19" w:history="1">
        <w:r w:rsidRPr="00485D32">
          <w:rPr>
            <w:rStyle w:val="Hyperlink"/>
            <w:lang w:val="en-GB"/>
          </w:rPr>
          <w:t>https://www.birgun.net/haber/cinsel-istismari-saklamak-icin-erisim-engeli-karari-111584</w:t>
        </w:r>
      </w:hyperlink>
      <w:r w:rsidRPr="00485D32">
        <w:rPr>
          <w:lang w:val="en-GB"/>
        </w:rPr>
        <w:t xml:space="preserve">.  </w:t>
      </w:r>
    </w:p>
  </w:footnote>
  <w:footnote w:id="30">
    <w:p w14:paraId="7C08A49B" w14:textId="77777777" w:rsidR="00B72834" w:rsidRPr="00485D32" w:rsidRDefault="00B72834" w:rsidP="00312F1F">
      <w:pPr>
        <w:pStyle w:val="FootnoteText"/>
        <w:rPr>
          <w:lang w:val="en-GB"/>
        </w:rPr>
      </w:pPr>
      <w:r w:rsidRPr="00485D32">
        <w:rPr>
          <w:rStyle w:val="FootnoteReference"/>
          <w:lang w:val="en-GB"/>
        </w:rPr>
        <w:footnoteRef/>
      </w:r>
      <w:r w:rsidRPr="00485D32">
        <w:rPr>
          <w:lang w:val="en-GB"/>
        </w:rPr>
        <w:t xml:space="preserve"> Servet Yanatma. (2018). Reuters Institute Digital News Report 2018 Turkey Supplementary Report. Reuters Institute for the Study of Journalism at the University of Oxford. pp. 8-9.</w:t>
      </w:r>
    </w:p>
  </w:footnote>
  <w:footnote w:id="31">
    <w:p w14:paraId="729FBC27"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Firat, F. (2016). Çocuk odak‘sız’ habercilik: Internet gazetelerinde çocuk içerikli haberlerin sunumu ve etik ihlaller (Non-Centered Children Journalism: Presentation of Children Themed News On The Online Newspapers and Ethical Violations). Gümüşhane Üniversitesi İletişim Fakültesi Elektronik Dergisi, 4(2). </w:t>
      </w:r>
    </w:p>
  </w:footnote>
  <w:footnote w:id="32">
    <w:p w14:paraId="75020918" w14:textId="77777777" w:rsidR="002B41AF" w:rsidRPr="00485D32" w:rsidRDefault="002B41AF" w:rsidP="002B41AF">
      <w:pPr>
        <w:pStyle w:val="FootnoteText"/>
        <w:rPr>
          <w:lang w:val="en-GB"/>
        </w:rPr>
      </w:pPr>
      <w:r w:rsidRPr="00485D32">
        <w:rPr>
          <w:rStyle w:val="FootnoteReference"/>
          <w:lang w:val="en-GB"/>
        </w:rPr>
        <w:footnoteRef/>
      </w:r>
      <w:r w:rsidRPr="00485D32">
        <w:rPr>
          <w:lang w:val="en-GB"/>
        </w:rPr>
        <w:t xml:space="preserve"> HRW. (2020) Turkey: Social Media Law Will Increase Censorship.</w:t>
      </w:r>
    </w:p>
  </w:footnote>
  <w:footnote w:id="33">
    <w:p w14:paraId="6A23D155"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w:t>
      </w:r>
      <w:hyperlink r:id="rId20" w:history="1">
        <w:r w:rsidRPr="00485D32">
          <w:rPr>
            <w:rStyle w:val="Hyperlink"/>
            <w:lang w:val="en-GB"/>
          </w:rPr>
          <w:t>http://eukidsonline.metu.edu.tr/file/EUKO_Turkey2015_SummaryReport.pdf</w:t>
        </w:r>
      </w:hyperlink>
      <w:r w:rsidRPr="00485D32">
        <w:rPr>
          <w:lang w:val="en-GB"/>
        </w:rPr>
        <w:t xml:space="preserve"> </w:t>
      </w:r>
    </w:p>
  </w:footnote>
  <w:footnote w:id="34">
    <w:p w14:paraId="7B228E34"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w:t>
      </w:r>
      <w:r w:rsidR="008E489A" w:rsidRPr="00485D32">
        <w:rPr>
          <w:lang w:val="en-GB"/>
        </w:rPr>
        <w:t xml:space="preserve">Ministry of Justice, Justice Statistics 2018. p.97 and 111. </w:t>
      </w:r>
      <w:hyperlink r:id="rId21" w:history="1">
        <w:r w:rsidR="008E489A" w:rsidRPr="00485D32">
          <w:rPr>
            <w:rStyle w:val="Hyperlink"/>
            <w:lang w:val="en-GB"/>
          </w:rPr>
          <w:t>https://adlisicil.adalet.gov.tr/Resimler/SayfaDokuman/1792019103654adalet_ist_2018.pdf</w:t>
        </w:r>
      </w:hyperlink>
      <w:r w:rsidR="008E489A" w:rsidRPr="00485D32">
        <w:rPr>
          <w:lang w:val="en-GB"/>
        </w:rPr>
        <w:t xml:space="preserve"> </w:t>
      </w:r>
    </w:p>
  </w:footnote>
  <w:footnote w:id="35">
    <w:p w14:paraId="77B66968"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Alevi Philosophy Center Association (2020). Status Report for the CM/Notes/1362/H46-32 Resolutionsof1362th.CMmeetingaboutEducationalcasesunder enhanced follow-up procedures. (Zengin group of cases - Hasan and Eylem Zengin App. Np 1448/04 and Mansur Yalçın and Others v. Turkey Application No. 21163/11) </w:t>
      </w:r>
    </w:p>
  </w:footnote>
  <w:footnote w:id="36">
    <w:p w14:paraId="2BF6B930" w14:textId="77777777" w:rsidR="00B72834" w:rsidRPr="002E4A93" w:rsidRDefault="00B72834">
      <w:pPr>
        <w:pStyle w:val="FootnoteText"/>
        <w:rPr>
          <w:lang w:val="fr-FR"/>
        </w:rPr>
      </w:pPr>
      <w:r w:rsidRPr="00485D32">
        <w:rPr>
          <w:rStyle w:val="FootnoteReference"/>
          <w:lang w:val="en-GB"/>
        </w:rPr>
        <w:footnoteRef/>
      </w:r>
      <w:r w:rsidRPr="00485D32">
        <w:rPr>
          <w:lang w:val="en-GB"/>
        </w:rPr>
        <w:t xml:space="preserve"> Hasan and Eylem Zengin v. Turkey: 1447/04 – 2007 and Mansur Yalçın &amp; Others v. Turkey: 21163/11 – 2014 and İzzettin Doğan &amp; Others v. Turkey: 62649/10 – 2016</w:t>
      </w:r>
      <w:r w:rsidR="000B4C42" w:rsidRPr="00485D32">
        <w:rPr>
          <w:lang w:val="en-GB"/>
        </w:rPr>
        <w:t xml:space="preserve"> and ERG (2017, 31 July). Education Reform Initiative’s assessment in religious education - Eğitim reformu girişimi’nin din kültürü ve ahlak bilgisi taslak öğretim programı inceleme ve değerlendirmesi. </w:t>
      </w:r>
      <w:r w:rsidR="000B4C42" w:rsidRPr="002E4A93">
        <w:rPr>
          <w:lang w:val="fr-FR"/>
        </w:rPr>
        <w:t xml:space="preserve">Nisan 2020, </w:t>
      </w:r>
      <w:hyperlink r:id="rId22" w:history="1">
        <w:r w:rsidR="000B4C42" w:rsidRPr="002E4A93">
          <w:rPr>
            <w:rStyle w:val="Hyperlink"/>
            <w:lang w:val="fr-FR"/>
          </w:rPr>
          <w:t>http://www.egitimreformugirisimi.org/wp- content/uploads/2017/03/ERG_DKAB_Değerlendirme_2017.pdf</w:t>
        </w:r>
      </w:hyperlink>
    </w:p>
  </w:footnote>
  <w:footnote w:id="37">
    <w:p w14:paraId="332B2A66"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Aratemur Çimen C. ve Bayhan S. (2019). Değişen ders kitaplarında sekülerizm ve toplumsal cinsiyet eşitliği araştırması II. Nisan 2020, </w:t>
      </w:r>
      <w:hyperlink r:id="rId23" w:history="1">
        <w:r w:rsidRPr="00485D32">
          <w:rPr>
            <w:rStyle w:val="Hyperlink"/>
            <w:lang w:val="en-GB"/>
          </w:rPr>
          <w:t>https://turkiye.fnst.org/sites/default/files/uploads/2019/10/19/gender-equality-turkish- textbooks.pdf</w:t>
        </w:r>
      </w:hyperlink>
      <w:r w:rsidRPr="00485D32">
        <w:rPr>
          <w:lang w:val="en-GB"/>
        </w:rPr>
        <w:t xml:space="preserve"> </w:t>
      </w:r>
    </w:p>
  </w:footnote>
  <w:footnote w:id="38">
    <w:p w14:paraId="1A065B3B" w14:textId="77777777" w:rsidR="000F4171" w:rsidRPr="00485D32" w:rsidRDefault="000F4171">
      <w:pPr>
        <w:pStyle w:val="FootnoteText"/>
        <w:rPr>
          <w:lang w:val="en-GB"/>
        </w:rPr>
      </w:pPr>
      <w:r w:rsidRPr="00485D32">
        <w:rPr>
          <w:rStyle w:val="FootnoteReference"/>
          <w:lang w:val="en-GB"/>
        </w:rPr>
        <w:footnoteRef/>
      </w:r>
      <w:r w:rsidRPr="00485D32">
        <w:rPr>
          <w:lang w:val="en-GB"/>
        </w:rPr>
        <w:t xml:space="preserve"> TurkStat. Punishments given to children by their parents, 2016. </w:t>
      </w:r>
      <w:hyperlink r:id="rId24" w:history="1">
        <w:r w:rsidRPr="00485D32">
          <w:rPr>
            <w:rStyle w:val="Hyperlink"/>
            <w:lang w:val="en-GB"/>
          </w:rPr>
          <w:t>http://tuik.gov.tr/PreIstatistikTablo.do?istab_id=1168</w:t>
        </w:r>
      </w:hyperlink>
      <w:r w:rsidRPr="00485D32">
        <w:rPr>
          <w:lang w:val="en-GB"/>
        </w:rPr>
        <w:t xml:space="preserve">   </w:t>
      </w:r>
    </w:p>
  </w:footnote>
  <w:footnote w:id="39">
    <w:p w14:paraId="00E6A78D" w14:textId="77777777" w:rsidR="00942139" w:rsidRPr="00485D32" w:rsidRDefault="00942139">
      <w:pPr>
        <w:pStyle w:val="FootnoteText"/>
        <w:rPr>
          <w:lang w:val="en-GB"/>
        </w:rPr>
      </w:pPr>
      <w:r w:rsidRPr="00485D32">
        <w:rPr>
          <w:rStyle w:val="FootnoteReference"/>
          <w:lang w:val="en-GB"/>
        </w:rPr>
        <w:footnoteRef/>
      </w:r>
      <w:r w:rsidRPr="00485D32">
        <w:rPr>
          <w:lang w:val="en-GB"/>
        </w:rPr>
        <w:t xml:space="preserve"> Federation of Women’s Associations in Turkey. (2020) Report to the UN Special Rapporteur on Violence Against Women and Girls. </w:t>
      </w:r>
      <w:r w:rsidR="00847A92" w:rsidRPr="00485D32">
        <w:rPr>
          <w:lang w:val="en-GB"/>
        </w:rPr>
        <w:t xml:space="preserve">Monthly reports of the Federation can be reached at </w:t>
      </w:r>
      <w:hyperlink r:id="rId25" w:history="1">
        <w:r w:rsidR="00847A92" w:rsidRPr="00485D32">
          <w:rPr>
            <w:rStyle w:val="Hyperlink"/>
            <w:lang w:val="en-GB"/>
          </w:rPr>
          <w:t>https://tkdf.org.tr/ayh</w:t>
        </w:r>
      </w:hyperlink>
      <w:r w:rsidR="00847A92" w:rsidRPr="00485D32">
        <w:rPr>
          <w:lang w:val="en-GB"/>
        </w:rPr>
        <w:t xml:space="preserve">  </w:t>
      </w:r>
    </w:p>
  </w:footnote>
  <w:footnote w:id="40">
    <w:p w14:paraId="2BB679C8" w14:textId="77777777" w:rsidR="00223074" w:rsidRPr="00485D32" w:rsidRDefault="00223074" w:rsidP="00223074">
      <w:pPr>
        <w:pStyle w:val="FootnoteText"/>
        <w:rPr>
          <w:lang w:val="en-GB"/>
        </w:rPr>
      </w:pPr>
      <w:r w:rsidRPr="00485D32">
        <w:rPr>
          <w:rStyle w:val="FootnoteReference"/>
          <w:lang w:val="en-GB"/>
        </w:rPr>
        <w:footnoteRef/>
      </w:r>
      <w:r w:rsidRPr="00485D32">
        <w:rPr>
          <w:lang w:val="en-GB"/>
        </w:rPr>
        <w:t xml:space="preserve"> Ministry of Justice, Turkey. (2020). Adli İstatistikler (Judicial Register Statistics) 2019.</w:t>
      </w:r>
    </w:p>
  </w:footnote>
  <w:footnote w:id="41">
    <w:p w14:paraId="126AB1EC" w14:textId="77777777" w:rsidR="00607F25" w:rsidRPr="00485D32" w:rsidRDefault="00607F25">
      <w:pPr>
        <w:pStyle w:val="FootnoteText"/>
        <w:rPr>
          <w:lang w:val="en-GB"/>
        </w:rPr>
      </w:pPr>
      <w:r w:rsidRPr="00485D32">
        <w:rPr>
          <w:rStyle w:val="FootnoteReference"/>
          <w:lang w:val="en-GB"/>
        </w:rPr>
        <w:footnoteRef/>
      </w:r>
      <w:r w:rsidRPr="00485D32">
        <w:rPr>
          <w:lang w:val="en-GB"/>
        </w:rPr>
        <w:t xml:space="preserve"> Ministry of Justice, Turkey. (2019). Adli İstatistikler (Judicial Register Statistics) 2018.</w:t>
      </w:r>
    </w:p>
  </w:footnote>
  <w:footnote w:id="42">
    <w:p w14:paraId="2238558F" w14:textId="77777777" w:rsidR="005A71DB" w:rsidRPr="00485D32" w:rsidRDefault="005A71DB" w:rsidP="005A71DB">
      <w:pPr>
        <w:pStyle w:val="FootnoteText"/>
        <w:rPr>
          <w:lang w:val="en-GB"/>
        </w:rPr>
      </w:pPr>
      <w:r w:rsidRPr="00485D32">
        <w:rPr>
          <w:rStyle w:val="FootnoteReference"/>
          <w:lang w:val="en-GB"/>
        </w:rPr>
        <w:footnoteRef/>
      </w:r>
      <w:r w:rsidRPr="00485D32">
        <w:rPr>
          <w:lang w:val="en-GB"/>
        </w:rPr>
        <w:t xml:space="preserve"> Migration Administration of Turkey, Human Trafficking Statistics </w:t>
      </w:r>
      <w:hyperlink r:id="rId26" w:history="1">
        <w:r w:rsidRPr="00485D32">
          <w:rPr>
            <w:rStyle w:val="Hyperlink"/>
            <w:lang w:val="en-GB"/>
          </w:rPr>
          <w:t>http://www.goc.gov.tr/icerik6/victims-of-human-trafficking_915_1024_4749_icerik</w:t>
        </w:r>
      </w:hyperlink>
      <w:r w:rsidRPr="00485D32">
        <w:rPr>
          <w:lang w:val="en-GB"/>
        </w:rPr>
        <w:t xml:space="preserve"> </w:t>
      </w:r>
    </w:p>
  </w:footnote>
  <w:footnote w:id="43">
    <w:p w14:paraId="66370E39" w14:textId="77777777" w:rsidR="005A71DB" w:rsidRPr="00485D32" w:rsidRDefault="005A71DB" w:rsidP="005A71DB">
      <w:pPr>
        <w:pStyle w:val="FootnoteText"/>
        <w:rPr>
          <w:lang w:val="en-GB"/>
        </w:rPr>
      </w:pPr>
      <w:r w:rsidRPr="00485D32">
        <w:rPr>
          <w:rStyle w:val="FootnoteReference"/>
          <w:lang w:val="en-GB"/>
        </w:rPr>
        <w:footnoteRef/>
      </w:r>
      <w:r w:rsidRPr="00485D32">
        <w:rPr>
          <w:lang w:val="en-GB"/>
        </w:rPr>
        <w:t xml:space="preserve"> Working Group on Enforced or Involuntary Disappearances report on Turkey (A/HRC/33/51/Add.1 WG Disappearances, 2016) </w:t>
      </w:r>
    </w:p>
  </w:footnote>
  <w:footnote w:id="44">
    <w:p w14:paraId="69299CE6" w14:textId="77777777" w:rsidR="005A71DB" w:rsidRPr="00485D32" w:rsidRDefault="005A71DB" w:rsidP="005A71DB">
      <w:pPr>
        <w:pStyle w:val="FootnoteText"/>
        <w:rPr>
          <w:lang w:val="en-GB"/>
        </w:rPr>
      </w:pPr>
      <w:r w:rsidRPr="00485D32">
        <w:rPr>
          <w:rStyle w:val="FootnoteReference"/>
          <w:lang w:val="en-GB"/>
        </w:rPr>
        <w:footnoteRef/>
      </w:r>
      <w:r w:rsidRPr="00485D32">
        <w:rPr>
          <w:lang w:val="en-GB"/>
        </w:rPr>
        <w:t xml:space="preserve"> </w:t>
      </w:r>
      <w:r w:rsidRPr="00485D32">
        <w:rPr>
          <w:rFonts w:cstheme="minorHAnsi"/>
          <w:lang w:val="en-GB"/>
        </w:rPr>
        <w:t xml:space="preserve">Supra § xvii. </w:t>
      </w:r>
    </w:p>
  </w:footnote>
  <w:footnote w:id="45">
    <w:p w14:paraId="7C751332" w14:textId="77777777" w:rsidR="00B72834" w:rsidRPr="00485D32" w:rsidRDefault="00B72834" w:rsidP="00900D70">
      <w:pPr>
        <w:pStyle w:val="FootnoteText"/>
        <w:rPr>
          <w:lang w:val="en-GB"/>
        </w:rPr>
      </w:pPr>
      <w:r w:rsidRPr="00485D32">
        <w:rPr>
          <w:rStyle w:val="FootnoteReference"/>
          <w:lang w:val="en-GB"/>
        </w:rPr>
        <w:footnoteRef/>
      </w:r>
      <w:r w:rsidRPr="00485D32">
        <w:rPr>
          <w:lang w:val="en-GB"/>
        </w:rPr>
        <w:t xml:space="preserve"> Hacettepe University Institute of Population Studies &amp; Republic of Turkey Ministry of Family and Social Policies. (2015). Research on Domestic Violence against Women in Turkey (Research Report), pp 83-123. Ankara. Retrieved from http://www.hips.hacettepe.edu.tr/eng/english_main_report.pdf.</w:t>
      </w:r>
    </w:p>
  </w:footnote>
  <w:footnote w:id="46">
    <w:p w14:paraId="326E57BB" w14:textId="77777777" w:rsidR="00B72834" w:rsidRPr="002E4A93" w:rsidRDefault="00B72834">
      <w:pPr>
        <w:pStyle w:val="FootnoteText"/>
      </w:pPr>
      <w:r w:rsidRPr="00485D32">
        <w:rPr>
          <w:rStyle w:val="FootnoteReference"/>
          <w:lang w:val="en-GB"/>
        </w:rPr>
        <w:footnoteRef/>
      </w:r>
      <w:r w:rsidRPr="00485D32">
        <w:rPr>
          <w:lang w:val="en-GB"/>
        </w:rPr>
        <w:t xml:space="preserve"> Hurriyet Daily News. (2016) 30 Syrian children ‘sexually assaulted’ in Turkey refugee camp. </w:t>
      </w:r>
      <w:hyperlink r:id="rId27" w:history="1">
        <w:r w:rsidRPr="002E4A93">
          <w:rPr>
            <w:rStyle w:val="Hyperlink"/>
          </w:rPr>
          <w:t>https://www.hurriyetdailynews.com/30-syrian-children-sexually-assaulted-in-turkey-refugee-camp-99117</w:t>
        </w:r>
      </w:hyperlink>
      <w:r w:rsidRPr="002E4A93">
        <w:t xml:space="preserve"> </w:t>
      </w:r>
    </w:p>
  </w:footnote>
  <w:footnote w:id="47">
    <w:p w14:paraId="4E28706F" w14:textId="77777777" w:rsidR="00942139" w:rsidRPr="002E4A93" w:rsidRDefault="00942139" w:rsidP="00942139">
      <w:pPr>
        <w:pStyle w:val="FootnoteText"/>
      </w:pPr>
      <w:r w:rsidRPr="00485D32">
        <w:rPr>
          <w:rStyle w:val="FootnoteReference"/>
          <w:lang w:val="en-GB"/>
        </w:rPr>
        <w:footnoteRef/>
      </w:r>
      <w:r w:rsidRPr="00485D32">
        <w:rPr>
          <w:lang w:val="en-GB"/>
        </w:rPr>
        <w:t xml:space="preserve"> Hacettepe University Institute of Population Studies, &amp; Republic of Turkey Ministry of Family and Social Policies. (2015). Research on Domestic Violence against Women in Turkey [Research Report]. </w:t>
      </w:r>
      <w:hyperlink r:id="rId28" w:history="1">
        <w:r w:rsidRPr="002E4A93">
          <w:rPr>
            <w:rStyle w:val="Hyperlink"/>
          </w:rPr>
          <w:t>http://www.hips.hacettepe.edu.tr/eng/english_main_report.pdf</w:t>
        </w:r>
      </w:hyperlink>
      <w:r w:rsidRPr="002E4A93">
        <w:t xml:space="preserve"> </w:t>
      </w:r>
    </w:p>
  </w:footnote>
  <w:footnote w:id="48">
    <w:p w14:paraId="006E2174" w14:textId="77777777" w:rsidR="00942139" w:rsidRPr="00485D32" w:rsidRDefault="00942139" w:rsidP="00942139">
      <w:pPr>
        <w:pStyle w:val="FootnoteText"/>
        <w:rPr>
          <w:lang w:val="en-GB"/>
        </w:rPr>
      </w:pPr>
      <w:r w:rsidRPr="00485D32">
        <w:rPr>
          <w:rStyle w:val="FootnoteReference"/>
          <w:lang w:val="en-GB"/>
        </w:rPr>
        <w:footnoteRef/>
      </w:r>
      <w:r w:rsidRPr="00485D32">
        <w:rPr>
          <w:lang w:val="en-GB"/>
        </w:rPr>
        <w:t xml:space="preserve">  Independent, ‘‘Marry-your-rapist’ bill proposed to be introduced by lawmakers in Turkey’, 22.01.2020, </w:t>
      </w:r>
      <w:hyperlink r:id="rId29" w:history="1">
        <w:r w:rsidRPr="00485D32">
          <w:rPr>
            <w:rStyle w:val="Hyperlink"/>
            <w:lang w:val="en-GB"/>
          </w:rPr>
          <w:t>https://www.independent.co.uk/news/world/europe/turkey-marry-rapist-bill-child-marriage-a9296681.html</w:t>
        </w:r>
      </w:hyperlink>
      <w:r w:rsidRPr="00485D32">
        <w:rPr>
          <w:lang w:val="en-GB"/>
        </w:rPr>
        <w:t xml:space="preserve"> </w:t>
      </w:r>
    </w:p>
  </w:footnote>
  <w:footnote w:id="49">
    <w:p w14:paraId="1C060B6D" w14:textId="77777777" w:rsidR="00833085" w:rsidRPr="00485D32" w:rsidRDefault="00833085">
      <w:pPr>
        <w:pStyle w:val="FootnoteText"/>
        <w:rPr>
          <w:lang w:val="en-GB"/>
        </w:rPr>
      </w:pPr>
      <w:r w:rsidRPr="00485D32">
        <w:rPr>
          <w:rStyle w:val="FootnoteReference"/>
          <w:lang w:val="en-GB"/>
        </w:rPr>
        <w:footnoteRef/>
      </w:r>
      <w:r w:rsidRPr="00485D32">
        <w:rPr>
          <w:lang w:val="en-GB"/>
        </w:rPr>
        <w:t xml:space="preserve"> Erdemli, Isil. (2017) Violence against Children in Turkey Report. Partnership Network for Prevention of VAC in Turkey. </w:t>
      </w:r>
      <w:hyperlink r:id="rId30" w:history="1">
        <w:r w:rsidRPr="00485D32">
          <w:rPr>
            <w:rStyle w:val="Hyperlink"/>
            <w:lang w:val="en-GB"/>
          </w:rPr>
          <w:t>http://cocugasiddetionluyoruz.net/agin-yayinlari/turkiyede-cocuga-karsi-siddet-durum-raporu-2017</w:t>
        </w:r>
      </w:hyperlink>
      <w:r w:rsidRPr="00485D32">
        <w:rPr>
          <w:lang w:val="en-GB"/>
        </w:rPr>
        <w:t xml:space="preserve"> </w:t>
      </w:r>
    </w:p>
  </w:footnote>
  <w:footnote w:id="50">
    <w:p w14:paraId="2EF1157D"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UN Committee on the Rights of Persons with Disabilities. (2019). Concluding observations on the initial report of Turkey - CRPD/C/TUR/CO/1. Retrieved from </w:t>
      </w:r>
      <w:hyperlink r:id="rId31" w:history="1">
        <w:r w:rsidRPr="00485D32">
          <w:rPr>
            <w:rStyle w:val="Hyperlink"/>
            <w:lang w:val="en-GB"/>
          </w:rPr>
          <w:t>https://tbinternet.ohchr.org/_layouts/treatybodyexternal/Download.aspx?symbolno=CRPD%2fC%2fTUR%2fCO%2f1&amp;Lang=en</w:t>
        </w:r>
      </w:hyperlink>
      <w:r w:rsidRPr="00485D32">
        <w:rPr>
          <w:lang w:val="en-GB"/>
        </w:rPr>
        <w:t xml:space="preserve"> </w:t>
      </w:r>
    </w:p>
  </w:footnote>
  <w:footnote w:id="51">
    <w:p w14:paraId="71D226EC"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Project document of the Ministry </w:t>
      </w:r>
      <w:hyperlink r:id="rId32" w:history="1">
        <w:r w:rsidRPr="00485D32">
          <w:rPr>
            <w:rStyle w:val="Hyperlink"/>
            <w:lang w:val="en-GB"/>
          </w:rPr>
          <w:t>https://www.ailevecalisma.gov.tr/EYHGM/Projeler/Ulusal-Engelli-Haklari-Strateji-Belgesi-ve-Eylem-Plani-2018-2023.pdf</w:t>
        </w:r>
      </w:hyperlink>
      <w:r w:rsidRPr="00485D32">
        <w:rPr>
          <w:lang w:val="en-GB"/>
        </w:rPr>
        <w:t xml:space="preserve"> </w:t>
      </w:r>
    </w:p>
  </w:footnote>
  <w:footnote w:id="52">
    <w:p w14:paraId="262C315F"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Family and Social Services Ministry: </w:t>
      </w:r>
      <w:hyperlink r:id="rId33" w:history="1">
        <w:r w:rsidRPr="00485D32">
          <w:rPr>
            <w:rStyle w:val="Hyperlink"/>
            <w:lang w:val="en-GB"/>
          </w:rPr>
          <w:t>https://sosyalyardimlar.aile.gov.tr/engellilere-yonelik-yardimlar</w:t>
        </w:r>
      </w:hyperlink>
      <w:r w:rsidRPr="00485D32">
        <w:rPr>
          <w:lang w:val="en-GB"/>
        </w:rPr>
        <w:t xml:space="preserve"> </w:t>
      </w:r>
    </w:p>
  </w:footnote>
  <w:footnote w:id="53">
    <w:p w14:paraId="086ECE86"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w:t>
      </w:r>
      <w:r w:rsidRPr="00485D32">
        <w:rPr>
          <w:rFonts w:cstheme="minorHAnsi"/>
          <w:lang w:val="en-GB"/>
        </w:rPr>
        <w:t xml:space="preserve">Supra § xxv. </w:t>
      </w:r>
      <w:r w:rsidRPr="00485D32">
        <w:rPr>
          <w:lang w:val="en-GB"/>
        </w:rPr>
        <w:t xml:space="preserve">  </w:t>
      </w:r>
    </w:p>
  </w:footnote>
  <w:footnote w:id="54">
    <w:p w14:paraId="1DF5A952"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Network for the Rights of Children with Disabilities (EÇHA - Engelli Çocuk Hakları Ağı). (2019). NGO Report to the United Nations Committee on the Rights of Persons with Disabilities. Retrieved from </w:t>
      </w:r>
      <w:hyperlink r:id="rId34" w:history="1">
        <w:r w:rsidRPr="00485D32">
          <w:rPr>
            <w:rStyle w:val="Hyperlink"/>
            <w:lang w:val="en-GB"/>
          </w:rPr>
          <w:t>https://tbinternet.ohchr.org/_layouts/treatybodyexternal/Download.aspx?symbolno=INT%2fCRPD%2fCSS%2fTUR%2f33884&amp;Lang=en</w:t>
        </w:r>
      </w:hyperlink>
      <w:r w:rsidRPr="00485D32">
        <w:rPr>
          <w:lang w:val="en-GB"/>
        </w:rPr>
        <w:t xml:space="preserve"> </w:t>
      </w:r>
    </w:p>
  </w:footnote>
  <w:footnote w:id="55">
    <w:p w14:paraId="746D82EE" w14:textId="77777777" w:rsidR="001A2FE8" w:rsidRPr="00485D32" w:rsidRDefault="001A2FE8" w:rsidP="001A2FE8">
      <w:pPr>
        <w:pStyle w:val="FootnoteText"/>
        <w:rPr>
          <w:lang w:val="en-GB"/>
        </w:rPr>
      </w:pPr>
      <w:r w:rsidRPr="00485D32">
        <w:rPr>
          <w:rStyle w:val="FootnoteReference"/>
          <w:lang w:val="en-GB"/>
        </w:rPr>
        <w:footnoteRef/>
      </w:r>
      <w:r w:rsidRPr="00485D32">
        <w:rPr>
          <w:lang w:val="en-GB"/>
        </w:rPr>
        <w:t xml:space="preserve"> </w:t>
      </w:r>
      <w:hyperlink r:id="rId35" w:history="1">
        <w:r w:rsidRPr="00485D32">
          <w:rPr>
            <w:rStyle w:val="Hyperlink"/>
            <w:lang w:val="en-GB"/>
          </w:rPr>
          <w:t>http://cocugasiddetionluyoruz.net/agin-yayinlari/turkiyede-engelli-cocuklara-siddet-bilgi-notu</w:t>
        </w:r>
      </w:hyperlink>
      <w:r w:rsidRPr="00485D32">
        <w:rPr>
          <w:lang w:val="en-GB"/>
        </w:rPr>
        <w:t xml:space="preserve"> </w:t>
      </w:r>
    </w:p>
  </w:footnote>
  <w:footnote w:id="56">
    <w:p w14:paraId="2844E3FE" w14:textId="77777777" w:rsidR="00B72834" w:rsidRPr="00485D32" w:rsidRDefault="00B72834" w:rsidP="00F75D64">
      <w:pPr>
        <w:pStyle w:val="FootnoteText"/>
        <w:rPr>
          <w:lang w:val="en-GB"/>
        </w:rPr>
      </w:pPr>
      <w:r w:rsidRPr="00485D32">
        <w:rPr>
          <w:rStyle w:val="FootnoteReference"/>
          <w:lang w:val="en-GB"/>
        </w:rPr>
        <w:footnoteRef/>
      </w:r>
      <w:r w:rsidRPr="00485D32">
        <w:rPr>
          <w:lang w:val="en-GB"/>
        </w:rPr>
        <w:t xml:space="preserve"> Institute of Statistics of Turkey, Mortality Statistics. Retrieved from </w:t>
      </w:r>
      <w:hyperlink r:id="rId36" w:history="1">
        <w:r w:rsidRPr="00485D32">
          <w:rPr>
            <w:rStyle w:val="Hyperlink"/>
            <w:lang w:val="en-GB"/>
          </w:rPr>
          <w:t>http://www.tuik.gov.tr/PreTablo.do?alt_id=1083</w:t>
        </w:r>
      </w:hyperlink>
      <w:r w:rsidRPr="00485D32">
        <w:rPr>
          <w:lang w:val="en-GB"/>
        </w:rPr>
        <w:t xml:space="preserve"> </w:t>
      </w:r>
    </w:p>
  </w:footnote>
  <w:footnote w:id="57">
    <w:p w14:paraId="75EB40BE" w14:textId="77777777" w:rsidR="00B72834" w:rsidRPr="00485D32" w:rsidRDefault="00B72834" w:rsidP="00F75D64">
      <w:pPr>
        <w:pStyle w:val="FootnoteText"/>
        <w:rPr>
          <w:lang w:val="en-GB"/>
        </w:rPr>
      </w:pPr>
      <w:r w:rsidRPr="00485D32">
        <w:rPr>
          <w:rStyle w:val="FootnoteReference"/>
          <w:lang w:val="en-GB"/>
        </w:rPr>
        <w:footnoteRef/>
      </w:r>
      <w:r w:rsidRPr="00485D32">
        <w:rPr>
          <w:lang w:val="en-GB"/>
        </w:rPr>
        <w:t xml:space="preserve"> Institute of Statistics of Turkey Gender Statistics. Retrieved from </w:t>
      </w:r>
      <w:hyperlink r:id="rId37" w:history="1">
        <w:r w:rsidRPr="00485D32">
          <w:rPr>
            <w:rStyle w:val="Hyperlink"/>
            <w:lang w:val="en-GB"/>
          </w:rPr>
          <w:t>http://tuik.gov.tr/PreTablo.do?alt_id=1068</w:t>
        </w:r>
      </w:hyperlink>
    </w:p>
  </w:footnote>
  <w:footnote w:id="58">
    <w:p w14:paraId="5D1F9F13" w14:textId="77777777" w:rsidR="00B72834" w:rsidRPr="00485D32" w:rsidRDefault="00B72834" w:rsidP="00F75D64">
      <w:pPr>
        <w:pStyle w:val="FootnoteText"/>
        <w:rPr>
          <w:lang w:val="en-GB"/>
        </w:rPr>
      </w:pPr>
      <w:r w:rsidRPr="00485D32">
        <w:rPr>
          <w:rStyle w:val="FootnoteReference"/>
          <w:lang w:val="en-GB"/>
        </w:rPr>
        <w:footnoteRef/>
      </w:r>
      <w:r w:rsidRPr="00485D32">
        <w:rPr>
          <w:lang w:val="en-GB"/>
        </w:rPr>
        <w:t xml:space="preserve"> Betül Ulukol, Akfer K. Kahiloğulları, &amp; Dinesh Sethi (Series Ed.). (2014). Adverse Childhood Experiences Survey Among University Students In Turkey Study Report 2013. p27. Retrieved from </w:t>
      </w:r>
      <w:hyperlink r:id="rId38" w:history="1">
        <w:r w:rsidRPr="00485D32">
          <w:rPr>
            <w:rStyle w:val="Hyperlink"/>
            <w:lang w:val="en-GB"/>
          </w:rPr>
          <w:t>http://www.euro.who.int/__data/assets/pdf_file/0010/267472/Adverse-childhood-experiences-survey-among-university-students-in-Turkey-Eng.pdf</w:t>
        </w:r>
      </w:hyperlink>
      <w:r w:rsidRPr="00485D32">
        <w:rPr>
          <w:lang w:val="en-GB"/>
        </w:rPr>
        <w:t xml:space="preserve"> </w:t>
      </w:r>
    </w:p>
  </w:footnote>
  <w:footnote w:id="59">
    <w:p w14:paraId="21268507" w14:textId="77777777" w:rsidR="00B72834" w:rsidRPr="00485D32" w:rsidRDefault="00B72834" w:rsidP="00F75D64">
      <w:pPr>
        <w:pStyle w:val="FootnoteText"/>
        <w:rPr>
          <w:rFonts w:cstheme="minorHAnsi"/>
          <w:lang w:val="en-GB"/>
        </w:rPr>
      </w:pPr>
      <w:r w:rsidRPr="00485D32">
        <w:rPr>
          <w:rStyle w:val="FootnoteReference"/>
          <w:lang w:val="en-GB"/>
        </w:rPr>
        <w:footnoteRef/>
      </w:r>
      <w:r w:rsidRPr="00485D32">
        <w:rPr>
          <w:lang w:val="en-GB"/>
        </w:rPr>
        <w:t xml:space="preserve"> </w:t>
      </w:r>
      <w:r w:rsidRPr="00485D32">
        <w:rPr>
          <w:rFonts w:cstheme="minorHAnsi"/>
          <w:lang w:val="en-GB"/>
        </w:rPr>
        <w:t>Ibid.</w:t>
      </w:r>
    </w:p>
  </w:footnote>
  <w:footnote w:id="60">
    <w:p w14:paraId="5DCA3150" w14:textId="77777777" w:rsidR="00B72834" w:rsidRPr="00485D32" w:rsidRDefault="00B72834" w:rsidP="00F75D64">
      <w:pPr>
        <w:pStyle w:val="FootnoteText"/>
        <w:rPr>
          <w:lang w:val="en-GB"/>
        </w:rPr>
      </w:pPr>
      <w:r w:rsidRPr="00485D32">
        <w:rPr>
          <w:rStyle w:val="FootnoteReference"/>
          <w:lang w:val="en-GB"/>
        </w:rPr>
        <w:footnoteRef/>
      </w:r>
      <w:r w:rsidRPr="00485D32">
        <w:rPr>
          <w:lang w:val="en-GB"/>
        </w:rPr>
        <w:t xml:space="preserve"> Ibid. </w:t>
      </w:r>
    </w:p>
  </w:footnote>
  <w:footnote w:id="61">
    <w:p w14:paraId="30D2A6C0" w14:textId="77777777" w:rsidR="00957FE1" w:rsidRPr="00485D32" w:rsidRDefault="00957FE1" w:rsidP="00957FE1">
      <w:pPr>
        <w:pStyle w:val="FootnoteText"/>
        <w:rPr>
          <w:lang w:val="en-GB"/>
        </w:rPr>
      </w:pPr>
      <w:r w:rsidRPr="00485D32">
        <w:rPr>
          <w:rStyle w:val="FootnoteReference"/>
          <w:lang w:val="en-GB"/>
        </w:rPr>
        <w:footnoteRef/>
      </w:r>
      <w:r w:rsidRPr="00485D32">
        <w:rPr>
          <w:lang w:val="en-GB"/>
        </w:rPr>
        <w:t xml:space="preserve"> Çayir, K., &amp; Çayir, K. (2014). Who are we? - Identity, citizenship and rights in Turkey’s textbooks (1. ed). Tarih Vakfı, History Foundation Publ.</w:t>
      </w:r>
    </w:p>
  </w:footnote>
  <w:footnote w:id="62">
    <w:p w14:paraId="1C53E1AE" w14:textId="77777777" w:rsidR="00957FE1" w:rsidRPr="00485D32" w:rsidRDefault="00957FE1" w:rsidP="00957FE1">
      <w:pPr>
        <w:pStyle w:val="FootnoteText"/>
        <w:rPr>
          <w:lang w:val="en-GB"/>
        </w:rPr>
      </w:pPr>
      <w:r w:rsidRPr="00485D32">
        <w:rPr>
          <w:rStyle w:val="FootnoteReference"/>
          <w:lang w:val="en-GB"/>
        </w:rPr>
        <w:footnoteRef/>
      </w:r>
      <w:r w:rsidRPr="00485D32">
        <w:rPr>
          <w:lang w:val="en-GB"/>
        </w:rPr>
        <w:t xml:space="preserve"> Canan Aratemur Çimen, &amp; Sezen Bayhan. (2019). Democratic Values and Democratic Citizenship in the Turkish Education System: Textbooks. European Liberal Forum.</w:t>
      </w:r>
    </w:p>
  </w:footnote>
  <w:footnote w:id="63">
    <w:p w14:paraId="59058017" w14:textId="77777777" w:rsidR="00B72834" w:rsidRPr="00485D32" w:rsidRDefault="00B72834">
      <w:pPr>
        <w:pStyle w:val="FootnoteText"/>
        <w:rPr>
          <w:lang w:val="en-GB"/>
        </w:rPr>
      </w:pPr>
      <w:r w:rsidRPr="00485D32">
        <w:rPr>
          <w:rStyle w:val="FootnoteReference"/>
          <w:lang w:val="en-GB"/>
        </w:rPr>
        <w:footnoteRef/>
      </w:r>
      <w:r w:rsidRPr="00485D32">
        <w:rPr>
          <w:lang w:val="en-GB"/>
        </w:rPr>
        <w:t xml:space="preserve"> Ucan Supurge Kadin Iletisim ve Arastirma Dernegi. (2020) Report on discrimination against girls in STEM education in Turkey.</w:t>
      </w:r>
    </w:p>
  </w:footnote>
  <w:footnote w:id="64">
    <w:p w14:paraId="430FCED1" w14:textId="77777777" w:rsidR="00564176" w:rsidRPr="00485D32" w:rsidRDefault="00564176">
      <w:pPr>
        <w:pStyle w:val="FootnoteText"/>
        <w:rPr>
          <w:lang w:val="en-GB"/>
        </w:rPr>
      </w:pPr>
      <w:r w:rsidRPr="00485D32">
        <w:rPr>
          <w:rStyle w:val="FootnoteReference"/>
          <w:lang w:val="en-GB"/>
        </w:rPr>
        <w:footnoteRef/>
      </w:r>
      <w:r w:rsidRPr="00485D32">
        <w:rPr>
          <w:lang w:val="en-GB"/>
        </w:rPr>
        <w:t xml:space="preserve"> Aydagül, Batuhan. (2019) Turkey’s Progress on Gender Equalıty In Educatıon Rests on Gender Polıtıcs </w:t>
      </w:r>
      <w:hyperlink r:id="rId39" w:history="1">
        <w:r w:rsidRPr="00485D32">
          <w:rPr>
            <w:rStyle w:val="Hyperlink"/>
            <w:lang w:val="en-GB"/>
          </w:rPr>
          <w:t>http://turkishpolicy.com/article/956/turkeys-progress-on-gender-equality-in-education-rests-on-gender-politics</w:t>
        </w:r>
      </w:hyperlink>
      <w:r w:rsidRPr="00485D32">
        <w:rPr>
          <w:lang w:val="en-GB"/>
        </w:rPr>
        <w:t xml:space="preserve"> </w:t>
      </w:r>
    </w:p>
  </w:footnote>
  <w:footnote w:id="65">
    <w:p w14:paraId="507E074F" w14:textId="77777777" w:rsidR="00B72834" w:rsidRPr="002E4A93" w:rsidRDefault="00B72834">
      <w:pPr>
        <w:pStyle w:val="FootnoteText"/>
      </w:pPr>
      <w:r w:rsidRPr="00485D32">
        <w:rPr>
          <w:rStyle w:val="FootnoteReference"/>
          <w:lang w:val="en-GB"/>
        </w:rPr>
        <w:footnoteRef/>
      </w:r>
      <w:r w:rsidRPr="00485D32">
        <w:rPr>
          <w:lang w:val="en-GB"/>
        </w:rPr>
        <w:t xml:space="preserve"> Funda Karapehlivan, “Constructing a ‘New Turkey’ through Education, 1 October 2019. </w:t>
      </w:r>
      <w:hyperlink r:id="rId40" w:history="1">
        <w:r w:rsidRPr="002E4A93">
          <w:rPr>
            <w:rStyle w:val="Hyperlink"/>
          </w:rPr>
          <w:t>https://tr.boell.org/en/2019/10/01/constructing-new-turkey-through-education</w:t>
        </w:r>
      </w:hyperlink>
      <w:r w:rsidRPr="002E4A93">
        <w:t xml:space="preserve"> </w:t>
      </w:r>
    </w:p>
  </w:footnote>
  <w:footnote w:id="66">
    <w:p w14:paraId="0DEB444F" w14:textId="77777777" w:rsidR="00B72834" w:rsidRPr="00485D32" w:rsidRDefault="00B72834" w:rsidP="003514EF">
      <w:pPr>
        <w:pStyle w:val="FootnoteText"/>
        <w:rPr>
          <w:lang w:val="en-GB"/>
        </w:rPr>
      </w:pPr>
      <w:r w:rsidRPr="00485D32">
        <w:rPr>
          <w:rStyle w:val="FootnoteReference"/>
          <w:lang w:val="en-GB"/>
        </w:rPr>
        <w:footnoteRef/>
      </w:r>
      <w:r w:rsidRPr="002E4A93">
        <w:t xml:space="preserve"> Çayir, K., &amp; Çayir, K. (2014). </w:t>
      </w:r>
      <w:r w:rsidRPr="00485D32">
        <w:rPr>
          <w:lang w:val="en-GB"/>
        </w:rPr>
        <w:t xml:space="preserve">Who are we? - Identity, citizenship and rights in Turkey’s textbooks (1. ed). Retrieved from </w:t>
      </w:r>
      <w:hyperlink r:id="rId41" w:history="1">
        <w:r w:rsidRPr="00485D32">
          <w:rPr>
            <w:rStyle w:val="Hyperlink"/>
            <w:lang w:val="en-GB"/>
          </w:rPr>
          <w:t>http://egitimdeinsanhaklari.org/media/documents/16_6_2015_17_23_3431e4.pdf</w:t>
        </w:r>
      </w:hyperlink>
      <w:r w:rsidRPr="00485D32">
        <w:rPr>
          <w:lang w:val="en-GB"/>
        </w:rPr>
        <w:t xml:space="preserve"> and Kaya, N. (2015). Türkiye eğitim sisteminde renk, etnik köken, dil, din ve inanç temelli ayrımcılık. Retrieved from </w:t>
      </w:r>
      <w:hyperlink r:id="rId42" w:history="1">
        <w:r w:rsidRPr="00485D32">
          <w:rPr>
            <w:rStyle w:val="Hyperlink"/>
            <w:lang w:val="en-GB"/>
          </w:rPr>
          <w:t>http://egitimdeinsanhaklari.org/media/documents/4_10_2015_22_27_38057e.pdf</w:t>
        </w:r>
      </w:hyperlink>
      <w:r w:rsidRPr="00485D32">
        <w:rPr>
          <w:lang w:val="en-GB"/>
        </w:rPr>
        <w:t xml:space="preserve"> and Tarih Vakfi. (2013). Minority Schools in Turkey from Past to Present : Problems Experienced and Proposed Solutions. Retrieved from </w:t>
      </w:r>
      <w:hyperlink r:id="rId43" w:history="1">
        <w:r w:rsidRPr="00485D32">
          <w:rPr>
            <w:rStyle w:val="Hyperlink"/>
            <w:lang w:val="en-GB"/>
          </w:rPr>
          <w:t>http://egitimdeinsanhaklari.org/media/documents/12_5_2015_17_27_3671c6.docx</w:t>
        </w:r>
      </w:hyperlink>
      <w:r w:rsidRPr="00485D32">
        <w:rPr>
          <w:lang w:val="en-GB"/>
        </w:rPr>
        <w:t xml:space="preserve"> </w:t>
      </w:r>
    </w:p>
  </w:footnote>
  <w:footnote w:id="67">
    <w:p w14:paraId="15A83FAD" w14:textId="77777777" w:rsidR="00B72834" w:rsidRPr="00485D32" w:rsidRDefault="00B72834" w:rsidP="003514EF">
      <w:pPr>
        <w:pStyle w:val="FootnoteText"/>
        <w:rPr>
          <w:lang w:val="en-GB"/>
        </w:rPr>
      </w:pPr>
      <w:r w:rsidRPr="00485D32">
        <w:rPr>
          <w:rStyle w:val="FootnoteReference"/>
          <w:lang w:val="en-GB"/>
        </w:rPr>
        <w:footnoteRef/>
      </w:r>
      <w:r w:rsidRPr="00485D32">
        <w:rPr>
          <w:lang w:val="en-GB"/>
        </w:rPr>
        <w:t xml:space="preserve"> Erdemli, I. (2018). Summary Note on Violence Against Children in Turkey. Retrieved from http://www.cocugasiddetionluyoruz.net/wp-content/uploads/VAC-2602191.pdf</w:t>
      </w:r>
    </w:p>
  </w:footnote>
  <w:footnote w:id="68">
    <w:p w14:paraId="729F936E" w14:textId="77777777" w:rsidR="00B72834" w:rsidRPr="00485D32" w:rsidRDefault="00B72834" w:rsidP="001A3242">
      <w:pPr>
        <w:pStyle w:val="FootnoteText"/>
        <w:rPr>
          <w:lang w:val="en-GB"/>
        </w:rPr>
      </w:pPr>
      <w:r w:rsidRPr="00485D32">
        <w:rPr>
          <w:rStyle w:val="FootnoteReference"/>
          <w:lang w:val="en-GB"/>
        </w:rPr>
        <w:footnoteRef/>
      </w:r>
      <w:r w:rsidRPr="00485D32">
        <w:rPr>
          <w:lang w:val="en-GB"/>
        </w:rPr>
        <w:t xml:space="preserve"> Institute of Statistics of Turkey, Labour Statistics 201</w:t>
      </w:r>
      <w:r w:rsidR="0026367A" w:rsidRPr="00485D32">
        <w:rPr>
          <w:lang w:val="en-GB"/>
        </w:rPr>
        <w:t>9</w:t>
      </w:r>
      <w:r w:rsidRPr="00485D32">
        <w:rPr>
          <w:lang w:val="en-GB"/>
        </w:rPr>
        <w:t xml:space="preserve">. </w:t>
      </w:r>
      <w:hyperlink r:id="rId44" w:history="1">
        <w:r w:rsidR="0026367A" w:rsidRPr="00485D32">
          <w:rPr>
            <w:rStyle w:val="Hyperlink"/>
            <w:lang w:val="en-GB"/>
          </w:rPr>
          <w:t>http://www.tuik.gov.tr/PreHaberBultenleri.do?id=33807</w:t>
        </w:r>
      </w:hyperlink>
      <w:r w:rsidR="0026367A" w:rsidRPr="00485D32">
        <w:rPr>
          <w:lang w:val="en-GB"/>
        </w:rPr>
        <w:t xml:space="preserve"> </w:t>
      </w:r>
    </w:p>
  </w:footnote>
  <w:footnote w:id="69">
    <w:p w14:paraId="6EE7DD04" w14:textId="77777777" w:rsidR="00B72834" w:rsidRPr="00485D32" w:rsidRDefault="00B72834" w:rsidP="001A3242">
      <w:pPr>
        <w:pStyle w:val="FootnoteText"/>
        <w:rPr>
          <w:lang w:val="en-GB"/>
        </w:rPr>
      </w:pPr>
      <w:r w:rsidRPr="00485D32">
        <w:rPr>
          <w:rStyle w:val="FootnoteReference"/>
          <w:lang w:val="en-GB"/>
        </w:rPr>
        <w:footnoteRef/>
      </w:r>
      <w:r w:rsidRPr="00485D32">
        <w:rPr>
          <w:lang w:val="en-GB"/>
        </w:rPr>
        <w:t xml:space="preserve"> Bahcesehir University Economic and Social Studies Centre </w:t>
      </w:r>
      <w:hyperlink r:id="rId45" w:history="1">
        <w:r w:rsidRPr="00485D32">
          <w:rPr>
            <w:rStyle w:val="Hyperlink"/>
            <w:lang w:val="en-GB"/>
          </w:rPr>
          <w:t>https://betam.bahcesehir.edu.tr/wp-content/uploads/2019/04/ArastirmaNotu241.pdf</w:t>
        </w:r>
      </w:hyperlink>
      <w:r w:rsidRPr="00485D32">
        <w:rPr>
          <w:lang w:val="en-GB"/>
        </w:rPr>
        <w:t xml:space="preserve"> </w:t>
      </w:r>
    </w:p>
  </w:footnote>
  <w:footnote w:id="70">
    <w:p w14:paraId="5016DE9C" w14:textId="77777777" w:rsidR="00F82662" w:rsidRPr="00485D32" w:rsidRDefault="00F82662">
      <w:pPr>
        <w:pStyle w:val="FootnoteText"/>
        <w:rPr>
          <w:lang w:val="en-GB"/>
        </w:rPr>
      </w:pPr>
      <w:r w:rsidRPr="00485D32">
        <w:rPr>
          <w:rStyle w:val="FootnoteReference"/>
          <w:lang w:val="en-GB"/>
        </w:rPr>
        <w:footnoteRef/>
      </w:r>
      <w:r w:rsidRPr="00485D32">
        <w:rPr>
          <w:lang w:val="en-GB"/>
        </w:rPr>
        <w:t xml:space="preserve"> </w:t>
      </w:r>
      <w:r w:rsidR="00BF2837" w:rsidRPr="00485D32">
        <w:rPr>
          <w:lang w:val="en-GB"/>
        </w:rPr>
        <w:t>supra</w:t>
      </w:r>
      <w:r w:rsidR="00BF2837" w:rsidRPr="00485D32">
        <w:rPr>
          <w:rFonts w:ascii="Calibri" w:hAnsi="Calibri"/>
          <w:lang w:val="en-GB"/>
        </w:rPr>
        <w:t>§68</w:t>
      </w:r>
      <w:r w:rsidR="00BF2837" w:rsidRPr="00485D32">
        <w:rPr>
          <w:lang w:val="en-GB"/>
        </w:rPr>
        <w:t xml:space="preserve"> </w:t>
      </w:r>
    </w:p>
  </w:footnote>
  <w:footnote w:id="71">
    <w:p w14:paraId="1866DFC4" w14:textId="77777777" w:rsidR="00BF2837" w:rsidRPr="00485D32" w:rsidRDefault="00BF2837">
      <w:pPr>
        <w:pStyle w:val="FootnoteText"/>
        <w:rPr>
          <w:lang w:val="en-GB"/>
        </w:rPr>
      </w:pPr>
      <w:r w:rsidRPr="00485D32">
        <w:rPr>
          <w:rStyle w:val="FootnoteReference"/>
          <w:lang w:val="en-GB"/>
        </w:rPr>
        <w:footnoteRef/>
      </w:r>
      <w:r w:rsidRPr="00485D32">
        <w:rPr>
          <w:lang w:val="en-GB"/>
        </w:rPr>
        <w:t xml:space="preserve"> supra</w:t>
      </w:r>
      <w:r w:rsidRPr="00485D32">
        <w:rPr>
          <w:rFonts w:ascii="Calibri" w:hAnsi="Calibri"/>
          <w:lang w:val="en-GB"/>
        </w:rPr>
        <w:t>§68</w:t>
      </w:r>
    </w:p>
  </w:footnote>
  <w:footnote w:id="72">
    <w:p w14:paraId="3DA3148E"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Child Protection Law (English translation by UNICEF Turkey) </w:t>
      </w:r>
      <w:hyperlink r:id="rId46" w:history="1">
        <w:r w:rsidRPr="00485D32">
          <w:rPr>
            <w:rStyle w:val="Hyperlink"/>
            <w:lang w:val="en-GB"/>
          </w:rPr>
          <w:t>http://www.unicef.org.tr/files/bilgimerkezi/doc/child-protection-law.pdf</w:t>
        </w:r>
      </w:hyperlink>
      <w:r w:rsidRPr="00485D32">
        <w:rPr>
          <w:lang w:val="en-GB"/>
        </w:rPr>
        <w:t xml:space="preserve"> </w:t>
      </w:r>
    </w:p>
  </w:footnote>
  <w:footnote w:id="73">
    <w:p w14:paraId="345867D3"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Institute of Statistics of Turkey on Juveniles Received into Security Unit 201</w:t>
      </w:r>
      <w:r w:rsidR="00AF29CD" w:rsidRPr="00485D32">
        <w:rPr>
          <w:lang w:val="en-GB"/>
        </w:rPr>
        <w:t>9</w:t>
      </w:r>
      <w:r w:rsidRPr="00485D32">
        <w:rPr>
          <w:lang w:val="en-GB"/>
        </w:rPr>
        <w:t xml:space="preserve"> </w:t>
      </w:r>
      <w:hyperlink r:id="rId47" w:history="1">
        <w:r w:rsidRPr="00485D32">
          <w:rPr>
            <w:rStyle w:val="Hyperlink"/>
            <w:lang w:val="en-GB"/>
          </w:rPr>
          <w:t>http://tuik.gov.tr/PreTablo.do?alt_id=1070</w:t>
        </w:r>
      </w:hyperlink>
      <w:r w:rsidRPr="00485D32">
        <w:rPr>
          <w:lang w:val="en-GB"/>
        </w:rPr>
        <w:t xml:space="preserve"> </w:t>
      </w:r>
    </w:p>
  </w:footnote>
  <w:footnote w:id="74">
    <w:p w14:paraId="3E93D422" w14:textId="77777777" w:rsidR="00B920B1" w:rsidRPr="00485D32" w:rsidRDefault="00B920B1" w:rsidP="00B920B1">
      <w:pPr>
        <w:pStyle w:val="FootnoteText"/>
        <w:rPr>
          <w:lang w:val="en-GB"/>
        </w:rPr>
      </w:pPr>
      <w:r w:rsidRPr="00485D32">
        <w:rPr>
          <w:rStyle w:val="FootnoteReference"/>
          <w:lang w:val="en-GB"/>
        </w:rPr>
        <w:footnoteRef/>
      </w:r>
      <w:r w:rsidRPr="00485D32">
        <w:rPr>
          <w:lang w:val="en-GB"/>
        </w:rPr>
        <w:t xml:space="preserve"> Human Rights Association 2019 Report </w:t>
      </w:r>
    </w:p>
  </w:footnote>
  <w:footnote w:id="75">
    <w:p w14:paraId="483DE4F5" w14:textId="77777777" w:rsidR="006270CD" w:rsidRPr="00485D32" w:rsidRDefault="006270CD">
      <w:pPr>
        <w:pStyle w:val="FootnoteText"/>
        <w:rPr>
          <w:lang w:val="en-GB"/>
        </w:rPr>
      </w:pPr>
      <w:r w:rsidRPr="00485D32">
        <w:rPr>
          <w:rStyle w:val="FootnoteReference"/>
          <w:lang w:val="en-GB"/>
        </w:rPr>
        <w:footnoteRef/>
      </w:r>
      <w:r w:rsidRPr="00485D32">
        <w:rPr>
          <w:lang w:val="en-GB"/>
        </w:rPr>
        <w:t xml:space="preserve"> </w:t>
      </w:r>
      <w:r w:rsidR="00485D32" w:rsidRPr="00485D32">
        <w:rPr>
          <w:lang w:val="en-GB"/>
        </w:rPr>
        <w:t xml:space="preserve">Ministry of Justice </w:t>
      </w:r>
      <w:r w:rsidR="00485D32">
        <w:rPr>
          <w:lang w:val="en-GB"/>
        </w:rPr>
        <w:t>Statistics 2019.</w:t>
      </w:r>
      <w:r w:rsidR="00485D32" w:rsidRPr="00485D32">
        <w:rPr>
          <w:lang w:val="en-GB"/>
        </w:rPr>
        <w:t xml:space="preserve"> p</w:t>
      </w:r>
      <w:r w:rsidRPr="00485D32">
        <w:rPr>
          <w:lang w:val="en-GB"/>
        </w:rPr>
        <w:t>32</w:t>
      </w:r>
      <w:r w:rsidR="00485D32">
        <w:rPr>
          <w:lang w:val="en-GB"/>
        </w:rPr>
        <w:t>.</w:t>
      </w:r>
    </w:p>
  </w:footnote>
  <w:footnote w:id="76">
    <w:p w14:paraId="09856539"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Ministry of Justice Probation Services Department Statistics 2019 </w:t>
      </w:r>
      <w:hyperlink r:id="rId48" w:history="1">
        <w:r w:rsidRPr="00485D32">
          <w:rPr>
            <w:rStyle w:val="Hyperlink"/>
            <w:lang w:val="en-GB"/>
          </w:rPr>
          <w:t>http://www.cte-ds.adalet.gov.tr</w:t>
        </w:r>
      </w:hyperlink>
      <w:r w:rsidRPr="00485D32">
        <w:rPr>
          <w:lang w:val="en-GB"/>
        </w:rPr>
        <w:t xml:space="preserve"> </w:t>
      </w:r>
    </w:p>
  </w:footnote>
  <w:footnote w:id="77">
    <w:p w14:paraId="5D88E37E" w14:textId="77777777" w:rsidR="00B72834" w:rsidRPr="00485D32" w:rsidRDefault="00B72834" w:rsidP="006E2EF9">
      <w:pPr>
        <w:pStyle w:val="FootnoteText"/>
        <w:rPr>
          <w:lang w:val="en-GB"/>
        </w:rPr>
      </w:pPr>
      <w:r w:rsidRPr="00485D32">
        <w:rPr>
          <w:rStyle w:val="FootnoteReference"/>
          <w:lang w:val="en-GB"/>
        </w:rPr>
        <w:footnoteRef/>
      </w:r>
      <w:r w:rsidRPr="00485D32">
        <w:rPr>
          <w:lang w:val="en-GB"/>
        </w:rPr>
        <w:t xml:space="preserve"> Poyraz Fındık, O. T., Rodopman Arman, A., Erturk Altınel, N., Durlanık, E. G., Ozbek, H., &amp; Semerci, B. (2018). Psychiatric evaluation of juvenile delinquents under probation in the context of recidivism. Psychiatry and Clinical Psychopharmacology, 1–8. </w:t>
      </w:r>
      <w:hyperlink r:id="rId49" w:history="1">
        <w:r w:rsidRPr="00485D32">
          <w:rPr>
            <w:rStyle w:val="Hyperlink"/>
            <w:lang w:val="en-GB"/>
          </w:rPr>
          <w:t>https://doi.org/10.1080/24750573.2018.1505282</w:t>
        </w:r>
      </w:hyperlink>
      <w:r w:rsidRPr="00485D32">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52F4C" w14:textId="6E420782" w:rsidR="00B72834" w:rsidRPr="00B6593B" w:rsidRDefault="00B72834">
    <w:pPr>
      <w:pStyle w:val="Header"/>
      <w:rPr>
        <w:lang w:val="en-GB"/>
      </w:rPr>
    </w:pPr>
    <w:r w:rsidRPr="00B6593B">
      <w:rPr>
        <w:lang w:val="en-GB"/>
      </w:rPr>
      <w:t xml:space="preserve">Report of the Partnership Network </w:t>
    </w:r>
    <w:r>
      <w:rPr>
        <w:lang w:val="en-GB"/>
      </w:rPr>
      <w:t xml:space="preserve">for the Prevention of Violence against Children Turkey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6C5E"/>
    <w:multiLevelType w:val="hybridMultilevel"/>
    <w:tmpl w:val="4EF46DF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2EA7B2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A63469"/>
    <w:multiLevelType w:val="hybridMultilevel"/>
    <w:tmpl w:val="AED0ED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57D401C"/>
    <w:multiLevelType w:val="hybridMultilevel"/>
    <w:tmpl w:val="4EB4E7D2"/>
    <w:lvl w:ilvl="0" w:tplc="BA284794">
      <w:start w:val="1"/>
      <w:numFmt w:val="bullet"/>
      <w:lvlText w:val=""/>
      <w:lvlJc w:val="left"/>
      <w:pPr>
        <w:ind w:left="36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8210DE8"/>
    <w:multiLevelType w:val="hybridMultilevel"/>
    <w:tmpl w:val="5A2EF29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8C10C0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C519EF"/>
    <w:multiLevelType w:val="hybridMultilevel"/>
    <w:tmpl w:val="3B26AC02"/>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0A2904A0"/>
    <w:multiLevelType w:val="hybridMultilevel"/>
    <w:tmpl w:val="158284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177475E"/>
    <w:multiLevelType w:val="hybridMultilevel"/>
    <w:tmpl w:val="61465A6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12866575"/>
    <w:multiLevelType w:val="hybridMultilevel"/>
    <w:tmpl w:val="F234620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99116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450EE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1862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FD7FA9"/>
    <w:multiLevelType w:val="hybridMultilevel"/>
    <w:tmpl w:val="9BAA5C96"/>
    <w:lvl w:ilvl="0" w:tplc="BA284794">
      <w:start w:val="1"/>
      <w:numFmt w:val="bullet"/>
      <w:lvlText w:val=""/>
      <w:lvlJc w:val="left"/>
      <w:pPr>
        <w:ind w:left="36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37D256D"/>
    <w:multiLevelType w:val="hybridMultilevel"/>
    <w:tmpl w:val="F1C83F0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265F4C23"/>
    <w:multiLevelType w:val="hybridMultilevel"/>
    <w:tmpl w:val="42F412A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7482D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AE3F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0135D5"/>
    <w:multiLevelType w:val="hybridMultilevel"/>
    <w:tmpl w:val="C7F0BDE2"/>
    <w:lvl w:ilvl="0" w:tplc="4CB88124">
      <w:numFmt w:val="bullet"/>
      <w:lvlText w:val="•"/>
      <w:lvlJc w:val="left"/>
      <w:pPr>
        <w:ind w:left="1060" w:hanging="70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BF757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0916E21"/>
    <w:multiLevelType w:val="hybridMultilevel"/>
    <w:tmpl w:val="6146444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3114104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7260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78817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CE15734"/>
    <w:multiLevelType w:val="hybridMultilevel"/>
    <w:tmpl w:val="60E2130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422B2E7F"/>
    <w:multiLevelType w:val="hybridMultilevel"/>
    <w:tmpl w:val="02B6771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4231068F"/>
    <w:multiLevelType w:val="hybridMultilevel"/>
    <w:tmpl w:val="73C262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2B9020B"/>
    <w:multiLevelType w:val="hybridMultilevel"/>
    <w:tmpl w:val="03064A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2EB7C1F"/>
    <w:multiLevelType w:val="hybridMultilevel"/>
    <w:tmpl w:val="E5F45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30C6990"/>
    <w:multiLevelType w:val="hybridMultilevel"/>
    <w:tmpl w:val="213E970E"/>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44831918"/>
    <w:multiLevelType w:val="hybridMultilevel"/>
    <w:tmpl w:val="DCFEAF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49B33C2"/>
    <w:multiLevelType w:val="hybridMultilevel"/>
    <w:tmpl w:val="B4DA84F0"/>
    <w:lvl w:ilvl="0" w:tplc="4CB88124">
      <w:numFmt w:val="bullet"/>
      <w:lvlText w:val="•"/>
      <w:lvlJc w:val="left"/>
      <w:pPr>
        <w:ind w:left="1060" w:hanging="70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4BD4C7D"/>
    <w:multiLevelType w:val="hybridMultilevel"/>
    <w:tmpl w:val="53E26A8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46D52ED3"/>
    <w:multiLevelType w:val="hybridMultilevel"/>
    <w:tmpl w:val="1F56A10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48093AC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FE67C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867E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2F437B"/>
    <w:multiLevelType w:val="hybridMultilevel"/>
    <w:tmpl w:val="EC5C4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5B8248D6"/>
    <w:multiLevelType w:val="hybridMultilevel"/>
    <w:tmpl w:val="0AD6152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5C241149"/>
    <w:multiLevelType w:val="hybridMultilevel"/>
    <w:tmpl w:val="333268DC"/>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0" w15:restartNumberingAfterBreak="0">
    <w:nsid w:val="5D070F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F0B7B82"/>
    <w:multiLevelType w:val="hybridMultilevel"/>
    <w:tmpl w:val="098C7BAE"/>
    <w:lvl w:ilvl="0" w:tplc="4CB88124">
      <w:numFmt w:val="bullet"/>
      <w:lvlText w:val="•"/>
      <w:lvlJc w:val="left"/>
      <w:pPr>
        <w:ind w:left="1060" w:hanging="70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1CC2043"/>
    <w:multiLevelType w:val="hybridMultilevel"/>
    <w:tmpl w:val="E1AADEA2"/>
    <w:lvl w:ilvl="0" w:tplc="4CB88124">
      <w:numFmt w:val="bullet"/>
      <w:lvlText w:val="•"/>
      <w:lvlJc w:val="left"/>
      <w:pPr>
        <w:ind w:left="700" w:hanging="70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15:restartNumberingAfterBreak="0">
    <w:nsid w:val="66465F1D"/>
    <w:multiLevelType w:val="hybridMultilevel"/>
    <w:tmpl w:val="5ED0ED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694F3A1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F326C8"/>
    <w:multiLevelType w:val="hybridMultilevel"/>
    <w:tmpl w:val="57B2B0F8"/>
    <w:lvl w:ilvl="0" w:tplc="BA284794">
      <w:start w:val="1"/>
      <w:numFmt w:val="bullet"/>
      <w:lvlText w:val=""/>
      <w:lvlJc w:val="left"/>
      <w:pPr>
        <w:ind w:left="360" w:hanging="360"/>
      </w:pPr>
      <w:rPr>
        <w:rFonts w:ascii="Symbol" w:hAnsi="Symbol" w:hint="default"/>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75545ECE"/>
    <w:multiLevelType w:val="hybridMultilevel"/>
    <w:tmpl w:val="B164D8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7B6B1661"/>
    <w:multiLevelType w:val="hybridMultilevel"/>
    <w:tmpl w:val="C3B2007E"/>
    <w:lvl w:ilvl="0" w:tplc="4CB88124">
      <w:numFmt w:val="bullet"/>
      <w:lvlText w:val="•"/>
      <w:lvlJc w:val="left"/>
      <w:pPr>
        <w:ind w:left="1060" w:hanging="70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E7F23F8"/>
    <w:multiLevelType w:val="hybridMultilevel"/>
    <w:tmpl w:val="42F2A6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7F9249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3"/>
  </w:num>
  <w:num w:numId="2">
    <w:abstractNumId w:val="8"/>
  </w:num>
  <w:num w:numId="3">
    <w:abstractNumId w:val="14"/>
  </w:num>
  <w:num w:numId="4">
    <w:abstractNumId w:val="32"/>
  </w:num>
  <w:num w:numId="5">
    <w:abstractNumId w:val="25"/>
  </w:num>
  <w:num w:numId="6">
    <w:abstractNumId w:val="15"/>
  </w:num>
  <w:num w:numId="7">
    <w:abstractNumId w:val="9"/>
  </w:num>
  <w:num w:numId="8">
    <w:abstractNumId w:val="39"/>
  </w:num>
  <w:num w:numId="9">
    <w:abstractNumId w:val="43"/>
  </w:num>
  <w:num w:numId="10">
    <w:abstractNumId w:val="29"/>
  </w:num>
  <w:num w:numId="11">
    <w:abstractNumId w:val="4"/>
  </w:num>
  <w:num w:numId="12">
    <w:abstractNumId w:val="27"/>
  </w:num>
  <w:num w:numId="13">
    <w:abstractNumId w:val="38"/>
  </w:num>
  <w:num w:numId="14">
    <w:abstractNumId w:val="26"/>
  </w:num>
  <w:num w:numId="15">
    <w:abstractNumId w:val="46"/>
  </w:num>
  <w:num w:numId="16">
    <w:abstractNumId w:val="2"/>
  </w:num>
  <w:num w:numId="17">
    <w:abstractNumId w:val="7"/>
  </w:num>
  <w:num w:numId="18">
    <w:abstractNumId w:val="37"/>
  </w:num>
  <w:num w:numId="19">
    <w:abstractNumId w:val="30"/>
  </w:num>
  <w:num w:numId="20">
    <w:abstractNumId w:val="48"/>
  </w:num>
  <w:num w:numId="21">
    <w:abstractNumId w:val="6"/>
  </w:num>
  <w:num w:numId="22">
    <w:abstractNumId w:val="11"/>
  </w:num>
  <w:num w:numId="23">
    <w:abstractNumId w:val="0"/>
  </w:num>
  <w:num w:numId="24">
    <w:abstractNumId w:val="24"/>
  </w:num>
  <w:num w:numId="25">
    <w:abstractNumId w:val="20"/>
  </w:num>
  <w:num w:numId="26">
    <w:abstractNumId w:val="28"/>
  </w:num>
  <w:num w:numId="27">
    <w:abstractNumId w:val="45"/>
  </w:num>
  <w:num w:numId="28">
    <w:abstractNumId w:val="13"/>
  </w:num>
  <w:num w:numId="29">
    <w:abstractNumId w:val="3"/>
  </w:num>
  <w:num w:numId="30">
    <w:abstractNumId w:val="47"/>
  </w:num>
  <w:num w:numId="31">
    <w:abstractNumId w:val="41"/>
  </w:num>
  <w:num w:numId="32">
    <w:abstractNumId w:val="18"/>
  </w:num>
  <w:num w:numId="33">
    <w:abstractNumId w:val="31"/>
  </w:num>
  <w:num w:numId="34">
    <w:abstractNumId w:val="42"/>
  </w:num>
  <w:num w:numId="35">
    <w:abstractNumId w:val="12"/>
  </w:num>
  <w:num w:numId="36">
    <w:abstractNumId w:val="40"/>
  </w:num>
  <w:num w:numId="37">
    <w:abstractNumId w:val="5"/>
  </w:num>
  <w:num w:numId="38">
    <w:abstractNumId w:val="17"/>
  </w:num>
  <w:num w:numId="39">
    <w:abstractNumId w:val="10"/>
  </w:num>
  <w:num w:numId="40">
    <w:abstractNumId w:val="49"/>
  </w:num>
  <w:num w:numId="41">
    <w:abstractNumId w:val="34"/>
  </w:num>
  <w:num w:numId="42">
    <w:abstractNumId w:val="44"/>
  </w:num>
  <w:num w:numId="43">
    <w:abstractNumId w:val="21"/>
  </w:num>
  <w:num w:numId="44">
    <w:abstractNumId w:val="19"/>
  </w:num>
  <w:num w:numId="45">
    <w:abstractNumId w:val="36"/>
  </w:num>
  <w:num w:numId="46">
    <w:abstractNumId w:val="1"/>
  </w:num>
  <w:num w:numId="47">
    <w:abstractNumId w:val="22"/>
  </w:num>
  <w:num w:numId="48">
    <w:abstractNumId w:val="16"/>
  </w:num>
  <w:num w:numId="49">
    <w:abstractNumId w:val="23"/>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254"/>
    <w:rsid w:val="000037E6"/>
    <w:rsid w:val="00006C59"/>
    <w:rsid w:val="000120C8"/>
    <w:rsid w:val="00026FD7"/>
    <w:rsid w:val="00034B9D"/>
    <w:rsid w:val="000358E9"/>
    <w:rsid w:val="00037AD5"/>
    <w:rsid w:val="00050637"/>
    <w:rsid w:val="000562D2"/>
    <w:rsid w:val="00065EBE"/>
    <w:rsid w:val="000755D5"/>
    <w:rsid w:val="00082852"/>
    <w:rsid w:val="00083177"/>
    <w:rsid w:val="000952ED"/>
    <w:rsid w:val="000A0778"/>
    <w:rsid w:val="000B4C42"/>
    <w:rsid w:val="000B7B5F"/>
    <w:rsid w:val="000C303D"/>
    <w:rsid w:val="000C3EB1"/>
    <w:rsid w:val="000D10AD"/>
    <w:rsid w:val="000D3EB4"/>
    <w:rsid w:val="000D6543"/>
    <w:rsid w:val="000D698A"/>
    <w:rsid w:val="000D7F75"/>
    <w:rsid w:val="000E0B31"/>
    <w:rsid w:val="000E295E"/>
    <w:rsid w:val="000F0E1E"/>
    <w:rsid w:val="000F4171"/>
    <w:rsid w:val="00102788"/>
    <w:rsid w:val="00124E8A"/>
    <w:rsid w:val="00126C78"/>
    <w:rsid w:val="001347BE"/>
    <w:rsid w:val="00137271"/>
    <w:rsid w:val="00147304"/>
    <w:rsid w:val="00160EE0"/>
    <w:rsid w:val="00167E0A"/>
    <w:rsid w:val="00170259"/>
    <w:rsid w:val="00187AC2"/>
    <w:rsid w:val="001903B8"/>
    <w:rsid w:val="00195CE5"/>
    <w:rsid w:val="001A0D39"/>
    <w:rsid w:val="001A2FE8"/>
    <w:rsid w:val="001A3242"/>
    <w:rsid w:val="001D6ED6"/>
    <w:rsid w:val="001E237A"/>
    <w:rsid w:val="001E6D92"/>
    <w:rsid w:val="001F5F6B"/>
    <w:rsid w:val="00206B87"/>
    <w:rsid w:val="00207A63"/>
    <w:rsid w:val="00223074"/>
    <w:rsid w:val="00245120"/>
    <w:rsid w:val="00250E43"/>
    <w:rsid w:val="00257100"/>
    <w:rsid w:val="0026367A"/>
    <w:rsid w:val="00266FB7"/>
    <w:rsid w:val="00267A5F"/>
    <w:rsid w:val="00291772"/>
    <w:rsid w:val="002970B5"/>
    <w:rsid w:val="002B41AF"/>
    <w:rsid w:val="002C1B89"/>
    <w:rsid w:val="002C6F9A"/>
    <w:rsid w:val="002D0582"/>
    <w:rsid w:val="002E4A93"/>
    <w:rsid w:val="002E7025"/>
    <w:rsid w:val="002F0C00"/>
    <w:rsid w:val="00301055"/>
    <w:rsid w:val="003028A5"/>
    <w:rsid w:val="003034DE"/>
    <w:rsid w:val="00312F1F"/>
    <w:rsid w:val="00315D52"/>
    <w:rsid w:val="003217DA"/>
    <w:rsid w:val="003236EC"/>
    <w:rsid w:val="00324F33"/>
    <w:rsid w:val="00330DB1"/>
    <w:rsid w:val="003417B7"/>
    <w:rsid w:val="00343D6D"/>
    <w:rsid w:val="00345941"/>
    <w:rsid w:val="003509AE"/>
    <w:rsid w:val="003514EF"/>
    <w:rsid w:val="0035511B"/>
    <w:rsid w:val="00370540"/>
    <w:rsid w:val="00382C6E"/>
    <w:rsid w:val="003918ED"/>
    <w:rsid w:val="00391E7A"/>
    <w:rsid w:val="0039296A"/>
    <w:rsid w:val="0039381E"/>
    <w:rsid w:val="003942E1"/>
    <w:rsid w:val="00394BD1"/>
    <w:rsid w:val="003A4E09"/>
    <w:rsid w:val="003D6F77"/>
    <w:rsid w:val="003E2A86"/>
    <w:rsid w:val="00406DD9"/>
    <w:rsid w:val="00406E29"/>
    <w:rsid w:val="0041295A"/>
    <w:rsid w:val="0041783A"/>
    <w:rsid w:val="00425BEA"/>
    <w:rsid w:val="00431E32"/>
    <w:rsid w:val="00437D7F"/>
    <w:rsid w:val="00453C6F"/>
    <w:rsid w:val="00476021"/>
    <w:rsid w:val="00482433"/>
    <w:rsid w:val="0048271C"/>
    <w:rsid w:val="00482A6B"/>
    <w:rsid w:val="00485D32"/>
    <w:rsid w:val="0049294A"/>
    <w:rsid w:val="00494085"/>
    <w:rsid w:val="004B3C52"/>
    <w:rsid w:val="004B7A71"/>
    <w:rsid w:val="004C1181"/>
    <w:rsid w:val="004C174E"/>
    <w:rsid w:val="004C2E6A"/>
    <w:rsid w:val="004D1476"/>
    <w:rsid w:val="004D3D5D"/>
    <w:rsid w:val="004D4198"/>
    <w:rsid w:val="004E1A43"/>
    <w:rsid w:val="004E687D"/>
    <w:rsid w:val="004F3DD5"/>
    <w:rsid w:val="00505C99"/>
    <w:rsid w:val="00514039"/>
    <w:rsid w:val="005319FE"/>
    <w:rsid w:val="005321FA"/>
    <w:rsid w:val="00544217"/>
    <w:rsid w:val="00544FC9"/>
    <w:rsid w:val="00545B05"/>
    <w:rsid w:val="005533CD"/>
    <w:rsid w:val="0055602E"/>
    <w:rsid w:val="00557CE1"/>
    <w:rsid w:val="00564176"/>
    <w:rsid w:val="0056786E"/>
    <w:rsid w:val="00574FB1"/>
    <w:rsid w:val="005878A4"/>
    <w:rsid w:val="00587E84"/>
    <w:rsid w:val="005A71DB"/>
    <w:rsid w:val="005B464F"/>
    <w:rsid w:val="005B79A5"/>
    <w:rsid w:val="005C725E"/>
    <w:rsid w:val="005C7FA9"/>
    <w:rsid w:val="005D1B81"/>
    <w:rsid w:val="005D4076"/>
    <w:rsid w:val="005E1599"/>
    <w:rsid w:val="005F2B02"/>
    <w:rsid w:val="005F3D46"/>
    <w:rsid w:val="00601500"/>
    <w:rsid w:val="00604F98"/>
    <w:rsid w:val="00607F25"/>
    <w:rsid w:val="0061123F"/>
    <w:rsid w:val="006236D3"/>
    <w:rsid w:val="00624C6C"/>
    <w:rsid w:val="006270CD"/>
    <w:rsid w:val="00627753"/>
    <w:rsid w:val="006306ED"/>
    <w:rsid w:val="006357CA"/>
    <w:rsid w:val="00654B65"/>
    <w:rsid w:val="0066221F"/>
    <w:rsid w:val="0066237D"/>
    <w:rsid w:val="00662F74"/>
    <w:rsid w:val="006662DF"/>
    <w:rsid w:val="00673807"/>
    <w:rsid w:val="00675740"/>
    <w:rsid w:val="00683FEF"/>
    <w:rsid w:val="0069482C"/>
    <w:rsid w:val="006A7ACA"/>
    <w:rsid w:val="006B0920"/>
    <w:rsid w:val="006C306C"/>
    <w:rsid w:val="006C36F4"/>
    <w:rsid w:val="006D0BC5"/>
    <w:rsid w:val="006D0DAC"/>
    <w:rsid w:val="006D4713"/>
    <w:rsid w:val="006E1A51"/>
    <w:rsid w:val="006E2EF9"/>
    <w:rsid w:val="006E3A14"/>
    <w:rsid w:val="006E4200"/>
    <w:rsid w:val="006F3DC8"/>
    <w:rsid w:val="00703581"/>
    <w:rsid w:val="00713CBD"/>
    <w:rsid w:val="007141E4"/>
    <w:rsid w:val="00726828"/>
    <w:rsid w:val="007351D0"/>
    <w:rsid w:val="00742E04"/>
    <w:rsid w:val="00745426"/>
    <w:rsid w:val="00756872"/>
    <w:rsid w:val="00756E41"/>
    <w:rsid w:val="00765642"/>
    <w:rsid w:val="007718D0"/>
    <w:rsid w:val="00773724"/>
    <w:rsid w:val="00773FD0"/>
    <w:rsid w:val="0078683F"/>
    <w:rsid w:val="00791BF4"/>
    <w:rsid w:val="007933E0"/>
    <w:rsid w:val="007970C4"/>
    <w:rsid w:val="007A6ABC"/>
    <w:rsid w:val="007B5A34"/>
    <w:rsid w:val="007B73B5"/>
    <w:rsid w:val="007C1BD3"/>
    <w:rsid w:val="007D0C73"/>
    <w:rsid w:val="007D31F0"/>
    <w:rsid w:val="007D439F"/>
    <w:rsid w:val="007E57DE"/>
    <w:rsid w:val="007E5F21"/>
    <w:rsid w:val="007F3BBD"/>
    <w:rsid w:val="007F408C"/>
    <w:rsid w:val="007F47FA"/>
    <w:rsid w:val="007F4C79"/>
    <w:rsid w:val="00800130"/>
    <w:rsid w:val="0081022F"/>
    <w:rsid w:val="008152EC"/>
    <w:rsid w:val="00815D27"/>
    <w:rsid w:val="00820571"/>
    <w:rsid w:val="00823A1C"/>
    <w:rsid w:val="00827776"/>
    <w:rsid w:val="00833085"/>
    <w:rsid w:val="00847A92"/>
    <w:rsid w:val="00857D3E"/>
    <w:rsid w:val="00863254"/>
    <w:rsid w:val="008642A3"/>
    <w:rsid w:val="008672D0"/>
    <w:rsid w:val="00871AF9"/>
    <w:rsid w:val="00884074"/>
    <w:rsid w:val="00886AA5"/>
    <w:rsid w:val="008964AB"/>
    <w:rsid w:val="008A22BE"/>
    <w:rsid w:val="008A39F5"/>
    <w:rsid w:val="008A6308"/>
    <w:rsid w:val="008A7DF2"/>
    <w:rsid w:val="008B0BFB"/>
    <w:rsid w:val="008B4E5B"/>
    <w:rsid w:val="008C44AC"/>
    <w:rsid w:val="008D1AC3"/>
    <w:rsid w:val="008D294C"/>
    <w:rsid w:val="008D5D66"/>
    <w:rsid w:val="008E26E6"/>
    <w:rsid w:val="008E2EC0"/>
    <w:rsid w:val="008E489A"/>
    <w:rsid w:val="00900D70"/>
    <w:rsid w:val="00906CC8"/>
    <w:rsid w:val="00906FF2"/>
    <w:rsid w:val="009104F7"/>
    <w:rsid w:val="009139BF"/>
    <w:rsid w:val="00930119"/>
    <w:rsid w:val="00932889"/>
    <w:rsid w:val="00941F5A"/>
    <w:rsid w:val="00942097"/>
    <w:rsid w:val="00942139"/>
    <w:rsid w:val="00943939"/>
    <w:rsid w:val="009509BE"/>
    <w:rsid w:val="00957FE1"/>
    <w:rsid w:val="00961C3C"/>
    <w:rsid w:val="00964242"/>
    <w:rsid w:val="00974703"/>
    <w:rsid w:val="009773E7"/>
    <w:rsid w:val="00980250"/>
    <w:rsid w:val="00980470"/>
    <w:rsid w:val="00990129"/>
    <w:rsid w:val="0099471E"/>
    <w:rsid w:val="00994D8A"/>
    <w:rsid w:val="009B1B4F"/>
    <w:rsid w:val="009B1BE0"/>
    <w:rsid w:val="009B476F"/>
    <w:rsid w:val="009C3EB5"/>
    <w:rsid w:val="009D53FE"/>
    <w:rsid w:val="009F525B"/>
    <w:rsid w:val="00A00B4F"/>
    <w:rsid w:val="00A12F5B"/>
    <w:rsid w:val="00A1501F"/>
    <w:rsid w:val="00A2797A"/>
    <w:rsid w:val="00A44D7A"/>
    <w:rsid w:val="00A53F42"/>
    <w:rsid w:val="00A668E1"/>
    <w:rsid w:val="00A80D36"/>
    <w:rsid w:val="00A80E8C"/>
    <w:rsid w:val="00A8336C"/>
    <w:rsid w:val="00AA3066"/>
    <w:rsid w:val="00AB4076"/>
    <w:rsid w:val="00AC2972"/>
    <w:rsid w:val="00AD190A"/>
    <w:rsid w:val="00AD2E97"/>
    <w:rsid w:val="00AD4E01"/>
    <w:rsid w:val="00AD5E01"/>
    <w:rsid w:val="00AD7469"/>
    <w:rsid w:val="00AE0813"/>
    <w:rsid w:val="00AF06B5"/>
    <w:rsid w:val="00AF07C8"/>
    <w:rsid w:val="00AF29CD"/>
    <w:rsid w:val="00B007A3"/>
    <w:rsid w:val="00B0793A"/>
    <w:rsid w:val="00B13AE4"/>
    <w:rsid w:val="00B14FB3"/>
    <w:rsid w:val="00B2021E"/>
    <w:rsid w:val="00B3581E"/>
    <w:rsid w:val="00B40C63"/>
    <w:rsid w:val="00B43EF0"/>
    <w:rsid w:val="00B46ADB"/>
    <w:rsid w:val="00B51537"/>
    <w:rsid w:val="00B57BFC"/>
    <w:rsid w:val="00B60CD0"/>
    <w:rsid w:val="00B6129F"/>
    <w:rsid w:val="00B63479"/>
    <w:rsid w:val="00B6450C"/>
    <w:rsid w:val="00B6593B"/>
    <w:rsid w:val="00B72834"/>
    <w:rsid w:val="00B75E93"/>
    <w:rsid w:val="00B920B1"/>
    <w:rsid w:val="00B95B95"/>
    <w:rsid w:val="00B969C5"/>
    <w:rsid w:val="00BA31C7"/>
    <w:rsid w:val="00BB4AD1"/>
    <w:rsid w:val="00BC11F8"/>
    <w:rsid w:val="00BC2204"/>
    <w:rsid w:val="00BC5BB5"/>
    <w:rsid w:val="00BD1344"/>
    <w:rsid w:val="00BD1856"/>
    <w:rsid w:val="00BD2B3A"/>
    <w:rsid w:val="00BE16F5"/>
    <w:rsid w:val="00BF2837"/>
    <w:rsid w:val="00C03AC9"/>
    <w:rsid w:val="00C07DE4"/>
    <w:rsid w:val="00C23769"/>
    <w:rsid w:val="00C24DB0"/>
    <w:rsid w:val="00C25348"/>
    <w:rsid w:val="00C33761"/>
    <w:rsid w:val="00C4608A"/>
    <w:rsid w:val="00C4659D"/>
    <w:rsid w:val="00C50672"/>
    <w:rsid w:val="00C60ED5"/>
    <w:rsid w:val="00C61576"/>
    <w:rsid w:val="00C65215"/>
    <w:rsid w:val="00C669C0"/>
    <w:rsid w:val="00C701C5"/>
    <w:rsid w:val="00C862E0"/>
    <w:rsid w:val="00C90F71"/>
    <w:rsid w:val="00CA2F95"/>
    <w:rsid w:val="00CB51CB"/>
    <w:rsid w:val="00CC2C39"/>
    <w:rsid w:val="00CC65B3"/>
    <w:rsid w:val="00CE361C"/>
    <w:rsid w:val="00CF47F2"/>
    <w:rsid w:val="00D00687"/>
    <w:rsid w:val="00D14C03"/>
    <w:rsid w:val="00D20363"/>
    <w:rsid w:val="00D22866"/>
    <w:rsid w:val="00D24589"/>
    <w:rsid w:val="00D321BD"/>
    <w:rsid w:val="00D346F1"/>
    <w:rsid w:val="00D35092"/>
    <w:rsid w:val="00D45A4F"/>
    <w:rsid w:val="00D62629"/>
    <w:rsid w:val="00D62B4A"/>
    <w:rsid w:val="00D66012"/>
    <w:rsid w:val="00D727C9"/>
    <w:rsid w:val="00D91248"/>
    <w:rsid w:val="00D92E9E"/>
    <w:rsid w:val="00D93B5A"/>
    <w:rsid w:val="00D96B42"/>
    <w:rsid w:val="00DA2022"/>
    <w:rsid w:val="00DA42C4"/>
    <w:rsid w:val="00DA46EE"/>
    <w:rsid w:val="00DA5E41"/>
    <w:rsid w:val="00DB702D"/>
    <w:rsid w:val="00DC7547"/>
    <w:rsid w:val="00DD2875"/>
    <w:rsid w:val="00DD3400"/>
    <w:rsid w:val="00DE1D45"/>
    <w:rsid w:val="00DF1AA9"/>
    <w:rsid w:val="00DF3D10"/>
    <w:rsid w:val="00DF4F39"/>
    <w:rsid w:val="00DF67AC"/>
    <w:rsid w:val="00E05E6C"/>
    <w:rsid w:val="00E132F3"/>
    <w:rsid w:val="00E200E3"/>
    <w:rsid w:val="00E27B08"/>
    <w:rsid w:val="00E44F8E"/>
    <w:rsid w:val="00E45CE1"/>
    <w:rsid w:val="00E4710F"/>
    <w:rsid w:val="00E51B24"/>
    <w:rsid w:val="00E669A0"/>
    <w:rsid w:val="00E81B61"/>
    <w:rsid w:val="00E95E04"/>
    <w:rsid w:val="00EA3A89"/>
    <w:rsid w:val="00EB3285"/>
    <w:rsid w:val="00EB4331"/>
    <w:rsid w:val="00ED4854"/>
    <w:rsid w:val="00ED5CB6"/>
    <w:rsid w:val="00ED5FB0"/>
    <w:rsid w:val="00ED7CC9"/>
    <w:rsid w:val="00EE2102"/>
    <w:rsid w:val="00EE68E1"/>
    <w:rsid w:val="00EE7C3F"/>
    <w:rsid w:val="00EF2284"/>
    <w:rsid w:val="00EF4CDB"/>
    <w:rsid w:val="00EF4EC6"/>
    <w:rsid w:val="00F035E5"/>
    <w:rsid w:val="00F05CA4"/>
    <w:rsid w:val="00F07EB6"/>
    <w:rsid w:val="00F1361B"/>
    <w:rsid w:val="00F13CAE"/>
    <w:rsid w:val="00F15C96"/>
    <w:rsid w:val="00F17F68"/>
    <w:rsid w:val="00F265EC"/>
    <w:rsid w:val="00F32F3D"/>
    <w:rsid w:val="00F340B0"/>
    <w:rsid w:val="00F34436"/>
    <w:rsid w:val="00F36133"/>
    <w:rsid w:val="00F41640"/>
    <w:rsid w:val="00F45939"/>
    <w:rsid w:val="00F578CD"/>
    <w:rsid w:val="00F62C8A"/>
    <w:rsid w:val="00F6443F"/>
    <w:rsid w:val="00F70A6E"/>
    <w:rsid w:val="00F75B1E"/>
    <w:rsid w:val="00F75D64"/>
    <w:rsid w:val="00F82662"/>
    <w:rsid w:val="00F94469"/>
    <w:rsid w:val="00F962F7"/>
    <w:rsid w:val="00F97DED"/>
    <w:rsid w:val="00FA53DA"/>
    <w:rsid w:val="00FB6261"/>
    <w:rsid w:val="00FC1A39"/>
    <w:rsid w:val="00FC3AA6"/>
    <w:rsid w:val="00FC6275"/>
    <w:rsid w:val="00FD0F8A"/>
    <w:rsid w:val="00FD5090"/>
    <w:rsid w:val="00FD77E8"/>
    <w:rsid w:val="00FF1A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55FD3"/>
  <w15:chartTrackingRefBased/>
  <w15:docId w15:val="{C062396B-1DC2-FE43-97AA-E492D4AE0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B09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3D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271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3254"/>
    <w:pPr>
      <w:ind w:left="720"/>
      <w:contextualSpacing/>
    </w:pPr>
  </w:style>
  <w:style w:type="paragraph" w:styleId="Footer">
    <w:name w:val="footer"/>
    <w:basedOn w:val="Normal"/>
    <w:link w:val="FooterChar"/>
    <w:uiPriority w:val="99"/>
    <w:unhideWhenUsed/>
    <w:rsid w:val="00B6593B"/>
    <w:pPr>
      <w:tabs>
        <w:tab w:val="center" w:pos="4536"/>
        <w:tab w:val="right" w:pos="9072"/>
      </w:tabs>
    </w:pPr>
  </w:style>
  <w:style w:type="character" w:customStyle="1" w:styleId="FooterChar">
    <w:name w:val="Footer Char"/>
    <w:basedOn w:val="DefaultParagraphFont"/>
    <w:link w:val="Footer"/>
    <w:uiPriority w:val="99"/>
    <w:rsid w:val="00B6593B"/>
  </w:style>
  <w:style w:type="character" w:styleId="PageNumber">
    <w:name w:val="page number"/>
    <w:basedOn w:val="DefaultParagraphFont"/>
    <w:uiPriority w:val="99"/>
    <w:semiHidden/>
    <w:unhideWhenUsed/>
    <w:rsid w:val="00B6593B"/>
  </w:style>
  <w:style w:type="paragraph" w:styleId="Header">
    <w:name w:val="header"/>
    <w:basedOn w:val="Normal"/>
    <w:link w:val="HeaderChar"/>
    <w:uiPriority w:val="99"/>
    <w:unhideWhenUsed/>
    <w:rsid w:val="00B6593B"/>
    <w:pPr>
      <w:tabs>
        <w:tab w:val="center" w:pos="4536"/>
        <w:tab w:val="right" w:pos="9072"/>
      </w:tabs>
    </w:pPr>
  </w:style>
  <w:style w:type="character" w:customStyle="1" w:styleId="HeaderChar">
    <w:name w:val="Header Char"/>
    <w:basedOn w:val="DefaultParagraphFont"/>
    <w:link w:val="Header"/>
    <w:uiPriority w:val="99"/>
    <w:rsid w:val="00B6593B"/>
  </w:style>
  <w:style w:type="paragraph" w:styleId="NoSpacing">
    <w:name w:val="No Spacing"/>
    <w:link w:val="NoSpacingChar"/>
    <w:uiPriority w:val="1"/>
    <w:qFormat/>
    <w:rsid w:val="00B6593B"/>
    <w:rPr>
      <w:rFonts w:eastAsiaTheme="minorEastAsia"/>
      <w:sz w:val="22"/>
      <w:szCs w:val="22"/>
      <w:lang w:val="en-US" w:eastAsia="zh-CN"/>
    </w:rPr>
  </w:style>
  <w:style w:type="character" w:customStyle="1" w:styleId="NoSpacingChar">
    <w:name w:val="No Spacing Char"/>
    <w:basedOn w:val="DefaultParagraphFont"/>
    <w:link w:val="NoSpacing"/>
    <w:uiPriority w:val="1"/>
    <w:rsid w:val="00B6593B"/>
    <w:rPr>
      <w:rFonts w:eastAsiaTheme="minorEastAsia"/>
      <w:sz w:val="22"/>
      <w:szCs w:val="22"/>
      <w:lang w:val="en-US" w:eastAsia="zh-CN"/>
    </w:rPr>
  </w:style>
  <w:style w:type="character" w:customStyle="1" w:styleId="Heading1Char">
    <w:name w:val="Heading 1 Char"/>
    <w:basedOn w:val="DefaultParagraphFont"/>
    <w:link w:val="Heading1"/>
    <w:uiPriority w:val="9"/>
    <w:rsid w:val="006B09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0920"/>
    <w:pPr>
      <w:spacing w:before="480" w:line="276" w:lineRule="auto"/>
      <w:outlineLvl w:val="9"/>
    </w:pPr>
    <w:rPr>
      <w:b/>
      <w:bCs/>
      <w:sz w:val="28"/>
      <w:szCs w:val="28"/>
      <w:lang w:eastAsia="fr-FR"/>
    </w:rPr>
  </w:style>
  <w:style w:type="paragraph" w:styleId="TOC1">
    <w:name w:val="toc 1"/>
    <w:basedOn w:val="Normal"/>
    <w:next w:val="Normal"/>
    <w:autoRedefine/>
    <w:uiPriority w:val="39"/>
    <w:unhideWhenUsed/>
    <w:rsid w:val="006B0920"/>
    <w:pPr>
      <w:spacing w:before="120"/>
    </w:pPr>
    <w:rPr>
      <w:rFonts w:cstheme="minorHAnsi"/>
      <w:b/>
      <w:bCs/>
      <w:i/>
      <w:iCs/>
    </w:rPr>
  </w:style>
  <w:style w:type="paragraph" w:styleId="TOC2">
    <w:name w:val="toc 2"/>
    <w:basedOn w:val="Normal"/>
    <w:next w:val="Normal"/>
    <w:autoRedefine/>
    <w:uiPriority w:val="39"/>
    <w:unhideWhenUsed/>
    <w:rsid w:val="006B092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B0920"/>
    <w:pPr>
      <w:ind w:left="480"/>
    </w:pPr>
    <w:rPr>
      <w:rFonts w:cstheme="minorHAnsi"/>
      <w:sz w:val="20"/>
      <w:szCs w:val="20"/>
    </w:rPr>
  </w:style>
  <w:style w:type="paragraph" w:styleId="TOC4">
    <w:name w:val="toc 4"/>
    <w:basedOn w:val="Normal"/>
    <w:next w:val="Normal"/>
    <w:autoRedefine/>
    <w:uiPriority w:val="39"/>
    <w:semiHidden/>
    <w:unhideWhenUsed/>
    <w:rsid w:val="006B0920"/>
    <w:pPr>
      <w:ind w:left="720"/>
    </w:pPr>
    <w:rPr>
      <w:rFonts w:cstheme="minorHAnsi"/>
      <w:sz w:val="20"/>
      <w:szCs w:val="20"/>
    </w:rPr>
  </w:style>
  <w:style w:type="paragraph" w:styleId="TOC5">
    <w:name w:val="toc 5"/>
    <w:basedOn w:val="Normal"/>
    <w:next w:val="Normal"/>
    <w:autoRedefine/>
    <w:uiPriority w:val="39"/>
    <w:semiHidden/>
    <w:unhideWhenUsed/>
    <w:rsid w:val="006B0920"/>
    <w:pPr>
      <w:ind w:left="960"/>
    </w:pPr>
    <w:rPr>
      <w:rFonts w:cstheme="minorHAnsi"/>
      <w:sz w:val="20"/>
      <w:szCs w:val="20"/>
    </w:rPr>
  </w:style>
  <w:style w:type="paragraph" w:styleId="TOC6">
    <w:name w:val="toc 6"/>
    <w:basedOn w:val="Normal"/>
    <w:next w:val="Normal"/>
    <w:autoRedefine/>
    <w:uiPriority w:val="39"/>
    <w:semiHidden/>
    <w:unhideWhenUsed/>
    <w:rsid w:val="006B0920"/>
    <w:pPr>
      <w:ind w:left="1200"/>
    </w:pPr>
    <w:rPr>
      <w:rFonts w:cstheme="minorHAnsi"/>
      <w:sz w:val="20"/>
      <w:szCs w:val="20"/>
    </w:rPr>
  </w:style>
  <w:style w:type="paragraph" w:styleId="TOC7">
    <w:name w:val="toc 7"/>
    <w:basedOn w:val="Normal"/>
    <w:next w:val="Normal"/>
    <w:autoRedefine/>
    <w:uiPriority w:val="39"/>
    <w:semiHidden/>
    <w:unhideWhenUsed/>
    <w:rsid w:val="006B0920"/>
    <w:pPr>
      <w:ind w:left="1440"/>
    </w:pPr>
    <w:rPr>
      <w:rFonts w:cstheme="minorHAnsi"/>
      <w:sz w:val="20"/>
      <w:szCs w:val="20"/>
    </w:rPr>
  </w:style>
  <w:style w:type="paragraph" w:styleId="TOC8">
    <w:name w:val="toc 8"/>
    <w:basedOn w:val="Normal"/>
    <w:next w:val="Normal"/>
    <w:autoRedefine/>
    <w:uiPriority w:val="39"/>
    <w:semiHidden/>
    <w:unhideWhenUsed/>
    <w:rsid w:val="006B0920"/>
    <w:pPr>
      <w:ind w:left="1680"/>
    </w:pPr>
    <w:rPr>
      <w:rFonts w:cstheme="minorHAnsi"/>
      <w:sz w:val="20"/>
      <w:szCs w:val="20"/>
    </w:rPr>
  </w:style>
  <w:style w:type="paragraph" w:styleId="TOC9">
    <w:name w:val="toc 9"/>
    <w:basedOn w:val="Normal"/>
    <w:next w:val="Normal"/>
    <w:autoRedefine/>
    <w:uiPriority w:val="39"/>
    <w:semiHidden/>
    <w:unhideWhenUsed/>
    <w:rsid w:val="006B0920"/>
    <w:pPr>
      <w:ind w:left="1920"/>
    </w:pPr>
    <w:rPr>
      <w:rFonts w:cstheme="minorHAnsi"/>
      <w:sz w:val="20"/>
      <w:szCs w:val="20"/>
    </w:rPr>
  </w:style>
  <w:style w:type="character" w:styleId="Hyperlink">
    <w:name w:val="Hyperlink"/>
    <w:basedOn w:val="DefaultParagraphFont"/>
    <w:uiPriority w:val="99"/>
    <w:unhideWhenUsed/>
    <w:rsid w:val="003028A5"/>
    <w:rPr>
      <w:color w:val="0563C1" w:themeColor="hyperlink"/>
      <w:u w:val="single"/>
    </w:rPr>
  </w:style>
  <w:style w:type="character" w:customStyle="1" w:styleId="Heading2Char">
    <w:name w:val="Heading 2 Char"/>
    <w:basedOn w:val="DefaultParagraphFont"/>
    <w:link w:val="Heading2"/>
    <w:uiPriority w:val="9"/>
    <w:rsid w:val="00343D6D"/>
    <w:rPr>
      <w:rFonts w:asciiTheme="majorHAnsi" w:eastAsiaTheme="majorEastAsia" w:hAnsiTheme="majorHAnsi" w:cstheme="majorBidi"/>
      <w:color w:val="2F5496" w:themeColor="accent1" w:themeShade="BF"/>
      <w:sz w:val="26"/>
      <w:szCs w:val="26"/>
    </w:rPr>
  </w:style>
  <w:style w:type="character" w:styleId="FootnoteReference">
    <w:name w:val="footnote reference"/>
    <w:aliases w:val="Fn Ref,Footnote Reference Superscript,Footnote Reference (Alt+R),Footnotes refss,Ref,de nota al pie,4_G,Odwołanie przypisu,Footnote symbol,Footnote Reference Number,Footnote Refernece,callout,BVI fnr"/>
    <w:basedOn w:val="DefaultParagraphFont"/>
    <w:uiPriority w:val="99"/>
    <w:qFormat/>
    <w:rsid w:val="00FD5090"/>
    <w:rPr>
      <w:vertAlign w:val="superscript"/>
    </w:rPr>
  </w:style>
  <w:style w:type="paragraph" w:styleId="BalloonText">
    <w:name w:val="Balloon Text"/>
    <w:basedOn w:val="Normal"/>
    <w:link w:val="BalloonTextChar"/>
    <w:uiPriority w:val="99"/>
    <w:semiHidden/>
    <w:unhideWhenUsed/>
    <w:rsid w:val="002D05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0582"/>
    <w:rPr>
      <w:rFonts w:ascii="Times New Roman" w:hAnsi="Times New Roman" w:cs="Times New Roman"/>
      <w:sz w:val="18"/>
      <w:szCs w:val="18"/>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Texto"/>
    <w:basedOn w:val="Normal"/>
    <w:link w:val="FootnoteTextChar"/>
    <w:uiPriority w:val="99"/>
    <w:unhideWhenUsed/>
    <w:rsid w:val="0056786E"/>
    <w:rPr>
      <w:sz w:val="20"/>
      <w:szCs w:val="20"/>
      <w:lang w:val="tr-TR"/>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56786E"/>
    <w:rPr>
      <w:sz w:val="20"/>
      <w:szCs w:val="20"/>
      <w:lang w:val="tr-TR"/>
    </w:rPr>
  </w:style>
  <w:style w:type="paragraph" w:styleId="Title">
    <w:name w:val="Title"/>
    <w:basedOn w:val="Normal"/>
    <w:next w:val="Normal"/>
    <w:link w:val="TitleChar"/>
    <w:uiPriority w:val="10"/>
    <w:qFormat/>
    <w:rsid w:val="005B79A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9A5"/>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8E26E6"/>
    <w:rPr>
      <w:sz w:val="16"/>
      <w:szCs w:val="16"/>
    </w:rPr>
  </w:style>
  <w:style w:type="paragraph" w:styleId="CommentText">
    <w:name w:val="annotation text"/>
    <w:basedOn w:val="Normal"/>
    <w:link w:val="CommentTextChar"/>
    <w:uiPriority w:val="99"/>
    <w:semiHidden/>
    <w:unhideWhenUsed/>
    <w:rsid w:val="008E26E6"/>
    <w:rPr>
      <w:sz w:val="20"/>
      <w:szCs w:val="20"/>
      <w:lang w:val="en-GB"/>
    </w:rPr>
  </w:style>
  <w:style w:type="character" w:customStyle="1" w:styleId="CommentTextChar">
    <w:name w:val="Comment Text Char"/>
    <w:basedOn w:val="DefaultParagraphFont"/>
    <w:link w:val="CommentText"/>
    <w:uiPriority w:val="99"/>
    <w:semiHidden/>
    <w:rsid w:val="008E26E6"/>
    <w:rPr>
      <w:sz w:val="20"/>
      <w:szCs w:val="20"/>
      <w:lang w:val="en-GB"/>
    </w:rPr>
  </w:style>
  <w:style w:type="paragraph" w:styleId="EndnoteText">
    <w:name w:val="endnote text"/>
    <w:basedOn w:val="Normal"/>
    <w:link w:val="EndnoteTextChar"/>
    <w:uiPriority w:val="99"/>
    <w:semiHidden/>
    <w:unhideWhenUsed/>
    <w:rsid w:val="008E26E6"/>
    <w:rPr>
      <w:sz w:val="20"/>
      <w:szCs w:val="20"/>
      <w:lang w:val="en-GB"/>
    </w:rPr>
  </w:style>
  <w:style w:type="character" w:customStyle="1" w:styleId="EndnoteTextChar">
    <w:name w:val="Endnote Text Char"/>
    <w:basedOn w:val="DefaultParagraphFont"/>
    <w:link w:val="EndnoteText"/>
    <w:uiPriority w:val="99"/>
    <w:semiHidden/>
    <w:rsid w:val="008E26E6"/>
    <w:rPr>
      <w:sz w:val="20"/>
      <w:szCs w:val="20"/>
      <w:lang w:val="en-GB"/>
    </w:rPr>
  </w:style>
  <w:style w:type="character" w:styleId="EndnoteReference">
    <w:name w:val="endnote reference"/>
    <w:basedOn w:val="DefaultParagraphFont"/>
    <w:uiPriority w:val="99"/>
    <w:semiHidden/>
    <w:unhideWhenUsed/>
    <w:rsid w:val="008E26E6"/>
    <w:rPr>
      <w:vertAlign w:val="superscript"/>
    </w:rPr>
  </w:style>
  <w:style w:type="character" w:customStyle="1" w:styleId="UnresolvedMention">
    <w:name w:val="Unresolved Mention"/>
    <w:basedOn w:val="DefaultParagraphFont"/>
    <w:uiPriority w:val="99"/>
    <w:semiHidden/>
    <w:unhideWhenUsed/>
    <w:rsid w:val="00C65215"/>
    <w:rPr>
      <w:color w:val="605E5C"/>
      <w:shd w:val="clear" w:color="auto" w:fill="E1DFDD"/>
    </w:rPr>
  </w:style>
  <w:style w:type="paragraph" w:styleId="NormalWeb">
    <w:name w:val="Normal (Web)"/>
    <w:basedOn w:val="Normal"/>
    <w:uiPriority w:val="99"/>
    <w:unhideWhenUsed/>
    <w:rsid w:val="00DB702D"/>
    <w:pPr>
      <w:spacing w:before="100" w:beforeAutospacing="1" w:after="100" w:afterAutospacing="1"/>
    </w:pPr>
    <w:rPr>
      <w:rFonts w:ascii="Times New Roman" w:eastAsia="Times New Roman" w:hAnsi="Times New Roman" w:cs="Times New Roman"/>
      <w:lang w:eastAsia="fr-FR"/>
    </w:rPr>
  </w:style>
  <w:style w:type="character" w:customStyle="1" w:styleId="Heading3Char">
    <w:name w:val="Heading 3 Char"/>
    <w:basedOn w:val="DefaultParagraphFont"/>
    <w:link w:val="Heading3"/>
    <w:uiPriority w:val="9"/>
    <w:semiHidden/>
    <w:rsid w:val="0048271C"/>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8330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05688">
      <w:bodyDiv w:val="1"/>
      <w:marLeft w:val="0"/>
      <w:marRight w:val="0"/>
      <w:marTop w:val="0"/>
      <w:marBottom w:val="0"/>
      <w:divBdr>
        <w:top w:val="none" w:sz="0" w:space="0" w:color="auto"/>
        <w:left w:val="none" w:sz="0" w:space="0" w:color="auto"/>
        <w:bottom w:val="none" w:sz="0" w:space="0" w:color="auto"/>
        <w:right w:val="none" w:sz="0" w:space="0" w:color="auto"/>
      </w:divBdr>
    </w:div>
    <w:div w:id="36438871">
      <w:bodyDiv w:val="1"/>
      <w:marLeft w:val="0"/>
      <w:marRight w:val="0"/>
      <w:marTop w:val="0"/>
      <w:marBottom w:val="0"/>
      <w:divBdr>
        <w:top w:val="none" w:sz="0" w:space="0" w:color="auto"/>
        <w:left w:val="none" w:sz="0" w:space="0" w:color="auto"/>
        <w:bottom w:val="none" w:sz="0" w:space="0" w:color="auto"/>
        <w:right w:val="none" w:sz="0" w:space="0" w:color="auto"/>
      </w:divBdr>
      <w:divsChild>
        <w:div w:id="555361436">
          <w:marLeft w:val="0"/>
          <w:marRight w:val="0"/>
          <w:marTop w:val="0"/>
          <w:marBottom w:val="0"/>
          <w:divBdr>
            <w:top w:val="none" w:sz="0" w:space="0" w:color="auto"/>
            <w:left w:val="none" w:sz="0" w:space="0" w:color="auto"/>
            <w:bottom w:val="none" w:sz="0" w:space="0" w:color="auto"/>
            <w:right w:val="none" w:sz="0" w:space="0" w:color="auto"/>
          </w:divBdr>
          <w:divsChild>
            <w:div w:id="928586815">
              <w:marLeft w:val="0"/>
              <w:marRight w:val="0"/>
              <w:marTop w:val="0"/>
              <w:marBottom w:val="0"/>
              <w:divBdr>
                <w:top w:val="none" w:sz="0" w:space="0" w:color="auto"/>
                <w:left w:val="none" w:sz="0" w:space="0" w:color="auto"/>
                <w:bottom w:val="none" w:sz="0" w:space="0" w:color="auto"/>
                <w:right w:val="none" w:sz="0" w:space="0" w:color="auto"/>
              </w:divBdr>
              <w:divsChild>
                <w:div w:id="86143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17534">
      <w:bodyDiv w:val="1"/>
      <w:marLeft w:val="0"/>
      <w:marRight w:val="0"/>
      <w:marTop w:val="0"/>
      <w:marBottom w:val="0"/>
      <w:divBdr>
        <w:top w:val="none" w:sz="0" w:space="0" w:color="auto"/>
        <w:left w:val="none" w:sz="0" w:space="0" w:color="auto"/>
        <w:bottom w:val="none" w:sz="0" w:space="0" w:color="auto"/>
        <w:right w:val="none" w:sz="0" w:space="0" w:color="auto"/>
      </w:divBdr>
    </w:div>
    <w:div w:id="217252227">
      <w:bodyDiv w:val="1"/>
      <w:marLeft w:val="0"/>
      <w:marRight w:val="0"/>
      <w:marTop w:val="0"/>
      <w:marBottom w:val="0"/>
      <w:divBdr>
        <w:top w:val="none" w:sz="0" w:space="0" w:color="auto"/>
        <w:left w:val="none" w:sz="0" w:space="0" w:color="auto"/>
        <w:bottom w:val="none" w:sz="0" w:space="0" w:color="auto"/>
        <w:right w:val="none" w:sz="0" w:space="0" w:color="auto"/>
      </w:divBdr>
      <w:divsChild>
        <w:div w:id="345327578">
          <w:marLeft w:val="0"/>
          <w:marRight w:val="0"/>
          <w:marTop w:val="0"/>
          <w:marBottom w:val="0"/>
          <w:divBdr>
            <w:top w:val="none" w:sz="0" w:space="0" w:color="auto"/>
            <w:left w:val="none" w:sz="0" w:space="0" w:color="auto"/>
            <w:bottom w:val="none" w:sz="0" w:space="0" w:color="auto"/>
            <w:right w:val="none" w:sz="0" w:space="0" w:color="auto"/>
          </w:divBdr>
          <w:divsChild>
            <w:div w:id="1270508222">
              <w:marLeft w:val="0"/>
              <w:marRight w:val="0"/>
              <w:marTop w:val="0"/>
              <w:marBottom w:val="0"/>
              <w:divBdr>
                <w:top w:val="none" w:sz="0" w:space="0" w:color="auto"/>
                <w:left w:val="none" w:sz="0" w:space="0" w:color="auto"/>
                <w:bottom w:val="none" w:sz="0" w:space="0" w:color="auto"/>
                <w:right w:val="none" w:sz="0" w:space="0" w:color="auto"/>
              </w:divBdr>
              <w:divsChild>
                <w:div w:id="56788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58">
      <w:bodyDiv w:val="1"/>
      <w:marLeft w:val="0"/>
      <w:marRight w:val="0"/>
      <w:marTop w:val="0"/>
      <w:marBottom w:val="0"/>
      <w:divBdr>
        <w:top w:val="none" w:sz="0" w:space="0" w:color="auto"/>
        <w:left w:val="none" w:sz="0" w:space="0" w:color="auto"/>
        <w:bottom w:val="none" w:sz="0" w:space="0" w:color="auto"/>
        <w:right w:val="none" w:sz="0" w:space="0" w:color="auto"/>
      </w:divBdr>
      <w:divsChild>
        <w:div w:id="902764419">
          <w:marLeft w:val="0"/>
          <w:marRight w:val="0"/>
          <w:marTop w:val="0"/>
          <w:marBottom w:val="0"/>
          <w:divBdr>
            <w:top w:val="none" w:sz="0" w:space="0" w:color="auto"/>
            <w:left w:val="none" w:sz="0" w:space="0" w:color="auto"/>
            <w:bottom w:val="none" w:sz="0" w:space="0" w:color="auto"/>
            <w:right w:val="none" w:sz="0" w:space="0" w:color="auto"/>
          </w:divBdr>
          <w:divsChild>
            <w:div w:id="1288198662">
              <w:marLeft w:val="0"/>
              <w:marRight w:val="0"/>
              <w:marTop w:val="0"/>
              <w:marBottom w:val="0"/>
              <w:divBdr>
                <w:top w:val="none" w:sz="0" w:space="0" w:color="auto"/>
                <w:left w:val="none" w:sz="0" w:space="0" w:color="auto"/>
                <w:bottom w:val="none" w:sz="0" w:space="0" w:color="auto"/>
                <w:right w:val="none" w:sz="0" w:space="0" w:color="auto"/>
              </w:divBdr>
              <w:divsChild>
                <w:div w:id="1938053525">
                  <w:marLeft w:val="0"/>
                  <w:marRight w:val="0"/>
                  <w:marTop w:val="0"/>
                  <w:marBottom w:val="0"/>
                  <w:divBdr>
                    <w:top w:val="none" w:sz="0" w:space="0" w:color="auto"/>
                    <w:left w:val="none" w:sz="0" w:space="0" w:color="auto"/>
                    <w:bottom w:val="none" w:sz="0" w:space="0" w:color="auto"/>
                    <w:right w:val="none" w:sz="0" w:space="0" w:color="auto"/>
                  </w:divBdr>
                  <w:divsChild>
                    <w:div w:id="12391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799188">
      <w:bodyDiv w:val="1"/>
      <w:marLeft w:val="0"/>
      <w:marRight w:val="0"/>
      <w:marTop w:val="0"/>
      <w:marBottom w:val="0"/>
      <w:divBdr>
        <w:top w:val="none" w:sz="0" w:space="0" w:color="auto"/>
        <w:left w:val="none" w:sz="0" w:space="0" w:color="auto"/>
        <w:bottom w:val="none" w:sz="0" w:space="0" w:color="auto"/>
        <w:right w:val="none" w:sz="0" w:space="0" w:color="auto"/>
      </w:divBdr>
      <w:divsChild>
        <w:div w:id="1414931762">
          <w:marLeft w:val="0"/>
          <w:marRight w:val="0"/>
          <w:marTop w:val="0"/>
          <w:marBottom w:val="0"/>
          <w:divBdr>
            <w:top w:val="none" w:sz="0" w:space="0" w:color="auto"/>
            <w:left w:val="none" w:sz="0" w:space="0" w:color="auto"/>
            <w:bottom w:val="none" w:sz="0" w:space="0" w:color="auto"/>
            <w:right w:val="none" w:sz="0" w:space="0" w:color="auto"/>
          </w:divBdr>
          <w:divsChild>
            <w:div w:id="1931770103">
              <w:marLeft w:val="0"/>
              <w:marRight w:val="0"/>
              <w:marTop w:val="0"/>
              <w:marBottom w:val="0"/>
              <w:divBdr>
                <w:top w:val="none" w:sz="0" w:space="0" w:color="auto"/>
                <w:left w:val="none" w:sz="0" w:space="0" w:color="auto"/>
                <w:bottom w:val="none" w:sz="0" w:space="0" w:color="auto"/>
                <w:right w:val="none" w:sz="0" w:space="0" w:color="auto"/>
              </w:divBdr>
              <w:divsChild>
                <w:div w:id="99071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821870">
      <w:bodyDiv w:val="1"/>
      <w:marLeft w:val="0"/>
      <w:marRight w:val="0"/>
      <w:marTop w:val="0"/>
      <w:marBottom w:val="0"/>
      <w:divBdr>
        <w:top w:val="none" w:sz="0" w:space="0" w:color="auto"/>
        <w:left w:val="none" w:sz="0" w:space="0" w:color="auto"/>
        <w:bottom w:val="none" w:sz="0" w:space="0" w:color="auto"/>
        <w:right w:val="none" w:sz="0" w:space="0" w:color="auto"/>
      </w:divBdr>
      <w:divsChild>
        <w:div w:id="1650818684">
          <w:marLeft w:val="480"/>
          <w:marRight w:val="0"/>
          <w:marTop w:val="0"/>
          <w:marBottom w:val="0"/>
          <w:divBdr>
            <w:top w:val="none" w:sz="0" w:space="0" w:color="auto"/>
            <w:left w:val="none" w:sz="0" w:space="0" w:color="auto"/>
            <w:bottom w:val="none" w:sz="0" w:space="0" w:color="auto"/>
            <w:right w:val="none" w:sz="0" w:space="0" w:color="auto"/>
          </w:divBdr>
          <w:divsChild>
            <w:div w:id="205187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08506">
      <w:bodyDiv w:val="1"/>
      <w:marLeft w:val="0"/>
      <w:marRight w:val="0"/>
      <w:marTop w:val="0"/>
      <w:marBottom w:val="0"/>
      <w:divBdr>
        <w:top w:val="none" w:sz="0" w:space="0" w:color="auto"/>
        <w:left w:val="none" w:sz="0" w:space="0" w:color="auto"/>
        <w:bottom w:val="none" w:sz="0" w:space="0" w:color="auto"/>
        <w:right w:val="none" w:sz="0" w:space="0" w:color="auto"/>
      </w:divBdr>
      <w:divsChild>
        <w:div w:id="309676471">
          <w:marLeft w:val="0"/>
          <w:marRight w:val="0"/>
          <w:marTop w:val="0"/>
          <w:marBottom w:val="0"/>
          <w:divBdr>
            <w:top w:val="none" w:sz="0" w:space="0" w:color="auto"/>
            <w:left w:val="none" w:sz="0" w:space="0" w:color="auto"/>
            <w:bottom w:val="none" w:sz="0" w:space="0" w:color="auto"/>
            <w:right w:val="none" w:sz="0" w:space="0" w:color="auto"/>
          </w:divBdr>
          <w:divsChild>
            <w:div w:id="859200689">
              <w:marLeft w:val="0"/>
              <w:marRight w:val="0"/>
              <w:marTop w:val="0"/>
              <w:marBottom w:val="0"/>
              <w:divBdr>
                <w:top w:val="none" w:sz="0" w:space="0" w:color="auto"/>
                <w:left w:val="none" w:sz="0" w:space="0" w:color="auto"/>
                <w:bottom w:val="none" w:sz="0" w:space="0" w:color="auto"/>
                <w:right w:val="none" w:sz="0" w:space="0" w:color="auto"/>
              </w:divBdr>
              <w:divsChild>
                <w:div w:id="1215653236">
                  <w:marLeft w:val="0"/>
                  <w:marRight w:val="0"/>
                  <w:marTop w:val="0"/>
                  <w:marBottom w:val="0"/>
                  <w:divBdr>
                    <w:top w:val="none" w:sz="0" w:space="0" w:color="auto"/>
                    <w:left w:val="none" w:sz="0" w:space="0" w:color="auto"/>
                    <w:bottom w:val="none" w:sz="0" w:space="0" w:color="auto"/>
                    <w:right w:val="none" w:sz="0" w:space="0" w:color="auto"/>
                  </w:divBdr>
                  <w:divsChild>
                    <w:div w:id="163205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895209">
      <w:bodyDiv w:val="1"/>
      <w:marLeft w:val="0"/>
      <w:marRight w:val="0"/>
      <w:marTop w:val="0"/>
      <w:marBottom w:val="0"/>
      <w:divBdr>
        <w:top w:val="none" w:sz="0" w:space="0" w:color="auto"/>
        <w:left w:val="none" w:sz="0" w:space="0" w:color="auto"/>
        <w:bottom w:val="none" w:sz="0" w:space="0" w:color="auto"/>
        <w:right w:val="none" w:sz="0" w:space="0" w:color="auto"/>
      </w:divBdr>
      <w:divsChild>
        <w:div w:id="738938542">
          <w:marLeft w:val="0"/>
          <w:marRight w:val="0"/>
          <w:marTop w:val="0"/>
          <w:marBottom w:val="0"/>
          <w:divBdr>
            <w:top w:val="none" w:sz="0" w:space="0" w:color="auto"/>
            <w:left w:val="none" w:sz="0" w:space="0" w:color="auto"/>
            <w:bottom w:val="none" w:sz="0" w:space="0" w:color="auto"/>
            <w:right w:val="none" w:sz="0" w:space="0" w:color="auto"/>
          </w:divBdr>
          <w:divsChild>
            <w:div w:id="1475218013">
              <w:marLeft w:val="0"/>
              <w:marRight w:val="0"/>
              <w:marTop w:val="0"/>
              <w:marBottom w:val="0"/>
              <w:divBdr>
                <w:top w:val="none" w:sz="0" w:space="0" w:color="auto"/>
                <w:left w:val="none" w:sz="0" w:space="0" w:color="auto"/>
                <w:bottom w:val="none" w:sz="0" w:space="0" w:color="auto"/>
                <w:right w:val="none" w:sz="0" w:space="0" w:color="auto"/>
              </w:divBdr>
              <w:divsChild>
                <w:div w:id="85245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258023">
      <w:bodyDiv w:val="1"/>
      <w:marLeft w:val="0"/>
      <w:marRight w:val="0"/>
      <w:marTop w:val="0"/>
      <w:marBottom w:val="0"/>
      <w:divBdr>
        <w:top w:val="none" w:sz="0" w:space="0" w:color="auto"/>
        <w:left w:val="none" w:sz="0" w:space="0" w:color="auto"/>
        <w:bottom w:val="none" w:sz="0" w:space="0" w:color="auto"/>
        <w:right w:val="none" w:sz="0" w:space="0" w:color="auto"/>
      </w:divBdr>
      <w:divsChild>
        <w:div w:id="2080009134">
          <w:marLeft w:val="0"/>
          <w:marRight w:val="0"/>
          <w:marTop w:val="0"/>
          <w:marBottom w:val="0"/>
          <w:divBdr>
            <w:top w:val="none" w:sz="0" w:space="0" w:color="auto"/>
            <w:left w:val="none" w:sz="0" w:space="0" w:color="auto"/>
            <w:bottom w:val="none" w:sz="0" w:space="0" w:color="auto"/>
            <w:right w:val="none" w:sz="0" w:space="0" w:color="auto"/>
          </w:divBdr>
          <w:divsChild>
            <w:div w:id="967979512">
              <w:marLeft w:val="0"/>
              <w:marRight w:val="0"/>
              <w:marTop w:val="0"/>
              <w:marBottom w:val="0"/>
              <w:divBdr>
                <w:top w:val="none" w:sz="0" w:space="0" w:color="auto"/>
                <w:left w:val="none" w:sz="0" w:space="0" w:color="auto"/>
                <w:bottom w:val="none" w:sz="0" w:space="0" w:color="auto"/>
                <w:right w:val="none" w:sz="0" w:space="0" w:color="auto"/>
              </w:divBdr>
              <w:divsChild>
                <w:div w:id="5402703">
                  <w:marLeft w:val="0"/>
                  <w:marRight w:val="0"/>
                  <w:marTop w:val="0"/>
                  <w:marBottom w:val="0"/>
                  <w:divBdr>
                    <w:top w:val="none" w:sz="0" w:space="0" w:color="auto"/>
                    <w:left w:val="none" w:sz="0" w:space="0" w:color="auto"/>
                    <w:bottom w:val="none" w:sz="0" w:space="0" w:color="auto"/>
                    <w:right w:val="none" w:sz="0" w:space="0" w:color="auto"/>
                  </w:divBdr>
                  <w:divsChild>
                    <w:div w:id="213105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9317">
      <w:bodyDiv w:val="1"/>
      <w:marLeft w:val="0"/>
      <w:marRight w:val="0"/>
      <w:marTop w:val="0"/>
      <w:marBottom w:val="0"/>
      <w:divBdr>
        <w:top w:val="none" w:sz="0" w:space="0" w:color="auto"/>
        <w:left w:val="none" w:sz="0" w:space="0" w:color="auto"/>
        <w:bottom w:val="none" w:sz="0" w:space="0" w:color="auto"/>
        <w:right w:val="none" w:sz="0" w:space="0" w:color="auto"/>
      </w:divBdr>
      <w:divsChild>
        <w:div w:id="1903713941">
          <w:marLeft w:val="0"/>
          <w:marRight w:val="0"/>
          <w:marTop w:val="0"/>
          <w:marBottom w:val="0"/>
          <w:divBdr>
            <w:top w:val="none" w:sz="0" w:space="0" w:color="auto"/>
            <w:left w:val="none" w:sz="0" w:space="0" w:color="auto"/>
            <w:bottom w:val="none" w:sz="0" w:space="0" w:color="auto"/>
            <w:right w:val="none" w:sz="0" w:space="0" w:color="auto"/>
          </w:divBdr>
          <w:divsChild>
            <w:div w:id="1063990112">
              <w:marLeft w:val="0"/>
              <w:marRight w:val="0"/>
              <w:marTop w:val="0"/>
              <w:marBottom w:val="0"/>
              <w:divBdr>
                <w:top w:val="none" w:sz="0" w:space="0" w:color="auto"/>
                <w:left w:val="none" w:sz="0" w:space="0" w:color="auto"/>
                <w:bottom w:val="none" w:sz="0" w:space="0" w:color="auto"/>
                <w:right w:val="none" w:sz="0" w:space="0" w:color="auto"/>
              </w:divBdr>
              <w:divsChild>
                <w:div w:id="19682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662474">
      <w:bodyDiv w:val="1"/>
      <w:marLeft w:val="0"/>
      <w:marRight w:val="0"/>
      <w:marTop w:val="0"/>
      <w:marBottom w:val="0"/>
      <w:divBdr>
        <w:top w:val="none" w:sz="0" w:space="0" w:color="auto"/>
        <w:left w:val="none" w:sz="0" w:space="0" w:color="auto"/>
        <w:bottom w:val="none" w:sz="0" w:space="0" w:color="auto"/>
        <w:right w:val="none" w:sz="0" w:space="0" w:color="auto"/>
      </w:divBdr>
      <w:divsChild>
        <w:div w:id="1001809464">
          <w:marLeft w:val="0"/>
          <w:marRight w:val="0"/>
          <w:marTop w:val="0"/>
          <w:marBottom w:val="0"/>
          <w:divBdr>
            <w:top w:val="none" w:sz="0" w:space="0" w:color="auto"/>
            <w:left w:val="none" w:sz="0" w:space="0" w:color="auto"/>
            <w:bottom w:val="none" w:sz="0" w:space="0" w:color="auto"/>
            <w:right w:val="none" w:sz="0" w:space="0" w:color="auto"/>
          </w:divBdr>
          <w:divsChild>
            <w:div w:id="1677343246">
              <w:marLeft w:val="0"/>
              <w:marRight w:val="0"/>
              <w:marTop w:val="0"/>
              <w:marBottom w:val="0"/>
              <w:divBdr>
                <w:top w:val="none" w:sz="0" w:space="0" w:color="auto"/>
                <w:left w:val="none" w:sz="0" w:space="0" w:color="auto"/>
                <w:bottom w:val="none" w:sz="0" w:space="0" w:color="auto"/>
                <w:right w:val="none" w:sz="0" w:space="0" w:color="auto"/>
              </w:divBdr>
              <w:divsChild>
                <w:div w:id="102204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756201">
      <w:bodyDiv w:val="1"/>
      <w:marLeft w:val="0"/>
      <w:marRight w:val="0"/>
      <w:marTop w:val="0"/>
      <w:marBottom w:val="0"/>
      <w:divBdr>
        <w:top w:val="none" w:sz="0" w:space="0" w:color="auto"/>
        <w:left w:val="none" w:sz="0" w:space="0" w:color="auto"/>
        <w:bottom w:val="none" w:sz="0" w:space="0" w:color="auto"/>
        <w:right w:val="none" w:sz="0" w:space="0" w:color="auto"/>
      </w:divBdr>
      <w:divsChild>
        <w:div w:id="1584336237">
          <w:marLeft w:val="0"/>
          <w:marRight w:val="0"/>
          <w:marTop w:val="0"/>
          <w:marBottom w:val="0"/>
          <w:divBdr>
            <w:top w:val="none" w:sz="0" w:space="0" w:color="auto"/>
            <w:left w:val="none" w:sz="0" w:space="0" w:color="auto"/>
            <w:bottom w:val="none" w:sz="0" w:space="0" w:color="auto"/>
            <w:right w:val="none" w:sz="0" w:space="0" w:color="auto"/>
          </w:divBdr>
          <w:divsChild>
            <w:div w:id="1085689667">
              <w:marLeft w:val="0"/>
              <w:marRight w:val="0"/>
              <w:marTop w:val="0"/>
              <w:marBottom w:val="0"/>
              <w:divBdr>
                <w:top w:val="none" w:sz="0" w:space="0" w:color="auto"/>
                <w:left w:val="none" w:sz="0" w:space="0" w:color="auto"/>
                <w:bottom w:val="none" w:sz="0" w:space="0" w:color="auto"/>
                <w:right w:val="none" w:sz="0" w:space="0" w:color="auto"/>
              </w:divBdr>
              <w:divsChild>
                <w:div w:id="324474536">
                  <w:marLeft w:val="0"/>
                  <w:marRight w:val="0"/>
                  <w:marTop w:val="0"/>
                  <w:marBottom w:val="0"/>
                  <w:divBdr>
                    <w:top w:val="none" w:sz="0" w:space="0" w:color="auto"/>
                    <w:left w:val="none" w:sz="0" w:space="0" w:color="auto"/>
                    <w:bottom w:val="none" w:sz="0" w:space="0" w:color="auto"/>
                    <w:right w:val="none" w:sz="0" w:space="0" w:color="auto"/>
                  </w:divBdr>
                  <w:divsChild>
                    <w:div w:id="7366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973795">
      <w:bodyDiv w:val="1"/>
      <w:marLeft w:val="0"/>
      <w:marRight w:val="0"/>
      <w:marTop w:val="0"/>
      <w:marBottom w:val="0"/>
      <w:divBdr>
        <w:top w:val="none" w:sz="0" w:space="0" w:color="auto"/>
        <w:left w:val="none" w:sz="0" w:space="0" w:color="auto"/>
        <w:bottom w:val="none" w:sz="0" w:space="0" w:color="auto"/>
        <w:right w:val="none" w:sz="0" w:space="0" w:color="auto"/>
      </w:divBdr>
      <w:divsChild>
        <w:div w:id="839538355">
          <w:marLeft w:val="0"/>
          <w:marRight w:val="0"/>
          <w:marTop w:val="0"/>
          <w:marBottom w:val="0"/>
          <w:divBdr>
            <w:top w:val="none" w:sz="0" w:space="0" w:color="auto"/>
            <w:left w:val="none" w:sz="0" w:space="0" w:color="auto"/>
            <w:bottom w:val="none" w:sz="0" w:space="0" w:color="auto"/>
            <w:right w:val="none" w:sz="0" w:space="0" w:color="auto"/>
          </w:divBdr>
          <w:divsChild>
            <w:div w:id="2141798522">
              <w:marLeft w:val="0"/>
              <w:marRight w:val="0"/>
              <w:marTop w:val="0"/>
              <w:marBottom w:val="0"/>
              <w:divBdr>
                <w:top w:val="none" w:sz="0" w:space="0" w:color="auto"/>
                <w:left w:val="none" w:sz="0" w:space="0" w:color="auto"/>
                <w:bottom w:val="none" w:sz="0" w:space="0" w:color="auto"/>
                <w:right w:val="none" w:sz="0" w:space="0" w:color="auto"/>
              </w:divBdr>
              <w:divsChild>
                <w:div w:id="60713724">
                  <w:marLeft w:val="0"/>
                  <w:marRight w:val="0"/>
                  <w:marTop w:val="0"/>
                  <w:marBottom w:val="0"/>
                  <w:divBdr>
                    <w:top w:val="none" w:sz="0" w:space="0" w:color="auto"/>
                    <w:left w:val="none" w:sz="0" w:space="0" w:color="auto"/>
                    <w:bottom w:val="none" w:sz="0" w:space="0" w:color="auto"/>
                    <w:right w:val="none" w:sz="0" w:space="0" w:color="auto"/>
                  </w:divBdr>
                  <w:divsChild>
                    <w:div w:id="132069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870662">
      <w:bodyDiv w:val="1"/>
      <w:marLeft w:val="0"/>
      <w:marRight w:val="0"/>
      <w:marTop w:val="0"/>
      <w:marBottom w:val="0"/>
      <w:divBdr>
        <w:top w:val="none" w:sz="0" w:space="0" w:color="auto"/>
        <w:left w:val="none" w:sz="0" w:space="0" w:color="auto"/>
        <w:bottom w:val="none" w:sz="0" w:space="0" w:color="auto"/>
        <w:right w:val="none" w:sz="0" w:space="0" w:color="auto"/>
      </w:divBdr>
      <w:divsChild>
        <w:div w:id="1872524607">
          <w:marLeft w:val="0"/>
          <w:marRight w:val="0"/>
          <w:marTop w:val="0"/>
          <w:marBottom w:val="0"/>
          <w:divBdr>
            <w:top w:val="none" w:sz="0" w:space="0" w:color="auto"/>
            <w:left w:val="none" w:sz="0" w:space="0" w:color="auto"/>
            <w:bottom w:val="none" w:sz="0" w:space="0" w:color="auto"/>
            <w:right w:val="none" w:sz="0" w:space="0" w:color="auto"/>
          </w:divBdr>
          <w:divsChild>
            <w:div w:id="454106741">
              <w:marLeft w:val="0"/>
              <w:marRight w:val="0"/>
              <w:marTop w:val="0"/>
              <w:marBottom w:val="0"/>
              <w:divBdr>
                <w:top w:val="none" w:sz="0" w:space="0" w:color="auto"/>
                <w:left w:val="none" w:sz="0" w:space="0" w:color="auto"/>
                <w:bottom w:val="none" w:sz="0" w:space="0" w:color="auto"/>
                <w:right w:val="none" w:sz="0" w:space="0" w:color="auto"/>
              </w:divBdr>
              <w:divsChild>
                <w:div w:id="15173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78952">
      <w:bodyDiv w:val="1"/>
      <w:marLeft w:val="0"/>
      <w:marRight w:val="0"/>
      <w:marTop w:val="0"/>
      <w:marBottom w:val="0"/>
      <w:divBdr>
        <w:top w:val="none" w:sz="0" w:space="0" w:color="auto"/>
        <w:left w:val="none" w:sz="0" w:space="0" w:color="auto"/>
        <w:bottom w:val="none" w:sz="0" w:space="0" w:color="auto"/>
        <w:right w:val="none" w:sz="0" w:space="0" w:color="auto"/>
      </w:divBdr>
      <w:divsChild>
        <w:div w:id="1202131320">
          <w:marLeft w:val="0"/>
          <w:marRight w:val="0"/>
          <w:marTop w:val="0"/>
          <w:marBottom w:val="0"/>
          <w:divBdr>
            <w:top w:val="none" w:sz="0" w:space="0" w:color="auto"/>
            <w:left w:val="none" w:sz="0" w:space="0" w:color="auto"/>
            <w:bottom w:val="none" w:sz="0" w:space="0" w:color="auto"/>
            <w:right w:val="none" w:sz="0" w:space="0" w:color="auto"/>
          </w:divBdr>
          <w:divsChild>
            <w:div w:id="2096899280">
              <w:marLeft w:val="0"/>
              <w:marRight w:val="0"/>
              <w:marTop w:val="0"/>
              <w:marBottom w:val="0"/>
              <w:divBdr>
                <w:top w:val="none" w:sz="0" w:space="0" w:color="auto"/>
                <w:left w:val="none" w:sz="0" w:space="0" w:color="auto"/>
                <w:bottom w:val="none" w:sz="0" w:space="0" w:color="auto"/>
                <w:right w:val="none" w:sz="0" w:space="0" w:color="auto"/>
              </w:divBdr>
              <w:divsChild>
                <w:div w:id="166096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02961">
      <w:bodyDiv w:val="1"/>
      <w:marLeft w:val="0"/>
      <w:marRight w:val="0"/>
      <w:marTop w:val="0"/>
      <w:marBottom w:val="0"/>
      <w:divBdr>
        <w:top w:val="none" w:sz="0" w:space="0" w:color="auto"/>
        <w:left w:val="none" w:sz="0" w:space="0" w:color="auto"/>
        <w:bottom w:val="none" w:sz="0" w:space="0" w:color="auto"/>
        <w:right w:val="none" w:sz="0" w:space="0" w:color="auto"/>
      </w:divBdr>
    </w:div>
    <w:div w:id="886333823">
      <w:bodyDiv w:val="1"/>
      <w:marLeft w:val="0"/>
      <w:marRight w:val="0"/>
      <w:marTop w:val="0"/>
      <w:marBottom w:val="0"/>
      <w:divBdr>
        <w:top w:val="none" w:sz="0" w:space="0" w:color="auto"/>
        <w:left w:val="none" w:sz="0" w:space="0" w:color="auto"/>
        <w:bottom w:val="none" w:sz="0" w:space="0" w:color="auto"/>
        <w:right w:val="none" w:sz="0" w:space="0" w:color="auto"/>
      </w:divBdr>
      <w:divsChild>
        <w:div w:id="36588364">
          <w:marLeft w:val="0"/>
          <w:marRight w:val="0"/>
          <w:marTop w:val="0"/>
          <w:marBottom w:val="0"/>
          <w:divBdr>
            <w:top w:val="none" w:sz="0" w:space="0" w:color="auto"/>
            <w:left w:val="none" w:sz="0" w:space="0" w:color="auto"/>
            <w:bottom w:val="none" w:sz="0" w:space="0" w:color="auto"/>
            <w:right w:val="none" w:sz="0" w:space="0" w:color="auto"/>
          </w:divBdr>
          <w:divsChild>
            <w:div w:id="661659473">
              <w:marLeft w:val="0"/>
              <w:marRight w:val="0"/>
              <w:marTop w:val="0"/>
              <w:marBottom w:val="0"/>
              <w:divBdr>
                <w:top w:val="none" w:sz="0" w:space="0" w:color="auto"/>
                <w:left w:val="none" w:sz="0" w:space="0" w:color="auto"/>
                <w:bottom w:val="none" w:sz="0" w:space="0" w:color="auto"/>
                <w:right w:val="none" w:sz="0" w:space="0" w:color="auto"/>
              </w:divBdr>
              <w:divsChild>
                <w:div w:id="17690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298315">
      <w:bodyDiv w:val="1"/>
      <w:marLeft w:val="0"/>
      <w:marRight w:val="0"/>
      <w:marTop w:val="0"/>
      <w:marBottom w:val="0"/>
      <w:divBdr>
        <w:top w:val="none" w:sz="0" w:space="0" w:color="auto"/>
        <w:left w:val="none" w:sz="0" w:space="0" w:color="auto"/>
        <w:bottom w:val="none" w:sz="0" w:space="0" w:color="auto"/>
        <w:right w:val="none" w:sz="0" w:space="0" w:color="auto"/>
      </w:divBdr>
      <w:divsChild>
        <w:div w:id="171458075">
          <w:marLeft w:val="0"/>
          <w:marRight w:val="0"/>
          <w:marTop w:val="0"/>
          <w:marBottom w:val="0"/>
          <w:divBdr>
            <w:top w:val="none" w:sz="0" w:space="0" w:color="auto"/>
            <w:left w:val="none" w:sz="0" w:space="0" w:color="auto"/>
            <w:bottom w:val="none" w:sz="0" w:space="0" w:color="auto"/>
            <w:right w:val="none" w:sz="0" w:space="0" w:color="auto"/>
          </w:divBdr>
          <w:divsChild>
            <w:div w:id="1794445347">
              <w:marLeft w:val="0"/>
              <w:marRight w:val="0"/>
              <w:marTop w:val="0"/>
              <w:marBottom w:val="0"/>
              <w:divBdr>
                <w:top w:val="none" w:sz="0" w:space="0" w:color="auto"/>
                <w:left w:val="none" w:sz="0" w:space="0" w:color="auto"/>
                <w:bottom w:val="none" w:sz="0" w:space="0" w:color="auto"/>
                <w:right w:val="none" w:sz="0" w:space="0" w:color="auto"/>
              </w:divBdr>
              <w:divsChild>
                <w:div w:id="1457411101">
                  <w:marLeft w:val="0"/>
                  <w:marRight w:val="0"/>
                  <w:marTop w:val="0"/>
                  <w:marBottom w:val="0"/>
                  <w:divBdr>
                    <w:top w:val="none" w:sz="0" w:space="0" w:color="auto"/>
                    <w:left w:val="none" w:sz="0" w:space="0" w:color="auto"/>
                    <w:bottom w:val="none" w:sz="0" w:space="0" w:color="auto"/>
                    <w:right w:val="none" w:sz="0" w:space="0" w:color="auto"/>
                  </w:divBdr>
                  <w:divsChild>
                    <w:div w:id="35508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83307">
      <w:bodyDiv w:val="1"/>
      <w:marLeft w:val="0"/>
      <w:marRight w:val="0"/>
      <w:marTop w:val="0"/>
      <w:marBottom w:val="0"/>
      <w:divBdr>
        <w:top w:val="none" w:sz="0" w:space="0" w:color="auto"/>
        <w:left w:val="none" w:sz="0" w:space="0" w:color="auto"/>
        <w:bottom w:val="none" w:sz="0" w:space="0" w:color="auto"/>
        <w:right w:val="none" w:sz="0" w:space="0" w:color="auto"/>
      </w:divBdr>
      <w:divsChild>
        <w:div w:id="1063286467">
          <w:marLeft w:val="0"/>
          <w:marRight w:val="0"/>
          <w:marTop w:val="0"/>
          <w:marBottom w:val="0"/>
          <w:divBdr>
            <w:top w:val="none" w:sz="0" w:space="0" w:color="auto"/>
            <w:left w:val="none" w:sz="0" w:space="0" w:color="auto"/>
            <w:bottom w:val="none" w:sz="0" w:space="0" w:color="auto"/>
            <w:right w:val="none" w:sz="0" w:space="0" w:color="auto"/>
          </w:divBdr>
          <w:divsChild>
            <w:div w:id="974410546">
              <w:marLeft w:val="0"/>
              <w:marRight w:val="0"/>
              <w:marTop w:val="0"/>
              <w:marBottom w:val="0"/>
              <w:divBdr>
                <w:top w:val="none" w:sz="0" w:space="0" w:color="auto"/>
                <w:left w:val="none" w:sz="0" w:space="0" w:color="auto"/>
                <w:bottom w:val="none" w:sz="0" w:space="0" w:color="auto"/>
                <w:right w:val="none" w:sz="0" w:space="0" w:color="auto"/>
              </w:divBdr>
              <w:divsChild>
                <w:div w:id="258954734">
                  <w:marLeft w:val="0"/>
                  <w:marRight w:val="0"/>
                  <w:marTop w:val="0"/>
                  <w:marBottom w:val="0"/>
                  <w:divBdr>
                    <w:top w:val="none" w:sz="0" w:space="0" w:color="auto"/>
                    <w:left w:val="none" w:sz="0" w:space="0" w:color="auto"/>
                    <w:bottom w:val="none" w:sz="0" w:space="0" w:color="auto"/>
                    <w:right w:val="none" w:sz="0" w:space="0" w:color="auto"/>
                  </w:divBdr>
                  <w:divsChild>
                    <w:div w:id="9036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361725">
      <w:bodyDiv w:val="1"/>
      <w:marLeft w:val="0"/>
      <w:marRight w:val="0"/>
      <w:marTop w:val="0"/>
      <w:marBottom w:val="0"/>
      <w:divBdr>
        <w:top w:val="none" w:sz="0" w:space="0" w:color="auto"/>
        <w:left w:val="none" w:sz="0" w:space="0" w:color="auto"/>
        <w:bottom w:val="none" w:sz="0" w:space="0" w:color="auto"/>
        <w:right w:val="none" w:sz="0" w:space="0" w:color="auto"/>
      </w:divBdr>
      <w:divsChild>
        <w:div w:id="102187214">
          <w:marLeft w:val="0"/>
          <w:marRight w:val="0"/>
          <w:marTop w:val="0"/>
          <w:marBottom w:val="0"/>
          <w:divBdr>
            <w:top w:val="none" w:sz="0" w:space="0" w:color="auto"/>
            <w:left w:val="none" w:sz="0" w:space="0" w:color="auto"/>
            <w:bottom w:val="none" w:sz="0" w:space="0" w:color="auto"/>
            <w:right w:val="none" w:sz="0" w:space="0" w:color="auto"/>
          </w:divBdr>
          <w:divsChild>
            <w:div w:id="1894921403">
              <w:marLeft w:val="0"/>
              <w:marRight w:val="0"/>
              <w:marTop w:val="0"/>
              <w:marBottom w:val="0"/>
              <w:divBdr>
                <w:top w:val="none" w:sz="0" w:space="0" w:color="auto"/>
                <w:left w:val="none" w:sz="0" w:space="0" w:color="auto"/>
                <w:bottom w:val="none" w:sz="0" w:space="0" w:color="auto"/>
                <w:right w:val="none" w:sz="0" w:space="0" w:color="auto"/>
              </w:divBdr>
              <w:divsChild>
                <w:div w:id="868569050">
                  <w:marLeft w:val="0"/>
                  <w:marRight w:val="0"/>
                  <w:marTop w:val="0"/>
                  <w:marBottom w:val="0"/>
                  <w:divBdr>
                    <w:top w:val="none" w:sz="0" w:space="0" w:color="auto"/>
                    <w:left w:val="none" w:sz="0" w:space="0" w:color="auto"/>
                    <w:bottom w:val="none" w:sz="0" w:space="0" w:color="auto"/>
                    <w:right w:val="none" w:sz="0" w:space="0" w:color="auto"/>
                  </w:divBdr>
                  <w:divsChild>
                    <w:div w:id="72537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240237">
      <w:bodyDiv w:val="1"/>
      <w:marLeft w:val="0"/>
      <w:marRight w:val="0"/>
      <w:marTop w:val="0"/>
      <w:marBottom w:val="0"/>
      <w:divBdr>
        <w:top w:val="none" w:sz="0" w:space="0" w:color="auto"/>
        <w:left w:val="none" w:sz="0" w:space="0" w:color="auto"/>
        <w:bottom w:val="none" w:sz="0" w:space="0" w:color="auto"/>
        <w:right w:val="none" w:sz="0" w:space="0" w:color="auto"/>
      </w:divBdr>
      <w:divsChild>
        <w:div w:id="666831454">
          <w:marLeft w:val="0"/>
          <w:marRight w:val="0"/>
          <w:marTop w:val="0"/>
          <w:marBottom w:val="0"/>
          <w:divBdr>
            <w:top w:val="none" w:sz="0" w:space="0" w:color="auto"/>
            <w:left w:val="none" w:sz="0" w:space="0" w:color="auto"/>
            <w:bottom w:val="none" w:sz="0" w:space="0" w:color="auto"/>
            <w:right w:val="none" w:sz="0" w:space="0" w:color="auto"/>
          </w:divBdr>
          <w:divsChild>
            <w:div w:id="1189372339">
              <w:marLeft w:val="0"/>
              <w:marRight w:val="0"/>
              <w:marTop w:val="0"/>
              <w:marBottom w:val="0"/>
              <w:divBdr>
                <w:top w:val="none" w:sz="0" w:space="0" w:color="auto"/>
                <w:left w:val="none" w:sz="0" w:space="0" w:color="auto"/>
                <w:bottom w:val="none" w:sz="0" w:space="0" w:color="auto"/>
                <w:right w:val="none" w:sz="0" w:space="0" w:color="auto"/>
              </w:divBdr>
              <w:divsChild>
                <w:div w:id="2055735385">
                  <w:marLeft w:val="0"/>
                  <w:marRight w:val="0"/>
                  <w:marTop w:val="0"/>
                  <w:marBottom w:val="0"/>
                  <w:divBdr>
                    <w:top w:val="none" w:sz="0" w:space="0" w:color="auto"/>
                    <w:left w:val="none" w:sz="0" w:space="0" w:color="auto"/>
                    <w:bottom w:val="none" w:sz="0" w:space="0" w:color="auto"/>
                    <w:right w:val="none" w:sz="0" w:space="0" w:color="auto"/>
                  </w:divBdr>
                  <w:divsChild>
                    <w:div w:id="3601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862013">
      <w:bodyDiv w:val="1"/>
      <w:marLeft w:val="0"/>
      <w:marRight w:val="0"/>
      <w:marTop w:val="0"/>
      <w:marBottom w:val="0"/>
      <w:divBdr>
        <w:top w:val="none" w:sz="0" w:space="0" w:color="auto"/>
        <w:left w:val="none" w:sz="0" w:space="0" w:color="auto"/>
        <w:bottom w:val="none" w:sz="0" w:space="0" w:color="auto"/>
        <w:right w:val="none" w:sz="0" w:space="0" w:color="auto"/>
      </w:divBdr>
      <w:divsChild>
        <w:div w:id="11151835">
          <w:marLeft w:val="0"/>
          <w:marRight w:val="0"/>
          <w:marTop w:val="0"/>
          <w:marBottom w:val="0"/>
          <w:divBdr>
            <w:top w:val="none" w:sz="0" w:space="0" w:color="auto"/>
            <w:left w:val="none" w:sz="0" w:space="0" w:color="auto"/>
            <w:bottom w:val="none" w:sz="0" w:space="0" w:color="auto"/>
            <w:right w:val="none" w:sz="0" w:space="0" w:color="auto"/>
          </w:divBdr>
          <w:divsChild>
            <w:div w:id="1207763797">
              <w:marLeft w:val="0"/>
              <w:marRight w:val="0"/>
              <w:marTop w:val="0"/>
              <w:marBottom w:val="0"/>
              <w:divBdr>
                <w:top w:val="none" w:sz="0" w:space="0" w:color="auto"/>
                <w:left w:val="none" w:sz="0" w:space="0" w:color="auto"/>
                <w:bottom w:val="none" w:sz="0" w:space="0" w:color="auto"/>
                <w:right w:val="none" w:sz="0" w:space="0" w:color="auto"/>
              </w:divBdr>
              <w:divsChild>
                <w:div w:id="381906306">
                  <w:marLeft w:val="0"/>
                  <w:marRight w:val="0"/>
                  <w:marTop w:val="0"/>
                  <w:marBottom w:val="0"/>
                  <w:divBdr>
                    <w:top w:val="none" w:sz="0" w:space="0" w:color="auto"/>
                    <w:left w:val="none" w:sz="0" w:space="0" w:color="auto"/>
                    <w:bottom w:val="none" w:sz="0" w:space="0" w:color="auto"/>
                    <w:right w:val="none" w:sz="0" w:space="0" w:color="auto"/>
                  </w:divBdr>
                  <w:divsChild>
                    <w:div w:id="202481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884481">
              <w:marLeft w:val="0"/>
              <w:marRight w:val="0"/>
              <w:marTop w:val="0"/>
              <w:marBottom w:val="0"/>
              <w:divBdr>
                <w:top w:val="none" w:sz="0" w:space="0" w:color="auto"/>
                <w:left w:val="none" w:sz="0" w:space="0" w:color="auto"/>
                <w:bottom w:val="none" w:sz="0" w:space="0" w:color="auto"/>
                <w:right w:val="none" w:sz="0" w:space="0" w:color="auto"/>
              </w:divBdr>
              <w:divsChild>
                <w:div w:id="1478496635">
                  <w:marLeft w:val="0"/>
                  <w:marRight w:val="0"/>
                  <w:marTop w:val="0"/>
                  <w:marBottom w:val="0"/>
                  <w:divBdr>
                    <w:top w:val="none" w:sz="0" w:space="0" w:color="auto"/>
                    <w:left w:val="none" w:sz="0" w:space="0" w:color="auto"/>
                    <w:bottom w:val="none" w:sz="0" w:space="0" w:color="auto"/>
                    <w:right w:val="none" w:sz="0" w:space="0" w:color="auto"/>
                  </w:divBdr>
                </w:div>
              </w:divsChild>
            </w:div>
            <w:div w:id="2075351740">
              <w:marLeft w:val="0"/>
              <w:marRight w:val="0"/>
              <w:marTop w:val="0"/>
              <w:marBottom w:val="0"/>
              <w:divBdr>
                <w:top w:val="none" w:sz="0" w:space="0" w:color="auto"/>
                <w:left w:val="none" w:sz="0" w:space="0" w:color="auto"/>
                <w:bottom w:val="none" w:sz="0" w:space="0" w:color="auto"/>
                <w:right w:val="none" w:sz="0" w:space="0" w:color="auto"/>
              </w:divBdr>
              <w:divsChild>
                <w:div w:id="60103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76102">
          <w:marLeft w:val="0"/>
          <w:marRight w:val="0"/>
          <w:marTop w:val="0"/>
          <w:marBottom w:val="0"/>
          <w:divBdr>
            <w:top w:val="none" w:sz="0" w:space="0" w:color="auto"/>
            <w:left w:val="none" w:sz="0" w:space="0" w:color="auto"/>
            <w:bottom w:val="none" w:sz="0" w:space="0" w:color="auto"/>
            <w:right w:val="none" w:sz="0" w:space="0" w:color="auto"/>
          </w:divBdr>
          <w:divsChild>
            <w:div w:id="1321152068">
              <w:marLeft w:val="0"/>
              <w:marRight w:val="0"/>
              <w:marTop w:val="0"/>
              <w:marBottom w:val="0"/>
              <w:divBdr>
                <w:top w:val="none" w:sz="0" w:space="0" w:color="auto"/>
                <w:left w:val="none" w:sz="0" w:space="0" w:color="auto"/>
                <w:bottom w:val="none" w:sz="0" w:space="0" w:color="auto"/>
                <w:right w:val="none" w:sz="0" w:space="0" w:color="auto"/>
              </w:divBdr>
              <w:divsChild>
                <w:div w:id="968052537">
                  <w:marLeft w:val="0"/>
                  <w:marRight w:val="0"/>
                  <w:marTop w:val="0"/>
                  <w:marBottom w:val="0"/>
                  <w:divBdr>
                    <w:top w:val="none" w:sz="0" w:space="0" w:color="auto"/>
                    <w:left w:val="none" w:sz="0" w:space="0" w:color="auto"/>
                    <w:bottom w:val="none" w:sz="0" w:space="0" w:color="auto"/>
                    <w:right w:val="none" w:sz="0" w:space="0" w:color="auto"/>
                  </w:divBdr>
                </w:div>
              </w:divsChild>
            </w:div>
            <w:div w:id="155802830">
              <w:marLeft w:val="0"/>
              <w:marRight w:val="0"/>
              <w:marTop w:val="0"/>
              <w:marBottom w:val="0"/>
              <w:divBdr>
                <w:top w:val="none" w:sz="0" w:space="0" w:color="auto"/>
                <w:left w:val="none" w:sz="0" w:space="0" w:color="auto"/>
                <w:bottom w:val="none" w:sz="0" w:space="0" w:color="auto"/>
                <w:right w:val="none" w:sz="0" w:space="0" w:color="auto"/>
              </w:divBdr>
              <w:divsChild>
                <w:div w:id="2141454923">
                  <w:marLeft w:val="0"/>
                  <w:marRight w:val="0"/>
                  <w:marTop w:val="0"/>
                  <w:marBottom w:val="0"/>
                  <w:divBdr>
                    <w:top w:val="none" w:sz="0" w:space="0" w:color="auto"/>
                    <w:left w:val="none" w:sz="0" w:space="0" w:color="auto"/>
                    <w:bottom w:val="none" w:sz="0" w:space="0" w:color="auto"/>
                    <w:right w:val="none" w:sz="0" w:space="0" w:color="auto"/>
                  </w:divBdr>
                  <w:divsChild>
                    <w:div w:id="7250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418890">
      <w:bodyDiv w:val="1"/>
      <w:marLeft w:val="0"/>
      <w:marRight w:val="0"/>
      <w:marTop w:val="0"/>
      <w:marBottom w:val="0"/>
      <w:divBdr>
        <w:top w:val="none" w:sz="0" w:space="0" w:color="auto"/>
        <w:left w:val="none" w:sz="0" w:space="0" w:color="auto"/>
        <w:bottom w:val="none" w:sz="0" w:space="0" w:color="auto"/>
        <w:right w:val="none" w:sz="0" w:space="0" w:color="auto"/>
      </w:divBdr>
      <w:divsChild>
        <w:div w:id="793522341">
          <w:marLeft w:val="0"/>
          <w:marRight w:val="0"/>
          <w:marTop w:val="0"/>
          <w:marBottom w:val="0"/>
          <w:divBdr>
            <w:top w:val="none" w:sz="0" w:space="0" w:color="auto"/>
            <w:left w:val="none" w:sz="0" w:space="0" w:color="auto"/>
            <w:bottom w:val="none" w:sz="0" w:space="0" w:color="auto"/>
            <w:right w:val="none" w:sz="0" w:space="0" w:color="auto"/>
          </w:divBdr>
          <w:divsChild>
            <w:div w:id="1719936681">
              <w:marLeft w:val="0"/>
              <w:marRight w:val="0"/>
              <w:marTop w:val="0"/>
              <w:marBottom w:val="0"/>
              <w:divBdr>
                <w:top w:val="none" w:sz="0" w:space="0" w:color="auto"/>
                <w:left w:val="none" w:sz="0" w:space="0" w:color="auto"/>
                <w:bottom w:val="none" w:sz="0" w:space="0" w:color="auto"/>
                <w:right w:val="none" w:sz="0" w:space="0" w:color="auto"/>
              </w:divBdr>
              <w:divsChild>
                <w:div w:id="128688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456450">
      <w:bodyDiv w:val="1"/>
      <w:marLeft w:val="0"/>
      <w:marRight w:val="0"/>
      <w:marTop w:val="0"/>
      <w:marBottom w:val="0"/>
      <w:divBdr>
        <w:top w:val="none" w:sz="0" w:space="0" w:color="auto"/>
        <w:left w:val="none" w:sz="0" w:space="0" w:color="auto"/>
        <w:bottom w:val="none" w:sz="0" w:space="0" w:color="auto"/>
        <w:right w:val="none" w:sz="0" w:space="0" w:color="auto"/>
      </w:divBdr>
    </w:div>
    <w:div w:id="1215002203">
      <w:bodyDiv w:val="1"/>
      <w:marLeft w:val="0"/>
      <w:marRight w:val="0"/>
      <w:marTop w:val="0"/>
      <w:marBottom w:val="0"/>
      <w:divBdr>
        <w:top w:val="none" w:sz="0" w:space="0" w:color="auto"/>
        <w:left w:val="none" w:sz="0" w:space="0" w:color="auto"/>
        <w:bottom w:val="none" w:sz="0" w:space="0" w:color="auto"/>
        <w:right w:val="none" w:sz="0" w:space="0" w:color="auto"/>
      </w:divBdr>
      <w:divsChild>
        <w:div w:id="1785463783">
          <w:marLeft w:val="0"/>
          <w:marRight w:val="0"/>
          <w:marTop w:val="0"/>
          <w:marBottom w:val="0"/>
          <w:divBdr>
            <w:top w:val="none" w:sz="0" w:space="0" w:color="auto"/>
            <w:left w:val="none" w:sz="0" w:space="0" w:color="auto"/>
            <w:bottom w:val="none" w:sz="0" w:space="0" w:color="auto"/>
            <w:right w:val="none" w:sz="0" w:space="0" w:color="auto"/>
          </w:divBdr>
          <w:divsChild>
            <w:div w:id="665673801">
              <w:marLeft w:val="0"/>
              <w:marRight w:val="0"/>
              <w:marTop w:val="0"/>
              <w:marBottom w:val="0"/>
              <w:divBdr>
                <w:top w:val="none" w:sz="0" w:space="0" w:color="auto"/>
                <w:left w:val="none" w:sz="0" w:space="0" w:color="auto"/>
                <w:bottom w:val="none" w:sz="0" w:space="0" w:color="auto"/>
                <w:right w:val="none" w:sz="0" w:space="0" w:color="auto"/>
              </w:divBdr>
              <w:divsChild>
                <w:div w:id="205318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951413">
      <w:bodyDiv w:val="1"/>
      <w:marLeft w:val="0"/>
      <w:marRight w:val="0"/>
      <w:marTop w:val="0"/>
      <w:marBottom w:val="0"/>
      <w:divBdr>
        <w:top w:val="none" w:sz="0" w:space="0" w:color="auto"/>
        <w:left w:val="none" w:sz="0" w:space="0" w:color="auto"/>
        <w:bottom w:val="none" w:sz="0" w:space="0" w:color="auto"/>
        <w:right w:val="none" w:sz="0" w:space="0" w:color="auto"/>
      </w:divBdr>
      <w:divsChild>
        <w:div w:id="689724775">
          <w:marLeft w:val="0"/>
          <w:marRight w:val="0"/>
          <w:marTop w:val="0"/>
          <w:marBottom w:val="0"/>
          <w:divBdr>
            <w:top w:val="none" w:sz="0" w:space="0" w:color="auto"/>
            <w:left w:val="none" w:sz="0" w:space="0" w:color="auto"/>
            <w:bottom w:val="none" w:sz="0" w:space="0" w:color="auto"/>
            <w:right w:val="none" w:sz="0" w:space="0" w:color="auto"/>
          </w:divBdr>
          <w:divsChild>
            <w:div w:id="1102067250">
              <w:marLeft w:val="0"/>
              <w:marRight w:val="0"/>
              <w:marTop w:val="0"/>
              <w:marBottom w:val="0"/>
              <w:divBdr>
                <w:top w:val="none" w:sz="0" w:space="0" w:color="auto"/>
                <w:left w:val="none" w:sz="0" w:space="0" w:color="auto"/>
                <w:bottom w:val="none" w:sz="0" w:space="0" w:color="auto"/>
                <w:right w:val="none" w:sz="0" w:space="0" w:color="auto"/>
              </w:divBdr>
              <w:divsChild>
                <w:div w:id="869883015">
                  <w:marLeft w:val="0"/>
                  <w:marRight w:val="0"/>
                  <w:marTop w:val="0"/>
                  <w:marBottom w:val="0"/>
                  <w:divBdr>
                    <w:top w:val="none" w:sz="0" w:space="0" w:color="auto"/>
                    <w:left w:val="none" w:sz="0" w:space="0" w:color="auto"/>
                    <w:bottom w:val="none" w:sz="0" w:space="0" w:color="auto"/>
                    <w:right w:val="none" w:sz="0" w:space="0" w:color="auto"/>
                  </w:divBdr>
                  <w:divsChild>
                    <w:div w:id="14304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171640">
      <w:bodyDiv w:val="1"/>
      <w:marLeft w:val="0"/>
      <w:marRight w:val="0"/>
      <w:marTop w:val="0"/>
      <w:marBottom w:val="0"/>
      <w:divBdr>
        <w:top w:val="none" w:sz="0" w:space="0" w:color="auto"/>
        <w:left w:val="none" w:sz="0" w:space="0" w:color="auto"/>
        <w:bottom w:val="none" w:sz="0" w:space="0" w:color="auto"/>
        <w:right w:val="none" w:sz="0" w:space="0" w:color="auto"/>
      </w:divBdr>
      <w:divsChild>
        <w:div w:id="1065033602">
          <w:marLeft w:val="0"/>
          <w:marRight w:val="0"/>
          <w:marTop w:val="0"/>
          <w:marBottom w:val="0"/>
          <w:divBdr>
            <w:top w:val="none" w:sz="0" w:space="0" w:color="auto"/>
            <w:left w:val="none" w:sz="0" w:space="0" w:color="auto"/>
            <w:bottom w:val="none" w:sz="0" w:space="0" w:color="auto"/>
            <w:right w:val="none" w:sz="0" w:space="0" w:color="auto"/>
          </w:divBdr>
          <w:divsChild>
            <w:div w:id="1174028961">
              <w:marLeft w:val="0"/>
              <w:marRight w:val="0"/>
              <w:marTop w:val="0"/>
              <w:marBottom w:val="0"/>
              <w:divBdr>
                <w:top w:val="none" w:sz="0" w:space="0" w:color="auto"/>
                <w:left w:val="none" w:sz="0" w:space="0" w:color="auto"/>
                <w:bottom w:val="none" w:sz="0" w:space="0" w:color="auto"/>
                <w:right w:val="none" w:sz="0" w:space="0" w:color="auto"/>
              </w:divBdr>
              <w:divsChild>
                <w:div w:id="563876143">
                  <w:marLeft w:val="0"/>
                  <w:marRight w:val="0"/>
                  <w:marTop w:val="0"/>
                  <w:marBottom w:val="0"/>
                  <w:divBdr>
                    <w:top w:val="none" w:sz="0" w:space="0" w:color="auto"/>
                    <w:left w:val="none" w:sz="0" w:space="0" w:color="auto"/>
                    <w:bottom w:val="none" w:sz="0" w:space="0" w:color="auto"/>
                    <w:right w:val="none" w:sz="0" w:space="0" w:color="auto"/>
                  </w:divBdr>
                  <w:divsChild>
                    <w:div w:id="81526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462892">
      <w:bodyDiv w:val="1"/>
      <w:marLeft w:val="0"/>
      <w:marRight w:val="0"/>
      <w:marTop w:val="0"/>
      <w:marBottom w:val="0"/>
      <w:divBdr>
        <w:top w:val="none" w:sz="0" w:space="0" w:color="auto"/>
        <w:left w:val="none" w:sz="0" w:space="0" w:color="auto"/>
        <w:bottom w:val="none" w:sz="0" w:space="0" w:color="auto"/>
        <w:right w:val="none" w:sz="0" w:space="0" w:color="auto"/>
      </w:divBdr>
    </w:div>
    <w:div w:id="1481655651">
      <w:bodyDiv w:val="1"/>
      <w:marLeft w:val="0"/>
      <w:marRight w:val="0"/>
      <w:marTop w:val="0"/>
      <w:marBottom w:val="0"/>
      <w:divBdr>
        <w:top w:val="none" w:sz="0" w:space="0" w:color="auto"/>
        <w:left w:val="none" w:sz="0" w:space="0" w:color="auto"/>
        <w:bottom w:val="none" w:sz="0" w:space="0" w:color="auto"/>
        <w:right w:val="none" w:sz="0" w:space="0" w:color="auto"/>
      </w:divBdr>
      <w:divsChild>
        <w:div w:id="1159154135">
          <w:marLeft w:val="0"/>
          <w:marRight w:val="0"/>
          <w:marTop w:val="0"/>
          <w:marBottom w:val="0"/>
          <w:divBdr>
            <w:top w:val="none" w:sz="0" w:space="0" w:color="auto"/>
            <w:left w:val="none" w:sz="0" w:space="0" w:color="auto"/>
            <w:bottom w:val="none" w:sz="0" w:space="0" w:color="auto"/>
            <w:right w:val="none" w:sz="0" w:space="0" w:color="auto"/>
          </w:divBdr>
          <w:divsChild>
            <w:div w:id="716198272">
              <w:marLeft w:val="0"/>
              <w:marRight w:val="0"/>
              <w:marTop w:val="0"/>
              <w:marBottom w:val="0"/>
              <w:divBdr>
                <w:top w:val="none" w:sz="0" w:space="0" w:color="auto"/>
                <w:left w:val="none" w:sz="0" w:space="0" w:color="auto"/>
                <w:bottom w:val="none" w:sz="0" w:space="0" w:color="auto"/>
                <w:right w:val="none" w:sz="0" w:space="0" w:color="auto"/>
              </w:divBdr>
              <w:divsChild>
                <w:div w:id="203908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22476">
      <w:bodyDiv w:val="1"/>
      <w:marLeft w:val="0"/>
      <w:marRight w:val="0"/>
      <w:marTop w:val="0"/>
      <w:marBottom w:val="0"/>
      <w:divBdr>
        <w:top w:val="none" w:sz="0" w:space="0" w:color="auto"/>
        <w:left w:val="none" w:sz="0" w:space="0" w:color="auto"/>
        <w:bottom w:val="none" w:sz="0" w:space="0" w:color="auto"/>
        <w:right w:val="none" w:sz="0" w:space="0" w:color="auto"/>
      </w:divBdr>
      <w:divsChild>
        <w:div w:id="947467533">
          <w:marLeft w:val="0"/>
          <w:marRight w:val="0"/>
          <w:marTop w:val="0"/>
          <w:marBottom w:val="0"/>
          <w:divBdr>
            <w:top w:val="none" w:sz="0" w:space="0" w:color="auto"/>
            <w:left w:val="none" w:sz="0" w:space="0" w:color="auto"/>
            <w:bottom w:val="none" w:sz="0" w:space="0" w:color="auto"/>
            <w:right w:val="none" w:sz="0" w:space="0" w:color="auto"/>
          </w:divBdr>
          <w:divsChild>
            <w:div w:id="2060471720">
              <w:marLeft w:val="0"/>
              <w:marRight w:val="0"/>
              <w:marTop w:val="0"/>
              <w:marBottom w:val="0"/>
              <w:divBdr>
                <w:top w:val="none" w:sz="0" w:space="0" w:color="auto"/>
                <w:left w:val="none" w:sz="0" w:space="0" w:color="auto"/>
                <w:bottom w:val="none" w:sz="0" w:space="0" w:color="auto"/>
                <w:right w:val="none" w:sz="0" w:space="0" w:color="auto"/>
              </w:divBdr>
              <w:divsChild>
                <w:div w:id="2286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981305">
      <w:bodyDiv w:val="1"/>
      <w:marLeft w:val="0"/>
      <w:marRight w:val="0"/>
      <w:marTop w:val="0"/>
      <w:marBottom w:val="0"/>
      <w:divBdr>
        <w:top w:val="none" w:sz="0" w:space="0" w:color="auto"/>
        <w:left w:val="none" w:sz="0" w:space="0" w:color="auto"/>
        <w:bottom w:val="none" w:sz="0" w:space="0" w:color="auto"/>
        <w:right w:val="none" w:sz="0" w:space="0" w:color="auto"/>
      </w:divBdr>
      <w:divsChild>
        <w:div w:id="527793750">
          <w:marLeft w:val="0"/>
          <w:marRight w:val="0"/>
          <w:marTop w:val="0"/>
          <w:marBottom w:val="0"/>
          <w:divBdr>
            <w:top w:val="none" w:sz="0" w:space="0" w:color="auto"/>
            <w:left w:val="none" w:sz="0" w:space="0" w:color="auto"/>
            <w:bottom w:val="none" w:sz="0" w:space="0" w:color="auto"/>
            <w:right w:val="none" w:sz="0" w:space="0" w:color="auto"/>
          </w:divBdr>
          <w:divsChild>
            <w:div w:id="1447770107">
              <w:marLeft w:val="0"/>
              <w:marRight w:val="0"/>
              <w:marTop w:val="0"/>
              <w:marBottom w:val="0"/>
              <w:divBdr>
                <w:top w:val="none" w:sz="0" w:space="0" w:color="auto"/>
                <w:left w:val="none" w:sz="0" w:space="0" w:color="auto"/>
                <w:bottom w:val="none" w:sz="0" w:space="0" w:color="auto"/>
                <w:right w:val="none" w:sz="0" w:space="0" w:color="auto"/>
              </w:divBdr>
              <w:divsChild>
                <w:div w:id="1621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7269">
      <w:bodyDiv w:val="1"/>
      <w:marLeft w:val="0"/>
      <w:marRight w:val="0"/>
      <w:marTop w:val="0"/>
      <w:marBottom w:val="0"/>
      <w:divBdr>
        <w:top w:val="none" w:sz="0" w:space="0" w:color="auto"/>
        <w:left w:val="none" w:sz="0" w:space="0" w:color="auto"/>
        <w:bottom w:val="none" w:sz="0" w:space="0" w:color="auto"/>
        <w:right w:val="none" w:sz="0" w:space="0" w:color="auto"/>
      </w:divBdr>
    </w:div>
    <w:div w:id="1693989584">
      <w:bodyDiv w:val="1"/>
      <w:marLeft w:val="0"/>
      <w:marRight w:val="0"/>
      <w:marTop w:val="0"/>
      <w:marBottom w:val="0"/>
      <w:divBdr>
        <w:top w:val="none" w:sz="0" w:space="0" w:color="auto"/>
        <w:left w:val="none" w:sz="0" w:space="0" w:color="auto"/>
        <w:bottom w:val="none" w:sz="0" w:space="0" w:color="auto"/>
        <w:right w:val="none" w:sz="0" w:space="0" w:color="auto"/>
      </w:divBdr>
    </w:div>
    <w:div w:id="1706178454">
      <w:bodyDiv w:val="1"/>
      <w:marLeft w:val="0"/>
      <w:marRight w:val="0"/>
      <w:marTop w:val="0"/>
      <w:marBottom w:val="0"/>
      <w:divBdr>
        <w:top w:val="none" w:sz="0" w:space="0" w:color="auto"/>
        <w:left w:val="none" w:sz="0" w:space="0" w:color="auto"/>
        <w:bottom w:val="none" w:sz="0" w:space="0" w:color="auto"/>
        <w:right w:val="none" w:sz="0" w:space="0" w:color="auto"/>
      </w:divBdr>
      <w:divsChild>
        <w:div w:id="685862485">
          <w:marLeft w:val="0"/>
          <w:marRight w:val="0"/>
          <w:marTop w:val="0"/>
          <w:marBottom w:val="0"/>
          <w:divBdr>
            <w:top w:val="none" w:sz="0" w:space="0" w:color="auto"/>
            <w:left w:val="none" w:sz="0" w:space="0" w:color="auto"/>
            <w:bottom w:val="none" w:sz="0" w:space="0" w:color="auto"/>
            <w:right w:val="none" w:sz="0" w:space="0" w:color="auto"/>
          </w:divBdr>
          <w:divsChild>
            <w:div w:id="1805810664">
              <w:marLeft w:val="0"/>
              <w:marRight w:val="0"/>
              <w:marTop w:val="0"/>
              <w:marBottom w:val="0"/>
              <w:divBdr>
                <w:top w:val="none" w:sz="0" w:space="0" w:color="auto"/>
                <w:left w:val="none" w:sz="0" w:space="0" w:color="auto"/>
                <w:bottom w:val="none" w:sz="0" w:space="0" w:color="auto"/>
                <w:right w:val="none" w:sz="0" w:space="0" w:color="auto"/>
              </w:divBdr>
              <w:divsChild>
                <w:div w:id="27533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62771">
      <w:bodyDiv w:val="1"/>
      <w:marLeft w:val="0"/>
      <w:marRight w:val="0"/>
      <w:marTop w:val="0"/>
      <w:marBottom w:val="0"/>
      <w:divBdr>
        <w:top w:val="none" w:sz="0" w:space="0" w:color="auto"/>
        <w:left w:val="none" w:sz="0" w:space="0" w:color="auto"/>
        <w:bottom w:val="none" w:sz="0" w:space="0" w:color="auto"/>
        <w:right w:val="none" w:sz="0" w:space="0" w:color="auto"/>
      </w:divBdr>
      <w:divsChild>
        <w:div w:id="1421222417">
          <w:marLeft w:val="0"/>
          <w:marRight w:val="0"/>
          <w:marTop w:val="0"/>
          <w:marBottom w:val="0"/>
          <w:divBdr>
            <w:top w:val="none" w:sz="0" w:space="0" w:color="auto"/>
            <w:left w:val="none" w:sz="0" w:space="0" w:color="auto"/>
            <w:bottom w:val="none" w:sz="0" w:space="0" w:color="auto"/>
            <w:right w:val="none" w:sz="0" w:space="0" w:color="auto"/>
          </w:divBdr>
          <w:divsChild>
            <w:div w:id="964191658">
              <w:marLeft w:val="0"/>
              <w:marRight w:val="0"/>
              <w:marTop w:val="0"/>
              <w:marBottom w:val="0"/>
              <w:divBdr>
                <w:top w:val="none" w:sz="0" w:space="0" w:color="auto"/>
                <w:left w:val="none" w:sz="0" w:space="0" w:color="auto"/>
                <w:bottom w:val="none" w:sz="0" w:space="0" w:color="auto"/>
                <w:right w:val="none" w:sz="0" w:space="0" w:color="auto"/>
              </w:divBdr>
              <w:divsChild>
                <w:div w:id="137311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468246">
      <w:bodyDiv w:val="1"/>
      <w:marLeft w:val="0"/>
      <w:marRight w:val="0"/>
      <w:marTop w:val="0"/>
      <w:marBottom w:val="0"/>
      <w:divBdr>
        <w:top w:val="none" w:sz="0" w:space="0" w:color="auto"/>
        <w:left w:val="none" w:sz="0" w:space="0" w:color="auto"/>
        <w:bottom w:val="none" w:sz="0" w:space="0" w:color="auto"/>
        <w:right w:val="none" w:sz="0" w:space="0" w:color="auto"/>
      </w:divBdr>
      <w:divsChild>
        <w:div w:id="1607498560">
          <w:marLeft w:val="0"/>
          <w:marRight w:val="0"/>
          <w:marTop w:val="0"/>
          <w:marBottom w:val="0"/>
          <w:divBdr>
            <w:top w:val="none" w:sz="0" w:space="0" w:color="auto"/>
            <w:left w:val="none" w:sz="0" w:space="0" w:color="auto"/>
            <w:bottom w:val="none" w:sz="0" w:space="0" w:color="auto"/>
            <w:right w:val="none" w:sz="0" w:space="0" w:color="auto"/>
          </w:divBdr>
          <w:divsChild>
            <w:div w:id="918099705">
              <w:marLeft w:val="0"/>
              <w:marRight w:val="0"/>
              <w:marTop w:val="0"/>
              <w:marBottom w:val="0"/>
              <w:divBdr>
                <w:top w:val="none" w:sz="0" w:space="0" w:color="auto"/>
                <w:left w:val="none" w:sz="0" w:space="0" w:color="auto"/>
                <w:bottom w:val="none" w:sz="0" w:space="0" w:color="auto"/>
                <w:right w:val="none" w:sz="0" w:space="0" w:color="auto"/>
              </w:divBdr>
              <w:divsChild>
                <w:div w:id="15480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16230">
      <w:bodyDiv w:val="1"/>
      <w:marLeft w:val="0"/>
      <w:marRight w:val="0"/>
      <w:marTop w:val="0"/>
      <w:marBottom w:val="0"/>
      <w:divBdr>
        <w:top w:val="none" w:sz="0" w:space="0" w:color="auto"/>
        <w:left w:val="none" w:sz="0" w:space="0" w:color="auto"/>
        <w:bottom w:val="none" w:sz="0" w:space="0" w:color="auto"/>
        <w:right w:val="none" w:sz="0" w:space="0" w:color="auto"/>
      </w:divBdr>
      <w:divsChild>
        <w:div w:id="244917043">
          <w:marLeft w:val="0"/>
          <w:marRight w:val="0"/>
          <w:marTop w:val="0"/>
          <w:marBottom w:val="0"/>
          <w:divBdr>
            <w:top w:val="none" w:sz="0" w:space="0" w:color="auto"/>
            <w:left w:val="none" w:sz="0" w:space="0" w:color="auto"/>
            <w:bottom w:val="none" w:sz="0" w:space="0" w:color="auto"/>
            <w:right w:val="none" w:sz="0" w:space="0" w:color="auto"/>
          </w:divBdr>
          <w:divsChild>
            <w:div w:id="880750265">
              <w:marLeft w:val="0"/>
              <w:marRight w:val="0"/>
              <w:marTop w:val="0"/>
              <w:marBottom w:val="0"/>
              <w:divBdr>
                <w:top w:val="none" w:sz="0" w:space="0" w:color="auto"/>
                <w:left w:val="none" w:sz="0" w:space="0" w:color="auto"/>
                <w:bottom w:val="none" w:sz="0" w:space="0" w:color="auto"/>
                <w:right w:val="none" w:sz="0" w:space="0" w:color="auto"/>
              </w:divBdr>
              <w:divsChild>
                <w:div w:id="214495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97835">
      <w:bodyDiv w:val="1"/>
      <w:marLeft w:val="0"/>
      <w:marRight w:val="0"/>
      <w:marTop w:val="0"/>
      <w:marBottom w:val="0"/>
      <w:divBdr>
        <w:top w:val="none" w:sz="0" w:space="0" w:color="auto"/>
        <w:left w:val="none" w:sz="0" w:space="0" w:color="auto"/>
        <w:bottom w:val="none" w:sz="0" w:space="0" w:color="auto"/>
        <w:right w:val="none" w:sz="0" w:space="0" w:color="auto"/>
      </w:divBdr>
      <w:divsChild>
        <w:div w:id="1842307012">
          <w:marLeft w:val="0"/>
          <w:marRight w:val="0"/>
          <w:marTop w:val="0"/>
          <w:marBottom w:val="0"/>
          <w:divBdr>
            <w:top w:val="none" w:sz="0" w:space="0" w:color="auto"/>
            <w:left w:val="none" w:sz="0" w:space="0" w:color="auto"/>
            <w:bottom w:val="none" w:sz="0" w:space="0" w:color="auto"/>
            <w:right w:val="none" w:sz="0" w:space="0" w:color="auto"/>
          </w:divBdr>
          <w:divsChild>
            <w:div w:id="1911033780">
              <w:marLeft w:val="0"/>
              <w:marRight w:val="0"/>
              <w:marTop w:val="0"/>
              <w:marBottom w:val="0"/>
              <w:divBdr>
                <w:top w:val="none" w:sz="0" w:space="0" w:color="auto"/>
                <w:left w:val="none" w:sz="0" w:space="0" w:color="auto"/>
                <w:bottom w:val="none" w:sz="0" w:space="0" w:color="auto"/>
                <w:right w:val="none" w:sz="0" w:space="0" w:color="auto"/>
              </w:divBdr>
              <w:divsChild>
                <w:div w:id="1658731807">
                  <w:marLeft w:val="0"/>
                  <w:marRight w:val="0"/>
                  <w:marTop w:val="0"/>
                  <w:marBottom w:val="0"/>
                  <w:divBdr>
                    <w:top w:val="none" w:sz="0" w:space="0" w:color="auto"/>
                    <w:left w:val="none" w:sz="0" w:space="0" w:color="auto"/>
                    <w:bottom w:val="none" w:sz="0" w:space="0" w:color="auto"/>
                    <w:right w:val="none" w:sz="0" w:space="0" w:color="auto"/>
                  </w:divBdr>
                  <w:divsChild>
                    <w:div w:id="170335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819855">
      <w:bodyDiv w:val="1"/>
      <w:marLeft w:val="0"/>
      <w:marRight w:val="0"/>
      <w:marTop w:val="0"/>
      <w:marBottom w:val="0"/>
      <w:divBdr>
        <w:top w:val="none" w:sz="0" w:space="0" w:color="auto"/>
        <w:left w:val="none" w:sz="0" w:space="0" w:color="auto"/>
        <w:bottom w:val="none" w:sz="0" w:space="0" w:color="auto"/>
        <w:right w:val="none" w:sz="0" w:space="0" w:color="auto"/>
      </w:divBdr>
      <w:divsChild>
        <w:div w:id="1832790806">
          <w:marLeft w:val="0"/>
          <w:marRight w:val="0"/>
          <w:marTop w:val="0"/>
          <w:marBottom w:val="0"/>
          <w:divBdr>
            <w:top w:val="none" w:sz="0" w:space="0" w:color="auto"/>
            <w:left w:val="none" w:sz="0" w:space="0" w:color="auto"/>
            <w:bottom w:val="none" w:sz="0" w:space="0" w:color="auto"/>
            <w:right w:val="none" w:sz="0" w:space="0" w:color="auto"/>
          </w:divBdr>
          <w:divsChild>
            <w:div w:id="596980332">
              <w:marLeft w:val="0"/>
              <w:marRight w:val="0"/>
              <w:marTop w:val="0"/>
              <w:marBottom w:val="0"/>
              <w:divBdr>
                <w:top w:val="none" w:sz="0" w:space="0" w:color="auto"/>
                <w:left w:val="none" w:sz="0" w:space="0" w:color="auto"/>
                <w:bottom w:val="none" w:sz="0" w:space="0" w:color="auto"/>
                <w:right w:val="none" w:sz="0" w:space="0" w:color="auto"/>
              </w:divBdr>
              <w:divsChild>
                <w:div w:id="5750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096941">
      <w:bodyDiv w:val="1"/>
      <w:marLeft w:val="0"/>
      <w:marRight w:val="0"/>
      <w:marTop w:val="0"/>
      <w:marBottom w:val="0"/>
      <w:divBdr>
        <w:top w:val="none" w:sz="0" w:space="0" w:color="auto"/>
        <w:left w:val="none" w:sz="0" w:space="0" w:color="auto"/>
        <w:bottom w:val="none" w:sz="0" w:space="0" w:color="auto"/>
        <w:right w:val="none" w:sz="0" w:space="0" w:color="auto"/>
      </w:divBdr>
      <w:divsChild>
        <w:div w:id="1624461778">
          <w:marLeft w:val="0"/>
          <w:marRight w:val="0"/>
          <w:marTop w:val="0"/>
          <w:marBottom w:val="0"/>
          <w:divBdr>
            <w:top w:val="none" w:sz="0" w:space="0" w:color="auto"/>
            <w:left w:val="none" w:sz="0" w:space="0" w:color="auto"/>
            <w:bottom w:val="none" w:sz="0" w:space="0" w:color="auto"/>
            <w:right w:val="none" w:sz="0" w:space="0" w:color="auto"/>
          </w:divBdr>
          <w:divsChild>
            <w:div w:id="920062025">
              <w:marLeft w:val="0"/>
              <w:marRight w:val="0"/>
              <w:marTop w:val="0"/>
              <w:marBottom w:val="0"/>
              <w:divBdr>
                <w:top w:val="none" w:sz="0" w:space="0" w:color="auto"/>
                <w:left w:val="none" w:sz="0" w:space="0" w:color="auto"/>
                <w:bottom w:val="none" w:sz="0" w:space="0" w:color="auto"/>
                <w:right w:val="none" w:sz="0" w:space="0" w:color="auto"/>
              </w:divBdr>
              <w:divsChild>
                <w:div w:id="177937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027003">
      <w:bodyDiv w:val="1"/>
      <w:marLeft w:val="0"/>
      <w:marRight w:val="0"/>
      <w:marTop w:val="0"/>
      <w:marBottom w:val="0"/>
      <w:divBdr>
        <w:top w:val="none" w:sz="0" w:space="0" w:color="auto"/>
        <w:left w:val="none" w:sz="0" w:space="0" w:color="auto"/>
        <w:bottom w:val="none" w:sz="0" w:space="0" w:color="auto"/>
        <w:right w:val="none" w:sz="0" w:space="0" w:color="auto"/>
      </w:divBdr>
      <w:divsChild>
        <w:div w:id="1295983825">
          <w:marLeft w:val="0"/>
          <w:marRight w:val="0"/>
          <w:marTop w:val="0"/>
          <w:marBottom w:val="0"/>
          <w:divBdr>
            <w:top w:val="none" w:sz="0" w:space="0" w:color="auto"/>
            <w:left w:val="none" w:sz="0" w:space="0" w:color="auto"/>
            <w:bottom w:val="none" w:sz="0" w:space="0" w:color="auto"/>
            <w:right w:val="none" w:sz="0" w:space="0" w:color="auto"/>
          </w:divBdr>
          <w:divsChild>
            <w:div w:id="1353650713">
              <w:marLeft w:val="0"/>
              <w:marRight w:val="0"/>
              <w:marTop w:val="0"/>
              <w:marBottom w:val="0"/>
              <w:divBdr>
                <w:top w:val="none" w:sz="0" w:space="0" w:color="auto"/>
                <w:left w:val="none" w:sz="0" w:space="0" w:color="auto"/>
                <w:bottom w:val="none" w:sz="0" w:space="0" w:color="auto"/>
                <w:right w:val="none" w:sz="0" w:space="0" w:color="auto"/>
              </w:divBdr>
              <w:divsChild>
                <w:div w:id="128484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ilgi@cocugasiddetionluyoruz.ne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unicef.org/turkey/en/youth-participation" TargetMode="External"/><Relationship Id="rId18" Type="http://schemas.openxmlformats.org/officeDocument/2006/relationships/hyperlink" Target="https://ifade.org.tr/reports/EngelliWeb_2019_Eng.pdf" TargetMode="External"/><Relationship Id="rId26" Type="http://schemas.openxmlformats.org/officeDocument/2006/relationships/hyperlink" Target="http://www.goc.gov.tr/icerik6/victims-of-human-trafficking_915_1024_4749_icerik" TargetMode="External"/><Relationship Id="rId39" Type="http://schemas.openxmlformats.org/officeDocument/2006/relationships/hyperlink" Target="http://turkishpolicy.com/article/956/turkeys-progress-on-gender-equality-in-education-rests-on-gender-politics" TargetMode="External"/><Relationship Id="rId3" Type="http://schemas.openxmlformats.org/officeDocument/2006/relationships/hyperlink" Target="https://www.theguardian.com/world/2020/jan/23/turkish-activists-oppose-amnesties-for-child-rapists" TargetMode="External"/><Relationship Id="rId21" Type="http://schemas.openxmlformats.org/officeDocument/2006/relationships/hyperlink" Target="https://adlisicil.adalet.gov.tr/Resimler/SayfaDokuman/1792019103654adalet_ist_2018.pdf" TargetMode="External"/><Relationship Id="rId34" Type="http://schemas.openxmlformats.org/officeDocument/2006/relationships/hyperlink" Target="https://tbinternet.ohchr.org/_layouts/treatybodyexternal/Download.aspx?symbolno=INT%2fCRPD%2fCSS%2fTUR%2f33884&amp;Lang=en" TargetMode="External"/><Relationship Id="rId42" Type="http://schemas.openxmlformats.org/officeDocument/2006/relationships/hyperlink" Target="http://egitimdeinsanhaklari.org/media/documents/4_10_2015_22_27_38057e.pdf" TargetMode="External"/><Relationship Id="rId47" Type="http://schemas.openxmlformats.org/officeDocument/2006/relationships/hyperlink" Target="http://tuik.gov.tr/PreTablo.do?alt_id=1070" TargetMode="External"/><Relationship Id="rId7" Type="http://schemas.openxmlformats.org/officeDocument/2006/relationships/hyperlink" Target="https://hatecrime.osce.org/turkey" TargetMode="External"/><Relationship Id="rId12" Type="http://schemas.openxmlformats.org/officeDocument/2006/relationships/hyperlink" Target="https://ihd.org.tr/en/ihd-2019-report-on-human-rights-violations-in-turkey/" TargetMode="External"/><Relationship Id="rId17" Type="http://schemas.openxmlformats.org/officeDocument/2006/relationships/hyperlink" Target="http://visionofhumanity.org/app/uploads/2019/06/GPI-2019-web003.pdf" TargetMode="External"/><Relationship Id="rId25" Type="http://schemas.openxmlformats.org/officeDocument/2006/relationships/hyperlink" Target="https://tkdf.org.tr/ayh" TargetMode="External"/><Relationship Id="rId33" Type="http://schemas.openxmlformats.org/officeDocument/2006/relationships/hyperlink" Target="https://sosyalyardimlar.aile.gov.tr/engellilere-yonelik-yardimlar" TargetMode="External"/><Relationship Id="rId38" Type="http://schemas.openxmlformats.org/officeDocument/2006/relationships/hyperlink" Target="http://www.euro.who.int/__data/assets/pdf_file/0010/267472/Adverse-childhood-experiences-survey-among-university-students-in-Turkey-Eng.pdf" TargetMode="External"/><Relationship Id="rId46" Type="http://schemas.openxmlformats.org/officeDocument/2006/relationships/hyperlink" Target="http://www.unicef.org.tr/files/bilgimerkezi/doc/child-protection-law.pdf" TargetMode="External"/><Relationship Id="rId2" Type="http://schemas.openxmlformats.org/officeDocument/2006/relationships/hyperlink" Target="https://www.amnesty.org/en/latest/news/2020/07/turkey-draconian-social-media-law-poses-grave-threat-to-freedom-of-expression/" TargetMode="External"/><Relationship Id="rId16" Type="http://schemas.openxmlformats.org/officeDocument/2006/relationships/hyperlink" Target="https://en.wikipedia.org/wiki/Democracy_Index" TargetMode="External"/><Relationship Id="rId20" Type="http://schemas.openxmlformats.org/officeDocument/2006/relationships/hyperlink" Target="http://eukidsonline.metu.edu.tr/file/EUKO_Turkey2015_SummaryReport.pdf" TargetMode="External"/><Relationship Id="rId29" Type="http://schemas.openxmlformats.org/officeDocument/2006/relationships/hyperlink" Target="https://www.independent.co.uk/news/world/europe/turkey-marry-rapist-bill-child-marriage-a9296681.html" TargetMode="External"/><Relationship Id="rId41" Type="http://schemas.openxmlformats.org/officeDocument/2006/relationships/hyperlink" Target="http://egitimdeinsanhaklari.org/media/documents/16_6_2015_17_23_3431e4.pdf" TargetMode="External"/><Relationship Id="rId1" Type="http://schemas.openxmlformats.org/officeDocument/2006/relationships/hyperlink" Target="https://bit.ly/3l8phqE" TargetMode="External"/><Relationship Id="rId6" Type="http://schemas.openxmlformats.org/officeDocument/2006/relationships/hyperlink" Target="https://kuzeyormanlari.org/2016/11/15/impact-of-the-3rd-airport-project-on-local-communities-violations-of-the-right-to-life-and-livelihood/" TargetMode="External"/><Relationship Id="rId11" Type="http://schemas.openxmlformats.org/officeDocument/2006/relationships/hyperlink" Target="https://www.temizhavahakki.com/english/" TargetMode="External"/><Relationship Id="rId24" Type="http://schemas.openxmlformats.org/officeDocument/2006/relationships/hyperlink" Target="http://tuik.gov.tr/PreIstatistikTablo.do?istab_id=1168" TargetMode="External"/><Relationship Id="rId32" Type="http://schemas.openxmlformats.org/officeDocument/2006/relationships/hyperlink" Target="https://www.ailevecalisma.gov.tr/EYHGM/Projeler/Ulusal-Engelli-Haklari-Strateji-Belgesi-ve-Eylem-Plani-2018-2023.pdf" TargetMode="External"/><Relationship Id="rId37" Type="http://schemas.openxmlformats.org/officeDocument/2006/relationships/hyperlink" Target="http://tuik.gov.tr/PreTablo.do?alt_id=1068" TargetMode="External"/><Relationship Id="rId40" Type="http://schemas.openxmlformats.org/officeDocument/2006/relationships/hyperlink" Target="https://tr.boell.org/en/2019/10/01/constructing-new-turkey-through-education" TargetMode="External"/><Relationship Id="rId45" Type="http://schemas.openxmlformats.org/officeDocument/2006/relationships/hyperlink" Target="https://betam.bahcesehir.edu.tr/wp-content/uploads/2019/04/ArastirmaNotu241.pdf" TargetMode="External"/><Relationship Id="rId5" Type="http://schemas.openxmlformats.org/officeDocument/2006/relationships/hyperlink" Target="http://bianet.org/bianet/insan-haklari/206551-cocuk-haklari-sozlesmesi-30-yilda-hala-ogrenilmemis" TargetMode="External"/><Relationship Id="rId15" Type="http://schemas.openxmlformats.org/officeDocument/2006/relationships/hyperlink" Target="https://freedomhouse.org/country/turkey/freedom-world/2020" TargetMode="External"/><Relationship Id="rId23" Type="http://schemas.openxmlformats.org/officeDocument/2006/relationships/hyperlink" Target="https://turkiye.fnst.org/sites/default/files/uploads/2019/10/19/gender-equality-turkish-%20textbooks.pdf" TargetMode="External"/><Relationship Id="rId28" Type="http://schemas.openxmlformats.org/officeDocument/2006/relationships/hyperlink" Target="http://www.hips.hacettepe.edu.tr/eng/english_main_report.pdf" TargetMode="External"/><Relationship Id="rId36" Type="http://schemas.openxmlformats.org/officeDocument/2006/relationships/hyperlink" Target="http://www.tuik.gov.tr/PreTablo.do?alt_id=1083" TargetMode="External"/><Relationship Id="rId49" Type="http://schemas.openxmlformats.org/officeDocument/2006/relationships/hyperlink" Target="https://doi.org/10.1080/24750573.2018.1505282" TargetMode="External"/><Relationship Id="rId10" Type="http://schemas.openxmlformats.org/officeDocument/2006/relationships/hyperlink" Target="http://www.the-monitor.org/en-gb/reports/2019/turkey/casualties.aspx" TargetMode="External"/><Relationship Id="rId19" Type="http://schemas.openxmlformats.org/officeDocument/2006/relationships/hyperlink" Target="https://www.birgun.net/haber/cinsel-istismari-saklamak-icin-erisim-engeli-karari-111584" TargetMode="External"/><Relationship Id="rId31" Type="http://schemas.openxmlformats.org/officeDocument/2006/relationships/hyperlink" Target="https://tbinternet.ohchr.org/_layouts/treatybodyexternal/Download.aspx?symbolno=CRPD%2fC%2fTUR%2fCO%2f1&amp;Lang=en" TargetMode="External"/><Relationship Id="rId44" Type="http://schemas.openxmlformats.org/officeDocument/2006/relationships/hyperlink" Target="http://www.tuik.gov.tr/PreHaberBultenleri.do?id=33807" TargetMode="External"/><Relationship Id="rId4" Type="http://schemas.openxmlformats.org/officeDocument/2006/relationships/hyperlink" Target="https://www.hrw.org/news/2020/07/08/turkey-plan-divide-undermine-legal-profession" TargetMode="External"/><Relationship Id="rId9" Type="http://schemas.openxmlformats.org/officeDocument/2006/relationships/hyperlink" Target="http://kaosgldernegi.org/yayindetay.php?id=312" TargetMode="External"/><Relationship Id="rId14" Type="http://schemas.openxmlformats.org/officeDocument/2006/relationships/hyperlink" Target="http://cocuk.bilgi.edu.tr/wp-content/uploads/2020/02/DOD_DAR_kitap_baski.pdf" TargetMode="External"/><Relationship Id="rId22" Type="http://schemas.openxmlformats.org/officeDocument/2006/relationships/hyperlink" Target="http://www.egitimreformugirisimi.org/wp-%20content/uploads/2017/03/ERG_DKAB_De&#287;erlendirme_2017.pdf" TargetMode="External"/><Relationship Id="rId27" Type="http://schemas.openxmlformats.org/officeDocument/2006/relationships/hyperlink" Target="https://www.hurriyetdailynews.com/30-syrian-children-sexually-assaulted-in-turkey-refugee-camp-99117" TargetMode="External"/><Relationship Id="rId30" Type="http://schemas.openxmlformats.org/officeDocument/2006/relationships/hyperlink" Target="http://cocugasiddetionluyoruz.net/agin-yayinlari/turkiyede-cocuga-karsi-siddet-durum-raporu-2017" TargetMode="External"/><Relationship Id="rId35" Type="http://schemas.openxmlformats.org/officeDocument/2006/relationships/hyperlink" Target="http://cocugasiddetionluyoruz.net/agin-yayinlari/turkiyede-engelli-cocuklara-siddet-bilgi-notu" TargetMode="External"/><Relationship Id="rId43" Type="http://schemas.openxmlformats.org/officeDocument/2006/relationships/hyperlink" Target="http://egitimdeinsanhaklari.org/media/documents/12_5_2015_17_27_3671c6.docx" TargetMode="External"/><Relationship Id="rId48" Type="http://schemas.openxmlformats.org/officeDocument/2006/relationships/hyperlink" Target="http://www.cte-ds.adalet.gov.tr" TargetMode="External"/><Relationship Id="rId8" Type="http://schemas.openxmlformats.org/officeDocument/2006/relationships/hyperlink" Target="https://hrantdink.org/en/asulis-en/activities/projects/media-watch-on-hate-spee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As additional information for the occasion of the constructive dialogue between Turkey and the UNCRC on the combined 4th and 5th Periodic Reports of Turkey – 93rd Pre-session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8CEBAC-E632-4E59-B987-D26B3CFDB94F}">
  <ds:schemaRefs>
    <ds:schemaRef ds:uri="http://schemas.openxmlformats.org/officeDocument/2006/bibliography"/>
  </ds:schemaRefs>
</ds:datastoreItem>
</file>

<file path=customXml/itemProps3.xml><?xml version="1.0" encoding="utf-8"?>
<ds:datastoreItem xmlns:ds="http://schemas.openxmlformats.org/officeDocument/2006/customXml" ds:itemID="{25E6C1ED-8523-4EA4-BB39-9C6BA0CA5BD7}"/>
</file>

<file path=customXml/itemProps4.xml><?xml version="1.0" encoding="utf-8"?>
<ds:datastoreItem xmlns:ds="http://schemas.openxmlformats.org/officeDocument/2006/customXml" ds:itemID="{59F1B0C1-5A43-4B74-8AB9-0B37BF914019}"/>
</file>

<file path=customXml/itemProps5.xml><?xml version="1.0" encoding="utf-8"?>
<ds:datastoreItem xmlns:ds="http://schemas.openxmlformats.org/officeDocument/2006/customXml" ds:itemID="{DC0963F6-2234-44E4-B34F-BB209BE55887}"/>
</file>

<file path=docProps/app.xml><?xml version="1.0" encoding="utf-8"?>
<Properties xmlns="http://schemas.openxmlformats.org/officeDocument/2006/extended-properties" xmlns:vt="http://schemas.openxmlformats.org/officeDocument/2006/docPropsVTypes">
  <Template>Normal.dotm</Template>
  <TotalTime>0</TotalTime>
  <Pages>17</Pages>
  <Words>5990</Words>
  <Characters>34148</Characters>
  <Application>Microsoft Office Word</Application>
  <DocSecurity>0</DocSecurity>
  <Lines>284</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Violence against Children and Child Rights in Turkey</vt:lpstr>
      <vt:lpstr>Violence against Children and Child Rights in Turkey</vt:lpstr>
    </vt:vector>
  </TitlesOfParts>
  <Company/>
  <LinksUpToDate>false</LinksUpToDate>
  <CharactersWithSpaces>40058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Violence against Children and Child Rights in Turkey</dc:title>
  <dc:subject>A Civil Society Perspective</dc:subject>
  <dc:creator>Partnership Network for the Prevention of Violence against Children</dc:creator>
  <cp:keywords/>
  <dc:description/>
  <cp:lastModifiedBy>BOIT James</cp:lastModifiedBy>
  <cp:revision>2</cp:revision>
  <dcterms:created xsi:type="dcterms:W3CDTF">2022-08-04T21:29:00Z</dcterms:created>
  <dcterms:modified xsi:type="dcterms:W3CDTF">2022-08-04T21:29:00Z</dcterms:modified>
  <cp:category>2022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