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37A" w:rsidRDefault="0071537A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</w:p>
    <w:p w:rsidR="0071537A" w:rsidRDefault="0071537A" w:rsidP="00AE1AD9">
      <w:pPr>
        <w:jc w:val="both"/>
        <w:rPr>
          <w:rFonts w:ascii="Times New Roman" w:hAnsi="Times New Roman" w:cs="Times New Roman"/>
          <w:b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  <w:r w:rsidRPr="0071537A">
        <w:rPr>
          <w:rFonts w:ascii="Times New Roman" w:hAnsi="Times New Roman" w:cs="Times New Roman"/>
          <w:sz w:val="40"/>
          <w:szCs w:val="40"/>
          <w:lang w:val="es-ES" w:eastAsia="es-ES"/>
        </w:rPr>
        <w:t>República de Panamá</w:t>
      </w: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  <w:r w:rsidRPr="0071537A">
        <w:rPr>
          <w:rFonts w:ascii="Times New Roman" w:hAnsi="Times New Roman" w:cs="Times New Roman"/>
          <w:sz w:val="40"/>
          <w:szCs w:val="40"/>
          <w:lang w:val="es-ES" w:eastAsia="es-ES"/>
        </w:rPr>
        <w:t xml:space="preserve">Información </w:t>
      </w:r>
      <w:r w:rsidR="00CF345B">
        <w:rPr>
          <w:rFonts w:ascii="Times New Roman" w:hAnsi="Times New Roman" w:cs="Times New Roman"/>
          <w:sz w:val="40"/>
          <w:szCs w:val="40"/>
          <w:lang w:val="es-ES" w:eastAsia="es-ES"/>
        </w:rPr>
        <w:t>c</w:t>
      </w:r>
      <w:r w:rsidR="00CF345B" w:rsidRPr="0071537A">
        <w:rPr>
          <w:rFonts w:ascii="Times New Roman" w:hAnsi="Times New Roman" w:cs="Times New Roman"/>
          <w:sz w:val="40"/>
          <w:szCs w:val="40"/>
          <w:lang w:val="es-ES" w:eastAsia="es-ES"/>
        </w:rPr>
        <w:t>omplementaria</w:t>
      </w:r>
      <w:r w:rsidRPr="0071537A">
        <w:rPr>
          <w:rFonts w:ascii="Times New Roman" w:hAnsi="Times New Roman" w:cs="Times New Roman"/>
          <w:sz w:val="40"/>
          <w:szCs w:val="40"/>
          <w:lang w:val="es-ES" w:eastAsia="es-ES"/>
        </w:rPr>
        <w:t xml:space="preserve"> a la </w:t>
      </w:r>
      <w:r w:rsidR="00CF345B">
        <w:rPr>
          <w:rFonts w:ascii="Times New Roman" w:hAnsi="Times New Roman" w:cs="Times New Roman"/>
          <w:sz w:val="40"/>
          <w:szCs w:val="40"/>
          <w:lang w:val="es-ES" w:eastAsia="es-ES"/>
        </w:rPr>
        <w:t>r</w:t>
      </w:r>
      <w:r w:rsidRPr="0071537A">
        <w:rPr>
          <w:rFonts w:ascii="Times New Roman" w:hAnsi="Times New Roman" w:cs="Times New Roman"/>
          <w:sz w:val="40"/>
          <w:szCs w:val="40"/>
          <w:lang w:val="es-ES" w:eastAsia="es-ES"/>
        </w:rPr>
        <w:t>espuesta a la lista de cuestiones relativas a los informes periódicos quinto y sexto combinados al Co</w:t>
      </w:r>
      <w:r w:rsidR="00CF345B">
        <w:rPr>
          <w:rFonts w:ascii="Times New Roman" w:hAnsi="Times New Roman" w:cs="Times New Roman"/>
          <w:sz w:val="40"/>
          <w:szCs w:val="40"/>
          <w:lang w:val="es-ES" w:eastAsia="es-ES"/>
        </w:rPr>
        <w:t>mi</w:t>
      </w:r>
      <w:r w:rsidRPr="0071537A">
        <w:rPr>
          <w:rFonts w:ascii="Times New Roman" w:hAnsi="Times New Roman" w:cs="Times New Roman"/>
          <w:sz w:val="40"/>
          <w:szCs w:val="40"/>
          <w:lang w:val="es-ES" w:eastAsia="es-ES"/>
        </w:rPr>
        <w:t>té de los Derechos del Niño (CRC/C/PAN/Q/5-6)</w:t>
      </w: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</w:p>
    <w:p w:rsidR="0071537A" w:rsidRPr="0071537A" w:rsidRDefault="0071537A" w:rsidP="00AE1AD9">
      <w:pPr>
        <w:jc w:val="both"/>
        <w:rPr>
          <w:rFonts w:ascii="Times New Roman" w:hAnsi="Times New Roman" w:cs="Times New Roman"/>
          <w:sz w:val="40"/>
          <w:szCs w:val="40"/>
          <w:lang w:val="es-ES" w:eastAsia="es-ES"/>
        </w:rPr>
      </w:pPr>
      <w:r w:rsidRPr="0071537A">
        <w:rPr>
          <w:rFonts w:ascii="Times New Roman" w:hAnsi="Times New Roman" w:cs="Times New Roman"/>
          <w:sz w:val="40"/>
          <w:szCs w:val="40"/>
          <w:lang w:val="es-ES" w:eastAsia="es-ES"/>
        </w:rPr>
        <w:t>26 de octubre de 2017</w:t>
      </w:r>
    </w:p>
    <w:p w:rsidR="0071537A" w:rsidRDefault="0071537A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</w:p>
    <w:p w:rsidR="0071537A" w:rsidRDefault="0071537A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</w:p>
    <w:p w:rsidR="0071537A" w:rsidRDefault="0071537A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</w:p>
    <w:p w:rsidR="0071537A" w:rsidRDefault="0071537A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</w:p>
    <w:p w:rsidR="0071537A" w:rsidRDefault="0071537A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</w:p>
    <w:p w:rsidR="0071537A" w:rsidRDefault="0071537A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</w:p>
    <w:p w:rsidR="0071537A" w:rsidRDefault="0071537A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</w:p>
    <w:p w:rsidR="00E54ED6" w:rsidRDefault="00E54ED6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  <w:r>
        <w:rPr>
          <w:rFonts w:ascii="Times New Roman" w:hAnsi="Times New Roman" w:cs="Times New Roman"/>
          <w:b/>
          <w:sz w:val="24"/>
          <w:szCs w:val="24"/>
          <w:lang w:val="es-ES" w:eastAsia="es-ES"/>
        </w:rPr>
        <w:lastRenderedPageBreak/>
        <w:t>PARTE I</w:t>
      </w:r>
    </w:p>
    <w:p w:rsidR="00D577A5" w:rsidRDefault="00D577A5" w:rsidP="00AE1AD9">
      <w:pPr>
        <w:jc w:val="both"/>
        <w:rPr>
          <w:rFonts w:ascii="Times New Roman" w:hAnsi="Times New Roman" w:cs="Times New Roman"/>
          <w:sz w:val="24"/>
          <w:szCs w:val="24"/>
          <w:lang w:eastAsia="es-ES"/>
        </w:rPr>
      </w:pPr>
      <w:r w:rsidRPr="00D577A5">
        <w:rPr>
          <w:rFonts w:ascii="Times New Roman" w:hAnsi="Times New Roman" w:cs="Times New Roman"/>
          <w:b/>
          <w:sz w:val="24"/>
          <w:szCs w:val="24"/>
          <w:lang w:val="es-ES" w:eastAsia="es-ES"/>
        </w:rPr>
        <w:t>CRC/PAN/Q/5-6 (párrafo 1)</w:t>
      </w:r>
    </w:p>
    <w:p w:rsidR="00CF345B" w:rsidRPr="00CF345B" w:rsidRDefault="00CF345B" w:rsidP="00AE1AD9">
      <w:pPr>
        <w:jc w:val="both"/>
        <w:rPr>
          <w:rFonts w:ascii="Times New Roman" w:hAnsi="Times New Roman" w:cs="Times New Roman"/>
          <w:b/>
          <w:sz w:val="24"/>
          <w:szCs w:val="24"/>
          <w:lang w:val="es-ES" w:eastAsia="es-ES"/>
        </w:rPr>
      </w:pPr>
      <w:r w:rsidRPr="00CF345B">
        <w:rPr>
          <w:rFonts w:ascii="Times New Roman" w:hAnsi="Times New Roman" w:cs="Times New Roman"/>
          <w:b/>
          <w:sz w:val="24"/>
          <w:szCs w:val="24"/>
          <w:lang w:val="es-ES" w:eastAsia="es-ES"/>
        </w:rPr>
        <w:t>Proceso de revisión de las políticas públicas para la niñez y la adolescencia</w:t>
      </w:r>
    </w:p>
    <w:p w:rsidR="00CF345B" w:rsidRDefault="00D577A5" w:rsidP="00AE1AD9">
      <w:pPr>
        <w:pStyle w:val="Prrafodelista"/>
        <w:numPr>
          <w:ilvl w:val="0"/>
          <w:numId w:val="7"/>
        </w:numPr>
        <w:ind w:left="426" w:right="49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45B">
        <w:rPr>
          <w:rFonts w:ascii="Times New Roman" w:hAnsi="Times New Roman" w:cs="Times New Roman"/>
          <w:sz w:val="24"/>
          <w:szCs w:val="24"/>
          <w:lang w:val="es-ES" w:eastAsia="es-ES"/>
        </w:rPr>
        <w:t xml:space="preserve">El proceso de revisión de las políticas públicas para la niñez y la adolescencia concluyó y sirvió de base de información para la propuesta del Proyecto de Ley del Sistema de Garantías y de Protección Integral de los Derechos de la Infancia, Niñez y Adolescencia.   El diagnóstico obtenido permitirá lograr las adecuadas sinergias y articulaciones entre los actores involucrados e identificar aquellas políticas que requieren una reformulación y reforzamiento. </w:t>
      </w:r>
    </w:p>
    <w:p w:rsidR="00473228" w:rsidRDefault="00473228" w:rsidP="00AE1AD9">
      <w:pPr>
        <w:ind w:left="-360" w:right="4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45B">
        <w:rPr>
          <w:rFonts w:ascii="Times New Roman" w:hAnsi="Times New Roman" w:cs="Times New Roman"/>
          <w:b/>
          <w:sz w:val="24"/>
          <w:szCs w:val="24"/>
        </w:rPr>
        <w:t>CRC/PAN/Q/5-6 (párrafo 5)</w:t>
      </w:r>
    </w:p>
    <w:p w:rsidR="00CF345B" w:rsidRPr="00CF345B" w:rsidRDefault="00CF345B" w:rsidP="00AE1AD9">
      <w:pPr>
        <w:ind w:left="-360" w:right="4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Mecanismos para que los niños sean oídos en los procesos judiciales</w:t>
      </w:r>
    </w:p>
    <w:p w:rsidR="00473228" w:rsidRPr="00473228" w:rsidRDefault="00473228" w:rsidP="00AE1AD9">
      <w:pPr>
        <w:pStyle w:val="SingleTxtG"/>
        <w:numPr>
          <w:ilvl w:val="0"/>
          <w:numId w:val="7"/>
        </w:numPr>
        <w:ind w:left="426" w:right="49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73228">
        <w:rPr>
          <w:rFonts w:ascii="Times New Roman" w:hAnsi="Times New Roman" w:cs="Times New Roman"/>
          <w:sz w:val="24"/>
          <w:szCs w:val="24"/>
        </w:rPr>
        <w:t xml:space="preserve"> través de la Unidad de Acceso</w:t>
      </w:r>
      <w:r w:rsidR="00590383">
        <w:rPr>
          <w:rFonts w:ascii="Times New Roman" w:hAnsi="Times New Roman" w:cs="Times New Roman"/>
          <w:sz w:val="24"/>
          <w:szCs w:val="24"/>
        </w:rPr>
        <w:t xml:space="preserve"> a la Justicia</w:t>
      </w:r>
      <w:r>
        <w:rPr>
          <w:rFonts w:ascii="Times New Roman" w:hAnsi="Times New Roman" w:cs="Times New Roman"/>
          <w:sz w:val="24"/>
          <w:szCs w:val="24"/>
        </w:rPr>
        <w:t xml:space="preserve"> del </w:t>
      </w:r>
      <w:r w:rsidRPr="00473228">
        <w:rPr>
          <w:rFonts w:ascii="Times New Roman" w:hAnsi="Times New Roman" w:cs="Times New Roman"/>
          <w:sz w:val="24"/>
          <w:szCs w:val="24"/>
        </w:rPr>
        <w:t>Órgano Judicial</w:t>
      </w:r>
      <w:r w:rsidR="00590383">
        <w:rPr>
          <w:rFonts w:ascii="Times New Roman" w:hAnsi="Times New Roman" w:cs="Times New Roman"/>
          <w:sz w:val="24"/>
          <w:szCs w:val="24"/>
        </w:rPr>
        <w:t>, se</w:t>
      </w:r>
      <w:r w:rsidRPr="00473228">
        <w:rPr>
          <w:rFonts w:ascii="Times New Roman" w:hAnsi="Times New Roman" w:cs="Times New Roman"/>
          <w:sz w:val="24"/>
          <w:szCs w:val="24"/>
        </w:rPr>
        <w:t xml:space="preserve"> desarrolla</w:t>
      </w:r>
      <w:r w:rsidR="00CF345B">
        <w:rPr>
          <w:rFonts w:ascii="Times New Roman" w:hAnsi="Times New Roman" w:cs="Times New Roman"/>
          <w:sz w:val="24"/>
          <w:szCs w:val="24"/>
        </w:rPr>
        <w:t>n</w:t>
      </w:r>
      <w:r w:rsidRPr="00473228">
        <w:rPr>
          <w:rFonts w:ascii="Times New Roman" w:hAnsi="Times New Roman" w:cs="Times New Roman"/>
          <w:sz w:val="24"/>
          <w:szCs w:val="24"/>
        </w:rPr>
        <w:t xml:space="preserve"> acciones de capacitación destinadas a Jueces y Magistrados, de tal forma que conozcan la normativa nacional e internacional que protege los derechos de los niños y niñas, particularmente las garantías ante la comparecencia judicial. </w:t>
      </w:r>
    </w:p>
    <w:p w:rsidR="00CF345B" w:rsidRDefault="00473228" w:rsidP="00AE1AD9">
      <w:pPr>
        <w:pStyle w:val="SingleTxtG"/>
        <w:numPr>
          <w:ilvl w:val="0"/>
          <w:numId w:val="7"/>
        </w:numPr>
        <w:ind w:left="426" w:right="49" w:hanging="426"/>
        <w:rPr>
          <w:rFonts w:ascii="Times New Roman" w:hAnsi="Times New Roman" w:cs="Times New Roman"/>
          <w:sz w:val="24"/>
          <w:szCs w:val="24"/>
        </w:rPr>
      </w:pPr>
      <w:r w:rsidRPr="00473228">
        <w:rPr>
          <w:rFonts w:ascii="Times New Roman" w:hAnsi="Times New Roman" w:cs="Times New Roman"/>
          <w:sz w:val="24"/>
          <w:szCs w:val="24"/>
        </w:rPr>
        <w:t>En el período enero 2016</w:t>
      </w:r>
      <w:r w:rsidR="00CF345B">
        <w:rPr>
          <w:rFonts w:ascii="Times New Roman" w:hAnsi="Times New Roman" w:cs="Times New Roman"/>
          <w:sz w:val="24"/>
          <w:szCs w:val="24"/>
        </w:rPr>
        <w:t xml:space="preserve"> a </w:t>
      </w:r>
      <w:r w:rsidRPr="00473228">
        <w:rPr>
          <w:rFonts w:ascii="Times New Roman" w:hAnsi="Times New Roman" w:cs="Times New Roman"/>
          <w:sz w:val="24"/>
          <w:szCs w:val="24"/>
        </w:rPr>
        <w:t>septiembre 2017</w:t>
      </w:r>
      <w:r w:rsidR="00CF345B">
        <w:rPr>
          <w:rFonts w:ascii="Times New Roman" w:hAnsi="Times New Roman" w:cs="Times New Roman"/>
          <w:sz w:val="24"/>
          <w:szCs w:val="24"/>
        </w:rPr>
        <w:t xml:space="preserve">, </w:t>
      </w:r>
      <w:r w:rsidRPr="00473228">
        <w:rPr>
          <w:rFonts w:ascii="Times New Roman" w:hAnsi="Times New Roman" w:cs="Times New Roman"/>
          <w:sz w:val="24"/>
          <w:szCs w:val="24"/>
        </w:rPr>
        <w:t xml:space="preserve"> la Unidad de Acceso a la Justicia y Género ha organizado en coordinación con el Instituto Superior de la Judicatura de Panamá, </w:t>
      </w:r>
      <w:r w:rsidR="00CF345B">
        <w:rPr>
          <w:rFonts w:ascii="Times New Roman" w:hAnsi="Times New Roman" w:cs="Times New Roman"/>
          <w:sz w:val="24"/>
          <w:szCs w:val="24"/>
        </w:rPr>
        <w:t>veinticuatro (</w:t>
      </w:r>
      <w:r w:rsidRPr="00473228">
        <w:rPr>
          <w:rFonts w:ascii="Times New Roman" w:hAnsi="Times New Roman" w:cs="Times New Roman"/>
          <w:sz w:val="24"/>
          <w:szCs w:val="24"/>
        </w:rPr>
        <w:t>24</w:t>
      </w:r>
      <w:r w:rsidR="00CF345B">
        <w:rPr>
          <w:rFonts w:ascii="Times New Roman" w:hAnsi="Times New Roman" w:cs="Times New Roman"/>
          <w:sz w:val="24"/>
          <w:szCs w:val="24"/>
        </w:rPr>
        <w:t>)</w:t>
      </w:r>
      <w:r w:rsidRPr="00473228">
        <w:rPr>
          <w:rFonts w:ascii="Times New Roman" w:hAnsi="Times New Roman" w:cs="Times New Roman"/>
          <w:sz w:val="24"/>
          <w:szCs w:val="24"/>
        </w:rPr>
        <w:t xml:space="preserve"> acciones de capacitación en temas de Derechos Humanos, </w:t>
      </w:r>
      <w:r w:rsidR="00CF345B">
        <w:rPr>
          <w:rFonts w:ascii="Times New Roman" w:hAnsi="Times New Roman" w:cs="Times New Roman"/>
          <w:sz w:val="24"/>
          <w:szCs w:val="24"/>
        </w:rPr>
        <w:t>a</w:t>
      </w:r>
      <w:r w:rsidRPr="00473228">
        <w:rPr>
          <w:rFonts w:ascii="Times New Roman" w:hAnsi="Times New Roman" w:cs="Times New Roman"/>
          <w:sz w:val="24"/>
          <w:szCs w:val="24"/>
        </w:rPr>
        <w:t xml:space="preserve">cceso a la </w:t>
      </w:r>
      <w:r w:rsidR="00CF345B">
        <w:rPr>
          <w:rFonts w:ascii="Times New Roman" w:hAnsi="Times New Roman" w:cs="Times New Roman"/>
          <w:sz w:val="24"/>
          <w:szCs w:val="24"/>
        </w:rPr>
        <w:t>j</w:t>
      </w:r>
      <w:r w:rsidRPr="00473228">
        <w:rPr>
          <w:rFonts w:ascii="Times New Roman" w:hAnsi="Times New Roman" w:cs="Times New Roman"/>
          <w:sz w:val="24"/>
          <w:szCs w:val="24"/>
        </w:rPr>
        <w:t xml:space="preserve">usticia, </w:t>
      </w:r>
      <w:r w:rsidR="00CF345B">
        <w:rPr>
          <w:rFonts w:ascii="Times New Roman" w:hAnsi="Times New Roman" w:cs="Times New Roman"/>
          <w:sz w:val="24"/>
          <w:szCs w:val="24"/>
        </w:rPr>
        <w:t>d</w:t>
      </w:r>
      <w:r w:rsidRPr="00473228">
        <w:rPr>
          <w:rFonts w:ascii="Times New Roman" w:hAnsi="Times New Roman" w:cs="Times New Roman"/>
          <w:sz w:val="24"/>
          <w:szCs w:val="24"/>
        </w:rPr>
        <w:t xml:space="preserve">iscapacidad, </w:t>
      </w:r>
      <w:r w:rsidR="00CF345B">
        <w:rPr>
          <w:rFonts w:ascii="Times New Roman" w:hAnsi="Times New Roman" w:cs="Times New Roman"/>
          <w:sz w:val="24"/>
          <w:szCs w:val="24"/>
        </w:rPr>
        <w:t>p</w:t>
      </w:r>
      <w:r w:rsidRPr="00473228">
        <w:rPr>
          <w:rFonts w:ascii="Times New Roman" w:hAnsi="Times New Roman" w:cs="Times New Roman"/>
          <w:sz w:val="24"/>
          <w:szCs w:val="24"/>
        </w:rPr>
        <w:t xml:space="preserve">olítica </w:t>
      </w:r>
      <w:r w:rsidR="00CF345B">
        <w:rPr>
          <w:rFonts w:ascii="Times New Roman" w:hAnsi="Times New Roman" w:cs="Times New Roman"/>
          <w:sz w:val="24"/>
          <w:szCs w:val="24"/>
        </w:rPr>
        <w:t>i</w:t>
      </w:r>
      <w:r w:rsidRPr="00473228">
        <w:rPr>
          <w:rFonts w:ascii="Times New Roman" w:hAnsi="Times New Roman" w:cs="Times New Roman"/>
          <w:sz w:val="24"/>
          <w:szCs w:val="24"/>
        </w:rPr>
        <w:t xml:space="preserve">nstitucional de </w:t>
      </w:r>
      <w:r w:rsidR="00CF345B">
        <w:rPr>
          <w:rFonts w:ascii="Times New Roman" w:hAnsi="Times New Roman" w:cs="Times New Roman"/>
          <w:sz w:val="24"/>
          <w:szCs w:val="24"/>
        </w:rPr>
        <w:t>a</w:t>
      </w:r>
      <w:r w:rsidRPr="00473228">
        <w:rPr>
          <w:rFonts w:ascii="Times New Roman" w:hAnsi="Times New Roman" w:cs="Times New Roman"/>
          <w:sz w:val="24"/>
          <w:szCs w:val="24"/>
        </w:rPr>
        <w:t xml:space="preserve">cceso a la </w:t>
      </w:r>
      <w:r w:rsidR="00CF345B">
        <w:rPr>
          <w:rFonts w:ascii="Times New Roman" w:hAnsi="Times New Roman" w:cs="Times New Roman"/>
          <w:sz w:val="24"/>
          <w:szCs w:val="24"/>
        </w:rPr>
        <w:t>j</w:t>
      </w:r>
      <w:r w:rsidRPr="00473228">
        <w:rPr>
          <w:rFonts w:ascii="Times New Roman" w:hAnsi="Times New Roman" w:cs="Times New Roman"/>
          <w:sz w:val="24"/>
          <w:szCs w:val="24"/>
        </w:rPr>
        <w:t xml:space="preserve">usticia y </w:t>
      </w:r>
      <w:r w:rsidR="00CF345B">
        <w:rPr>
          <w:rFonts w:ascii="Times New Roman" w:hAnsi="Times New Roman" w:cs="Times New Roman"/>
          <w:sz w:val="24"/>
          <w:szCs w:val="24"/>
        </w:rPr>
        <w:t>g</w:t>
      </w:r>
      <w:r w:rsidRPr="00473228">
        <w:rPr>
          <w:rFonts w:ascii="Times New Roman" w:hAnsi="Times New Roman" w:cs="Times New Roman"/>
          <w:sz w:val="24"/>
          <w:szCs w:val="24"/>
        </w:rPr>
        <w:t xml:space="preserve">énero y </w:t>
      </w:r>
      <w:r w:rsidR="00CF345B">
        <w:rPr>
          <w:rFonts w:ascii="Times New Roman" w:hAnsi="Times New Roman" w:cs="Times New Roman"/>
          <w:sz w:val="24"/>
          <w:szCs w:val="24"/>
        </w:rPr>
        <w:t xml:space="preserve">sobre las </w:t>
      </w:r>
      <w:r w:rsidRPr="00473228">
        <w:rPr>
          <w:rFonts w:ascii="Times New Roman" w:hAnsi="Times New Roman" w:cs="Times New Roman"/>
          <w:sz w:val="24"/>
          <w:szCs w:val="24"/>
        </w:rPr>
        <w:t xml:space="preserve">Reglas de Brasilia. </w:t>
      </w:r>
    </w:p>
    <w:p w:rsidR="00CF345B" w:rsidRDefault="00CF345B" w:rsidP="00AE1AD9">
      <w:pPr>
        <w:pStyle w:val="SingleTxtG"/>
        <w:numPr>
          <w:ilvl w:val="0"/>
          <w:numId w:val="7"/>
        </w:numPr>
        <w:ind w:left="426" w:right="49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estas capacitaciones se hace énfasis en la aplicación de las </w:t>
      </w:r>
      <w:r w:rsidR="00473228" w:rsidRPr="00473228">
        <w:rPr>
          <w:rFonts w:ascii="Times New Roman" w:hAnsi="Times New Roman" w:cs="Times New Roman"/>
          <w:sz w:val="24"/>
          <w:szCs w:val="24"/>
        </w:rPr>
        <w:t>disposiciones para la participación de niños, niñas y adolescentes en actos judiciales</w:t>
      </w:r>
      <w:r>
        <w:rPr>
          <w:rFonts w:ascii="Times New Roman" w:hAnsi="Times New Roman" w:cs="Times New Roman"/>
          <w:sz w:val="24"/>
          <w:szCs w:val="24"/>
        </w:rPr>
        <w:t xml:space="preserve"> y la </w:t>
      </w:r>
      <w:r w:rsidR="00473228" w:rsidRPr="00473228">
        <w:rPr>
          <w:rFonts w:ascii="Times New Roman" w:hAnsi="Times New Roman" w:cs="Times New Roman"/>
          <w:sz w:val="24"/>
          <w:szCs w:val="24"/>
        </w:rPr>
        <w:t>tutela especial de la que deben ser objeto esta población en particular, en atención a su desarrollo evolutivo</w:t>
      </w:r>
      <w:r w:rsidR="00E54ED6">
        <w:rPr>
          <w:rFonts w:ascii="Times New Roman" w:hAnsi="Times New Roman" w:cs="Times New Roman"/>
          <w:sz w:val="24"/>
          <w:szCs w:val="24"/>
        </w:rPr>
        <w:t xml:space="preserve"> (Reglas 78 y 5 respectivamente</w:t>
      </w:r>
      <w:r w:rsidR="006B681C">
        <w:rPr>
          <w:rFonts w:ascii="Times New Roman" w:hAnsi="Times New Roman" w:cs="Times New Roman"/>
          <w:sz w:val="24"/>
          <w:szCs w:val="24"/>
        </w:rPr>
        <w:t>)</w:t>
      </w:r>
      <w:r w:rsidR="00473228" w:rsidRPr="004732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3228" w:rsidRDefault="00CF345B" w:rsidP="00AE1AD9">
      <w:pPr>
        <w:pStyle w:val="SingleTxtG"/>
        <w:numPr>
          <w:ilvl w:val="0"/>
          <w:numId w:val="7"/>
        </w:numPr>
        <w:ind w:left="426" w:right="49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acciones se complementan con acciones de difusión del material, a octubre de </w:t>
      </w:r>
      <w:r w:rsidR="00473228" w:rsidRPr="00473228">
        <w:rPr>
          <w:rFonts w:ascii="Times New Roman" w:hAnsi="Times New Roman" w:cs="Times New Roman"/>
          <w:sz w:val="24"/>
          <w:szCs w:val="24"/>
        </w:rPr>
        <w:t xml:space="preserve"> 2017 se han impreso y distribuido 3000 ejemplares de las prenombradas </w:t>
      </w:r>
      <w:r>
        <w:rPr>
          <w:rFonts w:ascii="Times New Roman" w:hAnsi="Times New Roman" w:cs="Times New Roman"/>
          <w:sz w:val="24"/>
          <w:szCs w:val="24"/>
        </w:rPr>
        <w:t>R</w:t>
      </w:r>
      <w:r w:rsidR="00473228" w:rsidRPr="00473228">
        <w:rPr>
          <w:rFonts w:ascii="Times New Roman" w:hAnsi="Times New Roman" w:cs="Times New Roman"/>
          <w:sz w:val="24"/>
          <w:szCs w:val="24"/>
        </w:rPr>
        <w:t>eglas, de la Política Institucional de Acceso a la Justicia y la Carta de Derechos de las Personas ante la Justicia.</w:t>
      </w:r>
    </w:p>
    <w:p w:rsidR="004B4FD6" w:rsidRDefault="004B4FD6" w:rsidP="00AE1AD9">
      <w:pPr>
        <w:pStyle w:val="SingleTxtG"/>
        <w:ind w:left="0" w:right="49"/>
        <w:rPr>
          <w:rFonts w:ascii="Times New Roman" w:hAnsi="Times New Roman" w:cs="Times New Roman"/>
          <w:b/>
          <w:sz w:val="24"/>
          <w:szCs w:val="24"/>
        </w:rPr>
      </w:pPr>
    </w:p>
    <w:p w:rsidR="00E54ED6" w:rsidRPr="00E54ED6" w:rsidRDefault="00E54ED6" w:rsidP="00AE1AD9">
      <w:pPr>
        <w:pStyle w:val="SingleTxtG"/>
        <w:ind w:left="0" w:right="49"/>
        <w:rPr>
          <w:rFonts w:ascii="Times New Roman" w:hAnsi="Times New Roman" w:cs="Times New Roman"/>
          <w:b/>
          <w:sz w:val="24"/>
          <w:szCs w:val="24"/>
        </w:rPr>
      </w:pPr>
      <w:r w:rsidRPr="00E54ED6">
        <w:rPr>
          <w:rFonts w:ascii="Times New Roman" w:hAnsi="Times New Roman" w:cs="Times New Roman"/>
          <w:b/>
          <w:sz w:val="24"/>
          <w:szCs w:val="24"/>
        </w:rPr>
        <w:t>PARTE II</w:t>
      </w:r>
      <w:r w:rsidR="004B4FD6"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:rsidR="00590383" w:rsidRDefault="00590383" w:rsidP="00AE1AD9">
      <w:pPr>
        <w:pStyle w:val="SingleTxtG"/>
        <w:ind w:left="0"/>
        <w:rPr>
          <w:rFonts w:ascii="Times New Roman" w:hAnsi="Times New Roman" w:cs="Times New Roman"/>
          <w:b/>
          <w:sz w:val="24"/>
          <w:szCs w:val="24"/>
          <w:lang w:val="es-CR"/>
        </w:rPr>
      </w:pPr>
      <w:r w:rsidRPr="00541AA4">
        <w:rPr>
          <w:rFonts w:ascii="Times New Roman" w:hAnsi="Times New Roman" w:cs="Times New Roman"/>
          <w:b/>
          <w:sz w:val="24"/>
          <w:szCs w:val="24"/>
          <w:lang w:val="es-CR"/>
        </w:rPr>
        <w:t>CRC/PAN/Q/5-6 (párrafo 15)</w:t>
      </w:r>
    </w:p>
    <w:p w:rsidR="00694C66" w:rsidRPr="00694C66" w:rsidRDefault="00694C66" w:rsidP="00AE1AD9">
      <w:pPr>
        <w:pStyle w:val="SingleTxt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s-PA"/>
        </w:rPr>
      </w:pPr>
      <w:r>
        <w:rPr>
          <w:rFonts w:ascii="Times New Roman" w:hAnsi="Times New Roman" w:cs="Times New Roman"/>
          <w:b/>
          <w:sz w:val="24"/>
          <w:szCs w:val="24"/>
          <w:lang w:val="es-CR"/>
        </w:rPr>
        <w:t>Los niños, niñas y adolescentes víctimas de la explotación sexual, pornografía y prostitución infantil</w:t>
      </w:r>
    </w:p>
    <w:p w:rsidR="00D20D65" w:rsidRDefault="00D20D65" w:rsidP="00AE1AD9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</w:t>
      </w:r>
      <w:r w:rsidRPr="00D20D65">
        <w:rPr>
          <w:rFonts w:ascii="Times New Roman" w:hAnsi="Times New Roman" w:cs="Times New Roman"/>
          <w:sz w:val="24"/>
          <w:szCs w:val="24"/>
        </w:rPr>
        <w:t xml:space="preserve">Anexo 1 </w:t>
      </w:r>
      <w:r>
        <w:rPr>
          <w:rFonts w:ascii="Times New Roman" w:hAnsi="Times New Roman" w:cs="Times New Roman"/>
          <w:sz w:val="24"/>
          <w:szCs w:val="24"/>
        </w:rPr>
        <w:t>se encuentran las e</w:t>
      </w:r>
      <w:r w:rsidRPr="00D20D65">
        <w:rPr>
          <w:rFonts w:ascii="Times New Roman" w:hAnsi="Times New Roman" w:cs="Times New Roman"/>
          <w:sz w:val="24"/>
          <w:szCs w:val="24"/>
        </w:rPr>
        <w:t xml:space="preserve">stadísticas </w:t>
      </w:r>
      <w:r w:rsidR="00D604BB">
        <w:rPr>
          <w:rFonts w:ascii="Times New Roman" w:hAnsi="Times New Roman" w:cs="Times New Roman"/>
          <w:sz w:val="24"/>
          <w:szCs w:val="24"/>
        </w:rPr>
        <w:t>del Órgano Judicial, ramo penal relacionad</w:t>
      </w:r>
      <w:r w:rsidR="00AE1AD9">
        <w:rPr>
          <w:rFonts w:ascii="Times New Roman" w:hAnsi="Times New Roman" w:cs="Times New Roman"/>
          <w:sz w:val="24"/>
          <w:szCs w:val="24"/>
        </w:rPr>
        <w:t>as</w:t>
      </w:r>
      <w:r w:rsidR="00D604BB">
        <w:rPr>
          <w:rFonts w:ascii="Times New Roman" w:hAnsi="Times New Roman" w:cs="Times New Roman"/>
          <w:sz w:val="24"/>
          <w:szCs w:val="24"/>
        </w:rPr>
        <w:t xml:space="preserve"> con </w:t>
      </w:r>
      <w:r>
        <w:rPr>
          <w:rFonts w:ascii="Times New Roman" w:hAnsi="Times New Roman" w:cs="Times New Roman"/>
          <w:sz w:val="24"/>
          <w:szCs w:val="24"/>
        </w:rPr>
        <w:t xml:space="preserve">los </w:t>
      </w:r>
      <w:r w:rsidRPr="00D20D65">
        <w:rPr>
          <w:rFonts w:ascii="Times New Roman" w:hAnsi="Times New Roman" w:cs="Times New Roman"/>
          <w:sz w:val="24"/>
          <w:szCs w:val="24"/>
        </w:rPr>
        <w:t xml:space="preserve">delitos sexuales contra niños, niñas y adolescentes y casos ingresados y resueltos de pornografía infantil y corrupción de </w:t>
      </w:r>
      <w:r>
        <w:rPr>
          <w:rFonts w:ascii="Times New Roman" w:hAnsi="Times New Roman" w:cs="Times New Roman"/>
          <w:sz w:val="24"/>
          <w:szCs w:val="24"/>
        </w:rPr>
        <w:t xml:space="preserve">niños, niñas y </w:t>
      </w:r>
      <w:r w:rsidR="00A82DB0">
        <w:rPr>
          <w:rFonts w:ascii="Times New Roman" w:hAnsi="Times New Roman" w:cs="Times New Roman"/>
          <w:sz w:val="24"/>
          <w:szCs w:val="24"/>
        </w:rPr>
        <w:t>adolescentes.</w:t>
      </w:r>
    </w:p>
    <w:p w:rsidR="00D20D65" w:rsidRPr="00D20D65" w:rsidRDefault="00D20D65" w:rsidP="00AE1AD9">
      <w:pPr>
        <w:pStyle w:val="Prrafodelist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FD6" w:rsidRDefault="004B4FD6" w:rsidP="00AE1AD9">
      <w:pPr>
        <w:pStyle w:val="SingleTxtG"/>
        <w:ind w:left="0" w:right="49"/>
        <w:rPr>
          <w:rFonts w:ascii="Times New Roman" w:hAnsi="Times New Roman" w:cs="Times New Roman"/>
          <w:b/>
          <w:sz w:val="24"/>
          <w:szCs w:val="24"/>
        </w:rPr>
      </w:pPr>
    </w:p>
    <w:p w:rsidR="00325C6D" w:rsidRPr="00C33513" w:rsidRDefault="00325C6D" w:rsidP="00AE1AD9">
      <w:pPr>
        <w:pStyle w:val="SingleTxtG"/>
        <w:ind w:left="0" w:right="49"/>
        <w:rPr>
          <w:rFonts w:ascii="Times New Roman" w:hAnsi="Times New Roman" w:cs="Times New Roman"/>
          <w:b/>
          <w:sz w:val="24"/>
          <w:szCs w:val="24"/>
        </w:rPr>
      </w:pPr>
      <w:r w:rsidRPr="00C33513">
        <w:rPr>
          <w:rFonts w:ascii="Times New Roman" w:hAnsi="Times New Roman" w:cs="Times New Roman"/>
          <w:b/>
          <w:sz w:val="24"/>
          <w:szCs w:val="24"/>
        </w:rPr>
        <w:t>CRC/PAN/Q/5-6 (párrafo 16)</w:t>
      </w:r>
    </w:p>
    <w:p w:rsidR="00325C6D" w:rsidRPr="00C33513" w:rsidRDefault="00325C6D" w:rsidP="00AE1AD9">
      <w:pPr>
        <w:pStyle w:val="SingleTxtG"/>
        <w:ind w:left="0"/>
        <w:rPr>
          <w:rFonts w:ascii="Times New Roman" w:hAnsi="Times New Roman" w:cs="Times New Roman"/>
          <w:b/>
          <w:sz w:val="24"/>
          <w:szCs w:val="24"/>
        </w:rPr>
      </w:pPr>
      <w:r w:rsidRPr="00C33513">
        <w:rPr>
          <w:rFonts w:ascii="Times New Roman" w:hAnsi="Times New Roman" w:cs="Times New Roman"/>
          <w:b/>
          <w:sz w:val="24"/>
          <w:szCs w:val="24"/>
        </w:rPr>
        <w:t>e)</w:t>
      </w:r>
      <w:r w:rsidRPr="00C33513">
        <w:rPr>
          <w:rFonts w:ascii="Times New Roman" w:hAnsi="Times New Roman" w:cs="Times New Roman"/>
          <w:b/>
          <w:sz w:val="24"/>
          <w:szCs w:val="24"/>
        </w:rPr>
        <w:tab/>
        <w:t>Cobertura de la vacunación</w:t>
      </w:r>
    </w:p>
    <w:p w:rsidR="001C438D" w:rsidRPr="00F35B48" w:rsidRDefault="00325C6D" w:rsidP="00AE1AD9">
      <w:pPr>
        <w:pStyle w:val="SingleTxt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35B48">
        <w:rPr>
          <w:rFonts w:ascii="Times New Roman" w:hAnsi="Times New Roman" w:cs="Times New Roman"/>
          <w:sz w:val="24"/>
          <w:szCs w:val="24"/>
        </w:rPr>
        <w:t xml:space="preserve">Para ver la </w:t>
      </w:r>
      <w:r w:rsidR="00D20D65">
        <w:rPr>
          <w:rFonts w:ascii="Times New Roman" w:hAnsi="Times New Roman" w:cs="Times New Roman"/>
          <w:sz w:val="24"/>
          <w:szCs w:val="24"/>
        </w:rPr>
        <w:t>c</w:t>
      </w:r>
      <w:r w:rsidRPr="00F35B48">
        <w:rPr>
          <w:rFonts w:ascii="Times New Roman" w:hAnsi="Times New Roman" w:cs="Times New Roman"/>
          <w:sz w:val="24"/>
          <w:szCs w:val="24"/>
        </w:rPr>
        <w:t xml:space="preserve">obertura de </w:t>
      </w:r>
      <w:r w:rsidR="004B4FD6">
        <w:rPr>
          <w:rFonts w:ascii="Times New Roman" w:hAnsi="Times New Roman" w:cs="Times New Roman"/>
          <w:sz w:val="24"/>
          <w:szCs w:val="24"/>
        </w:rPr>
        <w:t>v</w:t>
      </w:r>
      <w:r w:rsidR="004B4FD6" w:rsidRPr="00F35B48">
        <w:rPr>
          <w:rFonts w:ascii="Times New Roman" w:hAnsi="Times New Roman" w:cs="Times New Roman"/>
          <w:sz w:val="24"/>
          <w:szCs w:val="24"/>
        </w:rPr>
        <w:t>acunación</w:t>
      </w:r>
      <w:r w:rsidRPr="00F35B48">
        <w:rPr>
          <w:rFonts w:ascii="Times New Roman" w:hAnsi="Times New Roman" w:cs="Times New Roman"/>
          <w:sz w:val="24"/>
          <w:szCs w:val="24"/>
        </w:rPr>
        <w:t xml:space="preserve"> en la República de Panamá del 2014 al 2016 ver </w:t>
      </w:r>
      <w:r w:rsidR="00F35B48" w:rsidRPr="00F35B48">
        <w:rPr>
          <w:rFonts w:ascii="Times New Roman" w:hAnsi="Times New Roman" w:cs="Times New Roman"/>
          <w:sz w:val="24"/>
          <w:szCs w:val="24"/>
        </w:rPr>
        <w:t>Anexo 2</w:t>
      </w:r>
      <w:r w:rsidRPr="00F35B48">
        <w:rPr>
          <w:rFonts w:ascii="Times New Roman" w:hAnsi="Times New Roman" w:cs="Times New Roman"/>
          <w:sz w:val="24"/>
          <w:szCs w:val="24"/>
        </w:rPr>
        <w:t>.</w:t>
      </w:r>
    </w:p>
    <w:p w:rsidR="001C438D" w:rsidRDefault="001C438D" w:rsidP="00AE1AD9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</w:p>
    <w:p w:rsidR="001C438D" w:rsidRPr="00541AA4" w:rsidRDefault="001C438D" w:rsidP="00AE1AD9">
      <w:pPr>
        <w:pStyle w:val="SingleTxtG"/>
        <w:ind w:left="0"/>
        <w:rPr>
          <w:rFonts w:ascii="Times New Roman" w:hAnsi="Times New Roman" w:cs="Times New Roman"/>
          <w:b/>
          <w:sz w:val="24"/>
          <w:szCs w:val="24"/>
        </w:rPr>
      </w:pPr>
      <w:r w:rsidRPr="00020FD0">
        <w:rPr>
          <w:rFonts w:ascii="Times New Roman" w:hAnsi="Times New Roman" w:cs="Times New Roman"/>
          <w:b/>
          <w:sz w:val="24"/>
          <w:szCs w:val="24"/>
        </w:rPr>
        <w:t>i)</w:t>
      </w:r>
      <w:r w:rsidRPr="00541AA4">
        <w:rPr>
          <w:rFonts w:ascii="Times New Roman" w:hAnsi="Times New Roman" w:cs="Times New Roman"/>
          <w:sz w:val="24"/>
          <w:szCs w:val="24"/>
        </w:rPr>
        <w:tab/>
      </w:r>
      <w:r w:rsidRPr="00541AA4">
        <w:rPr>
          <w:rFonts w:ascii="Times New Roman" w:hAnsi="Times New Roman" w:cs="Times New Roman"/>
          <w:b/>
          <w:sz w:val="24"/>
          <w:szCs w:val="24"/>
        </w:rPr>
        <w:t xml:space="preserve">Niños, niñas y adolescentes infectados o afectados por el VIH/SIDA </w:t>
      </w:r>
    </w:p>
    <w:p w:rsidR="001C438D" w:rsidRDefault="001C438D" w:rsidP="00AE1AD9">
      <w:pPr>
        <w:pStyle w:val="SingleTxt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un desglose completo de los casos de VIH/SIDA en la República de Panamá hasta el 31 de diciembre del año 2015, ver </w:t>
      </w:r>
      <w:r w:rsidR="00F35B48" w:rsidRPr="00F35B48">
        <w:rPr>
          <w:rFonts w:ascii="Times New Roman" w:hAnsi="Times New Roman" w:cs="Times New Roman"/>
          <w:sz w:val="24"/>
          <w:szCs w:val="24"/>
        </w:rPr>
        <w:t>Anexo 3</w:t>
      </w:r>
      <w:r w:rsidRPr="00F35B48">
        <w:rPr>
          <w:rFonts w:ascii="Times New Roman" w:hAnsi="Times New Roman" w:cs="Times New Roman"/>
          <w:sz w:val="24"/>
          <w:szCs w:val="24"/>
        </w:rPr>
        <w:t>.</w:t>
      </w:r>
    </w:p>
    <w:p w:rsidR="004D4ABC" w:rsidRPr="00934CE2" w:rsidRDefault="004D4ABC" w:rsidP="00AE1AD9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</w:p>
    <w:p w:rsidR="00020FD0" w:rsidRDefault="00020FD0" w:rsidP="00AE1AD9">
      <w:pPr>
        <w:pStyle w:val="SingleTxtG"/>
        <w:ind w:left="0"/>
        <w:rPr>
          <w:rFonts w:ascii="Times New Roman" w:hAnsi="Times New Roman" w:cs="Times New Roman"/>
          <w:b/>
          <w:sz w:val="24"/>
          <w:szCs w:val="24"/>
          <w:lang w:val="es-PA"/>
        </w:rPr>
      </w:pPr>
      <w:r w:rsidRPr="00020FD0">
        <w:rPr>
          <w:rFonts w:ascii="Times New Roman" w:hAnsi="Times New Roman" w:cs="Times New Roman"/>
          <w:b/>
          <w:sz w:val="24"/>
          <w:szCs w:val="24"/>
          <w:lang w:val="es-PA"/>
        </w:rPr>
        <w:t>j)</w:t>
      </w:r>
      <w:r w:rsidRPr="00020FD0">
        <w:rPr>
          <w:rFonts w:ascii="Times New Roman" w:hAnsi="Times New Roman" w:cs="Times New Roman"/>
          <w:b/>
          <w:sz w:val="24"/>
          <w:szCs w:val="24"/>
          <w:lang w:val="es-PA"/>
        </w:rPr>
        <w:tab/>
        <w:t>Enfermedades</w:t>
      </w:r>
      <w:r>
        <w:rPr>
          <w:rFonts w:ascii="Times New Roman" w:hAnsi="Times New Roman" w:cs="Times New Roman"/>
          <w:b/>
          <w:sz w:val="24"/>
          <w:szCs w:val="24"/>
          <w:lang w:val="es-PA"/>
        </w:rPr>
        <w:t xml:space="preserve"> </w:t>
      </w:r>
      <w:r w:rsidRPr="00020FD0">
        <w:rPr>
          <w:rFonts w:ascii="Times New Roman" w:hAnsi="Times New Roman" w:cs="Times New Roman"/>
          <w:b/>
          <w:sz w:val="24"/>
          <w:szCs w:val="24"/>
          <w:lang w:val="es-PA"/>
        </w:rPr>
        <w:t>mentales</w:t>
      </w:r>
    </w:p>
    <w:p w:rsidR="00020FD0" w:rsidRPr="00020FD0" w:rsidRDefault="00D57863" w:rsidP="00AE1AD9">
      <w:pPr>
        <w:pStyle w:val="SingleTxtG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lang w:val="es-PA"/>
        </w:rPr>
      </w:pPr>
      <w:r>
        <w:rPr>
          <w:rFonts w:ascii="Times New Roman" w:hAnsi="Times New Roman" w:cs="Times New Roman"/>
          <w:sz w:val="24"/>
          <w:szCs w:val="24"/>
          <w:lang w:val="es-PA"/>
        </w:rPr>
        <w:t>P</w:t>
      </w:r>
      <w:r w:rsidR="00C13E76">
        <w:rPr>
          <w:rFonts w:ascii="Times New Roman" w:hAnsi="Times New Roman" w:cs="Times New Roman"/>
          <w:sz w:val="24"/>
          <w:szCs w:val="24"/>
          <w:lang w:val="es-PA"/>
        </w:rPr>
        <w:t>ara un desglose competo de los casos de Enfermedad</w:t>
      </w:r>
      <w:r w:rsidR="00712DE5">
        <w:rPr>
          <w:rFonts w:ascii="Times New Roman" w:hAnsi="Times New Roman" w:cs="Times New Roman"/>
          <w:sz w:val="24"/>
          <w:szCs w:val="24"/>
          <w:lang w:val="es-PA"/>
        </w:rPr>
        <w:t xml:space="preserve">es Mentales en la República de Panamá </w:t>
      </w:r>
      <w:r w:rsidR="006211C1">
        <w:rPr>
          <w:rFonts w:ascii="Times New Roman" w:hAnsi="Times New Roman" w:cs="Times New Roman"/>
          <w:sz w:val="24"/>
          <w:szCs w:val="24"/>
          <w:lang w:val="es-PA"/>
        </w:rPr>
        <w:t>de los años 2013, 2014 y</w:t>
      </w:r>
      <w:r w:rsidR="00712DE5">
        <w:rPr>
          <w:rFonts w:ascii="Times New Roman" w:hAnsi="Times New Roman" w:cs="Times New Roman"/>
          <w:sz w:val="24"/>
          <w:szCs w:val="24"/>
          <w:lang w:val="es-PA"/>
        </w:rPr>
        <w:t xml:space="preserve"> 2015, ver </w:t>
      </w:r>
      <w:r w:rsidR="00712DE5" w:rsidRPr="00F35B48">
        <w:rPr>
          <w:rFonts w:ascii="Times New Roman" w:hAnsi="Times New Roman" w:cs="Times New Roman"/>
          <w:sz w:val="24"/>
          <w:szCs w:val="24"/>
          <w:lang w:val="es-PA"/>
        </w:rPr>
        <w:t>Anexo</w:t>
      </w:r>
      <w:r w:rsidR="006211C1" w:rsidRPr="00F35B48">
        <w:rPr>
          <w:rFonts w:ascii="Times New Roman" w:hAnsi="Times New Roman" w:cs="Times New Roman"/>
          <w:sz w:val="24"/>
          <w:szCs w:val="24"/>
          <w:lang w:val="es-PA"/>
        </w:rPr>
        <w:t>s</w:t>
      </w:r>
      <w:r w:rsidR="00F35B48" w:rsidRPr="00F35B48">
        <w:rPr>
          <w:rFonts w:ascii="Times New Roman" w:hAnsi="Times New Roman" w:cs="Times New Roman"/>
          <w:sz w:val="24"/>
          <w:szCs w:val="24"/>
          <w:lang w:val="es-PA"/>
        </w:rPr>
        <w:t xml:space="preserve"> 4</w:t>
      </w:r>
      <w:r w:rsidR="00D20D65">
        <w:rPr>
          <w:rFonts w:ascii="Times New Roman" w:hAnsi="Times New Roman" w:cs="Times New Roman"/>
          <w:sz w:val="24"/>
          <w:szCs w:val="24"/>
          <w:lang w:val="es-PA"/>
        </w:rPr>
        <w:t>ª, 4b y 4c</w:t>
      </w:r>
      <w:r w:rsidR="00712DE5" w:rsidRPr="00F35B48">
        <w:rPr>
          <w:rFonts w:ascii="Times New Roman" w:hAnsi="Times New Roman" w:cs="Times New Roman"/>
          <w:sz w:val="24"/>
          <w:szCs w:val="24"/>
          <w:lang w:val="es-PA"/>
        </w:rPr>
        <w:t>.</w:t>
      </w:r>
      <w:r w:rsidR="00020FD0">
        <w:rPr>
          <w:rFonts w:ascii="Times New Roman" w:hAnsi="Times New Roman" w:cs="Times New Roman"/>
          <w:b/>
          <w:sz w:val="24"/>
          <w:szCs w:val="24"/>
          <w:lang w:val="es-PA"/>
        </w:rPr>
        <w:br/>
      </w:r>
    </w:p>
    <w:p w:rsidR="00325C6D" w:rsidRPr="00C33513" w:rsidRDefault="00325C6D" w:rsidP="00AE1AD9">
      <w:pPr>
        <w:pStyle w:val="SingleTxtG"/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 w:rsidRPr="00C33513">
        <w:rPr>
          <w:rFonts w:ascii="Times New Roman" w:hAnsi="Times New Roman" w:cs="Times New Roman"/>
          <w:b/>
          <w:sz w:val="24"/>
          <w:szCs w:val="24"/>
        </w:rPr>
        <w:t>k)</w:t>
      </w:r>
      <w:r w:rsidRPr="00C33513">
        <w:rPr>
          <w:rFonts w:ascii="Times New Roman" w:hAnsi="Times New Roman" w:cs="Times New Roman"/>
          <w:b/>
          <w:sz w:val="24"/>
          <w:szCs w:val="24"/>
        </w:rPr>
        <w:tab/>
        <w:t>Número de niños, niñas y adolescentes que consumen estupefacientes;</w:t>
      </w:r>
    </w:p>
    <w:p w:rsidR="00325C6D" w:rsidRPr="00C33513" w:rsidRDefault="00325C6D" w:rsidP="00AE1AD9">
      <w:pPr>
        <w:pStyle w:val="SingleTxt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33513">
        <w:rPr>
          <w:rFonts w:ascii="Times New Roman" w:hAnsi="Times New Roman" w:cs="Times New Roman"/>
          <w:sz w:val="24"/>
          <w:szCs w:val="24"/>
        </w:rPr>
        <w:t xml:space="preserve">No se dispone de esta información. </w:t>
      </w:r>
    </w:p>
    <w:p w:rsidR="00325C6D" w:rsidRPr="00C33513" w:rsidRDefault="00325C6D" w:rsidP="00AE1AD9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</w:p>
    <w:p w:rsidR="00325C6D" w:rsidRPr="00C33513" w:rsidRDefault="00325C6D" w:rsidP="00AE1AD9">
      <w:pPr>
        <w:pStyle w:val="SingleTxtG"/>
        <w:ind w:left="0"/>
        <w:rPr>
          <w:rFonts w:ascii="Times New Roman" w:hAnsi="Times New Roman" w:cs="Times New Roman"/>
          <w:b/>
          <w:sz w:val="24"/>
          <w:szCs w:val="24"/>
        </w:rPr>
      </w:pPr>
      <w:r w:rsidRPr="00C33513">
        <w:rPr>
          <w:rFonts w:ascii="Times New Roman" w:hAnsi="Times New Roman" w:cs="Times New Roman"/>
          <w:b/>
          <w:sz w:val="24"/>
          <w:szCs w:val="24"/>
        </w:rPr>
        <w:t>m)</w:t>
      </w:r>
      <w:r w:rsidRPr="00C33513">
        <w:rPr>
          <w:rFonts w:ascii="Times New Roman" w:hAnsi="Times New Roman" w:cs="Times New Roman"/>
          <w:b/>
          <w:sz w:val="24"/>
          <w:szCs w:val="24"/>
        </w:rPr>
        <w:tab/>
        <w:t>Número de niños, niñas y adolescentes que viven en la pobreza y la pobreza extrema.</w:t>
      </w:r>
    </w:p>
    <w:p w:rsidR="00325C6D" w:rsidRDefault="00325C6D" w:rsidP="00AE1AD9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513">
        <w:rPr>
          <w:rFonts w:ascii="Times New Roman" w:hAnsi="Times New Roman" w:cs="Times New Roman"/>
          <w:sz w:val="24"/>
          <w:szCs w:val="24"/>
        </w:rPr>
        <w:t xml:space="preserve">En lo que se refiere a los hogares donde residen personas de 0 a 17 años, la Encuesta </w:t>
      </w:r>
      <w:r w:rsidR="00D20D65">
        <w:rPr>
          <w:rFonts w:ascii="Times New Roman" w:hAnsi="Times New Roman" w:cs="Times New Roman"/>
          <w:sz w:val="24"/>
          <w:szCs w:val="24"/>
        </w:rPr>
        <w:t xml:space="preserve">de Hogares </w:t>
      </w:r>
      <w:r w:rsidRPr="00C33513">
        <w:rPr>
          <w:rFonts w:ascii="Times New Roman" w:hAnsi="Times New Roman" w:cs="Times New Roman"/>
          <w:sz w:val="24"/>
          <w:szCs w:val="24"/>
        </w:rPr>
        <w:t>registró que representan un poco más de la mitad del total de los hogares en el país (56.9% en 2014, 55.9% en 2015 y 55.2% en 2016), mientras que se observa una paulatina disminución de la proporción de niños, niñas y adolescentes en la población total (34.5%, 33.9% y 33.8%, para los años respectivos), lo que en gran medida puede atribuirse a la etapa que atravesamos de la transición demográfica.</w:t>
      </w:r>
    </w:p>
    <w:p w:rsidR="00473228" w:rsidRPr="00473228" w:rsidRDefault="00473228" w:rsidP="00AE1A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C6D" w:rsidRPr="00473228" w:rsidRDefault="00325C6D" w:rsidP="00AE1AD9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513">
        <w:rPr>
          <w:rFonts w:ascii="Times New Roman" w:hAnsi="Times New Roman" w:cs="Times New Roman"/>
          <w:sz w:val="24"/>
          <w:szCs w:val="24"/>
          <w:lang w:val="es-PA"/>
        </w:rPr>
        <w:t>En cuanto a la situación de pobreza general de los hogares con niños, niñas y adolescentes, la información indica que la incidencia porcentual o el porcentaje de éstos en el total de todos los hogares del país ha disminuido en el periodo: 15.5% en 2014, 13.4% en 2015 y 12.5% en 2016, así como el porcentaje de personas de 0 a 17 años en esta condición en la población total: 13.1%, 11.6% y 11.3%, respectivamente.</w:t>
      </w:r>
    </w:p>
    <w:p w:rsidR="00473228" w:rsidRPr="00473228" w:rsidRDefault="00473228" w:rsidP="00AE1A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C6D" w:rsidRDefault="00325C6D" w:rsidP="00AE1AD9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513">
        <w:rPr>
          <w:rFonts w:ascii="Times New Roman" w:hAnsi="Times New Roman" w:cs="Times New Roman"/>
          <w:sz w:val="24"/>
          <w:szCs w:val="24"/>
        </w:rPr>
        <w:t xml:space="preserve">El indicador de incidencia porcentual para los mismos años también muestra mejoras para los niños, niñas y adolescentes con respecto al nivel de pobreza extrema, tanto en términos de los hogares donde viven: 6.38%, 5.72% y 5.24%, como del número de este grupo poblacional: 6.05%, 5.54% y 5.48%. Vale mencionar que en estos cambios han contribuido los programas sociales de transferencias monetarias dirigidos a hogares en pobreza general y pobreza extrema y aquellos destinados a personas en condiciones de pobreza, vulnerabilidad y riesgo social. </w:t>
      </w:r>
    </w:p>
    <w:p w:rsidR="00473228" w:rsidRPr="00473228" w:rsidRDefault="00473228" w:rsidP="00AE1A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C6D" w:rsidRDefault="00325C6D" w:rsidP="00AE1AD9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513">
        <w:rPr>
          <w:rFonts w:ascii="Times New Roman" w:hAnsi="Times New Roman" w:cs="Times New Roman"/>
          <w:sz w:val="24"/>
          <w:szCs w:val="24"/>
        </w:rPr>
        <w:t>Los niños, las niñas y adolescentes que viven en hogares en condición de pobreza general se distribuyen menos en las áreas urbanas y más en las áreas rurales, en estas últimas principalmente en las tres comarcas indígenas con régimen provincial (</w:t>
      </w:r>
      <w:proofErr w:type="spellStart"/>
      <w:r w:rsidRPr="00C33513">
        <w:rPr>
          <w:rFonts w:ascii="Times New Roman" w:hAnsi="Times New Roman" w:cs="Times New Roman"/>
          <w:sz w:val="24"/>
          <w:szCs w:val="24"/>
        </w:rPr>
        <w:t>Guna</w:t>
      </w:r>
      <w:proofErr w:type="spellEnd"/>
      <w:r w:rsidRPr="00C335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513">
        <w:rPr>
          <w:rFonts w:ascii="Times New Roman" w:hAnsi="Times New Roman" w:cs="Times New Roman"/>
          <w:sz w:val="24"/>
          <w:szCs w:val="24"/>
        </w:rPr>
        <w:t>Yala</w:t>
      </w:r>
      <w:proofErr w:type="spellEnd"/>
      <w:r w:rsidRPr="00C335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3513">
        <w:rPr>
          <w:rFonts w:ascii="Times New Roman" w:hAnsi="Times New Roman" w:cs="Times New Roman"/>
          <w:sz w:val="24"/>
          <w:szCs w:val="24"/>
        </w:rPr>
        <w:t>Emberá</w:t>
      </w:r>
      <w:proofErr w:type="spellEnd"/>
      <w:r w:rsidRPr="00C3351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C33513">
        <w:rPr>
          <w:rFonts w:ascii="Times New Roman" w:hAnsi="Times New Roman" w:cs="Times New Roman"/>
          <w:sz w:val="24"/>
          <w:szCs w:val="24"/>
        </w:rPr>
        <w:t>N</w:t>
      </w:r>
      <w:bookmarkStart w:id="0" w:name="_GoBack"/>
      <w:bookmarkEnd w:id="0"/>
      <w:r w:rsidRPr="00C33513">
        <w:rPr>
          <w:rFonts w:ascii="Times New Roman" w:hAnsi="Times New Roman" w:cs="Times New Roman"/>
          <w:sz w:val="24"/>
          <w:szCs w:val="24"/>
        </w:rPr>
        <w:t>gäbe</w:t>
      </w:r>
      <w:proofErr w:type="spellEnd"/>
      <w:r w:rsidRPr="00C335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3513">
        <w:rPr>
          <w:rFonts w:ascii="Times New Roman" w:hAnsi="Times New Roman" w:cs="Times New Roman"/>
          <w:sz w:val="24"/>
          <w:szCs w:val="24"/>
        </w:rPr>
        <w:t>Buglé</w:t>
      </w:r>
      <w:proofErr w:type="spellEnd"/>
      <w:r w:rsidRPr="00C33513">
        <w:rPr>
          <w:rFonts w:ascii="Times New Roman" w:hAnsi="Times New Roman" w:cs="Times New Roman"/>
          <w:sz w:val="24"/>
          <w:szCs w:val="24"/>
        </w:rPr>
        <w:t>). Es así que, mientras en las áreas urbanas la distribución de este grupo poblacional en situación de pobreza general en los años 2014, 2015 y 2016 disminuye su proporción (34.8%, 32.4% y 32.0%), por el contrario la aumenta en las áreas rurales (65.2%, 67.6% y 68.0%), donde el conjunto de las comarcas indígenas que representa una parte muy significativa de ellas también incrementa su participación (36.0%, 39.4% y 40.2%, en ese orden de los años de referencia).</w:t>
      </w:r>
    </w:p>
    <w:p w:rsidR="00473228" w:rsidRPr="00473228" w:rsidRDefault="00473228" w:rsidP="00AE1A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5C6D" w:rsidRDefault="00325C6D" w:rsidP="00AE1AD9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513">
        <w:rPr>
          <w:rFonts w:ascii="Times New Roman" w:hAnsi="Times New Roman" w:cs="Times New Roman"/>
          <w:sz w:val="24"/>
          <w:szCs w:val="24"/>
        </w:rPr>
        <w:t>Similar tendencia ocurre por área en el caso de las personas con entre 0 y 17 años de edad que viven en hogares en situación de pobreza extrema: más del ochenta por ciento se encuentra localizada en las áreas rurales, proporción que ha aumentado en estos últimos tres años, de 81.7% en 2014 pasó a 82.7% en 2015 y sube a 83.5% en 2016, en tanto que en el total de la población rural con estas edades y condición la proporción de niños, niñas y adolescentes de las tres comarcas indígenas constituyó el 53.4% en 2016, cuando fue 52.6% en 2015 y 49.4% en 2014, lo que devela un ritmo ascendente. Por otra parte, en las áreas urbanas se ha ralentizado la concentración de población de 0 a 17 años en condición de pobreza extrema: 18.3% en 2014,</w:t>
      </w:r>
      <w:r w:rsidR="00C33513" w:rsidRPr="00C33513">
        <w:rPr>
          <w:rFonts w:ascii="Times New Roman" w:hAnsi="Times New Roman" w:cs="Times New Roman"/>
          <w:sz w:val="24"/>
          <w:szCs w:val="24"/>
        </w:rPr>
        <w:t xml:space="preserve"> 17.3% en 2015 y 16.5% en 2016.</w:t>
      </w:r>
    </w:p>
    <w:p w:rsidR="00473228" w:rsidRPr="00473228" w:rsidRDefault="00473228" w:rsidP="00AE1A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3513" w:rsidRPr="004A6353" w:rsidRDefault="00C33513" w:rsidP="00AE1AD9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513">
        <w:rPr>
          <w:rFonts w:ascii="Times New Roman" w:hAnsi="Times New Roman" w:cs="Times New Roman"/>
          <w:sz w:val="24"/>
          <w:szCs w:val="24"/>
        </w:rPr>
        <w:t xml:space="preserve">Para un desglose del porcentaje de los hogares en situación de pobreza o pobreza extrema ver </w:t>
      </w:r>
      <w:r w:rsidR="004A6353" w:rsidRPr="004A6353">
        <w:rPr>
          <w:rFonts w:ascii="Times New Roman" w:hAnsi="Times New Roman" w:cs="Times New Roman"/>
          <w:sz w:val="24"/>
          <w:szCs w:val="24"/>
        </w:rPr>
        <w:t>Anexo 5</w:t>
      </w:r>
      <w:r w:rsidRPr="004A6353">
        <w:rPr>
          <w:rFonts w:ascii="Times New Roman" w:hAnsi="Times New Roman" w:cs="Times New Roman"/>
          <w:sz w:val="24"/>
          <w:szCs w:val="24"/>
        </w:rPr>
        <w:t>.</w:t>
      </w:r>
    </w:p>
    <w:p w:rsidR="004A2665" w:rsidRDefault="004A2665" w:rsidP="00AE1AD9">
      <w:pPr>
        <w:pStyle w:val="SingleTxtG"/>
        <w:ind w:left="0"/>
        <w:rPr>
          <w:rFonts w:ascii="Times New Roman" w:hAnsi="Times New Roman" w:cs="Times New Roman"/>
          <w:sz w:val="24"/>
          <w:szCs w:val="24"/>
        </w:rPr>
      </w:pPr>
    </w:p>
    <w:sectPr w:rsidR="004A26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83F2C"/>
    <w:multiLevelType w:val="hybridMultilevel"/>
    <w:tmpl w:val="749AB24A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82083"/>
    <w:multiLevelType w:val="multilevel"/>
    <w:tmpl w:val="16D8B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BA5B23"/>
    <w:multiLevelType w:val="hybridMultilevel"/>
    <w:tmpl w:val="7B864B8C"/>
    <w:lvl w:ilvl="0" w:tplc="91A62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06A7D"/>
    <w:multiLevelType w:val="hybridMultilevel"/>
    <w:tmpl w:val="0FCA370E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753CD"/>
    <w:multiLevelType w:val="hybridMultilevel"/>
    <w:tmpl w:val="67383CA4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330E8"/>
    <w:multiLevelType w:val="hybridMultilevel"/>
    <w:tmpl w:val="CD3A9DCA"/>
    <w:lvl w:ilvl="0" w:tplc="E4308E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27A3D"/>
    <w:multiLevelType w:val="hybridMultilevel"/>
    <w:tmpl w:val="187CBBD8"/>
    <w:lvl w:ilvl="0" w:tplc="E4308E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87BD6"/>
    <w:multiLevelType w:val="hybridMultilevel"/>
    <w:tmpl w:val="137A7882"/>
    <w:lvl w:ilvl="0" w:tplc="E4308E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17D4C"/>
    <w:multiLevelType w:val="hybridMultilevel"/>
    <w:tmpl w:val="BF26A3DA"/>
    <w:lvl w:ilvl="0" w:tplc="E956247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A0019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D12CD"/>
    <w:multiLevelType w:val="hybridMultilevel"/>
    <w:tmpl w:val="F49CCD2A"/>
    <w:lvl w:ilvl="0" w:tplc="E4308E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9C6632"/>
    <w:multiLevelType w:val="hybridMultilevel"/>
    <w:tmpl w:val="1E40F77C"/>
    <w:lvl w:ilvl="0" w:tplc="E80221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6865A8"/>
    <w:multiLevelType w:val="hybridMultilevel"/>
    <w:tmpl w:val="4BC08C32"/>
    <w:lvl w:ilvl="0" w:tplc="E4308E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9"/>
  </w:num>
  <w:num w:numId="9">
    <w:abstractNumId w:val="6"/>
  </w:num>
  <w:num w:numId="10">
    <w:abstractNumId w:val="7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C6D"/>
    <w:rsid w:val="00020FD0"/>
    <w:rsid w:val="00100813"/>
    <w:rsid w:val="001801EB"/>
    <w:rsid w:val="001C438D"/>
    <w:rsid w:val="00325C6D"/>
    <w:rsid w:val="00473228"/>
    <w:rsid w:val="004A2665"/>
    <w:rsid w:val="004A6353"/>
    <w:rsid w:val="004B4FD6"/>
    <w:rsid w:val="004D4ABC"/>
    <w:rsid w:val="0056742D"/>
    <w:rsid w:val="00590383"/>
    <w:rsid w:val="006211C1"/>
    <w:rsid w:val="00694C66"/>
    <w:rsid w:val="006B681C"/>
    <w:rsid w:val="00712DE5"/>
    <w:rsid w:val="0071537A"/>
    <w:rsid w:val="00817626"/>
    <w:rsid w:val="0088249E"/>
    <w:rsid w:val="00A82DB0"/>
    <w:rsid w:val="00AC6E89"/>
    <w:rsid w:val="00AE1AD9"/>
    <w:rsid w:val="00C13E76"/>
    <w:rsid w:val="00C33513"/>
    <w:rsid w:val="00CF345B"/>
    <w:rsid w:val="00D20D65"/>
    <w:rsid w:val="00D577A5"/>
    <w:rsid w:val="00D57863"/>
    <w:rsid w:val="00D604BB"/>
    <w:rsid w:val="00E54ED6"/>
    <w:rsid w:val="00E9422C"/>
    <w:rsid w:val="00F35B48"/>
    <w:rsid w:val="00F4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467EB3-103E-43ED-98DE-DF15BF252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6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gleTxtGChar">
    <w:name w:val="_ Single Txt_G Char"/>
    <w:link w:val="SingleTxtG"/>
    <w:locked/>
    <w:rsid w:val="00325C6D"/>
    <w:rPr>
      <w:lang w:val="es-ES" w:eastAsia="es-ES"/>
    </w:rPr>
  </w:style>
  <w:style w:type="paragraph" w:customStyle="1" w:styleId="SingleTxtG">
    <w:name w:val="_ Single Txt_G"/>
    <w:basedOn w:val="Normal"/>
    <w:link w:val="SingleTxtGChar"/>
    <w:qFormat/>
    <w:rsid w:val="00325C6D"/>
    <w:pPr>
      <w:spacing w:after="120" w:line="240" w:lineRule="atLeast"/>
      <w:ind w:left="1134" w:right="1134"/>
      <w:jc w:val="both"/>
    </w:pPr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325C6D"/>
    <w:pPr>
      <w:spacing w:line="256" w:lineRule="auto"/>
      <w:ind w:left="720"/>
      <w:contextualSpacing/>
    </w:pPr>
    <w:rPr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979BD2-B5C7-4164-89E3-48E051F0B236}"/>
</file>

<file path=customXml/itemProps2.xml><?xml version="1.0" encoding="utf-8"?>
<ds:datastoreItem xmlns:ds="http://schemas.openxmlformats.org/officeDocument/2006/customXml" ds:itemID="{AE8C61E0-A33E-4D53-B4BC-11EF4EE0AE0C}"/>
</file>

<file path=customXml/itemProps3.xml><?xml version="1.0" encoding="utf-8"?>
<ds:datastoreItem xmlns:ds="http://schemas.openxmlformats.org/officeDocument/2006/customXml" ds:itemID="{754B8342-74BF-4AF4-828A-3F28A472D426}"/>
</file>

<file path=customXml/itemProps4.xml><?xml version="1.0" encoding="utf-8"?>
<ds:datastoreItem xmlns:ds="http://schemas.openxmlformats.org/officeDocument/2006/customXml" ds:itemID="{DD584ED5-349A-4C9E-A949-370EF6E994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Pichel</dc:creator>
  <cp:keywords/>
  <dc:description/>
  <cp:lastModifiedBy>Guadalupe Rudy</cp:lastModifiedBy>
  <cp:revision>2</cp:revision>
  <cp:lastPrinted>2017-10-27T01:05:00Z</cp:lastPrinted>
  <dcterms:created xsi:type="dcterms:W3CDTF">2017-10-27T01:10:00Z</dcterms:created>
  <dcterms:modified xsi:type="dcterms:W3CDTF">2017-10-27T01:10:00Z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