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CA12" w14:textId="732F954B" w:rsidR="00C05D9B" w:rsidRPr="004B1E4E" w:rsidRDefault="00C05D9B" w:rsidP="00BD003F">
      <w:pPr>
        <w:jc w:val="center"/>
      </w:pPr>
    </w:p>
    <w:p w14:paraId="5E537D0D" w14:textId="59BD0801" w:rsidR="005403E3" w:rsidRPr="004B1E4E" w:rsidRDefault="005403E3" w:rsidP="002B1275">
      <w:pPr>
        <w:tabs>
          <w:tab w:val="left" w:pos="5370"/>
        </w:tabs>
      </w:pPr>
    </w:p>
    <w:p w14:paraId="4D1E27F2" w14:textId="43A78768" w:rsidR="0083533E" w:rsidRDefault="00586EAB" w:rsidP="002B1275">
      <w:pPr>
        <w:pStyle w:val="TitlePageHeading"/>
        <w:spacing w:after="240"/>
      </w:pPr>
      <w:r>
        <w:t>The Bahamas</w:t>
      </w:r>
      <w:r w:rsidR="004B1E4E">
        <w:t xml:space="preserve">’ Compliance with </w:t>
      </w:r>
      <w:r w:rsidR="001B2FE4">
        <w:t>the International Covenant on Civil and Political Rights</w:t>
      </w:r>
    </w:p>
    <w:p w14:paraId="43F13231" w14:textId="244DA13D" w:rsidR="004B1E4E" w:rsidRPr="003244CB" w:rsidRDefault="0083533E" w:rsidP="002B1275">
      <w:pPr>
        <w:pStyle w:val="TitlePageHeading"/>
        <w:spacing w:after="240"/>
      </w:pPr>
      <w:r>
        <w:t>Suggested List of Issues Prior to Reporting Relating to</w:t>
      </w:r>
      <w:r w:rsidR="005B1490">
        <w:t xml:space="preserve"> t</w:t>
      </w:r>
      <w:r w:rsidR="001E4BD2">
        <w:t>he Death Penalty</w:t>
      </w:r>
    </w:p>
    <w:p w14:paraId="26D24DDC" w14:textId="77777777" w:rsidR="004B1E4E" w:rsidRPr="00C96C0B" w:rsidRDefault="004B1E4E" w:rsidP="00C96C0B">
      <w:pPr>
        <w:pStyle w:val="TitlePageHeading"/>
        <w:contextualSpacing/>
      </w:pPr>
      <w:r w:rsidRPr="00C96C0B">
        <w:t xml:space="preserve">Submitted by </w:t>
      </w:r>
      <w:r w:rsidR="00AA7FCB" w:rsidRPr="00C96C0B">
        <w:t>T</w:t>
      </w:r>
      <w:r w:rsidRPr="00C96C0B">
        <w:t>he Advocates for Human Rights</w:t>
      </w:r>
    </w:p>
    <w:p w14:paraId="6D01AE49" w14:textId="77777777" w:rsidR="004B1E4E" w:rsidRDefault="004B1E4E" w:rsidP="002B1275">
      <w:pPr>
        <w:pStyle w:val="TitlePageSubheading"/>
        <w:spacing w:after="240"/>
        <w:contextualSpacing/>
      </w:pPr>
      <w:r w:rsidRPr="004B1E4E">
        <w:t>a non-governmental organization in special consultative status with ECOSOC</w:t>
      </w:r>
      <w:r w:rsidR="00624A10">
        <w:t xml:space="preserve"> since 1996</w:t>
      </w:r>
    </w:p>
    <w:p w14:paraId="4404FC64" w14:textId="1A267BF4" w:rsidR="000A6A36" w:rsidRPr="000A6A36" w:rsidRDefault="000A6A36" w:rsidP="002B1275">
      <w:pPr>
        <w:pStyle w:val="TitlePageSubheading"/>
        <w:spacing w:after="240"/>
        <w:contextualSpacing/>
        <w:rPr>
          <w:b/>
          <w:bCs/>
        </w:rPr>
      </w:pPr>
      <w:r>
        <w:rPr>
          <w:b/>
          <w:bCs/>
        </w:rPr>
        <w:t>Greater Caribbean for Life</w:t>
      </w:r>
    </w:p>
    <w:p w14:paraId="3AFBC896" w14:textId="0490D9ED" w:rsidR="001E4BD2" w:rsidRDefault="001E4BD2" w:rsidP="002B1275">
      <w:pPr>
        <w:pStyle w:val="TitlePageSubheading"/>
        <w:spacing w:after="240"/>
        <w:contextualSpacing/>
      </w:pPr>
      <w:r>
        <w:t>and</w:t>
      </w:r>
    </w:p>
    <w:p w14:paraId="783353DD" w14:textId="3666889F" w:rsidR="001E4BD2" w:rsidRDefault="001E4BD2" w:rsidP="002B1275">
      <w:pPr>
        <w:pStyle w:val="TitlePageSubheading"/>
        <w:spacing w:after="240"/>
        <w:contextualSpacing/>
        <w:rPr>
          <w:b/>
          <w:bCs/>
        </w:rPr>
      </w:pPr>
      <w:r>
        <w:rPr>
          <w:b/>
          <w:bCs/>
        </w:rPr>
        <w:t>The World Coalition Against the Death Penalty</w:t>
      </w:r>
    </w:p>
    <w:p w14:paraId="46D2EADD" w14:textId="77777777" w:rsidR="001B2FE4" w:rsidRDefault="004B1E4E" w:rsidP="003244CB">
      <w:pPr>
        <w:pStyle w:val="TitlePageHeading"/>
        <w:rPr>
          <w:b w:val="0"/>
          <w:bCs/>
        </w:rPr>
      </w:pPr>
      <w:r w:rsidRPr="001B2FE4">
        <w:rPr>
          <w:b w:val="0"/>
          <w:bCs/>
        </w:rPr>
        <w:t>for the</w:t>
      </w:r>
    </w:p>
    <w:p w14:paraId="51DB9924" w14:textId="77777777" w:rsidR="005B1490" w:rsidRPr="001B2FE4" w:rsidRDefault="005B1490" w:rsidP="003244CB">
      <w:pPr>
        <w:pStyle w:val="TitlePageHeading"/>
        <w:rPr>
          <w:b w:val="0"/>
          <w:bCs/>
        </w:rPr>
      </w:pPr>
    </w:p>
    <w:p w14:paraId="24E688AE" w14:textId="504FB778" w:rsidR="004B1E4E" w:rsidRPr="00CA5CC2" w:rsidRDefault="001B2FE4" w:rsidP="003244CB">
      <w:pPr>
        <w:pStyle w:val="TitlePageHeading"/>
      </w:pPr>
      <w:r>
        <w:t>14</w:t>
      </w:r>
      <w:r w:rsidR="00586EAB">
        <w:t>4th</w:t>
      </w:r>
      <w:r w:rsidR="004B1E4E" w:rsidRPr="00CA5CC2">
        <w:t xml:space="preserve"> Session of the </w:t>
      </w:r>
      <w:r w:rsidR="000169FA">
        <w:t>Human Rights Committee</w:t>
      </w:r>
    </w:p>
    <w:p w14:paraId="3B163C2D" w14:textId="444C9F8C" w:rsidR="004B1E4E" w:rsidRDefault="00586EAB" w:rsidP="002B1275">
      <w:pPr>
        <w:pStyle w:val="TitlePageHeading"/>
        <w:spacing w:after="240"/>
      </w:pPr>
      <w:r>
        <w:t>2</w:t>
      </w:r>
      <w:r w:rsidR="001B2FE4">
        <w:t>3</w:t>
      </w:r>
      <w:r>
        <w:t xml:space="preserve"> June</w:t>
      </w:r>
      <w:r w:rsidR="001B2FE4">
        <w:t>–2</w:t>
      </w:r>
      <w:r>
        <w:t>5</w:t>
      </w:r>
      <w:r w:rsidR="001B2FE4">
        <w:t xml:space="preserve"> </w:t>
      </w:r>
      <w:r>
        <w:t>July</w:t>
      </w:r>
      <w:r w:rsidR="001B2FE4">
        <w:t xml:space="preserve"> 2025</w:t>
      </w:r>
    </w:p>
    <w:p w14:paraId="3D93E372" w14:textId="72163969" w:rsidR="00C214BA" w:rsidRPr="00CA5CC2" w:rsidRDefault="00C214BA" w:rsidP="002B1275">
      <w:pPr>
        <w:pStyle w:val="TitlePageHeading"/>
        <w:spacing w:after="240"/>
      </w:pPr>
      <w:r>
        <w:t xml:space="preserve">Submitted </w:t>
      </w:r>
      <w:r w:rsidR="00284D78">
        <w:t>28 April</w:t>
      </w:r>
      <w:r w:rsidR="00586EAB">
        <w:t xml:space="preserve"> </w:t>
      </w:r>
      <w:r w:rsidR="005B1490">
        <w:t>2025</w:t>
      </w:r>
    </w:p>
    <w:p w14:paraId="360C507E" w14:textId="3DC115E9" w:rsidR="00FB03FB" w:rsidRDefault="00FB03FB" w:rsidP="001E4BD2">
      <w:pPr>
        <w:widowControl w:val="0"/>
        <w:autoSpaceDE w:val="0"/>
        <w:autoSpaceDN w:val="0"/>
        <w:adjustRightInd w:val="0"/>
        <w:spacing w:after="240"/>
        <w:jc w:val="both"/>
        <w:rPr>
          <w:rStyle w:val="BoilerplateTextChar0"/>
        </w:rPr>
      </w:pPr>
      <w:r w:rsidRPr="00571E64">
        <w:rPr>
          <w:rStyle w:val="BoilerplateTitleChar0"/>
        </w:rPr>
        <w:t>The Advocates for Human Rights</w:t>
      </w:r>
      <w:r w:rsidRPr="00CE71B2">
        <w:rPr>
          <w:rStyle w:val="BoilerplateTextChar0"/>
        </w:rPr>
        <w:t xml:space="preserve"> (The Advocates) is a volunteer-based non-governmental organization committed to the impartial promotion and protection of international human rights standards and the rule of law</w:t>
      </w:r>
      <w:r>
        <w:rPr>
          <w:rStyle w:val="BoilerplateTextChar0"/>
        </w:rPr>
        <w:t xml:space="preserve"> since its founding in </w:t>
      </w:r>
      <w:r w:rsidRPr="00CE71B2">
        <w:rPr>
          <w:rStyle w:val="BoilerplateTextChar0"/>
        </w:rPr>
        <w:t>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2FCAE636">
        <w:t xml:space="preserve">. </w:t>
      </w:r>
      <w:r w:rsidRPr="00415517">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2FCAE636">
        <w:rPr>
          <w:color w:val="000000" w:themeColor="text1"/>
        </w:rPr>
        <w:t>.</w:t>
      </w:r>
      <w:r w:rsidR="001E4BD2">
        <w:rPr>
          <w:color w:val="000000" w:themeColor="text1"/>
        </w:rPr>
        <w:t xml:space="preserve"> </w:t>
      </w:r>
      <w:r w:rsidRPr="00415517">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4989264A" w14:textId="2E40C7D6" w:rsidR="00032E97" w:rsidRDefault="00032E97" w:rsidP="001E4BD2">
      <w:pPr>
        <w:widowControl w:val="0"/>
        <w:autoSpaceDE w:val="0"/>
        <w:autoSpaceDN w:val="0"/>
        <w:adjustRightInd w:val="0"/>
        <w:spacing w:after="240"/>
        <w:jc w:val="both"/>
        <w:rPr>
          <w:rStyle w:val="BoilerplateTextChar0"/>
        </w:rPr>
      </w:pPr>
      <w:r w:rsidRPr="001B2FE4">
        <w:rPr>
          <w:rFonts w:eastAsia="Arial"/>
          <w:b/>
          <w:bCs/>
          <w:kern w:val="0"/>
          <w:lang w:eastAsia="en-US"/>
        </w:rPr>
        <w:t>The Greater Caribbean for Life</w:t>
      </w:r>
      <w:r w:rsidRPr="001B2FE4">
        <w:rPr>
          <w:rFonts w:eastAsia="Arial"/>
          <w:kern w:val="0"/>
          <w:lang w:eastAsia="en-US"/>
        </w:rPr>
        <w:t xml:space="preserve"> (GCL) is an independent, not-for-profit civil society organization, incorporated under the laws of the Commonwealth of Puerto Rico. GCL was constituted on October 2, </w:t>
      </w:r>
      <w:proofErr w:type="gramStart"/>
      <w:r w:rsidRPr="001B2FE4">
        <w:rPr>
          <w:rFonts w:eastAsia="Arial"/>
          <w:kern w:val="0"/>
          <w:lang w:eastAsia="en-US"/>
        </w:rPr>
        <w:t>2013</w:t>
      </w:r>
      <w:proofErr w:type="gramEnd"/>
      <w:r w:rsidRPr="001B2FE4">
        <w:rPr>
          <w:rFonts w:eastAsia="Arial"/>
          <w:kern w:val="0"/>
          <w:lang w:eastAsia="en-US"/>
        </w:rPr>
        <w:t xml:space="preserve"> with the purpose of campaigning for and working towards the permanent abolition of the death penalty in the Greater Caribbean and supporting Caribbean abolitionist activists and organizations in this region (comprised by the Caribbean Islands, Mexico, Central America, Colombia, Venezuela and the </w:t>
      </w:r>
      <w:proofErr w:type="spellStart"/>
      <w:r w:rsidRPr="001B2FE4">
        <w:rPr>
          <w:rFonts w:eastAsia="Arial"/>
          <w:kern w:val="0"/>
          <w:lang w:eastAsia="en-US"/>
        </w:rPr>
        <w:t>Guyanas</w:t>
      </w:r>
      <w:proofErr w:type="spellEnd"/>
      <w:r w:rsidRPr="001B2FE4">
        <w:rPr>
          <w:rFonts w:eastAsia="Arial"/>
          <w:kern w:val="0"/>
          <w:lang w:eastAsia="en-US"/>
        </w:rPr>
        <w:t xml:space="preserve">) and collaborating with the international abolitionist community. This initiative began on October 19, 2011, when a group of organizations and individuals, from countries of the Greater Caribbean opposed to the application of capital punishment, participated in an International Conference on the Death Penalty in the Great Caribbean organized in Madrid by the Community of Sant’ </w:t>
      </w:r>
      <w:proofErr w:type="spellStart"/>
      <w:r w:rsidRPr="001B2FE4">
        <w:rPr>
          <w:rFonts w:eastAsia="Arial"/>
          <w:kern w:val="0"/>
          <w:lang w:eastAsia="en-US"/>
        </w:rPr>
        <w:t>Edigio</w:t>
      </w:r>
      <w:proofErr w:type="spellEnd"/>
      <w:r w:rsidRPr="001B2FE4">
        <w:rPr>
          <w:rFonts w:eastAsia="Arial"/>
          <w:kern w:val="0"/>
          <w:lang w:eastAsia="en-US"/>
        </w:rPr>
        <w:t>.</w:t>
      </w:r>
    </w:p>
    <w:p w14:paraId="24CB8DE1" w14:textId="2137DDBD" w:rsidR="00692CCF" w:rsidRDefault="00692CCF" w:rsidP="001E4BD2">
      <w:pPr>
        <w:widowControl w:val="0"/>
        <w:autoSpaceDE w:val="0"/>
        <w:autoSpaceDN w:val="0"/>
        <w:adjustRightInd w:val="0"/>
        <w:spacing w:after="240"/>
        <w:jc w:val="both"/>
      </w:pPr>
      <w:r w:rsidRPr="004A4E9F">
        <w:rPr>
          <w:b/>
          <w:bCs/>
        </w:rPr>
        <w:t>The World Coalition Against the Death</w:t>
      </w:r>
      <w:r w:rsidRPr="004A4E9F">
        <w:t xml:space="preserve"> </w:t>
      </w:r>
      <w:r w:rsidRPr="004A4E9F">
        <w:rPr>
          <w:b/>
          <w:bCs/>
        </w:rPr>
        <w:t>Penalty</w:t>
      </w:r>
      <w:r w:rsidRPr="004A4E9F">
        <w:t xml:space="preserve"> is a </w:t>
      </w:r>
      <w:r w:rsidR="001F1B6E">
        <w:t>membership</w:t>
      </w:r>
      <w:r w:rsidRPr="004A4E9F">
        <w:t xml:space="preserve">-based </w:t>
      </w:r>
      <w:r w:rsidR="001F1B6E">
        <w:t xml:space="preserve">global network </w:t>
      </w:r>
      <w:r w:rsidRPr="004A4E9F">
        <w:lastRenderedPageBreak/>
        <w:t>committed to strengthen</w:t>
      </w:r>
      <w:r w:rsidR="001F1B6E">
        <w:t>ing</w:t>
      </w:r>
      <w:r w:rsidRPr="004A4E9F">
        <w:t xml:space="preserve">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FC77D31" w14:textId="77777777" w:rsidR="004B1E4E" w:rsidRPr="004B1E4E" w:rsidRDefault="004B1E4E" w:rsidP="00BD003F">
      <w:pPr>
        <w:pStyle w:val="ExecutiveSummary"/>
        <w:spacing w:after="240"/>
      </w:pPr>
      <w:r>
        <w:br w:type="page"/>
      </w:r>
      <w:r w:rsidRPr="004B1E4E">
        <w:lastRenderedPageBreak/>
        <w:t>Executive Summary</w:t>
      </w:r>
    </w:p>
    <w:p w14:paraId="03D6B475" w14:textId="2719F80D" w:rsidR="004138C7" w:rsidRPr="00366B6D" w:rsidRDefault="000169FA" w:rsidP="00054DFB">
      <w:pPr>
        <w:pStyle w:val="Paragraph"/>
      </w:pPr>
      <w:r>
        <w:t xml:space="preserve">This report </w:t>
      </w:r>
      <w:r w:rsidR="00DC6488">
        <w:t xml:space="preserve">addresses the Bahamas’ compliance with its human rights obligations arising from its use of the death penalty and </w:t>
      </w:r>
      <w:r>
        <w:t xml:space="preserve">suggests questions </w:t>
      </w:r>
      <w:r w:rsidR="004F2F84">
        <w:t xml:space="preserve">that </w:t>
      </w:r>
      <w:r>
        <w:t>the Committee should pose in its List of Issues Prior to Reporting</w:t>
      </w:r>
      <w:r w:rsidR="00054DFB">
        <w:t xml:space="preserve"> </w:t>
      </w:r>
      <w:r w:rsidR="00DC6488">
        <w:t>for the State Party</w:t>
      </w:r>
      <w:r w:rsidR="00B316FF">
        <w:t xml:space="preserve">. </w:t>
      </w:r>
      <w:r w:rsidR="00586EAB">
        <w:t xml:space="preserve">The Bahamas </w:t>
      </w:r>
      <w:r w:rsidR="00054DFB" w:rsidRPr="00054DFB">
        <w:rPr>
          <w:lang w:val="en-GB"/>
        </w:rPr>
        <w:t xml:space="preserve">maintains a </w:t>
      </w:r>
      <w:r w:rsidR="00054DFB" w:rsidRPr="0066374C">
        <w:rPr>
          <w:i/>
          <w:iCs/>
          <w:lang w:val="en-GB"/>
        </w:rPr>
        <w:t>de facto</w:t>
      </w:r>
      <w:r w:rsidR="00054DFB" w:rsidRPr="00054DFB">
        <w:rPr>
          <w:lang w:val="en-GB"/>
        </w:rPr>
        <w:t xml:space="preserve"> moratorium on </w:t>
      </w:r>
      <w:r w:rsidR="00D91128">
        <w:rPr>
          <w:lang w:val="en-GB"/>
        </w:rPr>
        <w:t>executions</w:t>
      </w:r>
      <w:r w:rsidR="00054DFB" w:rsidRPr="00054DFB">
        <w:rPr>
          <w:lang w:val="en-GB"/>
        </w:rPr>
        <w:t xml:space="preserve"> </w:t>
      </w:r>
      <w:r w:rsidR="00B316FF">
        <w:rPr>
          <w:lang w:val="en-GB"/>
        </w:rPr>
        <w:t xml:space="preserve">and has not carried out any </w:t>
      </w:r>
      <w:r w:rsidR="00054DFB" w:rsidRPr="00054DFB">
        <w:rPr>
          <w:lang w:val="en-GB"/>
        </w:rPr>
        <w:t xml:space="preserve">executions since </w:t>
      </w:r>
      <w:r w:rsidR="00586EAB">
        <w:rPr>
          <w:lang w:val="en-GB"/>
        </w:rPr>
        <w:t>2000</w:t>
      </w:r>
      <w:r w:rsidR="00054DFB" w:rsidRPr="00054DFB">
        <w:rPr>
          <w:lang w:val="en-GB"/>
        </w:rPr>
        <w:t>.</w:t>
      </w:r>
      <w:r w:rsidR="00A62B8B">
        <w:rPr>
          <w:rStyle w:val="FootnoteReference"/>
          <w:lang w:val="en-GB"/>
        </w:rPr>
        <w:footnoteReference w:id="2"/>
      </w:r>
      <w:r w:rsidR="007770DE">
        <w:rPr>
          <w:lang w:val="en-GB"/>
        </w:rPr>
        <w:t xml:space="preserve"> </w:t>
      </w:r>
    </w:p>
    <w:p w14:paraId="3BE964EB" w14:textId="2E84BD5C" w:rsidR="004138C7" w:rsidRPr="004138C7" w:rsidRDefault="004138C7" w:rsidP="00054DFB">
      <w:pPr>
        <w:pStyle w:val="Paragraph"/>
      </w:pPr>
      <w:r>
        <w:rPr>
          <w:lang w:val="en-GB"/>
        </w:rPr>
        <w:t xml:space="preserve">The Bahamas </w:t>
      </w:r>
      <w:r w:rsidR="00CE3C43">
        <w:rPr>
          <w:lang w:val="en-GB"/>
        </w:rPr>
        <w:t>has not</w:t>
      </w:r>
      <w:r>
        <w:rPr>
          <w:lang w:val="en-GB"/>
        </w:rPr>
        <w:t xml:space="preserve"> ratif</w:t>
      </w:r>
      <w:r w:rsidR="00CE3C43">
        <w:rPr>
          <w:lang w:val="en-GB"/>
        </w:rPr>
        <w:t>ied</w:t>
      </w:r>
      <w:r>
        <w:rPr>
          <w:lang w:val="en-GB"/>
        </w:rPr>
        <w:t xml:space="preserve"> the Second Optional Protocol to the International Covenant on Civil and Political Rights</w:t>
      </w:r>
      <w:r w:rsidR="00CE3C43">
        <w:rPr>
          <w:lang w:val="en-GB"/>
        </w:rPr>
        <w:t>,</w:t>
      </w:r>
      <w:r>
        <w:rPr>
          <w:lang w:val="en-GB"/>
        </w:rPr>
        <w:t xml:space="preserve"> and </w:t>
      </w:r>
      <w:r w:rsidR="00CE3C43">
        <w:rPr>
          <w:lang w:val="en-GB"/>
        </w:rPr>
        <w:t xml:space="preserve">the death penalty </w:t>
      </w:r>
      <w:r>
        <w:rPr>
          <w:lang w:val="en-GB"/>
        </w:rPr>
        <w:t>remains lawful for certain crimes.</w:t>
      </w:r>
      <w:r w:rsidR="00F9273D">
        <w:rPr>
          <w:lang w:val="en-GB"/>
        </w:rPr>
        <w:t xml:space="preserve"> T</w:t>
      </w:r>
      <w:r>
        <w:rPr>
          <w:lang w:val="en-GB"/>
        </w:rPr>
        <w:t>he Privy Council</w:t>
      </w:r>
      <w:r w:rsidR="00920341">
        <w:rPr>
          <w:lang w:val="en-GB"/>
        </w:rPr>
        <w:t>, which is the highest court for the Bahamas,</w:t>
      </w:r>
      <w:r>
        <w:rPr>
          <w:lang w:val="en-GB"/>
        </w:rPr>
        <w:t xml:space="preserve"> narrowly restricts the circumstances in which the death penalty could be applied to the “worst of the worst” crimes.</w:t>
      </w:r>
      <w:r>
        <w:rPr>
          <w:rStyle w:val="FootnoteReference"/>
          <w:lang w:val="en-GB"/>
        </w:rPr>
        <w:footnoteReference w:id="3"/>
      </w:r>
    </w:p>
    <w:p w14:paraId="6BC1A220" w14:textId="211A1E22" w:rsidR="00054DFB" w:rsidRPr="00054DFB" w:rsidRDefault="00586EAB" w:rsidP="00054DFB">
      <w:pPr>
        <w:pStyle w:val="Paragraph"/>
      </w:pPr>
      <w:r>
        <w:rPr>
          <w:lang w:val="en-GB"/>
        </w:rPr>
        <w:t xml:space="preserve">The last time that </w:t>
      </w:r>
      <w:r w:rsidR="004D53C7">
        <w:rPr>
          <w:lang w:val="en-GB"/>
        </w:rPr>
        <w:t xml:space="preserve">a Bahamian court </w:t>
      </w:r>
      <w:r>
        <w:rPr>
          <w:lang w:val="en-GB"/>
        </w:rPr>
        <w:t>sentenced someone to death was in 201</w:t>
      </w:r>
      <w:r w:rsidR="00A020F7">
        <w:rPr>
          <w:lang w:val="en-GB"/>
        </w:rPr>
        <w:t>3</w:t>
      </w:r>
      <w:r>
        <w:rPr>
          <w:lang w:val="en-GB"/>
        </w:rPr>
        <w:t xml:space="preserve">, and </w:t>
      </w:r>
      <w:r w:rsidR="004D53C7">
        <w:rPr>
          <w:lang w:val="en-GB"/>
        </w:rPr>
        <w:t xml:space="preserve">a court commuted that </w:t>
      </w:r>
      <w:r>
        <w:rPr>
          <w:lang w:val="en-GB"/>
        </w:rPr>
        <w:t>sentenced in 201</w:t>
      </w:r>
      <w:r w:rsidR="00A020F7">
        <w:rPr>
          <w:lang w:val="en-GB"/>
        </w:rPr>
        <w:t>6</w:t>
      </w:r>
      <w:r>
        <w:rPr>
          <w:lang w:val="en-GB"/>
        </w:rPr>
        <w:t>.</w:t>
      </w:r>
      <w:r w:rsidR="009739E1">
        <w:rPr>
          <w:rStyle w:val="FootnoteReference"/>
          <w:lang w:val="en-GB"/>
        </w:rPr>
        <w:footnoteReference w:id="4"/>
      </w:r>
      <w:r>
        <w:rPr>
          <w:lang w:val="en-GB"/>
        </w:rPr>
        <w:t xml:space="preserve"> </w:t>
      </w:r>
      <w:r w:rsidR="00054DFB" w:rsidRPr="00054DFB">
        <w:rPr>
          <w:lang w:val="en-GB"/>
        </w:rPr>
        <w:t>No person is currently under sentence of death.</w:t>
      </w:r>
      <w:r w:rsidR="00A62B8B">
        <w:rPr>
          <w:rStyle w:val="FootnoteReference"/>
          <w:lang w:val="en-GB"/>
        </w:rPr>
        <w:footnoteReference w:id="5"/>
      </w:r>
    </w:p>
    <w:p w14:paraId="6CD9AC33" w14:textId="75BA7109" w:rsidR="004B1E4E" w:rsidRPr="00A04F85" w:rsidRDefault="00944EC7" w:rsidP="00B161C7">
      <w:pPr>
        <w:pStyle w:val="Paragraph"/>
      </w:pPr>
      <w:r>
        <w:t>P</w:t>
      </w:r>
      <w:r w:rsidR="00E74447">
        <w:t xml:space="preserve">ublic </w:t>
      </w:r>
      <w:r w:rsidR="00B161C7" w:rsidRPr="00AB30FF">
        <w:t xml:space="preserve">awareness </w:t>
      </w:r>
      <w:r w:rsidR="00E74447">
        <w:t xml:space="preserve">about </w:t>
      </w:r>
      <w:r w:rsidR="00F3578B">
        <w:t>the death penalty</w:t>
      </w:r>
      <w:r w:rsidR="00BF3709">
        <w:t xml:space="preserve"> </w:t>
      </w:r>
      <w:r w:rsidR="00E74447">
        <w:t xml:space="preserve">and </w:t>
      </w:r>
      <w:r w:rsidR="00BF3709">
        <w:t>human rights concerns about the practice</w:t>
      </w:r>
      <w:r w:rsidR="00F3578B">
        <w:t xml:space="preserve"> </w:t>
      </w:r>
      <w:r w:rsidR="00B161C7" w:rsidRPr="00AB30FF">
        <w:t>is low</w:t>
      </w:r>
      <w:r w:rsidR="00B161C7">
        <w:t>.</w:t>
      </w:r>
      <w:r w:rsidR="007770DE">
        <w:rPr>
          <w:lang w:val="en-GB"/>
        </w:rPr>
        <w:t xml:space="preserve"> </w:t>
      </w:r>
      <w:r w:rsidR="00BF3709">
        <w:t xml:space="preserve">During its </w:t>
      </w:r>
      <w:r w:rsidR="00EF43AC">
        <w:t xml:space="preserve">fourth </w:t>
      </w:r>
      <w:r w:rsidR="00BF3709">
        <w:t>Universal Periodic Review i</w:t>
      </w:r>
      <w:r w:rsidR="00932A5B">
        <w:t>n 202</w:t>
      </w:r>
      <w:r w:rsidR="00EF43AC">
        <w:t>3</w:t>
      </w:r>
      <w:r w:rsidR="00932A5B">
        <w:t xml:space="preserve">, </w:t>
      </w:r>
      <w:r w:rsidR="00EF43AC">
        <w:t>the Bahamas</w:t>
      </w:r>
      <w:r w:rsidR="00BF3709">
        <w:t xml:space="preserve"> </w:t>
      </w:r>
      <w:r w:rsidR="00322929">
        <w:t xml:space="preserve">noted recommendations </w:t>
      </w:r>
      <w:r w:rsidR="00897249">
        <w:t>to conduct a comprehensive public awareness</w:t>
      </w:r>
      <w:r w:rsidR="00286D51">
        <w:t>-</w:t>
      </w:r>
      <w:r w:rsidR="00897249">
        <w:t>raising campaign about international human rights standards and the efficacy of alternatives to the death penalty</w:t>
      </w:r>
      <w:r w:rsidR="00932A5B">
        <w:t>.</w:t>
      </w:r>
      <w:r w:rsidR="00897249" w:rsidRPr="00897249">
        <w:rPr>
          <w:rStyle w:val="FootnoteReference"/>
          <w:lang w:val="en-GB"/>
        </w:rPr>
        <w:t xml:space="preserve"> </w:t>
      </w:r>
      <w:r w:rsidR="00897249" w:rsidRPr="00FA6E54">
        <w:rPr>
          <w:rStyle w:val="FootnoteReference"/>
          <w:lang w:val="en-GB"/>
        </w:rPr>
        <w:footnoteReference w:id="6"/>
      </w:r>
    </w:p>
    <w:p w14:paraId="3BD0281A" w14:textId="497D7550" w:rsidR="00A51887" w:rsidRPr="00A32B8F" w:rsidRDefault="00251E37" w:rsidP="00643D4B">
      <w:pPr>
        <w:pStyle w:val="Paragraph"/>
      </w:pPr>
      <w:r w:rsidRPr="00A32B8F">
        <w:t xml:space="preserve">On </w:t>
      </w:r>
      <w:r w:rsidR="0065542A" w:rsidRPr="00A32B8F">
        <w:t>December 17</w:t>
      </w:r>
      <w:r w:rsidRPr="00A32B8F">
        <w:t xml:space="preserve">, 2024, </w:t>
      </w:r>
      <w:r w:rsidR="00CE3C43" w:rsidRPr="00A32B8F">
        <w:t>t</w:t>
      </w:r>
      <w:r w:rsidR="00DD0FFD" w:rsidRPr="00A32B8F">
        <w:t>he Bahamas</w:t>
      </w:r>
      <w:r w:rsidR="00292F92" w:rsidRPr="00A32B8F">
        <w:t xml:space="preserve"> </w:t>
      </w:r>
      <w:r w:rsidR="00DD0FFD" w:rsidRPr="00A32B8F">
        <w:t>abstained from the vote</w:t>
      </w:r>
      <w:r w:rsidRPr="00A32B8F">
        <w:t xml:space="preserve"> </w:t>
      </w:r>
      <w:r w:rsidR="00F01057" w:rsidRPr="00A32B8F">
        <w:t xml:space="preserve">in the UN General Assembly </w:t>
      </w:r>
      <w:r w:rsidR="00DD0FFD" w:rsidRPr="00A32B8F">
        <w:t xml:space="preserve">on </w:t>
      </w:r>
      <w:r w:rsidR="00EF1FCD">
        <w:t xml:space="preserve">the biannual resolution calling for a global </w:t>
      </w:r>
      <w:r w:rsidR="006323BA" w:rsidRPr="00A32B8F">
        <w:t>moratorium on the use of the death penalty.</w:t>
      </w:r>
      <w:r w:rsidR="006323BA" w:rsidRPr="00A32B8F">
        <w:rPr>
          <w:rStyle w:val="FootnoteReference"/>
        </w:rPr>
        <w:footnoteReference w:id="7"/>
      </w:r>
      <w:r w:rsidR="007770DE" w:rsidRPr="00A32B8F">
        <w:t xml:space="preserve"> </w:t>
      </w:r>
    </w:p>
    <w:p w14:paraId="75B00959" w14:textId="7543B275" w:rsidR="008F2F99" w:rsidRDefault="00DD0FFD" w:rsidP="007268C7">
      <w:pPr>
        <w:pStyle w:val="SectionSummary"/>
        <w:keepNext/>
      </w:pPr>
      <w:bookmarkStart w:id="2" w:name="_Hlk192242228"/>
      <w:r>
        <w:t>The Bahamas</w:t>
      </w:r>
      <w:r w:rsidR="008F2F99" w:rsidRPr="008F2F99">
        <w:t xml:space="preserve"> </w:t>
      </w:r>
      <w:r w:rsidR="008F2F99" w:rsidRPr="00A32B8F">
        <w:t>fails to uphold its obligations</w:t>
      </w:r>
      <w:r w:rsidR="008F2F99" w:rsidRPr="008F2F99">
        <w:t xml:space="preserve"> under the </w:t>
      </w:r>
      <w:r w:rsidR="00054DFB">
        <w:t>International Covenant on Civil and Political Rights</w:t>
      </w:r>
    </w:p>
    <w:bookmarkEnd w:id="2"/>
    <w:p w14:paraId="20181494" w14:textId="4C95DB12" w:rsidR="0092633E" w:rsidRDefault="00EF1FCD" w:rsidP="00754795">
      <w:pPr>
        <w:pStyle w:val="Paragraph"/>
        <w:widowControl w:val="0"/>
        <w:rPr>
          <w:lang w:val="en-GB"/>
        </w:rPr>
      </w:pPr>
      <w:r>
        <w:rPr>
          <w:lang w:val="en-GB"/>
        </w:rPr>
        <w:t>T</w:t>
      </w:r>
      <w:r w:rsidR="00FA6E54" w:rsidRPr="009632E2">
        <w:rPr>
          <w:lang w:val="en-GB"/>
        </w:rPr>
        <w:t>he Bahamas has not carried out an execution since 2000,</w:t>
      </w:r>
      <w:r w:rsidR="00FA6E54">
        <w:rPr>
          <w:rStyle w:val="FootnoteReference"/>
          <w:lang w:val="en-GB"/>
        </w:rPr>
        <w:footnoteReference w:id="8"/>
      </w:r>
      <w:r w:rsidR="00FA6E54" w:rsidRPr="009632E2">
        <w:rPr>
          <w:lang w:val="en-GB"/>
        </w:rPr>
        <w:t xml:space="preserve"> and courts have not</w:t>
      </w:r>
      <w:r w:rsidR="00683A39">
        <w:rPr>
          <w:lang w:val="en-GB"/>
        </w:rPr>
        <w:t xml:space="preserve"> upheld a death sentence </w:t>
      </w:r>
      <w:r w:rsidR="00FA6E54" w:rsidRPr="009632E2">
        <w:rPr>
          <w:lang w:val="en-GB"/>
        </w:rPr>
        <w:t xml:space="preserve">since </w:t>
      </w:r>
      <w:r w:rsidR="002D68C9" w:rsidRPr="009632E2">
        <w:rPr>
          <w:lang w:val="en-GB"/>
        </w:rPr>
        <w:t>2001</w:t>
      </w:r>
      <w:r w:rsidR="00FA6E54" w:rsidRPr="009632E2">
        <w:rPr>
          <w:lang w:val="en-GB"/>
        </w:rPr>
        <w:t>,</w:t>
      </w:r>
      <w:r w:rsidR="00FA6E54">
        <w:rPr>
          <w:rStyle w:val="FootnoteReference"/>
          <w:lang w:val="en-GB"/>
        </w:rPr>
        <w:footnoteReference w:id="9"/>
      </w:r>
      <w:r w:rsidR="00FA6E54" w:rsidRPr="009632E2">
        <w:rPr>
          <w:lang w:val="en-GB"/>
        </w:rPr>
        <w:t xml:space="preserve"> maintaining the country</w:t>
      </w:r>
      <w:r w:rsidR="004F71D4">
        <w:rPr>
          <w:lang w:val="en-GB"/>
        </w:rPr>
        <w:t>’</w:t>
      </w:r>
      <w:r w:rsidR="00FA6E54" w:rsidRPr="009632E2">
        <w:rPr>
          <w:lang w:val="en-GB"/>
        </w:rPr>
        <w:t>s de facto moratorium</w:t>
      </w:r>
      <w:r w:rsidR="003F784A">
        <w:rPr>
          <w:lang w:val="en-GB"/>
        </w:rPr>
        <w:t xml:space="preserve"> on the death </w:t>
      </w:r>
      <w:r w:rsidR="003F784A">
        <w:rPr>
          <w:lang w:val="en-GB"/>
        </w:rPr>
        <w:lastRenderedPageBreak/>
        <w:t>penalty</w:t>
      </w:r>
      <w:r w:rsidR="00FA6E54" w:rsidRPr="009632E2">
        <w:rPr>
          <w:lang w:val="en-GB"/>
        </w:rPr>
        <w:t>,</w:t>
      </w:r>
      <w:r w:rsidR="00FA6E54">
        <w:rPr>
          <w:rStyle w:val="FootnoteReference"/>
          <w:lang w:val="en-GB"/>
        </w:rPr>
        <w:footnoteReference w:id="10"/>
      </w:r>
      <w:r w:rsidR="00FA6E54" w:rsidRPr="009632E2">
        <w:rPr>
          <w:lang w:val="en-GB"/>
        </w:rPr>
        <w:t xml:space="preserve"> </w:t>
      </w:r>
      <w:r w:rsidR="00683A39">
        <w:rPr>
          <w:lang w:val="en-GB"/>
        </w:rPr>
        <w:t xml:space="preserve">but </w:t>
      </w:r>
      <w:r w:rsidR="00FA6E54" w:rsidRPr="009632E2">
        <w:rPr>
          <w:lang w:val="en-GB"/>
        </w:rPr>
        <w:t xml:space="preserve">the death penalty remains legal in the Bahamas. </w:t>
      </w:r>
    </w:p>
    <w:p w14:paraId="16777684" w14:textId="09EBF2FA" w:rsidR="00FA6E54" w:rsidRDefault="00FA6E54" w:rsidP="00754795">
      <w:pPr>
        <w:pStyle w:val="Paragraph"/>
        <w:widowControl w:val="0"/>
        <w:rPr>
          <w:lang w:val="en-GB"/>
        </w:rPr>
      </w:pPr>
      <w:r w:rsidRPr="005E6186">
        <w:rPr>
          <w:lang w:val="en-GB"/>
        </w:rPr>
        <w:t xml:space="preserve">The Bahamas’ legal code allows </w:t>
      </w:r>
      <w:r w:rsidR="00754795">
        <w:rPr>
          <w:lang w:val="en-GB"/>
        </w:rPr>
        <w:t xml:space="preserve">courts to sentence people to </w:t>
      </w:r>
      <w:r w:rsidRPr="005E6186">
        <w:rPr>
          <w:lang w:val="en-GB"/>
        </w:rPr>
        <w:t>death in cases of murder</w:t>
      </w:r>
      <w:r>
        <w:rPr>
          <w:lang w:val="en-GB"/>
        </w:rPr>
        <w:t>,</w:t>
      </w:r>
      <w:r>
        <w:rPr>
          <w:rStyle w:val="FootnoteReference"/>
          <w:lang w:val="en-GB"/>
        </w:rPr>
        <w:footnoteReference w:id="11"/>
      </w:r>
      <w:r w:rsidRPr="005E6186">
        <w:rPr>
          <w:lang w:val="en-GB"/>
        </w:rPr>
        <w:t xml:space="preserve"> treason</w:t>
      </w:r>
      <w:r>
        <w:rPr>
          <w:lang w:val="en-GB"/>
        </w:rPr>
        <w:t>,</w:t>
      </w:r>
      <w:r>
        <w:rPr>
          <w:rStyle w:val="FootnoteReference"/>
          <w:lang w:val="en-GB"/>
        </w:rPr>
        <w:footnoteReference w:id="12"/>
      </w:r>
      <w:r w:rsidRPr="005E6186">
        <w:rPr>
          <w:lang w:val="en-GB"/>
        </w:rPr>
        <w:t xml:space="preserve"> and genocide.</w:t>
      </w:r>
      <w:r>
        <w:rPr>
          <w:rStyle w:val="FootnoteReference"/>
          <w:lang w:val="en-GB"/>
        </w:rPr>
        <w:footnoteReference w:id="13"/>
      </w:r>
      <w:r w:rsidRPr="005E6186">
        <w:rPr>
          <w:lang w:val="en-GB"/>
        </w:rPr>
        <w:t xml:space="preserve"> Additionally, the Bahamas Anti-Terrorism Act of 2004 </w:t>
      </w:r>
      <w:r w:rsidR="00CA6481">
        <w:rPr>
          <w:lang w:val="en-GB"/>
        </w:rPr>
        <w:t xml:space="preserve">authorizes </w:t>
      </w:r>
      <w:r w:rsidRPr="005E6186">
        <w:rPr>
          <w:lang w:val="en-GB"/>
        </w:rPr>
        <w:t xml:space="preserve">the death penalty </w:t>
      </w:r>
      <w:r w:rsidR="00CA6481">
        <w:rPr>
          <w:lang w:val="en-GB"/>
        </w:rPr>
        <w:t xml:space="preserve">for </w:t>
      </w:r>
      <w:r w:rsidRPr="005E6186">
        <w:rPr>
          <w:lang w:val="en-GB"/>
        </w:rPr>
        <w:t>terrorist acts that result in death or “serious bodily harm.”</w:t>
      </w:r>
      <w:r>
        <w:rPr>
          <w:rStyle w:val="FootnoteReference"/>
          <w:lang w:val="en-GB"/>
        </w:rPr>
        <w:footnoteReference w:id="14"/>
      </w:r>
      <w:r w:rsidRPr="005E6186">
        <w:rPr>
          <w:lang w:val="en-GB"/>
        </w:rPr>
        <w:t xml:space="preserve"> </w:t>
      </w:r>
    </w:p>
    <w:p w14:paraId="7F82C869" w14:textId="51579C0F" w:rsidR="003B2640" w:rsidRPr="005E6186" w:rsidRDefault="00CA6481" w:rsidP="00754795">
      <w:pPr>
        <w:pStyle w:val="Paragraph"/>
        <w:widowControl w:val="0"/>
        <w:rPr>
          <w:lang w:val="en-GB"/>
        </w:rPr>
      </w:pPr>
      <w:r>
        <w:rPr>
          <w:lang w:val="en-GB"/>
        </w:rPr>
        <w:t xml:space="preserve">Capital </w:t>
      </w:r>
      <w:r w:rsidR="003B2640">
        <w:rPr>
          <w:lang w:val="en-GB"/>
        </w:rPr>
        <w:t>murder</w:t>
      </w:r>
      <w:r w:rsidR="003B2640">
        <w:rPr>
          <w:rStyle w:val="FootnoteReference"/>
          <w:lang w:val="en-GB"/>
        </w:rPr>
        <w:footnoteReference w:id="15"/>
      </w:r>
      <w:r w:rsidR="003B2640">
        <w:rPr>
          <w:lang w:val="en-GB"/>
        </w:rPr>
        <w:t xml:space="preserve"> include</w:t>
      </w:r>
      <w:r>
        <w:rPr>
          <w:lang w:val="en-GB"/>
        </w:rPr>
        <w:t>s</w:t>
      </w:r>
      <w:r w:rsidR="003B2640">
        <w:rPr>
          <w:lang w:val="en-GB"/>
        </w:rPr>
        <w:t xml:space="preserve"> murder committed in the furtherance or robbery, rape, kidnapping, terrorism, any other felony, or the murder of more than one person.</w:t>
      </w:r>
      <w:r w:rsidR="003B2640">
        <w:rPr>
          <w:rStyle w:val="FootnoteReference"/>
          <w:lang w:val="en-GB"/>
        </w:rPr>
        <w:footnoteReference w:id="16"/>
      </w:r>
    </w:p>
    <w:p w14:paraId="000A5E14" w14:textId="77777777" w:rsidR="00FA6E54" w:rsidRPr="005E6186" w:rsidRDefault="00FA6E54" w:rsidP="00754795">
      <w:pPr>
        <w:pStyle w:val="Paragraph"/>
        <w:widowControl w:val="0"/>
        <w:rPr>
          <w:lang w:val="en-GB"/>
        </w:rPr>
      </w:pPr>
      <w:r w:rsidRPr="005E6186">
        <w:rPr>
          <w:lang w:val="en-GB"/>
        </w:rPr>
        <w:t>The Bahamas prohibits application of the death penalty to juveniles, pregnant women,</w:t>
      </w:r>
      <w:r>
        <w:rPr>
          <w:rStyle w:val="FootnoteReference"/>
          <w:lang w:val="en-GB"/>
        </w:rPr>
        <w:footnoteReference w:id="17"/>
      </w:r>
      <w:r w:rsidRPr="005E6186">
        <w:rPr>
          <w:lang w:val="en-GB"/>
        </w:rPr>
        <w:t xml:space="preserve"> and any person with an intellectual or psycho-social disability that “substantially impaired his or her mental responsibility for his acts in doing or being a party to the killing.”</w:t>
      </w:r>
      <w:r>
        <w:rPr>
          <w:rStyle w:val="FootnoteReference"/>
          <w:lang w:val="en-GB"/>
        </w:rPr>
        <w:footnoteReference w:id="18"/>
      </w:r>
    </w:p>
    <w:p w14:paraId="2F52422E" w14:textId="77777777" w:rsidR="004F71D4" w:rsidRPr="00366B6D" w:rsidRDefault="004F71D4" w:rsidP="004F71D4">
      <w:pPr>
        <w:pStyle w:val="Paragraph"/>
        <w:widowControl w:val="0"/>
        <w:rPr>
          <w:lang w:val="en-GB"/>
        </w:rPr>
      </w:pPr>
      <w:r>
        <w:t xml:space="preserve">The imposition of the death penalty in the Bahamas is no longer mandatory, in accordance with the Judicial Committee of the Privy Council’s decision in </w:t>
      </w:r>
      <w:r w:rsidRPr="00944EC7">
        <w:rPr>
          <w:i/>
          <w:iCs/>
        </w:rPr>
        <w:t>Bowe v. The Queen</w:t>
      </w:r>
      <w:r>
        <w:t>.</w:t>
      </w:r>
      <w:r>
        <w:rPr>
          <w:rStyle w:val="FootnoteReference"/>
        </w:rPr>
        <w:footnoteReference w:id="19"/>
      </w:r>
      <w:r>
        <w:t xml:space="preserve"> Judges may exercise discretion and </w:t>
      </w:r>
      <w:r w:rsidRPr="00A32B8F">
        <w:rPr>
          <w:lang w:val="en-GB"/>
        </w:rPr>
        <w:t>should</w:t>
      </w:r>
      <w:r>
        <w:t xml:space="preserve"> sentence only “the worst of the worst” and the “rarest of the rare” to death.</w:t>
      </w:r>
      <w:r>
        <w:rPr>
          <w:rStyle w:val="FootnoteReference"/>
        </w:rPr>
        <w:footnoteReference w:id="20"/>
      </w:r>
    </w:p>
    <w:p w14:paraId="28C7DA9E" w14:textId="0236B918" w:rsidR="00FA6E54" w:rsidRDefault="00FA6E54" w:rsidP="00754795">
      <w:pPr>
        <w:pStyle w:val="Paragraph"/>
        <w:widowControl w:val="0"/>
        <w:rPr>
          <w:lang w:val="en-GB"/>
        </w:rPr>
      </w:pPr>
      <w:r w:rsidRPr="005E6186">
        <w:rPr>
          <w:lang w:val="en-GB"/>
        </w:rPr>
        <w:t>The Governor-General may grant a pardon, respite from, commutation, remittance, or stay of execution.</w:t>
      </w:r>
      <w:r>
        <w:rPr>
          <w:rStyle w:val="FootnoteReference"/>
          <w:lang w:val="en-GB"/>
        </w:rPr>
        <w:footnoteReference w:id="21"/>
      </w:r>
      <w:r>
        <w:rPr>
          <w:lang w:val="en-GB"/>
        </w:rPr>
        <w:t xml:space="preserve"> </w:t>
      </w:r>
      <w:r w:rsidRPr="005E6186">
        <w:rPr>
          <w:lang w:val="en-GB"/>
        </w:rPr>
        <w:t>Any time a person is sentenced to death, the Advisory Committee on the Prerogative of Mercy and its leading Minister advise the Governor-General as to the decision to grant mercy.</w:t>
      </w:r>
      <w:r>
        <w:rPr>
          <w:rStyle w:val="FootnoteReference"/>
          <w:lang w:val="en-GB"/>
        </w:rPr>
        <w:footnoteReference w:id="22"/>
      </w:r>
      <w:r w:rsidR="00A32B8F">
        <w:rPr>
          <w:lang w:val="en-GB"/>
        </w:rPr>
        <w:t xml:space="preserve"> </w:t>
      </w:r>
      <w:r w:rsidRPr="005E6186">
        <w:rPr>
          <w:lang w:val="en-GB"/>
        </w:rPr>
        <w:t>Unless authorized by the Provost Marshall, only a handful of persons (the Provost Marshall, ga</w:t>
      </w:r>
      <w:r w:rsidR="00F23338">
        <w:rPr>
          <w:lang w:val="en-GB"/>
        </w:rPr>
        <w:t>o</w:t>
      </w:r>
      <w:r w:rsidRPr="005E6186">
        <w:rPr>
          <w:lang w:val="en-GB"/>
        </w:rPr>
        <w:t>ler, chaplain, and medical officer) are allowed to be present at the execution, which is then announced via a declaration posted outside of the prison.</w:t>
      </w:r>
      <w:r>
        <w:rPr>
          <w:rStyle w:val="FootnoteReference"/>
          <w:lang w:val="en-GB"/>
        </w:rPr>
        <w:footnoteReference w:id="23"/>
      </w:r>
      <w:r w:rsidR="00A32B8F">
        <w:rPr>
          <w:lang w:val="en-GB"/>
        </w:rPr>
        <w:t xml:space="preserve"> </w:t>
      </w:r>
      <w:r w:rsidRPr="005E6186">
        <w:rPr>
          <w:lang w:val="en-GB"/>
        </w:rPr>
        <w:t xml:space="preserve">The family of the </w:t>
      </w:r>
      <w:r w:rsidR="00D9454D">
        <w:rPr>
          <w:lang w:val="en-GB"/>
        </w:rPr>
        <w:t>person sentenced to death</w:t>
      </w:r>
      <w:r w:rsidRPr="005E6186">
        <w:rPr>
          <w:lang w:val="en-GB"/>
        </w:rPr>
        <w:t xml:space="preserve"> is not guaranteed notification of execution or access to the body after execution. </w:t>
      </w:r>
    </w:p>
    <w:p w14:paraId="5649378F" w14:textId="77777777" w:rsidR="00F83B66" w:rsidRDefault="00F83B66" w:rsidP="00F83B66">
      <w:pPr>
        <w:pStyle w:val="Paragraph"/>
        <w:rPr>
          <w:lang w:val="en-GB"/>
        </w:rPr>
      </w:pPr>
      <w:r>
        <w:rPr>
          <w:lang w:val="en-GB"/>
        </w:rPr>
        <w:t>During the Bahamas’ third-cycle Universal Periodic Review in 2018, t</w:t>
      </w:r>
      <w:r w:rsidRPr="005E6186">
        <w:rPr>
          <w:lang w:val="en-GB"/>
        </w:rPr>
        <w:t xml:space="preserve">he </w:t>
      </w:r>
      <w:r>
        <w:rPr>
          <w:lang w:val="en-GB"/>
        </w:rPr>
        <w:t xml:space="preserve">Bahamian delegation </w:t>
      </w:r>
      <w:r w:rsidRPr="005E6186">
        <w:rPr>
          <w:lang w:val="en-GB"/>
        </w:rPr>
        <w:t>under</w:t>
      </w:r>
      <w:r>
        <w:rPr>
          <w:lang w:val="en-GB"/>
        </w:rPr>
        <w:t>scored</w:t>
      </w:r>
      <w:r w:rsidRPr="005E6186">
        <w:rPr>
          <w:lang w:val="en-GB"/>
        </w:rPr>
        <w:t xml:space="preserve"> that the last execution </w:t>
      </w:r>
      <w:r>
        <w:rPr>
          <w:lang w:val="en-GB"/>
        </w:rPr>
        <w:t xml:space="preserve">had taken </w:t>
      </w:r>
      <w:r w:rsidRPr="005E6186">
        <w:rPr>
          <w:lang w:val="en-GB"/>
        </w:rPr>
        <w:t>place seventeen years prior to the 2018 report, even in the absence of a formal moratorium.</w:t>
      </w:r>
      <w:r>
        <w:rPr>
          <w:rStyle w:val="FootnoteReference"/>
          <w:lang w:val="en-GB"/>
        </w:rPr>
        <w:footnoteReference w:id="24"/>
      </w:r>
      <w:r w:rsidRPr="005E6186">
        <w:rPr>
          <w:lang w:val="en-GB"/>
        </w:rPr>
        <w:t xml:space="preserve"> </w:t>
      </w:r>
    </w:p>
    <w:p w14:paraId="51E55718" w14:textId="093EC1B9" w:rsidR="00F83B66" w:rsidRPr="005E6186" w:rsidRDefault="00F83B66" w:rsidP="00F83B66">
      <w:pPr>
        <w:pStyle w:val="Paragraph"/>
        <w:rPr>
          <w:lang w:val="en-GB"/>
        </w:rPr>
      </w:pPr>
      <w:r>
        <w:rPr>
          <w:lang w:val="en-GB"/>
        </w:rPr>
        <w:t xml:space="preserve">In </w:t>
      </w:r>
      <w:r w:rsidR="00D61933">
        <w:rPr>
          <w:lang w:val="en-GB"/>
        </w:rPr>
        <w:t xml:space="preserve">its </w:t>
      </w:r>
      <w:r>
        <w:rPr>
          <w:lang w:val="en-GB"/>
        </w:rPr>
        <w:t xml:space="preserve">fourth-cycle University Periodic Review in 2023, the Bahamas noted all 21 recommendations it received to formally abolish the death penalty, impose a </w:t>
      </w:r>
      <w:r w:rsidRPr="00184A0C">
        <w:rPr>
          <w:i/>
          <w:iCs/>
          <w:lang w:val="en-GB"/>
        </w:rPr>
        <w:t>de jure</w:t>
      </w:r>
      <w:r>
        <w:rPr>
          <w:lang w:val="en-GB"/>
        </w:rPr>
        <w:t xml:space="preserve"> </w:t>
      </w:r>
      <w:r>
        <w:rPr>
          <w:lang w:val="en-GB"/>
        </w:rPr>
        <w:lastRenderedPageBreak/>
        <w:t>moratorium, or ratify the Second Optional Protocol.</w:t>
      </w:r>
      <w:r>
        <w:rPr>
          <w:rStyle w:val="FootnoteReference"/>
          <w:lang w:val="en-GB"/>
        </w:rPr>
        <w:footnoteReference w:id="25"/>
      </w:r>
      <w:r>
        <w:rPr>
          <w:lang w:val="en-GB"/>
        </w:rPr>
        <w:t xml:space="preserve"> The Bahamas also noted a recommendation to “collaborate with civil society organizations in the region to conduct a comprehensive public awareness-raising campaign aimed at educating the population about international human rights standards and the efficacy of alternatives to the death penalty.”</w:t>
      </w:r>
      <w:r>
        <w:rPr>
          <w:rStyle w:val="FootnoteReference"/>
          <w:lang w:val="en-GB"/>
        </w:rPr>
        <w:footnoteReference w:id="26"/>
      </w:r>
      <w:r>
        <w:rPr>
          <w:lang w:val="en-GB"/>
        </w:rPr>
        <w:t xml:space="preserve"> The Bahamian delegation stated that the country “was not in a position to ratify the Second Optional Protocol,” but acknowledged the Privy Council’s restrictions on the death penalty’s applicability.</w:t>
      </w:r>
      <w:r>
        <w:rPr>
          <w:rStyle w:val="FootnoteReference"/>
          <w:lang w:val="en-GB"/>
        </w:rPr>
        <w:footnoteReference w:id="27"/>
      </w:r>
    </w:p>
    <w:p w14:paraId="205583BF" w14:textId="7F4D900A" w:rsidR="00F7182E" w:rsidRPr="00F83B66" w:rsidRDefault="00BB0E32" w:rsidP="00A32B8F">
      <w:pPr>
        <w:pStyle w:val="Paragraph"/>
        <w:rPr>
          <w:rStyle w:val="ParagraphChar"/>
          <w:lang w:val="en-GB"/>
        </w:rPr>
      </w:pPr>
      <w:r w:rsidRPr="00D87674">
        <w:rPr>
          <w:rStyle w:val="ParagraphChar"/>
        </w:rPr>
        <w:t xml:space="preserve">On December 17, 2024, the UN General Assembly voted in favor of the biannual resolution calling for a global moratorium on the death penalty, with a record 130 UN Member States </w:t>
      </w:r>
      <w:r w:rsidRPr="00D87674">
        <w:rPr>
          <w:rStyle w:val="ParagraphChar"/>
        </w:rPr>
        <w:lastRenderedPageBreak/>
        <w:t>supporting the resolution.</w:t>
      </w:r>
      <w:r w:rsidRPr="00D87674">
        <w:rPr>
          <w:rStyle w:val="FootnoteReference"/>
        </w:rPr>
        <w:footnoteReference w:id="28"/>
      </w:r>
      <w:r w:rsidRPr="00D87674">
        <w:rPr>
          <w:rStyle w:val="ParagraphChar"/>
        </w:rPr>
        <w:t xml:space="preserve"> </w:t>
      </w:r>
      <w:r w:rsidR="00F52237" w:rsidRPr="00D87674">
        <w:rPr>
          <w:rStyle w:val="ParagraphChar"/>
        </w:rPr>
        <w:t>T</w:t>
      </w:r>
      <w:r w:rsidRPr="00D87674">
        <w:rPr>
          <w:rStyle w:val="ParagraphChar"/>
        </w:rPr>
        <w:t>he Bahamas abstained</w:t>
      </w:r>
      <w:r w:rsidR="00F52237" w:rsidRPr="00D87674">
        <w:rPr>
          <w:rStyle w:val="ParagraphChar"/>
        </w:rPr>
        <w:t xml:space="preserve">, </w:t>
      </w:r>
      <w:r w:rsidR="00D61933">
        <w:rPr>
          <w:rStyle w:val="ParagraphChar"/>
        </w:rPr>
        <w:t>after having voted against the moratorium resolution</w:t>
      </w:r>
      <w:r w:rsidR="00004979">
        <w:rPr>
          <w:rStyle w:val="ParagraphChar"/>
        </w:rPr>
        <w:t>s in every previous vote since 2007</w:t>
      </w:r>
      <w:r w:rsidRPr="00D87674">
        <w:rPr>
          <w:rStyle w:val="ParagraphChar"/>
        </w:rPr>
        <w:t>.</w:t>
      </w:r>
      <w:r w:rsidRPr="00D87674">
        <w:rPr>
          <w:rStyle w:val="FootnoteReference"/>
        </w:rPr>
        <w:footnoteReference w:id="29"/>
      </w:r>
    </w:p>
    <w:p w14:paraId="3E2DA491" w14:textId="0D82E417" w:rsidR="00FA6E54" w:rsidRPr="00E514BD" w:rsidRDefault="00F83B66" w:rsidP="00184E3D">
      <w:pPr>
        <w:pStyle w:val="Paragraph"/>
        <w:rPr>
          <w:lang w:val="en-GB"/>
        </w:rPr>
      </w:pPr>
      <w:r w:rsidRPr="00E514BD">
        <w:rPr>
          <w:lang w:val="en-GB"/>
        </w:rPr>
        <w:t>Public opinion appears to be divided on the topic, with some notable figures in the Bahamas speaking out against the death penalty,</w:t>
      </w:r>
      <w:r>
        <w:rPr>
          <w:rStyle w:val="FootnoteReference"/>
          <w:lang w:val="en-GB"/>
        </w:rPr>
        <w:footnoteReference w:id="30"/>
      </w:r>
      <w:r w:rsidRPr="00E514BD">
        <w:rPr>
          <w:lang w:val="en-GB"/>
        </w:rPr>
        <w:t xml:space="preserve"> while some groups have called for resuming </w:t>
      </w:r>
      <w:r w:rsidR="00E514BD" w:rsidRPr="00E514BD">
        <w:rPr>
          <w:lang w:val="en-GB"/>
        </w:rPr>
        <w:t xml:space="preserve">death sentences and </w:t>
      </w:r>
      <w:r w:rsidRPr="00E514BD">
        <w:rPr>
          <w:lang w:val="en-GB"/>
        </w:rPr>
        <w:t>executions</w:t>
      </w:r>
      <w:r w:rsidR="00E514BD" w:rsidRPr="00E514BD">
        <w:rPr>
          <w:lang w:val="en-GB"/>
        </w:rPr>
        <w:t>,</w:t>
      </w:r>
      <w:r>
        <w:rPr>
          <w:rStyle w:val="FootnoteReference"/>
          <w:lang w:val="en-GB"/>
        </w:rPr>
        <w:footnoteReference w:id="31"/>
      </w:r>
      <w:r w:rsidR="00E514BD" w:rsidRPr="00E514BD">
        <w:rPr>
          <w:lang w:val="en-GB"/>
        </w:rPr>
        <w:t xml:space="preserve"> particularly in response to high-profile murder cases.</w:t>
      </w:r>
      <w:r w:rsidR="00F7182E">
        <w:rPr>
          <w:rStyle w:val="FootnoteReference"/>
          <w:lang w:val="en-GB"/>
        </w:rPr>
        <w:footnoteReference w:id="32"/>
      </w:r>
      <w:r w:rsidR="00F7182E" w:rsidRPr="00E514BD">
        <w:rPr>
          <w:lang w:val="en-GB"/>
        </w:rPr>
        <w:t xml:space="preserve"> Two recent </w:t>
      </w:r>
      <w:r w:rsidR="00731FC8">
        <w:rPr>
          <w:lang w:val="en-GB"/>
        </w:rPr>
        <w:t>killings</w:t>
      </w:r>
      <w:r w:rsidR="00F7182E" w:rsidRPr="00E514BD">
        <w:rPr>
          <w:lang w:val="en-GB"/>
        </w:rPr>
        <w:t>,</w:t>
      </w:r>
      <w:r w:rsidR="00731FC8">
        <w:rPr>
          <w:lang w:val="en-GB"/>
        </w:rPr>
        <w:t xml:space="preserve"> in which the victims were</w:t>
      </w:r>
      <w:r w:rsidR="00F7182E" w:rsidRPr="00E514BD">
        <w:rPr>
          <w:lang w:val="en-GB"/>
        </w:rPr>
        <w:t xml:space="preserve"> a 72-year-old grandmother and a 12-year-old girl, </w:t>
      </w:r>
      <w:r w:rsidR="00731FC8">
        <w:rPr>
          <w:lang w:val="en-GB"/>
        </w:rPr>
        <w:t>prompted protests and some calls for the death penalty for the offenders</w:t>
      </w:r>
      <w:r w:rsidR="00F7182E" w:rsidRPr="00E514BD">
        <w:rPr>
          <w:lang w:val="en-GB"/>
        </w:rPr>
        <w:t>.</w:t>
      </w:r>
      <w:r w:rsidR="00F7182E">
        <w:rPr>
          <w:rStyle w:val="FootnoteReference"/>
          <w:lang w:val="en-GB"/>
        </w:rPr>
        <w:footnoteReference w:id="33"/>
      </w:r>
    </w:p>
    <w:p w14:paraId="53F06C3E" w14:textId="087D361F" w:rsidR="004B1E4E" w:rsidRDefault="00EA0EEB" w:rsidP="00B047D5">
      <w:pPr>
        <w:pStyle w:val="SectionHeading"/>
        <w:keepNext/>
        <w:numPr>
          <w:ilvl w:val="0"/>
          <w:numId w:val="0"/>
        </w:numPr>
        <w:jc w:val="center"/>
      </w:pPr>
      <w:r w:rsidRPr="0094237C">
        <w:t>Suggested</w:t>
      </w:r>
      <w:r w:rsidRPr="00AB30FF">
        <w:rPr>
          <w:bCs/>
        </w:rPr>
        <w:t xml:space="preserve"> questions</w:t>
      </w:r>
      <w:r w:rsidR="00524166" w:rsidRPr="00AB30FF">
        <w:rPr>
          <w:bCs/>
        </w:rPr>
        <w:t xml:space="preserve"> </w:t>
      </w:r>
      <w:r w:rsidR="00A9020E">
        <w:rPr>
          <w:bCs/>
        </w:rPr>
        <w:t xml:space="preserve">for </w:t>
      </w:r>
      <w:r w:rsidR="00A32B8F">
        <w:rPr>
          <w:bCs/>
        </w:rPr>
        <w:t>t</w:t>
      </w:r>
      <w:r w:rsidR="00522092">
        <w:rPr>
          <w:bCs/>
        </w:rPr>
        <w:t>he Bahamas</w:t>
      </w:r>
    </w:p>
    <w:p w14:paraId="0815B046" w14:textId="4D4B6715" w:rsidR="004A56EE" w:rsidRPr="00AB30FF" w:rsidRDefault="0094237C" w:rsidP="00A32B8F">
      <w:pPr>
        <w:pStyle w:val="Paragraph"/>
      </w:pPr>
      <w:r>
        <w:t xml:space="preserve">The coauthors </w:t>
      </w:r>
      <w:r w:rsidR="002174B4">
        <w:t xml:space="preserve">of this report </w:t>
      </w:r>
      <w:r>
        <w:t xml:space="preserve">suggest the </w:t>
      </w:r>
      <w:r w:rsidRPr="00A32B8F">
        <w:rPr>
          <w:lang w:val="en-GB"/>
        </w:rPr>
        <w:t>following</w:t>
      </w:r>
      <w:r>
        <w:t xml:space="preserve"> questions and requests for information for </w:t>
      </w:r>
      <w:r w:rsidR="00522092">
        <w:t>the Bahamas</w:t>
      </w:r>
      <w:r>
        <w:t>:</w:t>
      </w:r>
    </w:p>
    <w:p w14:paraId="31862C31" w14:textId="7C7C9630" w:rsidR="00540440" w:rsidRDefault="00540440" w:rsidP="00AB30FF">
      <w:pPr>
        <w:pStyle w:val="BulletRecommendationsQuestions"/>
      </w:pPr>
      <w:r>
        <w:t xml:space="preserve">Please confirm whether any person has </w:t>
      </w:r>
      <w:r w:rsidR="004D556B">
        <w:t xml:space="preserve">been charged with a capital crime, has </w:t>
      </w:r>
      <w:r>
        <w:t>received a death sentence</w:t>
      </w:r>
      <w:r w:rsidR="004D556B">
        <w:t>,</w:t>
      </w:r>
      <w:r>
        <w:t xml:space="preserve"> </w:t>
      </w:r>
      <w:r w:rsidR="007762EA">
        <w:t xml:space="preserve">or </w:t>
      </w:r>
      <w:r w:rsidR="004D556B">
        <w:t xml:space="preserve">has </w:t>
      </w:r>
      <w:r w:rsidR="007762EA">
        <w:t xml:space="preserve">been under sentence of death </w:t>
      </w:r>
      <w:r>
        <w:t>since the State Party ratified the Covenant in 2008</w:t>
      </w:r>
      <w:r w:rsidR="007762EA">
        <w:t>, and provide the current status of any such cases</w:t>
      </w:r>
      <w:r w:rsidR="00D31AA7">
        <w:t xml:space="preserve">, including alleged offense, demographic information about the </w:t>
      </w:r>
      <w:r w:rsidR="007C4E2C">
        <w:t>defendant, outcome of any proceedings and appeals, and current location of the person charged or convicted</w:t>
      </w:r>
      <w:r w:rsidR="007762EA">
        <w:t>.</w:t>
      </w:r>
    </w:p>
    <w:p w14:paraId="1323092B" w14:textId="086BFAEE" w:rsidR="00DC3381" w:rsidRDefault="00D82893" w:rsidP="00AB30FF">
      <w:pPr>
        <w:pStyle w:val="BulletRecommendationsQuestions"/>
      </w:pPr>
      <w:r>
        <w:t>What efforts has the State Party made to facilitate</w:t>
      </w:r>
      <w:r w:rsidR="002174B4">
        <w:t xml:space="preserve"> Parliamentary</w:t>
      </w:r>
      <w:r>
        <w:t xml:space="preserve"> debates</w:t>
      </w:r>
      <w:r w:rsidR="002174B4">
        <w:t xml:space="preserve">, inquiries, or motions </w:t>
      </w:r>
      <w:proofErr w:type="gramStart"/>
      <w:r>
        <w:t>on the subject of the</w:t>
      </w:r>
      <w:proofErr w:type="gramEnd"/>
      <w:r>
        <w:t xml:space="preserve"> death penalty?</w:t>
      </w:r>
    </w:p>
    <w:p w14:paraId="372F714A" w14:textId="01FC99D1" w:rsidR="00AB30FF" w:rsidRDefault="00AB30FF" w:rsidP="00AB30FF">
      <w:pPr>
        <w:pStyle w:val="BulletRecommendationsQuestions"/>
      </w:pPr>
      <w:r w:rsidRPr="00AB30FF">
        <w:lastRenderedPageBreak/>
        <w:t xml:space="preserve">What efforts </w:t>
      </w:r>
      <w:r w:rsidR="00D82893">
        <w:t xml:space="preserve">has the State Party </w:t>
      </w:r>
      <w:r w:rsidRPr="00AB30FF">
        <w:t xml:space="preserve">made to </w:t>
      </w:r>
      <w:r w:rsidR="00D82893">
        <w:t xml:space="preserve">collaborate with civil society to raise public </w:t>
      </w:r>
      <w:r w:rsidRPr="00AB30FF">
        <w:t>awareness about the death penalty</w:t>
      </w:r>
      <w:r w:rsidR="00D82893">
        <w:t xml:space="preserve"> </w:t>
      </w:r>
      <w:r w:rsidRPr="00AB30FF">
        <w:t>in international human rights law and its alternatives</w:t>
      </w:r>
      <w:r>
        <w:t>?</w:t>
      </w:r>
      <w:r w:rsidR="00D82893">
        <w:t xml:space="preserve"> </w:t>
      </w:r>
      <w:r w:rsidR="00E43EC3">
        <w:t xml:space="preserve">Has the State Party sought </w:t>
      </w:r>
      <w:r w:rsidR="00D82893">
        <w:t xml:space="preserve">technical </w:t>
      </w:r>
      <w:r w:rsidR="00E43EC3">
        <w:t xml:space="preserve">assistance </w:t>
      </w:r>
      <w:r w:rsidR="00D82893">
        <w:t>for such efforts?</w:t>
      </w:r>
    </w:p>
    <w:p w14:paraId="79043C9E" w14:textId="4F44D5A0" w:rsidR="002D68C9" w:rsidRDefault="002D68C9" w:rsidP="00AB30FF">
      <w:pPr>
        <w:pStyle w:val="BulletRecommendationsQuestions"/>
      </w:pPr>
      <w:r>
        <w:t xml:space="preserve">What efforts has the State Party made to amend the Penal Code to </w:t>
      </w:r>
      <w:r w:rsidR="000754F9">
        <w:t>ensure that courts cannot sentence a person to death for an offense that does not meet the “most serious” threshold</w:t>
      </w:r>
      <w:r w:rsidR="00504CC9">
        <w:t>?</w:t>
      </w:r>
      <w:r w:rsidR="009632E2">
        <w:t xml:space="preserve"> </w:t>
      </w:r>
    </w:p>
    <w:p w14:paraId="251CBBB6" w14:textId="6A5981D0" w:rsidR="00DF3046" w:rsidRDefault="00504CC9" w:rsidP="00AB30FF">
      <w:pPr>
        <w:pStyle w:val="BulletRecommendationsQuestions"/>
      </w:pPr>
      <w:r>
        <w:t xml:space="preserve">How has the State Party </w:t>
      </w:r>
      <w:r w:rsidR="00E3427D">
        <w:t xml:space="preserve">ensured that all </w:t>
      </w:r>
      <w:r w:rsidR="00FE3B61">
        <w:t xml:space="preserve">prosecutors and </w:t>
      </w:r>
      <w:r w:rsidR="00E3427D">
        <w:t xml:space="preserve">judges </w:t>
      </w:r>
      <w:r w:rsidR="008E6016">
        <w:t>involved with</w:t>
      </w:r>
      <w:r w:rsidR="00E3427D">
        <w:t xml:space="preserve"> capital cases have training in international human rights standards applicable to </w:t>
      </w:r>
      <w:r w:rsidR="00DF3046">
        <w:t xml:space="preserve">determining whether </w:t>
      </w:r>
      <w:r w:rsidR="00E3427D">
        <w:t xml:space="preserve">an offense </w:t>
      </w:r>
      <w:r w:rsidR="00DF3046">
        <w:t>is “the worst of the worst</w:t>
      </w:r>
      <w:r w:rsidR="00540440">
        <w:t>,</w:t>
      </w:r>
      <w:r w:rsidR="00DF3046">
        <w:t xml:space="preserve">” </w:t>
      </w:r>
      <w:r w:rsidR="00FE3B61">
        <w:t>in accordance with the Privy Council’s ruling</w:t>
      </w:r>
      <w:r w:rsidR="00DF3046">
        <w:t>?</w:t>
      </w:r>
    </w:p>
    <w:p w14:paraId="3E4AA44D" w14:textId="10A378B6" w:rsidR="00F51AFD" w:rsidRPr="00E114C5" w:rsidRDefault="00D82893" w:rsidP="004C7D65">
      <w:pPr>
        <w:pStyle w:val="BulletRecommendationsQuestions"/>
      </w:pPr>
      <w:r>
        <w:t>What steps has the State Party taken to move toward formal abolition of the death penalty and ratification of the Second Optional Protocol to the Covenant?</w:t>
      </w:r>
    </w:p>
    <w:sectPr w:rsidR="00F51AFD" w:rsidRPr="00E114C5" w:rsidSect="008504A9">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E984A" w14:textId="77777777" w:rsidR="00B40494" w:rsidRDefault="00B40494">
      <w:r>
        <w:separator/>
      </w:r>
    </w:p>
  </w:endnote>
  <w:endnote w:type="continuationSeparator" w:id="0">
    <w:p w14:paraId="3CBDA903" w14:textId="77777777" w:rsidR="00B40494" w:rsidRDefault="00B40494">
      <w:r>
        <w:continuationSeparator/>
      </w:r>
    </w:p>
  </w:endnote>
  <w:endnote w:type="continuationNotice" w:id="1">
    <w:p w14:paraId="3501B463" w14:textId="77777777" w:rsidR="00B40494" w:rsidRDefault="00B404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9C38C" w14:textId="2FA0D0DF" w:rsidR="003B120D" w:rsidRDefault="00550F56" w:rsidP="00550F56">
    <w:pPr>
      <w:pStyle w:val="DocID"/>
    </w:pPr>
    <w:r w:rsidRPr="00550F56">
      <w:t>ACTIVE/133444074.1</w:t>
    </w:r>
  </w:p>
  <w:p w14:paraId="0DD7839C" w14:textId="514DC2BE" w:rsidR="00127F5D" w:rsidRPr="00127F5D" w:rsidRDefault="00127F5D" w:rsidP="00127F5D">
    <w:pPr>
      <w:pStyle w:val="DocID"/>
    </w:pPr>
    <w:r w:rsidRPr="00127F5D">
      <w:t>DMS_US.369653656.6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AE3D6" w14:textId="499CC9AA" w:rsidR="00127F5D" w:rsidRDefault="00804604" w:rsidP="003E0859">
    <w:pPr>
      <w:pStyle w:val="Footer"/>
      <w:jc w:val="center"/>
      <w:rPr>
        <w:noProof/>
      </w:rPr>
    </w:pPr>
    <w:r>
      <w:fldChar w:fldCharType="begin"/>
    </w:r>
    <w:r>
      <w:instrText xml:space="preserve"> PAGE   \* MERGEFORMAT </w:instrText>
    </w:r>
    <w:r>
      <w:fldChar w:fldCharType="separate"/>
    </w:r>
    <w:r w:rsidR="00DD3996">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5EB2C4"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3BD842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7770DE">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6B1A4091" w:rsidR="00804604"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7770DE">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7770DE">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65A10C2C" w14:textId="3ABF0F9B" w:rsidR="00127F5D" w:rsidRDefault="00127F5D" w:rsidP="00127F5D">
    <w:pPr>
      <w:pStyle w:val="DocID"/>
      <w:rPr>
        <w:lang w:val="e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FB990" w14:textId="77777777" w:rsidR="00B40494" w:rsidRDefault="00B40494">
      <w:r>
        <w:separator/>
      </w:r>
    </w:p>
  </w:footnote>
  <w:footnote w:type="continuationSeparator" w:id="0">
    <w:p w14:paraId="060B2435" w14:textId="77777777" w:rsidR="00B40494" w:rsidRDefault="00B40494">
      <w:r>
        <w:continuationSeparator/>
      </w:r>
    </w:p>
  </w:footnote>
  <w:footnote w:type="continuationNotice" w:id="1">
    <w:p w14:paraId="5511BE17" w14:textId="77777777" w:rsidR="00B40494" w:rsidRDefault="00B40494"/>
  </w:footnote>
  <w:footnote w:id="2">
    <w:p w14:paraId="28A2CB95" w14:textId="0EF7DF36" w:rsidR="00A62B8B" w:rsidRPr="00A32B8F" w:rsidRDefault="00A62B8B">
      <w:pPr>
        <w:pStyle w:val="FootnoteText"/>
        <w:rPr>
          <w:sz w:val="20"/>
          <w:szCs w:val="20"/>
        </w:rPr>
      </w:pPr>
      <w:r w:rsidRPr="00A32B8F">
        <w:rPr>
          <w:rStyle w:val="FootnoteReference"/>
          <w:sz w:val="20"/>
          <w:szCs w:val="20"/>
        </w:rPr>
        <w:footnoteRef/>
      </w:r>
      <w:r w:rsidRPr="00A32B8F">
        <w:rPr>
          <w:sz w:val="20"/>
          <w:szCs w:val="20"/>
        </w:rPr>
        <w:t xml:space="preserve"> </w:t>
      </w:r>
      <w:bookmarkStart w:id="0" w:name="_Hlk192241665"/>
      <w:r w:rsidR="0057794E" w:rsidRPr="00A32B8F">
        <w:rPr>
          <w:sz w:val="20"/>
          <w:szCs w:val="20"/>
        </w:rPr>
        <w:t xml:space="preserve">Cornell Center on the Death Penalty Worldwide, </w:t>
      </w:r>
      <w:r w:rsidR="0057794E" w:rsidRPr="00A32B8F">
        <w:rPr>
          <w:i/>
          <w:iCs/>
          <w:sz w:val="20"/>
          <w:szCs w:val="20"/>
        </w:rPr>
        <w:t>Commonwealth of the Bahamas (Bahamas)</w:t>
      </w:r>
      <w:r w:rsidR="0057794E" w:rsidRPr="00A32B8F">
        <w:rPr>
          <w:sz w:val="20"/>
          <w:szCs w:val="20"/>
        </w:rPr>
        <w:t>, Cornell University School of Law, available at https://deathpenaltyworldwide.org/database/#/results/country?id=4/ (last updated August 23, 2013).</w:t>
      </w:r>
      <w:r w:rsidR="00307FA7" w:rsidRPr="00A32B8F">
        <w:rPr>
          <w:sz w:val="20"/>
          <w:szCs w:val="20"/>
        </w:rPr>
        <w:t xml:space="preserve"> </w:t>
      </w:r>
      <w:bookmarkEnd w:id="0"/>
    </w:p>
  </w:footnote>
  <w:footnote w:id="3">
    <w:p w14:paraId="48D04EF3" w14:textId="59498E30" w:rsidR="004138C7" w:rsidRPr="00A32B8F" w:rsidRDefault="004138C7">
      <w:pPr>
        <w:pStyle w:val="FootnoteText"/>
        <w:rPr>
          <w:sz w:val="20"/>
          <w:szCs w:val="20"/>
        </w:rPr>
      </w:pPr>
      <w:r w:rsidRPr="00A32B8F">
        <w:rPr>
          <w:rStyle w:val="FootnoteReference"/>
          <w:sz w:val="20"/>
          <w:szCs w:val="20"/>
        </w:rPr>
        <w:footnoteRef/>
      </w:r>
      <w:r w:rsidRPr="00A32B8F">
        <w:rPr>
          <w:sz w:val="20"/>
          <w:szCs w:val="20"/>
        </w:rPr>
        <w:t xml:space="preserve"> Human Rights Council, </w:t>
      </w:r>
      <w:r w:rsidRPr="00A32B8F">
        <w:rPr>
          <w:i/>
          <w:iCs/>
          <w:sz w:val="20"/>
          <w:szCs w:val="20"/>
        </w:rPr>
        <w:t xml:space="preserve">Report of the Working Group on the Universal Periodic Review: The Bahamas </w:t>
      </w:r>
      <w:r w:rsidRPr="00A32B8F">
        <w:rPr>
          <w:sz w:val="20"/>
          <w:szCs w:val="20"/>
        </w:rPr>
        <w:t>(June 30,</w:t>
      </w:r>
      <w:r w:rsidR="003E4C3C" w:rsidRPr="00A32B8F">
        <w:rPr>
          <w:sz w:val="20"/>
          <w:szCs w:val="20"/>
        </w:rPr>
        <w:t xml:space="preserve"> </w:t>
      </w:r>
      <w:r w:rsidRPr="00A32B8F">
        <w:rPr>
          <w:sz w:val="20"/>
          <w:szCs w:val="20"/>
        </w:rPr>
        <w:t xml:space="preserve">2023), UN Doc. A/HRC/54/10/Add.1, at </w:t>
      </w:r>
      <w:r w:rsidR="0043237E" w:rsidRPr="00A32B8F">
        <w:rPr>
          <w:sz w:val="20"/>
          <w:szCs w:val="20"/>
        </w:rPr>
        <w:t xml:space="preserve">pp. </w:t>
      </w:r>
      <w:r w:rsidRPr="00A32B8F">
        <w:rPr>
          <w:sz w:val="20"/>
          <w:szCs w:val="20"/>
        </w:rPr>
        <w:t>2.</w:t>
      </w:r>
    </w:p>
  </w:footnote>
  <w:footnote w:id="4">
    <w:p w14:paraId="4E75168A" w14:textId="75275024" w:rsidR="009739E1" w:rsidRPr="00A32B8F" w:rsidRDefault="009739E1">
      <w:pPr>
        <w:pStyle w:val="FootnoteText"/>
        <w:rPr>
          <w:sz w:val="20"/>
          <w:szCs w:val="20"/>
        </w:rPr>
      </w:pPr>
      <w:r w:rsidRPr="00A32B8F">
        <w:rPr>
          <w:rStyle w:val="FootnoteReference"/>
          <w:sz w:val="20"/>
          <w:szCs w:val="20"/>
        </w:rPr>
        <w:footnoteRef/>
      </w:r>
      <w:r w:rsidRPr="00A32B8F">
        <w:rPr>
          <w:sz w:val="20"/>
          <w:szCs w:val="20"/>
        </w:rPr>
        <w:t xml:space="preserve"> </w:t>
      </w:r>
      <w:r w:rsidR="00A24DF6" w:rsidRPr="00A32B8F">
        <w:rPr>
          <w:sz w:val="20"/>
          <w:szCs w:val="20"/>
        </w:rPr>
        <w:t>Amnesty International</w:t>
      </w:r>
      <w:r w:rsidR="00A24DF6" w:rsidRPr="00A32B8F">
        <w:rPr>
          <w:i/>
          <w:iCs/>
          <w:sz w:val="20"/>
          <w:szCs w:val="20"/>
        </w:rPr>
        <w:t xml:space="preserve">, Death Sentences and Executions: 2016, </w:t>
      </w:r>
      <w:r w:rsidR="00A24DF6" w:rsidRPr="00A32B8F">
        <w:rPr>
          <w:sz w:val="20"/>
          <w:szCs w:val="20"/>
        </w:rPr>
        <w:t>by Amnesty International (London: Amnesty International Ltd, April 2017), 13.</w:t>
      </w:r>
      <w:r w:rsidR="003B4FC4" w:rsidRPr="00A32B8F">
        <w:rPr>
          <w:sz w:val="20"/>
          <w:szCs w:val="20"/>
        </w:rPr>
        <w:t xml:space="preserve"> </w:t>
      </w:r>
    </w:p>
  </w:footnote>
  <w:footnote w:id="5">
    <w:p w14:paraId="0BE85D1A" w14:textId="1982C6A9" w:rsidR="00A62B8B" w:rsidRPr="00A32B8F" w:rsidRDefault="00A62B8B">
      <w:pPr>
        <w:pStyle w:val="FootnoteText"/>
        <w:rPr>
          <w:sz w:val="20"/>
          <w:szCs w:val="20"/>
        </w:rPr>
      </w:pPr>
      <w:r w:rsidRPr="00A32B8F">
        <w:rPr>
          <w:rStyle w:val="FootnoteReference"/>
          <w:sz w:val="20"/>
          <w:szCs w:val="20"/>
        </w:rPr>
        <w:footnoteRef/>
      </w:r>
      <w:r w:rsidRPr="00A32B8F">
        <w:rPr>
          <w:sz w:val="20"/>
          <w:szCs w:val="20"/>
        </w:rPr>
        <w:t xml:space="preserve"> </w:t>
      </w:r>
      <w:r w:rsidR="0057794E" w:rsidRPr="00A32B8F">
        <w:rPr>
          <w:sz w:val="20"/>
          <w:szCs w:val="20"/>
        </w:rPr>
        <w:t xml:space="preserve">Amnesty International Global Report, </w:t>
      </w:r>
      <w:r w:rsidR="0057794E" w:rsidRPr="00A32B8F">
        <w:rPr>
          <w:i/>
          <w:iCs/>
          <w:sz w:val="20"/>
          <w:szCs w:val="20"/>
        </w:rPr>
        <w:t xml:space="preserve">Death Sentences </w:t>
      </w:r>
      <w:proofErr w:type="gramStart"/>
      <w:r w:rsidR="0057794E" w:rsidRPr="00A32B8F">
        <w:rPr>
          <w:i/>
          <w:iCs/>
          <w:sz w:val="20"/>
          <w:szCs w:val="20"/>
        </w:rPr>
        <w:t>And</w:t>
      </w:r>
      <w:proofErr w:type="gramEnd"/>
      <w:r w:rsidR="0057794E" w:rsidRPr="00A32B8F">
        <w:rPr>
          <w:i/>
          <w:iCs/>
          <w:sz w:val="20"/>
          <w:szCs w:val="20"/>
        </w:rPr>
        <w:t xml:space="preserve"> Executions</w:t>
      </w:r>
      <w:r w:rsidR="0057794E" w:rsidRPr="00A32B8F">
        <w:rPr>
          <w:sz w:val="20"/>
          <w:szCs w:val="20"/>
        </w:rPr>
        <w:t xml:space="preserve"> (2023), pp. 15, available at https://www.amnestyusa.org/wp-content/uploads/2024/05/Amnesty-International-Global-Report-Death-Sentences-and-Executions-2023.pdf</w:t>
      </w:r>
      <w:r w:rsidR="00D438D9" w:rsidRPr="00A32B8F">
        <w:rPr>
          <w:sz w:val="20"/>
          <w:szCs w:val="20"/>
        </w:rPr>
        <w:t>.</w:t>
      </w:r>
      <w:r w:rsidR="0057794E" w:rsidRPr="00A32B8F" w:rsidDel="0057794E">
        <w:rPr>
          <w:sz w:val="20"/>
          <w:szCs w:val="20"/>
        </w:rPr>
        <w:t xml:space="preserve"> </w:t>
      </w:r>
    </w:p>
  </w:footnote>
  <w:footnote w:id="6">
    <w:p w14:paraId="018A958E" w14:textId="50D2C790" w:rsidR="00897249" w:rsidRPr="00A32B8F" w:rsidRDefault="00897249" w:rsidP="004138C7">
      <w:pPr>
        <w:pStyle w:val="EndnoteText"/>
        <w:jc w:val="both"/>
      </w:pPr>
      <w:r w:rsidRPr="00A32B8F">
        <w:rPr>
          <w:rStyle w:val="FootnoteReference"/>
        </w:rPr>
        <w:footnoteRef/>
      </w:r>
      <w:r w:rsidRPr="00A32B8F">
        <w:t xml:space="preserve"> </w:t>
      </w:r>
      <w:bookmarkStart w:id="1" w:name="_Hlk191844221"/>
      <w:r w:rsidR="004138C7" w:rsidRPr="00A32B8F">
        <w:t xml:space="preserve">Human Rights Council, </w:t>
      </w:r>
      <w:r w:rsidR="004138C7" w:rsidRPr="00A32B8F">
        <w:rPr>
          <w:i/>
          <w:iCs/>
        </w:rPr>
        <w:t>Report of the Working Group on the Universal Periodic Review: The Bahamas: Addendum</w:t>
      </w:r>
      <w:r w:rsidR="00F9273D" w:rsidRPr="00A32B8F">
        <w:rPr>
          <w:i/>
          <w:iCs/>
        </w:rPr>
        <w:t xml:space="preserve">, </w:t>
      </w:r>
      <w:r w:rsidR="004138C7" w:rsidRPr="00A32B8F">
        <w:t>September 4,</w:t>
      </w:r>
      <w:r w:rsidR="0043237E" w:rsidRPr="00A32B8F">
        <w:t xml:space="preserve"> </w:t>
      </w:r>
      <w:r w:rsidR="004138C7" w:rsidRPr="00A32B8F">
        <w:t>2023, UN Doc. A/HRC/54/10/Add.1, at 2</w:t>
      </w:r>
      <w:r w:rsidRPr="00A32B8F">
        <w:t>.</w:t>
      </w:r>
      <w:bookmarkEnd w:id="1"/>
    </w:p>
  </w:footnote>
  <w:footnote w:id="7">
    <w:p w14:paraId="026A95B1" w14:textId="36D91CFF" w:rsidR="006323BA" w:rsidRPr="00A32B8F" w:rsidRDefault="006323BA" w:rsidP="006323BA">
      <w:pPr>
        <w:pStyle w:val="FootnoteText"/>
        <w:jc w:val="both"/>
        <w:rPr>
          <w:sz w:val="20"/>
          <w:szCs w:val="20"/>
        </w:rPr>
      </w:pPr>
      <w:r w:rsidRPr="00A32B8F">
        <w:rPr>
          <w:rStyle w:val="FootnoteReference"/>
          <w:sz w:val="20"/>
          <w:szCs w:val="20"/>
        </w:rPr>
        <w:footnoteRef/>
      </w:r>
      <w:r w:rsidR="005B1C73" w:rsidRPr="00A32B8F">
        <w:rPr>
          <w:sz w:val="20"/>
          <w:szCs w:val="20"/>
        </w:rPr>
        <w:t xml:space="preserve"> World Coalition Against the Death Penalty, </w:t>
      </w:r>
      <w:r w:rsidR="005B1C73" w:rsidRPr="00A32B8F">
        <w:rPr>
          <w:i/>
          <w:iCs/>
          <w:sz w:val="20"/>
          <w:szCs w:val="20"/>
        </w:rPr>
        <w:t>Two thirds of the United Nations General Assembly vote in favor of the 10th resolution for a moratorium on the death penalty</w:t>
      </w:r>
      <w:r w:rsidR="005B1C73" w:rsidRPr="00A32B8F">
        <w:rPr>
          <w:sz w:val="20"/>
          <w:szCs w:val="20"/>
        </w:rPr>
        <w:t>, Dec. 20, 2024, https://worldcoalition.org/2024/12/20/two-thirds-of-the-united-nations-general-assembly-vote-in-favor-of-the-10th-resolution-for-a-moratorium-on-the-death-penalty/</w:t>
      </w:r>
      <w:r w:rsidR="0039289E" w:rsidRPr="00A32B8F">
        <w:rPr>
          <w:sz w:val="20"/>
          <w:szCs w:val="20"/>
        </w:rPr>
        <w:t>.</w:t>
      </w:r>
    </w:p>
  </w:footnote>
  <w:footnote w:id="8">
    <w:p w14:paraId="161A9F77" w14:textId="01E87CEB" w:rsidR="00FA6E54" w:rsidRPr="00A32B8F" w:rsidRDefault="00FA6E54" w:rsidP="00FA6E54">
      <w:pPr>
        <w:pStyle w:val="FootnoteText"/>
        <w:rPr>
          <w:sz w:val="20"/>
          <w:szCs w:val="20"/>
        </w:rPr>
      </w:pPr>
      <w:r w:rsidRPr="00A32B8F">
        <w:rPr>
          <w:rStyle w:val="FootnoteReference"/>
          <w:sz w:val="20"/>
          <w:szCs w:val="20"/>
        </w:rPr>
        <w:footnoteRef/>
      </w:r>
      <w:r w:rsidRPr="00A32B8F">
        <w:rPr>
          <w:sz w:val="20"/>
          <w:szCs w:val="20"/>
        </w:rPr>
        <w:t xml:space="preserve"> Greater Caribbean </w:t>
      </w:r>
      <w:proofErr w:type="gramStart"/>
      <w:r w:rsidRPr="00A32B8F">
        <w:rPr>
          <w:sz w:val="20"/>
          <w:szCs w:val="20"/>
        </w:rPr>
        <w:t>For</w:t>
      </w:r>
      <w:proofErr w:type="gramEnd"/>
      <w:r w:rsidRPr="00A32B8F">
        <w:rPr>
          <w:sz w:val="20"/>
          <w:szCs w:val="20"/>
        </w:rPr>
        <w:t xml:space="preserve"> Life, Bahamas, available at https://gcforlife.org/member-states/bahamas/</w:t>
      </w:r>
      <w:r w:rsidR="00D438D9" w:rsidRPr="00A32B8F">
        <w:rPr>
          <w:sz w:val="20"/>
          <w:szCs w:val="20"/>
        </w:rPr>
        <w:t>.</w:t>
      </w:r>
    </w:p>
  </w:footnote>
  <w:footnote w:id="9">
    <w:p w14:paraId="166464F6" w14:textId="4F0D07B5" w:rsidR="00FA6E54" w:rsidRPr="00A32B8F" w:rsidRDefault="00FA6E54" w:rsidP="00FA6E54">
      <w:pPr>
        <w:pStyle w:val="EndnoteText"/>
      </w:pPr>
      <w:r w:rsidRPr="00A32B8F">
        <w:rPr>
          <w:rStyle w:val="FootnoteReference"/>
        </w:rPr>
        <w:footnoteRef/>
      </w:r>
      <w:r w:rsidRPr="00A32B8F">
        <w:t xml:space="preserve"> World Coalition Against </w:t>
      </w:r>
      <w:proofErr w:type="gramStart"/>
      <w:r w:rsidRPr="00A32B8F">
        <w:t>The</w:t>
      </w:r>
      <w:proofErr w:type="gramEnd"/>
      <w:r w:rsidRPr="00A32B8F">
        <w:t xml:space="preserve"> Death Penalty, </w:t>
      </w:r>
      <w:r w:rsidRPr="00A32B8F">
        <w:rPr>
          <w:i/>
          <w:iCs/>
        </w:rPr>
        <w:t>Bahamas</w:t>
      </w:r>
      <w:r w:rsidRPr="00A32B8F">
        <w:t xml:space="preserve">, available at </w:t>
      </w:r>
      <w:proofErr w:type="gramStart"/>
      <w:r w:rsidRPr="00A32B8F">
        <w:t>http://worldcoalition.org/pays/bahamas/ ;</w:t>
      </w:r>
      <w:proofErr w:type="gramEnd"/>
      <w:r w:rsidRPr="00A32B8F">
        <w:t xml:space="preserve"> see also World Population Review, </w:t>
      </w:r>
      <w:r w:rsidRPr="00A32B8F">
        <w:rPr>
          <w:i/>
          <w:iCs/>
        </w:rPr>
        <w:t xml:space="preserve">Countries </w:t>
      </w:r>
      <w:proofErr w:type="gramStart"/>
      <w:r w:rsidRPr="00A32B8F">
        <w:rPr>
          <w:i/>
          <w:iCs/>
        </w:rPr>
        <w:t>With</w:t>
      </w:r>
      <w:proofErr w:type="gramEnd"/>
      <w:r w:rsidRPr="00A32B8F">
        <w:rPr>
          <w:i/>
          <w:iCs/>
        </w:rPr>
        <w:t xml:space="preserve"> </w:t>
      </w:r>
      <w:proofErr w:type="gramStart"/>
      <w:r w:rsidRPr="00A32B8F">
        <w:rPr>
          <w:i/>
          <w:iCs/>
        </w:rPr>
        <w:t>The</w:t>
      </w:r>
      <w:proofErr w:type="gramEnd"/>
      <w:r w:rsidRPr="00A32B8F">
        <w:rPr>
          <w:i/>
          <w:iCs/>
        </w:rPr>
        <w:t xml:space="preserve"> Death Penalty 2022</w:t>
      </w:r>
      <w:r w:rsidRPr="00A32B8F">
        <w:t>, available at https://worldpopulationreview.com/country-rankings/countries-with-death-penalty</w:t>
      </w:r>
      <w:r w:rsidR="00D438D9" w:rsidRPr="00A32B8F">
        <w:t>.</w:t>
      </w:r>
    </w:p>
  </w:footnote>
  <w:footnote w:id="10">
    <w:p w14:paraId="2481E4D8" w14:textId="77777777" w:rsidR="00FA6E54" w:rsidRPr="00A32B8F" w:rsidRDefault="00FA6E54" w:rsidP="00FA6E54">
      <w:pPr>
        <w:pStyle w:val="FootnoteText"/>
        <w:rPr>
          <w:sz w:val="20"/>
          <w:szCs w:val="20"/>
        </w:rPr>
      </w:pPr>
      <w:r w:rsidRPr="00A32B8F">
        <w:rPr>
          <w:rStyle w:val="FootnoteReference"/>
          <w:sz w:val="20"/>
          <w:szCs w:val="20"/>
        </w:rPr>
        <w:footnoteRef/>
      </w:r>
      <w:r w:rsidRPr="00A32B8F">
        <w:rPr>
          <w:sz w:val="20"/>
          <w:szCs w:val="20"/>
        </w:rPr>
        <w:t xml:space="preserve"> Amnesty International Global Report, </w:t>
      </w:r>
      <w:r w:rsidRPr="00A32B8F">
        <w:rPr>
          <w:i/>
          <w:iCs/>
          <w:sz w:val="20"/>
          <w:szCs w:val="20"/>
        </w:rPr>
        <w:t xml:space="preserve">Death Sentences </w:t>
      </w:r>
      <w:proofErr w:type="gramStart"/>
      <w:r w:rsidRPr="00A32B8F">
        <w:rPr>
          <w:i/>
          <w:iCs/>
          <w:sz w:val="20"/>
          <w:szCs w:val="20"/>
        </w:rPr>
        <w:t>And</w:t>
      </w:r>
      <w:proofErr w:type="gramEnd"/>
      <w:r w:rsidRPr="00A32B8F">
        <w:rPr>
          <w:i/>
          <w:iCs/>
          <w:sz w:val="20"/>
          <w:szCs w:val="20"/>
        </w:rPr>
        <w:t xml:space="preserve"> Executions</w:t>
      </w:r>
      <w:r w:rsidRPr="00A32B8F">
        <w:rPr>
          <w:sz w:val="20"/>
          <w:szCs w:val="20"/>
        </w:rPr>
        <w:t xml:space="preserve"> (2020), pp. 16, 19, available at https://www.amnesty.org/en/wp-content/uploads/2021/05/ACT5037602021ENGLISH.pdf</w:t>
      </w:r>
    </w:p>
  </w:footnote>
  <w:footnote w:id="11">
    <w:p w14:paraId="1079A3EC" w14:textId="77777777" w:rsidR="00FA6E54" w:rsidRPr="00A32B8F" w:rsidRDefault="00FA6E54" w:rsidP="00FA6E54">
      <w:pPr>
        <w:pStyle w:val="EndnoteText"/>
      </w:pPr>
      <w:r w:rsidRPr="00A32B8F">
        <w:rPr>
          <w:rStyle w:val="FootnoteReference"/>
        </w:rPr>
        <w:footnoteRef/>
      </w:r>
      <w:r w:rsidRPr="00A32B8F">
        <w:t xml:space="preserve"> Penal Code of the Bahamas, </w:t>
      </w:r>
      <w:proofErr w:type="spellStart"/>
      <w:r w:rsidRPr="00A32B8F">
        <w:t>ch.</w:t>
      </w:r>
      <w:proofErr w:type="spellEnd"/>
      <w:r w:rsidRPr="00A32B8F">
        <w:t xml:space="preserve"> 84, § 291, 1927.</w:t>
      </w:r>
    </w:p>
  </w:footnote>
  <w:footnote w:id="12">
    <w:p w14:paraId="25925C98" w14:textId="39406ECB" w:rsidR="00FA6E54" w:rsidRPr="00A32B8F" w:rsidRDefault="00FA6E54" w:rsidP="00FA6E54">
      <w:pPr>
        <w:pStyle w:val="FootnoteText"/>
        <w:rPr>
          <w:sz w:val="20"/>
          <w:szCs w:val="20"/>
        </w:rPr>
      </w:pPr>
      <w:r w:rsidRPr="00A32B8F">
        <w:rPr>
          <w:rStyle w:val="FootnoteReference"/>
          <w:sz w:val="20"/>
          <w:szCs w:val="20"/>
        </w:rPr>
        <w:footnoteRef/>
      </w:r>
      <w:r w:rsidRPr="00A32B8F">
        <w:rPr>
          <w:sz w:val="20"/>
          <w:szCs w:val="20"/>
        </w:rPr>
        <w:t xml:space="preserve"> </w:t>
      </w:r>
      <w:r w:rsidR="008A013F" w:rsidRPr="00A32B8F">
        <w:rPr>
          <w:sz w:val="20"/>
          <w:szCs w:val="20"/>
        </w:rPr>
        <w:t>Penal Code of the Bahamas,</w:t>
      </w:r>
      <w:r w:rsidRPr="00A32B8F">
        <w:rPr>
          <w:sz w:val="20"/>
          <w:szCs w:val="20"/>
        </w:rPr>
        <w:t xml:space="preserve"> </w:t>
      </w:r>
      <w:proofErr w:type="spellStart"/>
      <w:r w:rsidRPr="00A32B8F">
        <w:rPr>
          <w:sz w:val="20"/>
          <w:szCs w:val="20"/>
        </w:rPr>
        <w:t>ch.</w:t>
      </w:r>
      <w:proofErr w:type="spellEnd"/>
      <w:r w:rsidRPr="00A32B8F">
        <w:rPr>
          <w:sz w:val="20"/>
          <w:szCs w:val="20"/>
        </w:rPr>
        <w:t xml:space="preserve"> 84, § 389, 1927.</w:t>
      </w:r>
    </w:p>
  </w:footnote>
  <w:footnote w:id="13">
    <w:p w14:paraId="7AF6EE1C" w14:textId="77777777" w:rsidR="00FA6E54" w:rsidRPr="00A32B8F" w:rsidRDefault="00FA6E54" w:rsidP="00FA6E54">
      <w:pPr>
        <w:pStyle w:val="EndnoteText"/>
      </w:pPr>
      <w:r w:rsidRPr="00A32B8F">
        <w:rPr>
          <w:rStyle w:val="FootnoteReference"/>
        </w:rPr>
        <w:footnoteRef/>
      </w:r>
      <w:r w:rsidRPr="00A32B8F">
        <w:t xml:space="preserve"> Genocide Act of the Bahamas, </w:t>
      </w:r>
      <w:proofErr w:type="spellStart"/>
      <w:r w:rsidRPr="00A32B8F">
        <w:t>ch.</w:t>
      </w:r>
      <w:proofErr w:type="spellEnd"/>
      <w:r w:rsidRPr="00A32B8F">
        <w:t xml:space="preserve"> 85, 1969.</w:t>
      </w:r>
    </w:p>
  </w:footnote>
  <w:footnote w:id="14">
    <w:p w14:paraId="6E199F88" w14:textId="75313ABB" w:rsidR="00FA6E54" w:rsidRPr="00A32B8F" w:rsidRDefault="00FA6E54" w:rsidP="00FA6E54">
      <w:pPr>
        <w:pStyle w:val="EndnoteText"/>
      </w:pPr>
      <w:r w:rsidRPr="00A32B8F">
        <w:rPr>
          <w:rStyle w:val="FootnoteReference"/>
        </w:rPr>
        <w:footnoteRef/>
      </w:r>
      <w:r w:rsidRPr="00A32B8F">
        <w:t xml:space="preserve"> Bahamas Anti-Terrorism Act 2018, art 3(1), Act No. 27 of 2018, Aug</w:t>
      </w:r>
      <w:r w:rsidR="00F9273D" w:rsidRPr="00A32B8F">
        <w:t>.</w:t>
      </w:r>
      <w:r w:rsidRPr="00A32B8F">
        <w:t>10, 2018.</w:t>
      </w:r>
    </w:p>
  </w:footnote>
  <w:footnote w:id="15">
    <w:p w14:paraId="541A6FCF" w14:textId="308ADE1B" w:rsidR="003B2640" w:rsidRPr="00A32B8F" w:rsidRDefault="003B2640">
      <w:pPr>
        <w:pStyle w:val="FootnoteText"/>
        <w:rPr>
          <w:sz w:val="20"/>
          <w:szCs w:val="20"/>
        </w:rPr>
      </w:pPr>
      <w:r w:rsidRPr="00A32B8F">
        <w:rPr>
          <w:rStyle w:val="FootnoteReference"/>
          <w:sz w:val="20"/>
          <w:szCs w:val="20"/>
        </w:rPr>
        <w:footnoteRef/>
      </w:r>
      <w:r w:rsidRPr="00A32B8F">
        <w:rPr>
          <w:sz w:val="20"/>
          <w:szCs w:val="20"/>
        </w:rPr>
        <w:t xml:space="preserve"> Penal Code of the Bahamas § 291(1)(a). </w:t>
      </w:r>
    </w:p>
  </w:footnote>
  <w:footnote w:id="16">
    <w:p w14:paraId="475D433B" w14:textId="3CE9D5FC" w:rsidR="003B2640" w:rsidRPr="00A32B8F" w:rsidRDefault="003B2640">
      <w:pPr>
        <w:pStyle w:val="FootnoteText"/>
        <w:rPr>
          <w:sz w:val="20"/>
          <w:szCs w:val="20"/>
        </w:rPr>
      </w:pPr>
      <w:r w:rsidRPr="00A32B8F">
        <w:rPr>
          <w:rStyle w:val="FootnoteReference"/>
          <w:sz w:val="20"/>
          <w:szCs w:val="20"/>
        </w:rPr>
        <w:footnoteRef/>
      </w:r>
      <w:r w:rsidRPr="00A32B8F">
        <w:rPr>
          <w:sz w:val="20"/>
          <w:szCs w:val="20"/>
        </w:rPr>
        <w:t xml:space="preserve"> Penal Code of the Bahamas § 290(2)(c) and (f).</w:t>
      </w:r>
    </w:p>
  </w:footnote>
  <w:footnote w:id="17">
    <w:p w14:paraId="680A0BE1" w14:textId="77777777" w:rsidR="00FA6E54" w:rsidRPr="00A32B8F" w:rsidRDefault="00FA6E54" w:rsidP="00FA6E54">
      <w:pPr>
        <w:pStyle w:val="EndnoteText"/>
      </w:pPr>
      <w:r w:rsidRPr="00A32B8F">
        <w:rPr>
          <w:rStyle w:val="FootnoteReference"/>
        </w:rPr>
        <w:footnoteRef/>
      </w:r>
      <w:r w:rsidRPr="00A32B8F">
        <w:t xml:space="preserve"> Capital Punishment Procedure of the Bahamas, </w:t>
      </w:r>
      <w:proofErr w:type="spellStart"/>
      <w:r w:rsidRPr="00A32B8F">
        <w:t>ch.</w:t>
      </w:r>
      <w:proofErr w:type="spellEnd"/>
      <w:r w:rsidRPr="00A32B8F">
        <w:t xml:space="preserve"> 94, art. 15(1), 1926.</w:t>
      </w:r>
    </w:p>
  </w:footnote>
  <w:footnote w:id="18">
    <w:p w14:paraId="6476B118" w14:textId="77777777" w:rsidR="00FA6E54" w:rsidRPr="00A32B8F" w:rsidRDefault="00FA6E54" w:rsidP="00FA6E54">
      <w:pPr>
        <w:pStyle w:val="EndnoteText"/>
      </w:pPr>
      <w:r w:rsidRPr="00A32B8F">
        <w:rPr>
          <w:rStyle w:val="FootnoteReference"/>
        </w:rPr>
        <w:footnoteRef/>
      </w:r>
      <w:r w:rsidRPr="00A32B8F">
        <w:t xml:space="preserve"> Penal Code of the Bahamas, </w:t>
      </w:r>
      <w:proofErr w:type="spellStart"/>
      <w:r w:rsidRPr="00A32B8F">
        <w:t>ch.</w:t>
      </w:r>
      <w:proofErr w:type="spellEnd"/>
      <w:r w:rsidRPr="00A32B8F">
        <w:t xml:space="preserve"> 84, § 305, 1927.</w:t>
      </w:r>
    </w:p>
  </w:footnote>
  <w:footnote w:id="19">
    <w:p w14:paraId="01C1AF90" w14:textId="77777777" w:rsidR="004F71D4" w:rsidRPr="00A32B8F" w:rsidRDefault="004F71D4" w:rsidP="004F71D4">
      <w:pPr>
        <w:pStyle w:val="FootnoteText"/>
        <w:rPr>
          <w:sz w:val="20"/>
          <w:szCs w:val="20"/>
        </w:rPr>
      </w:pPr>
      <w:r w:rsidRPr="00A32B8F">
        <w:rPr>
          <w:rStyle w:val="FootnoteReference"/>
          <w:sz w:val="20"/>
          <w:szCs w:val="20"/>
        </w:rPr>
        <w:footnoteRef/>
      </w:r>
      <w:r w:rsidRPr="00A32B8F">
        <w:rPr>
          <w:i/>
          <w:iCs/>
          <w:sz w:val="20"/>
          <w:szCs w:val="20"/>
        </w:rPr>
        <w:t xml:space="preserve"> Bowe v. The Queen</w:t>
      </w:r>
      <w:r w:rsidRPr="00A32B8F">
        <w:rPr>
          <w:sz w:val="20"/>
          <w:szCs w:val="20"/>
        </w:rPr>
        <w:t>, (2006) L.R.P.C. 43.</w:t>
      </w:r>
    </w:p>
  </w:footnote>
  <w:footnote w:id="20">
    <w:p w14:paraId="7E78DA69" w14:textId="77777777" w:rsidR="004F71D4" w:rsidRPr="00A32B8F" w:rsidRDefault="004F71D4" w:rsidP="004F71D4">
      <w:pPr>
        <w:pStyle w:val="FootnoteText"/>
        <w:rPr>
          <w:sz w:val="20"/>
          <w:szCs w:val="20"/>
        </w:rPr>
      </w:pPr>
      <w:r w:rsidRPr="00A32B8F">
        <w:rPr>
          <w:rStyle w:val="FootnoteReference"/>
          <w:sz w:val="20"/>
          <w:szCs w:val="20"/>
        </w:rPr>
        <w:footnoteRef/>
      </w:r>
      <w:r w:rsidRPr="00A32B8F">
        <w:rPr>
          <w:sz w:val="20"/>
          <w:szCs w:val="20"/>
        </w:rPr>
        <w:t xml:space="preserve"> </w:t>
      </w:r>
      <w:r w:rsidRPr="00A32B8F">
        <w:rPr>
          <w:i/>
          <w:iCs/>
          <w:sz w:val="20"/>
          <w:szCs w:val="20"/>
        </w:rPr>
        <w:t>Lockhart v. The Queen</w:t>
      </w:r>
      <w:r w:rsidRPr="00A32B8F">
        <w:rPr>
          <w:sz w:val="20"/>
          <w:szCs w:val="20"/>
        </w:rPr>
        <w:t>, (2011) U.K.P.C. 33.</w:t>
      </w:r>
    </w:p>
  </w:footnote>
  <w:footnote w:id="21">
    <w:p w14:paraId="3874D750" w14:textId="77777777" w:rsidR="00FA6E54" w:rsidRPr="00A32B8F" w:rsidRDefault="00FA6E54" w:rsidP="00FA6E54">
      <w:pPr>
        <w:pStyle w:val="EndnoteText"/>
      </w:pPr>
      <w:r w:rsidRPr="00A32B8F">
        <w:rPr>
          <w:rStyle w:val="FootnoteReference"/>
        </w:rPr>
        <w:footnoteRef/>
      </w:r>
      <w:r w:rsidRPr="00A32B8F">
        <w:t xml:space="preserve"> The Constitution of the Commonwealth of the Bahamas, June 20, 1973, </w:t>
      </w:r>
      <w:proofErr w:type="spellStart"/>
      <w:r w:rsidRPr="00A32B8F">
        <w:t>ch.</w:t>
      </w:r>
      <w:proofErr w:type="spellEnd"/>
      <w:r w:rsidRPr="00A32B8F">
        <w:t xml:space="preserve"> 6, art. 90. </w:t>
      </w:r>
    </w:p>
  </w:footnote>
  <w:footnote w:id="22">
    <w:p w14:paraId="7574D99F" w14:textId="7702CDC0" w:rsidR="00FA6E54" w:rsidRPr="00A32B8F" w:rsidRDefault="00FA6E54" w:rsidP="00FA6E54">
      <w:pPr>
        <w:pStyle w:val="EndnoteText"/>
      </w:pPr>
      <w:r w:rsidRPr="00A32B8F">
        <w:rPr>
          <w:rStyle w:val="FootnoteReference"/>
        </w:rPr>
        <w:footnoteRef/>
      </w:r>
      <w:r w:rsidRPr="00A32B8F">
        <w:t xml:space="preserve"> </w:t>
      </w:r>
      <w:r w:rsidR="008A013F" w:rsidRPr="00A32B8F">
        <w:t xml:space="preserve">The Constitution of the Commonwealth of the Bahamas, June 20, 1973, </w:t>
      </w:r>
      <w:proofErr w:type="spellStart"/>
      <w:r w:rsidRPr="00A32B8F">
        <w:t>ch.</w:t>
      </w:r>
      <w:proofErr w:type="spellEnd"/>
      <w:r w:rsidRPr="00A32B8F">
        <w:t xml:space="preserve"> 6, art. 92. </w:t>
      </w:r>
    </w:p>
  </w:footnote>
  <w:footnote w:id="23">
    <w:p w14:paraId="1ECDA67E" w14:textId="77777777" w:rsidR="00FA6E54" w:rsidRPr="00A32B8F" w:rsidRDefault="00FA6E54" w:rsidP="00FA6E54">
      <w:pPr>
        <w:pStyle w:val="EndnoteText"/>
      </w:pPr>
      <w:r w:rsidRPr="00A32B8F">
        <w:rPr>
          <w:rStyle w:val="FootnoteReference"/>
        </w:rPr>
        <w:footnoteRef/>
      </w:r>
      <w:r w:rsidRPr="00A32B8F">
        <w:t xml:space="preserve"> Capital Punishment Procedure of the Bahamas, Ch. 94, §§ 8, 9(2). </w:t>
      </w:r>
    </w:p>
  </w:footnote>
  <w:footnote w:id="24">
    <w:p w14:paraId="664B0E01" w14:textId="77777777" w:rsidR="00F83B66" w:rsidRPr="00A32B8F" w:rsidRDefault="00F83B66" w:rsidP="00F83B66">
      <w:pPr>
        <w:pStyle w:val="EndnoteText"/>
        <w:jc w:val="both"/>
        <w:rPr>
          <w:i/>
          <w:iCs/>
        </w:rPr>
      </w:pPr>
      <w:r w:rsidRPr="00A32B8F">
        <w:rPr>
          <w:rStyle w:val="FootnoteReference"/>
        </w:rPr>
        <w:footnoteRef/>
      </w:r>
      <w:r w:rsidRPr="00A32B8F">
        <w:t xml:space="preserve"> </w:t>
      </w:r>
      <w:r w:rsidRPr="00A32B8F">
        <w:rPr>
          <w:i/>
          <w:iCs/>
        </w:rPr>
        <w:t>U.N. Human Rights Council Rep. of the Working Group on the Universal Periodic Review:</w:t>
      </w:r>
    </w:p>
    <w:p w14:paraId="686537D8" w14:textId="77777777" w:rsidR="00F83B66" w:rsidRPr="00A32B8F" w:rsidRDefault="00F83B66" w:rsidP="00F83B66">
      <w:pPr>
        <w:pStyle w:val="EndnoteText"/>
        <w:jc w:val="both"/>
      </w:pPr>
      <w:r w:rsidRPr="00A32B8F">
        <w:rPr>
          <w:i/>
          <w:iCs/>
        </w:rPr>
        <w:t>The Bahamas</w:t>
      </w:r>
      <w:r w:rsidRPr="00A32B8F">
        <w:t>, addendum presented by the State under Review, Jun. 18, 2018, U.N. Doc. A/HRC/38/9/Add. 1, at pp. 2 and 4.</w:t>
      </w:r>
    </w:p>
  </w:footnote>
  <w:footnote w:id="25">
    <w:p w14:paraId="0E1C4080" w14:textId="77777777" w:rsidR="00F83B66" w:rsidRPr="00A32B8F" w:rsidRDefault="00F83B66" w:rsidP="00F83B66">
      <w:pPr>
        <w:pStyle w:val="FootnoteText"/>
        <w:rPr>
          <w:sz w:val="20"/>
          <w:szCs w:val="20"/>
        </w:rPr>
      </w:pPr>
      <w:r w:rsidRPr="00A32B8F">
        <w:rPr>
          <w:rStyle w:val="FootnoteReference"/>
          <w:sz w:val="20"/>
          <w:szCs w:val="20"/>
        </w:rPr>
        <w:footnoteRef/>
      </w:r>
      <w:r w:rsidRPr="00A32B8F">
        <w:rPr>
          <w:sz w:val="20"/>
          <w:szCs w:val="20"/>
        </w:rPr>
        <w:t xml:space="preserve"> </w:t>
      </w:r>
      <w:r w:rsidRPr="00A32B8F">
        <w:rPr>
          <w:i/>
          <w:iCs/>
          <w:sz w:val="20"/>
          <w:szCs w:val="20"/>
        </w:rPr>
        <w:t xml:space="preserve">U.N. Human Rights Council Rep. of the Working Group on the Universal Periodic Review: The Bahamas, </w:t>
      </w:r>
      <w:r w:rsidRPr="00A32B8F">
        <w:rPr>
          <w:sz w:val="20"/>
          <w:szCs w:val="20"/>
        </w:rPr>
        <w:t>Jun. 30, 2023, UN Doc. A/HRC/54/10 at pp. 11 and 14, 122.10 Ratify the Second Optional Protocol to the International Covenant on Civil and Political Rights, aiming at the abolition of the death penalty (Portugal); 122.11 Sign and ratify the Second Optional Protocol to the International Covenant on Civil and Political Rights, aiming at the abolition of the death penalty (Croatia) (Slovenia); 122.12 Consider ratifying the Second Optional Protocol to the International Covenant on Civil and Political Rights, aiming at the abolition of the death penalty (Nepal); 122.13 Consider signing and ratifying the Second Optional Protocol to the International Covenant on Civil and Political Rights, aiming at the abolition of the death penalty (Finland); 122.14 Consider ratifying the Second Optional Protocol to the International Covenant on Civil and Political Rights, aiming at the abolition of the death penalty and introduce a moratorium on the death penalty as the first step towards its abolition (Lithuania); 122.15 Ratify the Second Optional Protocol to the International Covenant on Civil and Political Rights, aiming at the abolition of the death penalty and collaborate with civil society organizations in the region to conduct a comprehensive public awareness-raising campaign aimed at educating the population about international human rights standards and the efficacy of alternatives to the death penalty (Panama); 122.16 Maintain its de facto moratorium on the death penalty and take steps towards its abolition, including ratification of the Second Optional Protocol to the International Covenant on Civil and Political Rights (New Zealand); 122.17 Continue the moratorium on the death penalty, established in 2000, and consider ratifying the Second Optional Protocol to the International Covenant on Civil and Political Rights (France); 122.18 Codify the long-standing practice of non-implementation of the death penalty by ratifying the Second Optional Protocol to the International Covenant on Civil and Political Rights (Germany); 122.19 Consider ratifying the Optional Protocol to the Convention against Torture and Other Cruel, Inhuman or Degrading Treatment or Punishment (Sierra Leone); 122.20 Consider signing and ratifying the Optional Protocol to the Convention against Torture and Other Cruel, Inhuman or Degrading Treatment or Punishment (Finland); 122.61 Abolish the death penalty (Iceland); 122.62 Abolish the death penalty (Costa Rica); 122.63 Adopt the necessary measures to formalize the moratorium on the death penalty (Cyprus); 122.64 Repeal the death penalty and consider a moratorium pending its complete abolition (Canada); 122.65 Advance towards the abolition of the death penalty and introduce a moratorium on its application (Mexico); 122.66 Consider the abolition of the death penalty by adopting a moratorium on the application of capital punishment, as a step prior to its definitive abolition (Spain); 122.67 Consider introducing a moratorium on the death penalty with a view to abolishing it (Timor-Leste); 122.68 Establish a formal moratorium on the death penalty, as a step towards complete abolition (Australia); 122.69 Impose an official, de jure, moratorium on the death penalty and take steps towards its abolition (Cabo Verde); 122.70 Consider adopting a de jure moratorium on the use of the death penalty and supporting, or at least abstaining on, the General Assembly resolution on a universal moratorium on the use of the death penalty (Italy); 122.71 Reduce the offences for which the death penalty may be imposed to the most serious crimes, in accordance with article 6 of the International Covenant on Civil and Political Rights and consider further progress on this issue (Belgium)</w:t>
      </w:r>
      <w:r>
        <w:rPr>
          <w:sz w:val="20"/>
          <w:szCs w:val="20"/>
        </w:rPr>
        <w:t xml:space="preserve">; </w:t>
      </w:r>
      <w:r w:rsidRPr="00A32B8F">
        <w:rPr>
          <w:i/>
          <w:iCs/>
          <w:sz w:val="20"/>
          <w:szCs w:val="20"/>
        </w:rPr>
        <w:t xml:space="preserve">U.N. Human Rights Council Rep. of the Working Group on the Universal Periodic Review: The Bahamas, </w:t>
      </w:r>
      <w:r w:rsidRPr="00A32B8F">
        <w:rPr>
          <w:sz w:val="20"/>
          <w:szCs w:val="20"/>
        </w:rPr>
        <w:t>(June 30, 2023), UN Doc. A/HRC/54/10</w:t>
      </w:r>
      <w:r>
        <w:rPr>
          <w:sz w:val="20"/>
          <w:szCs w:val="20"/>
        </w:rPr>
        <w:t>, ¶¶ </w:t>
      </w:r>
      <w:r w:rsidRPr="00A32B8F">
        <w:rPr>
          <w:sz w:val="20"/>
          <w:szCs w:val="20"/>
        </w:rPr>
        <w:t>11</w:t>
      </w:r>
      <w:r>
        <w:rPr>
          <w:sz w:val="20"/>
          <w:szCs w:val="20"/>
        </w:rPr>
        <w:t>,</w:t>
      </w:r>
      <w:r w:rsidRPr="00A32B8F">
        <w:rPr>
          <w:sz w:val="20"/>
          <w:szCs w:val="20"/>
        </w:rPr>
        <w:t xml:space="preserve"> 14.</w:t>
      </w:r>
    </w:p>
  </w:footnote>
  <w:footnote w:id="26">
    <w:p w14:paraId="6CE3189B" w14:textId="77777777" w:rsidR="00F83B66" w:rsidRDefault="00F83B66" w:rsidP="00F83B66">
      <w:pPr>
        <w:pStyle w:val="FootnoteText"/>
      </w:pPr>
      <w:r>
        <w:rPr>
          <w:rStyle w:val="FootnoteReference"/>
        </w:rPr>
        <w:footnoteRef/>
      </w:r>
      <w:r>
        <w:t xml:space="preserve"> </w:t>
      </w:r>
      <w:r w:rsidRPr="00A32B8F">
        <w:rPr>
          <w:i/>
          <w:iCs/>
          <w:sz w:val="20"/>
          <w:szCs w:val="20"/>
        </w:rPr>
        <w:t xml:space="preserve">U.N. Human Rights Council Rep. of the Working Group on the Universal Periodic Review: The Bahamas, </w:t>
      </w:r>
      <w:r w:rsidRPr="00A32B8F">
        <w:rPr>
          <w:sz w:val="20"/>
          <w:szCs w:val="20"/>
        </w:rPr>
        <w:t>Jun. 30, 2023, UN Doc. A/HRC/54/10</w:t>
      </w:r>
      <w:r>
        <w:rPr>
          <w:sz w:val="20"/>
          <w:szCs w:val="20"/>
        </w:rPr>
        <w:t>, ¶ 122.15.</w:t>
      </w:r>
    </w:p>
  </w:footnote>
  <w:footnote w:id="27">
    <w:p w14:paraId="5F33F5A8" w14:textId="77777777" w:rsidR="00F83B66" w:rsidRDefault="00F83B66" w:rsidP="00F83B66">
      <w:pPr>
        <w:pStyle w:val="FootnoteText"/>
      </w:pPr>
      <w:r>
        <w:rPr>
          <w:rStyle w:val="FootnoteReference"/>
        </w:rPr>
        <w:footnoteRef/>
      </w:r>
      <w:r>
        <w:t xml:space="preserve"> </w:t>
      </w:r>
      <w:r w:rsidRPr="00A32B8F">
        <w:rPr>
          <w:i/>
          <w:iCs/>
          <w:sz w:val="20"/>
          <w:szCs w:val="20"/>
        </w:rPr>
        <w:t xml:space="preserve">U.N. Human Rights Council Rep. of the Working Group on the Universal Periodic Review: The Bahamas, </w:t>
      </w:r>
      <w:r w:rsidRPr="00A32B8F">
        <w:rPr>
          <w:sz w:val="20"/>
          <w:szCs w:val="20"/>
        </w:rPr>
        <w:t>Jun. 30, 2023, UN Doc. A/HRC/54/10</w:t>
      </w:r>
      <w:r>
        <w:rPr>
          <w:sz w:val="20"/>
          <w:szCs w:val="20"/>
        </w:rPr>
        <w:t>, ¶ 7.</w:t>
      </w:r>
    </w:p>
  </w:footnote>
  <w:footnote w:id="28">
    <w:p w14:paraId="1EF5630F" w14:textId="77777777" w:rsidR="00BB0E32" w:rsidRPr="00A32B8F" w:rsidRDefault="00BB0E32" w:rsidP="00BB0E32">
      <w:pPr>
        <w:pStyle w:val="FootnoteText"/>
        <w:rPr>
          <w:sz w:val="20"/>
          <w:szCs w:val="20"/>
        </w:rPr>
      </w:pPr>
      <w:r w:rsidRPr="00A32B8F">
        <w:rPr>
          <w:rStyle w:val="FootnoteReference"/>
          <w:sz w:val="20"/>
          <w:szCs w:val="20"/>
        </w:rPr>
        <w:footnoteRef/>
      </w:r>
      <w:r w:rsidRPr="00A32B8F">
        <w:rPr>
          <w:sz w:val="20"/>
          <w:szCs w:val="20"/>
        </w:rPr>
        <w:t xml:space="preserve"> World Coalition Against the Death Penalty, </w:t>
      </w:r>
      <w:r w:rsidRPr="00A32B8F">
        <w:rPr>
          <w:i/>
          <w:iCs/>
          <w:sz w:val="20"/>
          <w:szCs w:val="20"/>
        </w:rPr>
        <w:t>Two thirds of the United Nations General Assembly vote in favor of the 10th resolution for a moratorium on the death penalty</w:t>
      </w:r>
      <w:r w:rsidRPr="00A32B8F">
        <w:rPr>
          <w:sz w:val="20"/>
          <w:szCs w:val="20"/>
        </w:rPr>
        <w:t>, Dec. 20, 2024, https://worldcoalition.org/2024/12/20/two-thirds-of-the-united-nations-general-assembly-vote-in-favor-of-the-10th-resolution-for-a-moratorium-on-the-death-penalty/.</w:t>
      </w:r>
    </w:p>
  </w:footnote>
  <w:footnote w:id="29">
    <w:p w14:paraId="46E5F8E9" w14:textId="12651A5C" w:rsidR="00BB0E32" w:rsidRPr="00A32B8F" w:rsidRDefault="00BB0E32" w:rsidP="00BB0E32">
      <w:pPr>
        <w:pStyle w:val="FootnoteText"/>
        <w:rPr>
          <w:sz w:val="20"/>
          <w:szCs w:val="20"/>
        </w:rPr>
      </w:pPr>
      <w:r w:rsidRPr="00A32B8F">
        <w:rPr>
          <w:rStyle w:val="FootnoteReference"/>
          <w:sz w:val="20"/>
          <w:szCs w:val="20"/>
        </w:rPr>
        <w:footnoteRef/>
      </w:r>
      <w:r w:rsidRPr="00A32B8F">
        <w:rPr>
          <w:sz w:val="20"/>
          <w:szCs w:val="20"/>
        </w:rPr>
        <w:t xml:space="preserve"> </w:t>
      </w:r>
      <w:r w:rsidR="00F52237" w:rsidRPr="00A32B8F">
        <w:rPr>
          <w:sz w:val="20"/>
          <w:szCs w:val="20"/>
        </w:rPr>
        <w:t xml:space="preserve">World Coalition Against the Death Penalty, </w:t>
      </w:r>
      <w:r w:rsidR="00F52237" w:rsidRPr="00A32B8F">
        <w:rPr>
          <w:i/>
          <w:iCs/>
          <w:sz w:val="20"/>
          <w:szCs w:val="20"/>
        </w:rPr>
        <w:t>Two thirds of the United Nations General Assembly vote in favor of the 10th resolution for a moratorium on the death penalty</w:t>
      </w:r>
      <w:r w:rsidR="00F52237" w:rsidRPr="00A32B8F">
        <w:rPr>
          <w:sz w:val="20"/>
          <w:szCs w:val="20"/>
        </w:rPr>
        <w:t xml:space="preserve">, Dec. 20, 2024, https://worldcoalition.org/2024/12/20/two-thirds-of-the-united-nations-general-assembly-vote-in-favor-of-the-10th-resolution-for-a-moratorium-on-the-death-penalty/; World Coalition Against the Death Penalty, </w:t>
      </w:r>
      <w:r w:rsidR="00F52237" w:rsidRPr="00A32B8F">
        <w:rPr>
          <w:i/>
          <w:iCs/>
          <w:sz w:val="20"/>
          <w:szCs w:val="20"/>
        </w:rPr>
        <w:t>9</w:t>
      </w:r>
      <w:r w:rsidR="00F52237" w:rsidRPr="00A32B8F">
        <w:rPr>
          <w:i/>
          <w:iCs/>
          <w:sz w:val="20"/>
          <w:szCs w:val="20"/>
          <w:vertAlign w:val="superscript"/>
        </w:rPr>
        <w:t>th</w:t>
      </w:r>
      <w:r w:rsidR="00F52237" w:rsidRPr="00A32B8F">
        <w:rPr>
          <w:i/>
          <w:iCs/>
          <w:sz w:val="20"/>
          <w:szCs w:val="20"/>
        </w:rPr>
        <w:t xml:space="preserve"> Resolution for a moratorium on the death penalty: the trend is growing</w:t>
      </w:r>
      <w:r w:rsidR="00F52237" w:rsidRPr="00A32B8F">
        <w:rPr>
          <w:sz w:val="20"/>
          <w:szCs w:val="20"/>
        </w:rPr>
        <w:t>, Dec. 20, 2022, https://worldcoalition.org/2022/12/20/9th-resolution-for-a-moratorium-on-the-death-penalty-the-trend-is-growing/</w:t>
      </w:r>
      <w:r w:rsidR="00D438D9" w:rsidRPr="00A32B8F">
        <w:rPr>
          <w:sz w:val="20"/>
          <w:szCs w:val="20"/>
        </w:rPr>
        <w:t>.</w:t>
      </w:r>
    </w:p>
  </w:footnote>
  <w:footnote w:id="30">
    <w:p w14:paraId="46CBDDF1" w14:textId="77777777" w:rsidR="00F83B66" w:rsidRPr="00A32B8F" w:rsidRDefault="00F83B66" w:rsidP="00F83B66">
      <w:pPr>
        <w:pStyle w:val="FootnoteText"/>
        <w:rPr>
          <w:sz w:val="20"/>
          <w:szCs w:val="20"/>
        </w:rPr>
      </w:pPr>
      <w:r w:rsidRPr="00A32B8F">
        <w:rPr>
          <w:rStyle w:val="FootnoteReference"/>
          <w:sz w:val="20"/>
          <w:szCs w:val="20"/>
        </w:rPr>
        <w:footnoteRef/>
      </w:r>
      <w:r w:rsidRPr="00A32B8F">
        <w:rPr>
          <w:sz w:val="20"/>
          <w:szCs w:val="20"/>
        </w:rPr>
        <w:t xml:space="preserve"> Eyewitness News, </w:t>
      </w:r>
      <w:r w:rsidRPr="00A32B8F">
        <w:rPr>
          <w:i/>
          <w:iCs/>
          <w:sz w:val="20"/>
          <w:szCs w:val="20"/>
        </w:rPr>
        <w:t>Former BCC president comes out against capital punishment</w:t>
      </w:r>
      <w:r w:rsidRPr="00A32B8F">
        <w:rPr>
          <w:sz w:val="20"/>
          <w:szCs w:val="20"/>
        </w:rPr>
        <w:t>, Jul. 26, 2019, available at https://ewnews.com/former-bcc-president-comes-out-against-capital-punishment.</w:t>
      </w:r>
    </w:p>
  </w:footnote>
  <w:footnote w:id="31">
    <w:p w14:paraId="160E4018" w14:textId="77777777" w:rsidR="00F83B66" w:rsidRPr="00A32B8F" w:rsidRDefault="00F83B66" w:rsidP="00F83B66">
      <w:pPr>
        <w:pStyle w:val="FootnoteText"/>
        <w:rPr>
          <w:sz w:val="20"/>
          <w:szCs w:val="20"/>
        </w:rPr>
      </w:pPr>
      <w:r w:rsidRPr="00A32B8F">
        <w:rPr>
          <w:rStyle w:val="FootnoteReference"/>
          <w:sz w:val="20"/>
          <w:szCs w:val="20"/>
        </w:rPr>
        <w:footnoteRef/>
      </w:r>
      <w:r w:rsidRPr="00A32B8F">
        <w:rPr>
          <w:sz w:val="20"/>
          <w:szCs w:val="20"/>
        </w:rPr>
        <w:t xml:space="preserve"> Eyewitness News, </w:t>
      </w:r>
      <w:r w:rsidRPr="00A32B8F">
        <w:rPr>
          <w:i/>
          <w:iCs/>
          <w:sz w:val="20"/>
          <w:szCs w:val="20"/>
        </w:rPr>
        <w:t>Former BCC president comes out against capital punishment</w:t>
      </w:r>
      <w:r w:rsidRPr="00A32B8F">
        <w:rPr>
          <w:sz w:val="20"/>
          <w:szCs w:val="20"/>
        </w:rPr>
        <w:t xml:space="preserve">, Jul. 26, 2019, available at https://ewnews.com/former-bcc-president-comes-out-against-capital-punishment; Our News, </w:t>
      </w:r>
      <w:r w:rsidRPr="00A32B8F">
        <w:rPr>
          <w:i/>
          <w:iCs/>
          <w:sz w:val="20"/>
          <w:szCs w:val="20"/>
        </w:rPr>
        <w:t xml:space="preserve">BCC President: The Punishment Should Fit </w:t>
      </w:r>
      <w:proofErr w:type="gramStart"/>
      <w:r w:rsidRPr="00A32B8F">
        <w:rPr>
          <w:i/>
          <w:iCs/>
          <w:sz w:val="20"/>
          <w:szCs w:val="20"/>
        </w:rPr>
        <w:t>The</w:t>
      </w:r>
      <w:proofErr w:type="gramEnd"/>
      <w:r w:rsidRPr="00A32B8F">
        <w:rPr>
          <w:i/>
          <w:iCs/>
          <w:sz w:val="20"/>
          <w:szCs w:val="20"/>
        </w:rPr>
        <w:t xml:space="preserve"> Crime</w:t>
      </w:r>
      <w:r w:rsidRPr="00A32B8F">
        <w:rPr>
          <w:sz w:val="20"/>
          <w:szCs w:val="20"/>
        </w:rPr>
        <w:t xml:space="preserve"> (August 18, 2022), available at https://ournews.bs/bcc-president-the-punishment-should-fit-the-crime; The Tribune, </w:t>
      </w:r>
      <w:r w:rsidRPr="00A32B8F">
        <w:rPr>
          <w:i/>
          <w:iCs/>
          <w:sz w:val="20"/>
          <w:szCs w:val="20"/>
        </w:rPr>
        <w:t>Fringe group calls for executions</w:t>
      </w:r>
      <w:r w:rsidRPr="00A32B8F">
        <w:rPr>
          <w:sz w:val="20"/>
          <w:szCs w:val="20"/>
        </w:rPr>
        <w:t xml:space="preserve"> (July 28, 2022), available at http://www.tribune242.com/news/2022/jul/28/fringe-group-calls-executions/.</w:t>
      </w:r>
    </w:p>
  </w:footnote>
  <w:footnote w:id="32">
    <w:p w14:paraId="2BA78DBB" w14:textId="3C467692" w:rsidR="00F7182E" w:rsidRPr="00A32B8F" w:rsidRDefault="00F7182E" w:rsidP="00F7182E">
      <w:pPr>
        <w:pStyle w:val="FootnoteText"/>
        <w:rPr>
          <w:sz w:val="20"/>
          <w:szCs w:val="20"/>
        </w:rPr>
      </w:pPr>
      <w:r w:rsidRPr="00A32B8F">
        <w:rPr>
          <w:rStyle w:val="FootnoteReference"/>
          <w:sz w:val="20"/>
          <w:szCs w:val="20"/>
        </w:rPr>
        <w:footnoteRef/>
      </w:r>
      <w:r w:rsidRPr="00A32B8F">
        <w:rPr>
          <w:sz w:val="20"/>
          <w:szCs w:val="20"/>
        </w:rPr>
        <w:t xml:space="preserve"> The Nassau Guardian, </w:t>
      </w:r>
      <w:proofErr w:type="gramStart"/>
      <w:r w:rsidRPr="00A32B8F">
        <w:rPr>
          <w:i/>
          <w:iCs/>
          <w:sz w:val="20"/>
          <w:szCs w:val="20"/>
        </w:rPr>
        <w:t>The</w:t>
      </w:r>
      <w:proofErr w:type="gramEnd"/>
      <w:r w:rsidRPr="00A32B8F">
        <w:rPr>
          <w:i/>
          <w:iCs/>
          <w:sz w:val="20"/>
          <w:szCs w:val="20"/>
        </w:rPr>
        <w:t xml:space="preserve"> continuing death penalty debate</w:t>
      </w:r>
      <w:r w:rsidRPr="00A32B8F">
        <w:rPr>
          <w:sz w:val="20"/>
          <w:szCs w:val="20"/>
        </w:rPr>
        <w:t>, Jan</w:t>
      </w:r>
      <w:r w:rsidR="00F9273D" w:rsidRPr="00A32B8F">
        <w:rPr>
          <w:sz w:val="20"/>
          <w:szCs w:val="20"/>
        </w:rPr>
        <w:t>.</w:t>
      </w:r>
      <w:r w:rsidRPr="00A32B8F">
        <w:rPr>
          <w:sz w:val="20"/>
          <w:szCs w:val="20"/>
        </w:rPr>
        <w:t xml:space="preserve"> 31, 2024, available </w:t>
      </w:r>
      <w:proofErr w:type="spellStart"/>
      <w:r w:rsidRPr="00A32B8F">
        <w:rPr>
          <w:sz w:val="20"/>
          <w:szCs w:val="20"/>
        </w:rPr>
        <w:t xml:space="preserve">at </w:t>
      </w:r>
      <w:r w:rsidR="005E75FD" w:rsidRPr="00A32B8F">
        <w:rPr>
          <w:sz w:val="20"/>
          <w:szCs w:val="20"/>
        </w:rPr>
        <w:t xml:space="preserve">https://www.thenassauguardian.com/opinion/the-continuing-death-penalty-debate/article_0504ddb8-bfc4-11ee-a06d-7b2c23561c7f.html; </w:t>
      </w:r>
      <w:r w:rsidR="005E75FD" w:rsidRPr="00A32B8F">
        <w:rPr>
          <w:i/>
          <w:iCs/>
          <w:sz w:val="20"/>
          <w:szCs w:val="20"/>
        </w:rPr>
        <w:t>see</w:t>
      </w:r>
      <w:proofErr w:type="spellEnd"/>
      <w:r w:rsidR="005E75FD" w:rsidRPr="00A32B8F">
        <w:rPr>
          <w:i/>
          <w:iCs/>
          <w:sz w:val="20"/>
          <w:szCs w:val="20"/>
        </w:rPr>
        <w:t xml:space="preserve"> also</w:t>
      </w:r>
      <w:r w:rsidR="005E75FD" w:rsidRPr="00A32B8F">
        <w:rPr>
          <w:sz w:val="20"/>
          <w:szCs w:val="20"/>
        </w:rPr>
        <w:t xml:space="preserve"> The Nassau Guardian, </w:t>
      </w:r>
      <w:r w:rsidR="005E75FD" w:rsidRPr="00A32B8F">
        <w:rPr>
          <w:i/>
          <w:iCs/>
          <w:sz w:val="20"/>
          <w:szCs w:val="20"/>
        </w:rPr>
        <w:t xml:space="preserve">The Death Penalty Implications: State v </w:t>
      </w:r>
      <w:proofErr w:type="spellStart"/>
      <w:r w:rsidR="005E75FD" w:rsidRPr="00A32B8F">
        <w:rPr>
          <w:i/>
          <w:iCs/>
          <w:sz w:val="20"/>
          <w:szCs w:val="20"/>
        </w:rPr>
        <w:t>Koyratty</w:t>
      </w:r>
      <w:proofErr w:type="spellEnd"/>
      <w:r w:rsidR="005E75FD" w:rsidRPr="00A32B8F">
        <w:rPr>
          <w:i/>
          <w:iCs/>
          <w:sz w:val="20"/>
          <w:szCs w:val="20"/>
        </w:rPr>
        <w:t xml:space="preserve"> [2006] 2 WLR 1330</w:t>
      </w:r>
      <w:r w:rsidR="005E75FD" w:rsidRPr="00A32B8F">
        <w:rPr>
          <w:sz w:val="20"/>
          <w:szCs w:val="20"/>
        </w:rPr>
        <w:t>, Jan. 9, 2025, available at https://www.thenassauguardian.com/opinion/the-death-penalty-implications-state-v-koyratty-2006-2-wlr-1330/article_113ced2e-cdff-11ef-a831-dbd0168f6651.html.</w:t>
      </w:r>
    </w:p>
  </w:footnote>
  <w:footnote w:id="33">
    <w:p w14:paraId="55F505D1" w14:textId="0020C9B1" w:rsidR="00F7182E" w:rsidRPr="00A32B8F" w:rsidRDefault="00F7182E" w:rsidP="00F7182E">
      <w:pPr>
        <w:pStyle w:val="FootnoteText"/>
        <w:rPr>
          <w:sz w:val="20"/>
          <w:szCs w:val="20"/>
        </w:rPr>
      </w:pPr>
      <w:r w:rsidRPr="00A32B8F">
        <w:rPr>
          <w:rStyle w:val="FootnoteReference"/>
          <w:sz w:val="20"/>
          <w:szCs w:val="20"/>
        </w:rPr>
        <w:footnoteRef/>
      </w:r>
      <w:r w:rsidRPr="00A32B8F">
        <w:rPr>
          <w:sz w:val="20"/>
          <w:szCs w:val="20"/>
        </w:rPr>
        <w:t xml:space="preserve"> Ginelle Longley, Eyewitness News, </w:t>
      </w:r>
      <w:r w:rsidRPr="00A32B8F">
        <w:rPr>
          <w:i/>
          <w:iCs/>
          <w:sz w:val="20"/>
          <w:szCs w:val="20"/>
        </w:rPr>
        <w:t>FOAM Founder: Establish clear guidelines for death penalty,</w:t>
      </w:r>
      <w:r w:rsidRPr="00A32B8F">
        <w:rPr>
          <w:sz w:val="20"/>
          <w:szCs w:val="20"/>
        </w:rPr>
        <w:t xml:space="preserve"> Nov</w:t>
      </w:r>
      <w:r w:rsidR="00F9273D" w:rsidRPr="00A32B8F">
        <w:rPr>
          <w:sz w:val="20"/>
          <w:szCs w:val="20"/>
        </w:rPr>
        <w:t>.</w:t>
      </w:r>
      <w:r w:rsidRPr="00A32B8F">
        <w:rPr>
          <w:sz w:val="20"/>
          <w:szCs w:val="20"/>
        </w:rPr>
        <w:t xml:space="preserve"> 23, 2024</w:t>
      </w:r>
      <w:r w:rsidR="00F9273D" w:rsidRPr="00A32B8F">
        <w:rPr>
          <w:sz w:val="20"/>
          <w:szCs w:val="20"/>
        </w:rPr>
        <w:t>,</w:t>
      </w:r>
      <w:r w:rsidRPr="00A32B8F">
        <w:rPr>
          <w:sz w:val="20"/>
          <w:szCs w:val="20"/>
        </w:rPr>
        <w:t xml:space="preserve"> </w:t>
      </w:r>
      <w:r w:rsidR="005E75FD" w:rsidRPr="00A32B8F">
        <w:rPr>
          <w:sz w:val="20"/>
          <w:szCs w:val="20"/>
        </w:rPr>
        <w:t xml:space="preserve">https://ewnews.com/foam-founder-establish-clear-guidelines-for-death-penalty/; </w:t>
      </w:r>
      <w:r w:rsidR="005E75FD" w:rsidRPr="00A32B8F">
        <w:rPr>
          <w:i/>
          <w:iCs/>
          <w:sz w:val="20"/>
          <w:szCs w:val="20"/>
        </w:rPr>
        <w:t xml:space="preserve">but see </w:t>
      </w:r>
      <w:r w:rsidR="005E75FD" w:rsidRPr="00A32B8F">
        <w:rPr>
          <w:sz w:val="20"/>
          <w:szCs w:val="20"/>
        </w:rPr>
        <w:t xml:space="preserve">The Nassau Guardian, </w:t>
      </w:r>
      <w:proofErr w:type="gramStart"/>
      <w:r w:rsidR="005E75FD" w:rsidRPr="00A32B8F">
        <w:rPr>
          <w:i/>
          <w:iCs/>
          <w:sz w:val="20"/>
          <w:szCs w:val="20"/>
        </w:rPr>
        <w:t>The</w:t>
      </w:r>
      <w:proofErr w:type="gramEnd"/>
      <w:r w:rsidR="005E75FD" w:rsidRPr="00A32B8F">
        <w:rPr>
          <w:i/>
          <w:iCs/>
          <w:sz w:val="20"/>
          <w:szCs w:val="20"/>
        </w:rPr>
        <w:t xml:space="preserve"> death penalty would not stop crime</w:t>
      </w:r>
      <w:r w:rsidR="005E75FD" w:rsidRPr="00A32B8F">
        <w:rPr>
          <w:sz w:val="20"/>
          <w:szCs w:val="20"/>
        </w:rPr>
        <w:t>, Nov. 26, 2024, available at https://www.thenassauguardian.com/opinion/editorials/the-death-penalty-would-not-stop-crime/article_f3b874ce-ab82-11ef-afa3-03ecaeb823b0.html</w:t>
      </w:r>
      <w:r w:rsidRPr="00A32B8F">
        <w:rPr>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1E538137" w:rsidR="00804604" w:rsidRDefault="000A6A36">
    <w:pPr>
      <w:pStyle w:val="Header"/>
    </w:pPr>
    <w:r>
      <w:rPr>
        <w:noProof/>
      </w:rPr>
      <w:drawing>
        <wp:anchor distT="0" distB="0" distL="114300" distR="114300" simplePos="0" relativeHeight="251660290" behindDoc="0" locked="0" layoutInCell="1" allowOverlap="1" wp14:anchorId="5F0580A3" wp14:editId="53E76D46">
          <wp:simplePos x="0" y="0"/>
          <wp:positionH relativeFrom="margin">
            <wp:posOffset>1562100</wp:posOffset>
          </wp:positionH>
          <wp:positionV relativeFrom="paragraph">
            <wp:posOffset>-95250</wp:posOffset>
          </wp:positionV>
          <wp:extent cx="2752725" cy="706755"/>
          <wp:effectExtent l="0" t="0" r="9525" b="0"/>
          <wp:wrapNone/>
          <wp:docPr id="248630890"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630890" name="Picture 1" descr="A close up of a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752725" cy="706755"/>
                  </a:xfrm>
                  <a:prstGeom prst="rect">
                    <a:avLst/>
                  </a:prstGeom>
                </pic:spPr>
              </pic:pic>
            </a:graphicData>
          </a:graphic>
          <wp14:sizeRelH relativeFrom="margin">
            <wp14:pctWidth>0</wp14:pctWidth>
          </wp14:sizeRelH>
          <wp14:sizeRelV relativeFrom="margin">
            <wp14:pctHeight>0</wp14:pctHeight>
          </wp14:sizeRelV>
        </wp:anchor>
      </w:drawing>
    </w:r>
    <w:r w:rsidR="001B2FE4">
      <w:rPr>
        <w:noProof/>
      </w:rPr>
      <w:drawing>
        <wp:anchor distT="0" distB="0" distL="114300" distR="114300" simplePos="0" relativeHeight="251658242" behindDoc="0" locked="0" layoutInCell="1" allowOverlap="1" wp14:anchorId="43AF67F2" wp14:editId="3B7E6243">
          <wp:simplePos x="0" y="0"/>
          <wp:positionH relativeFrom="column">
            <wp:posOffset>-285750</wp:posOffset>
          </wp:positionH>
          <wp:positionV relativeFrom="paragraph">
            <wp:posOffset>-228600</wp:posOffset>
          </wp:positionV>
          <wp:extent cx="1669618" cy="885825"/>
          <wp:effectExtent l="0" t="0" r="6985" b="0"/>
          <wp:wrapNone/>
          <wp:docPr id="434575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69618" cy="885825"/>
                  </a:xfrm>
                  <a:prstGeom prst="rect">
                    <a:avLst/>
                  </a:prstGeom>
                </pic:spPr>
              </pic:pic>
            </a:graphicData>
          </a:graphic>
          <wp14:sizeRelH relativeFrom="page">
            <wp14:pctWidth>0</wp14:pctWidth>
          </wp14:sizeRelH>
          <wp14:sizeRelV relativeFrom="page">
            <wp14:pctHeight>0</wp14:pctHeight>
          </wp14:sizeRelV>
        </wp:anchor>
      </w:drawing>
    </w:r>
    <w:r w:rsidR="001B2FE4">
      <w:rPr>
        <w:noProof/>
      </w:rPr>
      <w:drawing>
        <wp:anchor distT="0" distB="0" distL="114300" distR="114300" simplePos="0" relativeHeight="251658240" behindDoc="0" locked="0" layoutInCell="1" allowOverlap="1" wp14:anchorId="0D691956" wp14:editId="28D64206">
          <wp:simplePos x="0" y="0"/>
          <wp:positionH relativeFrom="column">
            <wp:posOffset>4451985</wp:posOffset>
          </wp:positionH>
          <wp:positionV relativeFrom="paragraph">
            <wp:posOffset>-247650</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1B2FE4">
      <w:tab/>
    </w:r>
    <w:r w:rsidR="00A32B8F">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2384C312"/>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6"/>
  </w:num>
  <w:num w:numId="2" w16cid:durableId="2029719975">
    <w:abstractNumId w:val="5"/>
  </w:num>
  <w:num w:numId="3" w16cid:durableId="1539776804">
    <w:abstractNumId w:val="8"/>
  </w:num>
  <w:num w:numId="4"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7"/>
  </w:num>
  <w:num w:numId="6" w16cid:durableId="594171688">
    <w:abstractNumId w:val="1"/>
  </w:num>
  <w:num w:numId="7" w16cid:durableId="1938251912">
    <w:abstractNumId w:val="4"/>
  </w:num>
  <w:num w:numId="8" w16cid:durableId="1784962959">
    <w:abstractNumId w:val="10"/>
  </w:num>
  <w:num w:numId="9" w16cid:durableId="1023946614">
    <w:abstractNumId w:val="2"/>
  </w:num>
  <w:num w:numId="10" w16cid:durableId="191308430">
    <w:abstractNumId w:val="9"/>
  </w:num>
  <w:num w:numId="11" w16cid:durableId="1006522116">
    <w:abstractNumId w:val="9"/>
  </w:num>
  <w:num w:numId="12" w16cid:durableId="598371054">
    <w:abstractNumId w:val="9"/>
  </w:num>
  <w:num w:numId="13" w16cid:durableId="1734430744">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14" w16cid:durableId="1450273690">
    <w:abstractNumId w:val="0"/>
  </w:num>
  <w:num w:numId="15" w16cid:durableId="1719864929">
    <w:abstractNumId w:val="4"/>
    <w:lvlOverride w:ilvl="0">
      <w:startOverride w:val="1"/>
    </w:lvlOverride>
  </w:num>
  <w:num w:numId="16" w16cid:durableId="1935934525">
    <w:abstractNumId w:val="9"/>
  </w:num>
  <w:num w:numId="17" w16cid:durableId="1591767234">
    <w:abstractNumId w:val="4"/>
  </w:num>
  <w:num w:numId="18" w16cid:durableId="1700013128">
    <w:abstractNumId w:val="4"/>
  </w:num>
  <w:num w:numId="19" w16cid:durableId="75710706">
    <w:abstractNumId w:val="4"/>
  </w:num>
  <w:num w:numId="20" w16cid:durableId="286131107">
    <w:abstractNumId w:val="4"/>
  </w:num>
  <w:num w:numId="21" w16cid:durableId="1386754323">
    <w:abstractNumId w:val="4"/>
  </w:num>
  <w:num w:numId="22" w16cid:durableId="1542278735">
    <w:abstractNumId w:val="4"/>
  </w:num>
  <w:num w:numId="23" w16cid:durableId="1818452280">
    <w:abstractNumId w:val="4"/>
  </w:num>
  <w:num w:numId="24" w16cid:durableId="1208222621">
    <w:abstractNumId w:val="4"/>
  </w:num>
  <w:num w:numId="25" w16cid:durableId="1818296806">
    <w:abstractNumId w:val="4"/>
  </w:num>
  <w:num w:numId="26" w16cid:durableId="1188521626">
    <w:abstractNumId w:val="4"/>
    <w:lvlOverride w:ilvl="0">
      <w:startOverride w:val="1"/>
    </w:lvlOverride>
  </w:num>
  <w:num w:numId="27" w16cid:durableId="1511601005">
    <w:abstractNumId w:val="4"/>
    <w:lvlOverride w:ilvl="0">
      <w:startOverride w:val="1"/>
    </w:lvlOverride>
  </w:num>
  <w:num w:numId="28" w16cid:durableId="1776948943">
    <w:abstractNumId w:val="4"/>
    <w:lvlOverride w:ilvl="0">
      <w:startOverride w:val="1"/>
    </w:lvlOverride>
  </w:num>
  <w:num w:numId="29" w16cid:durableId="1098722247">
    <w:abstractNumId w:val="4"/>
  </w:num>
  <w:num w:numId="30" w16cid:durableId="1436705958">
    <w:abstractNumId w:val="4"/>
  </w:num>
  <w:num w:numId="31" w16cid:durableId="1611623307">
    <w:abstractNumId w:val="4"/>
  </w:num>
  <w:num w:numId="32" w16cid:durableId="236131408">
    <w:abstractNumId w:val="4"/>
  </w:num>
  <w:num w:numId="33" w16cid:durableId="990865338">
    <w:abstractNumId w:val="4"/>
  </w:num>
  <w:num w:numId="34" w16cid:durableId="2099863368">
    <w:abstractNumId w:val="4"/>
  </w:num>
  <w:num w:numId="35" w16cid:durableId="1882745314">
    <w:abstractNumId w:val="4"/>
  </w:num>
  <w:num w:numId="36" w16cid:durableId="56519271">
    <w:abstractNumId w:val="4"/>
  </w:num>
  <w:num w:numId="37" w16cid:durableId="56712705">
    <w:abstractNumId w:val="4"/>
  </w:num>
  <w:num w:numId="38" w16cid:durableId="2020425398">
    <w:abstractNumId w:val="4"/>
  </w:num>
  <w:num w:numId="39" w16cid:durableId="626787880">
    <w:abstractNumId w:val="4"/>
  </w:num>
  <w:num w:numId="40" w16cid:durableId="1025029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1E71"/>
    <w:rsid w:val="00004979"/>
    <w:rsid w:val="000169FA"/>
    <w:rsid w:val="00020381"/>
    <w:rsid w:val="00030F59"/>
    <w:rsid w:val="00032E97"/>
    <w:rsid w:val="000342B6"/>
    <w:rsid w:val="00040BA1"/>
    <w:rsid w:val="00046377"/>
    <w:rsid w:val="00054DFB"/>
    <w:rsid w:val="00054F08"/>
    <w:rsid w:val="000551AE"/>
    <w:rsid w:val="00056CF5"/>
    <w:rsid w:val="0006460E"/>
    <w:rsid w:val="000734A4"/>
    <w:rsid w:val="000754F9"/>
    <w:rsid w:val="0008238F"/>
    <w:rsid w:val="00085935"/>
    <w:rsid w:val="000910FC"/>
    <w:rsid w:val="00093C34"/>
    <w:rsid w:val="0009644E"/>
    <w:rsid w:val="00097CF8"/>
    <w:rsid w:val="000A1F17"/>
    <w:rsid w:val="000A66B8"/>
    <w:rsid w:val="000A6A36"/>
    <w:rsid w:val="000B042D"/>
    <w:rsid w:val="000B1A02"/>
    <w:rsid w:val="000B4DB3"/>
    <w:rsid w:val="000B755E"/>
    <w:rsid w:val="000C4298"/>
    <w:rsid w:val="000C6340"/>
    <w:rsid w:val="000D0680"/>
    <w:rsid w:val="000D2C0F"/>
    <w:rsid w:val="000D41E5"/>
    <w:rsid w:val="000E1DDC"/>
    <w:rsid w:val="000E2715"/>
    <w:rsid w:val="000E3A87"/>
    <w:rsid w:val="000E3E1E"/>
    <w:rsid w:val="000F1E67"/>
    <w:rsid w:val="000F3A10"/>
    <w:rsid w:val="000F56E0"/>
    <w:rsid w:val="001008D1"/>
    <w:rsid w:val="00111994"/>
    <w:rsid w:val="001124DC"/>
    <w:rsid w:val="00120CB9"/>
    <w:rsid w:val="001215B4"/>
    <w:rsid w:val="00127F5D"/>
    <w:rsid w:val="00134A89"/>
    <w:rsid w:val="00136514"/>
    <w:rsid w:val="00137229"/>
    <w:rsid w:val="00143423"/>
    <w:rsid w:val="001442E1"/>
    <w:rsid w:val="00147EA4"/>
    <w:rsid w:val="001524F3"/>
    <w:rsid w:val="0015406F"/>
    <w:rsid w:val="001565F9"/>
    <w:rsid w:val="00160BDA"/>
    <w:rsid w:val="00181B2A"/>
    <w:rsid w:val="00181EF5"/>
    <w:rsid w:val="00184A0C"/>
    <w:rsid w:val="0018642B"/>
    <w:rsid w:val="00195B3A"/>
    <w:rsid w:val="001A34F4"/>
    <w:rsid w:val="001A59C1"/>
    <w:rsid w:val="001A5ED5"/>
    <w:rsid w:val="001A7AF4"/>
    <w:rsid w:val="001B0BB2"/>
    <w:rsid w:val="001B1AC4"/>
    <w:rsid w:val="001B27D7"/>
    <w:rsid w:val="001B2FE4"/>
    <w:rsid w:val="001B46C2"/>
    <w:rsid w:val="001B799A"/>
    <w:rsid w:val="001C42EB"/>
    <w:rsid w:val="001D16E2"/>
    <w:rsid w:val="001E289A"/>
    <w:rsid w:val="001E4BD2"/>
    <w:rsid w:val="001E7E05"/>
    <w:rsid w:val="001F17A7"/>
    <w:rsid w:val="001F1952"/>
    <w:rsid w:val="001F1B6E"/>
    <w:rsid w:val="001F6339"/>
    <w:rsid w:val="00205F90"/>
    <w:rsid w:val="00211315"/>
    <w:rsid w:val="002174B4"/>
    <w:rsid w:val="00220D48"/>
    <w:rsid w:val="002310C8"/>
    <w:rsid w:val="00234644"/>
    <w:rsid w:val="002352E6"/>
    <w:rsid w:val="00237C8C"/>
    <w:rsid w:val="00242F64"/>
    <w:rsid w:val="002439A3"/>
    <w:rsid w:val="00243E14"/>
    <w:rsid w:val="002468AD"/>
    <w:rsid w:val="00251E37"/>
    <w:rsid w:val="00255789"/>
    <w:rsid w:val="00262845"/>
    <w:rsid w:val="00263B96"/>
    <w:rsid w:val="00272519"/>
    <w:rsid w:val="002734D9"/>
    <w:rsid w:val="00273933"/>
    <w:rsid w:val="00281938"/>
    <w:rsid w:val="00282223"/>
    <w:rsid w:val="00284D78"/>
    <w:rsid w:val="00286D51"/>
    <w:rsid w:val="00286F46"/>
    <w:rsid w:val="00291BE8"/>
    <w:rsid w:val="0029279E"/>
    <w:rsid w:val="002928BC"/>
    <w:rsid w:val="00292CA8"/>
    <w:rsid w:val="00292F92"/>
    <w:rsid w:val="002A0797"/>
    <w:rsid w:val="002A39F4"/>
    <w:rsid w:val="002A4838"/>
    <w:rsid w:val="002B1275"/>
    <w:rsid w:val="002C57BC"/>
    <w:rsid w:val="002C5ED4"/>
    <w:rsid w:val="002C5FEA"/>
    <w:rsid w:val="002D36C6"/>
    <w:rsid w:val="002D53A5"/>
    <w:rsid w:val="002D68C9"/>
    <w:rsid w:val="002E12DD"/>
    <w:rsid w:val="002E17CC"/>
    <w:rsid w:val="002E34EA"/>
    <w:rsid w:val="002E46A1"/>
    <w:rsid w:val="002E5C97"/>
    <w:rsid w:val="002F0664"/>
    <w:rsid w:val="002F7A11"/>
    <w:rsid w:val="00301074"/>
    <w:rsid w:val="00307FA7"/>
    <w:rsid w:val="00311947"/>
    <w:rsid w:val="00315C53"/>
    <w:rsid w:val="00320592"/>
    <w:rsid w:val="00322929"/>
    <w:rsid w:val="00322CB1"/>
    <w:rsid w:val="003244CB"/>
    <w:rsid w:val="003275B9"/>
    <w:rsid w:val="003369A6"/>
    <w:rsid w:val="00340484"/>
    <w:rsid w:val="00344140"/>
    <w:rsid w:val="00344556"/>
    <w:rsid w:val="00345B90"/>
    <w:rsid w:val="0035378E"/>
    <w:rsid w:val="0035424D"/>
    <w:rsid w:val="0036202F"/>
    <w:rsid w:val="00366B6D"/>
    <w:rsid w:val="00374FD8"/>
    <w:rsid w:val="00381F53"/>
    <w:rsid w:val="00383163"/>
    <w:rsid w:val="00385D96"/>
    <w:rsid w:val="00390AC3"/>
    <w:rsid w:val="0039289E"/>
    <w:rsid w:val="003937C6"/>
    <w:rsid w:val="003A0BC2"/>
    <w:rsid w:val="003A1D3E"/>
    <w:rsid w:val="003A646C"/>
    <w:rsid w:val="003A6F6D"/>
    <w:rsid w:val="003B120D"/>
    <w:rsid w:val="003B2640"/>
    <w:rsid w:val="003B4FC4"/>
    <w:rsid w:val="003B6A7F"/>
    <w:rsid w:val="003C1E49"/>
    <w:rsid w:val="003C4039"/>
    <w:rsid w:val="003C60FE"/>
    <w:rsid w:val="003D5B61"/>
    <w:rsid w:val="003D608F"/>
    <w:rsid w:val="003E0859"/>
    <w:rsid w:val="003E4C3C"/>
    <w:rsid w:val="003E524A"/>
    <w:rsid w:val="003E6A6D"/>
    <w:rsid w:val="003F7518"/>
    <w:rsid w:val="003F784A"/>
    <w:rsid w:val="0040471C"/>
    <w:rsid w:val="004076CD"/>
    <w:rsid w:val="004138C7"/>
    <w:rsid w:val="004150D0"/>
    <w:rsid w:val="00417CE5"/>
    <w:rsid w:val="00430A63"/>
    <w:rsid w:val="00431149"/>
    <w:rsid w:val="0043216A"/>
    <w:rsid w:val="0043237E"/>
    <w:rsid w:val="00435107"/>
    <w:rsid w:val="00435B7B"/>
    <w:rsid w:val="00441539"/>
    <w:rsid w:val="004474B2"/>
    <w:rsid w:val="00450118"/>
    <w:rsid w:val="00450405"/>
    <w:rsid w:val="00453314"/>
    <w:rsid w:val="00470279"/>
    <w:rsid w:val="004741C3"/>
    <w:rsid w:val="004769A3"/>
    <w:rsid w:val="00476CC4"/>
    <w:rsid w:val="004866AE"/>
    <w:rsid w:val="00493951"/>
    <w:rsid w:val="004A17D9"/>
    <w:rsid w:val="004A315C"/>
    <w:rsid w:val="004A3F75"/>
    <w:rsid w:val="004A56EE"/>
    <w:rsid w:val="004A5B01"/>
    <w:rsid w:val="004A7D93"/>
    <w:rsid w:val="004A7FF9"/>
    <w:rsid w:val="004B1E4E"/>
    <w:rsid w:val="004B4CAF"/>
    <w:rsid w:val="004B73AF"/>
    <w:rsid w:val="004C0104"/>
    <w:rsid w:val="004C5974"/>
    <w:rsid w:val="004D2568"/>
    <w:rsid w:val="004D3EE9"/>
    <w:rsid w:val="004D51DD"/>
    <w:rsid w:val="004D53C7"/>
    <w:rsid w:val="004D556B"/>
    <w:rsid w:val="004E150B"/>
    <w:rsid w:val="004E21AC"/>
    <w:rsid w:val="004E2CD9"/>
    <w:rsid w:val="004E7176"/>
    <w:rsid w:val="004E783D"/>
    <w:rsid w:val="004F2465"/>
    <w:rsid w:val="004F2845"/>
    <w:rsid w:val="004F2F84"/>
    <w:rsid w:val="004F34E5"/>
    <w:rsid w:val="004F6ACF"/>
    <w:rsid w:val="004F71D4"/>
    <w:rsid w:val="00504CC9"/>
    <w:rsid w:val="005110F3"/>
    <w:rsid w:val="005132BB"/>
    <w:rsid w:val="0051494C"/>
    <w:rsid w:val="00514A2D"/>
    <w:rsid w:val="005151E6"/>
    <w:rsid w:val="00522092"/>
    <w:rsid w:val="00522C7E"/>
    <w:rsid w:val="00524166"/>
    <w:rsid w:val="00524C18"/>
    <w:rsid w:val="005336C2"/>
    <w:rsid w:val="005403E3"/>
    <w:rsid w:val="00540440"/>
    <w:rsid w:val="005424F3"/>
    <w:rsid w:val="00550F56"/>
    <w:rsid w:val="005513CA"/>
    <w:rsid w:val="0055461C"/>
    <w:rsid w:val="00563DFB"/>
    <w:rsid w:val="00567571"/>
    <w:rsid w:val="00567887"/>
    <w:rsid w:val="00567FD1"/>
    <w:rsid w:val="00571EF6"/>
    <w:rsid w:val="005749D8"/>
    <w:rsid w:val="0057794E"/>
    <w:rsid w:val="00586EAB"/>
    <w:rsid w:val="005874CB"/>
    <w:rsid w:val="00587B27"/>
    <w:rsid w:val="00594519"/>
    <w:rsid w:val="00594DA5"/>
    <w:rsid w:val="0059754B"/>
    <w:rsid w:val="005A4207"/>
    <w:rsid w:val="005A65C6"/>
    <w:rsid w:val="005B0C1B"/>
    <w:rsid w:val="005B1490"/>
    <w:rsid w:val="005B1C73"/>
    <w:rsid w:val="005B2D86"/>
    <w:rsid w:val="005C183B"/>
    <w:rsid w:val="005C58B6"/>
    <w:rsid w:val="005C5BF7"/>
    <w:rsid w:val="005D3421"/>
    <w:rsid w:val="005D4EE6"/>
    <w:rsid w:val="005D5F82"/>
    <w:rsid w:val="005E75FD"/>
    <w:rsid w:val="005F2A19"/>
    <w:rsid w:val="005F5167"/>
    <w:rsid w:val="005F69EB"/>
    <w:rsid w:val="0060568A"/>
    <w:rsid w:val="0060622C"/>
    <w:rsid w:val="00616067"/>
    <w:rsid w:val="0061778F"/>
    <w:rsid w:val="00624A10"/>
    <w:rsid w:val="00626C39"/>
    <w:rsid w:val="006323BA"/>
    <w:rsid w:val="00643D7A"/>
    <w:rsid w:val="00646D29"/>
    <w:rsid w:val="00646DE9"/>
    <w:rsid w:val="00652094"/>
    <w:rsid w:val="0065542A"/>
    <w:rsid w:val="0066318F"/>
    <w:rsid w:val="0066347E"/>
    <w:rsid w:val="0066374C"/>
    <w:rsid w:val="006638DA"/>
    <w:rsid w:val="0067100E"/>
    <w:rsid w:val="006761A7"/>
    <w:rsid w:val="0068091A"/>
    <w:rsid w:val="00683A39"/>
    <w:rsid w:val="00683FE9"/>
    <w:rsid w:val="00685293"/>
    <w:rsid w:val="00691BE6"/>
    <w:rsid w:val="006927DD"/>
    <w:rsid w:val="00692CCF"/>
    <w:rsid w:val="006A362A"/>
    <w:rsid w:val="006A519C"/>
    <w:rsid w:val="006A64FA"/>
    <w:rsid w:val="006B7B89"/>
    <w:rsid w:val="006B7D8C"/>
    <w:rsid w:val="006D0003"/>
    <w:rsid w:val="006D39C4"/>
    <w:rsid w:val="006E0467"/>
    <w:rsid w:val="006E4C9F"/>
    <w:rsid w:val="006E7D5B"/>
    <w:rsid w:val="006F4D11"/>
    <w:rsid w:val="006F582F"/>
    <w:rsid w:val="006F5834"/>
    <w:rsid w:val="00702DBA"/>
    <w:rsid w:val="007064C2"/>
    <w:rsid w:val="0070771A"/>
    <w:rsid w:val="007143B8"/>
    <w:rsid w:val="007174BE"/>
    <w:rsid w:val="0072241B"/>
    <w:rsid w:val="007268C7"/>
    <w:rsid w:val="007316AA"/>
    <w:rsid w:val="00731FC8"/>
    <w:rsid w:val="00741B9C"/>
    <w:rsid w:val="00753551"/>
    <w:rsid w:val="00754795"/>
    <w:rsid w:val="00754877"/>
    <w:rsid w:val="00757A1C"/>
    <w:rsid w:val="007637D8"/>
    <w:rsid w:val="00765EBC"/>
    <w:rsid w:val="007663DC"/>
    <w:rsid w:val="0077231B"/>
    <w:rsid w:val="007728C1"/>
    <w:rsid w:val="00774643"/>
    <w:rsid w:val="007762EA"/>
    <w:rsid w:val="007770DE"/>
    <w:rsid w:val="007838DE"/>
    <w:rsid w:val="00786342"/>
    <w:rsid w:val="007920C4"/>
    <w:rsid w:val="007A23AF"/>
    <w:rsid w:val="007A278F"/>
    <w:rsid w:val="007B38D6"/>
    <w:rsid w:val="007B46CD"/>
    <w:rsid w:val="007C4387"/>
    <w:rsid w:val="007C4E2C"/>
    <w:rsid w:val="007C7CCE"/>
    <w:rsid w:val="007D18A7"/>
    <w:rsid w:val="007D2FB7"/>
    <w:rsid w:val="007D5BD6"/>
    <w:rsid w:val="007E3620"/>
    <w:rsid w:val="007E3FD5"/>
    <w:rsid w:val="007E4726"/>
    <w:rsid w:val="007E79C4"/>
    <w:rsid w:val="007F23A8"/>
    <w:rsid w:val="007F6D39"/>
    <w:rsid w:val="007F705D"/>
    <w:rsid w:val="00804604"/>
    <w:rsid w:val="0080657B"/>
    <w:rsid w:val="0080689E"/>
    <w:rsid w:val="0081221D"/>
    <w:rsid w:val="0082319A"/>
    <w:rsid w:val="00826961"/>
    <w:rsid w:val="0083533E"/>
    <w:rsid w:val="00836428"/>
    <w:rsid w:val="00841506"/>
    <w:rsid w:val="00847C78"/>
    <w:rsid w:val="008504A9"/>
    <w:rsid w:val="00852B97"/>
    <w:rsid w:val="00861481"/>
    <w:rsid w:val="00870521"/>
    <w:rsid w:val="00870C57"/>
    <w:rsid w:val="00871738"/>
    <w:rsid w:val="0087642D"/>
    <w:rsid w:val="00876F22"/>
    <w:rsid w:val="008806CE"/>
    <w:rsid w:val="008856D7"/>
    <w:rsid w:val="00890056"/>
    <w:rsid w:val="0089523C"/>
    <w:rsid w:val="00897249"/>
    <w:rsid w:val="008A013F"/>
    <w:rsid w:val="008C3B9B"/>
    <w:rsid w:val="008C7B1F"/>
    <w:rsid w:val="008C7B63"/>
    <w:rsid w:val="008E0859"/>
    <w:rsid w:val="008E6016"/>
    <w:rsid w:val="008E7D94"/>
    <w:rsid w:val="008F0BDD"/>
    <w:rsid w:val="008F2F99"/>
    <w:rsid w:val="008F6084"/>
    <w:rsid w:val="009057C8"/>
    <w:rsid w:val="00912F48"/>
    <w:rsid w:val="00920341"/>
    <w:rsid w:val="00926048"/>
    <w:rsid w:val="0092633E"/>
    <w:rsid w:val="009302F5"/>
    <w:rsid w:val="0093193B"/>
    <w:rsid w:val="00932A5B"/>
    <w:rsid w:val="0094237C"/>
    <w:rsid w:val="00944EC7"/>
    <w:rsid w:val="00947170"/>
    <w:rsid w:val="00947B3D"/>
    <w:rsid w:val="00956E94"/>
    <w:rsid w:val="00961247"/>
    <w:rsid w:val="00962312"/>
    <w:rsid w:val="009627A1"/>
    <w:rsid w:val="009632E2"/>
    <w:rsid w:val="009712FE"/>
    <w:rsid w:val="009739E1"/>
    <w:rsid w:val="009778FD"/>
    <w:rsid w:val="009804CB"/>
    <w:rsid w:val="009875AD"/>
    <w:rsid w:val="0098778A"/>
    <w:rsid w:val="009924AF"/>
    <w:rsid w:val="00993086"/>
    <w:rsid w:val="0099311E"/>
    <w:rsid w:val="009931B7"/>
    <w:rsid w:val="00993524"/>
    <w:rsid w:val="00995DA3"/>
    <w:rsid w:val="009A7F71"/>
    <w:rsid w:val="009B51D7"/>
    <w:rsid w:val="009C3994"/>
    <w:rsid w:val="009C6ACD"/>
    <w:rsid w:val="009D3BEA"/>
    <w:rsid w:val="009D5161"/>
    <w:rsid w:val="009E4D16"/>
    <w:rsid w:val="009F04C6"/>
    <w:rsid w:val="009F12E2"/>
    <w:rsid w:val="009F3358"/>
    <w:rsid w:val="009F478B"/>
    <w:rsid w:val="009F69C1"/>
    <w:rsid w:val="00A019E6"/>
    <w:rsid w:val="00A020F7"/>
    <w:rsid w:val="00A04F85"/>
    <w:rsid w:val="00A24DF6"/>
    <w:rsid w:val="00A32B8F"/>
    <w:rsid w:val="00A40EE1"/>
    <w:rsid w:val="00A41963"/>
    <w:rsid w:val="00A41B18"/>
    <w:rsid w:val="00A423ED"/>
    <w:rsid w:val="00A51887"/>
    <w:rsid w:val="00A536F3"/>
    <w:rsid w:val="00A55FCD"/>
    <w:rsid w:val="00A60C58"/>
    <w:rsid w:val="00A62B8B"/>
    <w:rsid w:val="00A63D26"/>
    <w:rsid w:val="00A67BA5"/>
    <w:rsid w:val="00A70928"/>
    <w:rsid w:val="00A72103"/>
    <w:rsid w:val="00A75C67"/>
    <w:rsid w:val="00A9020E"/>
    <w:rsid w:val="00A91D08"/>
    <w:rsid w:val="00A92F91"/>
    <w:rsid w:val="00A94972"/>
    <w:rsid w:val="00A94FE7"/>
    <w:rsid w:val="00A95161"/>
    <w:rsid w:val="00A975D1"/>
    <w:rsid w:val="00AA6318"/>
    <w:rsid w:val="00AA7FCB"/>
    <w:rsid w:val="00AB30FF"/>
    <w:rsid w:val="00AB54F8"/>
    <w:rsid w:val="00AB59AE"/>
    <w:rsid w:val="00AB5BD9"/>
    <w:rsid w:val="00AC040C"/>
    <w:rsid w:val="00AC77BD"/>
    <w:rsid w:val="00AD0AA1"/>
    <w:rsid w:val="00AE07A3"/>
    <w:rsid w:val="00AE372A"/>
    <w:rsid w:val="00AE4B0B"/>
    <w:rsid w:val="00AF5859"/>
    <w:rsid w:val="00AF6AFA"/>
    <w:rsid w:val="00AF7867"/>
    <w:rsid w:val="00B047D5"/>
    <w:rsid w:val="00B061E1"/>
    <w:rsid w:val="00B110EA"/>
    <w:rsid w:val="00B161C7"/>
    <w:rsid w:val="00B275A9"/>
    <w:rsid w:val="00B316FF"/>
    <w:rsid w:val="00B40494"/>
    <w:rsid w:val="00B40DBF"/>
    <w:rsid w:val="00B44231"/>
    <w:rsid w:val="00B457C4"/>
    <w:rsid w:val="00B54060"/>
    <w:rsid w:val="00B61376"/>
    <w:rsid w:val="00B6643D"/>
    <w:rsid w:val="00B71178"/>
    <w:rsid w:val="00B7417D"/>
    <w:rsid w:val="00B914A2"/>
    <w:rsid w:val="00B9541E"/>
    <w:rsid w:val="00BA00D4"/>
    <w:rsid w:val="00BA05ED"/>
    <w:rsid w:val="00BA10E0"/>
    <w:rsid w:val="00BA4CDE"/>
    <w:rsid w:val="00BB0488"/>
    <w:rsid w:val="00BB0E32"/>
    <w:rsid w:val="00BB3ED5"/>
    <w:rsid w:val="00BB4AB9"/>
    <w:rsid w:val="00BB7D8E"/>
    <w:rsid w:val="00BC07C0"/>
    <w:rsid w:val="00BC1341"/>
    <w:rsid w:val="00BC18B3"/>
    <w:rsid w:val="00BC2CE5"/>
    <w:rsid w:val="00BD003F"/>
    <w:rsid w:val="00BD024B"/>
    <w:rsid w:val="00BD0FC2"/>
    <w:rsid w:val="00BD3CFF"/>
    <w:rsid w:val="00BD3F80"/>
    <w:rsid w:val="00BE5736"/>
    <w:rsid w:val="00BE59BD"/>
    <w:rsid w:val="00BF3709"/>
    <w:rsid w:val="00BF5691"/>
    <w:rsid w:val="00C0174A"/>
    <w:rsid w:val="00C05D23"/>
    <w:rsid w:val="00C05D9B"/>
    <w:rsid w:val="00C16BBD"/>
    <w:rsid w:val="00C17550"/>
    <w:rsid w:val="00C214BA"/>
    <w:rsid w:val="00C26130"/>
    <w:rsid w:val="00C265BC"/>
    <w:rsid w:val="00C26B28"/>
    <w:rsid w:val="00C315B6"/>
    <w:rsid w:val="00C376F3"/>
    <w:rsid w:val="00C4132F"/>
    <w:rsid w:val="00C463D2"/>
    <w:rsid w:val="00C52F4F"/>
    <w:rsid w:val="00C52F91"/>
    <w:rsid w:val="00C62A44"/>
    <w:rsid w:val="00C80A39"/>
    <w:rsid w:val="00C81936"/>
    <w:rsid w:val="00C84C4C"/>
    <w:rsid w:val="00C94BFC"/>
    <w:rsid w:val="00C967AB"/>
    <w:rsid w:val="00C96C0B"/>
    <w:rsid w:val="00CA1702"/>
    <w:rsid w:val="00CA33C3"/>
    <w:rsid w:val="00CA5CC2"/>
    <w:rsid w:val="00CA6481"/>
    <w:rsid w:val="00CA64A7"/>
    <w:rsid w:val="00CA7D78"/>
    <w:rsid w:val="00CB297F"/>
    <w:rsid w:val="00CB33E5"/>
    <w:rsid w:val="00CB631F"/>
    <w:rsid w:val="00CC2800"/>
    <w:rsid w:val="00CC5314"/>
    <w:rsid w:val="00CE3C43"/>
    <w:rsid w:val="00CF5003"/>
    <w:rsid w:val="00CF5099"/>
    <w:rsid w:val="00D0019C"/>
    <w:rsid w:val="00D1338C"/>
    <w:rsid w:val="00D17F80"/>
    <w:rsid w:val="00D205DF"/>
    <w:rsid w:val="00D22D5C"/>
    <w:rsid w:val="00D2563C"/>
    <w:rsid w:val="00D3182B"/>
    <w:rsid w:val="00D31AA7"/>
    <w:rsid w:val="00D42239"/>
    <w:rsid w:val="00D438D9"/>
    <w:rsid w:val="00D45A6A"/>
    <w:rsid w:val="00D52ACF"/>
    <w:rsid w:val="00D52AD6"/>
    <w:rsid w:val="00D61933"/>
    <w:rsid w:val="00D74B62"/>
    <w:rsid w:val="00D818E9"/>
    <w:rsid w:val="00D82893"/>
    <w:rsid w:val="00D86181"/>
    <w:rsid w:val="00D861C1"/>
    <w:rsid w:val="00D86901"/>
    <w:rsid w:val="00D87674"/>
    <w:rsid w:val="00D91128"/>
    <w:rsid w:val="00D92835"/>
    <w:rsid w:val="00D94424"/>
    <w:rsid w:val="00D9454D"/>
    <w:rsid w:val="00D9731F"/>
    <w:rsid w:val="00DA6DB6"/>
    <w:rsid w:val="00DC3381"/>
    <w:rsid w:val="00DC41C9"/>
    <w:rsid w:val="00DC5473"/>
    <w:rsid w:val="00DC577C"/>
    <w:rsid w:val="00DC6488"/>
    <w:rsid w:val="00DC6A3F"/>
    <w:rsid w:val="00DD0FFD"/>
    <w:rsid w:val="00DD2F76"/>
    <w:rsid w:val="00DD3996"/>
    <w:rsid w:val="00DD7111"/>
    <w:rsid w:val="00DE6FE8"/>
    <w:rsid w:val="00DF3046"/>
    <w:rsid w:val="00E035F9"/>
    <w:rsid w:val="00E06DAC"/>
    <w:rsid w:val="00E114C5"/>
    <w:rsid w:val="00E13D93"/>
    <w:rsid w:val="00E162F5"/>
    <w:rsid w:val="00E1750C"/>
    <w:rsid w:val="00E307F3"/>
    <w:rsid w:val="00E3230E"/>
    <w:rsid w:val="00E3427D"/>
    <w:rsid w:val="00E35775"/>
    <w:rsid w:val="00E42EAD"/>
    <w:rsid w:val="00E43EC3"/>
    <w:rsid w:val="00E442D2"/>
    <w:rsid w:val="00E514BD"/>
    <w:rsid w:val="00E67621"/>
    <w:rsid w:val="00E70114"/>
    <w:rsid w:val="00E724F0"/>
    <w:rsid w:val="00E74447"/>
    <w:rsid w:val="00E80A4B"/>
    <w:rsid w:val="00E826D1"/>
    <w:rsid w:val="00E8397C"/>
    <w:rsid w:val="00E95CF7"/>
    <w:rsid w:val="00EA0EEB"/>
    <w:rsid w:val="00EA2482"/>
    <w:rsid w:val="00EC00DB"/>
    <w:rsid w:val="00ED2912"/>
    <w:rsid w:val="00ED2DCC"/>
    <w:rsid w:val="00EE5C39"/>
    <w:rsid w:val="00EF1FCD"/>
    <w:rsid w:val="00EF2BE5"/>
    <w:rsid w:val="00EF4293"/>
    <w:rsid w:val="00EF43AC"/>
    <w:rsid w:val="00EF4CA2"/>
    <w:rsid w:val="00EF725A"/>
    <w:rsid w:val="00F01057"/>
    <w:rsid w:val="00F042FA"/>
    <w:rsid w:val="00F16374"/>
    <w:rsid w:val="00F17EDA"/>
    <w:rsid w:val="00F22813"/>
    <w:rsid w:val="00F23338"/>
    <w:rsid w:val="00F234F2"/>
    <w:rsid w:val="00F23CD7"/>
    <w:rsid w:val="00F2442A"/>
    <w:rsid w:val="00F2451E"/>
    <w:rsid w:val="00F30926"/>
    <w:rsid w:val="00F3578B"/>
    <w:rsid w:val="00F4107A"/>
    <w:rsid w:val="00F44F18"/>
    <w:rsid w:val="00F51AFD"/>
    <w:rsid w:val="00F52237"/>
    <w:rsid w:val="00F532F7"/>
    <w:rsid w:val="00F55122"/>
    <w:rsid w:val="00F612FF"/>
    <w:rsid w:val="00F636AB"/>
    <w:rsid w:val="00F6493F"/>
    <w:rsid w:val="00F66C6A"/>
    <w:rsid w:val="00F7182E"/>
    <w:rsid w:val="00F75663"/>
    <w:rsid w:val="00F811E7"/>
    <w:rsid w:val="00F82E22"/>
    <w:rsid w:val="00F83B66"/>
    <w:rsid w:val="00F9056C"/>
    <w:rsid w:val="00F9273D"/>
    <w:rsid w:val="00F92EF4"/>
    <w:rsid w:val="00FA2927"/>
    <w:rsid w:val="00FA6E54"/>
    <w:rsid w:val="00FB03FB"/>
    <w:rsid w:val="00FB4891"/>
    <w:rsid w:val="00FB7404"/>
    <w:rsid w:val="00FC686F"/>
    <w:rsid w:val="00FC7DD5"/>
    <w:rsid w:val="00FC7F30"/>
    <w:rsid w:val="00FC7FBE"/>
    <w:rsid w:val="00FD0EA2"/>
    <w:rsid w:val="00FD134C"/>
    <w:rsid w:val="00FE0378"/>
    <w:rsid w:val="00FE2347"/>
    <w:rsid w:val="00FE3B61"/>
    <w:rsid w:val="20EBB8F7"/>
    <w:rsid w:val="27553789"/>
    <w:rsid w:val="33A7E4E3"/>
    <w:rsid w:val="7334E9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90BBA699-0054-4FB5-93EC-36AF45728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endnote text"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styleId="EndnoteText">
    <w:name w:val="endnote text"/>
    <w:basedOn w:val="Normal"/>
    <w:link w:val="EndnoteTextChar"/>
    <w:uiPriority w:val="99"/>
    <w:rsid w:val="00054DFB"/>
    <w:rPr>
      <w:sz w:val="20"/>
      <w:szCs w:val="20"/>
    </w:rPr>
  </w:style>
  <w:style w:type="character" w:customStyle="1" w:styleId="EndnoteTextChar">
    <w:name w:val="Endnote Text Char"/>
    <w:basedOn w:val="DefaultParagraphFont"/>
    <w:link w:val="EndnoteText"/>
    <w:uiPriority w:val="99"/>
    <w:rsid w:val="00054DFB"/>
    <w:rPr>
      <w:sz w:val="20"/>
      <w:szCs w:val="20"/>
    </w:rPr>
  </w:style>
  <w:style w:type="character" w:styleId="EndnoteReference">
    <w:name w:val="endnote reference"/>
    <w:uiPriority w:val="99"/>
    <w:unhideWhenUsed/>
    <w:rsid w:val="00054DFB"/>
    <w:rPr>
      <w:vertAlign w:val="superscript"/>
    </w:rPr>
  </w:style>
  <w:style w:type="character" w:styleId="UnresolvedMention">
    <w:name w:val="Unresolved Mention"/>
    <w:basedOn w:val="DefaultParagraphFont"/>
    <w:uiPriority w:val="99"/>
    <w:semiHidden/>
    <w:unhideWhenUsed/>
    <w:rsid w:val="005513CA"/>
    <w:rPr>
      <w:color w:val="605E5C"/>
      <w:shd w:val="clear" w:color="auto" w:fill="E1DFDD"/>
    </w:rPr>
  </w:style>
  <w:style w:type="paragraph" w:customStyle="1" w:styleId="DocID">
    <w:name w:val="DocID"/>
    <w:basedOn w:val="Normal"/>
    <w:next w:val="Footer"/>
    <w:uiPriority w:val="99"/>
    <w:rsid w:val="003B120D"/>
    <w:rPr>
      <w:rFonts w:asciiTheme="minorHAnsi" w:eastAsiaTheme="minorHAnsi" w:hAnsiTheme="minorHAnsi" w:cstheme="minorBidi"/>
      <w:caps/>
      <w:kern w:val="0"/>
      <w:sz w:val="16"/>
      <w:szCs w:val="22"/>
      <w:lang w:eastAsia="en-US"/>
    </w:rPr>
  </w:style>
  <w:style w:type="character" w:styleId="FollowedHyperlink">
    <w:name w:val="FollowedHyperlink"/>
    <w:basedOn w:val="DefaultParagraphFont"/>
    <w:rsid w:val="00307FA7"/>
    <w:rPr>
      <w:color w:val="954F72" w:themeColor="followedHyperlink"/>
      <w:u w:val="single"/>
    </w:rPr>
  </w:style>
  <w:style w:type="paragraph" w:styleId="Revision">
    <w:name w:val="Revision"/>
    <w:hidden/>
    <w:uiPriority w:val="99"/>
    <w:semiHidden/>
    <w:rsid w:val="00C16B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36242831">
      <w:bodyDiv w:val="1"/>
      <w:marLeft w:val="0"/>
      <w:marRight w:val="0"/>
      <w:marTop w:val="0"/>
      <w:marBottom w:val="0"/>
      <w:divBdr>
        <w:top w:val="none" w:sz="0" w:space="0" w:color="auto"/>
        <w:left w:val="none" w:sz="0" w:space="0" w:color="auto"/>
        <w:bottom w:val="none" w:sz="0" w:space="0" w:color="auto"/>
        <w:right w:val="none" w:sz="0" w:space="0" w:color="auto"/>
      </w:divBdr>
    </w:div>
    <w:div w:id="838883155">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720402374">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248d7e1-e1e1-4a8e-9310-749402edb8a9">
      <Terms xmlns="http://schemas.microsoft.com/office/infopath/2007/PartnerControls"/>
    </lcf76f155ced4ddcb4097134ff3c332f>
    <TaxCatchAll xmlns="985ec44e-1bab-4c0b-9df0-6ba128686fc9" xsi:nil="true"/>
    <Document_x0020_Date xmlns="985ec44e-1bab-4c0b-9df0-6ba128686fc9">2025-05-05T08:43:09+00:00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3358079-39CE-4820-A8B1-A7DFECBDCED3}"/>
</file>

<file path=customXml/itemProps2.xml><?xml version="1.0" encoding="utf-8"?>
<ds:datastoreItem xmlns:ds="http://schemas.openxmlformats.org/officeDocument/2006/customXml" ds:itemID="{B4A6A637-C896-41E9-BFB6-FBCE984EB975}">
  <ds:schemaRefs>
    <ds:schemaRef ds:uri="http://schemas.microsoft.com/sharepoint/v3/contenttype/forms"/>
  </ds:schemaRefs>
</ds:datastoreItem>
</file>

<file path=customXml/itemProps3.xml><?xml version="1.0" encoding="utf-8"?>
<ds:datastoreItem xmlns:ds="http://schemas.openxmlformats.org/officeDocument/2006/customXml" ds:itemID="{7FA85FF1-9C36-451B-ACEB-89A6EBA31DCB}">
  <ds:schemaRefs>
    <ds:schemaRef ds:uri="http://schemas.openxmlformats.org/officeDocument/2006/bibliography"/>
  </ds:schemaRefs>
</ds:datastoreItem>
</file>

<file path=customXml/itemProps4.xml><?xml version="1.0" encoding="utf-8"?>
<ds:datastoreItem xmlns:ds="http://schemas.openxmlformats.org/officeDocument/2006/customXml" ds:itemID="{6234285D-6976-475E-975E-1B56802C684C}">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1552</Words>
  <Characters>8394</Characters>
  <Application>Microsoft Office Word</Application>
  <DocSecurity>0</DocSecurity>
  <Lines>69</Lines>
  <Paragraphs>19</Paragraphs>
  <ScaleCrop>false</ScaleCrop>
  <Company/>
  <LinksUpToDate>false</LinksUpToDate>
  <CharactersWithSpaces>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Bergquist</cp:lastModifiedBy>
  <cp:revision>5</cp:revision>
  <cp:lastPrinted>1900-01-01T06:00:00Z</cp:lastPrinted>
  <dcterms:created xsi:type="dcterms:W3CDTF">2025-05-02T18:48:00Z</dcterms:created>
  <dcterms:modified xsi:type="dcterms:W3CDTF">2025-05-02T18:49:00Z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MediaServiceImageTags">
    <vt:lpwstr/>
  </property>
</Properties>
</file>