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AFC1B" w14:textId="77777777" w:rsidR="00597D80" w:rsidRPr="001F074A" w:rsidRDefault="00597D80">
      <w:pPr>
        <w:pBdr>
          <w:top w:val="nil"/>
          <w:left w:val="nil"/>
          <w:bottom w:val="nil"/>
          <w:right w:val="nil"/>
          <w:between w:val="nil"/>
        </w:pBdr>
        <w:spacing w:after="0" w:line="240" w:lineRule="auto"/>
        <w:rPr>
          <w:rFonts w:ascii="Book Antiqua" w:hAnsi="Book Antiqua"/>
          <w:color w:val="000000"/>
        </w:rPr>
      </w:pPr>
    </w:p>
    <w:p w14:paraId="4289C744" w14:textId="6F34C6A3" w:rsidR="00416949" w:rsidRDefault="00416949" w:rsidP="001F074A">
      <w:pPr>
        <w:pStyle w:val="Heading1"/>
        <w:jc w:val="center"/>
        <w:rPr>
          <w:sz w:val="28"/>
          <w:szCs w:val="28"/>
          <w:u w:val="thick"/>
        </w:rPr>
      </w:pPr>
      <w:r w:rsidRPr="002C3745">
        <w:rPr>
          <w:sz w:val="28"/>
          <w:szCs w:val="28"/>
          <w:u w:val="thick"/>
        </w:rPr>
        <w:t>ADDITIONAL SUBMISSION TO THE UNITED NATIONS COMMITTEE ON THE RIGHTS OF THE CHILD FOR THE 101ST SESSION IN RELATION TO THE COMBINED THIRD, FOURTH AND FIFTH PERIODIC REVIEW OF THE REPUBLIC OF UGANDA</w:t>
      </w:r>
    </w:p>
    <w:p w14:paraId="3CFA9724" w14:textId="77777777" w:rsidR="00416949" w:rsidRPr="001F074A" w:rsidRDefault="00416949" w:rsidP="002C3745">
      <w:pPr>
        <w:pBdr>
          <w:top w:val="nil"/>
          <w:left w:val="nil"/>
          <w:bottom w:val="nil"/>
          <w:right w:val="nil"/>
          <w:between w:val="nil"/>
        </w:pBdr>
        <w:spacing w:after="0" w:line="240" w:lineRule="auto"/>
        <w:rPr>
          <w:rFonts w:ascii="Book Antiqua" w:hAnsi="Book Antiqua"/>
          <w:b/>
          <w:bCs/>
          <w:color w:val="000000"/>
          <w:u w:val="thick"/>
        </w:rPr>
      </w:pPr>
    </w:p>
    <w:p w14:paraId="01FAE677" w14:textId="4EA59D21" w:rsidR="00597D80" w:rsidRPr="001F074A" w:rsidRDefault="002526D1" w:rsidP="002526D1">
      <w:pPr>
        <w:pBdr>
          <w:top w:val="nil"/>
          <w:left w:val="nil"/>
          <w:bottom w:val="nil"/>
          <w:right w:val="nil"/>
          <w:between w:val="nil"/>
        </w:pBdr>
        <w:spacing w:line="240" w:lineRule="auto"/>
        <w:rPr>
          <w:rFonts w:asciiTheme="minorHAnsi" w:hAnsiTheme="minorHAnsi"/>
          <w:b/>
          <w:bCs/>
        </w:rPr>
      </w:pPr>
      <w:r w:rsidRPr="001F074A">
        <w:rPr>
          <w:rFonts w:asciiTheme="minorHAnsi" w:hAnsiTheme="minorHAnsi"/>
          <w:b/>
          <w:bCs/>
        </w:rPr>
        <w:t>Introduction</w:t>
      </w:r>
    </w:p>
    <w:p w14:paraId="1168186F" w14:textId="77777777" w:rsidR="00597D80" w:rsidRPr="001F074A" w:rsidRDefault="00000000">
      <w:pPr>
        <w:pBdr>
          <w:top w:val="nil"/>
          <w:left w:val="nil"/>
          <w:bottom w:val="nil"/>
          <w:right w:val="nil"/>
          <w:between w:val="nil"/>
        </w:pBdr>
        <w:spacing w:line="240" w:lineRule="auto"/>
        <w:jc w:val="both"/>
        <w:rPr>
          <w:rFonts w:asciiTheme="minorHAnsi" w:hAnsiTheme="minorHAnsi"/>
          <w:color w:val="000000"/>
        </w:rPr>
      </w:pPr>
      <w:r w:rsidRPr="001F074A">
        <w:rPr>
          <w:rFonts w:asciiTheme="minorHAnsi" w:hAnsiTheme="minorHAnsi"/>
          <w:color w:val="000000"/>
        </w:rPr>
        <w:t xml:space="preserve">The Early Childhood Care and Education (ECCE) Network in Uganda, with the support of the African Early Childhood Network (AfECN), the Oxford Human Rights Hub and the Right to Education Initiative (RTE), submitted a </w:t>
      </w:r>
      <w:hyperlink r:id="rId8">
        <w:r w:rsidR="00597D80" w:rsidRPr="001F074A">
          <w:rPr>
            <w:rFonts w:asciiTheme="minorHAnsi" w:hAnsiTheme="minorHAnsi"/>
            <w:color w:val="1155CC"/>
            <w:u w:val="single"/>
          </w:rPr>
          <w:t>thematic report on the realisation of the right to Early Childhood Care and Education in Uganda in October 2024.</w:t>
        </w:r>
      </w:hyperlink>
      <w:r w:rsidRPr="001F074A">
        <w:rPr>
          <w:rFonts w:asciiTheme="minorHAnsi" w:hAnsiTheme="minorHAnsi"/>
          <w:color w:val="000000"/>
        </w:rPr>
        <w:t xml:space="preserve"> As part of the follow-up to the Committee on the Rights of the Child's review process, this additional submission by </w:t>
      </w:r>
      <w:r w:rsidRPr="001F074A">
        <w:rPr>
          <w:rFonts w:asciiTheme="minorHAnsi" w:hAnsiTheme="minorHAnsi"/>
        </w:rPr>
        <w:t xml:space="preserve">AfECN and the Oxford Human Rights Hub </w:t>
      </w:r>
      <w:r w:rsidRPr="001F074A">
        <w:rPr>
          <w:rFonts w:asciiTheme="minorHAnsi" w:hAnsiTheme="minorHAnsi"/>
          <w:color w:val="000000"/>
        </w:rPr>
        <w:t xml:space="preserve">complements the thematic report by </w:t>
      </w:r>
      <w:r w:rsidRPr="001F074A">
        <w:rPr>
          <w:rFonts w:asciiTheme="minorHAnsi" w:hAnsiTheme="minorHAnsi"/>
        </w:rPr>
        <w:t>providing additional evidence in response</w:t>
      </w:r>
      <w:r w:rsidRPr="001F074A">
        <w:rPr>
          <w:rFonts w:asciiTheme="minorHAnsi" w:hAnsiTheme="minorHAnsi"/>
          <w:color w:val="000000"/>
        </w:rPr>
        <w:t xml:space="preserve"> to the List of Issues issued by the Committee.</w:t>
      </w:r>
    </w:p>
    <w:p w14:paraId="617E0C74" w14:textId="77777777" w:rsidR="00597D80" w:rsidRPr="001F074A" w:rsidRDefault="00000000">
      <w:pPr>
        <w:pBdr>
          <w:top w:val="nil"/>
          <w:left w:val="nil"/>
          <w:bottom w:val="nil"/>
          <w:right w:val="nil"/>
          <w:between w:val="nil"/>
        </w:pBdr>
        <w:spacing w:line="240" w:lineRule="auto"/>
        <w:jc w:val="both"/>
        <w:rPr>
          <w:rFonts w:asciiTheme="minorHAnsi" w:hAnsiTheme="minorHAnsi"/>
          <w:b/>
          <w:bCs/>
          <w:color w:val="000000"/>
        </w:rPr>
      </w:pPr>
      <w:r w:rsidRPr="001F074A">
        <w:rPr>
          <w:rFonts w:asciiTheme="minorHAnsi" w:hAnsiTheme="minorHAnsi"/>
          <w:color w:val="000000"/>
        </w:rPr>
        <w:t>In particular, it addresses</w:t>
      </w:r>
      <w:r w:rsidRPr="001F074A">
        <w:rPr>
          <w:rFonts w:asciiTheme="minorHAnsi" w:hAnsiTheme="minorHAnsi"/>
          <w:b/>
          <w:bCs/>
          <w:color w:val="000000"/>
        </w:rPr>
        <w:t xml:space="preserve"> paragraph 10(e)</w:t>
      </w:r>
      <w:r w:rsidRPr="001F074A">
        <w:rPr>
          <w:rFonts w:asciiTheme="minorHAnsi" w:hAnsiTheme="minorHAnsi"/>
          <w:color w:val="000000"/>
        </w:rPr>
        <w:t xml:space="preserve"> of the List of Issues, which seeks information on the measures taken by the State party to "</w:t>
      </w:r>
      <w:r w:rsidRPr="001F074A">
        <w:rPr>
          <w:rFonts w:asciiTheme="minorHAnsi" w:hAnsiTheme="minorHAnsi"/>
          <w:b/>
          <w:bCs/>
          <w:color w:val="000000"/>
        </w:rPr>
        <w:t>provide access to preschool education for all children, including children in rural areas and children with disabilities, and to supervise the quality of services provided in such institutions."</w:t>
      </w:r>
    </w:p>
    <w:p w14:paraId="3BB09C7A" w14:textId="77777777" w:rsidR="00597D80" w:rsidRPr="001F074A" w:rsidRDefault="00597D80">
      <w:pPr>
        <w:pBdr>
          <w:top w:val="nil"/>
          <w:left w:val="nil"/>
          <w:bottom w:val="nil"/>
          <w:right w:val="nil"/>
          <w:between w:val="nil"/>
        </w:pBdr>
        <w:spacing w:after="0" w:line="240" w:lineRule="auto"/>
        <w:jc w:val="both"/>
        <w:rPr>
          <w:rFonts w:asciiTheme="minorHAnsi" w:hAnsiTheme="minorHAnsi"/>
          <w:b/>
          <w:bCs/>
        </w:rPr>
      </w:pPr>
    </w:p>
    <w:p w14:paraId="016FC21A" w14:textId="37006CCE" w:rsidR="00597D80" w:rsidRDefault="00000000" w:rsidP="002526D1">
      <w:pPr>
        <w:pStyle w:val="ListParagraph"/>
        <w:numPr>
          <w:ilvl w:val="0"/>
          <w:numId w:val="3"/>
        </w:numPr>
        <w:pBdr>
          <w:top w:val="nil"/>
          <w:left w:val="nil"/>
          <w:bottom w:val="nil"/>
          <w:right w:val="nil"/>
          <w:between w:val="nil"/>
        </w:pBdr>
        <w:spacing w:after="0" w:line="240" w:lineRule="auto"/>
        <w:jc w:val="both"/>
        <w:rPr>
          <w:rFonts w:asciiTheme="minorHAnsi" w:hAnsiTheme="minorHAnsi"/>
          <w:b/>
          <w:bCs/>
          <w:color w:val="000000"/>
        </w:rPr>
      </w:pPr>
      <w:r w:rsidRPr="001F074A">
        <w:rPr>
          <w:rFonts w:asciiTheme="minorHAnsi" w:hAnsiTheme="minorHAnsi"/>
          <w:b/>
          <w:bCs/>
          <w:color w:val="000000"/>
        </w:rPr>
        <w:t>Absence of a legal guarantee of free pre-primary education</w:t>
      </w:r>
    </w:p>
    <w:p w14:paraId="1F40ED2F" w14:textId="77777777" w:rsidR="001F074A" w:rsidRPr="001F074A" w:rsidRDefault="001F074A" w:rsidP="001F074A">
      <w:pPr>
        <w:pStyle w:val="ListParagraph"/>
        <w:pBdr>
          <w:top w:val="nil"/>
          <w:left w:val="nil"/>
          <w:bottom w:val="nil"/>
          <w:right w:val="nil"/>
          <w:between w:val="nil"/>
        </w:pBdr>
        <w:spacing w:after="0" w:line="240" w:lineRule="auto"/>
        <w:ind w:left="360"/>
        <w:jc w:val="both"/>
        <w:rPr>
          <w:rFonts w:asciiTheme="minorHAnsi" w:hAnsiTheme="minorHAnsi"/>
          <w:b/>
          <w:bCs/>
          <w:color w:val="000000"/>
          <w:sz w:val="8"/>
          <w:szCs w:val="8"/>
        </w:rPr>
      </w:pPr>
    </w:p>
    <w:p w14:paraId="37760164" w14:textId="77777777" w:rsidR="00597D80" w:rsidRPr="001F074A" w:rsidRDefault="00000000">
      <w:pPr>
        <w:pBdr>
          <w:top w:val="nil"/>
          <w:left w:val="nil"/>
          <w:bottom w:val="nil"/>
          <w:right w:val="nil"/>
          <w:between w:val="nil"/>
        </w:pBdr>
        <w:spacing w:after="0" w:line="240" w:lineRule="auto"/>
        <w:jc w:val="both"/>
        <w:rPr>
          <w:rFonts w:asciiTheme="minorHAnsi" w:hAnsiTheme="minorHAnsi"/>
          <w:color w:val="000000"/>
        </w:rPr>
      </w:pPr>
      <w:r w:rsidRPr="001F074A">
        <w:rPr>
          <w:rFonts w:asciiTheme="minorHAnsi" w:hAnsiTheme="minorHAnsi"/>
          <w:color w:val="000000"/>
        </w:rPr>
        <w:t>The government recognises pre-primary education as the first level of education. Despite this, the legal and policy framework governing pre-primary education in Uganda places the primary responsibility for the provision and financing of pre-primary education on private actors and families. Section 10(2)(a) of the Education Act (2008) stipulates that pre-primary education should be managed by private agencies or individuals, with parents or guardians bearing the financial responsibility for children between the ages of two and five years. Similarly, Section 6.1(27) of the National Early Childhood Care and Education Policy (2024) provides that government resources will be directed primarily towards children in vulnerable communities. As a result, pre-primary education in Uganda is largely dominated by private providers, with almost all institutions charging tuition fees.</w:t>
      </w:r>
      <w:r w:rsidRPr="001F074A">
        <w:rPr>
          <w:rFonts w:asciiTheme="minorHAnsi" w:hAnsiTheme="minorHAnsi"/>
          <w:b/>
          <w:bCs/>
          <w:color w:val="000000"/>
          <w:vertAlign w:val="superscript"/>
        </w:rPr>
        <w:footnoteReference w:id="1"/>
      </w:r>
      <w:r w:rsidRPr="001F074A">
        <w:rPr>
          <w:rFonts w:asciiTheme="minorHAnsi" w:hAnsiTheme="minorHAnsi"/>
          <w:b/>
          <w:bCs/>
          <w:color w:val="000000"/>
        </w:rPr>
        <w:t xml:space="preserve"> </w:t>
      </w:r>
      <w:r w:rsidRPr="001F074A">
        <w:rPr>
          <w:rFonts w:asciiTheme="minorHAnsi" w:hAnsiTheme="minorHAnsi"/>
          <w:color w:val="000000"/>
        </w:rPr>
        <w:t>As highlighted in the study conducted by Human Rights Watch and the Initiative for Social and Economic Rights (ISER),</w:t>
      </w:r>
      <w:r w:rsidRPr="001F074A">
        <w:rPr>
          <w:rFonts w:asciiTheme="minorHAnsi" w:hAnsiTheme="minorHAnsi"/>
          <w:color w:val="000000"/>
          <w:vertAlign w:val="superscript"/>
        </w:rPr>
        <w:footnoteReference w:id="2"/>
      </w:r>
      <w:r w:rsidRPr="001F074A">
        <w:rPr>
          <w:rFonts w:asciiTheme="minorHAnsi" w:hAnsiTheme="minorHAnsi"/>
          <w:color w:val="000000"/>
        </w:rPr>
        <w:t xml:space="preserve"> the State's failure to provide publicly funded and free pre-primary education has serious implications for children's access to early learning opportunities.</w:t>
      </w:r>
    </w:p>
    <w:p w14:paraId="452017AB" w14:textId="77777777" w:rsidR="00597D80" w:rsidRPr="001F074A" w:rsidRDefault="00597D80">
      <w:pPr>
        <w:pBdr>
          <w:top w:val="nil"/>
          <w:left w:val="nil"/>
          <w:bottom w:val="nil"/>
          <w:right w:val="nil"/>
          <w:between w:val="nil"/>
        </w:pBdr>
        <w:spacing w:after="0" w:line="240" w:lineRule="auto"/>
        <w:jc w:val="both"/>
        <w:rPr>
          <w:rFonts w:asciiTheme="minorHAnsi" w:hAnsiTheme="minorHAnsi"/>
          <w:color w:val="000000"/>
        </w:rPr>
      </w:pPr>
    </w:p>
    <w:p w14:paraId="7B38E537" w14:textId="61618740" w:rsidR="00597D80" w:rsidRDefault="00000000" w:rsidP="002526D1">
      <w:pPr>
        <w:pStyle w:val="ListParagraph"/>
        <w:numPr>
          <w:ilvl w:val="0"/>
          <w:numId w:val="3"/>
        </w:numPr>
        <w:spacing w:after="0" w:line="240" w:lineRule="auto"/>
        <w:jc w:val="both"/>
        <w:rPr>
          <w:rFonts w:asciiTheme="minorHAnsi" w:hAnsiTheme="minorHAnsi"/>
        </w:rPr>
      </w:pPr>
      <w:r w:rsidRPr="001F074A">
        <w:rPr>
          <w:rFonts w:asciiTheme="minorHAnsi" w:hAnsiTheme="minorHAnsi"/>
          <w:b/>
          <w:bCs/>
        </w:rPr>
        <w:t>Disparities in access to and affordability of pre-primary education</w:t>
      </w:r>
      <w:r w:rsidRPr="001F074A">
        <w:rPr>
          <w:rFonts w:asciiTheme="minorHAnsi" w:hAnsiTheme="minorHAnsi"/>
        </w:rPr>
        <w:t xml:space="preserve"> </w:t>
      </w:r>
    </w:p>
    <w:p w14:paraId="2CCB2CE4" w14:textId="77777777" w:rsidR="001F074A" w:rsidRPr="001F074A" w:rsidRDefault="001F074A" w:rsidP="001F074A">
      <w:pPr>
        <w:pStyle w:val="ListParagraph"/>
        <w:spacing w:after="0" w:line="240" w:lineRule="auto"/>
        <w:ind w:left="360"/>
        <w:jc w:val="both"/>
        <w:rPr>
          <w:rFonts w:asciiTheme="minorHAnsi" w:hAnsiTheme="minorHAnsi"/>
          <w:sz w:val="10"/>
          <w:szCs w:val="10"/>
        </w:rPr>
      </w:pPr>
    </w:p>
    <w:p w14:paraId="50BE76FA" w14:textId="77777777" w:rsidR="00597D80" w:rsidRPr="001F074A" w:rsidRDefault="00000000">
      <w:pPr>
        <w:pBdr>
          <w:top w:val="nil"/>
          <w:left w:val="nil"/>
          <w:bottom w:val="nil"/>
          <w:right w:val="nil"/>
          <w:between w:val="nil"/>
        </w:pBdr>
        <w:spacing w:after="0" w:line="240" w:lineRule="auto"/>
        <w:jc w:val="both"/>
        <w:rPr>
          <w:rFonts w:asciiTheme="minorHAnsi" w:hAnsiTheme="minorHAnsi"/>
          <w:color w:val="000000"/>
          <w:highlight w:val="yellow"/>
        </w:rPr>
      </w:pPr>
      <w:r w:rsidRPr="001F074A">
        <w:rPr>
          <w:rFonts w:asciiTheme="minorHAnsi" w:hAnsiTheme="minorHAnsi"/>
          <w:color w:val="000000"/>
        </w:rPr>
        <w:t>The fees charged by private providers constitute a significant financial burden for many families and are substantially higher than the costs associated with primary education, which is free. According to the Human Rights Watch study, parents in Kampala reported paying approximately UGX 300,000 per child per term, amounting to UGX 900,000 annually—equivalent to nearly four and a half months' wages for an average Ugandan in paid employment.</w:t>
      </w:r>
      <w:r w:rsidRPr="001F074A">
        <w:rPr>
          <w:rFonts w:asciiTheme="minorHAnsi" w:hAnsiTheme="minorHAnsi"/>
          <w:color w:val="000000"/>
          <w:vertAlign w:val="superscript"/>
        </w:rPr>
        <w:footnoteReference w:id="3"/>
      </w:r>
      <w:r w:rsidRPr="001F074A">
        <w:rPr>
          <w:rFonts w:asciiTheme="minorHAnsi" w:hAnsiTheme="minorHAnsi"/>
          <w:color w:val="000000"/>
        </w:rPr>
        <w:t xml:space="preserve"> Consequently, only 9 per </w:t>
      </w:r>
      <w:r w:rsidRPr="001F074A">
        <w:rPr>
          <w:rFonts w:asciiTheme="minorHAnsi" w:hAnsiTheme="minorHAnsi"/>
          <w:color w:val="000000"/>
        </w:rPr>
        <w:lastRenderedPageBreak/>
        <w:t>cent of children of pre-primary age attend licensed and registered preschools, while more than 60 per cent do not participate in any form of early childhood education. This situation disproportionately affects children from low-income households and families engaged in the informal sector, including subsistence farmers and low-paid manual workers. Faced with the high costs of pre-primary education, many parents enrol their children directly in primary school.</w:t>
      </w:r>
      <w:r w:rsidRPr="001F074A">
        <w:rPr>
          <w:rFonts w:asciiTheme="minorHAnsi" w:hAnsiTheme="minorHAnsi"/>
          <w:color w:val="000000"/>
          <w:vertAlign w:val="superscript"/>
        </w:rPr>
        <w:footnoteReference w:id="4"/>
      </w:r>
      <w:r w:rsidRPr="001F074A">
        <w:rPr>
          <w:rFonts w:asciiTheme="minorHAnsi" w:hAnsiTheme="minorHAnsi"/>
          <w:color w:val="000000"/>
        </w:rPr>
        <w:t xml:space="preserve"> </w:t>
      </w:r>
    </w:p>
    <w:p w14:paraId="35E7225F" w14:textId="77777777" w:rsidR="00597D80" w:rsidRPr="001F074A" w:rsidRDefault="00597D80">
      <w:pPr>
        <w:spacing w:after="0" w:line="240" w:lineRule="auto"/>
        <w:jc w:val="both"/>
        <w:rPr>
          <w:rFonts w:asciiTheme="minorHAnsi" w:hAnsiTheme="minorHAnsi"/>
        </w:rPr>
      </w:pPr>
    </w:p>
    <w:p w14:paraId="7F1E7046" w14:textId="77777777" w:rsidR="00597D80" w:rsidRPr="001F074A" w:rsidRDefault="00000000">
      <w:pPr>
        <w:spacing w:after="0" w:line="240" w:lineRule="auto"/>
        <w:jc w:val="both"/>
        <w:rPr>
          <w:rFonts w:asciiTheme="minorHAnsi" w:hAnsiTheme="minorHAnsi"/>
        </w:rPr>
      </w:pPr>
      <w:r w:rsidRPr="001F074A">
        <w:rPr>
          <w:rFonts w:asciiTheme="minorHAnsi" w:hAnsiTheme="minorHAnsi"/>
        </w:rPr>
        <w:t>As per the latest available data, access to pre-primary education in Uganda is highly unequal, with enrolment strongly influenced by household income and place of residence.  According to the 2023 Public Expenditure Review, children from the wealthiest households are more than three times more likely to attend pre-primary education than those from the poorest households (57% compared to 17%), while enrolment is significantly higher in urban areas than in rural areas (50% and 30%, respectively).</w:t>
      </w:r>
      <w:r w:rsidRPr="001F074A">
        <w:rPr>
          <w:rFonts w:asciiTheme="minorHAnsi" w:hAnsiTheme="minorHAnsi"/>
          <w:vertAlign w:val="superscript"/>
        </w:rPr>
        <w:footnoteReference w:id="5"/>
      </w:r>
      <w:r w:rsidRPr="001F074A">
        <w:rPr>
          <w:rFonts w:asciiTheme="minorHAnsi" w:hAnsiTheme="minorHAnsi"/>
        </w:rPr>
        <w:t xml:space="preserve"> Only one-fifth of ECCE centres are based in rural areas, highlighting vast inequities in geographic service coverage.</w:t>
      </w:r>
      <w:r w:rsidRPr="001F074A">
        <w:rPr>
          <w:rFonts w:asciiTheme="minorHAnsi" w:hAnsiTheme="minorHAnsi"/>
          <w:vertAlign w:val="superscript"/>
        </w:rPr>
        <w:footnoteReference w:id="6"/>
      </w:r>
      <w:r w:rsidRPr="001F074A">
        <w:rPr>
          <w:rFonts w:asciiTheme="minorHAnsi" w:hAnsiTheme="minorHAnsi"/>
          <w:vertAlign w:val="superscript"/>
        </w:rPr>
        <w:t xml:space="preserve">  </w:t>
      </w:r>
      <w:r w:rsidRPr="001F074A">
        <w:rPr>
          <w:rFonts w:asciiTheme="minorHAnsi" w:hAnsiTheme="minorHAnsi"/>
        </w:rPr>
        <w:t>In addition, the quality of services remains a major concern, with a National Planning Authority study finding that 56% of early childhood education centres operate without licences and fail to meet minimum standards.</w:t>
      </w:r>
      <w:r w:rsidRPr="001F074A">
        <w:rPr>
          <w:rFonts w:asciiTheme="minorHAnsi" w:hAnsiTheme="minorHAnsi"/>
          <w:vertAlign w:val="superscript"/>
        </w:rPr>
        <w:footnoteReference w:id="7"/>
      </w:r>
      <w:r w:rsidRPr="001F074A">
        <w:rPr>
          <w:rFonts w:asciiTheme="minorHAnsi" w:hAnsiTheme="minorHAnsi"/>
        </w:rPr>
        <w:t xml:space="preserve">  </w:t>
      </w:r>
    </w:p>
    <w:p w14:paraId="4DC61E7F" w14:textId="77777777" w:rsidR="00597D80" w:rsidRPr="001F074A" w:rsidRDefault="00597D80">
      <w:pPr>
        <w:spacing w:after="0" w:line="240" w:lineRule="auto"/>
        <w:jc w:val="both"/>
        <w:rPr>
          <w:rFonts w:asciiTheme="minorHAnsi" w:hAnsiTheme="minorHAnsi"/>
        </w:rPr>
      </w:pPr>
    </w:p>
    <w:p w14:paraId="448CCBB9" w14:textId="1919896F" w:rsidR="00597D80" w:rsidRPr="001F074A" w:rsidRDefault="00000000">
      <w:pPr>
        <w:spacing w:after="0" w:line="240" w:lineRule="auto"/>
        <w:jc w:val="both"/>
        <w:rPr>
          <w:rFonts w:asciiTheme="minorHAnsi" w:hAnsiTheme="minorHAnsi"/>
        </w:rPr>
      </w:pPr>
      <w:r w:rsidRPr="001F074A">
        <w:rPr>
          <w:rFonts w:asciiTheme="minorHAnsi" w:hAnsiTheme="minorHAnsi"/>
        </w:rPr>
        <w:t>According to the Ministry of Education and Sports</w:t>
      </w:r>
      <w:r w:rsidRPr="001F074A">
        <w:rPr>
          <w:rFonts w:asciiTheme="minorHAnsi" w:hAnsiTheme="minorHAnsi"/>
          <w:vertAlign w:val="superscript"/>
        </w:rPr>
        <w:footnoteReference w:id="8"/>
      </w:r>
      <w:r w:rsidRPr="001F074A">
        <w:rPr>
          <w:rFonts w:asciiTheme="minorHAnsi" w:hAnsiTheme="minorHAnsi"/>
        </w:rPr>
        <w:t xml:space="preserve">, in </w:t>
      </w:r>
      <w:r w:rsidR="00136E19" w:rsidRPr="001F074A">
        <w:rPr>
          <w:rFonts w:asciiTheme="minorHAnsi" w:hAnsiTheme="minorHAnsi"/>
        </w:rPr>
        <w:t>2017, nearly</w:t>
      </w:r>
      <w:r w:rsidRPr="001F074A">
        <w:rPr>
          <w:rFonts w:asciiTheme="minorHAnsi" w:hAnsiTheme="minorHAnsi"/>
        </w:rPr>
        <w:t xml:space="preserve"> 15 per cent of children enrolled in pre-primary experience different forms of physical and mental impairments. Of these, 29 per cent were identified as having mental disabilities, 3 per cent were reported to have multiple disabilities, and 6 per cent were living with autism.</w:t>
      </w:r>
      <w:r w:rsidRPr="001F074A">
        <w:rPr>
          <w:rFonts w:asciiTheme="minorHAnsi" w:hAnsiTheme="minorHAnsi"/>
          <w:vertAlign w:val="superscript"/>
        </w:rPr>
        <w:footnoteReference w:id="9"/>
      </w:r>
      <w:r w:rsidRPr="001F074A">
        <w:rPr>
          <w:rFonts w:asciiTheme="minorHAnsi" w:hAnsiTheme="minorHAnsi"/>
        </w:rPr>
        <w:t xml:space="preserve"> Nevertheless, limited data availability makes it difficult to determine whether these children receive the additional support required to access ECCE centres and benefit from inclusive services delivered by adequately trained caregivers. In light of these challenges, UNICEF has emphasised the need for greater awareness and stronger efforts to address the rights and needs of children with disabilities.</w:t>
      </w:r>
      <w:r w:rsidRPr="001F074A">
        <w:rPr>
          <w:rFonts w:asciiTheme="minorHAnsi" w:hAnsiTheme="minorHAnsi"/>
          <w:vertAlign w:val="superscript"/>
        </w:rPr>
        <w:footnoteReference w:id="10"/>
      </w:r>
      <w:r w:rsidRPr="001F074A">
        <w:rPr>
          <w:rFonts w:asciiTheme="minorHAnsi" w:hAnsiTheme="minorHAnsi"/>
        </w:rPr>
        <w:t xml:space="preserve"> </w:t>
      </w:r>
    </w:p>
    <w:p w14:paraId="68704D06" w14:textId="77777777" w:rsidR="00597D80" w:rsidRPr="001F074A" w:rsidRDefault="00597D80">
      <w:pPr>
        <w:spacing w:after="0" w:line="240" w:lineRule="auto"/>
        <w:jc w:val="both"/>
        <w:rPr>
          <w:rFonts w:asciiTheme="minorHAnsi" w:hAnsiTheme="minorHAnsi"/>
        </w:rPr>
      </w:pPr>
    </w:p>
    <w:p w14:paraId="3747D0B2" w14:textId="5FFD3AFA" w:rsidR="00597D80" w:rsidRPr="001F074A" w:rsidRDefault="00000000" w:rsidP="002526D1">
      <w:pPr>
        <w:pStyle w:val="ListParagraph"/>
        <w:numPr>
          <w:ilvl w:val="0"/>
          <w:numId w:val="3"/>
        </w:numPr>
        <w:spacing w:after="0" w:line="240" w:lineRule="auto"/>
        <w:jc w:val="both"/>
        <w:rPr>
          <w:rFonts w:asciiTheme="minorHAnsi" w:hAnsiTheme="minorHAnsi"/>
        </w:rPr>
      </w:pPr>
      <w:r w:rsidRPr="001F074A">
        <w:rPr>
          <w:rFonts w:asciiTheme="minorHAnsi" w:hAnsiTheme="minorHAnsi"/>
          <w:b/>
          <w:bCs/>
        </w:rPr>
        <w:t>Limited public investment in pre-primary education</w:t>
      </w:r>
    </w:p>
    <w:p w14:paraId="754A4C7D" w14:textId="77777777" w:rsidR="001F074A" w:rsidRPr="001F074A" w:rsidRDefault="001F074A" w:rsidP="001F074A">
      <w:pPr>
        <w:pStyle w:val="ListParagraph"/>
        <w:spacing w:after="0" w:line="240" w:lineRule="auto"/>
        <w:ind w:left="360"/>
        <w:jc w:val="both"/>
        <w:rPr>
          <w:rFonts w:asciiTheme="minorHAnsi" w:hAnsiTheme="minorHAnsi"/>
          <w:sz w:val="6"/>
          <w:szCs w:val="6"/>
        </w:rPr>
      </w:pPr>
    </w:p>
    <w:p w14:paraId="591E1D9F" w14:textId="77777777" w:rsidR="00597D80" w:rsidRPr="001F074A" w:rsidRDefault="00000000">
      <w:pPr>
        <w:pBdr>
          <w:top w:val="nil"/>
          <w:left w:val="nil"/>
          <w:bottom w:val="nil"/>
          <w:right w:val="nil"/>
          <w:between w:val="nil"/>
        </w:pBdr>
        <w:spacing w:after="0" w:line="240" w:lineRule="auto"/>
        <w:jc w:val="both"/>
        <w:rPr>
          <w:rFonts w:asciiTheme="minorHAnsi" w:hAnsiTheme="minorHAnsi"/>
          <w:color w:val="000000"/>
        </w:rPr>
      </w:pPr>
      <w:r w:rsidRPr="001F074A">
        <w:rPr>
          <w:rFonts w:asciiTheme="minorHAnsi" w:hAnsiTheme="minorHAnsi"/>
          <w:color w:val="000000"/>
        </w:rPr>
        <w:t>As pre-primary education in Uganda is largely provided by non-State actors, public investment in the sector remains limited and inequitable. There is no separate budget line for pre-primary education, as expenditure is grouped with primary education, making it difficult to determine the exact level of public spending. Available data show that expenditure on pre-primary and primary education combined declined significantly from 62.6% of the education budget in 2017/18 to 35.7% in 2020/21.</w:t>
      </w:r>
      <w:r w:rsidRPr="001F074A">
        <w:rPr>
          <w:rFonts w:asciiTheme="minorHAnsi" w:hAnsiTheme="minorHAnsi"/>
          <w:color w:val="000000"/>
          <w:vertAlign w:val="superscript"/>
        </w:rPr>
        <w:footnoteReference w:id="11"/>
      </w:r>
      <w:r w:rsidRPr="001F074A">
        <w:rPr>
          <w:rFonts w:asciiTheme="minorHAnsi" w:hAnsiTheme="minorHAnsi"/>
          <w:color w:val="000000"/>
        </w:rPr>
        <w:t xml:space="preserve"> While the Government remains responsible for developing curricula and guidelines, teacher training, and the licensing, registration and monitoring of pre-primary institutions, the financing of service provision continues to rely predominantly on the private sector.</w:t>
      </w:r>
    </w:p>
    <w:p w14:paraId="7363383F" w14:textId="77777777" w:rsidR="00597D80" w:rsidRPr="001F074A" w:rsidRDefault="00597D80">
      <w:pPr>
        <w:spacing w:after="0" w:line="240" w:lineRule="auto"/>
        <w:jc w:val="both"/>
        <w:rPr>
          <w:rFonts w:asciiTheme="minorHAnsi" w:hAnsiTheme="minorHAnsi"/>
        </w:rPr>
      </w:pPr>
    </w:p>
    <w:p w14:paraId="4071C0C6" w14:textId="2AAFEC34" w:rsidR="00597D80" w:rsidRPr="001F074A" w:rsidRDefault="00000000" w:rsidP="002526D1">
      <w:pPr>
        <w:pStyle w:val="ListParagraph"/>
        <w:numPr>
          <w:ilvl w:val="0"/>
          <w:numId w:val="3"/>
        </w:numPr>
        <w:spacing w:after="0" w:line="240" w:lineRule="auto"/>
        <w:jc w:val="both"/>
        <w:rPr>
          <w:rFonts w:asciiTheme="minorHAnsi" w:hAnsiTheme="minorHAnsi"/>
        </w:rPr>
      </w:pPr>
      <w:r w:rsidRPr="001F074A">
        <w:rPr>
          <w:rFonts w:asciiTheme="minorHAnsi" w:hAnsiTheme="minorHAnsi"/>
          <w:b/>
          <w:bCs/>
        </w:rPr>
        <w:t>Weak regulation and oversight of pre-primary education</w:t>
      </w:r>
    </w:p>
    <w:p w14:paraId="4E7AAF67" w14:textId="77777777" w:rsidR="001F074A" w:rsidRPr="001F074A" w:rsidRDefault="001F074A" w:rsidP="001F074A">
      <w:pPr>
        <w:pStyle w:val="ListParagraph"/>
        <w:spacing w:after="0" w:line="240" w:lineRule="auto"/>
        <w:ind w:left="360"/>
        <w:jc w:val="both"/>
        <w:rPr>
          <w:rFonts w:asciiTheme="minorHAnsi" w:hAnsiTheme="minorHAnsi"/>
          <w:sz w:val="6"/>
          <w:szCs w:val="6"/>
        </w:rPr>
      </w:pPr>
    </w:p>
    <w:p w14:paraId="66FD3761" w14:textId="77777777" w:rsidR="00597D80" w:rsidRPr="001F074A" w:rsidRDefault="00000000">
      <w:pPr>
        <w:pBdr>
          <w:top w:val="nil"/>
          <w:left w:val="nil"/>
          <w:bottom w:val="nil"/>
          <w:right w:val="nil"/>
          <w:between w:val="nil"/>
        </w:pBdr>
        <w:spacing w:after="280" w:line="240" w:lineRule="auto"/>
        <w:jc w:val="both"/>
        <w:rPr>
          <w:rFonts w:asciiTheme="minorHAnsi" w:hAnsiTheme="minorHAnsi"/>
          <w:color w:val="000000"/>
        </w:rPr>
      </w:pPr>
      <w:r w:rsidRPr="001F074A">
        <w:rPr>
          <w:rFonts w:asciiTheme="minorHAnsi" w:hAnsiTheme="minorHAnsi"/>
          <w:color w:val="000000"/>
        </w:rPr>
        <w:t xml:space="preserve">Despite pre-primary education in Uganda being largely provided by the private sector, effective regulatory and monitoring mechanisms remain weak, contributing to widespread informality and concerns about the quality of services. A recent study found that only 18% of ECCE centres </w:t>
      </w:r>
      <w:r w:rsidRPr="001F074A">
        <w:rPr>
          <w:rFonts w:asciiTheme="minorHAnsi" w:hAnsiTheme="minorHAnsi"/>
          <w:color w:val="000000"/>
        </w:rPr>
        <w:lastRenderedPageBreak/>
        <w:t>are fully registered and meet the required minimum standards, while 26% are licensed but have not yet achieved full compliance. The remaining 56% operate without either registration or a licence and are therefore not certified as meeting government standards. The study also highlighted significant regional disparities in the registration and licensing of ECCE centres.</w:t>
      </w:r>
      <w:r w:rsidRPr="001F074A">
        <w:rPr>
          <w:rFonts w:asciiTheme="minorHAnsi" w:hAnsiTheme="minorHAnsi"/>
          <w:color w:val="000000"/>
          <w:vertAlign w:val="superscript"/>
        </w:rPr>
        <w:footnoteReference w:id="12"/>
      </w:r>
    </w:p>
    <w:p w14:paraId="1B428112" w14:textId="77777777" w:rsidR="00597D80" w:rsidRPr="001F074A" w:rsidRDefault="00000000">
      <w:pPr>
        <w:pBdr>
          <w:top w:val="nil"/>
          <w:left w:val="nil"/>
          <w:bottom w:val="nil"/>
          <w:right w:val="nil"/>
          <w:between w:val="nil"/>
        </w:pBdr>
        <w:spacing w:line="240" w:lineRule="auto"/>
        <w:jc w:val="both"/>
        <w:rPr>
          <w:rFonts w:asciiTheme="minorHAnsi" w:hAnsiTheme="minorHAnsi"/>
          <w:color w:val="000000"/>
        </w:rPr>
      </w:pPr>
      <w:r w:rsidRPr="001F074A">
        <w:rPr>
          <w:rFonts w:asciiTheme="minorHAnsi" w:hAnsiTheme="minorHAnsi"/>
          <w:color w:val="000000"/>
        </w:rPr>
        <w:t>Institutional gaps further undermine government oversight. Unlike other levels of education, pre-primary education does not fall under the mandate of the national Directorate of Education Standards. Instead, responsibility for the registration, licensing and inspection of centres rests with district local governments and district education officers, resulting in inconsistent monitoring and enforcement across the country.</w:t>
      </w:r>
      <w:r w:rsidRPr="001F074A">
        <w:rPr>
          <w:rFonts w:asciiTheme="minorHAnsi" w:hAnsiTheme="minorHAnsi"/>
          <w:color w:val="000000"/>
          <w:vertAlign w:val="superscript"/>
        </w:rPr>
        <w:footnoteReference w:id="13"/>
      </w:r>
    </w:p>
    <w:p w14:paraId="615E5A8A" w14:textId="77777777" w:rsidR="00597D80" w:rsidRPr="001F074A" w:rsidRDefault="00000000">
      <w:pPr>
        <w:pBdr>
          <w:top w:val="nil"/>
          <w:left w:val="nil"/>
          <w:bottom w:val="nil"/>
          <w:right w:val="nil"/>
          <w:between w:val="nil"/>
        </w:pBdr>
        <w:spacing w:line="240" w:lineRule="auto"/>
        <w:jc w:val="both"/>
        <w:rPr>
          <w:rFonts w:asciiTheme="minorHAnsi" w:hAnsiTheme="minorHAnsi"/>
          <w:color w:val="000000"/>
        </w:rPr>
      </w:pPr>
      <w:r w:rsidRPr="001F074A">
        <w:rPr>
          <w:rFonts w:asciiTheme="minorHAnsi" w:hAnsiTheme="minorHAnsi"/>
          <w:color w:val="000000"/>
        </w:rPr>
        <w:t>Weak regulation has serious implications for the quality of pre-primary education. Research indicates that many centres operate with overcrowded classrooms, pupil–teacher ratios far exceeding official figures and inadequately trained staff.</w:t>
      </w:r>
      <w:r w:rsidRPr="001F074A">
        <w:rPr>
          <w:rFonts w:asciiTheme="minorHAnsi" w:hAnsiTheme="minorHAnsi"/>
          <w:color w:val="000000"/>
          <w:vertAlign w:val="superscript"/>
        </w:rPr>
        <w:footnoteReference w:id="14"/>
      </w:r>
      <w:r w:rsidRPr="001F074A">
        <w:rPr>
          <w:rFonts w:asciiTheme="minorHAnsi" w:hAnsiTheme="minorHAnsi"/>
          <w:color w:val="000000"/>
        </w:rPr>
        <w:t xml:space="preserve"> Although national policies prescribe minimum qualifications for pre-primary teachers, only half possess the required credentials, while 18% have received no relevant training. Furthermore, more than half of ECCE centres lack Education Management Information System (EMIS) numbers, limiting effective monitoring and accountability.</w:t>
      </w:r>
      <w:r w:rsidRPr="001F074A">
        <w:rPr>
          <w:rFonts w:asciiTheme="minorHAnsi" w:hAnsiTheme="minorHAnsi"/>
          <w:color w:val="000000"/>
          <w:vertAlign w:val="superscript"/>
        </w:rPr>
        <w:footnoteReference w:id="15"/>
      </w:r>
    </w:p>
    <w:p w14:paraId="36AB00AF" w14:textId="5401E3E9" w:rsidR="00597D80" w:rsidRDefault="00000000">
      <w:pPr>
        <w:pBdr>
          <w:top w:val="nil"/>
          <w:left w:val="nil"/>
          <w:bottom w:val="nil"/>
          <w:right w:val="nil"/>
          <w:between w:val="nil"/>
        </w:pBdr>
        <w:spacing w:line="240" w:lineRule="auto"/>
        <w:jc w:val="both"/>
        <w:rPr>
          <w:rFonts w:asciiTheme="minorHAnsi" w:hAnsiTheme="minorHAnsi"/>
          <w:color w:val="000000"/>
        </w:rPr>
      </w:pPr>
      <w:r w:rsidRPr="001F074A">
        <w:rPr>
          <w:rFonts w:asciiTheme="minorHAnsi" w:hAnsiTheme="minorHAnsi"/>
          <w:color w:val="000000"/>
        </w:rPr>
        <w:t>The high level of informality in the ECCE sector also contributes to significant data gaps, making it difficult to accurately assess the coverage and quality of pre-primary education services across Uganda.</w:t>
      </w:r>
    </w:p>
    <w:p w14:paraId="6B0FB242" w14:textId="77777777" w:rsidR="001F074A" w:rsidRPr="001F074A" w:rsidRDefault="001F074A">
      <w:pPr>
        <w:pBdr>
          <w:top w:val="nil"/>
          <w:left w:val="nil"/>
          <w:bottom w:val="nil"/>
          <w:right w:val="nil"/>
          <w:between w:val="nil"/>
        </w:pBdr>
        <w:spacing w:line="240" w:lineRule="auto"/>
        <w:jc w:val="both"/>
        <w:rPr>
          <w:rFonts w:asciiTheme="minorHAnsi" w:hAnsiTheme="minorHAnsi"/>
          <w:color w:val="000000"/>
          <w:sz w:val="2"/>
          <w:szCs w:val="2"/>
        </w:rPr>
      </w:pPr>
    </w:p>
    <w:p w14:paraId="59460A6C" w14:textId="77777777" w:rsidR="00597D80" w:rsidRPr="001F074A" w:rsidRDefault="00000000">
      <w:pPr>
        <w:pBdr>
          <w:top w:val="nil"/>
          <w:left w:val="nil"/>
          <w:bottom w:val="nil"/>
          <w:right w:val="nil"/>
          <w:between w:val="nil"/>
        </w:pBdr>
        <w:spacing w:line="240" w:lineRule="auto"/>
        <w:jc w:val="both"/>
        <w:rPr>
          <w:rFonts w:asciiTheme="minorHAnsi" w:hAnsiTheme="minorHAnsi"/>
          <w:b/>
          <w:bCs/>
          <w:color w:val="000000"/>
        </w:rPr>
      </w:pPr>
      <w:r w:rsidRPr="001F074A">
        <w:rPr>
          <w:rFonts w:asciiTheme="minorHAnsi" w:hAnsiTheme="minorHAnsi"/>
          <w:b/>
          <w:bCs/>
          <w:color w:val="000000"/>
        </w:rPr>
        <w:t xml:space="preserve">Recommendations: </w:t>
      </w:r>
    </w:p>
    <w:p w14:paraId="6F0AAAB2" w14:textId="40E75C6F" w:rsidR="00597D80" w:rsidRPr="001F074A" w:rsidRDefault="00000000">
      <w:pPr>
        <w:spacing w:after="0" w:line="240" w:lineRule="auto"/>
        <w:jc w:val="both"/>
        <w:rPr>
          <w:rFonts w:asciiTheme="minorHAnsi" w:hAnsiTheme="minorHAnsi"/>
        </w:rPr>
      </w:pPr>
      <w:r w:rsidRPr="001F074A">
        <w:rPr>
          <w:rFonts w:asciiTheme="minorHAnsi" w:hAnsiTheme="minorHAnsi"/>
        </w:rPr>
        <w:t xml:space="preserve">The Committee may </w:t>
      </w:r>
      <w:r w:rsidR="00136E19" w:rsidRPr="001F074A">
        <w:rPr>
          <w:rFonts w:asciiTheme="minorHAnsi" w:hAnsiTheme="minorHAnsi"/>
        </w:rPr>
        <w:t>recommend the</w:t>
      </w:r>
      <w:r w:rsidRPr="001F074A">
        <w:rPr>
          <w:rFonts w:asciiTheme="minorHAnsi" w:hAnsiTheme="minorHAnsi"/>
        </w:rPr>
        <w:t xml:space="preserve"> State party: </w:t>
      </w:r>
    </w:p>
    <w:p w14:paraId="07436A39" w14:textId="77777777" w:rsidR="00597D80" w:rsidRPr="001F074A" w:rsidRDefault="00597D80">
      <w:pPr>
        <w:spacing w:after="0" w:line="240" w:lineRule="auto"/>
        <w:jc w:val="both"/>
        <w:rPr>
          <w:rFonts w:asciiTheme="minorHAnsi" w:hAnsiTheme="minorHAnsi"/>
        </w:rPr>
      </w:pPr>
    </w:p>
    <w:p w14:paraId="404ED46A" w14:textId="77777777" w:rsidR="00597D80" w:rsidRPr="001F074A" w:rsidRDefault="00000000" w:rsidP="00136E19">
      <w:pPr>
        <w:numPr>
          <w:ilvl w:val="0"/>
          <w:numId w:val="2"/>
        </w:numPr>
        <w:pBdr>
          <w:top w:val="nil"/>
          <w:left w:val="nil"/>
          <w:bottom w:val="nil"/>
          <w:right w:val="nil"/>
          <w:between w:val="nil"/>
        </w:pBdr>
        <w:spacing w:after="0" w:line="240" w:lineRule="auto"/>
        <w:jc w:val="both"/>
        <w:rPr>
          <w:rFonts w:asciiTheme="minorHAnsi" w:hAnsiTheme="minorHAnsi"/>
          <w:color w:val="000000"/>
        </w:rPr>
      </w:pPr>
      <w:r w:rsidRPr="001F074A">
        <w:rPr>
          <w:rFonts w:asciiTheme="minorHAnsi" w:hAnsiTheme="minorHAnsi"/>
          <w:color w:val="000000"/>
        </w:rPr>
        <w:t>To amend the Education Act (2008) to guarantee free pre-primary education for all children, with particular attention to children living in poverty, rural areas and children with disabilities.</w:t>
      </w:r>
    </w:p>
    <w:p w14:paraId="2B37B9D4" w14:textId="77777777" w:rsidR="00597D80" w:rsidRPr="001F074A" w:rsidRDefault="00597D80">
      <w:pPr>
        <w:pBdr>
          <w:top w:val="nil"/>
          <w:left w:val="nil"/>
          <w:bottom w:val="nil"/>
          <w:right w:val="nil"/>
          <w:between w:val="nil"/>
        </w:pBdr>
        <w:spacing w:after="0" w:line="240" w:lineRule="auto"/>
        <w:ind w:left="720"/>
        <w:jc w:val="both"/>
        <w:rPr>
          <w:rFonts w:asciiTheme="minorHAnsi" w:hAnsiTheme="minorHAnsi"/>
        </w:rPr>
      </w:pPr>
    </w:p>
    <w:p w14:paraId="13E0D342" w14:textId="77777777" w:rsidR="00597D80" w:rsidRPr="001F074A" w:rsidRDefault="00000000" w:rsidP="00136E19">
      <w:pPr>
        <w:numPr>
          <w:ilvl w:val="0"/>
          <w:numId w:val="2"/>
        </w:numPr>
        <w:pBdr>
          <w:top w:val="nil"/>
          <w:left w:val="nil"/>
          <w:bottom w:val="nil"/>
          <w:right w:val="nil"/>
          <w:between w:val="nil"/>
        </w:pBdr>
        <w:spacing w:after="0" w:line="240" w:lineRule="auto"/>
        <w:jc w:val="both"/>
        <w:rPr>
          <w:rFonts w:asciiTheme="minorHAnsi" w:hAnsiTheme="minorHAnsi"/>
          <w:color w:val="000000"/>
        </w:rPr>
      </w:pPr>
      <w:r w:rsidRPr="001F074A">
        <w:rPr>
          <w:rFonts w:asciiTheme="minorHAnsi" w:hAnsiTheme="minorHAnsi"/>
          <w:color w:val="000000"/>
        </w:rPr>
        <w:t>To strengthen public provision of pre-primary education, reduce its overreliance on private providers, and establish an effective regulatory, licensing and monitoring framework to ensure that all early childhood care and education institutions comply with minimum quality standards.</w:t>
      </w:r>
    </w:p>
    <w:p w14:paraId="33154B44" w14:textId="77777777" w:rsidR="00597D80" w:rsidRPr="001F074A" w:rsidRDefault="00597D80">
      <w:pPr>
        <w:pBdr>
          <w:top w:val="nil"/>
          <w:left w:val="nil"/>
          <w:bottom w:val="nil"/>
          <w:right w:val="nil"/>
          <w:between w:val="nil"/>
        </w:pBdr>
        <w:spacing w:after="0" w:line="240" w:lineRule="auto"/>
        <w:ind w:left="720"/>
        <w:jc w:val="both"/>
        <w:rPr>
          <w:rFonts w:asciiTheme="minorHAnsi" w:hAnsiTheme="minorHAnsi"/>
        </w:rPr>
      </w:pPr>
    </w:p>
    <w:p w14:paraId="52F543B2" w14:textId="77777777" w:rsidR="00597D80" w:rsidRPr="001F074A" w:rsidRDefault="00000000" w:rsidP="00136E19">
      <w:pPr>
        <w:numPr>
          <w:ilvl w:val="0"/>
          <w:numId w:val="2"/>
        </w:numPr>
        <w:pBdr>
          <w:top w:val="nil"/>
          <w:left w:val="nil"/>
          <w:bottom w:val="nil"/>
          <w:right w:val="nil"/>
          <w:between w:val="nil"/>
        </w:pBdr>
        <w:spacing w:after="280" w:line="240" w:lineRule="auto"/>
        <w:jc w:val="both"/>
        <w:rPr>
          <w:rFonts w:asciiTheme="minorHAnsi" w:hAnsiTheme="minorHAnsi"/>
          <w:color w:val="000000"/>
        </w:rPr>
      </w:pPr>
      <w:r w:rsidRPr="001F074A">
        <w:rPr>
          <w:rFonts w:asciiTheme="minorHAnsi" w:hAnsiTheme="minorHAnsi"/>
          <w:color w:val="000000"/>
        </w:rPr>
        <w:t>To substantially increase public investment in pre-primary education, including by allocating at least 10 per cent of the education budget to the sector, in line with international benchmarks, and ensure that adequate resources are directed towards expanding equitable access and improving the quality of services.</w:t>
      </w:r>
    </w:p>
    <w:p w14:paraId="2632F542" w14:textId="77777777" w:rsidR="00597D80" w:rsidRPr="001F074A" w:rsidRDefault="00597D80">
      <w:pPr>
        <w:pBdr>
          <w:top w:val="nil"/>
          <w:left w:val="nil"/>
          <w:bottom w:val="nil"/>
          <w:right w:val="nil"/>
          <w:between w:val="nil"/>
        </w:pBdr>
        <w:spacing w:after="0" w:line="240" w:lineRule="auto"/>
        <w:jc w:val="both"/>
        <w:rPr>
          <w:rFonts w:asciiTheme="minorHAnsi" w:hAnsiTheme="minorHAnsi"/>
          <w:color w:val="000000"/>
        </w:rPr>
      </w:pPr>
    </w:p>
    <w:p w14:paraId="0BF7A68B" w14:textId="2B67E66A" w:rsidR="00597D80" w:rsidRPr="001F074A" w:rsidRDefault="00597D80">
      <w:pPr>
        <w:pBdr>
          <w:top w:val="nil"/>
          <w:left w:val="nil"/>
          <w:bottom w:val="nil"/>
          <w:right w:val="nil"/>
          <w:between w:val="nil"/>
        </w:pBdr>
        <w:spacing w:after="0" w:line="240" w:lineRule="auto"/>
        <w:jc w:val="both"/>
        <w:rPr>
          <w:rFonts w:asciiTheme="minorHAnsi" w:hAnsiTheme="minorHAnsi"/>
          <w:color w:val="000000"/>
        </w:rPr>
      </w:pPr>
    </w:p>
    <w:p w14:paraId="36BCD380" w14:textId="77777777" w:rsidR="00597D80" w:rsidRPr="001F074A" w:rsidRDefault="00597D80">
      <w:pPr>
        <w:pBdr>
          <w:top w:val="nil"/>
          <w:left w:val="nil"/>
          <w:bottom w:val="nil"/>
          <w:right w:val="nil"/>
          <w:between w:val="nil"/>
        </w:pBdr>
        <w:spacing w:after="0" w:line="240" w:lineRule="auto"/>
        <w:jc w:val="both"/>
        <w:rPr>
          <w:rFonts w:asciiTheme="minorHAnsi" w:hAnsiTheme="minorHAnsi"/>
          <w:color w:val="000000"/>
        </w:rPr>
      </w:pPr>
    </w:p>
    <w:p w14:paraId="050AA767" w14:textId="77777777" w:rsidR="00597D80" w:rsidRPr="001F074A" w:rsidRDefault="00597D80">
      <w:pPr>
        <w:pBdr>
          <w:top w:val="nil"/>
          <w:left w:val="nil"/>
          <w:bottom w:val="nil"/>
          <w:right w:val="nil"/>
          <w:between w:val="nil"/>
        </w:pBdr>
        <w:spacing w:after="0" w:line="240" w:lineRule="auto"/>
        <w:rPr>
          <w:rFonts w:asciiTheme="minorHAnsi" w:eastAsia="Arial" w:hAnsiTheme="minorHAnsi" w:cs="Arial"/>
          <w:b/>
          <w:bCs/>
          <w:color w:val="000000"/>
        </w:rPr>
      </w:pPr>
    </w:p>
    <w:sectPr w:rsidR="00597D80" w:rsidRPr="001F074A">
      <w:headerReference w:type="default" r:id="rId9"/>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F7B5D" w14:textId="77777777" w:rsidR="00334407" w:rsidRPr="00136E19" w:rsidRDefault="00334407">
      <w:pPr>
        <w:spacing w:after="0" w:line="240" w:lineRule="auto"/>
      </w:pPr>
      <w:r w:rsidRPr="00136E19">
        <w:separator/>
      </w:r>
    </w:p>
  </w:endnote>
  <w:endnote w:type="continuationSeparator" w:id="0">
    <w:p w14:paraId="6EAA25A9" w14:textId="77777777" w:rsidR="00334407" w:rsidRPr="00136E19" w:rsidRDefault="00334407">
      <w:pPr>
        <w:spacing w:after="0" w:line="240" w:lineRule="auto"/>
      </w:pPr>
      <w:r w:rsidRPr="00136E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FAB2656-560C-47BA-87AF-83D86968E9A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7EFFF99-8B80-41A8-986A-651BEC01E373}"/>
    <w:embedBold r:id="rId3" w:fontKey="{59A97BB1-D390-470C-BCC8-36241D0A8C58}"/>
    <w:embedItalic r:id="rId4" w:fontKey="{7C1E7652-1729-4363-8AE8-EBDB30C253F9}"/>
  </w:font>
  <w:font w:name="Book Antiqua">
    <w:panose1 w:val="02040602050305030304"/>
    <w:charset w:val="00"/>
    <w:family w:val="roman"/>
    <w:pitch w:val="variable"/>
    <w:sig w:usb0="00000287" w:usb1="00000000" w:usb2="00000000" w:usb3="00000000" w:csb0="0000009F" w:csb1="00000000"/>
    <w:embedRegular r:id="rId5" w:fontKey="{6236AD19-7F6F-4DAC-8C89-0F57ABCE6AD9}"/>
    <w:embedBold r:id="rId6" w:fontKey="{D741AB07-9A64-40C0-9C03-CD7E7716FDFD}"/>
  </w:font>
  <w:font w:name="Cambria">
    <w:panose1 w:val="02040503050406030204"/>
    <w:charset w:val="00"/>
    <w:family w:val="roman"/>
    <w:pitch w:val="variable"/>
    <w:sig w:usb0="E00006FF" w:usb1="420024FF" w:usb2="02000000" w:usb3="00000000" w:csb0="0000019F" w:csb1="00000000"/>
    <w:embedRegular r:id="rId7" w:fontKey="{1A50C9BD-91FA-4A90-99B1-8D2773B1182F}"/>
    <w:embedBold r:id="rId8" w:fontKey="{C7CA9881-62C5-440C-8BB6-82B025F9E68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50997"/>
      <w:docPartObj>
        <w:docPartGallery w:val="Page Numbers (Bottom of Page)"/>
        <w:docPartUnique/>
      </w:docPartObj>
    </w:sdtPr>
    <w:sdtEndPr>
      <w:rPr>
        <w:noProof/>
      </w:rPr>
    </w:sdtEndPr>
    <w:sdtContent>
      <w:p w14:paraId="2BF3945F" w14:textId="2477C1BF" w:rsidR="002C3745" w:rsidRDefault="002C3745">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2C3745">
          <w:rPr>
            <w:i/>
            <w:iCs/>
            <w:noProof/>
            <w:sz w:val="20"/>
            <w:szCs w:val="20"/>
          </w:rPr>
          <w:t>July 2026</w:t>
        </w:r>
      </w:p>
    </w:sdtContent>
  </w:sdt>
  <w:p w14:paraId="23F48A0F" w14:textId="5ED01572" w:rsidR="00175917" w:rsidRPr="002C3745" w:rsidRDefault="00175917">
    <w:pPr>
      <w:pStyle w:val="Footer"/>
      <w:rPr>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70BD4" w14:textId="77777777" w:rsidR="00334407" w:rsidRPr="00136E19" w:rsidRDefault="00334407">
      <w:pPr>
        <w:spacing w:after="0" w:line="240" w:lineRule="auto"/>
      </w:pPr>
      <w:r w:rsidRPr="00136E19">
        <w:separator/>
      </w:r>
    </w:p>
  </w:footnote>
  <w:footnote w:type="continuationSeparator" w:id="0">
    <w:p w14:paraId="25AA5C49" w14:textId="77777777" w:rsidR="00334407" w:rsidRPr="00136E19" w:rsidRDefault="00334407">
      <w:pPr>
        <w:spacing w:after="0" w:line="240" w:lineRule="auto"/>
      </w:pPr>
      <w:r w:rsidRPr="00136E19">
        <w:continuationSeparator/>
      </w:r>
    </w:p>
  </w:footnote>
  <w:footnote w:id="1">
    <w:p w14:paraId="24A84B77" w14:textId="77777777" w:rsidR="00597D80" w:rsidRPr="00136E19" w:rsidRDefault="00000000">
      <w:pPr>
        <w:spacing w:after="0" w:line="240" w:lineRule="auto"/>
        <w:rPr>
          <w:color w:val="000000"/>
          <w:sz w:val="18"/>
          <w:szCs w:val="18"/>
        </w:rPr>
      </w:pPr>
      <w:r w:rsidRPr="00136E19">
        <w:rPr>
          <w:vertAlign w:val="superscript"/>
        </w:rPr>
        <w:footnoteRef/>
      </w:r>
      <w:r w:rsidRPr="00136E19">
        <w:rPr>
          <w:sz w:val="18"/>
          <w:szCs w:val="18"/>
        </w:rPr>
        <w:t xml:space="preserve"> HRW/ISER (2024), ‘Lay a Strong Foundation for All Children -Fees as a Discriminatory Barrier to </w:t>
      </w:r>
      <w:r w:rsidRPr="00136E19">
        <w:rPr>
          <w:color w:val="000000"/>
          <w:sz w:val="18"/>
          <w:szCs w:val="18"/>
        </w:rPr>
        <w:t>Pre-Primary Education in Uganda</w:t>
      </w:r>
      <w:r w:rsidRPr="00136E19">
        <w:rPr>
          <w:sz w:val="18"/>
          <w:szCs w:val="18"/>
        </w:rPr>
        <w:t>’</w:t>
      </w:r>
      <w:r w:rsidRPr="00136E19">
        <w:rPr>
          <w:color w:val="000000"/>
          <w:sz w:val="18"/>
          <w:szCs w:val="18"/>
        </w:rPr>
        <w:t xml:space="preserve">. </w:t>
      </w:r>
      <w:r w:rsidRPr="00136E19">
        <w:rPr>
          <w:sz w:val="18"/>
          <w:szCs w:val="18"/>
        </w:rPr>
        <w:t>p</w:t>
      </w:r>
      <w:r w:rsidRPr="00136E19">
        <w:rPr>
          <w:color w:val="000000"/>
          <w:sz w:val="18"/>
          <w:szCs w:val="18"/>
        </w:rPr>
        <w:t>.30</w:t>
      </w:r>
    </w:p>
  </w:footnote>
  <w:footnote w:id="2">
    <w:p w14:paraId="6763C827" w14:textId="77777777" w:rsidR="00597D80" w:rsidRPr="00136E19" w:rsidRDefault="00000000">
      <w:pPr>
        <w:spacing w:after="0" w:line="240" w:lineRule="auto"/>
        <w:rPr>
          <w:color w:val="000000"/>
          <w:sz w:val="20"/>
          <w:szCs w:val="20"/>
        </w:rPr>
      </w:pPr>
      <w:r w:rsidRPr="00136E19">
        <w:rPr>
          <w:vertAlign w:val="superscript"/>
        </w:rPr>
        <w:footnoteRef/>
      </w:r>
      <w:r w:rsidRPr="00136E19">
        <w:t xml:space="preserve"> </w:t>
      </w:r>
      <w:r w:rsidRPr="00136E19">
        <w:rPr>
          <w:sz w:val="18"/>
          <w:szCs w:val="18"/>
        </w:rPr>
        <w:t>Ibid</w:t>
      </w:r>
    </w:p>
  </w:footnote>
  <w:footnote w:id="3">
    <w:p w14:paraId="7A027BA6" w14:textId="77777777" w:rsidR="00597D80" w:rsidRPr="00136E19" w:rsidRDefault="00000000">
      <w:pPr>
        <w:spacing w:after="0" w:line="240" w:lineRule="auto"/>
        <w:rPr>
          <w:sz w:val="18"/>
          <w:szCs w:val="18"/>
        </w:rPr>
      </w:pPr>
      <w:r w:rsidRPr="00136E19">
        <w:rPr>
          <w:vertAlign w:val="superscript"/>
        </w:rPr>
        <w:footnoteRef/>
      </w:r>
      <w:r w:rsidRPr="00136E19">
        <w:rPr>
          <w:sz w:val="18"/>
          <w:szCs w:val="18"/>
        </w:rPr>
        <w:t xml:space="preserve"> Ibid. </w:t>
      </w:r>
    </w:p>
  </w:footnote>
  <w:footnote w:id="4">
    <w:p w14:paraId="4C4E7655" w14:textId="77777777" w:rsidR="00597D80" w:rsidRPr="00136E19" w:rsidRDefault="00000000">
      <w:pPr>
        <w:pBdr>
          <w:top w:val="nil"/>
          <w:left w:val="nil"/>
          <w:bottom w:val="nil"/>
          <w:right w:val="nil"/>
          <w:between w:val="nil"/>
        </w:pBdr>
        <w:spacing w:after="0" w:line="240" w:lineRule="auto"/>
        <w:rPr>
          <w:color w:val="000000"/>
          <w:sz w:val="18"/>
          <w:szCs w:val="18"/>
        </w:rPr>
      </w:pPr>
      <w:r w:rsidRPr="00136E19">
        <w:rPr>
          <w:vertAlign w:val="superscript"/>
        </w:rPr>
        <w:footnoteRef/>
      </w:r>
      <w:r w:rsidRPr="00136E19">
        <w:rPr>
          <w:sz w:val="18"/>
          <w:szCs w:val="18"/>
        </w:rPr>
        <w:t xml:space="preserve"> Ibid.</w:t>
      </w:r>
    </w:p>
  </w:footnote>
  <w:footnote w:id="5">
    <w:p w14:paraId="791E6B6C" w14:textId="77777777" w:rsidR="00597D80" w:rsidRPr="00136E19" w:rsidRDefault="00000000">
      <w:pPr>
        <w:spacing w:after="0" w:line="240" w:lineRule="auto"/>
        <w:rPr>
          <w:sz w:val="18"/>
          <w:szCs w:val="18"/>
        </w:rPr>
      </w:pPr>
      <w:r w:rsidRPr="00136E19">
        <w:rPr>
          <w:vertAlign w:val="superscript"/>
        </w:rPr>
        <w:footnoteRef/>
      </w:r>
      <w:r w:rsidRPr="00136E19">
        <w:rPr>
          <w:sz w:val="20"/>
          <w:szCs w:val="20"/>
        </w:rPr>
        <w:t xml:space="preserve"> </w:t>
      </w:r>
      <w:r w:rsidRPr="00136E19">
        <w:rPr>
          <w:sz w:val="18"/>
          <w:szCs w:val="18"/>
        </w:rPr>
        <w:t>World Bank (2025), ‘Investing in Early Childhood Development for Transformation of Human Capital in Uganda’ p.34</w:t>
      </w:r>
    </w:p>
  </w:footnote>
  <w:footnote w:id="6">
    <w:p w14:paraId="1F0C188E" w14:textId="77777777" w:rsidR="00597D80" w:rsidRPr="00136E19" w:rsidRDefault="00000000">
      <w:pPr>
        <w:spacing w:after="0" w:line="240" w:lineRule="auto"/>
        <w:rPr>
          <w:sz w:val="18"/>
          <w:szCs w:val="18"/>
        </w:rPr>
      </w:pPr>
      <w:r w:rsidRPr="00136E19">
        <w:rPr>
          <w:vertAlign w:val="superscript"/>
        </w:rPr>
        <w:footnoteRef/>
      </w:r>
      <w:r w:rsidRPr="00136E19">
        <w:rPr>
          <w:sz w:val="20"/>
          <w:szCs w:val="20"/>
        </w:rPr>
        <w:t xml:space="preserve"> </w:t>
      </w:r>
      <w:proofErr w:type="gramStart"/>
      <w:r w:rsidRPr="00136E19">
        <w:rPr>
          <w:sz w:val="18"/>
          <w:szCs w:val="18"/>
        </w:rPr>
        <w:t>UNICE(</w:t>
      </w:r>
      <w:proofErr w:type="gramEnd"/>
      <w:r w:rsidRPr="00136E19">
        <w:rPr>
          <w:sz w:val="18"/>
          <w:szCs w:val="18"/>
        </w:rPr>
        <w:t>2023), ‘Investing in the Future: A Cost-Benefit Analysis of Pre-Primary Education in Uganda’</w:t>
      </w:r>
      <w:hyperlink r:id="rId1">
        <w:r w:rsidR="00597D80" w:rsidRPr="00136E19">
          <w:rPr>
            <w:color w:val="1155CC"/>
            <w:sz w:val="18"/>
            <w:szCs w:val="18"/>
            <w:u w:val="single"/>
          </w:rPr>
          <w:t xml:space="preserve"> Link</w:t>
        </w:r>
      </w:hyperlink>
      <w:r w:rsidRPr="00136E19">
        <w:rPr>
          <w:sz w:val="18"/>
          <w:szCs w:val="18"/>
        </w:rPr>
        <w:t xml:space="preserve"> accessed 30 July 2026</w:t>
      </w:r>
    </w:p>
  </w:footnote>
  <w:footnote w:id="7">
    <w:p w14:paraId="2E16BF0D" w14:textId="77777777" w:rsidR="00597D80" w:rsidRPr="00136E19" w:rsidRDefault="00000000">
      <w:pPr>
        <w:pBdr>
          <w:top w:val="nil"/>
          <w:left w:val="nil"/>
          <w:bottom w:val="nil"/>
          <w:right w:val="nil"/>
          <w:between w:val="nil"/>
        </w:pBdr>
        <w:spacing w:after="0" w:line="240" w:lineRule="auto"/>
        <w:rPr>
          <w:color w:val="000000"/>
          <w:sz w:val="18"/>
          <w:szCs w:val="18"/>
        </w:rPr>
      </w:pPr>
      <w:r w:rsidRPr="00136E19">
        <w:rPr>
          <w:vertAlign w:val="superscript"/>
        </w:rPr>
        <w:footnoteRef/>
      </w:r>
      <w:r w:rsidRPr="00136E19">
        <w:rPr>
          <w:color w:val="000000"/>
          <w:sz w:val="20"/>
          <w:szCs w:val="20"/>
        </w:rPr>
        <w:t xml:space="preserve"> </w:t>
      </w:r>
      <w:r w:rsidRPr="00136E19">
        <w:rPr>
          <w:sz w:val="18"/>
          <w:szCs w:val="18"/>
        </w:rPr>
        <w:t xml:space="preserve">World Bank (2025), ‘Investing in Early Childhood Development for Transformation of Human Capital in Uganda’ </w:t>
      </w:r>
    </w:p>
  </w:footnote>
  <w:footnote w:id="8">
    <w:p w14:paraId="39AC29CB" w14:textId="77777777" w:rsidR="00597D80" w:rsidRPr="00136E19" w:rsidRDefault="00000000">
      <w:pPr>
        <w:spacing w:after="0" w:line="240" w:lineRule="auto"/>
        <w:rPr>
          <w:sz w:val="16"/>
          <w:szCs w:val="16"/>
        </w:rPr>
      </w:pPr>
      <w:r w:rsidRPr="00136E19">
        <w:rPr>
          <w:vertAlign w:val="superscript"/>
        </w:rPr>
        <w:footnoteRef/>
      </w:r>
      <w:r w:rsidRPr="00136E19">
        <w:rPr>
          <w:sz w:val="20"/>
          <w:szCs w:val="20"/>
        </w:rPr>
        <w:t xml:space="preserve"> </w:t>
      </w:r>
      <w:proofErr w:type="spellStart"/>
      <w:r w:rsidRPr="00136E19">
        <w:rPr>
          <w:sz w:val="18"/>
          <w:szCs w:val="18"/>
        </w:rPr>
        <w:t>GoU</w:t>
      </w:r>
      <w:proofErr w:type="spellEnd"/>
      <w:r w:rsidRPr="00136E19">
        <w:rPr>
          <w:sz w:val="18"/>
          <w:szCs w:val="18"/>
        </w:rPr>
        <w:t xml:space="preserve">, Education Policy and Planning Department (2017). Education Abstract. Available at: </w:t>
      </w:r>
      <w:hyperlink r:id="rId2">
        <w:r w:rsidR="00597D80" w:rsidRPr="00136E19">
          <w:rPr>
            <w:color w:val="1155CC"/>
            <w:sz w:val="18"/>
            <w:szCs w:val="18"/>
            <w:u w:val="single"/>
          </w:rPr>
          <w:t>Link</w:t>
        </w:r>
      </w:hyperlink>
      <w:hyperlink r:id="rId3">
        <w:r w:rsidR="00597D80" w:rsidRPr="00136E19">
          <w:rPr>
            <w:sz w:val="18"/>
            <w:szCs w:val="18"/>
            <w:u w:val="single"/>
          </w:rPr>
          <w:t xml:space="preserve"> </w:t>
        </w:r>
      </w:hyperlink>
      <w:r w:rsidRPr="00136E19">
        <w:rPr>
          <w:sz w:val="16"/>
          <w:szCs w:val="16"/>
        </w:rPr>
        <w:t xml:space="preserve"> accessed 31 July 2026 p.20</w:t>
      </w:r>
    </w:p>
  </w:footnote>
  <w:footnote w:id="9">
    <w:p w14:paraId="1CCC22F2" w14:textId="77777777" w:rsidR="00597D80" w:rsidRPr="00136E19" w:rsidRDefault="00000000">
      <w:pPr>
        <w:spacing w:after="0" w:line="240" w:lineRule="auto"/>
        <w:rPr>
          <w:sz w:val="20"/>
          <w:szCs w:val="20"/>
        </w:rPr>
      </w:pPr>
      <w:r w:rsidRPr="00136E19">
        <w:rPr>
          <w:vertAlign w:val="superscript"/>
        </w:rPr>
        <w:footnoteRef/>
      </w:r>
      <w:r w:rsidRPr="00136E19">
        <w:rPr>
          <w:sz w:val="20"/>
          <w:szCs w:val="20"/>
        </w:rPr>
        <w:t xml:space="preserve"> </w:t>
      </w:r>
      <w:proofErr w:type="gramStart"/>
      <w:r w:rsidRPr="00136E19">
        <w:rPr>
          <w:sz w:val="18"/>
          <w:szCs w:val="18"/>
        </w:rPr>
        <w:t>UNICEF(</w:t>
      </w:r>
      <w:proofErr w:type="gramEnd"/>
      <w:r w:rsidRPr="00136E19">
        <w:rPr>
          <w:sz w:val="18"/>
          <w:szCs w:val="18"/>
        </w:rPr>
        <w:t>2023), ‘Investing in the Future: A Cost-Benefit Analysis of Pre-Primary Education in Uganda’</w:t>
      </w:r>
      <w:hyperlink r:id="rId4">
        <w:r w:rsidR="00597D80" w:rsidRPr="00136E19">
          <w:rPr>
            <w:color w:val="1155CC"/>
            <w:sz w:val="18"/>
            <w:szCs w:val="18"/>
            <w:u w:val="single"/>
          </w:rPr>
          <w:t xml:space="preserve"> Link</w:t>
        </w:r>
      </w:hyperlink>
      <w:r w:rsidRPr="00136E19">
        <w:rPr>
          <w:sz w:val="18"/>
          <w:szCs w:val="18"/>
        </w:rPr>
        <w:t xml:space="preserve"> accessed 30 July 2026 p. 18</w:t>
      </w:r>
    </w:p>
  </w:footnote>
  <w:footnote w:id="10">
    <w:p w14:paraId="5E655B5B" w14:textId="77777777" w:rsidR="00597D80" w:rsidRPr="00136E19" w:rsidRDefault="00000000">
      <w:pPr>
        <w:spacing w:after="0" w:line="240" w:lineRule="auto"/>
        <w:rPr>
          <w:sz w:val="18"/>
          <w:szCs w:val="18"/>
        </w:rPr>
      </w:pPr>
      <w:r w:rsidRPr="00136E19">
        <w:rPr>
          <w:vertAlign w:val="superscript"/>
        </w:rPr>
        <w:footnoteRef/>
      </w:r>
      <w:r w:rsidRPr="00136E19">
        <w:rPr>
          <w:sz w:val="18"/>
          <w:szCs w:val="18"/>
        </w:rPr>
        <w:t xml:space="preserve"> Ibid</w:t>
      </w:r>
    </w:p>
  </w:footnote>
  <w:footnote w:id="11">
    <w:p w14:paraId="716E89CC" w14:textId="77777777" w:rsidR="00597D80" w:rsidRPr="00136E19" w:rsidRDefault="00000000">
      <w:pPr>
        <w:pBdr>
          <w:top w:val="nil"/>
          <w:left w:val="nil"/>
          <w:bottom w:val="nil"/>
          <w:right w:val="nil"/>
          <w:between w:val="nil"/>
        </w:pBdr>
        <w:spacing w:after="0" w:line="240" w:lineRule="auto"/>
        <w:rPr>
          <w:color w:val="000000"/>
          <w:sz w:val="16"/>
          <w:szCs w:val="16"/>
        </w:rPr>
      </w:pPr>
      <w:r w:rsidRPr="00136E19">
        <w:rPr>
          <w:vertAlign w:val="superscript"/>
        </w:rPr>
        <w:footnoteRef/>
      </w:r>
      <w:r w:rsidRPr="00136E19">
        <w:rPr>
          <w:color w:val="000000"/>
          <w:sz w:val="18"/>
          <w:szCs w:val="18"/>
        </w:rPr>
        <w:t xml:space="preserve"> </w:t>
      </w:r>
      <w:r w:rsidRPr="00136E19">
        <w:rPr>
          <w:sz w:val="16"/>
          <w:szCs w:val="16"/>
        </w:rPr>
        <w:t>Ibid.p.47 &amp; 48</w:t>
      </w:r>
    </w:p>
  </w:footnote>
  <w:footnote w:id="12">
    <w:p w14:paraId="38A94BD9" w14:textId="77777777" w:rsidR="00597D80" w:rsidRPr="00136E19" w:rsidRDefault="00000000">
      <w:pPr>
        <w:pBdr>
          <w:top w:val="nil"/>
          <w:left w:val="nil"/>
          <w:bottom w:val="nil"/>
          <w:right w:val="nil"/>
          <w:between w:val="nil"/>
        </w:pBdr>
        <w:spacing w:after="0" w:line="240" w:lineRule="auto"/>
        <w:rPr>
          <w:color w:val="000000"/>
          <w:sz w:val="18"/>
          <w:szCs w:val="18"/>
        </w:rPr>
      </w:pPr>
      <w:r w:rsidRPr="00136E19">
        <w:rPr>
          <w:vertAlign w:val="superscript"/>
        </w:rPr>
        <w:footnoteRef/>
      </w:r>
      <w:r w:rsidRPr="00136E19">
        <w:rPr>
          <w:color w:val="000000"/>
          <w:sz w:val="20"/>
          <w:szCs w:val="20"/>
        </w:rPr>
        <w:t xml:space="preserve"> </w:t>
      </w:r>
      <w:r w:rsidRPr="00136E19">
        <w:rPr>
          <w:color w:val="000000"/>
          <w:sz w:val="18"/>
          <w:szCs w:val="18"/>
        </w:rPr>
        <w:t>Ibid.p.18</w:t>
      </w:r>
    </w:p>
  </w:footnote>
  <w:footnote w:id="13">
    <w:p w14:paraId="51CF9DAC" w14:textId="44FBE995" w:rsidR="00597D80" w:rsidRPr="00136E19" w:rsidRDefault="00000000">
      <w:pPr>
        <w:pBdr>
          <w:top w:val="nil"/>
          <w:left w:val="nil"/>
          <w:bottom w:val="nil"/>
          <w:right w:val="nil"/>
          <w:between w:val="nil"/>
        </w:pBdr>
        <w:spacing w:after="0" w:line="240" w:lineRule="auto"/>
        <w:rPr>
          <w:color w:val="000000"/>
          <w:sz w:val="18"/>
          <w:szCs w:val="18"/>
        </w:rPr>
      </w:pPr>
      <w:r w:rsidRPr="00136E19">
        <w:rPr>
          <w:vertAlign w:val="superscript"/>
        </w:rPr>
        <w:footnoteRef/>
      </w:r>
      <w:r w:rsidRPr="00136E19">
        <w:rPr>
          <w:color w:val="000000"/>
          <w:sz w:val="18"/>
          <w:szCs w:val="18"/>
        </w:rPr>
        <w:t xml:space="preserve"> </w:t>
      </w:r>
      <w:r w:rsidRPr="00136E19">
        <w:rPr>
          <w:sz w:val="18"/>
          <w:szCs w:val="18"/>
        </w:rPr>
        <w:t>HRW/ISER (2024), ‘Lay a Strong Foundation for All Children”</w:t>
      </w:r>
      <w:r w:rsidR="00136E19" w:rsidRPr="00136E19">
        <w:rPr>
          <w:sz w:val="18"/>
          <w:szCs w:val="18"/>
        </w:rPr>
        <w:t xml:space="preserve"> </w:t>
      </w:r>
      <w:r w:rsidRPr="00136E19">
        <w:rPr>
          <w:sz w:val="18"/>
          <w:szCs w:val="18"/>
        </w:rPr>
        <w:t>Fees as a Discriminatory Barrier to Pre-Primary Education in Uganda. p.</w:t>
      </w:r>
      <w:r w:rsidRPr="00136E19">
        <w:rPr>
          <w:color w:val="000000"/>
          <w:sz w:val="18"/>
          <w:szCs w:val="18"/>
        </w:rPr>
        <w:t>57</w:t>
      </w:r>
    </w:p>
  </w:footnote>
  <w:footnote w:id="14">
    <w:p w14:paraId="24E0A128" w14:textId="77777777" w:rsidR="00597D80" w:rsidRPr="00136E19" w:rsidRDefault="00000000">
      <w:pPr>
        <w:spacing w:after="0" w:line="240" w:lineRule="auto"/>
        <w:rPr>
          <w:sz w:val="18"/>
          <w:szCs w:val="18"/>
        </w:rPr>
      </w:pPr>
      <w:r w:rsidRPr="00136E19">
        <w:rPr>
          <w:vertAlign w:val="superscript"/>
        </w:rPr>
        <w:footnoteRef/>
      </w:r>
      <w:r w:rsidRPr="00136E19">
        <w:rPr>
          <w:sz w:val="18"/>
          <w:szCs w:val="18"/>
        </w:rPr>
        <w:t xml:space="preserve"> </w:t>
      </w:r>
      <w:proofErr w:type="gramStart"/>
      <w:r w:rsidRPr="00136E19">
        <w:rPr>
          <w:sz w:val="18"/>
          <w:szCs w:val="18"/>
        </w:rPr>
        <w:t>UNICEF(</w:t>
      </w:r>
      <w:proofErr w:type="gramEnd"/>
      <w:r w:rsidRPr="00136E19">
        <w:rPr>
          <w:sz w:val="18"/>
          <w:szCs w:val="18"/>
        </w:rPr>
        <w:t>2023), ‘Investing in the Future: A Cost-Benefit Analysis of Pre-Primary Education in Uganda’</w:t>
      </w:r>
      <w:hyperlink r:id="rId5">
        <w:r w:rsidR="00597D80" w:rsidRPr="00136E19">
          <w:rPr>
            <w:color w:val="1155CC"/>
            <w:sz w:val="18"/>
            <w:szCs w:val="18"/>
            <w:u w:val="single"/>
          </w:rPr>
          <w:t xml:space="preserve"> Link</w:t>
        </w:r>
      </w:hyperlink>
      <w:r w:rsidRPr="00136E19">
        <w:rPr>
          <w:sz w:val="18"/>
          <w:szCs w:val="18"/>
        </w:rPr>
        <w:t xml:space="preserve"> accessed 30 July 2026</w:t>
      </w:r>
    </w:p>
  </w:footnote>
  <w:footnote w:id="15">
    <w:p w14:paraId="589354EB" w14:textId="77777777" w:rsidR="00597D80" w:rsidRDefault="00000000">
      <w:pPr>
        <w:pBdr>
          <w:top w:val="nil"/>
          <w:left w:val="nil"/>
          <w:bottom w:val="nil"/>
          <w:right w:val="nil"/>
          <w:between w:val="nil"/>
        </w:pBdr>
        <w:spacing w:after="0" w:line="240" w:lineRule="auto"/>
        <w:rPr>
          <w:color w:val="000000"/>
          <w:sz w:val="18"/>
          <w:szCs w:val="18"/>
        </w:rPr>
      </w:pPr>
      <w:r w:rsidRPr="00136E19">
        <w:rPr>
          <w:vertAlign w:val="superscript"/>
        </w:rPr>
        <w:footnoteRef/>
      </w:r>
      <w:r w:rsidRPr="00136E19">
        <w:rPr>
          <w:color w:val="000000"/>
          <w:sz w:val="18"/>
          <w:szCs w:val="18"/>
        </w:rPr>
        <w:t xml:space="preserve"> </w:t>
      </w:r>
      <w:r w:rsidRPr="00136E19">
        <w:rPr>
          <w:sz w:val="18"/>
          <w:szCs w:val="18"/>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9EFDF" w14:textId="3CA280DA" w:rsidR="00597D80" w:rsidRPr="00136E19" w:rsidRDefault="00000000">
    <w:r w:rsidRPr="00136E19">
      <w:rPr>
        <w:noProof/>
      </w:rPr>
      <w:drawing>
        <wp:inline distT="114300" distB="114300" distL="114300" distR="114300" wp14:anchorId="7BD343A5" wp14:editId="373064CD">
          <wp:extent cx="1934845" cy="723770"/>
          <wp:effectExtent l="0" t="0" r="0" b="63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43315" cy="726938"/>
                  </a:xfrm>
                  <a:prstGeom prst="rect">
                    <a:avLst/>
                  </a:prstGeom>
                  <a:ln/>
                </pic:spPr>
              </pic:pic>
            </a:graphicData>
          </a:graphic>
        </wp:inline>
      </w:drawing>
    </w:r>
    <w:r w:rsidRPr="00136E19">
      <w:t xml:space="preserve">                                                                    </w:t>
    </w:r>
    <w:r w:rsidRPr="00136E19">
      <w:rPr>
        <w:noProof/>
      </w:rPr>
      <w:drawing>
        <wp:inline distT="114300" distB="114300" distL="114300" distR="114300" wp14:anchorId="419F5442" wp14:editId="18703B86">
          <wp:extent cx="1628775" cy="63531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628775" cy="63531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47519"/>
    <w:multiLevelType w:val="multilevel"/>
    <w:tmpl w:val="660E91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C531A0"/>
    <w:multiLevelType w:val="multilevel"/>
    <w:tmpl w:val="43B4AE9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8633E4B"/>
    <w:multiLevelType w:val="hybridMultilevel"/>
    <w:tmpl w:val="A35A4B08"/>
    <w:lvl w:ilvl="0" w:tplc="CA2C8E90">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16296112">
    <w:abstractNumId w:val="0"/>
  </w:num>
  <w:num w:numId="2" w16cid:durableId="1967616611">
    <w:abstractNumId w:val="1"/>
  </w:num>
  <w:num w:numId="3" w16cid:durableId="20744296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D80"/>
    <w:rsid w:val="00136E19"/>
    <w:rsid w:val="00137898"/>
    <w:rsid w:val="00175917"/>
    <w:rsid w:val="001B1C95"/>
    <w:rsid w:val="001F074A"/>
    <w:rsid w:val="002526D1"/>
    <w:rsid w:val="002C3745"/>
    <w:rsid w:val="00313894"/>
    <w:rsid w:val="00334407"/>
    <w:rsid w:val="00416949"/>
    <w:rsid w:val="00597D80"/>
    <w:rsid w:val="00A76578"/>
    <w:rsid w:val="00E32440"/>
    <w:rsid w:val="00FF4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33D3D"/>
  <w15:docId w15:val="{A034480F-8F54-4FA1-8E50-B85CDAA02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paragraph" w:styleId="Header">
    <w:name w:val="header"/>
    <w:basedOn w:val="Normal"/>
    <w:link w:val="HeaderChar"/>
    <w:uiPriority w:val="99"/>
    <w:unhideWhenUsed/>
    <w:rsid w:val="001378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898"/>
  </w:style>
  <w:style w:type="paragraph" w:styleId="Footer">
    <w:name w:val="footer"/>
    <w:basedOn w:val="Normal"/>
    <w:link w:val="FooterChar"/>
    <w:uiPriority w:val="99"/>
    <w:unhideWhenUsed/>
    <w:rsid w:val="001378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898"/>
  </w:style>
  <w:style w:type="paragraph" w:styleId="ListParagraph">
    <w:name w:val="List Paragraph"/>
    <w:basedOn w:val="Normal"/>
    <w:uiPriority w:val="34"/>
    <w:qFormat/>
    <w:rsid w:val="002526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RC%2FNGO%2FUGA%2F61730&amp;Lan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education.go.ug/wp-content/uploads/2019/08/Abstract-2017.pdf" TargetMode="External"/><Relationship Id="rId2" Type="http://schemas.openxmlformats.org/officeDocument/2006/relationships/hyperlink" Target="https://www.education.go.ug/wp-content/uploads/2019/08/Abstract-2017.pdf" TargetMode="External"/><Relationship Id="rId1" Type="http://schemas.openxmlformats.org/officeDocument/2006/relationships/hyperlink" Target="https://www.unicef.org/esa/media/13516/file/UNICEF-Uganda-Genesis-Analytics-Cost-Benefit-Analysis-2023.pdf" TargetMode="External"/><Relationship Id="rId5" Type="http://schemas.openxmlformats.org/officeDocument/2006/relationships/hyperlink" Target="https://www.unicef.org/esa/media/13516/file/UNICEF-Uganda-Genesis-Analytics-Cost-Benefit-Analysis-2023.pdf" TargetMode="External"/><Relationship Id="rId4" Type="http://schemas.openxmlformats.org/officeDocument/2006/relationships/hyperlink" Target="https://www.unicef.org/esa/media/13516/file/UNICEF-Uganda-Genesis-Analytics-Cost-Benefit-Analysis-2023.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MegBfo1MYHQYWXshlAQgoHo2EA==">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1299</Words>
  <Characters>7406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Alicia Keria</cp:lastModifiedBy>
  <cp:revision>13</cp:revision>
  <dcterms:created xsi:type="dcterms:W3CDTF">2026-08-01T15:53:00Z</dcterms:created>
  <dcterms:modified xsi:type="dcterms:W3CDTF">2026-08-01T16:19:00Z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c2b9981b-b607-4027-98bb-60c7c7af89da</vt:lpwstr>
  </property>
</Properties>
</file>