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F53" w:rsidRDefault="00B70F53" w:rsidP="00B70F53">
      <w:pPr>
        <w:spacing w:line="360" w:lineRule="auto"/>
        <w:ind w:left="-270" w:right="-360"/>
        <w:jc w:val="center"/>
        <w:rPr>
          <w:rFonts w:asciiTheme="majorBidi" w:hAnsiTheme="majorBidi" w:cstheme="majorBidi"/>
          <w:b/>
          <w:bCs/>
          <w:sz w:val="28"/>
          <w:szCs w:val="28"/>
        </w:rPr>
      </w:pPr>
    </w:p>
    <w:p w:rsidR="00D33E07" w:rsidRPr="00EB0021" w:rsidRDefault="00A339BA" w:rsidP="00B06347">
      <w:pPr>
        <w:spacing w:line="360" w:lineRule="auto"/>
        <w:ind w:left="-270" w:right="-360"/>
        <w:jc w:val="center"/>
        <w:rPr>
          <w:rFonts w:asciiTheme="majorBidi" w:hAnsiTheme="majorBidi" w:cstheme="majorBidi"/>
          <w:b/>
          <w:bCs/>
          <w:sz w:val="28"/>
          <w:szCs w:val="28"/>
        </w:rPr>
      </w:pPr>
      <w:r w:rsidRPr="00EB0021">
        <w:rPr>
          <w:rFonts w:asciiTheme="majorBidi" w:hAnsiTheme="majorBidi" w:cstheme="majorBidi"/>
          <w:b/>
          <w:bCs/>
          <w:sz w:val="28"/>
          <w:szCs w:val="28"/>
        </w:rPr>
        <w:t xml:space="preserve">Submission </w:t>
      </w:r>
      <w:r w:rsidR="00987917" w:rsidRPr="00EB0021">
        <w:rPr>
          <w:rFonts w:asciiTheme="majorBidi" w:hAnsiTheme="majorBidi" w:cstheme="majorBidi"/>
          <w:b/>
          <w:bCs/>
          <w:sz w:val="28"/>
          <w:szCs w:val="28"/>
        </w:rPr>
        <w:t>by the Palestinian Center for Human Rights (PCHR) to the Committee on Economic Social and Cultural Rights on Israel. (</w:t>
      </w:r>
      <w:r w:rsidR="00B06347">
        <w:rPr>
          <w:rFonts w:asciiTheme="majorBidi" w:hAnsiTheme="majorBidi" w:cstheme="majorBidi"/>
          <w:b/>
          <w:bCs/>
          <w:sz w:val="28"/>
          <w:szCs w:val="28"/>
        </w:rPr>
        <w:t>66</w:t>
      </w:r>
      <w:r w:rsidR="00B06347" w:rsidRPr="00B06347">
        <w:rPr>
          <w:rFonts w:asciiTheme="majorBidi" w:hAnsiTheme="majorBidi" w:cstheme="majorBidi"/>
          <w:b/>
          <w:bCs/>
          <w:sz w:val="28"/>
          <w:szCs w:val="28"/>
          <w:vertAlign w:val="superscript"/>
        </w:rPr>
        <w:t>th</w:t>
      </w:r>
      <w:r w:rsidR="00B06347">
        <w:rPr>
          <w:rFonts w:asciiTheme="majorBidi" w:hAnsiTheme="majorBidi" w:cstheme="majorBidi"/>
          <w:b/>
          <w:bCs/>
          <w:sz w:val="28"/>
          <w:szCs w:val="28"/>
        </w:rPr>
        <w:t xml:space="preserve"> Session</w:t>
      </w:r>
      <w:r w:rsidR="00E77C6F" w:rsidRPr="00EB0021">
        <w:rPr>
          <w:rFonts w:asciiTheme="majorBidi" w:hAnsiTheme="majorBidi" w:cstheme="majorBidi"/>
          <w:b/>
          <w:bCs/>
          <w:sz w:val="28"/>
          <w:szCs w:val="28"/>
        </w:rPr>
        <w:t>, 2019)</w:t>
      </w:r>
    </w:p>
    <w:p w:rsidR="00B70F53" w:rsidRPr="00B70F53" w:rsidRDefault="00B70F53" w:rsidP="00B70F53">
      <w:pPr>
        <w:spacing w:line="360" w:lineRule="auto"/>
        <w:ind w:left="-270" w:right="-360"/>
        <w:jc w:val="center"/>
        <w:rPr>
          <w:rFonts w:asciiTheme="majorBidi" w:hAnsiTheme="majorBidi" w:cstheme="majorBidi"/>
          <w:b/>
          <w:bCs/>
          <w:sz w:val="28"/>
          <w:szCs w:val="28"/>
        </w:rPr>
      </w:pPr>
    </w:p>
    <w:p w:rsidR="00861131" w:rsidRPr="00E74FB0" w:rsidRDefault="009566FB" w:rsidP="00DF3541">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The Palestinian Center for Human Rights (PCHR)</w:t>
      </w:r>
      <w:r w:rsidR="002C6677" w:rsidRPr="00E74FB0">
        <w:rPr>
          <w:rFonts w:asciiTheme="majorBidi" w:hAnsiTheme="majorBidi" w:cstheme="majorBidi"/>
          <w:sz w:val="24"/>
          <w:szCs w:val="24"/>
        </w:rPr>
        <w:t xml:space="preserve">, established in 1995, </w:t>
      </w:r>
      <w:r w:rsidRPr="00E74FB0">
        <w:rPr>
          <w:rFonts w:asciiTheme="majorBidi" w:hAnsiTheme="majorBidi" w:cstheme="majorBidi"/>
          <w:sz w:val="24"/>
          <w:szCs w:val="24"/>
        </w:rPr>
        <w:t>is a</w:t>
      </w:r>
      <w:r w:rsidR="00D33E07" w:rsidRPr="00E74FB0">
        <w:rPr>
          <w:rFonts w:asciiTheme="majorBidi" w:hAnsiTheme="majorBidi" w:cstheme="majorBidi"/>
          <w:sz w:val="24"/>
          <w:szCs w:val="24"/>
        </w:rPr>
        <w:t xml:space="preserve"> </w:t>
      </w:r>
      <w:r w:rsidRPr="00E74FB0">
        <w:rPr>
          <w:rFonts w:asciiTheme="majorBidi" w:hAnsiTheme="majorBidi" w:cstheme="majorBidi"/>
          <w:sz w:val="24"/>
          <w:szCs w:val="24"/>
        </w:rPr>
        <w:t>non-governmental organization based in the Gaza Strip dedicated to protecting human rights, promoting the rule of law, and upholding democratic principles in the Occupied Palestinian Territory.</w:t>
      </w:r>
      <w:r w:rsidR="00370298" w:rsidRPr="00E74FB0">
        <w:rPr>
          <w:rFonts w:asciiTheme="majorBidi" w:hAnsiTheme="majorBidi" w:cstheme="majorBidi"/>
          <w:sz w:val="24"/>
          <w:szCs w:val="24"/>
        </w:rPr>
        <w:t xml:space="preserve"> It holds Special Consultative Status with the Economic and Social Council (ECOSOC) of the United Nations.</w:t>
      </w:r>
      <w:r w:rsidR="002F60F8" w:rsidRPr="00E74FB0">
        <w:rPr>
          <w:rFonts w:asciiTheme="majorBidi" w:hAnsiTheme="majorBidi" w:cstheme="majorBidi"/>
          <w:sz w:val="24"/>
          <w:szCs w:val="24"/>
          <w:rtl/>
        </w:rPr>
        <w:t xml:space="preserve"> </w:t>
      </w:r>
      <w:r w:rsidR="004303F7" w:rsidRPr="00E74FB0">
        <w:rPr>
          <w:rFonts w:asciiTheme="majorBidi" w:hAnsiTheme="majorBidi" w:cstheme="majorBidi"/>
          <w:sz w:val="24"/>
          <w:szCs w:val="24"/>
        </w:rPr>
        <w:t xml:space="preserve"> </w:t>
      </w:r>
      <w:r w:rsidR="00D14676" w:rsidRPr="00E74FB0">
        <w:rPr>
          <w:rFonts w:asciiTheme="majorBidi" w:hAnsiTheme="majorBidi" w:cstheme="majorBidi"/>
          <w:sz w:val="24"/>
          <w:szCs w:val="24"/>
        </w:rPr>
        <w:t xml:space="preserve">PCHR works extensively on monitoring and documenting right to health violations faced by the Palestinians in the Gaza Strip and provides legal aid to patients to enable to them to travel abroad through </w:t>
      </w:r>
      <w:proofErr w:type="spellStart"/>
      <w:r w:rsidR="00DF3541">
        <w:rPr>
          <w:rFonts w:asciiTheme="majorBidi" w:hAnsiTheme="majorBidi" w:cstheme="majorBidi"/>
          <w:sz w:val="24"/>
          <w:szCs w:val="24"/>
        </w:rPr>
        <w:t>Beit</w:t>
      </w:r>
      <w:proofErr w:type="spellEnd"/>
      <w:r w:rsidR="00DF3541">
        <w:rPr>
          <w:rFonts w:asciiTheme="majorBidi" w:hAnsiTheme="majorBidi" w:cstheme="majorBidi"/>
          <w:sz w:val="24"/>
          <w:szCs w:val="24"/>
        </w:rPr>
        <w:t xml:space="preserve"> </w:t>
      </w:r>
      <w:proofErr w:type="spellStart"/>
      <w:r w:rsidR="00DF3541">
        <w:rPr>
          <w:rFonts w:asciiTheme="majorBidi" w:hAnsiTheme="majorBidi" w:cstheme="majorBidi"/>
          <w:sz w:val="24"/>
          <w:szCs w:val="24"/>
        </w:rPr>
        <w:t>Hanoun</w:t>
      </w:r>
      <w:proofErr w:type="spellEnd"/>
      <w:r w:rsidR="00DF3541">
        <w:rPr>
          <w:rFonts w:asciiTheme="majorBidi" w:hAnsiTheme="majorBidi" w:cstheme="majorBidi"/>
          <w:sz w:val="24"/>
          <w:szCs w:val="24"/>
        </w:rPr>
        <w:t xml:space="preserve"> (Erez)</w:t>
      </w:r>
      <w:r w:rsidR="00D14676" w:rsidRPr="00E74FB0">
        <w:rPr>
          <w:rFonts w:asciiTheme="majorBidi" w:hAnsiTheme="majorBidi" w:cstheme="majorBidi"/>
          <w:sz w:val="24"/>
          <w:szCs w:val="24"/>
        </w:rPr>
        <w:t xml:space="preserve"> crossing</w:t>
      </w:r>
      <w:r w:rsidR="00EF1454">
        <w:rPr>
          <w:rFonts w:asciiTheme="majorBidi" w:hAnsiTheme="majorBidi" w:cstheme="majorBidi"/>
          <w:sz w:val="24"/>
          <w:szCs w:val="24"/>
        </w:rPr>
        <w:t xml:space="preserve"> </w:t>
      </w:r>
      <w:r w:rsidR="00D14676" w:rsidRPr="00E74FB0">
        <w:rPr>
          <w:rFonts w:asciiTheme="majorBidi" w:hAnsiTheme="majorBidi" w:cstheme="majorBidi"/>
          <w:sz w:val="24"/>
          <w:szCs w:val="24"/>
        </w:rPr>
        <w:t xml:space="preserve">to receive adequate medical treatment. </w:t>
      </w:r>
      <w:r w:rsidR="00DF3541">
        <w:rPr>
          <w:rStyle w:val="FootnoteReference"/>
          <w:rFonts w:asciiTheme="majorBidi" w:hAnsiTheme="majorBidi" w:cstheme="majorBidi"/>
          <w:sz w:val="24"/>
          <w:szCs w:val="24"/>
        </w:rPr>
        <w:footnoteReference w:id="1"/>
      </w:r>
    </w:p>
    <w:p w:rsidR="00861131" w:rsidRPr="00E74FB0" w:rsidRDefault="00861131" w:rsidP="00861131">
      <w:pPr>
        <w:pStyle w:val="ListParagraph"/>
        <w:spacing w:line="360" w:lineRule="auto"/>
        <w:ind w:left="180" w:right="-360"/>
        <w:jc w:val="both"/>
        <w:rPr>
          <w:rFonts w:asciiTheme="majorBidi" w:hAnsiTheme="majorBidi" w:cstheme="majorBidi"/>
          <w:sz w:val="24"/>
          <w:szCs w:val="24"/>
        </w:rPr>
      </w:pPr>
    </w:p>
    <w:p w:rsidR="00861131" w:rsidRPr="00E74FB0" w:rsidRDefault="00D14676" w:rsidP="009C0D63">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This submission relates to Israel’s review by the Committee on Economic, Social and Cultural Rights and focuses on </w:t>
      </w:r>
      <w:r w:rsidR="009C0D63">
        <w:rPr>
          <w:rFonts w:asciiTheme="majorBidi" w:hAnsiTheme="majorBidi" w:cstheme="majorBidi"/>
          <w:sz w:val="24"/>
          <w:szCs w:val="24"/>
        </w:rPr>
        <w:t>Israeli</w:t>
      </w:r>
      <w:r w:rsidRPr="00E74FB0">
        <w:rPr>
          <w:rFonts w:asciiTheme="majorBidi" w:hAnsiTheme="majorBidi" w:cstheme="majorBidi"/>
          <w:sz w:val="24"/>
          <w:szCs w:val="24"/>
        </w:rPr>
        <w:t xml:space="preserve"> restrictions on the Palestinian patients’ right to access healthcare in hospitals in the West Bank, including East Jerusalem, Israel, or abroad.</w:t>
      </w:r>
    </w:p>
    <w:p w:rsidR="00861131" w:rsidRPr="00E74FB0" w:rsidRDefault="00861131" w:rsidP="00861131">
      <w:pPr>
        <w:pStyle w:val="ListParagraph"/>
        <w:spacing w:line="360" w:lineRule="auto"/>
        <w:ind w:left="180" w:right="-360"/>
        <w:jc w:val="both"/>
        <w:rPr>
          <w:rFonts w:asciiTheme="majorBidi" w:hAnsiTheme="majorBidi" w:cstheme="majorBidi"/>
          <w:sz w:val="24"/>
          <w:szCs w:val="24"/>
        </w:rPr>
      </w:pPr>
    </w:p>
    <w:p w:rsidR="002C6677" w:rsidRPr="00E74FB0" w:rsidRDefault="007775EB" w:rsidP="00861131">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eastAsia="Times New Roman" w:hAnsiTheme="majorBidi" w:cstheme="majorBidi"/>
          <w:color w:val="000000"/>
          <w:sz w:val="24"/>
          <w:szCs w:val="24"/>
          <w:lang w:val="en-GB" w:eastAsia="zh-CN"/>
        </w:rPr>
        <w:t>Israel has consistently objected to the exterritorial application of human rights instruments to the Occupied Palestinian Territories</w:t>
      </w:r>
      <w:r w:rsidRPr="00E74FB0">
        <w:rPr>
          <w:rFonts w:asciiTheme="majorBidi" w:hAnsiTheme="majorBidi" w:cstheme="majorBidi"/>
          <w:sz w:val="24"/>
          <w:szCs w:val="24"/>
        </w:rPr>
        <w:t xml:space="preserve">. </w:t>
      </w:r>
      <w:r w:rsidRPr="00E74FB0">
        <w:rPr>
          <w:rStyle w:val="FootnoteReference"/>
          <w:rFonts w:asciiTheme="majorBidi" w:hAnsiTheme="majorBidi" w:cstheme="majorBidi"/>
          <w:sz w:val="24"/>
          <w:szCs w:val="24"/>
        </w:rPr>
        <w:footnoteReference w:id="2"/>
      </w:r>
      <w:r w:rsidRPr="00E74FB0">
        <w:rPr>
          <w:rFonts w:asciiTheme="majorBidi" w:hAnsiTheme="majorBidi" w:cstheme="majorBidi"/>
          <w:sz w:val="24"/>
          <w:szCs w:val="24"/>
        </w:rPr>
        <w:t xml:space="preserve"> However, </w:t>
      </w:r>
      <w:r w:rsidR="00B309AC" w:rsidRPr="00E74FB0">
        <w:rPr>
          <w:rFonts w:asciiTheme="majorBidi" w:hAnsiTheme="majorBidi" w:cstheme="majorBidi"/>
          <w:sz w:val="24"/>
          <w:szCs w:val="24"/>
        </w:rPr>
        <w:t>it</w:t>
      </w:r>
      <w:r w:rsidR="003919B9" w:rsidRPr="00E74FB0">
        <w:rPr>
          <w:rFonts w:asciiTheme="majorBidi" w:hAnsiTheme="majorBidi" w:cstheme="majorBidi"/>
          <w:sz w:val="24"/>
          <w:szCs w:val="24"/>
        </w:rPr>
        <w:t xml:space="preserve"> should be noted </w:t>
      </w:r>
      <w:r w:rsidR="00FD198C" w:rsidRPr="00E74FB0">
        <w:rPr>
          <w:rFonts w:asciiTheme="majorBidi" w:hAnsiTheme="majorBidi" w:cstheme="majorBidi"/>
          <w:sz w:val="24"/>
          <w:szCs w:val="24"/>
        </w:rPr>
        <w:t xml:space="preserve">that the ICJ </w:t>
      </w:r>
      <w:r w:rsidRPr="00E74FB0">
        <w:rPr>
          <w:rFonts w:asciiTheme="majorBidi" w:hAnsiTheme="majorBidi" w:cstheme="majorBidi"/>
          <w:sz w:val="24"/>
          <w:szCs w:val="24"/>
        </w:rPr>
        <w:t xml:space="preserve">clearly </w:t>
      </w:r>
      <w:r w:rsidR="00FD198C" w:rsidRPr="00E74FB0">
        <w:rPr>
          <w:rFonts w:asciiTheme="majorBidi" w:hAnsiTheme="majorBidi" w:cstheme="majorBidi"/>
          <w:sz w:val="24"/>
          <w:szCs w:val="24"/>
        </w:rPr>
        <w:t>stated in its 2004 Advisory Opinion on the Wall that</w:t>
      </w:r>
      <w:r w:rsidR="0079743D" w:rsidRPr="00E74FB0">
        <w:rPr>
          <w:rFonts w:asciiTheme="majorBidi" w:hAnsiTheme="majorBidi" w:cstheme="majorBidi"/>
          <w:sz w:val="24"/>
          <w:szCs w:val="24"/>
        </w:rPr>
        <w:t xml:space="preserve"> Israel as an occupying power is bound by human rights obligations under the International Covenant on Economic, Social and Cultural rights, due to Israel’s exercise of territorial jurisdiction over the Occupied Palestinian Territory.</w:t>
      </w:r>
      <w:r w:rsidR="002D26A9" w:rsidRPr="00E74FB0">
        <w:rPr>
          <w:rFonts w:asciiTheme="majorBidi" w:hAnsiTheme="majorBidi" w:cstheme="majorBidi"/>
          <w:sz w:val="24"/>
          <w:szCs w:val="24"/>
        </w:rPr>
        <w:t xml:space="preserve"> It ruled that Israel is </w:t>
      </w:r>
      <w:r w:rsidR="002D26A9" w:rsidRPr="00E74FB0">
        <w:rPr>
          <w:rFonts w:asciiTheme="majorBidi" w:hAnsiTheme="majorBidi" w:cstheme="majorBidi"/>
          <w:sz w:val="24"/>
          <w:szCs w:val="24"/>
        </w:rPr>
        <w:lastRenderedPageBreak/>
        <w:t>“under an obligation not to raise any obstacle to the exercise of such rights in those fields where competence has been transferred to Palestinian authorities.”</w:t>
      </w:r>
      <w:r w:rsidR="002D26A9" w:rsidRPr="00E74FB0">
        <w:rPr>
          <w:rStyle w:val="FootnoteReference"/>
          <w:rFonts w:asciiTheme="majorBidi" w:hAnsiTheme="majorBidi" w:cstheme="majorBidi"/>
          <w:sz w:val="24"/>
          <w:szCs w:val="24"/>
        </w:rPr>
        <w:footnoteReference w:id="3"/>
      </w:r>
    </w:p>
    <w:p w:rsidR="002C6677" w:rsidRPr="00E74FB0" w:rsidRDefault="002C6677" w:rsidP="00A46867">
      <w:pPr>
        <w:pStyle w:val="ListParagraph"/>
        <w:ind w:left="180" w:right="-360"/>
        <w:jc w:val="both"/>
        <w:rPr>
          <w:rFonts w:asciiTheme="majorBidi" w:hAnsiTheme="majorBidi" w:cstheme="majorBidi"/>
          <w:sz w:val="24"/>
          <w:szCs w:val="24"/>
        </w:rPr>
      </w:pPr>
    </w:p>
    <w:p w:rsidR="002C6677" w:rsidRPr="00E74FB0" w:rsidRDefault="00562044"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This </w:t>
      </w:r>
      <w:r w:rsidR="002D26A9" w:rsidRPr="00E74FB0">
        <w:rPr>
          <w:rFonts w:asciiTheme="majorBidi" w:hAnsiTheme="majorBidi" w:cstheme="majorBidi"/>
          <w:sz w:val="24"/>
          <w:szCs w:val="24"/>
        </w:rPr>
        <w:t xml:space="preserve">position was re-affirmed </w:t>
      </w:r>
      <w:r w:rsidR="00EC0184" w:rsidRPr="00E74FB0">
        <w:rPr>
          <w:rFonts w:asciiTheme="majorBidi" w:hAnsiTheme="majorBidi" w:cstheme="majorBidi"/>
          <w:sz w:val="24"/>
          <w:szCs w:val="24"/>
        </w:rPr>
        <w:t>by the Committee itself when it reiterated that Covenant applies towards all Palestinians in the OPT; “in its view, the State party’s obligations under the Covenant apply to all territories and populations under its effective control.”</w:t>
      </w:r>
      <w:r w:rsidR="00EC0184" w:rsidRPr="00E74FB0">
        <w:rPr>
          <w:rStyle w:val="FootnoteReference"/>
          <w:rFonts w:asciiTheme="majorBidi" w:hAnsiTheme="majorBidi" w:cstheme="majorBidi"/>
          <w:sz w:val="24"/>
          <w:szCs w:val="24"/>
        </w:rPr>
        <w:footnoteReference w:id="4"/>
      </w:r>
    </w:p>
    <w:p w:rsidR="00B14540" w:rsidRPr="00E74FB0" w:rsidRDefault="00B14540" w:rsidP="00B14540">
      <w:pPr>
        <w:spacing w:line="360" w:lineRule="auto"/>
        <w:ind w:left="-270" w:right="-360" w:firstLine="450"/>
        <w:jc w:val="both"/>
        <w:rPr>
          <w:rFonts w:asciiTheme="majorBidi" w:hAnsiTheme="majorBidi" w:cstheme="majorBidi"/>
          <w:b/>
          <w:bCs/>
          <w:i/>
          <w:iCs/>
          <w:sz w:val="24"/>
          <w:szCs w:val="24"/>
        </w:rPr>
      </w:pPr>
      <w:r w:rsidRPr="00E74FB0">
        <w:rPr>
          <w:rFonts w:asciiTheme="majorBidi" w:hAnsiTheme="majorBidi" w:cstheme="majorBidi"/>
          <w:b/>
          <w:bCs/>
          <w:i/>
          <w:iCs/>
          <w:sz w:val="24"/>
          <w:szCs w:val="24"/>
        </w:rPr>
        <w:t>Right to Health (Article 12)</w:t>
      </w:r>
    </w:p>
    <w:p w:rsidR="00DB3FD7" w:rsidRPr="00E74FB0" w:rsidRDefault="009566FB" w:rsidP="00B14540">
      <w:pPr>
        <w:spacing w:line="360" w:lineRule="auto"/>
        <w:ind w:left="-270" w:right="-360" w:firstLine="450"/>
        <w:jc w:val="both"/>
        <w:rPr>
          <w:rFonts w:asciiTheme="majorBidi" w:hAnsiTheme="majorBidi" w:cstheme="majorBidi"/>
          <w:sz w:val="24"/>
          <w:szCs w:val="24"/>
          <w:u w:val="single"/>
        </w:rPr>
      </w:pPr>
      <w:r w:rsidRPr="00E74FB0">
        <w:rPr>
          <w:rFonts w:asciiTheme="majorBidi" w:hAnsiTheme="majorBidi" w:cstheme="majorBidi"/>
          <w:sz w:val="24"/>
          <w:szCs w:val="24"/>
          <w:u w:val="single"/>
        </w:rPr>
        <w:t>Israeli Restrictions on a</w:t>
      </w:r>
      <w:r w:rsidR="00E66C00" w:rsidRPr="00E74FB0">
        <w:rPr>
          <w:rFonts w:asciiTheme="majorBidi" w:hAnsiTheme="majorBidi" w:cstheme="majorBidi"/>
          <w:sz w:val="24"/>
          <w:szCs w:val="24"/>
          <w:u w:val="single"/>
        </w:rPr>
        <w:t>ccess to Health Care</w:t>
      </w:r>
    </w:p>
    <w:p w:rsidR="00861131" w:rsidRPr="00E74FB0" w:rsidRDefault="00DE22FB" w:rsidP="00861131">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Gaza’s health sector</w:t>
      </w:r>
      <w:r w:rsidR="0079307A" w:rsidRPr="00E74FB0">
        <w:rPr>
          <w:rFonts w:asciiTheme="majorBidi" w:hAnsiTheme="majorBidi" w:cstheme="majorBidi"/>
          <w:sz w:val="24"/>
          <w:szCs w:val="24"/>
        </w:rPr>
        <w:t xml:space="preserve"> has been in constant crisis and deterioration</w:t>
      </w:r>
      <w:r w:rsidRPr="00E74FB0">
        <w:rPr>
          <w:rFonts w:asciiTheme="majorBidi" w:hAnsiTheme="majorBidi" w:cstheme="majorBidi"/>
          <w:sz w:val="24"/>
          <w:szCs w:val="24"/>
        </w:rPr>
        <w:t xml:space="preserve"> due to Israel’s</w:t>
      </w:r>
      <w:r w:rsidR="002121E6" w:rsidRPr="00E74FB0">
        <w:rPr>
          <w:rFonts w:asciiTheme="majorBidi" w:hAnsiTheme="majorBidi" w:cstheme="majorBidi"/>
          <w:sz w:val="24"/>
          <w:szCs w:val="24"/>
        </w:rPr>
        <w:t xml:space="preserve"> 12-year old crippling blockade</w:t>
      </w:r>
      <w:r w:rsidR="001F5006" w:rsidRPr="00E74FB0">
        <w:rPr>
          <w:rFonts w:asciiTheme="majorBidi" w:hAnsiTheme="majorBidi" w:cstheme="majorBidi"/>
          <w:sz w:val="24"/>
          <w:szCs w:val="24"/>
        </w:rPr>
        <w:t xml:space="preserve"> which </w:t>
      </w:r>
      <w:r w:rsidR="00C07E42" w:rsidRPr="00E74FB0">
        <w:rPr>
          <w:rFonts w:asciiTheme="majorBidi" w:hAnsiTheme="majorBidi" w:cstheme="majorBidi"/>
          <w:sz w:val="24"/>
          <w:szCs w:val="24"/>
        </w:rPr>
        <w:t>witnessed</w:t>
      </w:r>
      <w:r w:rsidR="005A41EA" w:rsidRPr="00E74FB0">
        <w:rPr>
          <w:rFonts w:asciiTheme="majorBidi" w:hAnsiTheme="majorBidi" w:cstheme="majorBidi"/>
          <w:sz w:val="24"/>
          <w:szCs w:val="24"/>
        </w:rPr>
        <w:t xml:space="preserve"> three</w:t>
      </w:r>
      <w:r w:rsidR="001F5006" w:rsidRPr="00E74FB0">
        <w:rPr>
          <w:rFonts w:asciiTheme="majorBidi" w:hAnsiTheme="majorBidi" w:cstheme="majorBidi"/>
          <w:sz w:val="24"/>
          <w:szCs w:val="24"/>
        </w:rPr>
        <w:t xml:space="preserve"> military offensives that </w:t>
      </w:r>
      <w:r w:rsidR="003468CD" w:rsidRPr="00E74FB0">
        <w:rPr>
          <w:rFonts w:asciiTheme="majorBidi" w:hAnsiTheme="majorBidi" w:cstheme="majorBidi"/>
          <w:sz w:val="24"/>
          <w:szCs w:val="24"/>
        </w:rPr>
        <w:t>resulted in extensive damage to vital health infrastructure across the Strip</w:t>
      </w:r>
      <w:r w:rsidR="000C5A91" w:rsidRPr="00E74FB0">
        <w:rPr>
          <w:rFonts w:asciiTheme="majorBidi" w:hAnsiTheme="majorBidi" w:cstheme="majorBidi"/>
          <w:sz w:val="24"/>
          <w:szCs w:val="24"/>
        </w:rPr>
        <w:t xml:space="preserve">. This left the health sector lacking adequate medical services to cope with the needs of the Strip’s two million </w:t>
      </w:r>
      <w:r w:rsidR="00C07E42" w:rsidRPr="00E74FB0">
        <w:rPr>
          <w:rFonts w:asciiTheme="majorBidi" w:hAnsiTheme="majorBidi" w:cstheme="majorBidi"/>
          <w:sz w:val="24"/>
          <w:szCs w:val="24"/>
        </w:rPr>
        <w:t>residents</w:t>
      </w:r>
      <w:r w:rsidR="00E15B16" w:rsidRPr="00E74FB0">
        <w:rPr>
          <w:rFonts w:asciiTheme="majorBidi" w:hAnsiTheme="majorBidi" w:cstheme="majorBidi"/>
          <w:sz w:val="24"/>
          <w:szCs w:val="24"/>
        </w:rPr>
        <w:t>.</w:t>
      </w:r>
      <w:r w:rsidR="00AF7AE1" w:rsidRPr="00E74FB0">
        <w:rPr>
          <w:rStyle w:val="FootnoteReference"/>
          <w:rFonts w:asciiTheme="majorBidi" w:hAnsiTheme="majorBidi" w:cstheme="majorBidi"/>
          <w:sz w:val="24"/>
          <w:szCs w:val="24"/>
        </w:rPr>
        <w:t xml:space="preserve"> </w:t>
      </w:r>
      <w:r w:rsidR="00AF7AE1" w:rsidRPr="00E74FB0">
        <w:rPr>
          <w:rStyle w:val="FootnoteReference"/>
          <w:rFonts w:asciiTheme="majorBidi" w:hAnsiTheme="majorBidi" w:cstheme="majorBidi"/>
          <w:sz w:val="24"/>
          <w:szCs w:val="24"/>
        </w:rPr>
        <w:footnoteReference w:id="5"/>
      </w:r>
      <w:r w:rsidR="00E15B16" w:rsidRPr="00E74FB0">
        <w:rPr>
          <w:rFonts w:asciiTheme="majorBidi" w:hAnsiTheme="majorBidi" w:cstheme="majorBidi"/>
          <w:sz w:val="24"/>
          <w:szCs w:val="24"/>
        </w:rPr>
        <w:t xml:space="preserve"> </w:t>
      </w:r>
    </w:p>
    <w:p w:rsidR="00861131" w:rsidRPr="00E74FB0" w:rsidRDefault="00861131" w:rsidP="00861131">
      <w:pPr>
        <w:pStyle w:val="ListParagraph"/>
        <w:spacing w:line="360" w:lineRule="auto"/>
        <w:ind w:left="180" w:right="-360"/>
        <w:jc w:val="both"/>
        <w:rPr>
          <w:rFonts w:asciiTheme="majorBidi" w:hAnsiTheme="majorBidi" w:cstheme="majorBidi"/>
          <w:sz w:val="24"/>
          <w:szCs w:val="24"/>
        </w:rPr>
      </w:pPr>
    </w:p>
    <w:p w:rsidR="00A46867" w:rsidRPr="00E74FB0" w:rsidRDefault="00E15B16" w:rsidP="00861131">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Severe restrictions on the import of dual use items, which </w:t>
      </w:r>
      <w:r w:rsidR="00527266" w:rsidRPr="00E74FB0">
        <w:rPr>
          <w:rFonts w:asciiTheme="majorBidi" w:hAnsiTheme="majorBidi" w:cstheme="majorBidi"/>
          <w:sz w:val="24"/>
          <w:szCs w:val="24"/>
        </w:rPr>
        <w:t>prohibit the</w:t>
      </w:r>
      <w:r w:rsidR="000C5A91" w:rsidRPr="00E74FB0">
        <w:rPr>
          <w:rFonts w:asciiTheme="majorBidi" w:hAnsiTheme="majorBidi" w:cstheme="majorBidi"/>
          <w:sz w:val="24"/>
          <w:szCs w:val="24"/>
        </w:rPr>
        <w:t xml:space="preserve"> import of</w:t>
      </w:r>
      <w:r w:rsidRPr="00E74FB0">
        <w:rPr>
          <w:rFonts w:asciiTheme="majorBidi" w:hAnsiTheme="majorBidi" w:cstheme="majorBidi"/>
          <w:sz w:val="24"/>
          <w:szCs w:val="24"/>
        </w:rPr>
        <w:t xml:space="preserve"> certain </w:t>
      </w:r>
      <w:r w:rsidR="003468CD" w:rsidRPr="00E74FB0">
        <w:rPr>
          <w:rFonts w:asciiTheme="majorBidi" w:hAnsiTheme="majorBidi" w:cstheme="majorBidi"/>
          <w:sz w:val="24"/>
          <w:szCs w:val="24"/>
        </w:rPr>
        <w:t>new</w:t>
      </w:r>
      <w:r w:rsidR="007771AE" w:rsidRPr="00E74FB0">
        <w:rPr>
          <w:rFonts w:asciiTheme="majorBidi" w:hAnsiTheme="majorBidi" w:cstheme="majorBidi"/>
          <w:sz w:val="24"/>
          <w:szCs w:val="24"/>
        </w:rPr>
        <w:t xml:space="preserve"> medical</w:t>
      </w:r>
      <w:r w:rsidR="00CE05C1" w:rsidRPr="00E74FB0">
        <w:rPr>
          <w:rFonts w:asciiTheme="majorBidi" w:hAnsiTheme="majorBidi" w:cstheme="majorBidi"/>
          <w:sz w:val="24"/>
          <w:szCs w:val="24"/>
        </w:rPr>
        <w:t xml:space="preserve"> equipment</w:t>
      </w:r>
      <w:r w:rsidR="000C5A91" w:rsidRPr="00E74FB0">
        <w:rPr>
          <w:rFonts w:asciiTheme="majorBidi" w:hAnsiTheme="majorBidi" w:cstheme="majorBidi"/>
          <w:sz w:val="24"/>
          <w:szCs w:val="24"/>
        </w:rPr>
        <w:t xml:space="preserve"> or spare </w:t>
      </w:r>
      <w:r w:rsidR="007771AE" w:rsidRPr="00E74FB0">
        <w:rPr>
          <w:rFonts w:asciiTheme="majorBidi" w:hAnsiTheme="majorBidi" w:cstheme="majorBidi"/>
          <w:sz w:val="24"/>
          <w:szCs w:val="24"/>
        </w:rPr>
        <w:t>parts to fix or adequately maintain the equipment</w:t>
      </w:r>
      <w:r w:rsidR="000C5A91" w:rsidRPr="00E74FB0">
        <w:rPr>
          <w:rFonts w:asciiTheme="majorBidi" w:hAnsiTheme="majorBidi" w:cstheme="majorBidi"/>
          <w:sz w:val="24"/>
          <w:szCs w:val="24"/>
        </w:rPr>
        <w:t xml:space="preserve"> have hampered </w:t>
      </w:r>
      <w:r w:rsidR="00391A9A" w:rsidRPr="00E74FB0">
        <w:rPr>
          <w:rFonts w:asciiTheme="majorBidi" w:hAnsiTheme="majorBidi" w:cstheme="majorBidi"/>
          <w:sz w:val="24"/>
          <w:szCs w:val="24"/>
        </w:rPr>
        <w:t>work and development at</w:t>
      </w:r>
      <w:r w:rsidR="000C5A91" w:rsidRPr="00E74FB0">
        <w:rPr>
          <w:rFonts w:asciiTheme="majorBidi" w:hAnsiTheme="majorBidi" w:cstheme="majorBidi"/>
          <w:sz w:val="24"/>
          <w:szCs w:val="24"/>
        </w:rPr>
        <w:t xml:space="preserve"> Gaza’s hospitals and m</w:t>
      </w:r>
      <w:r w:rsidRPr="00E74FB0">
        <w:rPr>
          <w:rFonts w:asciiTheme="majorBidi" w:hAnsiTheme="majorBidi" w:cstheme="majorBidi"/>
          <w:sz w:val="24"/>
          <w:szCs w:val="24"/>
        </w:rPr>
        <w:t xml:space="preserve">edical centers. </w:t>
      </w:r>
      <w:r w:rsidR="00766EC5" w:rsidRPr="00E74FB0">
        <w:rPr>
          <w:rFonts w:asciiTheme="majorBidi" w:hAnsiTheme="majorBidi" w:cstheme="majorBidi"/>
          <w:sz w:val="24"/>
          <w:szCs w:val="24"/>
        </w:rPr>
        <w:t xml:space="preserve">Israeli </w:t>
      </w:r>
      <w:r w:rsidR="00141D67" w:rsidRPr="00E74FB0">
        <w:rPr>
          <w:rFonts w:asciiTheme="majorBidi" w:hAnsiTheme="majorBidi" w:cstheme="majorBidi"/>
          <w:sz w:val="24"/>
          <w:szCs w:val="24"/>
        </w:rPr>
        <w:t>r</w:t>
      </w:r>
      <w:r w:rsidR="00527266" w:rsidRPr="00E74FB0">
        <w:rPr>
          <w:rFonts w:asciiTheme="majorBidi" w:hAnsiTheme="majorBidi" w:cstheme="majorBidi"/>
          <w:sz w:val="24"/>
          <w:szCs w:val="24"/>
        </w:rPr>
        <w:t>estrictions</w:t>
      </w:r>
      <w:r w:rsidR="00CE05C1" w:rsidRPr="00E74FB0">
        <w:rPr>
          <w:rFonts w:asciiTheme="majorBidi" w:hAnsiTheme="majorBidi" w:cstheme="majorBidi"/>
          <w:sz w:val="24"/>
          <w:szCs w:val="24"/>
        </w:rPr>
        <w:t xml:space="preserve"> on freedom of movement have </w:t>
      </w:r>
      <w:r w:rsidRPr="00E74FB0">
        <w:rPr>
          <w:rFonts w:asciiTheme="majorBidi" w:hAnsiTheme="majorBidi" w:cstheme="majorBidi"/>
          <w:sz w:val="24"/>
          <w:szCs w:val="24"/>
        </w:rPr>
        <w:t>prevented</w:t>
      </w:r>
      <w:r w:rsidR="00CE05C1" w:rsidRPr="00E74FB0">
        <w:rPr>
          <w:rFonts w:asciiTheme="majorBidi" w:hAnsiTheme="majorBidi" w:cstheme="majorBidi"/>
          <w:sz w:val="24"/>
          <w:szCs w:val="24"/>
        </w:rPr>
        <w:t xml:space="preserve"> health workers</w:t>
      </w:r>
      <w:r w:rsidRPr="00E74FB0">
        <w:rPr>
          <w:rFonts w:asciiTheme="majorBidi" w:hAnsiTheme="majorBidi" w:cstheme="majorBidi"/>
          <w:sz w:val="24"/>
          <w:szCs w:val="24"/>
        </w:rPr>
        <w:t xml:space="preserve"> from travelling out to attend conferences </w:t>
      </w:r>
      <w:r w:rsidR="00BC218A" w:rsidRPr="00E74FB0">
        <w:rPr>
          <w:rFonts w:asciiTheme="majorBidi" w:hAnsiTheme="majorBidi" w:cstheme="majorBidi"/>
          <w:sz w:val="24"/>
          <w:szCs w:val="24"/>
        </w:rPr>
        <w:t>and</w:t>
      </w:r>
      <w:r w:rsidRPr="00E74FB0">
        <w:rPr>
          <w:rFonts w:asciiTheme="majorBidi" w:hAnsiTheme="majorBidi" w:cstheme="majorBidi"/>
          <w:sz w:val="24"/>
          <w:szCs w:val="24"/>
        </w:rPr>
        <w:t xml:space="preserve"> further develop their skills, freezing </w:t>
      </w:r>
      <w:r w:rsidR="00DF3541">
        <w:rPr>
          <w:rFonts w:asciiTheme="majorBidi" w:hAnsiTheme="majorBidi" w:cstheme="majorBidi"/>
          <w:sz w:val="24"/>
          <w:szCs w:val="24"/>
        </w:rPr>
        <w:t xml:space="preserve">their </w:t>
      </w:r>
      <w:r w:rsidRPr="00E74FB0">
        <w:rPr>
          <w:rFonts w:asciiTheme="majorBidi" w:hAnsiTheme="majorBidi" w:cstheme="majorBidi"/>
          <w:sz w:val="24"/>
          <w:szCs w:val="24"/>
        </w:rPr>
        <w:t>surgical practice many years behind the rest of the wor</w:t>
      </w:r>
      <w:r w:rsidR="00AF7AE1" w:rsidRPr="00E74FB0">
        <w:rPr>
          <w:rFonts w:asciiTheme="majorBidi" w:hAnsiTheme="majorBidi" w:cstheme="majorBidi"/>
          <w:sz w:val="24"/>
          <w:szCs w:val="24"/>
        </w:rPr>
        <w:t>l</w:t>
      </w:r>
      <w:r w:rsidRPr="00E74FB0">
        <w:rPr>
          <w:rFonts w:asciiTheme="majorBidi" w:hAnsiTheme="majorBidi" w:cstheme="majorBidi"/>
          <w:sz w:val="24"/>
          <w:szCs w:val="24"/>
        </w:rPr>
        <w:t xml:space="preserve">d. </w:t>
      </w:r>
      <w:r w:rsidR="003468CD" w:rsidRPr="00E74FB0">
        <w:rPr>
          <w:rFonts w:asciiTheme="majorBidi" w:hAnsiTheme="majorBidi" w:cstheme="majorBidi"/>
          <w:sz w:val="24"/>
          <w:szCs w:val="24"/>
        </w:rPr>
        <w:t>The lack of appropriate infrastructure for healthcare service provision accompanied by insufficient human</w:t>
      </w:r>
      <w:r w:rsidR="00527266" w:rsidRPr="00E74FB0">
        <w:rPr>
          <w:rFonts w:asciiTheme="majorBidi" w:hAnsiTheme="majorBidi" w:cstheme="majorBidi"/>
          <w:sz w:val="24"/>
          <w:szCs w:val="24"/>
        </w:rPr>
        <w:t xml:space="preserve"> capital and supplies, together with increasing health risks as a result of growth in food insecurity, poverty, pollution, and lack of access to potable water  caused mainly by the blockade further </w:t>
      </w:r>
      <w:r w:rsidR="00CE05C1" w:rsidRPr="00E74FB0">
        <w:rPr>
          <w:rFonts w:asciiTheme="majorBidi" w:hAnsiTheme="majorBidi" w:cstheme="majorBidi"/>
          <w:sz w:val="24"/>
          <w:szCs w:val="24"/>
        </w:rPr>
        <w:lastRenderedPageBreak/>
        <w:t>compound the challenges</w:t>
      </w:r>
      <w:r w:rsidR="00527266" w:rsidRPr="00E74FB0">
        <w:rPr>
          <w:rFonts w:asciiTheme="majorBidi" w:hAnsiTheme="majorBidi" w:cstheme="majorBidi"/>
          <w:sz w:val="24"/>
          <w:szCs w:val="24"/>
        </w:rPr>
        <w:t xml:space="preserve"> posed by inadequate health infrastructure.</w:t>
      </w:r>
      <w:r w:rsidR="00543C01" w:rsidRPr="00E74FB0">
        <w:rPr>
          <w:rFonts w:asciiTheme="majorBidi" w:hAnsiTheme="majorBidi" w:cstheme="majorBidi"/>
          <w:sz w:val="24"/>
          <w:szCs w:val="24"/>
        </w:rPr>
        <w:t xml:space="preserve"> As of June 2019, around half of essential medicines were completely </w:t>
      </w:r>
      <w:r w:rsidR="00B348B3" w:rsidRPr="00E74FB0">
        <w:rPr>
          <w:rFonts w:asciiTheme="majorBidi" w:hAnsiTheme="majorBidi" w:cstheme="majorBidi"/>
          <w:sz w:val="24"/>
          <w:szCs w:val="24"/>
        </w:rPr>
        <w:t>depleted in Gaza.</w:t>
      </w:r>
      <w:r w:rsidR="00B348B3" w:rsidRPr="00E74FB0">
        <w:rPr>
          <w:rStyle w:val="FootnoteReference"/>
          <w:rFonts w:asciiTheme="majorBidi" w:hAnsiTheme="majorBidi" w:cstheme="majorBidi"/>
          <w:sz w:val="24"/>
          <w:szCs w:val="24"/>
        </w:rPr>
        <w:footnoteReference w:id="6"/>
      </w:r>
    </w:p>
    <w:p w:rsidR="00A46867" w:rsidRPr="00E74FB0" w:rsidRDefault="00A46867" w:rsidP="00A46867">
      <w:pPr>
        <w:pStyle w:val="ListParagraph"/>
        <w:spacing w:line="360" w:lineRule="auto"/>
        <w:ind w:left="180" w:right="-360"/>
        <w:jc w:val="both"/>
        <w:rPr>
          <w:rFonts w:asciiTheme="majorBidi" w:hAnsiTheme="majorBidi" w:cstheme="majorBidi"/>
          <w:sz w:val="24"/>
          <w:szCs w:val="24"/>
        </w:rPr>
      </w:pPr>
    </w:p>
    <w:p w:rsidR="00A46867" w:rsidRPr="00E74FB0" w:rsidRDefault="007771AE" w:rsidP="00DF3541">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The steep</w:t>
      </w:r>
      <w:r w:rsidR="00C42F58" w:rsidRPr="00E74FB0">
        <w:rPr>
          <w:rFonts w:asciiTheme="majorBidi" w:hAnsiTheme="majorBidi" w:cstheme="majorBidi"/>
          <w:sz w:val="24"/>
          <w:szCs w:val="24"/>
        </w:rPr>
        <w:t xml:space="preserve"> </w:t>
      </w:r>
      <w:r w:rsidRPr="00E74FB0">
        <w:rPr>
          <w:rFonts w:asciiTheme="majorBidi" w:hAnsiTheme="majorBidi" w:cstheme="majorBidi"/>
          <w:sz w:val="24"/>
          <w:szCs w:val="24"/>
        </w:rPr>
        <w:t xml:space="preserve">decline of Gaza’s local healthcare sector and unavailability of specialized medical services have increased the need for patients to be </w:t>
      </w:r>
      <w:r w:rsidR="000D2973" w:rsidRPr="00E74FB0">
        <w:rPr>
          <w:rFonts w:asciiTheme="majorBidi" w:hAnsiTheme="majorBidi" w:cstheme="majorBidi"/>
          <w:sz w:val="24"/>
          <w:szCs w:val="24"/>
        </w:rPr>
        <w:t xml:space="preserve">referred for medical treatment outside of the Gaza </w:t>
      </w:r>
      <w:r w:rsidR="007D7723" w:rsidRPr="00E74FB0">
        <w:rPr>
          <w:rFonts w:asciiTheme="majorBidi" w:hAnsiTheme="majorBidi" w:cstheme="majorBidi"/>
          <w:sz w:val="24"/>
          <w:szCs w:val="24"/>
        </w:rPr>
        <w:t xml:space="preserve">Strip in order to access specialized health care </w:t>
      </w:r>
      <w:r w:rsidR="00BC218A" w:rsidRPr="00E74FB0">
        <w:rPr>
          <w:rFonts w:asciiTheme="majorBidi" w:hAnsiTheme="majorBidi" w:cstheme="majorBidi"/>
          <w:sz w:val="24"/>
          <w:szCs w:val="24"/>
        </w:rPr>
        <w:t>in</w:t>
      </w:r>
      <w:r w:rsidR="007D7723" w:rsidRPr="00E74FB0">
        <w:rPr>
          <w:rFonts w:asciiTheme="majorBidi" w:hAnsiTheme="majorBidi" w:cstheme="majorBidi"/>
          <w:sz w:val="24"/>
          <w:szCs w:val="24"/>
        </w:rPr>
        <w:t xml:space="preserve"> more advanced facilities in the West Bank, including East Jerusalem, and Israel.</w:t>
      </w:r>
      <w:r w:rsidR="00723EAC" w:rsidRPr="00E74FB0">
        <w:rPr>
          <w:rFonts w:asciiTheme="majorBidi" w:hAnsiTheme="majorBidi" w:cstheme="majorBidi"/>
          <w:sz w:val="24"/>
          <w:szCs w:val="24"/>
        </w:rPr>
        <w:t xml:space="preserve"> </w:t>
      </w:r>
      <w:r w:rsidR="00891ACE" w:rsidRPr="00E74FB0">
        <w:rPr>
          <w:rFonts w:asciiTheme="majorBidi" w:hAnsiTheme="majorBidi" w:cstheme="majorBidi"/>
          <w:sz w:val="24"/>
          <w:szCs w:val="24"/>
        </w:rPr>
        <w:t>However, in order to obtain a</w:t>
      </w:r>
      <w:r w:rsidR="004C1ACC" w:rsidRPr="00E74FB0">
        <w:rPr>
          <w:rFonts w:asciiTheme="majorBidi" w:hAnsiTheme="majorBidi" w:cstheme="majorBidi"/>
          <w:sz w:val="24"/>
          <w:szCs w:val="24"/>
        </w:rPr>
        <w:t>n exit</w:t>
      </w:r>
      <w:r w:rsidR="00891ACE" w:rsidRPr="00E74FB0">
        <w:rPr>
          <w:rFonts w:asciiTheme="majorBidi" w:hAnsiTheme="majorBidi" w:cstheme="majorBidi"/>
          <w:sz w:val="24"/>
          <w:szCs w:val="24"/>
        </w:rPr>
        <w:t xml:space="preserve"> permit, patients have to go through Israel’s vastly complex and stringent system for issuing Gaza e</w:t>
      </w:r>
      <w:r w:rsidR="004E10BB" w:rsidRPr="00E74FB0">
        <w:rPr>
          <w:rFonts w:asciiTheme="majorBidi" w:hAnsiTheme="majorBidi" w:cstheme="majorBidi"/>
          <w:sz w:val="24"/>
          <w:szCs w:val="24"/>
        </w:rPr>
        <w:t>xit permits</w:t>
      </w:r>
      <w:r w:rsidR="004C1ACC" w:rsidRPr="00E74FB0">
        <w:rPr>
          <w:rFonts w:asciiTheme="majorBidi" w:hAnsiTheme="majorBidi" w:cstheme="majorBidi"/>
          <w:sz w:val="24"/>
          <w:szCs w:val="24"/>
        </w:rPr>
        <w:t xml:space="preserve">, which as a rule, only allows the entry of life-saving cases and on condition that medical treatment for these cases is not available in </w:t>
      </w:r>
      <w:r w:rsidR="001F6A9B" w:rsidRPr="00E74FB0">
        <w:rPr>
          <w:rFonts w:asciiTheme="majorBidi" w:hAnsiTheme="majorBidi" w:cstheme="majorBidi"/>
          <w:sz w:val="24"/>
          <w:szCs w:val="24"/>
        </w:rPr>
        <w:t>Gaza.</w:t>
      </w:r>
      <w:r w:rsidR="00863C5E" w:rsidRPr="00E74FB0">
        <w:rPr>
          <w:rFonts w:asciiTheme="majorBidi" w:hAnsiTheme="majorBidi" w:cstheme="majorBidi"/>
          <w:sz w:val="24"/>
          <w:szCs w:val="24"/>
        </w:rPr>
        <w:t xml:space="preserve"> Patients must first submit a diagnosis to the </w:t>
      </w:r>
      <w:r w:rsidR="001F6A9B" w:rsidRPr="00E74FB0">
        <w:rPr>
          <w:rFonts w:asciiTheme="majorBidi" w:hAnsiTheme="majorBidi" w:cstheme="majorBidi"/>
          <w:sz w:val="24"/>
          <w:szCs w:val="24"/>
        </w:rPr>
        <w:t xml:space="preserve">relevant Palestinian governmental bodies </w:t>
      </w:r>
      <w:r w:rsidR="00863C5E" w:rsidRPr="00E74FB0">
        <w:rPr>
          <w:rFonts w:asciiTheme="majorBidi" w:hAnsiTheme="majorBidi" w:cstheme="majorBidi"/>
          <w:sz w:val="24"/>
          <w:szCs w:val="24"/>
        </w:rPr>
        <w:t xml:space="preserve">proving </w:t>
      </w:r>
      <w:r w:rsidR="00515874" w:rsidRPr="00E74FB0">
        <w:rPr>
          <w:rFonts w:asciiTheme="majorBidi" w:hAnsiTheme="majorBidi" w:cstheme="majorBidi"/>
          <w:sz w:val="24"/>
          <w:szCs w:val="24"/>
        </w:rPr>
        <w:t>their</w:t>
      </w:r>
      <w:r w:rsidR="00863C5E" w:rsidRPr="00E74FB0">
        <w:rPr>
          <w:rFonts w:asciiTheme="majorBidi" w:hAnsiTheme="majorBidi" w:cstheme="majorBidi"/>
          <w:sz w:val="24"/>
          <w:szCs w:val="24"/>
        </w:rPr>
        <w:t xml:space="preserve"> treatment </w:t>
      </w:r>
      <w:r w:rsidR="006335F2" w:rsidRPr="00E74FB0">
        <w:rPr>
          <w:rFonts w:asciiTheme="majorBidi" w:hAnsiTheme="majorBidi" w:cstheme="majorBidi"/>
          <w:sz w:val="24"/>
          <w:szCs w:val="24"/>
        </w:rPr>
        <w:t>is un</w:t>
      </w:r>
      <w:r w:rsidR="00863C5E" w:rsidRPr="00E74FB0">
        <w:rPr>
          <w:rFonts w:asciiTheme="majorBidi" w:hAnsiTheme="majorBidi" w:cstheme="majorBidi"/>
          <w:sz w:val="24"/>
          <w:szCs w:val="24"/>
        </w:rPr>
        <w:t xml:space="preserve">available in Gaza. Then a Palestinian liaison requests exist permit from </w:t>
      </w:r>
      <w:r w:rsidR="001F6A9B" w:rsidRPr="00E74FB0">
        <w:rPr>
          <w:rFonts w:asciiTheme="majorBidi" w:hAnsiTheme="majorBidi" w:cstheme="majorBidi"/>
          <w:sz w:val="24"/>
          <w:szCs w:val="24"/>
        </w:rPr>
        <w:t>the Coordination of Government Activities in the Territories (COGAT), a unit in the Israeli</w:t>
      </w:r>
      <w:r w:rsidR="00025165" w:rsidRPr="00E74FB0">
        <w:rPr>
          <w:rFonts w:asciiTheme="majorBidi" w:hAnsiTheme="majorBidi" w:cstheme="majorBidi"/>
          <w:sz w:val="24"/>
          <w:szCs w:val="24"/>
        </w:rPr>
        <w:t xml:space="preserve"> Ministry of Defense that engages in coordinating civilian issues</w:t>
      </w:r>
      <w:r w:rsidR="009958AD" w:rsidRPr="00E74FB0">
        <w:rPr>
          <w:rFonts w:asciiTheme="majorBidi" w:hAnsiTheme="majorBidi" w:cstheme="majorBidi"/>
          <w:sz w:val="24"/>
          <w:szCs w:val="24"/>
        </w:rPr>
        <w:t xml:space="preserve"> in the </w:t>
      </w:r>
      <w:r w:rsidR="00DF3541">
        <w:rPr>
          <w:rFonts w:asciiTheme="majorBidi" w:hAnsiTheme="majorBidi" w:cstheme="majorBidi"/>
          <w:sz w:val="24"/>
          <w:szCs w:val="24"/>
        </w:rPr>
        <w:t>Occupied Palestinian Territory</w:t>
      </w:r>
      <w:r w:rsidR="00025165" w:rsidRPr="00E74FB0">
        <w:rPr>
          <w:rFonts w:asciiTheme="majorBidi" w:hAnsiTheme="majorBidi" w:cstheme="majorBidi"/>
          <w:sz w:val="24"/>
          <w:szCs w:val="24"/>
        </w:rPr>
        <w:t xml:space="preserve">. The COGAT </w:t>
      </w:r>
      <w:r w:rsidR="00863C5E" w:rsidRPr="00E74FB0">
        <w:rPr>
          <w:rFonts w:asciiTheme="majorBidi" w:hAnsiTheme="majorBidi" w:cstheme="majorBidi"/>
          <w:sz w:val="24"/>
          <w:szCs w:val="24"/>
        </w:rPr>
        <w:t>reviews the applications and passes them to Israel’s Shin Bet security agency for background che</w:t>
      </w:r>
      <w:r w:rsidR="00834409" w:rsidRPr="00E74FB0">
        <w:rPr>
          <w:rFonts w:asciiTheme="majorBidi" w:hAnsiTheme="majorBidi" w:cstheme="majorBidi"/>
          <w:sz w:val="24"/>
          <w:szCs w:val="24"/>
        </w:rPr>
        <w:t>c</w:t>
      </w:r>
      <w:r w:rsidR="00863C5E" w:rsidRPr="00E74FB0">
        <w:rPr>
          <w:rFonts w:asciiTheme="majorBidi" w:hAnsiTheme="majorBidi" w:cstheme="majorBidi"/>
          <w:sz w:val="24"/>
          <w:szCs w:val="24"/>
        </w:rPr>
        <w:t>ks.</w:t>
      </w:r>
      <w:r w:rsidR="00834409" w:rsidRPr="00E74FB0">
        <w:rPr>
          <w:rFonts w:asciiTheme="majorBidi" w:hAnsiTheme="majorBidi" w:cstheme="majorBidi"/>
          <w:sz w:val="24"/>
          <w:szCs w:val="24"/>
        </w:rPr>
        <w:t xml:space="preserve"> </w:t>
      </w:r>
      <w:r w:rsidR="00863C5E" w:rsidRPr="00E74FB0">
        <w:rPr>
          <w:rFonts w:asciiTheme="majorBidi" w:hAnsiTheme="majorBidi" w:cstheme="majorBidi"/>
          <w:sz w:val="24"/>
          <w:szCs w:val="24"/>
        </w:rPr>
        <w:t xml:space="preserve">This process can take up to several months, and even then some patients maybe unsuccessful securing access </w:t>
      </w:r>
      <w:r w:rsidR="00834409" w:rsidRPr="00E74FB0">
        <w:rPr>
          <w:rFonts w:asciiTheme="majorBidi" w:hAnsiTheme="majorBidi" w:cstheme="majorBidi"/>
          <w:sz w:val="24"/>
          <w:szCs w:val="24"/>
        </w:rPr>
        <w:t>to</w:t>
      </w:r>
      <w:r w:rsidR="00863C5E" w:rsidRPr="00E74FB0">
        <w:rPr>
          <w:rFonts w:asciiTheme="majorBidi" w:hAnsiTheme="majorBidi" w:cstheme="majorBidi"/>
          <w:sz w:val="24"/>
          <w:szCs w:val="24"/>
        </w:rPr>
        <w:t xml:space="preserve"> travel for health care. </w:t>
      </w:r>
    </w:p>
    <w:p w:rsidR="00A46867" w:rsidRPr="00E74FB0" w:rsidRDefault="00A46867" w:rsidP="00A46867">
      <w:pPr>
        <w:pStyle w:val="ListParagraph"/>
        <w:spacing w:line="360" w:lineRule="auto"/>
        <w:ind w:left="180" w:right="-360"/>
        <w:jc w:val="both"/>
        <w:rPr>
          <w:rFonts w:asciiTheme="majorBidi" w:hAnsiTheme="majorBidi" w:cstheme="majorBidi"/>
          <w:sz w:val="24"/>
          <w:szCs w:val="24"/>
        </w:rPr>
      </w:pPr>
    </w:p>
    <w:p w:rsidR="00DB3FD7" w:rsidRPr="00E74FB0" w:rsidRDefault="00702849" w:rsidP="00F15029">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According to</w:t>
      </w:r>
      <w:r w:rsidR="00045CA8" w:rsidRPr="00E74FB0">
        <w:rPr>
          <w:rFonts w:asciiTheme="majorBidi" w:hAnsiTheme="majorBidi" w:cstheme="majorBidi"/>
          <w:sz w:val="24"/>
          <w:szCs w:val="24"/>
        </w:rPr>
        <w:t xml:space="preserve"> information obtained by PCHR from</w:t>
      </w:r>
      <w:r w:rsidRPr="00E74FB0">
        <w:rPr>
          <w:rFonts w:asciiTheme="majorBidi" w:hAnsiTheme="majorBidi" w:cstheme="majorBidi"/>
          <w:sz w:val="24"/>
          <w:szCs w:val="24"/>
        </w:rPr>
        <w:t xml:space="preserve"> the </w:t>
      </w:r>
      <w:r w:rsidR="00045CA8" w:rsidRPr="00E74FB0">
        <w:rPr>
          <w:rFonts w:asciiTheme="majorBidi" w:hAnsiTheme="majorBidi" w:cstheme="majorBidi"/>
          <w:sz w:val="24"/>
          <w:szCs w:val="24"/>
        </w:rPr>
        <w:t xml:space="preserve">Ministry of Health, </w:t>
      </w:r>
      <w:r w:rsidR="00B44C73" w:rsidRPr="00E74FB0">
        <w:rPr>
          <w:rFonts w:asciiTheme="majorBidi" w:hAnsiTheme="majorBidi" w:cstheme="majorBidi"/>
          <w:sz w:val="24"/>
          <w:szCs w:val="24"/>
        </w:rPr>
        <w:t>i</w:t>
      </w:r>
      <w:r w:rsidR="00863C5E" w:rsidRPr="00E74FB0">
        <w:rPr>
          <w:rFonts w:asciiTheme="majorBidi" w:hAnsiTheme="majorBidi" w:cstheme="majorBidi"/>
          <w:sz w:val="24"/>
          <w:szCs w:val="24"/>
        </w:rPr>
        <w:t>n 2018,</w:t>
      </w:r>
      <w:r w:rsidRPr="00E74FB0">
        <w:rPr>
          <w:rFonts w:asciiTheme="majorBidi" w:hAnsiTheme="majorBidi" w:cstheme="majorBidi"/>
          <w:sz w:val="24"/>
          <w:szCs w:val="24"/>
        </w:rPr>
        <w:t xml:space="preserve"> Gaza residents </w:t>
      </w:r>
      <w:r w:rsidR="00B44C73" w:rsidRPr="00E74FB0">
        <w:rPr>
          <w:rFonts w:asciiTheme="majorBidi" w:hAnsiTheme="majorBidi" w:cstheme="majorBidi"/>
          <w:sz w:val="24"/>
          <w:szCs w:val="24"/>
        </w:rPr>
        <w:t>submitted 25,8</w:t>
      </w:r>
      <w:r w:rsidR="00045CA8" w:rsidRPr="00E74FB0">
        <w:rPr>
          <w:rFonts w:asciiTheme="majorBidi" w:hAnsiTheme="majorBidi" w:cstheme="majorBidi"/>
          <w:sz w:val="24"/>
          <w:szCs w:val="24"/>
        </w:rPr>
        <w:t>77</w:t>
      </w:r>
      <w:r w:rsidR="00B44C73" w:rsidRPr="00E74FB0">
        <w:rPr>
          <w:rFonts w:asciiTheme="majorBidi" w:hAnsiTheme="majorBidi" w:cstheme="majorBidi"/>
          <w:sz w:val="24"/>
          <w:szCs w:val="24"/>
        </w:rPr>
        <w:t xml:space="preserve"> applications to Israeli authorities to cross Erez/</w:t>
      </w:r>
      <w:proofErr w:type="spellStart"/>
      <w:r w:rsidR="00B44C73" w:rsidRPr="00E74FB0">
        <w:rPr>
          <w:rFonts w:asciiTheme="majorBidi" w:hAnsiTheme="majorBidi" w:cstheme="majorBidi"/>
          <w:sz w:val="24"/>
          <w:szCs w:val="24"/>
        </w:rPr>
        <w:t>Beit</w:t>
      </w:r>
      <w:proofErr w:type="spellEnd"/>
      <w:r w:rsidR="00B44C73" w:rsidRPr="00E74FB0">
        <w:rPr>
          <w:rFonts w:asciiTheme="majorBidi" w:hAnsiTheme="majorBidi" w:cstheme="majorBidi"/>
          <w:sz w:val="24"/>
          <w:szCs w:val="24"/>
        </w:rPr>
        <w:t xml:space="preserve"> </w:t>
      </w:r>
      <w:proofErr w:type="spellStart"/>
      <w:r w:rsidR="00B44C73" w:rsidRPr="00E74FB0">
        <w:rPr>
          <w:rFonts w:asciiTheme="majorBidi" w:hAnsiTheme="majorBidi" w:cstheme="majorBidi"/>
          <w:sz w:val="24"/>
          <w:szCs w:val="24"/>
        </w:rPr>
        <w:t>Hanoun</w:t>
      </w:r>
      <w:proofErr w:type="spellEnd"/>
      <w:r w:rsidR="00B44C73" w:rsidRPr="00E74FB0">
        <w:rPr>
          <w:rFonts w:asciiTheme="majorBidi" w:hAnsiTheme="majorBidi" w:cstheme="majorBidi"/>
          <w:sz w:val="24"/>
          <w:szCs w:val="24"/>
        </w:rPr>
        <w:t xml:space="preserve"> crossing to access health care.15, </w:t>
      </w:r>
      <w:r w:rsidR="00045CA8" w:rsidRPr="00E74FB0">
        <w:rPr>
          <w:rFonts w:asciiTheme="majorBidi" w:hAnsiTheme="majorBidi" w:cstheme="majorBidi"/>
          <w:sz w:val="24"/>
          <w:szCs w:val="24"/>
        </w:rPr>
        <w:t xml:space="preserve">820 </w:t>
      </w:r>
      <w:r w:rsidR="00944E23" w:rsidRPr="00E74FB0">
        <w:rPr>
          <w:rFonts w:asciiTheme="majorBidi" w:hAnsiTheme="majorBidi" w:cstheme="majorBidi"/>
          <w:sz w:val="24"/>
          <w:szCs w:val="24"/>
        </w:rPr>
        <w:t>applications</w:t>
      </w:r>
      <w:r w:rsidR="00B44C73" w:rsidRPr="00E74FB0">
        <w:rPr>
          <w:rFonts w:asciiTheme="majorBidi" w:hAnsiTheme="majorBidi" w:cstheme="majorBidi"/>
          <w:sz w:val="24"/>
          <w:szCs w:val="24"/>
        </w:rPr>
        <w:t xml:space="preserve"> (61</w:t>
      </w:r>
      <w:r w:rsidR="00944E23" w:rsidRPr="00E74FB0">
        <w:rPr>
          <w:rFonts w:asciiTheme="majorBidi" w:hAnsiTheme="majorBidi" w:cstheme="majorBidi"/>
          <w:sz w:val="24"/>
          <w:szCs w:val="24"/>
        </w:rPr>
        <w:t>.1</w:t>
      </w:r>
      <w:r w:rsidR="00B44C73" w:rsidRPr="00E74FB0">
        <w:rPr>
          <w:rFonts w:asciiTheme="majorBidi" w:hAnsiTheme="majorBidi" w:cstheme="majorBidi"/>
          <w:sz w:val="24"/>
          <w:szCs w:val="24"/>
        </w:rPr>
        <w:t xml:space="preserve"> %) were approved while</w:t>
      </w:r>
      <w:r w:rsidR="00DF3541">
        <w:rPr>
          <w:rFonts w:asciiTheme="majorBidi" w:hAnsiTheme="majorBidi" w:cstheme="majorBidi"/>
          <w:sz w:val="24"/>
          <w:szCs w:val="24"/>
        </w:rPr>
        <w:t xml:space="preserve"> 10,057 </w:t>
      </w:r>
      <w:r w:rsidR="00B44C73" w:rsidRPr="00E74FB0">
        <w:rPr>
          <w:rFonts w:asciiTheme="majorBidi" w:hAnsiTheme="majorBidi" w:cstheme="majorBidi"/>
          <w:sz w:val="24"/>
          <w:szCs w:val="24"/>
        </w:rPr>
        <w:t xml:space="preserve">of </w:t>
      </w:r>
      <w:r w:rsidR="00077C0A" w:rsidRPr="00E74FB0">
        <w:rPr>
          <w:rFonts w:asciiTheme="majorBidi" w:hAnsiTheme="majorBidi" w:cstheme="majorBidi"/>
          <w:sz w:val="24"/>
          <w:szCs w:val="24"/>
        </w:rPr>
        <w:t>patients’</w:t>
      </w:r>
      <w:r w:rsidR="00B44C73" w:rsidRPr="00E74FB0">
        <w:rPr>
          <w:rFonts w:asciiTheme="majorBidi" w:hAnsiTheme="majorBidi" w:cstheme="majorBidi"/>
          <w:sz w:val="24"/>
          <w:szCs w:val="24"/>
        </w:rPr>
        <w:t xml:space="preserve"> applications</w:t>
      </w:r>
      <w:r w:rsidR="00944E23" w:rsidRPr="00E74FB0">
        <w:rPr>
          <w:rFonts w:asciiTheme="majorBidi" w:hAnsiTheme="majorBidi" w:cstheme="majorBidi"/>
          <w:sz w:val="24"/>
          <w:szCs w:val="24"/>
        </w:rPr>
        <w:t xml:space="preserve"> (</w:t>
      </w:r>
      <w:r w:rsidR="00F15029" w:rsidRPr="00E74FB0">
        <w:rPr>
          <w:rFonts w:asciiTheme="majorBidi" w:hAnsiTheme="majorBidi" w:cstheme="majorBidi"/>
          <w:sz w:val="24"/>
          <w:szCs w:val="24"/>
        </w:rPr>
        <w:t>38.9%</w:t>
      </w:r>
      <w:r w:rsidR="00944E23" w:rsidRPr="00E74FB0">
        <w:rPr>
          <w:rFonts w:asciiTheme="majorBidi" w:hAnsiTheme="majorBidi" w:cstheme="majorBidi"/>
          <w:sz w:val="24"/>
          <w:szCs w:val="24"/>
        </w:rPr>
        <w:t>)</w:t>
      </w:r>
      <w:r w:rsidR="00B44C73" w:rsidRPr="00E74FB0">
        <w:rPr>
          <w:rFonts w:asciiTheme="majorBidi" w:hAnsiTheme="majorBidi" w:cstheme="majorBidi"/>
          <w:sz w:val="24"/>
          <w:szCs w:val="24"/>
        </w:rPr>
        <w:t xml:space="preserve"> for permits to exit Gaza were unsuccessful</w:t>
      </w:r>
      <w:r w:rsidR="00077C0A" w:rsidRPr="00E74FB0">
        <w:rPr>
          <w:rFonts w:asciiTheme="majorBidi" w:hAnsiTheme="majorBidi" w:cstheme="majorBidi"/>
          <w:sz w:val="24"/>
          <w:szCs w:val="24"/>
        </w:rPr>
        <w:t>. Among those unsuccessful applications</w:t>
      </w:r>
      <w:r w:rsidR="00855AEF" w:rsidRPr="00E74FB0">
        <w:rPr>
          <w:rFonts w:asciiTheme="majorBidi" w:hAnsiTheme="majorBidi" w:cstheme="majorBidi"/>
          <w:sz w:val="24"/>
          <w:szCs w:val="24"/>
        </w:rPr>
        <w:t>, 1978 applications (7.6%)  were rejected on security grounds, 6562 (25.2%) applications received no answer at all or had to undergo further checks by the authorities, 1517 (5.8%) were delayed for reasons such as</w:t>
      </w:r>
      <w:r w:rsidR="00F15029">
        <w:rPr>
          <w:rFonts w:asciiTheme="majorBidi" w:hAnsiTheme="majorBidi" w:cstheme="majorBidi"/>
          <w:sz w:val="24"/>
          <w:szCs w:val="24"/>
        </w:rPr>
        <w:t xml:space="preserve"> the need to change companions, incorrect medical information, or that medical treatment is available in the Gaza Strip</w:t>
      </w:r>
      <w:r w:rsidR="0066665B" w:rsidRPr="00E74FB0">
        <w:rPr>
          <w:rFonts w:asciiTheme="majorBidi" w:hAnsiTheme="majorBidi" w:cstheme="majorBidi"/>
          <w:sz w:val="24"/>
          <w:szCs w:val="24"/>
        </w:rPr>
        <w:t>.</w:t>
      </w:r>
      <w:r w:rsidR="0066665B" w:rsidRPr="00E74FB0">
        <w:rPr>
          <w:rStyle w:val="FootnoteReference"/>
          <w:rFonts w:asciiTheme="majorBidi" w:hAnsiTheme="majorBidi" w:cstheme="majorBidi"/>
          <w:sz w:val="24"/>
          <w:szCs w:val="24"/>
        </w:rPr>
        <w:footnoteReference w:id="7"/>
      </w:r>
    </w:p>
    <w:p w:rsidR="007775EB" w:rsidRPr="00E74FB0" w:rsidRDefault="007775EB" w:rsidP="007775EB">
      <w:pPr>
        <w:pStyle w:val="ListParagraph"/>
        <w:rPr>
          <w:rFonts w:asciiTheme="majorBidi" w:hAnsiTheme="majorBidi" w:cstheme="majorBidi"/>
          <w:sz w:val="24"/>
          <w:szCs w:val="24"/>
        </w:rPr>
      </w:pPr>
    </w:p>
    <w:p w:rsidR="00B71E0E" w:rsidRPr="00B71E0E" w:rsidRDefault="00F15029" w:rsidP="00B71E0E">
      <w:pPr>
        <w:pStyle w:val="ListParagraph"/>
        <w:numPr>
          <w:ilvl w:val="0"/>
          <w:numId w:val="12"/>
        </w:numPr>
        <w:spacing w:line="360" w:lineRule="auto"/>
        <w:ind w:left="180" w:right="-360"/>
        <w:jc w:val="both"/>
        <w:rPr>
          <w:rFonts w:asciiTheme="majorBidi" w:hAnsiTheme="majorBidi" w:cstheme="majorBidi"/>
          <w:sz w:val="24"/>
          <w:szCs w:val="24"/>
        </w:rPr>
      </w:pPr>
      <w:r>
        <w:rPr>
          <w:rFonts w:asciiTheme="majorBidi" w:hAnsiTheme="majorBidi" w:cstheme="majorBidi"/>
          <w:sz w:val="24"/>
          <w:szCs w:val="24"/>
        </w:rPr>
        <w:t>F</w:t>
      </w:r>
      <w:r w:rsidR="000E358B" w:rsidRPr="00E74FB0">
        <w:rPr>
          <w:rFonts w:asciiTheme="majorBidi" w:hAnsiTheme="majorBidi" w:cstheme="majorBidi"/>
          <w:sz w:val="24"/>
          <w:szCs w:val="24"/>
        </w:rPr>
        <w:t xml:space="preserve">rom </w:t>
      </w:r>
      <w:r>
        <w:rPr>
          <w:rFonts w:asciiTheme="majorBidi" w:hAnsiTheme="majorBidi" w:cstheme="majorBidi"/>
          <w:sz w:val="24"/>
          <w:szCs w:val="24"/>
        </w:rPr>
        <w:t xml:space="preserve">January 2017 until </w:t>
      </w:r>
      <w:r w:rsidR="00A13A67">
        <w:rPr>
          <w:rFonts w:asciiTheme="majorBidi" w:hAnsiTheme="majorBidi" w:cstheme="majorBidi"/>
          <w:sz w:val="24"/>
          <w:szCs w:val="24"/>
        </w:rPr>
        <w:t xml:space="preserve">August 2019, PCHR’s </w:t>
      </w:r>
      <w:r w:rsidR="000E358B" w:rsidRPr="00E74FB0">
        <w:rPr>
          <w:rFonts w:asciiTheme="majorBidi" w:hAnsiTheme="majorBidi" w:cstheme="majorBidi"/>
          <w:sz w:val="24"/>
          <w:szCs w:val="24"/>
        </w:rPr>
        <w:t>Legal Unit received 3873 complaints</w:t>
      </w:r>
      <w:r w:rsidR="004C5EDB" w:rsidRPr="00E74FB0">
        <w:rPr>
          <w:rFonts w:asciiTheme="majorBidi" w:hAnsiTheme="majorBidi" w:cstheme="majorBidi"/>
          <w:sz w:val="24"/>
          <w:szCs w:val="24"/>
        </w:rPr>
        <w:t xml:space="preserve"> from patients who were denied exit permits</w:t>
      </w:r>
      <w:r w:rsidR="00B60122" w:rsidRPr="00E74FB0">
        <w:rPr>
          <w:rFonts w:asciiTheme="majorBidi" w:hAnsiTheme="majorBidi" w:cstheme="majorBidi"/>
          <w:sz w:val="24"/>
          <w:szCs w:val="24"/>
        </w:rPr>
        <w:t xml:space="preserve"> by Israel</w:t>
      </w:r>
      <w:r w:rsidR="004C5EDB" w:rsidRPr="00E74FB0">
        <w:rPr>
          <w:rFonts w:asciiTheme="majorBidi" w:hAnsiTheme="majorBidi" w:cstheme="majorBidi"/>
          <w:sz w:val="24"/>
          <w:szCs w:val="24"/>
        </w:rPr>
        <w:t xml:space="preserve"> to access healthcare</w:t>
      </w:r>
      <w:r w:rsidR="00B60122" w:rsidRPr="00E74FB0">
        <w:rPr>
          <w:rFonts w:asciiTheme="majorBidi" w:hAnsiTheme="majorBidi" w:cstheme="majorBidi"/>
          <w:sz w:val="24"/>
          <w:szCs w:val="24"/>
        </w:rPr>
        <w:t xml:space="preserve"> in hospitals in the West Bank, Israel or abroad.</w:t>
      </w:r>
      <w:r w:rsidR="004C5EDB" w:rsidRPr="00E74FB0">
        <w:rPr>
          <w:rFonts w:asciiTheme="majorBidi" w:hAnsiTheme="majorBidi" w:cstheme="majorBidi"/>
          <w:sz w:val="24"/>
          <w:szCs w:val="24"/>
        </w:rPr>
        <w:t>. The number of positive replies by the Israeli side as a result of PCHR’s intervention was 1796 (46</w:t>
      </w:r>
      <w:r w:rsidR="00B60122" w:rsidRPr="00E74FB0">
        <w:rPr>
          <w:rFonts w:asciiTheme="majorBidi" w:hAnsiTheme="majorBidi" w:cstheme="majorBidi"/>
          <w:sz w:val="24"/>
          <w:szCs w:val="24"/>
        </w:rPr>
        <w:t>.3</w:t>
      </w:r>
      <w:r w:rsidR="004C5EDB" w:rsidRPr="00E74FB0">
        <w:rPr>
          <w:rFonts w:asciiTheme="majorBidi" w:hAnsiTheme="majorBidi" w:cstheme="majorBidi"/>
          <w:sz w:val="24"/>
          <w:szCs w:val="24"/>
        </w:rPr>
        <w:t>%)</w:t>
      </w:r>
      <w:r w:rsidR="00B71E0E">
        <w:rPr>
          <w:rFonts w:asciiTheme="majorBidi" w:hAnsiTheme="majorBidi" w:cstheme="majorBidi"/>
          <w:sz w:val="24"/>
          <w:szCs w:val="24"/>
        </w:rPr>
        <w:t xml:space="preserve">. </w:t>
      </w:r>
      <w:r w:rsidR="004C5EDB" w:rsidRPr="00E74FB0">
        <w:rPr>
          <w:rFonts w:asciiTheme="majorBidi" w:hAnsiTheme="majorBidi" w:cstheme="majorBidi"/>
          <w:sz w:val="24"/>
          <w:szCs w:val="24"/>
        </w:rPr>
        <w:t>However, 1911 complaints received negative replies (49</w:t>
      </w:r>
      <w:r w:rsidR="00B60122" w:rsidRPr="00E74FB0">
        <w:rPr>
          <w:rFonts w:asciiTheme="majorBidi" w:hAnsiTheme="majorBidi" w:cstheme="majorBidi"/>
          <w:sz w:val="24"/>
          <w:szCs w:val="24"/>
        </w:rPr>
        <w:t>.3</w:t>
      </w:r>
      <w:r w:rsidR="004C5EDB" w:rsidRPr="00E74FB0">
        <w:rPr>
          <w:rFonts w:asciiTheme="majorBidi" w:hAnsiTheme="majorBidi" w:cstheme="majorBidi"/>
          <w:sz w:val="24"/>
          <w:szCs w:val="24"/>
        </w:rPr>
        <w:t>%) while 106 (2.7%) were still being followed up during the mentioned period.</w:t>
      </w:r>
    </w:p>
    <w:p w:rsidR="00B71E0E" w:rsidRPr="00B71E0E" w:rsidRDefault="00B71E0E" w:rsidP="00B71E0E">
      <w:pPr>
        <w:pStyle w:val="ListParagraph"/>
        <w:spacing w:line="360" w:lineRule="auto"/>
        <w:ind w:left="180" w:right="-360"/>
        <w:jc w:val="both"/>
        <w:rPr>
          <w:rFonts w:asciiTheme="majorBidi" w:hAnsiTheme="majorBidi" w:cstheme="majorBidi"/>
          <w:sz w:val="24"/>
          <w:szCs w:val="24"/>
        </w:rPr>
      </w:pPr>
    </w:p>
    <w:p w:rsidR="00D67B01" w:rsidRPr="00E74FB0" w:rsidRDefault="003B4EE1"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Reasons for denying patients exit permits to receive health care varies. The patient can be denied based on medical grounds that treatment is available locally and therefore there is no need to travel to Israel.  However, if th</w:t>
      </w:r>
      <w:r w:rsidR="0079628A" w:rsidRPr="00E74FB0">
        <w:rPr>
          <w:rFonts w:asciiTheme="majorBidi" w:hAnsiTheme="majorBidi" w:cstheme="majorBidi"/>
          <w:sz w:val="24"/>
          <w:szCs w:val="24"/>
        </w:rPr>
        <w:t>e treatment was available locally</w:t>
      </w:r>
      <w:r w:rsidRPr="00E74FB0">
        <w:rPr>
          <w:rFonts w:asciiTheme="majorBidi" w:hAnsiTheme="majorBidi" w:cstheme="majorBidi"/>
          <w:sz w:val="24"/>
          <w:szCs w:val="24"/>
        </w:rPr>
        <w:t xml:space="preserve"> the patient would not have obtained a medical referral from the Palestinian side as the process of obtaining it is very strict, complicated,</w:t>
      </w:r>
      <w:r w:rsidR="007C012B" w:rsidRPr="00E74FB0">
        <w:rPr>
          <w:rFonts w:asciiTheme="majorBidi" w:hAnsiTheme="majorBidi" w:cstheme="majorBidi"/>
          <w:sz w:val="24"/>
          <w:szCs w:val="24"/>
        </w:rPr>
        <w:t xml:space="preserve"> </w:t>
      </w:r>
      <w:r w:rsidR="0066665B" w:rsidRPr="00E74FB0">
        <w:rPr>
          <w:rFonts w:asciiTheme="majorBidi" w:hAnsiTheme="majorBidi" w:cstheme="majorBidi"/>
          <w:sz w:val="24"/>
          <w:szCs w:val="24"/>
        </w:rPr>
        <w:t>expensive</w:t>
      </w:r>
      <w:r w:rsidRPr="00E74FB0">
        <w:rPr>
          <w:rFonts w:asciiTheme="majorBidi" w:hAnsiTheme="majorBidi" w:cstheme="majorBidi"/>
          <w:sz w:val="24"/>
          <w:szCs w:val="24"/>
        </w:rPr>
        <w:t xml:space="preserve"> and takes considerable time</w:t>
      </w:r>
      <w:r w:rsidR="00A919EE" w:rsidRPr="00E74FB0">
        <w:rPr>
          <w:rFonts w:asciiTheme="majorBidi" w:hAnsiTheme="majorBidi" w:cstheme="majorBidi"/>
          <w:sz w:val="24"/>
          <w:szCs w:val="24"/>
        </w:rPr>
        <w:t>.</w:t>
      </w:r>
      <w:r w:rsidRPr="00E74FB0">
        <w:rPr>
          <w:rFonts w:asciiTheme="majorBidi" w:hAnsiTheme="majorBidi" w:cstheme="majorBidi"/>
          <w:sz w:val="24"/>
          <w:szCs w:val="24"/>
        </w:rPr>
        <w:t xml:space="preserve"> </w:t>
      </w:r>
      <w:r w:rsidR="00121528" w:rsidRPr="00E74FB0">
        <w:rPr>
          <w:rFonts w:asciiTheme="majorBidi" w:hAnsiTheme="majorBidi" w:cstheme="majorBidi"/>
          <w:sz w:val="24"/>
          <w:szCs w:val="24"/>
        </w:rPr>
        <w:t xml:space="preserve">The patients' applications has </w:t>
      </w:r>
      <w:r w:rsidR="00151F0C" w:rsidRPr="00E74FB0">
        <w:rPr>
          <w:rFonts w:asciiTheme="majorBidi" w:hAnsiTheme="majorBidi" w:cstheme="majorBidi"/>
          <w:sz w:val="24"/>
          <w:szCs w:val="24"/>
        </w:rPr>
        <w:t>to receive</w:t>
      </w:r>
      <w:r w:rsidR="00121528" w:rsidRPr="00E74FB0">
        <w:rPr>
          <w:rFonts w:asciiTheme="majorBidi" w:hAnsiTheme="majorBidi" w:cstheme="majorBidi"/>
          <w:sz w:val="24"/>
          <w:szCs w:val="24"/>
        </w:rPr>
        <w:t xml:space="preserve"> approval from the treating doctor, head of the section at the hospital, the hospital's </w:t>
      </w:r>
      <w:r w:rsidR="00A919EE" w:rsidRPr="00E74FB0">
        <w:rPr>
          <w:rFonts w:asciiTheme="majorBidi" w:hAnsiTheme="majorBidi" w:cstheme="majorBidi"/>
          <w:sz w:val="24"/>
          <w:szCs w:val="24"/>
        </w:rPr>
        <w:t xml:space="preserve">administration, </w:t>
      </w:r>
      <w:r w:rsidR="00151F0C" w:rsidRPr="00E74FB0">
        <w:rPr>
          <w:rFonts w:asciiTheme="majorBidi" w:hAnsiTheme="majorBidi" w:cstheme="majorBidi"/>
          <w:sz w:val="24"/>
          <w:szCs w:val="24"/>
        </w:rPr>
        <w:t>Service</w:t>
      </w:r>
      <w:r w:rsidR="00121528" w:rsidRPr="00E74FB0">
        <w:rPr>
          <w:rFonts w:asciiTheme="majorBidi" w:hAnsiTheme="majorBidi" w:cstheme="majorBidi"/>
          <w:sz w:val="24"/>
          <w:szCs w:val="24"/>
        </w:rPr>
        <w:t xml:space="preserve"> Purchase Unit -Ministry of</w:t>
      </w:r>
      <w:r w:rsidRPr="00E74FB0">
        <w:rPr>
          <w:rFonts w:asciiTheme="majorBidi" w:hAnsiTheme="majorBidi" w:cstheme="majorBidi"/>
          <w:sz w:val="24"/>
          <w:szCs w:val="24"/>
        </w:rPr>
        <w:t xml:space="preserve"> Health, High Medical Committee, and the Ministry of Health in Ramallah.</w:t>
      </w:r>
      <w:r w:rsidR="00E824CC" w:rsidRPr="00E74FB0">
        <w:rPr>
          <w:rStyle w:val="FootnoteReference"/>
          <w:rFonts w:asciiTheme="majorBidi" w:hAnsiTheme="majorBidi" w:cstheme="majorBidi"/>
          <w:sz w:val="24"/>
          <w:szCs w:val="24"/>
        </w:rPr>
        <w:footnoteReference w:id="8"/>
      </w:r>
    </w:p>
    <w:p w:rsidR="00DB3FD7" w:rsidRPr="00E74FB0" w:rsidRDefault="00DB3FD7" w:rsidP="00A46867">
      <w:pPr>
        <w:pStyle w:val="ListParagraph"/>
        <w:spacing w:line="360" w:lineRule="auto"/>
        <w:ind w:left="180" w:right="-360"/>
        <w:jc w:val="both"/>
        <w:rPr>
          <w:rFonts w:asciiTheme="majorBidi" w:hAnsiTheme="majorBidi" w:cstheme="majorBidi"/>
          <w:sz w:val="24"/>
          <w:szCs w:val="24"/>
        </w:rPr>
      </w:pPr>
    </w:p>
    <w:p w:rsidR="00DB3FD7" w:rsidRPr="00E74FB0" w:rsidRDefault="00990A57" w:rsidP="00A46867">
      <w:pPr>
        <w:pStyle w:val="ListParagraph"/>
        <w:numPr>
          <w:ilvl w:val="0"/>
          <w:numId w:val="12"/>
        </w:numPr>
        <w:spacing w:line="360" w:lineRule="auto"/>
        <w:ind w:left="180" w:right="-360"/>
        <w:jc w:val="both"/>
        <w:rPr>
          <w:rFonts w:asciiTheme="majorBidi" w:hAnsiTheme="majorBidi" w:cstheme="majorBidi"/>
          <w:color w:val="FF0000"/>
          <w:sz w:val="24"/>
          <w:szCs w:val="24"/>
        </w:rPr>
      </w:pPr>
      <w:r w:rsidRPr="00E74FB0">
        <w:rPr>
          <w:rFonts w:asciiTheme="majorBidi" w:hAnsiTheme="majorBidi" w:cstheme="majorBidi"/>
          <w:sz w:val="24"/>
          <w:szCs w:val="24"/>
        </w:rPr>
        <w:t>Another medical ground which result</w:t>
      </w:r>
      <w:r w:rsidR="00DC6B7B" w:rsidRPr="00E74FB0">
        <w:rPr>
          <w:rFonts w:asciiTheme="majorBidi" w:hAnsiTheme="majorBidi" w:cstheme="majorBidi"/>
          <w:sz w:val="24"/>
          <w:szCs w:val="24"/>
        </w:rPr>
        <w:t>s</w:t>
      </w:r>
      <w:r w:rsidRPr="00E74FB0">
        <w:rPr>
          <w:rFonts w:asciiTheme="majorBidi" w:hAnsiTheme="majorBidi" w:cstheme="majorBidi"/>
          <w:sz w:val="24"/>
          <w:szCs w:val="24"/>
        </w:rPr>
        <w:t xml:space="preserve"> in the refusal of some of the application is that o</w:t>
      </w:r>
      <w:r w:rsidR="00D67B01" w:rsidRPr="00E74FB0">
        <w:rPr>
          <w:rFonts w:asciiTheme="majorBidi" w:hAnsiTheme="majorBidi" w:cstheme="majorBidi"/>
          <w:sz w:val="24"/>
          <w:szCs w:val="24"/>
        </w:rPr>
        <w:t xml:space="preserve">nly life-saving cases are allowed to </w:t>
      </w:r>
      <w:r w:rsidRPr="00E74FB0">
        <w:rPr>
          <w:rFonts w:asciiTheme="majorBidi" w:hAnsiTheme="majorBidi" w:cstheme="majorBidi"/>
          <w:sz w:val="24"/>
          <w:szCs w:val="24"/>
        </w:rPr>
        <w:t>enter. This</w:t>
      </w:r>
      <w:r w:rsidR="00D67B01" w:rsidRPr="00E74FB0">
        <w:rPr>
          <w:rFonts w:asciiTheme="majorBidi" w:hAnsiTheme="majorBidi" w:cstheme="majorBidi"/>
          <w:sz w:val="24"/>
          <w:szCs w:val="24"/>
        </w:rPr>
        <w:t xml:space="preserve"> policy has prevented many </w:t>
      </w:r>
      <w:r w:rsidR="00B86174" w:rsidRPr="00E74FB0">
        <w:rPr>
          <w:rFonts w:asciiTheme="majorBidi" w:hAnsiTheme="majorBidi" w:cstheme="majorBidi"/>
          <w:sz w:val="24"/>
          <w:szCs w:val="24"/>
        </w:rPr>
        <w:t xml:space="preserve">patients such as </w:t>
      </w:r>
      <w:r w:rsidR="00D67B01" w:rsidRPr="00E74FB0">
        <w:rPr>
          <w:rFonts w:asciiTheme="majorBidi" w:hAnsiTheme="majorBidi" w:cstheme="majorBidi"/>
          <w:sz w:val="24"/>
          <w:szCs w:val="24"/>
        </w:rPr>
        <w:t>orthopedics</w:t>
      </w:r>
      <w:r w:rsidR="00B86174" w:rsidRPr="00E74FB0">
        <w:rPr>
          <w:rFonts w:asciiTheme="majorBidi" w:hAnsiTheme="majorBidi" w:cstheme="majorBidi"/>
          <w:sz w:val="24"/>
          <w:szCs w:val="24"/>
        </w:rPr>
        <w:t xml:space="preserve"> and eye</w:t>
      </w:r>
      <w:hyperlink r:id="rId8" w:history="1"/>
      <w:r w:rsidR="00D67B01" w:rsidRPr="00E74FB0">
        <w:rPr>
          <w:rFonts w:asciiTheme="majorBidi" w:hAnsiTheme="majorBidi" w:cstheme="majorBidi"/>
          <w:sz w:val="24"/>
          <w:szCs w:val="24"/>
        </w:rPr>
        <w:t xml:space="preserve"> patients suffering from serious and intractable </w:t>
      </w:r>
      <w:r w:rsidR="00EF6ED5" w:rsidRPr="00E74FB0">
        <w:rPr>
          <w:rFonts w:asciiTheme="majorBidi" w:hAnsiTheme="majorBidi" w:cstheme="majorBidi"/>
          <w:sz w:val="24"/>
          <w:szCs w:val="24"/>
        </w:rPr>
        <w:t>illnesses</w:t>
      </w:r>
      <w:r w:rsidR="00D67B01" w:rsidRPr="00E74FB0">
        <w:rPr>
          <w:rFonts w:asciiTheme="majorBidi" w:hAnsiTheme="majorBidi" w:cstheme="majorBidi"/>
          <w:sz w:val="24"/>
          <w:szCs w:val="24"/>
        </w:rPr>
        <w:t xml:space="preserve"> from obtaining</w:t>
      </w:r>
      <w:r w:rsidR="00D67B01" w:rsidRPr="00E74FB0">
        <w:rPr>
          <w:rFonts w:asciiTheme="majorBidi" w:hAnsiTheme="majorBidi" w:cstheme="majorBidi"/>
          <w:sz w:val="24"/>
          <w:szCs w:val="24"/>
          <w:rtl/>
        </w:rPr>
        <w:t xml:space="preserve"> </w:t>
      </w:r>
      <w:r w:rsidR="00D67B01" w:rsidRPr="00E74FB0">
        <w:rPr>
          <w:rFonts w:asciiTheme="majorBidi" w:hAnsiTheme="majorBidi" w:cstheme="majorBidi"/>
          <w:sz w:val="24"/>
          <w:szCs w:val="24"/>
        </w:rPr>
        <w:t xml:space="preserve">exit permits on grounds that the treatment needed affects </w:t>
      </w:r>
      <w:r w:rsidR="00DC6B7B" w:rsidRPr="00E74FB0">
        <w:rPr>
          <w:rFonts w:asciiTheme="majorBidi" w:hAnsiTheme="majorBidi" w:cstheme="majorBidi"/>
          <w:sz w:val="24"/>
          <w:szCs w:val="24"/>
        </w:rPr>
        <w:t>“</w:t>
      </w:r>
      <w:r w:rsidR="00D67B01" w:rsidRPr="00E74FB0">
        <w:rPr>
          <w:rFonts w:asciiTheme="majorBidi" w:hAnsiTheme="majorBidi" w:cstheme="majorBidi"/>
          <w:sz w:val="24"/>
          <w:szCs w:val="24"/>
        </w:rPr>
        <w:t>quali</w:t>
      </w:r>
      <w:r w:rsidR="00DC6B7B" w:rsidRPr="00E74FB0">
        <w:rPr>
          <w:rFonts w:asciiTheme="majorBidi" w:hAnsiTheme="majorBidi" w:cstheme="majorBidi"/>
          <w:sz w:val="24"/>
          <w:szCs w:val="24"/>
        </w:rPr>
        <w:t xml:space="preserve">ty of life’ </w:t>
      </w:r>
      <w:r w:rsidR="00D67B01" w:rsidRPr="00E74FB0">
        <w:rPr>
          <w:rFonts w:asciiTheme="majorBidi" w:hAnsiTheme="majorBidi" w:cstheme="majorBidi"/>
          <w:sz w:val="24"/>
          <w:szCs w:val="24"/>
        </w:rPr>
        <w:t>and</w:t>
      </w:r>
      <w:r w:rsidR="00D67B01" w:rsidRPr="00E74FB0">
        <w:rPr>
          <w:rFonts w:asciiTheme="majorBidi" w:hAnsiTheme="majorBidi" w:cstheme="majorBidi"/>
          <w:sz w:val="24"/>
          <w:szCs w:val="24"/>
          <w:rtl/>
        </w:rPr>
        <w:t xml:space="preserve"> </w:t>
      </w:r>
      <w:r w:rsidR="00D67B01" w:rsidRPr="00E74FB0">
        <w:rPr>
          <w:rFonts w:asciiTheme="majorBidi" w:hAnsiTheme="majorBidi" w:cstheme="majorBidi"/>
          <w:sz w:val="24"/>
          <w:szCs w:val="24"/>
        </w:rPr>
        <w:t>therefore is not of major importance. The criteria for “quality of life’ classification is unknown and leaves patients in a constant state of uncertainty, depriving them of their right to receive treatment</w:t>
      </w:r>
      <w:r w:rsidR="003D4BC8" w:rsidRPr="00E74FB0">
        <w:rPr>
          <w:rFonts w:asciiTheme="majorBidi" w:hAnsiTheme="majorBidi" w:cstheme="majorBidi"/>
          <w:sz w:val="24"/>
          <w:szCs w:val="24"/>
        </w:rPr>
        <w:t>.</w:t>
      </w:r>
      <w:r w:rsidR="003D4BC8" w:rsidRPr="00E74FB0">
        <w:rPr>
          <w:rStyle w:val="FootnoteReference"/>
          <w:rFonts w:asciiTheme="majorBidi" w:hAnsiTheme="majorBidi" w:cstheme="majorBidi"/>
          <w:sz w:val="24"/>
          <w:szCs w:val="24"/>
        </w:rPr>
        <w:footnoteReference w:id="9"/>
      </w:r>
    </w:p>
    <w:p w:rsidR="006335F2" w:rsidRPr="00E74FB0" w:rsidRDefault="006335F2" w:rsidP="00A46867">
      <w:pPr>
        <w:pStyle w:val="ListParagraph"/>
        <w:ind w:left="180" w:right="-360"/>
        <w:jc w:val="both"/>
        <w:rPr>
          <w:rFonts w:asciiTheme="majorBidi" w:hAnsiTheme="majorBidi" w:cstheme="majorBidi"/>
          <w:color w:val="FF0000"/>
          <w:sz w:val="24"/>
          <w:szCs w:val="24"/>
        </w:rPr>
      </w:pPr>
    </w:p>
    <w:p w:rsidR="007775EB" w:rsidRPr="00E74FB0" w:rsidRDefault="00D67B01" w:rsidP="007775EB">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Security reasons constitute other grounds on which patients are denied </w:t>
      </w:r>
      <w:r w:rsidR="00141B92" w:rsidRPr="00E74FB0">
        <w:rPr>
          <w:rFonts w:asciiTheme="majorBidi" w:hAnsiTheme="majorBidi" w:cstheme="majorBidi"/>
          <w:sz w:val="24"/>
          <w:szCs w:val="24"/>
        </w:rPr>
        <w:t>permits. Until</w:t>
      </w:r>
      <w:r w:rsidR="00CE742C" w:rsidRPr="00E74FB0">
        <w:rPr>
          <w:rFonts w:asciiTheme="majorBidi" w:hAnsiTheme="majorBidi" w:cstheme="majorBidi"/>
          <w:sz w:val="24"/>
          <w:szCs w:val="24"/>
        </w:rPr>
        <w:t xml:space="preserve"> 2017</w:t>
      </w:r>
      <w:r w:rsidR="00141B92" w:rsidRPr="00E74FB0">
        <w:rPr>
          <w:rFonts w:asciiTheme="majorBidi" w:hAnsiTheme="majorBidi" w:cstheme="majorBidi"/>
          <w:sz w:val="24"/>
          <w:szCs w:val="24"/>
        </w:rPr>
        <w:t xml:space="preserve">, patients and companions </w:t>
      </w:r>
      <w:proofErr w:type="gramStart"/>
      <w:r w:rsidR="00141B92" w:rsidRPr="00E74FB0">
        <w:rPr>
          <w:rFonts w:asciiTheme="majorBidi" w:hAnsiTheme="majorBidi" w:cstheme="majorBidi"/>
          <w:sz w:val="24"/>
          <w:szCs w:val="24"/>
        </w:rPr>
        <w:t>between 16-35</w:t>
      </w:r>
      <w:proofErr w:type="gramEnd"/>
      <w:r w:rsidR="00141B92" w:rsidRPr="00E74FB0">
        <w:rPr>
          <w:rFonts w:asciiTheme="majorBidi" w:hAnsiTheme="majorBidi" w:cstheme="majorBidi"/>
          <w:sz w:val="24"/>
          <w:szCs w:val="24"/>
        </w:rPr>
        <w:t xml:space="preserve"> underwent secu</w:t>
      </w:r>
      <w:r w:rsidR="007C012B" w:rsidRPr="00E74FB0">
        <w:rPr>
          <w:rFonts w:asciiTheme="majorBidi" w:hAnsiTheme="majorBidi" w:cstheme="majorBidi"/>
          <w:sz w:val="24"/>
          <w:szCs w:val="24"/>
        </w:rPr>
        <w:t xml:space="preserve">rity </w:t>
      </w:r>
      <w:r w:rsidR="0079628A" w:rsidRPr="00E74FB0">
        <w:rPr>
          <w:rFonts w:asciiTheme="majorBidi" w:hAnsiTheme="majorBidi" w:cstheme="majorBidi"/>
          <w:sz w:val="24"/>
          <w:szCs w:val="24"/>
        </w:rPr>
        <w:t>check up</w:t>
      </w:r>
      <w:r w:rsidR="007C012B" w:rsidRPr="00E74FB0">
        <w:rPr>
          <w:rFonts w:asciiTheme="majorBidi" w:hAnsiTheme="majorBidi" w:cstheme="majorBidi"/>
          <w:sz w:val="24"/>
          <w:szCs w:val="24"/>
        </w:rPr>
        <w:t xml:space="preserve"> by the Shin B</w:t>
      </w:r>
      <w:r w:rsidR="00141B92" w:rsidRPr="00E74FB0">
        <w:rPr>
          <w:rFonts w:asciiTheme="majorBidi" w:hAnsiTheme="majorBidi" w:cstheme="majorBidi"/>
          <w:sz w:val="24"/>
          <w:szCs w:val="24"/>
        </w:rPr>
        <w:t>et.</w:t>
      </w:r>
      <w:r w:rsidR="00141B92" w:rsidRPr="00E74FB0">
        <w:rPr>
          <w:rStyle w:val="FootnoteReference"/>
          <w:rFonts w:asciiTheme="majorBidi" w:hAnsiTheme="majorBidi" w:cstheme="majorBidi"/>
          <w:sz w:val="24"/>
          <w:szCs w:val="24"/>
        </w:rPr>
        <w:footnoteReference w:id="10"/>
      </w:r>
      <w:r w:rsidR="00141B92" w:rsidRPr="00E74FB0">
        <w:rPr>
          <w:rFonts w:asciiTheme="majorBidi" w:hAnsiTheme="majorBidi" w:cstheme="majorBidi"/>
          <w:sz w:val="24"/>
          <w:szCs w:val="24"/>
        </w:rPr>
        <w:t xml:space="preserve"> Now, patients and </w:t>
      </w:r>
      <w:r w:rsidR="00141B92" w:rsidRPr="00E74FB0">
        <w:rPr>
          <w:rFonts w:asciiTheme="majorBidi" w:hAnsiTheme="majorBidi" w:cstheme="majorBidi"/>
          <w:sz w:val="24"/>
          <w:szCs w:val="24"/>
        </w:rPr>
        <w:lastRenderedPageBreak/>
        <w:t xml:space="preserve">male companions under 55, as well as female companions under 45 must undergo security clearance. </w:t>
      </w:r>
      <w:r w:rsidR="00CE742C" w:rsidRPr="00E74FB0">
        <w:rPr>
          <w:rFonts w:asciiTheme="majorBidi" w:hAnsiTheme="majorBidi" w:cstheme="majorBidi"/>
          <w:sz w:val="24"/>
          <w:szCs w:val="24"/>
        </w:rPr>
        <w:t>This arbitrary</w:t>
      </w:r>
      <w:r w:rsidR="00141B92" w:rsidRPr="00E74FB0">
        <w:rPr>
          <w:rFonts w:asciiTheme="majorBidi" w:hAnsiTheme="majorBidi" w:cstheme="majorBidi"/>
          <w:sz w:val="24"/>
          <w:szCs w:val="24"/>
        </w:rPr>
        <w:t xml:space="preserve"> process can </w:t>
      </w:r>
      <w:r w:rsidR="00CE742C" w:rsidRPr="00E74FB0">
        <w:rPr>
          <w:rFonts w:asciiTheme="majorBidi" w:hAnsiTheme="majorBidi" w:cstheme="majorBidi"/>
          <w:sz w:val="24"/>
          <w:szCs w:val="24"/>
        </w:rPr>
        <w:t>take weeks and can lead to difficult choices.</w:t>
      </w:r>
      <w:r w:rsidR="003D4BC8" w:rsidRPr="00E74FB0">
        <w:rPr>
          <w:rFonts w:asciiTheme="majorBidi" w:hAnsiTheme="majorBidi" w:cstheme="majorBidi"/>
          <w:sz w:val="24"/>
          <w:szCs w:val="24"/>
        </w:rPr>
        <w:t xml:space="preserve"> </w:t>
      </w:r>
      <w:r w:rsidR="00CE742C" w:rsidRPr="00E74FB0">
        <w:rPr>
          <w:rFonts w:asciiTheme="majorBidi" w:hAnsiTheme="majorBidi" w:cstheme="majorBidi"/>
          <w:sz w:val="24"/>
          <w:szCs w:val="24"/>
        </w:rPr>
        <w:t>It has prevented many young mothers from applying as companions to not risk delaying the child’s treatment and instead</w:t>
      </w:r>
      <w:r w:rsidR="00B75170" w:rsidRPr="00E74FB0">
        <w:rPr>
          <w:rFonts w:asciiTheme="majorBidi" w:hAnsiTheme="majorBidi" w:cstheme="majorBidi"/>
          <w:sz w:val="24"/>
          <w:szCs w:val="24"/>
        </w:rPr>
        <w:t xml:space="preserve"> a grandparent, possibly old and ill, accompanies the child in her stead.</w:t>
      </w:r>
      <w:r w:rsidR="00B20432" w:rsidRPr="00E74FB0">
        <w:rPr>
          <w:rFonts w:asciiTheme="majorBidi" w:hAnsiTheme="majorBidi" w:cstheme="majorBidi"/>
          <w:sz w:val="24"/>
          <w:szCs w:val="24"/>
        </w:rPr>
        <w:t xml:space="preserve"> </w:t>
      </w:r>
    </w:p>
    <w:p w:rsidR="007775EB" w:rsidRPr="00E74FB0" w:rsidRDefault="007775EB" w:rsidP="007775EB">
      <w:pPr>
        <w:pStyle w:val="ListParagraph"/>
        <w:rPr>
          <w:rFonts w:asciiTheme="majorBidi" w:hAnsiTheme="majorBidi" w:cstheme="majorBidi"/>
          <w:sz w:val="24"/>
          <w:szCs w:val="24"/>
        </w:rPr>
      </w:pPr>
    </w:p>
    <w:p w:rsidR="00861131" w:rsidRPr="00E74FB0" w:rsidRDefault="002069B5" w:rsidP="007775EB">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Moreover, security-screening does not take into account the appointment of the hospital or the condition of the patient. Missing the </w:t>
      </w:r>
      <w:r w:rsidR="007C012B" w:rsidRPr="00E74FB0">
        <w:rPr>
          <w:rFonts w:asciiTheme="majorBidi" w:hAnsiTheme="majorBidi" w:cstheme="majorBidi"/>
          <w:sz w:val="24"/>
          <w:szCs w:val="24"/>
        </w:rPr>
        <w:t>appointment</w:t>
      </w:r>
      <w:r w:rsidRPr="00E74FB0">
        <w:rPr>
          <w:rFonts w:asciiTheme="majorBidi" w:hAnsiTheme="majorBidi" w:cstheme="majorBidi"/>
          <w:sz w:val="24"/>
          <w:szCs w:val="24"/>
        </w:rPr>
        <w:t xml:space="preserve"> means that patients have to reschedule with the medical facility and restart the whole referral process again.  Some patients, such as cancer patients, who are in need of</w:t>
      </w:r>
      <w:r w:rsidR="009C3280" w:rsidRPr="00E74FB0">
        <w:rPr>
          <w:rFonts w:asciiTheme="majorBidi" w:hAnsiTheme="majorBidi" w:cstheme="majorBidi"/>
          <w:sz w:val="24"/>
          <w:szCs w:val="24"/>
        </w:rPr>
        <w:t xml:space="preserve"> a number of</w:t>
      </w:r>
      <w:r w:rsidRPr="00E74FB0">
        <w:rPr>
          <w:rFonts w:asciiTheme="majorBidi" w:hAnsiTheme="majorBidi" w:cstheme="majorBidi"/>
          <w:sz w:val="24"/>
          <w:szCs w:val="24"/>
        </w:rPr>
        <w:t xml:space="preserve"> consecutive chemotherapy treatment sessions </w:t>
      </w:r>
      <w:r w:rsidR="009C3280" w:rsidRPr="00E74FB0">
        <w:rPr>
          <w:rFonts w:asciiTheme="majorBidi" w:hAnsiTheme="majorBidi" w:cstheme="majorBidi"/>
          <w:sz w:val="24"/>
          <w:szCs w:val="24"/>
        </w:rPr>
        <w:t>every specific</w:t>
      </w:r>
      <w:r w:rsidRPr="00E74FB0">
        <w:rPr>
          <w:rFonts w:asciiTheme="majorBidi" w:hAnsiTheme="majorBidi" w:cstheme="majorBidi"/>
          <w:sz w:val="24"/>
          <w:szCs w:val="24"/>
        </w:rPr>
        <w:t xml:space="preserve"> period of time</w:t>
      </w:r>
      <w:r w:rsidR="009C3280" w:rsidRPr="00E74FB0">
        <w:rPr>
          <w:rFonts w:asciiTheme="majorBidi" w:hAnsiTheme="majorBidi" w:cstheme="majorBidi"/>
          <w:sz w:val="24"/>
          <w:szCs w:val="24"/>
        </w:rPr>
        <w:t xml:space="preserve"> can be denied treatment in the middle or t</w:t>
      </w:r>
      <w:r w:rsidR="00497D93" w:rsidRPr="00E74FB0">
        <w:rPr>
          <w:rFonts w:asciiTheme="majorBidi" w:hAnsiTheme="majorBidi" w:cstheme="majorBidi"/>
          <w:sz w:val="24"/>
          <w:szCs w:val="24"/>
        </w:rPr>
        <w:t>owards the end of the treatment on security grounds.</w:t>
      </w:r>
      <w:r w:rsidR="005904B1" w:rsidRPr="00E74FB0">
        <w:rPr>
          <w:rFonts w:asciiTheme="majorBidi" w:hAnsiTheme="majorBidi" w:cstheme="majorBidi"/>
          <w:color w:val="FF0000"/>
          <w:sz w:val="24"/>
          <w:szCs w:val="24"/>
        </w:rPr>
        <w:t xml:space="preserve"> </w:t>
      </w:r>
      <w:r w:rsidR="005904B1" w:rsidRPr="00E74FB0">
        <w:rPr>
          <w:rFonts w:asciiTheme="majorBidi" w:hAnsiTheme="majorBidi" w:cstheme="majorBidi"/>
          <w:sz w:val="24"/>
          <w:szCs w:val="24"/>
        </w:rPr>
        <w:t>In 2017, WHO reported that 54 patients died while waiting to receive security permits</w:t>
      </w:r>
      <w:r w:rsidR="0018623C" w:rsidRPr="00E74FB0">
        <w:rPr>
          <w:rFonts w:asciiTheme="majorBidi" w:hAnsiTheme="majorBidi" w:cstheme="majorBidi"/>
          <w:sz w:val="24"/>
          <w:szCs w:val="24"/>
        </w:rPr>
        <w:t xml:space="preserve"> including three </w:t>
      </w:r>
      <w:proofErr w:type="gramStart"/>
      <w:r w:rsidR="009F205F" w:rsidRPr="00E74FB0">
        <w:rPr>
          <w:rFonts w:asciiTheme="majorBidi" w:hAnsiTheme="majorBidi" w:cstheme="majorBidi"/>
          <w:sz w:val="24"/>
          <w:szCs w:val="24"/>
        </w:rPr>
        <w:t>children.</w:t>
      </w:r>
      <w:proofErr w:type="gramEnd"/>
      <w:r w:rsidR="009F205F" w:rsidRPr="00E74FB0">
        <w:rPr>
          <w:rStyle w:val="FootnoteReference"/>
          <w:rFonts w:asciiTheme="majorBidi" w:hAnsiTheme="majorBidi" w:cstheme="majorBidi"/>
          <w:sz w:val="24"/>
          <w:szCs w:val="24"/>
        </w:rPr>
        <w:t xml:space="preserve"> </w:t>
      </w:r>
      <w:r w:rsidR="0066665B" w:rsidRPr="00E74FB0">
        <w:rPr>
          <w:rFonts w:asciiTheme="majorBidi" w:hAnsiTheme="majorBidi" w:cstheme="majorBidi"/>
          <w:sz w:val="24"/>
          <w:szCs w:val="24"/>
        </w:rPr>
        <w:t>Approximately 85% of the patients who</w:t>
      </w:r>
      <w:r w:rsidR="009F205F" w:rsidRPr="00E74FB0">
        <w:rPr>
          <w:rFonts w:asciiTheme="majorBidi" w:hAnsiTheme="majorBidi" w:cstheme="majorBidi"/>
          <w:sz w:val="24"/>
          <w:szCs w:val="24"/>
        </w:rPr>
        <w:t xml:space="preserve"> </w:t>
      </w:r>
      <w:r w:rsidR="0066665B" w:rsidRPr="00E74FB0">
        <w:rPr>
          <w:rFonts w:asciiTheme="majorBidi" w:hAnsiTheme="majorBidi" w:cstheme="majorBidi"/>
          <w:sz w:val="24"/>
          <w:szCs w:val="24"/>
        </w:rPr>
        <w:t>died while awaiting security permits had been referred for cancer investigations or treatment.</w:t>
      </w:r>
      <w:r w:rsidR="009F205F" w:rsidRPr="00E74FB0">
        <w:rPr>
          <w:rStyle w:val="FootnoteReference"/>
          <w:rFonts w:asciiTheme="majorBidi" w:hAnsiTheme="majorBidi" w:cstheme="majorBidi"/>
          <w:sz w:val="24"/>
          <w:szCs w:val="24"/>
        </w:rPr>
        <w:t xml:space="preserve"> </w:t>
      </w:r>
      <w:r w:rsidR="009958AD" w:rsidRPr="00E74FB0">
        <w:rPr>
          <w:rStyle w:val="FootnoteReference"/>
          <w:rFonts w:asciiTheme="majorBidi" w:hAnsiTheme="majorBidi" w:cstheme="majorBidi"/>
          <w:sz w:val="24"/>
          <w:szCs w:val="24"/>
        </w:rPr>
        <w:footnoteReference w:id="11"/>
      </w:r>
    </w:p>
    <w:p w:rsidR="00861131" w:rsidRPr="00E74FB0" w:rsidRDefault="00861131" w:rsidP="00861131">
      <w:pPr>
        <w:pStyle w:val="ListParagraph"/>
        <w:rPr>
          <w:rFonts w:asciiTheme="majorBidi" w:hAnsiTheme="majorBidi" w:cstheme="majorBidi"/>
          <w:sz w:val="24"/>
          <w:szCs w:val="24"/>
        </w:rPr>
      </w:pPr>
    </w:p>
    <w:p w:rsidR="00B14540" w:rsidRPr="00E74FB0" w:rsidRDefault="00497D93" w:rsidP="00B60122">
      <w:pPr>
        <w:pStyle w:val="ListParagraph"/>
        <w:numPr>
          <w:ilvl w:val="0"/>
          <w:numId w:val="12"/>
        </w:numPr>
        <w:spacing w:line="360" w:lineRule="auto"/>
        <w:ind w:left="180" w:right="-360"/>
        <w:jc w:val="both"/>
        <w:rPr>
          <w:rFonts w:asciiTheme="majorBidi" w:hAnsiTheme="majorBidi" w:cstheme="majorBidi"/>
          <w:b/>
          <w:bCs/>
          <w:sz w:val="24"/>
          <w:szCs w:val="24"/>
        </w:rPr>
      </w:pPr>
      <w:r w:rsidRPr="00E74FB0">
        <w:rPr>
          <w:rFonts w:asciiTheme="majorBidi" w:hAnsiTheme="majorBidi" w:cstheme="majorBidi"/>
          <w:sz w:val="24"/>
          <w:szCs w:val="24"/>
        </w:rPr>
        <w:t>PCHR has documented</w:t>
      </w:r>
      <w:r w:rsidRPr="00E74FB0">
        <w:rPr>
          <w:rFonts w:asciiTheme="majorBidi" w:hAnsiTheme="majorBidi" w:cstheme="majorBidi"/>
          <w:sz w:val="24"/>
          <w:szCs w:val="24"/>
          <w:rtl/>
        </w:rPr>
        <w:t xml:space="preserve"> </w:t>
      </w:r>
      <w:r w:rsidRPr="00E74FB0">
        <w:rPr>
          <w:rFonts w:asciiTheme="majorBidi" w:hAnsiTheme="majorBidi" w:cstheme="majorBidi"/>
          <w:sz w:val="24"/>
          <w:szCs w:val="24"/>
        </w:rPr>
        <w:t xml:space="preserve">the arrest of </w:t>
      </w:r>
      <w:r w:rsidR="00B60122" w:rsidRPr="00E74FB0">
        <w:rPr>
          <w:rFonts w:asciiTheme="majorBidi" w:hAnsiTheme="majorBidi" w:cstheme="majorBidi"/>
          <w:sz w:val="24"/>
          <w:szCs w:val="24"/>
        </w:rPr>
        <w:t>many patients</w:t>
      </w:r>
      <w:r w:rsidR="007C012B" w:rsidRPr="00E74FB0">
        <w:rPr>
          <w:rFonts w:asciiTheme="majorBidi" w:hAnsiTheme="majorBidi" w:cstheme="majorBidi"/>
          <w:sz w:val="24"/>
          <w:szCs w:val="24"/>
        </w:rPr>
        <w:t xml:space="preserve"> while</w:t>
      </w:r>
      <w:r w:rsidRPr="00E74FB0">
        <w:rPr>
          <w:rFonts w:asciiTheme="majorBidi" w:hAnsiTheme="majorBidi" w:cstheme="majorBidi"/>
          <w:sz w:val="24"/>
          <w:szCs w:val="24"/>
        </w:rPr>
        <w:t xml:space="preserve"> they were travelling through </w:t>
      </w:r>
      <w:proofErr w:type="spellStart"/>
      <w:r w:rsidRPr="00E74FB0">
        <w:rPr>
          <w:rFonts w:asciiTheme="majorBidi" w:hAnsiTheme="majorBidi" w:cstheme="majorBidi"/>
          <w:sz w:val="24"/>
          <w:szCs w:val="24"/>
        </w:rPr>
        <w:t>Beit</w:t>
      </w:r>
      <w:proofErr w:type="spellEnd"/>
      <w:r w:rsidRPr="00E74FB0">
        <w:rPr>
          <w:rFonts w:asciiTheme="majorBidi" w:hAnsiTheme="majorBidi" w:cstheme="majorBidi"/>
          <w:sz w:val="24"/>
          <w:szCs w:val="24"/>
        </w:rPr>
        <w:t xml:space="preserve"> </w:t>
      </w:r>
      <w:proofErr w:type="spellStart"/>
      <w:r w:rsidRPr="00E74FB0">
        <w:rPr>
          <w:rFonts w:asciiTheme="majorBidi" w:hAnsiTheme="majorBidi" w:cstheme="majorBidi"/>
          <w:sz w:val="24"/>
          <w:szCs w:val="24"/>
        </w:rPr>
        <w:t>Hanoun</w:t>
      </w:r>
      <w:proofErr w:type="spellEnd"/>
      <w:r w:rsidR="0079628A" w:rsidRPr="00E74FB0">
        <w:rPr>
          <w:rFonts w:asciiTheme="majorBidi" w:hAnsiTheme="majorBidi" w:cstheme="majorBidi"/>
          <w:sz w:val="24"/>
          <w:szCs w:val="24"/>
        </w:rPr>
        <w:t xml:space="preserve"> crossing</w:t>
      </w:r>
      <w:r w:rsidRPr="00E74FB0">
        <w:rPr>
          <w:rFonts w:asciiTheme="majorBidi" w:hAnsiTheme="majorBidi" w:cstheme="majorBidi"/>
          <w:sz w:val="24"/>
          <w:szCs w:val="24"/>
        </w:rPr>
        <w:t xml:space="preserve"> after obtaining their exit permits or crossing to meet Israeli intelligences services to determine whether they would be allowed to travel.</w:t>
      </w:r>
      <w:r w:rsidRPr="00E74FB0">
        <w:rPr>
          <w:rFonts w:asciiTheme="majorBidi" w:hAnsiTheme="majorBidi" w:cstheme="majorBidi"/>
          <w:color w:val="FF0000"/>
          <w:sz w:val="24"/>
          <w:szCs w:val="24"/>
          <w:rtl/>
        </w:rPr>
        <w:t xml:space="preserve"> </w:t>
      </w:r>
      <w:r w:rsidRPr="00E74FB0">
        <w:rPr>
          <w:rFonts w:asciiTheme="majorBidi" w:hAnsiTheme="majorBidi" w:cstheme="majorBidi"/>
          <w:sz w:val="24"/>
          <w:szCs w:val="24"/>
        </w:rPr>
        <w:t>Patients were questioned and interrogated for long hours before being arrested despite their poor health. Moreover, some patients were blackmailed by Israeli security officers, who asked the patients to cooperate and provide them with information about certain individuals and places in Gaza in exchange for facilitating his medical treatment process.</w:t>
      </w:r>
    </w:p>
    <w:p w:rsidR="00B14540" w:rsidRPr="00E74FB0" w:rsidRDefault="00B14540" w:rsidP="00B14540">
      <w:pPr>
        <w:pStyle w:val="ListParagraph"/>
        <w:rPr>
          <w:rFonts w:asciiTheme="majorBidi" w:hAnsiTheme="majorBidi" w:cstheme="majorBidi"/>
          <w:sz w:val="24"/>
          <w:szCs w:val="24"/>
          <w:rtl/>
        </w:rPr>
      </w:pPr>
    </w:p>
    <w:p w:rsidR="00A05250" w:rsidRPr="00E74FB0" w:rsidRDefault="00497D93"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tl/>
        </w:rPr>
        <w:t xml:space="preserve"> </w:t>
      </w:r>
      <w:r w:rsidRPr="00E74FB0">
        <w:rPr>
          <w:rFonts w:asciiTheme="majorBidi" w:hAnsiTheme="majorBidi" w:cstheme="majorBidi"/>
          <w:sz w:val="24"/>
          <w:szCs w:val="24"/>
        </w:rPr>
        <w:t xml:space="preserve">Ahmed </w:t>
      </w:r>
      <w:proofErr w:type="spellStart"/>
      <w:r w:rsidRPr="00E74FB0">
        <w:rPr>
          <w:rFonts w:asciiTheme="majorBidi" w:hAnsiTheme="majorBidi" w:cstheme="majorBidi"/>
          <w:sz w:val="24"/>
          <w:szCs w:val="24"/>
        </w:rPr>
        <w:t>Shbair</w:t>
      </w:r>
      <w:proofErr w:type="spellEnd"/>
      <w:r w:rsidRPr="00E74FB0">
        <w:rPr>
          <w:rFonts w:asciiTheme="majorBidi" w:hAnsiTheme="majorBidi" w:cstheme="majorBidi"/>
          <w:sz w:val="24"/>
          <w:szCs w:val="24"/>
        </w:rPr>
        <w:t xml:space="preserve">, a 17-year-old child from Gaza, who needed an urgent cardiac treatment in Israel was denied access by the Israeli authorities to medical treatment in Tel </w:t>
      </w:r>
      <w:proofErr w:type="spellStart"/>
      <w:r w:rsidRPr="00E74FB0">
        <w:rPr>
          <w:rFonts w:asciiTheme="majorBidi" w:hAnsiTheme="majorBidi" w:cstheme="majorBidi"/>
          <w:sz w:val="24"/>
          <w:szCs w:val="24"/>
        </w:rPr>
        <w:t>Hashomir</w:t>
      </w:r>
      <w:proofErr w:type="spellEnd"/>
      <w:r w:rsidRPr="00E74FB0">
        <w:rPr>
          <w:rFonts w:asciiTheme="majorBidi" w:hAnsiTheme="majorBidi" w:cstheme="majorBidi"/>
          <w:sz w:val="24"/>
          <w:szCs w:val="24"/>
        </w:rPr>
        <w:t xml:space="preserve"> hospital in Israel three times in 2016.</w:t>
      </w:r>
      <w:r w:rsidR="00DC6741" w:rsidRPr="00E74FB0">
        <w:rPr>
          <w:rStyle w:val="FootnoteReference"/>
          <w:rFonts w:asciiTheme="majorBidi" w:hAnsiTheme="majorBidi" w:cstheme="majorBidi"/>
          <w:sz w:val="24"/>
          <w:szCs w:val="24"/>
        </w:rPr>
        <w:footnoteReference w:id="12"/>
      </w:r>
      <w:r w:rsidRPr="00E74FB0">
        <w:rPr>
          <w:rFonts w:asciiTheme="majorBidi" w:hAnsiTheme="majorBidi" w:cstheme="majorBidi"/>
          <w:sz w:val="24"/>
          <w:szCs w:val="24"/>
        </w:rPr>
        <w:t xml:space="preserve"> On 16 November 2016, Ahmed had a security interview with the Israeli intelligence who informed him that receiving medical treatment is conditional upon cooperating with </w:t>
      </w:r>
      <w:r w:rsidRPr="00E74FB0">
        <w:rPr>
          <w:rFonts w:asciiTheme="majorBidi" w:hAnsiTheme="majorBidi" w:cstheme="majorBidi"/>
          <w:sz w:val="24"/>
          <w:szCs w:val="24"/>
        </w:rPr>
        <w:lastRenderedPageBreak/>
        <w:t>the Israeli intelligence service. He replied that he could not cooperate with them because he does not have knowledge of the people and places they asked him about. The investigators told him, “</w:t>
      </w:r>
      <w:proofErr w:type="gramStart"/>
      <w:r w:rsidRPr="00E74FB0">
        <w:rPr>
          <w:rFonts w:asciiTheme="majorBidi" w:hAnsiTheme="majorBidi" w:cstheme="majorBidi"/>
          <w:sz w:val="24"/>
          <w:szCs w:val="24"/>
        </w:rPr>
        <w:t>if</w:t>
      </w:r>
      <w:proofErr w:type="gramEnd"/>
      <w:r w:rsidRPr="00E74FB0">
        <w:rPr>
          <w:rFonts w:asciiTheme="majorBidi" w:hAnsiTheme="majorBidi" w:cstheme="majorBidi"/>
          <w:sz w:val="24"/>
          <w:szCs w:val="24"/>
        </w:rPr>
        <w:t xml:space="preserve"> you do not cooperate with us</w:t>
      </w:r>
      <w:r w:rsidR="00531E0E" w:rsidRPr="00E74FB0">
        <w:rPr>
          <w:rFonts w:asciiTheme="majorBidi" w:hAnsiTheme="majorBidi" w:cstheme="majorBidi"/>
          <w:sz w:val="24"/>
          <w:szCs w:val="24"/>
        </w:rPr>
        <w:t>,</w:t>
      </w:r>
      <w:r w:rsidRPr="00E74FB0">
        <w:rPr>
          <w:rFonts w:asciiTheme="majorBidi" w:hAnsiTheme="majorBidi" w:cstheme="majorBidi"/>
          <w:sz w:val="24"/>
          <w:szCs w:val="24"/>
        </w:rPr>
        <w:t xml:space="preserve"> let Gaza treat you”. Two weeks later, he applied for an exit permit and the reply was that he is under security check. His situation deteriorated as he started suffering from shortness of breath. He died on 14 January 2017 after several attempts were made to save his life in Gaza hospitals.</w:t>
      </w:r>
    </w:p>
    <w:p w:rsidR="00D85FF3" w:rsidRPr="00E74FB0" w:rsidRDefault="00D85FF3" w:rsidP="00A46867">
      <w:pPr>
        <w:pStyle w:val="ListParagraph"/>
        <w:spacing w:line="360" w:lineRule="auto"/>
        <w:ind w:left="180" w:right="-360"/>
        <w:jc w:val="both"/>
        <w:rPr>
          <w:rFonts w:asciiTheme="majorBidi" w:hAnsiTheme="majorBidi" w:cstheme="majorBidi"/>
        </w:rPr>
      </w:pPr>
    </w:p>
    <w:p w:rsidR="0079628A" w:rsidRPr="00E74FB0" w:rsidRDefault="00462AC4"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In January 2017, the Israeli security cabinet passed a resolution</w:t>
      </w:r>
      <w:r w:rsidR="00413BC2" w:rsidRPr="00E74FB0">
        <w:rPr>
          <w:rFonts w:asciiTheme="majorBidi" w:hAnsiTheme="majorBidi" w:cstheme="majorBidi"/>
          <w:sz w:val="24"/>
          <w:szCs w:val="24"/>
        </w:rPr>
        <w:t>, which represents a form of collective punishment,</w:t>
      </w:r>
      <w:r w:rsidRPr="00E74FB0">
        <w:rPr>
          <w:rFonts w:asciiTheme="majorBidi" w:hAnsiTheme="majorBidi" w:cstheme="majorBidi"/>
          <w:sz w:val="24"/>
          <w:szCs w:val="24"/>
        </w:rPr>
        <w:t xml:space="preserve"> to ban members of Hamas and their first-degree relatives from making humanitarian visits to Israel, including medical treatment</w:t>
      </w:r>
      <w:r w:rsidR="00413BC2" w:rsidRPr="00E74FB0">
        <w:rPr>
          <w:rFonts w:asciiTheme="majorBidi" w:hAnsiTheme="majorBidi" w:cstheme="majorBidi"/>
          <w:sz w:val="24"/>
          <w:szCs w:val="24"/>
        </w:rPr>
        <w:t xml:space="preserve"> visits</w:t>
      </w:r>
      <w:r w:rsidRPr="00E74FB0">
        <w:rPr>
          <w:rFonts w:asciiTheme="majorBidi" w:hAnsiTheme="majorBidi" w:cstheme="majorBidi"/>
          <w:sz w:val="24"/>
          <w:szCs w:val="24"/>
        </w:rPr>
        <w:t xml:space="preserve"> as means of leverage over Hamas.</w:t>
      </w:r>
      <w:r w:rsidR="00560816" w:rsidRPr="00E74FB0">
        <w:rPr>
          <w:rStyle w:val="FootnoteReference"/>
          <w:rFonts w:asciiTheme="majorBidi" w:hAnsiTheme="majorBidi" w:cstheme="majorBidi"/>
          <w:sz w:val="24"/>
          <w:szCs w:val="24"/>
        </w:rPr>
        <w:footnoteReference w:id="13"/>
      </w:r>
      <w:r w:rsidRPr="00E74FB0">
        <w:rPr>
          <w:rFonts w:asciiTheme="majorBidi" w:hAnsiTheme="majorBidi" w:cstheme="majorBidi"/>
          <w:sz w:val="24"/>
          <w:szCs w:val="24"/>
        </w:rPr>
        <w:t xml:space="preserve"> </w:t>
      </w:r>
      <w:r w:rsidR="00A05250" w:rsidRPr="00E74FB0">
        <w:rPr>
          <w:rFonts w:asciiTheme="majorBidi" w:hAnsiTheme="majorBidi" w:cstheme="majorBidi"/>
          <w:sz w:val="24"/>
          <w:szCs w:val="24"/>
        </w:rPr>
        <w:t xml:space="preserve">The decision was overturned after the High Court of Justice ordered the state to </w:t>
      </w:r>
      <w:r w:rsidR="00413BC2" w:rsidRPr="00E74FB0">
        <w:rPr>
          <w:rFonts w:asciiTheme="majorBidi" w:hAnsiTheme="majorBidi" w:cstheme="majorBidi"/>
          <w:sz w:val="24"/>
          <w:szCs w:val="24"/>
        </w:rPr>
        <w:t>cease</w:t>
      </w:r>
      <w:r w:rsidR="00A05250" w:rsidRPr="00E74FB0">
        <w:rPr>
          <w:rFonts w:asciiTheme="majorBidi" w:hAnsiTheme="majorBidi" w:cstheme="majorBidi"/>
          <w:sz w:val="24"/>
          <w:szCs w:val="24"/>
        </w:rPr>
        <w:t xml:space="preserve"> this practice following a petition filed by Israeli</w:t>
      </w:r>
      <w:r w:rsidR="00413BC2" w:rsidRPr="00E74FB0">
        <w:rPr>
          <w:rFonts w:asciiTheme="majorBidi" w:hAnsiTheme="majorBidi" w:cstheme="majorBidi"/>
          <w:sz w:val="24"/>
          <w:szCs w:val="24"/>
        </w:rPr>
        <w:t xml:space="preserve"> and Palestinian human rights organizations.</w:t>
      </w:r>
      <w:r w:rsidR="00A05250" w:rsidRPr="00E74FB0">
        <w:rPr>
          <w:rFonts w:asciiTheme="majorBidi" w:hAnsiTheme="majorBidi" w:cstheme="majorBidi"/>
          <w:sz w:val="24"/>
          <w:szCs w:val="24"/>
        </w:rPr>
        <w:t xml:space="preserve"> </w:t>
      </w:r>
      <w:r w:rsidR="00413BC2" w:rsidRPr="00E74FB0">
        <w:rPr>
          <w:rStyle w:val="FootnoteReference"/>
          <w:rFonts w:asciiTheme="majorBidi" w:hAnsiTheme="majorBidi" w:cstheme="majorBidi"/>
          <w:sz w:val="24"/>
          <w:szCs w:val="24"/>
        </w:rPr>
        <w:footnoteReference w:id="14"/>
      </w:r>
      <w:r w:rsidR="00D85FF3" w:rsidRPr="00E74FB0">
        <w:rPr>
          <w:rFonts w:asciiTheme="majorBidi" w:hAnsiTheme="majorBidi" w:cstheme="majorBidi"/>
          <w:sz w:val="24"/>
          <w:szCs w:val="24"/>
        </w:rPr>
        <w:t xml:space="preserve"> However, since </w:t>
      </w:r>
      <w:r w:rsidR="00E66C00" w:rsidRPr="00E74FB0">
        <w:rPr>
          <w:rFonts w:asciiTheme="majorBidi" w:hAnsiTheme="majorBidi" w:cstheme="majorBidi"/>
          <w:sz w:val="24"/>
          <w:szCs w:val="24"/>
        </w:rPr>
        <w:t xml:space="preserve">October </w:t>
      </w:r>
      <w:r w:rsidR="00D85FF3" w:rsidRPr="00E74FB0">
        <w:rPr>
          <w:rFonts w:asciiTheme="majorBidi" w:hAnsiTheme="majorBidi" w:cstheme="majorBidi"/>
          <w:sz w:val="24"/>
          <w:szCs w:val="24"/>
        </w:rPr>
        <w:t xml:space="preserve">2018, </w:t>
      </w:r>
      <w:r w:rsidR="00DD440D" w:rsidRPr="00E74FB0">
        <w:rPr>
          <w:rFonts w:asciiTheme="majorBidi" w:hAnsiTheme="majorBidi" w:cstheme="majorBidi"/>
          <w:sz w:val="24"/>
          <w:szCs w:val="24"/>
        </w:rPr>
        <w:t xml:space="preserve">in another form of collective punishment, </w:t>
      </w:r>
      <w:r w:rsidR="00D85FF3" w:rsidRPr="00E74FB0">
        <w:rPr>
          <w:rFonts w:asciiTheme="majorBidi" w:hAnsiTheme="majorBidi" w:cstheme="majorBidi"/>
          <w:sz w:val="24"/>
          <w:szCs w:val="24"/>
        </w:rPr>
        <w:t>Israel authorities are banning patients from leaving Gaza for medical treatment if they have a relative who moved to the Palestinian Authority area in the West Bank without obtaining an Israeli permission</w:t>
      </w:r>
      <w:r w:rsidR="00E66C00" w:rsidRPr="00E74FB0">
        <w:rPr>
          <w:rStyle w:val="FootnoteReference"/>
          <w:rFonts w:asciiTheme="majorBidi" w:hAnsiTheme="majorBidi" w:cstheme="majorBidi"/>
          <w:sz w:val="24"/>
          <w:szCs w:val="24"/>
        </w:rPr>
        <w:footnoteReference w:id="15"/>
      </w:r>
      <w:r w:rsidR="00D85FF3" w:rsidRPr="00E74FB0">
        <w:rPr>
          <w:rFonts w:asciiTheme="majorBidi" w:hAnsiTheme="majorBidi" w:cstheme="majorBidi"/>
          <w:sz w:val="24"/>
          <w:szCs w:val="24"/>
        </w:rPr>
        <w:t>, effectively using the patient as a hos</w:t>
      </w:r>
      <w:r w:rsidR="0079628A" w:rsidRPr="00E74FB0">
        <w:rPr>
          <w:rFonts w:asciiTheme="majorBidi" w:hAnsiTheme="majorBidi" w:cstheme="majorBidi"/>
          <w:sz w:val="24"/>
          <w:szCs w:val="24"/>
        </w:rPr>
        <w:t>tage until his relative, who he or</w:t>
      </w:r>
      <w:r w:rsidR="00D85FF3" w:rsidRPr="00E74FB0">
        <w:rPr>
          <w:rFonts w:asciiTheme="majorBidi" w:hAnsiTheme="majorBidi" w:cstheme="majorBidi"/>
          <w:sz w:val="24"/>
          <w:szCs w:val="24"/>
        </w:rPr>
        <w:t xml:space="preserve"> she might not have personal connection with, return</w:t>
      </w:r>
      <w:r w:rsidR="0079628A" w:rsidRPr="00E74FB0">
        <w:rPr>
          <w:rFonts w:asciiTheme="majorBidi" w:hAnsiTheme="majorBidi" w:cstheme="majorBidi"/>
          <w:sz w:val="24"/>
          <w:szCs w:val="24"/>
        </w:rPr>
        <w:t>s</w:t>
      </w:r>
      <w:r w:rsidR="00D85FF3" w:rsidRPr="00E74FB0">
        <w:rPr>
          <w:rFonts w:asciiTheme="majorBidi" w:hAnsiTheme="majorBidi" w:cstheme="majorBidi"/>
          <w:sz w:val="24"/>
          <w:szCs w:val="24"/>
        </w:rPr>
        <w:t xml:space="preserve"> to Gaza.</w:t>
      </w:r>
      <w:r w:rsidR="00E66C00" w:rsidRPr="00E74FB0">
        <w:rPr>
          <w:rStyle w:val="FootnoteReference"/>
          <w:rFonts w:asciiTheme="majorBidi" w:hAnsiTheme="majorBidi" w:cstheme="majorBidi"/>
          <w:sz w:val="24"/>
          <w:szCs w:val="24"/>
        </w:rPr>
        <w:footnoteReference w:id="16"/>
      </w:r>
    </w:p>
    <w:p w:rsidR="0079628A" w:rsidRPr="00E74FB0" w:rsidRDefault="00B14540" w:rsidP="00B14540">
      <w:pPr>
        <w:spacing w:line="360" w:lineRule="auto"/>
        <w:ind w:left="-180" w:right="-360" w:firstLine="360"/>
        <w:jc w:val="both"/>
        <w:rPr>
          <w:rFonts w:asciiTheme="majorBidi" w:hAnsiTheme="majorBidi" w:cstheme="majorBidi"/>
          <w:sz w:val="24"/>
          <w:szCs w:val="24"/>
          <w:u w:val="single"/>
        </w:rPr>
      </w:pPr>
      <w:r w:rsidRPr="00E74FB0">
        <w:rPr>
          <w:rFonts w:asciiTheme="majorBidi" w:hAnsiTheme="majorBidi" w:cstheme="majorBidi"/>
          <w:sz w:val="24"/>
          <w:szCs w:val="24"/>
          <w:u w:val="single"/>
        </w:rPr>
        <w:t>Injured Great March of the Return Demonstrators denied access to healthcare:</w:t>
      </w:r>
    </w:p>
    <w:p w:rsidR="00700D7B" w:rsidRPr="00E74FB0" w:rsidRDefault="003C2357"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On 30 March 2018, Palestinians launched a massive wave of peaceful weekly demonstrations known as the “Great March of Return” along the security fe</w:t>
      </w:r>
      <w:r w:rsidR="00700D7B" w:rsidRPr="00E74FB0">
        <w:rPr>
          <w:rFonts w:asciiTheme="majorBidi" w:hAnsiTheme="majorBidi" w:cstheme="majorBidi"/>
          <w:sz w:val="24"/>
          <w:szCs w:val="24"/>
        </w:rPr>
        <w:t xml:space="preserve">nce separating Gaza from Israel calling for the right </w:t>
      </w:r>
      <w:r w:rsidR="00C26856" w:rsidRPr="00E74FB0">
        <w:rPr>
          <w:rFonts w:asciiTheme="majorBidi" w:hAnsiTheme="majorBidi" w:cstheme="majorBidi"/>
          <w:sz w:val="24"/>
          <w:szCs w:val="24"/>
        </w:rPr>
        <w:t>of return for Palestinian refugees</w:t>
      </w:r>
      <w:r w:rsidR="00BF1E21" w:rsidRPr="00E74FB0">
        <w:rPr>
          <w:rFonts w:asciiTheme="majorBidi" w:hAnsiTheme="majorBidi" w:cstheme="majorBidi"/>
          <w:sz w:val="24"/>
          <w:szCs w:val="24"/>
        </w:rPr>
        <w:t xml:space="preserve"> and</w:t>
      </w:r>
      <w:r w:rsidR="00700D7B" w:rsidRPr="00E74FB0">
        <w:rPr>
          <w:rFonts w:asciiTheme="majorBidi" w:hAnsiTheme="majorBidi" w:cstheme="majorBidi"/>
          <w:sz w:val="24"/>
          <w:szCs w:val="24"/>
        </w:rPr>
        <w:t xml:space="preserve"> the lifting of the blockade imposed on Gaza Strip by Israel</w:t>
      </w:r>
      <w:r w:rsidR="00F65E87" w:rsidRPr="00E74FB0">
        <w:rPr>
          <w:rFonts w:asciiTheme="majorBidi" w:hAnsiTheme="majorBidi" w:cstheme="majorBidi"/>
          <w:sz w:val="24"/>
          <w:szCs w:val="24"/>
        </w:rPr>
        <w:t xml:space="preserve"> for</w:t>
      </w:r>
      <w:r w:rsidR="00700D7B" w:rsidRPr="00E74FB0">
        <w:rPr>
          <w:rFonts w:asciiTheme="majorBidi" w:hAnsiTheme="majorBidi" w:cstheme="majorBidi"/>
          <w:sz w:val="24"/>
          <w:szCs w:val="24"/>
        </w:rPr>
        <w:t xml:space="preserve"> over a decade.</w:t>
      </w:r>
      <w:r w:rsidR="00700D7B" w:rsidRPr="00E74FB0">
        <w:rPr>
          <w:rStyle w:val="FootnoteReference"/>
          <w:rFonts w:asciiTheme="majorBidi" w:hAnsiTheme="majorBidi" w:cstheme="majorBidi"/>
          <w:sz w:val="24"/>
          <w:szCs w:val="24"/>
        </w:rPr>
        <w:footnoteReference w:id="17"/>
      </w:r>
      <w:r w:rsidR="00700D7B" w:rsidRPr="00E74FB0">
        <w:rPr>
          <w:rFonts w:asciiTheme="majorBidi" w:hAnsiTheme="majorBidi" w:cstheme="majorBidi"/>
        </w:rPr>
        <w:t xml:space="preserve"> </w:t>
      </w:r>
    </w:p>
    <w:p w:rsidR="0079628A" w:rsidRPr="00E74FB0" w:rsidRDefault="0079628A" w:rsidP="00A46867">
      <w:pPr>
        <w:pStyle w:val="ListParagraph"/>
        <w:spacing w:line="360" w:lineRule="auto"/>
        <w:ind w:left="180" w:right="-360"/>
        <w:jc w:val="both"/>
        <w:rPr>
          <w:rFonts w:asciiTheme="majorBidi" w:hAnsiTheme="majorBidi" w:cstheme="majorBidi"/>
          <w:sz w:val="24"/>
          <w:szCs w:val="24"/>
        </w:rPr>
      </w:pPr>
    </w:p>
    <w:p w:rsidR="0079628A" w:rsidRPr="00E74FB0" w:rsidRDefault="0002646F" w:rsidP="00A46867">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The</w:t>
      </w:r>
      <w:r w:rsidR="00BF1E21" w:rsidRPr="00E74FB0">
        <w:rPr>
          <w:rFonts w:asciiTheme="majorBidi" w:hAnsiTheme="majorBidi" w:cstheme="majorBidi"/>
          <w:sz w:val="24"/>
          <w:szCs w:val="24"/>
        </w:rPr>
        <w:t xml:space="preserve"> Israeli occupation forces (IOF)</w:t>
      </w:r>
      <w:r w:rsidRPr="00E74FB0">
        <w:rPr>
          <w:rFonts w:asciiTheme="majorBidi" w:hAnsiTheme="majorBidi" w:cstheme="majorBidi"/>
          <w:sz w:val="24"/>
          <w:szCs w:val="24"/>
        </w:rPr>
        <w:t xml:space="preserve"> </w:t>
      </w:r>
      <w:r w:rsidR="007F67AF" w:rsidRPr="00E74FB0">
        <w:rPr>
          <w:rFonts w:asciiTheme="majorBidi" w:hAnsiTheme="majorBidi" w:cstheme="majorBidi"/>
          <w:sz w:val="24"/>
          <w:szCs w:val="24"/>
        </w:rPr>
        <w:t>responded to these demonstrations with</w:t>
      </w:r>
      <w:r w:rsidRPr="00E74FB0">
        <w:rPr>
          <w:rFonts w:asciiTheme="majorBidi" w:hAnsiTheme="majorBidi" w:cstheme="majorBidi"/>
          <w:sz w:val="24"/>
          <w:szCs w:val="24"/>
        </w:rPr>
        <w:t xml:space="preserve"> excessive lethal force.</w:t>
      </w:r>
      <w:r w:rsidR="00A4254D" w:rsidRPr="00E74FB0">
        <w:rPr>
          <w:rFonts w:asciiTheme="majorBidi" w:hAnsiTheme="majorBidi" w:cstheme="majorBidi"/>
          <w:sz w:val="24"/>
          <w:szCs w:val="24"/>
        </w:rPr>
        <w:t xml:space="preserve"> Since the outbreak of the protests, </w:t>
      </w:r>
      <w:r w:rsidR="00E1494D" w:rsidRPr="00E74FB0">
        <w:rPr>
          <w:rFonts w:asciiTheme="majorBidi" w:hAnsiTheme="majorBidi" w:cstheme="majorBidi"/>
          <w:sz w:val="24"/>
          <w:szCs w:val="24"/>
        </w:rPr>
        <w:t>according to PCHR’</w:t>
      </w:r>
      <w:r w:rsidR="005550CD" w:rsidRPr="00E74FB0">
        <w:rPr>
          <w:rFonts w:asciiTheme="majorBidi" w:hAnsiTheme="majorBidi" w:cstheme="majorBidi"/>
          <w:sz w:val="24"/>
          <w:szCs w:val="24"/>
        </w:rPr>
        <w:t>s documentation, IOF have killed 208 protesters</w:t>
      </w:r>
      <w:r w:rsidR="00C07E42" w:rsidRPr="00E74FB0">
        <w:rPr>
          <w:rFonts w:asciiTheme="majorBidi" w:hAnsiTheme="majorBidi" w:cstheme="majorBidi"/>
          <w:sz w:val="24"/>
          <w:szCs w:val="24"/>
        </w:rPr>
        <w:t xml:space="preserve"> including 44 children, 2 women, 9 persons with disabilities, </w:t>
      </w:r>
      <w:r w:rsidR="00DD440D" w:rsidRPr="00E74FB0">
        <w:rPr>
          <w:rFonts w:asciiTheme="majorBidi" w:hAnsiTheme="majorBidi" w:cstheme="majorBidi"/>
          <w:sz w:val="24"/>
          <w:szCs w:val="24"/>
        </w:rPr>
        <w:t>4 paramedics, and 2 journalists,</w:t>
      </w:r>
      <w:r w:rsidR="00E1494D" w:rsidRPr="00E74FB0">
        <w:rPr>
          <w:rFonts w:asciiTheme="majorBidi" w:hAnsiTheme="majorBidi" w:cstheme="majorBidi"/>
          <w:sz w:val="24"/>
          <w:szCs w:val="24"/>
        </w:rPr>
        <w:t xml:space="preserve"> and wounded more than 13, 723 others</w:t>
      </w:r>
      <w:r w:rsidR="005550CD" w:rsidRPr="00E74FB0">
        <w:rPr>
          <w:rFonts w:asciiTheme="majorBidi" w:hAnsiTheme="majorBidi" w:cstheme="majorBidi"/>
          <w:sz w:val="24"/>
          <w:szCs w:val="24"/>
        </w:rPr>
        <w:t>.</w:t>
      </w:r>
      <w:r w:rsidR="00E1494D" w:rsidRPr="00E74FB0">
        <w:rPr>
          <w:rStyle w:val="FootnoteReference"/>
          <w:rFonts w:asciiTheme="majorBidi" w:hAnsiTheme="majorBidi" w:cstheme="majorBidi"/>
          <w:sz w:val="24"/>
          <w:szCs w:val="24"/>
        </w:rPr>
        <w:footnoteReference w:id="18"/>
      </w:r>
      <w:r w:rsidR="00F65E87" w:rsidRPr="00E74FB0">
        <w:rPr>
          <w:rFonts w:asciiTheme="majorBidi" w:hAnsiTheme="majorBidi" w:cstheme="majorBidi"/>
          <w:sz w:val="24"/>
          <w:szCs w:val="24"/>
        </w:rPr>
        <w:t xml:space="preserve"> </w:t>
      </w:r>
    </w:p>
    <w:p w:rsidR="0079628A" w:rsidRPr="00E74FB0" w:rsidRDefault="0079628A" w:rsidP="00A46867">
      <w:pPr>
        <w:pStyle w:val="ListParagraph"/>
        <w:spacing w:line="360" w:lineRule="auto"/>
        <w:ind w:left="180" w:right="-360"/>
        <w:jc w:val="both"/>
        <w:rPr>
          <w:rFonts w:asciiTheme="majorBidi" w:hAnsiTheme="majorBidi" w:cstheme="majorBidi"/>
          <w:sz w:val="24"/>
          <w:szCs w:val="24"/>
        </w:rPr>
      </w:pPr>
    </w:p>
    <w:p w:rsidR="00DB7CBA" w:rsidRPr="00E74FB0" w:rsidRDefault="0002646F" w:rsidP="00301FF2">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Medical treatment for many of those injured is not available in the Gaza. The IOF have been shooting demonstrators with high-velocity weapons fired </w:t>
      </w:r>
      <w:r w:rsidR="000C4B94" w:rsidRPr="00E74FB0">
        <w:rPr>
          <w:rFonts w:asciiTheme="majorBidi" w:hAnsiTheme="majorBidi" w:cstheme="majorBidi"/>
          <w:sz w:val="24"/>
          <w:szCs w:val="24"/>
        </w:rPr>
        <w:t>from</w:t>
      </w:r>
      <w:r w:rsidRPr="00E74FB0">
        <w:rPr>
          <w:rFonts w:asciiTheme="majorBidi" w:hAnsiTheme="majorBidi" w:cstheme="majorBidi"/>
          <w:sz w:val="24"/>
          <w:szCs w:val="24"/>
        </w:rPr>
        <w:t xml:space="preserve"> a close range, which </w:t>
      </w:r>
      <w:r w:rsidR="00C26856" w:rsidRPr="00E74FB0">
        <w:rPr>
          <w:rFonts w:asciiTheme="majorBidi" w:hAnsiTheme="majorBidi" w:cstheme="majorBidi"/>
          <w:sz w:val="24"/>
          <w:szCs w:val="24"/>
        </w:rPr>
        <w:t>caused</w:t>
      </w:r>
      <w:r w:rsidRPr="00E74FB0">
        <w:rPr>
          <w:rFonts w:asciiTheme="majorBidi" w:hAnsiTheme="majorBidi" w:cstheme="majorBidi"/>
          <w:sz w:val="24"/>
          <w:szCs w:val="24"/>
        </w:rPr>
        <w:t xml:space="preserve"> extreme bone and</w:t>
      </w:r>
      <w:r w:rsidR="000C4B94" w:rsidRPr="00E74FB0">
        <w:rPr>
          <w:rFonts w:asciiTheme="majorBidi" w:hAnsiTheme="majorBidi" w:cstheme="majorBidi"/>
          <w:sz w:val="24"/>
          <w:szCs w:val="24"/>
        </w:rPr>
        <w:t xml:space="preserve"> </w:t>
      </w:r>
      <w:r w:rsidRPr="00E74FB0">
        <w:rPr>
          <w:rFonts w:asciiTheme="majorBidi" w:hAnsiTheme="majorBidi" w:cstheme="majorBidi"/>
          <w:sz w:val="24"/>
          <w:szCs w:val="24"/>
        </w:rPr>
        <w:t xml:space="preserve">tissue damage as well as large exit wounds which resulted in long term, life changing </w:t>
      </w:r>
      <w:r w:rsidR="009958AD" w:rsidRPr="00E74FB0">
        <w:rPr>
          <w:rFonts w:asciiTheme="majorBidi" w:hAnsiTheme="majorBidi" w:cstheme="majorBidi"/>
          <w:sz w:val="24"/>
          <w:szCs w:val="24"/>
        </w:rPr>
        <w:t>injuries.</w:t>
      </w:r>
      <w:r w:rsidR="009958AD" w:rsidRPr="00E74FB0">
        <w:rPr>
          <w:rFonts w:asciiTheme="majorBidi" w:hAnsiTheme="majorBidi" w:cstheme="majorBidi"/>
          <w:b/>
          <w:bCs/>
          <w:sz w:val="24"/>
          <w:szCs w:val="24"/>
        </w:rPr>
        <w:t xml:space="preserve"> </w:t>
      </w:r>
      <w:r w:rsidR="00B2186A">
        <w:rPr>
          <w:rFonts w:asciiTheme="majorBidi" w:hAnsiTheme="majorBidi" w:cstheme="majorBidi"/>
          <w:sz w:val="24"/>
          <w:szCs w:val="24"/>
        </w:rPr>
        <w:t>Between</w:t>
      </w:r>
      <w:r w:rsidR="00DB7CBA" w:rsidRPr="00E74FB0">
        <w:rPr>
          <w:rFonts w:asciiTheme="majorBidi" w:hAnsiTheme="majorBidi" w:cstheme="majorBidi"/>
          <w:sz w:val="24"/>
          <w:szCs w:val="24"/>
        </w:rPr>
        <w:t xml:space="preserve"> March </w:t>
      </w:r>
      <w:r w:rsidR="009C0D63">
        <w:rPr>
          <w:rFonts w:asciiTheme="majorBidi" w:hAnsiTheme="majorBidi" w:cstheme="majorBidi"/>
          <w:sz w:val="24"/>
          <w:szCs w:val="24"/>
        </w:rPr>
        <w:t>2018</w:t>
      </w:r>
      <w:r w:rsidR="00B2186A">
        <w:rPr>
          <w:rFonts w:asciiTheme="majorBidi" w:hAnsiTheme="majorBidi" w:cstheme="majorBidi"/>
          <w:sz w:val="24"/>
          <w:szCs w:val="24"/>
        </w:rPr>
        <w:t xml:space="preserve"> and March 2019</w:t>
      </w:r>
      <w:r w:rsidR="00DB7CBA" w:rsidRPr="00E74FB0">
        <w:rPr>
          <w:rFonts w:asciiTheme="majorBidi" w:hAnsiTheme="majorBidi" w:cstheme="majorBidi"/>
          <w:sz w:val="24"/>
          <w:szCs w:val="24"/>
        </w:rPr>
        <w:t>, according to PCHR’s documentation, 114 demonstrators have had their lower or upper limbs amputated including 14 children</w:t>
      </w:r>
      <w:r w:rsidR="00301FF2">
        <w:rPr>
          <w:rFonts w:asciiTheme="majorBidi" w:hAnsiTheme="majorBidi" w:cstheme="majorBidi"/>
          <w:sz w:val="24"/>
          <w:szCs w:val="24"/>
        </w:rPr>
        <w:t>.</w:t>
      </w:r>
      <w:bookmarkStart w:id="0" w:name="_GoBack"/>
      <w:bookmarkEnd w:id="0"/>
      <w:r w:rsidR="006335F2" w:rsidRPr="00E74FB0">
        <w:rPr>
          <w:rStyle w:val="FootnoteReference"/>
          <w:rFonts w:asciiTheme="majorBidi" w:hAnsiTheme="majorBidi" w:cstheme="majorBidi"/>
          <w:sz w:val="24"/>
          <w:szCs w:val="24"/>
        </w:rPr>
        <w:footnoteReference w:id="19"/>
      </w:r>
    </w:p>
    <w:p w:rsidR="0079628A" w:rsidRPr="00E74FB0" w:rsidRDefault="0079628A" w:rsidP="002B4CB0">
      <w:pPr>
        <w:pStyle w:val="ListParagraph"/>
        <w:spacing w:line="360" w:lineRule="auto"/>
        <w:ind w:left="-270" w:right="-360"/>
        <w:jc w:val="both"/>
        <w:rPr>
          <w:rFonts w:asciiTheme="majorBidi" w:hAnsiTheme="majorBidi" w:cstheme="majorBidi"/>
          <w:sz w:val="24"/>
          <w:szCs w:val="24"/>
        </w:rPr>
      </w:pPr>
    </w:p>
    <w:p w:rsidR="00B14540" w:rsidRPr="00E74FB0" w:rsidRDefault="000C4B94" w:rsidP="00F15029">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 xml:space="preserve">Israel has denied </w:t>
      </w:r>
      <w:r w:rsidR="005D28D9" w:rsidRPr="00E74FB0">
        <w:rPr>
          <w:rFonts w:asciiTheme="majorBidi" w:hAnsiTheme="majorBidi" w:cstheme="majorBidi"/>
          <w:sz w:val="24"/>
          <w:szCs w:val="24"/>
        </w:rPr>
        <w:t>the majority of</w:t>
      </w:r>
      <w:r w:rsidRPr="00E74FB0">
        <w:rPr>
          <w:rFonts w:asciiTheme="majorBidi" w:hAnsiTheme="majorBidi" w:cstheme="majorBidi"/>
          <w:sz w:val="24"/>
          <w:szCs w:val="24"/>
        </w:rPr>
        <w:t xml:space="preserve"> injured </w:t>
      </w:r>
      <w:r w:rsidR="005D28D9" w:rsidRPr="00E74FB0">
        <w:rPr>
          <w:rFonts w:asciiTheme="majorBidi" w:hAnsiTheme="majorBidi" w:cstheme="majorBidi"/>
          <w:sz w:val="24"/>
          <w:szCs w:val="24"/>
        </w:rPr>
        <w:t>demonstrators exit permits to access specialized treatment and more advanced facilities in the West Bank and in Israel citing the demonstrators’ participation in violent acts as a justification. According to data from Gaza’s Coordination and Liaison Office, between 30 March 2018 and 30 April 2019, the Israeli authorities received 550 applications from patients injured in demonstrations to exit Gaza via Erez crossing to access healthcare.</w:t>
      </w:r>
      <w:r w:rsidR="00F15029">
        <w:rPr>
          <w:rFonts w:asciiTheme="majorBidi" w:hAnsiTheme="majorBidi" w:cstheme="majorBidi"/>
          <w:sz w:val="24"/>
          <w:szCs w:val="24"/>
        </w:rPr>
        <w:t xml:space="preserve"> Of those applications, only 17% </w:t>
      </w:r>
      <w:r w:rsidR="005D28D9" w:rsidRPr="00E74FB0">
        <w:rPr>
          <w:rFonts w:asciiTheme="majorBidi" w:hAnsiTheme="majorBidi" w:cstheme="majorBidi"/>
          <w:sz w:val="24"/>
          <w:szCs w:val="24"/>
        </w:rPr>
        <w:t>were a</w:t>
      </w:r>
      <w:r w:rsidR="00F15029">
        <w:rPr>
          <w:rFonts w:asciiTheme="majorBidi" w:hAnsiTheme="majorBidi" w:cstheme="majorBidi"/>
          <w:sz w:val="24"/>
          <w:szCs w:val="24"/>
        </w:rPr>
        <w:t xml:space="preserve">pproved, 26% </w:t>
      </w:r>
      <w:r w:rsidR="005D28D9" w:rsidRPr="00E74FB0">
        <w:rPr>
          <w:rFonts w:asciiTheme="majorBidi" w:hAnsiTheme="majorBidi" w:cstheme="majorBidi"/>
          <w:sz w:val="24"/>
          <w:szCs w:val="24"/>
        </w:rPr>
        <w:t xml:space="preserve">were denied and 56 </w:t>
      </w:r>
      <w:r w:rsidR="00F15029">
        <w:rPr>
          <w:rFonts w:asciiTheme="majorBidi" w:hAnsiTheme="majorBidi" w:cstheme="majorBidi"/>
          <w:sz w:val="24"/>
          <w:szCs w:val="24"/>
        </w:rPr>
        <w:t>%</w:t>
      </w:r>
      <w:r w:rsidR="005D28D9" w:rsidRPr="00E74FB0">
        <w:rPr>
          <w:rFonts w:asciiTheme="majorBidi" w:hAnsiTheme="majorBidi" w:cstheme="majorBidi"/>
          <w:sz w:val="24"/>
          <w:szCs w:val="24"/>
        </w:rPr>
        <w:t xml:space="preserve"> were delayed.</w:t>
      </w:r>
      <w:r w:rsidR="005D28D9" w:rsidRPr="00E74FB0">
        <w:rPr>
          <w:rStyle w:val="FootnoteReference"/>
          <w:rFonts w:asciiTheme="majorBidi" w:hAnsiTheme="majorBidi" w:cstheme="majorBidi"/>
          <w:sz w:val="24"/>
          <w:szCs w:val="24"/>
        </w:rPr>
        <w:footnoteReference w:id="20"/>
      </w:r>
    </w:p>
    <w:p w:rsidR="00B14540" w:rsidRPr="00E74FB0" w:rsidRDefault="00B14540" w:rsidP="00B14540">
      <w:pPr>
        <w:pStyle w:val="ListParagraph"/>
        <w:spacing w:line="360" w:lineRule="auto"/>
        <w:ind w:left="180" w:right="-360"/>
        <w:jc w:val="both"/>
        <w:rPr>
          <w:rFonts w:asciiTheme="majorBidi" w:hAnsiTheme="majorBidi" w:cstheme="majorBidi"/>
          <w:sz w:val="24"/>
          <w:szCs w:val="24"/>
        </w:rPr>
      </w:pPr>
    </w:p>
    <w:p w:rsidR="0079628A" w:rsidRPr="00E74FB0" w:rsidRDefault="006A0765" w:rsidP="00F15029">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The</w:t>
      </w:r>
      <w:r w:rsidR="00683BC0" w:rsidRPr="00E74FB0">
        <w:rPr>
          <w:rFonts w:asciiTheme="majorBidi" w:hAnsiTheme="majorBidi" w:cstheme="majorBidi"/>
          <w:sz w:val="24"/>
          <w:szCs w:val="24"/>
        </w:rPr>
        <w:t xml:space="preserve"> lack of health care in Gaza meant that many wounded protestors could have had their limbs saved if Israel have granted them exit permits. </w:t>
      </w:r>
      <w:r w:rsidRPr="00E74FB0">
        <w:rPr>
          <w:rFonts w:asciiTheme="majorBidi" w:hAnsiTheme="majorBidi" w:cstheme="majorBidi"/>
          <w:sz w:val="24"/>
          <w:szCs w:val="24"/>
        </w:rPr>
        <w:t>Moreover</w:t>
      </w:r>
      <w:r w:rsidR="001F2D66" w:rsidRPr="00E74FB0">
        <w:rPr>
          <w:rFonts w:asciiTheme="majorBidi" w:hAnsiTheme="majorBidi" w:cstheme="majorBidi"/>
          <w:sz w:val="24"/>
          <w:szCs w:val="24"/>
        </w:rPr>
        <w:t>, clinics in Gaza can provide only the most basic prosthetic legs with limited range of motion.</w:t>
      </w:r>
      <w:r w:rsidR="00D5057C" w:rsidRPr="00E74FB0">
        <w:rPr>
          <w:rFonts w:asciiTheme="majorBidi" w:hAnsiTheme="majorBidi" w:cstheme="majorBidi"/>
          <w:sz w:val="24"/>
          <w:szCs w:val="24"/>
        </w:rPr>
        <w:t xml:space="preserve"> Those injured are in need of limb reconstruction</w:t>
      </w:r>
      <w:r w:rsidR="009710B2" w:rsidRPr="00E74FB0">
        <w:rPr>
          <w:rFonts w:asciiTheme="majorBidi" w:hAnsiTheme="majorBidi" w:cstheme="majorBidi"/>
          <w:sz w:val="24"/>
          <w:szCs w:val="24"/>
        </w:rPr>
        <w:t xml:space="preserve"> </w:t>
      </w:r>
      <w:r w:rsidR="009710B2" w:rsidRPr="00E74FB0">
        <w:rPr>
          <w:rFonts w:asciiTheme="majorBidi" w:hAnsiTheme="majorBidi" w:cstheme="majorBidi"/>
          <w:sz w:val="24"/>
          <w:szCs w:val="24"/>
        </w:rPr>
        <w:lastRenderedPageBreak/>
        <w:t xml:space="preserve">that fits their physical state, which </w:t>
      </w:r>
      <w:r w:rsidR="00F15029">
        <w:rPr>
          <w:rFonts w:asciiTheme="majorBidi" w:hAnsiTheme="majorBidi" w:cstheme="majorBidi"/>
          <w:sz w:val="24"/>
          <w:szCs w:val="24"/>
        </w:rPr>
        <w:t>can require</w:t>
      </w:r>
      <w:r w:rsidR="009710B2" w:rsidRPr="00E74FB0">
        <w:rPr>
          <w:rFonts w:asciiTheme="majorBidi" w:hAnsiTheme="majorBidi" w:cstheme="majorBidi"/>
          <w:sz w:val="24"/>
          <w:szCs w:val="24"/>
        </w:rPr>
        <w:t xml:space="preserve"> up to seven surgeries and years of rehabilitation.</w:t>
      </w:r>
      <w:r w:rsidR="009710B2" w:rsidRPr="00E74FB0">
        <w:rPr>
          <w:rStyle w:val="FootnoteReference"/>
          <w:rFonts w:asciiTheme="majorBidi" w:hAnsiTheme="majorBidi" w:cstheme="majorBidi"/>
          <w:sz w:val="24"/>
          <w:szCs w:val="24"/>
        </w:rPr>
        <w:footnoteReference w:id="21"/>
      </w:r>
      <w:r w:rsidR="009710B2" w:rsidRPr="00E74FB0">
        <w:rPr>
          <w:rFonts w:asciiTheme="majorBidi" w:hAnsiTheme="majorBidi" w:cstheme="majorBidi"/>
          <w:sz w:val="24"/>
          <w:szCs w:val="24"/>
        </w:rPr>
        <w:t xml:space="preserve"> However, many of them are unable to receive the treatment they need due to limited access to health outside Gaza.</w:t>
      </w:r>
    </w:p>
    <w:p w:rsidR="0079628A" w:rsidRPr="00E74FB0" w:rsidRDefault="0079628A" w:rsidP="00502895">
      <w:pPr>
        <w:pStyle w:val="ListParagraph"/>
        <w:spacing w:line="360" w:lineRule="auto"/>
        <w:ind w:left="180" w:right="-360"/>
        <w:jc w:val="both"/>
        <w:rPr>
          <w:rFonts w:asciiTheme="majorBidi" w:hAnsiTheme="majorBidi" w:cstheme="majorBidi"/>
          <w:sz w:val="24"/>
          <w:szCs w:val="24"/>
        </w:rPr>
      </w:pPr>
    </w:p>
    <w:p w:rsidR="00A46867" w:rsidRPr="00E74FB0" w:rsidRDefault="00ED6476" w:rsidP="00B14540">
      <w:pPr>
        <w:pStyle w:val="ListParagraph"/>
        <w:numPr>
          <w:ilvl w:val="0"/>
          <w:numId w:val="12"/>
        </w:numPr>
        <w:spacing w:line="360" w:lineRule="auto"/>
        <w:ind w:left="180" w:right="-360"/>
        <w:jc w:val="both"/>
        <w:rPr>
          <w:rFonts w:asciiTheme="majorBidi" w:hAnsiTheme="majorBidi" w:cstheme="majorBidi"/>
          <w:sz w:val="24"/>
          <w:szCs w:val="24"/>
        </w:rPr>
      </w:pPr>
      <w:r w:rsidRPr="00E74FB0">
        <w:rPr>
          <w:rFonts w:asciiTheme="majorBidi" w:hAnsiTheme="majorBidi" w:cstheme="majorBidi"/>
          <w:sz w:val="24"/>
          <w:szCs w:val="24"/>
        </w:rPr>
        <w:t>The UN Commission of Inquiry into Gaza Protests (COI) in its report has recommended that the Government to ensure that all those injured at demonstrations are permitted promote access to hospitals elsewhere in the Occupied Palestinian Territory, in Israel or abroad. It has also called on the Israeli government to</w:t>
      </w:r>
      <w:r w:rsidR="00036C5C" w:rsidRPr="00E74FB0">
        <w:rPr>
          <w:rFonts w:asciiTheme="majorBidi" w:hAnsiTheme="majorBidi" w:cstheme="majorBidi"/>
          <w:sz w:val="24"/>
          <w:szCs w:val="24"/>
        </w:rPr>
        <w:t xml:space="preserve"> remove the prohibition of entry applied to items with legitimate protective and medial uses, including fire component for the treatment of limb injures as well as ensure timely access of medical and all other </w:t>
      </w:r>
      <w:r w:rsidR="00593062" w:rsidRPr="00E74FB0">
        <w:rPr>
          <w:rFonts w:asciiTheme="majorBidi" w:hAnsiTheme="majorBidi" w:cstheme="majorBidi"/>
          <w:sz w:val="24"/>
          <w:szCs w:val="24"/>
        </w:rPr>
        <w:t>humanitarian</w:t>
      </w:r>
      <w:r w:rsidR="00036C5C" w:rsidRPr="00E74FB0">
        <w:rPr>
          <w:rFonts w:asciiTheme="majorBidi" w:hAnsiTheme="majorBidi" w:cstheme="majorBidi"/>
          <w:sz w:val="24"/>
          <w:szCs w:val="24"/>
        </w:rPr>
        <w:t xml:space="preserve"> workers to Gaza to provide treatment </w:t>
      </w:r>
      <w:r w:rsidR="00593062" w:rsidRPr="00E74FB0">
        <w:rPr>
          <w:rFonts w:asciiTheme="majorBidi" w:hAnsiTheme="majorBidi" w:cstheme="majorBidi"/>
          <w:sz w:val="24"/>
          <w:szCs w:val="24"/>
        </w:rPr>
        <w:t>to</w:t>
      </w:r>
      <w:r w:rsidR="00036C5C" w:rsidRPr="00E74FB0">
        <w:rPr>
          <w:rFonts w:asciiTheme="majorBidi" w:hAnsiTheme="majorBidi" w:cstheme="majorBidi"/>
          <w:sz w:val="24"/>
          <w:szCs w:val="24"/>
        </w:rPr>
        <w:t xml:space="preserve"> </w:t>
      </w:r>
      <w:r w:rsidR="00593062" w:rsidRPr="00E74FB0">
        <w:rPr>
          <w:rFonts w:asciiTheme="majorBidi" w:hAnsiTheme="majorBidi" w:cstheme="majorBidi"/>
          <w:sz w:val="24"/>
          <w:szCs w:val="24"/>
        </w:rPr>
        <w:t>t</w:t>
      </w:r>
      <w:r w:rsidR="00036C5C" w:rsidRPr="00E74FB0">
        <w:rPr>
          <w:rFonts w:asciiTheme="majorBidi" w:hAnsiTheme="majorBidi" w:cstheme="majorBidi"/>
          <w:sz w:val="24"/>
          <w:szCs w:val="24"/>
        </w:rPr>
        <w:t xml:space="preserve">hose injured </w:t>
      </w:r>
      <w:r w:rsidR="00593062" w:rsidRPr="00E74FB0">
        <w:rPr>
          <w:rFonts w:asciiTheme="majorBidi" w:hAnsiTheme="majorBidi" w:cstheme="majorBidi"/>
          <w:sz w:val="24"/>
          <w:szCs w:val="24"/>
        </w:rPr>
        <w:t>i</w:t>
      </w:r>
      <w:r w:rsidR="00036C5C" w:rsidRPr="00E74FB0">
        <w:rPr>
          <w:rFonts w:asciiTheme="majorBidi" w:hAnsiTheme="majorBidi" w:cstheme="majorBidi"/>
          <w:sz w:val="24"/>
          <w:szCs w:val="24"/>
        </w:rPr>
        <w:t>n the context of demonstrations.</w:t>
      </w:r>
      <w:r w:rsidR="00E77C6F" w:rsidRPr="00E74FB0">
        <w:rPr>
          <w:rStyle w:val="FootnoteReference"/>
          <w:rFonts w:asciiTheme="majorBidi" w:hAnsiTheme="majorBidi" w:cstheme="majorBidi"/>
          <w:sz w:val="24"/>
          <w:szCs w:val="24"/>
        </w:rPr>
        <w:footnoteReference w:id="22"/>
      </w:r>
    </w:p>
    <w:p w:rsidR="00861131" w:rsidRPr="00E74FB0" w:rsidRDefault="00861131" w:rsidP="002B4CB0">
      <w:pPr>
        <w:spacing w:line="360" w:lineRule="auto"/>
        <w:ind w:left="-270" w:right="-360"/>
        <w:jc w:val="both"/>
        <w:rPr>
          <w:rFonts w:asciiTheme="majorBidi" w:hAnsiTheme="majorBidi" w:cstheme="majorBidi"/>
          <w:b/>
          <w:bCs/>
          <w:sz w:val="24"/>
          <w:szCs w:val="24"/>
        </w:rPr>
      </w:pPr>
    </w:p>
    <w:p w:rsidR="00036C5C" w:rsidRPr="00E74FB0" w:rsidRDefault="00036C5C" w:rsidP="002B4CB0">
      <w:pPr>
        <w:spacing w:line="360" w:lineRule="auto"/>
        <w:ind w:left="-270" w:right="-360"/>
        <w:jc w:val="both"/>
        <w:rPr>
          <w:rFonts w:asciiTheme="majorBidi" w:hAnsiTheme="majorBidi" w:cstheme="majorBidi"/>
          <w:b/>
          <w:bCs/>
          <w:sz w:val="24"/>
          <w:szCs w:val="24"/>
        </w:rPr>
      </w:pPr>
      <w:r w:rsidRPr="00E74FB0">
        <w:rPr>
          <w:rFonts w:asciiTheme="majorBidi" w:hAnsiTheme="majorBidi" w:cstheme="majorBidi"/>
          <w:b/>
          <w:bCs/>
          <w:sz w:val="24"/>
          <w:szCs w:val="24"/>
        </w:rPr>
        <w:t>Recommendations:</w:t>
      </w:r>
    </w:p>
    <w:p w:rsidR="00036C5C" w:rsidRPr="00E74FB0" w:rsidRDefault="00036C5C" w:rsidP="002B4CB0">
      <w:pPr>
        <w:spacing w:line="360" w:lineRule="auto"/>
        <w:ind w:left="-270" w:right="-360"/>
        <w:jc w:val="both"/>
        <w:rPr>
          <w:rFonts w:asciiTheme="majorBidi" w:hAnsiTheme="majorBidi" w:cstheme="majorBidi"/>
          <w:sz w:val="24"/>
          <w:szCs w:val="24"/>
        </w:rPr>
      </w:pPr>
      <w:r w:rsidRPr="00E74FB0">
        <w:rPr>
          <w:rFonts w:asciiTheme="majorBidi" w:hAnsiTheme="majorBidi" w:cstheme="majorBidi"/>
          <w:sz w:val="24"/>
          <w:szCs w:val="24"/>
        </w:rPr>
        <w:t>PCHR recommends to the Committee that it call upon the government of Israel to:</w:t>
      </w:r>
    </w:p>
    <w:p w:rsidR="00593062" w:rsidRPr="00E74FB0" w:rsidRDefault="00593062" w:rsidP="00D765F3">
      <w:pPr>
        <w:pStyle w:val="ListParagraph"/>
        <w:numPr>
          <w:ilvl w:val="0"/>
          <w:numId w:val="15"/>
        </w:numPr>
        <w:spacing w:line="360" w:lineRule="auto"/>
        <w:ind w:right="-360"/>
        <w:jc w:val="both"/>
        <w:rPr>
          <w:rFonts w:asciiTheme="majorBidi" w:hAnsiTheme="majorBidi" w:cstheme="majorBidi"/>
          <w:sz w:val="24"/>
          <w:szCs w:val="24"/>
        </w:rPr>
      </w:pPr>
      <w:r w:rsidRPr="00E74FB0">
        <w:rPr>
          <w:rFonts w:asciiTheme="majorBidi" w:hAnsiTheme="majorBidi" w:cstheme="majorBidi"/>
          <w:sz w:val="24"/>
          <w:szCs w:val="24"/>
        </w:rPr>
        <w:t>Lift the blockade imposed on the Gaza Strip;</w:t>
      </w:r>
    </w:p>
    <w:p w:rsidR="002C1B8E" w:rsidRPr="00E74FB0" w:rsidRDefault="002C1B8E" w:rsidP="00D765F3">
      <w:pPr>
        <w:pStyle w:val="ListParagraph"/>
        <w:numPr>
          <w:ilvl w:val="0"/>
          <w:numId w:val="15"/>
        </w:numPr>
        <w:spacing w:line="360" w:lineRule="auto"/>
        <w:ind w:right="-360"/>
        <w:jc w:val="both"/>
        <w:rPr>
          <w:rFonts w:asciiTheme="majorBidi" w:hAnsiTheme="majorBidi" w:cstheme="majorBidi"/>
          <w:sz w:val="24"/>
          <w:szCs w:val="24"/>
        </w:rPr>
      </w:pPr>
      <w:r w:rsidRPr="00E74FB0">
        <w:rPr>
          <w:rFonts w:asciiTheme="majorBidi" w:hAnsiTheme="majorBidi" w:cstheme="majorBidi"/>
          <w:sz w:val="24"/>
          <w:szCs w:val="24"/>
        </w:rPr>
        <w:t>Allow all patients</w:t>
      </w:r>
      <w:r w:rsidR="00B60122" w:rsidRPr="00E74FB0">
        <w:rPr>
          <w:rFonts w:asciiTheme="majorBidi" w:hAnsiTheme="majorBidi" w:cstheme="majorBidi"/>
          <w:sz w:val="24"/>
          <w:szCs w:val="24"/>
        </w:rPr>
        <w:t>, including injured demonstrators,</w:t>
      </w:r>
      <w:r w:rsidR="00593062" w:rsidRPr="00E74FB0">
        <w:rPr>
          <w:rFonts w:asciiTheme="majorBidi" w:hAnsiTheme="majorBidi" w:cstheme="majorBidi"/>
          <w:sz w:val="24"/>
          <w:szCs w:val="24"/>
        </w:rPr>
        <w:t xml:space="preserve"> </w:t>
      </w:r>
      <w:r w:rsidRPr="00E74FB0">
        <w:rPr>
          <w:rFonts w:asciiTheme="majorBidi" w:hAnsiTheme="majorBidi" w:cstheme="majorBidi"/>
          <w:sz w:val="24"/>
          <w:szCs w:val="24"/>
        </w:rPr>
        <w:t>requiring medical treatment not available in the Gaza Strip to promptly access hospitals elsewhere in the Occupied Palestinia</w:t>
      </w:r>
      <w:r w:rsidR="00BA7F35" w:rsidRPr="00E74FB0">
        <w:rPr>
          <w:rFonts w:asciiTheme="majorBidi" w:hAnsiTheme="majorBidi" w:cstheme="majorBidi"/>
          <w:sz w:val="24"/>
          <w:szCs w:val="24"/>
        </w:rPr>
        <w:t>n Territory, Israel, and abroad;</w:t>
      </w:r>
    </w:p>
    <w:p w:rsidR="00E77C6F" w:rsidRPr="00E74FB0" w:rsidRDefault="00BA7F35" w:rsidP="00D765F3">
      <w:pPr>
        <w:pStyle w:val="ListParagraph"/>
        <w:numPr>
          <w:ilvl w:val="0"/>
          <w:numId w:val="15"/>
        </w:numPr>
        <w:spacing w:line="360" w:lineRule="auto"/>
        <w:ind w:right="-360"/>
        <w:jc w:val="both"/>
        <w:rPr>
          <w:rFonts w:asciiTheme="majorBidi" w:hAnsiTheme="majorBidi" w:cstheme="majorBidi"/>
          <w:sz w:val="24"/>
          <w:szCs w:val="24"/>
        </w:rPr>
      </w:pPr>
      <w:r w:rsidRPr="00E74FB0">
        <w:rPr>
          <w:rFonts w:asciiTheme="majorBidi" w:hAnsiTheme="majorBidi" w:cstheme="majorBidi"/>
          <w:sz w:val="24"/>
          <w:szCs w:val="24"/>
        </w:rPr>
        <w:t xml:space="preserve">Immediately cease </w:t>
      </w:r>
      <w:r w:rsidR="00B60122" w:rsidRPr="00E74FB0">
        <w:rPr>
          <w:rFonts w:asciiTheme="majorBidi" w:hAnsiTheme="majorBidi" w:cstheme="majorBidi"/>
          <w:sz w:val="24"/>
          <w:szCs w:val="24"/>
        </w:rPr>
        <w:t>its policy</w:t>
      </w:r>
      <w:r w:rsidRPr="00E74FB0">
        <w:rPr>
          <w:rFonts w:asciiTheme="majorBidi" w:hAnsiTheme="majorBidi" w:cstheme="majorBidi"/>
          <w:sz w:val="24"/>
          <w:szCs w:val="24"/>
        </w:rPr>
        <w:t xml:space="preserve"> of distinguishing between “lifesaving” cases and cases that affect the patient’s quality of life</w:t>
      </w:r>
      <w:r w:rsidR="00E77C6F" w:rsidRPr="00E74FB0">
        <w:rPr>
          <w:rFonts w:asciiTheme="majorBidi" w:hAnsiTheme="majorBidi" w:cstheme="majorBidi"/>
          <w:sz w:val="24"/>
          <w:szCs w:val="24"/>
        </w:rPr>
        <w:t>.</w:t>
      </w:r>
    </w:p>
    <w:p w:rsidR="00A60367" w:rsidRPr="00E74FB0" w:rsidRDefault="00BA7F35" w:rsidP="00820F88">
      <w:pPr>
        <w:pStyle w:val="ListParagraph"/>
        <w:numPr>
          <w:ilvl w:val="0"/>
          <w:numId w:val="15"/>
        </w:numPr>
        <w:spacing w:line="360" w:lineRule="auto"/>
        <w:ind w:right="-360"/>
        <w:jc w:val="both"/>
        <w:rPr>
          <w:rFonts w:asciiTheme="majorBidi" w:hAnsiTheme="majorBidi" w:cstheme="majorBidi"/>
          <w:sz w:val="24"/>
          <w:szCs w:val="24"/>
        </w:rPr>
      </w:pPr>
      <w:r w:rsidRPr="00E74FB0">
        <w:rPr>
          <w:rFonts w:asciiTheme="majorBidi" w:hAnsiTheme="majorBidi" w:cstheme="majorBidi"/>
          <w:sz w:val="24"/>
          <w:szCs w:val="24"/>
        </w:rPr>
        <w:t>Allow entry of</w:t>
      </w:r>
      <w:r w:rsidR="005B2133" w:rsidRPr="00E74FB0">
        <w:rPr>
          <w:rFonts w:asciiTheme="majorBidi" w:hAnsiTheme="majorBidi" w:cstheme="majorBidi"/>
          <w:sz w:val="24"/>
          <w:szCs w:val="24"/>
          <w:rtl/>
        </w:rPr>
        <w:t xml:space="preserve"> </w:t>
      </w:r>
      <w:r w:rsidR="005B2133" w:rsidRPr="00E74FB0">
        <w:rPr>
          <w:rFonts w:asciiTheme="majorBidi" w:hAnsiTheme="majorBidi" w:cstheme="majorBidi"/>
          <w:sz w:val="24"/>
          <w:szCs w:val="24"/>
        </w:rPr>
        <w:t>medical</w:t>
      </w:r>
      <w:r w:rsidRPr="00E74FB0">
        <w:rPr>
          <w:rFonts w:asciiTheme="majorBidi" w:hAnsiTheme="majorBidi" w:cstheme="majorBidi"/>
          <w:sz w:val="24"/>
          <w:szCs w:val="24"/>
        </w:rPr>
        <w:t xml:space="preserve"> items and equipment</w:t>
      </w:r>
      <w:r w:rsidR="005B2133" w:rsidRPr="00E74FB0">
        <w:rPr>
          <w:rFonts w:asciiTheme="majorBidi" w:hAnsiTheme="majorBidi" w:cstheme="majorBidi"/>
          <w:sz w:val="24"/>
          <w:szCs w:val="24"/>
        </w:rPr>
        <w:t xml:space="preserve"> as well as spare parts to fix or adequately maintain medical equipment</w:t>
      </w:r>
      <w:r w:rsidRPr="00E74FB0">
        <w:rPr>
          <w:rFonts w:asciiTheme="majorBidi" w:hAnsiTheme="majorBidi" w:cstheme="majorBidi"/>
          <w:sz w:val="24"/>
          <w:szCs w:val="24"/>
        </w:rPr>
        <w:t xml:space="preserve"> into Gaza, and remove the prohibition of entry </w:t>
      </w:r>
      <w:r w:rsidR="005B2133" w:rsidRPr="00E74FB0">
        <w:rPr>
          <w:rFonts w:asciiTheme="majorBidi" w:hAnsiTheme="majorBidi" w:cstheme="majorBidi"/>
          <w:sz w:val="24"/>
          <w:szCs w:val="24"/>
        </w:rPr>
        <w:t>applied</w:t>
      </w:r>
      <w:r w:rsidRPr="00E74FB0">
        <w:rPr>
          <w:rFonts w:asciiTheme="majorBidi" w:hAnsiTheme="majorBidi" w:cstheme="majorBidi"/>
          <w:sz w:val="24"/>
          <w:szCs w:val="24"/>
        </w:rPr>
        <w:t xml:space="preserve"> to items with legitimate protective and medical uses. </w:t>
      </w:r>
    </w:p>
    <w:sectPr w:rsidR="00A60367" w:rsidRPr="00E74FB0" w:rsidSect="00562044">
      <w:headerReference w:type="default" r:id="rId9"/>
      <w:pgSz w:w="12240" w:h="15840"/>
      <w:pgMar w:top="1440" w:right="1440" w:bottom="1440" w:left="1440" w:header="720" w:footer="2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963" w:rsidRDefault="00331963" w:rsidP="00341789">
      <w:pPr>
        <w:spacing w:after="0" w:line="240" w:lineRule="auto"/>
      </w:pPr>
      <w:r>
        <w:separator/>
      </w:r>
    </w:p>
  </w:endnote>
  <w:endnote w:type="continuationSeparator" w:id="0">
    <w:p w:rsidR="00331963" w:rsidRDefault="00331963" w:rsidP="00341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963" w:rsidRDefault="00331963" w:rsidP="00341789">
      <w:pPr>
        <w:spacing w:after="0" w:line="240" w:lineRule="auto"/>
      </w:pPr>
      <w:r>
        <w:separator/>
      </w:r>
    </w:p>
  </w:footnote>
  <w:footnote w:type="continuationSeparator" w:id="0">
    <w:p w:rsidR="00331963" w:rsidRDefault="00331963" w:rsidP="00341789">
      <w:pPr>
        <w:spacing w:after="0" w:line="240" w:lineRule="auto"/>
      </w:pPr>
      <w:r>
        <w:continuationSeparator/>
      </w:r>
    </w:p>
  </w:footnote>
  <w:footnote w:id="1">
    <w:p w:rsidR="00DF3541" w:rsidRPr="00DF3541" w:rsidRDefault="00DF3541" w:rsidP="00DF3541">
      <w:pPr>
        <w:pStyle w:val="FootnoteText"/>
        <w:rPr>
          <w:rFonts w:asciiTheme="majorBidi" w:hAnsiTheme="majorBidi" w:cstheme="majorBidi"/>
        </w:rPr>
      </w:pPr>
      <w:r w:rsidRPr="00DF3541">
        <w:rPr>
          <w:rStyle w:val="FootnoteReference"/>
          <w:rFonts w:asciiTheme="majorBidi" w:hAnsiTheme="majorBidi" w:cstheme="majorBidi"/>
        </w:rPr>
        <w:footnoteRef/>
      </w:r>
      <w:r w:rsidRPr="00DF3541">
        <w:rPr>
          <w:rFonts w:asciiTheme="majorBidi" w:hAnsiTheme="majorBidi" w:cstheme="majorBidi"/>
        </w:rPr>
        <w:t xml:space="preserve"> </w:t>
      </w:r>
      <w:proofErr w:type="spellStart"/>
      <w:r w:rsidRPr="00DF3541">
        <w:rPr>
          <w:rFonts w:asciiTheme="majorBidi" w:hAnsiTheme="majorBidi" w:cstheme="majorBidi"/>
        </w:rPr>
        <w:t>Beit</w:t>
      </w:r>
      <w:proofErr w:type="spellEnd"/>
      <w:r w:rsidRPr="00DF3541">
        <w:rPr>
          <w:rFonts w:asciiTheme="majorBidi" w:hAnsiTheme="majorBidi" w:cstheme="majorBidi"/>
        </w:rPr>
        <w:t xml:space="preserve"> </w:t>
      </w:r>
      <w:proofErr w:type="spellStart"/>
      <w:r w:rsidRPr="00DF3541">
        <w:rPr>
          <w:rFonts w:asciiTheme="majorBidi" w:hAnsiTheme="majorBidi" w:cstheme="majorBidi"/>
        </w:rPr>
        <w:t>Hanoun</w:t>
      </w:r>
      <w:proofErr w:type="spellEnd"/>
      <w:r w:rsidRPr="00DF3541">
        <w:rPr>
          <w:rFonts w:asciiTheme="majorBidi" w:hAnsiTheme="majorBidi" w:cstheme="majorBidi"/>
        </w:rPr>
        <w:t xml:space="preserve"> </w:t>
      </w:r>
      <w:r>
        <w:rPr>
          <w:rFonts w:asciiTheme="majorBidi" w:hAnsiTheme="majorBidi" w:cstheme="majorBidi"/>
        </w:rPr>
        <w:t>(Erez) crossing is the only operating crossing used for the movement of people between the Gaza Strip and Israel and the West Bank. It is under full Israeli control.</w:t>
      </w:r>
    </w:p>
  </w:footnote>
  <w:footnote w:id="2">
    <w:p w:rsidR="007775EB" w:rsidRPr="00820F88" w:rsidRDefault="007775EB">
      <w:pPr>
        <w:pStyle w:val="FootnoteText"/>
        <w:rPr>
          <w:rFonts w:asciiTheme="majorBidi" w:hAnsiTheme="majorBidi" w:cstheme="majorBidi"/>
        </w:rPr>
      </w:pPr>
      <w:r w:rsidRPr="00820F88">
        <w:rPr>
          <w:rStyle w:val="FootnoteReference"/>
          <w:rFonts w:asciiTheme="majorBidi" w:hAnsiTheme="majorBidi" w:cstheme="majorBidi"/>
        </w:rPr>
        <w:footnoteRef/>
      </w:r>
      <w:r w:rsidRPr="00820F88">
        <w:rPr>
          <w:rFonts w:asciiTheme="majorBidi" w:hAnsiTheme="majorBidi" w:cstheme="majorBidi"/>
        </w:rPr>
        <w:t xml:space="preserve"> </w:t>
      </w:r>
      <w:r w:rsidRPr="00820F88">
        <w:rPr>
          <w:rFonts w:asciiTheme="majorBidi" w:eastAsia="Times New Roman" w:hAnsiTheme="majorBidi" w:cstheme="majorBidi"/>
          <w:lang w:val="en-GB" w:eastAsia="zh-CN"/>
        </w:rPr>
        <w:t>United Nations Committee on Economic, Social, and Cultural Rights, ‘</w:t>
      </w:r>
      <w:r w:rsidRPr="00820F88">
        <w:rPr>
          <w:rFonts w:asciiTheme="majorBidi" w:eastAsia="Times New Roman" w:hAnsiTheme="majorBidi" w:cstheme="majorBidi"/>
          <w:bCs/>
          <w:lang w:eastAsia="zh-CN"/>
        </w:rPr>
        <w:t>Israel's Replies to List of Issues to be taken up in Connection with the Consideration of Israel's Third Periodic Report concerning articles 1 to 15 of the International Convent on Economic, Social, and Cultural Rights,’ UN Doc E/C.12. /ISR/3(2011), p.4</w:t>
      </w:r>
    </w:p>
  </w:footnote>
  <w:footnote w:id="3">
    <w:p w:rsidR="002D26A9" w:rsidRPr="00B14540" w:rsidRDefault="002D26A9" w:rsidP="00820F88">
      <w:pPr>
        <w:pStyle w:val="FootnoteText"/>
        <w:ind w:left="90" w:hanging="90"/>
        <w:rPr>
          <w:rFonts w:asciiTheme="majorBidi" w:hAnsiTheme="majorBidi" w:cstheme="majorBidi"/>
        </w:rPr>
      </w:pPr>
      <w:r w:rsidRPr="00B14540">
        <w:rPr>
          <w:rStyle w:val="FootnoteReference"/>
          <w:rFonts w:asciiTheme="majorBidi" w:hAnsiTheme="majorBidi" w:cstheme="majorBidi"/>
        </w:rPr>
        <w:footnoteRef/>
      </w:r>
      <w:r w:rsidRPr="00B14540">
        <w:rPr>
          <w:rFonts w:asciiTheme="majorBidi" w:hAnsiTheme="majorBidi" w:cstheme="majorBidi"/>
        </w:rPr>
        <w:t xml:space="preserve"> Legal Consequences of the Construction of a Wall in the Occupied Palestinian Territory (Advisory Opinion) ICJ</w:t>
      </w:r>
      <w:r w:rsidR="00820F88">
        <w:rPr>
          <w:rFonts w:asciiTheme="majorBidi" w:hAnsiTheme="majorBidi" w:cstheme="majorBidi"/>
        </w:rPr>
        <w:t xml:space="preserve"> </w:t>
      </w:r>
      <w:r w:rsidRPr="00B14540">
        <w:rPr>
          <w:rFonts w:asciiTheme="majorBidi" w:hAnsiTheme="majorBidi" w:cstheme="majorBidi"/>
        </w:rPr>
        <w:t>Rep 2004, paragraphs 102 – 113.</w:t>
      </w:r>
    </w:p>
  </w:footnote>
  <w:footnote w:id="4">
    <w:p w:rsidR="00EC0184" w:rsidRPr="00EC0184" w:rsidRDefault="00EC0184" w:rsidP="00747081">
      <w:pPr>
        <w:pStyle w:val="FootnoteText"/>
        <w:ind w:left="90" w:hanging="90"/>
        <w:rPr>
          <w:rFonts w:asciiTheme="majorBidi" w:hAnsiTheme="majorBidi" w:cstheme="majorBidi"/>
        </w:rPr>
      </w:pPr>
      <w:r w:rsidRPr="00B14540">
        <w:rPr>
          <w:rStyle w:val="FootnoteReference"/>
          <w:rFonts w:asciiTheme="majorBidi" w:hAnsiTheme="majorBidi" w:cstheme="majorBidi"/>
        </w:rPr>
        <w:footnoteRef/>
      </w:r>
      <w:r w:rsidRPr="00B14540">
        <w:rPr>
          <w:rFonts w:asciiTheme="majorBidi" w:hAnsiTheme="majorBidi" w:cstheme="majorBidi"/>
        </w:rPr>
        <w:t xml:space="preserve"> UN Committee on Economic, Social and Cultural Rights (CESCR), UN Committee on Economic, Social and Cultural Rights: Concluding Observations, Israel, 26 June 2003,</w:t>
      </w:r>
      <w:r w:rsidR="00391A9A" w:rsidRPr="00B14540">
        <w:rPr>
          <w:rFonts w:asciiTheme="majorBidi" w:hAnsiTheme="majorBidi" w:cstheme="majorBidi"/>
        </w:rPr>
        <w:t xml:space="preserve"> E/C.12/1/Add.90.</w:t>
      </w:r>
    </w:p>
  </w:footnote>
  <w:footnote w:id="5">
    <w:p w:rsidR="00F77BDE" w:rsidRPr="00593062" w:rsidRDefault="00F77BDE" w:rsidP="00747081">
      <w:pPr>
        <w:pStyle w:val="FootnoteText"/>
        <w:ind w:left="90" w:hanging="90"/>
        <w:rPr>
          <w:rFonts w:asciiTheme="majorBidi" w:hAnsiTheme="majorBidi" w:cstheme="majorBidi"/>
        </w:rPr>
      </w:pPr>
      <w:r w:rsidRPr="00593062">
        <w:rPr>
          <w:rStyle w:val="FootnoteReference"/>
          <w:rFonts w:asciiTheme="majorBidi" w:hAnsiTheme="majorBidi" w:cstheme="majorBidi"/>
        </w:rPr>
        <w:footnoteRef/>
      </w:r>
      <w:r w:rsidRPr="00593062">
        <w:rPr>
          <w:rFonts w:asciiTheme="majorBidi" w:hAnsiTheme="majorBidi" w:cstheme="majorBidi"/>
        </w:rPr>
        <w:t xml:space="preserve">Palestinian Center for Human Rights. ‘Bargaining on Pain” (Arabic), December 2017, available at  </w:t>
      </w:r>
      <w:hyperlink r:id="rId1" w:history="1">
        <w:r w:rsidRPr="00593062">
          <w:rPr>
            <w:rStyle w:val="Hyperlink"/>
            <w:rFonts w:asciiTheme="majorBidi" w:hAnsiTheme="majorBidi" w:cstheme="majorBidi"/>
          </w:rPr>
          <w:t>https://pchrgaza.org/ar/?p=14660</w:t>
        </w:r>
      </w:hyperlink>
    </w:p>
  </w:footnote>
  <w:footnote w:id="6">
    <w:p w:rsidR="00F77BDE" w:rsidRDefault="00F77BDE" w:rsidP="00747081">
      <w:pPr>
        <w:pStyle w:val="FootnoteText"/>
        <w:ind w:left="90" w:hanging="90"/>
      </w:pPr>
      <w:r w:rsidRPr="00593062">
        <w:rPr>
          <w:rStyle w:val="FootnoteReference"/>
          <w:rFonts w:asciiTheme="majorBidi" w:hAnsiTheme="majorBidi" w:cstheme="majorBidi"/>
        </w:rPr>
        <w:footnoteRef/>
      </w:r>
      <w:r w:rsidRPr="00593062">
        <w:rPr>
          <w:rFonts w:asciiTheme="majorBidi" w:hAnsiTheme="majorBidi" w:cstheme="majorBidi"/>
        </w:rPr>
        <w:t xml:space="preserve">Palestinian Center for Human Rights, “Fearing for Patients’ Life, PCHR Warns of Medicine Shortage in Gaza Strip Hospitals”, June 2019, available at:  </w:t>
      </w:r>
      <w:hyperlink r:id="rId2" w:history="1">
        <w:r w:rsidRPr="00593062">
          <w:rPr>
            <w:rStyle w:val="Hyperlink"/>
            <w:rFonts w:asciiTheme="majorBidi" w:hAnsiTheme="majorBidi" w:cstheme="majorBidi"/>
          </w:rPr>
          <w:t>https://pchrgaza.org/en/?p=12540</w:t>
        </w:r>
      </w:hyperlink>
    </w:p>
  </w:footnote>
  <w:footnote w:id="7">
    <w:p w:rsidR="0066665B" w:rsidRDefault="0066665B" w:rsidP="00747081">
      <w:pPr>
        <w:pStyle w:val="FootnoteText"/>
        <w:ind w:left="90" w:hanging="90"/>
      </w:pPr>
      <w:r w:rsidRPr="00DB7CBA">
        <w:rPr>
          <w:rStyle w:val="FootnoteReference"/>
          <w:rFonts w:asciiTheme="majorBidi" w:hAnsiTheme="majorBidi" w:cstheme="majorBidi"/>
        </w:rPr>
        <w:footnoteRef/>
      </w:r>
      <w:r w:rsidR="00DB7CBA" w:rsidRPr="00DB7CBA">
        <w:rPr>
          <w:rFonts w:asciiTheme="majorBidi" w:hAnsiTheme="majorBidi" w:cstheme="majorBidi"/>
        </w:rPr>
        <w:t>Palestinian Center for Human, “ Annual Report 2018”, July 2019, available at:</w:t>
      </w:r>
      <w:r w:rsidRPr="00DB7CBA">
        <w:rPr>
          <w:rFonts w:asciiTheme="majorBidi" w:hAnsiTheme="majorBidi" w:cstheme="majorBidi"/>
        </w:rPr>
        <w:t xml:space="preserve"> </w:t>
      </w:r>
      <w:hyperlink r:id="rId3" w:history="1">
        <w:r w:rsidRPr="00DB7CBA">
          <w:rPr>
            <w:rStyle w:val="Hyperlink"/>
            <w:rFonts w:asciiTheme="majorBidi" w:hAnsiTheme="majorBidi" w:cstheme="majorBidi"/>
          </w:rPr>
          <w:t>https://pchrgaza.org/en/wp-content/uploads/2019/07/annual-report-engish-2018.pdf</w:t>
        </w:r>
      </w:hyperlink>
    </w:p>
  </w:footnote>
  <w:footnote w:id="8">
    <w:p w:rsidR="00F77BDE" w:rsidRDefault="00F77BDE" w:rsidP="00747081">
      <w:pPr>
        <w:pStyle w:val="FootnoteText"/>
        <w:ind w:left="90" w:hanging="90"/>
      </w:pPr>
      <w:r w:rsidRPr="00593062">
        <w:rPr>
          <w:rStyle w:val="FootnoteReference"/>
          <w:rFonts w:asciiTheme="majorBidi" w:hAnsiTheme="majorBidi" w:cstheme="majorBidi"/>
        </w:rPr>
        <w:footnoteRef/>
      </w:r>
      <w:r w:rsidRPr="00593062">
        <w:rPr>
          <w:rFonts w:asciiTheme="majorBidi" w:hAnsiTheme="majorBidi" w:cstheme="majorBidi"/>
        </w:rPr>
        <w:t xml:space="preserve"> World Health Organization, “Right to Health: Crossing Barriers to access health in the Occupied Palestinian Territory 2016) </w:t>
      </w:r>
      <w:hyperlink r:id="rId4" w:history="1">
        <w:r w:rsidRPr="00593062">
          <w:rPr>
            <w:rStyle w:val="Hyperlink"/>
            <w:rFonts w:asciiTheme="majorBidi" w:hAnsiTheme="majorBidi" w:cstheme="majorBidi"/>
          </w:rPr>
          <w:t>https://www.un.org/unispal/document/right-to-health-crossing-barriers-to-access-health-in-the-occupied-palestinian-territory-2016-who-report/</w:t>
        </w:r>
      </w:hyperlink>
    </w:p>
  </w:footnote>
  <w:footnote w:id="9">
    <w:p w:rsidR="00F77BDE" w:rsidRPr="00593062" w:rsidRDefault="00F77BDE" w:rsidP="00747081">
      <w:pPr>
        <w:pStyle w:val="FootnoteText"/>
        <w:ind w:left="90" w:hanging="90"/>
        <w:rPr>
          <w:rFonts w:asciiTheme="majorBidi" w:hAnsiTheme="majorBidi" w:cstheme="majorBidi"/>
        </w:rPr>
      </w:pPr>
      <w:r w:rsidRPr="00593062">
        <w:rPr>
          <w:rStyle w:val="FootnoteReference"/>
          <w:rFonts w:asciiTheme="majorBidi" w:hAnsiTheme="majorBidi" w:cstheme="majorBidi"/>
        </w:rPr>
        <w:footnoteRef/>
      </w:r>
      <w:r w:rsidRPr="00593062">
        <w:rPr>
          <w:rFonts w:asciiTheme="majorBidi" w:hAnsiTheme="majorBidi" w:cstheme="majorBidi"/>
        </w:rPr>
        <w:t xml:space="preserve"> Ibid 1.</w:t>
      </w:r>
    </w:p>
  </w:footnote>
  <w:footnote w:id="10">
    <w:p w:rsidR="00F77BDE" w:rsidRDefault="00F77BDE" w:rsidP="00747081">
      <w:pPr>
        <w:pStyle w:val="FootnoteText"/>
        <w:ind w:left="90" w:hanging="90"/>
      </w:pPr>
      <w:r w:rsidRPr="00593062">
        <w:rPr>
          <w:rStyle w:val="FootnoteReference"/>
          <w:rFonts w:asciiTheme="majorBidi" w:hAnsiTheme="majorBidi" w:cstheme="majorBidi"/>
        </w:rPr>
        <w:footnoteRef/>
      </w:r>
      <w:r w:rsidRPr="00593062">
        <w:rPr>
          <w:rFonts w:asciiTheme="majorBidi" w:hAnsiTheme="majorBidi" w:cstheme="majorBidi"/>
        </w:rPr>
        <w:t xml:space="preserve"> +972 Magazine, “Permission denied: Gaza children struggle to get medical care”, June 2019, available at: </w:t>
      </w:r>
      <w:hyperlink r:id="rId5" w:history="1">
        <w:r w:rsidRPr="00593062">
          <w:rPr>
            <w:rStyle w:val="Hyperlink"/>
            <w:rFonts w:asciiTheme="majorBidi" w:hAnsiTheme="majorBidi" w:cstheme="majorBidi"/>
          </w:rPr>
          <w:t>https://972mag.com/gaza-children-health-israeli-permits/141963/</w:t>
        </w:r>
      </w:hyperlink>
    </w:p>
  </w:footnote>
  <w:footnote w:id="11">
    <w:p w:rsidR="009958AD" w:rsidRPr="009958AD" w:rsidRDefault="009958AD" w:rsidP="00747081">
      <w:pPr>
        <w:pStyle w:val="FootnoteText"/>
        <w:ind w:left="90" w:hanging="90"/>
        <w:rPr>
          <w:rFonts w:asciiTheme="majorBidi" w:hAnsiTheme="majorBidi" w:cstheme="majorBidi"/>
        </w:rPr>
      </w:pPr>
      <w:r w:rsidRPr="009958AD">
        <w:rPr>
          <w:rStyle w:val="FootnoteReference"/>
          <w:rFonts w:asciiTheme="majorBidi" w:hAnsiTheme="majorBidi" w:cstheme="majorBidi"/>
        </w:rPr>
        <w:footnoteRef/>
      </w:r>
      <w:r w:rsidRPr="009958AD">
        <w:rPr>
          <w:rFonts w:asciiTheme="majorBidi" w:hAnsiTheme="majorBidi" w:cstheme="majorBidi"/>
        </w:rPr>
        <w:t xml:space="preserve"> World Health Organization OPT,” “Monthly Report December 2017”, available at: </w:t>
      </w:r>
      <w:hyperlink r:id="rId6" w:history="1">
        <w:r w:rsidRPr="009958AD">
          <w:rPr>
            <w:rStyle w:val="Hyperlink"/>
            <w:rFonts w:asciiTheme="majorBidi" w:hAnsiTheme="majorBidi" w:cstheme="majorBidi"/>
          </w:rPr>
          <w:t>http://www.emro.who.int/images/stories/palestine/documents/WHO_monthly_Gaza_access_report_Dec_2017-final.pdf?ua=1</w:t>
        </w:r>
      </w:hyperlink>
    </w:p>
  </w:footnote>
  <w:footnote w:id="12">
    <w:p w:rsidR="00F77BDE" w:rsidRDefault="00F77BDE" w:rsidP="00747081">
      <w:pPr>
        <w:pStyle w:val="FootnoteText"/>
        <w:ind w:left="180" w:hanging="90"/>
      </w:pPr>
      <w:r w:rsidRPr="009958AD">
        <w:rPr>
          <w:rStyle w:val="FootnoteReference"/>
          <w:rFonts w:asciiTheme="majorBidi" w:hAnsiTheme="majorBidi" w:cstheme="majorBidi"/>
        </w:rPr>
        <w:footnoteRef/>
      </w:r>
      <w:r w:rsidRPr="009958AD">
        <w:rPr>
          <w:rFonts w:asciiTheme="majorBidi" w:hAnsiTheme="majorBidi" w:cstheme="majorBidi"/>
        </w:rPr>
        <w:t xml:space="preserve"> Ibid 1</w:t>
      </w:r>
    </w:p>
  </w:footnote>
  <w:footnote w:id="13">
    <w:p w:rsidR="00F77BDE" w:rsidRPr="00E74FB0" w:rsidRDefault="00F77BDE" w:rsidP="00747081">
      <w:pPr>
        <w:pStyle w:val="FootnoteText"/>
        <w:ind w:left="180" w:hanging="90"/>
        <w:rPr>
          <w:rFonts w:asciiTheme="majorBidi" w:hAnsiTheme="majorBidi" w:cstheme="majorBidi"/>
        </w:rPr>
      </w:pPr>
      <w:r w:rsidRPr="00E74FB0">
        <w:rPr>
          <w:rStyle w:val="FootnoteReference"/>
          <w:rFonts w:asciiTheme="majorBidi" w:hAnsiTheme="majorBidi" w:cstheme="majorBidi"/>
        </w:rPr>
        <w:footnoteRef/>
      </w:r>
      <w:r w:rsidRPr="00E74FB0">
        <w:rPr>
          <w:rFonts w:asciiTheme="majorBidi" w:hAnsiTheme="majorBidi" w:cstheme="majorBidi"/>
        </w:rPr>
        <w:t xml:space="preserve"> The Times of Israel, “Israel to ban all humanitarian visits by Hamas members”, January 2019, available at: </w:t>
      </w:r>
      <w:hyperlink r:id="rId7" w:history="1">
        <w:r w:rsidRPr="00E74FB0">
          <w:rPr>
            <w:rStyle w:val="Hyperlink"/>
            <w:rFonts w:asciiTheme="majorBidi" w:hAnsiTheme="majorBidi" w:cstheme="majorBidi"/>
          </w:rPr>
          <w:t>https://www.timesofisrael.com/government-to-ban-all-humanitarian-visits-to-israel-by-hamas-members/</w:t>
        </w:r>
      </w:hyperlink>
    </w:p>
  </w:footnote>
  <w:footnote w:id="14">
    <w:p w:rsidR="00F77BDE" w:rsidRPr="00E74FB0" w:rsidRDefault="00F77BDE" w:rsidP="00747081">
      <w:pPr>
        <w:pStyle w:val="FootnoteText"/>
        <w:ind w:left="180" w:hanging="90"/>
        <w:rPr>
          <w:rFonts w:asciiTheme="majorBidi" w:hAnsiTheme="majorBidi" w:cstheme="majorBidi"/>
        </w:rPr>
      </w:pPr>
      <w:r w:rsidRPr="00E74FB0">
        <w:rPr>
          <w:rStyle w:val="FootnoteReference"/>
          <w:rFonts w:asciiTheme="majorBidi" w:hAnsiTheme="majorBidi" w:cstheme="majorBidi"/>
        </w:rPr>
        <w:footnoteRef/>
      </w:r>
      <w:proofErr w:type="spellStart"/>
      <w:r w:rsidRPr="00E74FB0">
        <w:rPr>
          <w:rFonts w:asciiTheme="majorBidi" w:hAnsiTheme="majorBidi" w:cstheme="majorBidi"/>
        </w:rPr>
        <w:t>Gisha</w:t>
      </w:r>
      <w:proofErr w:type="spellEnd"/>
      <w:r w:rsidRPr="00E74FB0">
        <w:rPr>
          <w:rFonts w:asciiTheme="majorBidi" w:hAnsiTheme="majorBidi" w:cstheme="majorBidi"/>
        </w:rPr>
        <w:t xml:space="preserve">, “Israel’s High Court  </w:t>
      </w:r>
      <w:hyperlink r:id="rId8" w:history="1">
        <w:r w:rsidRPr="00E74FB0">
          <w:rPr>
            <w:rStyle w:val="Hyperlink"/>
            <w:rFonts w:asciiTheme="majorBidi" w:hAnsiTheme="majorBidi" w:cstheme="majorBidi"/>
          </w:rPr>
          <w:t>https://gisha.org/updates/9489</w:t>
        </w:r>
      </w:hyperlink>
    </w:p>
  </w:footnote>
  <w:footnote w:id="15">
    <w:p w:rsidR="00F77BDE" w:rsidRPr="00E74FB0" w:rsidRDefault="00F77BDE" w:rsidP="00A46867">
      <w:pPr>
        <w:pStyle w:val="FootnoteText"/>
        <w:ind w:left="180" w:hanging="90"/>
        <w:jc w:val="both"/>
        <w:rPr>
          <w:rFonts w:asciiTheme="majorBidi" w:hAnsiTheme="majorBidi" w:cstheme="majorBidi"/>
        </w:rPr>
      </w:pPr>
      <w:r w:rsidRPr="00E74FB0">
        <w:rPr>
          <w:rStyle w:val="FootnoteReference"/>
          <w:rFonts w:asciiTheme="majorBidi" w:hAnsiTheme="majorBidi" w:cstheme="majorBidi"/>
        </w:rPr>
        <w:footnoteRef/>
      </w:r>
      <w:r w:rsidRPr="00E74FB0">
        <w:rPr>
          <w:rFonts w:asciiTheme="majorBidi" w:hAnsiTheme="majorBidi" w:cstheme="majorBidi"/>
        </w:rPr>
        <w:t xml:space="preserve"> Since the second intifada and, in particular, since the Gaza disengagement in 2005, Israel has defined residents of the Gaza Strip who have moved to the territory of the Palestinian Authority in the West Bank as “illegals.”</w:t>
      </w:r>
    </w:p>
  </w:footnote>
  <w:footnote w:id="16">
    <w:p w:rsidR="00F77BDE" w:rsidRPr="00E74FB0" w:rsidRDefault="00F77BDE" w:rsidP="00A46867">
      <w:pPr>
        <w:pStyle w:val="FootnoteText"/>
        <w:ind w:left="180" w:hanging="90"/>
        <w:jc w:val="both"/>
        <w:rPr>
          <w:rFonts w:asciiTheme="majorBidi" w:hAnsiTheme="majorBidi" w:cstheme="majorBidi"/>
          <w:b/>
          <w:bCs/>
        </w:rPr>
      </w:pPr>
      <w:r w:rsidRPr="00E74FB0">
        <w:rPr>
          <w:rStyle w:val="FootnoteReference"/>
          <w:rFonts w:asciiTheme="majorBidi" w:hAnsiTheme="majorBidi" w:cstheme="majorBidi"/>
        </w:rPr>
        <w:footnoteRef/>
      </w:r>
      <w:r w:rsidRPr="00E74FB0">
        <w:rPr>
          <w:rFonts w:asciiTheme="majorBidi" w:hAnsiTheme="majorBidi" w:cstheme="majorBidi"/>
        </w:rPr>
        <w:t xml:space="preserve"> </w:t>
      </w:r>
      <w:proofErr w:type="spellStart"/>
      <w:r w:rsidRPr="00E74FB0">
        <w:rPr>
          <w:rFonts w:asciiTheme="majorBidi" w:hAnsiTheme="majorBidi" w:cstheme="majorBidi"/>
        </w:rPr>
        <w:t>Haaretz</w:t>
      </w:r>
      <w:proofErr w:type="spellEnd"/>
      <w:r w:rsidRPr="00E74FB0">
        <w:rPr>
          <w:rFonts w:asciiTheme="majorBidi" w:hAnsiTheme="majorBidi" w:cstheme="majorBidi"/>
        </w:rPr>
        <w:t xml:space="preserve">, “Israel Bars </w:t>
      </w:r>
      <w:proofErr w:type="spellStart"/>
      <w:r w:rsidRPr="00E74FB0">
        <w:rPr>
          <w:rFonts w:asciiTheme="majorBidi" w:hAnsiTheme="majorBidi" w:cstheme="majorBidi"/>
        </w:rPr>
        <w:t>Gazans</w:t>
      </w:r>
      <w:proofErr w:type="spellEnd"/>
      <w:r w:rsidRPr="00E74FB0">
        <w:rPr>
          <w:rFonts w:asciiTheme="majorBidi" w:hAnsiTheme="majorBidi" w:cstheme="majorBidi"/>
        </w:rPr>
        <w:t xml:space="preserve"> From Getting Medical Care in West Bank if They Have Relatives Staying There Without a Permit”, </w:t>
      </w:r>
      <w:r w:rsidRPr="00E74FB0">
        <w:rPr>
          <w:rFonts w:asciiTheme="majorBidi" w:hAnsiTheme="majorBidi" w:cstheme="majorBidi"/>
          <w:b/>
          <w:bCs/>
        </w:rPr>
        <w:t xml:space="preserve"> </w:t>
      </w:r>
      <w:hyperlink r:id="rId9" w:history="1">
        <w:r w:rsidRPr="00E74FB0">
          <w:rPr>
            <w:rStyle w:val="Hyperlink"/>
            <w:rFonts w:asciiTheme="majorBidi" w:hAnsiTheme="majorBidi" w:cstheme="majorBidi"/>
          </w:rPr>
          <w:t>https://www.haaretz.com/israel-news/.premium-gazan-patients-face-new-limitation-on-travel-for-medical-treatment-1.6573119</w:t>
        </w:r>
      </w:hyperlink>
    </w:p>
  </w:footnote>
  <w:footnote w:id="17">
    <w:p w:rsidR="00F77BDE" w:rsidRPr="00593062" w:rsidRDefault="00F77BDE" w:rsidP="00A46867">
      <w:pPr>
        <w:pStyle w:val="FootnoteText"/>
        <w:ind w:left="180" w:hanging="90"/>
        <w:jc w:val="both"/>
        <w:rPr>
          <w:rFonts w:asciiTheme="majorBidi" w:hAnsiTheme="majorBidi" w:cstheme="majorBidi"/>
        </w:rPr>
      </w:pPr>
      <w:r w:rsidRPr="00E74FB0">
        <w:rPr>
          <w:rStyle w:val="FootnoteReference"/>
          <w:rFonts w:asciiTheme="majorBidi" w:hAnsiTheme="majorBidi" w:cstheme="majorBidi"/>
        </w:rPr>
        <w:footnoteRef/>
      </w:r>
      <w:r w:rsidRPr="00E74FB0">
        <w:rPr>
          <w:rFonts w:asciiTheme="majorBidi" w:hAnsiTheme="majorBidi" w:cstheme="majorBidi"/>
        </w:rPr>
        <w:t xml:space="preserve">Palestinian Center for Human Rights, “Question and Answer: 1st Year Anniversary of the March of Return Demonstrations”, March 28, 2019, available at: </w:t>
      </w:r>
      <w:hyperlink r:id="rId10" w:history="1">
        <w:r w:rsidRPr="00E74FB0">
          <w:rPr>
            <w:rStyle w:val="Hyperlink"/>
            <w:rFonts w:asciiTheme="majorBidi" w:hAnsiTheme="majorBidi" w:cstheme="majorBidi"/>
          </w:rPr>
          <w:t>https://pchrgaza.org/en/?p=12225</w:t>
        </w:r>
      </w:hyperlink>
    </w:p>
  </w:footnote>
  <w:footnote w:id="18">
    <w:p w:rsidR="00F77BDE" w:rsidRPr="00E74FB0" w:rsidRDefault="00F77BDE" w:rsidP="00A46867">
      <w:pPr>
        <w:pStyle w:val="FootnoteText"/>
        <w:ind w:left="180" w:hanging="90"/>
        <w:jc w:val="both"/>
        <w:rPr>
          <w:rFonts w:asciiTheme="majorBidi" w:hAnsiTheme="majorBidi" w:cstheme="majorBidi"/>
        </w:rPr>
      </w:pPr>
      <w:r w:rsidRPr="00E74FB0">
        <w:rPr>
          <w:rStyle w:val="FootnoteReference"/>
          <w:rFonts w:asciiTheme="majorBidi" w:hAnsiTheme="majorBidi" w:cstheme="majorBidi"/>
        </w:rPr>
        <w:footnoteRef/>
      </w:r>
      <w:r w:rsidRPr="00E74FB0">
        <w:rPr>
          <w:rFonts w:asciiTheme="majorBidi" w:hAnsiTheme="majorBidi" w:cstheme="majorBidi"/>
        </w:rPr>
        <w:t xml:space="preserve"> Palestinian Center for Human Rights, “On 72nd Great March of Return: 94 Civilians Injured, including 25 Children, a Woman, 2 Journalists and 2 Paramedics by Israeli forces,” August 2019, available at: </w:t>
      </w:r>
      <w:hyperlink r:id="rId11" w:history="1">
        <w:r w:rsidRPr="00E74FB0">
          <w:rPr>
            <w:rStyle w:val="Hyperlink"/>
            <w:rFonts w:asciiTheme="majorBidi" w:hAnsiTheme="majorBidi" w:cstheme="majorBidi"/>
          </w:rPr>
          <w:t>https://pchrgaza.org/en/?p=12864</w:t>
        </w:r>
      </w:hyperlink>
    </w:p>
  </w:footnote>
  <w:footnote w:id="19">
    <w:p w:rsidR="006335F2" w:rsidRPr="00E74FB0" w:rsidRDefault="006335F2" w:rsidP="00A46867">
      <w:pPr>
        <w:pStyle w:val="FootnoteText"/>
        <w:ind w:left="180" w:hanging="90"/>
        <w:jc w:val="both"/>
        <w:rPr>
          <w:rFonts w:asciiTheme="majorBidi" w:hAnsiTheme="majorBidi" w:cstheme="majorBidi"/>
          <w:b/>
          <w:bCs/>
        </w:rPr>
      </w:pPr>
      <w:r w:rsidRPr="00E74FB0">
        <w:rPr>
          <w:rStyle w:val="FootnoteReference"/>
          <w:rFonts w:asciiTheme="majorBidi" w:hAnsiTheme="majorBidi" w:cstheme="majorBidi"/>
        </w:rPr>
        <w:footnoteRef/>
      </w:r>
      <w:r w:rsidRPr="00E74FB0">
        <w:rPr>
          <w:rFonts w:asciiTheme="majorBidi" w:hAnsiTheme="majorBidi" w:cstheme="majorBidi"/>
        </w:rPr>
        <w:t xml:space="preserve"> Ibid 17</w:t>
      </w:r>
    </w:p>
  </w:footnote>
  <w:footnote w:id="20">
    <w:p w:rsidR="00F77BDE" w:rsidRPr="00593062" w:rsidRDefault="00F77BDE" w:rsidP="00A46867">
      <w:pPr>
        <w:pStyle w:val="FootnoteText"/>
        <w:ind w:left="270" w:hanging="180"/>
        <w:rPr>
          <w:rFonts w:asciiTheme="majorBidi" w:hAnsiTheme="majorBidi" w:cstheme="majorBidi"/>
        </w:rPr>
      </w:pPr>
      <w:r w:rsidRPr="00E74FB0">
        <w:rPr>
          <w:rStyle w:val="FootnoteReference"/>
          <w:rFonts w:asciiTheme="majorBidi" w:hAnsiTheme="majorBidi" w:cstheme="majorBidi"/>
        </w:rPr>
        <w:footnoteRef/>
      </w:r>
      <w:r w:rsidR="00531E0E" w:rsidRPr="00E74FB0">
        <w:rPr>
          <w:rFonts w:asciiTheme="majorBidi" w:hAnsiTheme="majorBidi" w:cstheme="majorBidi"/>
        </w:rPr>
        <w:t xml:space="preserve"> </w:t>
      </w:r>
      <w:r w:rsidR="006335F2" w:rsidRPr="00E74FB0">
        <w:rPr>
          <w:rFonts w:asciiTheme="majorBidi" w:hAnsiTheme="majorBidi" w:cstheme="majorBidi"/>
        </w:rPr>
        <w:t xml:space="preserve">United Nations Office for the Coordination of Humanitarian Affairs, “Gaza health sector still struggling to cope with ‘Great March of Return’ injuries’, June 2019, available at: </w:t>
      </w:r>
      <w:hyperlink r:id="rId12" w:history="1">
        <w:r w:rsidR="006335F2" w:rsidRPr="00E74FB0">
          <w:rPr>
            <w:rStyle w:val="Hyperlink"/>
            <w:rFonts w:asciiTheme="majorBidi" w:hAnsiTheme="majorBidi" w:cstheme="majorBidi"/>
          </w:rPr>
          <w:t>https://www.ochaopt.org/content/gaza-health-sector-still-struggling-cope-great-march-return-injuries</w:t>
        </w:r>
      </w:hyperlink>
    </w:p>
  </w:footnote>
  <w:footnote w:id="21">
    <w:p w:rsidR="00F77BDE" w:rsidRDefault="00F77BDE" w:rsidP="00A46867">
      <w:pPr>
        <w:pStyle w:val="FootnoteText"/>
        <w:ind w:left="270" w:hanging="180"/>
      </w:pPr>
      <w:r w:rsidRPr="00593062">
        <w:rPr>
          <w:rStyle w:val="FootnoteReference"/>
          <w:rFonts w:asciiTheme="majorBidi" w:hAnsiTheme="majorBidi" w:cstheme="majorBidi"/>
        </w:rPr>
        <w:footnoteRef/>
      </w:r>
      <w:r w:rsidRPr="00593062">
        <w:rPr>
          <w:rFonts w:asciiTheme="majorBidi" w:hAnsiTheme="majorBidi" w:cstheme="majorBidi"/>
        </w:rPr>
        <w:t xml:space="preserve"> World Health Organization, “ Gaza: stories of loss and survival”, August 2019, available at: </w:t>
      </w:r>
      <w:hyperlink r:id="rId13" w:history="1">
        <w:r w:rsidRPr="00593062">
          <w:rPr>
            <w:rStyle w:val="Hyperlink"/>
            <w:rFonts w:asciiTheme="majorBidi" w:hAnsiTheme="majorBidi" w:cstheme="majorBidi"/>
          </w:rPr>
          <w:t>http://www.emro.who.int/pse/photo-essays/gaza-stories-of-loss-and-survival.html</w:t>
        </w:r>
      </w:hyperlink>
    </w:p>
  </w:footnote>
  <w:footnote w:id="22">
    <w:p w:rsidR="00F77BDE" w:rsidRPr="00531E0E" w:rsidRDefault="00F77BDE" w:rsidP="00A46867">
      <w:pPr>
        <w:pStyle w:val="FootnoteText"/>
        <w:ind w:left="270" w:hanging="180"/>
        <w:rPr>
          <w:rFonts w:asciiTheme="majorBidi" w:hAnsiTheme="majorBidi" w:cstheme="majorBidi"/>
        </w:rPr>
      </w:pPr>
      <w:r w:rsidRPr="00531E0E">
        <w:rPr>
          <w:rStyle w:val="FootnoteReference"/>
          <w:rFonts w:asciiTheme="majorBidi" w:hAnsiTheme="majorBidi" w:cstheme="majorBidi"/>
        </w:rPr>
        <w:footnoteRef/>
      </w:r>
      <w:r w:rsidRPr="00531E0E">
        <w:rPr>
          <w:rFonts w:asciiTheme="majorBidi" w:hAnsiTheme="majorBidi" w:cstheme="majorBidi"/>
        </w:rPr>
        <w:t xml:space="preserve"> “Report of the UN Commission of Inquiry on the 2018 protests in the OPT”, 28 February 2019, available at </w:t>
      </w:r>
      <w:hyperlink r:id="rId14" w:history="1">
        <w:r w:rsidRPr="00531E0E">
          <w:rPr>
            <w:rStyle w:val="Hyperlink"/>
            <w:rFonts w:asciiTheme="majorBidi" w:hAnsiTheme="majorBidi" w:cstheme="majorBidi"/>
          </w:rPr>
          <w:t>https://www.ohchr.org/Documents/HRBodies/HRCouncil/CoIOPT/A_HRC_40_74.pdf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DFC" w:rsidRDefault="00A87DFC" w:rsidP="00A87DFC">
    <w:pPr>
      <w:jc w:val="center"/>
      <w:rPr>
        <w:b/>
        <w:bCs/>
        <w:szCs w:val="44"/>
        <w:rtl/>
      </w:rPr>
    </w:pPr>
    <w:r>
      <w:rPr>
        <w:noProof/>
      </w:rPr>
      <w:drawing>
        <wp:anchor distT="0" distB="0" distL="114300" distR="114300" simplePos="0" relativeHeight="251659264" behindDoc="0" locked="0" layoutInCell="1" allowOverlap="1" wp14:anchorId="529C2C8A" wp14:editId="4C657A4E">
          <wp:simplePos x="0" y="0"/>
          <wp:positionH relativeFrom="column">
            <wp:posOffset>-457200</wp:posOffset>
          </wp:positionH>
          <wp:positionV relativeFrom="paragraph">
            <wp:posOffset>-373379</wp:posOffset>
          </wp:positionV>
          <wp:extent cx="851205" cy="1082040"/>
          <wp:effectExtent l="0" t="0" r="6350" b="3810"/>
          <wp:wrapNone/>
          <wp:docPr id="6" name="صورة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244" cy="1087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Cs w:val="44"/>
        <w:rtl/>
      </w:rPr>
      <w:t>المـــركـز الفلسطينـي لحقــوق الإنســان</w:t>
    </w:r>
  </w:p>
  <w:p w:rsidR="00A87DFC" w:rsidRDefault="00A87DFC" w:rsidP="00A87DFC">
    <w:pPr>
      <w:jc w:val="center"/>
      <w:rPr>
        <w:rFonts w:asciiTheme="majorBidi" w:hAnsiTheme="majorBidi" w:cstheme="majorBidi"/>
        <w:b/>
        <w:bCs/>
        <w:sz w:val="28"/>
        <w:szCs w:val="44"/>
      </w:rPr>
    </w:pPr>
    <w:r w:rsidRPr="00A87DFC">
      <w:rPr>
        <w:rFonts w:asciiTheme="majorBidi" w:hAnsiTheme="majorBidi" w:cstheme="majorBidi"/>
        <w:b/>
        <w:bCs/>
        <w:sz w:val="28"/>
        <w:szCs w:val="44"/>
      </w:rPr>
      <w:t>PALESTINIAN CENTRE FOR HUMAN RIGHTS</w:t>
    </w:r>
  </w:p>
  <w:p w:rsidR="00DB41F6" w:rsidRPr="00A87DFC" w:rsidRDefault="00DB41F6" w:rsidP="00A87DFC">
    <w:pPr>
      <w:jc w:val="center"/>
      <w:rPr>
        <w:rFonts w:asciiTheme="majorBidi" w:hAnsiTheme="majorBidi" w:cstheme="majorBidi"/>
        <w:rtl/>
      </w:rPr>
    </w:pPr>
    <w:r>
      <w:rPr>
        <w:rFonts w:asciiTheme="majorBidi" w:hAnsiTheme="majorBidi" w:cstheme="majorBidi"/>
        <w:b/>
        <w:bCs/>
        <w:sz w:val="28"/>
        <w:szCs w:val="44"/>
      </w:rPr>
      <w:t>______________________________________________________________</w:t>
    </w:r>
  </w:p>
  <w:p w:rsidR="00A87DFC" w:rsidRDefault="00A87D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77F67"/>
    <w:multiLevelType w:val="hybridMultilevel"/>
    <w:tmpl w:val="D7F67B46"/>
    <w:lvl w:ilvl="0" w:tplc="3CF864D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F58A9"/>
    <w:multiLevelType w:val="hybridMultilevel"/>
    <w:tmpl w:val="0D7CA9F4"/>
    <w:lvl w:ilvl="0" w:tplc="48DA312A">
      <w:start w:val="1"/>
      <w:numFmt w:val="decimal"/>
      <w:lvlText w:val="%1."/>
      <w:lvlJc w:val="left"/>
      <w:pPr>
        <w:ind w:left="1080" w:hanging="360"/>
      </w:pPr>
      <w:rPr>
        <w:rFonts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5B3429"/>
    <w:multiLevelType w:val="hybridMultilevel"/>
    <w:tmpl w:val="6204957C"/>
    <w:lvl w:ilvl="0" w:tplc="3CF864D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5B74F4"/>
    <w:multiLevelType w:val="hybridMultilevel"/>
    <w:tmpl w:val="0F56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5B3654"/>
    <w:multiLevelType w:val="hybridMultilevel"/>
    <w:tmpl w:val="C636B132"/>
    <w:lvl w:ilvl="0" w:tplc="0409000F">
      <w:start w:val="1"/>
      <w:numFmt w:val="decimal"/>
      <w:lvlText w:val="%1."/>
      <w:lvlJc w:val="left"/>
      <w:pPr>
        <w:ind w:left="1080" w:hanging="360"/>
      </w:pPr>
      <w:rPr>
        <w:rFonts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6F95325"/>
    <w:multiLevelType w:val="hybridMultilevel"/>
    <w:tmpl w:val="51ACC5C8"/>
    <w:lvl w:ilvl="0" w:tplc="3C68F4F0">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DA67CB"/>
    <w:multiLevelType w:val="hybridMultilevel"/>
    <w:tmpl w:val="3BFCAF02"/>
    <w:lvl w:ilvl="0" w:tplc="3864C45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7114B6"/>
    <w:multiLevelType w:val="hybridMultilevel"/>
    <w:tmpl w:val="92929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9C5970"/>
    <w:multiLevelType w:val="hybridMultilevel"/>
    <w:tmpl w:val="2EA85204"/>
    <w:lvl w:ilvl="0" w:tplc="1DCC7CD4">
      <w:start w:val="1"/>
      <w:numFmt w:val="bullet"/>
      <w:lvlText w:val="-"/>
      <w:lvlJc w:val="left"/>
      <w:pPr>
        <w:ind w:left="1080" w:hanging="360"/>
      </w:pPr>
      <w:rPr>
        <w:rFonts w:ascii="Times New Roman" w:eastAsiaTheme="minorHAnsi" w:hAnsi="Times New Roman" w:cs="Times New Roman"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3F01B6"/>
    <w:multiLevelType w:val="hybridMultilevel"/>
    <w:tmpl w:val="80FA7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E06E2E"/>
    <w:multiLevelType w:val="hybridMultilevel"/>
    <w:tmpl w:val="3CEEE7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BE95CE0"/>
    <w:multiLevelType w:val="hybridMultilevel"/>
    <w:tmpl w:val="8A36C18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2">
    <w:nsid w:val="4E4D312C"/>
    <w:multiLevelType w:val="hybridMultilevel"/>
    <w:tmpl w:val="C89E0A32"/>
    <w:lvl w:ilvl="0" w:tplc="A34AC59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175C07"/>
    <w:multiLevelType w:val="hybridMultilevel"/>
    <w:tmpl w:val="59C2E614"/>
    <w:lvl w:ilvl="0" w:tplc="4250610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8C72E2"/>
    <w:multiLevelType w:val="hybridMultilevel"/>
    <w:tmpl w:val="4AF65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4"/>
  </w:num>
  <w:num w:numId="4">
    <w:abstractNumId w:val="0"/>
  </w:num>
  <w:num w:numId="5">
    <w:abstractNumId w:val="9"/>
  </w:num>
  <w:num w:numId="6">
    <w:abstractNumId w:val="10"/>
  </w:num>
  <w:num w:numId="7">
    <w:abstractNumId w:val="3"/>
  </w:num>
  <w:num w:numId="8">
    <w:abstractNumId w:val="13"/>
  </w:num>
  <w:num w:numId="9">
    <w:abstractNumId w:val="8"/>
  </w:num>
  <w:num w:numId="10">
    <w:abstractNumId w:val="7"/>
  </w:num>
  <w:num w:numId="11">
    <w:abstractNumId w:val="12"/>
  </w:num>
  <w:num w:numId="12">
    <w:abstractNumId w:val="5"/>
  </w:num>
  <w:num w:numId="13">
    <w:abstractNumId w:val="4"/>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917"/>
    <w:rsid w:val="00012D93"/>
    <w:rsid w:val="00025165"/>
    <w:rsid w:val="0002646F"/>
    <w:rsid w:val="00036C5C"/>
    <w:rsid w:val="00041F43"/>
    <w:rsid w:val="0004561D"/>
    <w:rsid w:val="00045CA8"/>
    <w:rsid w:val="00074B35"/>
    <w:rsid w:val="00077C0A"/>
    <w:rsid w:val="000A1473"/>
    <w:rsid w:val="000C164C"/>
    <w:rsid w:val="000C4B94"/>
    <w:rsid w:val="000C5A91"/>
    <w:rsid w:val="000D2973"/>
    <w:rsid w:val="000D33A0"/>
    <w:rsid w:val="000E358B"/>
    <w:rsid w:val="00121528"/>
    <w:rsid w:val="00141B92"/>
    <w:rsid w:val="00141D67"/>
    <w:rsid w:val="001442C0"/>
    <w:rsid w:val="00151F0C"/>
    <w:rsid w:val="00157D60"/>
    <w:rsid w:val="0018623C"/>
    <w:rsid w:val="00187EB7"/>
    <w:rsid w:val="001A03B5"/>
    <w:rsid w:val="001A40C9"/>
    <w:rsid w:val="001F2D66"/>
    <w:rsid w:val="001F5006"/>
    <w:rsid w:val="001F55CB"/>
    <w:rsid w:val="001F6A9B"/>
    <w:rsid w:val="002069B5"/>
    <w:rsid w:val="00210458"/>
    <w:rsid w:val="002121E6"/>
    <w:rsid w:val="00213110"/>
    <w:rsid w:val="002227F2"/>
    <w:rsid w:val="00222D10"/>
    <w:rsid w:val="00226735"/>
    <w:rsid w:val="002408C0"/>
    <w:rsid w:val="00265428"/>
    <w:rsid w:val="002676BF"/>
    <w:rsid w:val="0027049B"/>
    <w:rsid w:val="002828BD"/>
    <w:rsid w:val="002A49C6"/>
    <w:rsid w:val="002B4CB0"/>
    <w:rsid w:val="002C1B8E"/>
    <w:rsid w:val="002C6677"/>
    <w:rsid w:val="002D26A9"/>
    <w:rsid w:val="002F60F8"/>
    <w:rsid w:val="00301FF2"/>
    <w:rsid w:val="00312916"/>
    <w:rsid w:val="00312B05"/>
    <w:rsid w:val="00316E05"/>
    <w:rsid w:val="00327939"/>
    <w:rsid w:val="00331963"/>
    <w:rsid w:val="00341789"/>
    <w:rsid w:val="003468CD"/>
    <w:rsid w:val="00370298"/>
    <w:rsid w:val="00370A6F"/>
    <w:rsid w:val="003919B9"/>
    <w:rsid w:val="00391A9A"/>
    <w:rsid w:val="003B4EE1"/>
    <w:rsid w:val="003C2357"/>
    <w:rsid w:val="003D1CAB"/>
    <w:rsid w:val="003D4BC8"/>
    <w:rsid w:val="00413BC2"/>
    <w:rsid w:val="004303F7"/>
    <w:rsid w:val="00450930"/>
    <w:rsid w:val="00462AC4"/>
    <w:rsid w:val="00475A46"/>
    <w:rsid w:val="00483720"/>
    <w:rsid w:val="00496203"/>
    <w:rsid w:val="00497D93"/>
    <w:rsid w:val="004C1ACC"/>
    <w:rsid w:val="004C5EDB"/>
    <w:rsid w:val="004D436E"/>
    <w:rsid w:val="004E10BB"/>
    <w:rsid w:val="004F746D"/>
    <w:rsid w:val="00502895"/>
    <w:rsid w:val="00515874"/>
    <w:rsid w:val="00520D80"/>
    <w:rsid w:val="00527266"/>
    <w:rsid w:val="00531E0E"/>
    <w:rsid w:val="00533BE1"/>
    <w:rsid w:val="00540A59"/>
    <w:rsid w:val="00543C01"/>
    <w:rsid w:val="005550CD"/>
    <w:rsid w:val="00560816"/>
    <w:rsid w:val="00562044"/>
    <w:rsid w:val="00572928"/>
    <w:rsid w:val="00576644"/>
    <w:rsid w:val="005904B1"/>
    <w:rsid w:val="00593062"/>
    <w:rsid w:val="005A41EA"/>
    <w:rsid w:val="005B2133"/>
    <w:rsid w:val="005D28D9"/>
    <w:rsid w:val="006335F2"/>
    <w:rsid w:val="00652B01"/>
    <w:rsid w:val="00653877"/>
    <w:rsid w:val="0066526B"/>
    <w:rsid w:val="0066665B"/>
    <w:rsid w:val="00683BC0"/>
    <w:rsid w:val="006A0765"/>
    <w:rsid w:val="007003E0"/>
    <w:rsid w:val="00700D7B"/>
    <w:rsid w:val="00702849"/>
    <w:rsid w:val="00723EAC"/>
    <w:rsid w:val="00747081"/>
    <w:rsid w:val="00766EC5"/>
    <w:rsid w:val="007771AE"/>
    <w:rsid w:val="007775EB"/>
    <w:rsid w:val="0079307A"/>
    <w:rsid w:val="007930E4"/>
    <w:rsid w:val="0079628A"/>
    <w:rsid w:val="0079743D"/>
    <w:rsid w:val="007C012B"/>
    <w:rsid w:val="007C0374"/>
    <w:rsid w:val="007D2D60"/>
    <w:rsid w:val="007D7723"/>
    <w:rsid w:val="007F67AF"/>
    <w:rsid w:val="008125AC"/>
    <w:rsid w:val="00820F88"/>
    <w:rsid w:val="00834409"/>
    <w:rsid w:val="00855AEF"/>
    <w:rsid w:val="00861131"/>
    <w:rsid w:val="00863C5E"/>
    <w:rsid w:val="0088592A"/>
    <w:rsid w:val="00891ACE"/>
    <w:rsid w:val="008E7DB5"/>
    <w:rsid w:val="009025C1"/>
    <w:rsid w:val="00944E23"/>
    <w:rsid w:val="009566FB"/>
    <w:rsid w:val="00957215"/>
    <w:rsid w:val="009710B2"/>
    <w:rsid w:val="00987917"/>
    <w:rsid w:val="00990A57"/>
    <w:rsid w:val="0099574F"/>
    <w:rsid w:val="009958AD"/>
    <w:rsid w:val="009A782B"/>
    <w:rsid w:val="009B001C"/>
    <w:rsid w:val="009C0D63"/>
    <w:rsid w:val="009C3280"/>
    <w:rsid w:val="009E3023"/>
    <w:rsid w:val="009F205F"/>
    <w:rsid w:val="00A05250"/>
    <w:rsid w:val="00A1087F"/>
    <w:rsid w:val="00A130D2"/>
    <w:rsid w:val="00A13A67"/>
    <w:rsid w:val="00A158F6"/>
    <w:rsid w:val="00A20AE7"/>
    <w:rsid w:val="00A210B0"/>
    <w:rsid w:val="00A339BA"/>
    <w:rsid w:val="00A4254D"/>
    <w:rsid w:val="00A46867"/>
    <w:rsid w:val="00A60367"/>
    <w:rsid w:val="00A87DFC"/>
    <w:rsid w:val="00A919EE"/>
    <w:rsid w:val="00A95C8B"/>
    <w:rsid w:val="00AB3204"/>
    <w:rsid w:val="00AB3DE1"/>
    <w:rsid w:val="00AC24C7"/>
    <w:rsid w:val="00AE26B2"/>
    <w:rsid w:val="00AE6EE3"/>
    <w:rsid w:val="00AF7AE1"/>
    <w:rsid w:val="00B031AB"/>
    <w:rsid w:val="00B06347"/>
    <w:rsid w:val="00B14540"/>
    <w:rsid w:val="00B1604D"/>
    <w:rsid w:val="00B20432"/>
    <w:rsid w:val="00B2186A"/>
    <w:rsid w:val="00B309AC"/>
    <w:rsid w:val="00B348B3"/>
    <w:rsid w:val="00B4301F"/>
    <w:rsid w:val="00B44C73"/>
    <w:rsid w:val="00B44F68"/>
    <w:rsid w:val="00B520F8"/>
    <w:rsid w:val="00B60122"/>
    <w:rsid w:val="00B70F53"/>
    <w:rsid w:val="00B71E0E"/>
    <w:rsid w:val="00B75170"/>
    <w:rsid w:val="00B86174"/>
    <w:rsid w:val="00BA7F35"/>
    <w:rsid w:val="00BC218A"/>
    <w:rsid w:val="00BE6BBB"/>
    <w:rsid w:val="00BF1E21"/>
    <w:rsid w:val="00C07E42"/>
    <w:rsid w:val="00C16E7B"/>
    <w:rsid w:val="00C25682"/>
    <w:rsid w:val="00C26856"/>
    <w:rsid w:val="00C2787D"/>
    <w:rsid w:val="00C42F58"/>
    <w:rsid w:val="00C63C10"/>
    <w:rsid w:val="00C72845"/>
    <w:rsid w:val="00C7292F"/>
    <w:rsid w:val="00C74EE2"/>
    <w:rsid w:val="00CA497B"/>
    <w:rsid w:val="00CC3F7F"/>
    <w:rsid w:val="00CE05C1"/>
    <w:rsid w:val="00CE225E"/>
    <w:rsid w:val="00CE2A3F"/>
    <w:rsid w:val="00CE742C"/>
    <w:rsid w:val="00CF0D58"/>
    <w:rsid w:val="00D06A0F"/>
    <w:rsid w:val="00D07370"/>
    <w:rsid w:val="00D07642"/>
    <w:rsid w:val="00D11500"/>
    <w:rsid w:val="00D14676"/>
    <w:rsid w:val="00D33E07"/>
    <w:rsid w:val="00D35EC2"/>
    <w:rsid w:val="00D5057C"/>
    <w:rsid w:val="00D67B01"/>
    <w:rsid w:val="00D765F3"/>
    <w:rsid w:val="00D805F0"/>
    <w:rsid w:val="00D8386C"/>
    <w:rsid w:val="00D85FF3"/>
    <w:rsid w:val="00D952A4"/>
    <w:rsid w:val="00DB3FD7"/>
    <w:rsid w:val="00DB41F6"/>
    <w:rsid w:val="00DB7CBA"/>
    <w:rsid w:val="00DC4535"/>
    <w:rsid w:val="00DC6741"/>
    <w:rsid w:val="00DC6B7B"/>
    <w:rsid w:val="00DC7792"/>
    <w:rsid w:val="00DD440D"/>
    <w:rsid w:val="00DD47F5"/>
    <w:rsid w:val="00DD4815"/>
    <w:rsid w:val="00DE22FB"/>
    <w:rsid w:val="00DF3541"/>
    <w:rsid w:val="00E05BD0"/>
    <w:rsid w:val="00E1494D"/>
    <w:rsid w:val="00E15B16"/>
    <w:rsid w:val="00E23C6D"/>
    <w:rsid w:val="00E23D1A"/>
    <w:rsid w:val="00E569C9"/>
    <w:rsid w:val="00E66C00"/>
    <w:rsid w:val="00E74FB0"/>
    <w:rsid w:val="00E77C6F"/>
    <w:rsid w:val="00E824CC"/>
    <w:rsid w:val="00EB0021"/>
    <w:rsid w:val="00EC0184"/>
    <w:rsid w:val="00ED6476"/>
    <w:rsid w:val="00ED6E27"/>
    <w:rsid w:val="00EE54B7"/>
    <w:rsid w:val="00EF109D"/>
    <w:rsid w:val="00EF1454"/>
    <w:rsid w:val="00EF6ED5"/>
    <w:rsid w:val="00F15029"/>
    <w:rsid w:val="00F30473"/>
    <w:rsid w:val="00F65E87"/>
    <w:rsid w:val="00F706B9"/>
    <w:rsid w:val="00F77BDE"/>
    <w:rsid w:val="00F917A7"/>
    <w:rsid w:val="00F94018"/>
    <w:rsid w:val="00F96920"/>
    <w:rsid w:val="00FD198C"/>
    <w:rsid w:val="00FE7852"/>
    <w:rsid w:val="00FE7B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EB0B41-703F-4B52-B886-EE3CCFE7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7A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C67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917"/>
    <w:pPr>
      <w:ind w:left="720"/>
      <w:contextualSpacing/>
    </w:pPr>
  </w:style>
  <w:style w:type="paragraph" w:styleId="Header">
    <w:name w:val="header"/>
    <w:basedOn w:val="Normal"/>
    <w:link w:val="HeaderChar"/>
    <w:uiPriority w:val="99"/>
    <w:unhideWhenUsed/>
    <w:rsid w:val="00341789"/>
    <w:pPr>
      <w:tabs>
        <w:tab w:val="center" w:pos="4320"/>
        <w:tab w:val="right" w:pos="8640"/>
      </w:tabs>
      <w:spacing w:after="0" w:line="240" w:lineRule="auto"/>
    </w:pPr>
  </w:style>
  <w:style w:type="character" w:customStyle="1" w:styleId="HeaderChar">
    <w:name w:val="Header Char"/>
    <w:basedOn w:val="DefaultParagraphFont"/>
    <w:link w:val="Header"/>
    <w:uiPriority w:val="99"/>
    <w:rsid w:val="00341789"/>
  </w:style>
  <w:style w:type="paragraph" w:styleId="Footer">
    <w:name w:val="footer"/>
    <w:basedOn w:val="Normal"/>
    <w:link w:val="FooterChar"/>
    <w:uiPriority w:val="99"/>
    <w:unhideWhenUsed/>
    <w:rsid w:val="00341789"/>
    <w:pPr>
      <w:tabs>
        <w:tab w:val="center" w:pos="4320"/>
        <w:tab w:val="right" w:pos="8640"/>
      </w:tabs>
      <w:spacing w:after="0" w:line="240" w:lineRule="auto"/>
    </w:pPr>
  </w:style>
  <w:style w:type="character" w:customStyle="1" w:styleId="FooterChar">
    <w:name w:val="Footer Char"/>
    <w:basedOn w:val="DefaultParagraphFont"/>
    <w:link w:val="Footer"/>
    <w:uiPriority w:val="99"/>
    <w:rsid w:val="00341789"/>
  </w:style>
  <w:style w:type="paragraph" w:styleId="FootnoteText">
    <w:name w:val="footnote text"/>
    <w:basedOn w:val="Normal"/>
    <w:link w:val="FootnoteTextChar"/>
    <w:uiPriority w:val="99"/>
    <w:semiHidden/>
    <w:unhideWhenUsed/>
    <w:rsid w:val="00863C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3C5E"/>
    <w:rPr>
      <w:sz w:val="20"/>
      <w:szCs w:val="20"/>
    </w:rPr>
  </w:style>
  <w:style w:type="character" w:styleId="FootnoteReference">
    <w:name w:val="footnote reference"/>
    <w:basedOn w:val="DefaultParagraphFont"/>
    <w:uiPriority w:val="99"/>
    <w:semiHidden/>
    <w:unhideWhenUsed/>
    <w:rsid w:val="00863C5E"/>
    <w:rPr>
      <w:vertAlign w:val="superscript"/>
    </w:rPr>
  </w:style>
  <w:style w:type="character" w:styleId="Hyperlink">
    <w:name w:val="Hyperlink"/>
    <w:basedOn w:val="DefaultParagraphFont"/>
    <w:uiPriority w:val="99"/>
    <w:unhideWhenUsed/>
    <w:rsid w:val="00863C5E"/>
    <w:rPr>
      <w:color w:val="0000FF"/>
      <w:u w:val="single"/>
    </w:rPr>
  </w:style>
  <w:style w:type="character" w:customStyle="1" w:styleId="Heading1Char">
    <w:name w:val="Heading 1 Char"/>
    <w:basedOn w:val="DefaultParagraphFont"/>
    <w:link w:val="Heading1"/>
    <w:uiPriority w:val="9"/>
    <w:rsid w:val="00AF7A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C6741"/>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E77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C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351">
      <w:bodyDiv w:val="1"/>
      <w:marLeft w:val="0"/>
      <w:marRight w:val="0"/>
      <w:marTop w:val="0"/>
      <w:marBottom w:val="0"/>
      <w:divBdr>
        <w:top w:val="none" w:sz="0" w:space="0" w:color="auto"/>
        <w:left w:val="none" w:sz="0" w:space="0" w:color="auto"/>
        <w:bottom w:val="none" w:sz="0" w:space="0" w:color="auto"/>
        <w:right w:val="none" w:sz="0" w:space="0" w:color="auto"/>
      </w:divBdr>
    </w:div>
    <w:div w:id="46876647">
      <w:bodyDiv w:val="1"/>
      <w:marLeft w:val="0"/>
      <w:marRight w:val="0"/>
      <w:marTop w:val="0"/>
      <w:marBottom w:val="0"/>
      <w:divBdr>
        <w:top w:val="none" w:sz="0" w:space="0" w:color="auto"/>
        <w:left w:val="none" w:sz="0" w:space="0" w:color="auto"/>
        <w:bottom w:val="none" w:sz="0" w:space="0" w:color="auto"/>
        <w:right w:val="none" w:sz="0" w:space="0" w:color="auto"/>
      </w:divBdr>
    </w:div>
    <w:div w:id="79570375">
      <w:bodyDiv w:val="1"/>
      <w:marLeft w:val="0"/>
      <w:marRight w:val="0"/>
      <w:marTop w:val="0"/>
      <w:marBottom w:val="0"/>
      <w:divBdr>
        <w:top w:val="none" w:sz="0" w:space="0" w:color="auto"/>
        <w:left w:val="none" w:sz="0" w:space="0" w:color="auto"/>
        <w:bottom w:val="none" w:sz="0" w:space="0" w:color="auto"/>
        <w:right w:val="none" w:sz="0" w:space="0" w:color="auto"/>
      </w:divBdr>
    </w:div>
    <w:div w:id="202669180">
      <w:bodyDiv w:val="1"/>
      <w:marLeft w:val="0"/>
      <w:marRight w:val="0"/>
      <w:marTop w:val="0"/>
      <w:marBottom w:val="0"/>
      <w:divBdr>
        <w:top w:val="none" w:sz="0" w:space="0" w:color="auto"/>
        <w:left w:val="none" w:sz="0" w:space="0" w:color="auto"/>
        <w:bottom w:val="none" w:sz="0" w:space="0" w:color="auto"/>
        <w:right w:val="none" w:sz="0" w:space="0" w:color="auto"/>
      </w:divBdr>
    </w:div>
    <w:div w:id="251470340">
      <w:bodyDiv w:val="1"/>
      <w:marLeft w:val="0"/>
      <w:marRight w:val="0"/>
      <w:marTop w:val="0"/>
      <w:marBottom w:val="0"/>
      <w:divBdr>
        <w:top w:val="none" w:sz="0" w:space="0" w:color="auto"/>
        <w:left w:val="none" w:sz="0" w:space="0" w:color="auto"/>
        <w:bottom w:val="none" w:sz="0" w:space="0" w:color="auto"/>
        <w:right w:val="none" w:sz="0" w:space="0" w:color="auto"/>
      </w:divBdr>
      <w:divsChild>
        <w:div w:id="642850755">
          <w:marLeft w:val="60"/>
          <w:marRight w:val="330"/>
          <w:marTop w:val="0"/>
          <w:marBottom w:val="0"/>
          <w:divBdr>
            <w:top w:val="none" w:sz="0" w:space="0" w:color="auto"/>
            <w:left w:val="none" w:sz="0" w:space="0" w:color="auto"/>
            <w:bottom w:val="none" w:sz="0" w:space="0" w:color="auto"/>
            <w:right w:val="none" w:sz="0" w:space="0" w:color="auto"/>
          </w:divBdr>
        </w:div>
        <w:div w:id="83498589">
          <w:marLeft w:val="0"/>
          <w:marRight w:val="330"/>
          <w:marTop w:val="0"/>
          <w:marBottom w:val="0"/>
          <w:divBdr>
            <w:top w:val="none" w:sz="0" w:space="0" w:color="auto"/>
            <w:left w:val="none" w:sz="0" w:space="0" w:color="auto"/>
            <w:bottom w:val="none" w:sz="0" w:space="0" w:color="auto"/>
            <w:right w:val="none" w:sz="0" w:space="0" w:color="auto"/>
          </w:divBdr>
        </w:div>
      </w:divsChild>
    </w:div>
    <w:div w:id="419717476">
      <w:bodyDiv w:val="1"/>
      <w:marLeft w:val="0"/>
      <w:marRight w:val="0"/>
      <w:marTop w:val="0"/>
      <w:marBottom w:val="0"/>
      <w:divBdr>
        <w:top w:val="none" w:sz="0" w:space="0" w:color="auto"/>
        <w:left w:val="none" w:sz="0" w:space="0" w:color="auto"/>
        <w:bottom w:val="none" w:sz="0" w:space="0" w:color="auto"/>
        <w:right w:val="none" w:sz="0" w:space="0" w:color="auto"/>
      </w:divBdr>
    </w:div>
    <w:div w:id="980767895">
      <w:bodyDiv w:val="1"/>
      <w:marLeft w:val="0"/>
      <w:marRight w:val="0"/>
      <w:marTop w:val="0"/>
      <w:marBottom w:val="0"/>
      <w:divBdr>
        <w:top w:val="none" w:sz="0" w:space="0" w:color="auto"/>
        <w:left w:val="none" w:sz="0" w:space="0" w:color="auto"/>
        <w:bottom w:val="none" w:sz="0" w:space="0" w:color="auto"/>
        <w:right w:val="none" w:sz="0" w:space="0" w:color="auto"/>
      </w:divBdr>
      <w:divsChild>
        <w:div w:id="1829132197">
          <w:marLeft w:val="60"/>
          <w:marRight w:val="330"/>
          <w:marTop w:val="0"/>
          <w:marBottom w:val="0"/>
          <w:divBdr>
            <w:top w:val="none" w:sz="0" w:space="0" w:color="auto"/>
            <w:left w:val="none" w:sz="0" w:space="0" w:color="auto"/>
            <w:bottom w:val="none" w:sz="0" w:space="0" w:color="auto"/>
            <w:right w:val="none" w:sz="0" w:space="0" w:color="auto"/>
          </w:divBdr>
        </w:div>
        <w:div w:id="1814441171">
          <w:marLeft w:val="0"/>
          <w:marRight w:val="330"/>
          <w:marTop w:val="0"/>
          <w:marBottom w:val="0"/>
          <w:divBdr>
            <w:top w:val="none" w:sz="0" w:space="0" w:color="auto"/>
            <w:left w:val="none" w:sz="0" w:space="0" w:color="auto"/>
            <w:bottom w:val="none" w:sz="0" w:space="0" w:color="auto"/>
            <w:right w:val="none" w:sz="0" w:space="0" w:color="auto"/>
          </w:divBdr>
        </w:div>
      </w:divsChild>
    </w:div>
    <w:div w:id="995956812">
      <w:bodyDiv w:val="1"/>
      <w:marLeft w:val="0"/>
      <w:marRight w:val="0"/>
      <w:marTop w:val="0"/>
      <w:marBottom w:val="0"/>
      <w:divBdr>
        <w:top w:val="none" w:sz="0" w:space="0" w:color="auto"/>
        <w:left w:val="none" w:sz="0" w:space="0" w:color="auto"/>
        <w:bottom w:val="none" w:sz="0" w:space="0" w:color="auto"/>
        <w:right w:val="none" w:sz="0" w:space="0" w:color="auto"/>
      </w:divBdr>
    </w:div>
    <w:div w:id="1290747174">
      <w:bodyDiv w:val="1"/>
      <w:marLeft w:val="0"/>
      <w:marRight w:val="0"/>
      <w:marTop w:val="0"/>
      <w:marBottom w:val="0"/>
      <w:divBdr>
        <w:top w:val="none" w:sz="0" w:space="0" w:color="auto"/>
        <w:left w:val="none" w:sz="0" w:space="0" w:color="auto"/>
        <w:bottom w:val="none" w:sz="0" w:space="0" w:color="auto"/>
        <w:right w:val="none" w:sz="0" w:space="0" w:color="auto"/>
      </w:divBdr>
    </w:div>
    <w:div w:id="1425343238">
      <w:bodyDiv w:val="1"/>
      <w:marLeft w:val="0"/>
      <w:marRight w:val="0"/>
      <w:marTop w:val="0"/>
      <w:marBottom w:val="0"/>
      <w:divBdr>
        <w:top w:val="none" w:sz="0" w:space="0" w:color="auto"/>
        <w:left w:val="none" w:sz="0" w:space="0" w:color="auto"/>
        <w:bottom w:val="none" w:sz="0" w:space="0" w:color="auto"/>
        <w:right w:val="none" w:sz="0" w:space="0" w:color="auto"/>
      </w:divBdr>
    </w:div>
    <w:div w:id="1848396991">
      <w:bodyDiv w:val="1"/>
      <w:marLeft w:val="0"/>
      <w:marRight w:val="0"/>
      <w:marTop w:val="0"/>
      <w:marBottom w:val="0"/>
      <w:divBdr>
        <w:top w:val="none" w:sz="0" w:space="0" w:color="auto"/>
        <w:left w:val="none" w:sz="0" w:space="0" w:color="auto"/>
        <w:bottom w:val="none" w:sz="0" w:space="0" w:color="auto"/>
        <w:right w:val="none" w:sz="0" w:space="0" w:color="auto"/>
      </w:divBdr>
      <w:divsChild>
        <w:div w:id="2055695007">
          <w:marLeft w:val="0"/>
          <w:marRight w:val="0"/>
          <w:marTop w:val="0"/>
          <w:marBottom w:val="0"/>
          <w:divBdr>
            <w:top w:val="none" w:sz="0" w:space="0" w:color="auto"/>
            <w:left w:val="none" w:sz="0" w:space="0" w:color="auto"/>
            <w:bottom w:val="none" w:sz="0" w:space="0" w:color="auto"/>
            <w:right w:val="none" w:sz="0" w:space="0" w:color="auto"/>
          </w:divBdr>
        </w:div>
      </w:divsChild>
    </w:div>
    <w:div w:id="1879077299">
      <w:bodyDiv w:val="1"/>
      <w:marLeft w:val="0"/>
      <w:marRight w:val="0"/>
      <w:marTop w:val="0"/>
      <w:marBottom w:val="0"/>
      <w:divBdr>
        <w:top w:val="none" w:sz="0" w:space="0" w:color="auto"/>
        <w:left w:val="none" w:sz="0" w:space="0" w:color="auto"/>
        <w:bottom w:val="none" w:sz="0" w:space="0" w:color="auto"/>
        <w:right w:val="none" w:sz="0" w:space="0" w:color="auto"/>
      </w:divBdr>
    </w:div>
    <w:div w:id="1882472219">
      <w:bodyDiv w:val="1"/>
      <w:marLeft w:val="0"/>
      <w:marRight w:val="0"/>
      <w:marTop w:val="0"/>
      <w:marBottom w:val="0"/>
      <w:divBdr>
        <w:top w:val="none" w:sz="0" w:space="0" w:color="auto"/>
        <w:left w:val="none" w:sz="0" w:space="0" w:color="auto"/>
        <w:bottom w:val="none" w:sz="0" w:space="0" w:color="auto"/>
        <w:right w:val="none" w:sz="0" w:space="0" w:color="auto"/>
      </w:divBdr>
    </w:div>
    <w:div w:id="1883326811">
      <w:bodyDiv w:val="1"/>
      <w:marLeft w:val="0"/>
      <w:marRight w:val="0"/>
      <w:marTop w:val="0"/>
      <w:marBottom w:val="0"/>
      <w:divBdr>
        <w:top w:val="none" w:sz="0" w:space="0" w:color="auto"/>
        <w:left w:val="none" w:sz="0" w:space="0" w:color="auto"/>
        <w:bottom w:val="none" w:sz="0" w:space="0" w:color="auto"/>
        <w:right w:val="none" w:sz="0" w:space="0" w:color="auto"/>
      </w:divBdr>
      <w:divsChild>
        <w:div w:id="1094668392">
          <w:marLeft w:val="60"/>
          <w:marRight w:val="330"/>
          <w:marTop w:val="0"/>
          <w:marBottom w:val="0"/>
          <w:divBdr>
            <w:top w:val="none" w:sz="0" w:space="0" w:color="auto"/>
            <w:left w:val="none" w:sz="0" w:space="0" w:color="auto"/>
            <w:bottom w:val="none" w:sz="0" w:space="0" w:color="auto"/>
            <w:right w:val="none" w:sz="0" w:space="0" w:color="auto"/>
          </w:divBdr>
        </w:div>
        <w:div w:id="1322856551">
          <w:marLeft w:val="0"/>
          <w:marRight w:val="330"/>
          <w:marTop w:val="0"/>
          <w:marBottom w:val="0"/>
          <w:divBdr>
            <w:top w:val="none" w:sz="0" w:space="0" w:color="auto"/>
            <w:left w:val="none" w:sz="0" w:space="0" w:color="auto"/>
            <w:bottom w:val="none" w:sz="0" w:space="0" w:color="auto"/>
            <w:right w:val="none" w:sz="0" w:space="0" w:color="auto"/>
          </w:divBdr>
        </w:div>
      </w:divsChild>
    </w:div>
    <w:div w:id="189315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D8%A7%D9%84%D8%AA%D8%B1%D8%AC%D9%85%D8%A9/%D8%A7%D9%84%D8%A5%D9%86%D8%AC%D9%84%D9%8A%D8%B2%D9%8A%D8%A9-%D8%A7%D9%84%D8%B9%D8%B1%D8%A8%D9%8A%D8%A9/ophthalmology"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gisha.org/updates/9489" TargetMode="External"/><Relationship Id="rId13" Type="http://schemas.openxmlformats.org/officeDocument/2006/relationships/hyperlink" Target="http://www.emro.who.int/pse/photo-essays/gaza-stories-of-loss-and-survival.html" TargetMode="External"/><Relationship Id="rId3" Type="http://schemas.openxmlformats.org/officeDocument/2006/relationships/hyperlink" Target="https://pchrgaza.org/en/wp-content/uploads/2019/07/annual-report-engish-2018.pdf" TargetMode="External"/><Relationship Id="rId7" Type="http://schemas.openxmlformats.org/officeDocument/2006/relationships/hyperlink" Target="https://www.timesofisrael.com/government-to-ban-all-humanitarian-visits-to-israel-by-hamas-members/" TargetMode="External"/><Relationship Id="rId12" Type="http://schemas.openxmlformats.org/officeDocument/2006/relationships/hyperlink" Target="https://www.ochaopt.org/content/gaza-health-sector-still-struggling-cope-great-march-return-injuries" TargetMode="External"/><Relationship Id="rId2" Type="http://schemas.openxmlformats.org/officeDocument/2006/relationships/hyperlink" Target="https://pchrgaza.org/en/?p=12540" TargetMode="External"/><Relationship Id="rId1" Type="http://schemas.openxmlformats.org/officeDocument/2006/relationships/hyperlink" Target="https://pchrgaza.org/ar/?p=14660" TargetMode="External"/><Relationship Id="rId6" Type="http://schemas.openxmlformats.org/officeDocument/2006/relationships/hyperlink" Target="http://www.emro.who.int/images/stories/palestine/documents/WHO_monthly_Gaza_access_report_Dec_2017-final.pdf?ua=1" TargetMode="External"/><Relationship Id="rId11" Type="http://schemas.openxmlformats.org/officeDocument/2006/relationships/hyperlink" Target="https://pchrgaza.org/en/?p=12864" TargetMode="External"/><Relationship Id="rId5" Type="http://schemas.openxmlformats.org/officeDocument/2006/relationships/hyperlink" Target="https://972mag.com/gaza-children-health-israeli-permits/141963/" TargetMode="External"/><Relationship Id="rId10" Type="http://schemas.openxmlformats.org/officeDocument/2006/relationships/hyperlink" Target="https://pchrgaza.org/en/?p=12225" TargetMode="External"/><Relationship Id="rId4" Type="http://schemas.openxmlformats.org/officeDocument/2006/relationships/hyperlink" Target="https://www.un.org/unispal/document/right-to-health-crossing-barriers-to-access-health-in-the-occupied-palestinian-territory-2016-who-report/" TargetMode="External"/><Relationship Id="rId9" Type="http://schemas.openxmlformats.org/officeDocument/2006/relationships/hyperlink" Target="https://www.haaretz.com/israel-news/.premium-gazan-patients-face-new-limitation-on-travel-for-medical-treatment-1.6573119" TargetMode="External"/><Relationship Id="rId14" Type="http://schemas.openxmlformats.org/officeDocument/2006/relationships/hyperlink" Target="https://www.ohchr.org/Documents/HRBodies/HRCouncil/CoIOPT/A_HRC_40_7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4A8DE0-0018-4F7F-8AFB-1DED8AA56270}">
  <ds:schemaRefs>
    <ds:schemaRef ds:uri="http://schemas.openxmlformats.org/officeDocument/2006/bibliography"/>
  </ds:schemaRefs>
</ds:datastoreItem>
</file>

<file path=customXml/itemProps2.xml><?xml version="1.0" encoding="utf-8"?>
<ds:datastoreItem xmlns:ds="http://schemas.openxmlformats.org/officeDocument/2006/customXml" ds:itemID="{77D7F150-EEDC-45D3-9167-7F1D9EA22C4E}"/>
</file>

<file path=customXml/itemProps3.xml><?xml version="1.0" encoding="utf-8"?>
<ds:datastoreItem xmlns:ds="http://schemas.openxmlformats.org/officeDocument/2006/customXml" ds:itemID="{D02C245F-9E4F-423D-89B6-9E638442B175}"/>
</file>

<file path=customXml/itemProps4.xml><?xml version="1.0" encoding="utf-8"?>
<ds:datastoreItem xmlns:ds="http://schemas.openxmlformats.org/officeDocument/2006/customXml" ds:itemID="{B2EDD48E-B589-4874-98A8-484018D28FB2}"/>
</file>

<file path=docProps/app.xml><?xml version="1.0" encoding="utf-8"?>
<Properties xmlns="http://schemas.openxmlformats.org/officeDocument/2006/extended-properties" xmlns:vt="http://schemas.openxmlformats.org/officeDocument/2006/docPropsVTypes">
  <Template>Normal</Template>
  <TotalTime>22</TotalTime>
  <Pages>8</Pages>
  <Words>2168</Words>
  <Characters>12360</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basil</dc:creator>
  <cp:keywords/>
  <dc:description/>
  <cp:lastModifiedBy>basil</cp:lastModifiedBy>
  <cp:revision>6</cp:revision>
  <cp:lastPrinted>2019-09-13T02:34:00Z</cp:lastPrinted>
  <dcterms:created xsi:type="dcterms:W3CDTF">2019-09-08T07:33:00Z</dcterms:created>
  <dcterms:modified xsi:type="dcterms:W3CDTF">2019-09-13T02:51:00Z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