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F59CBD" w14:textId="1C501149" w:rsidR="0070683B" w:rsidRPr="00A14B6C" w:rsidRDefault="0070683B" w:rsidP="0070683B">
      <w:pPr>
        <w:spacing w:after="0" w:line="276" w:lineRule="auto"/>
        <w:rPr>
          <w:b/>
          <w:sz w:val="24"/>
          <w:szCs w:val="24"/>
        </w:rPr>
      </w:pPr>
      <w:bookmarkStart w:id="0" w:name="_GoBack"/>
      <w:bookmarkEnd w:id="0"/>
      <w:r w:rsidRPr="00A14B6C">
        <w:rPr>
          <w:b/>
          <w:sz w:val="24"/>
          <w:szCs w:val="24"/>
        </w:rPr>
        <w:t xml:space="preserve">Additional Submission to the UN Committee on the Rights of the Child by </w:t>
      </w:r>
    </w:p>
    <w:p w14:paraId="7B8AE383" w14:textId="7AD01F08" w:rsidR="0070683B" w:rsidRDefault="0070683B" w:rsidP="0070683B">
      <w:pPr>
        <w:spacing w:after="0" w:line="276" w:lineRule="auto"/>
        <w:rPr>
          <w:b/>
          <w:sz w:val="24"/>
          <w:szCs w:val="24"/>
        </w:rPr>
      </w:pPr>
      <w:r w:rsidRPr="00A14B6C">
        <w:rPr>
          <w:b/>
          <w:sz w:val="24"/>
          <w:szCs w:val="24"/>
        </w:rPr>
        <w:t>the Dutch NGO Coalition on Children’s Rights –1</w:t>
      </w:r>
      <w:r w:rsidR="000E6DD7">
        <w:rPr>
          <w:b/>
          <w:sz w:val="24"/>
          <w:szCs w:val="24"/>
        </w:rPr>
        <w:t>4</w:t>
      </w:r>
      <w:r w:rsidRPr="00A14B6C">
        <w:rPr>
          <w:b/>
          <w:sz w:val="24"/>
          <w:szCs w:val="24"/>
        </w:rPr>
        <w:t xml:space="preserve"> December 2021</w:t>
      </w:r>
      <w:r w:rsidR="007D50AF" w:rsidRPr="00A14B6C">
        <w:rPr>
          <w:b/>
          <w:sz w:val="24"/>
          <w:szCs w:val="24"/>
        </w:rPr>
        <w:t>, for the 89</w:t>
      </w:r>
      <w:r w:rsidR="007D50AF" w:rsidRPr="00A14B6C">
        <w:rPr>
          <w:b/>
          <w:sz w:val="24"/>
          <w:szCs w:val="24"/>
          <w:vertAlign w:val="superscript"/>
        </w:rPr>
        <w:t>th</w:t>
      </w:r>
      <w:r w:rsidR="007D50AF" w:rsidRPr="00A14B6C">
        <w:rPr>
          <w:b/>
          <w:sz w:val="24"/>
          <w:szCs w:val="24"/>
        </w:rPr>
        <w:t xml:space="preserve"> session</w:t>
      </w:r>
    </w:p>
    <w:p w14:paraId="37C4E60A" w14:textId="77777777" w:rsidR="006412E4" w:rsidRDefault="006412E4" w:rsidP="006412E4">
      <w:pPr>
        <w:spacing w:line="240" w:lineRule="auto"/>
        <w:contextualSpacing/>
      </w:pPr>
    </w:p>
    <w:p w14:paraId="24A285F7" w14:textId="627B85B2" w:rsidR="006412E4" w:rsidRPr="006412E4" w:rsidRDefault="006412E4" w:rsidP="00C9545F">
      <w:pPr>
        <w:spacing w:line="276" w:lineRule="auto"/>
        <w:contextualSpacing/>
      </w:pPr>
      <w:r w:rsidRPr="006412E4">
        <w:t xml:space="preserve">These are the latest developments and other relevant information we wish to share, before the session with the Dutch state on February 1 and 2, 2022. </w:t>
      </w:r>
    </w:p>
    <w:sdt>
      <w:sdtPr>
        <w:rPr>
          <w:rFonts w:ascii="Franklin Gothic Book" w:eastAsia="Libre Franklin" w:hAnsi="Franklin Gothic Book" w:cs="Libre Franklin"/>
          <w:color w:val="auto"/>
          <w:sz w:val="21"/>
          <w:szCs w:val="21"/>
          <w:lang w:val="en-GB"/>
        </w:rPr>
        <w:id w:val="668058390"/>
        <w:docPartObj>
          <w:docPartGallery w:val="Table of Contents"/>
          <w:docPartUnique/>
        </w:docPartObj>
      </w:sdtPr>
      <w:sdtEndPr>
        <w:rPr>
          <w:b/>
          <w:bCs/>
        </w:rPr>
      </w:sdtEndPr>
      <w:sdtContent>
        <w:p w14:paraId="50F834F3" w14:textId="2BDF19B9" w:rsidR="00384A48" w:rsidRPr="00AA6FC3" w:rsidRDefault="00384A48">
          <w:pPr>
            <w:pStyle w:val="TOCHeading"/>
            <w:rPr>
              <w:rStyle w:val="Heading2Char"/>
              <w:color w:val="ED7D31" w:themeColor="accent2"/>
            </w:rPr>
          </w:pPr>
          <w:r w:rsidRPr="00AA6FC3">
            <w:rPr>
              <w:rStyle w:val="Heading2Char"/>
              <w:color w:val="ED7D31" w:themeColor="accent2"/>
            </w:rPr>
            <w:t>Content</w:t>
          </w:r>
        </w:p>
        <w:p w14:paraId="07144F2F" w14:textId="2EC8CB68" w:rsidR="006412E4" w:rsidRPr="006412E4" w:rsidRDefault="00384A48" w:rsidP="00E447B3">
          <w:pPr>
            <w:pStyle w:val="TOC2"/>
            <w:rPr>
              <w:rFonts w:asciiTheme="minorHAnsi" w:eastAsiaTheme="minorEastAsia" w:hAnsiTheme="minorHAnsi" w:cstheme="minorBidi"/>
              <w:noProof/>
              <w:sz w:val="22"/>
              <w:szCs w:val="22"/>
              <w:lang w:val="nl-NL"/>
            </w:rPr>
          </w:pPr>
          <w:r>
            <w:fldChar w:fldCharType="begin"/>
          </w:r>
          <w:r>
            <w:instrText xml:space="preserve"> TOC \o "1-3" \h \z \u </w:instrText>
          </w:r>
          <w:r>
            <w:fldChar w:fldCharType="separate"/>
          </w:r>
          <w:hyperlink w:anchor="_Toc90280558" w:history="1">
            <w:r w:rsidR="006412E4" w:rsidRPr="006412E4">
              <w:rPr>
                <w:rStyle w:val="Hyperlink"/>
                <w:noProof/>
              </w:rPr>
              <w:t>New developments</w:t>
            </w:r>
            <w:r w:rsidR="006412E4" w:rsidRPr="006412E4">
              <w:rPr>
                <w:noProof/>
                <w:webHidden/>
              </w:rPr>
              <w:tab/>
            </w:r>
            <w:r w:rsidR="006412E4" w:rsidRPr="006412E4">
              <w:rPr>
                <w:noProof/>
                <w:webHidden/>
              </w:rPr>
              <w:fldChar w:fldCharType="begin"/>
            </w:r>
            <w:r w:rsidR="006412E4" w:rsidRPr="006412E4">
              <w:rPr>
                <w:noProof/>
                <w:webHidden/>
              </w:rPr>
              <w:instrText xml:space="preserve"> PAGEREF _Toc90280558 \h </w:instrText>
            </w:r>
            <w:r w:rsidR="006412E4" w:rsidRPr="006412E4">
              <w:rPr>
                <w:noProof/>
                <w:webHidden/>
              </w:rPr>
            </w:r>
            <w:r w:rsidR="006412E4" w:rsidRPr="006412E4">
              <w:rPr>
                <w:noProof/>
                <w:webHidden/>
              </w:rPr>
              <w:fldChar w:fldCharType="separate"/>
            </w:r>
            <w:r w:rsidR="007803FE">
              <w:rPr>
                <w:noProof/>
                <w:webHidden/>
              </w:rPr>
              <w:t>1</w:t>
            </w:r>
            <w:r w:rsidR="006412E4" w:rsidRPr="006412E4">
              <w:rPr>
                <w:noProof/>
                <w:webHidden/>
              </w:rPr>
              <w:fldChar w:fldCharType="end"/>
            </w:r>
          </w:hyperlink>
        </w:p>
        <w:p w14:paraId="312E718D" w14:textId="516D7FF1" w:rsidR="006412E4" w:rsidRPr="006412E4" w:rsidRDefault="006761E2" w:rsidP="00E447B3">
          <w:pPr>
            <w:pStyle w:val="TOC2"/>
            <w:rPr>
              <w:rFonts w:asciiTheme="minorHAnsi" w:eastAsiaTheme="minorEastAsia" w:hAnsiTheme="minorHAnsi" w:cstheme="minorBidi"/>
              <w:noProof/>
              <w:sz w:val="22"/>
              <w:szCs w:val="22"/>
              <w:lang w:val="nl-NL"/>
            </w:rPr>
          </w:pPr>
          <w:hyperlink w:anchor="_Toc90280559" w:history="1">
            <w:r w:rsidR="006412E4" w:rsidRPr="006412E4">
              <w:rPr>
                <w:rStyle w:val="Hyperlink"/>
                <w:noProof/>
              </w:rPr>
              <w:t>General measures of implementation</w:t>
            </w:r>
            <w:r w:rsidR="006412E4" w:rsidRPr="006412E4">
              <w:rPr>
                <w:noProof/>
                <w:webHidden/>
              </w:rPr>
              <w:tab/>
            </w:r>
            <w:r w:rsidR="006412E4" w:rsidRPr="006412E4">
              <w:rPr>
                <w:noProof/>
                <w:webHidden/>
              </w:rPr>
              <w:fldChar w:fldCharType="begin"/>
            </w:r>
            <w:r w:rsidR="006412E4" w:rsidRPr="006412E4">
              <w:rPr>
                <w:noProof/>
                <w:webHidden/>
              </w:rPr>
              <w:instrText xml:space="preserve"> PAGEREF _Toc90280559 \h </w:instrText>
            </w:r>
            <w:r w:rsidR="006412E4" w:rsidRPr="006412E4">
              <w:rPr>
                <w:noProof/>
                <w:webHidden/>
              </w:rPr>
            </w:r>
            <w:r w:rsidR="006412E4" w:rsidRPr="006412E4">
              <w:rPr>
                <w:noProof/>
                <w:webHidden/>
              </w:rPr>
              <w:fldChar w:fldCharType="separate"/>
            </w:r>
            <w:r w:rsidR="007803FE">
              <w:rPr>
                <w:noProof/>
                <w:webHidden/>
              </w:rPr>
              <w:t>2</w:t>
            </w:r>
            <w:r w:rsidR="006412E4" w:rsidRPr="006412E4">
              <w:rPr>
                <w:noProof/>
                <w:webHidden/>
              </w:rPr>
              <w:fldChar w:fldCharType="end"/>
            </w:r>
          </w:hyperlink>
        </w:p>
        <w:p w14:paraId="5DC6FFE5" w14:textId="491FCAEB" w:rsidR="006412E4" w:rsidRPr="006412E4" w:rsidRDefault="006761E2" w:rsidP="00E447B3">
          <w:pPr>
            <w:pStyle w:val="TOC2"/>
            <w:rPr>
              <w:rFonts w:asciiTheme="minorHAnsi" w:eastAsiaTheme="minorEastAsia" w:hAnsiTheme="minorHAnsi" w:cstheme="minorBidi"/>
              <w:noProof/>
              <w:sz w:val="22"/>
              <w:szCs w:val="22"/>
              <w:lang w:val="nl-NL"/>
            </w:rPr>
          </w:pPr>
          <w:hyperlink w:anchor="_Toc90280560" w:history="1">
            <w:r w:rsidR="006412E4" w:rsidRPr="006412E4">
              <w:rPr>
                <w:rStyle w:val="Hyperlink"/>
                <w:noProof/>
              </w:rPr>
              <w:t>General principles</w:t>
            </w:r>
            <w:r w:rsidR="006412E4" w:rsidRPr="006412E4">
              <w:rPr>
                <w:noProof/>
                <w:webHidden/>
              </w:rPr>
              <w:tab/>
            </w:r>
            <w:r w:rsidR="006412E4" w:rsidRPr="006412E4">
              <w:rPr>
                <w:noProof/>
                <w:webHidden/>
              </w:rPr>
              <w:fldChar w:fldCharType="begin"/>
            </w:r>
            <w:r w:rsidR="006412E4" w:rsidRPr="006412E4">
              <w:rPr>
                <w:noProof/>
                <w:webHidden/>
              </w:rPr>
              <w:instrText xml:space="preserve"> PAGEREF _Toc90280560 \h </w:instrText>
            </w:r>
            <w:r w:rsidR="006412E4" w:rsidRPr="006412E4">
              <w:rPr>
                <w:noProof/>
                <w:webHidden/>
              </w:rPr>
            </w:r>
            <w:r w:rsidR="006412E4" w:rsidRPr="006412E4">
              <w:rPr>
                <w:noProof/>
                <w:webHidden/>
              </w:rPr>
              <w:fldChar w:fldCharType="separate"/>
            </w:r>
            <w:r w:rsidR="007803FE">
              <w:rPr>
                <w:noProof/>
                <w:webHidden/>
              </w:rPr>
              <w:t>4</w:t>
            </w:r>
            <w:r w:rsidR="006412E4" w:rsidRPr="006412E4">
              <w:rPr>
                <w:noProof/>
                <w:webHidden/>
              </w:rPr>
              <w:fldChar w:fldCharType="end"/>
            </w:r>
          </w:hyperlink>
        </w:p>
        <w:p w14:paraId="3653CD95" w14:textId="38EBD07A" w:rsidR="006412E4" w:rsidRPr="006412E4" w:rsidRDefault="006761E2" w:rsidP="00E447B3">
          <w:pPr>
            <w:pStyle w:val="TOC2"/>
            <w:rPr>
              <w:rFonts w:asciiTheme="minorHAnsi" w:eastAsiaTheme="minorEastAsia" w:hAnsiTheme="minorHAnsi" w:cstheme="minorBidi"/>
              <w:noProof/>
              <w:sz w:val="22"/>
              <w:szCs w:val="22"/>
              <w:lang w:val="nl-NL"/>
            </w:rPr>
          </w:pPr>
          <w:hyperlink w:anchor="_Toc90280561" w:history="1">
            <w:r w:rsidR="006412E4" w:rsidRPr="006412E4">
              <w:rPr>
                <w:rStyle w:val="Hyperlink"/>
                <w:noProof/>
              </w:rPr>
              <w:t>Violence against children</w:t>
            </w:r>
            <w:r w:rsidR="006412E4" w:rsidRPr="006412E4">
              <w:rPr>
                <w:noProof/>
                <w:webHidden/>
              </w:rPr>
              <w:tab/>
            </w:r>
            <w:r w:rsidR="006412E4" w:rsidRPr="006412E4">
              <w:rPr>
                <w:noProof/>
                <w:webHidden/>
              </w:rPr>
              <w:fldChar w:fldCharType="begin"/>
            </w:r>
            <w:r w:rsidR="006412E4" w:rsidRPr="006412E4">
              <w:rPr>
                <w:noProof/>
                <w:webHidden/>
              </w:rPr>
              <w:instrText xml:space="preserve"> PAGEREF _Toc90280561 \h </w:instrText>
            </w:r>
            <w:r w:rsidR="006412E4" w:rsidRPr="006412E4">
              <w:rPr>
                <w:noProof/>
                <w:webHidden/>
              </w:rPr>
            </w:r>
            <w:r w:rsidR="006412E4" w:rsidRPr="006412E4">
              <w:rPr>
                <w:noProof/>
                <w:webHidden/>
              </w:rPr>
              <w:fldChar w:fldCharType="separate"/>
            </w:r>
            <w:r w:rsidR="007803FE">
              <w:rPr>
                <w:noProof/>
                <w:webHidden/>
              </w:rPr>
              <w:t>5</w:t>
            </w:r>
            <w:r w:rsidR="006412E4" w:rsidRPr="006412E4">
              <w:rPr>
                <w:noProof/>
                <w:webHidden/>
              </w:rPr>
              <w:fldChar w:fldCharType="end"/>
            </w:r>
          </w:hyperlink>
        </w:p>
        <w:p w14:paraId="48029B5B" w14:textId="0BA0BD8A" w:rsidR="006412E4" w:rsidRPr="006412E4" w:rsidRDefault="006761E2" w:rsidP="00E447B3">
          <w:pPr>
            <w:pStyle w:val="TOC2"/>
            <w:rPr>
              <w:rFonts w:asciiTheme="minorHAnsi" w:eastAsiaTheme="minorEastAsia" w:hAnsiTheme="minorHAnsi" w:cstheme="minorBidi"/>
              <w:noProof/>
              <w:sz w:val="22"/>
              <w:szCs w:val="22"/>
              <w:lang w:val="nl-NL"/>
            </w:rPr>
          </w:pPr>
          <w:hyperlink w:anchor="_Toc90280562" w:history="1">
            <w:r w:rsidR="006412E4" w:rsidRPr="006412E4">
              <w:rPr>
                <w:rStyle w:val="Hyperlink"/>
                <w:noProof/>
              </w:rPr>
              <w:t>Disability, basic health and welfare</w:t>
            </w:r>
            <w:r w:rsidR="006412E4" w:rsidRPr="006412E4">
              <w:rPr>
                <w:noProof/>
                <w:webHidden/>
              </w:rPr>
              <w:tab/>
            </w:r>
            <w:r w:rsidR="006412E4" w:rsidRPr="006412E4">
              <w:rPr>
                <w:noProof/>
                <w:webHidden/>
              </w:rPr>
              <w:fldChar w:fldCharType="begin"/>
            </w:r>
            <w:r w:rsidR="006412E4" w:rsidRPr="006412E4">
              <w:rPr>
                <w:noProof/>
                <w:webHidden/>
              </w:rPr>
              <w:instrText xml:space="preserve"> PAGEREF _Toc90280562 \h </w:instrText>
            </w:r>
            <w:r w:rsidR="006412E4" w:rsidRPr="006412E4">
              <w:rPr>
                <w:noProof/>
                <w:webHidden/>
              </w:rPr>
            </w:r>
            <w:r w:rsidR="006412E4" w:rsidRPr="006412E4">
              <w:rPr>
                <w:noProof/>
                <w:webHidden/>
              </w:rPr>
              <w:fldChar w:fldCharType="separate"/>
            </w:r>
            <w:r w:rsidR="007803FE">
              <w:rPr>
                <w:noProof/>
                <w:webHidden/>
              </w:rPr>
              <w:t>5</w:t>
            </w:r>
            <w:r w:rsidR="006412E4" w:rsidRPr="006412E4">
              <w:rPr>
                <w:noProof/>
                <w:webHidden/>
              </w:rPr>
              <w:fldChar w:fldCharType="end"/>
            </w:r>
          </w:hyperlink>
        </w:p>
        <w:p w14:paraId="270EBDD0" w14:textId="3AB290FB" w:rsidR="006412E4" w:rsidRPr="006412E4" w:rsidRDefault="006761E2" w:rsidP="00E447B3">
          <w:pPr>
            <w:pStyle w:val="TOC2"/>
            <w:rPr>
              <w:rFonts w:asciiTheme="minorHAnsi" w:eastAsiaTheme="minorEastAsia" w:hAnsiTheme="minorHAnsi" w:cstheme="minorBidi"/>
              <w:noProof/>
              <w:sz w:val="22"/>
              <w:szCs w:val="22"/>
              <w:lang w:val="nl-NL"/>
            </w:rPr>
          </w:pPr>
          <w:hyperlink w:anchor="_Toc90280563" w:history="1">
            <w:r w:rsidR="006412E4" w:rsidRPr="006412E4">
              <w:rPr>
                <w:rStyle w:val="Hyperlink"/>
                <w:noProof/>
              </w:rPr>
              <w:t>Education, leisure and cultural activities</w:t>
            </w:r>
            <w:r w:rsidR="006412E4" w:rsidRPr="006412E4">
              <w:rPr>
                <w:noProof/>
                <w:webHidden/>
              </w:rPr>
              <w:tab/>
            </w:r>
            <w:r w:rsidR="006412E4" w:rsidRPr="006412E4">
              <w:rPr>
                <w:noProof/>
                <w:webHidden/>
              </w:rPr>
              <w:fldChar w:fldCharType="begin"/>
            </w:r>
            <w:r w:rsidR="006412E4" w:rsidRPr="006412E4">
              <w:rPr>
                <w:noProof/>
                <w:webHidden/>
              </w:rPr>
              <w:instrText xml:space="preserve"> PAGEREF _Toc90280563 \h </w:instrText>
            </w:r>
            <w:r w:rsidR="006412E4" w:rsidRPr="006412E4">
              <w:rPr>
                <w:noProof/>
                <w:webHidden/>
              </w:rPr>
            </w:r>
            <w:r w:rsidR="006412E4" w:rsidRPr="006412E4">
              <w:rPr>
                <w:noProof/>
                <w:webHidden/>
              </w:rPr>
              <w:fldChar w:fldCharType="separate"/>
            </w:r>
            <w:r w:rsidR="007803FE">
              <w:rPr>
                <w:noProof/>
                <w:webHidden/>
              </w:rPr>
              <w:t>8</w:t>
            </w:r>
            <w:r w:rsidR="006412E4" w:rsidRPr="006412E4">
              <w:rPr>
                <w:noProof/>
                <w:webHidden/>
              </w:rPr>
              <w:fldChar w:fldCharType="end"/>
            </w:r>
          </w:hyperlink>
        </w:p>
        <w:p w14:paraId="7B94A089" w14:textId="55AF75EB" w:rsidR="006412E4" w:rsidRPr="006412E4" w:rsidRDefault="006761E2" w:rsidP="00E447B3">
          <w:pPr>
            <w:pStyle w:val="TOC2"/>
            <w:rPr>
              <w:rFonts w:asciiTheme="minorHAnsi" w:eastAsiaTheme="minorEastAsia" w:hAnsiTheme="minorHAnsi" w:cstheme="minorBidi"/>
              <w:noProof/>
              <w:sz w:val="22"/>
              <w:szCs w:val="22"/>
              <w:lang w:val="nl-NL"/>
            </w:rPr>
          </w:pPr>
          <w:hyperlink w:anchor="_Toc90280564" w:history="1">
            <w:r w:rsidR="006412E4" w:rsidRPr="006412E4">
              <w:rPr>
                <w:rStyle w:val="Hyperlink"/>
                <w:noProof/>
              </w:rPr>
              <w:t>Special protection measures</w:t>
            </w:r>
            <w:r w:rsidR="006412E4" w:rsidRPr="006412E4">
              <w:rPr>
                <w:noProof/>
                <w:webHidden/>
              </w:rPr>
              <w:tab/>
            </w:r>
            <w:r w:rsidR="006412E4" w:rsidRPr="006412E4">
              <w:rPr>
                <w:noProof/>
                <w:webHidden/>
              </w:rPr>
              <w:fldChar w:fldCharType="begin"/>
            </w:r>
            <w:r w:rsidR="006412E4" w:rsidRPr="006412E4">
              <w:rPr>
                <w:noProof/>
                <w:webHidden/>
              </w:rPr>
              <w:instrText xml:space="preserve"> PAGEREF _Toc90280564 \h </w:instrText>
            </w:r>
            <w:r w:rsidR="006412E4" w:rsidRPr="006412E4">
              <w:rPr>
                <w:noProof/>
                <w:webHidden/>
              </w:rPr>
            </w:r>
            <w:r w:rsidR="006412E4" w:rsidRPr="006412E4">
              <w:rPr>
                <w:noProof/>
                <w:webHidden/>
              </w:rPr>
              <w:fldChar w:fldCharType="separate"/>
            </w:r>
            <w:r w:rsidR="007803FE">
              <w:rPr>
                <w:noProof/>
                <w:webHidden/>
              </w:rPr>
              <w:t>8</w:t>
            </w:r>
            <w:r w:rsidR="006412E4" w:rsidRPr="006412E4">
              <w:rPr>
                <w:noProof/>
                <w:webHidden/>
              </w:rPr>
              <w:fldChar w:fldCharType="end"/>
            </w:r>
          </w:hyperlink>
        </w:p>
        <w:p w14:paraId="0FDFAF05" w14:textId="3AA4E2BC" w:rsidR="006412E4" w:rsidRPr="006412E4" w:rsidRDefault="006761E2" w:rsidP="00E447B3">
          <w:pPr>
            <w:pStyle w:val="TOC2"/>
            <w:rPr>
              <w:rFonts w:asciiTheme="minorHAnsi" w:eastAsiaTheme="minorEastAsia" w:hAnsiTheme="minorHAnsi" w:cstheme="minorBidi"/>
              <w:noProof/>
              <w:sz w:val="22"/>
              <w:szCs w:val="22"/>
              <w:lang w:val="nl-NL"/>
            </w:rPr>
          </w:pPr>
          <w:hyperlink w:anchor="_Toc90280565" w:history="1">
            <w:r w:rsidR="006412E4" w:rsidRPr="006412E4">
              <w:rPr>
                <w:rStyle w:val="Hyperlink"/>
                <w:noProof/>
              </w:rPr>
              <w:t>Optional protocol on the Sale of Children, Child prostitution and Child Pornography</w:t>
            </w:r>
            <w:r w:rsidR="006412E4" w:rsidRPr="006412E4">
              <w:rPr>
                <w:noProof/>
                <w:webHidden/>
              </w:rPr>
              <w:tab/>
            </w:r>
            <w:r w:rsidR="006412E4" w:rsidRPr="006412E4">
              <w:rPr>
                <w:noProof/>
                <w:webHidden/>
              </w:rPr>
              <w:fldChar w:fldCharType="begin"/>
            </w:r>
            <w:r w:rsidR="006412E4" w:rsidRPr="006412E4">
              <w:rPr>
                <w:noProof/>
                <w:webHidden/>
              </w:rPr>
              <w:instrText xml:space="preserve"> PAGEREF _Toc90280565 \h </w:instrText>
            </w:r>
            <w:r w:rsidR="006412E4" w:rsidRPr="006412E4">
              <w:rPr>
                <w:noProof/>
                <w:webHidden/>
              </w:rPr>
            </w:r>
            <w:r w:rsidR="006412E4" w:rsidRPr="006412E4">
              <w:rPr>
                <w:noProof/>
                <w:webHidden/>
              </w:rPr>
              <w:fldChar w:fldCharType="separate"/>
            </w:r>
            <w:r w:rsidR="007803FE">
              <w:rPr>
                <w:noProof/>
                <w:webHidden/>
              </w:rPr>
              <w:t>12</w:t>
            </w:r>
            <w:r w:rsidR="006412E4" w:rsidRPr="006412E4">
              <w:rPr>
                <w:noProof/>
                <w:webHidden/>
              </w:rPr>
              <w:fldChar w:fldCharType="end"/>
            </w:r>
          </w:hyperlink>
        </w:p>
        <w:p w14:paraId="5D142172" w14:textId="134A010D" w:rsidR="00384A48" w:rsidRDefault="00384A48">
          <w:r>
            <w:rPr>
              <w:b/>
              <w:bCs/>
            </w:rPr>
            <w:fldChar w:fldCharType="end"/>
          </w:r>
        </w:p>
      </w:sdtContent>
    </w:sdt>
    <w:p w14:paraId="6EAD119A" w14:textId="77777777" w:rsidR="00005D37" w:rsidRDefault="00005D37" w:rsidP="00C9545F">
      <w:pPr>
        <w:pStyle w:val="Heading2"/>
        <w:spacing w:line="276" w:lineRule="auto"/>
        <w:rPr>
          <w:rFonts w:ascii="Franklin Gothic Book" w:hAnsi="Franklin Gothic Book"/>
          <w:color w:val="ED7D31" w:themeColor="accent2"/>
        </w:rPr>
      </w:pPr>
      <w:bookmarkStart w:id="1" w:name="_Toc90280558"/>
    </w:p>
    <w:p w14:paraId="0C833657" w14:textId="00892DF8" w:rsidR="00C1700F" w:rsidRPr="006412E4" w:rsidRDefault="00C1700F" w:rsidP="00C9545F">
      <w:pPr>
        <w:pStyle w:val="Heading2"/>
        <w:spacing w:line="276" w:lineRule="auto"/>
        <w:rPr>
          <w:rFonts w:ascii="Franklin Gothic Book" w:hAnsi="Franklin Gothic Book"/>
          <w:color w:val="ED7D31" w:themeColor="accent2"/>
        </w:rPr>
      </w:pPr>
      <w:r w:rsidRPr="006412E4">
        <w:rPr>
          <w:rFonts w:ascii="Franklin Gothic Book" w:hAnsi="Franklin Gothic Book"/>
          <w:color w:val="ED7D31" w:themeColor="accent2"/>
        </w:rPr>
        <w:t>New developments</w:t>
      </w:r>
      <w:bookmarkEnd w:id="1"/>
    </w:p>
    <w:p w14:paraId="763D2804" w14:textId="3B394F51" w:rsidR="00F35B19" w:rsidRDefault="00F35B19" w:rsidP="00C9545F">
      <w:pPr>
        <w:pStyle w:val="ListParagraph"/>
        <w:numPr>
          <w:ilvl w:val="0"/>
          <w:numId w:val="13"/>
        </w:numPr>
        <w:spacing w:line="276" w:lineRule="auto"/>
        <w:rPr>
          <w:lang w:val="en-GB"/>
        </w:rPr>
      </w:pPr>
      <w:r w:rsidRPr="00A14B6C">
        <w:rPr>
          <w:lang w:val="en-GB"/>
        </w:rPr>
        <w:t>The formation</w:t>
      </w:r>
      <w:r w:rsidR="00835975">
        <w:rPr>
          <w:lang w:val="en-GB"/>
        </w:rPr>
        <w:t xml:space="preserve"> of a new government</w:t>
      </w:r>
      <w:r w:rsidRPr="00A14B6C">
        <w:rPr>
          <w:lang w:val="en-GB"/>
        </w:rPr>
        <w:t xml:space="preserve"> is not yet finalized after the elections last March. Th</w:t>
      </w:r>
      <w:r w:rsidR="007F4034">
        <w:rPr>
          <w:lang w:val="en-GB"/>
        </w:rPr>
        <w:t xml:space="preserve">is </w:t>
      </w:r>
      <w:r w:rsidRPr="00A14B6C">
        <w:rPr>
          <w:lang w:val="en-GB"/>
        </w:rPr>
        <w:t>delay inhibits solutions for multiple issues.</w:t>
      </w:r>
    </w:p>
    <w:p w14:paraId="4B5434FA" w14:textId="60298FA5" w:rsidR="001B347D" w:rsidRPr="001B347D" w:rsidRDefault="003F67DE" w:rsidP="002E1A40">
      <w:pPr>
        <w:pStyle w:val="ListParagraph"/>
        <w:numPr>
          <w:ilvl w:val="0"/>
          <w:numId w:val="13"/>
        </w:numPr>
        <w:spacing w:line="276" w:lineRule="auto"/>
        <w:rPr>
          <w:lang w:val="en-GB"/>
        </w:rPr>
      </w:pPr>
      <w:r w:rsidRPr="001B347D">
        <w:rPr>
          <w:lang w:val="en-GB"/>
        </w:rPr>
        <w:t>At the beginning of the summer</w:t>
      </w:r>
      <w:r w:rsidR="00844118" w:rsidRPr="001B347D">
        <w:rPr>
          <w:lang w:val="en-GB"/>
        </w:rPr>
        <w:t>,</w:t>
      </w:r>
      <w:r w:rsidRPr="001B347D">
        <w:rPr>
          <w:lang w:val="en-GB"/>
        </w:rPr>
        <w:t xml:space="preserve"> </w:t>
      </w:r>
      <w:r w:rsidR="004F3FA3" w:rsidRPr="001B347D">
        <w:rPr>
          <w:lang w:val="en-GB"/>
        </w:rPr>
        <w:t xml:space="preserve">measures </w:t>
      </w:r>
      <w:r w:rsidR="008927A6" w:rsidRPr="001B347D">
        <w:rPr>
          <w:lang w:val="en-GB"/>
        </w:rPr>
        <w:t xml:space="preserve">to control </w:t>
      </w:r>
      <w:r w:rsidRPr="001B347D">
        <w:rPr>
          <w:lang w:val="en-GB"/>
        </w:rPr>
        <w:t xml:space="preserve">the spread of </w:t>
      </w:r>
      <w:r w:rsidR="004F3FA3" w:rsidRPr="001B347D">
        <w:rPr>
          <w:lang w:val="en-GB"/>
        </w:rPr>
        <w:t>c</w:t>
      </w:r>
      <w:r w:rsidRPr="001B347D">
        <w:rPr>
          <w:lang w:val="en-GB"/>
        </w:rPr>
        <w:t xml:space="preserve">ovid-19 were loosened. </w:t>
      </w:r>
      <w:r w:rsidR="00C75CE9" w:rsidRPr="001B347D">
        <w:rPr>
          <w:lang w:val="en-GB"/>
        </w:rPr>
        <w:t>Since the end of September</w:t>
      </w:r>
      <w:r w:rsidR="008927A6" w:rsidRPr="001B347D">
        <w:rPr>
          <w:lang w:val="en-GB"/>
        </w:rPr>
        <w:t>,</w:t>
      </w:r>
      <w:r w:rsidR="00C75CE9" w:rsidRPr="001B347D">
        <w:rPr>
          <w:lang w:val="en-GB"/>
        </w:rPr>
        <w:t xml:space="preserve"> a </w:t>
      </w:r>
      <w:r w:rsidR="008927A6" w:rsidRPr="001B347D">
        <w:rPr>
          <w:lang w:val="en-GB"/>
        </w:rPr>
        <w:t xml:space="preserve">coronavirus </w:t>
      </w:r>
      <w:r w:rsidR="007B4FD2" w:rsidRPr="001B347D">
        <w:rPr>
          <w:lang w:val="en-GB"/>
        </w:rPr>
        <w:t xml:space="preserve">entry pass </w:t>
      </w:r>
      <w:r w:rsidR="00C75CE9" w:rsidRPr="001B347D">
        <w:rPr>
          <w:lang w:val="en-GB"/>
        </w:rPr>
        <w:t xml:space="preserve">is </w:t>
      </w:r>
      <w:r w:rsidR="008927A6" w:rsidRPr="001B347D">
        <w:rPr>
          <w:lang w:val="en-GB"/>
        </w:rPr>
        <w:t xml:space="preserve">required </w:t>
      </w:r>
      <w:r w:rsidR="00C75CE9" w:rsidRPr="001B347D">
        <w:rPr>
          <w:lang w:val="en-GB"/>
        </w:rPr>
        <w:t xml:space="preserve">for children </w:t>
      </w:r>
      <w:r w:rsidR="008927A6" w:rsidRPr="001B347D">
        <w:rPr>
          <w:lang w:val="en-GB"/>
        </w:rPr>
        <w:t>aged</w:t>
      </w:r>
      <w:r w:rsidR="00C75CE9" w:rsidRPr="001B347D">
        <w:rPr>
          <w:lang w:val="en-GB"/>
        </w:rPr>
        <w:t xml:space="preserve"> 13 </w:t>
      </w:r>
      <w:r w:rsidR="008927A6" w:rsidRPr="001B347D">
        <w:rPr>
          <w:lang w:val="en-GB"/>
        </w:rPr>
        <w:t>and over</w:t>
      </w:r>
      <w:r w:rsidR="00C75CE9" w:rsidRPr="001B347D">
        <w:rPr>
          <w:lang w:val="en-GB"/>
        </w:rPr>
        <w:t xml:space="preserve"> to enter not-essential </w:t>
      </w:r>
      <w:r w:rsidR="002376A9" w:rsidRPr="001B347D">
        <w:rPr>
          <w:lang w:val="en-GB"/>
        </w:rPr>
        <w:t>facilit</w:t>
      </w:r>
      <w:r w:rsidR="00F558AE" w:rsidRPr="001B347D">
        <w:rPr>
          <w:lang w:val="en-GB"/>
        </w:rPr>
        <w:t xml:space="preserve">ies </w:t>
      </w:r>
      <w:r w:rsidR="00F50392" w:rsidRPr="001B347D">
        <w:rPr>
          <w:lang w:val="en-GB"/>
        </w:rPr>
        <w:t>(such as restaurant</w:t>
      </w:r>
      <w:r w:rsidR="007D1BDE" w:rsidRPr="001B347D">
        <w:rPr>
          <w:lang w:val="en-GB"/>
        </w:rPr>
        <w:t>s</w:t>
      </w:r>
      <w:r w:rsidR="00F50392" w:rsidRPr="001B347D">
        <w:rPr>
          <w:lang w:val="en-GB"/>
        </w:rPr>
        <w:t>,</w:t>
      </w:r>
      <w:r w:rsidR="007D1BDE" w:rsidRPr="001B347D">
        <w:rPr>
          <w:lang w:val="en-GB"/>
        </w:rPr>
        <w:t xml:space="preserve"> and</w:t>
      </w:r>
      <w:r w:rsidR="00F50392" w:rsidRPr="001B347D">
        <w:rPr>
          <w:lang w:val="en-GB"/>
        </w:rPr>
        <w:t xml:space="preserve"> </w:t>
      </w:r>
      <w:r w:rsidR="008A60E4" w:rsidRPr="001B347D">
        <w:rPr>
          <w:lang w:val="en-GB"/>
        </w:rPr>
        <w:t xml:space="preserve">cultural venues such as cinemas, theatres, </w:t>
      </w:r>
      <w:r w:rsidR="007B4FD2" w:rsidRPr="001B347D">
        <w:rPr>
          <w:lang w:val="en-GB"/>
        </w:rPr>
        <w:t xml:space="preserve">and </w:t>
      </w:r>
      <w:r w:rsidR="00F50392" w:rsidRPr="001B347D">
        <w:rPr>
          <w:lang w:val="en-GB"/>
        </w:rPr>
        <w:t>museum</w:t>
      </w:r>
      <w:r w:rsidR="008927A6" w:rsidRPr="001B347D">
        <w:rPr>
          <w:lang w:val="en-GB"/>
        </w:rPr>
        <w:t>s</w:t>
      </w:r>
      <w:r w:rsidR="007B4FD2" w:rsidRPr="001B347D">
        <w:rPr>
          <w:lang w:val="en-GB"/>
        </w:rPr>
        <w:t>)</w:t>
      </w:r>
      <w:r w:rsidR="002376A9" w:rsidRPr="001B347D">
        <w:rPr>
          <w:lang w:val="en-GB"/>
        </w:rPr>
        <w:t>. Everyone aged 14 and over must also show a valid form of ID along with their coronavirus entry pass.</w:t>
      </w:r>
      <w:r w:rsidR="007B4FD2" w:rsidRPr="001B347D">
        <w:rPr>
          <w:lang w:val="en-GB"/>
        </w:rPr>
        <w:t xml:space="preserve"> </w:t>
      </w:r>
      <w:r w:rsidR="00605696" w:rsidRPr="001B347D">
        <w:rPr>
          <w:lang w:val="en-GB"/>
        </w:rPr>
        <w:t>Children aged 13 till</w:t>
      </w:r>
      <w:r w:rsidR="00EE6521">
        <w:rPr>
          <w:lang w:val="en-GB"/>
        </w:rPr>
        <w:t xml:space="preserve"> </w:t>
      </w:r>
      <w:r w:rsidR="00605696" w:rsidRPr="001B347D">
        <w:rPr>
          <w:lang w:val="en-GB"/>
        </w:rPr>
        <w:t xml:space="preserve">18 are not obligated to show a </w:t>
      </w:r>
      <w:r w:rsidR="008927A6" w:rsidRPr="001B347D">
        <w:rPr>
          <w:lang w:val="en-GB"/>
        </w:rPr>
        <w:t>coronavirus</w:t>
      </w:r>
      <w:r w:rsidR="00605696" w:rsidRPr="001B347D">
        <w:rPr>
          <w:lang w:val="en-GB"/>
        </w:rPr>
        <w:t xml:space="preserve"> entry pas</w:t>
      </w:r>
      <w:r w:rsidR="00835975" w:rsidRPr="001B347D">
        <w:rPr>
          <w:lang w:val="en-GB"/>
        </w:rPr>
        <w:t>s</w:t>
      </w:r>
      <w:r w:rsidR="00605696" w:rsidRPr="001B347D">
        <w:rPr>
          <w:lang w:val="en-GB"/>
        </w:rPr>
        <w:t xml:space="preserve"> for indoor sports, sports clubhouse</w:t>
      </w:r>
      <w:r w:rsidR="007D1BDE" w:rsidRPr="001B347D">
        <w:rPr>
          <w:lang w:val="en-GB"/>
        </w:rPr>
        <w:t>s</w:t>
      </w:r>
      <w:r w:rsidR="00605696" w:rsidRPr="001B347D">
        <w:rPr>
          <w:lang w:val="en-GB"/>
        </w:rPr>
        <w:t xml:space="preserve"> and artistic and cultural activities. </w:t>
      </w:r>
      <w:r w:rsidR="000D6DDE" w:rsidRPr="001B347D">
        <w:rPr>
          <w:lang w:val="en-GB"/>
        </w:rPr>
        <w:t xml:space="preserve">A child can have a </w:t>
      </w:r>
      <w:r w:rsidR="00055F09" w:rsidRPr="001B347D">
        <w:rPr>
          <w:lang w:val="en-GB"/>
        </w:rPr>
        <w:t>coronavirus</w:t>
      </w:r>
      <w:r w:rsidR="00055F09" w:rsidRPr="001B347D" w:rsidDel="00055F09">
        <w:rPr>
          <w:lang w:val="en-GB"/>
        </w:rPr>
        <w:t xml:space="preserve"> </w:t>
      </w:r>
      <w:r w:rsidR="000D6DDE" w:rsidRPr="001B347D">
        <w:rPr>
          <w:lang w:val="en-GB"/>
        </w:rPr>
        <w:t>entry</w:t>
      </w:r>
      <w:r w:rsidR="00055F09" w:rsidRPr="001B347D">
        <w:rPr>
          <w:lang w:val="en-GB"/>
        </w:rPr>
        <w:t xml:space="preserve"> </w:t>
      </w:r>
      <w:r w:rsidR="000D6DDE" w:rsidRPr="001B347D">
        <w:rPr>
          <w:lang w:val="en-GB"/>
        </w:rPr>
        <w:t xml:space="preserve">pass if vaccinated, recovered or tested negative for </w:t>
      </w:r>
      <w:r w:rsidR="004F3FA3" w:rsidRPr="001B347D">
        <w:rPr>
          <w:lang w:val="en-GB"/>
        </w:rPr>
        <w:t>c</w:t>
      </w:r>
      <w:r w:rsidR="000D6DDE" w:rsidRPr="001B347D">
        <w:rPr>
          <w:lang w:val="en-GB"/>
        </w:rPr>
        <w:t>ovid-19.</w:t>
      </w:r>
      <w:r w:rsidR="0057721F">
        <w:rPr>
          <w:rStyle w:val="FootnoteReference"/>
          <w:lang w:val="en-GB"/>
        </w:rPr>
        <w:footnoteReference w:id="1"/>
      </w:r>
      <w:r w:rsidR="000D6DDE" w:rsidRPr="001B347D">
        <w:rPr>
          <w:lang w:val="en-GB"/>
        </w:rPr>
        <w:t xml:space="preserve"> In November</w:t>
      </w:r>
      <w:r w:rsidR="00835975" w:rsidRPr="001B347D">
        <w:rPr>
          <w:lang w:val="en-GB"/>
        </w:rPr>
        <w:t xml:space="preserve"> 2021,</w:t>
      </w:r>
      <w:r w:rsidR="00BF4F6D" w:rsidRPr="001B347D">
        <w:rPr>
          <w:lang w:val="en-GB"/>
        </w:rPr>
        <w:t xml:space="preserve"> the government proposed a new law to introduce a </w:t>
      </w:r>
      <w:r w:rsidR="00055F09" w:rsidRPr="001B347D">
        <w:rPr>
          <w:lang w:val="en-GB"/>
        </w:rPr>
        <w:t>coronavirus</w:t>
      </w:r>
      <w:r w:rsidR="00055F09" w:rsidRPr="001B347D" w:rsidDel="00055F09">
        <w:rPr>
          <w:lang w:val="en-GB"/>
        </w:rPr>
        <w:t xml:space="preserve"> </w:t>
      </w:r>
      <w:r w:rsidR="00BF4F6D" w:rsidRPr="001B347D">
        <w:rPr>
          <w:lang w:val="en-GB"/>
        </w:rPr>
        <w:t>entry</w:t>
      </w:r>
      <w:r w:rsidR="00055F09" w:rsidRPr="001B347D">
        <w:rPr>
          <w:lang w:val="en-GB"/>
        </w:rPr>
        <w:t xml:space="preserve"> </w:t>
      </w:r>
      <w:r w:rsidR="00BF4F6D" w:rsidRPr="001B347D">
        <w:rPr>
          <w:lang w:val="en-GB"/>
        </w:rPr>
        <w:t xml:space="preserve">pass for </w:t>
      </w:r>
      <w:r w:rsidR="00841BB2" w:rsidRPr="001B347D">
        <w:rPr>
          <w:lang w:val="en-GB"/>
        </w:rPr>
        <w:t>higher education institutions</w:t>
      </w:r>
      <w:r w:rsidR="004001D4" w:rsidRPr="001B347D">
        <w:rPr>
          <w:lang w:val="en-GB"/>
        </w:rPr>
        <w:t xml:space="preserve">. </w:t>
      </w:r>
      <w:r w:rsidR="00467196" w:rsidRPr="001B347D">
        <w:rPr>
          <w:lang w:val="en-GB"/>
        </w:rPr>
        <w:t>This law i</w:t>
      </w:r>
      <w:r w:rsidR="007D1BDE" w:rsidRPr="001B347D">
        <w:rPr>
          <w:lang w:val="en-GB"/>
        </w:rPr>
        <w:t>s</w:t>
      </w:r>
      <w:r w:rsidR="00467196" w:rsidRPr="001B347D">
        <w:rPr>
          <w:lang w:val="en-GB"/>
        </w:rPr>
        <w:t xml:space="preserve"> expected to </w:t>
      </w:r>
      <w:r w:rsidR="007D1BDE" w:rsidRPr="001B347D">
        <w:rPr>
          <w:lang w:val="en-GB"/>
        </w:rPr>
        <w:t xml:space="preserve">be </w:t>
      </w:r>
      <w:r w:rsidR="00467196" w:rsidRPr="001B347D">
        <w:rPr>
          <w:lang w:val="en-GB"/>
        </w:rPr>
        <w:t xml:space="preserve">discussed in </w:t>
      </w:r>
      <w:r w:rsidR="00841BB2" w:rsidRPr="001B347D">
        <w:rPr>
          <w:lang w:val="en-GB"/>
        </w:rPr>
        <w:t xml:space="preserve">parliament in </w:t>
      </w:r>
      <w:r w:rsidR="00467196" w:rsidRPr="001B347D">
        <w:rPr>
          <w:lang w:val="en-GB"/>
        </w:rPr>
        <w:t xml:space="preserve">January 2022. </w:t>
      </w:r>
      <w:r w:rsidR="007A641D" w:rsidRPr="001B347D">
        <w:rPr>
          <w:lang w:val="en-GB"/>
        </w:rPr>
        <w:t xml:space="preserve">Due to a higher of number of </w:t>
      </w:r>
      <w:r w:rsidR="007E4B2D" w:rsidRPr="001B347D">
        <w:rPr>
          <w:lang w:val="en-GB"/>
        </w:rPr>
        <w:t>confirmed cases of covid-19</w:t>
      </w:r>
      <w:r w:rsidR="00ED1318" w:rsidRPr="001B347D">
        <w:rPr>
          <w:lang w:val="en-GB"/>
        </w:rPr>
        <w:t xml:space="preserve"> as of October,</w:t>
      </w:r>
      <w:r w:rsidR="007E4B2D" w:rsidRPr="001B347D">
        <w:rPr>
          <w:lang w:val="en-GB"/>
        </w:rPr>
        <w:t xml:space="preserve"> new </w:t>
      </w:r>
      <w:r w:rsidR="004F3FA3" w:rsidRPr="001B347D">
        <w:rPr>
          <w:lang w:val="en-GB"/>
        </w:rPr>
        <w:t>measures</w:t>
      </w:r>
      <w:r w:rsidR="004F3FA3" w:rsidRPr="001B347D">
        <w:rPr>
          <w:lang w:val="en-US"/>
        </w:rPr>
        <w:t xml:space="preserve"> </w:t>
      </w:r>
      <w:r w:rsidR="004F3FA3" w:rsidRPr="001B347D">
        <w:rPr>
          <w:lang w:val="en-GB"/>
        </w:rPr>
        <w:t xml:space="preserve">to control the spread of coronavirus </w:t>
      </w:r>
      <w:r w:rsidR="007E4B2D" w:rsidRPr="001B347D">
        <w:rPr>
          <w:lang w:val="en-GB"/>
        </w:rPr>
        <w:t>were introduced in November</w:t>
      </w:r>
      <w:r w:rsidR="00ED1318" w:rsidRPr="001B347D">
        <w:rPr>
          <w:lang w:val="en-GB"/>
        </w:rPr>
        <w:t>.</w:t>
      </w:r>
      <w:r w:rsidR="007E4B2D" w:rsidRPr="001B347D">
        <w:rPr>
          <w:lang w:val="en-GB"/>
        </w:rPr>
        <w:t xml:space="preserve"> </w:t>
      </w:r>
      <w:r w:rsidR="00C64CC4" w:rsidRPr="001B347D">
        <w:rPr>
          <w:lang w:val="en-GB"/>
        </w:rPr>
        <w:t>Sport</w:t>
      </w:r>
      <w:r w:rsidR="004F3FA3" w:rsidRPr="001B347D">
        <w:rPr>
          <w:lang w:val="en-GB"/>
        </w:rPr>
        <w:t>s</w:t>
      </w:r>
      <w:r w:rsidR="00C64CC4" w:rsidRPr="001B347D">
        <w:rPr>
          <w:lang w:val="en-GB"/>
        </w:rPr>
        <w:t xml:space="preserve"> activities </w:t>
      </w:r>
      <w:r w:rsidR="00967C54">
        <w:rPr>
          <w:lang w:val="en-GB"/>
        </w:rPr>
        <w:t>are</w:t>
      </w:r>
      <w:r w:rsidR="00C64CC4" w:rsidRPr="001B347D">
        <w:rPr>
          <w:lang w:val="en-GB"/>
        </w:rPr>
        <w:t xml:space="preserve"> only possible during the day until 5 p.m.</w:t>
      </w:r>
      <w:r w:rsidR="00ED1318" w:rsidRPr="001B347D">
        <w:rPr>
          <w:lang w:val="en-GB"/>
        </w:rPr>
        <w:t xml:space="preserve">, </w:t>
      </w:r>
      <w:r w:rsidR="00967C54">
        <w:rPr>
          <w:lang w:val="en-GB"/>
        </w:rPr>
        <w:t>and</w:t>
      </w:r>
      <w:r w:rsidR="00ED1318" w:rsidRPr="001B347D">
        <w:rPr>
          <w:lang w:val="en-GB"/>
        </w:rPr>
        <w:t xml:space="preserve"> schools were kept open.</w:t>
      </w:r>
      <w:r w:rsidR="00FA5642" w:rsidRPr="001B347D">
        <w:rPr>
          <w:lang w:val="en-GB"/>
        </w:rPr>
        <w:t xml:space="preserve"> </w:t>
      </w:r>
      <w:r w:rsidR="00ED1318" w:rsidRPr="001B347D">
        <w:rPr>
          <w:lang w:val="en-GB"/>
        </w:rPr>
        <w:t xml:space="preserve">On 14 December, </w:t>
      </w:r>
      <w:r w:rsidR="002978F7" w:rsidRPr="002978F7">
        <w:rPr>
          <w:lang w:val="en-GB"/>
        </w:rPr>
        <w:t xml:space="preserve">the government </w:t>
      </w:r>
      <w:r w:rsidR="00ED1318" w:rsidRPr="001B347D">
        <w:rPr>
          <w:lang w:val="en-GB"/>
        </w:rPr>
        <w:t xml:space="preserve">decided </w:t>
      </w:r>
      <w:r w:rsidR="00224D94" w:rsidRPr="001B347D">
        <w:rPr>
          <w:lang w:val="en-GB"/>
        </w:rPr>
        <w:t xml:space="preserve">that primary schools, including special schools for primary education, and out-of-school care facilities will close </w:t>
      </w:r>
      <w:r w:rsidR="001B347D">
        <w:rPr>
          <w:lang w:val="en-GB"/>
        </w:rPr>
        <w:t>a week</w:t>
      </w:r>
      <w:r w:rsidR="00224D94" w:rsidRPr="001B347D">
        <w:rPr>
          <w:lang w:val="en-GB"/>
        </w:rPr>
        <w:t xml:space="preserve"> before </w:t>
      </w:r>
      <w:r w:rsidR="001B347D">
        <w:rPr>
          <w:lang w:val="en-GB"/>
        </w:rPr>
        <w:t xml:space="preserve">the </w:t>
      </w:r>
      <w:r w:rsidR="00224D94" w:rsidRPr="001B347D">
        <w:rPr>
          <w:lang w:val="en-GB"/>
        </w:rPr>
        <w:t>Christmas break</w:t>
      </w:r>
      <w:r w:rsidR="001B347D">
        <w:rPr>
          <w:lang w:val="en-GB"/>
        </w:rPr>
        <w:t>,</w:t>
      </w:r>
      <w:r w:rsidR="00224D94" w:rsidRPr="001B347D">
        <w:rPr>
          <w:lang w:val="en-GB"/>
        </w:rPr>
        <w:t xml:space="preserve"> </w:t>
      </w:r>
      <w:r w:rsidR="00ED1318" w:rsidRPr="001B347D">
        <w:rPr>
          <w:lang w:val="en-US"/>
        </w:rPr>
        <w:t>to stop the spread of omicron</w:t>
      </w:r>
      <w:r w:rsidR="004B0B66" w:rsidRPr="001B347D">
        <w:rPr>
          <w:lang w:val="en-US"/>
        </w:rPr>
        <w:t xml:space="preserve"> variant</w:t>
      </w:r>
      <w:r w:rsidR="00ED1318" w:rsidRPr="001B347D">
        <w:rPr>
          <w:lang w:val="en-US"/>
        </w:rPr>
        <w:t xml:space="preserve">. Schools are allowed to provide distance </w:t>
      </w:r>
      <w:r w:rsidR="001B347D" w:rsidRPr="001B347D">
        <w:rPr>
          <w:lang w:val="en-US"/>
        </w:rPr>
        <w:t>learning</w:t>
      </w:r>
      <w:r w:rsidR="00ED1318" w:rsidRPr="001B347D">
        <w:rPr>
          <w:lang w:val="en-US"/>
        </w:rPr>
        <w:t xml:space="preserve"> but</w:t>
      </w:r>
      <w:r w:rsidR="001B347D" w:rsidRPr="001B347D">
        <w:rPr>
          <w:lang w:val="en-US"/>
        </w:rPr>
        <w:t xml:space="preserve"> schools are not required to provide this because</w:t>
      </w:r>
      <w:r w:rsidR="00ED1318" w:rsidRPr="001B347D">
        <w:rPr>
          <w:lang w:val="en-US"/>
        </w:rPr>
        <w:t xml:space="preserve"> th</w:t>
      </w:r>
      <w:r w:rsidR="00967C54">
        <w:rPr>
          <w:lang w:val="en-US"/>
        </w:rPr>
        <w:t>at</w:t>
      </w:r>
      <w:r w:rsidR="00ED1318" w:rsidRPr="001B347D">
        <w:rPr>
          <w:lang w:val="en-US"/>
        </w:rPr>
        <w:t xml:space="preserve"> may not be possible</w:t>
      </w:r>
      <w:r w:rsidR="00967C54">
        <w:rPr>
          <w:lang w:val="en-US"/>
        </w:rPr>
        <w:t xml:space="preserve"> organize</w:t>
      </w:r>
      <w:r w:rsidR="00ED1318" w:rsidRPr="001B347D">
        <w:rPr>
          <w:lang w:val="en-US"/>
        </w:rPr>
        <w:t xml:space="preserve"> at such a short notice.</w:t>
      </w:r>
    </w:p>
    <w:p w14:paraId="412794AA" w14:textId="0ECB4BC6" w:rsidR="007D50AF" w:rsidRPr="001B347D" w:rsidRDefault="001A522E" w:rsidP="002E1A40">
      <w:pPr>
        <w:pStyle w:val="ListParagraph"/>
        <w:numPr>
          <w:ilvl w:val="0"/>
          <w:numId w:val="13"/>
        </w:numPr>
        <w:spacing w:line="276" w:lineRule="auto"/>
        <w:rPr>
          <w:lang w:val="en-GB"/>
        </w:rPr>
      </w:pPr>
      <w:r w:rsidRPr="001B347D">
        <w:rPr>
          <w:lang w:val="en-GB"/>
        </w:rPr>
        <w:t>Next to the</w:t>
      </w:r>
      <w:r w:rsidR="007D1BDE" w:rsidRPr="001B347D">
        <w:rPr>
          <w:lang w:val="en-GB"/>
        </w:rPr>
        <w:t xml:space="preserve"> newly</w:t>
      </w:r>
      <w:r w:rsidRPr="001B347D">
        <w:rPr>
          <w:lang w:val="en-GB"/>
        </w:rPr>
        <w:t xml:space="preserve"> introduced </w:t>
      </w:r>
      <w:r w:rsidR="0088643F">
        <w:rPr>
          <w:lang w:val="en-GB"/>
        </w:rPr>
        <w:t>c</w:t>
      </w:r>
      <w:r w:rsidR="00F73670">
        <w:rPr>
          <w:lang w:val="en-GB"/>
        </w:rPr>
        <w:t xml:space="preserve">ovid-19 </w:t>
      </w:r>
      <w:r w:rsidRPr="001B347D">
        <w:rPr>
          <w:lang w:val="en-GB"/>
        </w:rPr>
        <w:t>measures</w:t>
      </w:r>
      <w:r w:rsidR="007D1BDE" w:rsidRPr="001B347D">
        <w:rPr>
          <w:lang w:val="en-GB"/>
        </w:rPr>
        <w:t>,</w:t>
      </w:r>
      <w:r w:rsidRPr="001B347D">
        <w:rPr>
          <w:lang w:val="en-GB"/>
        </w:rPr>
        <w:t xml:space="preserve"> </w:t>
      </w:r>
      <w:r w:rsidR="002009B9" w:rsidRPr="001B347D">
        <w:rPr>
          <w:lang w:val="en-GB"/>
        </w:rPr>
        <w:t xml:space="preserve">the concerns </w:t>
      </w:r>
      <w:r w:rsidR="002978F7">
        <w:rPr>
          <w:lang w:val="en-GB"/>
        </w:rPr>
        <w:t>about</w:t>
      </w:r>
      <w:r w:rsidR="002978F7" w:rsidRPr="002978F7">
        <w:rPr>
          <w:lang w:val="en-GB"/>
        </w:rPr>
        <w:t xml:space="preserve"> mental and social health of children and adolescents </w:t>
      </w:r>
      <w:r w:rsidR="002009B9" w:rsidRPr="001B347D">
        <w:rPr>
          <w:lang w:val="en-GB"/>
        </w:rPr>
        <w:t xml:space="preserve">mentioned in the </w:t>
      </w:r>
      <w:r w:rsidR="001C3BED" w:rsidRPr="001B347D">
        <w:rPr>
          <w:lang w:val="en-GB"/>
        </w:rPr>
        <w:t>‘W</w:t>
      </w:r>
      <w:r w:rsidR="004F3FA3" w:rsidRPr="001B347D">
        <w:rPr>
          <w:lang w:val="en-GB"/>
        </w:rPr>
        <w:t>ritten input to the state report</w:t>
      </w:r>
      <w:r w:rsidR="001C3BED" w:rsidRPr="001B347D">
        <w:rPr>
          <w:lang w:val="en-GB"/>
        </w:rPr>
        <w:t>’</w:t>
      </w:r>
      <w:r w:rsidR="004F3FA3" w:rsidRPr="001B347D">
        <w:rPr>
          <w:lang w:val="en-GB"/>
        </w:rPr>
        <w:t xml:space="preserve"> </w:t>
      </w:r>
      <w:r w:rsidR="002009B9" w:rsidRPr="001B347D">
        <w:rPr>
          <w:lang w:val="en-GB"/>
        </w:rPr>
        <w:t>of April</w:t>
      </w:r>
      <w:r w:rsidR="004F3FA3" w:rsidRPr="001B347D">
        <w:rPr>
          <w:lang w:val="en-GB"/>
        </w:rPr>
        <w:t xml:space="preserve"> 30</w:t>
      </w:r>
      <w:r w:rsidR="007C799E" w:rsidRPr="001B347D">
        <w:rPr>
          <w:vertAlign w:val="superscript"/>
          <w:lang w:val="en-GB"/>
        </w:rPr>
        <w:t>th</w:t>
      </w:r>
      <w:r w:rsidR="002009B9" w:rsidRPr="001B347D">
        <w:rPr>
          <w:lang w:val="en-US"/>
        </w:rPr>
        <w:t xml:space="preserve"> are still accurate.</w:t>
      </w:r>
      <w:r w:rsidR="005B247F" w:rsidRPr="00A14B6C">
        <w:rPr>
          <w:rStyle w:val="FootnoteReference"/>
          <w:lang w:val="en-GB"/>
        </w:rPr>
        <w:footnoteReference w:id="2"/>
      </w:r>
      <w:r w:rsidR="002009B9" w:rsidRPr="001B347D">
        <w:rPr>
          <w:lang w:val="en-US"/>
        </w:rPr>
        <w:t xml:space="preserve"> </w:t>
      </w:r>
    </w:p>
    <w:p w14:paraId="461E74F6" w14:textId="7FE2974C" w:rsidR="007D50AF" w:rsidRPr="006412E4" w:rsidRDefault="007D50AF" w:rsidP="00C9545F">
      <w:pPr>
        <w:pStyle w:val="Heading2"/>
        <w:spacing w:line="276" w:lineRule="auto"/>
        <w:rPr>
          <w:rFonts w:ascii="Franklin Gothic Book" w:hAnsi="Franklin Gothic Book"/>
          <w:color w:val="ED7D31" w:themeColor="accent2"/>
        </w:rPr>
      </w:pPr>
      <w:bookmarkStart w:id="3" w:name="_Toc90280559"/>
      <w:r w:rsidRPr="006412E4">
        <w:rPr>
          <w:rFonts w:ascii="Franklin Gothic Book" w:hAnsi="Franklin Gothic Book"/>
          <w:color w:val="ED7D31" w:themeColor="accent2"/>
        </w:rPr>
        <w:lastRenderedPageBreak/>
        <w:t>General measures of implementation</w:t>
      </w:r>
      <w:bookmarkEnd w:id="3"/>
    </w:p>
    <w:p w14:paraId="22F60345" w14:textId="4F5901D3" w:rsidR="002A2D4F" w:rsidRPr="000728EB" w:rsidRDefault="00523EC9" w:rsidP="000728EB">
      <w:pPr>
        <w:pStyle w:val="Heading3"/>
        <w:rPr>
          <w:color w:val="auto"/>
        </w:rPr>
      </w:pPr>
      <w:r w:rsidRPr="00A14B6C">
        <w:br/>
      </w:r>
      <w:r w:rsidR="002A2D4F" w:rsidRPr="000728EB">
        <w:rPr>
          <w:color w:val="auto"/>
        </w:rPr>
        <w:t>Optional Protocol 3</w:t>
      </w:r>
      <w:r w:rsidR="000728EB">
        <w:rPr>
          <w:color w:val="auto"/>
        </w:rPr>
        <w:br/>
      </w:r>
    </w:p>
    <w:p w14:paraId="54C5F692" w14:textId="49BF8A0F" w:rsidR="0075702E" w:rsidRPr="00A14B6C" w:rsidRDefault="002A2D4F" w:rsidP="00C9545F">
      <w:pPr>
        <w:spacing w:line="276" w:lineRule="auto"/>
      </w:pPr>
      <w:r w:rsidRPr="00A14B6C">
        <w:t xml:space="preserve">In September, </w:t>
      </w:r>
      <w:r w:rsidR="00523EC9" w:rsidRPr="00A14B6C">
        <w:t>t</w:t>
      </w:r>
      <w:r w:rsidRPr="00A14B6C">
        <w:t xml:space="preserve">he Minister of Social Affairs stated in parliament that he will request a new advice with the Council of State, particularly to assess the </w:t>
      </w:r>
      <w:r w:rsidR="00C017AE">
        <w:t>“</w:t>
      </w:r>
      <w:r w:rsidRPr="00A14B6C">
        <w:t>legal and financial implications of the ratification of all three protocols”, referring to the Optional Protocol under UNCRC, IVESCR and the CRPD.</w:t>
      </w:r>
      <w:r w:rsidR="00523EC9" w:rsidRPr="00A14B6C">
        <w:t xml:space="preserve"> </w:t>
      </w:r>
      <w:r w:rsidRPr="00A14B6C">
        <w:t>In 2017, an advice of the Council of State on the ratification of the Optional Protocol under the UN Convention on Rights of Persons with Disabilities was already provided. This advice has not been made public and the government does not share details as to why the advice cannot be made public.</w:t>
      </w:r>
    </w:p>
    <w:p w14:paraId="5E0FA5EF" w14:textId="24A7CEF9" w:rsidR="0075702E" w:rsidRPr="000728EB" w:rsidRDefault="0075702E" w:rsidP="000728EB">
      <w:pPr>
        <w:pStyle w:val="Heading3"/>
        <w:rPr>
          <w:color w:val="auto"/>
        </w:rPr>
      </w:pPr>
      <w:r w:rsidRPr="000728EB">
        <w:rPr>
          <w:color w:val="auto"/>
        </w:rPr>
        <w:t xml:space="preserve">Reservation Article 26 </w:t>
      </w:r>
      <w:r w:rsidR="000728EB">
        <w:rPr>
          <w:color w:val="auto"/>
        </w:rPr>
        <w:br/>
      </w:r>
    </w:p>
    <w:p w14:paraId="0389AB04" w14:textId="46A5D63B" w:rsidR="00523EC9" w:rsidRPr="00A14B6C" w:rsidRDefault="00C017AE" w:rsidP="00C85AD1">
      <w:pPr>
        <w:spacing w:line="276" w:lineRule="auto"/>
      </w:pPr>
      <w:bookmarkStart w:id="4" w:name="_Hlk90279544"/>
      <w:r>
        <w:t>R</w:t>
      </w:r>
      <w:r w:rsidR="002A27B9" w:rsidRPr="00A14B6C">
        <w:t>esearch by the Verwey-Jonker Institute</w:t>
      </w:r>
      <w:r w:rsidR="002A27B9" w:rsidRPr="00A14B6C">
        <w:rPr>
          <w:rStyle w:val="FootnoteReference"/>
        </w:rPr>
        <w:footnoteReference w:id="3"/>
      </w:r>
      <w:r w:rsidR="002A27B9" w:rsidRPr="00A14B6C">
        <w:t>,</w:t>
      </w:r>
      <w:r>
        <w:t xml:space="preserve"> </w:t>
      </w:r>
      <w:r w:rsidR="00C85AD1">
        <w:t xml:space="preserve">identified eight groups of children negatively affected by the Dutch reservation of article 26 that can be divided into three categories, namely: children who have (almost) no contact with their parents; children whose parents are not supported by social services and children whose parents do not pay social benefits for their children. </w:t>
      </w:r>
      <w:bookmarkEnd w:id="4"/>
      <w:r w:rsidR="002A27B9" w:rsidRPr="00A14B6C">
        <w:t xml:space="preserve">The Netherlands recognizes </w:t>
      </w:r>
      <w:r w:rsidR="009162C4" w:rsidRPr="009162C4">
        <w:t xml:space="preserve">that there may be benefit and need to arrange certain things differently in practice, starting with an exploration. </w:t>
      </w:r>
      <w:r w:rsidR="002A27B9" w:rsidRPr="00A14B6C">
        <w:t xml:space="preserve">With regard to the lifting of the reservation, it is indicated that the withdrawal of the reservation can only be made when the legislation and regulations meet the requirements of </w:t>
      </w:r>
      <w:r w:rsidR="009162C4" w:rsidRPr="009162C4">
        <w:t>convention of the rights of the child</w:t>
      </w:r>
      <w:r w:rsidR="009162C4" w:rsidRPr="009162C4" w:rsidDel="009162C4">
        <w:t xml:space="preserve"> </w:t>
      </w:r>
      <w:r w:rsidR="002A27B9" w:rsidRPr="00A14B6C">
        <w:t>without reservation. The position seems to be based on the fear of being called to account for the implementation of a treaty or certain provisions of that treaty, while the regulations or policy are still deficient, rather than out of best interest of the child. However, a government is of course completely free to ratify or withdraw a reservation and from that moment on to adjust laws, regulations, and policy. Moreover, withdrawing the reservation can also create space and create legal urgency. It all starts with political will.</w:t>
      </w:r>
    </w:p>
    <w:p w14:paraId="6EA9B8A6" w14:textId="54BBFFB2" w:rsidR="00756B16" w:rsidRPr="000728EB" w:rsidRDefault="002A2D4F" w:rsidP="000728EB">
      <w:pPr>
        <w:pStyle w:val="Heading3"/>
        <w:rPr>
          <w:color w:val="auto"/>
        </w:rPr>
      </w:pPr>
      <w:r w:rsidRPr="000728EB">
        <w:rPr>
          <w:color w:val="auto"/>
        </w:rPr>
        <w:t>Data collection</w:t>
      </w:r>
      <w:r w:rsidR="000728EB">
        <w:rPr>
          <w:color w:val="auto"/>
        </w:rPr>
        <w:br/>
      </w:r>
    </w:p>
    <w:p w14:paraId="71D6ABD5" w14:textId="00C0C948" w:rsidR="002A2D4F" w:rsidRDefault="002A2D4F" w:rsidP="00C9545F">
      <w:pPr>
        <w:spacing w:line="276" w:lineRule="auto"/>
      </w:pPr>
      <w:r w:rsidRPr="00A14B6C">
        <w:t xml:space="preserve">In November 2021 the Dutch NGO Coalition contributed to the </w:t>
      </w:r>
      <w:r w:rsidR="00230B66" w:rsidRPr="00A14B6C">
        <w:t xml:space="preserve">Annual Report Youth Monitor 2021 with a chapter on children’s rights in which we raised the question if </w:t>
      </w:r>
      <w:r w:rsidR="00523EC9" w:rsidRPr="00A14B6C">
        <w:t>c</w:t>
      </w:r>
      <w:r w:rsidR="00230B66" w:rsidRPr="00A14B6C">
        <w:t xml:space="preserve">hildren’s </w:t>
      </w:r>
      <w:r w:rsidR="00523EC9" w:rsidRPr="00A14B6C">
        <w:t>rights</w:t>
      </w:r>
      <w:r w:rsidR="00230B66" w:rsidRPr="00A14B6C">
        <w:t xml:space="preserve"> could be monitored with the available data in this monitor. The conclusion was that the National Youth Monitor can offer a solution for a number of indicators, mainly concerning the right to life and development (Art. 6). There is also data collected structurally in other sources for a number of indicators, which could be considered for inclusion in the National Youth Monitor. At the same time, it is clear that there are not enough data available to monitor the UNCRC based on the proposed indicators. Specifically on the right to non-discrimination (Art. 2) and the best interests of the child (Art. 3), the National Youth Monitor currently provides little or no information. For a number of indicators, there are no (reliable) data available in the National Youth Monitor, nor (as far as is known) in other sources, for example the number of municipal discrimination reporting centres with a separate procedure for children, the number of municipalities that have developed a children’s rights strategy and the share of new legislation or policy that looks at the impact of this new legislation on children. For the Caribbean Netherlands, the gap is even wider</w:t>
      </w:r>
      <w:r w:rsidR="009E758B" w:rsidRPr="00A14B6C">
        <w:t>.</w:t>
      </w:r>
      <w:r w:rsidR="000D093C" w:rsidRPr="00A14B6C">
        <w:rPr>
          <w:rStyle w:val="FootnoteReference"/>
        </w:rPr>
        <w:footnoteReference w:id="4"/>
      </w:r>
    </w:p>
    <w:p w14:paraId="3721A1C6" w14:textId="7902CB24" w:rsidR="00BA506F" w:rsidRPr="00A14B6C" w:rsidRDefault="00756B16" w:rsidP="00C9545F">
      <w:pPr>
        <w:spacing w:line="276" w:lineRule="auto"/>
      </w:pPr>
      <w:r w:rsidRPr="000728EB">
        <w:rPr>
          <w:rStyle w:val="Heading3Char"/>
          <w:color w:val="auto"/>
        </w:rPr>
        <w:lastRenderedPageBreak/>
        <w:t>Annual budget 2022</w:t>
      </w:r>
      <w:r w:rsidR="000728EB">
        <w:rPr>
          <w:rStyle w:val="Heading3Char"/>
          <w:color w:val="auto"/>
        </w:rPr>
        <w:br/>
      </w:r>
      <w:r w:rsidR="009E408B" w:rsidRPr="00A14B6C">
        <w:br/>
      </w:r>
      <w:r w:rsidRPr="00A14B6C">
        <w:t>The Annual budget 2022 of the Netherlands’ Development Aid and Trade agenda was presented in September and includes extra funds to spend on the climate crisis. “The importance of gender remains to be central at the heart of this budget, the government indicates, both in the implementation of the by the Netherlands financed programmes as well as in climate diplomacy”</w:t>
      </w:r>
      <w:r w:rsidR="00005D37">
        <w:t>.</w:t>
      </w:r>
      <w:r w:rsidR="00B22B8A">
        <w:rPr>
          <w:rStyle w:val="FootnoteReference"/>
          <w:lang w:val="en-US"/>
        </w:rPr>
        <w:footnoteReference w:id="5"/>
      </w:r>
      <w:r w:rsidRPr="00A14B6C">
        <w:t xml:space="preserve"> Children and young people’s efforts and participation are, surprisingly enough, not acknowledged and prioritized.</w:t>
      </w:r>
      <w:r w:rsidR="00FE5E0E">
        <w:br/>
      </w:r>
    </w:p>
    <w:p w14:paraId="506F6AFA" w14:textId="4B8ADE43" w:rsidR="00005D37" w:rsidRPr="000728EB" w:rsidRDefault="00BA506F" w:rsidP="000728EB">
      <w:pPr>
        <w:pStyle w:val="Heading3"/>
        <w:rPr>
          <w:color w:val="auto"/>
        </w:rPr>
      </w:pPr>
      <w:r w:rsidRPr="000728EB">
        <w:rPr>
          <w:color w:val="auto"/>
        </w:rPr>
        <w:t>Children’s Rights and Businesses</w:t>
      </w:r>
      <w:r w:rsidR="000728EB">
        <w:rPr>
          <w:color w:val="auto"/>
        </w:rPr>
        <w:br/>
      </w:r>
    </w:p>
    <w:p w14:paraId="309919AC" w14:textId="078931F8" w:rsidR="00991566" w:rsidRPr="000728EB" w:rsidRDefault="00991566" w:rsidP="007C799E">
      <w:pPr>
        <w:spacing w:line="276" w:lineRule="auto"/>
        <w:rPr>
          <w:u w:val="single"/>
        </w:rPr>
      </w:pPr>
      <w:r w:rsidRPr="000728EB">
        <w:rPr>
          <w:u w:val="single"/>
          <w:lang w:val="en-US"/>
        </w:rPr>
        <w:t>Corporate Human Rights due diligence</w:t>
      </w:r>
    </w:p>
    <w:p w14:paraId="64D01B10" w14:textId="0F3E13D8" w:rsidR="00B22B8A" w:rsidRDefault="00B22B8A" w:rsidP="00C9545F">
      <w:pPr>
        <w:spacing w:line="276" w:lineRule="auto"/>
        <w:rPr>
          <w:lang w:val="en-US"/>
        </w:rPr>
      </w:pPr>
      <w:r w:rsidRPr="00A45900">
        <w:rPr>
          <w:lang w:val="en-US"/>
        </w:rPr>
        <w:t>On 3</w:t>
      </w:r>
      <w:r w:rsidRPr="00A45900">
        <w:rPr>
          <w:vertAlign w:val="superscript"/>
          <w:lang w:val="en-US"/>
        </w:rPr>
        <w:t>rd</w:t>
      </w:r>
      <w:r w:rsidRPr="00A45900">
        <w:rPr>
          <w:lang w:val="en-US"/>
        </w:rPr>
        <w:t xml:space="preserve"> of December, the minister for Development Aid and Trade </w:t>
      </w:r>
      <w:r w:rsidR="00044539">
        <w:rPr>
          <w:lang w:val="en-US"/>
        </w:rPr>
        <w:t>announced</w:t>
      </w:r>
      <w:r w:rsidRPr="00A45900">
        <w:rPr>
          <w:lang w:val="en-US"/>
        </w:rPr>
        <w:t xml:space="preserve"> </w:t>
      </w:r>
      <w:r w:rsidR="00044539">
        <w:rPr>
          <w:lang w:val="en-US"/>
        </w:rPr>
        <w:t>t</w:t>
      </w:r>
      <w:r w:rsidR="00044539" w:rsidRPr="00044539">
        <w:rPr>
          <w:lang w:val="en-US"/>
        </w:rPr>
        <w:t xml:space="preserve">hat the government will develop and introduce a national </w:t>
      </w:r>
      <w:r w:rsidRPr="00A45900">
        <w:rPr>
          <w:lang w:val="en-US"/>
        </w:rPr>
        <w:t xml:space="preserve">a </w:t>
      </w:r>
      <w:r w:rsidR="00044539">
        <w:rPr>
          <w:lang w:val="en-US"/>
        </w:rPr>
        <w:t>H</w:t>
      </w:r>
      <w:r>
        <w:rPr>
          <w:lang w:val="en-US"/>
        </w:rPr>
        <w:t xml:space="preserve">uman </w:t>
      </w:r>
      <w:r w:rsidR="00044539">
        <w:rPr>
          <w:lang w:val="en-US"/>
        </w:rPr>
        <w:t>R</w:t>
      </w:r>
      <w:r>
        <w:rPr>
          <w:lang w:val="en-US"/>
        </w:rPr>
        <w:t xml:space="preserve">ights </w:t>
      </w:r>
      <w:r w:rsidR="00044539">
        <w:rPr>
          <w:lang w:val="en-US"/>
        </w:rPr>
        <w:t>D</w:t>
      </w:r>
      <w:r w:rsidRPr="00A45900">
        <w:rPr>
          <w:lang w:val="en-US"/>
        </w:rPr>
        <w:t xml:space="preserve">ue </w:t>
      </w:r>
      <w:r w:rsidR="00044539">
        <w:rPr>
          <w:lang w:val="en-US"/>
        </w:rPr>
        <w:t>D</w:t>
      </w:r>
      <w:r w:rsidRPr="00A45900">
        <w:rPr>
          <w:lang w:val="en-US"/>
        </w:rPr>
        <w:t>iligence</w:t>
      </w:r>
      <w:r w:rsidR="00044539">
        <w:rPr>
          <w:lang w:val="en-US"/>
        </w:rPr>
        <w:t>-</w:t>
      </w:r>
      <w:r w:rsidRPr="00A45900">
        <w:rPr>
          <w:lang w:val="en-US"/>
        </w:rPr>
        <w:t xml:space="preserve">law. </w:t>
      </w:r>
      <w:r>
        <w:rPr>
          <w:lang w:val="en-US"/>
        </w:rPr>
        <w:t>Since t</w:t>
      </w:r>
      <w:r w:rsidRPr="00A45900">
        <w:rPr>
          <w:lang w:val="en-US"/>
        </w:rPr>
        <w:t>he EU-legislation that was supposed to be presented early December</w:t>
      </w:r>
      <w:r w:rsidR="00044539">
        <w:rPr>
          <w:lang w:val="en-US"/>
        </w:rPr>
        <w:t>,</w:t>
      </w:r>
      <w:r w:rsidRPr="00A45900">
        <w:rPr>
          <w:lang w:val="en-US"/>
        </w:rPr>
        <w:t xml:space="preserve"> has been postponed to spring 2022</w:t>
      </w:r>
      <w:r w:rsidRPr="00A45900">
        <w:rPr>
          <w:rStyle w:val="FootnoteReference"/>
          <w:lang w:val="en-US"/>
        </w:rPr>
        <w:footnoteReference w:id="6"/>
      </w:r>
      <w:r>
        <w:rPr>
          <w:lang w:val="en-US"/>
        </w:rPr>
        <w:t>, the government could no longer delay on its promise for national legislation in case the EU process was not going fast enough</w:t>
      </w:r>
      <w:r w:rsidRPr="00A45900">
        <w:rPr>
          <w:lang w:val="en-US"/>
        </w:rPr>
        <w:t xml:space="preserve">. </w:t>
      </w:r>
      <w:r>
        <w:rPr>
          <w:lang w:val="en-US"/>
        </w:rPr>
        <w:t>I</w:t>
      </w:r>
      <w:r w:rsidRPr="00A45900">
        <w:rPr>
          <w:lang w:val="en-US"/>
        </w:rPr>
        <w:t>t is yet to be seen whether this intention will be laid down in the coalition agreement</w:t>
      </w:r>
      <w:r>
        <w:rPr>
          <w:lang w:val="en-US"/>
        </w:rPr>
        <w:t xml:space="preserve"> currently being negotiated.</w:t>
      </w:r>
      <w:r w:rsidRPr="00A45900">
        <w:rPr>
          <w:lang w:val="en-US"/>
        </w:rPr>
        <w:t xml:space="preserve"> </w:t>
      </w:r>
      <w:r>
        <w:rPr>
          <w:lang w:val="en-US"/>
        </w:rPr>
        <w:t xml:space="preserve">Consequently, it is also unclear whether this new law will make the already adopted </w:t>
      </w:r>
      <w:r w:rsidRPr="00A45900">
        <w:rPr>
          <w:lang w:val="en-US"/>
        </w:rPr>
        <w:t xml:space="preserve">Child </w:t>
      </w:r>
      <w:r w:rsidRPr="00044539">
        <w:t>Labour</w:t>
      </w:r>
      <w:r w:rsidRPr="00A45900">
        <w:rPr>
          <w:lang w:val="en-US"/>
        </w:rPr>
        <w:t xml:space="preserve"> Due Diligence Law</w:t>
      </w:r>
      <w:r>
        <w:rPr>
          <w:lang w:val="en-US"/>
        </w:rPr>
        <w:t xml:space="preserve"> obsolete. If not, this should be implemented</w:t>
      </w:r>
      <w:r w:rsidRPr="00A45900">
        <w:rPr>
          <w:lang w:val="en-US"/>
        </w:rPr>
        <w:t xml:space="preserve"> </w:t>
      </w:r>
      <w:r>
        <w:rPr>
          <w:lang w:val="en-US"/>
        </w:rPr>
        <w:t xml:space="preserve">as soon as possible. </w:t>
      </w:r>
    </w:p>
    <w:p w14:paraId="1C206583" w14:textId="77777777" w:rsidR="00991566" w:rsidRPr="000728EB" w:rsidRDefault="00991566" w:rsidP="00991566">
      <w:pPr>
        <w:spacing w:line="276" w:lineRule="auto"/>
        <w:rPr>
          <w:u w:val="single"/>
          <w:lang w:val="en-US"/>
        </w:rPr>
      </w:pPr>
      <w:bookmarkStart w:id="5" w:name="_Hlk90387987"/>
      <w:r w:rsidRPr="000728EB">
        <w:rPr>
          <w:u w:val="single"/>
          <w:lang w:val="en-US"/>
        </w:rPr>
        <w:t xml:space="preserve">Extraterritorial impact of tax policies </w:t>
      </w:r>
    </w:p>
    <w:bookmarkEnd w:id="5"/>
    <w:p w14:paraId="5B8C0575" w14:textId="2B15C7FB" w:rsidR="00991566" w:rsidRDefault="00991566" w:rsidP="00C41147">
      <w:pPr>
        <w:spacing w:line="276" w:lineRule="auto"/>
        <w:rPr>
          <w:lang w:val="en-US"/>
        </w:rPr>
      </w:pPr>
      <w:r w:rsidRPr="00991566">
        <w:rPr>
          <w:lang w:val="en-US"/>
        </w:rPr>
        <w:t>In October 2021, the Pandora P</w:t>
      </w:r>
      <w:r w:rsidR="00327563">
        <w:rPr>
          <w:lang w:val="en-US"/>
        </w:rPr>
        <w:t>a</w:t>
      </w:r>
      <w:r w:rsidRPr="00991566">
        <w:rPr>
          <w:lang w:val="en-US"/>
        </w:rPr>
        <w:t>pers affair implicated tax policies and practices in the Netherlands.</w:t>
      </w:r>
      <w:r w:rsidR="00327563">
        <w:rPr>
          <w:rStyle w:val="FootnoteReference"/>
          <w:lang w:val="en-US"/>
        </w:rPr>
        <w:footnoteReference w:id="7"/>
      </w:r>
      <w:r w:rsidRPr="00991566">
        <w:rPr>
          <w:lang w:val="en-US"/>
        </w:rPr>
        <w:t xml:space="preserve"> The Netherlands is fourth in the Corporate Tax Haven Index 20</w:t>
      </w:r>
      <w:r w:rsidR="006107A4">
        <w:rPr>
          <w:lang w:val="en-US"/>
        </w:rPr>
        <w:t>2</w:t>
      </w:r>
      <w:r w:rsidRPr="00991566">
        <w:rPr>
          <w:lang w:val="en-US"/>
        </w:rPr>
        <w:t>1</w:t>
      </w:r>
      <w:r w:rsidR="006107A4">
        <w:rPr>
          <w:lang w:val="en-US"/>
        </w:rPr>
        <w:t>.</w:t>
      </w:r>
      <w:r w:rsidR="006107A4">
        <w:rPr>
          <w:rStyle w:val="FootnoteReference"/>
          <w:lang w:val="en-US"/>
        </w:rPr>
        <w:footnoteReference w:id="8"/>
      </w:r>
      <w:r w:rsidR="006107A4">
        <w:rPr>
          <w:lang w:val="en-US"/>
        </w:rPr>
        <w:t xml:space="preserve"> </w:t>
      </w:r>
      <w:r w:rsidRPr="00991566">
        <w:rPr>
          <w:lang w:val="en-US"/>
        </w:rPr>
        <w:t>The impact of tax policies that facilitate tax abuse is felt disproportionately b</w:t>
      </w:r>
      <w:r w:rsidR="006107A4">
        <w:rPr>
          <w:lang w:val="en-US"/>
        </w:rPr>
        <w:t>y</w:t>
      </w:r>
      <w:r w:rsidRPr="00991566">
        <w:rPr>
          <w:lang w:val="en-US"/>
        </w:rPr>
        <w:t xml:space="preserve"> people in the Global South.</w:t>
      </w:r>
      <w:r w:rsidR="005A7FD1">
        <w:rPr>
          <w:rStyle w:val="FootnoteReference"/>
          <w:lang w:val="en-US"/>
        </w:rPr>
        <w:footnoteReference w:id="9"/>
      </w:r>
      <w:r w:rsidRPr="00991566">
        <w:rPr>
          <w:lang w:val="en-US"/>
        </w:rPr>
        <w:t xml:space="preserve"> This missing tax revenue has particularly acute consequences for the realization of children’s rights.</w:t>
      </w:r>
      <w:r w:rsidR="00894C1E" w:rsidRPr="00894C1E">
        <w:t xml:space="preserve"> </w:t>
      </w:r>
      <w:r w:rsidR="00894C1E" w:rsidRPr="00894C1E">
        <w:rPr>
          <w:lang w:val="en-US"/>
        </w:rPr>
        <w:t>The Netherlands facilitates the hiding of money that would have been spent on schools, health, clinics, roads, law enforcement, sanitation, electricity internet and community development. For example: a</w:t>
      </w:r>
      <w:r w:rsidRPr="00991566">
        <w:rPr>
          <w:lang w:val="en-US"/>
        </w:rPr>
        <w:t xml:space="preserve"> 2021 study finds that if tax abuse were curtailed, the equivalent increase in government revenue would result in an extra year of schooling for more than 3.3 million children and more than half a million child deaths averted</w:t>
      </w:r>
      <w:r w:rsidR="005A7FD1">
        <w:rPr>
          <w:lang w:val="en-US"/>
        </w:rPr>
        <w:t>.</w:t>
      </w:r>
      <w:r w:rsidR="005A7FD1">
        <w:rPr>
          <w:rStyle w:val="FootnoteReference"/>
          <w:lang w:val="en-US"/>
        </w:rPr>
        <w:footnoteReference w:id="10"/>
      </w:r>
      <w:r w:rsidRPr="00991566">
        <w:rPr>
          <w:lang w:val="en-US"/>
        </w:rPr>
        <w:t xml:space="preserve"> </w:t>
      </w:r>
      <w:r w:rsidR="003E511B">
        <w:rPr>
          <w:rStyle w:val="FootnoteReference"/>
          <w:lang w:val="en-US"/>
        </w:rPr>
        <w:footnoteReference w:id="11"/>
      </w:r>
      <w:r w:rsidR="00C41147">
        <w:rPr>
          <w:lang w:val="en-US"/>
        </w:rPr>
        <w:t xml:space="preserve"> </w:t>
      </w:r>
      <w:r w:rsidR="005E715D">
        <w:rPr>
          <w:lang w:val="en-US"/>
        </w:rPr>
        <w:br/>
      </w:r>
    </w:p>
    <w:p w14:paraId="1A9AFEB7" w14:textId="33958719" w:rsidR="007D50AF" w:rsidRPr="003E511B" w:rsidRDefault="007D50AF" w:rsidP="00C9545F">
      <w:pPr>
        <w:pStyle w:val="Heading2"/>
        <w:spacing w:line="276" w:lineRule="auto"/>
        <w:rPr>
          <w:rFonts w:ascii="Franklin Gothic Book" w:hAnsi="Franklin Gothic Book"/>
          <w:color w:val="ED7D31" w:themeColor="accent2"/>
        </w:rPr>
      </w:pPr>
      <w:bookmarkStart w:id="6" w:name="_Toc90280560"/>
      <w:r w:rsidRPr="003E511B">
        <w:rPr>
          <w:rFonts w:ascii="Franklin Gothic Book" w:hAnsi="Franklin Gothic Book"/>
          <w:color w:val="ED7D31" w:themeColor="accent2"/>
        </w:rPr>
        <w:lastRenderedPageBreak/>
        <w:t>General principles</w:t>
      </w:r>
      <w:bookmarkEnd w:id="6"/>
    </w:p>
    <w:p w14:paraId="57B6EE5F" w14:textId="1C15F41D" w:rsidR="0063418D" w:rsidRPr="00A14B6C" w:rsidRDefault="0063418D" w:rsidP="000728EB">
      <w:pPr>
        <w:pStyle w:val="Heading3"/>
      </w:pPr>
      <w:r w:rsidRPr="00A14B6C">
        <w:br/>
      </w:r>
      <w:r w:rsidRPr="000728EB">
        <w:rPr>
          <w:color w:val="auto"/>
        </w:rPr>
        <w:t>Non-discrimination</w:t>
      </w:r>
      <w:r w:rsidR="000728EB">
        <w:rPr>
          <w:color w:val="auto"/>
        </w:rPr>
        <w:br/>
      </w:r>
    </w:p>
    <w:p w14:paraId="42371E1B" w14:textId="77777777" w:rsidR="0063418D" w:rsidRPr="000728EB" w:rsidRDefault="0063418D" w:rsidP="00C9545F">
      <w:pPr>
        <w:spacing w:line="276" w:lineRule="auto"/>
        <w:rPr>
          <w:rFonts w:eastAsiaTheme="minorHAnsi" w:cstheme="minorBidi"/>
          <w:u w:val="single"/>
          <w:lang w:eastAsia="en-US"/>
        </w:rPr>
      </w:pPr>
      <w:r w:rsidRPr="000728EB">
        <w:rPr>
          <w:rFonts w:eastAsiaTheme="minorHAnsi" w:cstheme="minorBidi"/>
          <w:u w:val="single"/>
          <w:lang w:eastAsia="en-US"/>
        </w:rPr>
        <w:t>Concluding Observations and Recommendations of UN CERD</w:t>
      </w:r>
    </w:p>
    <w:p w14:paraId="578ABF22" w14:textId="5E9703FE" w:rsidR="0063418D" w:rsidRPr="00664673" w:rsidRDefault="0063418D" w:rsidP="00C9545F">
      <w:pPr>
        <w:spacing w:line="276" w:lineRule="auto"/>
        <w:rPr>
          <w:rFonts w:eastAsiaTheme="minorHAnsi" w:cstheme="minorBidi"/>
          <w:lang w:eastAsia="en-US"/>
        </w:rPr>
      </w:pPr>
      <w:r w:rsidRPr="00664673">
        <w:rPr>
          <w:rFonts w:eastAsiaTheme="minorHAnsi" w:cstheme="minorBidi"/>
          <w:lang w:eastAsia="en-US"/>
        </w:rPr>
        <w:t>On 25 August 2021, the UN Committee on the Elimination of Racial Discrimination (CERD) published its Concluding Observations and Recommendations to the Netherlands. The Committee also refers to children: they are worried that the pandemic has an disproportionate impact on the education of children from ethnic minority groups and with lower socio-economic status. The Committee therefore recommends</w:t>
      </w:r>
      <w:r w:rsidR="009E408B" w:rsidRPr="00664673">
        <w:rPr>
          <w:rFonts w:eastAsiaTheme="minorHAnsi" w:cstheme="minorBidi"/>
          <w:lang w:eastAsia="en-US"/>
        </w:rPr>
        <w:t>:</w:t>
      </w:r>
      <w:r w:rsidR="009E408B" w:rsidRPr="00664673">
        <w:rPr>
          <w:rStyle w:val="FootnoteReference"/>
          <w:rFonts w:eastAsiaTheme="minorHAnsi" w:cstheme="minorBidi"/>
          <w:lang w:eastAsia="en-US"/>
        </w:rPr>
        <w:footnoteReference w:id="12"/>
      </w:r>
    </w:p>
    <w:p w14:paraId="2E3E8C99" w14:textId="408BA447" w:rsidR="0063418D" w:rsidRPr="00664673" w:rsidRDefault="0063418D" w:rsidP="000728EB">
      <w:pPr>
        <w:spacing w:line="240" w:lineRule="auto"/>
        <w:rPr>
          <w:rFonts w:eastAsiaTheme="minorHAnsi" w:cstheme="minorBidi"/>
          <w:i/>
          <w:iCs/>
          <w:lang w:eastAsia="en-US"/>
        </w:rPr>
      </w:pPr>
      <w:r w:rsidRPr="00664673">
        <w:rPr>
          <w:rFonts w:eastAsiaTheme="minorHAnsi" w:cstheme="minorBidi"/>
          <w:i/>
          <w:iCs/>
          <w:lang w:eastAsia="en-US"/>
        </w:rPr>
        <w:t xml:space="preserve">20. The Committee recommends that the State party take measures to increase equal opportunities for all children in education, regardless of their background, and monitor the effectiveness thereof. The Committee also recommends that the State party: </w:t>
      </w:r>
      <w:r w:rsidRPr="00664673">
        <w:rPr>
          <w:rFonts w:eastAsiaTheme="minorHAnsi" w:cstheme="minorBidi"/>
          <w:i/>
          <w:iCs/>
          <w:lang w:eastAsia="en-US"/>
        </w:rPr>
        <w:br/>
        <w:t xml:space="preserve">(a) Ensure that all children receive an adequate assessment from their teachers for secondary schools, without discrimination including implicit bias, based on race, colour, descent, national or ethnic origin; </w:t>
      </w:r>
      <w:r w:rsidRPr="00664673">
        <w:rPr>
          <w:rFonts w:eastAsiaTheme="minorHAnsi" w:cstheme="minorBidi"/>
          <w:i/>
          <w:iCs/>
          <w:lang w:eastAsia="en-US"/>
        </w:rPr>
        <w:br/>
        <w:t xml:space="preserve">(b) Take measures to combat and prevent discrimination in accessing internships, develop protocols or guidelines that teachers can follow when students report such discrimination, and ensure that teachers are aware of these protocols; </w:t>
      </w:r>
      <w:r w:rsidRPr="00664673">
        <w:rPr>
          <w:rFonts w:eastAsiaTheme="minorHAnsi" w:cstheme="minorBidi"/>
          <w:i/>
          <w:iCs/>
          <w:lang w:eastAsia="en-US"/>
        </w:rPr>
        <w:br/>
        <w:t xml:space="preserve">(c) Take measures to ensure that multilingual students from ethnic minority groups are not restricted from or punished for speaking their home languages at school and expand teacher training on multilingual education; </w:t>
      </w:r>
      <w:r w:rsidRPr="00664673">
        <w:rPr>
          <w:rFonts w:eastAsiaTheme="minorHAnsi" w:cstheme="minorBidi"/>
          <w:i/>
          <w:iCs/>
          <w:lang w:eastAsia="en-US"/>
        </w:rPr>
        <w:br/>
        <w:t>(d) Ensure that programs to repair learning loss during the pandemic introduced by the State party considers the needs of all students from all backgrounds.</w:t>
      </w:r>
      <w:r w:rsidR="000728EB">
        <w:rPr>
          <w:rFonts w:eastAsiaTheme="minorHAnsi" w:cstheme="minorBidi"/>
          <w:i/>
          <w:iCs/>
          <w:lang w:eastAsia="en-US"/>
        </w:rPr>
        <w:br/>
      </w:r>
    </w:p>
    <w:p w14:paraId="4D32B5B6" w14:textId="56CFF3E2" w:rsidR="0063418D" w:rsidRDefault="0063418D" w:rsidP="00C9545F">
      <w:pPr>
        <w:spacing w:line="276" w:lineRule="auto"/>
        <w:rPr>
          <w:rFonts w:eastAsiaTheme="minorHAnsi" w:cstheme="minorBidi"/>
          <w:lang w:eastAsia="en-US"/>
        </w:rPr>
      </w:pPr>
      <w:r w:rsidRPr="000728EB">
        <w:rPr>
          <w:rFonts w:eastAsiaTheme="minorHAnsi" w:cstheme="minorBidi"/>
          <w:u w:val="single"/>
          <w:lang w:eastAsia="en-US"/>
        </w:rPr>
        <w:t>LGBTQI+ - students</w:t>
      </w:r>
      <w:r w:rsidR="00E54DA3">
        <w:rPr>
          <w:rFonts w:eastAsiaTheme="minorHAnsi" w:cstheme="minorBidi"/>
          <w:b/>
          <w:bCs/>
          <w:i/>
          <w:iCs/>
          <w:lang w:eastAsia="en-US"/>
        </w:rPr>
        <w:br/>
      </w:r>
      <w:r w:rsidRPr="00664673">
        <w:rPr>
          <w:rFonts w:eastAsiaTheme="minorHAnsi" w:cstheme="minorBidi"/>
          <w:b/>
          <w:bCs/>
          <w:lang w:eastAsia="en-US"/>
        </w:rPr>
        <w:br/>
      </w:r>
      <w:r w:rsidRPr="00664673">
        <w:rPr>
          <w:rFonts w:eastAsiaTheme="minorHAnsi" w:cstheme="minorBidi"/>
          <w:lang w:eastAsia="en-US"/>
        </w:rPr>
        <w:t>In September 2021, a research of the University of Groningen and Utrecht was published indicating that LGBTQI+ - students are more often bullied and suffer physical violence inflicted by teachers and other education professionals.</w:t>
      </w:r>
      <w:r w:rsidR="00C85AD1">
        <w:rPr>
          <w:rStyle w:val="FootnoteReference"/>
          <w:rFonts w:eastAsiaTheme="minorHAnsi" w:cstheme="minorBidi"/>
          <w:lang w:eastAsia="en-US"/>
        </w:rPr>
        <w:footnoteReference w:id="13"/>
      </w:r>
      <w:r w:rsidRPr="00664673">
        <w:rPr>
          <w:rFonts w:eastAsiaTheme="minorHAnsi" w:cstheme="minorBidi"/>
          <w:lang w:eastAsia="en-US"/>
        </w:rPr>
        <w:t xml:space="preserve"> They are also more often harassed in spaces where there is no supervision, e.g. toilets, dressing rooms, parking lots or at home. These students feel less inclined to report this to teachers or parents, but more likely to go to the school administration or the police. The research is based on an anonymous inquiry filled out by 30</w:t>
      </w:r>
      <w:r w:rsidR="006D48A0">
        <w:rPr>
          <w:rFonts w:eastAsiaTheme="minorHAnsi" w:cstheme="minorBidi"/>
          <w:lang w:eastAsia="en-US"/>
        </w:rPr>
        <w:t>,</w:t>
      </w:r>
      <w:r w:rsidRPr="00664673">
        <w:rPr>
          <w:rFonts w:eastAsiaTheme="minorHAnsi" w:cstheme="minorBidi"/>
          <w:lang w:eastAsia="en-US"/>
        </w:rPr>
        <w:t>000 students with an average age of 14 years old.</w:t>
      </w:r>
      <w:r w:rsidR="00655B3E" w:rsidRPr="00664673">
        <w:rPr>
          <w:rFonts w:eastAsiaTheme="minorHAnsi" w:cstheme="minorBidi"/>
          <w:lang w:eastAsia="en-US"/>
        </w:rPr>
        <w:t xml:space="preserve"> </w:t>
      </w:r>
      <w:r w:rsidRPr="00664673">
        <w:rPr>
          <w:rFonts w:eastAsiaTheme="minorHAnsi" w:cstheme="minorBidi"/>
          <w:lang w:eastAsia="en-US"/>
        </w:rPr>
        <w:t>While in general, 13% of heterosexual children indicates to be bullied, for LGBTQI+-students this is about 25-30%. Of the heterosexual students that indicate to be bullied, 14% indicate that this is done by teachers. O</w:t>
      </w:r>
      <w:r w:rsidR="003C0BF1">
        <w:rPr>
          <w:rFonts w:eastAsiaTheme="minorHAnsi" w:cstheme="minorBidi"/>
          <w:lang w:eastAsia="en-US"/>
        </w:rPr>
        <w:t>f</w:t>
      </w:r>
      <w:r w:rsidRPr="00664673">
        <w:rPr>
          <w:rFonts w:eastAsiaTheme="minorHAnsi" w:cstheme="minorBidi"/>
          <w:lang w:eastAsia="en-US"/>
        </w:rPr>
        <w:t xml:space="preserve"> the LGBTQI-students that indicate to be bullied, 24% indicates teachers as the perpetrators. </w:t>
      </w:r>
    </w:p>
    <w:p w14:paraId="02CC1C51" w14:textId="6B670286" w:rsidR="003E511B" w:rsidRDefault="003E511B" w:rsidP="00C9545F">
      <w:pPr>
        <w:spacing w:line="276" w:lineRule="auto"/>
        <w:rPr>
          <w:rFonts w:eastAsiaTheme="minorHAnsi" w:cstheme="minorBidi"/>
          <w:lang w:eastAsia="en-US"/>
        </w:rPr>
      </w:pPr>
    </w:p>
    <w:p w14:paraId="69D8CA3D" w14:textId="77777777" w:rsidR="003E511B" w:rsidRPr="00E54DA3" w:rsidRDefault="003E511B" w:rsidP="00C9545F">
      <w:pPr>
        <w:spacing w:line="276" w:lineRule="auto"/>
        <w:rPr>
          <w:rFonts w:eastAsiaTheme="minorHAnsi" w:cstheme="minorBidi"/>
          <w:b/>
          <w:bCs/>
          <w:i/>
          <w:iCs/>
          <w:lang w:eastAsia="en-US"/>
        </w:rPr>
      </w:pPr>
    </w:p>
    <w:p w14:paraId="628EB258" w14:textId="724B5B94" w:rsidR="007D50AF" w:rsidRPr="00664673" w:rsidRDefault="0063418D" w:rsidP="00C9545F">
      <w:pPr>
        <w:spacing w:line="276" w:lineRule="auto"/>
      </w:pPr>
      <w:r w:rsidRPr="000728EB">
        <w:rPr>
          <w:rFonts w:eastAsiaTheme="minorHAnsi" w:cstheme="minorBidi"/>
          <w:u w:val="single"/>
          <w:lang w:eastAsia="en-US"/>
        </w:rPr>
        <w:lastRenderedPageBreak/>
        <w:t>National Coordinator</w:t>
      </w:r>
      <w:r w:rsidR="00FA1766" w:rsidRPr="000728EB">
        <w:rPr>
          <w:u w:val="single"/>
        </w:rPr>
        <w:t xml:space="preserve"> </w:t>
      </w:r>
      <w:r w:rsidR="00FA1766" w:rsidRPr="000728EB">
        <w:rPr>
          <w:rFonts w:eastAsiaTheme="minorHAnsi" w:cstheme="minorBidi"/>
          <w:u w:val="single"/>
          <w:lang w:eastAsia="en-US"/>
        </w:rPr>
        <w:t>Against Discrimination and Racism</w:t>
      </w:r>
      <w:r w:rsidR="00416F4F">
        <w:rPr>
          <w:rFonts w:eastAsiaTheme="minorHAnsi" w:cstheme="minorBidi"/>
          <w:b/>
          <w:bCs/>
          <w:lang w:eastAsia="en-US"/>
        </w:rPr>
        <w:br/>
      </w:r>
      <w:r w:rsidRPr="00664673">
        <w:rPr>
          <w:rFonts w:eastAsiaTheme="minorHAnsi" w:cstheme="minorBidi"/>
          <w:lang w:eastAsia="en-US"/>
        </w:rPr>
        <w:br/>
        <w:t>The first National Coordinator Against Discrimination and Racism was appointed on 15 October 2021</w:t>
      </w:r>
      <w:r w:rsidR="006D48A0">
        <w:rPr>
          <w:rFonts w:eastAsiaTheme="minorHAnsi" w:cstheme="minorBidi"/>
          <w:lang w:eastAsia="en-US"/>
        </w:rPr>
        <w:t>.</w:t>
      </w:r>
      <w:r w:rsidR="00655B3E" w:rsidRPr="00664673">
        <w:rPr>
          <w:rStyle w:val="FootnoteReference"/>
          <w:rFonts w:eastAsiaTheme="minorHAnsi" w:cstheme="minorBidi"/>
          <w:lang w:eastAsia="en-US"/>
        </w:rPr>
        <w:footnoteReference w:id="14"/>
      </w:r>
      <w:r w:rsidRPr="00664673">
        <w:rPr>
          <w:rFonts w:eastAsiaTheme="minorHAnsi" w:cstheme="minorBidi"/>
          <w:lang w:eastAsia="en-US"/>
        </w:rPr>
        <w:t xml:space="preserve"> </w:t>
      </w:r>
    </w:p>
    <w:p w14:paraId="28A69352" w14:textId="196E75CD" w:rsidR="00436A6E" w:rsidRPr="00664673" w:rsidRDefault="00436A6E" w:rsidP="00C9545F">
      <w:pPr>
        <w:spacing w:line="276" w:lineRule="auto"/>
      </w:pPr>
    </w:p>
    <w:p w14:paraId="3DA9F81D" w14:textId="37732FC4" w:rsidR="00436A6E" w:rsidRPr="001B347D" w:rsidRDefault="00436A6E" w:rsidP="00C9545F">
      <w:pPr>
        <w:pStyle w:val="Heading2"/>
        <w:spacing w:line="276" w:lineRule="auto"/>
        <w:rPr>
          <w:rFonts w:ascii="Franklin Gothic Book" w:hAnsi="Franklin Gothic Book"/>
          <w:color w:val="ED7D31" w:themeColor="accent2"/>
        </w:rPr>
      </w:pPr>
      <w:bookmarkStart w:id="7" w:name="_Toc90280561"/>
      <w:r w:rsidRPr="001B347D">
        <w:rPr>
          <w:rFonts w:ascii="Franklin Gothic Book" w:hAnsi="Franklin Gothic Book"/>
          <w:color w:val="ED7D31" w:themeColor="accent2"/>
        </w:rPr>
        <w:t>Violence against children</w:t>
      </w:r>
      <w:bookmarkEnd w:id="7"/>
    </w:p>
    <w:p w14:paraId="58FC5362" w14:textId="377D35FC" w:rsidR="00436A6E" w:rsidRPr="000728EB" w:rsidRDefault="000728EB" w:rsidP="000728EB">
      <w:pPr>
        <w:pStyle w:val="Heading3"/>
        <w:rPr>
          <w:color w:val="auto"/>
        </w:rPr>
      </w:pPr>
      <w:r>
        <w:rPr>
          <w:color w:val="auto"/>
        </w:rPr>
        <w:br/>
      </w:r>
      <w:r w:rsidR="00436A6E" w:rsidRPr="000728EB">
        <w:rPr>
          <w:color w:val="auto"/>
        </w:rPr>
        <w:t>Committee De Winter</w:t>
      </w:r>
      <w:r>
        <w:rPr>
          <w:color w:val="auto"/>
        </w:rPr>
        <w:br/>
      </w:r>
    </w:p>
    <w:p w14:paraId="279AAFB5" w14:textId="73476A56" w:rsidR="00436A6E" w:rsidRPr="00A14B6C" w:rsidRDefault="00436A6E" w:rsidP="00C9545F">
      <w:pPr>
        <w:shd w:val="clear" w:color="auto" w:fill="FFFFFF"/>
        <w:spacing w:line="276" w:lineRule="auto"/>
        <w:rPr>
          <w:rFonts w:eastAsia="Times New Roman"/>
          <w:color w:val="201F1E"/>
        </w:rPr>
      </w:pPr>
      <w:r w:rsidRPr="00A14B6C">
        <w:rPr>
          <w:rFonts w:eastAsia="Times New Roman"/>
          <w:color w:val="201F1E"/>
        </w:rPr>
        <w:t>Following the Committee De Winter, a Compensation Fund for Abuse in Alternative Care was established.</w:t>
      </w:r>
      <w:r w:rsidR="00511F3F" w:rsidRPr="00A14B6C">
        <w:rPr>
          <w:rStyle w:val="FootnoteReference"/>
          <w:rFonts w:eastAsia="Times New Roman"/>
          <w:color w:val="201F1E"/>
        </w:rPr>
        <w:footnoteReference w:id="15"/>
      </w:r>
      <w:r w:rsidRPr="00A14B6C">
        <w:rPr>
          <w:rFonts w:eastAsia="Times New Roman"/>
          <w:color w:val="201F1E"/>
        </w:rPr>
        <w:t xml:space="preserve"> In November, the Fund published on its website that it has almost received 6</w:t>
      </w:r>
      <w:r w:rsidR="00511F3F" w:rsidRPr="00A14B6C">
        <w:rPr>
          <w:rFonts w:eastAsia="Times New Roman"/>
          <w:color w:val="201F1E"/>
        </w:rPr>
        <w:t>,</w:t>
      </w:r>
      <w:r w:rsidRPr="00A14B6C">
        <w:rPr>
          <w:rFonts w:eastAsia="Times New Roman"/>
          <w:color w:val="201F1E"/>
        </w:rPr>
        <w:t>000 requests, far more than expected. Because of this, victims have to wait an even longer time than the official 26 weeks that the fund takes to determine on the request.</w:t>
      </w:r>
      <w:r w:rsidR="00511F3F" w:rsidRPr="00A14B6C">
        <w:rPr>
          <w:rStyle w:val="FootnoteReference"/>
          <w:rFonts w:eastAsia="Times New Roman"/>
          <w:color w:val="201F1E"/>
        </w:rPr>
        <w:footnoteReference w:id="16"/>
      </w:r>
    </w:p>
    <w:p w14:paraId="566674E3" w14:textId="77777777" w:rsidR="00511F3F" w:rsidRPr="00664673" w:rsidRDefault="00511F3F" w:rsidP="00C9545F">
      <w:pPr>
        <w:pStyle w:val="Heading2"/>
        <w:spacing w:line="276" w:lineRule="auto"/>
        <w:rPr>
          <w:rFonts w:ascii="Franklin Gothic Book" w:hAnsi="Franklin Gothic Book"/>
          <w:b/>
          <w:bCs/>
          <w:color w:val="ED7D31" w:themeColor="accent2"/>
        </w:rPr>
      </w:pPr>
    </w:p>
    <w:p w14:paraId="2696158A" w14:textId="677A3595" w:rsidR="007D50AF" w:rsidRPr="001B347D" w:rsidRDefault="007D50AF" w:rsidP="00C9545F">
      <w:pPr>
        <w:pStyle w:val="Heading2"/>
        <w:spacing w:line="276" w:lineRule="auto"/>
        <w:rPr>
          <w:rFonts w:ascii="Franklin Gothic Book" w:hAnsi="Franklin Gothic Book"/>
          <w:color w:val="ED7D31" w:themeColor="accent2"/>
        </w:rPr>
      </w:pPr>
      <w:bookmarkStart w:id="8" w:name="_Toc90280562"/>
      <w:r w:rsidRPr="001B347D">
        <w:rPr>
          <w:rFonts w:ascii="Franklin Gothic Book" w:hAnsi="Franklin Gothic Book"/>
          <w:color w:val="ED7D31" w:themeColor="accent2"/>
        </w:rPr>
        <w:t>Disability, basic health and welfare</w:t>
      </w:r>
      <w:bookmarkEnd w:id="8"/>
      <w:r w:rsidR="00655B3E" w:rsidRPr="001B347D">
        <w:rPr>
          <w:rFonts w:ascii="Franklin Gothic Book" w:hAnsi="Franklin Gothic Book"/>
          <w:color w:val="ED7D31" w:themeColor="accent2"/>
        </w:rPr>
        <w:br/>
      </w:r>
    </w:p>
    <w:p w14:paraId="1C4E6A50" w14:textId="77777777" w:rsidR="00077D69" w:rsidRPr="00A14B6C" w:rsidRDefault="00077D69" w:rsidP="000728EB">
      <w:pPr>
        <w:pStyle w:val="Heading3"/>
      </w:pPr>
      <w:r w:rsidRPr="000728EB">
        <w:rPr>
          <w:color w:val="auto"/>
        </w:rPr>
        <w:t>Children’s rights and the environment with a special focus on climate change</w:t>
      </w:r>
    </w:p>
    <w:p w14:paraId="24768F41" w14:textId="3EDD703B" w:rsidR="00143C34" w:rsidRDefault="000728EB" w:rsidP="007C799E">
      <w:pPr>
        <w:pStyle w:val="Default"/>
        <w:spacing w:line="276" w:lineRule="auto"/>
        <w:rPr>
          <w:sz w:val="14"/>
          <w:szCs w:val="14"/>
          <w:lang w:val="en-US"/>
        </w:rPr>
      </w:pPr>
      <w:r>
        <w:rPr>
          <w:sz w:val="21"/>
          <w:szCs w:val="21"/>
          <w:u w:val="single"/>
          <w:lang w:val="en-US"/>
        </w:rPr>
        <w:br/>
      </w:r>
      <w:r w:rsidR="00143C34" w:rsidRPr="000728EB">
        <w:rPr>
          <w:sz w:val="21"/>
          <w:szCs w:val="21"/>
          <w:u w:val="single"/>
          <w:lang w:val="en-US"/>
        </w:rPr>
        <w:t>Royal Dutch Shell.</w:t>
      </w:r>
      <w:r w:rsidR="00143C34" w:rsidRPr="00F46F97">
        <w:rPr>
          <w:sz w:val="21"/>
          <w:szCs w:val="21"/>
          <w:lang w:val="en-US"/>
        </w:rPr>
        <w:t xml:space="preserve"> The Hague District Court has ordered the Royal Dutch Shell group in May this year to reduce its CO2 emissions by net 45% in 2030, compared to 2019 levels, through the Shell group's corporate policy.</w:t>
      </w:r>
      <w:r w:rsidR="00143C34">
        <w:rPr>
          <w:rStyle w:val="FootnoteReference"/>
          <w:sz w:val="21"/>
          <w:szCs w:val="21"/>
          <w:lang w:val="en-US"/>
        </w:rPr>
        <w:footnoteReference w:id="17"/>
      </w:r>
      <w:r w:rsidR="00143C34" w:rsidRPr="00F46F97">
        <w:rPr>
          <w:sz w:val="14"/>
          <w:szCs w:val="14"/>
          <w:lang w:val="en-US"/>
        </w:rPr>
        <w:t xml:space="preserve"> </w:t>
      </w:r>
      <w:r w:rsidR="00143C34" w:rsidRPr="00F46F97">
        <w:rPr>
          <w:sz w:val="21"/>
          <w:szCs w:val="21"/>
          <w:lang w:val="en-US"/>
        </w:rPr>
        <w:t>The judicial ruling however has not led to any changes in government policy. The responsible secretary of state for Climate has promised a ‘deep analysis’ into the consequences of this verdict after the summer of 2021,</w:t>
      </w:r>
      <w:r w:rsidR="00143C34">
        <w:rPr>
          <w:sz w:val="21"/>
          <w:szCs w:val="21"/>
          <w:lang w:val="en-US"/>
        </w:rPr>
        <w:t xml:space="preserve"> which finally arrived on 6 December.</w:t>
      </w:r>
      <w:r w:rsidR="00143C34">
        <w:rPr>
          <w:rStyle w:val="FootnoteReference"/>
          <w:sz w:val="21"/>
          <w:szCs w:val="21"/>
          <w:lang w:val="en-US"/>
        </w:rPr>
        <w:footnoteReference w:id="18"/>
      </w:r>
      <w:r w:rsidR="00143C34">
        <w:rPr>
          <w:sz w:val="21"/>
          <w:szCs w:val="21"/>
          <w:lang w:val="en-US"/>
        </w:rPr>
        <w:t xml:space="preserve"> In this analysis, the government indicates it does not see any consequences of this verdict for their own policies, either climate policy nor corporate responsibility. Thereby ignoring the State’s obligation to ensure business’ sector responsibility regarding children’s rights, as laid down in General Comment 16.    </w:t>
      </w:r>
    </w:p>
    <w:p w14:paraId="790842E2" w14:textId="77777777" w:rsidR="00077D69" w:rsidRPr="00664673" w:rsidRDefault="00077D69" w:rsidP="007C799E">
      <w:pPr>
        <w:autoSpaceDE w:val="0"/>
        <w:autoSpaceDN w:val="0"/>
        <w:adjustRightInd w:val="0"/>
        <w:spacing w:after="0" w:line="276" w:lineRule="auto"/>
        <w:rPr>
          <w:rFonts w:eastAsiaTheme="minorHAnsi" w:cs="Franklin Gothic Book"/>
          <w:color w:val="000000"/>
          <w:sz w:val="14"/>
          <w:szCs w:val="14"/>
          <w:lang w:eastAsia="en-US"/>
        </w:rPr>
      </w:pPr>
    </w:p>
    <w:p w14:paraId="4CFAC4BF" w14:textId="77777777" w:rsidR="00077D69" w:rsidRPr="00664673" w:rsidRDefault="00077D69" w:rsidP="007C799E">
      <w:pPr>
        <w:autoSpaceDE w:val="0"/>
        <w:autoSpaceDN w:val="0"/>
        <w:adjustRightInd w:val="0"/>
        <w:spacing w:after="0" w:line="276" w:lineRule="auto"/>
        <w:rPr>
          <w:rFonts w:eastAsiaTheme="minorHAnsi" w:cs="Franklin Gothic Book"/>
          <w:color w:val="000000"/>
          <w:sz w:val="14"/>
          <w:szCs w:val="14"/>
          <w:lang w:eastAsia="en-US"/>
        </w:rPr>
      </w:pPr>
      <w:r w:rsidRPr="000728EB">
        <w:rPr>
          <w:rFonts w:eastAsiaTheme="minorHAnsi" w:cs="Franklin Gothic Book"/>
          <w:color w:val="000000"/>
          <w:u w:val="single"/>
          <w:lang w:eastAsia="en-US"/>
        </w:rPr>
        <w:t>Tata Steel.</w:t>
      </w:r>
      <w:r w:rsidRPr="00664673">
        <w:rPr>
          <w:rFonts w:eastAsiaTheme="minorHAnsi" w:cs="Franklin Gothic Book"/>
          <w:color w:val="000000"/>
          <w:lang w:eastAsia="en-US"/>
        </w:rPr>
        <w:t xml:space="preserve"> The pollution and associated risk to local children’s’ health caused by Tata Steel, and its predecessors are a big concern. A report published by public health institute RIVM in August 2021, shows that the dust in the IJmond area contained extremely high concentrations of hazardous PAHs and heavy metals.</w:t>
      </w:r>
      <w:r w:rsidRPr="00664673">
        <w:rPr>
          <w:rFonts w:eastAsiaTheme="minorHAnsi" w:cs="Franklin Gothic Book"/>
          <w:color w:val="000000"/>
          <w:vertAlign w:val="superscript"/>
          <w:lang w:eastAsia="en-US"/>
        </w:rPr>
        <w:footnoteReference w:id="19"/>
      </w:r>
      <w:r w:rsidRPr="00664673">
        <w:rPr>
          <w:rFonts w:eastAsiaTheme="minorHAnsi" w:cs="Franklin Gothic Book"/>
          <w:color w:val="000000"/>
          <w:sz w:val="14"/>
          <w:szCs w:val="14"/>
          <w:lang w:eastAsia="en-US"/>
        </w:rPr>
        <w:t xml:space="preserve"> </w:t>
      </w:r>
      <w:r w:rsidRPr="00664673">
        <w:rPr>
          <w:rFonts w:eastAsiaTheme="minorHAnsi" w:cs="Franklin Gothic Book"/>
          <w:color w:val="000000"/>
          <w:lang w:eastAsia="en-US"/>
        </w:rPr>
        <w:t xml:space="preserve">The report has led to parliamentary majority demanding the state’s assistance for </w:t>
      </w:r>
      <w:r w:rsidRPr="00664673">
        <w:rPr>
          <w:rFonts w:eastAsiaTheme="minorHAnsi" w:cs="Franklin Gothic Book"/>
          <w:color w:val="000000"/>
          <w:lang w:eastAsia="en-US"/>
        </w:rPr>
        <w:lastRenderedPageBreak/>
        <w:t>a transition to cleaner production.</w:t>
      </w:r>
      <w:r w:rsidRPr="00664673">
        <w:rPr>
          <w:rFonts w:eastAsiaTheme="minorHAnsi" w:cs="Franklin Gothic Book"/>
          <w:color w:val="000000"/>
          <w:vertAlign w:val="superscript"/>
          <w:lang w:eastAsia="en-US"/>
        </w:rPr>
        <w:footnoteReference w:id="20"/>
      </w:r>
      <w:r w:rsidRPr="00664673">
        <w:rPr>
          <w:rFonts w:eastAsiaTheme="minorHAnsi" w:cs="Franklin Gothic Book"/>
          <w:color w:val="000000"/>
          <w:sz w:val="14"/>
          <w:szCs w:val="14"/>
          <w:lang w:eastAsia="en-US"/>
        </w:rPr>
        <w:t xml:space="preserve"> </w:t>
      </w:r>
      <w:r w:rsidRPr="00664673">
        <w:rPr>
          <w:rFonts w:eastAsiaTheme="minorHAnsi" w:cs="Franklin Gothic Book"/>
          <w:color w:val="000000"/>
          <w:lang w:eastAsia="en-US"/>
        </w:rPr>
        <w:t>Part of the pollution is caused with Tata Steel acting within its permits conditions, which calls for stricter emission standards if the State want to mitigate/eliminate negative impact on children’s health. Local children protested against Tata Steel, concerned about their health &amp; wellbeing.</w:t>
      </w:r>
      <w:r w:rsidRPr="00664673">
        <w:rPr>
          <w:rFonts w:eastAsiaTheme="minorHAnsi" w:cs="Franklin Gothic Book"/>
          <w:color w:val="000000"/>
          <w:vertAlign w:val="superscript"/>
          <w:lang w:eastAsia="en-US"/>
        </w:rPr>
        <w:footnoteReference w:id="21"/>
      </w:r>
    </w:p>
    <w:p w14:paraId="4B5ABBE9" w14:textId="77777777" w:rsidR="00077D69" w:rsidRPr="00664673" w:rsidRDefault="00077D69" w:rsidP="007C799E">
      <w:pPr>
        <w:autoSpaceDE w:val="0"/>
        <w:autoSpaceDN w:val="0"/>
        <w:adjustRightInd w:val="0"/>
        <w:spacing w:after="0" w:line="276" w:lineRule="auto"/>
        <w:rPr>
          <w:rFonts w:eastAsiaTheme="minorHAnsi" w:cs="Franklin Gothic Book"/>
          <w:color w:val="000000"/>
          <w:sz w:val="14"/>
          <w:szCs w:val="14"/>
          <w:lang w:eastAsia="en-US"/>
        </w:rPr>
      </w:pPr>
    </w:p>
    <w:p w14:paraId="347C60A3" w14:textId="77777777" w:rsidR="00250666" w:rsidRPr="00664673" w:rsidRDefault="00250666" w:rsidP="007C799E">
      <w:pPr>
        <w:spacing w:line="276" w:lineRule="auto"/>
        <w:contextualSpacing/>
      </w:pPr>
      <w:r w:rsidRPr="000728EB">
        <w:rPr>
          <w:u w:val="single"/>
        </w:rPr>
        <w:t>Westerschelde.</w:t>
      </w:r>
      <w:r w:rsidRPr="00664673">
        <w:t xml:space="preserve"> In November, the Belgian seat of chemical company 3M in Zwijndrecht, the Netherlands (at the border), has temporarily stopped its activities due to the fact that the company could not evidence that it had not been discharging carcinogenic pfoa into the surface water.</w:t>
      </w:r>
      <w:r w:rsidRPr="00664673">
        <w:rPr>
          <w:rStyle w:val="FootnoteReference"/>
        </w:rPr>
        <w:footnoteReference w:id="22"/>
      </w:r>
      <w:r w:rsidRPr="00664673">
        <w:t xml:space="preserve"> They indicated this is the only way to protect the citizens of pollution. </w:t>
      </w:r>
    </w:p>
    <w:p w14:paraId="1EDF2C26" w14:textId="375146BD" w:rsidR="00077D69" w:rsidRPr="00A14B6C" w:rsidRDefault="00250666" w:rsidP="007C799E">
      <w:pPr>
        <w:spacing w:line="276" w:lineRule="auto"/>
      </w:pPr>
      <w:r w:rsidRPr="00664673">
        <w:br/>
      </w:r>
      <w:r w:rsidRPr="000728EB">
        <w:rPr>
          <w:u w:val="single"/>
        </w:rPr>
        <w:t>Groningen.</w:t>
      </w:r>
      <w:r w:rsidRPr="00664673">
        <w:rPr>
          <w:b/>
          <w:bCs/>
        </w:rPr>
        <w:t xml:space="preserve"> </w:t>
      </w:r>
      <w:r w:rsidRPr="00664673">
        <w:t>In the night of 16 November, the heaviest earthquake took place since 2019 with a force of 3,2 on the scale of Richter.</w:t>
      </w:r>
      <w:r w:rsidRPr="00664673">
        <w:rPr>
          <w:b/>
          <w:bCs/>
        </w:rPr>
        <w:t xml:space="preserve"> </w:t>
      </w:r>
      <w:r w:rsidRPr="00664673">
        <w:t>The State Supervisory Authority on Mines (</w:t>
      </w:r>
      <w:r w:rsidRPr="00D406D4">
        <w:rPr>
          <w:i/>
          <w:iCs/>
        </w:rPr>
        <w:t>Staatstoezicht op de Mijnen</w:t>
      </w:r>
      <w:r w:rsidRPr="00664673">
        <w:t>) then stated that the inhabitants will keep experiencing earthquakes, also of that magnitude, in the coming ten years, as the gas fields in Groningen need to “cool off” .</w:t>
      </w:r>
      <w:r w:rsidRPr="00664673">
        <w:rPr>
          <w:rStyle w:val="FootnoteReference"/>
        </w:rPr>
        <w:footnoteReference w:id="23"/>
      </w:r>
      <w:r w:rsidRPr="00664673">
        <w:t xml:space="preserve"> At the same time, due to increasing gas prices worldwide, talks are ongoing about starting drilling for gas anew in Groningen.</w:t>
      </w:r>
    </w:p>
    <w:p w14:paraId="10477D90" w14:textId="62648698" w:rsidR="000728EB" w:rsidRPr="000728EB" w:rsidRDefault="00221B54" w:rsidP="000728EB">
      <w:pPr>
        <w:pStyle w:val="Heading3"/>
        <w:rPr>
          <w:color w:val="auto"/>
        </w:rPr>
      </w:pPr>
      <w:r w:rsidRPr="000728EB">
        <w:rPr>
          <w:color w:val="auto"/>
        </w:rPr>
        <w:t>Mental wellbeing and mental health (care)</w:t>
      </w:r>
      <w:r w:rsidR="000728EB">
        <w:rPr>
          <w:color w:val="auto"/>
        </w:rPr>
        <w:br/>
      </w:r>
    </w:p>
    <w:p w14:paraId="0E504AFC" w14:textId="52E35008" w:rsidR="007B6817" w:rsidRPr="00A14B6C" w:rsidRDefault="00C4166E" w:rsidP="007C799E">
      <w:pPr>
        <w:spacing w:line="276" w:lineRule="auto"/>
      </w:pPr>
      <w:r w:rsidRPr="00A14B6C">
        <w:t>In the</w:t>
      </w:r>
      <w:r w:rsidR="00221B54" w:rsidRPr="00A14B6C">
        <w:t xml:space="preserve"> </w:t>
      </w:r>
      <w:r w:rsidR="00D406D4">
        <w:t>‘Written inputs to the State’ Report</w:t>
      </w:r>
      <w:r w:rsidR="00221B54" w:rsidRPr="00A14B6C">
        <w:t xml:space="preserve"> and </w:t>
      </w:r>
      <w:r w:rsidR="00D406D4">
        <w:t xml:space="preserve">at </w:t>
      </w:r>
      <w:r w:rsidR="00221B54" w:rsidRPr="00A14B6C">
        <w:t>the pre-session</w:t>
      </w:r>
      <w:r w:rsidRPr="00A14B6C">
        <w:t>,</w:t>
      </w:r>
      <w:r w:rsidR="00221B54" w:rsidRPr="00A14B6C">
        <w:t xml:space="preserve"> the Dutch </w:t>
      </w:r>
      <w:r w:rsidR="00D406D4">
        <w:t xml:space="preserve">NGO </w:t>
      </w:r>
      <w:r w:rsidR="00221B54" w:rsidRPr="00A14B6C">
        <w:t>Coalition reflected the concerns about the mental wellbeing of and the (access to) mental health (care) for children in the Netherlands. The Dutch government is paying attention to this but at the same time waiting for a new government to take steps. The last six months</w:t>
      </w:r>
      <w:r w:rsidR="004C294F">
        <w:t>,</w:t>
      </w:r>
      <w:r w:rsidR="00221B54" w:rsidRPr="00A14B6C">
        <w:t xml:space="preserve"> several research were published which confirms the concerns in the </w:t>
      </w:r>
      <w:r w:rsidR="004C294F" w:rsidRPr="004C294F">
        <w:t>‘Written inputs to the State’ Repor</w:t>
      </w:r>
      <w:r w:rsidR="004C294F">
        <w:t xml:space="preserve">t </w:t>
      </w:r>
      <w:r w:rsidR="00221B54" w:rsidRPr="00A14B6C">
        <w:t>.</w:t>
      </w:r>
      <w:r w:rsidR="00F35ECB" w:rsidRPr="00A14B6C">
        <w:rPr>
          <w:rStyle w:val="FootnoteReference"/>
        </w:rPr>
        <w:footnoteReference w:id="24"/>
      </w:r>
    </w:p>
    <w:p w14:paraId="0D12F2B4" w14:textId="033AD2BF" w:rsidR="00551ECF" w:rsidRPr="000728EB" w:rsidRDefault="00551ECF" w:rsidP="000728EB">
      <w:pPr>
        <w:pStyle w:val="Heading3"/>
        <w:rPr>
          <w:color w:val="auto"/>
        </w:rPr>
      </w:pPr>
      <w:r w:rsidRPr="000728EB">
        <w:rPr>
          <w:color w:val="auto"/>
        </w:rPr>
        <w:t>Poverty amongst children</w:t>
      </w:r>
      <w:r w:rsidR="000728EB">
        <w:rPr>
          <w:color w:val="auto"/>
        </w:rPr>
        <w:br/>
      </w:r>
    </w:p>
    <w:p w14:paraId="2F0676F4" w14:textId="50053DDE" w:rsidR="00551ECF" w:rsidRPr="000728EB" w:rsidRDefault="00551ECF" w:rsidP="007C799E">
      <w:pPr>
        <w:spacing w:after="0" w:line="276" w:lineRule="auto"/>
        <w:rPr>
          <w:color w:val="000000"/>
          <w:u w:val="single"/>
        </w:rPr>
      </w:pPr>
      <w:r w:rsidRPr="000728EB">
        <w:rPr>
          <w:color w:val="000000"/>
          <w:u w:val="single"/>
        </w:rPr>
        <w:t xml:space="preserve">Childcare </w:t>
      </w:r>
      <w:r w:rsidR="003A7C1D" w:rsidRPr="000728EB">
        <w:rPr>
          <w:color w:val="000000"/>
          <w:u w:val="single"/>
        </w:rPr>
        <w:t xml:space="preserve">benefit </w:t>
      </w:r>
      <w:r w:rsidRPr="000728EB">
        <w:rPr>
          <w:color w:val="000000"/>
          <w:u w:val="single"/>
        </w:rPr>
        <w:t>affair (‘kinderopvangtoeslagaffaire’)</w:t>
      </w:r>
    </w:p>
    <w:p w14:paraId="74234649" w14:textId="77777777" w:rsidR="00416F4F" w:rsidRPr="00416F4F" w:rsidRDefault="00416F4F" w:rsidP="007C799E">
      <w:pPr>
        <w:spacing w:after="0" w:line="276" w:lineRule="auto"/>
        <w:rPr>
          <w:b/>
          <w:bCs/>
          <w:color w:val="000000"/>
        </w:rPr>
      </w:pPr>
    </w:p>
    <w:p w14:paraId="260E44CF" w14:textId="71252015" w:rsidR="00551ECF" w:rsidRPr="00664673" w:rsidRDefault="00551ECF" w:rsidP="007C799E">
      <w:pPr>
        <w:spacing w:after="0" w:line="276" w:lineRule="auto"/>
      </w:pPr>
      <w:r w:rsidRPr="00A14B6C">
        <w:rPr>
          <w:color w:val="000000"/>
        </w:rPr>
        <w:t xml:space="preserve">The past years, </w:t>
      </w:r>
      <w:r w:rsidR="00391E21">
        <w:rPr>
          <w:color w:val="000000"/>
        </w:rPr>
        <w:t xml:space="preserve">the </w:t>
      </w:r>
      <w:r w:rsidRPr="00A14B6C">
        <w:rPr>
          <w:color w:val="000000"/>
        </w:rPr>
        <w:t>Netherlands had to deal with the failure of the</w:t>
      </w:r>
      <w:r w:rsidRPr="00A14B6C">
        <w:t xml:space="preserve"> </w:t>
      </w:r>
      <w:r w:rsidR="00B22B8A" w:rsidRPr="00B22B8A">
        <w:t>Child</w:t>
      </w:r>
      <w:r w:rsidR="003A7C1D">
        <w:t>care</w:t>
      </w:r>
      <w:r w:rsidR="00B22B8A" w:rsidRPr="00B22B8A">
        <w:t xml:space="preserve"> Benefit Affair</w:t>
      </w:r>
      <w:r w:rsidR="00B22B8A" w:rsidRPr="00B22B8A" w:rsidDel="00B22B8A">
        <w:t xml:space="preserve"> </w:t>
      </w:r>
      <w:r w:rsidRPr="00664673">
        <w:t>(‘kinderopvangtoeslagaffaire’). Tax authorities wrongly accused parents of making fraudulent benefit claims, requiring them to pay back the allowances they had received in their entirety. In many cases, this sum amounted to tens of thousands of euros, driving families into severe financial hardship. As a result, some of the victims had to deal with large-scale disruptions in their lives because they lost their home or job, developed psychological problems, or could no longer afford the necessary medical treatments. Over the period 2008 - 2019, there were an estimated 26</w:t>
      </w:r>
      <w:r w:rsidR="00391E21">
        <w:t>,</w:t>
      </w:r>
      <w:r w:rsidRPr="00664673">
        <w:t>000 parents and 70</w:t>
      </w:r>
      <w:r w:rsidR="00391E21">
        <w:t>,</w:t>
      </w:r>
      <w:r w:rsidRPr="00664673">
        <w:t xml:space="preserve">000 children who had made (often minor) mistakes or who had been misled by childcare agencies, when claiming for the allowance. By the end of September 2021, 47,000 parents have come forward and requested recovery. </w:t>
      </w:r>
    </w:p>
    <w:p w14:paraId="0C728EB2" w14:textId="77777777" w:rsidR="00551ECF" w:rsidRPr="000728EB" w:rsidRDefault="00551ECF" w:rsidP="00C9545F">
      <w:pPr>
        <w:spacing w:after="0" w:line="276" w:lineRule="auto"/>
        <w:rPr>
          <w:u w:val="single"/>
        </w:rPr>
      </w:pPr>
    </w:p>
    <w:p w14:paraId="21D8FFCF" w14:textId="084C5A28" w:rsidR="00551ECF" w:rsidRPr="000728EB" w:rsidRDefault="00551ECF" w:rsidP="00C9545F">
      <w:pPr>
        <w:spacing w:after="0" w:line="276" w:lineRule="auto"/>
        <w:rPr>
          <w:u w:val="single"/>
        </w:rPr>
      </w:pPr>
      <w:r w:rsidRPr="000728EB">
        <w:rPr>
          <w:u w:val="single"/>
        </w:rPr>
        <w:t>Recovery and compensation</w:t>
      </w:r>
    </w:p>
    <w:p w14:paraId="742B58EA" w14:textId="77777777" w:rsidR="00416F4F" w:rsidRPr="00416F4F" w:rsidRDefault="00416F4F" w:rsidP="00C9545F">
      <w:pPr>
        <w:spacing w:after="0" w:line="276" w:lineRule="auto"/>
        <w:rPr>
          <w:b/>
          <w:bCs/>
        </w:rPr>
      </w:pPr>
    </w:p>
    <w:p w14:paraId="1CDA6412" w14:textId="6231159C" w:rsidR="00551ECF" w:rsidRPr="00664673" w:rsidRDefault="00551ECF" w:rsidP="00C9545F">
      <w:pPr>
        <w:spacing w:after="0" w:line="276" w:lineRule="auto"/>
      </w:pPr>
      <w:r w:rsidRPr="00664673">
        <w:t xml:space="preserve">A Parliamentary Interrogation Committee on Childcare </w:t>
      </w:r>
      <w:r w:rsidR="009673FF">
        <w:t>Benefit</w:t>
      </w:r>
      <w:r w:rsidRPr="00664673">
        <w:t xml:space="preserve"> was established and presented its report ‘Unknown Injustice’ in December 2020.</w:t>
      </w:r>
      <w:r w:rsidRPr="00664673">
        <w:rPr>
          <w:rStyle w:val="FootnoteReference"/>
        </w:rPr>
        <w:footnoteReference w:id="25"/>
      </w:r>
      <w:r w:rsidRPr="00664673">
        <w:t xml:space="preserve"> Following the parliamentary inquiry into the matter, several Minsters and the Rutte III cabinet resigned. The government announced measures to prevent another </w:t>
      </w:r>
      <w:r w:rsidR="00797097">
        <w:t>benefit</w:t>
      </w:r>
      <w:r w:rsidRPr="00664673">
        <w:t xml:space="preserve"> “affair” in the future and expanded the compensation scheme. </w:t>
      </w:r>
    </w:p>
    <w:p w14:paraId="013DBF0A" w14:textId="575DD824" w:rsidR="00551ECF" w:rsidRPr="00664673" w:rsidRDefault="00551ECF" w:rsidP="00C9545F">
      <w:pPr>
        <w:spacing w:after="0" w:line="276" w:lineRule="auto"/>
      </w:pPr>
      <w:r w:rsidRPr="00664673">
        <w:t xml:space="preserve">However, the announced compensation is taking longer than expected, and many children and families are still in precarious circumstances. The Ombudsman's report shows that the operation to compensate parents who have been duped by the </w:t>
      </w:r>
      <w:r w:rsidR="00797097">
        <w:t>benefit</w:t>
      </w:r>
      <w:r w:rsidRPr="00664673">
        <w:t xml:space="preserve"> affair is in trouble.</w:t>
      </w:r>
      <w:r w:rsidR="00405F8F" w:rsidRPr="00664673">
        <w:rPr>
          <w:rStyle w:val="FootnoteReference"/>
        </w:rPr>
        <w:footnoteReference w:id="26"/>
      </w:r>
      <w:r w:rsidR="00405F8F">
        <w:t xml:space="preserve"> </w:t>
      </w:r>
      <w:r w:rsidRPr="00664673">
        <w:t xml:space="preserve">"Parents are still stuck, recovery is slow, and the system is too complicated." The legal processing times are exceeded in more than a quarter of the cases. At the end of September, the maximum decision period had expired for more than 5,700 recovery requests. In response to this, State Secretary of Finance - Surcharges and Customs acknowledges that the complaints handling of the </w:t>
      </w:r>
      <w:r w:rsidR="000A10C4">
        <w:t>childcare benefit</w:t>
      </w:r>
      <w:r w:rsidRPr="00664673">
        <w:t xml:space="preserve"> affair is seriously inadequate.</w:t>
      </w:r>
      <w:r w:rsidRPr="00664673">
        <w:rPr>
          <w:rStyle w:val="FootnoteReference"/>
        </w:rPr>
        <w:footnoteReference w:id="27"/>
      </w:r>
      <w:r w:rsidRPr="00664673">
        <w:t xml:space="preserve"> A plan still seems to be missing. Of the more than 47,000 victims who reported, only 10 percent have received full compensation.</w:t>
      </w:r>
    </w:p>
    <w:p w14:paraId="38D69476" w14:textId="77777777" w:rsidR="00551ECF" w:rsidRPr="00664673" w:rsidRDefault="00551ECF" w:rsidP="00C9545F">
      <w:pPr>
        <w:spacing w:after="0" w:line="276" w:lineRule="auto"/>
      </w:pPr>
    </w:p>
    <w:p w14:paraId="1B0A44B1" w14:textId="3DFF058A" w:rsidR="00551ECF" w:rsidRPr="000728EB" w:rsidRDefault="00551ECF" w:rsidP="00C9545F">
      <w:pPr>
        <w:spacing w:after="0" w:line="276" w:lineRule="auto"/>
        <w:rPr>
          <w:u w:val="single"/>
        </w:rPr>
      </w:pPr>
      <w:r w:rsidRPr="000728EB">
        <w:rPr>
          <w:u w:val="single"/>
        </w:rPr>
        <w:t>Out-of-home placements children</w:t>
      </w:r>
    </w:p>
    <w:p w14:paraId="7B8454C6" w14:textId="77777777" w:rsidR="00416F4F" w:rsidRPr="00416F4F" w:rsidRDefault="00416F4F" w:rsidP="00C9545F">
      <w:pPr>
        <w:spacing w:after="0" w:line="276" w:lineRule="auto"/>
        <w:rPr>
          <w:b/>
          <w:bCs/>
        </w:rPr>
      </w:pPr>
    </w:p>
    <w:p w14:paraId="01C9DB73" w14:textId="1FC67924" w:rsidR="004E192F" w:rsidRPr="00664673" w:rsidRDefault="002A27B9" w:rsidP="00C9545F">
      <w:pPr>
        <w:spacing w:after="0" w:line="276" w:lineRule="auto"/>
      </w:pPr>
      <w:r w:rsidRPr="00664673">
        <w:t>In October,</w:t>
      </w:r>
      <w:r w:rsidR="00551ECF" w:rsidRPr="00664673">
        <w:t xml:space="preserve"> the Central Bureau of Statistics announced that between 2015 and 2020 about 1,115 children of victims of the </w:t>
      </w:r>
      <w:r w:rsidR="006D290E" w:rsidRPr="006D290E">
        <w:t>Child</w:t>
      </w:r>
      <w:r w:rsidR="003A7C1D">
        <w:t>care</w:t>
      </w:r>
      <w:r w:rsidR="006D290E" w:rsidRPr="006D290E">
        <w:t xml:space="preserve"> Benefits Affair</w:t>
      </w:r>
      <w:r w:rsidR="006D290E" w:rsidRPr="006D290E" w:rsidDel="006D290E">
        <w:t xml:space="preserve"> </w:t>
      </w:r>
      <w:r w:rsidR="00551ECF" w:rsidRPr="00664673">
        <w:t>were placed out of their homes.</w:t>
      </w:r>
      <w:r w:rsidR="00551ECF" w:rsidRPr="00664673">
        <w:rPr>
          <w:rStyle w:val="FootnoteReference"/>
        </w:rPr>
        <w:footnoteReference w:id="28"/>
      </w:r>
      <w:r w:rsidR="00551ECF" w:rsidRPr="00664673">
        <w:t xml:space="preserve"> The number is probably higher than 1,115, because Statistics Netherlands has only examined a limited group, namely the 20,000 parents of whom it has already been established that they have been duped in the </w:t>
      </w:r>
      <w:r w:rsidR="006D290E" w:rsidRPr="006D290E">
        <w:t>Child Benefits Affair</w:t>
      </w:r>
      <w:r w:rsidR="00551ECF" w:rsidRPr="00664673">
        <w:t>. Another 28,000 people have come forward, of whom it must be determined whether they have indeed been duped and are therefore entitled to compensation. And people are still reporting as victims. In addition, out-of-home placements that did not involve a judge are not included in the statistics. There are also no data available before 2015</w:t>
      </w:r>
      <w:r w:rsidR="002423B1" w:rsidRPr="00664673">
        <w:rPr>
          <w:rStyle w:val="FootnoteReference"/>
        </w:rPr>
        <w:footnoteReference w:id="29"/>
      </w:r>
      <w:r w:rsidR="00551ECF" w:rsidRPr="00664673">
        <w:t xml:space="preserve">, the year in which the Youth Act came into effect. </w:t>
      </w:r>
      <w:r w:rsidR="004E192F" w:rsidRPr="00664673">
        <w:t xml:space="preserve">420 children are still separated. Members of Parliament have requested the Central Government to conduct independent research. Minister </w:t>
      </w:r>
      <w:r w:rsidR="00405F8F" w:rsidRPr="00405F8F">
        <w:t>for Legal Protection</w:t>
      </w:r>
      <w:r w:rsidR="00405F8F">
        <w:t xml:space="preserve"> </w:t>
      </w:r>
      <w:r w:rsidR="004E192F" w:rsidRPr="00664673">
        <w:t>Dekker</w:t>
      </w:r>
      <w:r w:rsidR="00405F8F">
        <w:t>,</w:t>
      </w:r>
      <w:r w:rsidR="004E192F" w:rsidRPr="00664673">
        <w:t xml:space="preserve"> recently agreed to reassess the cases of the current 420 children.</w:t>
      </w:r>
    </w:p>
    <w:p w14:paraId="59E0F1E6" w14:textId="77777777" w:rsidR="00551ECF" w:rsidRPr="00664673" w:rsidRDefault="00551ECF" w:rsidP="00C9545F">
      <w:pPr>
        <w:spacing w:after="0" w:line="276" w:lineRule="auto"/>
      </w:pPr>
    </w:p>
    <w:p w14:paraId="25ACE6CA" w14:textId="6DD4B4D9" w:rsidR="00551ECF" w:rsidRPr="000728EB" w:rsidRDefault="00551ECF" w:rsidP="00C9545F">
      <w:pPr>
        <w:spacing w:after="0" w:line="276" w:lineRule="auto"/>
        <w:rPr>
          <w:u w:val="single"/>
        </w:rPr>
      </w:pPr>
      <w:r w:rsidRPr="000728EB">
        <w:rPr>
          <w:u w:val="single"/>
        </w:rPr>
        <w:t>Not indexing child</w:t>
      </w:r>
      <w:r w:rsidR="00AB459B" w:rsidRPr="000728EB">
        <w:rPr>
          <w:u w:val="single"/>
        </w:rPr>
        <w:t xml:space="preserve">ren’s allowance </w:t>
      </w:r>
      <w:r w:rsidRPr="000728EB">
        <w:rPr>
          <w:u w:val="single"/>
        </w:rPr>
        <w:t>(kinderbijslag) 2022-2024</w:t>
      </w:r>
    </w:p>
    <w:p w14:paraId="25CE13A7" w14:textId="77777777" w:rsidR="00416F4F" w:rsidRPr="00416F4F" w:rsidRDefault="00416F4F" w:rsidP="00C9545F">
      <w:pPr>
        <w:spacing w:after="0" w:line="276" w:lineRule="auto"/>
        <w:rPr>
          <w:b/>
          <w:bCs/>
        </w:rPr>
      </w:pPr>
    </w:p>
    <w:p w14:paraId="065BF068" w14:textId="3773DC9C" w:rsidR="003127AB" w:rsidRPr="00664673" w:rsidRDefault="00551ECF" w:rsidP="00C9545F">
      <w:pPr>
        <w:spacing w:after="0" w:line="276" w:lineRule="auto"/>
      </w:pPr>
      <w:r w:rsidRPr="00664673">
        <w:t xml:space="preserve">The cabinet wants to save on </w:t>
      </w:r>
      <w:bookmarkStart w:id="9" w:name="_Hlk87361363"/>
      <w:r w:rsidRPr="00664673">
        <w:t>child</w:t>
      </w:r>
      <w:r w:rsidR="00AB459B">
        <w:t>ren’s allowance</w:t>
      </w:r>
      <w:r w:rsidR="00AB459B" w:rsidRPr="00664673">
        <w:t xml:space="preserve"> </w:t>
      </w:r>
      <w:r w:rsidRPr="00664673">
        <w:t xml:space="preserve">(kinderbijslag) by not indexing </w:t>
      </w:r>
      <w:bookmarkEnd w:id="9"/>
      <w:r w:rsidRPr="00664673">
        <w:t>the amount in 2022 and 2023 and less in 2024. According to the cabinet, the measure should raise 100 million euros annually to improve the information and communication systems of various implementing organizations. The envisaged measure has a negative effect on the purchasing power of households, especially households below the low-income threshold. Recently (October 26, 2021) the bill has been passed in the House of Representatives.</w:t>
      </w:r>
      <w:r w:rsidRPr="00664673">
        <w:rPr>
          <w:rStyle w:val="FootnoteReference"/>
        </w:rPr>
        <w:footnoteReference w:id="30"/>
      </w:r>
      <w:r w:rsidRPr="00664673">
        <w:t xml:space="preserve"> It is hard to understand how this measure fits with the government’s efforts to reduce poverty among children.</w:t>
      </w:r>
    </w:p>
    <w:p w14:paraId="138A620F" w14:textId="77777777" w:rsidR="003127AB" w:rsidRPr="00664673" w:rsidRDefault="003127AB" w:rsidP="00C9545F">
      <w:pPr>
        <w:spacing w:after="0" w:line="276" w:lineRule="auto"/>
      </w:pPr>
    </w:p>
    <w:p w14:paraId="751E8BE0" w14:textId="142AD81B" w:rsidR="00551ECF" w:rsidRPr="000728EB" w:rsidRDefault="003127AB" w:rsidP="00C9545F">
      <w:pPr>
        <w:spacing w:after="0" w:line="276" w:lineRule="auto"/>
        <w:rPr>
          <w:u w:val="single"/>
        </w:rPr>
      </w:pPr>
      <w:r w:rsidRPr="000728EB">
        <w:rPr>
          <w:u w:val="single"/>
        </w:rPr>
        <w:t>Increase minimum wages BES-islands</w:t>
      </w:r>
      <w:r w:rsidR="00551ECF" w:rsidRPr="000728EB">
        <w:rPr>
          <w:u w:val="single"/>
        </w:rPr>
        <w:t xml:space="preserve"> </w:t>
      </w:r>
    </w:p>
    <w:p w14:paraId="4AB12D3E" w14:textId="77777777" w:rsidR="00416F4F" w:rsidRPr="00416F4F" w:rsidRDefault="00416F4F" w:rsidP="00C9545F">
      <w:pPr>
        <w:spacing w:after="0" w:line="276" w:lineRule="auto"/>
        <w:rPr>
          <w:b/>
          <w:bCs/>
        </w:rPr>
      </w:pPr>
    </w:p>
    <w:p w14:paraId="40744F09" w14:textId="6F353D42" w:rsidR="003127AB" w:rsidRPr="00664673" w:rsidRDefault="003127AB" w:rsidP="00C9545F">
      <w:pPr>
        <w:spacing w:after="0" w:line="276" w:lineRule="auto"/>
      </w:pPr>
      <w:r w:rsidRPr="00664673">
        <w:t>The minimum wages and benefits on the islands Bonaire, St. Eustatius and Saba will be increased by 10% as of January 1, 2022.</w:t>
      </w:r>
      <w:r w:rsidRPr="00664673">
        <w:rPr>
          <w:rStyle w:val="FootnoteReference"/>
        </w:rPr>
        <w:footnoteReference w:id="31"/>
      </w:r>
      <w:r w:rsidRPr="00664673">
        <w:t xml:space="preserve"> </w:t>
      </w:r>
    </w:p>
    <w:p w14:paraId="2BE6ABBA" w14:textId="4B56C766" w:rsidR="007D50AF" w:rsidRPr="001B347D" w:rsidRDefault="007D50AF" w:rsidP="00C9545F">
      <w:pPr>
        <w:spacing w:line="276" w:lineRule="auto"/>
      </w:pPr>
    </w:p>
    <w:p w14:paraId="5B2C832C" w14:textId="29AF4AB6" w:rsidR="007D50AF" w:rsidRPr="00664673" w:rsidRDefault="007D50AF" w:rsidP="00C9545F">
      <w:pPr>
        <w:pStyle w:val="Heading2"/>
        <w:spacing w:line="276" w:lineRule="auto"/>
        <w:rPr>
          <w:rFonts w:ascii="Franklin Gothic Book" w:hAnsi="Franklin Gothic Book"/>
          <w:b/>
          <w:bCs/>
          <w:color w:val="ED7D31" w:themeColor="accent2"/>
        </w:rPr>
      </w:pPr>
      <w:bookmarkStart w:id="10" w:name="_Toc90280563"/>
      <w:r w:rsidRPr="001B347D">
        <w:rPr>
          <w:rFonts w:ascii="Franklin Gothic Book" w:hAnsi="Franklin Gothic Book"/>
          <w:color w:val="ED7D31" w:themeColor="accent2"/>
        </w:rPr>
        <w:t>Education, leisure and cultural activities</w:t>
      </w:r>
      <w:bookmarkEnd w:id="10"/>
    </w:p>
    <w:p w14:paraId="44D1E6AF" w14:textId="4E99CE3D" w:rsidR="009A2230" w:rsidRPr="00A14B6C" w:rsidRDefault="009A2230" w:rsidP="00C9545F">
      <w:pPr>
        <w:spacing w:line="276" w:lineRule="auto"/>
      </w:pPr>
    </w:p>
    <w:p w14:paraId="58833B7C" w14:textId="77777777" w:rsidR="00744F43" w:rsidRPr="00CF17DC" w:rsidRDefault="009A2230" w:rsidP="00CF17DC">
      <w:pPr>
        <w:pStyle w:val="Heading3"/>
        <w:rPr>
          <w:u w:val="single"/>
        </w:rPr>
      </w:pPr>
      <w:r w:rsidRPr="00CF17DC">
        <w:rPr>
          <w:color w:val="auto"/>
        </w:rPr>
        <w:t>Education</w:t>
      </w:r>
      <w:r w:rsidR="00744F43">
        <w:br/>
      </w:r>
    </w:p>
    <w:p w14:paraId="5CD66709" w14:textId="78971EBD" w:rsidR="009A2230" w:rsidRPr="00CF17DC" w:rsidRDefault="009A2230" w:rsidP="00C9545F">
      <w:pPr>
        <w:spacing w:line="276" w:lineRule="auto"/>
        <w:rPr>
          <w:u w:val="single"/>
        </w:rPr>
      </w:pPr>
      <w:r w:rsidRPr="00CF17DC">
        <w:rPr>
          <w:u w:val="single"/>
        </w:rPr>
        <w:t>Education budget 2022</w:t>
      </w:r>
    </w:p>
    <w:p w14:paraId="47604C1B" w14:textId="0D6DFA33" w:rsidR="009A2230" w:rsidRPr="00664673" w:rsidRDefault="009A2230" w:rsidP="00DE16E1">
      <w:r w:rsidRPr="00664673">
        <w:t>The proposed annual budget for 2022 shows</w:t>
      </w:r>
      <w:r w:rsidR="00BB0FA6">
        <w:t xml:space="preserve"> </w:t>
      </w:r>
      <w:r w:rsidRPr="00664673">
        <w:t>the reluctance of the Dutch government to really commit to inclusive education. No budget has been allocated specifically to advance inclusive education in the Netherlands and there is no mention of inclusive education in the policy agenda for 2022.</w:t>
      </w:r>
      <w:r w:rsidR="0088288B">
        <w:rPr>
          <w:rStyle w:val="FootnoteReference"/>
          <w:rFonts w:eastAsiaTheme="minorHAnsi" w:cs="Calibri"/>
          <w:color w:val="000000"/>
        </w:rPr>
        <w:footnoteReference w:id="32"/>
      </w:r>
      <w:r w:rsidRPr="00664673">
        <w:t xml:space="preserve"> The policy agenda only announces an evaluation in </w:t>
      </w:r>
      <w:r w:rsidRPr="00AB459B">
        <w:t>2027</w:t>
      </w:r>
      <w:r w:rsidRPr="0088288B">
        <w:t> to</w:t>
      </w:r>
      <w:r w:rsidRPr="00664673">
        <w:t xml:space="preserve"> examine to what extent the current, </w:t>
      </w:r>
      <w:r w:rsidRPr="00664673">
        <w:rPr>
          <w:shd w:val="clear" w:color="auto" w:fill="FFFFFF"/>
        </w:rPr>
        <w:t xml:space="preserve">two-track education </w:t>
      </w:r>
      <w:r w:rsidRPr="00664673">
        <w:t>system can contribute to achieve more inclusive education.</w:t>
      </w:r>
      <w:r w:rsidRPr="00664673">
        <w:br/>
      </w:r>
    </w:p>
    <w:p w14:paraId="1204F0EB" w14:textId="69CF8F44" w:rsidR="00DE16E1" w:rsidRDefault="00DE16E1" w:rsidP="00DE16E1">
      <w:pPr>
        <w:rPr>
          <w:color w:val="ED7D31" w:themeColor="accent2"/>
        </w:rPr>
      </w:pPr>
      <w:bookmarkStart w:id="11" w:name="_Toc90280564"/>
      <w:r>
        <w:rPr>
          <w:color w:val="ED7D31" w:themeColor="accent2"/>
        </w:rPr>
        <w:br/>
      </w:r>
    </w:p>
    <w:p w14:paraId="625C9D8A" w14:textId="3FAD8B94" w:rsidR="007D50AF" w:rsidRPr="0088288B" w:rsidRDefault="00D861DA" w:rsidP="00C9545F">
      <w:pPr>
        <w:pStyle w:val="Heading2"/>
        <w:spacing w:line="276" w:lineRule="auto"/>
        <w:rPr>
          <w:rFonts w:ascii="Franklin Gothic Book" w:hAnsi="Franklin Gothic Book"/>
          <w:color w:val="ED7D31" w:themeColor="accent2"/>
        </w:rPr>
      </w:pPr>
      <w:r>
        <w:rPr>
          <w:rFonts w:ascii="Franklin Gothic Book" w:hAnsi="Franklin Gothic Book"/>
          <w:color w:val="ED7D31" w:themeColor="accent2"/>
        </w:rPr>
        <w:br/>
      </w:r>
      <w:r w:rsidR="007D50AF" w:rsidRPr="0088288B">
        <w:rPr>
          <w:rFonts w:ascii="Franklin Gothic Book" w:hAnsi="Franklin Gothic Book"/>
          <w:color w:val="ED7D31" w:themeColor="accent2"/>
        </w:rPr>
        <w:t>Special protection measures</w:t>
      </w:r>
      <w:bookmarkEnd w:id="11"/>
    </w:p>
    <w:p w14:paraId="07609550" w14:textId="77777777" w:rsidR="00744F43" w:rsidRPr="00CF17DC" w:rsidRDefault="00744F43" w:rsidP="00DE16E1"/>
    <w:p w14:paraId="62D91E97" w14:textId="3D8DE395" w:rsidR="00A103F6" w:rsidRPr="00CF17DC" w:rsidRDefault="00A103F6" w:rsidP="00CF17DC">
      <w:pPr>
        <w:pStyle w:val="Heading3"/>
        <w:rPr>
          <w:color w:val="auto"/>
        </w:rPr>
      </w:pPr>
      <w:r w:rsidRPr="00CF17DC">
        <w:rPr>
          <w:color w:val="auto"/>
        </w:rPr>
        <w:t>Migration</w:t>
      </w:r>
    </w:p>
    <w:p w14:paraId="600CB871" w14:textId="77777777" w:rsidR="00744F43" w:rsidRPr="00CF17DC" w:rsidRDefault="00744F43" w:rsidP="00C9545F">
      <w:pPr>
        <w:spacing w:line="276" w:lineRule="auto"/>
        <w:rPr>
          <w:rFonts w:cstheme="minorHAnsi"/>
          <w:u w:val="single"/>
        </w:rPr>
      </w:pPr>
    </w:p>
    <w:p w14:paraId="24026B95" w14:textId="1F4CCACC" w:rsidR="00A103F6" w:rsidRPr="00CF17DC" w:rsidRDefault="00A103F6" w:rsidP="00C9545F">
      <w:pPr>
        <w:spacing w:line="276" w:lineRule="auto"/>
        <w:rPr>
          <w:rFonts w:cstheme="minorHAnsi"/>
          <w:u w:val="single"/>
        </w:rPr>
      </w:pPr>
      <w:r w:rsidRPr="00CF17DC">
        <w:rPr>
          <w:rFonts w:cstheme="minorHAnsi"/>
          <w:u w:val="single"/>
        </w:rPr>
        <w:t>State budget migration</w:t>
      </w:r>
    </w:p>
    <w:p w14:paraId="0BE5ED5A" w14:textId="2263D138" w:rsidR="00A103F6" w:rsidRPr="00A14B6C" w:rsidRDefault="00A103F6" w:rsidP="00C9545F">
      <w:pPr>
        <w:spacing w:line="276" w:lineRule="auto"/>
        <w:rPr>
          <w:rFonts w:cstheme="minorHAnsi"/>
        </w:rPr>
      </w:pPr>
      <w:r w:rsidRPr="00A14B6C">
        <w:rPr>
          <w:rFonts w:cstheme="minorHAnsi"/>
        </w:rPr>
        <w:t>The state budget for Justice and Security (</w:t>
      </w:r>
      <w:r w:rsidRPr="00A14B6C">
        <w:rPr>
          <w:rFonts w:cstheme="minorHAnsi"/>
          <w:i/>
          <w:iCs/>
        </w:rPr>
        <w:t>Rijksbegroting Justitie en Veiligheid 2022</w:t>
      </w:r>
      <w:r w:rsidRPr="00A14B6C">
        <w:rPr>
          <w:rFonts w:cstheme="minorHAnsi"/>
        </w:rPr>
        <w:t>) was published on 15 September 2021.</w:t>
      </w:r>
      <w:r w:rsidR="0088288B" w:rsidRPr="00A14B6C">
        <w:rPr>
          <w:rStyle w:val="FootnoteReference"/>
          <w:rFonts w:cstheme="minorHAnsi"/>
        </w:rPr>
        <w:footnoteReference w:id="33"/>
      </w:r>
      <w:r w:rsidR="0088288B" w:rsidRPr="00A14B6C">
        <w:rPr>
          <w:rFonts w:cstheme="minorHAnsi"/>
        </w:rPr>
        <w:t xml:space="preserve"> </w:t>
      </w:r>
      <w:r w:rsidRPr="00A14B6C">
        <w:rPr>
          <w:rFonts w:cstheme="minorHAnsi"/>
        </w:rPr>
        <w:t xml:space="preserve"> Further budget cuts on the immigration services are planned, including on the Central Agency for the Reception of Asylum Seekers (COA). No budget is allocated for alternatives to migration detention for children or structural psychosocial care for children in reception centres.</w:t>
      </w:r>
    </w:p>
    <w:p w14:paraId="41FD45BC" w14:textId="71D52299" w:rsidR="00A103F6" w:rsidRPr="00CF17DC" w:rsidRDefault="0088288B" w:rsidP="00C9545F">
      <w:pPr>
        <w:spacing w:line="276" w:lineRule="auto"/>
        <w:rPr>
          <w:rFonts w:cstheme="minorHAnsi"/>
          <w:u w:val="single"/>
        </w:rPr>
      </w:pPr>
      <w:r w:rsidRPr="00CF17DC">
        <w:rPr>
          <w:rFonts w:cstheme="minorHAnsi"/>
          <w:i/>
          <w:iCs/>
          <w:u w:val="single"/>
        </w:rPr>
        <w:br/>
      </w:r>
      <w:r w:rsidR="00A103F6" w:rsidRPr="00CF17DC">
        <w:rPr>
          <w:rFonts w:cstheme="minorHAnsi"/>
          <w:u w:val="single"/>
        </w:rPr>
        <w:t>Reception centres and emergency shelters</w:t>
      </w:r>
    </w:p>
    <w:p w14:paraId="2C6906E1" w14:textId="77777777" w:rsidR="00A103F6" w:rsidRPr="00A14B6C" w:rsidRDefault="00A103F6" w:rsidP="00C9545F">
      <w:pPr>
        <w:spacing w:line="276" w:lineRule="auto"/>
        <w:rPr>
          <w:rFonts w:cstheme="minorHAnsi"/>
        </w:rPr>
      </w:pPr>
      <w:r w:rsidRPr="00A14B6C">
        <w:rPr>
          <w:rFonts w:cstheme="minorHAnsi"/>
        </w:rPr>
        <w:t>Since emergency shelters were setup for Afghan evacuees and other asylum-seekers at the end of August 2021, children’s rights organisations – including the Working Group Kind in AZC – have had serious concerns about the situation of children residing there. Regular asylum reception centres had already been reaching maximum occupancy for some time in 2020 and 2021. Due to long waiting times before and during the asylum procedure, a locked housing market, and budget cuts in the Central Agency for the Reception of Asylum Seekers (COA), there was (and is) no space left in the regular reception centres.</w:t>
      </w:r>
    </w:p>
    <w:p w14:paraId="5439A773" w14:textId="77777777" w:rsidR="00A103F6" w:rsidRPr="00A14B6C" w:rsidRDefault="00A103F6" w:rsidP="00C9545F">
      <w:pPr>
        <w:spacing w:line="276" w:lineRule="auto"/>
        <w:rPr>
          <w:rFonts w:cstheme="minorHAnsi"/>
        </w:rPr>
      </w:pPr>
      <w:r w:rsidRPr="00A14B6C">
        <w:rPr>
          <w:rFonts w:cstheme="minorHAnsi"/>
        </w:rPr>
        <w:t>The rights of children who are currently residing in emergency shelters centres are currently not sufficiently protected by the Dutch government. At the end of November 2021, approximately 1,400 children were dependent on staying in tents and other temporary emergency reception centres that are unsuitable for children. In combination with an uncertain future, many relocations between centres, and in some cases a lack of access to education, these children experience a lot of stress and fear.</w:t>
      </w:r>
    </w:p>
    <w:p w14:paraId="38770B49" w14:textId="47AB372F" w:rsidR="00A103F6" w:rsidRPr="00A14B6C" w:rsidRDefault="00A103F6" w:rsidP="00C9545F">
      <w:pPr>
        <w:spacing w:line="276" w:lineRule="auto"/>
        <w:rPr>
          <w:rFonts w:cstheme="minorHAnsi"/>
          <w:i/>
          <w:iCs/>
        </w:rPr>
      </w:pPr>
      <w:r w:rsidRPr="00A14B6C">
        <w:rPr>
          <w:rFonts w:cstheme="minorHAnsi"/>
        </w:rPr>
        <w:t>The planned cutbacks on the asylum reception centres in 2022 seem to offer little room to improve the current situation and to protect the (psychosocial) well-being of children who are currently residing in the emergency shelters. We are concerned about the developmental damage that this can cause to children and call on the Ministry of Justice and Security and municipalities to work quickly on a sustainable solution, namely: structural and small-scale reception centres, with attention to the psychosocial well-being of children.</w:t>
      </w:r>
      <w:r w:rsidR="0088288B">
        <w:rPr>
          <w:rFonts w:cstheme="minorHAnsi"/>
        </w:rPr>
        <w:br/>
      </w:r>
    </w:p>
    <w:p w14:paraId="394731FF" w14:textId="77777777" w:rsidR="00416F4F" w:rsidRPr="00CF17DC" w:rsidRDefault="00A103F6" w:rsidP="00C9545F">
      <w:pPr>
        <w:spacing w:line="276" w:lineRule="auto"/>
        <w:rPr>
          <w:rFonts w:cstheme="minorHAnsi"/>
          <w:u w:val="single"/>
        </w:rPr>
      </w:pPr>
      <w:r w:rsidRPr="00CF17DC">
        <w:rPr>
          <w:rFonts w:cstheme="minorHAnsi"/>
          <w:u w:val="single"/>
        </w:rPr>
        <w:t>Children missing from reception locations</w:t>
      </w:r>
    </w:p>
    <w:p w14:paraId="65BF5DB5" w14:textId="6C1D40AE" w:rsidR="00A103F6" w:rsidRPr="00664673" w:rsidRDefault="00655B3E" w:rsidP="00C9545F">
      <w:pPr>
        <w:spacing w:line="276" w:lineRule="auto"/>
        <w:rPr>
          <w:rFonts w:cstheme="minorHAnsi"/>
          <w:b/>
          <w:bCs/>
          <w:i/>
          <w:iCs/>
        </w:rPr>
      </w:pPr>
      <w:r w:rsidRPr="00664673">
        <w:rPr>
          <w:rFonts w:cstheme="minorHAnsi"/>
          <w:b/>
          <w:bCs/>
          <w:i/>
          <w:iCs/>
        </w:rPr>
        <w:br/>
      </w:r>
      <w:r w:rsidR="00A103F6" w:rsidRPr="00664673">
        <w:rPr>
          <w:rFonts w:cstheme="minorHAnsi"/>
        </w:rPr>
        <w:t>New numbers show that in 2020, 323 unaccompanied minors disappeared with unknown destination. This compared to 480 children who disappeared in 2019. The number of disappearances has therefore decreased. This is probably due to the lower migration influx during the lockdowns. 40 unaccompanied minors disappeared (with unknown destination) from Nidos reception locations.</w:t>
      </w:r>
      <w:r w:rsidR="0088288B">
        <w:rPr>
          <w:rFonts w:cstheme="minorHAnsi"/>
        </w:rPr>
        <w:br/>
      </w:r>
    </w:p>
    <w:p w14:paraId="29140F62" w14:textId="3FC1F939" w:rsidR="00A103F6" w:rsidRPr="00DE16E1" w:rsidRDefault="00A103F6" w:rsidP="00C9545F">
      <w:pPr>
        <w:spacing w:line="276" w:lineRule="auto"/>
        <w:rPr>
          <w:rFonts w:cstheme="minorHAnsi"/>
          <w:u w:val="single"/>
        </w:rPr>
      </w:pPr>
      <w:r w:rsidRPr="00CF17DC">
        <w:rPr>
          <w:rFonts w:cstheme="minorHAnsi"/>
          <w:u w:val="single"/>
        </w:rPr>
        <w:t>Returns and migration detention</w:t>
      </w:r>
      <w:r w:rsidR="00DE16E1">
        <w:rPr>
          <w:rFonts w:cstheme="minorHAnsi"/>
          <w:u w:val="single"/>
        </w:rPr>
        <w:br/>
      </w:r>
      <w:r w:rsidR="00655B3E" w:rsidRPr="00A14B6C">
        <w:rPr>
          <w:rFonts w:cstheme="minorHAnsi"/>
          <w:b/>
          <w:bCs/>
          <w:i/>
          <w:iCs/>
        </w:rPr>
        <w:br/>
      </w:r>
      <w:r w:rsidRPr="00A14B6C">
        <w:rPr>
          <w:rFonts w:cstheme="minorHAnsi"/>
        </w:rPr>
        <w:t>In 2020, as a result of the limitations in movement as a result of COVID-19, many (forced)  returns. Including of minors, were (temporarily) halted. Despite the limited (forced) returns in 2020, still 110 children were detained for migration purposes (of which 10 unaccompanied children and 100 accompanied children). This includes 10 children in border detention, and 100 children in migration detention before forced return.</w:t>
      </w:r>
    </w:p>
    <w:p w14:paraId="019EF58D" w14:textId="77777777" w:rsidR="00A103F6" w:rsidRPr="00A14B6C" w:rsidRDefault="00A103F6" w:rsidP="00C9545F">
      <w:pPr>
        <w:spacing w:line="276" w:lineRule="auto"/>
        <w:rPr>
          <w:rFonts w:cstheme="minorHAnsi"/>
        </w:rPr>
      </w:pPr>
      <w:r w:rsidRPr="00664673">
        <w:rPr>
          <w:rFonts w:cstheme="minorHAnsi"/>
        </w:rPr>
        <w:t>The children in families who are detained are in many cases young children. 50 children are between zero and five years old. Fewer than ten children in families are sixteen or seventeen.</w:t>
      </w:r>
    </w:p>
    <w:p w14:paraId="4A3ED89F" w14:textId="3C3D2EBE" w:rsidR="00A103F6" w:rsidRPr="00A14B6C" w:rsidRDefault="00A103F6" w:rsidP="00C9545F">
      <w:pPr>
        <w:spacing w:line="276" w:lineRule="auto"/>
        <w:rPr>
          <w:rFonts w:cstheme="minorHAnsi"/>
        </w:rPr>
      </w:pPr>
      <w:r w:rsidRPr="00664673">
        <w:rPr>
          <w:rFonts w:cstheme="minorHAnsi"/>
        </w:rPr>
        <w:t xml:space="preserve">Just like previous years, the data shows that forced evictions of children in families </w:t>
      </w:r>
      <w:r w:rsidRPr="00664673">
        <w:rPr>
          <w:rFonts w:cstheme="minorHAnsi"/>
          <w:i/>
          <w:iCs/>
        </w:rPr>
        <w:t>always</w:t>
      </w:r>
      <w:r w:rsidRPr="00664673">
        <w:rPr>
          <w:rFonts w:cstheme="minorHAnsi"/>
        </w:rPr>
        <w:t xml:space="preserve"> take place from the Closed Family Location (detention centre in Zeist). Returns also take place from asylum seekers' </w:t>
      </w:r>
      <w:r w:rsidR="003A6E66" w:rsidRPr="00664673">
        <w:rPr>
          <w:rFonts w:cstheme="minorHAnsi"/>
        </w:rPr>
        <w:t>centres</w:t>
      </w:r>
      <w:r w:rsidRPr="00664673">
        <w:rPr>
          <w:rFonts w:cstheme="minorHAnsi"/>
        </w:rPr>
        <w:t xml:space="preserve"> and (semi-open) family locations, but this only concerns independent departure. Forced returns of children take place exclusively from the detention </w:t>
      </w:r>
      <w:r w:rsidR="003A6E66" w:rsidRPr="00664673">
        <w:rPr>
          <w:rFonts w:cstheme="minorHAnsi"/>
        </w:rPr>
        <w:t>centre</w:t>
      </w:r>
      <w:r w:rsidRPr="00664673">
        <w:rPr>
          <w:rFonts w:cstheme="minorHAnsi"/>
        </w:rPr>
        <w:t>. This raises the question of whether immigration detention is actually a last resort. No work is done on alternatives to detention (the figures and state budget do not show that, and policy officers at the Ministry of Justice confirmed that there’s no intention to end the practice and no initiatives are carried out to search for alternatives).</w:t>
      </w:r>
      <w:r w:rsidR="003A6E66">
        <w:rPr>
          <w:rFonts w:cstheme="minorHAnsi"/>
        </w:rPr>
        <w:br/>
      </w:r>
    </w:p>
    <w:p w14:paraId="4136AA9E" w14:textId="77777777" w:rsidR="00A103F6" w:rsidRPr="00CF17DC" w:rsidRDefault="00A103F6" w:rsidP="00C9545F">
      <w:pPr>
        <w:spacing w:line="276" w:lineRule="auto"/>
        <w:rPr>
          <w:rFonts w:cstheme="minorHAnsi"/>
          <w:u w:val="single"/>
        </w:rPr>
      </w:pPr>
      <w:r w:rsidRPr="00CF17DC">
        <w:rPr>
          <w:rFonts w:cstheme="minorHAnsi"/>
          <w:u w:val="single"/>
        </w:rPr>
        <w:t>Decision and departure moratorium Afghans</w:t>
      </w:r>
    </w:p>
    <w:p w14:paraId="693C4437" w14:textId="4C8D4673" w:rsidR="00A103F6" w:rsidRPr="00664673" w:rsidRDefault="00A103F6" w:rsidP="00C9545F">
      <w:pPr>
        <w:spacing w:line="276" w:lineRule="auto"/>
        <w:rPr>
          <w:rFonts w:cstheme="minorHAnsi"/>
        </w:rPr>
      </w:pPr>
      <w:r w:rsidRPr="00A14B6C">
        <w:rPr>
          <w:rFonts w:cstheme="minorHAnsi"/>
        </w:rPr>
        <w:t xml:space="preserve">On 11 August 2021, the Minister for Migration announced </w:t>
      </w:r>
      <w:r w:rsidRPr="00664673">
        <w:rPr>
          <w:rFonts w:cstheme="minorHAnsi"/>
        </w:rPr>
        <w:t xml:space="preserve">a </w:t>
      </w:r>
      <w:r w:rsidRPr="00664673">
        <w:rPr>
          <w:rFonts w:cstheme="minorHAnsi"/>
          <w:i/>
          <w:iCs/>
        </w:rPr>
        <w:t>decision and departure moratorium</w:t>
      </w:r>
      <w:r w:rsidRPr="00664673">
        <w:rPr>
          <w:rFonts w:cstheme="minorHAnsi"/>
        </w:rPr>
        <w:t xml:space="preserve"> will for a period of six months and for foreign nationals with Afghan nationality</w:t>
      </w:r>
      <w:r w:rsidR="00C67C23" w:rsidRPr="00664673">
        <w:rPr>
          <w:rFonts w:cstheme="minorHAnsi"/>
        </w:rPr>
        <w:t>.</w:t>
      </w:r>
      <w:r w:rsidRPr="00664673">
        <w:rPr>
          <w:rStyle w:val="FootnoteReference"/>
          <w:rFonts w:cstheme="minorHAnsi"/>
        </w:rPr>
        <w:footnoteReference w:id="34"/>
      </w:r>
      <w:r w:rsidRPr="00A14B6C">
        <w:rPr>
          <w:rFonts w:cstheme="minorHAnsi"/>
        </w:rPr>
        <w:t xml:space="preserve"> </w:t>
      </w:r>
      <w:r w:rsidRPr="00664673">
        <w:rPr>
          <w:rFonts w:cstheme="minorHAnsi"/>
        </w:rPr>
        <w:t xml:space="preserve">This means that the legal decision period for current asylum applications and for asylum applications submitted during the moratorium has been extended for the period of 1 year. In addition, Afghans, including minors, who have exhausted their legal remedies are not obliged to return to Afghanistan and they are offered reception and other facilities in the event of a (new) application. </w:t>
      </w:r>
      <w:r w:rsidRPr="00A14B6C">
        <w:rPr>
          <w:rFonts w:cstheme="minorHAnsi"/>
        </w:rPr>
        <w:t xml:space="preserve">This means temporarily no Afghans, including children, are forcibly returned from the Netherlands in the period August 2021-February 2022. This is not an adjustment of an existing policy, but a temporary measure. </w:t>
      </w:r>
      <w:r w:rsidR="003A6E66">
        <w:rPr>
          <w:rFonts w:cstheme="minorHAnsi"/>
        </w:rPr>
        <w:br/>
      </w:r>
    </w:p>
    <w:p w14:paraId="71516017" w14:textId="77777777" w:rsidR="00A103F6" w:rsidRPr="00CF17DC" w:rsidRDefault="00A103F6" w:rsidP="00C9545F">
      <w:pPr>
        <w:spacing w:line="276" w:lineRule="auto"/>
        <w:rPr>
          <w:rFonts w:cstheme="minorHAnsi"/>
          <w:u w:val="single"/>
        </w:rPr>
      </w:pPr>
      <w:r w:rsidRPr="00CF17DC">
        <w:rPr>
          <w:rFonts w:cstheme="minorHAnsi"/>
          <w:u w:val="single"/>
        </w:rPr>
        <w:t>Closing Regulation for Long-term Resident Children (Children’s Pardon)</w:t>
      </w:r>
      <w:r w:rsidRPr="00DE16E1">
        <w:rPr>
          <w:rStyle w:val="FootnoteReference"/>
          <w:rFonts w:cstheme="minorHAnsi"/>
        </w:rPr>
        <w:footnoteReference w:id="35"/>
      </w:r>
      <w:r w:rsidRPr="00CF17DC">
        <w:rPr>
          <w:rFonts w:cstheme="minorHAnsi"/>
          <w:u w:val="single"/>
        </w:rPr>
        <w:t xml:space="preserve"> </w:t>
      </w:r>
    </w:p>
    <w:p w14:paraId="59E05434" w14:textId="77777777" w:rsidR="00A103F6" w:rsidRPr="00664673" w:rsidRDefault="00A103F6" w:rsidP="00C9545F">
      <w:pPr>
        <w:spacing w:line="276" w:lineRule="auto"/>
        <w:rPr>
          <w:rFonts w:cstheme="minorHAnsi"/>
        </w:rPr>
      </w:pPr>
      <w:r w:rsidRPr="00664673">
        <w:rPr>
          <w:rFonts w:cstheme="minorHAnsi"/>
        </w:rPr>
        <w:t xml:space="preserve">New figures on the handling of the Closing Regulations show that for the 439 children rejected in the first instance, approximately 320 rejections were upheld in objection. This means that the rejection decision of a substantial number of children (approximately 119) did not stand. </w:t>
      </w:r>
    </w:p>
    <w:p w14:paraId="0E0B46DB" w14:textId="77777777" w:rsidR="00A103F6" w:rsidRPr="00664673" w:rsidRDefault="00A103F6" w:rsidP="00C9545F">
      <w:pPr>
        <w:spacing w:line="276" w:lineRule="auto"/>
        <w:rPr>
          <w:rFonts w:cstheme="minorHAnsi"/>
        </w:rPr>
      </w:pPr>
      <w:r w:rsidRPr="00664673">
        <w:rPr>
          <w:rFonts w:cstheme="minorHAnsi"/>
        </w:rPr>
        <w:t>About 50 children were still granted a residence permit on the basis of the closing regulation, and about 30 children on another ground</w:t>
      </w:r>
      <w:r w:rsidRPr="00664673">
        <w:rPr>
          <w:rStyle w:val="FootnoteReference"/>
          <w:rFonts w:cstheme="minorHAnsi"/>
        </w:rPr>
        <w:footnoteReference w:id="36"/>
      </w:r>
      <w:r w:rsidRPr="00664673">
        <w:rPr>
          <w:rFonts w:cstheme="minorHAnsi"/>
        </w:rPr>
        <w:t xml:space="preserve"> </w:t>
      </w:r>
    </w:p>
    <w:p w14:paraId="61A9EB9D" w14:textId="21EE66F3" w:rsidR="00A103F6" w:rsidRPr="00664673" w:rsidRDefault="00A103F6" w:rsidP="00C9545F">
      <w:pPr>
        <w:spacing w:line="276" w:lineRule="auto"/>
        <w:rPr>
          <w:rFonts w:cstheme="minorHAnsi"/>
        </w:rPr>
      </w:pPr>
      <w:r w:rsidRPr="00664673">
        <w:rPr>
          <w:rFonts w:cstheme="minorHAnsi"/>
        </w:rPr>
        <w:t>On 28 October 2021, in a case about the Closing Regulation of the 'Children's Pardon'. A judge ruled that a Best Interests of the Child (BIC) report should have been included in the weighing of interests under a 8 ECHR</w:t>
      </w:r>
      <w:r w:rsidR="00883859">
        <w:rPr>
          <w:rFonts w:cstheme="minorHAnsi"/>
        </w:rPr>
        <w:t>.</w:t>
      </w:r>
      <w:r w:rsidRPr="00664673">
        <w:rPr>
          <w:rStyle w:val="FootnoteReference"/>
          <w:rFonts w:cstheme="minorHAnsi"/>
        </w:rPr>
        <w:footnoteReference w:id="37"/>
      </w:r>
    </w:p>
    <w:p w14:paraId="582E10C3" w14:textId="196AA319" w:rsidR="00A103F6" w:rsidRPr="00664673" w:rsidRDefault="00A103F6" w:rsidP="00C9545F">
      <w:pPr>
        <w:spacing w:line="276" w:lineRule="auto"/>
        <w:rPr>
          <w:rFonts w:cstheme="minorHAnsi"/>
        </w:rPr>
      </w:pPr>
      <w:r w:rsidRPr="00664673">
        <w:rPr>
          <w:rFonts w:cstheme="minorHAnsi"/>
        </w:rPr>
        <w:t xml:space="preserve">A worrying conclusion drawn by Defence for Children is that hundreds of residence permits requests from children in this scheme have been rejected, because the closing regulation contains all kinds of conditions that children living in the Netherlands for a long time must meet in order to still receive a residence permit. The scheme also contains contraindications that may be grounds for not granting a child a license. </w:t>
      </w:r>
      <w:r w:rsidR="00C22D87" w:rsidRPr="00664673">
        <w:rPr>
          <w:rFonts w:cstheme="minorHAnsi"/>
        </w:rPr>
        <w:t xml:space="preserve">It </w:t>
      </w:r>
      <w:r w:rsidRPr="00664673">
        <w:rPr>
          <w:rFonts w:cstheme="minorHAnsi"/>
        </w:rPr>
        <w:t>also concluded that similar cases are not always treated equally. This applies, for example, to children who were born after their parents' asylum procedure had been completed. This is a worrying recent development as children who are legally in exactly the same situation, are treated very differently on the basis of a form that was submitted for some of those children (at their birth) but which did not have to be submitted at all and of which the Minister of Migration acknowledges that it has no legal effect whatsoever, and therefore seems meaningless. This is an issue of violation of the principle of equality</w:t>
      </w:r>
      <w:r w:rsidR="003A6E66">
        <w:rPr>
          <w:rFonts w:cstheme="minorHAnsi"/>
        </w:rPr>
        <w:t>.</w:t>
      </w:r>
      <w:r w:rsidRPr="00664673">
        <w:rPr>
          <w:rStyle w:val="FootnoteReference"/>
          <w:rFonts w:cstheme="minorHAnsi"/>
        </w:rPr>
        <w:footnoteReference w:id="38"/>
      </w:r>
      <w:r w:rsidR="003A6E66">
        <w:rPr>
          <w:rFonts w:cstheme="minorHAnsi"/>
        </w:rPr>
        <w:br/>
      </w:r>
      <w:r w:rsidRPr="00664673">
        <w:rPr>
          <w:rFonts w:cstheme="minorHAnsi"/>
        </w:rPr>
        <w:t xml:space="preserve"> </w:t>
      </w:r>
    </w:p>
    <w:p w14:paraId="7A45FEB3" w14:textId="77777777" w:rsidR="00A103F6" w:rsidRPr="00CF17DC" w:rsidRDefault="00A103F6" w:rsidP="00C9545F">
      <w:pPr>
        <w:spacing w:line="276" w:lineRule="auto"/>
        <w:rPr>
          <w:rStyle w:val="normaltextrun"/>
          <w:rFonts w:cstheme="minorHAnsi"/>
          <w:color w:val="000000"/>
          <w:u w:val="single"/>
          <w:shd w:val="clear" w:color="auto" w:fill="FFFFFF"/>
        </w:rPr>
      </w:pPr>
      <w:r w:rsidRPr="00CF17DC">
        <w:rPr>
          <w:rStyle w:val="normaltextrun"/>
          <w:rFonts w:cstheme="minorHAnsi"/>
          <w:color w:val="000000"/>
          <w:u w:val="single"/>
          <w:shd w:val="clear" w:color="auto" w:fill="FFFFFF"/>
        </w:rPr>
        <w:t>Best Interests of the Child determination in all phases</w:t>
      </w:r>
    </w:p>
    <w:p w14:paraId="2189C4D6" w14:textId="3B940C2D" w:rsidR="00A103F6" w:rsidRPr="00416F4F" w:rsidRDefault="00A103F6" w:rsidP="00C9545F">
      <w:pPr>
        <w:spacing w:line="276" w:lineRule="auto"/>
        <w:rPr>
          <w:rStyle w:val="normaltextrun"/>
          <w:rFonts w:cstheme="minorHAnsi"/>
          <w:b/>
          <w:bCs/>
          <w:color w:val="000000"/>
          <w:shd w:val="clear" w:color="auto" w:fill="FFFFFF"/>
        </w:rPr>
      </w:pPr>
      <w:r w:rsidRPr="00664673">
        <w:rPr>
          <w:rStyle w:val="normaltextrun"/>
          <w:rFonts w:cstheme="minorHAnsi"/>
          <w:color w:val="000000"/>
          <w:shd w:val="clear" w:color="auto" w:fill="FFFFFF"/>
        </w:rPr>
        <w:t>An important step in the recognition of the best interests of the child came in January 2021 when the Court of Justice ruled in the TQ case that before taking a return decision, the best interests of an unaccompanied refugee minor must be specifically examined when deciding whether or not to designate 'adequate reception' in the country of origin. In the TQ case, the best interests of the child are interpreted, among other elements by the child's special vulnerability, the physical and mental health of the minor, the stay in a foster family and the social environment. This ruling creates the legal obligation for the Netherlands to make the best interests of the child an essential consideration again in all phases of the procedure. However until autumn 2021 there were court cases in which it became clear that the migration authorities did not change their practice of ignoring the child best interests. One judge said: “In view of the lapse of time since 14 January 2021, the court can only conclude that the defendant simply fails to bring its policy into line with the judgment of the Court. The court considers this extremely serious.”</w:t>
      </w:r>
      <w:r w:rsidRPr="00664673">
        <w:rPr>
          <w:rStyle w:val="FootnoteReference"/>
          <w:rFonts w:cstheme="minorHAnsi"/>
          <w:color w:val="000000"/>
          <w:shd w:val="clear" w:color="auto" w:fill="FFFFFF"/>
        </w:rPr>
        <w:footnoteReference w:id="39"/>
      </w:r>
      <w:r w:rsidR="003A6E66">
        <w:rPr>
          <w:rStyle w:val="normaltextrun"/>
          <w:rFonts w:cstheme="minorHAnsi"/>
          <w:color w:val="000000"/>
          <w:shd w:val="clear" w:color="auto" w:fill="FFFFFF"/>
        </w:rPr>
        <w:br/>
      </w:r>
      <w:r w:rsidR="00AA6FC3">
        <w:rPr>
          <w:rStyle w:val="normaltextrun"/>
          <w:rFonts w:cstheme="minorHAnsi"/>
          <w:b/>
          <w:bCs/>
          <w:color w:val="000000"/>
          <w:shd w:val="clear" w:color="auto" w:fill="FFFFFF"/>
        </w:rPr>
        <w:br/>
      </w:r>
      <w:r w:rsidRPr="00CF17DC">
        <w:rPr>
          <w:rStyle w:val="normaltextrun"/>
          <w:rFonts w:cstheme="minorHAnsi"/>
          <w:color w:val="000000"/>
          <w:u w:val="single"/>
          <w:shd w:val="clear" w:color="auto" w:fill="FFFFFF"/>
        </w:rPr>
        <w:t>Family reunification</w:t>
      </w:r>
    </w:p>
    <w:p w14:paraId="3D5104C2" w14:textId="77777777" w:rsidR="00A103F6" w:rsidRPr="00664673" w:rsidRDefault="00A103F6" w:rsidP="00C9545F">
      <w:pPr>
        <w:spacing w:line="276" w:lineRule="auto"/>
        <w:rPr>
          <w:rStyle w:val="normaltextrun"/>
          <w:rFonts w:cstheme="minorHAnsi"/>
        </w:rPr>
      </w:pPr>
      <w:r w:rsidRPr="00664673">
        <w:rPr>
          <w:rStyle w:val="normaltextrun"/>
          <w:rFonts w:cstheme="minorHAnsi"/>
          <w:color w:val="000000"/>
          <w:shd w:val="clear" w:color="auto" w:fill="FFFFFF"/>
        </w:rPr>
        <w:t>As of 1 January 2020, 1,390 family reunification cases are still waiting to be settled. The average processing time of an application for family reunification has increased in 2020 and takes 289 days compared to 233 in 2019.</w:t>
      </w:r>
    </w:p>
    <w:p w14:paraId="508618EB" w14:textId="4BE8C809" w:rsidR="00A103F6" w:rsidRPr="00416F4F" w:rsidRDefault="00A103F6" w:rsidP="00C9545F">
      <w:pPr>
        <w:spacing w:line="276" w:lineRule="auto"/>
        <w:rPr>
          <w:rFonts w:cstheme="minorHAnsi"/>
          <w:b/>
          <w:bCs/>
        </w:rPr>
      </w:pPr>
      <w:r w:rsidRPr="00664673">
        <w:rPr>
          <w:rFonts w:cstheme="minorHAnsi"/>
        </w:rPr>
        <w:t>The Immigration and Naturalization Service (IND) can request the Child Protection Board to draw up an expert report in case of doubt or uncertainty about the relationship of dependence between the child and the parent from a third country. No such requests have been registered in 2020. In the period from 10 May 2017 to 10 May 2018, 25 more cases were submitted to the Child Protection Board. The fact that the IND never made use of this power in 2020 is remarkable because in cases submitted to the Children's Rights Helpdesk of Defence for Children, it is regularly concluded that there is no dependency between parent and child. In a number of cases this judgment may at the very least be questioned and specific expertise may be expected to be called upon.</w:t>
      </w:r>
      <w:r w:rsidR="003A6E66">
        <w:rPr>
          <w:rFonts w:cstheme="minorHAnsi"/>
        </w:rPr>
        <w:br/>
      </w:r>
      <w:r w:rsidR="00AA6FC3">
        <w:rPr>
          <w:rFonts w:cstheme="minorHAnsi"/>
          <w:b/>
          <w:bCs/>
        </w:rPr>
        <w:br/>
      </w:r>
      <w:r w:rsidRPr="00CF17DC">
        <w:rPr>
          <w:rFonts w:cstheme="minorHAnsi"/>
          <w:u w:val="single"/>
        </w:rPr>
        <w:t>No-fault policy</w:t>
      </w:r>
      <w:r w:rsidRPr="00416F4F">
        <w:rPr>
          <w:rFonts w:cstheme="minorHAnsi"/>
          <w:b/>
          <w:bCs/>
        </w:rPr>
        <w:t xml:space="preserve"> </w:t>
      </w:r>
    </w:p>
    <w:p w14:paraId="4376DC3E" w14:textId="77777777" w:rsidR="00A103F6" w:rsidRPr="00664673" w:rsidRDefault="00A103F6" w:rsidP="00C9545F">
      <w:pPr>
        <w:spacing w:line="276" w:lineRule="auto"/>
        <w:rPr>
          <w:rFonts w:cstheme="minorHAnsi"/>
        </w:rPr>
      </w:pPr>
      <w:r w:rsidRPr="00664673">
        <w:rPr>
          <w:rFonts w:cstheme="minorHAnsi"/>
        </w:rPr>
        <w:t>New data shows that in 2020, 30 applications were submitted for a no-fault permit for unaccompanied children. Fewer than five applications have been granted. In six years' time (just like the Children's Pardon) this will also proves to be a paper tiger, while this arrangement was intended precisely to combat the hopeless situation for single children.</w:t>
      </w:r>
    </w:p>
    <w:p w14:paraId="057C2CAB" w14:textId="3C2F1305" w:rsidR="007D50AF" w:rsidRPr="00CF17DC" w:rsidRDefault="00CF17DC" w:rsidP="00CF17DC">
      <w:pPr>
        <w:pStyle w:val="Heading3"/>
        <w:rPr>
          <w:color w:val="auto"/>
        </w:rPr>
      </w:pPr>
      <w:r>
        <w:rPr>
          <w:color w:val="auto"/>
        </w:rPr>
        <w:br/>
      </w:r>
      <w:r w:rsidR="0058285F" w:rsidRPr="00CF17DC">
        <w:rPr>
          <w:color w:val="auto"/>
        </w:rPr>
        <w:t>Juvenile Justice</w:t>
      </w:r>
    </w:p>
    <w:p w14:paraId="608773FF" w14:textId="74F97A82" w:rsidR="0058285F" w:rsidRPr="00CF17DC" w:rsidRDefault="00CF17DC" w:rsidP="00C9545F">
      <w:pPr>
        <w:shd w:val="clear" w:color="auto" w:fill="FFFFFF"/>
        <w:spacing w:after="0" w:line="276" w:lineRule="auto"/>
        <w:rPr>
          <w:rFonts w:eastAsiaTheme="minorHAnsi" w:cs="Calibri"/>
          <w:color w:val="201F1E"/>
          <w:u w:val="single"/>
        </w:rPr>
      </w:pPr>
      <w:r>
        <w:rPr>
          <w:rFonts w:eastAsiaTheme="minorHAnsi" w:cs="Calibri"/>
          <w:color w:val="201F1E"/>
          <w:u w:val="single"/>
        </w:rPr>
        <w:br/>
      </w:r>
      <w:r w:rsidR="0058285F" w:rsidRPr="00CF17DC">
        <w:rPr>
          <w:rFonts w:eastAsiaTheme="minorHAnsi" w:cs="Calibri"/>
          <w:color w:val="201F1E"/>
          <w:u w:val="single"/>
        </w:rPr>
        <w:t>Youth justice: Individual needs assessment</w:t>
      </w:r>
      <w:r w:rsidR="00F168A8" w:rsidRPr="00CF17DC">
        <w:rPr>
          <w:rFonts w:eastAsiaTheme="minorHAnsi" w:cs="Calibri"/>
          <w:color w:val="201F1E"/>
          <w:u w:val="single"/>
        </w:rPr>
        <w:t xml:space="preserve"> </w:t>
      </w:r>
    </w:p>
    <w:p w14:paraId="4AC69CA8" w14:textId="77777777" w:rsidR="00F168A8" w:rsidRPr="005822CA" w:rsidRDefault="00F168A8" w:rsidP="00C9545F">
      <w:pPr>
        <w:shd w:val="clear" w:color="auto" w:fill="FFFFFF"/>
        <w:spacing w:after="0" w:line="276" w:lineRule="auto"/>
        <w:rPr>
          <w:rFonts w:eastAsiaTheme="minorHAnsi" w:cs="Calibri"/>
          <w:i/>
          <w:iCs/>
          <w:color w:val="201F1E"/>
        </w:rPr>
      </w:pPr>
    </w:p>
    <w:p w14:paraId="4779F3F3" w14:textId="440194BA" w:rsidR="0058285F" w:rsidRPr="005822CA" w:rsidRDefault="0058285F" w:rsidP="00C9545F">
      <w:pPr>
        <w:shd w:val="clear" w:color="auto" w:fill="FFFFFF"/>
        <w:spacing w:after="0" w:line="276" w:lineRule="auto"/>
        <w:rPr>
          <w:rFonts w:eastAsiaTheme="minorHAnsi" w:cs="Calibri"/>
          <w:color w:val="201F1E"/>
        </w:rPr>
      </w:pPr>
      <w:r w:rsidRPr="00A14B6C">
        <w:rPr>
          <w:rFonts w:eastAsiaTheme="minorHAnsi" w:cs="Calibri"/>
          <w:color w:val="201F1E"/>
        </w:rPr>
        <w:t>For child victims and child suspects of serious crime, such as knife violence and exploitation, a systemic and comprehensive individual needs assessment is not fully in place (see article 40 CRC and EU directives EU2016/800 and EU2012/29). A more holistic child centred, inclusive and participatory approach including procedural safeguards for children is needed. For example, customised care or child friendly police hearings are not yet common for all child victims and suspects</w:t>
      </w:r>
      <w:r w:rsidR="00AB459B">
        <w:rPr>
          <w:rFonts w:eastAsiaTheme="minorHAnsi" w:cs="Calibri"/>
          <w:color w:val="201F1E"/>
        </w:rPr>
        <w:t>.</w:t>
      </w:r>
      <w:r w:rsidR="00BB0FA6">
        <w:rPr>
          <w:rStyle w:val="FootnoteReference"/>
          <w:rFonts w:eastAsiaTheme="minorHAnsi" w:cs="Calibri"/>
          <w:color w:val="201F1E"/>
        </w:rPr>
        <w:footnoteReference w:id="40"/>
      </w:r>
      <w:r w:rsidRPr="00A14B6C">
        <w:rPr>
          <w:rFonts w:eastAsiaTheme="minorHAnsi" w:cs="Calibri"/>
          <w:color w:val="201F1E"/>
        </w:rPr>
        <w:t> </w:t>
      </w:r>
      <w:r w:rsidRPr="005822CA">
        <w:rPr>
          <w:rFonts w:eastAsiaTheme="minorHAnsi" w:cs="Calibri"/>
          <w:color w:val="201F1E"/>
        </w:rPr>
        <w:t>The quality and practice of the individual needs assessment is different for child victims and child suspects and during the various stages of the criminal procedure.</w:t>
      </w:r>
      <w:r w:rsidR="00BB0FA6">
        <w:rPr>
          <w:rStyle w:val="FootnoteReference"/>
          <w:rFonts w:eastAsiaTheme="minorHAnsi" w:cs="Calibri"/>
          <w:color w:val="201F1E"/>
        </w:rPr>
        <w:footnoteReference w:id="41"/>
      </w:r>
      <w:r w:rsidRPr="005822CA">
        <w:rPr>
          <w:rFonts w:eastAsiaTheme="minorHAnsi" w:cs="Calibri"/>
          <w:color w:val="201F1E"/>
        </w:rPr>
        <w:t> For child victims the individual needs assessment is conducted mainly at the stage of the police. For child suspects the</w:t>
      </w:r>
      <w:r w:rsidR="00AB459B">
        <w:rPr>
          <w:rFonts w:eastAsiaTheme="minorHAnsi" w:cs="Calibri"/>
          <w:color w:val="201F1E"/>
        </w:rPr>
        <w:t xml:space="preserve"> assessment</w:t>
      </w:r>
      <w:r w:rsidRPr="005822CA">
        <w:rPr>
          <w:rFonts w:eastAsiaTheme="minorHAnsi" w:cs="Calibri"/>
          <w:color w:val="201F1E"/>
        </w:rPr>
        <w:t xml:space="preserve"> is updated during the process, but it is mostly focused on preventing recidivism.</w:t>
      </w:r>
    </w:p>
    <w:p w14:paraId="0D1FC072" w14:textId="77777777" w:rsidR="00C67C23" w:rsidRPr="005822CA" w:rsidRDefault="00C67C23" w:rsidP="00C9545F">
      <w:pPr>
        <w:shd w:val="clear" w:color="auto" w:fill="FFFFFF"/>
        <w:spacing w:after="0" w:line="276" w:lineRule="auto"/>
        <w:rPr>
          <w:rFonts w:eastAsiaTheme="minorHAnsi" w:cs="Calibri"/>
          <w:color w:val="201F1E"/>
        </w:rPr>
      </w:pPr>
    </w:p>
    <w:p w14:paraId="6A1D5965" w14:textId="7EBBD804" w:rsidR="0058285F" w:rsidRPr="00CF17DC" w:rsidRDefault="0058285F" w:rsidP="00C9545F">
      <w:pPr>
        <w:shd w:val="clear" w:color="auto" w:fill="FFFFFF"/>
        <w:spacing w:after="0" w:line="276" w:lineRule="auto"/>
        <w:rPr>
          <w:rFonts w:eastAsiaTheme="minorHAnsi" w:cs="Calibri"/>
          <w:color w:val="201F1E"/>
          <w:u w:val="single"/>
        </w:rPr>
      </w:pPr>
      <w:r w:rsidRPr="00CF17DC">
        <w:rPr>
          <w:rFonts w:eastAsiaTheme="minorHAnsi" w:cs="Calibri"/>
          <w:color w:val="201F1E"/>
          <w:u w:val="single"/>
        </w:rPr>
        <w:t>Courts decision on the conversion of the PIJ measure to TBS measure</w:t>
      </w:r>
    </w:p>
    <w:p w14:paraId="075B1E9F" w14:textId="77777777" w:rsidR="00416F4F" w:rsidRPr="00416F4F" w:rsidRDefault="00416F4F" w:rsidP="00C9545F">
      <w:pPr>
        <w:shd w:val="clear" w:color="auto" w:fill="FFFFFF"/>
        <w:spacing w:after="0" w:line="276" w:lineRule="auto"/>
        <w:rPr>
          <w:rFonts w:eastAsiaTheme="minorHAnsi" w:cs="Calibri"/>
          <w:color w:val="201F1E"/>
        </w:rPr>
      </w:pPr>
    </w:p>
    <w:p w14:paraId="02FB6E02" w14:textId="62AEC45D" w:rsidR="0058285F" w:rsidRPr="005822CA" w:rsidRDefault="0058285F" w:rsidP="00C9545F">
      <w:pPr>
        <w:shd w:val="clear" w:color="auto" w:fill="FFFFFF"/>
        <w:spacing w:after="0" w:line="276" w:lineRule="auto"/>
        <w:rPr>
          <w:rFonts w:eastAsiaTheme="minorHAnsi" w:cs="Calibri"/>
          <w:color w:val="201F1E"/>
        </w:rPr>
      </w:pPr>
      <w:r w:rsidRPr="00A14B6C">
        <w:rPr>
          <w:rFonts w:eastAsiaTheme="minorHAnsi" w:cs="Calibri"/>
          <w:color w:val="201F1E"/>
        </w:rPr>
        <w:t>In September 2021 the first court decision was published, converting the compulsory closed treatment measure for youth (PIJ-measure) into the compulsory closed treatment measure for adults (TBS).</w:t>
      </w:r>
      <w:r w:rsidR="00F168A8" w:rsidRPr="00A14B6C">
        <w:rPr>
          <w:rStyle w:val="FootnoteReference"/>
          <w:rFonts w:eastAsiaTheme="minorHAnsi" w:cs="Calibri"/>
          <w:color w:val="201F1E"/>
        </w:rPr>
        <w:footnoteReference w:id="42"/>
      </w:r>
      <w:r w:rsidRPr="00A14B6C">
        <w:rPr>
          <w:rFonts w:eastAsiaTheme="minorHAnsi" w:cs="Calibri"/>
          <w:color w:val="201F1E"/>
        </w:rPr>
        <w:t xml:space="preserve"> TBS can, in theory, be infinite, since the law does not mention a maximum term. Therefore lifelong deprivation of liberty of young people has become possible. </w:t>
      </w:r>
    </w:p>
    <w:p w14:paraId="7670BCDB" w14:textId="5E0A15F8" w:rsidR="007D50AF" w:rsidRPr="00A14B6C" w:rsidRDefault="007D50AF" w:rsidP="00C9545F">
      <w:pPr>
        <w:spacing w:line="276" w:lineRule="auto"/>
      </w:pPr>
    </w:p>
    <w:p w14:paraId="53C63E89" w14:textId="0AD1662C" w:rsidR="00B7059B" w:rsidRPr="00AA6FC3" w:rsidRDefault="00B7059B" w:rsidP="00AA6FC3">
      <w:pPr>
        <w:pStyle w:val="Heading2"/>
        <w:rPr>
          <w:color w:val="ED7D31" w:themeColor="accent2"/>
        </w:rPr>
      </w:pPr>
      <w:bookmarkStart w:id="12" w:name="_Toc90280565"/>
      <w:r w:rsidRPr="00AA6FC3">
        <w:rPr>
          <w:color w:val="ED7D31" w:themeColor="accent2"/>
        </w:rPr>
        <w:t>Optional protocol on the Sale of Children, Child prostitution and Child Pornography</w:t>
      </w:r>
      <w:bookmarkEnd w:id="12"/>
    </w:p>
    <w:p w14:paraId="7759E56F" w14:textId="77777777" w:rsidR="00B7059B" w:rsidRPr="00AA6FC3" w:rsidRDefault="00B7059B" w:rsidP="00C9545F">
      <w:pPr>
        <w:spacing w:line="276" w:lineRule="auto"/>
        <w:rPr>
          <w:color w:val="ED7D31" w:themeColor="accent2"/>
        </w:rPr>
      </w:pPr>
    </w:p>
    <w:p w14:paraId="46D3939B" w14:textId="61ECB814" w:rsidR="00B7059B" w:rsidRPr="00CF17DC" w:rsidRDefault="00B7059B" w:rsidP="00C9545F">
      <w:pPr>
        <w:spacing w:line="276" w:lineRule="auto"/>
        <w:rPr>
          <w:bCs/>
          <w:u w:val="single"/>
        </w:rPr>
      </w:pPr>
      <w:r w:rsidRPr="00CF17DC">
        <w:rPr>
          <w:bCs/>
          <w:u w:val="single"/>
        </w:rPr>
        <w:t>More data available on child victims of (sexual) exploitation</w:t>
      </w:r>
    </w:p>
    <w:p w14:paraId="3DD26BA3" w14:textId="4A1FCBDF" w:rsidR="00B7059B" w:rsidRDefault="00B7059B" w:rsidP="00C9545F">
      <w:pPr>
        <w:spacing w:line="276" w:lineRule="auto"/>
      </w:pPr>
      <w:r w:rsidRPr="00A14B6C">
        <w:t>Additional research (November 2021) emphasised that when comparing observed and estimated cases of human trafficking in the Netherlands, minors who are victim of sexual exploitation have a particularly low visibility.</w:t>
      </w:r>
      <w:r w:rsidRPr="00A14B6C">
        <w:rPr>
          <w:vertAlign w:val="superscript"/>
        </w:rPr>
        <w:footnoteReference w:id="43"/>
      </w:r>
      <w:r w:rsidRPr="00A14B6C">
        <w:t xml:space="preserve"> A potential explanation of this is lack of awareness of signs of human trafficking among staff at youth institutions. </w:t>
      </w:r>
    </w:p>
    <w:p w14:paraId="7ACBC58C" w14:textId="7A4AF10B" w:rsidR="00B7059B" w:rsidRPr="00A14B6C" w:rsidRDefault="00B7059B" w:rsidP="00C9545F">
      <w:pPr>
        <w:spacing w:line="276" w:lineRule="auto"/>
      </w:pPr>
      <w:r w:rsidRPr="00A14B6C">
        <w:t xml:space="preserve">The recently published </w:t>
      </w:r>
      <w:r w:rsidR="00F51F82">
        <w:t xml:space="preserve">Victims Monitor </w:t>
      </w:r>
      <w:r w:rsidRPr="00A14B6C">
        <w:t>(December 2021) analyses data from 2016-2020 and shows that a worrying 50 percent of minors or adolescents (age 18-23) that were registered as a  victim of human trafficking will again become victim of a crime within 5 years. Forty-one  percent of minors that received support as victims of human trafficking was placed in secured residential youth care institutions in the year after victimisation. Secured provision is often seen as a last resort to ensure safety, however in many cases it is questioned whether this placement provides the assistance the minor needs and whether it is effective in providing security. The quality of (specialised) youth care that victims receive is often dependent on the municipality in which they live (and their residence status) rather than on what they actually need.</w:t>
      </w:r>
      <w:r w:rsidRPr="00A14B6C">
        <w:rPr>
          <w:vertAlign w:val="superscript"/>
        </w:rPr>
        <w:footnoteReference w:id="44"/>
      </w:r>
    </w:p>
    <w:p w14:paraId="578B0E63" w14:textId="6E5DD843" w:rsidR="00B7059B" w:rsidRPr="00CF17DC" w:rsidRDefault="00B7059B" w:rsidP="00C9545F">
      <w:pPr>
        <w:spacing w:line="276" w:lineRule="auto"/>
        <w:rPr>
          <w:bCs/>
          <w:u w:val="single"/>
        </w:rPr>
      </w:pPr>
      <w:r w:rsidRPr="00CF17DC">
        <w:rPr>
          <w:bCs/>
          <w:u w:val="single"/>
        </w:rPr>
        <w:t>Modernised sexual offenses law</w:t>
      </w:r>
    </w:p>
    <w:p w14:paraId="0CB3C103" w14:textId="77777777" w:rsidR="00B7059B" w:rsidRPr="00A14B6C" w:rsidRDefault="00B7059B" w:rsidP="00C9545F">
      <w:pPr>
        <w:spacing w:line="276" w:lineRule="auto"/>
      </w:pPr>
      <w:r w:rsidRPr="00A14B6C">
        <w:t>The modernised sexual offenses law is expected to be submitted to the House of Representatives next Spring. Due to preparations of the implementation of the law such as education, training and recruitment, the new legislation is expected to only enter into force in 2024.</w:t>
      </w:r>
      <w:r w:rsidRPr="00A14B6C">
        <w:rPr>
          <w:vertAlign w:val="superscript"/>
        </w:rPr>
        <w:footnoteReference w:id="45"/>
      </w:r>
      <w:r w:rsidRPr="00A14B6C">
        <w:t xml:space="preserve"> </w:t>
      </w:r>
    </w:p>
    <w:p w14:paraId="1C38D644" w14:textId="77777777" w:rsidR="00B7059B" w:rsidRPr="00A14B6C" w:rsidRDefault="00B7059B" w:rsidP="00C9545F">
      <w:pPr>
        <w:spacing w:line="276" w:lineRule="auto"/>
      </w:pPr>
    </w:p>
    <w:p w14:paraId="43F9A109" w14:textId="77777777" w:rsidR="007D50AF" w:rsidRPr="00A14B6C" w:rsidRDefault="007D50AF" w:rsidP="00C9545F">
      <w:pPr>
        <w:spacing w:line="276" w:lineRule="auto"/>
      </w:pPr>
    </w:p>
    <w:p w14:paraId="4D875719" w14:textId="5C252E4D" w:rsidR="007D50AF" w:rsidRPr="00A14B6C" w:rsidRDefault="007D50AF" w:rsidP="00C9545F">
      <w:pPr>
        <w:spacing w:line="276" w:lineRule="auto"/>
      </w:pPr>
    </w:p>
    <w:p w14:paraId="196E201C" w14:textId="77777777" w:rsidR="007D50AF" w:rsidRPr="00A14B6C" w:rsidRDefault="007D50AF" w:rsidP="00C9545F">
      <w:pPr>
        <w:spacing w:line="276" w:lineRule="auto"/>
      </w:pPr>
    </w:p>
    <w:p w14:paraId="32DEBFDB" w14:textId="77777777" w:rsidR="007D50AF" w:rsidRPr="00A14B6C" w:rsidRDefault="007D50AF" w:rsidP="00C9545F">
      <w:pPr>
        <w:spacing w:line="276" w:lineRule="auto"/>
      </w:pPr>
    </w:p>
    <w:sectPr w:rsidR="007D50AF" w:rsidRPr="00A14B6C">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E316FE" w14:textId="77777777" w:rsidR="00D67308" w:rsidRDefault="00D67308" w:rsidP="0070683B">
      <w:pPr>
        <w:spacing w:after="0" w:line="240" w:lineRule="auto"/>
      </w:pPr>
      <w:r>
        <w:separator/>
      </w:r>
    </w:p>
  </w:endnote>
  <w:endnote w:type="continuationSeparator" w:id="0">
    <w:p w14:paraId="10FBA505" w14:textId="77777777" w:rsidR="00D67308" w:rsidRDefault="00D67308" w:rsidP="007068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Libre Franklin">
    <w:altName w:val="Times New Roman"/>
    <w:charset w:val="00"/>
    <w:family w:val="auto"/>
    <w:pitch w:val="variable"/>
    <w:sig w:usb0="00000001" w:usb1="4000205B" w:usb2="00000000" w:usb3="00000000" w:csb0="00000193"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7101733"/>
      <w:docPartObj>
        <w:docPartGallery w:val="Page Numbers (Bottom of Page)"/>
        <w:docPartUnique/>
      </w:docPartObj>
    </w:sdtPr>
    <w:sdtEndPr/>
    <w:sdtContent>
      <w:p w14:paraId="65F1F763" w14:textId="287157F6" w:rsidR="009E758B" w:rsidRDefault="009E758B">
        <w:pPr>
          <w:pStyle w:val="Footer"/>
          <w:jc w:val="center"/>
        </w:pPr>
        <w:r>
          <w:fldChar w:fldCharType="begin"/>
        </w:r>
        <w:r>
          <w:instrText>PAGE   \* MERGEFORMAT</w:instrText>
        </w:r>
        <w:r>
          <w:fldChar w:fldCharType="separate"/>
        </w:r>
        <w:r w:rsidR="006761E2" w:rsidRPr="006761E2">
          <w:rPr>
            <w:noProof/>
            <w:lang w:val="nl-NL"/>
          </w:rPr>
          <w:t>2</w:t>
        </w:r>
        <w:r>
          <w:fldChar w:fldCharType="end"/>
        </w:r>
      </w:p>
    </w:sdtContent>
  </w:sdt>
  <w:p w14:paraId="3E21A11F" w14:textId="77777777" w:rsidR="009E758B" w:rsidRDefault="009E758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A66D5D" w14:textId="77777777" w:rsidR="00D67308" w:rsidRDefault="00D67308" w:rsidP="0070683B">
      <w:pPr>
        <w:spacing w:after="0" w:line="240" w:lineRule="auto"/>
      </w:pPr>
      <w:r>
        <w:separator/>
      </w:r>
    </w:p>
  </w:footnote>
  <w:footnote w:type="continuationSeparator" w:id="0">
    <w:p w14:paraId="072FF3E1" w14:textId="77777777" w:rsidR="00D67308" w:rsidRDefault="00D67308" w:rsidP="0070683B">
      <w:pPr>
        <w:spacing w:after="0" w:line="240" w:lineRule="auto"/>
      </w:pPr>
      <w:r>
        <w:continuationSeparator/>
      </w:r>
    </w:p>
  </w:footnote>
  <w:footnote w:id="1">
    <w:p w14:paraId="78C0B8A0" w14:textId="76A272CF" w:rsidR="0057721F" w:rsidRPr="0057721F" w:rsidRDefault="0057721F">
      <w:pPr>
        <w:pStyle w:val="FootnoteText"/>
        <w:rPr>
          <w:lang w:val="en-GB"/>
        </w:rPr>
      </w:pPr>
      <w:r w:rsidRPr="0057721F">
        <w:rPr>
          <w:rStyle w:val="FootnoteReference"/>
          <w:lang w:val="en-GB"/>
        </w:rPr>
        <w:footnoteRef/>
      </w:r>
      <w:r w:rsidRPr="0057721F">
        <w:rPr>
          <w:lang w:val="en-GB"/>
        </w:rPr>
        <w:t xml:space="preserve"> For more information</w:t>
      </w:r>
      <w:r>
        <w:rPr>
          <w:lang w:val="en-GB"/>
        </w:rPr>
        <w:t xml:space="preserve"> on the coronavirus entry pass</w:t>
      </w:r>
      <w:r w:rsidRPr="0057721F">
        <w:rPr>
          <w:lang w:val="en-GB"/>
        </w:rPr>
        <w:t>: www.government.nl/topics/coronavirus-covid-19/covid-certificate/coronavirus-entry-pass/where-do-i-need-to-show-a-coronavirus-entry-pass</w:t>
      </w:r>
    </w:p>
  </w:footnote>
  <w:footnote w:id="2">
    <w:p w14:paraId="2679B350" w14:textId="7AD02C63" w:rsidR="005B247F" w:rsidRPr="000C17EC" w:rsidRDefault="005B247F">
      <w:pPr>
        <w:pStyle w:val="FootnoteText"/>
        <w:rPr>
          <w:lang w:val="en-GB"/>
        </w:rPr>
      </w:pPr>
      <w:r w:rsidRPr="0057721F">
        <w:rPr>
          <w:rStyle w:val="FootnoteReference"/>
          <w:lang w:val="en-GB"/>
        </w:rPr>
        <w:footnoteRef/>
      </w:r>
      <w:r w:rsidRPr="0057721F">
        <w:rPr>
          <w:lang w:val="en-GB"/>
        </w:rPr>
        <w:t xml:space="preserve"> See also </w:t>
      </w:r>
      <w:r w:rsidR="00816208" w:rsidRPr="0057721F">
        <w:rPr>
          <w:lang w:val="en-GB"/>
        </w:rPr>
        <w:t>the non-exhaustive list</w:t>
      </w:r>
      <w:r w:rsidR="00B477BF" w:rsidRPr="0057721F">
        <w:rPr>
          <w:lang w:val="en-GB"/>
        </w:rPr>
        <w:t xml:space="preserve"> of research</w:t>
      </w:r>
      <w:r w:rsidR="007C799E">
        <w:rPr>
          <w:lang w:val="en-GB"/>
        </w:rPr>
        <w:t xml:space="preserve"> </w:t>
      </w:r>
      <w:r w:rsidR="00005D37">
        <w:rPr>
          <w:lang w:val="en-GB"/>
        </w:rPr>
        <w:t xml:space="preserve">on the </w:t>
      </w:r>
      <w:r w:rsidR="00005D37" w:rsidRPr="00005D37">
        <w:rPr>
          <w:lang w:val="en-GB"/>
        </w:rPr>
        <w:t>impact of lockdown during the COVID</w:t>
      </w:r>
      <w:r w:rsidR="00005D37">
        <w:rPr>
          <w:lang w:val="en-GB"/>
        </w:rPr>
        <w:t>-</w:t>
      </w:r>
      <w:r w:rsidR="00005D37" w:rsidRPr="00005D37">
        <w:rPr>
          <w:lang w:val="en-GB"/>
        </w:rPr>
        <w:t xml:space="preserve">19 </w:t>
      </w:r>
      <w:bookmarkStart w:id="2" w:name="_Hlk90409998"/>
      <w:r w:rsidR="00005D37" w:rsidRPr="00005D37">
        <w:rPr>
          <w:lang w:val="en-GB"/>
        </w:rPr>
        <w:t xml:space="preserve">pandemic on mental and social health of children and adolescents </w:t>
      </w:r>
      <w:bookmarkEnd w:id="2"/>
      <w:r w:rsidR="00816208" w:rsidRPr="0057721F">
        <w:rPr>
          <w:lang w:val="en-GB"/>
        </w:rPr>
        <w:t xml:space="preserve">in </w:t>
      </w:r>
      <w:r w:rsidR="00816208" w:rsidRPr="00967C54">
        <w:rPr>
          <w:lang w:val="en-GB"/>
        </w:rPr>
        <w:t xml:space="preserve">footnote </w:t>
      </w:r>
      <w:r w:rsidR="00A26DA6" w:rsidRPr="00967C54">
        <w:rPr>
          <w:lang w:val="en-GB"/>
        </w:rPr>
        <w:t>24</w:t>
      </w:r>
      <w:r w:rsidR="00C5182B" w:rsidRPr="00967C54">
        <w:rPr>
          <w:lang w:val="en-GB"/>
        </w:rPr>
        <w:t xml:space="preserve"> at page </w:t>
      </w:r>
      <w:r w:rsidR="00005D37" w:rsidRPr="00967C54">
        <w:rPr>
          <w:lang w:val="en-GB"/>
        </w:rPr>
        <w:t>6</w:t>
      </w:r>
      <w:r w:rsidR="00816208" w:rsidRPr="00967C54">
        <w:rPr>
          <w:lang w:val="en-GB"/>
        </w:rPr>
        <w:t>.</w:t>
      </w:r>
      <w:r w:rsidR="00816208">
        <w:rPr>
          <w:lang w:val="en-GB"/>
        </w:rPr>
        <w:t xml:space="preserve"> </w:t>
      </w:r>
    </w:p>
  </w:footnote>
  <w:footnote w:id="3">
    <w:p w14:paraId="088DEE97" w14:textId="426F0016" w:rsidR="002A27B9" w:rsidRDefault="002A27B9">
      <w:pPr>
        <w:pStyle w:val="FootnoteText"/>
      </w:pPr>
      <w:r>
        <w:rPr>
          <w:rStyle w:val="FootnoteReference"/>
        </w:rPr>
        <w:footnoteRef/>
      </w:r>
      <w:r>
        <w:t xml:space="preserve"> </w:t>
      </w:r>
      <w:r w:rsidRPr="005D1ADF">
        <w:t>V</w:t>
      </w:r>
      <w:r w:rsidRPr="009D6FEB">
        <w:t>erwey-Jonker Institu</w:t>
      </w:r>
      <w:r w:rsidR="00B85CEA">
        <w:t>te, 8-6-</w:t>
      </w:r>
      <w:r w:rsidRPr="009D6FEB">
        <w:t xml:space="preserve">2021, </w:t>
      </w:r>
      <w:hyperlink r:id="rId1" w:history="1">
        <w:r w:rsidRPr="009D6FEB">
          <w:rPr>
            <w:rStyle w:val="Hyperlink"/>
            <w:i/>
            <w:iCs/>
          </w:rPr>
          <w:t>Kinderen missen zelfstandig recht op sociale zekerheid</w:t>
        </w:r>
      </w:hyperlink>
    </w:p>
  </w:footnote>
  <w:footnote w:id="4">
    <w:p w14:paraId="43F319E6" w14:textId="186161B9" w:rsidR="009E758B" w:rsidRPr="005E715D" w:rsidRDefault="000D093C">
      <w:pPr>
        <w:pStyle w:val="FootnoteText"/>
        <w:rPr>
          <w:lang w:val="en-US"/>
        </w:rPr>
      </w:pPr>
      <w:r w:rsidRPr="005E715D">
        <w:rPr>
          <w:rStyle w:val="FootnoteReference"/>
        </w:rPr>
        <w:footnoteRef/>
      </w:r>
      <w:r w:rsidRPr="005E715D">
        <w:rPr>
          <w:lang w:val="en-GB"/>
        </w:rPr>
        <w:t xml:space="preserve"> </w:t>
      </w:r>
      <w:r w:rsidR="009E758B" w:rsidRPr="005E715D">
        <w:rPr>
          <w:lang w:val="en-GB"/>
        </w:rPr>
        <w:t xml:space="preserve">Youth Monitor, 1-11-2021, </w:t>
      </w:r>
      <w:hyperlink r:id="rId2" w:history="1">
        <w:r w:rsidR="009E758B" w:rsidRPr="005E715D">
          <w:rPr>
            <w:rStyle w:val="Hyperlink"/>
            <w:i/>
            <w:iCs/>
            <w:lang w:val="en-GB"/>
          </w:rPr>
          <w:t xml:space="preserve">Summary (English) 10. </w:t>
        </w:r>
        <w:r w:rsidR="009E758B" w:rsidRPr="005E715D">
          <w:rPr>
            <w:rStyle w:val="Hyperlink"/>
            <w:i/>
            <w:iCs/>
            <w:lang w:val="en-US"/>
          </w:rPr>
          <w:t>Children’s rights (Chapter 11)</w:t>
        </w:r>
      </w:hyperlink>
      <w:r w:rsidR="009E758B" w:rsidRPr="005E715D">
        <w:rPr>
          <w:lang w:val="en-US"/>
        </w:rPr>
        <w:t xml:space="preserve"> </w:t>
      </w:r>
    </w:p>
  </w:footnote>
  <w:footnote w:id="5">
    <w:p w14:paraId="206C8DAD" w14:textId="77777777" w:rsidR="00B22B8A" w:rsidRPr="005E715D" w:rsidRDefault="00B22B8A" w:rsidP="00B22B8A">
      <w:pPr>
        <w:pStyle w:val="FootnoteText"/>
        <w:rPr>
          <w:lang w:val="fr-FR"/>
        </w:rPr>
      </w:pPr>
      <w:r w:rsidRPr="005E715D">
        <w:rPr>
          <w:rStyle w:val="FootnoteReference"/>
        </w:rPr>
        <w:footnoteRef/>
      </w:r>
      <w:r w:rsidRPr="005E715D">
        <w:rPr>
          <w:lang w:val="fr-FR"/>
        </w:rPr>
        <w:t xml:space="preserve"> </w:t>
      </w:r>
      <w:hyperlink r:id="rId3" w:history="1">
        <w:r w:rsidRPr="005E715D">
          <w:rPr>
            <w:rStyle w:val="Hyperlink"/>
            <w:lang w:val="fr-FR"/>
          </w:rPr>
          <w:t>https://www.rijksfinancien.nl/sites/default/files/kamerstuk_pdf/kst-35925-XVII-2.pdf</w:t>
        </w:r>
      </w:hyperlink>
      <w:r w:rsidRPr="005E715D">
        <w:rPr>
          <w:lang w:val="fr-FR"/>
        </w:rPr>
        <w:t>, page 50.</w:t>
      </w:r>
    </w:p>
  </w:footnote>
  <w:footnote w:id="6">
    <w:p w14:paraId="2C2CBFBE" w14:textId="60BBB41C" w:rsidR="00B22B8A" w:rsidRPr="00234215" w:rsidRDefault="00B22B8A" w:rsidP="00B22B8A">
      <w:pPr>
        <w:rPr>
          <w:i/>
          <w:iCs/>
          <w:sz w:val="20"/>
          <w:szCs w:val="20"/>
          <w:lang w:val="fr-FR"/>
        </w:rPr>
      </w:pPr>
      <w:r w:rsidRPr="005E715D">
        <w:rPr>
          <w:rStyle w:val="FootnoteReference"/>
          <w:sz w:val="20"/>
          <w:szCs w:val="20"/>
        </w:rPr>
        <w:footnoteRef/>
      </w:r>
      <w:r w:rsidR="00234215">
        <w:rPr>
          <w:sz w:val="20"/>
          <w:szCs w:val="20"/>
          <w:lang w:val="fr-FR"/>
        </w:rPr>
        <w:t xml:space="preserve"> De Volkskrant, 03-12-2021, </w:t>
      </w:r>
      <w:hyperlink r:id="rId4" w:history="1">
        <w:r w:rsidR="00234215" w:rsidRPr="00234215">
          <w:rPr>
            <w:rStyle w:val="Hyperlink"/>
            <w:i/>
            <w:iCs/>
            <w:sz w:val="20"/>
            <w:szCs w:val="20"/>
            <w:lang w:val="fr-FR"/>
          </w:rPr>
          <w:t>Minister De Bruijn zet wet aanvoerketens door, tot verdriet van de bedrijvenlobby</w:t>
        </w:r>
      </w:hyperlink>
    </w:p>
  </w:footnote>
  <w:footnote w:id="7">
    <w:p w14:paraId="5CE3C518" w14:textId="0BB3C3F0" w:rsidR="00327563" w:rsidRPr="007F4034" w:rsidRDefault="00327563">
      <w:pPr>
        <w:pStyle w:val="FootnoteText"/>
        <w:rPr>
          <w:lang w:val="fr-FR"/>
        </w:rPr>
      </w:pPr>
      <w:r w:rsidRPr="005E715D">
        <w:rPr>
          <w:rStyle w:val="FootnoteReference"/>
        </w:rPr>
        <w:footnoteRef/>
      </w:r>
      <w:r w:rsidRPr="007F4034">
        <w:rPr>
          <w:lang w:val="fr-FR"/>
        </w:rPr>
        <w:t xml:space="preserve"> https://www.dutchnews.nl/news/2021/10/almost-1000-dutch-nationals-are-named-in-the-pandora-papers/</w:t>
      </w:r>
    </w:p>
  </w:footnote>
  <w:footnote w:id="8">
    <w:p w14:paraId="24CF1C87" w14:textId="0761484C" w:rsidR="00C46C10" w:rsidRPr="007F4034" w:rsidRDefault="006107A4">
      <w:pPr>
        <w:pStyle w:val="FootnoteText"/>
        <w:rPr>
          <w:lang w:val="fr-FR"/>
        </w:rPr>
      </w:pPr>
      <w:r w:rsidRPr="005E715D">
        <w:rPr>
          <w:rStyle w:val="FootnoteReference"/>
        </w:rPr>
        <w:footnoteRef/>
      </w:r>
      <w:r w:rsidRPr="007F4034">
        <w:rPr>
          <w:lang w:val="fr-FR"/>
        </w:rPr>
        <w:t xml:space="preserve"> </w:t>
      </w:r>
      <w:r w:rsidR="00C46C10">
        <w:rPr>
          <w:lang w:val="fr-FR"/>
        </w:rPr>
        <w:t xml:space="preserve">Website Tax Justice Network, </w:t>
      </w:r>
      <w:hyperlink r:id="rId5" w:history="1">
        <w:r w:rsidR="00C46C10" w:rsidRPr="00121E3E">
          <w:rPr>
            <w:rStyle w:val="Hyperlink"/>
            <w:lang w:val="fr-FR"/>
          </w:rPr>
          <w:t>https://cthi.taxjustice.net/en/</w:t>
        </w:r>
      </w:hyperlink>
    </w:p>
  </w:footnote>
  <w:footnote w:id="9">
    <w:p w14:paraId="2A34ECFE" w14:textId="64F2EF37" w:rsidR="005A7FD1" w:rsidRPr="005E715D" w:rsidRDefault="005A7FD1" w:rsidP="005A7FD1">
      <w:pPr>
        <w:pStyle w:val="NormalWeb"/>
        <w:spacing w:after="0"/>
        <w:rPr>
          <w:rFonts w:ascii="Franklin Gothic Book" w:hAnsi="Franklin Gothic Book"/>
          <w:sz w:val="20"/>
          <w:szCs w:val="20"/>
          <w:lang w:val="en-US"/>
        </w:rPr>
      </w:pPr>
      <w:r w:rsidRPr="005E715D">
        <w:rPr>
          <w:rStyle w:val="FootnoteReference"/>
          <w:rFonts w:ascii="Franklin Gothic Book" w:hAnsi="Franklin Gothic Book"/>
          <w:sz w:val="20"/>
          <w:szCs w:val="20"/>
        </w:rPr>
        <w:footnoteRef/>
      </w:r>
      <w:r w:rsidRPr="005E715D">
        <w:rPr>
          <w:rFonts w:ascii="Franklin Gothic Book" w:hAnsi="Franklin Gothic Book"/>
          <w:sz w:val="20"/>
          <w:szCs w:val="20"/>
        </w:rPr>
        <w:t xml:space="preserve"> </w:t>
      </w:r>
      <w:r w:rsidRPr="005E715D">
        <w:rPr>
          <w:rFonts w:ascii="Franklin Gothic Book" w:eastAsia="Times New Roman" w:hAnsi="Franklin Gothic Book" w:cs="Arial"/>
          <w:i/>
          <w:iCs/>
          <w:color w:val="000000"/>
          <w:sz w:val="20"/>
          <w:szCs w:val="20"/>
          <w:lang w:val="en-US"/>
        </w:rPr>
        <w:t xml:space="preserve">See </w:t>
      </w:r>
      <w:hyperlink r:id="rId6" w:history="1">
        <w:r w:rsidRPr="005E715D">
          <w:rPr>
            <w:rFonts w:ascii="Franklin Gothic Book" w:eastAsia="Times New Roman" w:hAnsi="Franklin Gothic Book" w:cs="Arial"/>
            <w:color w:val="1155CC"/>
            <w:sz w:val="20"/>
            <w:szCs w:val="20"/>
            <w:u w:val="single"/>
            <w:lang w:val="en-US"/>
          </w:rPr>
          <w:t>https://www.imf.org/external/pubs/ft/fandd/2019/09/tackling-global-tax-havens-shaxon.htm</w:t>
        </w:r>
      </w:hyperlink>
      <w:r w:rsidRPr="005E715D">
        <w:rPr>
          <w:rFonts w:ascii="Franklin Gothic Book" w:eastAsia="Times New Roman" w:hAnsi="Franklin Gothic Book" w:cs="Arial"/>
          <w:color w:val="000000"/>
          <w:sz w:val="20"/>
          <w:szCs w:val="20"/>
          <w:lang w:val="en-US"/>
        </w:rPr>
        <w:t xml:space="preserve">, </w:t>
      </w:r>
      <w:r w:rsidRPr="005E715D">
        <w:rPr>
          <w:rFonts w:ascii="Franklin Gothic Book" w:eastAsia="Times New Roman" w:hAnsi="Franklin Gothic Book" w:cs="Arial"/>
          <w:i/>
          <w:iCs/>
          <w:color w:val="000000"/>
          <w:sz w:val="20"/>
          <w:szCs w:val="20"/>
          <w:lang w:val="en-US"/>
        </w:rPr>
        <w:t xml:space="preserve">see also </w:t>
      </w:r>
      <w:r w:rsidRPr="005E715D">
        <w:rPr>
          <w:rFonts w:ascii="Franklin Gothic Book" w:eastAsia="Times New Roman" w:hAnsi="Franklin Gothic Book" w:cs="Arial"/>
          <w:color w:val="000000"/>
          <w:sz w:val="20"/>
          <w:szCs w:val="20"/>
          <w:lang w:val="en-US"/>
        </w:rPr>
        <w:t xml:space="preserve">Alex Cobham, Petr Jansky, </w:t>
      </w:r>
      <w:r w:rsidR="003E511B">
        <w:rPr>
          <w:rFonts w:ascii="Franklin Gothic Book" w:eastAsia="Times New Roman" w:hAnsi="Franklin Gothic Book" w:cs="Arial"/>
          <w:color w:val="000000"/>
          <w:sz w:val="20"/>
          <w:szCs w:val="20"/>
          <w:lang w:val="en-US"/>
        </w:rPr>
        <w:t xml:space="preserve">13-03-2018, </w:t>
      </w:r>
      <w:hyperlink r:id="rId7" w:history="1">
        <w:r w:rsidRPr="003E511B">
          <w:rPr>
            <w:rStyle w:val="Hyperlink"/>
            <w:rFonts w:ascii="Franklin Gothic Book" w:eastAsia="Times New Roman" w:hAnsi="Franklin Gothic Book" w:cs="Arial"/>
            <w:i/>
            <w:iCs/>
            <w:sz w:val="20"/>
            <w:szCs w:val="20"/>
            <w:lang w:val="en-US"/>
          </w:rPr>
          <w:t>Global distribution of revenue loss from corporate tax avoidance: re-estimation and country results</w:t>
        </w:r>
      </w:hyperlink>
      <w:r w:rsidRPr="005E715D">
        <w:rPr>
          <w:rFonts w:ascii="Franklin Gothic Book" w:eastAsia="Times New Roman" w:hAnsi="Franklin Gothic Book" w:cs="Arial"/>
          <w:color w:val="000000"/>
          <w:sz w:val="20"/>
          <w:szCs w:val="20"/>
          <w:lang w:val="en-US"/>
        </w:rPr>
        <w:t xml:space="preserve">, </w:t>
      </w:r>
      <w:r w:rsidR="003E511B">
        <w:rPr>
          <w:rFonts w:ascii="Franklin Gothic Book" w:eastAsia="Times New Roman" w:hAnsi="Franklin Gothic Book" w:cs="Arial"/>
          <w:color w:val="000000"/>
          <w:sz w:val="20"/>
          <w:szCs w:val="20"/>
          <w:lang w:val="en-US"/>
        </w:rPr>
        <w:t xml:space="preserve">In: </w:t>
      </w:r>
      <w:r w:rsidRPr="005E715D">
        <w:rPr>
          <w:rFonts w:ascii="Franklin Gothic Book" w:eastAsia="Times New Roman" w:hAnsi="Franklin Gothic Book" w:cs="Arial"/>
          <w:i/>
          <w:iCs/>
          <w:color w:val="000000"/>
          <w:sz w:val="20"/>
          <w:szCs w:val="20"/>
          <w:lang w:val="en-US"/>
        </w:rPr>
        <w:t>Journal of International Development</w:t>
      </w:r>
      <w:r w:rsidRPr="005E715D">
        <w:rPr>
          <w:rFonts w:ascii="Franklin Gothic Book" w:eastAsia="Times New Roman" w:hAnsi="Franklin Gothic Book" w:cs="Arial"/>
          <w:color w:val="000000"/>
          <w:sz w:val="20"/>
          <w:szCs w:val="20"/>
          <w:lang w:val="en-US"/>
        </w:rPr>
        <w:t xml:space="preserve"> </w:t>
      </w:r>
    </w:p>
  </w:footnote>
  <w:footnote w:id="10">
    <w:p w14:paraId="1BF340FD" w14:textId="69A6CFFA" w:rsidR="005A7FD1" w:rsidRPr="005A7FD1" w:rsidRDefault="005A7FD1" w:rsidP="005E715D">
      <w:pPr>
        <w:pStyle w:val="NormalWeb"/>
        <w:spacing w:after="0"/>
        <w:rPr>
          <w:lang w:val="en-US"/>
        </w:rPr>
      </w:pPr>
      <w:r>
        <w:rPr>
          <w:rStyle w:val="FootnoteReference"/>
        </w:rPr>
        <w:footnoteRef/>
      </w:r>
      <w:r>
        <w:t xml:space="preserve"> </w:t>
      </w:r>
      <w:r w:rsidRPr="005A7FD1">
        <w:rPr>
          <w:rFonts w:ascii="Franklin Gothic Book" w:eastAsia="Times New Roman" w:hAnsi="Franklin Gothic Book" w:cs="Arial"/>
          <w:color w:val="000000"/>
          <w:sz w:val="20"/>
          <w:szCs w:val="20"/>
          <w:lang w:val="en-US"/>
        </w:rPr>
        <w:t>Hall, S., Lopez, M.J., Murray, S., O’Hare, B.A.-M., Spencer, N., and Torrie, C.,</w:t>
      </w:r>
      <w:r w:rsidR="005E715D">
        <w:rPr>
          <w:rFonts w:ascii="Franklin Gothic Book" w:eastAsia="Times New Roman" w:hAnsi="Franklin Gothic Book" w:cs="Arial"/>
          <w:color w:val="000000"/>
          <w:sz w:val="20"/>
          <w:szCs w:val="20"/>
          <w:lang w:val="en-US"/>
        </w:rPr>
        <w:t>05-04-2021,</w:t>
      </w:r>
      <w:r w:rsidRPr="005A7FD1">
        <w:rPr>
          <w:rFonts w:ascii="Franklin Gothic Book" w:eastAsia="Times New Roman" w:hAnsi="Franklin Gothic Book" w:cs="Arial"/>
          <w:color w:val="000000"/>
          <w:sz w:val="20"/>
          <w:szCs w:val="20"/>
          <w:lang w:val="en-US"/>
        </w:rPr>
        <w:t xml:space="preserve"> </w:t>
      </w:r>
      <w:hyperlink r:id="rId8" w:history="1">
        <w:r w:rsidRPr="005E715D">
          <w:rPr>
            <w:rStyle w:val="Hyperlink"/>
            <w:rFonts w:ascii="Franklin Gothic Book" w:eastAsia="Times New Roman" w:hAnsi="Franklin Gothic Book" w:cs="Arial"/>
            <w:i/>
            <w:iCs/>
            <w:sz w:val="20"/>
            <w:szCs w:val="20"/>
            <w:lang w:val="en-US"/>
          </w:rPr>
          <w:t>Lost government revenues due to tax abuse – the impact on the determinants of health and mortality rates</w:t>
        </w:r>
        <w:r w:rsidR="005E715D" w:rsidRPr="005E715D">
          <w:rPr>
            <w:rStyle w:val="Hyperlink"/>
            <w:rFonts w:ascii="Franklin Gothic Book" w:eastAsia="Times New Roman" w:hAnsi="Franklin Gothic Book" w:cs="Arial"/>
            <w:i/>
            <w:iCs/>
            <w:sz w:val="20"/>
            <w:szCs w:val="20"/>
            <w:lang w:val="en-US"/>
          </w:rPr>
          <w:t>.</w:t>
        </w:r>
      </w:hyperlink>
      <w:r w:rsidR="005E715D">
        <w:rPr>
          <w:rFonts w:ascii="Franklin Gothic Book" w:eastAsia="Times New Roman" w:hAnsi="Franklin Gothic Book" w:cs="Arial"/>
          <w:color w:val="000000"/>
          <w:sz w:val="20"/>
          <w:szCs w:val="20"/>
          <w:lang w:val="en-US"/>
        </w:rPr>
        <w:t xml:space="preserve"> </w:t>
      </w:r>
    </w:p>
  </w:footnote>
  <w:footnote w:id="11">
    <w:p w14:paraId="21E91188" w14:textId="28CC1263" w:rsidR="003E511B" w:rsidRPr="003E511B" w:rsidRDefault="003E511B">
      <w:pPr>
        <w:pStyle w:val="FootnoteText"/>
        <w:rPr>
          <w:lang w:val="en-US"/>
        </w:rPr>
      </w:pPr>
      <w:r>
        <w:rPr>
          <w:rStyle w:val="FootnoteReference"/>
        </w:rPr>
        <w:footnoteRef/>
      </w:r>
      <w:r w:rsidRPr="003E511B">
        <w:rPr>
          <w:lang w:val="en-US"/>
        </w:rPr>
        <w:t xml:space="preserve"> We would like to refer to the additional submission of the Tax Justice Network and the International NGO Law and Policy Project, Zurich University of Applied Sciences for more information on this issue.</w:t>
      </w:r>
    </w:p>
  </w:footnote>
  <w:footnote w:id="12">
    <w:p w14:paraId="18216BAD" w14:textId="4145F2CC" w:rsidR="005E715D" w:rsidRPr="00987F3B" w:rsidRDefault="009E408B">
      <w:pPr>
        <w:pStyle w:val="FootnoteText"/>
        <w:rPr>
          <w:lang w:val="en-US"/>
        </w:rPr>
      </w:pPr>
      <w:r>
        <w:rPr>
          <w:rStyle w:val="FootnoteReference"/>
        </w:rPr>
        <w:footnoteRef/>
      </w:r>
      <w:r w:rsidRPr="00987F3B">
        <w:rPr>
          <w:lang w:val="en-US"/>
        </w:rPr>
        <w:t xml:space="preserve"> </w:t>
      </w:r>
      <w:r w:rsidR="00987F3B" w:rsidRPr="00987F3B">
        <w:rPr>
          <w:lang w:val="en-US"/>
        </w:rPr>
        <w:t xml:space="preserve">CERD, </w:t>
      </w:r>
      <w:r w:rsidR="005E715D">
        <w:rPr>
          <w:lang w:val="en-US"/>
        </w:rPr>
        <w:t>25-08-</w:t>
      </w:r>
      <w:r w:rsidR="00987F3B">
        <w:rPr>
          <w:lang w:val="en-US"/>
        </w:rPr>
        <w:t xml:space="preserve">2021, </w:t>
      </w:r>
      <w:hyperlink r:id="rId9" w:history="1">
        <w:r w:rsidR="005E715D" w:rsidRPr="005E715D">
          <w:rPr>
            <w:rStyle w:val="Hyperlink"/>
            <w:i/>
            <w:iCs/>
            <w:lang w:val="en-US"/>
          </w:rPr>
          <w:t>Concluding observations on the combined twenty-second to twenty-fourth reports of the Kingdom of the Netherlands</w:t>
        </w:r>
      </w:hyperlink>
      <w:r w:rsidR="005E715D" w:rsidRPr="005E715D">
        <w:rPr>
          <w:lang w:val="en-US"/>
        </w:rPr>
        <w:t xml:space="preserve"> </w:t>
      </w:r>
    </w:p>
  </w:footnote>
  <w:footnote w:id="13">
    <w:p w14:paraId="4FA3553A" w14:textId="2CA8F999" w:rsidR="00C85AD1" w:rsidRPr="00140D82" w:rsidRDefault="00C85AD1">
      <w:pPr>
        <w:pStyle w:val="FootnoteText"/>
        <w:rPr>
          <w:lang w:val="en-US"/>
        </w:rPr>
      </w:pPr>
      <w:r>
        <w:rPr>
          <w:rStyle w:val="FootnoteReference"/>
        </w:rPr>
        <w:footnoteRef/>
      </w:r>
      <w:r w:rsidRPr="00140D82">
        <w:rPr>
          <w:lang w:val="en-US"/>
        </w:rPr>
        <w:t xml:space="preserve"> </w:t>
      </w:r>
      <w:r w:rsidR="00140D82" w:rsidRPr="00140D82">
        <w:rPr>
          <w:lang w:val="en-US"/>
        </w:rPr>
        <w:t>Tessa M. L. Kaufman, Ph.D. and Laura Baams, Ph.D.</w:t>
      </w:r>
      <w:r w:rsidR="00D92D00">
        <w:rPr>
          <w:lang w:val="en-US"/>
        </w:rPr>
        <w:t xml:space="preserve">, </w:t>
      </w:r>
      <w:r w:rsidR="00D92D00" w:rsidRPr="00D92D00">
        <w:rPr>
          <w:lang w:val="en-US"/>
        </w:rPr>
        <w:t>23-9-2021</w:t>
      </w:r>
      <w:r w:rsidR="00D92D00">
        <w:rPr>
          <w:lang w:val="en-US"/>
        </w:rPr>
        <w:t>,</w:t>
      </w:r>
      <w:r w:rsidR="00140D82">
        <w:rPr>
          <w:lang w:val="en-US"/>
        </w:rPr>
        <w:t xml:space="preserve"> </w:t>
      </w:r>
      <w:hyperlink r:id="rId10" w:anchor="secsectitle0010" w:history="1">
        <w:r w:rsidR="00140D82" w:rsidRPr="00140D82">
          <w:rPr>
            <w:rStyle w:val="Hyperlink"/>
            <w:i/>
            <w:iCs/>
            <w:lang w:val="en-US"/>
          </w:rPr>
          <w:t>Disparities in Perpetrators, Locations, and Reports of Victimization for Sexual and Gender Minority Adolescents</w:t>
        </w:r>
      </w:hyperlink>
      <w:r w:rsidR="00140D82">
        <w:rPr>
          <w:i/>
          <w:iCs/>
          <w:lang w:val="en-US"/>
        </w:rPr>
        <w:t xml:space="preserve"> </w:t>
      </w:r>
      <w:r w:rsidR="00140D82">
        <w:rPr>
          <w:lang w:val="en-US"/>
        </w:rPr>
        <w:t>I</w:t>
      </w:r>
      <w:r w:rsidR="00140D82" w:rsidRPr="00140D82">
        <w:rPr>
          <w:lang w:val="en-US"/>
        </w:rPr>
        <w:t xml:space="preserve">n: Journal of Adolescent Health </w:t>
      </w:r>
    </w:p>
  </w:footnote>
  <w:footnote w:id="14">
    <w:p w14:paraId="7761C1C6" w14:textId="59AC7648" w:rsidR="00234215" w:rsidRPr="00CE6489" w:rsidRDefault="00655B3E">
      <w:pPr>
        <w:pStyle w:val="FootnoteText"/>
        <w:rPr>
          <w:lang w:val="en-US"/>
        </w:rPr>
      </w:pPr>
      <w:r>
        <w:rPr>
          <w:rStyle w:val="FootnoteReference"/>
        </w:rPr>
        <w:footnoteRef/>
      </w:r>
      <w:r w:rsidRPr="00655B3E">
        <w:rPr>
          <w:lang w:val="en-US"/>
        </w:rPr>
        <w:t xml:space="preserve"> Appointed National Coordinator against Discrimination and Racism </w:t>
      </w:r>
      <w:hyperlink r:id="rId11" w:history="1">
        <w:r w:rsidR="00234215" w:rsidRPr="00121E3E">
          <w:rPr>
            <w:rStyle w:val="Hyperlink"/>
            <w:lang w:val="en-US"/>
          </w:rPr>
          <w:t>https://www.rijksoverheid.nl/actueel/nieuws/2021/09/28/benoeming-nationaal-coordinator-tegen-discriminatie-en-racisme</w:t>
        </w:r>
      </w:hyperlink>
    </w:p>
  </w:footnote>
  <w:footnote w:id="15">
    <w:p w14:paraId="52762272" w14:textId="14EFB3D7" w:rsidR="006D48A0" w:rsidRPr="00511F3F" w:rsidRDefault="00511F3F">
      <w:pPr>
        <w:pStyle w:val="FootnoteText"/>
        <w:rPr>
          <w:lang w:val="en-US"/>
        </w:rPr>
      </w:pPr>
      <w:r>
        <w:rPr>
          <w:rStyle w:val="FootnoteReference"/>
        </w:rPr>
        <w:footnoteRef/>
      </w:r>
      <w:r w:rsidRPr="00511F3F">
        <w:rPr>
          <w:lang w:val="en-US"/>
        </w:rPr>
        <w:t xml:space="preserve"> </w:t>
      </w:r>
      <w:r w:rsidR="006D48A0">
        <w:rPr>
          <w:lang w:val="en-US"/>
        </w:rPr>
        <w:t xml:space="preserve">Website </w:t>
      </w:r>
      <w:r w:rsidR="006D48A0" w:rsidRPr="006D48A0">
        <w:rPr>
          <w:lang w:val="en-US"/>
        </w:rPr>
        <w:t>Violent Offences</w:t>
      </w:r>
      <w:r w:rsidR="006D48A0">
        <w:rPr>
          <w:lang w:val="en-US"/>
        </w:rPr>
        <w:t xml:space="preserve"> </w:t>
      </w:r>
      <w:r w:rsidR="006D48A0" w:rsidRPr="006D48A0">
        <w:rPr>
          <w:lang w:val="en-US"/>
        </w:rPr>
        <w:t>Compensation Fund</w:t>
      </w:r>
      <w:r w:rsidR="006D48A0">
        <w:rPr>
          <w:lang w:val="en-US"/>
        </w:rPr>
        <w:t xml:space="preserve">: </w:t>
      </w:r>
      <w:hyperlink r:id="rId12" w:history="1">
        <w:r w:rsidR="006D48A0" w:rsidRPr="00202D0F">
          <w:rPr>
            <w:rStyle w:val="Hyperlink"/>
            <w:lang w:val="en-US"/>
          </w:rPr>
          <w:t>www.schadefonds.nl/en/</w:t>
        </w:r>
      </w:hyperlink>
    </w:p>
  </w:footnote>
  <w:footnote w:id="16">
    <w:p w14:paraId="1B350CD5" w14:textId="5C500F30" w:rsidR="00511F3F" w:rsidRPr="00511F3F" w:rsidRDefault="00511F3F">
      <w:pPr>
        <w:pStyle w:val="FootnoteText"/>
        <w:rPr>
          <w:lang w:val="en-US"/>
        </w:rPr>
      </w:pPr>
      <w:r>
        <w:rPr>
          <w:rStyle w:val="FootnoteReference"/>
        </w:rPr>
        <w:footnoteRef/>
      </w:r>
      <w:r w:rsidR="008769DD">
        <w:rPr>
          <w:lang w:val="en-US"/>
        </w:rPr>
        <w:t xml:space="preserve"> </w:t>
      </w:r>
      <w:r w:rsidR="008769DD" w:rsidRPr="008769DD">
        <w:rPr>
          <w:lang w:val="en-US"/>
        </w:rPr>
        <w:t>In the 1960s, Natascha Adama and her half-sisters were belittled, neglected and abused in a foster family. There is a compensation fund for violence in youth care for victims like her, but settlement takes a long time and is very difficult.</w:t>
      </w:r>
      <w:r w:rsidRPr="00511F3F">
        <w:rPr>
          <w:lang w:val="en-US"/>
        </w:rPr>
        <w:t xml:space="preserve"> </w:t>
      </w:r>
      <w:r w:rsidR="00EE66E6">
        <w:rPr>
          <w:lang w:val="en-US"/>
        </w:rPr>
        <w:t xml:space="preserve">See (Dutch) news item about Natascha: </w:t>
      </w:r>
      <w:r w:rsidR="008769DD" w:rsidRPr="008769DD">
        <w:rPr>
          <w:lang w:val="en-US"/>
        </w:rPr>
        <w:t>https://eenvandaag.avrotros.nl/veiligheid-en-recht/item/deze-overheid-leert-het-niet-natascha-moet-lang-wachten-op-schadevergoeding-voor-wat-ze-in-de-jeugdzorg-meemaakte/</w:t>
      </w:r>
    </w:p>
  </w:footnote>
  <w:footnote w:id="17">
    <w:p w14:paraId="7362873A" w14:textId="0F1E4BE5" w:rsidR="00143C34" w:rsidRPr="00F46F97" w:rsidRDefault="00143C34" w:rsidP="00143C34">
      <w:pPr>
        <w:pStyle w:val="FootnoteText"/>
        <w:rPr>
          <w:lang w:val="en-US"/>
        </w:rPr>
      </w:pPr>
      <w:r>
        <w:rPr>
          <w:rStyle w:val="FootnoteReference"/>
        </w:rPr>
        <w:footnoteRef/>
      </w:r>
      <w:r w:rsidRPr="00F46F97">
        <w:rPr>
          <w:lang w:val="en-US"/>
        </w:rPr>
        <w:t xml:space="preserve"> Netherlands Council for the Judiciary, 26-05-2021, </w:t>
      </w:r>
      <w:hyperlink r:id="rId13" w:history="1">
        <w:r w:rsidRPr="00AC4B16">
          <w:rPr>
            <w:rStyle w:val="Hyperlink"/>
            <w:i/>
            <w:iCs/>
            <w:lang w:val="en-US"/>
          </w:rPr>
          <w:t xml:space="preserve">Royal Dutch Shell must reduce CO2 emissions </w:t>
        </w:r>
      </w:hyperlink>
      <w:r w:rsidRPr="00F46F97">
        <w:rPr>
          <w:lang w:val="en-US"/>
        </w:rPr>
        <w:t xml:space="preserve"> </w:t>
      </w:r>
    </w:p>
  </w:footnote>
  <w:footnote w:id="18">
    <w:p w14:paraId="25EABB60" w14:textId="39A53FD7" w:rsidR="00143C34" w:rsidRPr="006126BF" w:rsidRDefault="00143C34" w:rsidP="00143C34">
      <w:pPr>
        <w:pStyle w:val="FootnoteText"/>
        <w:rPr>
          <w:lang w:val="en-US"/>
        </w:rPr>
      </w:pPr>
      <w:r>
        <w:rPr>
          <w:rStyle w:val="FootnoteReference"/>
        </w:rPr>
        <w:footnoteRef/>
      </w:r>
      <w:r w:rsidRPr="006126BF">
        <w:rPr>
          <w:lang w:val="en-US"/>
        </w:rPr>
        <w:t xml:space="preserve"> </w:t>
      </w:r>
      <w:r w:rsidR="00CE6489">
        <w:rPr>
          <w:lang w:val="en-US"/>
        </w:rPr>
        <w:t xml:space="preserve">Government letter, 06-12-2021, </w:t>
      </w:r>
      <w:r w:rsidR="00CE6489" w:rsidRPr="00CE6489">
        <w:rPr>
          <w:i/>
          <w:iCs/>
          <w:lang w:val="en-US"/>
        </w:rPr>
        <w:t xml:space="preserve">Analysis of Shell </w:t>
      </w:r>
      <w:r w:rsidR="00CE6489">
        <w:rPr>
          <w:i/>
          <w:iCs/>
          <w:lang w:val="en-US"/>
        </w:rPr>
        <w:t xml:space="preserve">verdict </w:t>
      </w:r>
      <w:hyperlink r:id="rId14" w:history="1">
        <w:r w:rsidR="00CE6489" w:rsidRPr="006706CD">
          <w:rPr>
            <w:rStyle w:val="Hyperlink"/>
            <w:lang w:val="en-US"/>
          </w:rPr>
          <w:t>https://www.tweedekamer.nl/kamerstukken/brieven_regering/detail?id=2021Z22647&amp;did=2021D48055</w:t>
        </w:r>
      </w:hyperlink>
      <w:r>
        <w:rPr>
          <w:lang w:val="en-US"/>
        </w:rPr>
        <w:t xml:space="preserve"> </w:t>
      </w:r>
    </w:p>
  </w:footnote>
  <w:footnote w:id="19">
    <w:p w14:paraId="2ABE8163" w14:textId="169E43C3" w:rsidR="00077D69" w:rsidRPr="006C0A59" w:rsidRDefault="00077D69" w:rsidP="006C0A59">
      <w:pPr>
        <w:pStyle w:val="Default"/>
        <w:rPr>
          <w:sz w:val="20"/>
          <w:szCs w:val="20"/>
          <w:lang w:val="en-US"/>
        </w:rPr>
      </w:pPr>
      <w:r>
        <w:rPr>
          <w:rStyle w:val="FootnoteReference"/>
        </w:rPr>
        <w:footnoteRef/>
      </w:r>
      <w:r w:rsidRPr="00F46F97">
        <w:rPr>
          <w:lang w:val="en-US"/>
        </w:rPr>
        <w:t xml:space="preserve"> </w:t>
      </w:r>
      <w:r w:rsidRPr="00F46F97">
        <w:rPr>
          <w:sz w:val="20"/>
          <w:szCs w:val="20"/>
          <w:lang w:val="en-US"/>
        </w:rPr>
        <w:t xml:space="preserve">RIVM, 09-03-2021, </w:t>
      </w:r>
      <w:hyperlink r:id="rId15" w:history="1">
        <w:r w:rsidRPr="00AC4B16">
          <w:rPr>
            <w:rStyle w:val="Hyperlink"/>
            <w:i/>
            <w:iCs/>
            <w:sz w:val="20"/>
            <w:szCs w:val="20"/>
            <w:lang w:val="en-US"/>
          </w:rPr>
          <w:t>Dust in I</w:t>
        </w:r>
        <w:r w:rsidR="00B758BD" w:rsidRPr="00AC4B16">
          <w:rPr>
            <w:rStyle w:val="Hyperlink"/>
            <w:i/>
            <w:iCs/>
            <w:sz w:val="20"/>
            <w:szCs w:val="20"/>
            <w:lang w:val="en-US"/>
          </w:rPr>
          <w:t>j</w:t>
        </w:r>
        <w:r w:rsidRPr="00AC4B16">
          <w:rPr>
            <w:rStyle w:val="Hyperlink"/>
            <w:i/>
            <w:iCs/>
            <w:sz w:val="20"/>
            <w:szCs w:val="20"/>
            <w:lang w:val="en-US"/>
          </w:rPr>
          <w:t>mond contains many PAHs and metals</w:t>
        </w:r>
      </w:hyperlink>
    </w:p>
  </w:footnote>
  <w:footnote w:id="20">
    <w:p w14:paraId="69768575" w14:textId="6D1A592C" w:rsidR="00077D69" w:rsidRPr="00A76F23" w:rsidRDefault="00077D69" w:rsidP="00077D69">
      <w:pPr>
        <w:pStyle w:val="FootnoteText"/>
      </w:pPr>
      <w:r>
        <w:rPr>
          <w:rStyle w:val="FootnoteReference"/>
        </w:rPr>
        <w:footnoteRef/>
      </w:r>
      <w:r>
        <w:t xml:space="preserve"> </w:t>
      </w:r>
      <w:hyperlink r:id="rId16" w:history="1">
        <w:r w:rsidRPr="00F613C0">
          <w:rPr>
            <w:rStyle w:val="Hyperlink"/>
          </w:rPr>
          <w:t>Beantwoording Kamervragen GL over Uitspraak Rechter Shell</w:t>
        </w:r>
      </w:hyperlink>
      <w:r w:rsidRPr="00A76F23">
        <w:rPr>
          <w:color w:val="0462C1"/>
        </w:rPr>
        <w:t xml:space="preserve">”, </w:t>
      </w:r>
      <w:r w:rsidRPr="00A76F23">
        <w:t xml:space="preserve">14 July 2021  </w:t>
      </w:r>
    </w:p>
  </w:footnote>
  <w:footnote w:id="21">
    <w:p w14:paraId="02EAD930" w14:textId="6A843AB6" w:rsidR="00077D69" w:rsidRPr="00A76F23" w:rsidRDefault="00077D69" w:rsidP="00077D69">
      <w:pPr>
        <w:pStyle w:val="FootnoteText"/>
      </w:pPr>
      <w:r w:rsidRPr="00A76F23">
        <w:rPr>
          <w:rStyle w:val="FootnoteReference"/>
        </w:rPr>
        <w:footnoteRef/>
      </w:r>
      <w:r w:rsidRPr="00A76F23">
        <w:t xml:space="preserve"> Youth News Broadcast, 02-09-2021, </w:t>
      </w:r>
      <w:hyperlink r:id="rId17" w:anchor=":~:text=Kinderen%20die%20in%20de%20buurt,van%20het%20bedrijf%20Tata%20Steel." w:history="1">
        <w:r w:rsidRPr="00F613C0">
          <w:rPr>
            <w:rStyle w:val="Hyperlink"/>
            <w:i/>
            <w:iCs/>
          </w:rPr>
          <w:t xml:space="preserve">Onderzoek: Stof bij staalfabriek is slecht voor kinderen </w:t>
        </w:r>
      </w:hyperlink>
      <w:r w:rsidRPr="00A76F23">
        <w:t xml:space="preserve"> </w:t>
      </w:r>
    </w:p>
  </w:footnote>
  <w:footnote w:id="22">
    <w:p w14:paraId="2563BB86" w14:textId="77777777" w:rsidR="00250666" w:rsidRPr="00A76F23" w:rsidRDefault="00250666" w:rsidP="00250666">
      <w:pPr>
        <w:pStyle w:val="FootnoteText"/>
      </w:pPr>
      <w:r w:rsidRPr="00A76F23">
        <w:rPr>
          <w:rStyle w:val="FootnoteReference"/>
        </w:rPr>
        <w:footnoteRef/>
      </w:r>
      <w:r w:rsidRPr="00A76F23">
        <w:t xml:space="preserve"> </w:t>
      </w:r>
      <w:hyperlink r:id="rId18" w:history="1">
        <w:r w:rsidRPr="00A76F23">
          <w:rPr>
            <w:rStyle w:val="Hyperlink"/>
          </w:rPr>
          <w:t>https://www.waterforum.net/belgie-legt-productie-3m-tijdelijk-stil-om-pfas-vervuiling-westerschelde/</w:t>
        </w:r>
      </w:hyperlink>
      <w:r w:rsidRPr="00A76F23">
        <w:t xml:space="preserve"> </w:t>
      </w:r>
    </w:p>
  </w:footnote>
  <w:footnote w:id="23">
    <w:p w14:paraId="7E1DC4CA" w14:textId="77777777" w:rsidR="00250666" w:rsidRPr="00A76F23" w:rsidRDefault="00250666" w:rsidP="00250666">
      <w:pPr>
        <w:pStyle w:val="FootnoteText"/>
      </w:pPr>
      <w:r w:rsidRPr="00A76F23">
        <w:rPr>
          <w:rStyle w:val="FootnoteReference"/>
        </w:rPr>
        <w:footnoteRef/>
      </w:r>
      <w:hyperlink r:id="rId19" w:history="1">
        <w:r w:rsidRPr="00A76F23">
          <w:rPr>
            <w:rStyle w:val="Hyperlink"/>
          </w:rPr>
          <w:t>https://nos.nl/artikel/2405819-staatstoezicht-nog-jarenlang-aardbevingen-in-groningen</w:t>
        </w:r>
      </w:hyperlink>
    </w:p>
  </w:footnote>
  <w:footnote w:id="24">
    <w:p w14:paraId="325A98E5" w14:textId="26661870" w:rsidR="00F35ECB" w:rsidRPr="001B347D" w:rsidRDefault="00F35ECB" w:rsidP="00A76F23">
      <w:pPr>
        <w:rPr>
          <w:sz w:val="20"/>
          <w:szCs w:val="20"/>
        </w:rPr>
      </w:pPr>
      <w:r w:rsidRPr="00A76F23">
        <w:rPr>
          <w:rStyle w:val="FootnoteReference"/>
          <w:sz w:val="20"/>
          <w:szCs w:val="20"/>
        </w:rPr>
        <w:footnoteRef/>
      </w:r>
      <w:r w:rsidRPr="00A76F23">
        <w:rPr>
          <w:sz w:val="20"/>
          <w:szCs w:val="20"/>
        </w:rPr>
        <w:t xml:space="preserve"> For more information see the following non-exhaustive list</w:t>
      </w:r>
      <w:r w:rsidR="00EB1920" w:rsidRPr="00A76F23">
        <w:rPr>
          <w:sz w:val="20"/>
          <w:szCs w:val="20"/>
        </w:rPr>
        <w:t xml:space="preserve">: </w:t>
      </w:r>
      <w:r w:rsidRPr="00A76F23">
        <w:rPr>
          <w:sz w:val="20"/>
          <w:szCs w:val="20"/>
        </w:rPr>
        <w:t>23 April 2021 The impact of lockdown during the COVID</w:t>
      </w:r>
      <w:r w:rsidRPr="00A76F23">
        <w:rPr>
          <w:sz w:val="20"/>
          <w:szCs w:val="20"/>
        </w:rPr>
        <w:noBreakHyphen/>
        <w:t xml:space="preserve">19 pandemic on mental and social health of children and adolescents This study showed that governmental regulations regarding lockdown pose a serious mental/social health threat on children/adolescents that should be brought to the forefront of political decision-making and mental healthcare policy, intervention, and prevention. </w:t>
      </w:r>
      <w:hyperlink r:id="rId20" w:history="1">
        <w:r w:rsidRPr="00A76F23">
          <w:rPr>
            <w:rStyle w:val="Hyperlink"/>
            <w:sz w:val="20"/>
            <w:szCs w:val="20"/>
          </w:rPr>
          <w:t>https://pubmed.ncbi.nlm.nih.gov/33991278/</w:t>
        </w:r>
      </w:hyperlink>
      <w:r w:rsidR="00EB1920" w:rsidRPr="00A76F23">
        <w:rPr>
          <w:sz w:val="20"/>
          <w:szCs w:val="20"/>
        </w:rPr>
        <w:t xml:space="preserve"> </w:t>
      </w:r>
      <w:r w:rsidRPr="00A76F23">
        <w:rPr>
          <w:sz w:val="20"/>
          <w:szCs w:val="20"/>
        </w:rPr>
        <w:t xml:space="preserve">28 October 2021: The report on education: reflected concerns on the wellbeing of student in primary and secondary school, learning delays (especially for the first classes of secondary school) and the </w:t>
      </w:r>
      <w:r w:rsidR="00EB1920" w:rsidRPr="00A76F23">
        <w:rPr>
          <w:sz w:val="20"/>
          <w:szCs w:val="20"/>
        </w:rPr>
        <w:t>d</w:t>
      </w:r>
      <w:r w:rsidRPr="00A76F23">
        <w:rPr>
          <w:sz w:val="20"/>
          <w:szCs w:val="20"/>
        </w:rPr>
        <w:t xml:space="preserve">evelopment of executive skills. </w:t>
      </w:r>
      <w:r w:rsidRPr="00A76F23">
        <w:rPr>
          <w:rStyle w:val="Strong"/>
          <w:b w:val="0"/>
          <w:bCs w:val="0"/>
          <w:color w:val="222222"/>
          <w:sz w:val="20"/>
          <w:szCs w:val="20"/>
          <w:shd w:val="clear" w:color="auto" w:fill="FFFFFF"/>
        </w:rPr>
        <w:t xml:space="preserve"> </w:t>
      </w:r>
      <w:r w:rsidRPr="00A76F23">
        <w:rPr>
          <w:sz w:val="20"/>
          <w:szCs w:val="20"/>
        </w:rPr>
        <w:t xml:space="preserve">11 November 2021: More than half of the students (51%) (16 -24 year) experience psychological complaints. Many students experience loneliness, pressure to perform, stress and sleeping problems. The corona crisis has contributed to the fact that more students have psychological complaints such as anxiety and sadness. Compared to other research from before the corona crisis, the percentage of students with psychological complaints is considerably higher </w:t>
      </w:r>
      <w:hyperlink r:id="rId21" w:history="1">
        <w:r w:rsidRPr="00A76F23">
          <w:rPr>
            <w:rStyle w:val="Hyperlink"/>
            <w:sz w:val="20"/>
            <w:szCs w:val="20"/>
          </w:rPr>
          <w:t>www.rivm.nl/nieuws/zorgen-mentale-gezondheid-middelengebruik-studenten</w:t>
        </w:r>
      </w:hyperlink>
      <w:r w:rsidRPr="00A76F23">
        <w:rPr>
          <w:sz w:val="20"/>
          <w:szCs w:val="20"/>
        </w:rPr>
        <w:t xml:space="preserve"> Pre-print Study: 1 Internalizing Problems Before and During the COVID-19 Pandemic in Dutch Children and Adolescents with and without Pre-Existing Mental Health Problems. Overall, the findings indicate that children and adolescents of both the general and clinical population were affected negatively by the pandemic in terms of their internalizing problems. Attention is therefore warranted to investigate what long-term effects this may cause and to monitor if internalizing problems return back to pre-pandemic levels or if they remain elevated post-pandemic. </w:t>
      </w:r>
      <w:hyperlink r:id="rId22" w:history="1">
        <w:r w:rsidRPr="00A76F23">
          <w:rPr>
            <w:rStyle w:val="Hyperlink"/>
            <w:sz w:val="20"/>
            <w:szCs w:val="20"/>
          </w:rPr>
          <w:t>www.medrxiv.org/content/10.1101/2021.10.05.21264160v1.full.pdf</w:t>
        </w:r>
      </w:hyperlink>
      <w:r w:rsidR="00EB1920" w:rsidRPr="00A76F23">
        <w:rPr>
          <w:sz w:val="20"/>
          <w:szCs w:val="20"/>
        </w:rPr>
        <w:t xml:space="preserve"> </w:t>
      </w:r>
      <w:r w:rsidRPr="00A76F23">
        <w:rPr>
          <w:rStyle w:val="Strong"/>
          <w:b w:val="0"/>
          <w:bCs w:val="0"/>
          <w:color w:val="222222"/>
          <w:sz w:val="20"/>
          <w:szCs w:val="20"/>
          <w:shd w:val="clear" w:color="auto" w:fill="FFFFFF"/>
        </w:rPr>
        <w:t xml:space="preserve">Will be published in December 2021 a health research after disasters which also includes mental health of children </w:t>
      </w:r>
      <w:hyperlink r:id="rId23" w:history="1">
        <w:r w:rsidRPr="00A76F23">
          <w:rPr>
            <w:rStyle w:val="Hyperlink"/>
            <w:sz w:val="20"/>
            <w:szCs w:val="20"/>
            <w:shd w:val="clear" w:color="auto" w:fill="FFFFFF"/>
          </w:rPr>
          <w:t>https://www.nivel.nl/nl/nivel-zorgregistraties-eerste-lijn/integrale-gezondheidsmonitor-covid-19-gor-covid</w:t>
        </w:r>
      </w:hyperlink>
      <w:r w:rsidRPr="00A76F23">
        <w:rPr>
          <w:rStyle w:val="Strong"/>
          <w:color w:val="222222"/>
          <w:sz w:val="20"/>
          <w:szCs w:val="20"/>
          <w:shd w:val="clear" w:color="auto" w:fill="FFFFFF"/>
        </w:rPr>
        <w:t xml:space="preserve">  </w:t>
      </w:r>
      <w:r w:rsidRPr="00A76F23">
        <w:rPr>
          <w:sz w:val="20"/>
          <w:szCs w:val="20"/>
        </w:rPr>
        <w:t xml:space="preserve">Stress and pressure to perform for adolescents: October 2021, concluded tackling school stress and absenteeism can only be successful if a change is initiated at several levels at the same time, interaction between society, school, family and individual.” </w:t>
      </w:r>
      <w:hyperlink r:id="rId24" w:history="1">
        <w:r w:rsidRPr="00A76F23">
          <w:rPr>
            <w:rStyle w:val="Hyperlink"/>
            <w:sz w:val="20"/>
            <w:szCs w:val="20"/>
            <w:lang w:val="nl-NL"/>
          </w:rPr>
          <w:t xml:space="preserve">Aanbevelingen om stress en prestatiedruk onder jongeren terug te dringen </w:t>
        </w:r>
      </w:hyperlink>
    </w:p>
  </w:footnote>
  <w:footnote w:id="25">
    <w:p w14:paraId="4D719B5A" w14:textId="1EF428A7" w:rsidR="00551ECF" w:rsidRPr="00A76F23" w:rsidRDefault="00551ECF" w:rsidP="00551ECF">
      <w:pPr>
        <w:pStyle w:val="FootnoteText"/>
      </w:pPr>
      <w:r w:rsidRPr="00A76F23">
        <w:rPr>
          <w:rStyle w:val="FootnoteReference"/>
        </w:rPr>
        <w:footnoteRef/>
      </w:r>
      <w:r w:rsidRPr="00A76F23">
        <w:t xml:space="preserve"> Parlementaire ondervragingscommissie Kinderopvangtoeslag</w:t>
      </w:r>
      <w:r w:rsidR="00A76F23">
        <w:t>, 17-12-</w:t>
      </w:r>
      <w:r w:rsidRPr="00A76F23">
        <w:t>2020</w:t>
      </w:r>
      <w:r w:rsidRPr="00A76F23">
        <w:rPr>
          <w:i/>
          <w:iCs/>
        </w:rPr>
        <w:t xml:space="preserve">, </w:t>
      </w:r>
      <w:hyperlink r:id="rId25" w:history="1">
        <w:r w:rsidRPr="00A76F23">
          <w:rPr>
            <w:rStyle w:val="Hyperlink"/>
            <w:i/>
            <w:iCs/>
          </w:rPr>
          <w:t>Ongekend onrecht</w:t>
        </w:r>
      </w:hyperlink>
      <w:r w:rsidR="00A76F23">
        <w:rPr>
          <w:i/>
          <w:iCs/>
        </w:rPr>
        <w:t xml:space="preserve"> </w:t>
      </w:r>
    </w:p>
  </w:footnote>
  <w:footnote w:id="26">
    <w:p w14:paraId="0B41E7E5" w14:textId="5A4AB073" w:rsidR="00405F8F" w:rsidRPr="00A76F23" w:rsidRDefault="00405F8F" w:rsidP="00405F8F">
      <w:pPr>
        <w:pStyle w:val="FootnoteText"/>
      </w:pPr>
      <w:r w:rsidRPr="00A76F23">
        <w:rPr>
          <w:rStyle w:val="FootnoteReference"/>
        </w:rPr>
        <w:footnoteRef/>
      </w:r>
      <w:r w:rsidRPr="00A76F23">
        <w:t xml:space="preserve"> Nationale Ombudsman</w:t>
      </w:r>
      <w:r w:rsidR="00A76F23">
        <w:t>, 11-11-</w:t>
      </w:r>
      <w:r w:rsidRPr="00A76F23">
        <w:t xml:space="preserve">2021, </w:t>
      </w:r>
      <w:hyperlink r:id="rId26" w:history="1">
        <w:r w:rsidRPr="00A76F23">
          <w:rPr>
            <w:rStyle w:val="Hyperlink"/>
            <w:i/>
            <w:iCs/>
          </w:rPr>
          <w:t>Klacht gegrond, maar geen oplossing</w:t>
        </w:r>
      </w:hyperlink>
      <w:r w:rsidRPr="00A76F23">
        <w:t xml:space="preserve"> </w:t>
      </w:r>
    </w:p>
  </w:footnote>
  <w:footnote w:id="27">
    <w:p w14:paraId="3140319D" w14:textId="77777777" w:rsidR="00551ECF" w:rsidRPr="00A76F23" w:rsidRDefault="00551ECF" w:rsidP="00551ECF">
      <w:pPr>
        <w:pStyle w:val="FootnoteText"/>
      </w:pPr>
      <w:r w:rsidRPr="00A76F23">
        <w:rPr>
          <w:rStyle w:val="FootnoteReference"/>
        </w:rPr>
        <w:footnoteRef/>
      </w:r>
      <w:r w:rsidRPr="00A76F23">
        <w:t xml:space="preserve"> </w:t>
      </w:r>
      <w:hyperlink r:id="rId27" w:history="1">
        <w:r w:rsidRPr="00A76F23">
          <w:rPr>
            <w:rStyle w:val="Hyperlink"/>
          </w:rPr>
          <w:t>https://www.rijksoverheid.nl/ministeries/ministerie-van-financien/documenten/kamerstukken/2021/10/11/brief-aan-no-reactie-op-tweede-klachtenmonitor</w:t>
        </w:r>
      </w:hyperlink>
      <w:r w:rsidRPr="00A76F23">
        <w:t xml:space="preserve"> </w:t>
      </w:r>
    </w:p>
  </w:footnote>
  <w:footnote w:id="28">
    <w:p w14:paraId="788FA634" w14:textId="731F6B9E" w:rsidR="00551ECF" w:rsidRPr="001F605C" w:rsidRDefault="00551ECF" w:rsidP="00551ECF">
      <w:pPr>
        <w:pStyle w:val="FootnoteText"/>
        <w:rPr>
          <w:sz w:val="18"/>
          <w:szCs w:val="18"/>
        </w:rPr>
      </w:pPr>
      <w:r w:rsidRPr="00A76F23">
        <w:rPr>
          <w:rStyle w:val="FootnoteReference"/>
        </w:rPr>
        <w:footnoteRef/>
      </w:r>
      <w:r w:rsidRPr="00A76F23">
        <w:t xml:space="preserve"> </w:t>
      </w:r>
      <w:hyperlink r:id="rId28" w:history="1">
        <w:r w:rsidRPr="00A76F23">
          <w:rPr>
            <w:rStyle w:val="Hyperlink"/>
          </w:rPr>
          <w:t>https://www.cbs.nl/nl-nl/maatwerk/2021/42/uithuisplaatsingen-onder-gedupeerden-toeslagenaffaire</w:t>
        </w:r>
      </w:hyperlink>
      <w:r w:rsidRPr="001F605C">
        <w:rPr>
          <w:sz w:val="18"/>
          <w:szCs w:val="18"/>
        </w:rPr>
        <w:t xml:space="preserve"> </w:t>
      </w:r>
    </w:p>
  </w:footnote>
  <w:footnote w:id="29">
    <w:p w14:paraId="27960842" w14:textId="262D41B2" w:rsidR="002423B1" w:rsidRPr="00113B30" w:rsidRDefault="002423B1" w:rsidP="002423B1">
      <w:pPr>
        <w:pStyle w:val="FootnoteText"/>
        <w:rPr>
          <w:lang w:val="en-US"/>
        </w:rPr>
      </w:pPr>
      <w:r w:rsidRPr="00113B30">
        <w:rPr>
          <w:rStyle w:val="FootnoteReference"/>
        </w:rPr>
        <w:footnoteRef/>
      </w:r>
      <w:r w:rsidRPr="00113B30">
        <w:rPr>
          <w:lang w:val="en-US"/>
        </w:rPr>
        <w:t xml:space="preserve"> The childcare </w:t>
      </w:r>
      <w:r w:rsidR="009673FF" w:rsidRPr="00113B30">
        <w:rPr>
          <w:lang w:val="en-US"/>
        </w:rPr>
        <w:t>benefit</w:t>
      </w:r>
      <w:r w:rsidRPr="00113B30">
        <w:rPr>
          <w:lang w:val="en-US"/>
        </w:rPr>
        <w:t xml:space="preserve"> affair goes back to 2008</w:t>
      </w:r>
    </w:p>
  </w:footnote>
  <w:footnote w:id="30">
    <w:p w14:paraId="39E81965" w14:textId="77777777" w:rsidR="00551ECF" w:rsidRPr="00113B30" w:rsidRDefault="00551ECF" w:rsidP="00551ECF">
      <w:pPr>
        <w:pStyle w:val="FootnoteText"/>
        <w:rPr>
          <w:lang w:val="en-US"/>
        </w:rPr>
      </w:pPr>
      <w:r w:rsidRPr="00113B30">
        <w:rPr>
          <w:rStyle w:val="FootnoteReference"/>
        </w:rPr>
        <w:footnoteRef/>
      </w:r>
      <w:r w:rsidRPr="00113B30">
        <w:rPr>
          <w:lang w:val="en-US"/>
        </w:rPr>
        <w:t xml:space="preserve"> </w:t>
      </w:r>
      <w:hyperlink r:id="rId29" w:history="1">
        <w:r w:rsidRPr="00113B30">
          <w:rPr>
            <w:rStyle w:val="Hyperlink"/>
            <w:lang w:val="en-US"/>
          </w:rPr>
          <w:t>https://www.tweedekamer.nl/kamerstukken/wetsvoorstellen/detail?id=2021Z09205&amp;dossier=35845</w:t>
        </w:r>
      </w:hyperlink>
      <w:r w:rsidRPr="00113B30">
        <w:rPr>
          <w:lang w:val="en-US"/>
        </w:rPr>
        <w:t xml:space="preserve"> </w:t>
      </w:r>
    </w:p>
  </w:footnote>
  <w:footnote w:id="31">
    <w:p w14:paraId="3D1C57FB" w14:textId="1E65B6AD" w:rsidR="00113B30" w:rsidRPr="00113B30" w:rsidRDefault="003127AB">
      <w:pPr>
        <w:pStyle w:val="FootnoteText"/>
        <w:rPr>
          <w:lang w:val="en-US"/>
        </w:rPr>
      </w:pPr>
      <w:r w:rsidRPr="00113B30">
        <w:rPr>
          <w:rStyle w:val="FootnoteReference"/>
        </w:rPr>
        <w:footnoteRef/>
      </w:r>
      <w:r w:rsidRPr="00113B30">
        <w:rPr>
          <w:lang w:val="en-US"/>
        </w:rPr>
        <w:t xml:space="preserve"> </w:t>
      </w:r>
      <w:hyperlink r:id="rId30" w:history="1">
        <w:r w:rsidR="00113B30" w:rsidRPr="00113B30">
          <w:rPr>
            <w:rStyle w:val="Hyperlink"/>
            <w:lang w:val="en-US"/>
          </w:rPr>
          <w:t>https://www.tweedekamer.nl/kamerstukken/moties/detail?id=2021Z18484&amp;did=2021D39810</w:t>
        </w:r>
      </w:hyperlink>
    </w:p>
  </w:footnote>
  <w:footnote w:id="32">
    <w:p w14:paraId="17E96AE0" w14:textId="0C520101" w:rsidR="00113B30" w:rsidRPr="00113B30" w:rsidRDefault="0088288B">
      <w:pPr>
        <w:pStyle w:val="FootnoteText"/>
        <w:rPr>
          <w:lang w:val="en-US"/>
        </w:rPr>
      </w:pPr>
      <w:r w:rsidRPr="00113B30">
        <w:rPr>
          <w:rStyle w:val="FootnoteReference"/>
        </w:rPr>
        <w:footnoteRef/>
      </w:r>
      <w:r w:rsidRPr="00113B30">
        <w:rPr>
          <w:lang w:val="en-US"/>
        </w:rPr>
        <w:t xml:space="preserve"> Adoption of the budget statements of the Ministry of Education, Culture and Science (VIII) for the year 2022, Memorie van Toelichting, p. 9 en 31. Available at: </w:t>
      </w:r>
      <w:hyperlink r:id="rId31" w:history="1">
        <w:r w:rsidR="00113B30" w:rsidRPr="00121E3E">
          <w:rPr>
            <w:rStyle w:val="Hyperlink"/>
            <w:lang w:val="en-US"/>
          </w:rPr>
          <w:t>https://www.rijksfinancien.nl/memorie-van-toelichting/2022/OWB/VIII</w:t>
        </w:r>
      </w:hyperlink>
    </w:p>
    <w:p w14:paraId="6BBB273E" w14:textId="427CAF7F" w:rsidR="0088288B" w:rsidRPr="0088288B" w:rsidRDefault="0088288B">
      <w:pPr>
        <w:pStyle w:val="FootnoteText"/>
        <w:rPr>
          <w:lang w:val="en-US"/>
        </w:rPr>
      </w:pPr>
    </w:p>
  </w:footnote>
  <w:footnote w:id="33">
    <w:p w14:paraId="6F3B9B92" w14:textId="3D24121C" w:rsidR="0088288B" w:rsidRPr="003D2337" w:rsidRDefault="0088288B" w:rsidP="0088288B">
      <w:pPr>
        <w:pStyle w:val="FootnoteText"/>
      </w:pPr>
      <w:r>
        <w:rPr>
          <w:rStyle w:val="FootnoteReference"/>
        </w:rPr>
        <w:footnoteRef/>
      </w:r>
      <w:r w:rsidRPr="003D2337">
        <w:t xml:space="preserve"> </w:t>
      </w:r>
      <w:hyperlink r:id="rId32" w:history="1">
        <w:r w:rsidRPr="007C127F">
          <w:rPr>
            <w:rStyle w:val="Hyperlink"/>
          </w:rPr>
          <w:t>VI Justitie en Veiligheid Rijksbegroting 2021 | Begroting | Rijksoverheid.nl</w:t>
        </w:r>
      </w:hyperlink>
    </w:p>
  </w:footnote>
  <w:footnote w:id="34">
    <w:p w14:paraId="19EAED29" w14:textId="77777777" w:rsidR="00A103F6" w:rsidRPr="00F168A8" w:rsidRDefault="00A103F6" w:rsidP="00A103F6">
      <w:pPr>
        <w:pStyle w:val="FootnoteText"/>
      </w:pPr>
      <w:r w:rsidRPr="00F168A8">
        <w:rPr>
          <w:rStyle w:val="FootnoteReference"/>
        </w:rPr>
        <w:footnoteRef/>
      </w:r>
      <w:r w:rsidRPr="00F168A8">
        <w:t xml:space="preserve"> </w:t>
      </w:r>
      <w:hyperlink r:id="rId33" w:history="1">
        <w:r w:rsidRPr="00F168A8">
          <w:rPr>
            <w:rStyle w:val="Hyperlink"/>
          </w:rPr>
          <w:t>Kamerbrief over instellen besluit- en vertrekmoratorium Afghanistan | Kamerstuk | Rijksoverheid.nl</w:t>
        </w:r>
      </w:hyperlink>
    </w:p>
  </w:footnote>
  <w:footnote w:id="35">
    <w:p w14:paraId="6498FD82" w14:textId="77777777" w:rsidR="00A103F6" w:rsidRPr="00F168A8" w:rsidRDefault="00A103F6" w:rsidP="00A103F6">
      <w:pPr>
        <w:pStyle w:val="FootnoteText"/>
        <w:rPr>
          <w:lang w:val="en-US"/>
        </w:rPr>
      </w:pPr>
      <w:r w:rsidRPr="00F168A8">
        <w:rPr>
          <w:rStyle w:val="FootnoteReference"/>
        </w:rPr>
        <w:footnoteRef/>
      </w:r>
      <w:r w:rsidRPr="00F168A8">
        <w:rPr>
          <w:lang w:val="en-US"/>
        </w:rPr>
        <w:t xml:space="preserve"> The Closing Regulation for Long-term Resident Children (better known as the Children's Pardon).</w:t>
      </w:r>
    </w:p>
  </w:footnote>
  <w:footnote w:id="36">
    <w:p w14:paraId="5C42463B" w14:textId="77777777" w:rsidR="00A103F6" w:rsidRPr="00F168A8" w:rsidRDefault="00A103F6" w:rsidP="00A103F6">
      <w:pPr>
        <w:rPr>
          <w:sz w:val="20"/>
          <w:szCs w:val="20"/>
          <w:lang w:val="en-US"/>
        </w:rPr>
      </w:pPr>
      <w:r w:rsidRPr="00F168A8">
        <w:rPr>
          <w:rStyle w:val="FootnoteReference"/>
          <w:sz w:val="20"/>
          <w:szCs w:val="20"/>
        </w:rPr>
        <w:footnoteRef/>
      </w:r>
      <w:r w:rsidRPr="00F168A8">
        <w:rPr>
          <w:sz w:val="20"/>
          <w:szCs w:val="20"/>
          <w:lang w:val="en-US"/>
        </w:rPr>
        <w:t xml:space="preserve"> Although the figures do not show this, this will mainly concern permit granting on the basis of Article 8 ECHR (source: Defence for Children)</w:t>
      </w:r>
    </w:p>
  </w:footnote>
  <w:footnote w:id="37">
    <w:p w14:paraId="758D35C0" w14:textId="0D786115" w:rsidR="00A103F6" w:rsidRPr="00A21716" w:rsidRDefault="00A103F6" w:rsidP="00A103F6">
      <w:pPr>
        <w:rPr>
          <w:lang w:val="fr-FR"/>
        </w:rPr>
      </w:pPr>
      <w:r w:rsidRPr="00F168A8">
        <w:rPr>
          <w:rStyle w:val="FootnoteReference"/>
          <w:sz w:val="20"/>
          <w:szCs w:val="20"/>
        </w:rPr>
        <w:footnoteRef/>
      </w:r>
      <w:r w:rsidR="003A6E66">
        <w:rPr>
          <w:sz w:val="20"/>
          <w:szCs w:val="20"/>
          <w:lang w:val="fr-FR"/>
        </w:rPr>
        <w:t xml:space="preserve"> </w:t>
      </w:r>
      <w:r w:rsidR="003A6E66" w:rsidRPr="003A6E66">
        <w:rPr>
          <w:sz w:val="20"/>
          <w:szCs w:val="20"/>
          <w:lang w:val="fr-FR"/>
        </w:rPr>
        <w:t>The Council for the Judiciary</w:t>
      </w:r>
      <w:r w:rsidR="003A6E66">
        <w:rPr>
          <w:sz w:val="20"/>
          <w:szCs w:val="20"/>
          <w:lang w:val="fr-FR"/>
        </w:rPr>
        <w:t xml:space="preserve">, </w:t>
      </w:r>
      <w:r w:rsidR="003A6E66" w:rsidRPr="003A6E66">
        <w:rPr>
          <w:sz w:val="20"/>
          <w:szCs w:val="20"/>
          <w:lang w:val="fr-FR"/>
        </w:rPr>
        <w:t>03-11-2021</w:t>
      </w:r>
      <w:r w:rsidR="003A6E66">
        <w:rPr>
          <w:sz w:val="20"/>
          <w:szCs w:val="20"/>
          <w:lang w:val="fr-FR"/>
        </w:rPr>
        <w:t xml:space="preserve">, </w:t>
      </w:r>
      <w:hyperlink r:id="rId34" w:history="1">
        <w:r w:rsidR="003A6E66" w:rsidRPr="003A6E66">
          <w:rPr>
            <w:rStyle w:val="Hyperlink"/>
            <w:sz w:val="20"/>
            <w:szCs w:val="20"/>
            <w:lang w:val="fr-FR"/>
          </w:rPr>
          <w:t>https://uitspraken.rechtspraak.nl/inziendocument?id=ECLI:NL:RBDHA:2021:11992&amp;showbutton=true&amp;keyword=AWB+21%2f129</w:t>
        </w:r>
      </w:hyperlink>
      <w:r w:rsidRPr="00A21716">
        <w:rPr>
          <w:lang w:val="fr-FR"/>
        </w:rPr>
        <w:t xml:space="preserve"> </w:t>
      </w:r>
    </w:p>
  </w:footnote>
  <w:footnote w:id="38">
    <w:p w14:paraId="4553EB4E" w14:textId="2646C197" w:rsidR="00A103F6" w:rsidRPr="007C799E" w:rsidRDefault="00A103F6" w:rsidP="00A103F6">
      <w:pPr>
        <w:pStyle w:val="FootnoteText"/>
        <w:rPr>
          <w:lang w:val="en-US"/>
        </w:rPr>
      </w:pPr>
      <w:r>
        <w:rPr>
          <w:rStyle w:val="FootnoteReference"/>
        </w:rPr>
        <w:footnoteRef/>
      </w:r>
      <w:r w:rsidRPr="007C799E">
        <w:rPr>
          <w:lang w:val="en-US"/>
        </w:rPr>
        <w:t xml:space="preserve"> Defence for Children,</w:t>
      </w:r>
      <w:r w:rsidR="003A6E66" w:rsidRPr="007C799E">
        <w:rPr>
          <w:lang w:val="en-US"/>
        </w:rPr>
        <w:t xml:space="preserve"> 28-02-2021</w:t>
      </w:r>
      <w:r w:rsidRPr="007C799E">
        <w:rPr>
          <w:lang w:val="en-US"/>
        </w:rPr>
        <w:t xml:space="preserve"> </w:t>
      </w:r>
      <w:hyperlink r:id="rId35" w:history="1">
        <w:r w:rsidRPr="007C799E">
          <w:rPr>
            <w:rStyle w:val="Hyperlink"/>
            <w:i/>
            <w:iCs/>
            <w:lang w:val="en-US"/>
          </w:rPr>
          <w:t xml:space="preserve">Verboden onderscheid </w:t>
        </w:r>
      </w:hyperlink>
    </w:p>
  </w:footnote>
  <w:footnote w:id="39">
    <w:p w14:paraId="3F76E02F" w14:textId="68CEFCA5" w:rsidR="00A103F6" w:rsidRPr="00730FCA" w:rsidRDefault="00A103F6" w:rsidP="00A103F6">
      <w:pPr>
        <w:pStyle w:val="FootnoteText"/>
        <w:rPr>
          <w:lang w:val="fr-FR"/>
        </w:rPr>
      </w:pPr>
      <w:r>
        <w:rPr>
          <w:rStyle w:val="FootnoteReference"/>
        </w:rPr>
        <w:footnoteRef/>
      </w:r>
      <w:r w:rsidRPr="00730FCA">
        <w:rPr>
          <w:lang w:val="fr-FR"/>
        </w:rPr>
        <w:t xml:space="preserve"> </w:t>
      </w:r>
      <w:r w:rsidR="003A6E66" w:rsidRPr="003A6E66">
        <w:rPr>
          <w:lang w:val="fr-FR"/>
        </w:rPr>
        <w:t>The Council for the Judiciary</w:t>
      </w:r>
      <w:r w:rsidR="003A6E66">
        <w:rPr>
          <w:lang w:val="fr-FR"/>
        </w:rPr>
        <w:t xml:space="preserve">, </w:t>
      </w:r>
      <w:r w:rsidR="003A6E66" w:rsidRPr="003A6E66">
        <w:rPr>
          <w:lang w:val="fr-FR"/>
        </w:rPr>
        <w:t>02-08-2021</w:t>
      </w:r>
      <w:r w:rsidR="003A6E66">
        <w:rPr>
          <w:lang w:val="fr-FR"/>
        </w:rPr>
        <w:t xml:space="preserve">, </w:t>
      </w:r>
      <w:hyperlink r:id="rId36" w:tgtFrame="_blank" w:history="1">
        <w:r w:rsidRPr="00730FCA">
          <w:rPr>
            <w:rStyle w:val="Hyperlink"/>
            <w:lang w:val="fr-FR"/>
          </w:rPr>
          <w:t>https://uitspraken.rechtspraak.nl/inziendocument?id=ECLI:NL:RBDHA:2021:8430</w:t>
        </w:r>
      </w:hyperlink>
    </w:p>
  </w:footnote>
  <w:footnote w:id="40">
    <w:p w14:paraId="524A2731" w14:textId="78C58C59" w:rsidR="00BB0FA6" w:rsidRPr="00BB0FA6" w:rsidRDefault="00BB0FA6">
      <w:pPr>
        <w:pStyle w:val="FootnoteText"/>
      </w:pPr>
      <w:r>
        <w:rPr>
          <w:rStyle w:val="FootnoteReference"/>
        </w:rPr>
        <w:footnoteRef/>
      </w:r>
      <w:r w:rsidRPr="00BB0FA6">
        <w:t xml:space="preserve"> </w:t>
      </w:r>
      <w:r w:rsidRPr="00F51F82">
        <w:rPr>
          <w:rFonts w:eastAsia="Times New Roman" w:cs="Segoe UI"/>
          <w:color w:val="201F1E"/>
        </w:rPr>
        <w:t xml:space="preserve">Inspectie Ministerie van Justitie en Veiligheid, </w:t>
      </w:r>
      <w:r w:rsidR="00113B30" w:rsidRPr="00113B30">
        <w:rPr>
          <w:rFonts w:eastAsia="Times New Roman" w:cs="Segoe UI"/>
          <w:color w:val="201F1E"/>
        </w:rPr>
        <w:t>27-09-2021</w:t>
      </w:r>
      <w:r w:rsidR="00DE16E1">
        <w:rPr>
          <w:rFonts w:eastAsia="Times New Roman" w:cs="Segoe UI"/>
          <w:color w:val="201F1E"/>
        </w:rPr>
        <w:t>,</w:t>
      </w:r>
      <w:r w:rsidR="00113B30" w:rsidRPr="00113B30">
        <w:rPr>
          <w:rFonts w:eastAsia="Times New Roman" w:cs="Segoe UI"/>
          <w:color w:val="201F1E"/>
        </w:rPr>
        <w:t xml:space="preserve"> </w:t>
      </w:r>
      <w:hyperlink r:id="rId37" w:history="1">
        <w:r w:rsidRPr="00113B30">
          <w:rPr>
            <w:rStyle w:val="Hyperlink"/>
            <w:rFonts w:eastAsia="Times New Roman" w:cs="Segoe UI"/>
            <w:i/>
            <w:iCs/>
          </w:rPr>
          <w:t>Een kwetsbaar recht, Een onderzoek naar de toepassing van de Individuele beoordeling van slachtoffers door de politie</w:t>
        </w:r>
      </w:hyperlink>
    </w:p>
  </w:footnote>
  <w:footnote w:id="41">
    <w:p w14:paraId="29845ADC" w14:textId="1CB72301" w:rsidR="00BB0FA6" w:rsidRPr="005E69B6" w:rsidRDefault="00BB0FA6">
      <w:pPr>
        <w:pStyle w:val="FootnoteText"/>
        <w:rPr>
          <w:lang w:val="en-US"/>
        </w:rPr>
      </w:pPr>
      <w:r>
        <w:rPr>
          <w:rStyle w:val="FootnoteReference"/>
        </w:rPr>
        <w:footnoteRef/>
      </w:r>
      <w:r w:rsidRPr="005E69B6">
        <w:rPr>
          <w:lang w:val="en-US"/>
        </w:rPr>
        <w:t xml:space="preserve"> </w:t>
      </w:r>
      <w:r>
        <w:rPr>
          <w:lang w:val="en-US"/>
        </w:rPr>
        <w:t>Ibid.</w:t>
      </w:r>
    </w:p>
  </w:footnote>
  <w:footnote w:id="42">
    <w:p w14:paraId="00DE84E2" w14:textId="688D67DC" w:rsidR="000B1AD3" w:rsidRPr="00F168A8" w:rsidRDefault="00F168A8">
      <w:pPr>
        <w:pStyle w:val="FootnoteText"/>
        <w:rPr>
          <w:lang w:val="fr-FR"/>
        </w:rPr>
      </w:pPr>
      <w:r>
        <w:rPr>
          <w:rStyle w:val="FootnoteReference"/>
        </w:rPr>
        <w:footnoteRef/>
      </w:r>
      <w:r w:rsidRPr="00F168A8">
        <w:rPr>
          <w:lang w:val="fr-FR"/>
        </w:rPr>
        <w:t xml:space="preserve"> </w:t>
      </w:r>
      <w:r>
        <w:rPr>
          <w:lang w:val="fr-FR"/>
        </w:rPr>
        <w:t>C</w:t>
      </w:r>
      <w:r w:rsidRPr="00F168A8">
        <w:rPr>
          <w:lang w:val="fr-FR"/>
        </w:rPr>
        <w:t>laim conversion of PIJ into TBS</w:t>
      </w:r>
      <w:r>
        <w:rPr>
          <w:lang w:val="fr-FR"/>
        </w:rPr>
        <w:t xml:space="preserve"> </w:t>
      </w:r>
      <w:hyperlink r:id="rId38" w:history="1">
        <w:r w:rsidR="000B1AD3" w:rsidRPr="00121E3E">
          <w:rPr>
            <w:rStyle w:val="Hyperlink"/>
            <w:lang w:val="fr-FR"/>
          </w:rPr>
          <w:t>http://deeplink.rechtspraak.nl/uitspraak?id=ECLI:NL:RBMNE:2021:4111</w:t>
        </w:r>
      </w:hyperlink>
    </w:p>
  </w:footnote>
  <w:footnote w:id="43">
    <w:p w14:paraId="4B80A2B4" w14:textId="42A40AA4" w:rsidR="00B7059B" w:rsidRPr="00DE16E1" w:rsidRDefault="00B7059B" w:rsidP="00B7059B">
      <w:pPr>
        <w:spacing w:line="240" w:lineRule="auto"/>
        <w:rPr>
          <w:i/>
          <w:iCs/>
          <w:sz w:val="20"/>
          <w:szCs w:val="20"/>
          <w:lang w:val="nl-NL"/>
        </w:rPr>
      </w:pPr>
      <w:r w:rsidRPr="00DE16E1">
        <w:rPr>
          <w:sz w:val="20"/>
          <w:szCs w:val="20"/>
          <w:vertAlign w:val="superscript"/>
        </w:rPr>
        <w:footnoteRef/>
      </w:r>
      <w:r w:rsidRPr="00DE16E1">
        <w:rPr>
          <w:sz w:val="20"/>
          <w:szCs w:val="20"/>
          <w:lang w:val="nl-NL"/>
        </w:rPr>
        <w:t xml:space="preserve"> Van Dijk, J., Cruyff, M. &amp; Heijden van der P.</w:t>
      </w:r>
      <w:r w:rsidR="007324F2" w:rsidRPr="00DE16E1">
        <w:rPr>
          <w:sz w:val="20"/>
          <w:szCs w:val="20"/>
          <w:lang w:val="nl-NL"/>
        </w:rPr>
        <w:t xml:space="preserve">, november </w:t>
      </w:r>
      <w:r w:rsidRPr="00DE16E1">
        <w:rPr>
          <w:sz w:val="20"/>
          <w:szCs w:val="20"/>
          <w:lang w:val="nl-NL"/>
        </w:rPr>
        <w:t>2021</w:t>
      </w:r>
      <w:r w:rsidR="007324F2" w:rsidRPr="00DE16E1">
        <w:rPr>
          <w:sz w:val="20"/>
          <w:szCs w:val="20"/>
          <w:lang w:val="nl-NL"/>
        </w:rPr>
        <w:t xml:space="preserve">, </w:t>
      </w:r>
      <w:hyperlink r:id="rId39">
        <w:r w:rsidRPr="00DE16E1">
          <w:rPr>
            <w:i/>
            <w:iCs/>
            <w:color w:val="1155CC"/>
            <w:sz w:val="20"/>
            <w:szCs w:val="20"/>
            <w:u w:val="single"/>
            <w:lang w:val="nl-NL"/>
          </w:rPr>
          <w:t>Multiple Systems Estimation Slachtoffers Mensenhandel Nederland 2016-2019</w:t>
        </w:r>
      </w:hyperlink>
      <w:r w:rsidRPr="00DE16E1">
        <w:rPr>
          <w:i/>
          <w:iCs/>
          <w:sz w:val="20"/>
          <w:szCs w:val="20"/>
          <w:lang w:val="nl-NL"/>
        </w:rPr>
        <w:t xml:space="preserve"> </w:t>
      </w:r>
    </w:p>
  </w:footnote>
  <w:footnote w:id="44">
    <w:p w14:paraId="20EEAF7B" w14:textId="4817BA30" w:rsidR="00B7059B" w:rsidRPr="00DE16E1" w:rsidRDefault="00B7059B" w:rsidP="00B7059B">
      <w:pPr>
        <w:spacing w:line="240" w:lineRule="auto"/>
        <w:rPr>
          <w:sz w:val="20"/>
          <w:szCs w:val="20"/>
          <w:lang w:val="en-US"/>
        </w:rPr>
      </w:pPr>
      <w:r w:rsidRPr="00DE16E1">
        <w:rPr>
          <w:sz w:val="20"/>
          <w:szCs w:val="20"/>
          <w:vertAlign w:val="superscript"/>
        </w:rPr>
        <w:footnoteRef/>
      </w:r>
      <w:r w:rsidR="00FF07A7" w:rsidRPr="00DE16E1">
        <w:rPr>
          <w:sz w:val="20"/>
          <w:szCs w:val="20"/>
          <w:lang w:val="en-US"/>
        </w:rPr>
        <w:t xml:space="preserve"> National Rapporteur do against human trafficking and sexual violence against children</w:t>
      </w:r>
      <w:r w:rsidR="007324F2" w:rsidRPr="00DE16E1">
        <w:rPr>
          <w:sz w:val="20"/>
          <w:szCs w:val="20"/>
          <w:lang w:val="en-US"/>
        </w:rPr>
        <w:t>, 07-12-2021,</w:t>
      </w:r>
      <w:r w:rsidRPr="00DE16E1">
        <w:rPr>
          <w:sz w:val="20"/>
          <w:szCs w:val="20"/>
          <w:lang w:val="en-US"/>
        </w:rPr>
        <w:t xml:space="preserve"> </w:t>
      </w:r>
      <w:hyperlink r:id="rId40">
        <w:r w:rsidRPr="00DE16E1">
          <w:rPr>
            <w:i/>
            <w:iCs/>
            <w:color w:val="1155CC"/>
            <w:sz w:val="20"/>
            <w:szCs w:val="20"/>
            <w:u w:val="single"/>
            <w:lang w:val="en-US"/>
          </w:rPr>
          <w:t>Slachtoffermonitor Mensenhandel 2016-2020</w:t>
        </w:r>
      </w:hyperlink>
    </w:p>
  </w:footnote>
  <w:footnote w:id="45">
    <w:p w14:paraId="7FCEBE39" w14:textId="285BC4D9" w:rsidR="00B7059B" w:rsidRPr="00FF07A7" w:rsidRDefault="00B7059B" w:rsidP="00B7059B">
      <w:pPr>
        <w:spacing w:line="240" w:lineRule="auto"/>
        <w:rPr>
          <w:sz w:val="20"/>
          <w:szCs w:val="20"/>
          <w:lang w:val="en-US"/>
        </w:rPr>
      </w:pPr>
      <w:r w:rsidRPr="00DE16E1">
        <w:rPr>
          <w:sz w:val="20"/>
          <w:szCs w:val="20"/>
          <w:vertAlign w:val="superscript"/>
        </w:rPr>
        <w:footnoteRef/>
      </w:r>
      <w:r w:rsidRPr="00DE16E1">
        <w:rPr>
          <w:sz w:val="20"/>
          <w:szCs w:val="20"/>
          <w:lang w:val="en-US"/>
        </w:rPr>
        <w:t xml:space="preserve"> Government of the Netherlands</w:t>
      </w:r>
      <w:r w:rsidR="00B000FA" w:rsidRPr="00DE16E1">
        <w:rPr>
          <w:sz w:val="20"/>
          <w:szCs w:val="20"/>
          <w:lang w:val="en-US"/>
        </w:rPr>
        <w:t>,</w:t>
      </w:r>
      <w:r w:rsidRPr="00DE16E1">
        <w:rPr>
          <w:sz w:val="20"/>
          <w:szCs w:val="20"/>
          <w:lang w:val="en-US"/>
        </w:rPr>
        <w:t xml:space="preserve"> 06-12-2021</w:t>
      </w:r>
      <w:r w:rsidR="00C90979" w:rsidRPr="00DE16E1">
        <w:rPr>
          <w:sz w:val="20"/>
          <w:szCs w:val="20"/>
          <w:lang w:val="en-US"/>
        </w:rPr>
        <w:t>,</w:t>
      </w:r>
      <w:r w:rsidRPr="00DE16E1">
        <w:rPr>
          <w:sz w:val="20"/>
          <w:szCs w:val="20"/>
          <w:lang w:val="en-US"/>
        </w:rPr>
        <w:t xml:space="preserve"> </w:t>
      </w:r>
      <w:hyperlink r:id="rId41">
        <w:r w:rsidRPr="00DE16E1">
          <w:rPr>
            <w:i/>
            <w:iCs/>
            <w:color w:val="1155CC"/>
            <w:sz w:val="20"/>
            <w:szCs w:val="20"/>
            <w:u w:val="single"/>
            <w:lang w:val="en-US"/>
          </w:rPr>
          <w:t>Seksueel geweld sneller en vaker aangepak</w:t>
        </w:r>
        <w:r w:rsidRPr="00DE16E1">
          <w:rPr>
            <w:color w:val="1155CC"/>
            <w:sz w:val="20"/>
            <w:szCs w:val="20"/>
            <w:u w:val="single"/>
            <w:lang w:val="en-US"/>
          </w:rPr>
          <w:t>t</w:t>
        </w:r>
      </w:hyperlink>
      <w:r w:rsidRPr="00DE16E1">
        <w:rPr>
          <w:sz w:val="20"/>
          <w:szCs w:val="20"/>
          <w:lang w:val="en-US"/>
        </w:rPr>
        <w:t xml:space="preserve"> </w:t>
      </w:r>
      <w:r w:rsidR="00FF07A7" w:rsidRPr="00DE16E1">
        <w:rPr>
          <w:sz w:val="20"/>
          <w:szCs w:val="20"/>
          <w:lang w:val="en-US"/>
        </w:rPr>
        <w:t>(Sexual violence tackled faster and more often)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6D275C" w14:textId="72CC3071" w:rsidR="0070683B" w:rsidRDefault="0070683B" w:rsidP="0070683B">
    <w:pPr>
      <w:pStyle w:val="Header"/>
      <w:jc w:val="right"/>
    </w:pPr>
    <w:r>
      <w:rPr>
        <w:noProof/>
        <w:lang w:eastAsia="en-GB"/>
      </w:rPr>
      <w:drawing>
        <wp:inline distT="0" distB="0" distL="0" distR="0" wp14:anchorId="1E6B5690" wp14:editId="4C5AF32A">
          <wp:extent cx="3603048" cy="1079086"/>
          <wp:effectExtent l="0" t="0" r="0" b="0"/>
          <wp:docPr id="1" name="Afbeelding 1"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tekst&#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3603048" cy="107908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303F0"/>
    <w:multiLevelType w:val="hybridMultilevel"/>
    <w:tmpl w:val="69847FC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F1532CA"/>
    <w:multiLevelType w:val="multilevel"/>
    <w:tmpl w:val="693EE5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F7A0A61"/>
    <w:multiLevelType w:val="hybridMultilevel"/>
    <w:tmpl w:val="AB38F30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3A5A5F22"/>
    <w:multiLevelType w:val="hybridMultilevel"/>
    <w:tmpl w:val="A984A1E4"/>
    <w:lvl w:ilvl="0" w:tplc="0413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E5E4C60"/>
    <w:multiLevelType w:val="hybridMultilevel"/>
    <w:tmpl w:val="9272B95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51DF237B"/>
    <w:multiLevelType w:val="hybridMultilevel"/>
    <w:tmpl w:val="AF8659A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533E4146"/>
    <w:multiLevelType w:val="hybridMultilevel"/>
    <w:tmpl w:val="0172ABBA"/>
    <w:lvl w:ilvl="0" w:tplc="46383964">
      <w:numFmt w:val="bullet"/>
      <w:lvlText w:val="-"/>
      <w:lvlJc w:val="left"/>
      <w:pPr>
        <w:ind w:left="720" w:hanging="360"/>
      </w:pPr>
      <w:rPr>
        <w:rFonts w:ascii="Calibri" w:eastAsia="Calibri" w:hAnsi="Calibri" w:cs="Calibri"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7" w15:restartNumberingAfterBreak="0">
    <w:nsid w:val="565E0C04"/>
    <w:multiLevelType w:val="hybridMultilevel"/>
    <w:tmpl w:val="7120533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60F31496"/>
    <w:multiLevelType w:val="hybridMultilevel"/>
    <w:tmpl w:val="FCF4A7E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61204665"/>
    <w:multiLevelType w:val="hybridMultilevel"/>
    <w:tmpl w:val="8BBAF7B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6CFB1E19"/>
    <w:multiLevelType w:val="hybridMultilevel"/>
    <w:tmpl w:val="BEEE305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6E632B46"/>
    <w:multiLevelType w:val="hybridMultilevel"/>
    <w:tmpl w:val="ABCA137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7A834255"/>
    <w:multiLevelType w:val="hybridMultilevel"/>
    <w:tmpl w:val="53AA13DA"/>
    <w:lvl w:ilvl="0" w:tplc="1B840FB0">
      <w:numFmt w:val="bullet"/>
      <w:lvlText w:val="-"/>
      <w:lvlJc w:val="left"/>
      <w:pPr>
        <w:ind w:left="720" w:hanging="360"/>
      </w:pPr>
      <w:rPr>
        <w:rFonts w:ascii="Franklin Gothic Book" w:eastAsia="Libre Franklin" w:hAnsi="Franklin Gothic Book" w:cs="Libre Frankli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10"/>
  </w:num>
  <w:num w:numId="4">
    <w:abstractNumId w:val="0"/>
  </w:num>
  <w:num w:numId="5">
    <w:abstractNumId w:val="11"/>
  </w:num>
  <w:num w:numId="6">
    <w:abstractNumId w:val="4"/>
  </w:num>
  <w:num w:numId="7">
    <w:abstractNumId w:val="7"/>
  </w:num>
  <w:num w:numId="8">
    <w:abstractNumId w:val="2"/>
  </w:num>
  <w:num w:numId="9">
    <w:abstractNumId w:val="8"/>
  </w:num>
  <w:num w:numId="10">
    <w:abstractNumId w:val="1"/>
  </w:num>
  <w:num w:numId="11">
    <w:abstractNumId w:val="12"/>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83B"/>
    <w:rsid w:val="00001528"/>
    <w:rsid w:val="00005D37"/>
    <w:rsid w:val="0001013F"/>
    <w:rsid w:val="00027AC7"/>
    <w:rsid w:val="00044539"/>
    <w:rsid w:val="00055F09"/>
    <w:rsid w:val="000728EB"/>
    <w:rsid w:val="00075A51"/>
    <w:rsid w:val="00077D69"/>
    <w:rsid w:val="00081022"/>
    <w:rsid w:val="000A10C4"/>
    <w:rsid w:val="000B1AD3"/>
    <w:rsid w:val="000C17EC"/>
    <w:rsid w:val="000D093C"/>
    <w:rsid w:val="000D6DDE"/>
    <w:rsid w:val="000E6DD7"/>
    <w:rsid w:val="00105540"/>
    <w:rsid w:val="00113B30"/>
    <w:rsid w:val="00140D82"/>
    <w:rsid w:val="00143C34"/>
    <w:rsid w:val="001A522E"/>
    <w:rsid w:val="001B347D"/>
    <w:rsid w:val="001C3BED"/>
    <w:rsid w:val="001F6A7C"/>
    <w:rsid w:val="002009B9"/>
    <w:rsid w:val="00221B54"/>
    <w:rsid w:val="00224D94"/>
    <w:rsid w:val="00230B66"/>
    <w:rsid w:val="00234215"/>
    <w:rsid w:val="002376A9"/>
    <w:rsid w:val="002423B1"/>
    <w:rsid w:val="00250666"/>
    <w:rsid w:val="0028156F"/>
    <w:rsid w:val="002918D5"/>
    <w:rsid w:val="002978F7"/>
    <w:rsid w:val="002A27B9"/>
    <w:rsid w:val="002A2D4F"/>
    <w:rsid w:val="002D7588"/>
    <w:rsid w:val="002F3790"/>
    <w:rsid w:val="003127AB"/>
    <w:rsid w:val="00321964"/>
    <w:rsid w:val="00327563"/>
    <w:rsid w:val="00384A48"/>
    <w:rsid w:val="00391E21"/>
    <w:rsid w:val="00393E30"/>
    <w:rsid w:val="003A6E66"/>
    <w:rsid w:val="003A7C1D"/>
    <w:rsid w:val="003C0BF1"/>
    <w:rsid w:val="003C192D"/>
    <w:rsid w:val="003E511B"/>
    <w:rsid w:val="003F67DE"/>
    <w:rsid w:val="004001D4"/>
    <w:rsid w:val="00405F8F"/>
    <w:rsid w:val="00416F4F"/>
    <w:rsid w:val="00436A6E"/>
    <w:rsid w:val="00467196"/>
    <w:rsid w:val="004B0B66"/>
    <w:rsid w:val="004C294F"/>
    <w:rsid w:val="004E192F"/>
    <w:rsid w:val="004F3FA3"/>
    <w:rsid w:val="00511F3F"/>
    <w:rsid w:val="00523EC9"/>
    <w:rsid w:val="0054303E"/>
    <w:rsid w:val="00551ECF"/>
    <w:rsid w:val="00567C69"/>
    <w:rsid w:val="0057721F"/>
    <w:rsid w:val="005822CA"/>
    <w:rsid w:val="0058285F"/>
    <w:rsid w:val="00593756"/>
    <w:rsid w:val="005A78EB"/>
    <w:rsid w:val="005A7FD1"/>
    <w:rsid w:val="005B247F"/>
    <w:rsid w:val="005E46A3"/>
    <w:rsid w:val="005E69B6"/>
    <w:rsid w:val="005E715D"/>
    <w:rsid w:val="006055AE"/>
    <w:rsid w:val="00605696"/>
    <w:rsid w:val="006107A4"/>
    <w:rsid w:val="0063418D"/>
    <w:rsid w:val="006412E4"/>
    <w:rsid w:val="00655B3E"/>
    <w:rsid w:val="00664673"/>
    <w:rsid w:val="006761E2"/>
    <w:rsid w:val="006C0A59"/>
    <w:rsid w:val="006D290E"/>
    <w:rsid w:val="006D48A0"/>
    <w:rsid w:val="006F59A6"/>
    <w:rsid w:val="0070683B"/>
    <w:rsid w:val="007324F2"/>
    <w:rsid w:val="00744F43"/>
    <w:rsid w:val="00756B16"/>
    <w:rsid w:val="0075702E"/>
    <w:rsid w:val="007803FE"/>
    <w:rsid w:val="00783212"/>
    <w:rsid w:val="00797097"/>
    <w:rsid w:val="007A641D"/>
    <w:rsid w:val="007B4FD2"/>
    <w:rsid w:val="007B6817"/>
    <w:rsid w:val="007C127F"/>
    <w:rsid w:val="007C799E"/>
    <w:rsid w:val="007D1BDE"/>
    <w:rsid w:val="007D50AF"/>
    <w:rsid w:val="007E4B2D"/>
    <w:rsid w:val="007F4034"/>
    <w:rsid w:val="007F7D54"/>
    <w:rsid w:val="00816208"/>
    <w:rsid w:val="008339BB"/>
    <w:rsid w:val="00835975"/>
    <w:rsid w:val="00841BB2"/>
    <w:rsid w:val="00844118"/>
    <w:rsid w:val="008769DD"/>
    <w:rsid w:val="0088288B"/>
    <w:rsid w:val="00883859"/>
    <w:rsid w:val="0088643F"/>
    <w:rsid w:val="008927A6"/>
    <w:rsid w:val="00894C1E"/>
    <w:rsid w:val="008A60E4"/>
    <w:rsid w:val="008E59A1"/>
    <w:rsid w:val="009162C4"/>
    <w:rsid w:val="00966D0B"/>
    <w:rsid w:val="009673FF"/>
    <w:rsid w:val="00967C54"/>
    <w:rsid w:val="00987F3B"/>
    <w:rsid w:val="00991566"/>
    <w:rsid w:val="009A2230"/>
    <w:rsid w:val="009A5501"/>
    <w:rsid w:val="009E408B"/>
    <w:rsid w:val="009E758B"/>
    <w:rsid w:val="00A103F6"/>
    <w:rsid w:val="00A14B6C"/>
    <w:rsid w:val="00A26DA6"/>
    <w:rsid w:val="00A7465D"/>
    <w:rsid w:val="00A76F23"/>
    <w:rsid w:val="00AA5BAC"/>
    <w:rsid w:val="00AA6FC3"/>
    <w:rsid w:val="00AB459B"/>
    <w:rsid w:val="00AC4B16"/>
    <w:rsid w:val="00B000FA"/>
    <w:rsid w:val="00B22B8A"/>
    <w:rsid w:val="00B355A5"/>
    <w:rsid w:val="00B477BF"/>
    <w:rsid w:val="00B7059B"/>
    <w:rsid w:val="00B758BD"/>
    <w:rsid w:val="00B85CEA"/>
    <w:rsid w:val="00BA2CAF"/>
    <w:rsid w:val="00BA506F"/>
    <w:rsid w:val="00BB0FA6"/>
    <w:rsid w:val="00BD0F9E"/>
    <w:rsid w:val="00BD3F76"/>
    <w:rsid w:val="00BF4F6D"/>
    <w:rsid w:val="00C017AE"/>
    <w:rsid w:val="00C1700F"/>
    <w:rsid w:val="00C22D87"/>
    <w:rsid w:val="00C41147"/>
    <w:rsid w:val="00C4166E"/>
    <w:rsid w:val="00C46C10"/>
    <w:rsid w:val="00C5182B"/>
    <w:rsid w:val="00C612C9"/>
    <w:rsid w:val="00C64CC4"/>
    <w:rsid w:val="00C67C23"/>
    <w:rsid w:val="00C75CE9"/>
    <w:rsid w:val="00C85AD1"/>
    <w:rsid w:val="00C90979"/>
    <w:rsid w:val="00C9545F"/>
    <w:rsid w:val="00CC7423"/>
    <w:rsid w:val="00CE6489"/>
    <w:rsid w:val="00CE728A"/>
    <w:rsid w:val="00CF17DC"/>
    <w:rsid w:val="00D00FA5"/>
    <w:rsid w:val="00D406D4"/>
    <w:rsid w:val="00D67308"/>
    <w:rsid w:val="00D861DA"/>
    <w:rsid w:val="00D87D0E"/>
    <w:rsid w:val="00D92D00"/>
    <w:rsid w:val="00DE16E1"/>
    <w:rsid w:val="00DF46CB"/>
    <w:rsid w:val="00DF6C9D"/>
    <w:rsid w:val="00E079FA"/>
    <w:rsid w:val="00E447B3"/>
    <w:rsid w:val="00E54DA3"/>
    <w:rsid w:val="00EA120B"/>
    <w:rsid w:val="00EB1920"/>
    <w:rsid w:val="00ED1318"/>
    <w:rsid w:val="00EE6521"/>
    <w:rsid w:val="00EE66E6"/>
    <w:rsid w:val="00F165CC"/>
    <w:rsid w:val="00F168A8"/>
    <w:rsid w:val="00F35B19"/>
    <w:rsid w:val="00F35ECB"/>
    <w:rsid w:val="00F50392"/>
    <w:rsid w:val="00F51F82"/>
    <w:rsid w:val="00F52834"/>
    <w:rsid w:val="00F558AE"/>
    <w:rsid w:val="00F613C0"/>
    <w:rsid w:val="00F62C2B"/>
    <w:rsid w:val="00F73670"/>
    <w:rsid w:val="00FA1766"/>
    <w:rsid w:val="00FA4576"/>
    <w:rsid w:val="00FA5642"/>
    <w:rsid w:val="00FE5E0E"/>
    <w:rsid w:val="00FF07A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E2D392"/>
  <w15:chartTrackingRefBased/>
  <w15:docId w15:val="{60FCED5B-2910-463D-BE82-4D0FC3947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683B"/>
    <w:rPr>
      <w:rFonts w:ascii="Franklin Gothic Book" w:eastAsia="Libre Franklin" w:hAnsi="Franklin Gothic Book" w:cs="Libre Franklin"/>
      <w:sz w:val="21"/>
      <w:szCs w:val="21"/>
      <w:lang w:val="en-GB" w:eastAsia="nl-NL"/>
    </w:rPr>
  </w:style>
  <w:style w:type="paragraph" w:styleId="Heading1">
    <w:name w:val="heading 1"/>
    <w:basedOn w:val="Normal"/>
    <w:next w:val="Normal"/>
    <w:link w:val="Heading1Char"/>
    <w:uiPriority w:val="9"/>
    <w:qFormat/>
    <w:rsid w:val="00384A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50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728E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683B"/>
    <w:pPr>
      <w:tabs>
        <w:tab w:val="center" w:pos="4536"/>
        <w:tab w:val="right" w:pos="9072"/>
      </w:tabs>
      <w:spacing w:after="0" w:line="240" w:lineRule="auto"/>
    </w:pPr>
  </w:style>
  <w:style w:type="character" w:customStyle="1" w:styleId="HeaderChar">
    <w:name w:val="Header Char"/>
    <w:basedOn w:val="DefaultParagraphFont"/>
    <w:link w:val="Header"/>
    <w:uiPriority w:val="99"/>
    <w:rsid w:val="0070683B"/>
    <w:rPr>
      <w:rFonts w:ascii="Franklin Gothic Book" w:hAnsi="Franklin Gothic Book"/>
      <w:sz w:val="21"/>
    </w:rPr>
  </w:style>
  <w:style w:type="paragraph" w:styleId="Footer">
    <w:name w:val="footer"/>
    <w:basedOn w:val="Normal"/>
    <w:link w:val="FooterChar"/>
    <w:uiPriority w:val="99"/>
    <w:unhideWhenUsed/>
    <w:rsid w:val="0070683B"/>
    <w:pPr>
      <w:tabs>
        <w:tab w:val="center" w:pos="4536"/>
        <w:tab w:val="right" w:pos="9072"/>
      </w:tabs>
      <w:spacing w:after="0" w:line="240" w:lineRule="auto"/>
    </w:pPr>
  </w:style>
  <w:style w:type="character" w:customStyle="1" w:styleId="FooterChar">
    <w:name w:val="Footer Char"/>
    <w:basedOn w:val="DefaultParagraphFont"/>
    <w:link w:val="Footer"/>
    <w:uiPriority w:val="99"/>
    <w:rsid w:val="0070683B"/>
    <w:rPr>
      <w:rFonts w:ascii="Franklin Gothic Book" w:hAnsi="Franklin Gothic Book"/>
      <w:sz w:val="21"/>
    </w:rPr>
  </w:style>
  <w:style w:type="character" w:customStyle="1" w:styleId="Heading2Char">
    <w:name w:val="Heading 2 Char"/>
    <w:basedOn w:val="DefaultParagraphFont"/>
    <w:link w:val="Heading2"/>
    <w:uiPriority w:val="9"/>
    <w:rsid w:val="007D50AF"/>
    <w:rPr>
      <w:rFonts w:asciiTheme="majorHAnsi" w:eastAsiaTheme="majorEastAsia" w:hAnsiTheme="majorHAnsi" w:cstheme="majorBidi"/>
      <w:color w:val="2F5496" w:themeColor="accent1" w:themeShade="BF"/>
      <w:sz w:val="26"/>
      <w:szCs w:val="26"/>
      <w:lang w:val="en-GB" w:eastAsia="nl-NL"/>
    </w:rPr>
  </w:style>
  <w:style w:type="paragraph" w:styleId="ListParagraph">
    <w:name w:val="List Paragraph"/>
    <w:basedOn w:val="Normal"/>
    <w:uiPriority w:val="34"/>
    <w:qFormat/>
    <w:rsid w:val="00A103F6"/>
    <w:pPr>
      <w:spacing w:after="0" w:line="240" w:lineRule="auto"/>
      <w:ind w:left="720"/>
      <w:contextualSpacing/>
    </w:pPr>
    <w:rPr>
      <w:rFonts w:eastAsiaTheme="minorHAnsi" w:cs="Calibri"/>
      <w:lang w:val="nl-NL" w:eastAsia="en-US"/>
    </w:rPr>
  </w:style>
  <w:style w:type="character" w:customStyle="1" w:styleId="normaltextrun">
    <w:name w:val="normaltextrun"/>
    <w:basedOn w:val="DefaultParagraphFont"/>
    <w:rsid w:val="00A103F6"/>
  </w:style>
  <w:style w:type="paragraph" w:styleId="FootnoteText">
    <w:name w:val="footnote text"/>
    <w:basedOn w:val="Normal"/>
    <w:link w:val="FootnoteTextChar"/>
    <w:uiPriority w:val="99"/>
    <w:semiHidden/>
    <w:unhideWhenUsed/>
    <w:rsid w:val="00A103F6"/>
    <w:pPr>
      <w:spacing w:after="0" w:line="240" w:lineRule="auto"/>
    </w:pPr>
    <w:rPr>
      <w:rFonts w:eastAsiaTheme="minorHAnsi" w:cs="Calibri"/>
      <w:sz w:val="20"/>
      <w:szCs w:val="20"/>
      <w:lang w:val="nl-NL" w:eastAsia="en-US"/>
    </w:rPr>
  </w:style>
  <w:style w:type="character" w:customStyle="1" w:styleId="FootnoteTextChar">
    <w:name w:val="Footnote Text Char"/>
    <w:basedOn w:val="DefaultParagraphFont"/>
    <w:link w:val="FootnoteText"/>
    <w:uiPriority w:val="99"/>
    <w:semiHidden/>
    <w:rsid w:val="00A103F6"/>
    <w:rPr>
      <w:rFonts w:ascii="Franklin Gothic Book" w:hAnsi="Franklin Gothic Book" w:cs="Calibri"/>
      <w:sz w:val="20"/>
      <w:szCs w:val="20"/>
    </w:rPr>
  </w:style>
  <w:style w:type="character" w:styleId="FootnoteReference">
    <w:name w:val="footnote reference"/>
    <w:basedOn w:val="DefaultParagraphFont"/>
    <w:uiPriority w:val="99"/>
    <w:semiHidden/>
    <w:unhideWhenUsed/>
    <w:rsid w:val="00A103F6"/>
    <w:rPr>
      <w:vertAlign w:val="superscript"/>
    </w:rPr>
  </w:style>
  <w:style w:type="character" w:styleId="Hyperlink">
    <w:name w:val="Hyperlink"/>
    <w:basedOn w:val="DefaultParagraphFont"/>
    <w:uiPriority w:val="99"/>
    <w:unhideWhenUsed/>
    <w:rsid w:val="00A103F6"/>
    <w:rPr>
      <w:color w:val="0563C1"/>
      <w:u w:val="single"/>
    </w:rPr>
  </w:style>
  <w:style w:type="paragraph" w:customStyle="1" w:styleId="Default">
    <w:name w:val="Default"/>
    <w:rsid w:val="00551ECF"/>
    <w:pPr>
      <w:autoSpaceDE w:val="0"/>
      <w:autoSpaceDN w:val="0"/>
      <w:adjustRightInd w:val="0"/>
      <w:spacing w:after="0" w:line="240" w:lineRule="auto"/>
    </w:pPr>
    <w:rPr>
      <w:rFonts w:ascii="Franklin Gothic Book" w:hAnsi="Franklin Gothic Book" w:cs="Franklin Gothic Book"/>
      <w:color w:val="000000"/>
      <w:sz w:val="24"/>
      <w:szCs w:val="24"/>
    </w:rPr>
  </w:style>
  <w:style w:type="character" w:styleId="CommentReference">
    <w:name w:val="annotation reference"/>
    <w:basedOn w:val="DefaultParagraphFont"/>
    <w:uiPriority w:val="99"/>
    <w:semiHidden/>
    <w:unhideWhenUsed/>
    <w:rsid w:val="00551ECF"/>
    <w:rPr>
      <w:sz w:val="16"/>
      <w:szCs w:val="16"/>
    </w:rPr>
  </w:style>
  <w:style w:type="paragraph" w:styleId="CommentText">
    <w:name w:val="annotation text"/>
    <w:basedOn w:val="Normal"/>
    <w:link w:val="CommentTextChar"/>
    <w:uiPriority w:val="99"/>
    <w:unhideWhenUsed/>
    <w:rsid w:val="00551ECF"/>
    <w:pPr>
      <w:spacing w:line="240" w:lineRule="auto"/>
    </w:pPr>
    <w:rPr>
      <w:rFonts w:eastAsiaTheme="minorHAnsi" w:cstheme="minorBidi"/>
      <w:sz w:val="20"/>
      <w:szCs w:val="20"/>
      <w:lang w:val="nl-NL" w:eastAsia="en-US"/>
    </w:rPr>
  </w:style>
  <w:style w:type="character" w:customStyle="1" w:styleId="CommentTextChar">
    <w:name w:val="Comment Text Char"/>
    <w:basedOn w:val="DefaultParagraphFont"/>
    <w:link w:val="CommentText"/>
    <w:uiPriority w:val="99"/>
    <w:rsid w:val="00551ECF"/>
    <w:rPr>
      <w:rFonts w:ascii="Franklin Gothic Book" w:hAnsi="Franklin Gothic Book"/>
      <w:sz w:val="20"/>
      <w:szCs w:val="20"/>
    </w:rPr>
  </w:style>
  <w:style w:type="character" w:customStyle="1" w:styleId="UnresolvedMention">
    <w:name w:val="Unresolved Mention"/>
    <w:basedOn w:val="DefaultParagraphFont"/>
    <w:uiPriority w:val="99"/>
    <w:semiHidden/>
    <w:unhideWhenUsed/>
    <w:rsid w:val="009E408B"/>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F168A8"/>
    <w:rPr>
      <w:rFonts w:eastAsia="Libre Franklin" w:cs="Libre Franklin"/>
      <w:b/>
      <w:bCs/>
      <w:lang w:val="en-GB" w:eastAsia="nl-NL"/>
    </w:rPr>
  </w:style>
  <w:style w:type="character" w:customStyle="1" w:styleId="CommentSubjectChar">
    <w:name w:val="Comment Subject Char"/>
    <w:basedOn w:val="CommentTextChar"/>
    <w:link w:val="CommentSubject"/>
    <w:uiPriority w:val="99"/>
    <w:semiHidden/>
    <w:rsid w:val="00F168A8"/>
    <w:rPr>
      <w:rFonts w:ascii="Franklin Gothic Book" w:eastAsia="Libre Franklin" w:hAnsi="Franklin Gothic Book" w:cs="Libre Franklin"/>
      <w:b/>
      <w:bCs/>
      <w:sz w:val="20"/>
      <w:szCs w:val="20"/>
      <w:lang w:val="en-GB" w:eastAsia="nl-NL"/>
    </w:rPr>
  </w:style>
  <w:style w:type="character" w:styleId="FollowedHyperlink">
    <w:name w:val="FollowedHyperlink"/>
    <w:basedOn w:val="DefaultParagraphFont"/>
    <w:uiPriority w:val="99"/>
    <w:semiHidden/>
    <w:unhideWhenUsed/>
    <w:rsid w:val="009E758B"/>
    <w:rPr>
      <w:color w:val="954F72" w:themeColor="followedHyperlink"/>
      <w:u w:val="single"/>
    </w:rPr>
  </w:style>
  <w:style w:type="paragraph" w:styleId="Revision">
    <w:name w:val="Revision"/>
    <w:hidden/>
    <w:uiPriority w:val="99"/>
    <w:semiHidden/>
    <w:rsid w:val="00511F3F"/>
    <w:pPr>
      <w:spacing w:after="0" w:line="240" w:lineRule="auto"/>
    </w:pPr>
    <w:rPr>
      <w:rFonts w:ascii="Franklin Gothic Book" w:eastAsia="Libre Franklin" w:hAnsi="Franklin Gothic Book" w:cs="Libre Franklin"/>
      <w:sz w:val="21"/>
      <w:szCs w:val="21"/>
      <w:lang w:val="en-GB" w:eastAsia="nl-NL"/>
    </w:rPr>
  </w:style>
  <w:style w:type="paragraph" w:styleId="NoSpacing">
    <w:name w:val="No Spacing"/>
    <w:basedOn w:val="Normal"/>
    <w:uiPriority w:val="1"/>
    <w:qFormat/>
    <w:rsid w:val="00221B54"/>
    <w:pPr>
      <w:spacing w:after="0" w:line="240" w:lineRule="auto"/>
    </w:pPr>
    <w:rPr>
      <w:rFonts w:ascii="Calibri" w:eastAsiaTheme="minorHAnsi" w:hAnsi="Calibri" w:cs="Calibri"/>
      <w:sz w:val="22"/>
      <w:szCs w:val="22"/>
      <w:lang w:val="nl-NL" w:eastAsia="en-US"/>
    </w:rPr>
  </w:style>
  <w:style w:type="character" w:styleId="Strong">
    <w:name w:val="Strong"/>
    <w:basedOn w:val="DefaultParagraphFont"/>
    <w:uiPriority w:val="22"/>
    <w:qFormat/>
    <w:rsid w:val="00221B54"/>
    <w:rPr>
      <w:b/>
      <w:bCs/>
    </w:rPr>
  </w:style>
  <w:style w:type="character" w:customStyle="1" w:styleId="Heading1Char">
    <w:name w:val="Heading 1 Char"/>
    <w:basedOn w:val="DefaultParagraphFont"/>
    <w:link w:val="Heading1"/>
    <w:uiPriority w:val="9"/>
    <w:rsid w:val="00384A48"/>
    <w:rPr>
      <w:rFonts w:asciiTheme="majorHAnsi" w:eastAsiaTheme="majorEastAsia" w:hAnsiTheme="majorHAnsi" w:cstheme="majorBidi"/>
      <w:color w:val="2F5496" w:themeColor="accent1" w:themeShade="BF"/>
      <w:sz w:val="32"/>
      <w:szCs w:val="32"/>
      <w:lang w:val="en-GB" w:eastAsia="nl-NL"/>
    </w:rPr>
  </w:style>
  <w:style w:type="paragraph" w:styleId="TOCHeading">
    <w:name w:val="TOC Heading"/>
    <w:basedOn w:val="Heading1"/>
    <w:next w:val="Normal"/>
    <w:uiPriority w:val="39"/>
    <w:unhideWhenUsed/>
    <w:qFormat/>
    <w:rsid w:val="00384A48"/>
    <w:pPr>
      <w:outlineLvl w:val="9"/>
    </w:pPr>
    <w:rPr>
      <w:lang w:val="nl-NL"/>
    </w:rPr>
  </w:style>
  <w:style w:type="paragraph" w:styleId="TOC2">
    <w:name w:val="toc 2"/>
    <w:basedOn w:val="Normal"/>
    <w:next w:val="Normal"/>
    <w:autoRedefine/>
    <w:uiPriority w:val="39"/>
    <w:unhideWhenUsed/>
    <w:rsid w:val="00E447B3"/>
    <w:pPr>
      <w:tabs>
        <w:tab w:val="right" w:leader="dot" w:pos="9062"/>
      </w:tabs>
      <w:spacing w:after="100"/>
      <w:ind w:left="210"/>
    </w:pPr>
  </w:style>
  <w:style w:type="paragraph" w:styleId="NormalWeb">
    <w:name w:val="Normal (Web)"/>
    <w:basedOn w:val="Normal"/>
    <w:uiPriority w:val="99"/>
    <w:unhideWhenUsed/>
    <w:rsid w:val="005A7FD1"/>
    <w:rPr>
      <w:rFonts w:ascii="Times New Roman" w:hAnsi="Times New Roman" w:cs="Times New Roman"/>
      <w:sz w:val="24"/>
      <w:szCs w:val="24"/>
    </w:rPr>
  </w:style>
  <w:style w:type="character" w:customStyle="1" w:styleId="Heading3Char">
    <w:name w:val="Heading 3 Char"/>
    <w:basedOn w:val="DefaultParagraphFont"/>
    <w:link w:val="Heading3"/>
    <w:uiPriority w:val="9"/>
    <w:rsid w:val="000728EB"/>
    <w:rPr>
      <w:rFonts w:asciiTheme="majorHAnsi" w:eastAsiaTheme="majorEastAsia" w:hAnsiTheme="majorHAnsi" w:cstheme="majorBidi"/>
      <w:color w:val="1F3763" w:themeColor="accent1" w:themeShade="7F"/>
      <w:sz w:val="24"/>
      <w:szCs w:val="24"/>
      <w:lang w:val="en-GB"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9628831">
      <w:bodyDiv w:val="1"/>
      <w:marLeft w:val="0"/>
      <w:marRight w:val="0"/>
      <w:marTop w:val="0"/>
      <w:marBottom w:val="0"/>
      <w:divBdr>
        <w:top w:val="none" w:sz="0" w:space="0" w:color="auto"/>
        <w:left w:val="none" w:sz="0" w:space="0" w:color="auto"/>
        <w:bottom w:val="none" w:sz="0" w:space="0" w:color="auto"/>
        <w:right w:val="none" w:sz="0" w:space="0" w:color="auto"/>
      </w:divBdr>
    </w:div>
    <w:div w:id="1042824455">
      <w:bodyDiv w:val="1"/>
      <w:marLeft w:val="0"/>
      <w:marRight w:val="0"/>
      <w:marTop w:val="0"/>
      <w:marBottom w:val="0"/>
      <w:divBdr>
        <w:top w:val="none" w:sz="0" w:space="0" w:color="auto"/>
        <w:left w:val="none" w:sz="0" w:space="0" w:color="auto"/>
        <w:bottom w:val="none" w:sz="0" w:space="0" w:color="auto"/>
        <w:right w:val="none" w:sz="0" w:space="0" w:color="auto"/>
      </w:divBdr>
    </w:div>
    <w:div w:id="1356804921">
      <w:bodyDiv w:val="1"/>
      <w:marLeft w:val="0"/>
      <w:marRight w:val="0"/>
      <w:marTop w:val="0"/>
      <w:marBottom w:val="0"/>
      <w:divBdr>
        <w:top w:val="none" w:sz="0" w:space="0" w:color="auto"/>
        <w:left w:val="none" w:sz="0" w:space="0" w:color="auto"/>
        <w:bottom w:val="none" w:sz="0" w:space="0" w:color="auto"/>
        <w:right w:val="none" w:sz="0" w:space="0" w:color="auto"/>
      </w:divBdr>
    </w:div>
    <w:div w:id="2134055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med.st-andrews.ac.uk/grade/wp-content/uploads/sites/13/2021/04/Lost-government-revenues-due-to-tax-abuses-5.4.2021-1.pdf" TargetMode="External"/><Relationship Id="rId13" Type="http://schemas.openxmlformats.org/officeDocument/2006/relationships/hyperlink" Target="https://www.rechtspraak.nl/Organisatie-en-contact/Organisatie/Rechtbanken/Rechtbank-Den-Haag/Nieuws/Paginas/Royal-Dutch-Shell-must-reduce-CO2-emissions.aspx" TargetMode="External"/><Relationship Id="rId18" Type="http://schemas.openxmlformats.org/officeDocument/2006/relationships/hyperlink" Target="https://www.waterforum.net/belgie-legt-productie-3m-tijdelijk-stil-om-pfas-vervuiling-westerschelde/" TargetMode="External"/><Relationship Id="rId26" Type="http://schemas.openxmlformats.org/officeDocument/2006/relationships/hyperlink" Target="https://www.nationaleombudsman.nl/system/files/rapport/20210117%20Klacht%20gegrond%2C%20maar%20geen%20oplossing.pdf" TargetMode="External"/><Relationship Id="rId39" Type="http://schemas.openxmlformats.org/officeDocument/2006/relationships/hyperlink" Target="https://repository.wodc.nl/bitstream/handle/20.500.12832/3123/3132-multiple-systems-estimation-slachtoffers-mensenhandel-nederland-2016-2019-volledige-tekst.pdf?sequence=4&amp;isAllowed=y" TargetMode="External"/><Relationship Id="rId3" Type="http://schemas.openxmlformats.org/officeDocument/2006/relationships/hyperlink" Target="https://www.rijksfinancien.nl/sites/default/files/kamerstuk_pdf/kst-35925-XVII-2.pdf" TargetMode="External"/><Relationship Id="rId21" Type="http://schemas.openxmlformats.org/officeDocument/2006/relationships/hyperlink" Target="http://www.rivm.nl/nieuws/zorgen-mentale-gezondheid-middelengebruik-studenten" TargetMode="External"/><Relationship Id="rId34" Type="http://schemas.openxmlformats.org/officeDocument/2006/relationships/hyperlink" Target="https://uitspraken.rechtspraak.nl/inziendocument?id=ECLI:NL:RBDHA:2021:11992&amp;showbutton=true&amp;keyword=AWB+21%2f129" TargetMode="External"/><Relationship Id="rId7" Type="http://schemas.openxmlformats.org/officeDocument/2006/relationships/hyperlink" Target="https://onlinelibrary.wiley.com/doi/full/10.1002/jid.3348" TargetMode="External"/><Relationship Id="rId12" Type="http://schemas.openxmlformats.org/officeDocument/2006/relationships/hyperlink" Target="http://www.schadefonds.nl/en/" TargetMode="External"/><Relationship Id="rId17" Type="http://schemas.openxmlformats.org/officeDocument/2006/relationships/hyperlink" Target="https://jeugdjournaal.nl/artikel/2396177-onderzoek-stof-bij-staalfabriek-is-slecht-voor-kinderen.html" TargetMode="External"/><Relationship Id="rId25" Type="http://schemas.openxmlformats.org/officeDocument/2006/relationships/hyperlink" Target="https://www.tweedekamer.nl/sites/default/files/atoms/files/20201217_eindverslag_parlementaire_ondervragingscommissie_kinderopvangtoeslag.pdf" TargetMode="External"/><Relationship Id="rId33" Type="http://schemas.openxmlformats.org/officeDocument/2006/relationships/hyperlink" Target="https://www.rijksoverheid.nl/documenten/kamerstukken/2021/08/11/tk-instellen-besluit-en-vertrekmoratorium-afghanistan" TargetMode="External"/><Relationship Id="rId38" Type="http://schemas.openxmlformats.org/officeDocument/2006/relationships/hyperlink" Target="http://deeplink.rechtspraak.nl/uitspraak?id=ECLI:NL:RBMNE:2021:4111" TargetMode="External"/><Relationship Id="rId2" Type="http://schemas.openxmlformats.org/officeDocument/2006/relationships/hyperlink" Target="https://longreads.cbs.nl/jeugdmonitor-2021/annual-report-youth-monitor-2021-summary/" TargetMode="External"/><Relationship Id="rId16" Type="http://schemas.openxmlformats.org/officeDocument/2006/relationships/hyperlink" Target="https://www.rijksoverheid.nl/documenten/kamerstukken/2021/07/14/beantwoording-kamervragen-groenlinks-over-uitspraak-rechter-over-shell" TargetMode="External"/><Relationship Id="rId20" Type="http://schemas.openxmlformats.org/officeDocument/2006/relationships/hyperlink" Target="https://pubmed.ncbi.nlm.nih.gov/33991278/" TargetMode="External"/><Relationship Id="rId29" Type="http://schemas.openxmlformats.org/officeDocument/2006/relationships/hyperlink" Target="https://www.tweedekamer.nl/kamerstukken/wetsvoorstellen/detail?id=2021Z09205&amp;dossier=35845" TargetMode="External"/><Relationship Id="rId41" Type="http://schemas.openxmlformats.org/officeDocument/2006/relationships/hyperlink" Target="https://www.rijksoverheid.nl/actueel/nieuws/2021/12/06/seksueel-geweld-sneller-en-vaker-aangepakt" TargetMode="External"/><Relationship Id="rId1" Type="http://schemas.openxmlformats.org/officeDocument/2006/relationships/hyperlink" Target="https://www.verwey-jonker.nl/wp-content/uploads/2021/06/220260_-kinderen_missen_zelfstandig_recht_op_sociale_zekerheid_WEB.pdf" TargetMode="External"/><Relationship Id="rId6" Type="http://schemas.openxmlformats.org/officeDocument/2006/relationships/hyperlink" Target="https://www.imf.org/external/pubs/ft/fandd/2019/09/tackling-global-tax-havens-shaxon.htm" TargetMode="External"/><Relationship Id="rId11" Type="http://schemas.openxmlformats.org/officeDocument/2006/relationships/hyperlink" Target="https://www.rijksoverheid.nl/actueel/nieuws/2021/09/28/benoeming-nationaal-coordinator-tegen-discriminatie-en-racisme" TargetMode="External"/><Relationship Id="rId24" Type="http://schemas.openxmlformats.org/officeDocument/2006/relationships/hyperlink" Target="https://eur03.safelinks.protection.outlook.com/?url=https%3A%2F%2Fjeugdengezincentraal.nl%2Faanbevelingen-om-stress-en-prestatiedruk-onder-jongeren-terug-te-dringen%2F&amp;data=04%7C01%7Cepolhuijs%40unicef.nl%7Ce4ceaf5b489b44f92f0408d9b4e386a8%7C2c9f67d9e6984dc796dbb3485fadd813%7C0%7C0%7C637739711580927161%7CUnknown%7CTWFpbGZsb3d8eyJWIjoiMC4wLjAwMDAiLCJQIjoiV2luMzIiLCJBTiI6Ik1haWwiLCJXVCI6Mn0%3D%7C3000&amp;sdata=%2BKu4xKYmLF%2FcFnFYgkA1dyxI9V40tNLr12N5bmZoRBw%3D&amp;reserved=0" TargetMode="External"/><Relationship Id="rId32" Type="http://schemas.openxmlformats.org/officeDocument/2006/relationships/hyperlink" Target="https://www.rijksoverheid.nl/documenten/begrotingen/2020/09/15/vi-justitie-en-veiligheid-rijksbegroting-2021" TargetMode="External"/><Relationship Id="rId37" Type="http://schemas.openxmlformats.org/officeDocument/2006/relationships/hyperlink" Target="https://www.inspectie-jenv.nl/actueel/nieuws/2021/09/27/rapport-een-kwetsbaar-recht" TargetMode="External"/><Relationship Id="rId40" Type="http://schemas.openxmlformats.org/officeDocument/2006/relationships/hyperlink" Target="https://www.nationaalrapporteur.nl/publicaties/rapporten/2021/12/07/slachtoffermonitor-mensenhandel-2016---2020" TargetMode="External"/><Relationship Id="rId5" Type="http://schemas.openxmlformats.org/officeDocument/2006/relationships/hyperlink" Target="https://cthi.taxjustice.net/en/" TargetMode="External"/><Relationship Id="rId15" Type="http://schemas.openxmlformats.org/officeDocument/2006/relationships/hyperlink" Target="https://www.rivm.nl/en/news/dust-in-ijmond-contains-many-pahs-and-metals" TargetMode="External"/><Relationship Id="rId23" Type="http://schemas.openxmlformats.org/officeDocument/2006/relationships/hyperlink" Target="https://www.nivel.nl/nl/nivel-zorgregistraties-eerste-lijn/integrale-gezondheidsmonitor-covid-19-gor-covid" TargetMode="External"/><Relationship Id="rId28" Type="http://schemas.openxmlformats.org/officeDocument/2006/relationships/hyperlink" Target="https://www.cbs.nl/nl-nl/maatwerk/2021/42/uithuisplaatsingen-onder-gedupeerden-toeslagenaffaire" TargetMode="External"/><Relationship Id="rId36" Type="http://schemas.openxmlformats.org/officeDocument/2006/relationships/hyperlink" Target="https://eur03.safelinks.protection.outlook.com/?url=https%3A%2F%2Fuitspraken.rechtspraak.nl%2Finziendocument%3Fid%3DECLI%3ANL%3ARBDHA%3A2021%3A8430&amp;data=04%7C01%7Cevavanaalst%40unicef.nl%7C34f6582e1cfa4421c53008d9b4adf81d%7C2c9f67d9e6984dc796dbb3485fadd813%7C0%7C0%7C637739481575038567%7CUnknown%7CTWFpbGZsb3d8eyJWIjoiMC4wLjAwMDAiLCJQIjoiV2luMzIiLCJBTiI6Ik1haWwiLCJXVCI6Mn0%3D%7C3000&amp;sdata=Oz0t9WQTI5Kuti%2F3lKtzvAm6YZmDRqSYxEDypqvBQd4%3D&amp;reserved=0" TargetMode="External"/><Relationship Id="rId10" Type="http://schemas.openxmlformats.org/officeDocument/2006/relationships/hyperlink" Target="https://www.jahonline.org/article/S1054-139X(21)00337-2/fulltext" TargetMode="External"/><Relationship Id="rId19" Type="http://schemas.openxmlformats.org/officeDocument/2006/relationships/hyperlink" Target="https://nos.nl/artikel/2405819-staatstoezicht-nog-jarenlang-aardbevingen-in-groningen" TargetMode="External"/><Relationship Id="rId31" Type="http://schemas.openxmlformats.org/officeDocument/2006/relationships/hyperlink" Target="https://www.rijksfinancien.nl/memorie-van-toelichting/2022/OWB/VIII" TargetMode="External"/><Relationship Id="rId4" Type="http://schemas.openxmlformats.org/officeDocument/2006/relationships/hyperlink" Target="https://www.volkskrant.nl/economie/minister-de-bruijn-zet-wet-aanvoerketens-door-tot-verdriet-van-de-bedrijvenlobby~b09ec21f/?utm_campaign=shared_earned&amp;utm_medium=social&amp;utm_source=twitter&amp;referrer=https%3A%2F%2Fmonitor.partos.nl%2F" TargetMode="External"/><Relationship Id="rId9" Type="http://schemas.openxmlformats.org/officeDocument/2006/relationships/hyperlink" Target="https://tbinternet.ohchr.org/Treaties/CERD/Shared%20Documents/NLD/CERD_C_NLD_CO_22-24_46534_E.pdf" TargetMode="External"/><Relationship Id="rId14" Type="http://schemas.openxmlformats.org/officeDocument/2006/relationships/hyperlink" Target="https://www.tweedekamer.nl/kamerstukken/brieven_regering/detail?id=2021Z22647&amp;did=2021D48055" TargetMode="External"/><Relationship Id="rId22" Type="http://schemas.openxmlformats.org/officeDocument/2006/relationships/hyperlink" Target="http://www.medrxiv.org/content/10.1101/2021.10.05.21264160v1.full.pdf" TargetMode="External"/><Relationship Id="rId27" Type="http://schemas.openxmlformats.org/officeDocument/2006/relationships/hyperlink" Target="https://www.rijksoverheid.nl/ministeries/ministerie-van-financien/documenten/kamerstukken/2021/10/11/brief-aan-no-reactie-op-tweede-klachtenmonitor" TargetMode="External"/><Relationship Id="rId30" Type="http://schemas.openxmlformats.org/officeDocument/2006/relationships/hyperlink" Target="https://www.tweedekamer.nl/kamerstukken/moties/detail?id=2021Z18484&amp;did=2021D39810" TargetMode="External"/><Relationship Id="rId35" Type="http://schemas.openxmlformats.org/officeDocument/2006/relationships/hyperlink" Target="https://www.defenceforchildren.nl/actueel/blog/martin-vegter/verboden-onderschei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6795ED-5353-461A-A7F4-4BB0DBA7CB02}">
  <ds:schemaRefs>
    <ds:schemaRef ds:uri="http://schemas.openxmlformats.org/officeDocument/2006/bibliography"/>
  </ds:schemaRefs>
</ds:datastoreItem>
</file>

<file path=customXml/itemProps2.xml><?xml version="1.0" encoding="utf-8"?>
<ds:datastoreItem xmlns:ds="http://schemas.openxmlformats.org/officeDocument/2006/customXml" ds:itemID="{18492A55-F15E-43DB-9F97-D6CED9CB42D9}"/>
</file>

<file path=customXml/itemProps3.xml><?xml version="1.0" encoding="utf-8"?>
<ds:datastoreItem xmlns:ds="http://schemas.openxmlformats.org/officeDocument/2006/customXml" ds:itemID="{61A7FD2D-E060-443D-9E4D-5A94C98F4DC1}"/>
</file>

<file path=customXml/itemProps4.xml><?xml version="1.0" encoding="utf-8"?>
<ds:datastoreItem xmlns:ds="http://schemas.openxmlformats.org/officeDocument/2006/customXml" ds:itemID="{A8D32935-0035-4FC9-9B74-E230F6B487BC}"/>
</file>

<file path=docProps/app.xml><?xml version="1.0" encoding="utf-8"?>
<Properties xmlns="http://schemas.openxmlformats.org/officeDocument/2006/extended-properties" xmlns:vt="http://schemas.openxmlformats.org/officeDocument/2006/docPropsVTypes">
  <Template>Normal.dotm</Template>
  <TotalTime>30</TotalTime>
  <Pages>13</Pages>
  <Words>4677</Words>
  <Characters>26665</Characters>
  <Application>Microsoft Office Word</Application>
  <DocSecurity>0</DocSecurity>
  <Lines>222</Lines>
  <Paragraphs>62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Brigitte Boswinkel</dc:creator>
  <cp:keywords/>
  <dc:description/>
  <cp:lastModifiedBy>BOIT James</cp:lastModifiedBy>
  <cp:revision>2</cp:revision>
  <cp:lastPrinted>2021-12-14T21:17:00Z</cp:lastPrinted>
  <dcterms:created xsi:type="dcterms:W3CDTF">2022-01-20T15:14:00Z</dcterms:created>
  <dcterms:modified xsi:type="dcterms:W3CDTF">2022-01-20T15:14:00Z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