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BB7171" w14:textId="0CFE1C34" w:rsidR="002A0478" w:rsidRPr="00A82D11" w:rsidRDefault="00965D09" w:rsidP="002A0478">
      <w:pPr>
        <w:spacing w:after="0" w:line="240" w:lineRule="auto"/>
        <w:jc w:val="both"/>
        <w:rPr>
          <w:rFonts w:ascii="Arial Narrow" w:hAnsi="Arial Narrow" w:cstheme="minorHAnsi"/>
          <w:sz w:val="23"/>
          <w:szCs w:val="23"/>
          <w:shd w:val="clear" w:color="auto" w:fill="FFFFFF"/>
        </w:rPr>
      </w:pPr>
      <w:bookmarkStart w:id="0" w:name="_GoBack"/>
      <w:bookmarkEnd w:id="0"/>
      <w:r>
        <w:rPr>
          <w:rFonts w:ascii="Arial Narrow" w:hAnsi="Arial Narrow" w:cstheme="minorHAnsi"/>
          <w:noProof/>
          <w:sz w:val="23"/>
          <w:szCs w:val="23"/>
          <w:lang w:val="en-GB" w:eastAsia="en-GB"/>
        </w:rPr>
        <w:drawing>
          <wp:anchor distT="0" distB="0" distL="114300" distR="114300" simplePos="0" relativeHeight="251658240" behindDoc="0" locked="0" layoutInCell="1" allowOverlap="1" wp14:anchorId="4CF1F429" wp14:editId="45323D69">
            <wp:simplePos x="0" y="0"/>
            <wp:positionH relativeFrom="column">
              <wp:posOffset>1657350</wp:posOffset>
            </wp:positionH>
            <wp:positionV relativeFrom="paragraph">
              <wp:posOffset>0</wp:posOffset>
            </wp:positionV>
            <wp:extent cx="2874010" cy="1722755"/>
            <wp:effectExtent l="0" t="0" r="254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74010" cy="1722755"/>
                    </a:xfrm>
                    <a:prstGeom prst="rect">
                      <a:avLst/>
                    </a:prstGeom>
                  </pic:spPr>
                </pic:pic>
              </a:graphicData>
            </a:graphic>
            <wp14:sizeRelH relativeFrom="page">
              <wp14:pctWidth>0</wp14:pctWidth>
            </wp14:sizeRelH>
            <wp14:sizeRelV relativeFrom="page">
              <wp14:pctHeight>0</wp14:pctHeight>
            </wp14:sizeRelV>
          </wp:anchor>
        </w:drawing>
      </w:r>
      <w:r w:rsidR="002740E4" w:rsidRPr="00A82D11">
        <w:rPr>
          <w:rFonts w:ascii="Arial Narrow" w:hAnsi="Arial Narrow" w:cstheme="minorHAnsi"/>
          <w:sz w:val="23"/>
          <w:szCs w:val="23"/>
          <w:shd w:val="clear" w:color="auto" w:fill="FFFFFF"/>
        </w:rPr>
        <w:tab/>
      </w:r>
      <w:r w:rsidR="002740E4" w:rsidRPr="00A82D11">
        <w:rPr>
          <w:rFonts w:ascii="Arial Narrow" w:hAnsi="Arial Narrow" w:cstheme="minorHAnsi"/>
          <w:sz w:val="23"/>
          <w:szCs w:val="23"/>
          <w:shd w:val="clear" w:color="auto" w:fill="FFFFFF"/>
        </w:rPr>
        <w:tab/>
      </w:r>
      <w:r w:rsidR="002740E4" w:rsidRPr="00A82D11">
        <w:rPr>
          <w:rFonts w:ascii="Arial Narrow" w:hAnsi="Arial Narrow" w:cstheme="minorHAnsi"/>
          <w:sz w:val="23"/>
          <w:szCs w:val="23"/>
          <w:shd w:val="clear" w:color="auto" w:fill="FFFFFF"/>
        </w:rPr>
        <w:tab/>
      </w:r>
      <w:r w:rsidR="00A2023F" w:rsidRPr="00A82D11">
        <w:rPr>
          <w:rFonts w:ascii="Arial Narrow" w:hAnsi="Arial Narrow" w:cstheme="minorHAnsi"/>
          <w:sz w:val="23"/>
          <w:szCs w:val="23"/>
          <w:shd w:val="clear" w:color="auto" w:fill="FFFFFF"/>
        </w:rPr>
        <w:tab/>
      </w:r>
      <w:r w:rsidR="00A2023F" w:rsidRPr="00A82D11">
        <w:rPr>
          <w:rFonts w:ascii="Arial Narrow" w:hAnsi="Arial Narrow" w:cstheme="minorHAnsi"/>
          <w:sz w:val="23"/>
          <w:szCs w:val="23"/>
          <w:shd w:val="clear" w:color="auto" w:fill="FFFFFF"/>
        </w:rPr>
        <w:tab/>
      </w:r>
      <w:r w:rsidR="00A2023F" w:rsidRPr="00A82D11">
        <w:rPr>
          <w:rFonts w:ascii="Arial Narrow" w:hAnsi="Arial Narrow" w:cstheme="minorHAnsi"/>
          <w:sz w:val="23"/>
          <w:szCs w:val="23"/>
          <w:shd w:val="clear" w:color="auto" w:fill="FFFFFF"/>
        </w:rPr>
        <w:tab/>
      </w:r>
      <w:r w:rsidR="00A2023F" w:rsidRPr="00A82D11">
        <w:rPr>
          <w:rFonts w:ascii="Arial Narrow" w:hAnsi="Arial Narrow" w:cstheme="minorHAnsi"/>
          <w:sz w:val="23"/>
          <w:szCs w:val="23"/>
          <w:shd w:val="clear" w:color="auto" w:fill="FFFFFF"/>
        </w:rPr>
        <w:tab/>
      </w:r>
      <w:r w:rsidR="00A2023F" w:rsidRPr="00A82D11">
        <w:rPr>
          <w:rFonts w:ascii="Arial Narrow" w:hAnsi="Arial Narrow" w:cstheme="minorHAnsi"/>
          <w:sz w:val="23"/>
          <w:szCs w:val="23"/>
          <w:shd w:val="clear" w:color="auto" w:fill="FFFFFF"/>
        </w:rPr>
        <w:tab/>
      </w:r>
      <w:r w:rsidR="00A2023F" w:rsidRPr="00A82D11">
        <w:rPr>
          <w:rFonts w:ascii="Arial Narrow" w:hAnsi="Arial Narrow" w:cstheme="minorHAnsi"/>
          <w:sz w:val="23"/>
          <w:szCs w:val="23"/>
          <w:shd w:val="clear" w:color="auto" w:fill="FFFFFF"/>
        </w:rPr>
        <w:tab/>
      </w:r>
      <w:r w:rsidR="00A2023F" w:rsidRPr="00A82D11">
        <w:rPr>
          <w:rFonts w:ascii="Arial Narrow" w:hAnsi="Arial Narrow" w:cstheme="minorHAnsi"/>
          <w:sz w:val="23"/>
          <w:szCs w:val="23"/>
          <w:shd w:val="clear" w:color="auto" w:fill="FFFFFF"/>
        </w:rPr>
        <w:tab/>
      </w:r>
      <w:r w:rsidR="002740E4" w:rsidRPr="00A82D11">
        <w:rPr>
          <w:rFonts w:ascii="Arial Narrow" w:hAnsi="Arial Narrow" w:cstheme="minorHAnsi"/>
          <w:sz w:val="23"/>
          <w:szCs w:val="23"/>
          <w:shd w:val="clear" w:color="auto" w:fill="FFFFFF"/>
        </w:rPr>
        <w:tab/>
      </w:r>
      <w:r w:rsidR="002740E4" w:rsidRPr="00A82D11">
        <w:rPr>
          <w:rFonts w:ascii="Arial Narrow" w:hAnsi="Arial Narrow" w:cstheme="minorHAnsi"/>
          <w:sz w:val="23"/>
          <w:szCs w:val="23"/>
          <w:shd w:val="clear" w:color="auto" w:fill="FFFFFF"/>
        </w:rPr>
        <w:tab/>
      </w:r>
    </w:p>
    <w:p w14:paraId="05D1786C" w14:textId="612F486E" w:rsidR="000F7EA3" w:rsidRPr="00A82D11" w:rsidRDefault="000F7EA3" w:rsidP="000F7EA3">
      <w:pPr>
        <w:tabs>
          <w:tab w:val="left" w:pos="2694"/>
        </w:tabs>
        <w:spacing w:after="0"/>
        <w:ind w:right="2268"/>
        <w:jc w:val="both"/>
        <w:rPr>
          <w:rFonts w:ascii="Arial Narrow" w:hAnsi="Arial Narrow" w:cstheme="minorHAnsi"/>
          <w:sz w:val="23"/>
          <w:szCs w:val="23"/>
        </w:rPr>
      </w:pPr>
    </w:p>
    <w:p w14:paraId="2C7F6032" w14:textId="77777777" w:rsidR="00965D09" w:rsidRDefault="00965D09" w:rsidP="007014DB">
      <w:pPr>
        <w:tabs>
          <w:tab w:val="left" w:pos="2694"/>
        </w:tabs>
        <w:spacing w:after="0"/>
        <w:ind w:right="-1"/>
        <w:jc w:val="both"/>
        <w:rPr>
          <w:rFonts w:ascii="Arial Narrow" w:hAnsi="Arial Narrow" w:cstheme="minorHAnsi"/>
          <w:sz w:val="23"/>
          <w:szCs w:val="23"/>
        </w:rPr>
      </w:pPr>
    </w:p>
    <w:p w14:paraId="0DEDCC5C" w14:textId="77777777" w:rsidR="00965D09" w:rsidRDefault="00965D09" w:rsidP="007014DB">
      <w:pPr>
        <w:tabs>
          <w:tab w:val="left" w:pos="2694"/>
        </w:tabs>
        <w:spacing w:after="0"/>
        <w:ind w:right="-1"/>
        <w:jc w:val="both"/>
        <w:rPr>
          <w:rFonts w:ascii="Arial Narrow" w:hAnsi="Arial Narrow" w:cstheme="minorHAnsi"/>
          <w:sz w:val="23"/>
          <w:szCs w:val="23"/>
        </w:rPr>
      </w:pPr>
    </w:p>
    <w:p w14:paraId="187B7F37" w14:textId="77777777" w:rsidR="00965D09" w:rsidRDefault="00965D09" w:rsidP="007014DB">
      <w:pPr>
        <w:tabs>
          <w:tab w:val="left" w:pos="2694"/>
        </w:tabs>
        <w:spacing w:after="0"/>
        <w:ind w:right="-1"/>
        <w:jc w:val="both"/>
        <w:rPr>
          <w:rFonts w:ascii="Arial Narrow" w:hAnsi="Arial Narrow" w:cstheme="minorHAnsi"/>
          <w:sz w:val="23"/>
          <w:szCs w:val="23"/>
        </w:rPr>
      </w:pPr>
    </w:p>
    <w:p w14:paraId="38782D4B" w14:textId="77777777" w:rsidR="00965D09" w:rsidRDefault="00965D09" w:rsidP="007014DB">
      <w:pPr>
        <w:tabs>
          <w:tab w:val="left" w:pos="2694"/>
        </w:tabs>
        <w:spacing w:after="0"/>
        <w:ind w:right="-1"/>
        <w:jc w:val="both"/>
        <w:rPr>
          <w:rFonts w:ascii="Arial Narrow" w:hAnsi="Arial Narrow" w:cstheme="minorHAnsi"/>
          <w:sz w:val="23"/>
          <w:szCs w:val="23"/>
        </w:rPr>
      </w:pPr>
    </w:p>
    <w:p w14:paraId="25427688" w14:textId="77777777" w:rsidR="00965D09" w:rsidRDefault="00965D09" w:rsidP="007014DB">
      <w:pPr>
        <w:tabs>
          <w:tab w:val="left" w:pos="2694"/>
        </w:tabs>
        <w:spacing w:after="0"/>
        <w:ind w:right="-1"/>
        <w:jc w:val="both"/>
        <w:rPr>
          <w:rFonts w:ascii="Arial Narrow" w:hAnsi="Arial Narrow" w:cstheme="minorHAnsi"/>
          <w:sz w:val="23"/>
          <w:szCs w:val="23"/>
        </w:rPr>
      </w:pPr>
    </w:p>
    <w:p w14:paraId="40DB5BB2" w14:textId="77777777" w:rsidR="00965D09" w:rsidRDefault="00965D09" w:rsidP="007014DB">
      <w:pPr>
        <w:tabs>
          <w:tab w:val="left" w:pos="2694"/>
        </w:tabs>
        <w:spacing w:after="0"/>
        <w:ind w:right="-1"/>
        <w:jc w:val="both"/>
        <w:rPr>
          <w:rFonts w:ascii="Arial Narrow" w:hAnsi="Arial Narrow" w:cstheme="minorHAnsi"/>
          <w:sz w:val="23"/>
          <w:szCs w:val="23"/>
        </w:rPr>
      </w:pPr>
    </w:p>
    <w:p w14:paraId="1C3C0259" w14:textId="77777777" w:rsidR="00965D09" w:rsidRDefault="00965D09" w:rsidP="007014DB">
      <w:pPr>
        <w:tabs>
          <w:tab w:val="left" w:pos="2694"/>
        </w:tabs>
        <w:spacing w:after="0"/>
        <w:ind w:right="-1"/>
        <w:jc w:val="both"/>
        <w:rPr>
          <w:rFonts w:ascii="Arial Narrow" w:hAnsi="Arial Narrow" w:cstheme="minorHAnsi"/>
          <w:sz w:val="23"/>
          <w:szCs w:val="23"/>
        </w:rPr>
      </w:pPr>
    </w:p>
    <w:p w14:paraId="497A37C2" w14:textId="77777777" w:rsidR="00965D09" w:rsidRDefault="00965D09" w:rsidP="007014DB">
      <w:pPr>
        <w:tabs>
          <w:tab w:val="left" w:pos="2694"/>
        </w:tabs>
        <w:spacing w:after="0"/>
        <w:ind w:right="-1"/>
        <w:jc w:val="both"/>
        <w:rPr>
          <w:rFonts w:ascii="Arial Narrow" w:hAnsi="Arial Narrow" w:cstheme="minorHAnsi"/>
          <w:sz w:val="23"/>
          <w:szCs w:val="23"/>
        </w:rPr>
      </w:pPr>
    </w:p>
    <w:p w14:paraId="24BB5951" w14:textId="77777777" w:rsidR="00965D09" w:rsidRDefault="00965D09" w:rsidP="007014DB">
      <w:pPr>
        <w:tabs>
          <w:tab w:val="left" w:pos="2694"/>
        </w:tabs>
        <w:spacing w:after="0"/>
        <w:ind w:right="-1"/>
        <w:jc w:val="both"/>
        <w:rPr>
          <w:rFonts w:ascii="Arial Narrow" w:hAnsi="Arial Narrow" w:cstheme="minorHAnsi"/>
          <w:sz w:val="23"/>
          <w:szCs w:val="23"/>
        </w:rPr>
      </w:pPr>
    </w:p>
    <w:p w14:paraId="4CD19CC4" w14:textId="6B2DCE59" w:rsidR="00397B9E" w:rsidRDefault="000F7EA3" w:rsidP="00993A56">
      <w:pPr>
        <w:tabs>
          <w:tab w:val="left" w:pos="2694"/>
        </w:tabs>
        <w:spacing w:after="0"/>
        <w:ind w:right="-1"/>
        <w:jc w:val="both"/>
        <w:rPr>
          <w:rFonts w:ascii="Arial Narrow" w:hAnsi="Arial Narrow" w:cstheme="minorHAnsi"/>
          <w:sz w:val="23"/>
          <w:szCs w:val="23"/>
        </w:rPr>
      </w:pPr>
      <w:r w:rsidRPr="00A82D11">
        <w:rPr>
          <w:rFonts w:ascii="Arial Narrow" w:hAnsi="Arial Narrow" w:cstheme="minorHAnsi"/>
          <w:sz w:val="23"/>
          <w:szCs w:val="23"/>
        </w:rPr>
        <w:t>Organización Nacional de Mujeres Indígenas Andinas y Amazónicas del Perú (ONAMIAP)</w:t>
      </w:r>
      <w:r w:rsidR="00503482" w:rsidRPr="00A82D11">
        <w:rPr>
          <w:rFonts w:ascii="Arial Narrow" w:hAnsi="Arial Narrow" w:cstheme="minorHAnsi"/>
          <w:sz w:val="23"/>
          <w:szCs w:val="23"/>
        </w:rPr>
        <w:t>,</w:t>
      </w:r>
      <w:r w:rsidR="009C4847" w:rsidRPr="00A82D11">
        <w:rPr>
          <w:rFonts w:ascii="Arial Narrow" w:hAnsi="Arial Narrow" w:cstheme="minorHAnsi"/>
          <w:sz w:val="23"/>
          <w:szCs w:val="23"/>
        </w:rPr>
        <w:t xml:space="preserve"> organización conformada por 16 bases </w:t>
      </w:r>
      <w:r w:rsidR="00D1558F">
        <w:rPr>
          <w:rFonts w:ascii="Arial Narrow" w:hAnsi="Arial Narrow" w:cstheme="minorHAnsi"/>
          <w:sz w:val="23"/>
          <w:szCs w:val="23"/>
        </w:rPr>
        <w:t xml:space="preserve">organizacionales </w:t>
      </w:r>
      <w:r w:rsidR="009C4847" w:rsidRPr="00A82D11">
        <w:rPr>
          <w:rFonts w:ascii="Arial Narrow" w:hAnsi="Arial Narrow" w:cstheme="minorHAnsi"/>
          <w:sz w:val="23"/>
          <w:szCs w:val="23"/>
        </w:rPr>
        <w:t>con presencia territorial en 10 regiones del Perú</w:t>
      </w:r>
      <w:r w:rsidR="00503482" w:rsidRPr="00A82D11">
        <w:rPr>
          <w:rFonts w:ascii="Arial Narrow" w:hAnsi="Arial Narrow" w:cstheme="minorHAnsi"/>
          <w:sz w:val="23"/>
          <w:szCs w:val="23"/>
        </w:rPr>
        <w:t xml:space="preserve">; quienes nos venimos </w:t>
      </w:r>
      <w:r w:rsidR="00D3180C" w:rsidRPr="00A82D11">
        <w:rPr>
          <w:rFonts w:ascii="Arial Narrow" w:hAnsi="Arial Narrow" w:cstheme="minorHAnsi"/>
          <w:sz w:val="23"/>
          <w:szCs w:val="23"/>
        </w:rPr>
        <w:t>organizándonos</w:t>
      </w:r>
      <w:r w:rsidR="00503482" w:rsidRPr="00A82D11">
        <w:rPr>
          <w:rFonts w:ascii="Arial Narrow" w:hAnsi="Arial Narrow" w:cstheme="minorHAnsi"/>
          <w:sz w:val="23"/>
          <w:szCs w:val="23"/>
        </w:rPr>
        <w:t xml:space="preserve"> hace más de 2</w:t>
      </w:r>
      <w:r w:rsidR="00993A56">
        <w:rPr>
          <w:rFonts w:ascii="Arial Narrow" w:hAnsi="Arial Narrow" w:cstheme="minorHAnsi"/>
          <w:sz w:val="23"/>
          <w:szCs w:val="23"/>
        </w:rPr>
        <w:t>6</w:t>
      </w:r>
      <w:r w:rsidR="00503482" w:rsidRPr="00A82D11">
        <w:rPr>
          <w:rFonts w:ascii="Arial Narrow" w:hAnsi="Arial Narrow" w:cstheme="minorHAnsi"/>
          <w:sz w:val="23"/>
          <w:szCs w:val="23"/>
        </w:rPr>
        <w:t xml:space="preserve"> años en defensa de los derechos individuales y colectivos de las mujeres indígenas.</w:t>
      </w:r>
      <w:r w:rsidR="00993A56">
        <w:rPr>
          <w:rFonts w:ascii="Arial Narrow" w:hAnsi="Arial Narrow" w:cstheme="minorHAnsi"/>
          <w:sz w:val="23"/>
          <w:szCs w:val="23"/>
        </w:rPr>
        <w:t xml:space="preserve"> Presentamos los siguientes aportes </w:t>
      </w:r>
      <w:r w:rsidR="00397B9E">
        <w:rPr>
          <w:rFonts w:ascii="Arial Narrow" w:hAnsi="Arial Narrow" w:cstheme="minorHAnsi"/>
          <w:sz w:val="23"/>
          <w:szCs w:val="23"/>
        </w:rPr>
        <w:t xml:space="preserve">para la evaluación </w:t>
      </w:r>
      <w:r w:rsidR="007142D3">
        <w:rPr>
          <w:rFonts w:ascii="Arial Narrow" w:hAnsi="Arial Narrow" w:cstheme="minorHAnsi"/>
          <w:sz w:val="23"/>
          <w:szCs w:val="23"/>
        </w:rPr>
        <w:t xml:space="preserve">del Comité de Derechos Económicos, Sociales y Culturales al </w:t>
      </w:r>
      <w:r w:rsidR="00397B9E">
        <w:rPr>
          <w:rFonts w:ascii="Arial Narrow" w:hAnsi="Arial Narrow" w:cstheme="minorHAnsi"/>
          <w:sz w:val="23"/>
          <w:szCs w:val="23"/>
        </w:rPr>
        <w:t>Estado peruano</w:t>
      </w:r>
      <w:r w:rsidR="003B4498">
        <w:rPr>
          <w:rFonts w:ascii="Arial Narrow" w:hAnsi="Arial Narrow" w:cstheme="minorHAnsi"/>
          <w:sz w:val="23"/>
          <w:szCs w:val="23"/>
        </w:rPr>
        <w:t>.</w:t>
      </w:r>
    </w:p>
    <w:p w14:paraId="52A7CAC8" w14:textId="1A6B2755" w:rsidR="003B4498" w:rsidRDefault="003B4498" w:rsidP="00D3180C">
      <w:pPr>
        <w:pStyle w:val="NoSpacing"/>
        <w:jc w:val="both"/>
        <w:rPr>
          <w:rFonts w:ascii="Arial Narrow" w:hAnsi="Arial Narrow" w:cstheme="minorHAnsi"/>
          <w:sz w:val="23"/>
          <w:szCs w:val="23"/>
          <w:lang w:val="es-PE"/>
        </w:rPr>
      </w:pPr>
    </w:p>
    <w:p w14:paraId="59151A63" w14:textId="6C5E44FF" w:rsidR="00BD56C3" w:rsidRDefault="00BB64A6" w:rsidP="00965D09">
      <w:pPr>
        <w:pStyle w:val="ListParagraph"/>
        <w:numPr>
          <w:ilvl w:val="0"/>
          <w:numId w:val="10"/>
        </w:numPr>
        <w:rPr>
          <w:rFonts w:ascii="Arial Narrow" w:hAnsi="Arial Narrow"/>
          <w:b/>
          <w:bCs/>
          <w:sz w:val="23"/>
          <w:szCs w:val="23"/>
        </w:rPr>
      </w:pPr>
      <w:r>
        <w:rPr>
          <w:rFonts w:ascii="Arial Narrow" w:hAnsi="Arial Narrow"/>
          <w:b/>
          <w:bCs/>
          <w:sz w:val="23"/>
          <w:szCs w:val="23"/>
        </w:rPr>
        <w:t>Libre determinación de los pueblos</w:t>
      </w:r>
      <w:r w:rsidR="00BD56C3">
        <w:rPr>
          <w:rFonts w:ascii="Arial Narrow" w:hAnsi="Arial Narrow"/>
          <w:b/>
          <w:bCs/>
          <w:sz w:val="23"/>
          <w:szCs w:val="23"/>
        </w:rPr>
        <w:t xml:space="preserve"> </w:t>
      </w:r>
      <w:r w:rsidR="00BD56C3" w:rsidRPr="00BD56C3">
        <w:rPr>
          <w:rFonts w:ascii="Arial Narrow" w:hAnsi="Arial Narrow"/>
          <w:b/>
          <w:bCs/>
          <w:sz w:val="23"/>
          <w:szCs w:val="23"/>
        </w:rPr>
        <w:t>(Artículo 1 del Pacto)</w:t>
      </w:r>
    </w:p>
    <w:p w14:paraId="76946DBE" w14:textId="61A45F1E" w:rsidR="00965D09" w:rsidRPr="00BD56C3" w:rsidRDefault="006B54EF" w:rsidP="00BD56C3">
      <w:pPr>
        <w:rPr>
          <w:rFonts w:ascii="Arial Narrow" w:hAnsi="Arial Narrow"/>
          <w:b/>
          <w:bCs/>
          <w:sz w:val="23"/>
          <w:szCs w:val="23"/>
        </w:rPr>
      </w:pPr>
      <w:r>
        <w:rPr>
          <w:rFonts w:ascii="Arial Narrow" w:hAnsi="Arial Narrow"/>
          <w:b/>
          <w:bCs/>
          <w:sz w:val="23"/>
          <w:szCs w:val="23"/>
        </w:rPr>
        <w:t xml:space="preserve">Situación de los </w:t>
      </w:r>
      <w:r w:rsidR="00595D6A" w:rsidRPr="00BD56C3">
        <w:rPr>
          <w:rFonts w:ascii="Arial Narrow" w:hAnsi="Arial Narrow"/>
          <w:b/>
          <w:bCs/>
          <w:sz w:val="23"/>
          <w:szCs w:val="23"/>
        </w:rPr>
        <w:t xml:space="preserve">Derechos territoriales </w:t>
      </w:r>
    </w:p>
    <w:p w14:paraId="527768E8" w14:textId="6CE58CBD" w:rsidR="003142A9" w:rsidRPr="00095BF1" w:rsidRDefault="007142D3" w:rsidP="00D2219C">
      <w:pPr>
        <w:jc w:val="both"/>
        <w:rPr>
          <w:rFonts w:ascii="Arial Narrow" w:hAnsi="Arial Narrow" w:cstheme="minorHAnsi"/>
          <w:sz w:val="23"/>
          <w:szCs w:val="23"/>
        </w:rPr>
      </w:pPr>
      <w:r>
        <w:rPr>
          <w:rFonts w:ascii="Arial Narrow" w:hAnsi="Arial Narrow"/>
          <w:sz w:val="23"/>
          <w:szCs w:val="23"/>
        </w:rPr>
        <w:t xml:space="preserve">Los Pueblos y las mujeres indígenas en el Perú </w:t>
      </w:r>
      <w:r w:rsidR="003142A9">
        <w:rPr>
          <w:rFonts w:ascii="Arial Narrow" w:hAnsi="Arial Narrow"/>
          <w:sz w:val="23"/>
          <w:szCs w:val="23"/>
        </w:rPr>
        <w:t xml:space="preserve">vivimos permanentemente </w:t>
      </w:r>
      <w:r w:rsidR="003142A9" w:rsidRPr="00095BF1">
        <w:rPr>
          <w:rFonts w:ascii="Arial Narrow" w:hAnsi="Arial Narrow" w:cstheme="minorHAnsi"/>
          <w:sz w:val="23"/>
          <w:szCs w:val="23"/>
        </w:rPr>
        <w:t>amenazados por el accionar de las empresas y del propio Estado.</w:t>
      </w:r>
      <w:r w:rsidR="009737A0">
        <w:rPr>
          <w:rFonts w:ascii="Arial Narrow" w:hAnsi="Arial Narrow" w:cstheme="minorHAnsi"/>
          <w:sz w:val="23"/>
          <w:szCs w:val="23"/>
        </w:rPr>
        <w:t xml:space="preserve"> Esto debido a que no se respeta nuestros derechos como sujetos colectivos, por lo que sigue siendo un problema latente el </w:t>
      </w:r>
      <w:r w:rsidR="003142A9" w:rsidRPr="00095BF1">
        <w:rPr>
          <w:rFonts w:ascii="Arial Narrow" w:hAnsi="Arial Narrow" w:cstheme="minorHAnsi"/>
          <w:sz w:val="23"/>
          <w:szCs w:val="23"/>
        </w:rPr>
        <w:t xml:space="preserve">despojo de </w:t>
      </w:r>
      <w:r w:rsidR="009737A0">
        <w:rPr>
          <w:rFonts w:ascii="Arial Narrow" w:hAnsi="Arial Narrow" w:cstheme="minorHAnsi"/>
          <w:sz w:val="23"/>
          <w:szCs w:val="23"/>
        </w:rPr>
        <w:t xml:space="preserve">nuestros </w:t>
      </w:r>
      <w:r w:rsidR="003142A9" w:rsidRPr="00095BF1">
        <w:rPr>
          <w:rFonts w:ascii="Arial Narrow" w:hAnsi="Arial Narrow" w:cstheme="minorHAnsi"/>
          <w:sz w:val="23"/>
          <w:szCs w:val="23"/>
        </w:rPr>
        <w:t xml:space="preserve">territorios ancestrales por parte del Estado, para favorecer actividades extractivas y de infraestructura. Ello facilita la presencia de terceros que impactan negativamente en </w:t>
      </w:r>
      <w:r w:rsidR="009737A0">
        <w:rPr>
          <w:rFonts w:ascii="Arial Narrow" w:hAnsi="Arial Narrow" w:cstheme="minorHAnsi"/>
          <w:sz w:val="23"/>
          <w:szCs w:val="23"/>
        </w:rPr>
        <w:t xml:space="preserve">nuestra forma </w:t>
      </w:r>
      <w:r w:rsidR="003142A9" w:rsidRPr="00095BF1">
        <w:rPr>
          <w:rFonts w:ascii="Arial Narrow" w:hAnsi="Arial Narrow" w:cstheme="minorHAnsi"/>
          <w:sz w:val="23"/>
          <w:szCs w:val="23"/>
        </w:rPr>
        <w:t xml:space="preserve">de vida e integridad, individual y colectiva, </w:t>
      </w:r>
      <w:r w:rsidR="009737A0">
        <w:rPr>
          <w:rFonts w:ascii="Arial Narrow" w:hAnsi="Arial Narrow" w:cstheme="minorHAnsi"/>
          <w:sz w:val="23"/>
          <w:szCs w:val="23"/>
        </w:rPr>
        <w:t>nuestros</w:t>
      </w:r>
      <w:r w:rsidR="003142A9" w:rsidRPr="00095BF1">
        <w:rPr>
          <w:rFonts w:ascii="Arial Narrow" w:hAnsi="Arial Narrow" w:cstheme="minorHAnsi"/>
          <w:sz w:val="23"/>
          <w:szCs w:val="23"/>
        </w:rPr>
        <w:t xml:space="preserve"> territorios ancestrales y otros derechos</w:t>
      </w:r>
      <w:r w:rsidR="009737A0">
        <w:rPr>
          <w:rFonts w:ascii="Arial Narrow" w:hAnsi="Arial Narrow" w:cstheme="minorHAnsi"/>
          <w:sz w:val="23"/>
          <w:szCs w:val="23"/>
        </w:rPr>
        <w:t>.</w:t>
      </w:r>
    </w:p>
    <w:p w14:paraId="0F572289" w14:textId="77777777" w:rsidR="003142A9" w:rsidRPr="00095BF1" w:rsidRDefault="003142A9" w:rsidP="003142A9">
      <w:pPr>
        <w:spacing w:after="0" w:line="240" w:lineRule="auto"/>
        <w:jc w:val="both"/>
        <w:rPr>
          <w:rFonts w:ascii="Arial Narrow" w:hAnsi="Arial Narrow" w:cstheme="minorHAnsi"/>
          <w:sz w:val="23"/>
          <w:szCs w:val="23"/>
        </w:rPr>
      </w:pPr>
      <w:r w:rsidRPr="00095BF1">
        <w:rPr>
          <w:rFonts w:ascii="Arial Narrow" w:hAnsi="Arial Narrow" w:cstheme="minorHAnsi"/>
          <w:sz w:val="23"/>
          <w:szCs w:val="23"/>
        </w:rPr>
        <w:t>El Estado incumple sistemáticamente los derechos territoriales de los Pueblos Indígenas. Este incumplimiento empieza desde la falta de reconocimiento de los pueblos indígenas y sus territorios, que conlleva a una ausencia de protección jurídica vulnerando los derechos de propiedad y posesión del territorio ancestral. (</w:t>
      </w:r>
      <w:r w:rsidRPr="00095BF1">
        <w:rPr>
          <w:rFonts w:ascii="Arial Narrow" w:hAnsi="Arial Narrow" w:cstheme="minorHAnsi"/>
          <w:b/>
          <w:bCs/>
          <w:sz w:val="23"/>
          <w:szCs w:val="23"/>
        </w:rPr>
        <w:t>ANEXO</w:t>
      </w:r>
      <w:r>
        <w:rPr>
          <w:rFonts w:ascii="Arial Narrow" w:hAnsi="Arial Narrow" w:cstheme="minorHAnsi"/>
          <w:b/>
          <w:bCs/>
          <w:sz w:val="23"/>
          <w:szCs w:val="23"/>
        </w:rPr>
        <w:t xml:space="preserve"> 4:</w:t>
      </w:r>
      <w:r w:rsidRPr="00095BF1">
        <w:rPr>
          <w:rFonts w:ascii="Arial Narrow" w:hAnsi="Arial Narrow" w:cstheme="minorHAnsi"/>
          <w:b/>
          <w:bCs/>
          <w:sz w:val="23"/>
          <w:szCs w:val="23"/>
        </w:rPr>
        <w:t xml:space="preserve"> Informe “Legalización del despojo territorial indígena en los Andes y la Amazonía del Perú”)</w:t>
      </w:r>
    </w:p>
    <w:p w14:paraId="1CD4A522" w14:textId="77777777" w:rsidR="003142A9" w:rsidRPr="00095BF1" w:rsidRDefault="003142A9" w:rsidP="003142A9">
      <w:pPr>
        <w:spacing w:after="0" w:line="240" w:lineRule="auto"/>
        <w:ind w:left="360"/>
        <w:jc w:val="both"/>
        <w:rPr>
          <w:rFonts w:ascii="Arial Narrow" w:hAnsi="Arial Narrow" w:cstheme="minorHAnsi"/>
          <w:b/>
          <w:bCs/>
          <w:sz w:val="23"/>
          <w:szCs w:val="23"/>
        </w:rPr>
      </w:pPr>
    </w:p>
    <w:p w14:paraId="24CFC825" w14:textId="77777777" w:rsidR="003142A9" w:rsidRPr="00095BF1" w:rsidRDefault="003142A9" w:rsidP="003142A9">
      <w:pPr>
        <w:spacing w:after="0" w:line="240" w:lineRule="auto"/>
        <w:jc w:val="both"/>
        <w:rPr>
          <w:rFonts w:ascii="Arial Narrow" w:hAnsi="Arial Narrow" w:cstheme="minorHAnsi"/>
          <w:sz w:val="23"/>
          <w:szCs w:val="23"/>
        </w:rPr>
      </w:pPr>
      <w:r w:rsidRPr="00095BF1">
        <w:rPr>
          <w:rFonts w:ascii="Arial Narrow" w:hAnsi="Arial Narrow" w:cstheme="minorHAnsi"/>
          <w:sz w:val="23"/>
          <w:szCs w:val="23"/>
        </w:rPr>
        <w:t>Según la información presentada por el Ministerio de Agricultura, a enero del 2020, existían 2268 comunidades nativas reconocidas, pero solo 887 tituladas e inscritas en los registros públicos. Si tenemos en cuenta las comunidades tituladas que aún no han sido inscritas en la Superintendencia Nacional de Registros Públicos (Sunarp) la cifra sube a 1588, quedando una brecha de 680 comunidades a las que faltaría titular, esto significa el 30% del total de reconocidas.</w:t>
      </w:r>
      <w:r w:rsidRPr="00095BF1">
        <w:rPr>
          <w:rStyle w:val="EndnoteReference"/>
          <w:rFonts w:ascii="Arial Narrow" w:hAnsi="Arial Narrow" w:cstheme="minorHAnsi"/>
          <w:sz w:val="23"/>
          <w:szCs w:val="23"/>
        </w:rPr>
        <w:endnoteReference w:id="2"/>
      </w:r>
      <w:r w:rsidRPr="00095BF1">
        <w:rPr>
          <w:rFonts w:ascii="Arial Narrow" w:hAnsi="Arial Narrow" w:cstheme="minorHAnsi"/>
          <w:sz w:val="23"/>
          <w:szCs w:val="23"/>
        </w:rPr>
        <w:t xml:space="preserve">  </w:t>
      </w:r>
    </w:p>
    <w:p w14:paraId="523DEF29" w14:textId="77777777" w:rsidR="003142A9" w:rsidRPr="00095BF1" w:rsidRDefault="003142A9" w:rsidP="003142A9">
      <w:pPr>
        <w:pStyle w:val="ListParagraph"/>
        <w:spacing w:after="0" w:line="240" w:lineRule="auto"/>
        <w:ind w:left="1080"/>
        <w:jc w:val="both"/>
        <w:rPr>
          <w:rFonts w:ascii="Arial Narrow" w:hAnsi="Arial Narrow" w:cstheme="minorHAnsi"/>
          <w:sz w:val="23"/>
          <w:szCs w:val="23"/>
        </w:rPr>
      </w:pPr>
    </w:p>
    <w:p w14:paraId="2D0CC8D2" w14:textId="228A6F57" w:rsidR="003142A9" w:rsidRDefault="003142A9" w:rsidP="003142A9">
      <w:pPr>
        <w:spacing w:after="0" w:line="240" w:lineRule="auto"/>
        <w:jc w:val="both"/>
        <w:rPr>
          <w:rFonts w:ascii="Arial Narrow" w:hAnsi="Arial Narrow" w:cstheme="minorHAnsi"/>
          <w:sz w:val="23"/>
          <w:szCs w:val="23"/>
        </w:rPr>
      </w:pPr>
      <w:r w:rsidRPr="00095BF1">
        <w:rPr>
          <w:rFonts w:ascii="Arial Narrow" w:hAnsi="Arial Narrow" w:cstheme="minorHAnsi"/>
          <w:sz w:val="23"/>
          <w:szCs w:val="23"/>
        </w:rPr>
        <w:t xml:space="preserve">Esta ausencia de reconocimiento y titulación es en sí misma una vulneración a los derechos colectivos de los Pueblos Indígenas. Pero, además acarrea más peligros en el territorio. Una comunidad sin título se ve limitada en la defensa de su territorio. La ausencia de título de </w:t>
      </w:r>
      <w:r w:rsidR="00FE219A" w:rsidRPr="00095BF1">
        <w:rPr>
          <w:rFonts w:ascii="Arial Narrow" w:hAnsi="Arial Narrow" w:cstheme="minorHAnsi"/>
          <w:sz w:val="23"/>
          <w:szCs w:val="23"/>
        </w:rPr>
        <w:t>propiedad</w:t>
      </w:r>
      <w:r w:rsidRPr="00095BF1">
        <w:rPr>
          <w:rFonts w:ascii="Arial Narrow" w:hAnsi="Arial Narrow" w:cstheme="minorHAnsi"/>
          <w:sz w:val="23"/>
          <w:szCs w:val="23"/>
        </w:rPr>
        <w:t xml:space="preserve"> facilita las invasiones de terceros en los territorios, y los pone en mayor vulnerabilidad frente a las mafias de narcotráfico, minería, tala, entre otros. Además, dificulta al propio estado la identificación de los sujetos colectivos afectados sobre las medidas que va a implementar.</w:t>
      </w:r>
    </w:p>
    <w:p w14:paraId="54E4BBC1" w14:textId="77777777" w:rsidR="00B9096E" w:rsidRDefault="00B9096E" w:rsidP="003142A9">
      <w:pPr>
        <w:spacing w:after="0" w:line="240" w:lineRule="auto"/>
        <w:jc w:val="both"/>
        <w:rPr>
          <w:rFonts w:ascii="Arial Narrow" w:hAnsi="Arial Narrow" w:cstheme="minorHAnsi"/>
          <w:sz w:val="23"/>
          <w:szCs w:val="23"/>
        </w:rPr>
      </w:pPr>
    </w:p>
    <w:p w14:paraId="3B7A95B0" w14:textId="591F8AC7" w:rsidR="00B9096E" w:rsidRPr="00095BF1" w:rsidRDefault="00B9096E" w:rsidP="003142A9">
      <w:pPr>
        <w:spacing w:after="0" w:line="240" w:lineRule="auto"/>
        <w:jc w:val="both"/>
        <w:rPr>
          <w:rFonts w:ascii="Arial Narrow" w:hAnsi="Arial Narrow" w:cstheme="minorHAnsi"/>
          <w:sz w:val="23"/>
          <w:szCs w:val="23"/>
        </w:rPr>
      </w:pPr>
      <w:r>
        <w:rPr>
          <w:rFonts w:ascii="Arial Narrow" w:hAnsi="Arial Narrow" w:cstheme="minorHAnsi"/>
          <w:sz w:val="23"/>
          <w:szCs w:val="23"/>
        </w:rPr>
        <w:t>El Estado Peruano en su informe remitido al Comité DESC no ha dado cuenta qué acciones viene implementando a fin de poder garantizar la protección de los territorios de los Pueblos Indígenas</w:t>
      </w:r>
      <w:r w:rsidR="003E464C">
        <w:rPr>
          <w:rFonts w:ascii="Arial Narrow" w:hAnsi="Arial Narrow" w:cstheme="minorHAnsi"/>
          <w:sz w:val="23"/>
          <w:szCs w:val="23"/>
        </w:rPr>
        <w:t xml:space="preserve">, los cuales </w:t>
      </w:r>
      <w:r w:rsidR="00A441A8">
        <w:rPr>
          <w:rFonts w:ascii="Arial Narrow" w:hAnsi="Arial Narrow" w:cstheme="minorHAnsi"/>
          <w:sz w:val="23"/>
          <w:szCs w:val="23"/>
        </w:rPr>
        <w:t xml:space="preserve">no pueden acceder </w:t>
      </w:r>
      <w:r w:rsidR="00A6281B">
        <w:rPr>
          <w:rFonts w:ascii="Arial Narrow" w:hAnsi="Arial Narrow" w:cstheme="minorHAnsi"/>
          <w:sz w:val="23"/>
          <w:szCs w:val="23"/>
        </w:rPr>
        <w:t xml:space="preserve">a esta protección debido a los </w:t>
      </w:r>
      <w:r w:rsidR="001D4D33">
        <w:rPr>
          <w:rFonts w:ascii="Arial Narrow" w:hAnsi="Arial Narrow" w:cstheme="minorHAnsi"/>
          <w:sz w:val="23"/>
          <w:szCs w:val="23"/>
        </w:rPr>
        <w:t>procedimientos burocráticos</w:t>
      </w:r>
      <w:r w:rsidR="00A6529F">
        <w:rPr>
          <w:rFonts w:ascii="Arial Narrow" w:hAnsi="Arial Narrow" w:cstheme="minorHAnsi"/>
          <w:sz w:val="23"/>
          <w:szCs w:val="23"/>
        </w:rPr>
        <w:t>,</w:t>
      </w:r>
      <w:r w:rsidR="00A6281B">
        <w:rPr>
          <w:rFonts w:ascii="Arial Narrow" w:hAnsi="Arial Narrow" w:cstheme="minorHAnsi"/>
          <w:sz w:val="23"/>
          <w:szCs w:val="23"/>
        </w:rPr>
        <w:t xml:space="preserve"> engorrosos</w:t>
      </w:r>
      <w:r w:rsidR="00A6529F">
        <w:rPr>
          <w:rFonts w:ascii="Arial Narrow" w:hAnsi="Arial Narrow" w:cstheme="minorHAnsi"/>
          <w:sz w:val="23"/>
          <w:szCs w:val="23"/>
        </w:rPr>
        <w:t xml:space="preserve"> y demasiado extensos</w:t>
      </w:r>
      <w:r w:rsidR="00A6281B">
        <w:rPr>
          <w:rFonts w:ascii="Arial Narrow" w:hAnsi="Arial Narrow" w:cstheme="minorHAnsi"/>
          <w:sz w:val="23"/>
          <w:szCs w:val="23"/>
        </w:rPr>
        <w:t xml:space="preserve"> que solicita el Estado </w:t>
      </w:r>
      <w:r w:rsidR="00326731">
        <w:rPr>
          <w:rFonts w:ascii="Arial Narrow" w:hAnsi="Arial Narrow" w:cstheme="minorHAnsi"/>
          <w:sz w:val="23"/>
          <w:szCs w:val="23"/>
        </w:rPr>
        <w:t xml:space="preserve">para </w:t>
      </w:r>
      <w:r w:rsidR="006660B5">
        <w:rPr>
          <w:rFonts w:ascii="Arial Narrow" w:hAnsi="Arial Narrow" w:cstheme="minorHAnsi"/>
          <w:sz w:val="23"/>
          <w:szCs w:val="23"/>
        </w:rPr>
        <w:t xml:space="preserve">que una comunidad </w:t>
      </w:r>
      <w:r w:rsidR="001A0C07">
        <w:rPr>
          <w:rFonts w:ascii="Arial Narrow" w:hAnsi="Arial Narrow" w:cstheme="minorHAnsi"/>
          <w:sz w:val="23"/>
          <w:szCs w:val="23"/>
        </w:rPr>
        <w:t xml:space="preserve">o pueblo </w:t>
      </w:r>
      <w:r w:rsidR="006660B5">
        <w:rPr>
          <w:rFonts w:ascii="Arial Narrow" w:hAnsi="Arial Narrow" w:cstheme="minorHAnsi"/>
          <w:sz w:val="23"/>
          <w:szCs w:val="23"/>
        </w:rPr>
        <w:t xml:space="preserve">obtenga su reconocimiento y titulación de sus territorios. </w:t>
      </w:r>
    </w:p>
    <w:p w14:paraId="5E80DA5B" w14:textId="77777777" w:rsidR="003142A9" w:rsidRPr="00095BF1" w:rsidRDefault="003142A9" w:rsidP="003142A9">
      <w:pPr>
        <w:spacing w:after="0" w:line="240" w:lineRule="auto"/>
        <w:ind w:left="360"/>
        <w:jc w:val="both"/>
        <w:rPr>
          <w:rFonts w:ascii="Arial Narrow" w:hAnsi="Arial Narrow" w:cstheme="minorHAnsi"/>
          <w:sz w:val="23"/>
          <w:szCs w:val="23"/>
        </w:rPr>
      </w:pPr>
    </w:p>
    <w:p w14:paraId="1045CC7F" w14:textId="77777777" w:rsidR="003142A9" w:rsidRPr="00095BF1" w:rsidRDefault="003142A9" w:rsidP="003142A9">
      <w:pPr>
        <w:spacing w:after="0" w:line="240" w:lineRule="auto"/>
        <w:jc w:val="both"/>
        <w:rPr>
          <w:rFonts w:ascii="Arial Narrow" w:hAnsi="Arial Narrow" w:cstheme="minorHAnsi"/>
          <w:sz w:val="23"/>
          <w:szCs w:val="23"/>
        </w:rPr>
      </w:pPr>
      <w:r w:rsidRPr="00095BF1">
        <w:rPr>
          <w:rFonts w:ascii="Arial Narrow" w:hAnsi="Arial Narrow" w:cstheme="minorHAnsi"/>
          <w:sz w:val="23"/>
          <w:szCs w:val="23"/>
        </w:rPr>
        <w:lastRenderedPageBreak/>
        <w:t>Conforme al marco normativo internacional, el Estado tiene la obligación de garantizar, proteger y respetar los derechos territoriales de los pueblos indígenas, cualquiera sea la denominación o categoría jurídica que tengan dentro del marco normativo nacional (comunidades campesinas y/o nativas); sin embargo, el Estado peruano ha introducido figuras jurídicas dentro de su legislación nacional para legalizar el quiebre y despojo de las tierras y territorios.</w:t>
      </w:r>
      <w:r w:rsidRPr="00095BF1">
        <w:rPr>
          <w:rStyle w:val="EndnoteReference"/>
          <w:rFonts w:ascii="Arial Narrow" w:hAnsi="Arial Narrow" w:cstheme="minorHAnsi"/>
          <w:sz w:val="23"/>
          <w:szCs w:val="23"/>
        </w:rPr>
        <w:endnoteReference w:id="3"/>
      </w:r>
      <w:r w:rsidRPr="00095BF1">
        <w:rPr>
          <w:rFonts w:ascii="Arial Narrow" w:hAnsi="Arial Narrow" w:cstheme="minorHAnsi"/>
          <w:sz w:val="23"/>
          <w:szCs w:val="23"/>
        </w:rPr>
        <w:t xml:space="preserve"> Las comunidades campesinas y nativas dieron cuenta que, para acceder a servicios básicos, como salud y educación, han tenido que donar sus tierras al Estado quien señala que es el único camino consignado en el marco normativo nacional. Ninguna institución del Estado dio cuenta de la aplicación del marco normativo internacional.</w:t>
      </w:r>
      <w:r w:rsidRPr="00095BF1">
        <w:rPr>
          <w:rStyle w:val="EndnoteReference"/>
          <w:rFonts w:ascii="Arial Narrow" w:hAnsi="Arial Narrow" w:cstheme="minorHAnsi"/>
          <w:sz w:val="23"/>
          <w:szCs w:val="23"/>
        </w:rPr>
        <w:endnoteReference w:id="4"/>
      </w:r>
    </w:p>
    <w:p w14:paraId="60C2EC24" w14:textId="77777777" w:rsidR="003142A9" w:rsidRPr="00095BF1" w:rsidRDefault="003142A9" w:rsidP="003142A9">
      <w:pPr>
        <w:spacing w:after="0" w:line="240" w:lineRule="auto"/>
        <w:ind w:left="360"/>
        <w:jc w:val="both"/>
        <w:rPr>
          <w:rFonts w:ascii="Arial Narrow" w:hAnsi="Arial Narrow" w:cstheme="minorHAnsi"/>
          <w:sz w:val="23"/>
          <w:szCs w:val="23"/>
        </w:rPr>
      </w:pPr>
    </w:p>
    <w:p w14:paraId="30EA1046" w14:textId="77777777" w:rsidR="003142A9" w:rsidRPr="00095BF1" w:rsidRDefault="003142A9" w:rsidP="003142A9">
      <w:pPr>
        <w:spacing w:after="0" w:line="240" w:lineRule="auto"/>
        <w:jc w:val="both"/>
        <w:rPr>
          <w:rFonts w:ascii="Arial Narrow" w:hAnsi="Arial Narrow" w:cstheme="minorHAnsi"/>
          <w:sz w:val="23"/>
          <w:szCs w:val="23"/>
        </w:rPr>
      </w:pPr>
      <w:r w:rsidRPr="00095BF1">
        <w:rPr>
          <w:rFonts w:ascii="Arial Narrow" w:hAnsi="Arial Narrow" w:cstheme="minorHAnsi"/>
          <w:sz w:val="23"/>
          <w:szCs w:val="23"/>
        </w:rPr>
        <w:t>El Estado quiebra y/o normaliza despojos territoriales a las comunidades para promover proyectos de infraestructura vinculados a servicios básicos como salud y educación y no han firmado convenios a pesar de estar esto establecido en la Ley Nº 24657, Ley que declara de necesidad nacional e interés social el Deslinde y la Titulación del Territorio de Comunidades Campesinas. Tampoco han tomado en cuenta, para la planificación y administración de dichos servicios básicos, los criterios del marco normativo internacional.</w:t>
      </w:r>
      <w:r w:rsidRPr="00095BF1">
        <w:rPr>
          <w:rStyle w:val="EndnoteReference"/>
          <w:rFonts w:ascii="Arial Narrow" w:hAnsi="Arial Narrow" w:cstheme="minorHAnsi"/>
          <w:sz w:val="23"/>
          <w:szCs w:val="23"/>
        </w:rPr>
        <w:endnoteReference w:id="5"/>
      </w:r>
    </w:p>
    <w:p w14:paraId="1E7F1630" w14:textId="77777777" w:rsidR="003142A9" w:rsidRPr="00095BF1" w:rsidRDefault="003142A9" w:rsidP="003142A9">
      <w:pPr>
        <w:spacing w:after="0" w:line="240" w:lineRule="auto"/>
        <w:ind w:left="360"/>
        <w:jc w:val="both"/>
        <w:rPr>
          <w:rFonts w:ascii="Arial Narrow" w:hAnsi="Arial Narrow" w:cstheme="minorHAnsi"/>
          <w:sz w:val="23"/>
          <w:szCs w:val="23"/>
        </w:rPr>
      </w:pPr>
    </w:p>
    <w:p w14:paraId="0C82F13A" w14:textId="73396668" w:rsidR="003142A9" w:rsidRDefault="003142A9" w:rsidP="003142A9">
      <w:pPr>
        <w:spacing w:after="0" w:line="240" w:lineRule="auto"/>
        <w:jc w:val="both"/>
        <w:rPr>
          <w:rFonts w:ascii="Arial Narrow" w:hAnsi="Arial Narrow" w:cstheme="minorHAnsi"/>
          <w:b/>
          <w:bCs/>
          <w:sz w:val="23"/>
          <w:szCs w:val="23"/>
        </w:rPr>
      </w:pPr>
      <w:r w:rsidRPr="00095BF1">
        <w:rPr>
          <w:rFonts w:ascii="Arial Narrow" w:hAnsi="Arial Narrow" w:cstheme="minorHAnsi"/>
          <w:sz w:val="23"/>
          <w:szCs w:val="23"/>
        </w:rPr>
        <w:t xml:space="preserve">Las figuras de despojo territorial que hemos identificado </w:t>
      </w:r>
      <w:r w:rsidR="009A593D" w:rsidRPr="00095BF1">
        <w:rPr>
          <w:rFonts w:ascii="Arial Narrow" w:hAnsi="Arial Narrow" w:cstheme="minorHAnsi"/>
          <w:sz w:val="23"/>
          <w:szCs w:val="23"/>
        </w:rPr>
        <w:t>de acuerdo con</w:t>
      </w:r>
      <w:r w:rsidRPr="00095BF1">
        <w:rPr>
          <w:rFonts w:ascii="Arial Narrow" w:hAnsi="Arial Narrow" w:cstheme="minorHAnsi"/>
          <w:sz w:val="23"/>
          <w:szCs w:val="23"/>
        </w:rPr>
        <w:t xml:space="preserve"> la situación problemática y casos planteados por las bases de ONAMIAP y analizando las normas nacionales implicadas a la luz de los estándares de los derechos de los pueblos indígenas, son: el abandono, la libre disposición de tierras, la expropiación, las concesiones, la </w:t>
      </w:r>
      <w:r w:rsidR="00C77637" w:rsidRPr="00095BF1">
        <w:rPr>
          <w:rFonts w:ascii="Arial Narrow" w:hAnsi="Arial Narrow" w:cstheme="minorHAnsi"/>
          <w:sz w:val="23"/>
          <w:szCs w:val="23"/>
        </w:rPr>
        <w:t>compraventa</w:t>
      </w:r>
      <w:r w:rsidRPr="00095BF1">
        <w:rPr>
          <w:rFonts w:ascii="Arial Narrow" w:hAnsi="Arial Narrow" w:cstheme="minorHAnsi"/>
          <w:sz w:val="23"/>
          <w:szCs w:val="23"/>
        </w:rPr>
        <w:t xml:space="preserve"> y las donaciones. Todas estas figuras de despojo tienen alcance nacional.</w:t>
      </w:r>
      <w:r w:rsidRPr="00095BF1">
        <w:rPr>
          <w:rStyle w:val="EndnoteReference"/>
          <w:rFonts w:ascii="Arial Narrow" w:hAnsi="Arial Narrow" w:cstheme="minorHAnsi"/>
          <w:sz w:val="23"/>
          <w:szCs w:val="23"/>
        </w:rPr>
        <w:endnoteReference w:id="6"/>
      </w:r>
      <w:r w:rsidRPr="00095BF1">
        <w:rPr>
          <w:rFonts w:ascii="Arial Narrow" w:hAnsi="Arial Narrow" w:cstheme="minorHAnsi"/>
          <w:sz w:val="23"/>
          <w:szCs w:val="23"/>
        </w:rPr>
        <w:t xml:space="preserve"> </w:t>
      </w:r>
      <w:r w:rsidRPr="00095BF1">
        <w:rPr>
          <w:rFonts w:ascii="Arial Narrow" w:hAnsi="Arial Narrow" w:cstheme="minorHAnsi"/>
          <w:b/>
          <w:bCs/>
          <w:sz w:val="23"/>
          <w:szCs w:val="23"/>
        </w:rPr>
        <w:t xml:space="preserve">(ANEXO </w:t>
      </w:r>
      <w:r>
        <w:rPr>
          <w:rFonts w:ascii="Arial Narrow" w:hAnsi="Arial Narrow" w:cstheme="minorHAnsi"/>
          <w:b/>
          <w:bCs/>
          <w:sz w:val="23"/>
          <w:szCs w:val="23"/>
        </w:rPr>
        <w:t>4</w:t>
      </w:r>
      <w:r w:rsidRPr="00095BF1">
        <w:rPr>
          <w:rFonts w:ascii="Arial Narrow" w:hAnsi="Arial Narrow" w:cstheme="minorHAnsi"/>
          <w:b/>
          <w:bCs/>
          <w:sz w:val="23"/>
          <w:szCs w:val="23"/>
        </w:rPr>
        <w:t>)</w:t>
      </w:r>
    </w:p>
    <w:p w14:paraId="3BFAA3AB" w14:textId="77777777" w:rsidR="009A593D" w:rsidRDefault="009A593D" w:rsidP="003142A9">
      <w:pPr>
        <w:spacing w:after="0" w:line="240" w:lineRule="auto"/>
        <w:jc w:val="both"/>
        <w:rPr>
          <w:rFonts w:ascii="Arial Narrow" w:hAnsi="Arial Narrow" w:cstheme="minorHAnsi"/>
          <w:b/>
          <w:bCs/>
          <w:sz w:val="23"/>
          <w:szCs w:val="23"/>
        </w:rPr>
      </w:pPr>
    </w:p>
    <w:p w14:paraId="6D53DE43" w14:textId="5C9C6FA9" w:rsidR="009A593D" w:rsidRPr="009A593D" w:rsidRDefault="009A593D" w:rsidP="003142A9">
      <w:pPr>
        <w:spacing w:after="0" w:line="240" w:lineRule="auto"/>
        <w:jc w:val="both"/>
        <w:rPr>
          <w:rFonts w:ascii="Arial Narrow" w:hAnsi="Arial Narrow" w:cstheme="minorHAnsi"/>
          <w:sz w:val="23"/>
          <w:szCs w:val="23"/>
        </w:rPr>
      </w:pPr>
      <w:r w:rsidRPr="009A593D">
        <w:rPr>
          <w:rFonts w:ascii="Arial Narrow" w:hAnsi="Arial Narrow" w:cstheme="minorHAnsi"/>
          <w:sz w:val="23"/>
          <w:szCs w:val="23"/>
        </w:rPr>
        <w:t xml:space="preserve">Otro problema que enfrentan </w:t>
      </w:r>
      <w:r w:rsidR="00383FFA" w:rsidRPr="009A593D">
        <w:rPr>
          <w:rFonts w:ascii="Arial Narrow" w:hAnsi="Arial Narrow" w:cstheme="minorHAnsi"/>
          <w:sz w:val="23"/>
          <w:szCs w:val="23"/>
        </w:rPr>
        <w:t>los pueblos indígenas</w:t>
      </w:r>
      <w:r w:rsidR="00EE33E1">
        <w:rPr>
          <w:rFonts w:ascii="Arial Narrow" w:hAnsi="Arial Narrow" w:cstheme="minorHAnsi"/>
          <w:sz w:val="23"/>
          <w:szCs w:val="23"/>
        </w:rPr>
        <w:t>, principalmente las</w:t>
      </w:r>
      <w:r w:rsidRPr="009A593D">
        <w:rPr>
          <w:rFonts w:ascii="Arial Narrow" w:hAnsi="Arial Narrow" w:cstheme="minorHAnsi"/>
          <w:sz w:val="23"/>
          <w:szCs w:val="23"/>
        </w:rPr>
        <w:t xml:space="preserve"> comunidades nativas</w:t>
      </w:r>
      <w:r w:rsidR="00383FFA">
        <w:rPr>
          <w:rFonts w:ascii="Arial Narrow" w:hAnsi="Arial Narrow" w:cstheme="minorHAnsi"/>
          <w:sz w:val="23"/>
          <w:szCs w:val="23"/>
        </w:rPr>
        <w:t>,</w:t>
      </w:r>
      <w:r w:rsidRPr="009A593D">
        <w:rPr>
          <w:rFonts w:ascii="Arial Narrow" w:hAnsi="Arial Narrow" w:cstheme="minorHAnsi"/>
          <w:sz w:val="23"/>
          <w:szCs w:val="23"/>
        </w:rPr>
        <w:t xml:space="preserve"> es que solo los terrenos destinados a la ganadería y agricultura se les entrega en propiedad y las áreas de bosques en cesión en uso. Es decir, las comunidades nativas según la legislación interna no son propietarios de la integridad de su territorio. Esto se contradice con el derecho de los pueblos y el derecho internacional, en la medida que para los pueblos el bosque y todo el hábitat forman parte de su territorio. Por lo tanto, el Estado peruano no está cumplimiento con lo dispuesto en el marco jurídico internacional al reconocer solo una parte del territorio de los pueblos y no se integridad, como lo señalan los estándares internacionales sobre la materia.</w:t>
      </w:r>
      <w:r w:rsidR="0049437F">
        <w:rPr>
          <w:rFonts w:ascii="Arial Narrow" w:hAnsi="Arial Narrow" w:cstheme="minorHAnsi"/>
          <w:sz w:val="23"/>
          <w:szCs w:val="23"/>
        </w:rPr>
        <w:t xml:space="preserve"> </w:t>
      </w:r>
      <w:r w:rsidR="0049437F" w:rsidRPr="00F4175F">
        <w:rPr>
          <w:rFonts w:ascii="Arial Narrow" w:hAnsi="Arial Narrow" w:cstheme="minorHAnsi"/>
          <w:b/>
          <w:bCs/>
          <w:sz w:val="23"/>
          <w:szCs w:val="23"/>
        </w:rPr>
        <w:t>(</w:t>
      </w:r>
      <w:r w:rsidR="00F4175F">
        <w:rPr>
          <w:rFonts w:ascii="Arial Narrow" w:hAnsi="Arial Narrow" w:cstheme="minorHAnsi"/>
          <w:b/>
          <w:bCs/>
          <w:sz w:val="23"/>
          <w:szCs w:val="23"/>
        </w:rPr>
        <w:t>ANEXO: I</w:t>
      </w:r>
      <w:r w:rsidR="00F4175F" w:rsidRPr="00F4175F">
        <w:rPr>
          <w:rFonts w:ascii="Arial Narrow" w:hAnsi="Arial Narrow" w:cstheme="minorHAnsi"/>
          <w:b/>
          <w:bCs/>
          <w:sz w:val="23"/>
          <w:szCs w:val="23"/>
        </w:rPr>
        <w:t>nforme sobre la situación de los pueblos indígenas en el marco de la declaración de las naciones unidas sobre los derechos de los pueblos indígenas)</w:t>
      </w:r>
    </w:p>
    <w:p w14:paraId="49DD8656" w14:textId="07B41C6B" w:rsidR="003142A9" w:rsidRDefault="003142A9" w:rsidP="007142D3">
      <w:pPr>
        <w:rPr>
          <w:rFonts w:ascii="Arial Narrow" w:hAnsi="Arial Narrow"/>
          <w:sz w:val="23"/>
          <w:szCs w:val="23"/>
        </w:rPr>
      </w:pPr>
    </w:p>
    <w:p w14:paraId="23B2F277" w14:textId="60667029" w:rsidR="003142A9" w:rsidRPr="003142A9" w:rsidRDefault="009A698A" w:rsidP="007142D3">
      <w:pPr>
        <w:rPr>
          <w:rFonts w:ascii="Arial Narrow" w:hAnsi="Arial Narrow"/>
          <w:b/>
          <w:bCs/>
          <w:sz w:val="23"/>
          <w:szCs w:val="23"/>
        </w:rPr>
      </w:pPr>
      <w:r>
        <w:rPr>
          <w:rFonts w:ascii="Arial Narrow" w:hAnsi="Arial Narrow"/>
          <w:b/>
          <w:bCs/>
          <w:sz w:val="23"/>
          <w:szCs w:val="23"/>
        </w:rPr>
        <w:t>Derecho a la c</w:t>
      </w:r>
      <w:r w:rsidR="003142A9" w:rsidRPr="003142A9">
        <w:rPr>
          <w:rFonts w:ascii="Arial Narrow" w:hAnsi="Arial Narrow"/>
          <w:b/>
          <w:bCs/>
          <w:sz w:val="23"/>
          <w:szCs w:val="23"/>
        </w:rPr>
        <w:t>onsulta</w:t>
      </w:r>
      <w:r>
        <w:rPr>
          <w:rFonts w:ascii="Arial Narrow" w:hAnsi="Arial Narrow"/>
          <w:b/>
          <w:bCs/>
          <w:sz w:val="23"/>
          <w:szCs w:val="23"/>
        </w:rPr>
        <w:t xml:space="preserve"> previa</w:t>
      </w:r>
      <w:r w:rsidR="008308FB">
        <w:rPr>
          <w:rFonts w:ascii="Arial Narrow" w:hAnsi="Arial Narrow"/>
          <w:b/>
          <w:bCs/>
          <w:sz w:val="23"/>
          <w:szCs w:val="23"/>
        </w:rPr>
        <w:t>, libre e informada</w:t>
      </w:r>
    </w:p>
    <w:p w14:paraId="37431440" w14:textId="0872098E" w:rsidR="00965D09" w:rsidRPr="00095BF1" w:rsidRDefault="00965D09" w:rsidP="00965D09">
      <w:pPr>
        <w:spacing w:after="0" w:line="240" w:lineRule="auto"/>
        <w:jc w:val="both"/>
        <w:rPr>
          <w:rFonts w:ascii="Arial Narrow" w:hAnsi="Arial Narrow" w:cstheme="minorHAnsi"/>
          <w:b/>
          <w:bCs/>
          <w:sz w:val="23"/>
          <w:szCs w:val="23"/>
        </w:rPr>
      </w:pPr>
      <w:r w:rsidRPr="00095BF1">
        <w:rPr>
          <w:rFonts w:ascii="Arial Narrow" w:hAnsi="Arial Narrow" w:cstheme="minorHAnsi"/>
          <w:sz w:val="23"/>
          <w:szCs w:val="23"/>
        </w:rPr>
        <w:t xml:space="preserve">La regulación nacional sobre consulta previa no está adecuada a los estándares internacionales de derechos de pueblos indígena. La ley no respeta el piso mínimo de los criterios de identificación de pueblos indígenas establecidos en el artículo 1 del Convenio 169 de la OIT. La normativa no garantiza el derecho al consentimiento previo, libre e informado. Para el Estado Peruano solo se debe aplicar la consulta previa en las medidas a emitirse por el poder ejecutivo, hasta la fecha no hay procedimiento que garantice consulta previa en el poder legislativo. Además, hasta el año pasado para el Estado los servicios públicos y los proyectos de infraestructura no deberían pasar por consulta previa; sin embargo, las organizaciones indígenas demandaron el cumplimiento integral del derecho a la consulta y en enero del 2021 el poder judicial ordenó al Estado consultar los servicios públicos. A más de un año de la referida publicación de la sentencia, el Estado no ha llevado a cabo ningún proceso de consulta previa por servicios públicos. </w:t>
      </w:r>
    </w:p>
    <w:p w14:paraId="08C96F28" w14:textId="77777777" w:rsidR="000476B5" w:rsidRDefault="000476B5" w:rsidP="000476B5">
      <w:pPr>
        <w:spacing w:after="0" w:line="240" w:lineRule="auto"/>
        <w:jc w:val="both"/>
        <w:rPr>
          <w:rFonts w:ascii="Arial Narrow" w:hAnsi="Arial Narrow" w:cstheme="minorHAnsi"/>
          <w:sz w:val="23"/>
          <w:szCs w:val="23"/>
        </w:rPr>
      </w:pPr>
    </w:p>
    <w:p w14:paraId="561478FF" w14:textId="2C74130B" w:rsidR="00C02012" w:rsidRDefault="000476B5" w:rsidP="00965D09">
      <w:pPr>
        <w:spacing w:after="0" w:line="240" w:lineRule="auto"/>
        <w:jc w:val="both"/>
        <w:rPr>
          <w:rFonts w:ascii="Arial Narrow" w:hAnsi="Arial Narrow" w:cstheme="minorHAnsi"/>
          <w:sz w:val="23"/>
          <w:szCs w:val="23"/>
        </w:rPr>
      </w:pPr>
      <w:r>
        <w:rPr>
          <w:rFonts w:ascii="Arial Narrow" w:hAnsi="Arial Narrow" w:cstheme="minorHAnsi"/>
          <w:sz w:val="23"/>
          <w:szCs w:val="23"/>
        </w:rPr>
        <w:t xml:space="preserve">Es en ese sentido que nos resulta preocupante las afirmaciones realizadas por el Estado en su Quinto informe periódico ante el Comité DESC donde </w:t>
      </w:r>
      <w:r w:rsidR="001142B3">
        <w:rPr>
          <w:rFonts w:ascii="Arial Narrow" w:hAnsi="Arial Narrow" w:cstheme="minorHAnsi"/>
          <w:sz w:val="23"/>
          <w:szCs w:val="23"/>
        </w:rPr>
        <w:t xml:space="preserve">señala que se han realizado procesos de consulta para </w:t>
      </w:r>
      <w:r w:rsidR="00855164">
        <w:rPr>
          <w:rFonts w:ascii="Arial Narrow" w:hAnsi="Arial Narrow" w:cstheme="minorHAnsi"/>
          <w:sz w:val="23"/>
          <w:szCs w:val="23"/>
        </w:rPr>
        <w:t xml:space="preserve">la aprobación de la </w:t>
      </w:r>
      <w:r w:rsidR="000B382F">
        <w:rPr>
          <w:rFonts w:ascii="Arial Narrow" w:hAnsi="Arial Narrow" w:cstheme="minorHAnsi"/>
          <w:sz w:val="23"/>
          <w:szCs w:val="23"/>
        </w:rPr>
        <w:t>L</w:t>
      </w:r>
      <w:r w:rsidR="00855164">
        <w:rPr>
          <w:rFonts w:ascii="Arial Narrow" w:hAnsi="Arial Narrow" w:cstheme="minorHAnsi"/>
          <w:sz w:val="23"/>
          <w:szCs w:val="23"/>
        </w:rPr>
        <w:t xml:space="preserve">ey </w:t>
      </w:r>
      <w:r w:rsidR="000B382F">
        <w:rPr>
          <w:rFonts w:ascii="Arial Narrow" w:hAnsi="Arial Narrow" w:cstheme="minorHAnsi"/>
          <w:sz w:val="23"/>
          <w:szCs w:val="23"/>
        </w:rPr>
        <w:t>30754</w:t>
      </w:r>
      <w:r w:rsidR="00FE339B">
        <w:rPr>
          <w:rFonts w:ascii="Arial Narrow" w:hAnsi="Arial Narrow" w:cstheme="minorHAnsi"/>
          <w:sz w:val="23"/>
          <w:szCs w:val="23"/>
        </w:rPr>
        <w:t xml:space="preserve">, Ley </w:t>
      </w:r>
      <w:r w:rsidR="00FE339B" w:rsidRPr="00FE339B">
        <w:rPr>
          <w:rFonts w:ascii="Arial Narrow" w:hAnsi="Arial Narrow" w:cstheme="minorHAnsi"/>
          <w:sz w:val="23"/>
          <w:szCs w:val="23"/>
        </w:rPr>
        <w:t>Marco Sobre Cambio Climático</w:t>
      </w:r>
      <w:r w:rsidR="00CD4E46">
        <w:rPr>
          <w:rFonts w:ascii="Arial Narrow" w:hAnsi="Arial Narrow" w:cstheme="minorHAnsi"/>
          <w:sz w:val="23"/>
          <w:szCs w:val="23"/>
        </w:rPr>
        <w:t>. Debido a lo vertido carece de total veracidad, ya que en el Perú hasta la fecha no se ha consultado ninguna Ley y no existe u</w:t>
      </w:r>
      <w:r w:rsidR="00B6401E">
        <w:rPr>
          <w:rFonts w:ascii="Arial Narrow" w:hAnsi="Arial Narrow" w:cstheme="minorHAnsi"/>
          <w:sz w:val="23"/>
          <w:szCs w:val="23"/>
        </w:rPr>
        <w:t>n procedimiento que garantice ello</w:t>
      </w:r>
      <w:r w:rsidR="001B329B">
        <w:rPr>
          <w:rFonts w:ascii="Arial Narrow" w:hAnsi="Arial Narrow" w:cstheme="minorHAnsi"/>
          <w:sz w:val="23"/>
          <w:szCs w:val="23"/>
        </w:rPr>
        <w:t>.</w:t>
      </w:r>
      <w:r w:rsidR="00397424">
        <w:rPr>
          <w:rFonts w:ascii="Arial Narrow" w:hAnsi="Arial Narrow" w:cstheme="minorHAnsi"/>
          <w:sz w:val="23"/>
          <w:szCs w:val="23"/>
        </w:rPr>
        <w:t xml:space="preserve"> </w:t>
      </w:r>
      <w:r w:rsidR="00633605">
        <w:rPr>
          <w:rFonts w:ascii="Arial Narrow" w:hAnsi="Arial Narrow" w:cstheme="minorHAnsi"/>
          <w:sz w:val="23"/>
          <w:szCs w:val="23"/>
        </w:rPr>
        <w:t xml:space="preserve">Asimismo, el Estado </w:t>
      </w:r>
      <w:r w:rsidR="00397424">
        <w:rPr>
          <w:rFonts w:ascii="Arial Narrow" w:hAnsi="Arial Narrow" w:cstheme="minorHAnsi"/>
          <w:sz w:val="23"/>
          <w:szCs w:val="23"/>
        </w:rPr>
        <w:t xml:space="preserve">hace referencia a la </w:t>
      </w:r>
      <w:r w:rsidR="00443D81">
        <w:rPr>
          <w:rFonts w:ascii="Arial Narrow" w:hAnsi="Arial Narrow" w:cstheme="minorHAnsi"/>
          <w:sz w:val="23"/>
          <w:szCs w:val="23"/>
        </w:rPr>
        <w:t xml:space="preserve">Ley de Consulta </w:t>
      </w:r>
      <w:r w:rsidR="006A44D4">
        <w:rPr>
          <w:rFonts w:ascii="Arial Narrow" w:hAnsi="Arial Narrow" w:cstheme="minorHAnsi"/>
          <w:sz w:val="23"/>
          <w:szCs w:val="23"/>
        </w:rPr>
        <w:t>Previa y</w:t>
      </w:r>
      <w:r w:rsidR="00D33006">
        <w:rPr>
          <w:rFonts w:ascii="Arial Narrow" w:hAnsi="Arial Narrow" w:cstheme="minorHAnsi"/>
          <w:sz w:val="23"/>
          <w:szCs w:val="23"/>
        </w:rPr>
        <w:t xml:space="preserve"> su reglamento </w:t>
      </w:r>
      <w:r w:rsidR="00443D81">
        <w:rPr>
          <w:rFonts w:ascii="Arial Narrow" w:hAnsi="Arial Narrow" w:cstheme="minorHAnsi"/>
          <w:sz w:val="23"/>
          <w:szCs w:val="23"/>
        </w:rPr>
        <w:t>como protectora de derechos colectivos</w:t>
      </w:r>
      <w:r w:rsidR="00D33006">
        <w:rPr>
          <w:rFonts w:ascii="Arial Narrow" w:hAnsi="Arial Narrow" w:cstheme="minorHAnsi"/>
          <w:sz w:val="23"/>
          <w:szCs w:val="23"/>
        </w:rPr>
        <w:t xml:space="preserve">, las </w:t>
      </w:r>
      <w:r w:rsidR="002C44EB">
        <w:rPr>
          <w:rFonts w:ascii="Arial Narrow" w:hAnsi="Arial Narrow" w:cstheme="minorHAnsi"/>
          <w:sz w:val="23"/>
          <w:szCs w:val="23"/>
        </w:rPr>
        <w:t xml:space="preserve">cuales </w:t>
      </w:r>
      <w:r w:rsidR="00DD7FC0">
        <w:rPr>
          <w:rFonts w:ascii="Arial Narrow" w:hAnsi="Arial Narrow" w:cstheme="minorHAnsi"/>
          <w:sz w:val="23"/>
          <w:szCs w:val="23"/>
        </w:rPr>
        <w:t>han sido</w:t>
      </w:r>
      <w:r w:rsidR="002C44EB">
        <w:rPr>
          <w:rFonts w:ascii="Arial Narrow" w:hAnsi="Arial Narrow" w:cstheme="minorHAnsi"/>
          <w:sz w:val="23"/>
          <w:szCs w:val="23"/>
        </w:rPr>
        <w:t xml:space="preserve"> duramente cuestionadas por las Organizaciones indígenas al no respetar los </w:t>
      </w:r>
      <w:r w:rsidR="00573C4F">
        <w:rPr>
          <w:rFonts w:ascii="Arial Narrow" w:hAnsi="Arial Narrow" w:cstheme="minorHAnsi"/>
          <w:sz w:val="23"/>
          <w:szCs w:val="23"/>
        </w:rPr>
        <w:t xml:space="preserve">estándares internacionales. </w:t>
      </w:r>
    </w:p>
    <w:p w14:paraId="580B443D" w14:textId="77777777" w:rsidR="00C02012" w:rsidRDefault="00C02012" w:rsidP="00965D09">
      <w:pPr>
        <w:spacing w:after="0" w:line="240" w:lineRule="auto"/>
        <w:jc w:val="both"/>
        <w:rPr>
          <w:rFonts w:ascii="Arial Narrow" w:hAnsi="Arial Narrow" w:cstheme="minorHAnsi"/>
          <w:sz w:val="23"/>
          <w:szCs w:val="23"/>
        </w:rPr>
      </w:pPr>
    </w:p>
    <w:p w14:paraId="483ADD6B" w14:textId="412F6AAB" w:rsidR="00965D09" w:rsidRPr="00095BF1" w:rsidRDefault="00965D09" w:rsidP="00965D09">
      <w:pPr>
        <w:spacing w:after="0" w:line="240" w:lineRule="auto"/>
        <w:jc w:val="both"/>
        <w:rPr>
          <w:rFonts w:ascii="Arial Narrow" w:hAnsi="Arial Narrow" w:cstheme="minorHAnsi"/>
          <w:sz w:val="23"/>
          <w:szCs w:val="23"/>
        </w:rPr>
      </w:pPr>
      <w:r w:rsidRPr="00095BF1">
        <w:rPr>
          <w:rFonts w:ascii="Arial Narrow" w:hAnsi="Arial Narrow" w:cstheme="minorHAnsi"/>
          <w:sz w:val="23"/>
          <w:szCs w:val="23"/>
        </w:rPr>
        <w:t xml:space="preserve">La Ley 29785, Ley de Consulta Previa no solo vulnera el derecho a la consulta, como lo hemos indicado, sino que además no garantiza el derecho al consentimiento previo, libre e informado. La ley establece en su artículo 15, que la decisión final en todos los casos siempre la tomará el Estado y nombra a las manifestaciones de la libre determinación de los Pueblos como “sugerencias o recomendaciones” no vinculantes para la decisión final. </w:t>
      </w:r>
    </w:p>
    <w:p w14:paraId="154D29EA" w14:textId="77777777" w:rsidR="00965D09" w:rsidRPr="00095BF1" w:rsidRDefault="00965D09" w:rsidP="00965D09">
      <w:pPr>
        <w:spacing w:after="0" w:line="240" w:lineRule="auto"/>
        <w:jc w:val="both"/>
        <w:rPr>
          <w:rFonts w:ascii="Arial Narrow" w:hAnsi="Arial Narrow" w:cstheme="minorHAnsi"/>
          <w:sz w:val="23"/>
          <w:szCs w:val="23"/>
        </w:rPr>
      </w:pPr>
    </w:p>
    <w:p w14:paraId="4C4DB9E4" w14:textId="77777777" w:rsidR="00965D09" w:rsidRPr="00095BF1" w:rsidRDefault="00965D09" w:rsidP="00965D09">
      <w:pPr>
        <w:spacing w:after="0" w:line="240" w:lineRule="auto"/>
        <w:jc w:val="both"/>
        <w:rPr>
          <w:rFonts w:ascii="Arial Narrow" w:hAnsi="Arial Narrow" w:cstheme="minorHAnsi"/>
          <w:sz w:val="23"/>
          <w:szCs w:val="23"/>
        </w:rPr>
      </w:pPr>
      <w:r w:rsidRPr="00095BF1">
        <w:rPr>
          <w:rFonts w:ascii="Arial Narrow" w:hAnsi="Arial Narrow" w:cstheme="minorHAnsi"/>
          <w:sz w:val="23"/>
          <w:szCs w:val="23"/>
        </w:rPr>
        <w:lastRenderedPageBreak/>
        <w:t xml:space="preserve">Esta vulneración al consentimiento no solamente es un enunciado normativo, sino que es una práctica institucionalizada en el Estado. Por ejemplo, recientemente a la Comunidad Indígena Campesina de Huancuire, titular del derecho a la consulta previa respecto a la ampliación del proyecto minero Las Bambas, ha visto vulnerados sus derechos a la consulta y el consentimiento previo, libre e informado. Ello, en la medida que el Estado le remitió planes de consulta previa que no garantizaban sus derechos; un primer plan en plena pandemia que contemplaba que la consulta se realice de forma virtual y un segundo plan que contemplaba que todo el proceso de consulta se realice en 30 días. Estos planes fueron observados por la comunidad y se solicitó al Estado que adecúe esos planes a los estándares internacionales de los derechos de los pueblos indígenas. </w:t>
      </w:r>
    </w:p>
    <w:p w14:paraId="5CE14F65" w14:textId="77777777" w:rsidR="00965D09" w:rsidRPr="00095BF1" w:rsidRDefault="00965D09" w:rsidP="00965D09">
      <w:pPr>
        <w:spacing w:after="0" w:line="240" w:lineRule="auto"/>
        <w:jc w:val="both"/>
        <w:rPr>
          <w:rFonts w:ascii="Arial Narrow" w:hAnsi="Arial Narrow" w:cstheme="minorHAnsi"/>
          <w:sz w:val="23"/>
          <w:szCs w:val="23"/>
        </w:rPr>
      </w:pPr>
    </w:p>
    <w:p w14:paraId="4AAFC14A" w14:textId="3B4A130A" w:rsidR="00965D09" w:rsidRPr="00095BF1" w:rsidRDefault="00965D09" w:rsidP="00965D09">
      <w:pPr>
        <w:spacing w:after="0" w:line="240" w:lineRule="auto"/>
        <w:jc w:val="both"/>
        <w:rPr>
          <w:rFonts w:ascii="Arial Narrow" w:hAnsi="Arial Narrow" w:cstheme="minorHAnsi"/>
          <w:b/>
          <w:bCs/>
          <w:sz w:val="23"/>
          <w:szCs w:val="23"/>
        </w:rPr>
      </w:pPr>
      <w:r w:rsidRPr="00095BF1">
        <w:rPr>
          <w:rFonts w:ascii="Arial Narrow" w:hAnsi="Arial Narrow" w:cstheme="minorHAnsi"/>
          <w:sz w:val="23"/>
          <w:szCs w:val="23"/>
        </w:rPr>
        <w:t xml:space="preserve">A pesar de las observaciones de la comunidad al Plan de Consulta, el Estado continúo desarrollando un proceso de consulta sin la participación de la comunidad y finalmente tomó la decisión final de forma unilateral, otorgando la autorización a la empresa minera Las Bambas para que inicie sus actividades. El Estado ha vulnerado los derechos a la consulta y al consentimiento de la comunidad indígena de Huancuire aun cuando el proyecto minero a realizarse impactará directamente la forma de vida y otros derechos de la comunidad, e incluso implicará la comunidad se desplace y ceda parte de su territorio ancestral a la empresa. </w:t>
      </w:r>
    </w:p>
    <w:p w14:paraId="5397076D" w14:textId="77777777" w:rsidR="00965D09" w:rsidRPr="00095BF1" w:rsidRDefault="00965D09" w:rsidP="00965D09">
      <w:pPr>
        <w:spacing w:after="0" w:line="240" w:lineRule="auto"/>
        <w:jc w:val="both"/>
        <w:rPr>
          <w:rFonts w:ascii="Arial Narrow" w:hAnsi="Arial Narrow" w:cstheme="minorHAnsi"/>
          <w:sz w:val="23"/>
          <w:szCs w:val="23"/>
        </w:rPr>
      </w:pPr>
    </w:p>
    <w:p w14:paraId="6404CEBE" w14:textId="77777777" w:rsidR="00965D09" w:rsidRPr="00095BF1" w:rsidRDefault="00965D09" w:rsidP="00965D09">
      <w:pPr>
        <w:spacing w:after="0" w:line="240" w:lineRule="auto"/>
        <w:jc w:val="both"/>
        <w:rPr>
          <w:rFonts w:ascii="Arial Narrow" w:hAnsi="Arial Narrow" w:cstheme="minorHAnsi"/>
          <w:b/>
          <w:bCs/>
          <w:sz w:val="23"/>
          <w:szCs w:val="23"/>
        </w:rPr>
      </w:pPr>
      <w:r w:rsidRPr="00095BF1">
        <w:rPr>
          <w:rFonts w:ascii="Arial Narrow" w:hAnsi="Arial Narrow" w:cstheme="minorHAnsi"/>
          <w:b/>
          <w:bCs/>
          <w:sz w:val="23"/>
          <w:szCs w:val="23"/>
        </w:rPr>
        <w:t>No es Previo</w:t>
      </w:r>
    </w:p>
    <w:p w14:paraId="277C2950" w14:textId="77777777" w:rsidR="00965D09" w:rsidRPr="00095BF1" w:rsidRDefault="00965D09" w:rsidP="00965D09">
      <w:pPr>
        <w:jc w:val="both"/>
        <w:rPr>
          <w:rFonts w:ascii="Arial Narrow" w:hAnsi="Arial Narrow" w:cstheme="minorHAnsi"/>
          <w:sz w:val="23"/>
          <w:szCs w:val="23"/>
        </w:rPr>
      </w:pPr>
      <w:r w:rsidRPr="00095BF1">
        <w:rPr>
          <w:rFonts w:ascii="Arial Narrow" w:hAnsi="Arial Narrow" w:cstheme="minorHAnsi"/>
          <w:sz w:val="23"/>
          <w:szCs w:val="23"/>
        </w:rPr>
        <w:t xml:space="preserve">El Estado no garantiza que la consulta y el consentimiento sean previos porque permite que las empresas ingresen a los territorios indígenas antes de iniciarse los procesos de consulta y ello faculta a que las empresas desplieguen estrategias para dividir a las comunidades, o para generar dependencia con los servicios que las empresas llevan en la ausencia del Estado. Desde este momento ya no hablamos de una consulta ni de un consentimiento previo, una evidencia de esto es que el acto administrativo de otorgamiento de concesiones mineras a las empresas no es objeto de consulta previa, igualmente la conformación de los lotes petroleros son actos que el Estado no consulta. Otra evidencia de ello es que en casi todas las actividades extractivas en desarrollo en nuestro país las empresas han entablado diálogos directamente con las comunidades y como consecuencia de ello han establecido convenios con las comunidades, todo ello en ausencia de procesos de consulta previa. Con el paso del tiempo estos convenios generan conflictividad en los territorios porque las comunidades se dan cuenta que fueron inducidas a aceptar sin estar adecuadamente informadas, la empresa les aseguró que no habría impactos en sus territorios y finalmente porque las empresas desisten de cumplir sus obligaciones. </w:t>
      </w:r>
    </w:p>
    <w:p w14:paraId="6149B72E" w14:textId="77777777" w:rsidR="00965D09" w:rsidRPr="00095BF1" w:rsidRDefault="00965D09" w:rsidP="00965D09">
      <w:pPr>
        <w:jc w:val="both"/>
        <w:rPr>
          <w:rFonts w:ascii="Arial Narrow" w:hAnsi="Arial Narrow" w:cstheme="minorHAnsi"/>
          <w:b/>
          <w:bCs/>
          <w:sz w:val="23"/>
          <w:szCs w:val="23"/>
        </w:rPr>
      </w:pPr>
      <w:r w:rsidRPr="00095BF1">
        <w:rPr>
          <w:rFonts w:ascii="Arial Narrow" w:hAnsi="Arial Narrow" w:cstheme="minorHAnsi"/>
          <w:b/>
          <w:bCs/>
          <w:sz w:val="23"/>
          <w:szCs w:val="23"/>
        </w:rPr>
        <w:t>No es libre</w:t>
      </w:r>
    </w:p>
    <w:p w14:paraId="640546BC" w14:textId="77777777" w:rsidR="00965D09" w:rsidRPr="00095BF1" w:rsidRDefault="00965D09" w:rsidP="00965D09">
      <w:pPr>
        <w:jc w:val="both"/>
        <w:rPr>
          <w:rFonts w:ascii="Arial Narrow" w:hAnsi="Arial Narrow" w:cstheme="minorHAnsi"/>
          <w:b/>
          <w:bCs/>
          <w:sz w:val="23"/>
          <w:szCs w:val="23"/>
        </w:rPr>
      </w:pPr>
      <w:r w:rsidRPr="00095BF1">
        <w:rPr>
          <w:rFonts w:ascii="Arial Narrow" w:hAnsi="Arial Narrow" w:cstheme="minorHAnsi"/>
          <w:sz w:val="23"/>
          <w:szCs w:val="23"/>
        </w:rPr>
        <w:t>El propio Estado utiliza los medios de comunicación para estigmatizar a las comunidades y a sus líderes, ejerciendo presión para que los Pueblos cedan ante los proyectos extractivos. Además, utiliza las fuerzas del orden para criminalizar a los representantes indígenas y para militarizar los territorios comunales, con el objetivo de generar un ambiente de intimidación que no permite que la consulta ni el consentimiento sean libres. Esta situación la vemos actualmente, por ejemplo, en la comunidad de Huancuire en la Región Apurimac, donde a pesar que no hubo consulta previa, ya se encuentra la empresa Las Bambas y la policía dentro del territorio de la comunidad.</w:t>
      </w:r>
      <w:r>
        <w:rPr>
          <w:rFonts w:ascii="Arial Narrow" w:hAnsi="Arial Narrow" w:cstheme="minorHAnsi"/>
          <w:b/>
          <w:bCs/>
          <w:sz w:val="23"/>
          <w:szCs w:val="23"/>
        </w:rPr>
        <w:t xml:space="preserve"> </w:t>
      </w:r>
      <w:r w:rsidRPr="00095BF1">
        <w:rPr>
          <w:rFonts w:ascii="Arial Narrow" w:hAnsi="Arial Narrow" w:cstheme="minorHAnsi"/>
          <w:sz w:val="23"/>
          <w:szCs w:val="23"/>
        </w:rPr>
        <w:t>Con la prensa mayoritaria en contra de las comunidades y con el territorio con ocupación militar o policial no se puede garantizar una consulta o consentimiento informado.</w:t>
      </w:r>
    </w:p>
    <w:p w14:paraId="39779122" w14:textId="77777777" w:rsidR="00965D09" w:rsidRPr="00095BF1" w:rsidRDefault="00965D09" w:rsidP="00965D09">
      <w:pPr>
        <w:rPr>
          <w:rFonts w:ascii="Arial Narrow" w:hAnsi="Arial Narrow" w:cstheme="minorHAnsi"/>
          <w:b/>
          <w:bCs/>
          <w:sz w:val="23"/>
          <w:szCs w:val="23"/>
        </w:rPr>
      </w:pPr>
      <w:r w:rsidRPr="00095BF1">
        <w:rPr>
          <w:rFonts w:ascii="Arial Narrow" w:hAnsi="Arial Narrow" w:cstheme="minorHAnsi"/>
          <w:b/>
          <w:bCs/>
          <w:sz w:val="23"/>
          <w:szCs w:val="23"/>
        </w:rPr>
        <w:t>No es informado</w:t>
      </w:r>
    </w:p>
    <w:p w14:paraId="3B07A257" w14:textId="0FAE8B1E" w:rsidR="00965D09" w:rsidRDefault="00965D09" w:rsidP="00726F4E">
      <w:pPr>
        <w:jc w:val="both"/>
        <w:rPr>
          <w:rFonts w:ascii="Arial Narrow" w:hAnsi="Arial Narrow" w:cstheme="minorHAnsi"/>
          <w:sz w:val="23"/>
          <w:szCs w:val="23"/>
        </w:rPr>
      </w:pPr>
      <w:r w:rsidRPr="00095BF1">
        <w:rPr>
          <w:rFonts w:ascii="Arial Narrow" w:hAnsi="Arial Narrow" w:cstheme="minorHAnsi"/>
          <w:sz w:val="23"/>
          <w:szCs w:val="23"/>
        </w:rPr>
        <w:t xml:space="preserve">Y el Estado tampoco garantiza que el consentimiento sea informado, ya que en los procesos de consulta no se brinda toda la información de los impactos que tendrá la actividad extractiva en el territorio. En el Perú no se consultan los Estudios de Impacto Ambiental y las empresas ingresan a los territorios indígenas, sin que los Pueblos sepamos los verdaderos impactos de la actividad que realizarán. </w:t>
      </w:r>
    </w:p>
    <w:p w14:paraId="0855A84B" w14:textId="19806509" w:rsidR="006F054B" w:rsidRDefault="00A91585" w:rsidP="00726F4E">
      <w:pPr>
        <w:jc w:val="both"/>
        <w:rPr>
          <w:rFonts w:ascii="Arial Narrow" w:hAnsi="Arial Narrow" w:cstheme="minorHAnsi"/>
          <w:sz w:val="23"/>
          <w:szCs w:val="23"/>
        </w:rPr>
      </w:pPr>
      <w:r>
        <w:rPr>
          <w:rFonts w:ascii="Arial Narrow" w:hAnsi="Arial Narrow" w:cstheme="minorHAnsi"/>
          <w:sz w:val="23"/>
          <w:szCs w:val="23"/>
        </w:rPr>
        <w:t>El Estado peruano, en el párrafo 206 del informe presentado al Comité hace referencia a</w:t>
      </w:r>
      <w:r w:rsidR="00F66655">
        <w:rPr>
          <w:rFonts w:ascii="Arial Narrow" w:hAnsi="Arial Narrow" w:cstheme="minorHAnsi"/>
          <w:sz w:val="23"/>
          <w:szCs w:val="23"/>
        </w:rPr>
        <w:t>l seguimiento que realiza el MINCU con la implementación y cumplimiento de los acuerdos a los que arriben los procesos de consulta previa.</w:t>
      </w:r>
      <w:r w:rsidR="00255E76">
        <w:rPr>
          <w:rFonts w:ascii="Arial Narrow" w:hAnsi="Arial Narrow" w:cstheme="minorHAnsi"/>
          <w:sz w:val="23"/>
          <w:szCs w:val="23"/>
        </w:rPr>
        <w:t xml:space="preserve"> Al respecto es necesario mencionar que, e</w:t>
      </w:r>
      <w:r w:rsidR="006F054B" w:rsidRPr="006F054B">
        <w:rPr>
          <w:rFonts w:ascii="Arial Narrow" w:hAnsi="Arial Narrow" w:cstheme="minorHAnsi"/>
          <w:sz w:val="23"/>
          <w:szCs w:val="23"/>
        </w:rPr>
        <w:t xml:space="preserve">l 26 de febrero de 2013, mediante Decreto Supremo Nº 021-2013-PCM, la Presidencia del Consejo de ministros, crea la Comisión Multisectorial de naturaleza permanente para la Aplicación </w:t>
      </w:r>
      <w:r w:rsidR="006F054B" w:rsidRPr="006F054B">
        <w:rPr>
          <w:rFonts w:ascii="Arial Narrow" w:hAnsi="Arial Narrow" w:cstheme="minorHAnsi"/>
          <w:sz w:val="23"/>
          <w:szCs w:val="23"/>
        </w:rPr>
        <w:lastRenderedPageBreak/>
        <w:t>del Derecho a la Consulta, “que tendrá por objeto efectuar el seguimiento de la aplicación del derecho a la consulta” . En el 2016, con el Decreto Supremo Nº 052-2016-PCM, se restringe notablemente el objeto de la Comisión Multisectorial, que en un principio tenía como objeto el seguimiento a la aplicación del derecho a la consulta como tal, e incluso con facultades de propuesta de políticas públicas para la implementación de este derecho, pero luego es limitada al seguimiento de los acuerdos logrados en los procesos de consulta. La Comisión tuvo una instalación retardada, después de 4 años de su creación y hasta el 2019 solo tuvo 3 sesiones.</w:t>
      </w:r>
    </w:p>
    <w:p w14:paraId="5EC1296F" w14:textId="23C942CC" w:rsidR="00276900" w:rsidRDefault="00276900" w:rsidP="00276900">
      <w:pPr>
        <w:spacing w:after="0" w:line="240" w:lineRule="auto"/>
        <w:jc w:val="both"/>
        <w:rPr>
          <w:rFonts w:ascii="Arial Narrow" w:hAnsi="Arial Narrow" w:cstheme="minorHAnsi"/>
          <w:b/>
          <w:bCs/>
          <w:sz w:val="23"/>
          <w:szCs w:val="23"/>
        </w:rPr>
      </w:pPr>
      <w:r w:rsidRPr="00095BF1">
        <w:rPr>
          <w:rFonts w:ascii="Arial Narrow" w:hAnsi="Arial Narrow" w:cstheme="minorHAnsi"/>
          <w:sz w:val="23"/>
          <w:szCs w:val="23"/>
        </w:rPr>
        <w:t>En marzo de este año, el Tribunal Constitucional Peruano, en adelante TC, emitió la sentencia EXP. N.° 03066-2019-PA/TC que declara improcedente la demanda de dos comunidades campesinas que alegaban la vulneración de su derecho a la consulta previa, en la medida que se habían otorgado inconsultamente concesiones mineras que se superponen a su territorio colectivo. La sentencia declara la improcedencia de la demanda por considerar que la Consulta Previa NO ES UN DERECHO FUNDAMENTAL y que el Convenio 169 de la OIT no tiene rango constitucional. Concluyendo que el amparo no es la vía para cuestionar violaciones al derecho a la consulta previa. Este análisis jurídico contraviene la Constitución Política del Perú, la propia jurisprudencia del Tribunal Constitucional, el Derecho Internacional de los Pueblos Indígenas y el Derecho Natural Ancestral. Además, este precedente es nefasto porque inhabilita la vía de amparo como vía judicial para que los pueblos cuestionen la vulneración del derecho a la consulta; en esa medida se estaría dejando a los Pueblos sin acceso a la justicia.</w:t>
      </w:r>
      <w:r w:rsidRPr="00095BF1">
        <w:rPr>
          <w:rFonts w:ascii="Arial Narrow" w:hAnsi="Arial Narrow" w:cstheme="minorHAnsi"/>
          <w:b/>
          <w:bCs/>
          <w:sz w:val="23"/>
          <w:szCs w:val="23"/>
        </w:rPr>
        <w:t xml:space="preserve"> </w:t>
      </w:r>
    </w:p>
    <w:p w14:paraId="7C3FFAC3" w14:textId="77777777" w:rsidR="00E13783" w:rsidRDefault="00E13783" w:rsidP="00276900">
      <w:pPr>
        <w:spacing w:after="0" w:line="240" w:lineRule="auto"/>
        <w:jc w:val="both"/>
        <w:rPr>
          <w:rFonts w:ascii="Arial Narrow" w:hAnsi="Arial Narrow" w:cstheme="minorHAnsi"/>
          <w:b/>
          <w:bCs/>
          <w:sz w:val="23"/>
          <w:szCs w:val="23"/>
        </w:rPr>
      </w:pPr>
    </w:p>
    <w:p w14:paraId="16ADFF83" w14:textId="7D5E7B91" w:rsidR="00E13783" w:rsidRDefault="00E13783" w:rsidP="00E13783">
      <w:pPr>
        <w:pStyle w:val="SingleTxtG"/>
        <w:ind w:left="0" w:right="-35"/>
        <w:rPr>
          <w:rFonts w:ascii="Arial Narrow" w:eastAsiaTheme="minorHAnsi" w:hAnsi="Arial Narrow" w:cstheme="minorHAnsi"/>
          <w:sz w:val="23"/>
          <w:szCs w:val="23"/>
          <w:lang w:val="es-PE" w:eastAsia="en-US"/>
        </w:rPr>
      </w:pPr>
      <w:r w:rsidRPr="00115104">
        <w:rPr>
          <w:rFonts w:ascii="Arial Narrow" w:hAnsi="Arial Narrow" w:cstheme="minorHAnsi"/>
          <w:sz w:val="23"/>
          <w:szCs w:val="23"/>
        </w:rPr>
        <w:t xml:space="preserve">Con relación a </w:t>
      </w:r>
      <w:r w:rsidR="008B58AD" w:rsidRPr="00115104">
        <w:rPr>
          <w:rFonts w:ascii="Arial Narrow" w:hAnsi="Arial Narrow" w:cstheme="minorHAnsi"/>
          <w:sz w:val="23"/>
          <w:szCs w:val="23"/>
        </w:rPr>
        <w:t xml:space="preserve">lo mencionado por el Estado en </w:t>
      </w:r>
      <w:r w:rsidR="00115104" w:rsidRPr="00115104">
        <w:rPr>
          <w:rFonts w:ascii="Arial Narrow" w:hAnsi="Arial Narrow" w:cstheme="minorHAnsi"/>
          <w:sz w:val="23"/>
          <w:szCs w:val="23"/>
        </w:rPr>
        <w:t>el</w:t>
      </w:r>
      <w:r w:rsidR="008B58AD" w:rsidRPr="00115104">
        <w:rPr>
          <w:rFonts w:ascii="Arial Narrow" w:hAnsi="Arial Narrow" w:cstheme="minorHAnsi"/>
          <w:sz w:val="23"/>
          <w:szCs w:val="23"/>
        </w:rPr>
        <w:t xml:space="preserve"> párrafo </w:t>
      </w:r>
      <w:r w:rsidR="002C5D88" w:rsidRPr="00115104">
        <w:rPr>
          <w:rFonts w:ascii="Arial Narrow" w:hAnsi="Arial Narrow" w:cstheme="minorHAnsi"/>
          <w:sz w:val="23"/>
          <w:szCs w:val="23"/>
        </w:rPr>
        <w:t xml:space="preserve">193 y 194 </w:t>
      </w:r>
      <w:r w:rsidR="00115104" w:rsidRPr="00115104">
        <w:rPr>
          <w:rFonts w:ascii="Arial Narrow" w:hAnsi="Arial Narrow" w:cstheme="minorHAnsi"/>
          <w:sz w:val="23"/>
          <w:szCs w:val="23"/>
        </w:rPr>
        <w:t>del informe presentado al Comité DESC</w:t>
      </w:r>
      <w:r w:rsidR="005748E4">
        <w:rPr>
          <w:rFonts w:ascii="Arial Narrow" w:hAnsi="Arial Narrow" w:cstheme="minorHAnsi"/>
          <w:sz w:val="23"/>
          <w:szCs w:val="23"/>
        </w:rPr>
        <w:t xml:space="preserve"> sobre</w:t>
      </w:r>
      <w:r w:rsidR="00115104" w:rsidRPr="00115104">
        <w:rPr>
          <w:rFonts w:ascii="Arial Narrow" w:hAnsi="Arial Narrow" w:cstheme="minorHAnsi"/>
          <w:sz w:val="23"/>
          <w:szCs w:val="23"/>
        </w:rPr>
        <w:t xml:space="preserve"> </w:t>
      </w:r>
      <w:r w:rsidRPr="00115104">
        <w:rPr>
          <w:rFonts w:ascii="Arial Narrow" w:hAnsi="Arial Narrow" w:cstheme="minorHAnsi"/>
          <w:sz w:val="23"/>
          <w:szCs w:val="23"/>
        </w:rPr>
        <w:t xml:space="preserve">la creación de SENACE como organismo encargado de revisar y aprobar </w:t>
      </w:r>
      <w:r w:rsidRPr="00115104">
        <w:rPr>
          <w:rFonts w:ascii="Arial Narrow" w:eastAsiaTheme="minorHAnsi" w:hAnsi="Arial Narrow" w:cstheme="minorHAnsi"/>
          <w:sz w:val="23"/>
          <w:szCs w:val="23"/>
          <w:lang w:val="es-PE" w:eastAsia="en-US"/>
        </w:rPr>
        <w:t xml:space="preserve">Estudios de Impacto Ambiental (EIA) de proyectos de inversión que puedan causar impactos ambientales significativos. Es necesario precisar que, dentro de los procedimientos para la certificación ambiental, no se garantiza el derecho a </w:t>
      </w:r>
      <w:r w:rsidR="00C52118">
        <w:rPr>
          <w:rFonts w:ascii="Arial Narrow" w:eastAsiaTheme="minorHAnsi" w:hAnsi="Arial Narrow" w:cstheme="minorHAnsi"/>
          <w:sz w:val="23"/>
          <w:szCs w:val="23"/>
          <w:lang w:val="es-PE" w:eastAsia="en-US"/>
        </w:rPr>
        <w:t xml:space="preserve">la participación y a </w:t>
      </w:r>
      <w:r w:rsidRPr="00115104">
        <w:rPr>
          <w:rFonts w:ascii="Arial Narrow" w:eastAsiaTheme="minorHAnsi" w:hAnsi="Arial Narrow" w:cstheme="minorHAnsi"/>
          <w:sz w:val="23"/>
          <w:szCs w:val="23"/>
          <w:lang w:val="es-PE" w:eastAsia="en-US"/>
        </w:rPr>
        <w:t>la consulta previa</w:t>
      </w:r>
      <w:r w:rsidR="00C51FF8">
        <w:rPr>
          <w:rFonts w:ascii="Arial Narrow" w:eastAsiaTheme="minorHAnsi" w:hAnsi="Arial Narrow" w:cstheme="minorHAnsi"/>
          <w:sz w:val="23"/>
          <w:szCs w:val="23"/>
          <w:lang w:val="es-PE" w:eastAsia="en-US"/>
        </w:rPr>
        <w:t xml:space="preserve">, libre e </w:t>
      </w:r>
      <w:r w:rsidR="002967C6">
        <w:rPr>
          <w:rFonts w:ascii="Arial Narrow" w:eastAsiaTheme="minorHAnsi" w:hAnsi="Arial Narrow" w:cstheme="minorHAnsi"/>
          <w:sz w:val="23"/>
          <w:szCs w:val="23"/>
          <w:lang w:val="es-PE" w:eastAsia="en-US"/>
        </w:rPr>
        <w:t xml:space="preserve">informada </w:t>
      </w:r>
      <w:r w:rsidR="002967C6" w:rsidRPr="00115104">
        <w:rPr>
          <w:rFonts w:ascii="Arial Narrow" w:eastAsiaTheme="minorHAnsi" w:hAnsi="Arial Narrow" w:cstheme="minorHAnsi"/>
          <w:sz w:val="23"/>
          <w:szCs w:val="23"/>
          <w:lang w:val="es-PE" w:eastAsia="en-US"/>
        </w:rPr>
        <w:t>de</w:t>
      </w:r>
      <w:r w:rsidRPr="00115104">
        <w:rPr>
          <w:rFonts w:ascii="Arial Narrow" w:eastAsiaTheme="minorHAnsi" w:hAnsi="Arial Narrow" w:cstheme="minorHAnsi"/>
          <w:sz w:val="23"/>
          <w:szCs w:val="23"/>
          <w:lang w:val="es-PE" w:eastAsia="en-US"/>
        </w:rPr>
        <w:t xml:space="preserve"> los pueblos indígenas a pesar de que el EIA sobre el proyecto de inversión sea en territorios de pueblos indígenas, continuando con la vulneración hacia los derechos de los pueblos, excluyéndolos y tomando decisiones </w:t>
      </w:r>
      <w:r w:rsidR="00787F20">
        <w:rPr>
          <w:rFonts w:ascii="Arial Narrow" w:eastAsiaTheme="minorHAnsi" w:hAnsi="Arial Narrow" w:cstheme="minorHAnsi"/>
          <w:sz w:val="23"/>
          <w:szCs w:val="23"/>
          <w:lang w:val="es-PE" w:eastAsia="en-US"/>
        </w:rPr>
        <w:t>sin su participación</w:t>
      </w:r>
      <w:r w:rsidR="00FA196B">
        <w:rPr>
          <w:rFonts w:ascii="Arial Narrow" w:eastAsiaTheme="minorHAnsi" w:hAnsi="Arial Narrow" w:cstheme="minorHAnsi"/>
          <w:sz w:val="23"/>
          <w:szCs w:val="23"/>
          <w:lang w:val="es-PE" w:eastAsia="en-US"/>
        </w:rPr>
        <w:t xml:space="preserve">. </w:t>
      </w:r>
    </w:p>
    <w:p w14:paraId="68934AC1" w14:textId="00878C73" w:rsidR="002967C6" w:rsidRPr="002967C6" w:rsidRDefault="002967C6" w:rsidP="002967C6">
      <w:pPr>
        <w:spacing w:line="240" w:lineRule="auto"/>
        <w:jc w:val="both"/>
        <w:rPr>
          <w:rFonts w:ascii="Arial Narrow" w:hAnsi="Arial Narrow" w:cstheme="minorHAnsi"/>
          <w:sz w:val="23"/>
          <w:szCs w:val="23"/>
        </w:rPr>
      </w:pPr>
      <w:r w:rsidRPr="002967C6">
        <w:rPr>
          <w:rFonts w:ascii="Arial Narrow" w:hAnsi="Arial Narrow" w:cstheme="minorHAnsi"/>
          <w:sz w:val="23"/>
          <w:szCs w:val="23"/>
        </w:rPr>
        <w:t xml:space="preserve">El Manual para la Evaluación de Estudio de Impacto Ambiental Detallado en Minería, elaborado por el propio SENACE, en concordancia con el Decreto Supremo N° 040-2014-EM, señala que los EIA deberán contener las áreas de influencia sociales directa e indirecta, posibles impactos sociales del proyecto, medidas de prevención, control y mitigación para los impactos identificados, un plan de relaciones comunitarias, y además un plan de participación ciudadana. Del contenido que debe tener los EIA, se puede colegir que no solo están circunscritos a temas ambientales, sino que también deben contemplar temas sociales del proyecto, y </w:t>
      </w:r>
      <w:r w:rsidR="00DB67E2" w:rsidRPr="002967C6">
        <w:rPr>
          <w:rFonts w:ascii="Arial Narrow" w:hAnsi="Arial Narrow" w:cstheme="minorHAnsi"/>
          <w:sz w:val="23"/>
          <w:szCs w:val="23"/>
        </w:rPr>
        <w:t>de acuerdo con</w:t>
      </w:r>
      <w:r w:rsidRPr="002967C6">
        <w:rPr>
          <w:rFonts w:ascii="Arial Narrow" w:hAnsi="Arial Narrow" w:cstheme="minorHAnsi"/>
          <w:sz w:val="23"/>
          <w:szCs w:val="23"/>
        </w:rPr>
        <w:t xml:space="preserve"> los estándares internacionales deberían contemplar también impactos espirituales y culturales, si el proyecto </w:t>
      </w:r>
      <w:r w:rsidR="00C009F3" w:rsidRPr="002967C6">
        <w:rPr>
          <w:rFonts w:ascii="Arial Narrow" w:hAnsi="Arial Narrow" w:cstheme="minorHAnsi"/>
          <w:sz w:val="23"/>
          <w:szCs w:val="23"/>
        </w:rPr>
        <w:t>va a</w:t>
      </w:r>
      <w:r w:rsidRPr="002967C6">
        <w:rPr>
          <w:rFonts w:ascii="Arial Narrow" w:hAnsi="Arial Narrow" w:cstheme="minorHAnsi"/>
          <w:sz w:val="23"/>
          <w:szCs w:val="23"/>
        </w:rPr>
        <w:t xml:space="preserve"> afectar a pueblos indígenas u originarios.</w:t>
      </w:r>
    </w:p>
    <w:p w14:paraId="408BF7A4" w14:textId="77777777" w:rsidR="002967C6" w:rsidRDefault="002967C6" w:rsidP="002967C6">
      <w:pPr>
        <w:spacing w:line="240" w:lineRule="auto"/>
        <w:jc w:val="both"/>
        <w:rPr>
          <w:rFonts w:ascii="Arial Narrow" w:hAnsi="Arial Narrow" w:cstheme="minorHAnsi"/>
          <w:sz w:val="23"/>
          <w:szCs w:val="23"/>
        </w:rPr>
      </w:pPr>
      <w:r w:rsidRPr="002967C6">
        <w:rPr>
          <w:rFonts w:ascii="Arial Narrow" w:hAnsi="Arial Narrow" w:cstheme="minorHAnsi"/>
          <w:sz w:val="23"/>
          <w:szCs w:val="23"/>
        </w:rPr>
        <w:t xml:space="preserve">La normativa vigente contempla mecanismos de participación ciudadana para socializar los alcances del EIA, en concordancia con el Reglamento de Participación Ciudadana en Subsector Minero D.S. N° 028-2008-EM, sin embargo, no contempla que en el caso de que el proyecto se desarrolle dentro o alrededor de territorio de pueblos indígenas u originarios se deberá realizar procedimientos de consulta previa, libre e informada. Esto en la medida, que la normativa que regula la evaluación de los EIA busca caracterizarse por ser técnica y administrativa, sin contemplar el impacto en los derechos de los pueblos indígenas que tiene esta información y las medidas que se aprueben con este acto administrativo.  </w:t>
      </w:r>
    </w:p>
    <w:p w14:paraId="293FAB0C" w14:textId="6351CC2C" w:rsidR="00D85B90" w:rsidRPr="00D85B90" w:rsidRDefault="00D85B90" w:rsidP="00D85B90">
      <w:pPr>
        <w:spacing w:line="240" w:lineRule="auto"/>
        <w:jc w:val="both"/>
        <w:rPr>
          <w:rFonts w:ascii="Arial Narrow" w:hAnsi="Arial Narrow" w:cstheme="minorHAnsi"/>
          <w:sz w:val="23"/>
          <w:szCs w:val="23"/>
        </w:rPr>
      </w:pPr>
      <w:r w:rsidRPr="00D85B90">
        <w:rPr>
          <w:rFonts w:ascii="Arial Narrow" w:hAnsi="Arial Narrow" w:cstheme="minorHAnsi"/>
          <w:sz w:val="23"/>
          <w:szCs w:val="23"/>
        </w:rPr>
        <w:t xml:space="preserve">En el EIA también se deberá documentar cuáles serán los planes de prevención y/o mitigación de los impactos identificados, en definitiva, estos planes son </w:t>
      </w:r>
      <w:r w:rsidR="00BC28DF" w:rsidRPr="00D85B90">
        <w:rPr>
          <w:rFonts w:ascii="Arial Narrow" w:hAnsi="Arial Narrow" w:cstheme="minorHAnsi"/>
          <w:sz w:val="23"/>
          <w:szCs w:val="23"/>
        </w:rPr>
        <w:t>susceptibles</w:t>
      </w:r>
      <w:r w:rsidRPr="00D85B90">
        <w:rPr>
          <w:rFonts w:ascii="Arial Narrow" w:hAnsi="Arial Narrow" w:cstheme="minorHAnsi"/>
          <w:sz w:val="23"/>
          <w:szCs w:val="23"/>
        </w:rPr>
        <w:t xml:space="preserve"> de afectar derechos de los pueblos indígenas que están dentro de la zona de influencia del proyecto, en la medida que pueden afectar la salud, la integridad y la vida social de las personas originarias de la zona de influencia. </w:t>
      </w:r>
    </w:p>
    <w:p w14:paraId="37FA426D" w14:textId="10422103" w:rsidR="00D85B90" w:rsidRDefault="00D85B90" w:rsidP="00D85B90">
      <w:pPr>
        <w:spacing w:line="240" w:lineRule="auto"/>
        <w:jc w:val="both"/>
        <w:rPr>
          <w:rFonts w:ascii="Arial Narrow" w:hAnsi="Arial Narrow" w:cstheme="minorHAnsi"/>
          <w:sz w:val="23"/>
          <w:szCs w:val="23"/>
        </w:rPr>
      </w:pPr>
      <w:r w:rsidRPr="00D85B90">
        <w:rPr>
          <w:rFonts w:ascii="Arial Narrow" w:hAnsi="Arial Narrow" w:cstheme="minorHAnsi"/>
          <w:sz w:val="23"/>
          <w:szCs w:val="23"/>
        </w:rPr>
        <w:t>El EIA también debe contener el Plan de Cierre de Minas, esto contempla el conjunto de actividades que deben implementarse a lo largo de las operaciones de un proyecto minero con el fin de cumplir con los estándares ambientales establecidos y alcanzar los objetivos sociales deseados, indudablemente esta medida debe ser consultada y construida participativamente con los Pueblos Indígenas afectados por la actividad extractiva. Ello, en la medida que, este Plan debe respetar la relación espiritual de pueblos indígenas con su territorio y es obligación de la empresa cuando se retire, garantizar este respeto.</w:t>
      </w:r>
    </w:p>
    <w:p w14:paraId="2D519384" w14:textId="063B5B06" w:rsidR="002C285F" w:rsidRPr="002967C6" w:rsidRDefault="002C285F" w:rsidP="00D85B90">
      <w:pPr>
        <w:spacing w:line="240" w:lineRule="auto"/>
        <w:jc w:val="both"/>
        <w:rPr>
          <w:rFonts w:ascii="Arial Narrow" w:hAnsi="Arial Narrow" w:cstheme="minorHAnsi"/>
          <w:sz w:val="23"/>
          <w:szCs w:val="23"/>
        </w:rPr>
      </w:pPr>
      <w:r>
        <w:rPr>
          <w:rFonts w:ascii="Arial Narrow" w:hAnsi="Arial Narrow" w:cstheme="minorHAnsi"/>
          <w:sz w:val="23"/>
          <w:szCs w:val="23"/>
        </w:rPr>
        <w:lastRenderedPageBreak/>
        <w:t>Asimismo, los EIA son elaborados por empresas privadas quienes s</w:t>
      </w:r>
      <w:r w:rsidR="00C95086">
        <w:rPr>
          <w:rFonts w:ascii="Arial Narrow" w:hAnsi="Arial Narrow" w:cstheme="minorHAnsi"/>
          <w:sz w:val="23"/>
          <w:szCs w:val="23"/>
        </w:rPr>
        <w:t>on contratadas por las empresas</w:t>
      </w:r>
      <w:r w:rsidR="0090630E">
        <w:rPr>
          <w:rFonts w:ascii="Arial Narrow" w:hAnsi="Arial Narrow" w:cstheme="minorHAnsi"/>
          <w:sz w:val="23"/>
          <w:szCs w:val="23"/>
        </w:rPr>
        <w:t xml:space="preserve"> mineras o petroleras</w:t>
      </w:r>
      <w:r w:rsidR="00C95086">
        <w:rPr>
          <w:rFonts w:ascii="Arial Narrow" w:hAnsi="Arial Narrow" w:cstheme="minorHAnsi"/>
          <w:sz w:val="23"/>
          <w:szCs w:val="23"/>
        </w:rPr>
        <w:t xml:space="preserve"> que quieren iniciar actividades dentro de </w:t>
      </w:r>
      <w:r w:rsidR="00DB67E2">
        <w:rPr>
          <w:rFonts w:ascii="Arial Narrow" w:hAnsi="Arial Narrow" w:cstheme="minorHAnsi"/>
          <w:sz w:val="23"/>
          <w:szCs w:val="23"/>
        </w:rPr>
        <w:t>la zona de influencia</w:t>
      </w:r>
      <w:r w:rsidR="0062255B">
        <w:rPr>
          <w:rFonts w:ascii="Arial Narrow" w:hAnsi="Arial Narrow" w:cstheme="minorHAnsi"/>
          <w:sz w:val="23"/>
          <w:szCs w:val="23"/>
        </w:rPr>
        <w:t>. ¨Po</w:t>
      </w:r>
      <w:r w:rsidR="00DB67E2">
        <w:rPr>
          <w:rFonts w:ascii="Arial Narrow" w:hAnsi="Arial Narrow" w:cstheme="minorHAnsi"/>
          <w:sz w:val="23"/>
          <w:szCs w:val="23"/>
        </w:rPr>
        <w:t>r lo que muchos de estos EIA se encuentran elaborados a la medida de lo que la empresa minera o petrolera solicita</w:t>
      </w:r>
      <w:r w:rsidR="0062255B">
        <w:rPr>
          <w:rFonts w:ascii="Arial Narrow" w:hAnsi="Arial Narrow" w:cstheme="minorHAnsi"/>
          <w:sz w:val="23"/>
          <w:szCs w:val="23"/>
        </w:rPr>
        <w:t>,</w:t>
      </w:r>
      <w:r w:rsidR="0090630E">
        <w:rPr>
          <w:rFonts w:ascii="Arial Narrow" w:hAnsi="Arial Narrow" w:cstheme="minorHAnsi"/>
          <w:sz w:val="23"/>
          <w:szCs w:val="23"/>
        </w:rPr>
        <w:t xml:space="preserve"> sin considerar información importante para proteger los territorios de los pueblos indígenas. Además, cuando un pueblo indígena </w:t>
      </w:r>
      <w:r w:rsidR="00E428B3">
        <w:rPr>
          <w:rFonts w:ascii="Arial Narrow" w:hAnsi="Arial Narrow" w:cstheme="minorHAnsi"/>
          <w:sz w:val="23"/>
          <w:szCs w:val="23"/>
        </w:rPr>
        <w:t>que</w:t>
      </w:r>
      <w:r w:rsidR="0090630E">
        <w:rPr>
          <w:rFonts w:ascii="Arial Narrow" w:hAnsi="Arial Narrow" w:cstheme="minorHAnsi"/>
          <w:sz w:val="23"/>
          <w:szCs w:val="23"/>
        </w:rPr>
        <w:t xml:space="preserve"> será afectado por el EIA solicita información o participar del procedimiento, se le es negada</w:t>
      </w:r>
      <w:r w:rsidR="00E428B3">
        <w:rPr>
          <w:rFonts w:ascii="Arial Narrow" w:hAnsi="Arial Narrow" w:cstheme="minorHAnsi"/>
          <w:sz w:val="23"/>
          <w:szCs w:val="23"/>
        </w:rPr>
        <w:t xml:space="preserve"> </w:t>
      </w:r>
      <w:r w:rsidR="0090630E">
        <w:rPr>
          <w:rFonts w:ascii="Arial Narrow" w:hAnsi="Arial Narrow" w:cstheme="minorHAnsi"/>
          <w:sz w:val="23"/>
          <w:szCs w:val="23"/>
        </w:rPr>
        <w:t xml:space="preserve">debido a </w:t>
      </w:r>
      <w:r w:rsidR="006649A7">
        <w:rPr>
          <w:rFonts w:ascii="Arial Narrow" w:hAnsi="Arial Narrow" w:cstheme="minorHAnsi"/>
          <w:sz w:val="23"/>
          <w:szCs w:val="23"/>
        </w:rPr>
        <w:t>las políticas de SENACE</w:t>
      </w:r>
      <w:r w:rsidR="00600B8A">
        <w:rPr>
          <w:rFonts w:ascii="Arial Narrow" w:hAnsi="Arial Narrow" w:cstheme="minorHAnsi"/>
          <w:sz w:val="23"/>
          <w:szCs w:val="23"/>
        </w:rPr>
        <w:t xml:space="preserve">, que señala que </w:t>
      </w:r>
      <w:r w:rsidR="006649A7">
        <w:rPr>
          <w:rFonts w:ascii="Arial Narrow" w:hAnsi="Arial Narrow" w:cstheme="minorHAnsi"/>
          <w:sz w:val="23"/>
          <w:szCs w:val="23"/>
        </w:rPr>
        <w:t xml:space="preserve">solo es parte la empresa que se encuentra realizando la certificación ambiental, por lo que </w:t>
      </w:r>
      <w:r w:rsidR="004C2BC5">
        <w:rPr>
          <w:rFonts w:ascii="Arial Narrow" w:hAnsi="Arial Narrow" w:cstheme="minorHAnsi"/>
          <w:sz w:val="23"/>
          <w:szCs w:val="23"/>
        </w:rPr>
        <w:t xml:space="preserve">los pueblos indígenas no participan dentro de este procedimiento. Por </w:t>
      </w:r>
      <w:r w:rsidR="00D14257">
        <w:rPr>
          <w:rFonts w:ascii="Arial Narrow" w:hAnsi="Arial Narrow" w:cstheme="minorHAnsi"/>
          <w:sz w:val="23"/>
          <w:szCs w:val="23"/>
        </w:rPr>
        <w:t xml:space="preserve">ello, es </w:t>
      </w:r>
      <w:r w:rsidR="004C2BC5">
        <w:rPr>
          <w:rFonts w:ascii="Arial Narrow" w:hAnsi="Arial Narrow" w:cstheme="minorHAnsi"/>
          <w:sz w:val="23"/>
          <w:szCs w:val="23"/>
        </w:rPr>
        <w:t>necesario adecuar los procedimiento</w:t>
      </w:r>
      <w:r w:rsidR="003B3E7D">
        <w:rPr>
          <w:rFonts w:ascii="Arial Narrow" w:hAnsi="Arial Narrow" w:cstheme="minorHAnsi"/>
          <w:sz w:val="23"/>
          <w:szCs w:val="23"/>
        </w:rPr>
        <w:t xml:space="preserve">s a fin de garantizar los derechos de los pueblos indígenas a la participación, consulta y consentimiento previo, libre e informado. </w:t>
      </w:r>
    </w:p>
    <w:p w14:paraId="5EDB71A5" w14:textId="77777777" w:rsidR="00965D09" w:rsidRPr="00095BF1" w:rsidRDefault="00965D09" w:rsidP="00965D09">
      <w:pPr>
        <w:spacing w:after="0" w:line="240" w:lineRule="auto"/>
        <w:jc w:val="both"/>
        <w:rPr>
          <w:rFonts w:ascii="Arial Narrow" w:hAnsi="Arial Narrow" w:cstheme="minorHAnsi"/>
          <w:b/>
          <w:bCs/>
          <w:sz w:val="23"/>
          <w:szCs w:val="23"/>
        </w:rPr>
      </w:pPr>
    </w:p>
    <w:p w14:paraId="4356F966" w14:textId="4CCCAB98" w:rsidR="00657977" w:rsidRDefault="00657977" w:rsidP="00C91255">
      <w:pPr>
        <w:pStyle w:val="ListParagraph"/>
        <w:numPr>
          <w:ilvl w:val="0"/>
          <w:numId w:val="10"/>
        </w:numPr>
        <w:jc w:val="both"/>
        <w:rPr>
          <w:rFonts w:ascii="Arial Narrow" w:hAnsi="Arial Narrow" w:cstheme="minorHAnsi"/>
          <w:b/>
          <w:bCs/>
          <w:sz w:val="23"/>
          <w:szCs w:val="23"/>
        </w:rPr>
      </w:pPr>
      <w:r>
        <w:rPr>
          <w:rFonts w:ascii="Arial Narrow" w:hAnsi="Arial Narrow" w:cstheme="minorHAnsi"/>
          <w:b/>
          <w:bCs/>
          <w:sz w:val="23"/>
          <w:szCs w:val="23"/>
        </w:rPr>
        <w:t xml:space="preserve">Derechos </w:t>
      </w:r>
      <w:r w:rsidR="00516971">
        <w:rPr>
          <w:rFonts w:ascii="Arial Narrow" w:hAnsi="Arial Narrow" w:cstheme="minorHAnsi"/>
          <w:b/>
          <w:bCs/>
          <w:sz w:val="23"/>
          <w:szCs w:val="23"/>
        </w:rPr>
        <w:t xml:space="preserve">de la madre naturaleza </w:t>
      </w:r>
    </w:p>
    <w:p w14:paraId="1406E79D" w14:textId="77777777" w:rsidR="00516971" w:rsidRPr="00516971" w:rsidRDefault="00516971" w:rsidP="00516971">
      <w:pPr>
        <w:jc w:val="both"/>
        <w:rPr>
          <w:rFonts w:ascii="Arial Narrow" w:hAnsi="Arial Narrow" w:cstheme="minorHAnsi"/>
          <w:b/>
          <w:sz w:val="23"/>
          <w:szCs w:val="23"/>
        </w:rPr>
      </w:pPr>
      <w:r w:rsidRPr="00516971">
        <w:rPr>
          <w:rFonts w:ascii="Arial Narrow" w:hAnsi="Arial Narrow" w:cstheme="minorHAnsi"/>
          <w:sz w:val="23"/>
          <w:szCs w:val="23"/>
        </w:rPr>
        <w:t>En estos últimos años hemos presenciado los abusos que ha sufrido la madre naturaleza y como consecuencia de ello hemos visto el avance acelerado de la crisis climática y sus impactos en las formas de vida, incluidos los seres humanos, junto con la destrucción de hábitats enteros de especies de animales. En el Perú, existen 389 especies evaluadas en peligro crítico (Serfor, 2018); hay 8.2 millones de hectáreas degradadas (Serfor, 2021); se han perdido 190 mil hectáreas de bosque durante el primer año de pandemia por COVID-19 (MAAP, 2020) y se asesinaron cinco defensores ambientales en el mismo tiempo. Incluso la Organización Mundial de la Salud (OMS) ha señalado que las pandemias como las que vivimos ahora son consecuencia de la deforestación intensa</w:t>
      </w:r>
      <w:r>
        <w:rPr>
          <w:vertAlign w:val="superscript"/>
        </w:rPr>
        <w:endnoteReference w:id="7"/>
      </w:r>
      <w:r w:rsidRPr="00516971">
        <w:rPr>
          <w:rFonts w:ascii="Arial Narrow" w:hAnsi="Arial Narrow" w:cstheme="minorHAnsi"/>
          <w:sz w:val="23"/>
          <w:szCs w:val="23"/>
        </w:rPr>
        <w:t>, en la medida que así las enfermedades propias de los animales silvestres se transmiten con rapidez a los seres humanos. Estas pandemias han ocurrido —y seguirán ocurriendo con mayor intensidad— si no tenemos cambios de paradigma que logren un equilibrio en nuestra relación con la Madre Naturaleza.</w:t>
      </w:r>
    </w:p>
    <w:p w14:paraId="67F02BE1" w14:textId="7B144F9E" w:rsidR="00516971" w:rsidRPr="00516971" w:rsidRDefault="00516971" w:rsidP="004C244C">
      <w:pPr>
        <w:spacing w:after="0" w:line="240" w:lineRule="auto"/>
        <w:jc w:val="both"/>
        <w:rPr>
          <w:rFonts w:ascii="Arial Narrow" w:hAnsi="Arial Narrow" w:cstheme="minorHAnsi"/>
          <w:b/>
          <w:bCs/>
          <w:sz w:val="23"/>
          <w:szCs w:val="23"/>
        </w:rPr>
      </w:pPr>
      <w:bookmarkStart w:id="1" w:name="_gjdgxs"/>
      <w:bookmarkEnd w:id="1"/>
      <w:r w:rsidRPr="00516971">
        <w:rPr>
          <w:rFonts w:ascii="Arial Narrow" w:hAnsi="Arial Narrow" w:cstheme="minorHAnsi"/>
          <w:sz w:val="23"/>
          <w:szCs w:val="23"/>
        </w:rPr>
        <w:t xml:space="preserve">En este ONAMIAP elaboró una propuesta de Proyecto de Ley que recoge la cosmovisión indígena de convivencia armónica y recíproca con la naturaleza, de reconocimiento de </w:t>
      </w:r>
      <w:r w:rsidR="00A250E3" w:rsidRPr="00516971">
        <w:rPr>
          <w:rFonts w:ascii="Arial Narrow" w:hAnsi="Arial Narrow" w:cstheme="minorHAnsi"/>
          <w:sz w:val="23"/>
          <w:szCs w:val="23"/>
        </w:rPr>
        <w:t>esta</w:t>
      </w:r>
      <w:r w:rsidRPr="00516971">
        <w:rPr>
          <w:rFonts w:ascii="Arial Narrow" w:hAnsi="Arial Narrow" w:cstheme="minorHAnsi"/>
          <w:sz w:val="23"/>
          <w:szCs w:val="23"/>
        </w:rPr>
        <w:t xml:space="preserve"> como un ser vivo y que comprende la integralidad y complementariedad de sus componentes. Esta propuesta ha recibió aportes de otras organizaciones indígenas y de sociedad civil, así mismo recibió opinión de la Relatoría Especial sobre Derechos Económicos, Sociales, Culturales y Ambientales. Sin embargo, en el periodo legislativo anterior el poder ejecutivo y legislativo se negaron a aprobar esta ley que fortalecería la protección de la madre naturaleza con base en la cosmovisión indígena andina y amazónica.</w:t>
      </w:r>
      <w:r w:rsidRPr="00516971">
        <w:rPr>
          <w:rFonts w:ascii="Arial Narrow" w:hAnsi="Arial Narrow" w:cstheme="minorHAnsi"/>
          <w:b/>
          <w:bCs/>
          <w:sz w:val="23"/>
          <w:szCs w:val="23"/>
        </w:rPr>
        <w:t xml:space="preserve"> </w:t>
      </w:r>
    </w:p>
    <w:p w14:paraId="05CFBD05" w14:textId="77777777" w:rsidR="00881619" w:rsidRDefault="00881619" w:rsidP="00A250E3">
      <w:pPr>
        <w:spacing w:after="0" w:line="240" w:lineRule="auto"/>
        <w:jc w:val="both"/>
        <w:rPr>
          <w:rFonts w:ascii="Arial Narrow" w:hAnsi="Arial Narrow" w:cstheme="minorHAnsi"/>
          <w:sz w:val="23"/>
          <w:szCs w:val="23"/>
        </w:rPr>
      </w:pPr>
    </w:p>
    <w:p w14:paraId="553462B4" w14:textId="50E51A38" w:rsidR="00881619" w:rsidRPr="00881619" w:rsidRDefault="00881619" w:rsidP="00881619">
      <w:pPr>
        <w:spacing w:line="240" w:lineRule="auto"/>
        <w:jc w:val="both"/>
        <w:rPr>
          <w:rFonts w:ascii="Arial Narrow" w:hAnsi="Arial Narrow" w:cstheme="minorHAnsi"/>
          <w:sz w:val="23"/>
          <w:szCs w:val="23"/>
        </w:rPr>
      </w:pPr>
      <w:r>
        <w:rPr>
          <w:rFonts w:ascii="Arial Narrow" w:hAnsi="Arial Narrow" w:cstheme="minorHAnsi"/>
          <w:sz w:val="23"/>
          <w:szCs w:val="23"/>
        </w:rPr>
        <w:t>El Estado en su informe hace referencia a la Política Nacional del Ambiente</w:t>
      </w:r>
      <w:r w:rsidRPr="00881619">
        <w:rPr>
          <w:rFonts w:ascii="Arial Narrow" w:hAnsi="Arial Narrow" w:cstheme="minorHAnsi"/>
          <w:sz w:val="23"/>
          <w:szCs w:val="23"/>
        </w:rPr>
        <w:t xml:space="preserve"> </w:t>
      </w:r>
      <w:r>
        <w:rPr>
          <w:rFonts w:ascii="Arial Narrow" w:hAnsi="Arial Narrow" w:cstheme="minorHAnsi"/>
          <w:sz w:val="23"/>
          <w:szCs w:val="23"/>
        </w:rPr>
        <w:t>(</w:t>
      </w:r>
      <w:r w:rsidRPr="00881619">
        <w:rPr>
          <w:rFonts w:ascii="Arial Narrow" w:hAnsi="Arial Narrow" w:cstheme="minorHAnsi"/>
          <w:sz w:val="23"/>
          <w:szCs w:val="23"/>
        </w:rPr>
        <w:t>PNA</w:t>
      </w:r>
      <w:r>
        <w:rPr>
          <w:rFonts w:ascii="Arial Narrow" w:hAnsi="Arial Narrow" w:cstheme="minorHAnsi"/>
          <w:sz w:val="23"/>
          <w:szCs w:val="23"/>
        </w:rPr>
        <w:t>)</w:t>
      </w:r>
      <w:r w:rsidRPr="00881619">
        <w:rPr>
          <w:rFonts w:ascii="Arial Narrow" w:hAnsi="Arial Narrow" w:cstheme="minorHAnsi"/>
          <w:sz w:val="23"/>
          <w:szCs w:val="23"/>
        </w:rPr>
        <w:t xml:space="preserve"> al 2030</w:t>
      </w:r>
      <w:r w:rsidR="000E031B">
        <w:rPr>
          <w:rFonts w:ascii="Arial Narrow" w:hAnsi="Arial Narrow" w:cstheme="minorHAnsi"/>
          <w:sz w:val="23"/>
          <w:szCs w:val="23"/>
        </w:rPr>
        <w:t>,</w:t>
      </w:r>
      <w:r>
        <w:rPr>
          <w:rFonts w:ascii="Arial Narrow" w:hAnsi="Arial Narrow" w:cstheme="minorHAnsi"/>
          <w:sz w:val="23"/>
          <w:szCs w:val="23"/>
        </w:rPr>
        <w:t xml:space="preserve"> en la cual se </w:t>
      </w:r>
      <w:r w:rsidRPr="00881619">
        <w:rPr>
          <w:rFonts w:ascii="Arial Narrow" w:hAnsi="Arial Narrow" w:cstheme="minorHAnsi"/>
          <w:sz w:val="23"/>
          <w:szCs w:val="23"/>
        </w:rPr>
        <w:t>impulsa el cuidado de la naturaleza y de los ecosistemas</w:t>
      </w:r>
      <w:r w:rsidR="000E031B">
        <w:rPr>
          <w:rFonts w:ascii="Arial Narrow" w:hAnsi="Arial Narrow" w:cstheme="minorHAnsi"/>
          <w:sz w:val="23"/>
          <w:szCs w:val="23"/>
        </w:rPr>
        <w:t>,</w:t>
      </w:r>
      <w:r w:rsidR="00034DA1">
        <w:rPr>
          <w:rFonts w:ascii="Arial Narrow" w:hAnsi="Arial Narrow" w:cstheme="minorHAnsi"/>
          <w:sz w:val="23"/>
          <w:szCs w:val="23"/>
        </w:rPr>
        <w:t xml:space="preserve"> la cual además no haber sido consultada, no </w:t>
      </w:r>
      <w:r w:rsidR="00F921C4">
        <w:rPr>
          <w:rFonts w:ascii="Arial Narrow" w:hAnsi="Arial Narrow" w:cstheme="minorHAnsi"/>
          <w:sz w:val="23"/>
          <w:szCs w:val="23"/>
        </w:rPr>
        <w:t xml:space="preserve">recoge la cosmovisión indígena </w:t>
      </w:r>
      <w:r w:rsidR="00034DA1">
        <w:rPr>
          <w:rFonts w:ascii="Arial Narrow" w:hAnsi="Arial Narrow" w:cstheme="minorHAnsi"/>
          <w:sz w:val="23"/>
          <w:szCs w:val="23"/>
        </w:rPr>
        <w:t xml:space="preserve">por lo que no existe una verdadera protección a nuestra madre naturaleza como </w:t>
      </w:r>
      <w:r w:rsidR="004822F1">
        <w:rPr>
          <w:rFonts w:ascii="Arial Narrow" w:hAnsi="Arial Narrow" w:cstheme="minorHAnsi"/>
          <w:sz w:val="23"/>
          <w:szCs w:val="23"/>
        </w:rPr>
        <w:t>sujeto de derecho y que implique una adecuada protección por parte del Estado</w:t>
      </w:r>
      <w:r w:rsidR="00EB72A1">
        <w:rPr>
          <w:rFonts w:ascii="Arial Narrow" w:hAnsi="Arial Narrow" w:cstheme="minorHAnsi"/>
          <w:sz w:val="23"/>
          <w:szCs w:val="23"/>
        </w:rPr>
        <w:t xml:space="preserve">. </w:t>
      </w:r>
    </w:p>
    <w:p w14:paraId="57B26493" w14:textId="77777777" w:rsidR="006D3BC1" w:rsidRDefault="006D3BC1" w:rsidP="006D3BC1">
      <w:pPr>
        <w:spacing w:after="0" w:line="240" w:lineRule="auto"/>
        <w:jc w:val="both"/>
        <w:rPr>
          <w:rFonts w:ascii="Arial Narrow" w:hAnsi="Arial Narrow" w:cstheme="minorHAnsi"/>
          <w:sz w:val="23"/>
          <w:szCs w:val="23"/>
        </w:rPr>
      </w:pPr>
      <w:r w:rsidRPr="00516971">
        <w:rPr>
          <w:rFonts w:ascii="Arial Narrow" w:hAnsi="Arial Narrow" w:cstheme="minorHAnsi"/>
          <w:sz w:val="23"/>
          <w:szCs w:val="23"/>
        </w:rPr>
        <w:t xml:space="preserve">En estos últimos meses la destrucción de la madre naturaleza se ha intensificado y se ha comprobado que el marco normativo actual es insuficiente para protegerla y para repararla, es por ello que, como organización indígena hemos vuelto a presentar el proyecto de ley, el cual ha sido asignado 2226/2021-CR. </w:t>
      </w:r>
    </w:p>
    <w:p w14:paraId="5B6689FC" w14:textId="77777777" w:rsidR="00516971" w:rsidRPr="00516971" w:rsidRDefault="00516971" w:rsidP="00516971">
      <w:pPr>
        <w:jc w:val="both"/>
        <w:rPr>
          <w:rFonts w:ascii="Arial Narrow" w:hAnsi="Arial Narrow" w:cstheme="minorHAnsi"/>
          <w:b/>
          <w:bCs/>
          <w:sz w:val="23"/>
          <w:szCs w:val="23"/>
        </w:rPr>
      </w:pPr>
    </w:p>
    <w:p w14:paraId="56953E8B" w14:textId="0B1BC4BB" w:rsidR="00062EA7" w:rsidRPr="00095BF1" w:rsidRDefault="00062EA7" w:rsidP="00C91255">
      <w:pPr>
        <w:pStyle w:val="ListParagraph"/>
        <w:numPr>
          <w:ilvl w:val="0"/>
          <w:numId w:val="10"/>
        </w:numPr>
        <w:jc w:val="both"/>
        <w:rPr>
          <w:rFonts w:ascii="Arial Narrow" w:hAnsi="Arial Narrow" w:cstheme="minorHAnsi"/>
          <w:b/>
          <w:bCs/>
          <w:sz w:val="23"/>
          <w:szCs w:val="23"/>
        </w:rPr>
      </w:pPr>
      <w:r w:rsidRPr="00095BF1">
        <w:rPr>
          <w:rFonts w:ascii="Arial Narrow" w:hAnsi="Arial Narrow" w:cstheme="minorHAnsi"/>
          <w:b/>
          <w:bCs/>
          <w:sz w:val="23"/>
          <w:szCs w:val="23"/>
        </w:rPr>
        <w:t>Acceso a la salud intercultural (</w:t>
      </w:r>
      <w:r>
        <w:rPr>
          <w:rFonts w:ascii="Arial Narrow" w:hAnsi="Arial Narrow" w:cstheme="minorHAnsi"/>
          <w:b/>
          <w:bCs/>
          <w:sz w:val="23"/>
          <w:szCs w:val="23"/>
        </w:rPr>
        <w:t>Artículo 12 del Pacto)</w:t>
      </w:r>
    </w:p>
    <w:p w14:paraId="368D34C9" w14:textId="77777777" w:rsidR="00062EA7" w:rsidRPr="00095BF1" w:rsidRDefault="00062EA7" w:rsidP="00062EA7">
      <w:pPr>
        <w:spacing w:after="0" w:line="240" w:lineRule="auto"/>
        <w:jc w:val="both"/>
        <w:rPr>
          <w:rFonts w:ascii="Arial Narrow" w:hAnsi="Arial Narrow" w:cstheme="minorHAnsi"/>
          <w:sz w:val="23"/>
          <w:szCs w:val="23"/>
        </w:rPr>
      </w:pPr>
      <w:r w:rsidRPr="00095BF1">
        <w:rPr>
          <w:rFonts w:ascii="Arial Narrow" w:hAnsi="Arial Narrow" w:cstheme="minorHAnsi"/>
          <w:sz w:val="23"/>
          <w:szCs w:val="23"/>
        </w:rPr>
        <w:t>La Política sectorial de Salud intercultural ha sido aprobada mediante Decreto Supremo N° 016-2016-SA, el 01 de abril de 2016, desde esa fecha hasta hoy, la Política no ha sido implementada efectivamente y no ha garantizado atención adecuada e idónea para nuestros hermanos y hermanas. Las clásicas enfermedades como el dengue</w:t>
      </w:r>
      <w:r w:rsidRPr="00095BF1">
        <w:rPr>
          <w:rStyle w:val="EndnoteReference"/>
          <w:rFonts w:ascii="Arial Narrow" w:hAnsi="Arial Narrow" w:cstheme="minorHAnsi"/>
          <w:sz w:val="23"/>
          <w:szCs w:val="23"/>
        </w:rPr>
        <w:endnoteReference w:id="8"/>
      </w:r>
      <w:r w:rsidRPr="00095BF1">
        <w:rPr>
          <w:rFonts w:ascii="Arial Narrow" w:hAnsi="Arial Narrow" w:cstheme="minorHAnsi"/>
          <w:sz w:val="23"/>
          <w:szCs w:val="23"/>
        </w:rPr>
        <w:t>, la malaria e incluso las infecciones estomacales siguen cobrando vidas en nuestros Pueblos. A esto se suma, la falta de Protocolos frente a la contaminación por metales pesados.</w:t>
      </w:r>
    </w:p>
    <w:p w14:paraId="622ED823" w14:textId="77777777" w:rsidR="00062EA7" w:rsidRPr="00095BF1" w:rsidRDefault="00062EA7" w:rsidP="00062EA7">
      <w:pPr>
        <w:spacing w:after="0" w:line="240" w:lineRule="auto"/>
        <w:jc w:val="both"/>
        <w:rPr>
          <w:rFonts w:ascii="Arial Narrow" w:hAnsi="Arial Narrow" w:cstheme="minorHAnsi"/>
          <w:sz w:val="23"/>
          <w:szCs w:val="23"/>
        </w:rPr>
      </w:pPr>
    </w:p>
    <w:p w14:paraId="3A269DBE" w14:textId="553F537D" w:rsidR="00062EA7" w:rsidRPr="00095BF1" w:rsidRDefault="00062EA7" w:rsidP="00062EA7">
      <w:pPr>
        <w:spacing w:after="0" w:line="240" w:lineRule="auto"/>
        <w:jc w:val="both"/>
        <w:rPr>
          <w:rFonts w:ascii="Arial Narrow" w:hAnsi="Arial Narrow" w:cstheme="minorHAnsi"/>
          <w:b/>
          <w:bCs/>
          <w:sz w:val="23"/>
          <w:szCs w:val="23"/>
        </w:rPr>
      </w:pPr>
      <w:r w:rsidRPr="00095BF1">
        <w:rPr>
          <w:rFonts w:ascii="Arial Narrow" w:hAnsi="Arial Narrow" w:cstheme="minorHAnsi"/>
          <w:sz w:val="23"/>
          <w:szCs w:val="23"/>
        </w:rPr>
        <w:t xml:space="preserve">La desnutrición crónica de menores de 5 años a nivel urbano alcanza el 7.3% y a nivel rural el 27.7% (ENDES 2018). Sin embargo, la mayor prevalencia en el país la registran los pueblos indígenas. Un diagnóstico nutricional a menores de 5 años de 3 comunidades Matsiguengas del distrito de Megantoni, provincia de la Convención, región Cusco, arrojó que el 64.7% de los y las menores de 6 y 36 meses de edad presentaban anemia moderada. La prevalencia de la </w:t>
      </w:r>
      <w:r w:rsidRPr="00095BF1">
        <w:rPr>
          <w:rFonts w:ascii="Arial Narrow" w:hAnsi="Arial Narrow" w:cstheme="minorHAnsi"/>
          <w:sz w:val="23"/>
          <w:szCs w:val="23"/>
        </w:rPr>
        <w:lastRenderedPageBreak/>
        <w:t>desnutrición crónica fue de 43.4%, identificando 2 casos de desnutrición aguda y 2 casos de desnutrición global. En el estudio se encontró que 47.5% tiene alguna forma de desnutrición y el 71.2% de los y las menores que no presentan alguna forma de desnutrición se encuentran en riesgo nutricional. Ser indígena de una comunidad es vivir situaciones de pobreza, estar malnutrido, anémico y no tener acceso a servicios de salud, agua y saneamiento.</w:t>
      </w:r>
      <w:r w:rsidRPr="00095BF1">
        <w:rPr>
          <w:rStyle w:val="EndnoteReference"/>
          <w:rFonts w:ascii="Arial Narrow" w:hAnsi="Arial Narrow" w:cstheme="minorHAnsi"/>
          <w:sz w:val="23"/>
          <w:szCs w:val="23"/>
        </w:rPr>
        <w:endnoteReference w:id="9"/>
      </w:r>
      <w:r w:rsidRPr="00095BF1">
        <w:rPr>
          <w:rFonts w:ascii="Arial Narrow" w:hAnsi="Arial Narrow" w:cstheme="minorHAnsi"/>
          <w:sz w:val="23"/>
          <w:szCs w:val="23"/>
        </w:rPr>
        <w:t xml:space="preserve"> </w:t>
      </w:r>
    </w:p>
    <w:p w14:paraId="767E527E" w14:textId="77777777" w:rsidR="00062EA7" w:rsidRPr="00095BF1" w:rsidRDefault="00062EA7" w:rsidP="00062EA7">
      <w:pPr>
        <w:spacing w:after="0" w:line="240" w:lineRule="auto"/>
        <w:jc w:val="both"/>
        <w:rPr>
          <w:rFonts w:ascii="Arial Narrow" w:hAnsi="Arial Narrow" w:cstheme="minorHAnsi"/>
          <w:b/>
          <w:bCs/>
          <w:sz w:val="23"/>
          <w:szCs w:val="23"/>
        </w:rPr>
      </w:pPr>
    </w:p>
    <w:p w14:paraId="672FAF1F" w14:textId="7972BC3F" w:rsidR="00062EA7" w:rsidRPr="00095BF1" w:rsidRDefault="00062EA7" w:rsidP="00062EA7">
      <w:pPr>
        <w:spacing w:after="0" w:line="240" w:lineRule="auto"/>
        <w:jc w:val="both"/>
        <w:rPr>
          <w:rFonts w:ascii="Arial Narrow" w:hAnsi="Arial Narrow" w:cstheme="minorHAnsi"/>
          <w:b/>
          <w:bCs/>
          <w:sz w:val="23"/>
          <w:szCs w:val="23"/>
        </w:rPr>
      </w:pPr>
      <w:r w:rsidRPr="00095BF1">
        <w:rPr>
          <w:rFonts w:ascii="Arial Narrow" w:hAnsi="Arial Narrow" w:cstheme="minorHAnsi"/>
          <w:sz w:val="23"/>
          <w:szCs w:val="23"/>
        </w:rPr>
        <w:t>Según información proporcionada por el Ministerio de Salud, no todas las comunidades tienen acceso a una Institución Prestadora de Servicios de Salud (IPRESS)</w:t>
      </w:r>
      <w:r w:rsidR="00A623C4">
        <w:rPr>
          <w:rFonts w:ascii="Arial Narrow" w:hAnsi="Arial Narrow" w:cstheme="minorHAnsi"/>
          <w:sz w:val="23"/>
          <w:szCs w:val="23"/>
        </w:rPr>
        <w:t xml:space="preserve">, por lo que en muchas ocasiones </w:t>
      </w:r>
      <w:r w:rsidR="00805F16">
        <w:rPr>
          <w:rFonts w:ascii="Arial Narrow" w:hAnsi="Arial Narrow" w:cstheme="minorHAnsi"/>
          <w:sz w:val="23"/>
          <w:szCs w:val="23"/>
        </w:rPr>
        <w:t xml:space="preserve">tienen que recorrer grandes extensiones para poder </w:t>
      </w:r>
      <w:r w:rsidR="00AA6286">
        <w:rPr>
          <w:rFonts w:ascii="Arial Narrow" w:hAnsi="Arial Narrow" w:cstheme="minorHAnsi"/>
          <w:sz w:val="23"/>
          <w:szCs w:val="23"/>
        </w:rPr>
        <w:t>recibir atención médica</w:t>
      </w:r>
      <w:r w:rsidR="00D6163A">
        <w:rPr>
          <w:rFonts w:ascii="Arial Narrow" w:hAnsi="Arial Narrow" w:cstheme="minorHAnsi"/>
          <w:sz w:val="23"/>
          <w:szCs w:val="23"/>
        </w:rPr>
        <w:t>,</w:t>
      </w:r>
      <w:r w:rsidRPr="00095BF1">
        <w:rPr>
          <w:rFonts w:ascii="Arial Narrow" w:hAnsi="Arial Narrow" w:cstheme="minorHAnsi"/>
          <w:sz w:val="23"/>
          <w:szCs w:val="23"/>
        </w:rPr>
        <w:t xml:space="preserve"> y las comunidades tanto de la zona andina y amazónica que tienen acceso a una IPRESS, estas son de nivel básico de atención en salud, lo cual implica que s</w:t>
      </w:r>
      <w:r w:rsidR="00035A04">
        <w:rPr>
          <w:rFonts w:ascii="Arial Narrow" w:hAnsi="Arial Narrow" w:cstheme="minorHAnsi"/>
          <w:sz w:val="23"/>
          <w:szCs w:val="23"/>
        </w:rPr>
        <w:t>o</w:t>
      </w:r>
      <w:r w:rsidRPr="00095BF1">
        <w:rPr>
          <w:rFonts w:ascii="Arial Narrow" w:hAnsi="Arial Narrow" w:cstheme="minorHAnsi"/>
          <w:sz w:val="23"/>
          <w:szCs w:val="23"/>
        </w:rPr>
        <w:t>lo cuenta con consultorios con personal no médico. El Gobierno Regional de Cusco ha reportado que, de las 997 comunidades indígenas, solo 6 tendrían acceso a un hospital, 240 a un Centro de Salud, 441 a un Puesto de Salud y de 315 comunidades no ha reportado la situación. Esto quiere decir que 681 comunidades tienen acceso solo al nivel básico de atención en salud, en muchos casos con personal no médico.</w:t>
      </w:r>
      <w:r w:rsidRPr="00095BF1">
        <w:rPr>
          <w:rStyle w:val="EndnoteReference"/>
          <w:rFonts w:ascii="Arial Narrow" w:hAnsi="Arial Narrow" w:cstheme="minorHAnsi"/>
          <w:sz w:val="23"/>
          <w:szCs w:val="23"/>
        </w:rPr>
        <w:endnoteReference w:id="10"/>
      </w:r>
      <w:r w:rsidRPr="00095BF1">
        <w:rPr>
          <w:rFonts w:ascii="Arial Narrow" w:hAnsi="Arial Narrow" w:cstheme="minorHAnsi"/>
          <w:sz w:val="23"/>
          <w:szCs w:val="23"/>
        </w:rPr>
        <w:t xml:space="preserve"> </w:t>
      </w:r>
    </w:p>
    <w:p w14:paraId="2B5E2223" w14:textId="77777777" w:rsidR="00062EA7" w:rsidRPr="00095BF1" w:rsidRDefault="00062EA7" w:rsidP="00062EA7">
      <w:pPr>
        <w:spacing w:after="0" w:line="240" w:lineRule="auto"/>
        <w:jc w:val="both"/>
        <w:rPr>
          <w:rFonts w:ascii="Arial Narrow" w:hAnsi="Arial Narrow" w:cstheme="minorHAnsi"/>
          <w:sz w:val="23"/>
          <w:szCs w:val="23"/>
        </w:rPr>
      </w:pPr>
    </w:p>
    <w:p w14:paraId="55506571" w14:textId="77777777" w:rsidR="00062EA7" w:rsidRDefault="00062EA7" w:rsidP="00062EA7">
      <w:pPr>
        <w:spacing w:after="0" w:line="240" w:lineRule="auto"/>
        <w:jc w:val="both"/>
        <w:rPr>
          <w:rFonts w:ascii="Arial Narrow" w:hAnsi="Arial Narrow" w:cstheme="minorHAnsi"/>
          <w:sz w:val="23"/>
          <w:szCs w:val="23"/>
        </w:rPr>
      </w:pPr>
      <w:r>
        <w:rPr>
          <w:rFonts w:ascii="Arial Narrow" w:hAnsi="Arial Narrow" w:cstheme="minorHAnsi"/>
          <w:sz w:val="23"/>
          <w:szCs w:val="23"/>
        </w:rPr>
        <w:t>E</w:t>
      </w:r>
      <w:r w:rsidRPr="00095BF1">
        <w:rPr>
          <w:rFonts w:ascii="Arial Narrow" w:hAnsi="Arial Narrow" w:cstheme="minorHAnsi"/>
          <w:sz w:val="23"/>
          <w:szCs w:val="23"/>
        </w:rPr>
        <w:t>l Estado tiene una deuda enorme con la salud de los Pueblos Indígenas, la atención en salud no solo no es intercultural o no se brinda en el idioma originario, sino que tiene condiciones precarias o en muchos territorios es incluso inexistente. A pesar de ello, el Estado no solo no garantiza ni implementa, sino que incluso tiene prácticas regresivas en materia de salud; un ejemplo de ello es que ha intentado hasta en dos ocasiones eliminar la Dirección de Pueblos Indígenas y Afroperuanos del Ministerio de Salud</w:t>
      </w:r>
      <w:r w:rsidRPr="00095BF1">
        <w:rPr>
          <w:rStyle w:val="EndnoteReference"/>
          <w:rFonts w:ascii="Arial Narrow" w:hAnsi="Arial Narrow" w:cstheme="minorHAnsi"/>
          <w:sz w:val="23"/>
          <w:szCs w:val="23"/>
        </w:rPr>
        <w:endnoteReference w:id="11"/>
      </w:r>
      <w:r w:rsidRPr="00095BF1">
        <w:rPr>
          <w:rFonts w:ascii="Arial Narrow" w:hAnsi="Arial Narrow" w:cstheme="minorHAnsi"/>
          <w:sz w:val="23"/>
          <w:szCs w:val="23"/>
        </w:rPr>
        <w:t>.</w:t>
      </w:r>
    </w:p>
    <w:p w14:paraId="70CB8B83" w14:textId="77777777" w:rsidR="00405CF9" w:rsidRDefault="00405CF9" w:rsidP="00062EA7">
      <w:pPr>
        <w:spacing w:after="0" w:line="240" w:lineRule="auto"/>
        <w:jc w:val="both"/>
        <w:rPr>
          <w:rFonts w:ascii="Arial Narrow" w:hAnsi="Arial Narrow" w:cstheme="minorHAnsi"/>
          <w:sz w:val="23"/>
          <w:szCs w:val="23"/>
        </w:rPr>
      </w:pPr>
    </w:p>
    <w:p w14:paraId="0D6852FE" w14:textId="43ED0130" w:rsidR="00931A7D" w:rsidRDefault="00AE5DFA" w:rsidP="00062EA7">
      <w:pPr>
        <w:spacing w:after="0" w:line="240" w:lineRule="auto"/>
        <w:jc w:val="both"/>
        <w:rPr>
          <w:rFonts w:ascii="Arial Narrow" w:hAnsi="Arial Narrow" w:cstheme="minorHAnsi"/>
          <w:sz w:val="23"/>
          <w:szCs w:val="23"/>
        </w:rPr>
      </w:pPr>
      <w:r>
        <w:rPr>
          <w:rFonts w:ascii="Arial Narrow" w:hAnsi="Arial Narrow" w:cstheme="minorHAnsi"/>
          <w:sz w:val="23"/>
          <w:szCs w:val="23"/>
        </w:rPr>
        <w:t>E</w:t>
      </w:r>
      <w:r w:rsidR="00A32527">
        <w:rPr>
          <w:rFonts w:ascii="Arial Narrow" w:hAnsi="Arial Narrow" w:cstheme="minorHAnsi"/>
          <w:sz w:val="23"/>
          <w:szCs w:val="23"/>
        </w:rPr>
        <w:t>sta situación</w:t>
      </w:r>
      <w:r w:rsidR="00F46E96">
        <w:rPr>
          <w:rFonts w:ascii="Arial Narrow" w:hAnsi="Arial Narrow" w:cstheme="minorHAnsi"/>
          <w:sz w:val="23"/>
          <w:szCs w:val="23"/>
        </w:rPr>
        <w:t xml:space="preserve"> de salud se vio agravada</w:t>
      </w:r>
      <w:r w:rsidR="00657631">
        <w:rPr>
          <w:rFonts w:ascii="Arial Narrow" w:hAnsi="Arial Narrow" w:cstheme="minorHAnsi"/>
          <w:sz w:val="23"/>
          <w:szCs w:val="23"/>
        </w:rPr>
        <w:t>,</w:t>
      </w:r>
      <w:r w:rsidR="00F46E96">
        <w:rPr>
          <w:rFonts w:ascii="Arial Narrow" w:hAnsi="Arial Narrow" w:cstheme="minorHAnsi"/>
          <w:sz w:val="23"/>
          <w:szCs w:val="23"/>
        </w:rPr>
        <w:t xml:space="preserve"> sobre todo para los Pueblos indígenas</w:t>
      </w:r>
      <w:r w:rsidR="00657631">
        <w:rPr>
          <w:rFonts w:ascii="Arial Narrow" w:hAnsi="Arial Narrow" w:cstheme="minorHAnsi"/>
          <w:sz w:val="23"/>
          <w:szCs w:val="23"/>
        </w:rPr>
        <w:t>,</w:t>
      </w:r>
      <w:r w:rsidR="00F46E96">
        <w:rPr>
          <w:rFonts w:ascii="Arial Narrow" w:hAnsi="Arial Narrow" w:cstheme="minorHAnsi"/>
          <w:sz w:val="23"/>
          <w:szCs w:val="23"/>
        </w:rPr>
        <w:t xml:space="preserve"> con la llegada del COVID-19, debido a que no solo existía una desprotección ante las enfermedades comunes de las cuales padecen a </w:t>
      </w:r>
      <w:r w:rsidR="002B3394">
        <w:rPr>
          <w:rFonts w:ascii="Arial Narrow" w:hAnsi="Arial Narrow" w:cstheme="minorHAnsi"/>
          <w:sz w:val="23"/>
          <w:szCs w:val="23"/>
        </w:rPr>
        <w:t>diario,</w:t>
      </w:r>
      <w:r w:rsidR="00F46E96">
        <w:rPr>
          <w:rFonts w:ascii="Arial Narrow" w:hAnsi="Arial Narrow" w:cstheme="minorHAnsi"/>
          <w:sz w:val="23"/>
          <w:szCs w:val="23"/>
        </w:rPr>
        <w:t xml:space="preserve"> sino que tenía</w:t>
      </w:r>
      <w:r w:rsidR="00670AD5">
        <w:rPr>
          <w:rFonts w:ascii="Arial Narrow" w:hAnsi="Arial Narrow" w:cstheme="minorHAnsi"/>
          <w:sz w:val="23"/>
          <w:szCs w:val="23"/>
        </w:rPr>
        <w:t>n</w:t>
      </w:r>
      <w:r w:rsidR="00F46E96">
        <w:rPr>
          <w:rFonts w:ascii="Arial Narrow" w:hAnsi="Arial Narrow" w:cstheme="minorHAnsi"/>
          <w:sz w:val="23"/>
          <w:szCs w:val="23"/>
        </w:rPr>
        <w:t xml:space="preserve"> que afrontar un</w:t>
      </w:r>
      <w:r w:rsidR="00904317">
        <w:rPr>
          <w:rFonts w:ascii="Arial Narrow" w:hAnsi="Arial Narrow" w:cstheme="minorHAnsi"/>
          <w:sz w:val="23"/>
          <w:szCs w:val="23"/>
        </w:rPr>
        <w:t>a pandemia sin ningún tipo de apoyo del Estado</w:t>
      </w:r>
      <w:r w:rsidR="002B3394">
        <w:rPr>
          <w:rFonts w:ascii="Arial Narrow" w:hAnsi="Arial Narrow" w:cstheme="minorHAnsi"/>
          <w:sz w:val="23"/>
          <w:szCs w:val="23"/>
        </w:rPr>
        <w:t>. Por ello, ante el aumento de casos por COVID-19, los pueblos indígenas han recurrido a su medicina ancestral a fin de poder hacerle frente al COVID-19, ejemplo de ello es la conformación del Comando matico en los pueblos amazónicos quiénes han logrado brindar asistencia médica a varias comunidades.</w:t>
      </w:r>
    </w:p>
    <w:p w14:paraId="4656415A" w14:textId="77777777" w:rsidR="00A02CE1" w:rsidRDefault="00A02CE1" w:rsidP="00062EA7">
      <w:pPr>
        <w:spacing w:after="0" w:line="240" w:lineRule="auto"/>
        <w:jc w:val="both"/>
        <w:rPr>
          <w:rFonts w:ascii="Arial Narrow" w:hAnsi="Arial Narrow" w:cstheme="minorHAnsi"/>
          <w:sz w:val="23"/>
          <w:szCs w:val="23"/>
        </w:rPr>
      </w:pPr>
    </w:p>
    <w:p w14:paraId="40C29C3F" w14:textId="00074F4A" w:rsidR="00A02CE1" w:rsidRDefault="00A02CE1" w:rsidP="00062EA7">
      <w:pPr>
        <w:spacing w:after="0" w:line="240" w:lineRule="auto"/>
        <w:jc w:val="both"/>
        <w:rPr>
          <w:rFonts w:ascii="Arial Narrow" w:hAnsi="Arial Narrow" w:cstheme="minorHAnsi"/>
          <w:sz w:val="23"/>
          <w:szCs w:val="23"/>
        </w:rPr>
      </w:pPr>
      <w:r>
        <w:rPr>
          <w:rFonts w:ascii="Arial Narrow" w:hAnsi="Arial Narrow" w:cstheme="minorHAnsi"/>
          <w:sz w:val="23"/>
          <w:szCs w:val="23"/>
        </w:rPr>
        <w:t>Asimismo, la situación en torno a l</w:t>
      </w:r>
      <w:r w:rsidR="00AF48A4">
        <w:rPr>
          <w:rFonts w:ascii="Arial Narrow" w:hAnsi="Arial Narrow" w:cstheme="minorHAnsi"/>
          <w:sz w:val="23"/>
          <w:szCs w:val="23"/>
        </w:rPr>
        <w:t>a distribución de las vacunas por COVID-19</w:t>
      </w:r>
      <w:r w:rsidR="006338FC">
        <w:rPr>
          <w:rFonts w:ascii="Arial Narrow" w:hAnsi="Arial Narrow" w:cstheme="minorHAnsi"/>
          <w:sz w:val="23"/>
          <w:szCs w:val="23"/>
        </w:rPr>
        <w:t xml:space="preserve"> </w:t>
      </w:r>
      <w:r w:rsidR="00131647">
        <w:rPr>
          <w:rFonts w:ascii="Arial Narrow" w:hAnsi="Arial Narrow" w:cstheme="minorHAnsi"/>
          <w:sz w:val="23"/>
          <w:szCs w:val="23"/>
        </w:rPr>
        <w:t xml:space="preserve">hacia los pueblos indígenas </w:t>
      </w:r>
      <w:r w:rsidR="00BC3046">
        <w:rPr>
          <w:rFonts w:ascii="Arial Narrow" w:hAnsi="Arial Narrow" w:cstheme="minorHAnsi"/>
          <w:sz w:val="23"/>
          <w:szCs w:val="23"/>
        </w:rPr>
        <w:t xml:space="preserve">ha sido ineficiente </w:t>
      </w:r>
      <w:r w:rsidR="00131647">
        <w:rPr>
          <w:rFonts w:ascii="Arial Narrow" w:hAnsi="Arial Narrow" w:cstheme="minorHAnsi"/>
          <w:sz w:val="23"/>
          <w:szCs w:val="23"/>
        </w:rPr>
        <w:t xml:space="preserve">debido </w:t>
      </w:r>
      <w:r w:rsidR="00FF7372">
        <w:rPr>
          <w:rFonts w:ascii="Arial Narrow" w:hAnsi="Arial Narrow" w:cstheme="minorHAnsi"/>
          <w:sz w:val="23"/>
          <w:szCs w:val="23"/>
        </w:rPr>
        <w:t xml:space="preserve">a que </w:t>
      </w:r>
      <w:r w:rsidR="00AF0A11">
        <w:rPr>
          <w:rFonts w:ascii="Arial Narrow" w:hAnsi="Arial Narrow" w:cstheme="minorHAnsi"/>
          <w:sz w:val="23"/>
          <w:szCs w:val="23"/>
        </w:rPr>
        <w:t xml:space="preserve">las vacunas </w:t>
      </w:r>
      <w:r w:rsidR="003C500B">
        <w:rPr>
          <w:rFonts w:ascii="Arial Narrow" w:hAnsi="Arial Narrow" w:cstheme="minorHAnsi"/>
          <w:sz w:val="23"/>
          <w:szCs w:val="23"/>
        </w:rPr>
        <w:t>han demorado en poder llegar a los territorios comunales</w:t>
      </w:r>
      <w:r w:rsidR="00AF0A11">
        <w:rPr>
          <w:rFonts w:ascii="Arial Narrow" w:hAnsi="Arial Narrow" w:cstheme="minorHAnsi"/>
          <w:sz w:val="23"/>
          <w:szCs w:val="23"/>
        </w:rPr>
        <w:t xml:space="preserve"> </w:t>
      </w:r>
      <w:r w:rsidR="00623F10">
        <w:rPr>
          <w:rFonts w:ascii="Arial Narrow" w:hAnsi="Arial Narrow" w:cstheme="minorHAnsi"/>
          <w:sz w:val="23"/>
          <w:szCs w:val="23"/>
        </w:rPr>
        <w:t xml:space="preserve">y </w:t>
      </w:r>
      <w:r w:rsidR="003C500B">
        <w:rPr>
          <w:rFonts w:ascii="Arial Narrow" w:hAnsi="Arial Narrow" w:cstheme="minorHAnsi"/>
          <w:sz w:val="23"/>
          <w:szCs w:val="23"/>
        </w:rPr>
        <w:t xml:space="preserve">además </w:t>
      </w:r>
      <w:r w:rsidR="00623F10">
        <w:rPr>
          <w:rFonts w:ascii="Arial Narrow" w:hAnsi="Arial Narrow" w:cstheme="minorHAnsi"/>
          <w:sz w:val="23"/>
          <w:szCs w:val="23"/>
        </w:rPr>
        <w:t>no se ha recibid</w:t>
      </w:r>
      <w:r w:rsidR="00975165">
        <w:rPr>
          <w:rFonts w:ascii="Arial Narrow" w:hAnsi="Arial Narrow" w:cstheme="minorHAnsi"/>
          <w:sz w:val="23"/>
          <w:szCs w:val="23"/>
        </w:rPr>
        <w:t>o</w:t>
      </w:r>
      <w:r w:rsidR="00623F10">
        <w:rPr>
          <w:rFonts w:ascii="Arial Narrow" w:hAnsi="Arial Narrow" w:cstheme="minorHAnsi"/>
          <w:sz w:val="23"/>
          <w:szCs w:val="23"/>
        </w:rPr>
        <w:t xml:space="preserve"> la información adecuada en los idiomas originarios</w:t>
      </w:r>
      <w:r w:rsidR="003C500B">
        <w:rPr>
          <w:rFonts w:ascii="Arial Narrow" w:hAnsi="Arial Narrow" w:cstheme="minorHAnsi"/>
          <w:sz w:val="23"/>
          <w:szCs w:val="23"/>
        </w:rPr>
        <w:t xml:space="preserve"> que </w:t>
      </w:r>
      <w:r w:rsidR="008A7F5A">
        <w:rPr>
          <w:rFonts w:ascii="Arial Narrow" w:hAnsi="Arial Narrow" w:cstheme="minorHAnsi"/>
          <w:sz w:val="23"/>
          <w:szCs w:val="23"/>
        </w:rPr>
        <w:t xml:space="preserve">señale la </w:t>
      </w:r>
      <w:r w:rsidR="003C500B">
        <w:rPr>
          <w:rFonts w:ascii="Arial Narrow" w:hAnsi="Arial Narrow" w:cstheme="minorHAnsi"/>
          <w:sz w:val="23"/>
          <w:szCs w:val="23"/>
        </w:rPr>
        <w:t xml:space="preserve">importancia de </w:t>
      </w:r>
      <w:r w:rsidR="00AC7E86">
        <w:rPr>
          <w:rFonts w:ascii="Arial Narrow" w:hAnsi="Arial Narrow" w:cstheme="minorHAnsi"/>
          <w:sz w:val="23"/>
          <w:szCs w:val="23"/>
        </w:rPr>
        <w:t xml:space="preserve">estas. </w:t>
      </w:r>
      <w:r w:rsidR="00623F10">
        <w:rPr>
          <w:rFonts w:ascii="Arial Narrow" w:hAnsi="Arial Narrow" w:cstheme="minorHAnsi"/>
          <w:sz w:val="23"/>
          <w:szCs w:val="23"/>
        </w:rPr>
        <w:t xml:space="preserve"> </w:t>
      </w:r>
    </w:p>
    <w:p w14:paraId="4A8DAEA9" w14:textId="77777777" w:rsidR="003D58E0" w:rsidRDefault="003D58E0" w:rsidP="00062EA7">
      <w:pPr>
        <w:spacing w:after="0" w:line="240" w:lineRule="auto"/>
        <w:jc w:val="both"/>
        <w:rPr>
          <w:rFonts w:ascii="Arial Narrow" w:hAnsi="Arial Narrow" w:cstheme="minorHAnsi"/>
          <w:sz w:val="23"/>
          <w:szCs w:val="23"/>
        </w:rPr>
      </w:pPr>
    </w:p>
    <w:p w14:paraId="6282FF9E" w14:textId="77777777" w:rsidR="00062EA7" w:rsidRDefault="00062EA7" w:rsidP="00062EA7">
      <w:pPr>
        <w:pStyle w:val="ListParagraph"/>
        <w:ind w:left="1080"/>
        <w:rPr>
          <w:rFonts w:ascii="Arial Narrow" w:hAnsi="Arial Narrow" w:cs="Times New Roman"/>
          <w:b/>
          <w:bCs/>
          <w:sz w:val="23"/>
          <w:szCs w:val="23"/>
        </w:rPr>
      </w:pPr>
    </w:p>
    <w:p w14:paraId="23A3AB0C" w14:textId="4DD7952F" w:rsidR="00965D09" w:rsidRPr="00095BF1" w:rsidRDefault="00965D09" w:rsidP="00C91255">
      <w:pPr>
        <w:pStyle w:val="ListParagraph"/>
        <w:numPr>
          <w:ilvl w:val="0"/>
          <w:numId w:val="10"/>
        </w:numPr>
        <w:rPr>
          <w:rFonts w:ascii="Arial Narrow" w:hAnsi="Arial Narrow" w:cs="Times New Roman"/>
          <w:b/>
          <w:bCs/>
          <w:sz w:val="23"/>
          <w:szCs w:val="23"/>
        </w:rPr>
      </w:pPr>
      <w:r w:rsidRPr="00095BF1">
        <w:rPr>
          <w:rFonts w:ascii="Arial Narrow" w:hAnsi="Arial Narrow" w:cs="Times New Roman"/>
          <w:b/>
          <w:bCs/>
          <w:sz w:val="23"/>
          <w:szCs w:val="23"/>
        </w:rPr>
        <w:t>Acceso a la educación intercultural (</w:t>
      </w:r>
      <w:r w:rsidR="00276900">
        <w:rPr>
          <w:rFonts w:ascii="Arial Narrow" w:hAnsi="Arial Narrow" w:cs="Times New Roman"/>
          <w:b/>
          <w:bCs/>
          <w:sz w:val="23"/>
          <w:szCs w:val="23"/>
        </w:rPr>
        <w:t>Artículo 13 del Pacto</w:t>
      </w:r>
      <w:r w:rsidRPr="00095BF1">
        <w:rPr>
          <w:rFonts w:ascii="Arial Narrow" w:hAnsi="Arial Narrow" w:cs="Times New Roman"/>
          <w:b/>
          <w:bCs/>
          <w:sz w:val="23"/>
          <w:szCs w:val="23"/>
        </w:rPr>
        <w:t>)</w:t>
      </w:r>
    </w:p>
    <w:p w14:paraId="58E5B89C" w14:textId="77777777" w:rsidR="00965D09" w:rsidRPr="00095BF1" w:rsidRDefault="00965D09" w:rsidP="00965D09">
      <w:pPr>
        <w:spacing w:after="0"/>
        <w:jc w:val="both"/>
        <w:rPr>
          <w:rFonts w:ascii="Arial Narrow" w:hAnsi="Arial Narrow" w:cstheme="minorHAnsi"/>
          <w:sz w:val="23"/>
          <w:szCs w:val="23"/>
        </w:rPr>
      </w:pPr>
      <w:r w:rsidRPr="00095BF1">
        <w:rPr>
          <w:rFonts w:ascii="Arial Narrow" w:hAnsi="Arial Narrow" w:cstheme="minorHAnsi"/>
          <w:sz w:val="23"/>
          <w:szCs w:val="23"/>
        </w:rPr>
        <w:t xml:space="preserve">El derecho a la educación intercultural en nuestro país recién se viene garantizando hace unos años por lo que aún no se ha garantizado el acceso a este a nivel nacional y continúan las falencias en torno a su implementación, es en ese sentido que es necesario que el Estado Peruano cumpla con sus obligaciones y garantice una adecuada implementación de esta para que así los pueblos indígenas puedan acceder a su derecho a la educación intercultural sin discriminación alguna. </w:t>
      </w:r>
    </w:p>
    <w:p w14:paraId="7FE81CEC" w14:textId="77777777" w:rsidR="00965D09" w:rsidRPr="00095BF1" w:rsidRDefault="00965D09" w:rsidP="00965D09">
      <w:pPr>
        <w:spacing w:after="0"/>
        <w:jc w:val="both"/>
        <w:rPr>
          <w:rFonts w:ascii="Arial Narrow" w:hAnsi="Arial Narrow" w:cstheme="minorHAnsi"/>
          <w:sz w:val="23"/>
          <w:szCs w:val="23"/>
        </w:rPr>
      </w:pPr>
    </w:p>
    <w:p w14:paraId="06AA8B4A" w14:textId="41ACB4EC" w:rsidR="00965D09" w:rsidRPr="00095BF1" w:rsidRDefault="00965D09" w:rsidP="00965D09">
      <w:pPr>
        <w:spacing w:after="0" w:line="240" w:lineRule="auto"/>
        <w:jc w:val="both"/>
        <w:rPr>
          <w:rFonts w:ascii="Arial Narrow" w:hAnsi="Arial Narrow" w:cstheme="minorHAnsi"/>
          <w:sz w:val="23"/>
          <w:szCs w:val="23"/>
        </w:rPr>
      </w:pPr>
      <w:r w:rsidRPr="00095BF1">
        <w:rPr>
          <w:rFonts w:ascii="Arial Narrow" w:hAnsi="Arial Narrow" w:cstheme="minorHAnsi"/>
          <w:sz w:val="23"/>
          <w:szCs w:val="23"/>
        </w:rPr>
        <w:t>El acceso a la educación en todos los niveles no está garantizado, esto debido a que la mayoría de las comunidades nativas y campesinas solo cuentan con el nivel primaria, las cuales en su mayoría solo existe un docente para cubrir todos los grados. Además, existe una falencia en el nivel inicial y aún más grave es la situación en el nivel secundario. Donde solo el 40.6% de las comunidades campesinas y el 23.5% de comunidades nativas cuentan con una Institución Educativa de nivel secundario. Esta ausencia no solo perjudica alcanzar mayores niveles educativos sino la permanencia y la conclusión oportuna del nivel secundario. Asimismo, genera una desvinculación de su territorio debido a que son forzados a abandonar sus comunidades y a sus familias para poder continuar con su formación académica. Un punto muy importante que hay que resaltar es que solo el 59.4% de las comunidades campesinas y 70.5% de comunidades nativas cuentan con Instituciones Educativas con enfoque intercultural. Del total de centros educativos con Educación Intercultural Bilingüe (EIB), el 34% es de nivel inicial, el 54% de nivel primaria y el 12% de nivel secundaria. Este vacío en los niveles educativos acelera el proceso de pérdida de los idiomas indígenas y pone en riesgo la identidad cultural.</w:t>
      </w:r>
      <w:r w:rsidRPr="00095BF1">
        <w:rPr>
          <w:rStyle w:val="EndnoteReference"/>
          <w:rFonts w:ascii="Arial Narrow" w:hAnsi="Arial Narrow" w:cstheme="minorHAnsi"/>
          <w:sz w:val="23"/>
          <w:szCs w:val="23"/>
        </w:rPr>
        <w:endnoteReference w:id="12"/>
      </w:r>
      <w:r w:rsidRPr="00095BF1">
        <w:rPr>
          <w:rFonts w:ascii="Arial Narrow" w:hAnsi="Arial Narrow" w:cstheme="minorHAnsi"/>
          <w:sz w:val="23"/>
          <w:szCs w:val="23"/>
        </w:rPr>
        <w:t xml:space="preserve"> </w:t>
      </w:r>
    </w:p>
    <w:p w14:paraId="57AE4B9B" w14:textId="77777777" w:rsidR="00965D09" w:rsidRPr="00095BF1" w:rsidRDefault="00965D09" w:rsidP="00965D09">
      <w:pPr>
        <w:spacing w:after="0" w:line="240" w:lineRule="auto"/>
        <w:jc w:val="both"/>
        <w:rPr>
          <w:rFonts w:ascii="Arial Narrow" w:hAnsi="Arial Narrow" w:cstheme="minorHAnsi"/>
          <w:sz w:val="23"/>
          <w:szCs w:val="23"/>
        </w:rPr>
      </w:pPr>
    </w:p>
    <w:p w14:paraId="54975C37" w14:textId="19A59B47" w:rsidR="00965D09" w:rsidRPr="00095BF1" w:rsidRDefault="00965D09" w:rsidP="00965D09">
      <w:pPr>
        <w:spacing w:after="0" w:line="240" w:lineRule="auto"/>
        <w:jc w:val="both"/>
        <w:rPr>
          <w:rFonts w:ascii="Arial Narrow" w:hAnsi="Arial Narrow" w:cstheme="minorHAnsi"/>
          <w:sz w:val="23"/>
          <w:szCs w:val="23"/>
        </w:rPr>
      </w:pPr>
      <w:r w:rsidRPr="00095BF1">
        <w:rPr>
          <w:rFonts w:ascii="Arial Narrow" w:hAnsi="Arial Narrow" w:cstheme="minorHAnsi"/>
          <w:sz w:val="23"/>
          <w:szCs w:val="23"/>
        </w:rPr>
        <w:t>Como respuesta a la cuarentena que se vive debido a la pandemia del C</w:t>
      </w:r>
      <w:r w:rsidR="002702DA">
        <w:rPr>
          <w:rFonts w:ascii="Arial Narrow" w:hAnsi="Arial Narrow" w:cstheme="minorHAnsi"/>
          <w:sz w:val="23"/>
          <w:szCs w:val="23"/>
        </w:rPr>
        <w:t>OVID-</w:t>
      </w:r>
      <w:r w:rsidRPr="00095BF1">
        <w:rPr>
          <w:rFonts w:ascii="Arial Narrow" w:hAnsi="Arial Narrow" w:cstheme="minorHAnsi"/>
          <w:sz w:val="23"/>
          <w:szCs w:val="23"/>
        </w:rPr>
        <w:t>19, el Estado peruano ha optado por la educación virtual para salvar el año escolar. Sin embargo, las y los escolares indígenas enfrentan mayores desventajas para acceder a esta etapa de la educación. Si bien el 80.9% de las personas que se autoidentificó indígena andino hace uso de celular tanto en el área urbana (90.9%) como el en área rural (59.1%), apenas el 19.8% tiene conexión a internet. Y en el caso de las personas que se autoidentificaron indígenas de la amazonia, utilizan celular el 42.9%, aunque en mayor medida en el área urbana (85.3%) que en el área rural (21%); solo el 9.8% tiene conexión a internet. A nivel de las comunidades indígenas la desventaja es aún mayor. El 72.4% de las comunidades campesinas no cuenta con algún servicio de comunicación, el 7.5% dispone de internet, el 11.8% cuenta con servicio de telefonía pública y el 10.7% con conexión de televisión por cable o satelital, y el 61% de radiofonía. De igual forma, el 57% de las comunidades nativas no dispone de ningún servicio de comunicación, el 21% cuenta con radiofonía, el 19.9% tiene servicio de telefonía pública, el 4.9% dispone de conexión de televisión por cable o satelital, de 3.6% de emisora de radio, el 2.9% de internet y el 0.5% de servicio de telefonía celular.</w:t>
      </w:r>
      <w:r w:rsidRPr="00095BF1">
        <w:rPr>
          <w:rStyle w:val="EndnoteReference"/>
          <w:rFonts w:ascii="Arial Narrow" w:hAnsi="Arial Narrow" w:cstheme="minorHAnsi"/>
          <w:sz w:val="23"/>
          <w:szCs w:val="23"/>
        </w:rPr>
        <w:endnoteReference w:id="13"/>
      </w:r>
      <w:r w:rsidRPr="00095BF1">
        <w:rPr>
          <w:rFonts w:ascii="Arial Narrow" w:hAnsi="Arial Narrow" w:cstheme="minorHAnsi"/>
          <w:sz w:val="23"/>
          <w:szCs w:val="23"/>
        </w:rPr>
        <w:t xml:space="preserve"> </w:t>
      </w:r>
    </w:p>
    <w:p w14:paraId="4DB97AD4" w14:textId="77777777" w:rsidR="00965D09" w:rsidRPr="00095BF1" w:rsidRDefault="00965D09" w:rsidP="00965D09">
      <w:pPr>
        <w:spacing w:after="0" w:line="240" w:lineRule="auto"/>
        <w:jc w:val="both"/>
        <w:rPr>
          <w:rFonts w:ascii="Arial Narrow" w:hAnsi="Arial Narrow" w:cstheme="minorHAnsi"/>
          <w:sz w:val="23"/>
          <w:szCs w:val="23"/>
        </w:rPr>
      </w:pPr>
    </w:p>
    <w:p w14:paraId="5FA9F07A" w14:textId="77777777" w:rsidR="00965D09" w:rsidRDefault="00965D09" w:rsidP="00965D09">
      <w:pPr>
        <w:spacing w:after="0" w:line="240" w:lineRule="auto"/>
        <w:jc w:val="both"/>
        <w:rPr>
          <w:rFonts w:ascii="Arial Narrow" w:hAnsi="Arial Narrow" w:cstheme="minorHAnsi"/>
          <w:sz w:val="23"/>
          <w:szCs w:val="23"/>
        </w:rPr>
      </w:pPr>
      <w:r w:rsidRPr="00095BF1">
        <w:rPr>
          <w:rFonts w:ascii="Arial Narrow" w:hAnsi="Arial Narrow" w:cstheme="minorHAnsi"/>
          <w:sz w:val="23"/>
          <w:szCs w:val="23"/>
        </w:rPr>
        <w:t>Esta crítica situación de la educación en sí misma, trae graves consecuencias para el ejercicio de este derecho. Según cifras del Ministerio de Educación, se calcula que unos 300 000 estudiantes dejaron de ir al colegio en 2020</w:t>
      </w:r>
      <w:r w:rsidRPr="00095BF1">
        <w:rPr>
          <w:rStyle w:val="EndnoteReference"/>
          <w:rFonts w:ascii="Arial Narrow" w:hAnsi="Arial Narrow" w:cstheme="minorHAnsi"/>
          <w:sz w:val="23"/>
          <w:szCs w:val="23"/>
        </w:rPr>
        <w:endnoteReference w:id="14"/>
      </w:r>
      <w:r w:rsidRPr="00095BF1">
        <w:rPr>
          <w:rFonts w:ascii="Arial Narrow" w:hAnsi="Arial Narrow" w:cstheme="minorHAnsi"/>
          <w:sz w:val="23"/>
          <w:szCs w:val="23"/>
        </w:rPr>
        <w:t xml:space="preserve">, este aumento en la deserción escolar es particularmente grave para las niñas y adolescentes indígenas, ya que es en ese sector de la población donde se ubican la más alta tasa de interrupción escolar. </w:t>
      </w:r>
    </w:p>
    <w:p w14:paraId="26719F40" w14:textId="77777777" w:rsidR="00C432D1" w:rsidRDefault="00C432D1" w:rsidP="00965D09">
      <w:pPr>
        <w:spacing w:after="0" w:line="240" w:lineRule="auto"/>
        <w:jc w:val="both"/>
        <w:rPr>
          <w:rFonts w:ascii="Arial Narrow" w:hAnsi="Arial Narrow" w:cstheme="minorHAnsi"/>
          <w:sz w:val="23"/>
          <w:szCs w:val="23"/>
        </w:rPr>
      </w:pPr>
    </w:p>
    <w:p w14:paraId="7E8BD316" w14:textId="3CE087CD" w:rsidR="001A3CC4" w:rsidRDefault="001A3CC4" w:rsidP="00965D09">
      <w:pPr>
        <w:spacing w:after="0" w:line="240" w:lineRule="auto"/>
        <w:jc w:val="both"/>
        <w:rPr>
          <w:rFonts w:ascii="Arial Narrow" w:hAnsi="Arial Narrow" w:cstheme="minorHAnsi"/>
          <w:sz w:val="23"/>
          <w:szCs w:val="23"/>
        </w:rPr>
      </w:pPr>
      <w:r>
        <w:rPr>
          <w:rFonts w:ascii="Arial Narrow" w:hAnsi="Arial Narrow" w:cstheme="minorHAnsi"/>
          <w:sz w:val="23"/>
          <w:szCs w:val="23"/>
        </w:rPr>
        <w:t xml:space="preserve">El Estado peruano en el párrafo 230 y 231 de su informe presentado al Comité DESC </w:t>
      </w:r>
      <w:r w:rsidR="009A1603">
        <w:rPr>
          <w:rFonts w:ascii="Arial Narrow" w:hAnsi="Arial Narrow" w:cstheme="minorHAnsi"/>
          <w:sz w:val="23"/>
          <w:szCs w:val="23"/>
        </w:rPr>
        <w:t xml:space="preserve">hace referencia a la Política Sectorial de Educación </w:t>
      </w:r>
      <w:r w:rsidR="005641A7">
        <w:rPr>
          <w:rFonts w:ascii="Arial Narrow" w:hAnsi="Arial Narrow" w:cstheme="minorHAnsi"/>
          <w:sz w:val="23"/>
          <w:szCs w:val="23"/>
        </w:rPr>
        <w:t>Intercultural, la cual se encuentra actualmente en proceso de actualización,</w:t>
      </w:r>
      <w:r w:rsidR="00527A5D">
        <w:rPr>
          <w:rFonts w:ascii="Arial Narrow" w:hAnsi="Arial Narrow" w:cstheme="minorHAnsi"/>
          <w:sz w:val="23"/>
          <w:szCs w:val="23"/>
        </w:rPr>
        <w:t xml:space="preserve"> es en ese sentido que las Organizaciones hemos manifestado nuestra posición clara en torno a que dicha actualización debe pasar por un proceso de consulta. Asimismo, </w:t>
      </w:r>
      <w:r w:rsidR="002404DD">
        <w:rPr>
          <w:rFonts w:ascii="Arial Narrow" w:hAnsi="Arial Narrow" w:cstheme="minorHAnsi"/>
          <w:sz w:val="23"/>
          <w:szCs w:val="23"/>
        </w:rPr>
        <w:t>si bien existe una Política Sectorial, aún continua la afectación a nuestro derecho a la Educación</w:t>
      </w:r>
      <w:r w:rsidR="006D6FE7">
        <w:rPr>
          <w:rFonts w:ascii="Arial Narrow" w:hAnsi="Arial Narrow" w:cstheme="minorHAnsi"/>
          <w:sz w:val="23"/>
          <w:szCs w:val="23"/>
        </w:rPr>
        <w:t xml:space="preserve">. Esto debido a las últimas acciones realizadas por el Estado. </w:t>
      </w:r>
      <w:r w:rsidR="005641A7">
        <w:rPr>
          <w:rFonts w:ascii="Arial Narrow" w:hAnsi="Arial Narrow" w:cstheme="minorHAnsi"/>
          <w:sz w:val="23"/>
          <w:szCs w:val="23"/>
        </w:rPr>
        <w:t xml:space="preserve"> </w:t>
      </w:r>
    </w:p>
    <w:p w14:paraId="1DDE1388" w14:textId="77777777" w:rsidR="009A1603" w:rsidRDefault="009A1603" w:rsidP="00965D09">
      <w:pPr>
        <w:spacing w:after="0" w:line="240" w:lineRule="auto"/>
        <w:jc w:val="both"/>
        <w:rPr>
          <w:rFonts w:ascii="Arial Narrow" w:hAnsi="Arial Narrow" w:cstheme="minorHAnsi"/>
          <w:sz w:val="23"/>
          <w:szCs w:val="23"/>
        </w:rPr>
      </w:pPr>
    </w:p>
    <w:p w14:paraId="3C19465F" w14:textId="49F1B763" w:rsidR="00965D09" w:rsidRPr="00095BF1" w:rsidRDefault="00965D09" w:rsidP="00965D09">
      <w:pPr>
        <w:spacing w:after="0" w:line="240" w:lineRule="auto"/>
        <w:jc w:val="both"/>
        <w:rPr>
          <w:rFonts w:ascii="Arial Narrow" w:hAnsi="Arial Narrow" w:cstheme="minorHAnsi"/>
          <w:b/>
          <w:bCs/>
          <w:sz w:val="23"/>
          <w:szCs w:val="23"/>
        </w:rPr>
      </w:pPr>
      <w:r w:rsidRPr="00095BF1">
        <w:rPr>
          <w:rFonts w:ascii="Arial Narrow" w:hAnsi="Arial Narrow" w:cstheme="minorHAnsi"/>
          <w:sz w:val="23"/>
          <w:szCs w:val="23"/>
        </w:rPr>
        <w:t xml:space="preserve">Recientemente, el Estado está actuando regresivamente vulnerando el derecho a la educación intercultural bilingüe de la niñez y adolescencia indígena. A inicios de enero del presente año, el Ministerio de Educación dirigió el </w:t>
      </w:r>
      <w:hyperlink r:id="rId9">
        <w:r w:rsidRPr="00095BF1">
          <w:rPr>
            <w:rStyle w:val="Hyperlink"/>
            <w:rFonts w:ascii="Arial Narrow" w:hAnsi="Arial Narrow" w:cstheme="minorHAnsi"/>
            <w:sz w:val="23"/>
            <w:szCs w:val="23"/>
          </w:rPr>
          <w:t>Oficio Múltiple N° 00002-2022-MINEDU/VMGP-DIGEIBIRA</w:t>
        </w:r>
      </w:hyperlink>
      <w:r w:rsidRPr="00095BF1">
        <w:rPr>
          <w:rFonts w:ascii="Arial Narrow" w:hAnsi="Arial Narrow" w:cstheme="minorHAnsi"/>
          <w:sz w:val="23"/>
          <w:szCs w:val="23"/>
        </w:rPr>
        <w:t xml:space="preserve"> </w:t>
      </w:r>
      <w:r w:rsidRPr="00095BF1">
        <w:rPr>
          <w:rFonts w:ascii="Arial Narrow" w:hAnsi="Arial Narrow" w:cstheme="minorHAnsi"/>
          <w:b/>
          <w:bCs/>
          <w:sz w:val="23"/>
          <w:szCs w:val="23"/>
        </w:rPr>
        <w:t>solicitando, a los directores y gerentes regionales de educación, la relación de las instituciones educativas con la finalidad de que estas sean exceptuadas de la aplicación del modelo de servicio de Educación Intercultural Bilingüe (EIB);</w:t>
      </w:r>
      <w:r w:rsidRPr="00095BF1">
        <w:rPr>
          <w:rFonts w:ascii="Arial Narrow" w:hAnsi="Arial Narrow" w:cstheme="minorHAnsi"/>
          <w:sz w:val="23"/>
          <w:szCs w:val="23"/>
        </w:rPr>
        <w:t xml:space="preserve"> a fin de “facilitar la contratación oportuna de docentes”. </w:t>
      </w:r>
    </w:p>
    <w:p w14:paraId="30AD76DD" w14:textId="77777777" w:rsidR="00965D09" w:rsidRPr="00095BF1" w:rsidRDefault="00965D09" w:rsidP="00965D09">
      <w:pPr>
        <w:spacing w:after="0" w:line="240" w:lineRule="auto"/>
        <w:jc w:val="both"/>
        <w:rPr>
          <w:rFonts w:ascii="Arial Narrow" w:hAnsi="Arial Narrow" w:cstheme="minorHAnsi"/>
          <w:sz w:val="23"/>
          <w:szCs w:val="23"/>
        </w:rPr>
      </w:pPr>
    </w:p>
    <w:p w14:paraId="09B5D9A6" w14:textId="77777777" w:rsidR="00965D09" w:rsidRPr="00095BF1" w:rsidRDefault="00965D09" w:rsidP="00965D09">
      <w:pPr>
        <w:spacing w:after="0" w:line="240" w:lineRule="auto"/>
        <w:jc w:val="both"/>
        <w:rPr>
          <w:rFonts w:ascii="Arial Narrow" w:hAnsi="Arial Narrow" w:cstheme="minorHAnsi"/>
          <w:sz w:val="23"/>
          <w:szCs w:val="23"/>
        </w:rPr>
      </w:pPr>
      <w:r w:rsidRPr="00095BF1">
        <w:rPr>
          <w:rFonts w:ascii="Arial Narrow" w:hAnsi="Arial Narrow" w:cstheme="minorHAnsi"/>
          <w:sz w:val="23"/>
          <w:szCs w:val="23"/>
        </w:rPr>
        <w:t xml:space="preserve">La </w:t>
      </w:r>
      <w:hyperlink r:id="rId10">
        <w:r w:rsidRPr="00095BF1">
          <w:rPr>
            <w:rStyle w:val="Hyperlink"/>
            <w:rFonts w:ascii="Arial Narrow" w:hAnsi="Arial Narrow" w:cstheme="minorHAnsi"/>
            <w:sz w:val="23"/>
            <w:szCs w:val="23"/>
          </w:rPr>
          <w:t>Defensoría del Pueblo</w:t>
        </w:r>
      </w:hyperlink>
      <w:r w:rsidRPr="00095BF1">
        <w:rPr>
          <w:rFonts w:ascii="Arial Narrow" w:hAnsi="Arial Narrow" w:cstheme="minorHAnsi"/>
          <w:sz w:val="23"/>
          <w:szCs w:val="23"/>
        </w:rPr>
        <w:t xml:space="preserve"> y las Organizaciones Indígenas</w:t>
      </w:r>
      <w:r w:rsidRPr="00095BF1">
        <w:rPr>
          <w:rStyle w:val="EndnoteReference"/>
          <w:rFonts w:ascii="Arial Narrow" w:hAnsi="Arial Narrow" w:cstheme="minorHAnsi"/>
          <w:sz w:val="23"/>
          <w:szCs w:val="23"/>
        </w:rPr>
        <w:endnoteReference w:id="15"/>
      </w:r>
      <w:r w:rsidRPr="00095BF1">
        <w:rPr>
          <w:rFonts w:ascii="Arial Narrow" w:hAnsi="Arial Narrow" w:cstheme="minorHAnsi"/>
          <w:sz w:val="23"/>
          <w:szCs w:val="23"/>
        </w:rPr>
        <w:t xml:space="preserve"> nos pronunciamos rechazando la inconsulta emisión del Oficio Múltiple, debido a que éste implicaba una regresión en derechos ya que, pretendía revertir la categorización de las Escuelas Interculturales Bilingües y flexibilizar la contratación docente incluyendo a profesores monolingües. Este accionar es un manifiesto desconocimiento a nuestros derechos, en el cual los pueblos indígenas hemos logrado la implementación de las Escuelas Interculturales Bilingües para que así nuestras niñas y niños puedan recibir una educación en su propio idioma. Si bien, el Ministerio de Educación dejó sin efecto el Oficio Múltiple, este no ha retrocedido y continua con prácticas sistemáticas regresivas de derechos. </w:t>
      </w:r>
    </w:p>
    <w:p w14:paraId="206B7539" w14:textId="77777777" w:rsidR="00965D09" w:rsidRPr="00095BF1" w:rsidRDefault="00965D09" w:rsidP="00965D09">
      <w:pPr>
        <w:spacing w:after="0" w:line="240" w:lineRule="auto"/>
        <w:jc w:val="both"/>
        <w:rPr>
          <w:rFonts w:ascii="Arial Narrow" w:hAnsi="Arial Narrow" w:cstheme="minorHAnsi"/>
          <w:sz w:val="23"/>
          <w:szCs w:val="23"/>
        </w:rPr>
      </w:pPr>
    </w:p>
    <w:p w14:paraId="557CBCDC" w14:textId="77777777" w:rsidR="00965D09" w:rsidRPr="00095BF1" w:rsidRDefault="00965D09" w:rsidP="00965D09">
      <w:pPr>
        <w:spacing w:after="0" w:line="240" w:lineRule="auto"/>
        <w:jc w:val="both"/>
        <w:rPr>
          <w:rFonts w:ascii="Arial Narrow" w:hAnsi="Arial Narrow" w:cstheme="minorHAnsi"/>
          <w:sz w:val="23"/>
          <w:szCs w:val="23"/>
        </w:rPr>
      </w:pPr>
      <w:r w:rsidRPr="00095BF1">
        <w:rPr>
          <w:rFonts w:ascii="Arial Narrow" w:hAnsi="Arial Narrow" w:cstheme="minorHAnsi"/>
          <w:sz w:val="23"/>
          <w:szCs w:val="23"/>
        </w:rPr>
        <w:t xml:space="preserve">El 07.01.2022 el portal del Ministerio de Educación recortó plazas para la contratación directa 2022 para docentes, esto a pesar de la necesidad de docente bilingües a nivel nacional por lo que en un inicio se habían sometido a concurso más de </w:t>
      </w:r>
      <w:r w:rsidRPr="00095BF1">
        <w:rPr>
          <w:rFonts w:ascii="Arial Narrow" w:hAnsi="Arial Narrow" w:cstheme="minorHAnsi"/>
          <w:b/>
          <w:bCs/>
          <w:sz w:val="23"/>
          <w:szCs w:val="23"/>
        </w:rPr>
        <w:t>600 plazas</w:t>
      </w:r>
      <w:r w:rsidRPr="00095BF1">
        <w:rPr>
          <w:rFonts w:ascii="Arial Narrow" w:hAnsi="Arial Narrow" w:cstheme="minorHAnsi"/>
          <w:sz w:val="23"/>
          <w:szCs w:val="23"/>
        </w:rPr>
        <w:t xml:space="preserve"> para docentes interculturales bilingües, sin embargo, desde el 07 de enero solo figuran </w:t>
      </w:r>
      <w:r w:rsidRPr="00095BF1">
        <w:rPr>
          <w:rFonts w:ascii="Arial Narrow" w:hAnsi="Arial Narrow" w:cstheme="minorHAnsi"/>
          <w:b/>
          <w:bCs/>
          <w:sz w:val="23"/>
          <w:szCs w:val="23"/>
        </w:rPr>
        <w:t xml:space="preserve">81 plazas. </w:t>
      </w:r>
      <w:r w:rsidRPr="00095BF1">
        <w:rPr>
          <w:rFonts w:ascii="Arial Narrow" w:hAnsi="Arial Narrow" w:cstheme="minorHAnsi"/>
          <w:sz w:val="23"/>
          <w:szCs w:val="23"/>
        </w:rPr>
        <w:t xml:space="preserve">Dejando así a regiones enteras sin ninguna plaza para docentes interculturales bilingües, como es el caso de Tacna y muchas otras que se quedaron sin plazas de docentes interculturales bilingües en los niveles de formación básica (inicial y primaria), como es el caso de Apurimac, Arequipa, Ayacucho, Huancavelica y Puno. Estas últimas regiones tienen predominancia de hablantes en el idioma quechua, que es la lengua originaria con mayor número de hablantes en el país, por lo que se hace más incomprensible la reducción de plazas. Hasta la fecha el Estado Peruano sigue sin pronunciarse en torno a dicha medida. </w:t>
      </w:r>
    </w:p>
    <w:p w14:paraId="2D6623C2" w14:textId="77777777" w:rsidR="00965D09" w:rsidRPr="00095BF1" w:rsidRDefault="00965D09" w:rsidP="00965D09">
      <w:pPr>
        <w:spacing w:after="0" w:line="240" w:lineRule="auto"/>
        <w:jc w:val="both"/>
        <w:rPr>
          <w:rFonts w:ascii="Arial Narrow" w:hAnsi="Arial Narrow" w:cstheme="minorHAnsi"/>
          <w:sz w:val="23"/>
          <w:szCs w:val="23"/>
        </w:rPr>
      </w:pPr>
    </w:p>
    <w:p w14:paraId="4276892A" w14:textId="2565B587" w:rsidR="00965D09" w:rsidRPr="00095BF1" w:rsidRDefault="00965D09" w:rsidP="00965D09">
      <w:pPr>
        <w:spacing w:after="0" w:line="240" w:lineRule="auto"/>
        <w:jc w:val="both"/>
        <w:rPr>
          <w:rFonts w:ascii="Arial Narrow" w:hAnsi="Arial Narrow" w:cstheme="minorHAnsi"/>
          <w:b/>
          <w:bCs/>
          <w:sz w:val="23"/>
          <w:szCs w:val="23"/>
        </w:rPr>
      </w:pPr>
      <w:r w:rsidRPr="00095BF1">
        <w:rPr>
          <w:rFonts w:ascii="Arial Narrow" w:hAnsi="Arial Narrow" w:cstheme="minorHAnsi"/>
          <w:sz w:val="23"/>
          <w:szCs w:val="23"/>
        </w:rPr>
        <w:t xml:space="preserve">Asimismo, las pocas plazas que han quedado para docentes EIB a nivel nacional también han sido afectadas, debido a que en el proceso de contratación de la región de Loreto no se ha respetado los criterios como el dominio de la </w:t>
      </w:r>
      <w:r w:rsidRPr="00095BF1">
        <w:rPr>
          <w:rFonts w:ascii="Arial Narrow" w:hAnsi="Arial Narrow" w:cstheme="minorHAnsi"/>
          <w:sz w:val="23"/>
          <w:szCs w:val="23"/>
        </w:rPr>
        <w:lastRenderedPageBreak/>
        <w:t xml:space="preserve">lengua para la contratación de dichos docentes. Por lo que, se ha terminado contratando docentes monolingües, a pesar de existir propuestas de docentes bilingües y que cuentan con experiencia. Esto lo ha evidenciado la Federación Indígena Urarina del Río Chambira (FEIURCHA) ante la interposición de una queja ante la Defensoría del Pueblo, quién ha remitido una </w:t>
      </w:r>
      <w:hyperlink r:id="rId11" w:history="1">
        <w:r w:rsidRPr="00095BF1">
          <w:rPr>
            <w:rStyle w:val="Hyperlink"/>
            <w:rFonts w:ascii="Arial Narrow" w:hAnsi="Arial Narrow" w:cstheme="minorHAnsi"/>
            <w:sz w:val="23"/>
            <w:szCs w:val="23"/>
          </w:rPr>
          <w:t>carta al director de la UGEL</w:t>
        </w:r>
      </w:hyperlink>
      <w:r w:rsidRPr="00095BF1">
        <w:rPr>
          <w:rFonts w:ascii="Arial Narrow" w:hAnsi="Arial Narrow" w:cstheme="minorHAnsi"/>
          <w:sz w:val="23"/>
          <w:szCs w:val="23"/>
        </w:rPr>
        <w:t xml:space="preserve"> solicitando información. Adjuntamos el cuadro de plazas que han sido cubiertas por docentes monolingües</w:t>
      </w:r>
      <w:r w:rsidR="00B761B6">
        <w:rPr>
          <w:rFonts w:ascii="Arial Narrow" w:hAnsi="Arial Narrow" w:cstheme="minorHAnsi"/>
          <w:sz w:val="23"/>
          <w:szCs w:val="23"/>
        </w:rPr>
        <w:t>.</w:t>
      </w:r>
    </w:p>
    <w:p w14:paraId="5878F93B" w14:textId="77777777" w:rsidR="00965D09" w:rsidRPr="00095BF1" w:rsidRDefault="00965D09" w:rsidP="00965D09">
      <w:pPr>
        <w:spacing w:after="0" w:line="240" w:lineRule="auto"/>
        <w:jc w:val="both"/>
        <w:rPr>
          <w:rFonts w:ascii="Arial Narrow" w:hAnsi="Arial Narrow" w:cstheme="minorHAnsi"/>
          <w:sz w:val="23"/>
          <w:szCs w:val="23"/>
        </w:rPr>
      </w:pPr>
    </w:p>
    <w:p w14:paraId="33FE38A2" w14:textId="77777777" w:rsidR="00965D09" w:rsidRPr="00095BF1" w:rsidRDefault="00965D09" w:rsidP="00965D09">
      <w:pPr>
        <w:spacing w:after="0" w:line="240" w:lineRule="auto"/>
        <w:jc w:val="both"/>
        <w:rPr>
          <w:rFonts w:ascii="Arial Narrow" w:hAnsi="Arial Narrow" w:cstheme="minorHAnsi"/>
          <w:sz w:val="23"/>
          <w:szCs w:val="23"/>
        </w:rPr>
      </w:pPr>
      <w:r w:rsidRPr="00095BF1">
        <w:rPr>
          <w:rFonts w:ascii="Arial Narrow" w:hAnsi="Arial Narrow" w:cstheme="minorHAnsi"/>
          <w:sz w:val="23"/>
          <w:szCs w:val="23"/>
        </w:rPr>
        <w:t>Este tipo de políticas que viene adoptando el Estado peruano a través del Ministerio de Educación no es aislado, debido a que esto es reflejo de las intenciones que se tuvo mediante el Oficio Múltiple que buscaba afectar a la Educación Intercultural Bilingüe.</w:t>
      </w:r>
    </w:p>
    <w:p w14:paraId="3ACF5D6B" w14:textId="77777777" w:rsidR="00965D09" w:rsidRPr="00095BF1" w:rsidRDefault="00965D09" w:rsidP="00965D09">
      <w:pPr>
        <w:spacing w:after="0" w:line="240" w:lineRule="auto"/>
        <w:jc w:val="both"/>
        <w:rPr>
          <w:rFonts w:ascii="Arial Narrow" w:hAnsi="Arial Narrow" w:cstheme="minorHAnsi"/>
          <w:sz w:val="23"/>
          <w:szCs w:val="23"/>
        </w:rPr>
      </w:pPr>
    </w:p>
    <w:p w14:paraId="403F9F0C" w14:textId="77777777" w:rsidR="00965D09" w:rsidRPr="00095BF1" w:rsidRDefault="00965D09" w:rsidP="00965D09">
      <w:pPr>
        <w:spacing w:after="0" w:line="240" w:lineRule="auto"/>
        <w:jc w:val="both"/>
        <w:rPr>
          <w:rFonts w:ascii="Arial Narrow" w:hAnsi="Arial Narrow" w:cstheme="minorHAnsi"/>
          <w:sz w:val="23"/>
          <w:szCs w:val="23"/>
        </w:rPr>
      </w:pPr>
      <w:r w:rsidRPr="00095BF1">
        <w:rPr>
          <w:rFonts w:ascii="Arial Narrow" w:hAnsi="Arial Narrow" w:cstheme="minorHAnsi"/>
          <w:sz w:val="23"/>
          <w:szCs w:val="23"/>
        </w:rPr>
        <w:t xml:space="preserve">El ministro de Educación ha hecho público en reiteradas ocasiones sus intenciones en continuar con esta política sistemática de atentar contra la Educación intercultural, esto mediante la aplicación de un nuevo proceso de caracterización a fin de que las escuelas dejen de ser consideradas interculturales y en las Escuelas que son interculturales realizar la contratación a docentes nombrados monolingües y brindarles un curso de capacitación del idioma. </w:t>
      </w:r>
    </w:p>
    <w:p w14:paraId="63C56CA5" w14:textId="77777777" w:rsidR="00965D09" w:rsidRPr="00095BF1" w:rsidRDefault="00965D09" w:rsidP="00965D09">
      <w:pPr>
        <w:spacing w:after="0" w:line="240" w:lineRule="auto"/>
        <w:jc w:val="both"/>
        <w:rPr>
          <w:rFonts w:ascii="Arial Narrow" w:hAnsi="Arial Narrow" w:cstheme="minorHAnsi"/>
          <w:sz w:val="23"/>
          <w:szCs w:val="23"/>
        </w:rPr>
      </w:pPr>
    </w:p>
    <w:p w14:paraId="27E5D541" w14:textId="77777777" w:rsidR="00965D09" w:rsidRPr="00095BF1" w:rsidRDefault="00965D09" w:rsidP="00965D09">
      <w:pPr>
        <w:spacing w:after="0" w:line="240" w:lineRule="auto"/>
        <w:jc w:val="both"/>
        <w:rPr>
          <w:rFonts w:ascii="Arial Narrow" w:hAnsi="Arial Narrow" w:cstheme="minorHAnsi"/>
          <w:sz w:val="23"/>
          <w:szCs w:val="23"/>
        </w:rPr>
      </w:pPr>
      <w:r>
        <w:rPr>
          <w:rFonts w:ascii="Arial Narrow" w:hAnsi="Arial Narrow" w:cstheme="minorHAnsi"/>
          <w:sz w:val="23"/>
          <w:szCs w:val="23"/>
        </w:rPr>
        <w:t xml:space="preserve">Las cuales se han evidenciado en </w:t>
      </w:r>
      <w:r w:rsidRPr="00095BF1">
        <w:rPr>
          <w:rFonts w:ascii="Arial Narrow" w:hAnsi="Arial Narrow" w:cstheme="minorHAnsi"/>
          <w:sz w:val="23"/>
          <w:szCs w:val="23"/>
        </w:rPr>
        <w:t>la entrevista que el ministro tuvo con la emisora local “La voz de la selva”</w:t>
      </w:r>
      <w:r w:rsidRPr="00095BF1">
        <w:rPr>
          <w:rStyle w:val="EndnoteReference"/>
          <w:rFonts w:ascii="Arial Narrow" w:hAnsi="Arial Narrow" w:cstheme="minorHAnsi"/>
          <w:sz w:val="23"/>
          <w:szCs w:val="23"/>
        </w:rPr>
        <w:endnoteReference w:id="16"/>
      </w:r>
      <w:r w:rsidRPr="00095BF1">
        <w:rPr>
          <w:rFonts w:ascii="Arial Narrow" w:hAnsi="Arial Narrow" w:cstheme="minorHAnsi"/>
          <w:sz w:val="23"/>
          <w:szCs w:val="23"/>
        </w:rPr>
        <w:t xml:space="preserve"> </w:t>
      </w:r>
      <w:r>
        <w:rPr>
          <w:rFonts w:ascii="Arial Narrow" w:hAnsi="Arial Narrow" w:cstheme="minorHAnsi"/>
          <w:sz w:val="23"/>
          <w:szCs w:val="23"/>
        </w:rPr>
        <w:t xml:space="preserve">y </w:t>
      </w:r>
      <w:r w:rsidRPr="00095BF1">
        <w:rPr>
          <w:rFonts w:ascii="Arial Narrow" w:hAnsi="Arial Narrow" w:cstheme="minorHAnsi"/>
          <w:sz w:val="23"/>
          <w:szCs w:val="23"/>
        </w:rPr>
        <w:t>en una reunión oficial en Palacio de gobierno</w:t>
      </w:r>
      <w:r w:rsidRPr="00095BF1">
        <w:rPr>
          <w:rStyle w:val="EndnoteReference"/>
          <w:rFonts w:ascii="Arial Narrow" w:hAnsi="Arial Narrow" w:cstheme="minorHAnsi"/>
          <w:sz w:val="23"/>
          <w:szCs w:val="23"/>
        </w:rPr>
        <w:endnoteReference w:id="17"/>
      </w:r>
      <w:r>
        <w:rPr>
          <w:rFonts w:ascii="Arial Narrow" w:hAnsi="Arial Narrow" w:cstheme="minorHAnsi"/>
          <w:sz w:val="23"/>
          <w:szCs w:val="23"/>
        </w:rPr>
        <w:t xml:space="preserve">. </w:t>
      </w:r>
    </w:p>
    <w:p w14:paraId="3732D3E3" w14:textId="77777777" w:rsidR="00965D09" w:rsidRPr="00095BF1" w:rsidRDefault="00965D09" w:rsidP="00965D09">
      <w:pPr>
        <w:spacing w:after="0" w:line="240" w:lineRule="auto"/>
        <w:jc w:val="both"/>
        <w:rPr>
          <w:rFonts w:ascii="Arial Narrow" w:hAnsi="Arial Narrow" w:cstheme="minorHAnsi"/>
          <w:sz w:val="23"/>
          <w:szCs w:val="23"/>
        </w:rPr>
      </w:pPr>
    </w:p>
    <w:p w14:paraId="195FA36C" w14:textId="77777777" w:rsidR="00965D09" w:rsidRDefault="00965D09" w:rsidP="00965D09">
      <w:pPr>
        <w:spacing w:after="0" w:line="240" w:lineRule="auto"/>
        <w:jc w:val="both"/>
        <w:rPr>
          <w:rFonts w:ascii="Arial Narrow" w:hAnsi="Arial Narrow" w:cstheme="minorHAnsi"/>
          <w:sz w:val="23"/>
          <w:szCs w:val="23"/>
        </w:rPr>
      </w:pPr>
    </w:p>
    <w:p w14:paraId="6FDB0E67" w14:textId="785A0FA5" w:rsidR="003A1659" w:rsidRPr="00A82D11" w:rsidRDefault="003A1659" w:rsidP="00965D09">
      <w:pPr>
        <w:pStyle w:val="NoSpacing"/>
        <w:jc w:val="both"/>
        <w:rPr>
          <w:rFonts w:ascii="Arial Narrow" w:hAnsi="Arial Narrow" w:cstheme="minorHAnsi"/>
          <w:color w:val="26292E"/>
          <w:sz w:val="23"/>
          <w:szCs w:val="23"/>
          <w:shd w:val="clear" w:color="auto" w:fill="FDFDFD"/>
        </w:rPr>
      </w:pPr>
    </w:p>
    <w:sectPr w:rsidR="003A1659" w:rsidRPr="00A82D11" w:rsidSect="00AE76EA">
      <w:pgSz w:w="11906" w:h="16838" w:code="9"/>
      <w:pgMar w:top="1440" w:right="1080" w:bottom="1440" w:left="1080" w:header="709" w:footer="709" w:gutter="0"/>
      <w:paperSrc w:first="15"/>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2A3628" w14:textId="77777777" w:rsidR="000D3D70" w:rsidRDefault="000D3D70">
      <w:pPr>
        <w:spacing w:after="0" w:line="240" w:lineRule="auto"/>
      </w:pPr>
      <w:r>
        <w:separator/>
      </w:r>
    </w:p>
  </w:endnote>
  <w:endnote w:type="continuationSeparator" w:id="0">
    <w:p w14:paraId="04F52F7E" w14:textId="77777777" w:rsidR="000D3D70" w:rsidRDefault="000D3D70">
      <w:pPr>
        <w:spacing w:after="0" w:line="240" w:lineRule="auto"/>
      </w:pPr>
      <w:r>
        <w:continuationSeparator/>
      </w:r>
    </w:p>
  </w:endnote>
  <w:endnote w:type="continuationNotice" w:id="1">
    <w:p w14:paraId="20B13C1A" w14:textId="77777777" w:rsidR="000D3D70" w:rsidRDefault="000D3D70">
      <w:pPr>
        <w:spacing w:after="0" w:line="240" w:lineRule="auto"/>
      </w:pPr>
    </w:p>
  </w:endnote>
  <w:endnote w:id="2">
    <w:p w14:paraId="166D03FB" w14:textId="77777777" w:rsidR="003142A9" w:rsidRDefault="003142A9" w:rsidP="003142A9">
      <w:pPr>
        <w:pStyle w:val="EndnoteText"/>
      </w:pPr>
      <w:r>
        <w:rPr>
          <w:rStyle w:val="EndnoteReference"/>
        </w:rPr>
        <w:endnoteRef/>
      </w:r>
      <w:r>
        <w:t xml:space="preserve"> SPDA Actualidad Ambiental. “</w:t>
      </w:r>
      <w:r w:rsidRPr="007F16FE">
        <w:t>680 comunidades nativas esperan la titulación de sus territorios en Perú</w:t>
      </w:r>
      <w:r>
        <w:t xml:space="preserve">” </w:t>
      </w:r>
      <w:hyperlink r:id="rId1" w:history="1">
        <w:r w:rsidRPr="00D64F81">
          <w:rPr>
            <w:rStyle w:val="Hyperlink"/>
          </w:rPr>
          <w:t>https://www.actualidadambiental.pe/680-comunidades-nativas-esperan-la-titulacion-de-sus-territorios-en-peru/</w:t>
        </w:r>
      </w:hyperlink>
      <w:r>
        <w:t xml:space="preserve"> </w:t>
      </w:r>
    </w:p>
  </w:endnote>
  <w:endnote w:id="3">
    <w:p w14:paraId="6F3E79B7" w14:textId="77777777" w:rsidR="003142A9" w:rsidRDefault="003142A9" w:rsidP="003142A9">
      <w:pPr>
        <w:pStyle w:val="EndnoteText"/>
      </w:pPr>
      <w:r>
        <w:rPr>
          <w:rStyle w:val="EndnoteReference"/>
        </w:rPr>
        <w:endnoteRef/>
      </w:r>
      <w:r>
        <w:t xml:space="preserve"> ONAMIAP. Informe “Legalización del despojo territorial indígena en los Andes y la Amazonía del Perú”. Conclusión 8, pg 190.</w:t>
      </w:r>
    </w:p>
  </w:endnote>
  <w:endnote w:id="4">
    <w:p w14:paraId="4AD050E6" w14:textId="77777777" w:rsidR="003142A9" w:rsidRDefault="003142A9" w:rsidP="003142A9">
      <w:pPr>
        <w:pStyle w:val="EndnoteText"/>
      </w:pPr>
      <w:r>
        <w:rPr>
          <w:rStyle w:val="EndnoteReference"/>
        </w:rPr>
        <w:endnoteRef/>
      </w:r>
      <w:r>
        <w:t xml:space="preserve"> ONAMIAP. Informe “Legalización del despojo territorial indígena en los Andes y la Amazonía del Perú”. Conclusión 12 pg 190.</w:t>
      </w:r>
    </w:p>
  </w:endnote>
  <w:endnote w:id="5">
    <w:p w14:paraId="34BC654A" w14:textId="77777777" w:rsidR="003142A9" w:rsidRDefault="003142A9" w:rsidP="003142A9">
      <w:pPr>
        <w:pStyle w:val="EndnoteText"/>
      </w:pPr>
      <w:r>
        <w:rPr>
          <w:rStyle w:val="EndnoteReference"/>
        </w:rPr>
        <w:endnoteRef/>
      </w:r>
      <w:r>
        <w:t xml:space="preserve"> ONAMIAP. Informe “Legalización del despojo territorial indígena en los Andes y la Amazonía del Perú”. Conclusión 13 pg 191.</w:t>
      </w:r>
    </w:p>
  </w:endnote>
  <w:endnote w:id="6">
    <w:p w14:paraId="3A86AAA4" w14:textId="77777777" w:rsidR="003142A9" w:rsidRDefault="003142A9" w:rsidP="003142A9">
      <w:pPr>
        <w:pStyle w:val="EndnoteText"/>
      </w:pPr>
      <w:r>
        <w:rPr>
          <w:rStyle w:val="EndnoteReference"/>
        </w:rPr>
        <w:endnoteRef/>
      </w:r>
      <w:r>
        <w:t xml:space="preserve"> ONAMIAP. Informe “Legalización del despojo territorial indígena en los Andes y la Amazonía del Perú”. Conclusión 19 pg 192.</w:t>
      </w:r>
    </w:p>
  </w:endnote>
  <w:endnote w:id="7">
    <w:p w14:paraId="227BF065" w14:textId="77777777" w:rsidR="00516971" w:rsidRDefault="00516971" w:rsidP="00516971">
      <w:pPr>
        <w:spacing w:after="0" w:line="240" w:lineRule="auto"/>
        <w:rPr>
          <w:color w:val="000000"/>
          <w:sz w:val="20"/>
          <w:szCs w:val="20"/>
        </w:rPr>
      </w:pPr>
      <w:r>
        <w:rPr>
          <w:vertAlign w:val="superscript"/>
        </w:rPr>
        <w:endnoteRef/>
      </w:r>
      <w:r>
        <w:rPr>
          <w:rFonts w:ascii="Calibri" w:eastAsia="Calibri" w:hAnsi="Calibri" w:cs="Calibri"/>
          <w:color w:val="000000"/>
          <w:sz w:val="20"/>
          <w:szCs w:val="20"/>
        </w:rPr>
        <w:t xml:space="preserve"> https://elpais.com/ciencia/2021-02-05/el-70-de-los-ultimos-brotes-epidemicos-han-comenzado-con-la-deforestacion.html</w:t>
      </w:r>
    </w:p>
  </w:endnote>
  <w:endnote w:id="8">
    <w:p w14:paraId="085079E5" w14:textId="77777777" w:rsidR="00062EA7" w:rsidRDefault="00062EA7" w:rsidP="00062EA7">
      <w:pPr>
        <w:pStyle w:val="EndnoteText"/>
      </w:pPr>
      <w:r>
        <w:rPr>
          <w:rStyle w:val="EndnoteReference"/>
        </w:rPr>
        <w:endnoteRef/>
      </w:r>
      <w:r>
        <w:t xml:space="preserve"> ONAMIAP. Nota de prensa “</w:t>
      </w:r>
      <w:r w:rsidRPr="007F16FE">
        <w:t>El dengue también se expande y ataca a los pueblos más vulnerable</w:t>
      </w:r>
      <w:r>
        <w:t xml:space="preserve">”. Disponible en </w:t>
      </w:r>
      <w:hyperlink r:id="rId2" w:history="1">
        <w:r w:rsidRPr="00D64F81">
          <w:rPr>
            <w:rStyle w:val="Hyperlink"/>
          </w:rPr>
          <w:t>https://onamiap.org/2021/04/el-dengue-tambien-se-expande-y-ataca-a-los-pueblos-mas-vulnerables/</w:t>
        </w:r>
      </w:hyperlink>
      <w:r>
        <w:t xml:space="preserve"> </w:t>
      </w:r>
    </w:p>
  </w:endnote>
  <w:endnote w:id="9">
    <w:p w14:paraId="1260F181" w14:textId="77777777" w:rsidR="00062EA7" w:rsidRDefault="00062EA7" w:rsidP="00062EA7">
      <w:pPr>
        <w:pStyle w:val="EndnoteText"/>
      </w:pPr>
      <w:r>
        <w:rPr>
          <w:rStyle w:val="EndnoteReference"/>
        </w:rPr>
        <w:endnoteRef/>
      </w:r>
      <w:r>
        <w:t xml:space="preserve"> ONAMIAP. Informe “Para que no nos quedemos atrás: Mujeres indígenas frente a los ODS”. Pg 6-7.</w:t>
      </w:r>
    </w:p>
  </w:endnote>
  <w:endnote w:id="10">
    <w:p w14:paraId="2C1D94E4" w14:textId="77777777" w:rsidR="00062EA7" w:rsidRDefault="00062EA7" w:rsidP="00062EA7">
      <w:pPr>
        <w:pStyle w:val="EndnoteText"/>
      </w:pPr>
      <w:r>
        <w:rPr>
          <w:rStyle w:val="EndnoteReference"/>
        </w:rPr>
        <w:endnoteRef/>
      </w:r>
      <w:r>
        <w:t xml:space="preserve"> ONAMIAP. Informe “Legalización del despojo territorial indígena en los Andes y la Amazonía del Perú”. Pg 127</w:t>
      </w:r>
    </w:p>
  </w:endnote>
  <w:endnote w:id="11">
    <w:p w14:paraId="05E5BD0F" w14:textId="77777777" w:rsidR="00062EA7" w:rsidRDefault="00062EA7" w:rsidP="00062EA7">
      <w:pPr>
        <w:pStyle w:val="EndnoteText"/>
      </w:pPr>
    </w:p>
  </w:endnote>
  <w:endnote w:id="12">
    <w:p w14:paraId="33A51520" w14:textId="77777777" w:rsidR="00965D09" w:rsidRDefault="00965D09" w:rsidP="00965D09">
      <w:pPr>
        <w:pStyle w:val="EndnoteText"/>
      </w:pPr>
      <w:r>
        <w:rPr>
          <w:rStyle w:val="EndnoteReference"/>
        </w:rPr>
        <w:endnoteRef/>
      </w:r>
      <w:r>
        <w:t xml:space="preserve"> ONAMIAP. Informe “Para que no nos quedemos atrás: Mujeres indígenas frente a los ODS”. Pg 11</w:t>
      </w:r>
    </w:p>
  </w:endnote>
  <w:endnote w:id="13">
    <w:p w14:paraId="5F282EEF" w14:textId="77777777" w:rsidR="00965D09" w:rsidRDefault="00965D09" w:rsidP="00965D09">
      <w:pPr>
        <w:pStyle w:val="EndnoteText"/>
      </w:pPr>
      <w:r>
        <w:rPr>
          <w:rStyle w:val="EndnoteReference"/>
        </w:rPr>
        <w:endnoteRef/>
      </w:r>
      <w:r>
        <w:t xml:space="preserve"> ONAMIAP. Informe “Para que no nos quedemos atrás: Mujeres indígenas frente a los ODS”. Pg 10</w:t>
      </w:r>
    </w:p>
  </w:endnote>
  <w:endnote w:id="14">
    <w:p w14:paraId="239D7D83" w14:textId="77777777" w:rsidR="00965D09" w:rsidRDefault="00965D09" w:rsidP="00965D09">
      <w:pPr>
        <w:pStyle w:val="EndnoteText"/>
      </w:pPr>
      <w:r>
        <w:rPr>
          <w:rStyle w:val="EndnoteReference"/>
        </w:rPr>
        <w:endnoteRef/>
      </w:r>
      <w:r>
        <w:t xml:space="preserve"> “</w:t>
      </w:r>
      <w:r w:rsidRPr="00651532">
        <w:t>Interrupción del año escolar: ¿Cuáles son sus causas y cómo afecta a los estudiantes?</w:t>
      </w:r>
      <w:r>
        <w:t xml:space="preserve">”. RPP. 25/05/2021. Revisado en </w:t>
      </w:r>
      <w:hyperlink r:id="rId3" w:anchor=":~:text=Aunque%20en%20el%20Per%C3%BA%20la,ir%20al%20colegio%20en%202020" w:history="1">
        <w:r w:rsidRPr="00B971C2">
          <w:rPr>
            <w:rStyle w:val="Hyperlink"/>
          </w:rPr>
          <w:t>https://rpp.pe/campanas/valor-compartido/interrupcion-del-ano-escolar-cuales-son-sus-causas-y-como-afecta-a-los-estudiantes-desercion-escolar-brecha-educativa-noticia-1338709#:~:text=Aunque%20en%20el%20Per%C3%BA%20la,ir%20al%20colegio%20en%202020</w:t>
        </w:r>
      </w:hyperlink>
      <w:r w:rsidRPr="0092570A">
        <w:t>.</w:t>
      </w:r>
      <w:r>
        <w:t xml:space="preserve"> </w:t>
      </w:r>
    </w:p>
  </w:endnote>
  <w:endnote w:id="15">
    <w:p w14:paraId="6BE4D9A3" w14:textId="77777777" w:rsidR="00965D09" w:rsidRDefault="00965D09" w:rsidP="00965D09">
      <w:pPr>
        <w:pStyle w:val="EndnoteText"/>
        <w:jc w:val="both"/>
      </w:pPr>
      <w:r>
        <w:rPr>
          <w:rStyle w:val="EndnoteReference"/>
        </w:rPr>
        <w:endnoteRef/>
      </w:r>
      <w:r>
        <w:t xml:space="preserve"> </w:t>
      </w:r>
      <w:r w:rsidRPr="7BEE7F4C">
        <w:t xml:space="preserve">Pronunciamiento de la </w:t>
      </w:r>
      <w:r w:rsidRPr="3D923CB6">
        <w:t xml:space="preserve">Organización </w:t>
      </w:r>
      <w:r w:rsidRPr="3223BB7D">
        <w:t xml:space="preserve">Nacional </w:t>
      </w:r>
      <w:r w:rsidRPr="5575D184">
        <w:t>de Mujeres</w:t>
      </w:r>
      <w:r w:rsidRPr="55414C1E">
        <w:t xml:space="preserve"> </w:t>
      </w:r>
      <w:r w:rsidRPr="76400EEC">
        <w:t>Indígenas</w:t>
      </w:r>
      <w:r w:rsidRPr="55414C1E">
        <w:t xml:space="preserve"> y</w:t>
      </w:r>
      <w:r w:rsidRPr="78936225">
        <w:t xml:space="preserve"> </w:t>
      </w:r>
      <w:r w:rsidRPr="76400EEC">
        <w:t xml:space="preserve">Andinas (ONAMIAP) </w:t>
      </w:r>
      <w:r w:rsidRPr="199224F4">
        <w:t xml:space="preserve">en el siguiente link: </w:t>
      </w:r>
      <w:hyperlink r:id="rId4">
        <w:r w:rsidRPr="173ED1BB">
          <w:rPr>
            <w:rStyle w:val="Hyperlink"/>
          </w:rPr>
          <w:t>https://onamiap.org/2022/01/alerta-grave-atentado-contra-la-politica-educacion-intercultural-bilingue/</w:t>
        </w:r>
      </w:hyperlink>
      <w:r w:rsidRPr="173ED1BB">
        <w:t xml:space="preserve"> </w:t>
      </w:r>
      <w:r w:rsidRPr="199224F4">
        <w:t xml:space="preserve"> </w:t>
      </w:r>
    </w:p>
    <w:p w14:paraId="457E3441" w14:textId="77777777" w:rsidR="00965D09" w:rsidRDefault="00965D09" w:rsidP="00965D09">
      <w:pPr>
        <w:pStyle w:val="EndnoteText"/>
        <w:jc w:val="both"/>
      </w:pPr>
      <w:r>
        <w:t xml:space="preserve">Pronunciamiento de la Asociación Interétnica de Desarrollo de la Selva Peruana (AIDESEP) en el siguiente link:  </w:t>
      </w:r>
      <w:hyperlink r:id="rId5">
        <w:r w:rsidRPr="29CDBE5C">
          <w:rPr>
            <w:rStyle w:val="Hyperlink"/>
          </w:rPr>
          <w:t>https://www.facebook.com/1419178555026034/posts/3061502487460291/</w:t>
        </w:r>
      </w:hyperlink>
      <w:r>
        <w:t xml:space="preserve"> </w:t>
      </w:r>
    </w:p>
    <w:p w14:paraId="15A78D23" w14:textId="77777777" w:rsidR="00965D09" w:rsidRDefault="00965D09" w:rsidP="00965D09">
      <w:pPr>
        <w:pStyle w:val="EndnoteText"/>
        <w:jc w:val="both"/>
      </w:pPr>
      <w:r>
        <w:t xml:space="preserve">Pronunciamiento de la Confederación de Nacionalidades Amazónicas del Perú (CONAP) en el siguiente link: </w:t>
      </w:r>
      <w:hyperlink r:id="rId6">
        <w:r w:rsidRPr="7E34EDCC">
          <w:rPr>
            <w:rStyle w:val="Hyperlink"/>
          </w:rPr>
          <w:t>https://www.facebook.com/188015191346556/posts/2149834891831233/</w:t>
        </w:r>
      </w:hyperlink>
      <w:r>
        <w:t xml:space="preserve"> </w:t>
      </w:r>
    </w:p>
    <w:p w14:paraId="57DE444A" w14:textId="77777777" w:rsidR="00965D09" w:rsidRDefault="00965D09" w:rsidP="00965D09">
      <w:pPr>
        <w:pStyle w:val="EndnoteText"/>
        <w:jc w:val="both"/>
      </w:pPr>
      <w:r>
        <w:t xml:space="preserve">Pronunciamiento de la Organización de Pueblos Indígenas del Oriente (ORPIO) en el siguiente link: </w:t>
      </w:r>
      <w:hyperlink r:id="rId7" w:history="1">
        <w:r w:rsidRPr="00532EBD">
          <w:rPr>
            <w:rStyle w:val="Hyperlink"/>
          </w:rPr>
          <w:t>https://www.facebook.com/501896603296148/posts/2104683143017478/</w:t>
        </w:r>
      </w:hyperlink>
    </w:p>
  </w:endnote>
  <w:endnote w:id="16">
    <w:p w14:paraId="04EEBD27" w14:textId="77777777" w:rsidR="00965D09" w:rsidRDefault="00965D09" w:rsidP="00965D09">
      <w:pPr>
        <w:pStyle w:val="EndnoteText"/>
      </w:pPr>
      <w:r>
        <w:rPr>
          <w:rStyle w:val="EndnoteReference"/>
        </w:rPr>
        <w:endnoteRef/>
      </w:r>
      <w:r>
        <w:t xml:space="preserve"> Link de la entrevista del ministro de educación en la radio “La Voz de la selva”: </w:t>
      </w:r>
      <w:hyperlink r:id="rId8" w:history="1">
        <w:r w:rsidRPr="00717C88">
          <w:rPr>
            <w:rStyle w:val="Hyperlink"/>
          </w:rPr>
          <w:t>https://www.facebook.com/RadioLaVozDeLaSelva/videos/946900142635801</w:t>
        </w:r>
      </w:hyperlink>
      <w:r>
        <w:t xml:space="preserve">  </w:t>
      </w:r>
      <w:r w:rsidRPr="001F1A35">
        <w:rPr>
          <w:b/>
          <w:bCs/>
        </w:rPr>
        <w:t>(Ver minuto 19:27 a 22:30)</w:t>
      </w:r>
    </w:p>
    <w:p w14:paraId="55DB34B8" w14:textId="77777777" w:rsidR="00965D09" w:rsidRDefault="00965D09" w:rsidP="00965D09">
      <w:pPr>
        <w:pStyle w:val="EndnoteText"/>
      </w:pPr>
    </w:p>
  </w:endnote>
  <w:endnote w:id="17">
    <w:p w14:paraId="55824F7C" w14:textId="77777777" w:rsidR="00965D09" w:rsidRDefault="00965D09" w:rsidP="00965D09">
      <w:pPr>
        <w:pStyle w:val="EndnoteText"/>
        <w:jc w:val="both"/>
      </w:pPr>
      <w:r>
        <w:rPr>
          <w:rStyle w:val="EndnoteReference"/>
        </w:rPr>
        <w:endnoteRef/>
      </w:r>
      <w:r>
        <w:t xml:space="preserve"> Nota periodística del diario “La república” donde recoge las declaraciones vertidas por el ministro de educación: </w:t>
      </w:r>
      <w:hyperlink r:id="rId9" w:history="1">
        <w:r w:rsidRPr="00717C88">
          <w:rPr>
            <w:rStyle w:val="Hyperlink"/>
          </w:rPr>
          <w:t>https://data.larepublica.pe/derecho-de-mas-de-un-millon-de-estudiantes-indigenas-en-riesgo-por-recategorizacion-de-colegios-eib/</w:t>
        </w:r>
      </w:hyperlink>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Arial Narrow">
    <w:panose1 w:val="020B0606020202030204"/>
    <w:charset w:val="00"/>
    <w:family w:val="swiss"/>
    <w:pitch w:val="variable"/>
    <w:sig w:usb0="00000287" w:usb1="00000800" w:usb2="00000000" w:usb3="00000000" w:csb0="000000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DEC604" w14:textId="77777777" w:rsidR="000D3D70" w:rsidRDefault="000D3D70">
      <w:pPr>
        <w:spacing w:after="0" w:line="240" w:lineRule="auto"/>
      </w:pPr>
      <w:r>
        <w:separator/>
      </w:r>
    </w:p>
  </w:footnote>
  <w:footnote w:type="continuationSeparator" w:id="0">
    <w:p w14:paraId="0F837EAC" w14:textId="77777777" w:rsidR="000D3D70" w:rsidRDefault="000D3D70">
      <w:pPr>
        <w:spacing w:after="0" w:line="240" w:lineRule="auto"/>
      </w:pPr>
      <w:r>
        <w:continuationSeparator/>
      </w:r>
    </w:p>
  </w:footnote>
  <w:footnote w:type="continuationNotice" w:id="1">
    <w:p w14:paraId="75A44CA9" w14:textId="77777777" w:rsidR="000D3D70" w:rsidRDefault="000D3D7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DB1446"/>
    <w:multiLevelType w:val="hybridMultilevel"/>
    <w:tmpl w:val="D0BA2D64"/>
    <w:lvl w:ilvl="0" w:tplc="FFFFFFFF">
      <w:start w:val="1"/>
      <w:numFmt w:val="upp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AB17BD7"/>
    <w:multiLevelType w:val="hybridMultilevel"/>
    <w:tmpl w:val="0DD2918C"/>
    <w:lvl w:ilvl="0" w:tplc="6172A922">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2EF2241D"/>
    <w:multiLevelType w:val="hybridMultilevel"/>
    <w:tmpl w:val="841EEC3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B87671D"/>
    <w:multiLevelType w:val="hybridMultilevel"/>
    <w:tmpl w:val="841EEC3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44CC1B0F"/>
    <w:multiLevelType w:val="hybridMultilevel"/>
    <w:tmpl w:val="6276DB36"/>
    <w:lvl w:ilvl="0" w:tplc="E848BBA0">
      <w:start w:val="1"/>
      <w:numFmt w:val="bullet"/>
      <w:lvlText w:val="-"/>
      <w:lvlJc w:val="left"/>
      <w:pPr>
        <w:ind w:left="1068" w:hanging="360"/>
      </w:pPr>
      <w:rPr>
        <w:rFonts w:ascii="Times New Roman" w:eastAsia="Calibri" w:hAnsi="Times New Roman" w:cs="Times New Roman"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5" w15:restartNumberingAfterBreak="0">
    <w:nsid w:val="56CB02A6"/>
    <w:multiLevelType w:val="hybridMultilevel"/>
    <w:tmpl w:val="841EEC3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594A21BF"/>
    <w:multiLevelType w:val="hybridMultilevel"/>
    <w:tmpl w:val="BBF63DA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7" w15:restartNumberingAfterBreak="0">
    <w:nsid w:val="5D3F10D9"/>
    <w:multiLevelType w:val="hybridMultilevel"/>
    <w:tmpl w:val="941ED1F8"/>
    <w:lvl w:ilvl="0" w:tplc="9542810E">
      <w:start w:val="1"/>
      <w:numFmt w:val="bullet"/>
      <w:lvlText w:val="-"/>
      <w:lvlJc w:val="left"/>
      <w:pPr>
        <w:ind w:left="360" w:hanging="360"/>
      </w:pPr>
      <w:rPr>
        <w:rFonts w:ascii="Calibri" w:eastAsia="Arial" w:hAnsi="Calibri" w:cs="Calibri"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8" w15:restartNumberingAfterBreak="0">
    <w:nsid w:val="6A187B43"/>
    <w:multiLevelType w:val="hybridMultilevel"/>
    <w:tmpl w:val="3D4607E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6AB6071F"/>
    <w:multiLevelType w:val="hybridMultilevel"/>
    <w:tmpl w:val="D0BA2D64"/>
    <w:lvl w:ilvl="0" w:tplc="C0AC0882">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75755D5E"/>
    <w:multiLevelType w:val="hybridMultilevel"/>
    <w:tmpl w:val="42EE11D8"/>
    <w:lvl w:ilvl="0" w:tplc="07B64212">
      <w:start w:val="1"/>
      <w:numFmt w:val="bullet"/>
      <w:lvlText w:val=""/>
      <w:lvlJc w:val="left"/>
      <w:pPr>
        <w:tabs>
          <w:tab w:val="num" w:pos="720"/>
        </w:tabs>
        <w:ind w:left="720" w:hanging="360"/>
      </w:pPr>
      <w:rPr>
        <w:rFonts w:ascii="Wingdings 3" w:hAnsi="Wingdings 3" w:hint="default"/>
      </w:rPr>
    </w:lvl>
    <w:lvl w:ilvl="1" w:tplc="F9E0C5FA" w:tentative="1">
      <w:start w:val="1"/>
      <w:numFmt w:val="bullet"/>
      <w:lvlText w:val=""/>
      <w:lvlJc w:val="left"/>
      <w:pPr>
        <w:tabs>
          <w:tab w:val="num" w:pos="1440"/>
        </w:tabs>
        <w:ind w:left="1440" w:hanging="360"/>
      </w:pPr>
      <w:rPr>
        <w:rFonts w:ascii="Wingdings 3" w:hAnsi="Wingdings 3" w:hint="default"/>
      </w:rPr>
    </w:lvl>
    <w:lvl w:ilvl="2" w:tplc="96E0B62E" w:tentative="1">
      <w:start w:val="1"/>
      <w:numFmt w:val="bullet"/>
      <w:lvlText w:val=""/>
      <w:lvlJc w:val="left"/>
      <w:pPr>
        <w:tabs>
          <w:tab w:val="num" w:pos="2160"/>
        </w:tabs>
        <w:ind w:left="2160" w:hanging="360"/>
      </w:pPr>
      <w:rPr>
        <w:rFonts w:ascii="Wingdings 3" w:hAnsi="Wingdings 3" w:hint="default"/>
      </w:rPr>
    </w:lvl>
    <w:lvl w:ilvl="3" w:tplc="A3D0EEC2" w:tentative="1">
      <w:start w:val="1"/>
      <w:numFmt w:val="bullet"/>
      <w:lvlText w:val=""/>
      <w:lvlJc w:val="left"/>
      <w:pPr>
        <w:tabs>
          <w:tab w:val="num" w:pos="2880"/>
        </w:tabs>
        <w:ind w:left="2880" w:hanging="360"/>
      </w:pPr>
      <w:rPr>
        <w:rFonts w:ascii="Wingdings 3" w:hAnsi="Wingdings 3" w:hint="default"/>
      </w:rPr>
    </w:lvl>
    <w:lvl w:ilvl="4" w:tplc="408CC504" w:tentative="1">
      <w:start w:val="1"/>
      <w:numFmt w:val="bullet"/>
      <w:lvlText w:val=""/>
      <w:lvlJc w:val="left"/>
      <w:pPr>
        <w:tabs>
          <w:tab w:val="num" w:pos="3600"/>
        </w:tabs>
        <w:ind w:left="3600" w:hanging="360"/>
      </w:pPr>
      <w:rPr>
        <w:rFonts w:ascii="Wingdings 3" w:hAnsi="Wingdings 3" w:hint="default"/>
      </w:rPr>
    </w:lvl>
    <w:lvl w:ilvl="5" w:tplc="B23074B8" w:tentative="1">
      <w:start w:val="1"/>
      <w:numFmt w:val="bullet"/>
      <w:lvlText w:val=""/>
      <w:lvlJc w:val="left"/>
      <w:pPr>
        <w:tabs>
          <w:tab w:val="num" w:pos="4320"/>
        </w:tabs>
        <w:ind w:left="4320" w:hanging="360"/>
      </w:pPr>
      <w:rPr>
        <w:rFonts w:ascii="Wingdings 3" w:hAnsi="Wingdings 3" w:hint="default"/>
      </w:rPr>
    </w:lvl>
    <w:lvl w:ilvl="6" w:tplc="199246DE" w:tentative="1">
      <w:start w:val="1"/>
      <w:numFmt w:val="bullet"/>
      <w:lvlText w:val=""/>
      <w:lvlJc w:val="left"/>
      <w:pPr>
        <w:tabs>
          <w:tab w:val="num" w:pos="5040"/>
        </w:tabs>
        <w:ind w:left="5040" w:hanging="360"/>
      </w:pPr>
      <w:rPr>
        <w:rFonts w:ascii="Wingdings 3" w:hAnsi="Wingdings 3" w:hint="default"/>
      </w:rPr>
    </w:lvl>
    <w:lvl w:ilvl="7" w:tplc="35926BAE" w:tentative="1">
      <w:start w:val="1"/>
      <w:numFmt w:val="bullet"/>
      <w:lvlText w:val=""/>
      <w:lvlJc w:val="left"/>
      <w:pPr>
        <w:tabs>
          <w:tab w:val="num" w:pos="5760"/>
        </w:tabs>
        <w:ind w:left="5760" w:hanging="360"/>
      </w:pPr>
      <w:rPr>
        <w:rFonts w:ascii="Wingdings 3" w:hAnsi="Wingdings 3" w:hint="default"/>
      </w:rPr>
    </w:lvl>
    <w:lvl w:ilvl="8" w:tplc="7BA600C6" w:tentative="1">
      <w:start w:val="1"/>
      <w:numFmt w:val="bullet"/>
      <w:lvlText w:val=""/>
      <w:lvlJc w:val="left"/>
      <w:pPr>
        <w:tabs>
          <w:tab w:val="num" w:pos="6480"/>
        </w:tabs>
        <w:ind w:left="6480" w:hanging="360"/>
      </w:pPr>
      <w:rPr>
        <w:rFonts w:ascii="Wingdings 3" w:hAnsi="Wingdings 3" w:hint="default"/>
      </w:rPr>
    </w:lvl>
  </w:abstractNum>
  <w:num w:numId="1">
    <w:abstractNumId w:val="4"/>
  </w:num>
  <w:num w:numId="2">
    <w:abstractNumId w:val="6"/>
  </w:num>
  <w:num w:numId="3">
    <w:abstractNumId w:val="8"/>
  </w:num>
  <w:num w:numId="4">
    <w:abstractNumId w:val="3"/>
  </w:num>
  <w:num w:numId="5">
    <w:abstractNumId w:val="1"/>
  </w:num>
  <w:num w:numId="6">
    <w:abstractNumId w:val="2"/>
  </w:num>
  <w:num w:numId="7">
    <w:abstractNumId w:val="5"/>
  </w:num>
  <w:num w:numId="8">
    <w:abstractNumId w:val="7"/>
  </w:num>
  <w:num w:numId="9">
    <w:abstractNumId w:val="10"/>
  </w:num>
  <w:num w:numId="10">
    <w:abstractNumId w:val="9"/>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6972"/>
    <w:rsid w:val="0000055D"/>
    <w:rsid w:val="000067D9"/>
    <w:rsid w:val="000107E8"/>
    <w:rsid w:val="00011BE1"/>
    <w:rsid w:val="00013AD9"/>
    <w:rsid w:val="00031124"/>
    <w:rsid w:val="00034DA1"/>
    <w:rsid w:val="00034F16"/>
    <w:rsid w:val="00035A04"/>
    <w:rsid w:val="00037C30"/>
    <w:rsid w:val="00040694"/>
    <w:rsid w:val="00042585"/>
    <w:rsid w:val="00045D02"/>
    <w:rsid w:val="000473DE"/>
    <w:rsid w:val="000476B5"/>
    <w:rsid w:val="000528B8"/>
    <w:rsid w:val="000534DA"/>
    <w:rsid w:val="0005359A"/>
    <w:rsid w:val="00062EA7"/>
    <w:rsid w:val="00063E6E"/>
    <w:rsid w:val="00065892"/>
    <w:rsid w:val="000722A3"/>
    <w:rsid w:val="000722AC"/>
    <w:rsid w:val="00084580"/>
    <w:rsid w:val="00097C50"/>
    <w:rsid w:val="000A3507"/>
    <w:rsid w:val="000B215C"/>
    <w:rsid w:val="000B382F"/>
    <w:rsid w:val="000D3136"/>
    <w:rsid w:val="000D3D70"/>
    <w:rsid w:val="000D6A09"/>
    <w:rsid w:val="000E031B"/>
    <w:rsid w:val="000E1284"/>
    <w:rsid w:val="000F7129"/>
    <w:rsid w:val="000F7359"/>
    <w:rsid w:val="000F7EA3"/>
    <w:rsid w:val="00100EC7"/>
    <w:rsid w:val="00103B4F"/>
    <w:rsid w:val="00103D5E"/>
    <w:rsid w:val="0010418C"/>
    <w:rsid w:val="0011114C"/>
    <w:rsid w:val="00112C7B"/>
    <w:rsid w:val="001142B3"/>
    <w:rsid w:val="00115104"/>
    <w:rsid w:val="00115528"/>
    <w:rsid w:val="00116C08"/>
    <w:rsid w:val="0012196A"/>
    <w:rsid w:val="001268E3"/>
    <w:rsid w:val="00127C03"/>
    <w:rsid w:val="00131647"/>
    <w:rsid w:val="001325B1"/>
    <w:rsid w:val="0014359E"/>
    <w:rsid w:val="001458E8"/>
    <w:rsid w:val="00146447"/>
    <w:rsid w:val="00155B8E"/>
    <w:rsid w:val="001573FD"/>
    <w:rsid w:val="00157E2C"/>
    <w:rsid w:val="001768B7"/>
    <w:rsid w:val="00181F79"/>
    <w:rsid w:val="0018328D"/>
    <w:rsid w:val="001873B1"/>
    <w:rsid w:val="00193C8F"/>
    <w:rsid w:val="001A0C07"/>
    <w:rsid w:val="001A2CA8"/>
    <w:rsid w:val="001A3CC4"/>
    <w:rsid w:val="001A3FFD"/>
    <w:rsid w:val="001B09D6"/>
    <w:rsid w:val="001B329B"/>
    <w:rsid w:val="001B3BFF"/>
    <w:rsid w:val="001B4808"/>
    <w:rsid w:val="001C559C"/>
    <w:rsid w:val="001D4D33"/>
    <w:rsid w:val="001D509A"/>
    <w:rsid w:val="001D5ED5"/>
    <w:rsid w:val="001E309C"/>
    <w:rsid w:val="001E56DF"/>
    <w:rsid w:val="001E634D"/>
    <w:rsid w:val="001E7F96"/>
    <w:rsid w:val="001F502F"/>
    <w:rsid w:val="001F57C6"/>
    <w:rsid w:val="002017F1"/>
    <w:rsid w:val="00212032"/>
    <w:rsid w:val="00214CDE"/>
    <w:rsid w:val="002158EF"/>
    <w:rsid w:val="0022230C"/>
    <w:rsid w:val="00224C01"/>
    <w:rsid w:val="00231160"/>
    <w:rsid w:val="002315E8"/>
    <w:rsid w:val="0023399A"/>
    <w:rsid w:val="002357BF"/>
    <w:rsid w:val="0023796C"/>
    <w:rsid w:val="002404DD"/>
    <w:rsid w:val="002523A3"/>
    <w:rsid w:val="00255053"/>
    <w:rsid w:val="00255E76"/>
    <w:rsid w:val="002611E6"/>
    <w:rsid w:val="00261A28"/>
    <w:rsid w:val="00262BBA"/>
    <w:rsid w:val="002702DA"/>
    <w:rsid w:val="002704E4"/>
    <w:rsid w:val="00272682"/>
    <w:rsid w:val="00272F93"/>
    <w:rsid w:val="002740E4"/>
    <w:rsid w:val="00276900"/>
    <w:rsid w:val="00285D38"/>
    <w:rsid w:val="00287990"/>
    <w:rsid w:val="00296621"/>
    <w:rsid w:val="002967C6"/>
    <w:rsid w:val="002A0478"/>
    <w:rsid w:val="002A2DA6"/>
    <w:rsid w:val="002A4F25"/>
    <w:rsid w:val="002A79CF"/>
    <w:rsid w:val="002B3394"/>
    <w:rsid w:val="002B3D7A"/>
    <w:rsid w:val="002B500D"/>
    <w:rsid w:val="002B70AC"/>
    <w:rsid w:val="002C285F"/>
    <w:rsid w:val="002C2FAE"/>
    <w:rsid w:val="002C44EB"/>
    <w:rsid w:val="002C5D88"/>
    <w:rsid w:val="002C779A"/>
    <w:rsid w:val="002D5384"/>
    <w:rsid w:val="002E0616"/>
    <w:rsid w:val="002E513B"/>
    <w:rsid w:val="002E7C09"/>
    <w:rsid w:val="002F7973"/>
    <w:rsid w:val="003142A9"/>
    <w:rsid w:val="00322197"/>
    <w:rsid w:val="00326731"/>
    <w:rsid w:val="00327F49"/>
    <w:rsid w:val="00331967"/>
    <w:rsid w:val="00342E24"/>
    <w:rsid w:val="00345F90"/>
    <w:rsid w:val="0034749D"/>
    <w:rsid w:val="003635DE"/>
    <w:rsid w:val="003655EA"/>
    <w:rsid w:val="0036668D"/>
    <w:rsid w:val="00375E84"/>
    <w:rsid w:val="00376458"/>
    <w:rsid w:val="00381286"/>
    <w:rsid w:val="00382022"/>
    <w:rsid w:val="00382C67"/>
    <w:rsid w:val="00383FFA"/>
    <w:rsid w:val="0038403C"/>
    <w:rsid w:val="0038433D"/>
    <w:rsid w:val="0039637D"/>
    <w:rsid w:val="00397424"/>
    <w:rsid w:val="00397B9E"/>
    <w:rsid w:val="003A0335"/>
    <w:rsid w:val="003A1659"/>
    <w:rsid w:val="003A22A9"/>
    <w:rsid w:val="003B3E7D"/>
    <w:rsid w:val="003B4498"/>
    <w:rsid w:val="003C0133"/>
    <w:rsid w:val="003C0844"/>
    <w:rsid w:val="003C1801"/>
    <w:rsid w:val="003C20CE"/>
    <w:rsid w:val="003C2E95"/>
    <w:rsid w:val="003C500B"/>
    <w:rsid w:val="003C569F"/>
    <w:rsid w:val="003D58E0"/>
    <w:rsid w:val="003D7B2A"/>
    <w:rsid w:val="003E1D4C"/>
    <w:rsid w:val="003E464C"/>
    <w:rsid w:val="003E7A15"/>
    <w:rsid w:val="003F4912"/>
    <w:rsid w:val="003F75EC"/>
    <w:rsid w:val="003F763F"/>
    <w:rsid w:val="0040098A"/>
    <w:rsid w:val="00400F37"/>
    <w:rsid w:val="0040311F"/>
    <w:rsid w:val="00403749"/>
    <w:rsid w:val="00405CF9"/>
    <w:rsid w:val="00427588"/>
    <w:rsid w:val="00431D3A"/>
    <w:rsid w:val="00432DEF"/>
    <w:rsid w:val="004427FB"/>
    <w:rsid w:val="00443D81"/>
    <w:rsid w:val="00445B03"/>
    <w:rsid w:val="00446279"/>
    <w:rsid w:val="00447E6B"/>
    <w:rsid w:val="00450FC2"/>
    <w:rsid w:val="00451571"/>
    <w:rsid w:val="00451B6B"/>
    <w:rsid w:val="00453B9B"/>
    <w:rsid w:val="00455D5C"/>
    <w:rsid w:val="00456D37"/>
    <w:rsid w:val="00463226"/>
    <w:rsid w:val="004822F1"/>
    <w:rsid w:val="00487AA0"/>
    <w:rsid w:val="00487CEC"/>
    <w:rsid w:val="0049437F"/>
    <w:rsid w:val="004A7AF2"/>
    <w:rsid w:val="004B3976"/>
    <w:rsid w:val="004B421C"/>
    <w:rsid w:val="004B43A0"/>
    <w:rsid w:val="004B6BA5"/>
    <w:rsid w:val="004C244C"/>
    <w:rsid w:val="004C2BC5"/>
    <w:rsid w:val="004C2F9A"/>
    <w:rsid w:val="004C326B"/>
    <w:rsid w:val="004C5730"/>
    <w:rsid w:val="004D31C7"/>
    <w:rsid w:val="004D60E8"/>
    <w:rsid w:val="004D760C"/>
    <w:rsid w:val="004E1407"/>
    <w:rsid w:val="004E2311"/>
    <w:rsid w:val="00500769"/>
    <w:rsid w:val="0050088E"/>
    <w:rsid w:val="00503482"/>
    <w:rsid w:val="005069FC"/>
    <w:rsid w:val="005070EE"/>
    <w:rsid w:val="00510169"/>
    <w:rsid w:val="00516971"/>
    <w:rsid w:val="00522783"/>
    <w:rsid w:val="00525884"/>
    <w:rsid w:val="0052649E"/>
    <w:rsid w:val="00527194"/>
    <w:rsid w:val="00527A5D"/>
    <w:rsid w:val="00531EC3"/>
    <w:rsid w:val="00537825"/>
    <w:rsid w:val="00552F25"/>
    <w:rsid w:val="005541F6"/>
    <w:rsid w:val="005632B5"/>
    <w:rsid w:val="00563B2B"/>
    <w:rsid w:val="005641A7"/>
    <w:rsid w:val="005665F1"/>
    <w:rsid w:val="00573945"/>
    <w:rsid w:val="00573C4F"/>
    <w:rsid w:val="005748E4"/>
    <w:rsid w:val="0058180D"/>
    <w:rsid w:val="00584A07"/>
    <w:rsid w:val="005904D6"/>
    <w:rsid w:val="00595D6A"/>
    <w:rsid w:val="005A0229"/>
    <w:rsid w:val="005A173C"/>
    <w:rsid w:val="005A3AA9"/>
    <w:rsid w:val="005A6D07"/>
    <w:rsid w:val="005B29FD"/>
    <w:rsid w:val="005C0A6D"/>
    <w:rsid w:val="005C1479"/>
    <w:rsid w:val="005C19A9"/>
    <w:rsid w:val="005C24B1"/>
    <w:rsid w:val="005C7E6D"/>
    <w:rsid w:val="005E0D98"/>
    <w:rsid w:val="005E6442"/>
    <w:rsid w:val="00600B8A"/>
    <w:rsid w:val="0060146E"/>
    <w:rsid w:val="006044A1"/>
    <w:rsid w:val="00604510"/>
    <w:rsid w:val="006079F0"/>
    <w:rsid w:val="00607D45"/>
    <w:rsid w:val="00620D31"/>
    <w:rsid w:val="00621398"/>
    <w:rsid w:val="0062255B"/>
    <w:rsid w:val="00623979"/>
    <w:rsid w:val="00623F10"/>
    <w:rsid w:val="00631BD7"/>
    <w:rsid w:val="00633605"/>
    <w:rsid w:val="006338FC"/>
    <w:rsid w:val="00634572"/>
    <w:rsid w:val="00637FA4"/>
    <w:rsid w:val="00645915"/>
    <w:rsid w:val="00651532"/>
    <w:rsid w:val="00653C9D"/>
    <w:rsid w:val="00657595"/>
    <w:rsid w:val="00657631"/>
    <w:rsid w:val="00657977"/>
    <w:rsid w:val="00657D36"/>
    <w:rsid w:val="006632FC"/>
    <w:rsid w:val="006633ED"/>
    <w:rsid w:val="00663490"/>
    <w:rsid w:val="006649A7"/>
    <w:rsid w:val="006660B5"/>
    <w:rsid w:val="00670AD5"/>
    <w:rsid w:val="006847EB"/>
    <w:rsid w:val="006947B8"/>
    <w:rsid w:val="006953F1"/>
    <w:rsid w:val="006A44D4"/>
    <w:rsid w:val="006A5185"/>
    <w:rsid w:val="006B00E5"/>
    <w:rsid w:val="006B5208"/>
    <w:rsid w:val="006B54EF"/>
    <w:rsid w:val="006C409B"/>
    <w:rsid w:val="006C7D36"/>
    <w:rsid w:val="006D3BC1"/>
    <w:rsid w:val="006D4217"/>
    <w:rsid w:val="006D5D2F"/>
    <w:rsid w:val="006D6FE7"/>
    <w:rsid w:val="006E0402"/>
    <w:rsid w:val="006E4231"/>
    <w:rsid w:val="006E7FF6"/>
    <w:rsid w:val="006F054B"/>
    <w:rsid w:val="007014DB"/>
    <w:rsid w:val="007060D0"/>
    <w:rsid w:val="00707EA1"/>
    <w:rsid w:val="007117DC"/>
    <w:rsid w:val="00713B36"/>
    <w:rsid w:val="007142D3"/>
    <w:rsid w:val="0071671A"/>
    <w:rsid w:val="0072217C"/>
    <w:rsid w:val="00724397"/>
    <w:rsid w:val="00726F4E"/>
    <w:rsid w:val="00730219"/>
    <w:rsid w:val="00737240"/>
    <w:rsid w:val="00745B65"/>
    <w:rsid w:val="00750D81"/>
    <w:rsid w:val="007515AC"/>
    <w:rsid w:val="00760108"/>
    <w:rsid w:val="00763818"/>
    <w:rsid w:val="00770806"/>
    <w:rsid w:val="00771A34"/>
    <w:rsid w:val="00780253"/>
    <w:rsid w:val="00783B28"/>
    <w:rsid w:val="00787F20"/>
    <w:rsid w:val="00792893"/>
    <w:rsid w:val="00796CE7"/>
    <w:rsid w:val="007A4B1B"/>
    <w:rsid w:val="007A4DFF"/>
    <w:rsid w:val="007A654F"/>
    <w:rsid w:val="007B33B9"/>
    <w:rsid w:val="007B4C75"/>
    <w:rsid w:val="007C1E7F"/>
    <w:rsid w:val="007D6806"/>
    <w:rsid w:val="007E1E7C"/>
    <w:rsid w:val="007E376E"/>
    <w:rsid w:val="007E6860"/>
    <w:rsid w:val="007E6C1D"/>
    <w:rsid w:val="007F16FE"/>
    <w:rsid w:val="00801EDE"/>
    <w:rsid w:val="008025CF"/>
    <w:rsid w:val="00803B67"/>
    <w:rsid w:val="0080469E"/>
    <w:rsid w:val="008050EA"/>
    <w:rsid w:val="00805F16"/>
    <w:rsid w:val="00807EF1"/>
    <w:rsid w:val="00815197"/>
    <w:rsid w:val="0082063B"/>
    <w:rsid w:val="00820C64"/>
    <w:rsid w:val="00820D04"/>
    <w:rsid w:val="008213F0"/>
    <w:rsid w:val="00821705"/>
    <w:rsid w:val="00821A50"/>
    <w:rsid w:val="00827ADB"/>
    <w:rsid w:val="00830157"/>
    <w:rsid w:val="008308FB"/>
    <w:rsid w:val="00832141"/>
    <w:rsid w:val="008412C1"/>
    <w:rsid w:val="008505DB"/>
    <w:rsid w:val="008509A9"/>
    <w:rsid w:val="00855164"/>
    <w:rsid w:val="0085704F"/>
    <w:rsid w:val="00861A1D"/>
    <w:rsid w:val="00865E3C"/>
    <w:rsid w:val="00870233"/>
    <w:rsid w:val="00871324"/>
    <w:rsid w:val="00881619"/>
    <w:rsid w:val="00881B33"/>
    <w:rsid w:val="008871D1"/>
    <w:rsid w:val="008A0208"/>
    <w:rsid w:val="008A7F5A"/>
    <w:rsid w:val="008B0CD2"/>
    <w:rsid w:val="008B382B"/>
    <w:rsid w:val="008B58AD"/>
    <w:rsid w:val="008B757F"/>
    <w:rsid w:val="008C045A"/>
    <w:rsid w:val="008D00E6"/>
    <w:rsid w:val="008D3EF8"/>
    <w:rsid w:val="008D6B79"/>
    <w:rsid w:val="008D76C6"/>
    <w:rsid w:val="008E716D"/>
    <w:rsid w:val="008F019F"/>
    <w:rsid w:val="008F10BF"/>
    <w:rsid w:val="00904317"/>
    <w:rsid w:val="0090630E"/>
    <w:rsid w:val="00906997"/>
    <w:rsid w:val="0090747D"/>
    <w:rsid w:val="00916277"/>
    <w:rsid w:val="0092520C"/>
    <w:rsid w:val="0092570A"/>
    <w:rsid w:val="009275E4"/>
    <w:rsid w:val="00927706"/>
    <w:rsid w:val="00931A7D"/>
    <w:rsid w:val="0094041E"/>
    <w:rsid w:val="00946442"/>
    <w:rsid w:val="00946BCC"/>
    <w:rsid w:val="00955430"/>
    <w:rsid w:val="009615F4"/>
    <w:rsid w:val="00961D12"/>
    <w:rsid w:val="00965D09"/>
    <w:rsid w:val="00972C90"/>
    <w:rsid w:val="009737A0"/>
    <w:rsid w:val="00975165"/>
    <w:rsid w:val="009776BD"/>
    <w:rsid w:val="00984101"/>
    <w:rsid w:val="00985163"/>
    <w:rsid w:val="00992422"/>
    <w:rsid w:val="00993A56"/>
    <w:rsid w:val="009A1603"/>
    <w:rsid w:val="009A593D"/>
    <w:rsid w:val="009A5ABE"/>
    <w:rsid w:val="009A698A"/>
    <w:rsid w:val="009B083C"/>
    <w:rsid w:val="009B1C90"/>
    <w:rsid w:val="009B25A9"/>
    <w:rsid w:val="009B74C5"/>
    <w:rsid w:val="009C0A73"/>
    <w:rsid w:val="009C4847"/>
    <w:rsid w:val="009C6729"/>
    <w:rsid w:val="009D5F79"/>
    <w:rsid w:val="009E0256"/>
    <w:rsid w:val="009E31F9"/>
    <w:rsid w:val="009F3A06"/>
    <w:rsid w:val="009F53FD"/>
    <w:rsid w:val="009F782B"/>
    <w:rsid w:val="009F7D12"/>
    <w:rsid w:val="00A02CE1"/>
    <w:rsid w:val="00A035DF"/>
    <w:rsid w:val="00A05E29"/>
    <w:rsid w:val="00A11CF8"/>
    <w:rsid w:val="00A1225B"/>
    <w:rsid w:val="00A12FA8"/>
    <w:rsid w:val="00A136EA"/>
    <w:rsid w:val="00A14D03"/>
    <w:rsid w:val="00A1722F"/>
    <w:rsid w:val="00A2023F"/>
    <w:rsid w:val="00A250E3"/>
    <w:rsid w:val="00A25347"/>
    <w:rsid w:val="00A27CFA"/>
    <w:rsid w:val="00A31213"/>
    <w:rsid w:val="00A32527"/>
    <w:rsid w:val="00A350B0"/>
    <w:rsid w:val="00A35A3A"/>
    <w:rsid w:val="00A441A8"/>
    <w:rsid w:val="00A44A49"/>
    <w:rsid w:val="00A50417"/>
    <w:rsid w:val="00A543F6"/>
    <w:rsid w:val="00A623C4"/>
    <w:rsid w:val="00A6281B"/>
    <w:rsid w:val="00A64F62"/>
    <w:rsid w:val="00A6529F"/>
    <w:rsid w:val="00A66E69"/>
    <w:rsid w:val="00A67C77"/>
    <w:rsid w:val="00A729FC"/>
    <w:rsid w:val="00A7351F"/>
    <w:rsid w:val="00A77899"/>
    <w:rsid w:val="00A82D11"/>
    <w:rsid w:val="00A862E0"/>
    <w:rsid w:val="00A90D21"/>
    <w:rsid w:val="00A91585"/>
    <w:rsid w:val="00AA060C"/>
    <w:rsid w:val="00AA138D"/>
    <w:rsid w:val="00AA6286"/>
    <w:rsid w:val="00AC2602"/>
    <w:rsid w:val="00AC7E86"/>
    <w:rsid w:val="00AD28E8"/>
    <w:rsid w:val="00AD3053"/>
    <w:rsid w:val="00AD305A"/>
    <w:rsid w:val="00AD38CE"/>
    <w:rsid w:val="00AD437B"/>
    <w:rsid w:val="00AD6EAC"/>
    <w:rsid w:val="00AE1507"/>
    <w:rsid w:val="00AE22B6"/>
    <w:rsid w:val="00AE2BB9"/>
    <w:rsid w:val="00AE5DFA"/>
    <w:rsid w:val="00AE76EA"/>
    <w:rsid w:val="00AE7AFA"/>
    <w:rsid w:val="00AF0A11"/>
    <w:rsid w:val="00AF1546"/>
    <w:rsid w:val="00AF2691"/>
    <w:rsid w:val="00AF48A4"/>
    <w:rsid w:val="00B0263B"/>
    <w:rsid w:val="00B04E0C"/>
    <w:rsid w:val="00B1055C"/>
    <w:rsid w:val="00B21471"/>
    <w:rsid w:val="00B23621"/>
    <w:rsid w:val="00B23E4D"/>
    <w:rsid w:val="00B267F6"/>
    <w:rsid w:val="00B26D7A"/>
    <w:rsid w:val="00B311A8"/>
    <w:rsid w:val="00B37797"/>
    <w:rsid w:val="00B42DD1"/>
    <w:rsid w:val="00B44211"/>
    <w:rsid w:val="00B47CD9"/>
    <w:rsid w:val="00B53151"/>
    <w:rsid w:val="00B6401E"/>
    <w:rsid w:val="00B761B6"/>
    <w:rsid w:val="00B76817"/>
    <w:rsid w:val="00B82784"/>
    <w:rsid w:val="00B87F95"/>
    <w:rsid w:val="00B903B0"/>
    <w:rsid w:val="00B9096E"/>
    <w:rsid w:val="00B91123"/>
    <w:rsid w:val="00B92D62"/>
    <w:rsid w:val="00B93A21"/>
    <w:rsid w:val="00B94BAF"/>
    <w:rsid w:val="00B95F12"/>
    <w:rsid w:val="00B976C5"/>
    <w:rsid w:val="00BA677C"/>
    <w:rsid w:val="00BB213B"/>
    <w:rsid w:val="00BB64A6"/>
    <w:rsid w:val="00BC28DF"/>
    <w:rsid w:val="00BC3046"/>
    <w:rsid w:val="00BC3222"/>
    <w:rsid w:val="00BD56C3"/>
    <w:rsid w:val="00BD6004"/>
    <w:rsid w:val="00BE49E1"/>
    <w:rsid w:val="00BF47BB"/>
    <w:rsid w:val="00BF5C4B"/>
    <w:rsid w:val="00C009F3"/>
    <w:rsid w:val="00C02012"/>
    <w:rsid w:val="00C02EEA"/>
    <w:rsid w:val="00C07310"/>
    <w:rsid w:val="00C26134"/>
    <w:rsid w:val="00C35F5E"/>
    <w:rsid w:val="00C3626A"/>
    <w:rsid w:val="00C40B82"/>
    <w:rsid w:val="00C432D1"/>
    <w:rsid w:val="00C4555D"/>
    <w:rsid w:val="00C51067"/>
    <w:rsid w:val="00C51FF8"/>
    <w:rsid w:val="00C52118"/>
    <w:rsid w:val="00C52FFE"/>
    <w:rsid w:val="00C56257"/>
    <w:rsid w:val="00C674A6"/>
    <w:rsid w:val="00C7348E"/>
    <w:rsid w:val="00C77637"/>
    <w:rsid w:val="00C90595"/>
    <w:rsid w:val="00C91255"/>
    <w:rsid w:val="00C95086"/>
    <w:rsid w:val="00CA2918"/>
    <w:rsid w:val="00CA6B80"/>
    <w:rsid w:val="00CB0B0D"/>
    <w:rsid w:val="00CB1094"/>
    <w:rsid w:val="00CB1922"/>
    <w:rsid w:val="00CB2A7D"/>
    <w:rsid w:val="00CB6E08"/>
    <w:rsid w:val="00CB7FDA"/>
    <w:rsid w:val="00CC0905"/>
    <w:rsid w:val="00CC42F5"/>
    <w:rsid w:val="00CC7882"/>
    <w:rsid w:val="00CD4E46"/>
    <w:rsid w:val="00CE120F"/>
    <w:rsid w:val="00CE5EF6"/>
    <w:rsid w:val="00CF3541"/>
    <w:rsid w:val="00CF4620"/>
    <w:rsid w:val="00CF4DA1"/>
    <w:rsid w:val="00D03826"/>
    <w:rsid w:val="00D03FF0"/>
    <w:rsid w:val="00D127CE"/>
    <w:rsid w:val="00D14257"/>
    <w:rsid w:val="00D1558F"/>
    <w:rsid w:val="00D206A7"/>
    <w:rsid w:val="00D20AD8"/>
    <w:rsid w:val="00D2219C"/>
    <w:rsid w:val="00D24514"/>
    <w:rsid w:val="00D260B3"/>
    <w:rsid w:val="00D31545"/>
    <w:rsid w:val="00D3180C"/>
    <w:rsid w:val="00D33006"/>
    <w:rsid w:val="00D412A9"/>
    <w:rsid w:val="00D45CB1"/>
    <w:rsid w:val="00D471DB"/>
    <w:rsid w:val="00D6097B"/>
    <w:rsid w:val="00D6163A"/>
    <w:rsid w:val="00D65A3F"/>
    <w:rsid w:val="00D732A9"/>
    <w:rsid w:val="00D73328"/>
    <w:rsid w:val="00D8089D"/>
    <w:rsid w:val="00D81529"/>
    <w:rsid w:val="00D83FF2"/>
    <w:rsid w:val="00D85B90"/>
    <w:rsid w:val="00D9262D"/>
    <w:rsid w:val="00D951EB"/>
    <w:rsid w:val="00D96B1E"/>
    <w:rsid w:val="00DA6972"/>
    <w:rsid w:val="00DA7CFA"/>
    <w:rsid w:val="00DB67E2"/>
    <w:rsid w:val="00DC0276"/>
    <w:rsid w:val="00DC3109"/>
    <w:rsid w:val="00DC3860"/>
    <w:rsid w:val="00DC4869"/>
    <w:rsid w:val="00DC4BCD"/>
    <w:rsid w:val="00DD2BA9"/>
    <w:rsid w:val="00DD5F03"/>
    <w:rsid w:val="00DD6314"/>
    <w:rsid w:val="00DD7BFB"/>
    <w:rsid w:val="00DD7FC0"/>
    <w:rsid w:val="00DE107B"/>
    <w:rsid w:val="00DE2073"/>
    <w:rsid w:val="00DE2321"/>
    <w:rsid w:val="00DE3AB3"/>
    <w:rsid w:val="00DE6BA2"/>
    <w:rsid w:val="00DF21A0"/>
    <w:rsid w:val="00DF278F"/>
    <w:rsid w:val="00DF6D37"/>
    <w:rsid w:val="00DF72F4"/>
    <w:rsid w:val="00E0551E"/>
    <w:rsid w:val="00E104B8"/>
    <w:rsid w:val="00E12B1D"/>
    <w:rsid w:val="00E1333A"/>
    <w:rsid w:val="00E13783"/>
    <w:rsid w:val="00E14229"/>
    <w:rsid w:val="00E14F5B"/>
    <w:rsid w:val="00E2123B"/>
    <w:rsid w:val="00E21D0F"/>
    <w:rsid w:val="00E229D0"/>
    <w:rsid w:val="00E2573F"/>
    <w:rsid w:val="00E27173"/>
    <w:rsid w:val="00E31F42"/>
    <w:rsid w:val="00E428B3"/>
    <w:rsid w:val="00E44768"/>
    <w:rsid w:val="00E45DC7"/>
    <w:rsid w:val="00E47138"/>
    <w:rsid w:val="00E514D5"/>
    <w:rsid w:val="00E52559"/>
    <w:rsid w:val="00E5387D"/>
    <w:rsid w:val="00E54CA9"/>
    <w:rsid w:val="00E62581"/>
    <w:rsid w:val="00E675CD"/>
    <w:rsid w:val="00E678DA"/>
    <w:rsid w:val="00E705A8"/>
    <w:rsid w:val="00E71853"/>
    <w:rsid w:val="00E72C06"/>
    <w:rsid w:val="00E73ABE"/>
    <w:rsid w:val="00E74A00"/>
    <w:rsid w:val="00E77557"/>
    <w:rsid w:val="00E841DF"/>
    <w:rsid w:val="00E9668A"/>
    <w:rsid w:val="00EA1AA1"/>
    <w:rsid w:val="00EA2117"/>
    <w:rsid w:val="00EB72A1"/>
    <w:rsid w:val="00EC3DF6"/>
    <w:rsid w:val="00ED0605"/>
    <w:rsid w:val="00ED123E"/>
    <w:rsid w:val="00ED1E2E"/>
    <w:rsid w:val="00ED5CA6"/>
    <w:rsid w:val="00EE0C60"/>
    <w:rsid w:val="00EE258B"/>
    <w:rsid w:val="00EE33E1"/>
    <w:rsid w:val="00EE57F0"/>
    <w:rsid w:val="00EF1952"/>
    <w:rsid w:val="00EF7A7A"/>
    <w:rsid w:val="00F00305"/>
    <w:rsid w:val="00F02E7B"/>
    <w:rsid w:val="00F031A9"/>
    <w:rsid w:val="00F03BF4"/>
    <w:rsid w:val="00F03E71"/>
    <w:rsid w:val="00F04652"/>
    <w:rsid w:val="00F11181"/>
    <w:rsid w:val="00F20790"/>
    <w:rsid w:val="00F270D8"/>
    <w:rsid w:val="00F354BC"/>
    <w:rsid w:val="00F35D7C"/>
    <w:rsid w:val="00F37B35"/>
    <w:rsid w:val="00F4175F"/>
    <w:rsid w:val="00F432F8"/>
    <w:rsid w:val="00F44E01"/>
    <w:rsid w:val="00F46B13"/>
    <w:rsid w:val="00F46E96"/>
    <w:rsid w:val="00F47EEB"/>
    <w:rsid w:val="00F508A9"/>
    <w:rsid w:val="00F53029"/>
    <w:rsid w:val="00F54B71"/>
    <w:rsid w:val="00F65DD1"/>
    <w:rsid w:val="00F66655"/>
    <w:rsid w:val="00F673CA"/>
    <w:rsid w:val="00F70829"/>
    <w:rsid w:val="00F712F0"/>
    <w:rsid w:val="00F76DE7"/>
    <w:rsid w:val="00F76ECC"/>
    <w:rsid w:val="00F81738"/>
    <w:rsid w:val="00F921C4"/>
    <w:rsid w:val="00F92697"/>
    <w:rsid w:val="00FA196B"/>
    <w:rsid w:val="00FA4DF9"/>
    <w:rsid w:val="00FA5B13"/>
    <w:rsid w:val="00FB5DEE"/>
    <w:rsid w:val="00FC6984"/>
    <w:rsid w:val="00FD1629"/>
    <w:rsid w:val="00FD2E81"/>
    <w:rsid w:val="00FD39C5"/>
    <w:rsid w:val="00FE219A"/>
    <w:rsid w:val="00FE339B"/>
    <w:rsid w:val="00FE5779"/>
    <w:rsid w:val="00FE6249"/>
    <w:rsid w:val="00FF11CC"/>
    <w:rsid w:val="00FF7372"/>
    <w:rsid w:val="03E48D1D"/>
    <w:rsid w:val="084D1066"/>
    <w:rsid w:val="0AE55A8E"/>
    <w:rsid w:val="0BA95C7D"/>
    <w:rsid w:val="0D5DF094"/>
    <w:rsid w:val="0EC133ED"/>
    <w:rsid w:val="0F2C9C99"/>
    <w:rsid w:val="1171DC29"/>
    <w:rsid w:val="11DAE6F5"/>
    <w:rsid w:val="13C52F62"/>
    <w:rsid w:val="1682BC57"/>
    <w:rsid w:val="16B741BD"/>
    <w:rsid w:val="173ED1BB"/>
    <w:rsid w:val="199224F4"/>
    <w:rsid w:val="1D14E2C8"/>
    <w:rsid w:val="1F9CBB67"/>
    <w:rsid w:val="223BD955"/>
    <w:rsid w:val="256ADFE9"/>
    <w:rsid w:val="27103167"/>
    <w:rsid w:val="2736A324"/>
    <w:rsid w:val="29269067"/>
    <w:rsid w:val="299938F6"/>
    <w:rsid w:val="29CDBE5C"/>
    <w:rsid w:val="2C8B4B51"/>
    <w:rsid w:val="2F31A922"/>
    <w:rsid w:val="2F48D846"/>
    <w:rsid w:val="2FA8C797"/>
    <w:rsid w:val="3223BB7D"/>
    <w:rsid w:val="34ACC30C"/>
    <w:rsid w:val="378723FB"/>
    <w:rsid w:val="39D4D25E"/>
    <w:rsid w:val="3B21933B"/>
    <w:rsid w:val="3BF94507"/>
    <w:rsid w:val="3D4E74B7"/>
    <w:rsid w:val="3D923CB6"/>
    <w:rsid w:val="42FE1407"/>
    <w:rsid w:val="4B36BAE6"/>
    <w:rsid w:val="4D5588B9"/>
    <w:rsid w:val="4FA8DBF2"/>
    <w:rsid w:val="529AEE4D"/>
    <w:rsid w:val="53052809"/>
    <w:rsid w:val="541918F5"/>
    <w:rsid w:val="55414C1E"/>
    <w:rsid w:val="5575D184"/>
    <w:rsid w:val="57D7E50E"/>
    <w:rsid w:val="58160837"/>
    <w:rsid w:val="58F18246"/>
    <w:rsid w:val="5B175D2B"/>
    <w:rsid w:val="5B2441E4"/>
    <w:rsid w:val="5B8196E7"/>
    <w:rsid w:val="5D6AB064"/>
    <w:rsid w:val="5E096F86"/>
    <w:rsid w:val="5E3DF4EC"/>
    <w:rsid w:val="606C0558"/>
    <w:rsid w:val="61313637"/>
    <w:rsid w:val="68CEE732"/>
    <w:rsid w:val="6B12F7D2"/>
    <w:rsid w:val="6BCB43F8"/>
    <w:rsid w:val="6D8DEBB8"/>
    <w:rsid w:val="6DDFC760"/>
    <w:rsid w:val="6E356C46"/>
    <w:rsid w:val="6ECC98EC"/>
    <w:rsid w:val="70DC2426"/>
    <w:rsid w:val="71305DAE"/>
    <w:rsid w:val="71465DE2"/>
    <w:rsid w:val="73652BB5"/>
    <w:rsid w:val="75B87EEE"/>
    <w:rsid w:val="76400EEC"/>
    <w:rsid w:val="76573E10"/>
    <w:rsid w:val="78936225"/>
    <w:rsid w:val="79E02302"/>
    <w:rsid w:val="7BEE7F4C"/>
    <w:rsid w:val="7C4AA55F"/>
    <w:rsid w:val="7E34EDCC"/>
    <w:rsid w:val="7E697332"/>
  </w:rsids>
  <m:mathPr>
    <m:mathFont m:val="Cambria Math"/>
    <m:brkBin m:val="before"/>
    <m:brkBinSub m:val="--"/>
    <m:smallFrac m:val="0"/>
    <m:dispDef/>
    <m:lMargin m:val="0"/>
    <m:rMargin m:val="0"/>
    <m:defJc m:val="centerGroup"/>
    <m:wrapIndent m:val="1440"/>
    <m:intLim m:val="subSup"/>
    <m:naryLim m:val="undOvr"/>
  </m:mathPr>
  <w:themeFontLang w:val="es-PE"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13AFB"/>
  <w15:docId w15:val="{3E79F9DB-D907-427D-8E78-E66E702F1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C3109"/>
    <w:rPr>
      <w:color w:val="0563C1" w:themeColor="hyperlink"/>
      <w:u w:val="single"/>
    </w:rPr>
  </w:style>
  <w:style w:type="paragraph" w:styleId="Header">
    <w:name w:val="header"/>
    <w:basedOn w:val="Normal"/>
    <w:link w:val="HeaderChar"/>
    <w:uiPriority w:val="99"/>
    <w:unhideWhenUsed/>
    <w:rsid w:val="001873B1"/>
    <w:pPr>
      <w:tabs>
        <w:tab w:val="center" w:pos="4252"/>
        <w:tab w:val="right" w:pos="8504"/>
      </w:tabs>
      <w:spacing w:after="0" w:line="240" w:lineRule="auto"/>
    </w:pPr>
  </w:style>
  <w:style w:type="character" w:customStyle="1" w:styleId="HeaderChar">
    <w:name w:val="Header Char"/>
    <w:basedOn w:val="DefaultParagraphFont"/>
    <w:link w:val="Header"/>
    <w:uiPriority w:val="99"/>
    <w:rsid w:val="001873B1"/>
  </w:style>
  <w:style w:type="paragraph" w:styleId="Footer">
    <w:name w:val="footer"/>
    <w:basedOn w:val="Normal"/>
    <w:link w:val="FooterChar"/>
    <w:uiPriority w:val="99"/>
    <w:unhideWhenUsed/>
    <w:rsid w:val="001873B1"/>
    <w:pPr>
      <w:tabs>
        <w:tab w:val="center" w:pos="4252"/>
        <w:tab w:val="right" w:pos="8504"/>
      </w:tabs>
      <w:spacing w:after="0" w:line="240" w:lineRule="auto"/>
    </w:pPr>
  </w:style>
  <w:style w:type="character" w:customStyle="1" w:styleId="FooterChar">
    <w:name w:val="Footer Char"/>
    <w:basedOn w:val="DefaultParagraphFont"/>
    <w:link w:val="Footer"/>
    <w:uiPriority w:val="99"/>
    <w:rsid w:val="001873B1"/>
  </w:style>
  <w:style w:type="character" w:styleId="EndnoteReference">
    <w:name w:val="endnote reference"/>
    <w:basedOn w:val="DefaultParagraphFont"/>
    <w:uiPriority w:val="99"/>
    <w:semiHidden/>
    <w:unhideWhenUsed/>
    <w:rsid w:val="001873B1"/>
    <w:rPr>
      <w:vertAlign w:val="superscript"/>
    </w:rPr>
  </w:style>
  <w:style w:type="character" w:customStyle="1" w:styleId="EndnoteTextChar">
    <w:name w:val="Endnote Text Char"/>
    <w:basedOn w:val="DefaultParagraphFont"/>
    <w:link w:val="EndnoteText"/>
    <w:uiPriority w:val="99"/>
    <w:semiHidden/>
    <w:rsid w:val="001873B1"/>
    <w:rPr>
      <w:sz w:val="20"/>
      <w:szCs w:val="20"/>
    </w:rPr>
  </w:style>
  <w:style w:type="paragraph" w:styleId="EndnoteText">
    <w:name w:val="endnote text"/>
    <w:basedOn w:val="Normal"/>
    <w:link w:val="EndnoteTextChar"/>
    <w:uiPriority w:val="99"/>
    <w:semiHidden/>
    <w:unhideWhenUsed/>
    <w:rsid w:val="001873B1"/>
    <w:pPr>
      <w:spacing w:after="0" w:line="240" w:lineRule="auto"/>
    </w:pPr>
    <w:rPr>
      <w:sz w:val="20"/>
      <w:szCs w:val="20"/>
    </w:rPr>
  </w:style>
  <w:style w:type="paragraph" w:styleId="FootnoteText">
    <w:name w:val="footnote text"/>
    <w:aliases w:val="5_G,Footnote Text Char Char Char Char Char,Footnote Text Char Char Char Char,Footnote reference,FA Fu,Footnote Text Char Char Char,Texto,nota,pie,Ref.,al,Geneva 9,Font: Geneva 9,Boston 10,Fußnotentextr,ft,single space"/>
    <w:basedOn w:val="Normal"/>
    <w:link w:val="FootnoteTextChar"/>
    <w:unhideWhenUsed/>
    <w:qFormat/>
    <w:rsid w:val="002158EF"/>
    <w:pPr>
      <w:spacing w:after="0" w:line="240" w:lineRule="auto"/>
    </w:pPr>
    <w:rPr>
      <w:sz w:val="20"/>
      <w:szCs w:val="20"/>
    </w:rPr>
  </w:style>
  <w:style w:type="character" w:customStyle="1" w:styleId="FootnoteTextChar">
    <w:name w:val="Footnote Text Char"/>
    <w:aliases w:val="5_G Char,Footnote Text Char Char Char Char Char Char,Footnote Text Char Char Char Char Char1,Footnote reference Char,FA Fu Char,Footnote Text Char Char Char Char1,Texto Char,nota Char,pie Char,Ref. Char,al Char,Geneva 9 Char,ft Char"/>
    <w:basedOn w:val="DefaultParagraphFont"/>
    <w:link w:val="FootnoteText"/>
    <w:qFormat/>
    <w:rsid w:val="002158EF"/>
    <w:rPr>
      <w:sz w:val="20"/>
      <w:szCs w:val="20"/>
    </w:rPr>
  </w:style>
  <w:style w:type="character" w:styleId="FootnoteReference">
    <w:name w:val="footnote reference"/>
    <w:aliases w:val="4_G,Texto de nota al pie,Footnotes refss,Appel note de bas de page,Footnote number,referencia nota al pie,BVI fnr,f,CVR Ref. de nota al pie,Footnote Reference.SES,16 Point,Superscript 6 Point,ftref,Ref,de nota al pie,Ref Car"/>
    <w:basedOn w:val="DefaultParagraphFont"/>
    <w:unhideWhenUsed/>
    <w:qFormat/>
    <w:rsid w:val="002158EF"/>
    <w:rPr>
      <w:vertAlign w:val="superscript"/>
    </w:rPr>
  </w:style>
  <w:style w:type="paragraph" w:styleId="NoSpacing">
    <w:name w:val="No Spacing"/>
    <w:uiPriority w:val="1"/>
    <w:qFormat/>
    <w:rsid w:val="0052649E"/>
    <w:pPr>
      <w:spacing w:after="0" w:line="240" w:lineRule="auto"/>
    </w:pPr>
    <w:rPr>
      <w:rFonts w:ascii="Calibri" w:eastAsia="Calibri" w:hAnsi="Calibri" w:cs="Times New Roman"/>
      <w:lang w:val="en-US"/>
    </w:rPr>
  </w:style>
  <w:style w:type="table" w:styleId="TableGrid">
    <w:name w:val="Table Grid"/>
    <w:basedOn w:val="TableNormal"/>
    <w:uiPriority w:val="39"/>
    <w:rsid w:val="009B1C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DefaultParagraphFont"/>
    <w:uiPriority w:val="99"/>
    <w:semiHidden/>
    <w:unhideWhenUsed/>
    <w:rsid w:val="005632B5"/>
    <w:rPr>
      <w:color w:val="605E5C"/>
      <w:shd w:val="clear" w:color="auto" w:fill="E1DFDD"/>
    </w:rPr>
  </w:style>
  <w:style w:type="paragraph" w:styleId="NormalWeb">
    <w:name w:val="Normal (Web)"/>
    <w:basedOn w:val="Normal"/>
    <w:uiPriority w:val="99"/>
    <w:unhideWhenUsed/>
    <w:qFormat/>
    <w:rsid w:val="000A3507"/>
    <w:pPr>
      <w:spacing w:beforeAutospacing="1" w:afterAutospacing="1" w:line="240" w:lineRule="auto"/>
    </w:pPr>
    <w:rPr>
      <w:rFonts w:ascii="Times New Roman" w:eastAsia="Times New Roman" w:hAnsi="Times New Roman" w:cs="Times New Roman"/>
      <w:sz w:val="24"/>
      <w:szCs w:val="24"/>
      <w:lang w:val="es-ES" w:eastAsia="es-ES"/>
    </w:rPr>
  </w:style>
  <w:style w:type="paragraph" w:styleId="ListParagraph">
    <w:name w:val="List Paragraph"/>
    <w:basedOn w:val="Normal"/>
    <w:uiPriority w:val="34"/>
    <w:qFormat/>
    <w:rsid w:val="00E12B1D"/>
    <w:pPr>
      <w:ind w:left="720"/>
      <w:contextualSpacing/>
    </w:pPr>
  </w:style>
  <w:style w:type="character" w:styleId="Emphasis">
    <w:name w:val="Emphasis"/>
    <w:basedOn w:val="DefaultParagraphFont"/>
    <w:uiPriority w:val="20"/>
    <w:qFormat/>
    <w:rsid w:val="00455D5C"/>
    <w:rPr>
      <w:i/>
      <w:iCs/>
    </w:rPr>
  </w:style>
  <w:style w:type="character" w:customStyle="1" w:styleId="UnresolvedMention">
    <w:name w:val="Unresolved Mention"/>
    <w:basedOn w:val="DefaultParagraphFont"/>
    <w:uiPriority w:val="99"/>
    <w:semiHidden/>
    <w:unhideWhenUsed/>
    <w:rsid w:val="007F16FE"/>
    <w:rPr>
      <w:color w:val="605E5C"/>
      <w:shd w:val="clear" w:color="auto" w:fill="E1DFDD"/>
    </w:rPr>
  </w:style>
  <w:style w:type="character" w:styleId="FollowedHyperlink">
    <w:name w:val="FollowedHyperlink"/>
    <w:basedOn w:val="DefaultParagraphFont"/>
    <w:uiPriority w:val="99"/>
    <w:semiHidden/>
    <w:unhideWhenUsed/>
    <w:rsid w:val="0071671A"/>
    <w:rPr>
      <w:color w:val="954F72" w:themeColor="followedHyperlink"/>
      <w:u w:val="single"/>
    </w:rPr>
  </w:style>
  <w:style w:type="paragraph" w:customStyle="1" w:styleId="SingleTxtG">
    <w:name w:val="_ Single Txt_G"/>
    <w:basedOn w:val="Normal"/>
    <w:qFormat/>
    <w:rsid w:val="004D31C7"/>
    <w:pPr>
      <w:tabs>
        <w:tab w:val="left" w:pos="1701"/>
        <w:tab w:val="left" w:pos="2268"/>
        <w:tab w:val="left" w:pos="2835"/>
      </w:tabs>
      <w:spacing w:after="120" w:line="240" w:lineRule="atLeast"/>
      <w:ind w:left="1134" w:right="1134"/>
      <w:jc w:val="both"/>
    </w:pPr>
    <w:rPr>
      <w:rFonts w:ascii="Times New Roman" w:eastAsiaTheme="minorEastAsia"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455245">
      <w:bodyDiv w:val="1"/>
      <w:marLeft w:val="0"/>
      <w:marRight w:val="0"/>
      <w:marTop w:val="0"/>
      <w:marBottom w:val="0"/>
      <w:divBdr>
        <w:top w:val="none" w:sz="0" w:space="0" w:color="auto"/>
        <w:left w:val="none" w:sz="0" w:space="0" w:color="auto"/>
        <w:bottom w:val="none" w:sz="0" w:space="0" w:color="auto"/>
        <w:right w:val="none" w:sz="0" w:space="0" w:color="auto"/>
      </w:divBdr>
    </w:div>
    <w:div w:id="186453168">
      <w:bodyDiv w:val="1"/>
      <w:marLeft w:val="0"/>
      <w:marRight w:val="0"/>
      <w:marTop w:val="0"/>
      <w:marBottom w:val="0"/>
      <w:divBdr>
        <w:top w:val="none" w:sz="0" w:space="0" w:color="auto"/>
        <w:left w:val="none" w:sz="0" w:space="0" w:color="auto"/>
        <w:bottom w:val="none" w:sz="0" w:space="0" w:color="auto"/>
        <w:right w:val="none" w:sz="0" w:space="0" w:color="auto"/>
      </w:divBdr>
    </w:div>
    <w:div w:id="379329997">
      <w:bodyDiv w:val="1"/>
      <w:marLeft w:val="0"/>
      <w:marRight w:val="0"/>
      <w:marTop w:val="0"/>
      <w:marBottom w:val="0"/>
      <w:divBdr>
        <w:top w:val="none" w:sz="0" w:space="0" w:color="auto"/>
        <w:left w:val="none" w:sz="0" w:space="0" w:color="auto"/>
        <w:bottom w:val="none" w:sz="0" w:space="0" w:color="auto"/>
        <w:right w:val="none" w:sz="0" w:space="0" w:color="auto"/>
      </w:divBdr>
    </w:div>
    <w:div w:id="525557845">
      <w:bodyDiv w:val="1"/>
      <w:marLeft w:val="0"/>
      <w:marRight w:val="0"/>
      <w:marTop w:val="0"/>
      <w:marBottom w:val="0"/>
      <w:divBdr>
        <w:top w:val="none" w:sz="0" w:space="0" w:color="auto"/>
        <w:left w:val="none" w:sz="0" w:space="0" w:color="auto"/>
        <w:bottom w:val="none" w:sz="0" w:space="0" w:color="auto"/>
        <w:right w:val="none" w:sz="0" w:space="0" w:color="auto"/>
      </w:divBdr>
    </w:div>
    <w:div w:id="600143987">
      <w:bodyDiv w:val="1"/>
      <w:marLeft w:val="0"/>
      <w:marRight w:val="0"/>
      <w:marTop w:val="0"/>
      <w:marBottom w:val="0"/>
      <w:divBdr>
        <w:top w:val="none" w:sz="0" w:space="0" w:color="auto"/>
        <w:left w:val="none" w:sz="0" w:space="0" w:color="auto"/>
        <w:bottom w:val="none" w:sz="0" w:space="0" w:color="auto"/>
        <w:right w:val="none" w:sz="0" w:space="0" w:color="auto"/>
      </w:divBdr>
    </w:div>
    <w:div w:id="773549566">
      <w:bodyDiv w:val="1"/>
      <w:marLeft w:val="0"/>
      <w:marRight w:val="0"/>
      <w:marTop w:val="0"/>
      <w:marBottom w:val="0"/>
      <w:divBdr>
        <w:top w:val="none" w:sz="0" w:space="0" w:color="auto"/>
        <w:left w:val="none" w:sz="0" w:space="0" w:color="auto"/>
        <w:bottom w:val="none" w:sz="0" w:space="0" w:color="auto"/>
        <w:right w:val="none" w:sz="0" w:space="0" w:color="auto"/>
      </w:divBdr>
    </w:div>
    <w:div w:id="862327340">
      <w:bodyDiv w:val="1"/>
      <w:marLeft w:val="0"/>
      <w:marRight w:val="0"/>
      <w:marTop w:val="0"/>
      <w:marBottom w:val="0"/>
      <w:divBdr>
        <w:top w:val="none" w:sz="0" w:space="0" w:color="auto"/>
        <w:left w:val="none" w:sz="0" w:space="0" w:color="auto"/>
        <w:bottom w:val="none" w:sz="0" w:space="0" w:color="auto"/>
        <w:right w:val="none" w:sz="0" w:space="0" w:color="auto"/>
      </w:divBdr>
    </w:div>
    <w:div w:id="1116557897">
      <w:bodyDiv w:val="1"/>
      <w:marLeft w:val="0"/>
      <w:marRight w:val="0"/>
      <w:marTop w:val="0"/>
      <w:marBottom w:val="0"/>
      <w:divBdr>
        <w:top w:val="none" w:sz="0" w:space="0" w:color="auto"/>
        <w:left w:val="none" w:sz="0" w:space="0" w:color="auto"/>
        <w:bottom w:val="none" w:sz="0" w:space="0" w:color="auto"/>
        <w:right w:val="none" w:sz="0" w:space="0" w:color="auto"/>
      </w:divBdr>
    </w:div>
    <w:div w:id="1128936815">
      <w:bodyDiv w:val="1"/>
      <w:marLeft w:val="0"/>
      <w:marRight w:val="0"/>
      <w:marTop w:val="0"/>
      <w:marBottom w:val="0"/>
      <w:divBdr>
        <w:top w:val="none" w:sz="0" w:space="0" w:color="auto"/>
        <w:left w:val="none" w:sz="0" w:space="0" w:color="auto"/>
        <w:bottom w:val="none" w:sz="0" w:space="0" w:color="auto"/>
        <w:right w:val="none" w:sz="0" w:space="0" w:color="auto"/>
      </w:divBdr>
    </w:div>
    <w:div w:id="1219973844">
      <w:bodyDiv w:val="1"/>
      <w:marLeft w:val="0"/>
      <w:marRight w:val="0"/>
      <w:marTop w:val="0"/>
      <w:marBottom w:val="0"/>
      <w:divBdr>
        <w:top w:val="none" w:sz="0" w:space="0" w:color="auto"/>
        <w:left w:val="none" w:sz="0" w:space="0" w:color="auto"/>
        <w:bottom w:val="none" w:sz="0" w:space="0" w:color="auto"/>
        <w:right w:val="none" w:sz="0" w:space="0" w:color="auto"/>
      </w:divBdr>
    </w:div>
    <w:div w:id="1293369238">
      <w:bodyDiv w:val="1"/>
      <w:marLeft w:val="0"/>
      <w:marRight w:val="0"/>
      <w:marTop w:val="0"/>
      <w:marBottom w:val="0"/>
      <w:divBdr>
        <w:top w:val="none" w:sz="0" w:space="0" w:color="auto"/>
        <w:left w:val="none" w:sz="0" w:space="0" w:color="auto"/>
        <w:bottom w:val="none" w:sz="0" w:space="0" w:color="auto"/>
        <w:right w:val="none" w:sz="0" w:space="0" w:color="auto"/>
      </w:divBdr>
    </w:div>
    <w:div w:id="1420053549">
      <w:bodyDiv w:val="1"/>
      <w:marLeft w:val="0"/>
      <w:marRight w:val="0"/>
      <w:marTop w:val="0"/>
      <w:marBottom w:val="0"/>
      <w:divBdr>
        <w:top w:val="none" w:sz="0" w:space="0" w:color="auto"/>
        <w:left w:val="none" w:sz="0" w:space="0" w:color="auto"/>
        <w:bottom w:val="none" w:sz="0" w:space="0" w:color="auto"/>
        <w:right w:val="none" w:sz="0" w:space="0" w:color="auto"/>
      </w:divBdr>
      <w:divsChild>
        <w:div w:id="546530217">
          <w:marLeft w:val="547"/>
          <w:marRight w:val="0"/>
          <w:marTop w:val="200"/>
          <w:marBottom w:val="0"/>
          <w:divBdr>
            <w:top w:val="none" w:sz="0" w:space="0" w:color="auto"/>
            <w:left w:val="none" w:sz="0" w:space="0" w:color="auto"/>
            <w:bottom w:val="none" w:sz="0" w:space="0" w:color="auto"/>
            <w:right w:val="none" w:sz="0" w:space="0" w:color="auto"/>
          </w:divBdr>
        </w:div>
        <w:div w:id="990252842">
          <w:marLeft w:val="547"/>
          <w:marRight w:val="0"/>
          <w:marTop w:val="200"/>
          <w:marBottom w:val="0"/>
          <w:divBdr>
            <w:top w:val="none" w:sz="0" w:space="0" w:color="auto"/>
            <w:left w:val="none" w:sz="0" w:space="0" w:color="auto"/>
            <w:bottom w:val="none" w:sz="0" w:space="0" w:color="auto"/>
            <w:right w:val="none" w:sz="0" w:space="0" w:color="auto"/>
          </w:divBdr>
        </w:div>
      </w:divsChild>
    </w:div>
    <w:div w:id="1459908599">
      <w:bodyDiv w:val="1"/>
      <w:marLeft w:val="0"/>
      <w:marRight w:val="0"/>
      <w:marTop w:val="0"/>
      <w:marBottom w:val="0"/>
      <w:divBdr>
        <w:top w:val="none" w:sz="0" w:space="0" w:color="auto"/>
        <w:left w:val="none" w:sz="0" w:space="0" w:color="auto"/>
        <w:bottom w:val="none" w:sz="0" w:space="0" w:color="auto"/>
        <w:right w:val="none" w:sz="0" w:space="0" w:color="auto"/>
      </w:divBdr>
    </w:div>
    <w:div w:id="1717968298">
      <w:bodyDiv w:val="1"/>
      <w:marLeft w:val="0"/>
      <w:marRight w:val="0"/>
      <w:marTop w:val="0"/>
      <w:marBottom w:val="0"/>
      <w:divBdr>
        <w:top w:val="none" w:sz="0" w:space="0" w:color="auto"/>
        <w:left w:val="none" w:sz="0" w:space="0" w:color="auto"/>
        <w:bottom w:val="none" w:sz="0" w:space="0" w:color="auto"/>
        <w:right w:val="none" w:sz="0" w:space="0" w:color="auto"/>
      </w:divBdr>
    </w:div>
    <w:div w:id="1742410205">
      <w:bodyDiv w:val="1"/>
      <w:marLeft w:val="0"/>
      <w:marRight w:val="0"/>
      <w:marTop w:val="0"/>
      <w:marBottom w:val="0"/>
      <w:divBdr>
        <w:top w:val="none" w:sz="0" w:space="0" w:color="auto"/>
        <w:left w:val="none" w:sz="0" w:space="0" w:color="auto"/>
        <w:bottom w:val="none" w:sz="0" w:space="0" w:color="auto"/>
        <w:right w:val="none" w:sz="0" w:space="0" w:color="auto"/>
      </w:divBdr>
    </w:div>
    <w:div w:id="1767269922">
      <w:bodyDiv w:val="1"/>
      <w:marLeft w:val="0"/>
      <w:marRight w:val="0"/>
      <w:marTop w:val="0"/>
      <w:marBottom w:val="0"/>
      <w:divBdr>
        <w:top w:val="none" w:sz="0" w:space="0" w:color="auto"/>
        <w:left w:val="none" w:sz="0" w:space="0" w:color="auto"/>
        <w:bottom w:val="none" w:sz="0" w:space="0" w:color="auto"/>
        <w:right w:val="none" w:sz="0" w:space="0" w:color="auto"/>
      </w:divBdr>
    </w:div>
    <w:div w:id="1865440341">
      <w:bodyDiv w:val="1"/>
      <w:marLeft w:val="0"/>
      <w:marRight w:val="0"/>
      <w:marTop w:val="0"/>
      <w:marBottom w:val="0"/>
      <w:divBdr>
        <w:top w:val="none" w:sz="0" w:space="0" w:color="auto"/>
        <w:left w:val="none" w:sz="0" w:space="0" w:color="auto"/>
        <w:bottom w:val="none" w:sz="0" w:space="0" w:color="auto"/>
        <w:right w:val="none" w:sz="0" w:space="0" w:color="auto"/>
      </w:divBdr>
    </w:div>
    <w:div w:id="20446662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rive.google.com/file/d/1sRTpHZ9O_9kID-RAEs8qLXK9EvHTxJQ4/view?usp=sharing" TargetMode="Externa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yperlink" Target="https://www.defensoria.gob.pe/defensoria-del-pueblo-exige-al-minedu-dejar-sin-efecto-documento-que-afecta-gravemente-el-derecho-a-la-educacion-intercultural-bilingue/" TargetMode="External"/><Relationship Id="rId4" Type="http://schemas.openxmlformats.org/officeDocument/2006/relationships/settings" Target="settings.xml"/><Relationship Id="rId9" Type="http://schemas.openxmlformats.org/officeDocument/2006/relationships/hyperlink" Target="https://drive.google.com/file/d/1b9PdC6WXayVj-MSXf9MmyMxFjcBvc-30/view" TargetMode="External"/><Relationship Id="rId14" Type="http://schemas.openxmlformats.org/officeDocument/2006/relationships/customXml" Target="../customXml/item2.xml"/></Relationships>
</file>

<file path=word/_rels/endnotes.xml.rels><?xml version="1.0" encoding="UTF-8" standalone="yes"?>
<Relationships xmlns="http://schemas.openxmlformats.org/package/2006/relationships"><Relationship Id="rId8" Type="http://schemas.openxmlformats.org/officeDocument/2006/relationships/hyperlink" Target="https://www.facebook.com/RadioLaVozDeLaSelva/videos/946900142635801" TargetMode="External"/><Relationship Id="rId3" Type="http://schemas.openxmlformats.org/officeDocument/2006/relationships/hyperlink" Target="https://rpp.pe/campanas/valor-compartido/interrupcion-del-ano-escolar-cuales-son-sus-causas-y-como-afecta-a-los-estudiantes-desercion-escolar-brecha-educativa-noticia-1338709" TargetMode="External"/><Relationship Id="rId7" Type="http://schemas.openxmlformats.org/officeDocument/2006/relationships/hyperlink" Target="https://www.facebook.com/501896603296148/posts/2104683143017478/" TargetMode="External"/><Relationship Id="rId2" Type="http://schemas.openxmlformats.org/officeDocument/2006/relationships/hyperlink" Target="https://onamiap.org/2021/04/el-dengue-tambien-se-expande-y-ataca-a-los-pueblos-mas-vulnerables/" TargetMode="External"/><Relationship Id="rId1" Type="http://schemas.openxmlformats.org/officeDocument/2006/relationships/hyperlink" Target="https://www.actualidadambiental.pe/680-comunidades-nativas-esperan-la-titulacion-de-sus-territorios-en-peru/" TargetMode="External"/><Relationship Id="rId6" Type="http://schemas.openxmlformats.org/officeDocument/2006/relationships/hyperlink" Target="https://www.facebook.com/188015191346556/posts/2149834891831233/" TargetMode="External"/><Relationship Id="rId5" Type="http://schemas.openxmlformats.org/officeDocument/2006/relationships/hyperlink" Target="https://www.facebook.com/1419178555026034/posts/3061502487460291/" TargetMode="External"/><Relationship Id="rId4" Type="http://schemas.openxmlformats.org/officeDocument/2006/relationships/hyperlink" Target="https://onamiap.org/2022/01/alerta-grave-atentado-contra-la-politica-educacion-intercultural-bilingue/" TargetMode="External"/><Relationship Id="rId9" Type="http://schemas.openxmlformats.org/officeDocument/2006/relationships/hyperlink" Target="https://data.larepublica.pe/derecho-de-mas-de-un-millon-de-estudiantes-indigenas-en-riesgo-por-recategorizacion-de-colegios-eib/"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65E660A-AEC8-4E27-911D-F4A859105F54}">
  <ds:schemaRefs>
    <ds:schemaRef ds:uri="http://schemas.openxmlformats.org/officeDocument/2006/bibliography"/>
  </ds:schemaRefs>
</ds:datastoreItem>
</file>

<file path=customXml/itemProps2.xml><?xml version="1.0" encoding="utf-8"?>
<ds:datastoreItem xmlns:ds="http://schemas.openxmlformats.org/officeDocument/2006/customXml" ds:itemID="{CA671425-73CA-4EAD-B33F-A43C49A79F87}"/>
</file>

<file path=customXml/itemProps3.xml><?xml version="1.0" encoding="utf-8"?>
<ds:datastoreItem xmlns:ds="http://schemas.openxmlformats.org/officeDocument/2006/customXml" ds:itemID="{3559951E-0107-4C3F-A077-FC342F040098}"/>
</file>

<file path=customXml/itemProps4.xml><?xml version="1.0" encoding="utf-8"?>
<ds:datastoreItem xmlns:ds="http://schemas.openxmlformats.org/officeDocument/2006/customXml" ds:itemID="{841A992F-23DF-4178-8669-7E13341FAEF0}"/>
</file>

<file path=docProps/app.xml><?xml version="1.0" encoding="utf-8"?>
<Properties xmlns="http://schemas.openxmlformats.org/officeDocument/2006/extended-properties" xmlns:vt="http://schemas.openxmlformats.org/officeDocument/2006/docPropsVTypes">
  <Template>Normal.dotm</Template>
  <TotalTime>0</TotalTime>
  <Pages>9</Pages>
  <Words>4932</Words>
  <Characters>28113</Characters>
  <Application>Microsoft Office Word</Application>
  <DocSecurity>0</DocSecurity>
  <Lines>234</Lines>
  <Paragraphs>65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32980</CharactersWithSpaces>
  <SharedDoc>false</SharedDoc>
  <HLinks>
    <vt:vector size="66" baseType="variant">
      <vt:variant>
        <vt:i4>5308442</vt:i4>
      </vt:variant>
      <vt:variant>
        <vt:i4>18</vt:i4>
      </vt:variant>
      <vt:variant>
        <vt:i4>0</vt:i4>
      </vt:variant>
      <vt:variant>
        <vt:i4>5</vt:i4>
      </vt:variant>
      <vt:variant>
        <vt:lpwstr>https://www.gob.pe/institucion/minedu/informes-publicaciones/2653587</vt:lpwstr>
      </vt:variant>
      <vt:variant>
        <vt:lpwstr/>
      </vt:variant>
      <vt:variant>
        <vt:i4>6291513</vt:i4>
      </vt:variant>
      <vt:variant>
        <vt:i4>15</vt:i4>
      </vt:variant>
      <vt:variant>
        <vt:i4>0</vt:i4>
      </vt:variant>
      <vt:variant>
        <vt:i4>5</vt:i4>
      </vt:variant>
      <vt:variant>
        <vt:lpwstr>https://www.defensoria.gob.pe/defensoria-del-pueblo-exige-al-minedu-dejar-sin-efecto-documento-que-afecta-gravemente-el-derecho-a-la-educacion-intercultural-bilingue/</vt:lpwstr>
      </vt:variant>
      <vt:variant>
        <vt:lpwstr/>
      </vt:variant>
      <vt:variant>
        <vt:i4>8257578</vt:i4>
      </vt:variant>
      <vt:variant>
        <vt:i4>12</vt:i4>
      </vt:variant>
      <vt:variant>
        <vt:i4>0</vt:i4>
      </vt:variant>
      <vt:variant>
        <vt:i4>5</vt:i4>
      </vt:variant>
      <vt:variant>
        <vt:lpwstr>https://drive.google.com/file/d/1b9PdC6WXayVj-MSXf9MmyMxFjcBvc-30/view</vt:lpwstr>
      </vt:variant>
      <vt:variant>
        <vt:lpwstr/>
      </vt:variant>
      <vt:variant>
        <vt:i4>2949164</vt:i4>
      </vt:variant>
      <vt:variant>
        <vt:i4>9</vt:i4>
      </vt:variant>
      <vt:variant>
        <vt:i4>0</vt:i4>
      </vt:variant>
      <vt:variant>
        <vt:i4>5</vt:i4>
      </vt:variant>
      <vt:variant>
        <vt:lpwstr>https://www.gob.pe/institucion/minedu/normas-legales/169562-629-2016-minedu</vt:lpwstr>
      </vt:variant>
      <vt:variant>
        <vt:lpwstr/>
      </vt:variant>
      <vt:variant>
        <vt:i4>8126501</vt:i4>
      </vt:variant>
      <vt:variant>
        <vt:i4>6</vt:i4>
      </vt:variant>
      <vt:variant>
        <vt:i4>0</vt:i4>
      </vt:variant>
      <vt:variant>
        <vt:i4>5</vt:i4>
      </vt:variant>
      <vt:variant>
        <vt:lpwstr>https://repositorio.minedu.gob.pe/bitstream/handle/20.500.12799/5105/Plan Nacional de Educaci%c3%b3n Intercultural Biling%c3%bce al 2021.pdf?sequence=1&amp;isAllowed=y</vt:lpwstr>
      </vt:variant>
      <vt:variant>
        <vt:lpwstr/>
      </vt:variant>
      <vt:variant>
        <vt:i4>1900557</vt:i4>
      </vt:variant>
      <vt:variant>
        <vt:i4>3</vt:i4>
      </vt:variant>
      <vt:variant>
        <vt:i4>0</vt:i4>
      </vt:variant>
      <vt:variant>
        <vt:i4>5</vt:i4>
      </vt:variant>
      <vt:variant>
        <vt:lpwstr>http://www.minedu.gob.pe/p/ley_general_de_educacion_28044.pdf</vt:lpwstr>
      </vt:variant>
      <vt:variant>
        <vt:lpwstr/>
      </vt:variant>
      <vt:variant>
        <vt:i4>8126578</vt:i4>
      </vt:variant>
      <vt:variant>
        <vt:i4>0</vt:i4>
      </vt:variant>
      <vt:variant>
        <vt:i4>0</vt:i4>
      </vt:variant>
      <vt:variant>
        <vt:i4>5</vt:i4>
      </vt:variant>
      <vt:variant>
        <vt:lpwstr>http://observatoriolegislativocele.com/wp-content/uploads/LEYES/Peru/27818.pdf</vt:lpwstr>
      </vt:variant>
      <vt:variant>
        <vt:lpwstr/>
      </vt:variant>
      <vt:variant>
        <vt:i4>1179649</vt:i4>
      </vt:variant>
      <vt:variant>
        <vt:i4>9</vt:i4>
      </vt:variant>
      <vt:variant>
        <vt:i4>0</vt:i4>
      </vt:variant>
      <vt:variant>
        <vt:i4>5</vt:i4>
      </vt:variant>
      <vt:variant>
        <vt:lpwstr>https://www.facebook.com/501896603296148/posts/2104683143017478/</vt:lpwstr>
      </vt:variant>
      <vt:variant>
        <vt:lpwstr/>
      </vt:variant>
      <vt:variant>
        <vt:i4>2031625</vt:i4>
      </vt:variant>
      <vt:variant>
        <vt:i4>6</vt:i4>
      </vt:variant>
      <vt:variant>
        <vt:i4>0</vt:i4>
      </vt:variant>
      <vt:variant>
        <vt:i4>5</vt:i4>
      </vt:variant>
      <vt:variant>
        <vt:lpwstr>https://www.facebook.com/188015191346556/posts/2149834891831233/</vt:lpwstr>
      </vt:variant>
      <vt:variant>
        <vt:lpwstr/>
      </vt:variant>
      <vt:variant>
        <vt:i4>5439581</vt:i4>
      </vt:variant>
      <vt:variant>
        <vt:i4>3</vt:i4>
      </vt:variant>
      <vt:variant>
        <vt:i4>0</vt:i4>
      </vt:variant>
      <vt:variant>
        <vt:i4>5</vt:i4>
      </vt:variant>
      <vt:variant>
        <vt:lpwstr>https://www.facebook.com/1419178555026034/posts/3061502487460291/</vt:lpwstr>
      </vt:variant>
      <vt:variant>
        <vt:lpwstr/>
      </vt:variant>
      <vt:variant>
        <vt:i4>3211309</vt:i4>
      </vt:variant>
      <vt:variant>
        <vt:i4>0</vt:i4>
      </vt:variant>
      <vt:variant>
        <vt:i4>0</vt:i4>
      </vt:variant>
      <vt:variant>
        <vt:i4>5</vt:i4>
      </vt:variant>
      <vt:variant>
        <vt:lpwstr>https://onamiap.org/2022/01/alerta-grave-atentado-contra-la-politica-educacion-intercultural-bilingue/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Gaby Alvarez Paredes</dc:creator>
  <cp:keywords/>
  <dc:description/>
  <cp:lastModifiedBy>REYNAUD Céline</cp:lastModifiedBy>
  <cp:revision>2</cp:revision>
  <dcterms:created xsi:type="dcterms:W3CDTF">2022-08-09T14:47:00Z</dcterms:created>
  <dcterms:modified xsi:type="dcterms:W3CDTF">2022-08-09T14:47:00Z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