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45E92" w14:textId="77777777" w:rsidR="003B6EEF" w:rsidRPr="005D5907" w:rsidRDefault="009F711E">
      <w:pPr>
        <w:pStyle w:val="CuerpoA"/>
        <w:jc w:val="center"/>
        <w:rPr>
          <w:rStyle w:val="Ninguno"/>
          <w:rFonts w:asciiTheme="minorHAnsi" w:hAnsiTheme="minorHAnsi"/>
          <w:b/>
          <w:bCs/>
          <w:sz w:val="24"/>
          <w:szCs w:val="24"/>
        </w:rPr>
      </w:pPr>
      <w:r w:rsidRPr="005D5907">
        <w:rPr>
          <w:rStyle w:val="Ninguno"/>
          <w:rFonts w:asciiTheme="minorHAnsi" w:hAnsiTheme="minorHAnsi"/>
          <w:b/>
          <w:bCs/>
          <w:sz w:val="24"/>
          <w:szCs w:val="24"/>
        </w:rPr>
        <w:t>Respuestas complementarias presentación oral 10mo Informe Nacional de Uruguay frente al Comité CEDAW</w:t>
      </w:r>
    </w:p>
    <w:p w14:paraId="2E94BA90" w14:textId="77777777" w:rsidR="003B6EEF" w:rsidRPr="005D5907" w:rsidRDefault="003B6EEF">
      <w:pPr>
        <w:pStyle w:val="CuerpoA"/>
        <w:jc w:val="both"/>
        <w:rPr>
          <w:rFonts w:asciiTheme="minorHAnsi" w:hAnsiTheme="minorHAnsi"/>
          <w:sz w:val="24"/>
          <w:szCs w:val="24"/>
        </w:rPr>
      </w:pPr>
    </w:p>
    <w:p w14:paraId="1AC5F1C5" w14:textId="717F6E59" w:rsidR="003B6EEF" w:rsidRPr="005D5907" w:rsidRDefault="009F711E" w:rsidP="005D5907">
      <w:pPr>
        <w:pStyle w:val="CuerpoA"/>
        <w:numPr>
          <w:ilvl w:val="0"/>
          <w:numId w:val="2"/>
        </w:numPr>
        <w:jc w:val="both"/>
        <w:rPr>
          <w:rFonts w:asciiTheme="minorHAnsi" w:hAnsiTheme="minorHAnsi"/>
          <w:sz w:val="24"/>
          <w:szCs w:val="24"/>
        </w:rPr>
      </w:pPr>
      <w:r w:rsidRPr="005D5907">
        <w:rPr>
          <w:rFonts w:asciiTheme="minorHAnsi" w:hAnsiTheme="minorHAnsi"/>
          <w:sz w:val="24"/>
          <w:szCs w:val="24"/>
        </w:rPr>
        <w:t>El Mecanismo Nacional de Elaboración de Informes y Seguimiento de Recomendaciones coordina además, con el Sistema de Diálogo y Consulta </w:t>
      </w:r>
      <w:r w:rsidR="005D5907">
        <w:rPr>
          <w:rFonts w:asciiTheme="minorHAnsi" w:hAnsiTheme="minorHAnsi"/>
          <w:sz w:val="24"/>
          <w:szCs w:val="24"/>
        </w:rPr>
        <w:t xml:space="preserve">(SDC) </w:t>
      </w:r>
      <w:r w:rsidRPr="005D5907">
        <w:rPr>
          <w:rFonts w:asciiTheme="minorHAnsi" w:hAnsiTheme="minorHAnsi"/>
          <w:sz w:val="24"/>
          <w:szCs w:val="24"/>
        </w:rPr>
        <w:t>del Ministerio de Relaciones Exteriores en tanto canal formal de comunicación con la sociedad civil organizada. El SDC fue establecido en 2016 como ámbito institucionalizado de participación para el intercambio de información, opinión y diálogo entre la ciudadanía y el Ministerio en todos los temas de política exterior. En este marco, previo al envío de informes nacionales se convoca a las organizaciones de la sociedad civil interesadas en los temas propios de los documentos a ser presentados a los órganos de tratados y al Examen Periódico Universal, auspiciando de esta forma un espacio de diálogo entre el Estado y la sociedad civil respecto al informe en cuestión, de conformidad con los compromisos asumidos internacionalmente. En el marco de la preparación de este informe fueron invitadas distintas organizaciones de la soc</w:t>
      </w:r>
      <w:r w:rsidR="005D5907" w:rsidRPr="005D5907">
        <w:rPr>
          <w:rFonts w:asciiTheme="minorHAnsi" w:hAnsiTheme="minorHAnsi"/>
          <w:sz w:val="24"/>
          <w:szCs w:val="24"/>
        </w:rPr>
        <w:t>i</w:t>
      </w:r>
      <w:r w:rsidRPr="005D5907">
        <w:rPr>
          <w:rFonts w:asciiTheme="minorHAnsi" w:hAnsiTheme="minorHAnsi"/>
          <w:sz w:val="24"/>
          <w:szCs w:val="24"/>
        </w:rPr>
        <w:t>edad civil que trabajan en la tem</w:t>
      </w:r>
      <w:r w:rsidR="005D5907" w:rsidRPr="005D5907">
        <w:rPr>
          <w:rFonts w:asciiTheme="minorHAnsi" w:hAnsiTheme="minorHAnsi"/>
          <w:sz w:val="24"/>
          <w:szCs w:val="24"/>
        </w:rPr>
        <w:t>á</w:t>
      </w:r>
      <w:r w:rsidRPr="005D5907">
        <w:rPr>
          <w:rFonts w:asciiTheme="minorHAnsi" w:hAnsiTheme="minorHAnsi"/>
          <w:sz w:val="24"/>
          <w:szCs w:val="24"/>
        </w:rPr>
        <w:t>tica para la presentación escrita así como también para preparación del diálogo con este Comité.</w:t>
      </w:r>
    </w:p>
    <w:p w14:paraId="36D8C2AC" w14:textId="77777777" w:rsidR="003B6EEF" w:rsidRPr="005D5907" w:rsidRDefault="003B6EEF" w:rsidP="005D5907">
      <w:pPr>
        <w:pStyle w:val="CuerpoA"/>
        <w:jc w:val="both"/>
        <w:rPr>
          <w:rFonts w:asciiTheme="minorHAnsi" w:hAnsiTheme="minorHAnsi"/>
          <w:sz w:val="24"/>
          <w:szCs w:val="24"/>
        </w:rPr>
      </w:pPr>
    </w:p>
    <w:p w14:paraId="34B10B7D" w14:textId="77777777" w:rsidR="003B6EEF" w:rsidRPr="005D5907" w:rsidRDefault="009F711E" w:rsidP="005D5907">
      <w:pPr>
        <w:pStyle w:val="CuerpoA"/>
        <w:numPr>
          <w:ilvl w:val="0"/>
          <w:numId w:val="2"/>
        </w:numPr>
        <w:jc w:val="both"/>
        <w:rPr>
          <w:rStyle w:val="Ninguno"/>
          <w:rFonts w:asciiTheme="minorHAnsi" w:hAnsiTheme="minorHAnsi"/>
          <w:b/>
          <w:bCs/>
          <w:sz w:val="24"/>
          <w:szCs w:val="24"/>
        </w:rPr>
      </w:pPr>
      <w:r w:rsidRPr="005D5907">
        <w:rPr>
          <w:rStyle w:val="Ninguno"/>
          <w:rFonts w:asciiTheme="minorHAnsi" w:hAnsiTheme="minorHAnsi"/>
          <w:b/>
          <w:bCs/>
          <w:sz w:val="24"/>
          <w:szCs w:val="24"/>
        </w:rPr>
        <w:t>Pensiones mensuales para hijos/as de víctimas fallecidas por violencia doméstica setiembre 2023 (Ley 18850)</w:t>
      </w:r>
    </w:p>
    <w:p w14:paraId="07128D6F" w14:textId="77777777" w:rsidR="003B6EEF" w:rsidRPr="005D5907" w:rsidRDefault="003B6EEF" w:rsidP="005D5907">
      <w:pPr>
        <w:pStyle w:val="CuerpoA"/>
        <w:jc w:val="both"/>
        <w:rPr>
          <w:rFonts w:asciiTheme="minorHAnsi" w:hAnsiTheme="minorHAnsi"/>
          <w:sz w:val="24"/>
          <w:szCs w:val="24"/>
        </w:rPr>
      </w:pPr>
    </w:p>
    <w:p w14:paraId="6DC898B0" w14:textId="77777777" w:rsidR="003B6EEF" w:rsidRPr="005D5907" w:rsidRDefault="003B6EEF" w:rsidP="005D5907">
      <w:pPr>
        <w:pStyle w:val="CuerpoA"/>
        <w:jc w:val="both"/>
        <w:rPr>
          <w:rFonts w:asciiTheme="minorHAnsi" w:hAnsiTheme="minorHAnsi"/>
          <w:sz w:val="24"/>
          <w:szCs w:val="24"/>
        </w:rPr>
      </w:pPr>
    </w:p>
    <w:tbl>
      <w:tblPr>
        <w:tblW w:w="963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00A2FF"/>
        <w:tblLayout w:type="fixed"/>
        <w:tblLook w:val="04A0" w:firstRow="1" w:lastRow="0" w:firstColumn="1" w:lastColumn="0" w:noHBand="0" w:noVBand="1"/>
      </w:tblPr>
      <w:tblGrid>
        <w:gridCol w:w="3210"/>
        <w:gridCol w:w="3211"/>
        <w:gridCol w:w="3211"/>
      </w:tblGrid>
      <w:tr w:rsidR="003B6EEF" w:rsidRPr="005D5907" w14:paraId="32213F8E" w14:textId="77777777">
        <w:trPr>
          <w:trHeight w:val="294"/>
          <w:tblHeader/>
        </w:trPr>
        <w:tc>
          <w:tcPr>
            <w:tcW w:w="321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43968F13"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lang w:val="pt-PT"/>
              </w:rPr>
              <w:t>Sexo</w:t>
            </w:r>
          </w:p>
        </w:tc>
        <w:tc>
          <w:tcPr>
            <w:tcW w:w="3211"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01FB9E8D"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lang w:val="pt-PT"/>
              </w:rPr>
              <w:t>Cantidad</w:t>
            </w:r>
          </w:p>
        </w:tc>
        <w:tc>
          <w:tcPr>
            <w:tcW w:w="3211"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2CFE481D"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rPr>
              <w:t>Promedio pesos uruguayos</w:t>
            </w:r>
          </w:p>
        </w:tc>
      </w:tr>
      <w:tr w:rsidR="003B6EEF" w:rsidRPr="005D5907" w14:paraId="2482B74C" w14:textId="77777777">
        <w:tblPrEx>
          <w:shd w:val="clear" w:color="auto" w:fill="CADFFF"/>
        </w:tblPrEx>
        <w:trPr>
          <w:trHeight w:val="309"/>
        </w:trPr>
        <w:tc>
          <w:tcPr>
            <w:tcW w:w="321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8FEBD9"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fr-FR"/>
              </w:rPr>
              <w:t>Femenino</w:t>
            </w:r>
          </w:p>
        </w:tc>
        <w:tc>
          <w:tcPr>
            <w:tcW w:w="3211"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57C5B0"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67</w:t>
            </w:r>
          </w:p>
        </w:tc>
        <w:tc>
          <w:tcPr>
            <w:tcW w:w="3211"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47D351"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13219</w:t>
            </w:r>
          </w:p>
        </w:tc>
      </w:tr>
      <w:tr w:rsidR="003B6EEF" w:rsidRPr="005D5907" w14:paraId="2075C625" w14:textId="77777777">
        <w:tblPrEx>
          <w:shd w:val="clear" w:color="auto" w:fill="CADFFF"/>
        </w:tblPrEx>
        <w:trPr>
          <w:trHeight w:val="294"/>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5BEB59A"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pt-PT"/>
              </w:rPr>
              <w:t>Masculino</w:t>
            </w:r>
          </w:p>
        </w:tc>
        <w:tc>
          <w:tcPr>
            <w:tcW w:w="321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049AA5D"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62</w:t>
            </w:r>
          </w:p>
        </w:tc>
        <w:tc>
          <w:tcPr>
            <w:tcW w:w="321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5198E52"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13615</w:t>
            </w:r>
          </w:p>
        </w:tc>
      </w:tr>
    </w:tbl>
    <w:p w14:paraId="613F3190" w14:textId="77777777" w:rsidR="003B6EEF" w:rsidRPr="005D5907" w:rsidRDefault="003B6EEF" w:rsidP="005D5907">
      <w:pPr>
        <w:pStyle w:val="CuerpoA"/>
        <w:widowControl w:val="0"/>
        <w:ind w:left="324" w:hanging="324"/>
        <w:jc w:val="both"/>
        <w:rPr>
          <w:rFonts w:asciiTheme="minorHAnsi" w:hAnsiTheme="minorHAnsi"/>
          <w:sz w:val="24"/>
          <w:szCs w:val="24"/>
        </w:rPr>
      </w:pPr>
    </w:p>
    <w:p w14:paraId="23FAF59C" w14:textId="77777777" w:rsidR="003B6EEF" w:rsidRPr="005D5907" w:rsidRDefault="003B6EEF" w:rsidP="005D5907">
      <w:pPr>
        <w:pStyle w:val="CuerpoA"/>
        <w:jc w:val="both"/>
        <w:rPr>
          <w:rStyle w:val="Ninguno"/>
          <w:rFonts w:asciiTheme="minorHAnsi" w:hAnsiTheme="minorHAnsi"/>
          <w:b/>
          <w:bCs/>
          <w:sz w:val="24"/>
          <w:szCs w:val="24"/>
        </w:rPr>
      </w:pPr>
    </w:p>
    <w:p w14:paraId="6DAD20C2" w14:textId="77777777" w:rsidR="003B6EEF" w:rsidRPr="005D5907" w:rsidRDefault="009F711E" w:rsidP="005D5907">
      <w:pPr>
        <w:pStyle w:val="CuerpoA"/>
        <w:jc w:val="both"/>
        <w:rPr>
          <w:rStyle w:val="Ninguno"/>
          <w:rFonts w:asciiTheme="minorHAnsi" w:hAnsiTheme="minorHAnsi"/>
          <w:b/>
          <w:bCs/>
          <w:sz w:val="24"/>
          <w:szCs w:val="24"/>
        </w:rPr>
      </w:pPr>
      <w:r w:rsidRPr="005D5907">
        <w:rPr>
          <w:rStyle w:val="Ninguno"/>
          <w:rFonts w:asciiTheme="minorHAnsi" w:hAnsiTheme="minorHAnsi"/>
          <w:b/>
          <w:bCs/>
          <w:sz w:val="24"/>
          <w:szCs w:val="24"/>
        </w:rPr>
        <w:t>Pensiones por Delitos Violentos setiembre 2023 (Ley Nº19.039) sobre delitos violentos.</w:t>
      </w:r>
    </w:p>
    <w:p w14:paraId="25CEB06F" w14:textId="77777777" w:rsidR="003B6EEF" w:rsidRPr="005D5907" w:rsidRDefault="003B6EEF" w:rsidP="005D5907">
      <w:pPr>
        <w:pStyle w:val="CuerpoA"/>
        <w:jc w:val="both"/>
        <w:rPr>
          <w:rFonts w:asciiTheme="minorHAnsi" w:hAnsiTheme="minorHAnsi"/>
          <w:sz w:val="24"/>
          <w:szCs w:val="24"/>
        </w:rPr>
      </w:pPr>
    </w:p>
    <w:tbl>
      <w:tblPr>
        <w:tblW w:w="9632" w:type="dxa"/>
        <w:tblInd w:w="4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00A2FF"/>
        <w:tblLayout w:type="fixed"/>
        <w:tblLook w:val="04A0" w:firstRow="1" w:lastRow="0" w:firstColumn="1" w:lastColumn="0" w:noHBand="0" w:noVBand="1"/>
      </w:tblPr>
      <w:tblGrid>
        <w:gridCol w:w="3210"/>
        <w:gridCol w:w="3211"/>
        <w:gridCol w:w="3211"/>
      </w:tblGrid>
      <w:tr w:rsidR="003B6EEF" w:rsidRPr="005D5907" w14:paraId="612B43E2" w14:textId="77777777">
        <w:trPr>
          <w:trHeight w:val="294"/>
          <w:tblHeader/>
        </w:trPr>
        <w:tc>
          <w:tcPr>
            <w:tcW w:w="3210"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055352D7"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lang w:val="pt-PT"/>
              </w:rPr>
              <w:t>Sexo</w:t>
            </w:r>
          </w:p>
        </w:tc>
        <w:tc>
          <w:tcPr>
            <w:tcW w:w="3211"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689DC4A4"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lang w:val="pt-PT"/>
              </w:rPr>
              <w:t>Cantidad</w:t>
            </w:r>
          </w:p>
        </w:tc>
        <w:tc>
          <w:tcPr>
            <w:tcW w:w="3211"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80" w:type="dxa"/>
            </w:tcMar>
          </w:tcPr>
          <w:p w14:paraId="078DACCF" w14:textId="77777777" w:rsidR="003B6EEF" w:rsidRPr="005D5907" w:rsidRDefault="009F711E" w:rsidP="005D5907">
            <w:pPr>
              <w:pStyle w:val="Estilodetabla1"/>
              <w:jc w:val="both"/>
              <w:rPr>
                <w:rFonts w:asciiTheme="minorHAnsi" w:hAnsiTheme="minorHAnsi"/>
                <w:sz w:val="24"/>
                <w:szCs w:val="24"/>
              </w:rPr>
            </w:pPr>
            <w:r w:rsidRPr="005D5907">
              <w:rPr>
                <w:rStyle w:val="Ninguno"/>
                <w:rFonts w:asciiTheme="minorHAnsi" w:hAnsiTheme="minorHAnsi"/>
                <w:sz w:val="24"/>
                <w:szCs w:val="24"/>
              </w:rPr>
              <w:t>Promedio pesos uruguayos</w:t>
            </w:r>
          </w:p>
        </w:tc>
      </w:tr>
      <w:tr w:rsidR="003B6EEF" w:rsidRPr="005D5907" w14:paraId="3C76B2D8" w14:textId="77777777">
        <w:tblPrEx>
          <w:shd w:val="clear" w:color="auto" w:fill="CADFFF"/>
        </w:tblPrEx>
        <w:trPr>
          <w:trHeight w:val="309"/>
        </w:trPr>
        <w:tc>
          <w:tcPr>
            <w:tcW w:w="3210"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D82844"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fr-FR"/>
              </w:rPr>
              <w:t>Femenino</w:t>
            </w:r>
          </w:p>
        </w:tc>
        <w:tc>
          <w:tcPr>
            <w:tcW w:w="3211"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68D998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175</w:t>
            </w:r>
          </w:p>
        </w:tc>
        <w:tc>
          <w:tcPr>
            <w:tcW w:w="3211"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1470425"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31218</w:t>
            </w:r>
          </w:p>
        </w:tc>
      </w:tr>
      <w:tr w:rsidR="003B6EEF" w:rsidRPr="005D5907" w14:paraId="13781630" w14:textId="77777777">
        <w:tblPrEx>
          <w:shd w:val="clear" w:color="auto" w:fill="CADFFF"/>
        </w:tblPrEx>
        <w:trPr>
          <w:trHeight w:val="294"/>
        </w:trPr>
        <w:tc>
          <w:tcPr>
            <w:tcW w:w="321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0B7D32C"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pt-PT"/>
              </w:rPr>
              <w:t>Masculino</w:t>
            </w:r>
          </w:p>
        </w:tc>
        <w:tc>
          <w:tcPr>
            <w:tcW w:w="321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72D1C7F"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101</w:t>
            </w:r>
          </w:p>
        </w:tc>
        <w:tc>
          <w:tcPr>
            <w:tcW w:w="321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8AB01FD"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25448</w:t>
            </w:r>
          </w:p>
        </w:tc>
      </w:tr>
    </w:tbl>
    <w:p w14:paraId="00F7E9A9" w14:textId="77777777" w:rsidR="003B6EEF" w:rsidRPr="005D5907" w:rsidRDefault="003B6EEF" w:rsidP="005D5907">
      <w:pPr>
        <w:pStyle w:val="CuerpoA"/>
        <w:widowControl w:val="0"/>
        <w:ind w:left="324" w:hanging="324"/>
        <w:jc w:val="both"/>
        <w:rPr>
          <w:rFonts w:asciiTheme="minorHAnsi" w:hAnsiTheme="minorHAnsi"/>
          <w:sz w:val="24"/>
          <w:szCs w:val="24"/>
        </w:rPr>
      </w:pPr>
    </w:p>
    <w:p w14:paraId="2BFDB7E3" w14:textId="77777777" w:rsidR="003B6EEF" w:rsidRPr="005D5907" w:rsidRDefault="003B6EEF" w:rsidP="005D5907">
      <w:pPr>
        <w:pStyle w:val="CuerpoA"/>
        <w:jc w:val="both"/>
        <w:rPr>
          <w:rFonts w:asciiTheme="minorHAnsi" w:hAnsiTheme="minorHAnsi"/>
          <w:sz w:val="24"/>
          <w:szCs w:val="24"/>
        </w:rPr>
      </w:pPr>
    </w:p>
    <w:p w14:paraId="3F843929" w14:textId="3FF12DD5" w:rsidR="003B6EEF" w:rsidRPr="005D5907" w:rsidRDefault="009F711E" w:rsidP="005D5907">
      <w:pPr>
        <w:pStyle w:val="CuerpoA"/>
        <w:jc w:val="both"/>
        <w:rPr>
          <w:rFonts w:asciiTheme="minorHAnsi" w:hAnsiTheme="minorHAnsi"/>
          <w:sz w:val="24"/>
          <w:szCs w:val="24"/>
        </w:rPr>
      </w:pPr>
      <w:r w:rsidRPr="005D5907">
        <w:rPr>
          <w:rFonts w:asciiTheme="minorHAnsi" w:hAnsiTheme="minorHAnsi"/>
          <w:b/>
          <w:sz w:val="24"/>
          <w:szCs w:val="24"/>
        </w:rPr>
        <w:t>3.</w:t>
      </w:r>
      <w:r w:rsidRPr="005D5907">
        <w:rPr>
          <w:rFonts w:asciiTheme="minorHAnsi" w:hAnsiTheme="minorHAnsi"/>
          <w:sz w:val="24"/>
          <w:szCs w:val="24"/>
        </w:rPr>
        <w:t xml:space="preserve"> Se les hace llegar los siguientes links para conocer mejor sobre las medidas tomadas por el Estado uruguayo ante el caso Maid</w:t>
      </w:r>
      <w:r w:rsidR="005D5907" w:rsidRPr="005D5907">
        <w:rPr>
          <w:rFonts w:asciiTheme="minorHAnsi" w:hAnsiTheme="minorHAnsi"/>
          <w:sz w:val="24"/>
          <w:szCs w:val="24"/>
        </w:rPr>
        <w:t>a</w:t>
      </w:r>
      <w:r w:rsidRPr="005D5907">
        <w:rPr>
          <w:rFonts w:asciiTheme="minorHAnsi" w:hAnsiTheme="minorHAnsi"/>
          <w:sz w:val="24"/>
          <w:szCs w:val="24"/>
        </w:rPr>
        <w:t xml:space="preserve">nik: </w:t>
      </w:r>
    </w:p>
    <w:p w14:paraId="4E91AE7D" w14:textId="77777777" w:rsidR="003B6EEF" w:rsidRPr="005D5907" w:rsidRDefault="003B6EEF" w:rsidP="005D5907">
      <w:pPr>
        <w:pStyle w:val="CuerpoA"/>
        <w:jc w:val="both"/>
        <w:rPr>
          <w:rFonts w:asciiTheme="minorHAnsi" w:hAnsiTheme="minorHAnsi"/>
          <w:sz w:val="24"/>
          <w:szCs w:val="24"/>
        </w:rPr>
      </w:pPr>
    </w:p>
    <w:p w14:paraId="45DFCE06" w14:textId="77777777" w:rsidR="003B6EEF" w:rsidRPr="005D5907" w:rsidRDefault="009F711E" w:rsidP="005D5907">
      <w:pPr>
        <w:pStyle w:val="CuerpoA"/>
        <w:jc w:val="both"/>
        <w:rPr>
          <w:rStyle w:val="Ninguno"/>
          <w:rFonts w:asciiTheme="minorHAnsi" w:hAnsiTheme="minorHAnsi"/>
          <w:sz w:val="24"/>
          <w:szCs w:val="24"/>
          <w:u w:val="single"/>
        </w:rPr>
      </w:pPr>
      <w:r w:rsidRPr="005D5907">
        <w:rPr>
          <w:rStyle w:val="Ninguno"/>
          <w:rFonts w:asciiTheme="minorHAnsi" w:hAnsiTheme="minorHAnsi"/>
          <w:sz w:val="24"/>
          <w:szCs w:val="24"/>
          <w:u w:val="single"/>
        </w:rPr>
        <w:t>https://parlamento.gub.uy/noticiasyeventos/noticias/senadores/664531</w:t>
      </w:r>
    </w:p>
    <w:p w14:paraId="35EF8323" w14:textId="77777777" w:rsidR="003B6EEF" w:rsidRPr="005D5907" w:rsidRDefault="003B6EEF" w:rsidP="005D5907">
      <w:pPr>
        <w:pStyle w:val="CuerpoA"/>
        <w:jc w:val="both"/>
        <w:rPr>
          <w:rStyle w:val="Ninguno"/>
          <w:rFonts w:asciiTheme="minorHAnsi" w:hAnsiTheme="minorHAnsi"/>
          <w:sz w:val="24"/>
          <w:szCs w:val="24"/>
          <w:u w:val="single"/>
        </w:rPr>
      </w:pPr>
    </w:p>
    <w:p w14:paraId="4086B014" w14:textId="77777777" w:rsidR="003B6EEF" w:rsidRPr="005D5907" w:rsidRDefault="009F711E" w:rsidP="005D5907">
      <w:pPr>
        <w:pStyle w:val="CuerpoA"/>
        <w:jc w:val="both"/>
        <w:rPr>
          <w:rFonts w:asciiTheme="minorHAnsi" w:hAnsiTheme="minorHAnsi"/>
          <w:sz w:val="24"/>
          <w:szCs w:val="24"/>
        </w:rPr>
      </w:pPr>
      <w:r w:rsidRPr="005D5907">
        <w:rPr>
          <w:rStyle w:val="Ninguno"/>
          <w:rFonts w:asciiTheme="minorHAnsi" w:hAnsiTheme="minorHAnsi"/>
          <w:sz w:val="24"/>
          <w:szCs w:val="24"/>
          <w:u w:val="single"/>
        </w:rPr>
        <w:t>https://udelar.edu.uy/portal/2023/06/las-mujeres-construimos-historia-defendiendo-la-vida-se-inauguro-el-memorial-de-ex-presas-politicas/</w:t>
      </w:r>
    </w:p>
    <w:p w14:paraId="0A1DCB5B" w14:textId="77777777" w:rsidR="003B6EEF" w:rsidRPr="005D5907" w:rsidRDefault="003B6EEF" w:rsidP="005D5907">
      <w:pPr>
        <w:pStyle w:val="CuerpoA"/>
        <w:jc w:val="both"/>
        <w:rPr>
          <w:rFonts w:asciiTheme="minorHAnsi" w:hAnsiTheme="minorHAnsi"/>
          <w:sz w:val="24"/>
          <w:szCs w:val="24"/>
        </w:rPr>
      </w:pPr>
    </w:p>
    <w:p w14:paraId="340F1E9A" w14:textId="77777777" w:rsidR="003B6EEF" w:rsidRPr="005D5907" w:rsidRDefault="009F711E" w:rsidP="005D5907">
      <w:pPr>
        <w:pStyle w:val="CuerpoA"/>
        <w:jc w:val="both"/>
        <w:rPr>
          <w:rStyle w:val="Ninguno"/>
          <w:rFonts w:asciiTheme="minorHAnsi" w:hAnsiTheme="minorHAnsi"/>
          <w:sz w:val="24"/>
          <w:szCs w:val="24"/>
          <w:u w:val="single"/>
        </w:rPr>
      </w:pPr>
      <w:r w:rsidRPr="005D5907">
        <w:rPr>
          <w:rStyle w:val="NingunoA"/>
          <w:rFonts w:asciiTheme="minorHAnsi" w:hAnsiTheme="minorHAnsi"/>
          <w:sz w:val="24"/>
          <w:szCs w:val="24"/>
        </w:rPr>
        <w:lastRenderedPageBreak/>
        <w:t>Y sobre el memorial de ex presas polí</w:t>
      </w:r>
      <w:r w:rsidRPr="005D5907">
        <w:rPr>
          <w:rStyle w:val="Ninguno"/>
          <w:rFonts w:asciiTheme="minorHAnsi" w:hAnsiTheme="minorHAnsi"/>
          <w:sz w:val="24"/>
          <w:szCs w:val="24"/>
          <w:lang w:val="pt-PT"/>
        </w:rPr>
        <w:t xml:space="preserve">ticas: </w:t>
      </w:r>
      <w:r w:rsidRPr="005D5907">
        <w:rPr>
          <w:rStyle w:val="Ninguno"/>
          <w:rFonts w:asciiTheme="minorHAnsi" w:hAnsiTheme="minorHAnsi"/>
          <w:sz w:val="24"/>
          <w:szCs w:val="24"/>
          <w:u w:val="single"/>
        </w:rPr>
        <w:t>https://udelar.edu.uy/portal/2023/06/las-mujeres-construimos-historia-defendiendo-la-vida-se-inauguro-el-memorial-de-ex-presas-politicas/</w:t>
      </w:r>
    </w:p>
    <w:p w14:paraId="4315CACB" w14:textId="77777777" w:rsidR="003B6EEF" w:rsidRPr="005D5907" w:rsidRDefault="003B6EEF" w:rsidP="005D5907">
      <w:pPr>
        <w:pStyle w:val="CuerpoA"/>
        <w:jc w:val="both"/>
        <w:rPr>
          <w:rFonts w:asciiTheme="minorHAnsi" w:hAnsiTheme="minorHAnsi"/>
          <w:sz w:val="24"/>
          <w:szCs w:val="24"/>
        </w:rPr>
      </w:pPr>
    </w:p>
    <w:p w14:paraId="3611A736" w14:textId="77777777" w:rsidR="003B6EEF" w:rsidRPr="005D5907" w:rsidRDefault="003B6EEF" w:rsidP="005D5907">
      <w:pPr>
        <w:pStyle w:val="CuerpoA"/>
        <w:jc w:val="both"/>
        <w:rPr>
          <w:rFonts w:asciiTheme="minorHAnsi" w:hAnsiTheme="minorHAnsi"/>
          <w:sz w:val="24"/>
          <w:szCs w:val="24"/>
        </w:rPr>
      </w:pPr>
    </w:p>
    <w:p w14:paraId="5E4897CF" w14:textId="31601E0A" w:rsidR="003B6EEF" w:rsidRPr="005D5907" w:rsidRDefault="009F711E" w:rsidP="005D5907">
      <w:pPr>
        <w:pStyle w:val="CuerpoA"/>
        <w:jc w:val="both"/>
        <w:rPr>
          <w:rFonts w:asciiTheme="minorHAnsi" w:hAnsiTheme="minorHAnsi"/>
          <w:sz w:val="24"/>
          <w:szCs w:val="24"/>
        </w:rPr>
      </w:pPr>
      <w:r w:rsidRPr="005D5907">
        <w:rPr>
          <w:rFonts w:asciiTheme="minorHAnsi" w:hAnsiTheme="minorHAnsi"/>
          <w:b/>
          <w:sz w:val="24"/>
          <w:szCs w:val="24"/>
        </w:rPr>
        <w:t>4.</w:t>
      </w:r>
      <w:r w:rsidRPr="005D5907">
        <w:rPr>
          <w:rFonts w:asciiTheme="minorHAnsi" w:hAnsiTheme="minorHAnsi"/>
          <w:sz w:val="24"/>
          <w:szCs w:val="24"/>
        </w:rPr>
        <w:t xml:space="preserve"> </w:t>
      </w:r>
      <w:r w:rsidRPr="005D5907">
        <w:rPr>
          <w:rStyle w:val="NingunoA"/>
          <w:rFonts w:asciiTheme="minorHAnsi" w:hAnsiTheme="minorHAnsi"/>
          <w:sz w:val="24"/>
          <w:szCs w:val="24"/>
        </w:rPr>
        <w:t>En primer lugar deseamos aclarar que los casos de apatr</w:t>
      </w:r>
      <w:r w:rsidR="005D5907" w:rsidRPr="005D5907">
        <w:rPr>
          <w:rStyle w:val="NingunoA"/>
          <w:rFonts w:asciiTheme="minorHAnsi" w:hAnsiTheme="minorHAnsi"/>
          <w:sz w:val="24"/>
          <w:szCs w:val="24"/>
        </w:rPr>
        <w:t>i</w:t>
      </w:r>
      <w:r w:rsidRPr="005D5907">
        <w:rPr>
          <w:rStyle w:val="NingunoA"/>
          <w:rFonts w:asciiTheme="minorHAnsi" w:hAnsiTheme="minorHAnsi"/>
          <w:sz w:val="24"/>
          <w:szCs w:val="24"/>
        </w:rPr>
        <w:t>dia son muy escasos en Uruguay. En la actualidad no existen casos en tramite sobre personas apá</w:t>
      </w:r>
      <w:r w:rsidRPr="005D5907">
        <w:rPr>
          <w:rStyle w:val="Ninguno"/>
          <w:rFonts w:asciiTheme="minorHAnsi" w:hAnsiTheme="minorHAnsi"/>
          <w:sz w:val="24"/>
          <w:szCs w:val="24"/>
          <w:lang w:val="pt-PT"/>
        </w:rPr>
        <w:t>tridas.</w:t>
      </w:r>
    </w:p>
    <w:p w14:paraId="21F4CE32" w14:textId="77777777" w:rsidR="003B6EEF" w:rsidRPr="005D5907" w:rsidRDefault="009F711E" w:rsidP="005D5907">
      <w:pPr>
        <w:pStyle w:val="CuerpoA"/>
        <w:jc w:val="both"/>
        <w:rPr>
          <w:rFonts w:asciiTheme="minorHAnsi" w:hAnsiTheme="minorHAnsi"/>
          <w:sz w:val="24"/>
          <w:szCs w:val="24"/>
        </w:rPr>
      </w:pPr>
      <w:r w:rsidRPr="005D5907">
        <w:rPr>
          <w:rFonts w:asciiTheme="minorHAnsi" w:hAnsiTheme="minorHAnsi"/>
          <w:sz w:val="24"/>
          <w:szCs w:val="24"/>
        </w:rPr>
        <w:t> </w:t>
      </w:r>
    </w:p>
    <w:p w14:paraId="47972084"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Las mujeres al igual que los hombres pueden aplicar a la solicitud de apatridia conforme a la ley y cuando comienzan el trámite se le otorga la CI “como residente en trá</w:t>
      </w:r>
      <w:r w:rsidRPr="005D5907">
        <w:rPr>
          <w:rStyle w:val="Ninguno"/>
          <w:rFonts w:asciiTheme="minorHAnsi" w:hAnsiTheme="minorHAnsi"/>
          <w:sz w:val="24"/>
          <w:szCs w:val="24"/>
          <w:lang w:val="de-DE"/>
        </w:rPr>
        <w:t>mite</w:t>
      </w:r>
      <w:r w:rsidRPr="005D5907">
        <w:rPr>
          <w:rStyle w:val="NingunoA"/>
          <w:rFonts w:asciiTheme="minorHAnsi" w:hAnsiTheme="minorHAnsi"/>
          <w:sz w:val="24"/>
          <w:szCs w:val="24"/>
        </w:rPr>
        <w:t>” y en caso de ser reconocida como persona apatrida acceden a una c</w:t>
      </w:r>
      <w:r w:rsidRPr="005D5907">
        <w:rPr>
          <w:rStyle w:val="Ninguno"/>
          <w:rFonts w:asciiTheme="minorHAnsi" w:hAnsiTheme="minorHAnsi"/>
          <w:sz w:val="24"/>
          <w:szCs w:val="24"/>
          <w:lang w:val="fr-FR"/>
        </w:rPr>
        <w:t>é</w:t>
      </w:r>
      <w:r w:rsidRPr="005D5907">
        <w:rPr>
          <w:rStyle w:val="NingunoA"/>
          <w:rFonts w:asciiTheme="minorHAnsi" w:hAnsiTheme="minorHAnsi"/>
          <w:sz w:val="24"/>
          <w:szCs w:val="24"/>
        </w:rPr>
        <w:t>dula definitiva como cualquier residente legal.</w:t>
      </w:r>
    </w:p>
    <w:p w14:paraId="0BC74551" w14:textId="77777777" w:rsidR="003B6EEF" w:rsidRPr="005D5907" w:rsidRDefault="003B6EEF" w:rsidP="005D5907">
      <w:pPr>
        <w:pStyle w:val="CuerpoA"/>
        <w:jc w:val="both"/>
        <w:rPr>
          <w:rFonts w:asciiTheme="minorHAnsi" w:hAnsiTheme="minorHAnsi"/>
          <w:sz w:val="24"/>
          <w:szCs w:val="24"/>
        </w:rPr>
      </w:pPr>
    </w:p>
    <w:p w14:paraId="76BAF456" w14:textId="77777777" w:rsidR="003B6EEF" w:rsidRPr="005D5907" w:rsidRDefault="009F711E" w:rsidP="005D5907">
      <w:pPr>
        <w:pStyle w:val="CuerpoA"/>
        <w:jc w:val="both"/>
        <w:rPr>
          <w:rFonts w:asciiTheme="minorHAnsi" w:hAnsiTheme="minorHAnsi"/>
          <w:sz w:val="24"/>
          <w:szCs w:val="24"/>
        </w:rPr>
      </w:pPr>
      <w:r w:rsidRPr="005D5907">
        <w:rPr>
          <w:rFonts w:asciiTheme="minorHAnsi" w:hAnsiTheme="minorHAnsi"/>
          <w:sz w:val="24"/>
          <w:szCs w:val="24"/>
        </w:rPr>
        <w:t>Las personas reconocidas como apátridas por la CORE, gozan de facilidades para obtener la ciudadanía legal uruguaya, de acuerdo a distintas pautas según la condición particular en la que se encuentran.</w:t>
      </w:r>
    </w:p>
    <w:p w14:paraId="7D3C851E" w14:textId="77777777" w:rsidR="003B6EEF" w:rsidRPr="005D5907" w:rsidRDefault="003B6EEF" w:rsidP="005D5907">
      <w:pPr>
        <w:pStyle w:val="CuerpoA"/>
        <w:jc w:val="both"/>
        <w:rPr>
          <w:rFonts w:asciiTheme="minorHAnsi" w:hAnsiTheme="minorHAnsi"/>
          <w:sz w:val="24"/>
          <w:szCs w:val="24"/>
        </w:rPr>
      </w:pPr>
    </w:p>
    <w:p w14:paraId="15CBD619" w14:textId="77777777" w:rsidR="003B6EEF" w:rsidRPr="005D5907" w:rsidRDefault="003B6EEF" w:rsidP="005D5907">
      <w:pPr>
        <w:pStyle w:val="CuerpoA"/>
        <w:jc w:val="both"/>
        <w:rPr>
          <w:rFonts w:asciiTheme="minorHAnsi" w:hAnsiTheme="minorHAnsi"/>
          <w:sz w:val="24"/>
          <w:szCs w:val="24"/>
        </w:rPr>
      </w:pPr>
    </w:p>
    <w:p w14:paraId="47E13CD9" w14:textId="4F6D43E4" w:rsidR="003B6EEF" w:rsidRPr="005D5907" w:rsidRDefault="009F711E" w:rsidP="005D5907">
      <w:pPr>
        <w:pStyle w:val="CuerpoA"/>
        <w:jc w:val="both"/>
        <w:rPr>
          <w:rFonts w:asciiTheme="minorHAnsi" w:hAnsiTheme="minorHAnsi"/>
          <w:sz w:val="24"/>
          <w:szCs w:val="24"/>
        </w:rPr>
      </w:pPr>
      <w:r w:rsidRPr="005D5907">
        <w:rPr>
          <w:rFonts w:asciiTheme="minorHAnsi" w:hAnsiTheme="minorHAnsi"/>
          <w:b/>
          <w:sz w:val="24"/>
          <w:szCs w:val="24"/>
        </w:rPr>
        <w:t>5.</w:t>
      </w:r>
      <w:r w:rsidR="005D5907" w:rsidRPr="005D5907">
        <w:rPr>
          <w:rFonts w:asciiTheme="minorHAnsi" w:hAnsiTheme="minorHAnsi"/>
          <w:sz w:val="24"/>
          <w:szCs w:val="24"/>
        </w:rPr>
        <w:t xml:space="preserve"> </w:t>
      </w:r>
      <w:r w:rsidRPr="005D5907">
        <w:rPr>
          <w:rFonts w:asciiTheme="minorHAnsi" w:hAnsiTheme="minorHAnsi"/>
          <w:sz w:val="24"/>
          <w:szCs w:val="24"/>
        </w:rPr>
        <w:t>El cáncer de mama es el más frecuente en las mujeres uruguayas y es la primera causa de muerte por cáncer en las mujeres.</w:t>
      </w:r>
    </w:p>
    <w:p w14:paraId="26E81A6A" w14:textId="77777777" w:rsidR="003B6EEF" w:rsidRPr="005D5907" w:rsidRDefault="003B6EEF" w:rsidP="005D5907">
      <w:pPr>
        <w:pStyle w:val="CuerpoA"/>
        <w:jc w:val="both"/>
        <w:rPr>
          <w:rFonts w:asciiTheme="minorHAnsi" w:hAnsiTheme="minorHAnsi"/>
          <w:sz w:val="24"/>
          <w:szCs w:val="24"/>
        </w:rPr>
      </w:pPr>
    </w:p>
    <w:p w14:paraId="314A1639"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En Uruguay, las mujeres trabajadoras de la actividad privada y pública tienen derecho a un día de licencia especial pago para concurrir a realizarse el test de tamizaje para el cáncer de cuello uterino, el Papanicolaou y/o la mamografía (Ley N</w:t>
      </w:r>
      <w:r w:rsidRPr="005D5907">
        <w:rPr>
          <w:rStyle w:val="Ninguno"/>
          <w:rFonts w:asciiTheme="minorHAnsi" w:hAnsiTheme="minorHAnsi"/>
          <w:sz w:val="24"/>
          <w:szCs w:val="24"/>
          <w:lang w:val="it-IT"/>
        </w:rPr>
        <w:t xml:space="preserve">° </w:t>
      </w:r>
      <w:r w:rsidRPr="005D5907">
        <w:rPr>
          <w:rStyle w:val="NingunoA"/>
          <w:rFonts w:asciiTheme="minorHAnsi" w:hAnsiTheme="minorHAnsi"/>
          <w:sz w:val="24"/>
          <w:szCs w:val="24"/>
        </w:rPr>
        <w:t>17.242); se les exonera del pago de tasa moderadora a aquellas que tengan entre 50 y 69 años de edad (ord. n</w:t>
      </w:r>
      <w:r w:rsidRPr="005D5907">
        <w:rPr>
          <w:rStyle w:val="Ninguno"/>
          <w:rFonts w:asciiTheme="minorHAnsi" w:hAnsiTheme="minorHAnsi"/>
          <w:sz w:val="24"/>
          <w:szCs w:val="24"/>
          <w:lang w:val="it-IT"/>
        </w:rPr>
        <w:t>°</w:t>
      </w:r>
      <w:r w:rsidRPr="005D5907">
        <w:rPr>
          <w:rStyle w:val="NingunoA"/>
          <w:rFonts w:asciiTheme="minorHAnsi" w:hAnsiTheme="minorHAnsi"/>
          <w:sz w:val="24"/>
          <w:szCs w:val="24"/>
        </w:rPr>
        <w:t xml:space="preserve">842/015). </w:t>
      </w:r>
    </w:p>
    <w:p w14:paraId="024347A7" w14:textId="77777777" w:rsidR="003B6EEF" w:rsidRPr="005D5907" w:rsidRDefault="003B6EEF" w:rsidP="005D5907">
      <w:pPr>
        <w:pStyle w:val="CuerpoA"/>
        <w:jc w:val="both"/>
        <w:rPr>
          <w:rFonts w:asciiTheme="minorHAnsi" w:hAnsiTheme="minorHAnsi"/>
          <w:sz w:val="24"/>
          <w:szCs w:val="24"/>
        </w:rPr>
      </w:pPr>
    </w:p>
    <w:p w14:paraId="6A2074F5"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A partir del Decreto Presidencial N</w:t>
      </w:r>
      <w:r w:rsidRPr="005D5907">
        <w:rPr>
          <w:rStyle w:val="Ninguno"/>
          <w:rFonts w:asciiTheme="minorHAnsi" w:hAnsiTheme="minorHAnsi"/>
          <w:sz w:val="24"/>
          <w:szCs w:val="24"/>
          <w:lang w:val="it-IT"/>
        </w:rPr>
        <w:t xml:space="preserve">° </w:t>
      </w:r>
      <w:r w:rsidRPr="005D5907">
        <w:rPr>
          <w:rStyle w:val="Ninguno"/>
          <w:rFonts w:asciiTheme="minorHAnsi" w:hAnsiTheme="minorHAnsi"/>
          <w:sz w:val="24"/>
          <w:szCs w:val="24"/>
          <w:lang w:val="pt-PT"/>
        </w:rPr>
        <w:t>236/022 de 2022 se implement</w:t>
      </w:r>
      <w:r w:rsidRPr="005D5907">
        <w:rPr>
          <w:rStyle w:val="NingunoA"/>
          <w:rFonts w:asciiTheme="minorHAnsi" w:hAnsiTheme="minorHAnsi"/>
          <w:sz w:val="24"/>
          <w:szCs w:val="24"/>
        </w:rPr>
        <w:t>ó la cobertura sin costo de expansores y prótesis mamarias-así como su recambio. Asimismo, se aprobó la realizació</w:t>
      </w:r>
      <w:r w:rsidRPr="005D5907">
        <w:rPr>
          <w:rStyle w:val="Ninguno"/>
          <w:rFonts w:asciiTheme="minorHAnsi" w:hAnsiTheme="minorHAnsi"/>
          <w:sz w:val="24"/>
          <w:szCs w:val="24"/>
          <w:lang w:val="it-IT"/>
        </w:rPr>
        <w:t>n sin costo de la linfocentellograf</w:t>
      </w:r>
      <w:r w:rsidRPr="005D5907">
        <w:rPr>
          <w:rStyle w:val="NingunoA"/>
          <w:rFonts w:asciiTheme="minorHAnsi" w:hAnsiTheme="minorHAnsi"/>
          <w:sz w:val="24"/>
          <w:szCs w:val="24"/>
        </w:rPr>
        <w:t>ía para las personas que tienen indicación de estudio del ganglio centinela como parte del estudio y tratamiento de cáncer de mama y melanoma. (Ord. N</w:t>
      </w:r>
      <w:r w:rsidRPr="005D5907">
        <w:rPr>
          <w:rStyle w:val="Ninguno"/>
          <w:rFonts w:asciiTheme="minorHAnsi" w:hAnsiTheme="minorHAnsi"/>
          <w:sz w:val="24"/>
          <w:szCs w:val="24"/>
          <w:lang w:val="it-IT"/>
        </w:rPr>
        <w:t xml:space="preserve">° </w:t>
      </w:r>
      <w:r w:rsidRPr="005D5907">
        <w:rPr>
          <w:rStyle w:val="NingunoA"/>
          <w:rFonts w:asciiTheme="minorHAnsi" w:hAnsiTheme="minorHAnsi"/>
          <w:sz w:val="24"/>
          <w:szCs w:val="24"/>
        </w:rPr>
        <w:t>932). Por último, en el</w:t>
      </w:r>
      <w:r w:rsidRPr="005D5907">
        <w:rPr>
          <w:rStyle w:val="Ninguno"/>
          <w:rFonts w:asciiTheme="minorHAnsi" w:hAnsiTheme="minorHAnsi"/>
          <w:sz w:val="24"/>
          <w:szCs w:val="24"/>
          <w:lang w:val="it-IT"/>
        </w:rPr>
        <w:t xml:space="preserve"> 2022 se incorpor</w:t>
      </w:r>
      <w:r w:rsidRPr="005D5907">
        <w:rPr>
          <w:rStyle w:val="NingunoA"/>
          <w:rFonts w:asciiTheme="minorHAnsi" w:hAnsiTheme="minorHAnsi"/>
          <w:sz w:val="24"/>
          <w:szCs w:val="24"/>
        </w:rPr>
        <w:t xml:space="preserve">ó </w:t>
      </w:r>
      <w:r w:rsidRPr="005D5907">
        <w:rPr>
          <w:rStyle w:val="Ninguno"/>
          <w:rFonts w:asciiTheme="minorHAnsi" w:hAnsiTheme="minorHAnsi"/>
          <w:sz w:val="24"/>
          <w:szCs w:val="24"/>
          <w:lang w:val="pt-PT"/>
        </w:rPr>
        <w:t xml:space="preserve">al Fondo Nacional de Recursos (FNR) </w:t>
      </w:r>
      <w:r w:rsidRPr="005D5907">
        <w:rPr>
          <w:rStyle w:val="NingunoA"/>
          <w:rFonts w:asciiTheme="minorHAnsi" w:hAnsiTheme="minorHAnsi"/>
          <w:sz w:val="24"/>
          <w:szCs w:val="24"/>
        </w:rPr>
        <w:t>medicación para su tratamiento.</w:t>
      </w:r>
    </w:p>
    <w:p w14:paraId="7A33CA0C" w14:textId="77777777" w:rsidR="003B6EEF" w:rsidRPr="005D5907" w:rsidRDefault="003B6EEF" w:rsidP="005D5907">
      <w:pPr>
        <w:pStyle w:val="CuerpoA"/>
        <w:jc w:val="both"/>
        <w:rPr>
          <w:rFonts w:asciiTheme="minorHAnsi" w:hAnsiTheme="minorHAnsi"/>
          <w:sz w:val="24"/>
          <w:szCs w:val="24"/>
        </w:rPr>
      </w:pPr>
    </w:p>
    <w:p w14:paraId="2FDB268C" w14:textId="77777777" w:rsidR="003B6EEF" w:rsidRPr="005D5907" w:rsidRDefault="009F711E" w:rsidP="005D5907">
      <w:pPr>
        <w:pStyle w:val="CuerpoA"/>
        <w:jc w:val="both"/>
        <w:rPr>
          <w:rFonts w:asciiTheme="minorHAnsi" w:hAnsiTheme="minorHAnsi"/>
          <w:sz w:val="24"/>
          <w:szCs w:val="24"/>
        </w:rPr>
      </w:pPr>
      <w:r w:rsidRPr="005D5907">
        <w:rPr>
          <w:rStyle w:val="Ninguno"/>
          <w:rFonts w:asciiTheme="minorHAnsi" w:hAnsiTheme="minorHAnsi"/>
          <w:b/>
          <w:bCs/>
          <w:sz w:val="24"/>
          <w:szCs w:val="24"/>
        </w:rPr>
        <w:t xml:space="preserve">6. </w:t>
      </w:r>
      <w:r w:rsidRPr="005D5907">
        <w:rPr>
          <w:rFonts w:asciiTheme="minorHAnsi" w:hAnsiTheme="minorHAnsi"/>
          <w:sz w:val="24"/>
          <w:szCs w:val="24"/>
        </w:rPr>
        <w:t>En nuestro país el cáncer cérvico uterino es el tercer cáncer más frecuente en mujeres luego del de mama y colorecto.</w:t>
      </w:r>
    </w:p>
    <w:p w14:paraId="056289D3" w14:textId="77777777" w:rsidR="003B6EEF" w:rsidRPr="005D5907" w:rsidRDefault="003B6EEF" w:rsidP="005D5907">
      <w:pPr>
        <w:pStyle w:val="CuerpoA"/>
        <w:jc w:val="both"/>
        <w:rPr>
          <w:rFonts w:asciiTheme="minorHAnsi" w:hAnsiTheme="minorHAnsi"/>
          <w:sz w:val="24"/>
          <w:szCs w:val="24"/>
        </w:rPr>
      </w:pPr>
    </w:p>
    <w:p w14:paraId="304E29A3"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Una de las formas de prevención promovidas en Uruguay es la vacunación contra el HPV. En Uruguay, la vacuna tetravalente (contra 4 tipos de HPV) se incluye en el esquema nacional de vacunació</w:t>
      </w:r>
      <w:r w:rsidRPr="005D5907">
        <w:rPr>
          <w:rStyle w:val="Ninguno"/>
          <w:rFonts w:asciiTheme="minorHAnsi" w:hAnsiTheme="minorHAnsi"/>
          <w:sz w:val="24"/>
          <w:szCs w:val="24"/>
          <w:lang w:val="pt-PT"/>
        </w:rPr>
        <w:t>n de forma gratuita a ni</w:t>
      </w:r>
      <w:r w:rsidRPr="005D5907">
        <w:rPr>
          <w:rStyle w:val="NingunoA"/>
          <w:rFonts w:asciiTheme="minorHAnsi" w:hAnsiTheme="minorHAnsi"/>
          <w:sz w:val="24"/>
          <w:szCs w:val="24"/>
        </w:rPr>
        <w:t>ñ</w:t>
      </w:r>
      <w:r w:rsidRPr="005D5907">
        <w:rPr>
          <w:rStyle w:val="Ninguno"/>
          <w:rFonts w:asciiTheme="minorHAnsi" w:hAnsiTheme="minorHAnsi"/>
          <w:sz w:val="24"/>
          <w:szCs w:val="24"/>
          <w:lang w:val="pt-PT"/>
        </w:rPr>
        <w:t>os de 11 a</w:t>
      </w:r>
      <w:r w:rsidRPr="005D5907">
        <w:rPr>
          <w:rStyle w:val="NingunoA"/>
          <w:rFonts w:asciiTheme="minorHAnsi" w:hAnsiTheme="minorHAnsi"/>
          <w:sz w:val="24"/>
          <w:szCs w:val="24"/>
        </w:rPr>
        <w:t>ñ</w:t>
      </w:r>
      <w:r w:rsidRPr="005D5907">
        <w:rPr>
          <w:rStyle w:val="Ninguno"/>
          <w:rFonts w:asciiTheme="minorHAnsi" w:hAnsiTheme="minorHAnsi"/>
          <w:sz w:val="24"/>
          <w:szCs w:val="24"/>
          <w:lang w:val="pt-PT"/>
        </w:rPr>
        <w:t>os.</w:t>
      </w:r>
      <w:r w:rsidRPr="005D5907">
        <w:rPr>
          <w:rStyle w:val="NingunoA"/>
          <w:rFonts w:asciiTheme="minorHAnsi" w:hAnsiTheme="minorHAnsi"/>
          <w:sz w:val="24"/>
          <w:szCs w:val="24"/>
        </w:rPr>
        <w:t xml:space="preserve">  </w:t>
      </w:r>
    </w:p>
    <w:p w14:paraId="41A01EB8" w14:textId="77777777" w:rsidR="003B6EEF" w:rsidRPr="005D5907" w:rsidRDefault="003B6EEF" w:rsidP="005D5907">
      <w:pPr>
        <w:pStyle w:val="CuerpoA"/>
        <w:jc w:val="both"/>
        <w:rPr>
          <w:rFonts w:asciiTheme="minorHAnsi" w:hAnsiTheme="minorHAnsi"/>
          <w:sz w:val="24"/>
          <w:szCs w:val="24"/>
        </w:rPr>
      </w:pPr>
    </w:p>
    <w:p w14:paraId="36C73DC7"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A esta medida la acompaña la estrategia de prevención a través de los controles periódicos para lo que el Ministerio de Salud Pú</w:t>
      </w:r>
      <w:r w:rsidRPr="005D5907">
        <w:rPr>
          <w:rStyle w:val="Ninguno"/>
          <w:rFonts w:asciiTheme="minorHAnsi" w:hAnsiTheme="minorHAnsi"/>
          <w:sz w:val="24"/>
          <w:szCs w:val="24"/>
          <w:lang w:val="pt-PT"/>
        </w:rPr>
        <w:t>blica</w:t>
      </w:r>
      <w:r w:rsidRPr="005D5907">
        <w:rPr>
          <w:rStyle w:val="NingunoA"/>
          <w:rFonts w:asciiTheme="minorHAnsi" w:hAnsiTheme="minorHAnsi"/>
          <w:sz w:val="24"/>
          <w:szCs w:val="24"/>
        </w:rPr>
        <w:t xml:space="preserve"> (MSP) recomienda realizar el screening de cuello uterino con el estudio del papanicolaou (PAP) a partir de los 21 años hasta los 69. Las mujeres a partir de los 21 años tienen un día de licencia anual paga para realizarse el PAP según la ley 17.242. La realización del estudio del PAP es uno de los requisitos obligatorios para la obtención del carnet de salud (decreto N 571/2006). Por último, La ordenanza 402/2006 dispone que el PAP sea sin costo de prepago por el sub-sistema privado.</w:t>
      </w:r>
    </w:p>
    <w:p w14:paraId="1499D955" w14:textId="77777777" w:rsidR="003B6EEF" w:rsidRPr="005D5907" w:rsidRDefault="003B6EEF" w:rsidP="005D5907">
      <w:pPr>
        <w:pStyle w:val="CuerpoA"/>
        <w:jc w:val="both"/>
        <w:rPr>
          <w:rFonts w:asciiTheme="minorHAnsi" w:hAnsiTheme="minorHAnsi"/>
          <w:sz w:val="24"/>
          <w:szCs w:val="24"/>
        </w:rPr>
      </w:pPr>
    </w:p>
    <w:p w14:paraId="6D3343C7" w14:textId="2DD26F00"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lastRenderedPageBreak/>
        <w:t xml:space="preserve">En el 2022 se han desarrollado </w:t>
      </w:r>
      <w:r w:rsidRPr="005D5907">
        <w:rPr>
          <w:rStyle w:val="Ninguno"/>
          <w:rFonts w:asciiTheme="minorHAnsi" w:hAnsiTheme="minorHAnsi"/>
          <w:sz w:val="24"/>
          <w:szCs w:val="24"/>
          <w:lang w:val="fr-FR"/>
        </w:rPr>
        <w:t>campa</w:t>
      </w:r>
      <w:r w:rsidRPr="005D5907">
        <w:rPr>
          <w:rStyle w:val="NingunoA"/>
          <w:rFonts w:asciiTheme="minorHAnsi" w:hAnsiTheme="minorHAnsi"/>
          <w:sz w:val="24"/>
          <w:szCs w:val="24"/>
        </w:rPr>
        <w:t>ñas</w:t>
      </w:r>
      <w:r w:rsidRPr="005D5907">
        <w:rPr>
          <w:rStyle w:val="Ninguno"/>
          <w:rFonts w:asciiTheme="minorHAnsi" w:hAnsiTheme="minorHAnsi"/>
          <w:sz w:val="24"/>
          <w:szCs w:val="24"/>
          <w:lang w:val="pt-PT"/>
        </w:rPr>
        <w:t xml:space="preserve"> de prevenci</w:t>
      </w:r>
      <w:r w:rsidRPr="005D5907">
        <w:rPr>
          <w:rStyle w:val="NingunoA"/>
          <w:rFonts w:asciiTheme="minorHAnsi" w:hAnsiTheme="minorHAnsi"/>
          <w:sz w:val="24"/>
          <w:szCs w:val="24"/>
        </w:rPr>
        <w:t>ón del cáncer de cuello uterino que busca concientizar a la población sobre la importancia que tiene la prevención de esta enfermedad y aumentar la cobertura del PAP.</w:t>
      </w:r>
    </w:p>
    <w:p w14:paraId="62BC2872" w14:textId="77777777" w:rsidR="003B6EEF" w:rsidRPr="005D5907" w:rsidRDefault="003B6EEF" w:rsidP="005D5907">
      <w:pPr>
        <w:pStyle w:val="CuerpoA"/>
        <w:jc w:val="both"/>
        <w:rPr>
          <w:rFonts w:asciiTheme="minorHAnsi" w:hAnsiTheme="minorHAnsi"/>
          <w:sz w:val="24"/>
          <w:szCs w:val="24"/>
        </w:rPr>
      </w:pPr>
    </w:p>
    <w:p w14:paraId="676880B1" w14:textId="77777777" w:rsidR="003B6EEF" w:rsidRPr="005D5907" w:rsidRDefault="003B6EEF" w:rsidP="005D5907">
      <w:pPr>
        <w:pStyle w:val="CuerpoA"/>
        <w:jc w:val="both"/>
        <w:rPr>
          <w:rFonts w:asciiTheme="minorHAnsi" w:hAnsiTheme="minorHAnsi"/>
          <w:sz w:val="24"/>
          <w:szCs w:val="24"/>
        </w:rPr>
      </w:pPr>
    </w:p>
    <w:p w14:paraId="2F1DF9FE" w14:textId="77777777" w:rsidR="003B6EEF" w:rsidRPr="005D5907" w:rsidRDefault="009F711E" w:rsidP="005D5907">
      <w:pPr>
        <w:pStyle w:val="CuerpoA"/>
        <w:jc w:val="both"/>
        <w:rPr>
          <w:rFonts w:asciiTheme="minorHAnsi" w:hAnsiTheme="minorHAnsi"/>
          <w:sz w:val="24"/>
          <w:szCs w:val="24"/>
        </w:rPr>
      </w:pPr>
      <w:r w:rsidRPr="005D5907">
        <w:rPr>
          <w:rStyle w:val="Ninguno"/>
          <w:rFonts w:asciiTheme="minorHAnsi" w:hAnsiTheme="minorHAnsi"/>
          <w:b/>
          <w:bCs/>
          <w:sz w:val="24"/>
          <w:szCs w:val="24"/>
        </w:rPr>
        <w:t xml:space="preserve">7. </w:t>
      </w:r>
      <w:r w:rsidRPr="005D5907">
        <w:rPr>
          <w:rStyle w:val="NingunoA"/>
          <w:rFonts w:asciiTheme="minorHAnsi" w:hAnsiTheme="minorHAnsi"/>
          <w:sz w:val="24"/>
          <w:szCs w:val="24"/>
        </w:rPr>
        <w:t>Anualmente se realizan las encuestas de uso de antirretrovirales a todas las instituciones públicas y privadas del paí</w:t>
      </w:r>
      <w:r w:rsidRPr="005D5907">
        <w:rPr>
          <w:rStyle w:val="Ninguno"/>
          <w:rFonts w:asciiTheme="minorHAnsi" w:hAnsiTheme="minorHAnsi"/>
          <w:sz w:val="24"/>
          <w:szCs w:val="24"/>
          <w:lang w:val="pt-PT"/>
        </w:rPr>
        <w:t xml:space="preserve">s. </w:t>
      </w:r>
      <w:r w:rsidRPr="005D5907">
        <w:rPr>
          <w:rStyle w:val="NingunoA"/>
          <w:rFonts w:asciiTheme="minorHAnsi" w:hAnsiTheme="minorHAnsi"/>
          <w:sz w:val="24"/>
          <w:szCs w:val="24"/>
        </w:rPr>
        <w:t xml:space="preserve">En Uruguay se ha incrementado el número de testeos con respecto a 2021, de 300.000 pruebas de VIH a más de 500.000 en 2022, y se detectaron 867 nuevos casos. . El 69% de las nuevas infecciones corresponden a casos del sexo masculino. </w:t>
      </w:r>
    </w:p>
    <w:p w14:paraId="2C0C4A22" w14:textId="77777777" w:rsidR="003B6EEF" w:rsidRPr="005D5907" w:rsidRDefault="003B6EEF" w:rsidP="005D5907">
      <w:pPr>
        <w:pStyle w:val="CuerpoA"/>
        <w:jc w:val="both"/>
        <w:rPr>
          <w:rFonts w:asciiTheme="minorHAnsi" w:hAnsiTheme="minorHAnsi"/>
          <w:sz w:val="24"/>
          <w:szCs w:val="24"/>
        </w:rPr>
      </w:pPr>
    </w:p>
    <w:p w14:paraId="6E84D16A"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 xml:space="preserve">Hoy más del 77% de personas con VIH están en tratamiento, obteniendo </w:t>
      </w:r>
      <w:r w:rsidRPr="005D5907">
        <w:rPr>
          <w:rStyle w:val="Ninguno"/>
          <w:rFonts w:asciiTheme="minorHAnsi" w:hAnsiTheme="minorHAnsi"/>
          <w:sz w:val="24"/>
          <w:szCs w:val="24"/>
          <w:lang w:val="it-IT"/>
        </w:rPr>
        <w:t>la cifra m</w:t>
      </w:r>
      <w:r w:rsidRPr="005D5907">
        <w:rPr>
          <w:rStyle w:val="NingunoA"/>
          <w:rFonts w:asciiTheme="minorHAnsi" w:hAnsiTheme="minorHAnsi"/>
          <w:sz w:val="24"/>
          <w:szCs w:val="24"/>
        </w:rPr>
        <w:t>ás alta de los ú</w:t>
      </w:r>
      <w:r w:rsidRPr="005D5907">
        <w:rPr>
          <w:rStyle w:val="Ninguno"/>
          <w:rFonts w:asciiTheme="minorHAnsi" w:hAnsiTheme="minorHAnsi"/>
          <w:sz w:val="24"/>
          <w:szCs w:val="24"/>
          <w:lang w:val="pt-PT"/>
        </w:rPr>
        <w:t>ltimos a</w:t>
      </w:r>
      <w:r w:rsidRPr="005D5907">
        <w:rPr>
          <w:rStyle w:val="NingunoA"/>
          <w:rFonts w:asciiTheme="minorHAnsi" w:hAnsiTheme="minorHAnsi"/>
          <w:sz w:val="24"/>
          <w:szCs w:val="24"/>
        </w:rPr>
        <w:t>ños, que alcanza a unas 11.020 personas. En 2022 fallecieron 134 personas, número que ha descendido en comparació</w:t>
      </w:r>
      <w:r w:rsidRPr="005D5907">
        <w:rPr>
          <w:rStyle w:val="Ninguno"/>
          <w:rFonts w:asciiTheme="minorHAnsi" w:hAnsiTheme="minorHAnsi"/>
          <w:sz w:val="24"/>
          <w:szCs w:val="24"/>
          <w:lang w:val="it-IT"/>
        </w:rPr>
        <w:t>n con a</w:t>
      </w:r>
      <w:r w:rsidRPr="005D5907">
        <w:rPr>
          <w:rStyle w:val="NingunoA"/>
          <w:rFonts w:asciiTheme="minorHAnsi" w:hAnsiTheme="minorHAnsi"/>
          <w:sz w:val="24"/>
          <w:szCs w:val="24"/>
        </w:rPr>
        <w:t>ñ</w:t>
      </w:r>
      <w:r w:rsidRPr="005D5907">
        <w:rPr>
          <w:rStyle w:val="Ninguno"/>
          <w:rFonts w:asciiTheme="minorHAnsi" w:hAnsiTheme="minorHAnsi"/>
          <w:sz w:val="24"/>
          <w:szCs w:val="24"/>
          <w:lang w:val="pt-PT"/>
        </w:rPr>
        <w:t>os anteriores</w:t>
      </w:r>
      <w:r w:rsidRPr="005D5907">
        <w:rPr>
          <w:rStyle w:val="NingunoA"/>
          <w:rFonts w:asciiTheme="minorHAnsi" w:hAnsiTheme="minorHAnsi"/>
          <w:sz w:val="24"/>
          <w:szCs w:val="24"/>
        </w:rPr>
        <w:t>.</w:t>
      </w:r>
    </w:p>
    <w:p w14:paraId="7862D241" w14:textId="77777777" w:rsidR="003B6EEF" w:rsidRPr="005D5907" w:rsidRDefault="003B6EEF" w:rsidP="005D5907">
      <w:pPr>
        <w:pStyle w:val="CuerpoA"/>
        <w:jc w:val="both"/>
        <w:rPr>
          <w:rFonts w:asciiTheme="minorHAnsi" w:hAnsiTheme="minorHAnsi"/>
          <w:sz w:val="24"/>
          <w:szCs w:val="24"/>
        </w:rPr>
      </w:pPr>
    </w:p>
    <w:p w14:paraId="02290679" w14:textId="77777777" w:rsidR="003B6EEF" w:rsidRPr="005D5907" w:rsidRDefault="009F711E" w:rsidP="005D5907">
      <w:pPr>
        <w:pStyle w:val="CuerpoA"/>
        <w:jc w:val="both"/>
        <w:rPr>
          <w:rFonts w:asciiTheme="minorHAnsi" w:hAnsiTheme="minorHAnsi"/>
          <w:sz w:val="24"/>
          <w:szCs w:val="24"/>
        </w:rPr>
      </w:pPr>
      <w:r w:rsidRPr="005D5907">
        <w:rPr>
          <w:rStyle w:val="NingunoA"/>
          <w:rFonts w:asciiTheme="minorHAnsi" w:hAnsiTheme="minorHAnsi"/>
          <w:sz w:val="24"/>
          <w:szCs w:val="24"/>
        </w:rPr>
        <w:t xml:space="preserve">Asimismo, se ha logrado eliminar la tasa de transmisión de madre a hijo logrando que </w:t>
      </w:r>
      <w:r w:rsidRPr="005D5907">
        <w:rPr>
          <w:rStyle w:val="Ninguno"/>
          <w:rFonts w:asciiTheme="minorHAnsi" w:hAnsiTheme="minorHAnsi"/>
          <w:sz w:val="24"/>
          <w:szCs w:val="24"/>
          <w:lang w:val="it-IT"/>
        </w:rPr>
        <w:t xml:space="preserve">el </w:t>
      </w:r>
      <w:r w:rsidRPr="005D5907">
        <w:rPr>
          <w:rStyle w:val="NingunoA"/>
          <w:rFonts w:asciiTheme="minorHAnsi" w:hAnsiTheme="minorHAnsi"/>
          <w:sz w:val="24"/>
          <w:szCs w:val="24"/>
        </w:rPr>
        <w:t>í</w:t>
      </w:r>
      <w:r w:rsidRPr="005D5907">
        <w:rPr>
          <w:rStyle w:val="Ninguno"/>
          <w:rFonts w:asciiTheme="minorHAnsi" w:hAnsiTheme="minorHAnsi"/>
          <w:sz w:val="24"/>
          <w:szCs w:val="24"/>
          <w:lang w:val="it-IT"/>
        </w:rPr>
        <w:t>ndice de contagio est</w:t>
      </w:r>
      <w:r w:rsidRPr="005D5907">
        <w:rPr>
          <w:rStyle w:val="NingunoA"/>
          <w:rFonts w:asciiTheme="minorHAnsi" w:hAnsiTheme="minorHAnsi"/>
          <w:sz w:val="24"/>
          <w:szCs w:val="24"/>
        </w:rPr>
        <w:t>é por debajo del 2%, guarismo estipulado por la OMS para que no se produzca transmisió</w:t>
      </w:r>
      <w:r w:rsidRPr="005D5907">
        <w:rPr>
          <w:rStyle w:val="Ninguno"/>
          <w:rFonts w:asciiTheme="minorHAnsi" w:hAnsiTheme="minorHAnsi"/>
          <w:sz w:val="24"/>
          <w:szCs w:val="24"/>
          <w:lang w:val="it-IT"/>
        </w:rPr>
        <w:t>n vertical.</w:t>
      </w:r>
      <w:r w:rsidRPr="005D5907">
        <w:rPr>
          <w:rStyle w:val="NingunoA"/>
          <w:rFonts w:asciiTheme="minorHAnsi" w:hAnsiTheme="minorHAnsi"/>
          <w:sz w:val="24"/>
          <w:szCs w:val="24"/>
        </w:rPr>
        <w:t xml:space="preserve"> Es de destacar la aprobación de la </w:t>
      </w:r>
      <w:r w:rsidRPr="005D5907">
        <w:rPr>
          <w:rStyle w:val="Ninguno"/>
          <w:rFonts w:asciiTheme="minorHAnsi" w:hAnsiTheme="minorHAnsi"/>
          <w:sz w:val="24"/>
          <w:szCs w:val="24"/>
          <w:lang w:val="it-IT"/>
        </w:rPr>
        <w:t>Ordenanza 1119 del 2018</w:t>
      </w:r>
      <w:r w:rsidRPr="005D5907">
        <w:rPr>
          <w:rStyle w:val="NingunoA"/>
          <w:rFonts w:asciiTheme="minorHAnsi" w:hAnsiTheme="minorHAnsi"/>
          <w:sz w:val="24"/>
          <w:szCs w:val="24"/>
        </w:rPr>
        <w:t xml:space="preserve"> que obliga a todos los prestadores integrales de salud a ofrecer la prueba diagnó</w:t>
      </w:r>
      <w:r w:rsidRPr="005D5907">
        <w:rPr>
          <w:rStyle w:val="Ninguno"/>
          <w:rFonts w:asciiTheme="minorHAnsi" w:hAnsiTheme="minorHAnsi"/>
          <w:sz w:val="24"/>
          <w:szCs w:val="24"/>
          <w:lang w:val="pt-PT"/>
        </w:rPr>
        <w:t>stica de si</w:t>
      </w:r>
      <w:r w:rsidRPr="005D5907">
        <w:rPr>
          <w:rStyle w:val="NingunoA"/>
          <w:rFonts w:asciiTheme="minorHAnsi" w:hAnsiTheme="minorHAnsi"/>
          <w:sz w:val="24"/>
          <w:szCs w:val="24"/>
        </w:rPr>
        <w:t xml:space="preserve">́filis y VIH a la pareja de la mujer embarazada. </w:t>
      </w:r>
    </w:p>
    <w:p w14:paraId="7AE9F0FF" w14:textId="77777777" w:rsidR="003B6EEF" w:rsidRPr="005D5907" w:rsidRDefault="003B6EEF" w:rsidP="005D5907">
      <w:pPr>
        <w:pStyle w:val="CuerpoA"/>
        <w:jc w:val="both"/>
        <w:rPr>
          <w:rFonts w:asciiTheme="minorHAnsi" w:hAnsiTheme="minorHAnsi"/>
          <w:sz w:val="24"/>
          <w:szCs w:val="24"/>
        </w:rPr>
      </w:pPr>
    </w:p>
    <w:p w14:paraId="7BCF6ACF" w14:textId="77777777" w:rsidR="003B6EEF" w:rsidRPr="005D5907" w:rsidRDefault="009F711E" w:rsidP="005D5907">
      <w:pPr>
        <w:pStyle w:val="CuerpoA"/>
        <w:jc w:val="both"/>
        <w:rPr>
          <w:rFonts w:asciiTheme="minorHAnsi" w:hAnsiTheme="minorHAnsi"/>
          <w:sz w:val="24"/>
          <w:szCs w:val="24"/>
        </w:rPr>
      </w:pPr>
      <w:r w:rsidRPr="005D5907">
        <w:rPr>
          <w:rStyle w:val="Ninguno"/>
          <w:rFonts w:asciiTheme="minorHAnsi" w:hAnsiTheme="minorHAnsi"/>
          <w:sz w:val="24"/>
          <w:szCs w:val="24"/>
          <w:lang w:val="it-IT"/>
        </w:rPr>
        <w:t>La v</w:t>
      </w:r>
      <w:r w:rsidRPr="005D5907">
        <w:rPr>
          <w:rStyle w:val="NingunoA"/>
          <w:rFonts w:asciiTheme="minorHAnsi" w:hAnsiTheme="minorHAnsi"/>
          <w:sz w:val="24"/>
          <w:szCs w:val="24"/>
        </w:rPr>
        <w:t>í</w:t>
      </w:r>
      <w:r w:rsidRPr="005D5907">
        <w:rPr>
          <w:rStyle w:val="Ninguno"/>
          <w:rFonts w:asciiTheme="minorHAnsi" w:hAnsiTheme="minorHAnsi"/>
          <w:sz w:val="24"/>
          <w:szCs w:val="24"/>
          <w:lang w:val="pt-PT"/>
        </w:rPr>
        <w:t>a sexual contin</w:t>
      </w:r>
      <w:r w:rsidRPr="005D5907">
        <w:rPr>
          <w:rStyle w:val="NingunoA"/>
          <w:rFonts w:asciiTheme="minorHAnsi" w:hAnsiTheme="minorHAnsi"/>
          <w:sz w:val="24"/>
          <w:szCs w:val="24"/>
        </w:rPr>
        <w:t>úa siendo la principal vía de transmisión de VIH en Uruguay; del total de notificaciones que reportan la vía de transmisión, el 99 % adquirió el VIH por la ví</w:t>
      </w:r>
      <w:r w:rsidRPr="005D5907">
        <w:rPr>
          <w:rStyle w:val="Ninguno"/>
          <w:rFonts w:asciiTheme="minorHAnsi" w:hAnsiTheme="minorHAnsi"/>
          <w:sz w:val="24"/>
          <w:szCs w:val="24"/>
          <w:lang w:val="pt-PT"/>
        </w:rPr>
        <w:t xml:space="preserve">a sexual. </w:t>
      </w:r>
    </w:p>
    <w:p w14:paraId="5F418800" w14:textId="77777777" w:rsidR="003B6EEF" w:rsidRPr="005D5907" w:rsidRDefault="003B6EEF" w:rsidP="005D5907">
      <w:pPr>
        <w:pStyle w:val="CuerpoA"/>
        <w:jc w:val="both"/>
        <w:rPr>
          <w:rFonts w:asciiTheme="minorHAnsi" w:hAnsiTheme="minorHAnsi"/>
          <w:sz w:val="24"/>
          <w:szCs w:val="24"/>
        </w:rPr>
      </w:pPr>
    </w:p>
    <w:p w14:paraId="700B4B21" w14:textId="77777777" w:rsidR="003B6EEF" w:rsidRPr="005D5907" w:rsidRDefault="009F711E" w:rsidP="005D5907">
      <w:pPr>
        <w:pStyle w:val="CuerpoA"/>
        <w:jc w:val="both"/>
        <w:rPr>
          <w:rFonts w:asciiTheme="minorHAnsi" w:hAnsiTheme="minorHAnsi"/>
          <w:sz w:val="24"/>
          <w:szCs w:val="24"/>
        </w:rPr>
      </w:pPr>
      <w:r w:rsidRPr="005D5907">
        <w:rPr>
          <w:rFonts w:asciiTheme="minorHAnsi" w:hAnsiTheme="minorHAnsi"/>
          <w:sz w:val="24"/>
          <w:szCs w:val="24"/>
        </w:rPr>
        <w:t>8.</w:t>
      </w:r>
      <w:r w:rsidRPr="005D5907">
        <w:rPr>
          <w:rStyle w:val="NingunoA"/>
          <w:rFonts w:asciiTheme="minorHAnsi" w:hAnsiTheme="minorHAnsi"/>
          <w:sz w:val="24"/>
          <w:szCs w:val="24"/>
        </w:rPr>
        <w:t>Debido a que</w:t>
      </w:r>
      <w:r w:rsidRPr="005D5907">
        <w:rPr>
          <w:rStyle w:val="Ninguno"/>
          <w:rFonts w:asciiTheme="minorHAnsi" w:hAnsiTheme="minorHAnsi"/>
          <w:sz w:val="24"/>
          <w:szCs w:val="24"/>
          <w:lang w:val="it-IT"/>
        </w:rPr>
        <w:t xml:space="preserve"> la s</w:t>
      </w:r>
      <w:r w:rsidRPr="005D5907">
        <w:rPr>
          <w:rStyle w:val="NingunoA"/>
          <w:rFonts w:asciiTheme="minorHAnsi" w:hAnsiTheme="minorHAnsi"/>
          <w:sz w:val="24"/>
          <w:szCs w:val="24"/>
        </w:rPr>
        <w:t>ífilis connatal es un problema de salud pública prevalente en el país y que para la reducción de la transmisión vertical de la sífilis resulta necesario el diagnóstico y tratamiento oportuno de las embarazadas infectadas; se aprobó en el 2018 la o</w:t>
      </w:r>
      <w:r w:rsidRPr="005D5907">
        <w:rPr>
          <w:rStyle w:val="Ninguno"/>
          <w:rFonts w:asciiTheme="minorHAnsi" w:hAnsiTheme="minorHAnsi"/>
          <w:sz w:val="24"/>
          <w:szCs w:val="24"/>
          <w:lang w:val="it-IT"/>
        </w:rPr>
        <w:t>rdenanza 688</w:t>
      </w:r>
      <w:r w:rsidRPr="005D5907">
        <w:rPr>
          <w:rStyle w:val="NingunoA"/>
          <w:rFonts w:asciiTheme="minorHAnsi" w:hAnsiTheme="minorHAnsi"/>
          <w:sz w:val="24"/>
          <w:szCs w:val="24"/>
        </w:rPr>
        <w:t>, que utoriza a obstetras parteras a administrar tratamiento para la sífilis en mujeres embarazadas y pareja/s sexuales.</w:t>
      </w:r>
    </w:p>
    <w:p w14:paraId="7C4E16BD" w14:textId="77777777" w:rsidR="003B6EEF" w:rsidRPr="005D5907" w:rsidRDefault="003B6EEF" w:rsidP="005D5907">
      <w:pPr>
        <w:pStyle w:val="CuerpoA"/>
        <w:jc w:val="both"/>
        <w:rPr>
          <w:rStyle w:val="Ninguno"/>
          <w:rFonts w:asciiTheme="minorHAnsi" w:hAnsiTheme="minorHAnsi"/>
          <w:b/>
          <w:bCs/>
          <w:sz w:val="24"/>
          <w:szCs w:val="24"/>
        </w:rPr>
      </w:pPr>
    </w:p>
    <w:p w14:paraId="5ACB4446" w14:textId="48757522" w:rsidR="003B6EEF" w:rsidRPr="005D5907" w:rsidRDefault="009F711E" w:rsidP="005D5907">
      <w:pPr>
        <w:pStyle w:val="CuerpoA"/>
        <w:jc w:val="both"/>
        <w:rPr>
          <w:rStyle w:val="Ninguno"/>
          <w:rFonts w:asciiTheme="minorHAnsi" w:hAnsiTheme="minorHAnsi"/>
          <w:b/>
          <w:bCs/>
          <w:sz w:val="24"/>
          <w:szCs w:val="24"/>
        </w:rPr>
      </w:pPr>
      <w:r w:rsidRPr="005D5907">
        <w:rPr>
          <w:rStyle w:val="Ninguno"/>
          <w:rFonts w:asciiTheme="minorHAnsi" w:hAnsiTheme="minorHAnsi"/>
          <w:b/>
          <w:bCs/>
          <w:sz w:val="24"/>
          <w:szCs w:val="24"/>
        </w:rPr>
        <w:t>9.</w:t>
      </w:r>
      <w:r w:rsidR="005D5907">
        <w:rPr>
          <w:rStyle w:val="Ninguno"/>
          <w:rFonts w:asciiTheme="minorHAnsi" w:hAnsiTheme="minorHAnsi"/>
          <w:b/>
          <w:bCs/>
          <w:sz w:val="24"/>
          <w:szCs w:val="24"/>
        </w:rPr>
        <w:t xml:space="preserve"> </w:t>
      </w:r>
      <w:r w:rsidRPr="005D5907">
        <w:rPr>
          <w:rStyle w:val="NingunoA"/>
          <w:rFonts w:asciiTheme="minorHAnsi" w:hAnsiTheme="minorHAnsi"/>
          <w:sz w:val="24"/>
          <w:szCs w:val="24"/>
        </w:rPr>
        <w:t>Uruguay ha desarrollado diversas estrategias de cooperación con el objetivo de compartir los aprendizajes y desafíos en relación a esta política. En el marco de un importante interés en la región, Uruguay ha compartido su experiencia en el marco de la XV Conferencia de la Mujer de CEPAL "La sociedad del cuidado como horizonte para una recuperación sostenible con igualdad de g</w:t>
      </w:r>
      <w:r w:rsidRPr="005D5907">
        <w:rPr>
          <w:rStyle w:val="Ninguno"/>
          <w:rFonts w:asciiTheme="minorHAnsi" w:hAnsiTheme="minorHAnsi"/>
          <w:sz w:val="24"/>
          <w:szCs w:val="24"/>
          <w:lang w:val="fr-FR"/>
        </w:rPr>
        <w:t>é</w:t>
      </w:r>
      <w:r w:rsidRPr="005D5907">
        <w:rPr>
          <w:rStyle w:val="NingunoA"/>
          <w:rFonts w:asciiTheme="minorHAnsi" w:hAnsiTheme="minorHAnsi"/>
          <w:sz w:val="24"/>
          <w:szCs w:val="24"/>
        </w:rPr>
        <w:t>nero", asimismo, ha recibido en el país a delegaciones de Paraguay y Chile, que han permitido apoyar los procesos de diseño de sus políticas nacionales en materia de cuidados.</w:t>
      </w:r>
    </w:p>
    <w:p w14:paraId="430715C2" w14:textId="77777777" w:rsidR="003B6EEF" w:rsidRPr="005D5907" w:rsidRDefault="003B6EEF" w:rsidP="005D5907">
      <w:pPr>
        <w:pStyle w:val="CuerpoA"/>
        <w:jc w:val="both"/>
        <w:rPr>
          <w:rStyle w:val="Ninguno"/>
          <w:rFonts w:asciiTheme="minorHAnsi" w:hAnsiTheme="minorHAnsi"/>
          <w:b/>
          <w:bCs/>
          <w:sz w:val="24"/>
          <w:szCs w:val="24"/>
        </w:rPr>
      </w:pPr>
    </w:p>
    <w:p w14:paraId="01DA95A3" w14:textId="77777777" w:rsidR="003B6EEF" w:rsidRPr="005D5907" w:rsidRDefault="009F711E" w:rsidP="005D5907">
      <w:pPr>
        <w:pStyle w:val="CuerpoA"/>
        <w:jc w:val="both"/>
        <w:rPr>
          <w:rFonts w:asciiTheme="minorHAnsi" w:hAnsiTheme="minorHAnsi"/>
          <w:sz w:val="24"/>
          <w:szCs w:val="24"/>
        </w:rPr>
      </w:pPr>
      <w:r w:rsidRPr="005D5907">
        <w:rPr>
          <w:rStyle w:val="Ninguno"/>
          <w:rFonts w:asciiTheme="minorHAnsi" w:hAnsiTheme="minorHAnsi"/>
          <w:b/>
          <w:sz w:val="24"/>
          <w:szCs w:val="24"/>
        </w:rPr>
        <w:t>10.</w:t>
      </w:r>
      <w:r w:rsidRPr="005D5907">
        <w:rPr>
          <w:rStyle w:val="Ninguno"/>
          <w:rFonts w:asciiTheme="minorHAnsi" w:hAnsiTheme="minorHAnsi"/>
          <w:sz w:val="24"/>
          <w:szCs w:val="24"/>
        </w:rPr>
        <w:t xml:space="preserve"> </w:t>
      </w:r>
      <w:r w:rsidRPr="005D5907">
        <w:rPr>
          <w:rFonts w:asciiTheme="minorHAnsi" w:hAnsiTheme="minorHAnsi"/>
          <w:sz w:val="24"/>
          <w:szCs w:val="24"/>
        </w:rPr>
        <w:t>En el marco del cumplimiento de la Ley 19684, la Comisión Especial reparatoria ha recibido en el período 2019- 2022, 255 solicitudes, de las que se han aprobado 204.</w:t>
      </w:r>
    </w:p>
    <w:p w14:paraId="39AB3FBE" w14:textId="77777777" w:rsidR="003B6EEF" w:rsidRPr="005D5907" w:rsidRDefault="003B6EEF" w:rsidP="005D5907">
      <w:pPr>
        <w:pStyle w:val="CuerpoA"/>
        <w:jc w:val="both"/>
        <w:rPr>
          <w:rFonts w:asciiTheme="minorHAnsi" w:hAnsiTheme="minorHAnsi"/>
          <w:sz w:val="24"/>
          <w:szCs w:val="24"/>
        </w:rPr>
      </w:pPr>
    </w:p>
    <w:p w14:paraId="79B93856" w14:textId="77777777" w:rsidR="003B6EEF" w:rsidRPr="005D5907" w:rsidRDefault="009F711E" w:rsidP="005D5907">
      <w:pPr>
        <w:pStyle w:val="CuerpoA"/>
        <w:jc w:val="both"/>
        <w:rPr>
          <w:rStyle w:val="Ninguno"/>
          <w:rFonts w:asciiTheme="minorHAnsi" w:hAnsiTheme="minorHAnsi"/>
          <w:b/>
          <w:bCs/>
          <w:sz w:val="24"/>
          <w:szCs w:val="24"/>
        </w:rPr>
      </w:pPr>
      <w:r w:rsidRPr="005D5907">
        <w:rPr>
          <w:rFonts w:asciiTheme="minorHAnsi" w:hAnsiTheme="minorHAnsi"/>
          <w:b/>
          <w:sz w:val="24"/>
          <w:szCs w:val="24"/>
        </w:rPr>
        <w:t>11.</w:t>
      </w:r>
      <w:r w:rsidRPr="005D5907">
        <w:rPr>
          <w:rFonts w:asciiTheme="minorHAnsi" w:hAnsiTheme="minorHAnsi"/>
          <w:sz w:val="24"/>
          <w:szCs w:val="24"/>
        </w:rPr>
        <w:t xml:space="preserve"> El valor del trabajo no remunerado fue calculado para el 2021-2022, su proporción en el PIB es de 23.8%, representando 16% el aporte de las mujeres y 7.8% el de varones.</w:t>
      </w:r>
    </w:p>
    <w:p w14:paraId="51B323B1" w14:textId="77777777" w:rsidR="003B6EEF" w:rsidRPr="005D5907" w:rsidRDefault="003B6EEF" w:rsidP="005D5907">
      <w:pPr>
        <w:pStyle w:val="CuerpoA"/>
        <w:jc w:val="both"/>
        <w:rPr>
          <w:rFonts w:asciiTheme="minorHAnsi" w:hAnsiTheme="minorHAnsi"/>
          <w:sz w:val="24"/>
          <w:szCs w:val="24"/>
        </w:rPr>
      </w:pPr>
    </w:p>
    <w:p w14:paraId="606D1F3B" w14:textId="5D1B821A" w:rsidR="003B6EEF" w:rsidRPr="005D5907" w:rsidRDefault="009F711E" w:rsidP="005D5907">
      <w:pPr>
        <w:pStyle w:val="CuerpoA"/>
        <w:jc w:val="both"/>
        <w:rPr>
          <w:rStyle w:val="Ninguno"/>
          <w:rFonts w:asciiTheme="minorHAnsi" w:hAnsiTheme="minorHAnsi"/>
          <w:sz w:val="24"/>
          <w:szCs w:val="24"/>
        </w:rPr>
      </w:pPr>
      <w:r w:rsidRPr="005D5907">
        <w:rPr>
          <w:rFonts w:asciiTheme="minorHAnsi" w:hAnsiTheme="minorHAnsi"/>
          <w:b/>
          <w:sz w:val="24"/>
          <w:szCs w:val="24"/>
        </w:rPr>
        <w:t>12.</w:t>
      </w:r>
      <w:r w:rsidR="005D5907">
        <w:rPr>
          <w:rFonts w:asciiTheme="minorHAnsi" w:hAnsiTheme="minorHAnsi"/>
          <w:sz w:val="24"/>
          <w:szCs w:val="24"/>
        </w:rPr>
        <w:t xml:space="preserve"> </w:t>
      </w:r>
      <w:r w:rsidRPr="005D5907">
        <w:rPr>
          <w:rStyle w:val="NingunoA"/>
          <w:rFonts w:asciiTheme="minorHAnsi" w:hAnsiTheme="minorHAnsi"/>
          <w:sz w:val="24"/>
          <w:szCs w:val="24"/>
        </w:rPr>
        <w:t>Se mantiene en la planificación presupuestal nacional la apertura para gastos de funcionamiento como para inversiones, se les asignó una codificación presupuestal común para todos los programas presupuestales, atendiendo la transversalidad de las polí</w:t>
      </w:r>
      <w:r w:rsidRPr="005D5907">
        <w:rPr>
          <w:rStyle w:val="Ninguno"/>
          <w:rFonts w:asciiTheme="minorHAnsi" w:hAnsiTheme="minorHAnsi"/>
          <w:sz w:val="24"/>
          <w:szCs w:val="24"/>
          <w:lang w:val="pt-PT"/>
        </w:rPr>
        <w:t>ticas de g</w:t>
      </w:r>
      <w:r w:rsidRPr="005D5907">
        <w:rPr>
          <w:rStyle w:val="Ninguno"/>
          <w:rFonts w:asciiTheme="minorHAnsi" w:hAnsiTheme="minorHAnsi"/>
          <w:sz w:val="24"/>
          <w:szCs w:val="24"/>
          <w:lang w:val="fr-FR"/>
        </w:rPr>
        <w:t>é</w:t>
      </w:r>
      <w:r w:rsidRPr="005D5907">
        <w:rPr>
          <w:rStyle w:val="NingunoA"/>
          <w:rFonts w:asciiTheme="minorHAnsi" w:hAnsiTheme="minorHAnsi"/>
          <w:sz w:val="24"/>
          <w:szCs w:val="24"/>
        </w:rPr>
        <w:t xml:space="preserve">nero, a los efectos de facilitar su identificación dentro del presupuesto y el seguimiento de su ejecución (121 para gastos y 184 para inversión). En las Rendiciones de </w:t>
      </w:r>
      <w:r w:rsidRPr="005D5907">
        <w:rPr>
          <w:rStyle w:val="NingunoA"/>
          <w:rFonts w:asciiTheme="minorHAnsi" w:hAnsiTheme="minorHAnsi"/>
          <w:sz w:val="24"/>
          <w:szCs w:val="24"/>
        </w:rPr>
        <w:lastRenderedPageBreak/>
        <w:t xml:space="preserve">Cuentas del 2018 y 2022 se incorporó </w:t>
      </w:r>
      <w:r w:rsidRPr="005D5907">
        <w:rPr>
          <w:rStyle w:val="Ninguno"/>
          <w:rFonts w:asciiTheme="minorHAnsi" w:hAnsiTheme="minorHAnsi"/>
          <w:sz w:val="24"/>
          <w:szCs w:val="24"/>
          <w:lang w:val="pt-PT"/>
        </w:rPr>
        <w:t>el anexo Pol</w:t>
      </w:r>
      <w:r w:rsidRPr="005D5907">
        <w:rPr>
          <w:rStyle w:val="NingunoA"/>
          <w:rFonts w:asciiTheme="minorHAnsi" w:hAnsiTheme="minorHAnsi"/>
          <w:sz w:val="24"/>
          <w:szCs w:val="24"/>
        </w:rPr>
        <w:t>íticas de Igualdad de G</w:t>
      </w:r>
      <w:r w:rsidRPr="005D5907">
        <w:rPr>
          <w:rStyle w:val="Ninguno"/>
          <w:rFonts w:asciiTheme="minorHAnsi" w:hAnsiTheme="minorHAnsi"/>
          <w:sz w:val="24"/>
          <w:szCs w:val="24"/>
          <w:lang w:val="fr-FR"/>
        </w:rPr>
        <w:t>é</w:t>
      </w:r>
      <w:r w:rsidRPr="005D5907">
        <w:rPr>
          <w:rStyle w:val="NingunoA"/>
          <w:rFonts w:asciiTheme="minorHAnsi" w:hAnsiTheme="minorHAnsi"/>
          <w:sz w:val="24"/>
          <w:szCs w:val="24"/>
        </w:rPr>
        <w:t>nero al Tomo II - Planificación y Evaluación, que contiene una compilación de la información remitida por cada organismo de modo tal de facilitar la identificación de las acciones realizadas y a realizar en materia de igualdad de g</w:t>
      </w:r>
      <w:r w:rsidRPr="005D5907">
        <w:rPr>
          <w:rStyle w:val="Ninguno"/>
          <w:rFonts w:asciiTheme="minorHAnsi" w:hAnsiTheme="minorHAnsi"/>
          <w:sz w:val="24"/>
          <w:szCs w:val="24"/>
          <w:lang w:val="fr-FR"/>
        </w:rPr>
        <w:t>é</w:t>
      </w:r>
      <w:r w:rsidRPr="005D5907">
        <w:rPr>
          <w:rStyle w:val="Ninguno"/>
          <w:rFonts w:asciiTheme="minorHAnsi" w:hAnsiTheme="minorHAnsi"/>
          <w:sz w:val="24"/>
          <w:szCs w:val="24"/>
          <w:lang w:val="it-IT"/>
        </w:rPr>
        <w:t xml:space="preserve">nero. </w:t>
      </w:r>
      <w:r w:rsidRPr="005D5907">
        <w:rPr>
          <w:rStyle w:val="NingunoA"/>
          <w:rFonts w:asciiTheme="minorHAnsi" w:hAnsiTheme="minorHAnsi"/>
          <w:sz w:val="24"/>
          <w:szCs w:val="24"/>
        </w:rPr>
        <w:t>(Tabla 3)</w:t>
      </w:r>
    </w:p>
    <w:p w14:paraId="555403C8" w14:textId="77777777" w:rsidR="003B6EEF" w:rsidRPr="005D5907" w:rsidRDefault="003B6EEF" w:rsidP="005D5907">
      <w:pPr>
        <w:pStyle w:val="CuerpoA"/>
        <w:jc w:val="both"/>
        <w:rPr>
          <w:rStyle w:val="Ninguno"/>
          <w:rFonts w:asciiTheme="minorHAnsi" w:hAnsiTheme="minorHAnsi"/>
          <w:b/>
          <w:bCs/>
          <w:sz w:val="24"/>
          <w:szCs w:val="24"/>
        </w:rPr>
      </w:pPr>
    </w:p>
    <w:p w14:paraId="1321F856" w14:textId="77777777" w:rsidR="003B6EEF" w:rsidRPr="005D5907" w:rsidRDefault="003B6EEF" w:rsidP="005D5907">
      <w:pPr>
        <w:pStyle w:val="CuerpoA"/>
        <w:jc w:val="both"/>
        <w:rPr>
          <w:rStyle w:val="Ninguno"/>
          <w:rFonts w:asciiTheme="minorHAnsi" w:hAnsiTheme="minorHAnsi"/>
          <w:b/>
          <w:bCs/>
          <w:sz w:val="24"/>
          <w:szCs w:val="24"/>
        </w:rPr>
      </w:pPr>
    </w:p>
    <w:p w14:paraId="1940A534" w14:textId="77777777" w:rsidR="003B6EEF" w:rsidRPr="005D5907" w:rsidRDefault="009F711E" w:rsidP="005D5907">
      <w:pPr>
        <w:pStyle w:val="CuerpoA"/>
        <w:jc w:val="both"/>
        <w:rPr>
          <w:rStyle w:val="Ninguno"/>
          <w:rFonts w:asciiTheme="minorHAnsi" w:hAnsiTheme="minorHAnsi"/>
          <w:b/>
          <w:bCs/>
          <w:sz w:val="24"/>
          <w:szCs w:val="24"/>
        </w:rPr>
      </w:pPr>
      <w:r w:rsidRPr="005D5907">
        <w:rPr>
          <w:rStyle w:val="Ninguno"/>
          <w:rFonts w:asciiTheme="minorHAnsi" w:hAnsiTheme="minorHAnsi"/>
          <w:b/>
          <w:bCs/>
          <w:sz w:val="24"/>
          <w:szCs w:val="24"/>
        </w:rPr>
        <w:t>Ejecución Proyectos 121 al 2022</w:t>
      </w:r>
    </w:p>
    <w:p w14:paraId="600E8AF0" w14:textId="77777777" w:rsidR="003B6EEF" w:rsidRPr="005D5907" w:rsidRDefault="003B6EEF" w:rsidP="005D5907">
      <w:pPr>
        <w:pStyle w:val="CuerpoA"/>
        <w:jc w:val="both"/>
        <w:rPr>
          <w:rStyle w:val="Ninguno"/>
          <w:rFonts w:asciiTheme="minorHAnsi" w:hAnsiTheme="minorHAnsi"/>
          <w:b/>
          <w:bCs/>
          <w:sz w:val="24"/>
          <w:szCs w:val="24"/>
        </w:rPr>
      </w:pPr>
    </w:p>
    <w:tbl>
      <w:tblPr>
        <w:tblW w:w="963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3877"/>
        <w:gridCol w:w="1300"/>
        <w:gridCol w:w="2640"/>
        <w:gridCol w:w="1820"/>
      </w:tblGrid>
      <w:tr w:rsidR="003B6EEF" w:rsidRPr="005D5907" w14:paraId="076644AD" w14:textId="77777777">
        <w:trPr>
          <w:trHeight w:val="55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F50B3B"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it-IT"/>
              </w:rPr>
              <w:t xml:space="preserve">Inciso </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BBC9B71"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 xml:space="preserve">Proyecto </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A4230D"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it-IT"/>
              </w:rPr>
              <w:t>Monto cred apertura +modif pptales</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CE1A43B"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 xml:space="preserve">Afectado </w:t>
            </w:r>
          </w:p>
        </w:tc>
      </w:tr>
      <w:tr w:rsidR="003B6EEF" w:rsidRPr="005D5907" w14:paraId="5891D173"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79656122"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Poder Ejecutivo</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414C4FB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279AC46C"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909.863</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776E2BC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458.070</w:t>
            </w:r>
          </w:p>
        </w:tc>
      </w:tr>
      <w:tr w:rsidR="003B6EEF" w:rsidRPr="005D5907" w14:paraId="1989B693"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1CFB1F"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 xml:space="preserve">Presidencia </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BDAC602"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2EAE40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394.159</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83A242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0</w:t>
            </w:r>
          </w:p>
        </w:tc>
      </w:tr>
      <w:tr w:rsidR="003B6EEF" w:rsidRPr="005D5907" w14:paraId="0463E622"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32DE70A"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Defensa</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230548F8"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CCD1FDF"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92.386</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044C7652"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23.290</w:t>
            </w:r>
          </w:p>
        </w:tc>
      </w:tr>
      <w:tr w:rsidR="003B6EEF" w:rsidRPr="005D5907" w14:paraId="10F7C865"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7805EA0"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del Interior</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2BAE369"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6B31155"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167.765.088</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EACA9B9"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165.162.923</w:t>
            </w:r>
          </w:p>
        </w:tc>
      </w:tr>
      <w:tr w:rsidR="003B6EEF" w:rsidRPr="005D5907" w14:paraId="732F2F9D"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0CCF8849"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Relaciones Exteriores</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0AC17D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351B32E0"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3.817.286</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F7B95D0"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3.817.286</w:t>
            </w:r>
          </w:p>
        </w:tc>
      </w:tr>
      <w:tr w:rsidR="003B6EEF" w:rsidRPr="005D5907" w14:paraId="292EB4AF"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74429F54"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Ganadería Agricultura y Pesca</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3AE75F1D"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938B047"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9.280.165</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ECF7E57"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9.176.712</w:t>
            </w:r>
          </w:p>
        </w:tc>
      </w:tr>
      <w:tr w:rsidR="003B6EEF" w:rsidRPr="005D5907" w14:paraId="52069707"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FD678C2"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Industria Energía y Minería</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1E3ACDA"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66B0321"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3.260.000</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264045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3.250.000</w:t>
            </w:r>
          </w:p>
        </w:tc>
      </w:tr>
      <w:tr w:rsidR="003B6EEF" w:rsidRPr="005D5907" w14:paraId="469387EC"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1DCCE32"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Turismo</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EDF3F29"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586F06C"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1.060.164</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4C221B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883.220</w:t>
            </w:r>
          </w:p>
        </w:tc>
      </w:tr>
      <w:tr w:rsidR="003B6EEF" w:rsidRPr="005D5907" w14:paraId="5ABEDAE9"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4D255E8"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Salud Pú</w:t>
            </w:r>
            <w:r w:rsidRPr="005D5907">
              <w:rPr>
                <w:rStyle w:val="Ninguno"/>
                <w:rFonts w:asciiTheme="minorHAnsi" w:hAnsiTheme="minorHAnsi"/>
                <w:sz w:val="24"/>
                <w:szCs w:val="24"/>
                <w:lang w:val="pt-PT"/>
              </w:rPr>
              <w:t>blica</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43671B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7B5111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76.282.099</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85D34C8"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52.585.418</w:t>
            </w:r>
          </w:p>
        </w:tc>
      </w:tr>
      <w:tr w:rsidR="003B6EEF" w:rsidRPr="005D5907" w14:paraId="2965311C"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6E0F8F4"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Trabajo</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FBBA073"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3C0746A0"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79.014</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7E2D42B6"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23.524</w:t>
            </w:r>
          </w:p>
        </w:tc>
      </w:tr>
      <w:tr w:rsidR="003B6EEF" w:rsidRPr="005D5907" w14:paraId="2BF9AAEA"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A19D5B7"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 xml:space="preserve">Ministerio de Vivienda </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C289F74"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D79F409"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61.551</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A9407BD"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61.551</w:t>
            </w:r>
          </w:p>
        </w:tc>
      </w:tr>
      <w:tr w:rsidR="003B6EEF" w:rsidRPr="005D5907" w14:paraId="2C30EE39"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241E90E7"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Ministerio de Desarrollo Social</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43A9A2BE"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DD52F09"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292.858.046</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67A4835"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278.517.568</w:t>
            </w:r>
          </w:p>
        </w:tc>
      </w:tr>
      <w:tr w:rsidR="003B6EEF" w:rsidRPr="005D5907" w14:paraId="298BBC4F"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C2FD9CB"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pt-PT"/>
              </w:rPr>
              <w:t>Poder Judicial</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02C33FD4"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7745DE4"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23.989.310</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6642BE4F"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22.419.875</w:t>
            </w:r>
          </w:p>
        </w:tc>
      </w:tr>
      <w:tr w:rsidR="003B6EEF" w:rsidRPr="005D5907" w14:paraId="2CDC3E57"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0C3F3D8"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lang w:val="it-IT"/>
              </w:rPr>
              <w:t>Instituto de Metereolog</w:t>
            </w:r>
            <w:r w:rsidRPr="005D5907">
              <w:rPr>
                <w:rStyle w:val="Ninguno"/>
                <w:rFonts w:asciiTheme="minorHAnsi" w:hAnsiTheme="minorHAnsi"/>
                <w:sz w:val="24"/>
                <w:szCs w:val="24"/>
              </w:rPr>
              <w:t>ía</w:t>
            </w:r>
          </w:p>
        </w:tc>
        <w:tc>
          <w:tcPr>
            <w:tcW w:w="130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6E9ACF"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635BC0F"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152.341</w:t>
            </w:r>
          </w:p>
        </w:tc>
        <w:tc>
          <w:tcPr>
            <w:tcW w:w="182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467C6284"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152.341</w:t>
            </w:r>
          </w:p>
        </w:tc>
      </w:tr>
      <w:tr w:rsidR="003B6EEF" w:rsidRPr="005D5907" w14:paraId="6DB746C2" w14:textId="77777777">
        <w:trPr>
          <w:trHeight w:val="314"/>
        </w:trPr>
        <w:tc>
          <w:tcPr>
            <w:tcW w:w="3877"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18506806"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Fiscalía General de la Nación</w:t>
            </w:r>
          </w:p>
        </w:tc>
        <w:tc>
          <w:tcPr>
            <w:tcW w:w="130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5FB36E8B"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121</w:t>
            </w:r>
          </w:p>
        </w:tc>
        <w:tc>
          <w:tcPr>
            <w:tcW w:w="264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01A4A577"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215.390</w:t>
            </w:r>
          </w:p>
        </w:tc>
        <w:tc>
          <w:tcPr>
            <w:tcW w:w="1820" w:type="dxa"/>
            <w:tcBorders>
              <w:top w:val="single" w:sz="8" w:space="0" w:color="000000"/>
              <w:left w:val="single" w:sz="8" w:space="0" w:color="000000"/>
              <w:bottom w:val="single" w:sz="8" w:space="0" w:color="000000"/>
              <w:right w:val="single" w:sz="8" w:space="0" w:color="000000"/>
            </w:tcBorders>
            <w:shd w:val="clear" w:color="auto" w:fill="EEEEEE"/>
            <w:tcMar>
              <w:top w:w="80" w:type="dxa"/>
              <w:left w:w="80" w:type="dxa"/>
              <w:bottom w:w="80" w:type="dxa"/>
              <w:right w:w="80" w:type="dxa"/>
            </w:tcMar>
          </w:tcPr>
          <w:p w14:paraId="246C66FA"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215.386</w:t>
            </w:r>
          </w:p>
        </w:tc>
      </w:tr>
      <w:tr w:rsidR="003B6EEF" w:rsidRPr="005D5907" w14:paraId="6076EFC0" w14:textId="77777777">
        <w:trPr>
          <w:trHeight w:val="554"/>
        </w:trPr>
        <w:tc>
          <w:tcPr>
            <w:tcW w:w="3877" w:type="dxa"/>
            <w:tcBorders>
              <w:top w:val="single" w:sz="8" w:space="0" w:color="000000"/>
              <w:left w:val="single" w:sz="8" w:space="0" w:color="000000"/>
              <w:bottom w:val="single" w:sz="8" w:space="0" w:color="000000"/>
              <w:right w:val="single" w:sz="8" w:space="0" w:color="000000"/>
            </w:tcBorders>
            <w:shd w:val="clear" w:color="auto" w:fill="D5D5D5"/>
            <w:tcMar>
              <w:top w:w="80" w:type="dxa"/>
              <w:left w:w="80" w:type="dxa"/>
              <w:bottom w:w="80" w:type="dxa"/>
              <w:right w:w="80" w:type="dxa"/>
            </w:tcMar>
          </w:tcPr>
          <w:p w14:paraId="2B225FD3"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 xml:space="preserve">Total </w:t>
            </w:r>
          </w:p>
        </w:tc>
        <w:tc>
          <w:tcPr>
            <w:tcW w:w="1300" w:type="dxa"/>
            <w:tcBorders>
              <w:top w:val="single" w:sz="8" w:space="0" w:color="000000"/>
              <w:left w:val="single" w:sz="8" w:space="0" w:color="000000"/>
              <w:bottom w:val="single" w:sz="8" w:space="0" w:color="000000"/>
              <w:right w:val="single" w:sz="8" w:space="0" w:color="000000"/>
            </w:tcBorders>
            <w:shd w:val="clear" w:color="auto" w:fill="D5D5D5"/>
            <w:tcMar>
              <w:top w:w="80" w:type="dxa"/>
              <w:left w:w="80" w:type="dxa"/>
              <w:bottom w:w="80" w:type="dxa"/>
              <w:right w:w="80" w:type="dxa"/>
            </w:tcMar>
          </w:tcPr>
          <w:p w14:paraId="60C2EDB4" w14:textId="77777777" w:rsidR="003B6EEF" w:rsidRPr="005D5907" w:rsidRDefault="009F711E" w:rsidP="005D5907">
            <w:pPr>
              <w:pStyle w:val="Estilodetabla2"/>
              <w:jc w:val="both"/>
              <w:rPr>
                <w:rFonts w:asciiTheme="minorHAnsi" w:hAnsiTheme="minorHAnsi"/>
                <w:sz w:val="24"/>
                <w:szCs w:val="24"/>
              </w:rPr>
            </w:pPr>
            <w:r w:rsidRPr="005D5907">
              <w:rPr>
                <w:rStyle w:val="Ninguno"/>
                <w:rFonts w:asciiTheme="minorHAnsi" w:hAnsiTheme="minorHAnsi"/>
                <w:sz w:val="24"/>
                <w:szCs w:val="24"/>
              </w:rPr>
              <w:t>Pesos uruguayos</w:t>
            </w:r>
          </w:p>
        </w:tc>
        <w:tc>
          <w:tcPr>
            <w:tcW w:w="2640" w:type="dxa"/>
            <w:tcBorders>
              <w:top w:val="single" w:sz="8" w:space="0" w:color="000000"/>
              <w:left w:val="single" w:sz="8" w:space="0" w:color="000000"/>
              <w:bottom w:val="single" w:sz="8" w:space="0" w:color="000000"/>
              <w:right w:val="single" w:sz="8" w:space="0" w:color="000000"/>
            </w:tcBorders>
            <w:shd w:val="clear" w:color="auto" w:fill="D5D5D5"/>
            <w:tcMar>
              <w:top w:w="80" w:type="dxa"/>
              <w:left w:w="80" w:type="dxa"/>
              <w:bottom w:w="80" w:type="dxa"/>
              <w:right w:w="80" w:type="dxa"/>
            </w:tcMar>
          </w:tcPr>
          <w:p w14:paraId="3125FA3E"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1.140.171.583</w:t>
            </w:r>
          </w:p>
        </w:tc>
        <w:tc>
          <w:tcPr>
            <w:tcW w:w="1820" w:type="dxa"/>
            <w:tcBorders>
              <w:top w:val="single" w:sz="8" w:space="0" w:color="000000"/>
              <w:left w:val="single" w:sz="8" w:space="0" w:color="000000"/>
              <w:bottom w:val="single" w:sz="8" w:space="0" w:color="000000"/>
              <w:right w:val="single" w:sz="8" w:space="0" w:color="000000"/>
            </w:tcBorders>
            <w:shd w:val="clear" w:color="auto" w:fill="D5D5D5"/>
            <w:tcMar>
              <w:top w:w="80" w:type="dxa"/>
              <w:left w:w="80" w:type="dxa"/>
              <w:bottom w:w="80" w:type="dxa"/>
              <w:right w:w="80" w:type="dxa"/>
            </w:tcMar>
          </w:tcPr>
          <w:p w14:paraId="18FDECED" w14:textId="77777777" w:rsidR="003B6EEF" w:rsidRPr="005D5907" w:rsidRDefault="009F711E" w:rsidP="005D5907">
            <w:pPr>
              <w:pStyle w:val="CuerpoB"/>
              <w:jc w:val="both"/>
              <w:rPr>
                <w:rFonts w:asciiTheme="minorHAnsi" w:hAnsiTheme="minorHAnsi"/>
              </w:rPr>
            </w:pPr>
            <w:r w:rsidRPr="005D5907">
              <w:rPr>
                <w:rStyle w:val="Ninguno"/>
                <w:rFonts w:asciiTheme="minorHAnsi" w:hAnsiTheme="minorHAnsi"/>
                <w:lang w:val="en-US"/>
              </w:rPr>
              <w:t>976.764.759</w:t>
            </w:r>
          </w:p>
        </w:tc>
      </w:tr>
    </w:tbl>
    <w:p w14:paraId="4DD886AB" w14:textId="77777777" w:rsidR="003B6EEF" w:rsidRPr="005D5907" w:rsidRDefault="003B6EEF" w:rsidP="005D5907">
      <w:pPr>
        <w:pStyle w:val="CuerpoA"/>
        <w:widowControl w:val="0"/>
        <w:ind w:left="108" w:hanging="108"/>
        <w:jc w:val="both"/>
        <w:rPr>
          <w:rStyle w:val="Ninguno"/>
          <w:rFonts w:asciiTheme="minorHAnsi" w:hAnsiTheme="minorHAnsi"/>
          <w:b/>
          <w:bCs/>
          <w:sz w:val="24"/>
          <w:szCs w:val="24"/>
        </w:rPr>
      </w:pPr>
    </w:p>
    <w:p w14:paraId="06B339DF" w14:textId="77777777" w:rsidR="003B6EEF" w:rsidRPr="005D5907" w:rsidRDefault="003B6EEF" w:rsidP="005D5907">
      <w:pPr>
        <w:pStyle w:val="CuerpoA"/>
        <w:widowControl w:val="0"/>
        <w:ind w:left="108" w:hanging="108"/>
        <w:jc w:val="both"/>
        <w:rPr>
          <w:rFonts w:asciiTheme="minorHAnsi" w:hAnsiTheme="minorHAnsi"/>
          <w:sz w:val="24"/>
          <w:szCs w:val="24"/>
        </w:rPr>
      </w:pPr>
    </w:p>
    <w:p w14:paraId="24BFDB22" w14:textId="77777777" w:rsidR="003B6EEF" w:rsidRPr="005D5907" w:rsidRDefault="003B6EEF" w:rsidP="005D5907">
      <w:pPr>
        <w:pStyle w:val="CuerpoA"/>
        <w:jc w:val="both"/>
        <w:rPr>
          <w:rFonts w:asciiTheme="minorHAnsi" w:hAnsiTheme="minorHAnsi"/>
          <w:sz w:val="24"/>
          <w:szCs w:val="24"/>
        </w:rPr>
      </w:pPr>
    </w:p>
    <w:sectPr w:rsidR="003B6EEF" w:rsidRPr="005D5907">
      <w:headerReference w:type="default" r:id="rId7"/>
      <w:footerReference w:type="default" r:id="rId8"/>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EDA26" w14:textId="77777777" w:rsidR="00216365" w:rsidRDefault="00216365">
      <w:r>
        <w:separator/>
      </w:r>
    </w:p>
  </w:endnote>
  <w:endnote w:type="continuationSeparator" w:id="0">
    <w:p w14:paraId="749E7E11" w14:textId="77777777" w:rsidR="00216365" w:rsidRDefault="00216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D5480" w14:textId="77777777" w:rsidR="003B6EEF" w:rsidRDefault="003B6EEF">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B18C6" w14:textId="77777777" w:rsidR="00216365" w:rsidRDefault="00216365">
      <w:r>
        <w:separator/>
      </w:r>
    </w:p>
  </w:footnote>
  <w:footnote w:type="continuationSeparator" w:id="0">
    <w:p w14:paraId="4A2BD656" w14:textId="77777777" w:rsidR="00216365" w:rsidRDefault="00216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84C44" w14:textId="77777777" w:rsidR="003B6EEF" w:rsidRDefault="003B6EEF">
    <w:pPr>
      <w:pStyle w:val="Cabeceraypi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739E4"/>
    <w:multiLevelType w:val="hybridMultilevel"/>
    <w:tmpl w:val="2AB4B888"/>
    <w:numStyleLink w:val="Nmero"/>
  </w:abstractNum>
  <w:abstractNum w:abstractNumId="1" w15:restartNumberingAfterBreak="0">
    <w:nsid w:val="35042650"/>
    <w:multiLevelType w:val="hybridMultilevel"/>
    <w:tmpl w:val="2AB4B888"/>
    <w:styleLink w:val="Nmero"/>
    <w:lvl w:ilvl="0" w:tplc="B6BA8318">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A17EE594">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097C334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6220F3B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C924DE6E">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C10A476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1D467C8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47C49EC2">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FDB229D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456364689">
    <w:abstractNumId w:val="1"/>
  </w:num>
  <w:num w:numId="2" w16cid:durableId="2061781603">
    <w:abstractNumId w:val="0"/>
    <w:lvlOverride w:ilvl="0">
      <w:lvl w:ilvl="0" w:tplc="17EAAE42">
        <w:start w:val="1"/>
        <w:numFmt w:val="decimal"/>
        <w:lvlText w:val="%1."/>
        <w:lvlJc w:val="left"/>
        <w:pPr>
          <w:ind w:left="232" w:hanging="232"/>
        </w:pPr>
        <w:rPr>
          <w:rFonts w:hAnsi="Arial Unicode MS"/>
          <w:b/>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EEF"/>
    <w:rsid w:val="00097D29"/>
    <w:rsid w:val="00216365"/>
    <w:rsid w:val="00371EA9"/>
    <w:rsid w:val="003B6EEF"/>
    <w:rsid w:val="005D5907"/>
    <w:rsid w:val="00723332"/>
    <w:rsid w:val="009F71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1AE115"/>
  <w15:docId w15:val="{A70DF092-C2BE-F241-B7F4-10BF51D1B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paragraph" w:customStyle="1" w:styleId="Cabeceraypie">
    <w:name w:val="Cabecera y pie"/>
    <w:pPr>
      <w:tabs>
        <w:tab w:val="right" w:pos="9020"/>
      </w:tabs>
    </w:pPr>
    <w:rPr>
      <w:rFonts w:ascii="Helvetica Neue" w:hAnsi="Helvetica Neue" w:cs="Arial Unicode MS"/>
      <w:color w:val="000000"/>
      <w:sz w:val="24"/>
      <w:szCs w:val="24"/>
    </w:rPr>
  </w:style>
  <w:style w:type="paragraph" w:customStyle="1" w:styleId="CuerpoA">
    <w:name w:val="Cuerpo A"/>
    <w:rPr>
      <w:rFonts w:ascii="Helvetica Neue" w:hAnsi="Helvetica Neue" w:cs="Arial Unicode MS"/>
      <w:color w:val="000000"/>
      <w:sz w:val="22"/>
      <w:szCs w:val="22"/>
      <w:u w:color="000000"/>
      <w:lang w:val="es-ES_tradnl"/>
    </w:rPr>
  </w:style>
  <w:style w:type="character" w:customStyle="1" w:styleId="Ninguno">
    <w:name w:val="Ninguno"/>
    <w:rPr>
      <w:lang w:val="es-ES_tradnl"/>
    </w:rPr>
  </w:style>
  <w:style w:type="numbering" w:customStyle="1" w:styleId="Nmero">
    <w:name w:val="Número"/>
    <w:pPr>
      <w:numPr>
        <w:numId w:val="1"/>
      </w:numPr>
    </w:pPr>
  </w:style>
  <w:style w:type="paragraph" w:customStyle="1" w:styleId="Estilodetabla1">
    <w:name w:val="Estilo de tabla 1"/>
    <w:rPr>
      <w:rFonts w:ascii="Helvetica Neue" w:hAnsi="Helvetica Neue" w:cs="Arial Unicode MS"/>
      <w:b/>
      <w:bCs/>
      <w:color w:val="000000"/>
      <w:u w:color="000000"/>
      <w:lang w:val="pt-PT"/>
    </w:rPr>
  </w:style>
  <w:style w:type="paragraph" w:customStyle="1" w:styleId="Estilodetabla2">
    <w:name w:val="Estilo de tabla 2"/>
    <w:rPr>
      <w:rFonts w:ascii="Helvetica Neue" w:hAnsi="Helvetica Neue" w:cs="Arial Unicode MS"/>
      <w:color w:val="000000"/>
      <w:u w:color="000000"/>
      <w:lang w:val="fr-FR"/>
    </w:rPr>
  </w:style>
  <w:style w:type="paragraph" w:customStyle="1" w:styleId="CuerpoB">
    <w:name w:val="Cuerpo B"/>
    <w:rPr>
      <w:rFonts w:cs="Arial Unicode MS"/>
      <w:color w:val="000000"/>
      <w:sz w:val="24"/>
      <w:szCs w:val="24"/>
      <w:u w:color="000000"/>
    </w:rPr>
  </w:style>
  <w:style w:type="character" w:customStyle="1" w:styleId="NingunoA">
    <w:name w:val="Ninguno A"/>
    <w:basedOn w:val="Ninguno"/>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1397</Words>
  <Characters>7684</Characters>
  <Application>Microsoft Office Word</Application>
  <DocSecurity>0</DocSecurity>
  <Lines>64</Lines>
  <Paragraphs>18</Paragraphs>
  <ScaleCrop>false</ScaleCrop>
  <Company/>
  <LinksUpToDate>false</LinksUpToDate>
  <CharactersWithSpaces>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Yliana Abimorad</cp:lastModifiedBy>
  <cp:revision>2</cp:revision>
  <dcterms:created xsi:type="dcterms:W3CDTF">2023-10-23T13:23:00Z</dcterms:created>
  <dcterms:modified xsi:type="dcterms:W3CDTF">2023-10-23T13:23:00Z</dcterms:modified>
</cp:coreProperties>
</file>