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ayout w:type="fixed"/>
        <w:tblLook w:val="04A0" w:firstRow="1" w:lastRow="0" w:firstColumn="1" w:lastColumn="0" w:noHBand="0" w:noVBand="1"/>
      </w:tblPr>
      <w:tblGrid>
        <w:gridCol w:w="4541"/>
        <w:gridCol w:w="4315"/>
      </w:tblGrid>
      <w:tr w:rsidR="00C23A9F" w:rsidRPr="004922D7" w14:paraId="157CC491" w14:textId="77777777" w:rsidTr="00B027EC">
        <w:tc>
          <w:tcPr>
            <w:tcW w:w="4541" w:type="dxa"/>
          </w:tcPr>
          <w:p w14:paraId="687947E4" w14:textId="5221EF6F" w:rsidR="00C23A9F" w:rsidRPr="004922D7" w:rsidRDefault="00C23A9F">
            <w:pPr>
              <w:rPr>
                <w:rFonts w:ascii="Times New Roman" w:hAnsi="Times New Roman" w:cs="Times New Roman"/>
              </w:rPr>
            </w:pPr>
            <w:bookmarkStart w:id="0" w:name="_GoBack"/>
            <w:bookmarkEnd w:id="0"/>
            <w:r w:rsidRPr="004922D7">
              <w:rPr>
                <w:rFonts w:ascii="Times New Roman" w:hAnsi="Times New Roman" w:cs="Times New Roman"/>
                <w:noProof/>
                <w:lang w:val="en-GB" w:eastAsia="en-GB"/>
              </w:rPr>
              <w:drawing>
                <wp:anchor distT="0" distB="0" distL="114300" distR="114300" simplePos="0" relativeHeight="251658240" behindDoc="0" locked="0" layoutInCell="1" allowOverlap="1" wp14:anchorId="4BE912A6" wp14:editId="1C6B9B16">
                  <wp:simplePos x="0" y="0"/>
                  <wp:positionH relativeFrom="margin">
                    <wp:posOffset>843222</wp:posOffset>
                  </wp:positionH>
                  <wp:positionV relativeFrom="margin">
                    <wp:posOffset>0</wp:posOffset>
                  </wp:positionV>
                  <wp:extent cx="898525" cy="887095"/>
                  <wp:effectExtent l="0" t="0" r="3175" b="1905"/>
                  <wp:wrapTight wrapText="bothSides">
                    <wp:wrapPolygon edited="0">
                      <wp:start x="0" y="0"/>
                      <wp:lineTo x="0" y="21337"/>
                      <wp:lineTo x="21371" y="21337"/>
                      <wp:lineTo x="2137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JJA_english_med.jpg"/>
                          <pic:cNvPicPr/>
                        </pic:nvPicPr>
                        <pic:blipFill>
                          <a:blip r:embed="rId8">
                            <a:extLst>
                              <a:ext uri="{28A0092B-C50C-407E-A947-70E740481C1C}">
                                <a14:useLocalDpi xmlns:a14="http://schemas.microsoft.com/office/drawing/2010/main" val="0"/>
                              </a:ext>
                            </a:extLst>
                          </a:blip>
                          <a:stretch>
                            <a:fillRect/>
                          </a:stretch>
                        </pic:blipFill>
                        <pic:spPr>
                          <a:xfrm>
                            <a:off x="0" y="0"/>
                            <a:ext cx="898525" cy="887095"/>
                          </a:xfrm>
                          <a:prstGeom prst="rect">
                            <a:avLst/>
                          </a:prstGeom>
                        </pic:spPr>
                      </pic:pic>
                    </a:graphicData>
                  </a:graphic>
                </wp:anchor>
              </w:drawing>
            </w:r>
          </w:p>
          <w:p w14:paraId="0FC7DE0F" w14:textId="77777777" w:rsidR="00C23A9F" w:rsidRPr="004922D7" w:rsidRDefault="00C23A9F">
            <w:pPr>
              <w:rPr>
                <w:rFonts w:ascii="Times New Roman" w:hAnsi="Times New Roman" w:cs="Times New Roman"/>
              </w:rPr>
            </w:pPr>
          </w:p>
          <w:p w14:paraId="019E8BF7" w14:textId="77777777" w:rsidR="00C23A9F" w:rsidRPr="004922D7" w:rsidRDefault="00C23A9F">
            <w:pPr>
              <w:rPr>
                <w:rFonts w:ascii="Times New Roman" w:hAnsi="Times New Roman" w:cs="Times New Roman"/>
              </w:rPr>
            </w:pPr>
          </w:p>
        </w:tc>
        <w:tc>
          <w:tcPr>
            <w:tcW w:w="4315" w:type="dxa"/>
          </w:tcPr>
          <w:p w14:paraId="3DC43553" w14:textId="77777777" w:rsidR="007470D3" w:rsidRPr="004922D7" w:rsidRDefault="007470D3" w:rsidP="007470D3">
            <w:pPr>
              <w:rPr>
                <w:rFonts w:ascii="Times New Roman" w:hAnsi="Times New Roman" w:cs="Times New Roman"/>
                <w:b/>
              </w:rPr>
            </w:pPr>
            <w:r>
              <w:rPr>
                <w:rFonts w:ascii="Times New Roman" w:hAnsi="Times New Roman" w:cs="Times New Roman"/>
                <w:b/>
              </w:rPr>
              <w:t>CRC September</w:t>
            </w:r>
            <w:r w:rsidRPr="004922D7">
              <w:rPr>
                <w:rFonts w:ascii="Times New Roman" w:hAnsi="Times New Roman" w:cs="Times New Roman"/>
                <w:b/>
              </w:rPr>
              <w:t xml:space="preserve"> Sessional Working Group (8</w:t>
            </w:r>
            <w:r>
              <w:rPr>
                <w:rFonts w:ascii="Times New Roman" w:hAnsi="Times New Roman" w:cs="Times New Roman"/>
                <w:b/>
              </w:rPr>
              <w:t>2</w:t>
            </w:r>
            <w:r w:rsidRPr="005F749C">
              <w:rPr>
                <w:rFonts w:ascii="Times New Roman" w:hAnsi="Times New Roman" w:cs="Times New Roman"/>
                <w:b/>
                <w:vertAlign w:val="superscript"/>
              </w:rPr>
              <w:t>nd</w:t>
            </w:r>
            <w:r>
              <w:rPr>
                <w:rFonts w:ascii="Times New Roman" w:hAnsi="Times New Roman" w:cs="Times New Roman"/>
                <w:b/>
              </w:rPr>
              <w:t xml:space="preserve"> </w:t>
            </w:r>
            <w:r w:rsidRPr="004922D7">
              <w:rPr>
                <w:rFonts w:ascii="Times New Roman" w:hAnsi="Times New Roman" w:cs="Times New Roman"/>
                <w:b/>
              </w:rPr>
              <w:t>Session)</w:t>
            </w:r>
          </w:p>
          <w:p w14:paraId="667F08DF" w14:textId="478409D0" w:rsidR="00C23A9F" w:rsidRPr="004922D7" w:rsidRDefault="00C23A9F">
            <w:pPr>
              <w:rPr>
                <w:rFonts w:ascii="Times New Roman" w:hAnsi="Times New Roman" w:cs="Times New Roman"/>
              </w:rPr>
            </w:pPr>
            <w:r w:rsidRPr="004922D7">
              <w:rPr>
                <w:rFonts w:ascii="Times New Roman" w:hAnsi="Times New Roman" w:cs="Times New Roman"/>
              </w:rPr>
              <w:t>Country name:</w:t>
            </w:r>
            <w:r w:rsidR="009F0A61" w:rsidRPr="004922D7">
              <w:rPr>
                <w:rFonts w:ascii="Times New Roman" w:hAnsi="Times New Roman" w:cs="Times New Roman"/>
              </w:rPr>
              <w:t xml:space="preserve"> </w:t>
            </w:r>
            <w:r w:rsidR="00E5591E">
              <w:rPr>
                <w:rFonts w:ascii="Times New Roman" w:hAnsi="Times New Roman" w:cs="Times New Roman"/>
              </w:rPr>
              <w:t>Bosnia and Herzegovina</w:t>
            </w:r>
          </w:p>
          <w:p w14:paraId="3284389E" w14:textId="77777777" w:rsidR="00C23A9F" w:rsidRPr="004922D7" w:rsidRDefault="00C23A9F">
            <w:pPr>
              <w:rPr>
                <w:rFonts w:ascii="Times New Roman" w:hAnsi="Times New Roman" w:cs="Times New Roman"/>
              </w:rPr>
            </w:pPr>
          </w:p>
        </w:tc>
      </w:tr>
      <w:tr w:rsidR="00187935" w:rsidRPr="004922D7" w14:paraId="6FF3C477" w14:textId="77777777" w:rsidTr="0095046B">
        <w:tc>
          <w:tcPr>
            <w:tcW w:w="8856" w:type="dxa"/>
            <w:gridSpan w:val="2"/>
          </w:tcPr>
          <w:p w14:paraId="4D2E14A6" w14:textId="77777777" w:rsidR="00CD0839" w:rsidRPr="004922D7" w:rsidRDefault="00CD0839" w:rsidP="00CD0839">
            <w:pPr>
              <w:jc w:val="center"/>
              <w:rPr>
                <w:rFonts w:ascii="Times New Roman" w:eastAsia="Times New Roman" w:hAnsi="Times New Roman" w:cs="Times New Roman"/>
                <w:b/>
                <w:color w:val="222222"/>
                <w:shd w:val="clear" w:color="auto" w:fill="FFFFFF"/>
              </w:rPr>
            </w:pPr>
            <w:r w:rsidRPr="004922D7">
              <w:rPr>
                <w:rFonts w:ascii="Times New Roman" w:eastAsia="Times New Roman" w:hAnsi="Times New Roman" w:cs="Times New Roman"/>
                <w:b/>
                <w:color w:val="222222"/>
                <w:shd w:val="clear" w:color="auto" w:fill="FFFFFF"/>
              </w:rPr>
              <w:t>Appropriate pretrial detention times for children</w:t>
            </w:r>
          </w:p>
          <w:p w14:paraId="7BDAF60C" w14:textId="77777777" w:rsidR="00CD0839" w:rsidRPr="004922D7" w:rsidRDefault="00CD0839" w:rsidP="00CD0839">
            <w:pPr>
              <w:jc w:val="both"/>
              <w:rPr>
                <w:rFonts w:ascii="Times New Roman" w:eastAsia="Times New Roman" w:hAnsi="Times New Roman" w:cs="Times New Roman"/>
                <w:color w:val="222222"/>
                <w:shd w:val="clear" w:color="auto" w:fill="FFFFFF"/>
              </w:rPr>
            </w:pPr>
          </w:p>
          <w:p w14:paraId="1A1E3115" w14:textId="77777777" w:rsidR="00CD0839" w:rsidRPr="004922D7" w:rsidRDefault="00CD0839" w:rsidP="00CD0839">
            <w:pPr>
              <w:jc w:val="both"/>
              <w:rPr>
                <w:rFonts w:ascii="Times New Roman" w:eastAsia="Times New Roman" w:hAnsi="Times New Roman" w:cs="Times New Roman"/>
                <w:color w:val="222222"/>
                <w:shd w:val="clear" w:color="auto" w:fill="FFFFFF"/>
              </w:rPr>
            </w:pPr>
            <w:r w:rsidRPr="004922D7">
              <w:rPr>
                <w:rFonts w:ascii="Times New Roman" w:eastAsia="Times New Roman" w:hAnsi="Times New Roman" w:cs="Times New Roman"/>
                <w:color w:val="222222"/>
                <w:shd w:val="clear" w:color="auto" w:fill="FFFFFF"/>
              </w:rPr>
              <w:t>Cluster of rights:</w:t>
            </w:r>
          </w:p>
          <w:p w14:paraId="134DBCE3" w14:textId="77777777" w:rsidR="00CD0839" w:rsidRPr="004922D7" w:rsidRDefault="00CD0839" w:rsidP="00CD0839">
            <w:pPr>
              <w:pStyle w:val="NormalWeb"/>
              <w:spacing w:before="0" w:beforeAutospacing="0" w:after="0" w:afterAutospacing="0"/>
              <w:jc w:val="both"/>
              <w:rPr>
                <w:color w:val="222222"/>
                <w:shd w:val="clear" w:color="auto" w:fill="FFFFFF"/>
              </w:rPr>
            </w:pPr>
          </w:p>
          <w:p w14:paraId="2854042B" w14:textId="77777777" w:rsidR="00CD0839" w:rsidRPr="004922D7" w:rsidRDefault="00CD0839" w:rsidP="00CD0839">
            <w:pPr>
              <w:pStyle w:val="NormalWeb"/>
              <w:spacing w:before="0" w:beforeAutospacing="0" w:after="0" w:afterAutospacing="0"/>
              <w:jc w:val="both"/>
              <w:rPr>
                <w:color w:val="222222"/>
                <w:shd w:val="clear" w:color="auto" w:fill="FFFFFF"/>
              </w:rPr>
            </w:pPr>
            <w:r w:rsidRPr="004922D7">
              <w:rPr>
                <w:color w:val="222222"/>
                <w:shd w:val="clear" w:color="auto" w:fill="FFFFFF"/>
              </w:rPr>
              <w:t>Right to lawful deprivation of liberty</w:t>
            </w:r>
          </w:p>
          <w:p w14:paraId="3A30A5D6" w14:textId="77777777" w:rsidR="00CD0839" w:rsidRPr="004922D7" w:rsidRDefault="00CD0839" w:rsidP="00CD0839">
            <w:pPr>
              <w:pStyle w:val="NormalWeb"/>
              <w:spacing w:before="0" w:beforeAutospacing="0" w:after="0" w:afterAutospacing="0"/>
              <w:jc w:val="both"/>
              <w:rPr>
                <w:color w:val="222222"/>
                <w:shd w:val="clear" w:color="auto" w:fill="FFFFFF"/>
              </w:rPr>
            </w:pPr>
            <w:r w:rsidRPr="004922D7">
              <w:rPr>
                <w:color w:val="222222"/>
                <w:shd w:val="clear" w:color="auto" w:fill="FFFFFF"/>
              </w:rPr>
              <w:t>Right to speedy trial and brevity of pretrial detention</w:t>
            </w:r>
          </w:p>
          <w:p w14:paraId="7756CFC4" w14:textId="454EBC32" w:rsidR="00CD0839" w:rsidRPr="004922D7" w:rsidRDefault="00CD0839" w:rsidP="00CD0839">
            <w:pPr>
              <w:pStyle w:val="NormalWeb"/>
              <w:spacing w:before="0" w:beforeAutospacing="0" w:after="0" w:afterAutospacing="0"/>
              <w:jc w:val="both"/>
              <w:rPr>
                <w:color w:val="222222"/>
                <w:shd w:val="clear" w:color="auto" w:fill="FFFFFF"/>
              </w:rPr>
            </w:pPr>
            <w:r w:rsidRPr="004922D7">
              <w:rPr>
                <w:color w:val="222222"/>
                <w:shd w:val="clear" w:color="auto" w:fill="FFFFFF"/>
              </w:rPr>
              <w:t>Convention on the Rights of the Child Article 37(b</w:t>
            </w:r>
            <w:r w:rsidR="00354FA3">
              <w:rPr>
                <w:color w:val="222222"/>
                <w:shd w:val="clear" w:color="auto" w:fill="FFFFFF"/>
              </w:rPr>
              <w:t>)</w:t>
            </w:r>
            <w:r w:rsidRPr="004922D7">
              <w:rPr>
                <w:color w:val="222222"/>
                <w:shd w:val="clear" w:color="auto" w:fill="FFFFFF"/>
              </w:rPr>
              <w:t xml:space="preserve"> </w:t>
            </w:r>
          </w:p>
          <w:p w14:paraId="586D87EA" w14:textId="77777777" w:rsidR="00CD0839" w:rsidRPr="004922D7" w:rsidRDefault="00CD0839" w:rsidP="00CD0839">
            <w:pPr>
              <w:pStyle w:val="NormalWeb"/>
              <w:spacing w:before="0" w:beforeAutospacing="0" w:after="0" w:afterAutospacing="0"/>
              <w:jc w:val="both"/>
              <w:rPr>
                <w:color w:val="222222"/>
                <w:shd w:val="clear" w:color="auto" w:fill="FFFFFF"/>
              </w:rPr>
            </w:pPr>
            <w:r w:rsidRPr="004922D7">
              <w:rPr>
                <w:color w:val="222222"/>
                <w:shd w:val="clear" w:color="auto" w:fill="FFFFFF"/>
              </w:rPr>
              <w:t>Convention Against Torture Article 2</w:t>
            </w:r>
          </w:p>
          <w:p w14:paraId="7D0403A1" w14:textId="77777777" w:rsidR="00CD0839" w:rsidRPr="004922D7" w:rsidRDefault="00CD0839" w:rsidP="00CD0839">
            <w:pPr>
              <w:jc w:val="both"/>
              <w:rPr>
                <w:rFonts w:ascii="Times New Roman" w:eastAsia="Times New Roman" w:hAnsi="Times New Roman" w:cs="Times New Roman"/>
                <w:color w:val="222222"/>
                <w:shd w:val="clear" w:color="auto" w:fill="FFFFFF"/>
              </w:rPr>
            </w:pPr>
          </w:p>
          <w:p w14:paraId="1E0C3FB6" w14:textId="77777777" w:rsidR="00CD0839" w:rsidRPr="004922D7" w:rsidRDefault="00CD0839" w:rsidP="00CD0839">
            <w:pPr>
              <w:jc w:val="both"/>
              <w:rPr>
                <w:rFonts w:ascii="Times New Roman" w:eastAsia="Times New Roman" w:hAnsi="Times New Roman" w:cs="Times New Roman"/>
                <w:color w:val="222222"/>
                <w:shd w:val="clear" w:color="auto" w:fill="FFFFFF"/>
              </w:rPr>
            </w:pPr>
            <w:r w:rsidRPr="004922D7">
              <w:rPr>
                <w:rFonts w:ascii="Times New Roman" w:eastAsia="Times New Roman" w:hAnsi="Times New Roman" w:cs="Times New Roman"/>
                <w:color w:val="222222"/>
                <w:shd w:val="clear" w:color="auto" w:fill="FFFFFF"/>
              </w:rPr>
              <w:t>Areas of concern:</w:t>
            </w:r>
          </w:p>
          <w:p w14:paraId="56F4E549" w14:textId="77777777" w:rsidR="00CD0839" w:rsidRPr="004922D7" w:rsidRDefault="00CD0839" w:rsidP="00CD0839">
            <w:pPr>
              <w:jc w:val="both"/>
              <w:rPr>
                <w:rFonts w:ascii="Times New Roman" w:eastAsia="Times New Roman" w:hAnsi="Times New Roman" w:cs="Times New Roman"/>
                <w:color w:val="222222"/>
                <w:shd w:val="clear" w:color="auto" w:fill="FFFFFF"/>
              </w:rPr>
            </w:pPr>
          </w:p>
          <w:p w14:paraId="0C0CF5E4" w14:textId="77777777" w:rsidR="00CD0839" w:rsidRPr="004922D7" w:rsidRDefault="00CD0839" w:rsidP="00CD0839">
            <w:pPr>
              <w:jc w:val="both"/>
              <w:rPr>
                <w:rFonts w:ascii="Times New Roman" w:hAnsi="Times New Roman" w:cs="Times New Roman"/>
              </w:rPr>
            </w:pPr>
            <w:r w:rsidRPr="004922D7">
              <w:rPr>
                <w:rFonts w:ascii="Times New Roman" w:hAnsi="Times New Roman" w:cs="Times New Roman"/>
              </w:rPr>
              <w:t>International law strictly limits the circumstances in which children can be placed in detention while awaiting trial or while under investigation pre-charge. Pretrial detention should only be used in exceptional circumstances, where it is necessary to ensure the child’s appearance at the court proceedings, or where the child is an immediate danger to himself/herself or others.</w:t>
            </w:r>
            <w:r w:rsidRPr="004922D7">
              <w:rPr>
                <w:rFonts w:ascii="Times New Roman" w:hAnsi="Times New Roman" w:cs="Times New Roman"/>
                <w:vertAlign w:val="superscript"/>
              </w:rPr>
              <w:footnoteReference w:id="1"/>
            </w:r>
            <w:r w:rsidRPr="004922D7">
              <w:rPr>
                <w:rFonts w:ascii="Times New Roman" w:hAnsi="Times New Roman" w:cs="Times New Roman"/>
              </w:rPr>
              <w:t xml:space="preserve"> Pretrial detention is only permitted as a measure of last resort and for “</w:t>
            </w:r>
            <w:r w:rsidRPr="004922D7">
              <w:rPr>
                <w:rFonts w:ascii="Times New Roman" w:hAnsi="Times New Roman" w:cs="Times New Roman"/>
                <w:i/>
              </w:rPr>
              <w:t>the shortest appropriate period of time</w:t>
            </w:r>
            <w:r w:rsidRPr="004922D7">
              <w:rPr>
                <w:rFonts w:ascii="Times New Roman" w:hAnsi="Times New Roman" w:cs="Times New Roman"/>
              </w:rPr>
              <w:t>.”</w:t>
            </w:r>
            <w:bookmarkStart w:id="1" w:name="_Ref509599856"/>
            <w:r w:rsidRPr="004922D7">
              <w:rPr>
                <w:rFonts w:ascii="Times New Roman" w:hAnsi="Times New Roman" w:cs="Times New Roman"/>
                <w:vertAlign w:val="superscript"/>
              </w:rPr>
              <w:footnoteReference w:id="2"/>
            </w:r>
            <w:bookmarkEnd w:id="1"/>
            <w:r w:rsidRPr="004922D7">
              <w:rPr>
                <w:rFonts w:ascii="Times New Roman" w:hAnsi="Times New Roman" w:cs="Times New Roman"/>
              </w:rPr>
              <w:t> However, there is no clarity around what is meant by an “</w:t>
            </w:r>
            <w:r w:rsidRPr="004922D7">
              <w:rPr>
                <w:rFonts w:ascii="Times New Roman" w:hAnsi="Times New Roman" w:cs="Times New Roman"/>
                <w:i/>
              </w:rPr>
              <w:t>appropriate period of time</w:t>
            </w:r>
            <w:r w:rsidRPr="004922D7">
              <w:rPr>
                <w:rFonts w:ascii="Times New Roman" w:hAnsi="Times New Roman" w:cs="Times New Roman"/>
              </w:rPr>
              <w:t>.” The Committee on the Rights of the Child, in General Comment 10, recommended that children who are detained should be formally charged within 30 days and once charged, that a final decision should be made by the court within six months.</w:t>
            </w:r>
            <w:bookmarkStart w:id="2" w:name="_Ref511739094"/>
            <w:r w:rsidRPr="004922D7">
              <w:rPr>
                <w:rStyle w:val="FootnoteReference"/>
                <w:rFonts w:ascii="Times New Roman" w:hAnsi="Times New Roman" w:cs="Times New Roman"/>
              </w:rPr>
              <w:footnoteReference w:id="3"/>
            </w:r>
            <w:bookmarkEnd w:id="2"/>
            <w:r w:rsidRPr="004922D7">
              <w:rPr>
                <w:rFonts w:ascii="Times New Roman" w:hAnsi="Times New Roman" w:cs="Times New Roman"/>
              </w:rPr>
              <w:t xml:space="preserve"> The Committee additionally recommended that any such detention should be reviewed regularly by a competent body</w:t>
            </w:r>
            <w:r w:rsidRPr="004922D7">
              <w:rPr>
                <w:rStyle w:val="FootnoteReference"/>
                <w:rFonts w:ascii="Times New Roman" w:hAnsi="Times New Roman" w:cs="Times New Roman"/>
              </w:rPr>
              <w:footnoteReference w:id="4"/>
            </w:r>
            <w:r w:rsidRPr="004922D7">
              <w:rPr>
                <w:rFonts w:ascii="Times New Roman" w:hAnsi="Times New Roman" w:cs="Times New Roman"/>
              </w:rPr>
              <w:t xml:space="preserve"> These recommendations can and should be strengthened.</w:t>
            </w:r>
          </w:p>
          <w:p w14:paraId="6841F388" w14:textId="77777777" w:rsidR="00CD0839" w:rsidRPr="004922D7" w:rsidRDefault="00CD0839" w:rsidP="00CD0839">
            <w:pPr>
              <w:jc w:val="both"/>
              <w:rPr>
                <w:rFonts w:ascii="Times New Roman" w:hAnsi="Times New Roman" w:cs="Times New Roman"/>
              </w:rPr>
            </w:pPr>
          </w:p>
          <w:p w14:paraId="4528A217" w14:textId="77777777" w:rsidR="00CD0839" w:rsidRPr="004922D7" w:rsidRDefault="00CD0839" w:rsidP="00CD0839">
            <w:pPr>
              <w:jc w:val="both"/>
              <w:rPr>
                <w:rFonts w:ascii="Times New Roman" w:hAnsi="Times New Roman" w:cs="Times New Roman"/>
              </w:rPr>
            </w:pPr>
            <w:r w:rsidRPr="004922D7">
              <w:rPr>
                <w:rFonts w:ascii="Times New Roman" w:hAnsi="Times New Roman" w:cs="Times New Roman"/>
              </w:rPr>
              <w:t>Defendants in pretrial detention are more likely to be abused, mistreated and tortured,</w:t>
            </w:r>
            <w:bookmarkStart w:id="3" w:name="_Ref509596657"/>
            <w:r w:rsidRPr="004922D7">
              <w:rPr>
                <w:rFonts w:ascii="Times New Roman" w:hAnsi="Times New Roman" w:cs="Times New Roman"/>
                <w:vertAlign w:val="superscript"/>
              </w:rPr>
              <w:footnoteReference w:id="5"/>
            </w:r>
            <w:bookmarkEnd w:id="3"/>
            <w:r w:rsidRPr="004922D7">
              <w:rPr>
                <w:rFonts w:ascii="Times New Roman" w:hAnsi="Times New Roman" w:cs="Times New Roman"/>
              </w:rPr>
              <w:t xml:space="preserve"> and children are particularly vulnerable. In many countries, the lack of adequate facilities, food and sanitation, insufficient access to education and training, and compromised contact with family and friends makes even short periods of time in pretrial detention traumatic for children. Detention has been shown to significantly increase the risk of depression, suicide, </w:t>
            </w:r>
            <w:r w:rsidRPr="004922D7">
              <w:rPr>
                <w:rFonts w:ascii="Times New Roman" w:hAnsi="Times New Roman" w:cs="Times New Roman"/>
              </w:rPr>
              <w:lastRenderedPageBreak/>
              <w:t>school drop-out, and drug use among children.</w:t>
            </w:r>
            <w:bookmarkStart w:id="4" w:name="_Ref509598336"/>
            <w:r w:rsidRPr="004922D7">
              <w:rPr>
                <w:rFonts w:ascii="Times New Roman" w:hAnsi="Times New Roman" w:cs="Times New Roman"/>
                <w:vertAlign w:val="superscript"/>
              </w:rPr>
              <w:footnoteReference w:id="6"/>
            </w:r>
            <w:bookmarkEnd w:id="4"/>
            <w:r w:rsidRPr="004922D7">
              <w:rPr>
                <w:rFonts w:ascii="Times New Roman" w:hAnsi="Times New Roman" w:cs="Times New Roman"/>
              </w:rPr>
              <w:t xml:space="preserve"> Unfortunately, in many countries the majority of children in detention are awaiting trial and may spend months or years behind bars before having their cases resolved. Even in jurisdictions that have successfully implemented alternatives to detention, children still spend months or years in pretrial detention, often longer than any sentence they might receive on conviction. It is reportedly common for children to receive conditional release or diversion after months of pretrial detention</w:t>
            </w:r>
            <w:r w:rsidRPr="004922D7">
              <w:rPr>
                <w:rFonts w:ascii="Times New Roman" w:hAnsi="Times New Roman" w:cs="Times New Roman"/>
                <w:vertAlign w:val="superscript"/>
              </w:rPr>
              <w:footnoteReference w:id="7"/>
            </w:r>
            <w:r w:rsidRPr="004922D7">
              <w:rPr>
                <w:rFonts w:ascii="Times New Roman" w:hAnsi="Times New Roman" w:cs="Times New Roman"/>
              </w:rPr>
              <w:t>. This means that the most significant time spent deprived of liberty is while awaiting trial, when children are ostensibly presumed innocent.</w:t>
            </w:r>
          </w:p>
          <w:p w14:paraId="42DF2598" w14:textId="77777777" w:rsidR="00CD0839" w:rsidRPr="004922D7" w:rsidRDefault="00CD0839" w:rsidP="00CD0839">
            <w:pPr>
              <w:jc w:val="both"/>
              <w:rPr>
                <w:rFonts w:ascii="Times New Roman" w:hAnsi="Times New Roman" w:cs="Times New Roman"/>
              </w:rPr>
            </w:pPr>
          </w:p>
          <w:p w14:paraId="05B21EE0" w14:textId="77777777" w:rsidR="00CD0839" w:rsidRPr="004922D7" w:rsidRDefault="00CD0839" w:rsidP="00CD0839">
            <w:pPr>
              <w:jc w:val="both"/>
              <w:rPr>
                <w:rFonts w:ascii="Times New Roman" w:hAnsi="Times New Roman" w:cs="Times New Roman"/>
              </w:rPr>
            </w:pPr>
            <w:r w:rsidRPr="004922D7">
              <w:rPr>
                <w:rFonts w:ascii="Times New Roman" w:hAnsi="Times New Roman" w:cs="Times New Roman"/>
              </w:rPr>
              <w:t xml:space="preserve">The 2018 report “Children in Pretrial Detention: Promoting Stronger International Time Limits” is the first study of how long countries allow children to be detained awaiting trial. Looking at the legal limits in 118 countries, the report found that 26% of countries have no time limit and 40% of countries allow exceptions to their time limit, risking indefinite detention. However, the length of time that children actually spend in detention awaiting trial is data that countries have not be collecting or reporting. </w:t>
            </w:r>
          </w:p>
          <w:p w14:paraId="1D572502" w14:textId="77777777" w:rsidR="00CD0839" w:rsidRPr="004922D7" w:rsidRDefault="00CD0839" w:rsidP="00CD0839">
            <w:pPr>
              <w:jc w:val="both"/>
              <w:rPr>
                <w:rFonts w:ascii="Times New Roman" w:hAnsi="Times New Roman" w:cs="Times New Roman"/>
              </w:rPr>
            </w:pPr>
          </w:p>
          <w:p w14:paraId="333388F5" w14:textId="77777777" w:rsidR="00CD0839" w:rsidRPr="004922D7" w:rsidRDefault="00CD0839" w:rsidP="00CD0839">
            <w:pPr>
              <w:jc w:val="both"/>
              <w:rPr>
                <w:rFonts w:ascii="Times New Roman" w:hAnsi="Times New Roman" w:cs="Times New Roman"/>
              </w:rPr>
            </w:pPr>
          </w:p>
          <w:p w14:paraId="5B19E091" w14:textId="77777777" w:rsidR="00CD0839" w:rsidRPr="004922D7" w:rsidRDefault="00CD0839" w:rsidP="00CD0839">
            <w:pPr>
              <w:jc w:val="both"/>
              <w:rPr>
                <w:rFonts w:ascii="Times New Roman" w:hAnsi="Times New Roman" w:cs="Times New Roman"/>
              </w:rPr>
            </w:pPr>
            <w:r w:rsidRPr="004922D7">
              <w:rPr>
                <w:rFonts w:ascii="Times New Roman" w:hAnsi="Times New Roman" w:cs="Times New Roman"/>
              </w:rPr>
              <w:t xml:space="preserve">The </w:t>
            </w:r>
            <w:r w:rsidRPr="004922D7">
              <w:rPr>
                <w:rFonts w:ascii="Times New Roman" w:hAnsi="Times New Roman" w:cs="Times New Roman"/>
                <w:i/>
              </w:rPr>
              <w:t>Children in Pretrial Detention: Promoting Stronger International Time Limits</w:t>
            </w:r>
            <w:r w:rsidRPr="004922D7">
              <w:rPr>
                <w:rFonts w:ascii="Times New Roman" w:hAnsi="Times New Roman" w:cs="Times New Roman"/>
              </w:rPr>
              <w:t xml:space="preserve"> report serves as a baseline for the Committee to expand on country practices regarding times of pretrial detention of children. </w:t>
            </w:r>
          </w:p>
          <w:p w14:paraId="0AC8F20C" w14:textId="77777777" w:rsidR="00CD0839" w:rsidRPr="004922D7" w:rsidRDefault="00CD0839" w:rsidP="00CD0839">
            <w:pPr>
              <w:jc w:val="both"/>
              <w:rPr>
                <w:rFonts w:ascii="Times New Roman" w:eastAsia="Times New Roman" w:hAnsi="Times New Roman" w:cs="Times New Roman"/>
                <w:color w:val="222222"/>
                <w:shd w:val="clear" w:color="auto" w:fill="FFFFFF"/>
              </w:rPr>
            </w:pPr>
            <w:r w:rsidRPr="004922D7">
              <w:rPr>
                <w:rFonts w:ascii="Times New Roman" w:hAnsi="Times New Roman" w:cs="Times New Roman"/>
              </w:rPr>
              <w:br w:type="page"/>
            </w:r>
            <w:bookmarkStart w:id="5" w:name="_4g83oi30h3up" w:colFirst="0" w:colLast="0"/>
            <w:bookmarkEnd w:id="5"/>
          </w:p>
          <w:p w14:paraId="59FA61E4" w14:textId="77777777" w:rsidR="00CD0839" w:rsidRPr="004922D7" w:rsidRDefault="00CD0839" w:rsidP="00CD0839">
            <w:pPr>
              <w:jc w:val="both"/>
              <w:rPr>
                <w:rFonts w:ascii="Times New Roman" w:eastAsia="Times New Roman" w:hAnsi="Times New Roman" w:cs="Times New Roman"/>
                <w:color w:val="222222"/>
                <w:shd w:val="clear" w:color="auto" w:fill="FFFFFF"/>
              </w:rPr>
            </w:pPr>
            <w:r w:rsidRPr="004922D7">
              <w:rPr>
                <w:rFonts w:ascii="Times New Roman" w:eastAsia="Times New Roman" w:hAnsi="Times New Roman" w:cs="Times New Roman"/>
                <w:color w:val="222222"/>
                <w:shd w:val="clear" w:color="auto" w:fill="FFFFFF"/>
              </w:rPr>
              <w:t>Methodology:</w:t>
            </w:r>
          </w:p>
          <w:p w14:paraId="758A561F" w14:textId="77777777" w:rsidR="00CD0839" w:rsidRPr="004922D7" w:rsidRDefault="00CD0839" w:rsidP="00CD0839">
            <w:pPr>
              <w:jc w:val="both"/>
              <w:rPr>
                <w:rFonts w:ascii="Times New Roman" w:eastAsia="Times New Roman" w:hAnsi="Times New Roman" w:cs="Times New Roman"/>
                <w:color w:val="222222"/>
                <w:shd w:val="clear" w:color="auto" w:fill="FFFFFF"/>
              </w:rPr>
            </w:pPr>
          </w:p>
          <w:p w14:paraId="5716CB7C" w14:textId="77777777" w:rsidR="00CD0839" w:rsidRPr="004922D7" w:rsidRDefault="00CD0839" w:rsidP="00CD0839">
            <w:pPr>
              <w:jc w:val="both"/>
              <w:rPr>
                <w:rFonts w:ascii="Times New Roman" w:eastAsia="Times New Roman" w:hAnsi="Times New Roman" w:cs="Times New Roman"/>
                <w:color w:val="222222"/>
                <w:shd w:val="clear" w:color="auto" w:fill="FFFFFF"/>
              </w:rPr>
            </w:pPr>
            <w:r w:rsidRPr="004922D7">
              <w:rPr>
                <w:rFonts w:ascii="Times New Roman" w:eastAsia="Times New Roman" w:hAnsi="Times New Roman" w:cs="Times New Roman"/>
                <w:color w:val="222222"/>
                <w:shd w:val="clear" w:color="auto" w:fill="FFFFFF"/>
              </w:rPr>
              <w:t xml:space="preserve">This alternative report is based on the </w:t>
            </w:r>
            <w:r w:rsidRPr="004922D7">
              <w:rPr>
                <w:rFonts w:ascii="Times New Roman" w:eastAsia="Times New Roman" w:hAnsi="Times New Roman" w:cs="Times New Roman"/>
                <w:i/>
                <w:color w:val="222222"/>
                <w:shd w:val="clear" w:color="auto" w:fill="FFFFFF"/>
              </w:rPr>
              <w:t xml:space="preserve">Children in Pretrial Detention </w:t>
            </w:r>
            <w:r w:rsidRPr="004922D7">
              <w:rPr>
                <w:rFonts w:ascii="Times New Roman" w:eastAsia="Times New Roman" w:hAnsi="Times New Roman" w:cs="Times New Roman"/>
                <w:color w:val="222222"/>
                <w:shd w:val="clear" w:color="auto" w:fill="FFFFFF"/>
              </w:rPr>
              <w:t>report on pretrial detention times of 119 CRC State parties.</w:t>
            </w:r>
            <w:r w:rsidRPr="004922D7">
              <w:rPr>
                <w:rStyle w:val="FootnoteReference"/>
                <w:rFonts w:ascii="Times New Roman" w:eastAsia="Times New Roman" w:hAnsi="Times New Roman" w:cs="Times New Roman"/>
                <w:color w:val="222222"/>
                <w:shd w:val="clear" w:color="auto" w:fill="FFFFFF"/>
              </w:rPr>
              <w:footnoteReference w:id="8"/>
            </w:r>
            <w:r w:rsidRPr="004922D7">
              <w:rPr>
                <w:rFonts w:ascii="Times New Roman" w:eastAsia="Times New Roman" w:hAnsi="Times New Roman" w:cs="Times New Roman"/>
                <w:color w:val="222222"/>
                <w:shd w:val="clear" w:color="auto" w:fill="FFFFFF"/>
              </w:rPr>
              <w:t xml:space="preserve"> Such report was conducted by reviewing the respective current statutes or court rules in force at the time that the data was collected. </w:t>
            </w:r>
          </w:p>
          <w:p w14:paraId="2089475D" w14:textId="77777777" w:rsidR="00CD0839" w:rsidRPr="004922D7" w:rsidRDefault="00CD0839" w:rsidP="00CD0839">
            <w:pPr>
              <w:jc w:val="both"/>
              <w:rPr>
                <w:rFonts w:ascii="Times New Roman" w:eastAsia="Times New Roman" w:hAnsi="Times New Roman" w:cs="Times New Roman"/>
                <w:color w:val="222222"/>
                <w:shd w:val="clear" w:color="auto" w:fill="FFFFFF"/>
              </w:rPr>
            </w:pPr>
            <w:r w:rsidRPr="004922D7">
              <w:rPr>
                <w:rFonts w:ascii="Times New Roman" w:eastAsia="Times New Roman" w:hAnsi="Times New Roman" w:cs="Times New Roman"/>
                <w:color w:val="222222"/>
                <w:shd w:val="clear" w:color="auto" w:fill="FFFFFF"/>
              </w:rPr>
              <w:t>In defining the statutory time period of pretrial detention, when possible, the report applied the statutory maximum for pretrial detention based on the time allowed in detention from arrest until a sentence was established. However, varying jurisdictions defined pretrial detention</w:t>
            </w:r>
            <w:r w:rsidRPr="004922D7" w:rsidDel="002B3A25">
              <w:rPr>
                <w:rFonts w:ascii="Times New Roman" w:eastAsia="Times New Roman" w:hAnsi="Times New Roman" w:cs="Times New Roman"/>
                <w:color w:val="222222"/>
                <w:shd w:val="clear" w:color="auto" w:fill="FFFFFF"/>
              </w:rPr>
              <w:t xml:space="preserve"> </w:t>
            </w:r>
            <w:r w:rsidRPr="004922D7">
              <w:rPr>
                <w:rFonts w:ascii="Times New Roman" w:eastAsia="Times New Roman" w:hAnsi="Times New Roman" w:cs="Times New Roman"/>
                <w:color w:val="222222"/>
                <w:shd w:val="clear" w:color="auto" w:fill="FFFFFF"/>
              </w:rPr>
              <w:t xml:space="preserve">differently or set limits based on alternative procedural milestones. Where the statute did not provide a length of days or it was unclear, the number of days was based on the national law’s definition of pretrial detention. </w:t>
            </w:r>
          </w:p>
          <w:p w14:paraId="4D83832A" w14:textId="77777777" w:rsidR="00CD0839" w:rsidRPr="004922D7" w:rsidRDefault="00CD0839" w:rsidP="00CD0839">
            <w:pPr>
              <w:jc w:val="both"/>
              <w:rPr>
                <w:rFonts w:ascii="Times New Roman" w:eastAsia="Times New Roman" w:hAnsi="Times New Roman" w:cs="Times New Roman"/>
                <w:color w:val="222222"/>
                <w:shd w:val="clear" w:color="auto" w:fill="FFFFFF"/>
              </w:rPr>
            </w:pPr>
          </w:p>
          <w:p w14:paraId="24691FC0" w14:textId="494BCDEE" w:rsidR="00187935" w:rsidRPr="004922D7" w:rsidRDefault="00CD0839" w:rsidP="00CD0839">
            <w:pPr>
              <w:jc w:val="both"/>
              <w:rPr>
                <w:rFonts w:ascii="Times New Roman" w:eastAsia="Times New Roman" w:hAnsi="Times New Roman" w:cs="Times New Roman"/>
                <w:color w:val="222222"/>
                <w:shd w:val="clear" w:color="auto" w:fill="FFFFFF"/>
              </w:rPr>
            </w:pPr>
            <w:r w:rsidRPr="004922D7">
              <w:rPr>
                <w:rFonts w:ascii="Times New Roman" w:hAnsi="Times New Roman" w:cs="Times New Roman"/>
              </w:rPr>
              <w:t xml:space="preserve">Most jurisdictions did not indicate any time limit for children in pretrial detention pending appeals. For the sake of uniformity, only limits based on pretrial detention before the first adjudication were used. State practices are unclear when a case is appealed, and the child is in pretrial detention, such as if the clock is suspended or if the time limit still applies. </w:t>
            </w:r>
          </w:p>
        </w:tc>
      </w:tr>
    </w:tbl>
    <w:p w14:paraId="7EC040D9" w14:textId="7C5F4E80" w:rsidR="00CD0839" w:rsidRPr="004922D7" w:rsidRDefault="00CD0839">
      <w:pPr>
        <w:rPr>
          <w:rFonts w:ascii="Times New Roman" w:hAnsi="Times New Roman" w:cs="Times New Roman"/>
        </w:rPr>
      </w:pPr>
    </w:p>
    <w:p w14:paraId="6F537CC2" w14:textId="77777777" w:rsidR="00CD0839" w:rsidRPr="004922D7" w:rsidRDefault="00CD0839">
      <w:pPr>
        <w:rPr>
          <w:rFonts w:ascii="Times New Roman" w:hAnsi="Times New Roman" w:cs="Times New Roman"/>
        </w:rPr>
      </w:pPr>
      <w:r w:rsidRPr="004922D7">
        <w:rPr>
          <w:rFonts w:ascii="Times New Roman" w:hAnsi="Times New Roman" w:cs="Times New Roman"/>
        </w:rPr>
        <w:br w:type="page"/>
      </w:r>
    </w:p>
    <w:p w14:paraId="51B36BBF" w14:textId="6F7B4BB9" w:rsidR="00AA22CB" w:rsidRPr="004922D7" w:rsidRDefault="00AA22CB">
      <w:pPr>
        <w:rPr>
          <w:rFonts w:ascii="Times New Roman" w:hAnsi="Times New Roman" w:cs="Times New Roman"/>
        </w:rPr>
      </w:pPr>
    </w:p>
    <w:p w14:paraId="6814E108" w14:textId="5B983E0B" w:rsidR="00AA22CB" w:rsidRPr="004922D7" w:rsidRDefault="00E5591E" w:rsidP="00AA22CB">
      <w:pPr>
        <w:jc w:val="center"/>
        <w:rPr>
          <w:rFonts w:ascii="Times New Roman" w:hAnsi="Times New Roman" w:cs="Times New Roman"/>
          <w:b/>
        </w:rPr>
      </w:pPr>
      <w:r>
        <w:rPr>
          <w:rFonts w:ascii="Times New Roman" w:hAnsi="Times New Roman" w:cs="Times New Roman"/>
          <w:b/>
        </w:rPr>
        <w:t>Bosnia and Herzegovina</w:t>
      </w:r>
    </w:p>
    <w:p w14:paraId="61CAF52A" w14:textId="77777777" w:rsidR="00AA22CB" w:rsidRPr="004922D7" w:rsidRDefault="00AA22CB">
      <w:pPr>
        <w:rPr>
          <w:rFonts w:ascii="Times New Roman" w:hAnsi="Times New Roman" w:cs="Times New Roman"/>
        </w:rPr>
      </w:pPr>
    </w:p>
    <w:tbl>
      <w:tblPr>
        <w:tblStyle w:val="TableGrid"/>
        <w:tblW w:w="8856" w:type="dxa"/>
        <w:tblLayout w:type="fixed"/>
        <w:tblLook w:val="04A0" w:firstRow="1" w:lastRow="0" w:firstColumn="1" w:lastColumn="0" w:noHBand="0" w:noVBand="1"/>
      </w:tblPr>
      <w:tblGrid>
        <w:gridCol w:w="2141"/>
        <w:gridCol w:w="6715"/>
      </w:tblGrid>
      <w:tr w:rsidR="00AA22CB" w:rsidRPr="004922D7" w14:paraId="75EBC69E" w14:textId="77777777" w:rsidTr="00771AF5">
        <w:tc>
          <w:tcPr>
            <w:tcW w:w="8856" w:type="dxa"/>
            <w:gridSpan w:val="2"/>
          </w:tcPr>
          <w:p w14:paraId="30B39F1C" w14:textId="253AD23D" w:rsidR="005370E4" w:rsidRPr="004922D7" w:rsidRDefault="00CA68F6" w:rsidP="00C815A6">
            <w:pPr>
              <w:jc w:val="both"/>
              <w:rPr>
                <w:rFonts w:ascii="Times New Roman" w:hAnsi="Times New Roman" w:cs="Times New Roman"/>
              </w:rPr>
            </w:pPr>
            <w:r>
              <w:rPr>
                <w:rFonts w:ascii="Times New Roman" w:hAnsi="Times New Roman" w:cs="Times New Roman"/>
              </w:rPr>
              <w:t xml:space="preserve">Bosnia and Herzegovina </w:t>
            </w:r>
            <w:r w:rsidR="00C815A6">
              <w:rPr>
                <w:rFonts w:ascii="Times New Roman" w:hAnsi="Times New Roman" w:cs="Times New Roman"/>
              </w:rPr>
              <w:t>has a blanket limit with exceptions. The statutory pretrial detention limit for juveniles is 30 days and review of custody is necessary every 10 days by a Panel for juveniles. The Panel may extend the custody for to 2 additional months with a maximum of 6 months if warranted.</w:t>
            </w:r>
          </w:p>
        </w:tc>
      </w:tr>
      <w:tr w:rsidR="00AA22CB" w:rsidRPr="004922D7" w14:paraId="2F9E47C4" w14:textId="77777777" w:rsidTr="00771AF5">
        <w:tc>
          <w:tcPr>
            <w:tcW w:w="2141" w:type="dxa"/>
          </w:tcPr>
          <w:p w14:paraId="712F863E" w14:textId="77777777" w:rsidR="00AA22CB" w:rsidRPr="004922D7" w:rsidRDefault="00AA22CB" w:rsidP="00650F1F">
            <w:pPr>
              <w:rPr>
                <w:rFonts w:ascii="Times New Roman" w:hAnsi="Times New Roman" w:cs="Times New Roman"/>
              </w:rPr>
            </w:pPr>
            <w:r w:rsidRPr="004922D7">
              <w:rPr>
                <w:rFonts w:ascii="Times New Roman" w:hAnsi="Times New Roman" w:cs="Times New Roman"/>
              </w:rPr>
              <w:t>Statute Citation</w:t>
            </w:r>
          </w:p>
        </w:tc>
        <w:tc>
          <w:tcPr>
            <w:tcW w:w="6715" w:type="dxa"/>
          </w:tcPr>
          <w:p w14:paraId="492712B7" w14:textId="77777777" w:rsidR="00EC0378" w:rsidRPr="00CA68F6" w:rsidRDefault="00EC0378" w:rsidP="00EC0378">
            <w:pPr>
              <w:pStyle w:val="Heading5"/>
              <w:rPr>
                <w:sz w:val="24"/>
                <w:szCs w:val="24"/>
              </w:rPr>
            </w:pPr>
            <w:r w:rsidRPr="00CA68F6">
              <w:rPr>
                <w:sz w:val="24"/>
                <w:szCs w:val="24"/>
              </w:rPr>
              <w:t>Article 357</w:t>
            </w:r>
          </w:p>
          <w:p w14:paraId="7B05D124" w14:textId="77777777" w:rsidR="00EC0378" w:rsidRPr="00CA68F6" w:rsidRDefault="00EC0378" w:rsidP="00EC0378">
            <w:pPr>
              <w:pStyle w:val="Heading5a"/>
              <w:rPr>
                <w:sz w:val="24"/>
                <w:szCs w:val="24"/>
              </w:rPr>
            </w:pPr>
            <w:r w:rsidRPr="00CA68F6">
              <w:rPr>
                <w:sz w:val="24"/>
                <w:szCs w:val="24"/>
              </w:rPr>
              <w:t>Placement of the Minor</w:t>
            </w:r>
          </w:p>
          <w:p w14:paraId="29354A0A" w14:textId="77777777" w:rsidR="00EC0378" w:rsidRPr="00CA68F6" w:rsidRDefault="00EC0378" w:rsidP="00EC0378">
            <w:pPr>
              <w:numPr>
                <w:ilvl w:val="0"/>
                <w:numId w:val="8"/>
              </w:numPr>
              <w:spacing w:before="120" w:after="120"/>
              <w:jc w:val="both"/>
              <w:rPr>
                <w:rFonts w:ascii="Times New Roman" w:hAnsi="Times New Roman" w:cs="Times New Roman"/>
              </w:rPr>
            </w:pPr>
            <w:r w:rsidRPr="00CA68F6">
              <w:rPr>
                <w:rFonts w:ascii="Times New Roman" w:hAnsi="Times New Roman" w:cs="Times New Roman"/>
              </w:rPr>
              <w:t>The judge for juveniles may order that the minor during the preparatory proceeding be placed in a juvenile home or similar institution, be placed under the surveillance of the juvenile welfare authority or put in the care of another family if this is necessary to separate the minor from the environment in which he has been living or to provide the minor with aid, protection or a place to live.</w:t>
            </w:r>
          </w:p>
          <w:p w14:paraId="7C663420" w14:textId="77777777" w:rsidR="00EC0378" w:rsidRPr="00AA70E9" w:rsidRDefault="00EC0378" w:rsidP="00EC0378">
            <w:pPr>
              <w:numPr>
                <w:ilvl w:val="0"/>
                <w:numId w:val="8"/>
              </w:numPr>
              <w:spacing w:before="120" w:after="120"/>
              <w:jc w:val="both"/>
              <w:rPr>
                <w:rFonts w:ascii="Times New Roman" w:hAnsi="Times New Roman" w:cs="Times New Roman"/>
                <w:highlight w:val="yellow"/>
                <w:rPrChange w:id="6" w:author="Microsoft Office User" w:date="2019-08-06T12:08:00Z">
                  <w:rPr>
                    <w:rFonts w:ascii="Times New Roman" w:hAnsi="Times New Roman" w:cs="Times New Roman"/>
                  </w:rPr>
                </w:rPrChange>
              </w:rPr>
            </w:pPr>
            <w:r w:rsidRPr="00AA70E9">
              <w:rPr>
                <w:rFonts w:ascii="Times New Roman" w:hAnsi="Times New Roman" w:cs="Times New Roman"/>
                <w:highlight w:val="yellow"/>
                <w:rPrChange w:id="7" w:author="Microsoft Office User" w:date="2019-08-06T12:08:00Z">
                  <w:rPr>
                    <w:rFonts w:ascii="Times New Roman" w:hAnsi="Times New Roman" w:cs="Times New Roman"/>
                  </w:rPr>
                </w:rPrChange>
              </w:rPr>
              <w:t>The cost of the minor's accommodations shall be paid in advance from the budget and shall be included in the cost of the criminal proceedings.</w:t>
            </w:r>
          </w:p>
          <w:p w14:paraId="0C503447" w14:textId="77777777" w:rsidR="00CA68F6" w:rsidRPr="00CA68F6" w:rsidRDefault="00CA68F6" w:rsidP="00CA68F6">
            <w:pPr>
              <w:spacing w:before="120" w:after="120"/>
              <w:ind w:left="357"/>
              <w:jc w:val="both"/>
              <w:rPr>
                <w:rFonts w:ascii="Times New Roman" w:hAnsi="Times New Roman" w:cs="Times New Roman"/>
              </w:rPr>
            </w:pPr>
          </w:p>
          <w:p w14:paraId="77EAAF4D" w14:textId="77777777" w:rsidR="00EC0378" w:rsidRPr="00CA68F6" w:rsidRDefault="00EC0378" w:rsidP="00EC0378">
            <w:pPr>
              <w:pStyle w:val="Heading5"/>
              <w:rPr>
                <w:sz w:val="24"/>
                <w:szCs w:val="24"/>
              </w:rPr>
            </w:pPr>
            <w:r w:rsidRPr="00CA68F6">
              <w:rPr>
                <w:sz w:val="24"/>
                <w:szCs w:val="24"/>
              </w:rPr>
              <w:t>Article 358</w:t>
            </w:r>
          </w:p>
          <w:p w14:paraId="01540A99" w14:textId="77777777" w:rsidR="00EC0378" w:rsidRPr="00CA68F6" w:rsidRDefault="00EC0378" w:rsidP="00EC0378">
            <w:pPr>
              <w:pStyle w:val="Heading5a"/>
              <w:rPr>
                <w:sz w:val="24"/>
                <w:szCs w:val="24"/>
              </w:rPr>
            </w:pPr>
            <w:r w:rsidRPr="00CA68F6">
              <w:rPr>
                <w:sz w:val="24"/>
                <w:szCs w:val="24"/>
              </w:rPr>
              <w:t>Ordering the Custody</w:t>
            </w:r>
          </w:p>
          <w:p w14:paraId="1027392C" w14:textId="77777777" w:rsidR="00EC0378" w:rsidRPr="00CA68F6" w:rsidRDefault="00EC0378" w:rsidP="00EC0378">
            <w:pPr>
              <w:numPr>
                <w:ilvl w:val="0"/>
                <w:numId w:val="9"/>
              </w:numPr>
              <w:spacing w:before="120" w:after="120"/>
              <w:jc w:val="both"/>
              <w:rPr>
                <w:rFonts w:ascii="Times New Roman" w:hAnsi="Times New Roman" w:cs="Times New Roman"/>
              </w:rPr>
            </w:pPr>
            <w:r w:rsidRPr="00CA68F6">
              <w:rPr>
                <w:rFonts w:ascii="Times New Roman" w:hAnsi="Times New Roman" w:cs="Times New Roman"/>
              </w:rPr>
              <w:t xml:space="preserve">Exceptionally, the judge for juveniles may order that the minor be placed in custody when the reasons for the custody referred to in Article 132, Paragraph 2, Item a) through c) of this Code exist. </w:t>
            </w:r>
          </w:p>
          <w:p w14:paraId="4BC8F931" w14:textId="77777777" w:rsidR="00EC0378" w:rsidRPr="00CA68F6" w:rsidRDefault="00EC0378" w:rsidP="00EC0378">
            <w:pPr>
              <w:numPr>
                <w:ilvl w:val="0"/>
                <w:numId w:val="9"/>
              </w:numPr>
              <w:spacing w:before="120" w:after="120"/>
              <w:jc w:val="both"/>
              <w:rPr>
                <w:rFonts w:ascii="Times New Roman" w:hAnsi="Times New Roman" w:cs="Times New Roman"/>
              </w:rPr>
            </w:pPr>
            <w:r w:rsidRPr="00CA68F6">
              <w:rPr>
                <w:rFonts w:ascii="Times New Roman" w:hAnsi="Times New Roman" w:cs="Times New Roman"/>
              </w:rPr>
              <w:t>Based on the decision on custody issued by the judge for juveniles, the custody may not exceed 30 days. The Panel for juveniles is obligated to review the necessity of the custody every ten (10) days.</w:t>
            </w:r>
          </w:p>
          <w:p w14:paraId="780CB895" w14:textId="77777777" w:rsidR="00EC0378" w:rsidRPr="00CA68F6" w:rsidRDefault="00EC0378" w:rsidP="00EC0378">
            <w:pPr>
              <w:numPr>
                <w:ilvl w:val="0"/>
                <w:numId w:val="9"/>
              </w:numPr>
              <w:spacing w:before="120" w:after="120"/>
              <w:jc w:val="both"/>
              <w:rPr>
                <w:rFonts w:ascii="Times New Roman" w:hAnsi="Times New Roman" w:cs="Times New Roman"/>
              </w:rPr>
            </w:pPr>
            <w:r w:rsidRPr="00CA68F6">
              <w:rPr>
                <w:rFonts w:ascii="Times New Roman" w:hAnsi="Times New Roman" w:cs="Times New Roman"/>
              </w:rPr>
              <w:t>The Panel for juveniles may extend the custody for two (2) more months if there are legal reasons for the extension.</w:t>
            </w:r>
          </w:p>
          <w:p w14:paraId="1B122451" w14:textId="77777777" w:rsidR="00EC0378" w:rsidRDefault="00EC0378" w:rsidP="00EC0378">
            <w:pPr>
              <w:numPr>
                <w:ilvl w:val="0"/>
                <w:numId w:val="9"/>
              </w:numPr>
              <w:spacing w:before="120" w:after="120"/>
              <w:jc w:val="both"/>
              <w:rPr>
                <w:rFonts w:ascii="Times New Roman" w:hAnsi="Times New Roman" w:cs="Times New Roman"/>
              </w:rPr>
            </w:pPr>
            <w:r w:rsidRPr="00CA68F6">
              <w:rPr>
                <w:rFonts w:ascii="Times New Roman" w:hAnsi="Times New Roman" w:cs="Times New Roman"/>
              </w:rPr>
              <w:t>After completion of the preparatory proceeding, the custody may last for six (6) more months at a maximum.</w:t>
            </w:r>
          </w:p>
          <w:p w14:paraId="613012DB" w14:textId="77777777" w:rsidR="00CA68F6" w:rsidRPr="00CA68F6" w:rsidRDefault="00CA68F6" w:rsidP="00CA68F6">
            <w:pPr>
              <w:spacing w:before="120" w:after="120"/>
              <w:ind w:left="357"/>
              <w:jc w:val="both"/>
              <w:rPr>
                <w:rFonts w:ascii="Times New Roman" w:hAnsi="Times New Roman" w:cs="Times New Roman"/>
              </w:rPr>
            </w:pPr>
          </w:p>
          <w:p w14:paraId="2207F864" w14:textId="77777777" w:rsidR="00EC0378" w:rsidRPr="00CA68F6" w:rsidRDefault="00EC0378" w:rsidP="00EC0378">
            <w:pPr>
              <w:pStyle w:val="Heading5"/>
              <w:rPr>
                <w:sz w:val="24"/>
                <w:szCs w:val="24"/>
              </w:rPr>
            </w:pPr>
            <w:r w:rsidRPr="00CA68F6">
              <w:rPr>
                <w:sz w:val="24"/>
                <w:szCs w:val="24"/>
              </w:rPr>
              <w:t>Article 359</w:t>
            </w:r>
          </w:p>
          <w:p w14:paraId="26D0DA50" w14:textId="77777777" w:rsidR="00EC0378" w:rsidRPr="00CA68F6" w:rsidRDefault="00EC0378" w:rsidP="00EC0378">
            <w:pPr>
              <w:pStyle w:val="Heading5a"/>
              <w:rPr>
                <w:sz w:val="24"/>
                <w:szCs w:val="24"/>
              </w:rPr>
            </w:pPr>
            <w:r w:rsidRPr="00CA68F6">
              <w:rPr>
                <w:sz w:val="24"/>
                <w:szCs w:val="24"/>
              </w:rPr>
              <w:t>Treatment of the Minor when in Custody</w:t>
            </w:r>
          </w:p>
          <w:p w14:paraId="3553FB91" w14:textId="77777777" w:rsidR="00EC0378" w:rsidRPr="00CA68F6" w:rsidRDefault="00EC0378" w:rsidP="00EC0378">
            <w:pPr>
              <w:numPr>
                <w:ilvl w:val="0"/>
                <w:numId w:val="10"/>
              </w:numPr>
              <w:spacing w:before="120" w:after="120"/>
              <w:jc w:val="both"/>
              <w:rPr>
                <w:rFonts w:ascii="Times New Roman" w:hAnsi="Times New Roman" w:cs="Times New Roman"/>
              </w:rPr>
            </w:pPr>
            <w:r w:rsidRPr="00CA68F6">
              <w:rPr>
                <w:rFonts w:ascii="Times New Roman" w:hAnsi="Times New Roman" w:cs="Times New Roman"/>
              </w:rPr>
              <w:t>Minors shall be separated from adults in custody.</w:t>
            </w:r>
          </w:p>
          <w:p w14:paraId="71E6AE9B" w14:textId="77777777" w:rsidR="00EC0378" w:rsidRPr="00CA68F6" w:rsidRDefault="00EC0378" w:rsidP="00EC0378">
            <w:pPr>
              <w:numPr>
                <w:ilvl w:val="0"/>
                <w:numId w:val="10"/>
              </w:numPr>
              <w:spacing w:before="120" w:after="120"/>
              <w:jc w:val="both"/>
              <w:rPr>
                <w:rFonts w:ascii="Times New Roman" w:hAnsi="Times New Roman" w:cs="Times New Roman"/>
              </w:rPr>
            </w:pPr>
            <w:r w:rsidRPr="00CA68F6">
              <w:rPr>
                <w:rFonts w:ascii="Times New Roman" w:hAnsi="Times New Roman" w:cs="Times New Roman"/>
              </w:rPr>
              <w:lastRenderedPageBreak/>
              <w:t>The judge for juveniles has the same authority regarding minors in custody as the judge for the preliminary proceeding or the preliminary hearing judge, pursuant to this Code, has regarding adults in custody.</w:t>
            </w:r>
          </w:p>
          <w:p w14:paraId="008BA481" w14:textId="77777777" w:rsidR="00D50971" w:rsidRPr="00CA68F6" w:rsidRDefault="00D50971" w:rsidP="00EC0378">
            <w:pPr>
              <w:rPr>
                <w:rFonts w:ascii="Times New Roman" w:hAnsi="Times New Roman" w:cs="Times New Roman"/>
                <w:bCs/>
              </w:rPr>
            </w:pPr>
          </w:p>
          <w:p w14:paraId="473DF9A0" w14:textId="65B415B9" w:rsidR="00CA68F6" w:rsidRPr="00CA68F6" w:rsidRDefault="00924424" w:rsidP="00EC0378">
            <w:pPr>
              <w:rPr>
                <w:rFonts w:ascii="Times New Roman" w:hAnsi="Times New Roman" w:cs="Times New Roman"/>
                <w:bCs/>
              </w:rPr>
            </w:pPr>
            <w:r w:rsidRPr="00924424">
              <w:rPr>
                <w:rFonts w:ascii="Times New Roman" w:hAnsi="Times New Roman" w:cs="Times New Roman"/>
                <w:bCs/>
              </w:rPr>
              <w:t xml:space="preserve">Criminal Procedure Code of Bosnia Herzegovina, Official Gazette 3/03, </w:t>
            </w:r>
            <w:r w:rsidR="00CA68F6" w:rsidRPr="00924424">
              <w:rPr>
                <w:rFonts w:ascii="Times New Roman" w:hAnsi="Times New Roman" w:cs="Times New Roman"/>
                <w:bCs/>
              </w:rPr>
              <w:t>www.ohr.int/ohr-dept/legal/oth-legist/doc/criminal-procedure-code-of-bih.doc</w:t>
            </w:r>
            <w:r w:rsidR="00CA68F6" w:rsidRPr="00CA68F6">
              <w:rPr>
                <w:rFonts w:ascii="Times New Roman" w:hAnsi="Times New Roman" w:cs="Times New Roman"/>
                <w:bCs/>
              </w:rPr>
              <w:t xml:space="preserve"> </w:t>
            </w:r>
          </w:p>
        </w:tc>
      </w:tr>
      <w:tr w:rsidR="00AA22CB" w:rsidRPr="004922D7" w14:paraId="70159D2D" w14:textId="77777777" w:rsidTr="00771AF5">
        <w:tc>
          <w:tcPr>
            <w:tcW w:w="2141" w:type="dxa"/>
          </w:tcPr>
          <w:p w14:paraId="6633FF78" w14:textId="4E534598" w:rsidR="00AA22CB" w:rsidRPr="00415EAE" w:rsidRDefault="00AA22CB" w:rsidP="00650F1F">
            <w:pPr>
              <w:rPr>
                <w:rFonts w:ascii="Times New Roman" w:hAnsi="Times New Roman" w:cs="Times New Roman"/>
              </w:rPr>
            </w:pPr>
            <w:r w:rsidRPr="00415EAE">
              <w:rPr>
                <w:rFonts w:ascii="Times New Roman" w:hAnsi="Times New Roman" w:cs="Times New Roman"/>
              </w:rPr>
              <w:lastRenderedPageBreak/>
              <w:t>Recommended changes to statutory limit according to international law:</w:t>
            </w:r>
          </w:p>
        </w:tc>
        <w:tc>
          <w:tcPr>
            <w:tcW w:w="6715" w:type="dxa"/>
          </w:tcPr>
          <w:p w14:paraId="68493414" w14:textId="77777777" w:rsidR="00772996" w:rsidRPr="000A7293" w:rsidRDefault="00772996" w:rsidP="00772996">
            <w:pPr>
              <w:pStyle w:val="ListParagraph"/>
              <w:numPr>
                <w:ilvl w:val="0"/>
                <w:numId w:val="3"/>
              </w:numPr>
              <w:ind w:left="354"/>
              <w:rPr>
                <w:rFonts w:ascii="Times New Roman" w:hAnsi="Times New Roman" w:cs="Times New Roman"/>
                <w:sz w:val="24"/>
                <w:szCs w:val="24"/>
              </w:rPr>
            </w:pPr>
            <w:r w:rsidRPr="000A7293">
              <w:rPr>
                <w:rFonts w:ascii="Times New Roman" w:hAnsi="Times New Roman" w:cs="Times New Roman"/>
                <w:sz w:val="24"/>
                <w:szCs w:val="24"/>
                <w:lang w:val="en-US"/>
              </w:rPr>
              <w:t xml:space="preserve">The use of extending the time should be more clearly limited. JJAI recommends that pretrial detention should only be allowed to be extended once by a judge for up to 30 more days based upon the procedural needs of the case. </w:t>
            </w:r>
            <w:r w:rsidRPr="000A7293">
              <w:rPr>
                <w:rFonts w:ascii="Times New Roman" w:hAnsi="Times New Roman" w:cs="Times New Roman"/>
                <w:sz w:val="24"/>
                <w:szCs w:val="24"/>
              </w:rPr>
              <w:t xml:space="preserve">It should be defined by the statute the specific possible needs for extending the pretrial detention period. </w:t>
            </w:r>
          </w:p>
          <w:p w14:paraId="73DC938E" w14:textId="11163F59" w:rsidR="00AA22CB" w:rsidRPr="00CA68F6" w:rsidRDefault="00772996" w:rsidP="00771AF5">
            <w:pPr>
              <w:pStyle w:val="ListParagraph"/>
              <w:numPr>
                <w:ilvl w:val="0"/>
                <w:numId w:val="3"/>
              </w:numPr>
              <w:ind w:left="354"/>
              <w:rPr>
                <w:rFonts w:ascii="Times New Roman" w:hAnsi="Times New Roman" w:cs="Times New Roman"/>
                <w:sz w:val="24"/>
                <w:szCs w:val="24"/>
              </w:rPr>
            </w:pPr>
            <w:r w:rsidRPr="000A7293">
              <w:rPr>
                <w:rFonts w:ascii="Times New Roman" w:hAnsi="Times New Roman" w:cs="Times New Roman"/>
                <w:sz w:val="24"/>
                <w:szCs w:val="24"/>
                <w:lang w:val="en-US"/>
              </w:rPr>
              <w:t>Children who are in detention for the statutory maximum number of days should be placed in supervised release immediately and not re-detained for the same offense.</w:t>
            </w:r>
          </w:p>
        </w:tc>
      </w:tr>
      <w:tr w:rsidR="00AA22CB" w:rsidRPr="004922D7" w14:paraId="789AB5C3" w14:textId="77777777" w:rsidTr="00771AF5">
        <w:tc>
          <w:tcPr>
            <w:tcW w:w="2141" w:type="dxa"/>
          </w:tcPr>
          <w:p w14:paraId="083BCB73" w14:textId="77777777" w:rsidR="00AA22CB" w:rsidRPr="00415EAE" w:rsidRDefault="00AA22CB" w:rsidP="00650F1F">
            <w:pPr>
              <w:rPr>
                <w:rFonts w:ascii="Times New Roman" w:hAnsi="Times New Roman" w:cs="Times New Roman"/>
              </w:rPr>
            </w:pPr>
            <w:r w:rsidRPr="00415EAE">
              <w:rPr>
                <w:rFonts w:ascii="Times New Roman" w:hAnsi="Times New Roman" w:cs="Times New Roman"/>
              </w:rPr>
              <w:t>Additional Information on the country</w:t>
            </w:r>
          </w:p>
        </w:tc>
        <w:tc>
          <w:tcPr>
            <w:tcW w:w="6715" w:type="dxa"/>
          </w:tcPr>
          <w:p w14:paraId="6FB5207D" w14:textId="0F4FAC32" w:rsidR="00C452B7" w:rsidRPr="00AF25F0" w:rsidRDefault="00415EAE" w:rsidP="007E0DFA">
            <w:pPr>
              <w:pStyle w:val="ListParagraph"/>
              <w:numPr>
                <w:ilvl w:val="0"/>
                <w:numId w:val="7"/>
              </w:numPr>
              <w:rPr>
                <w:rFonts w:ascii="Times New Roman" w:hAnsi="Times New Roman" w:cs="Times New Roman"/>
                <w:sz w:val="24"/>
                <w:szCs w:val="24"/>
              </w:rPr>
            </w:pPr>
            <w:r w:rsidRPr="00AF25F0">
              <w:rPr>
                <w:rFonts w:ascii="Times New Roman" w:hAnsi="Times New Roman" w:cs="Times New Roman"/>
                <w:sz w:val="24"/>
                <w:szCs w:val="24"/>
              </w:rPr>
              <w:t xml:space="preserve">Minimum age of criminal responsibility is </w:t>
            </w:r>
            <w:r w:rsidR="00586A2D" w:rsidRPr="00AF25F0">
              <w:rPr>
                <w:rFonts w:ascii="Times New Roman" w:hAnsi="Times New Roman" w:cs="Times New Roman"/>
                <w:sz w:val="24"/>
                <w:szCs w:val="24"/>
              </w:rPr>
              <w:t>14</w:t>
            </w:r>
            <w:r w:rsidR="00D50971" w:rsidRPr="00AF25F0">
              <w:rPr>
                <w:rFonts w:ascii="Times New Roman" w:hAnsi="Times New Roman" w:cs="Times New Roman"/>
                <w:sz w:val="24"/>
                <w:szCs w:val="24"/>
              </w:rPr>
              <w:t xml:space="preserve"> years. </w:t>
            </w:r>
          </w:p>
          <w:p w14:paraId="2072779A" w14:textId="2D48ED03" w:rsidR="00D50971" w:rsidRPr="00AF25F0" w:rsidRDefault="005D1DED" w:rsidP="007E0DFA">
            <w:pPr>
              <w:pStyle w:val="ListParagraph"/>
              <w:numPr>
                <w:ilvl w:val="0"/>
                <w:numId w:val="7"/>
              </w:numPr>
              <w:rPr>
                <w:rFonts w:ascii="Times New Roman" w:hAnsi="Times New Roman" w:cs="Times New Roman"/>
                <w:sz w:val="24"/>
                <w:szCs w:val="24"/>
              </w:rPr>
            </w:pPr>
            <w:r w:rsidRPr="00AF25F0">
              <w:rPr>
                <w:rFonts w:ascii="Times New Roman" w:hAnsi="Times New Roman" w:cs="Times New Roman"/>
                <w:sz w:val="24"/>
                <w:szCs w:val="24"/>
              </w:rPr>
              <w:t xml:space="preserve">Juvenile justice courts are composed of one </w:t>
            </w:r>
            <w:r w:rsidR="00AF25F0" w:rsidRPr="00AF25F0">
              <w:rPr>
                <w:rFonts w:ascii="Times New Roman" w:hAnsi="Times New Roman" w:cs="Times New Roman"/>
                <w:sz w:val="24"/>
                <w:szCs w:val="24"/>
              </w:rPr>
              <w:t>or more judges and expert advisers.</w:t>
            </w:r>
          </w:p>
          <w:p w14:paraId="61B9609B" w14:textId="1E418BFC" w:rsidR="00AF25F0" w:rsidRPr="00AF25F0" w:rsidRDefault="00AF25F0" w:rsidP="007E0DFA">
            <w:pPr>
              <w:pStyle w:val="ListParagraph"/>
              <w:numPr>
                <w:ilvl w:val="0"/>
                <w:numId w:val="7"/>
              </w:numPr>
              <w:rPr>
                <w:rFonts w:ascii="Times New Roman" w:hAnsi="Times New Roman" w:cs="Times New Roman"/>
                <w:sz w:val="24"/>
                <w:szCs w:val="24"/>
              </w:rPr>
            </w:pPr>
            <w:r w:rsidRPr="00AF25F0">
              <w:rPr>
                <w:rFonts w:ascii="Times New Roman" w:hAnsi="Times New Roman" w:cs="Times New Roman"/>
                <w:sz w:val="24"/>
                <w:szCs w:val="24"/>
              </w:rPr>
              <w:t xml:space="preserve">Juvenile judges are required to possess special knowledge of the law as pertains to juveniles and police officers are trained in the field of child rights and juvenile delinquency. </w:t>
            </w:r>
          </w:p>
          <w:p w14:paraId="53A41185" w14:textId="58410663" w:rsidR="00AF25F0" w:rsidRPr="00AF25F0" w:rsidRDefault="00AF25F0" w:rsidP="007E0DFA">
            <w:pPr>
              <w:pStyle w:val="ListParagraph"/>
              <w:numPr>
                <w:ilvl w:val="0"/>
                <w:numId w:val="7"/>
              </w:numPr>
              <w:rPr>
                <w:rFonts w:ascii="Times New Roman" w:hAnsi="Times New Roman" w:cs="Times New Roman"/>
                <w:sz w:val="24"/>
                <w:szCs w:val="24"/>
              </w:rPr>
            </w:pPr>
            <w:r w:rsidRPr="00AF25F0">
              <w:rPr>
                <w:rFonts w:ascii="Times New Roman" w:hAnsi="Times New Roman" w:cs="Times New Roman"/>
                <w:sz w:val="24"/>
                <w:szCs w:val="24"/>
              </w:rPr>
              <w:t xml:space="preserve">Alternatives to juvenile detention are formal police warnings and fines. </w:t>
            </w:r>
          </w:p>
          <w:p w14:paraId="519EF375" w14:textId="35815405" w:rsidR="00AF25F0" w:rsidRPr="00AF25F0" w:rsidRDefault="00AF25F0" w:rsidP="007E0DFA">
            <w:pPr>
              <w:pStyle w:val="ListParagraph"/>
              <w:numPr>
                <w:ilvl w:val="0"/>
                <w:numId w:val="7"/>
              </w:numPr>
              <w:rPr>
                <w:rFonts w:ascii="Times New Roman" w:hAnsi="Times New Roman" w:cs="Times New Roman"/>
                <w:sz w:val="24"/>
                <w:szCs w:val="24"/>
              </w:rPr>
            </w:pPr>
            <w:r w:rsidRPr="00AF25F0">
              <w:rPr>
                <w:rFonts w:ascii="Times New Roman" w:hAnsi="Times New Roman" w:cs="Times New Roman"/>
                <w:sz w:val="24"/>
                <w:szCs w:val="24"/>
              </w:rPr>
              <w:t>Juveniles can only be imprisoned for up to three years.</w:t>
            </w:r>
          </w:p>
          <w:p w14:paraId="3D810B39" w14:textId="341D2815" w:rsidR="00AF25F0" w:rsidRPr="00AF25F0" w:rsidRDefault="00AF25F0" w:rsidP="007E0DFA">
            <w:pPr>
              <w:pStyle w:val="ListParagraph"/>
              <w:numPr>
                <w:ilvl w:val="0"/>
                <w:numId w:val="7"/>
              </w:numPr>
              <w:rPr>
                <w:rFonts w:ascii="Times New Roman" w:hAnsi="Times New Roman" w:cs="Times New Roman"/>
                <w:sz w:val="24"/>
                <w:szCs w:val="24"/>
              </w:rPr>
            </w:pPr>
            <w:r w:rsidRPr="00AF25F0">
              <w:rPr>
                <w:rFonts w:ascii="Times New Roman" w:hAnsi="Times New Roman" w:cs="Times New Roman"/>
                <w:sz w:val="24"/>
                <w:szCs w:val="24"/>
              </w:rPr>
              <w:t>The juvenile court has the discretion to conditionally release juveniles from detention after six months and may impose enhanced supervision during the conditional release.</w:t>
            </w:r>
          </w:p>
          <w:p w14:paraId="5D977E8D" w14:textId="2577F51F" w:rsidR="00AF25F0" w:rsidRPr="00924424" w:rsidRDefault="00924424" w:rsidP="00AF25F0">
            <w:pPr>
              <w:rPr>
                <w:rFonts w:ascii="Times New Roman" w:hAnsi="Times New Roman" w:cs="Times New Roman"/>
              </w:rPr>
            </w:pPr>
            <w:r w:rsidRPr="00924424">
              <w:rPr>
                <w:rFonts w:ascii="Times New Roman" w:hAnsi="Times New Roman" w:cs="Times New Roman"/>
              </w:rPr>
              <w:t xml:space="preserve">Convention on the Rights of the Child, </w:t>
            </w:r>
            <w:r w:rsidRPr="00924424">
              <w:rPr>
                <w:rFonts w:ascii="Times New Roman" w:hAnsi="Times New Roman" w:cs="Times New Roman"/>
                <w:i/>
              </w:rPr>
              <w:t>Combined Fifth and Sixth Periodic Report Submitted by Bosnia and Herzegovina Under Article 44 of the Convention, Due in 2017</w:t>
            </w:r>
            <w:r w:rsidRPr="00924424">
              <w:rPr>
                <w:rFonts w:ascii="Times New Roman" w:hAnsi="Times New Roman" w:cs="Times New Roman"/>
              </w:rPr>
              <w:t xml:space="preserve">, </w:t>
            </w:r>
            <w:r>
              <w:rPr>
                <w:rFonts w:ascii="Times New Roman" w:hAnsi="Times New Roman" w:cs="Times New Roman"/>
              </w:rPr>
              <w:t>¶¶ 281–89</w:t>
            </w:r>
            <w:r w:rsidRPr="00924424">
              <w:rPr>
                <w:rFonts w:ascii="Times New Roman" w:hAnsi="Times New Roman" w:cs="Times New Roman"/>
              </w:rPr>
              <w:t xml:space="preserve">, CRC/C/BIH/5-6 (Nov. 16, 2018), </w:t>
            </w:r>
            <w:r w:rsidR="007D7B2D" w:rsidRPr="00924424">
              <w:rPr>
                <w:rFonts w:ascii="Times New Roman" w:hAnsi="Times New Roman" w:cs="Times New Roman"/>
              </w:rPr>
              <w:t>https://tbinternet.ohchr.org/_layouts/15/treatybodyexternal/Download.aspx?symbolno=CRC%2fC%2fBIH%2f5-6&amp;Lang=en</w:t>
            </w:r>
          </w:p>
          <w:p w14:paraId="78F8B73E" w14:textId="14E37A56" w:rsidR="00D50971" w:rsidRPr="00CA68F6" w:rsidRDefault="00D50971" w:rsidP="00924424">
            <w:pPr>
              <w:rPr>
                <w:rFonts w:ascii="Times New Roman" w:hAnsi="Times New Roman" w:cs="Times New Roman"/>
              </w:rPr>
            </w:pPr>
          </w:p>
        </w:tc>
      </w:tr>
      <w:tr w:rsidR="00AA22CB" w:rsidRPr="004922D7" w14:paraId="71B074E7" w14:textId="77777777" w:rsidTr="00771AF5">
        <w:tc>
          <w:tcPr>
            <w:tcW w:w="2141" w:type="dxa"/>
          </w:tcPr>
          <w:p w14:paraId="623BFDF0" w14:textId="59EEB422" w:rsidR="00AA22CB" w:rsidRPr="00415EAE" w:rsidRDefault="00AA22CB" w:rsidP="00650F1F">
            <w:pPr>
              <w:rPr>
                <w:rFonts w:ascii="Times New Roman" w:hAnsi="Times New Roman" w:cs="Times New Roman"/>
              </w:rPr>
            </w:pPr>
            <w:r w:rsidRPr="00415EAE">
              <w:rPr>
                <w:rFonts w:ascii="Times New Roman" w:hAnsi="Times New Roman" w:cs="Times New Roman"/>
              </w:rPr>
              <w:t>Questions for the state party related to child pretrial detention time limits:</w:t>
            </w:r>
          </w:p>
        </w:tc>
        <w:tc>
          <w:tcPr>
            <w:tcW w:w="6715" w:type="dxa"/>
          </w:tcPr>
          <w:p w14:paraId="6A0B60B2" w14:textId="77777777" w:rsidR="00AA22CB" w:rsidRPr="00C452B7" w:rsidRDefault="00AA22CB" w:rsidP="00650F1F">
            <w:pPr>
              <w:pStyle w:val="ListParagraph"/>
              <w:numPr>
                <w:ilvl w:val="1"/>
                <w:numId w:val="1"/>
              </w:numPr>
              <w:pBdr>
                <w:top w:val="nil"/>
                <w:left w:val="nil"/>
                <w:bottom w:val="nil"/>
                <w:right w:val="nil"/>
                <w:between w:val="nil"/>
              </w:pBdr>
              <w:jc w:val="both"/>
              <w:rPr>
                <w:rFonts w:ascii="Times New Roman" w:hAnsi="Times New Roman" w:cs="Times New Roman"/>
                <w:sz w:val="24"/>
                <w:szCs w:val="24"/>
                <w:lang w:val="en-US"/>
              </w:rPr>
            </w:pPr>
            <w:r w:rsidRPr="00C452B7">
              <w:rPr>
                <w:rFonts w:ascii="Times New Roman" w:hAnsi="Times New Roman" w:cs="Times New Roman"/>
                <w:sz w:val="24"/>
                <w:szCs w:val="24"/>
                <w:lang w:val="en-US"/>
              </w:rPr>
              <w:t>Data on the average time children actually spend in pretrial detention.</w:t>
            </w:r>
          </w:p>
          <w:p w14:paraId="51896A40" w14:textId="77777777" w:rsidR="00AA22CB" w:rsidRPr="00C452B7" w:rsidRDefault="00AA22CB" w:rsidP="00650F1F">
            <w:pPr>
              <w:pStyle w:val="ListParagraph"/>
              <w:numPr>
                <w:ilvl w:val="1"/>
                <w:numId w:val="1"/>
              </w:numPr>
              <w:pBdr>
                <w:top w:val="nil"/>
                <w:left w:val="nil"/>
                <w:bottom w:val="nil"/>
                <w:right w:val="nil"/>
                <w:between w:val="nil"/>
              </w:pBdr>
              <w:jc w:val="both"/>
              <w:rPr>
                <w:rFonts w:ascii="Times New Roman" w:hAnsi="Times New Roman" w:cs="Times New Roman"/>
                <w:sz w:val="24"/>
                <w:szCs w:val="24"/>
                <w:lang w:val="en-US"/>
              </w:rPr>
            </w:pPr>
            <w:r w:rsidRPr="00C452B7">
              <w:rPr>
                <w:rFonts w:ascii="Times New Roman" w:hAnsi="Times New Roman" w:cs="Times New Roman"/>
                <w:sz w:val="24"/>
                <w:szCs w:val="24"/>
                <w:lang w:val="en-US"/>
              </w:rPr>
              <w:t>Data on the number of children who spend longer than the maximum time in pretrial detention.</w:t>
            </w:r>
          </w:p>
          <w:p w14:paraId="1FBDEE12" w14:textId="77777777" w:rsidR="00AA22CB" w:rsidRPr="00C452B7" w:rsidRDefault="00AA22CB" w:rsidP="00650F1F">
            <w:pPr>
              <w:pStyle w:val="ListParagraph"/>
              <w:numPr>
                <w:ilvl w:val="1"/>
                <w:numId w:val="1"/>
              </w:numPr>
              <w:pBdr>
                <w:top w:val="nil"/>
                <w:left w:val="nil"/>
                <w:bottom w:val="nil"/>
                <w:right w:val="nil"/>
                <w:between w:val="nil"/>
              </w:pBdr>
              <w:jc w:val="both"/>
              <w:rPr>
                <w:rFonts w:ascii="Times New Roman" w:hAnsi="Times New Roman" w:cs="Times New Roman"/>
                <w:sz w:val="24"/>
                <w:szCs w:val="24"/>
                <w:lang w:val="en-US"/>
              </w:rPr>
            </w:pPr>
            <w:r w:rsidRPr="00C452B7">
              <w:rPr>
                <w:rFonts w:ascii="Times New Roman" w:hAnsi="Times New Roman" w:cs="Times New Roman"/>
                <w:sz w:val="24"/>
                <w:szCs w:val="24"/>
                <w:lang w:val="en-US"/>
              </w:rPr>
              <w:t>Data on duration of pretrial detention as it varies by race, gender, religion or other relevant characteristics.</w:t>
            </w:r>
          </w:p>
          <w:p w14:paraId="5462F3B1" w14:textId="77777777" w:rsidR="00AA22CB" w:rsidRPr="00C452B7" w:rsidRDefault="00AA22CB" w:rsidP="00650F1F">
            <w:pPr>
              <w:pStyle w:val="ListParagraph"/>
              <w:numPr>
                <w:ilvl w:val="1"/>
                <w:numId w:val="1"/>
              </w:numPr>
              <w:pBdr>
                <w:top w:val="nil"/>
                <w:left w:val="nil"/>
                <w:bottom w:val="nil"/>
                <w:right w:val="nil"/>
                <w:between w:val="nil"/>
              </w:pBdr>
              <w:jc w:val="both"/>
              <w:rPr>
                <w:rFonts w:ascii="Times New Roman" w:hAnsi="Times New Roman" w:cs="Times New Roman"/>
                <w:sz w:val="24"/>
                <w:szCs w:val="24"/>
                <w:lang w:val="en-US"/>
              </w:rPr>
            </w:pPr>
            <w:r w:rsidRPr="00C452B7">
              <w:rPr>
                <w:rFonts w:ascii="Times New Roman" w:hAnsi="Times New Roman" w:cs="Times New Roman"/>
                <w:sz w:val="24"/>
                <w:szCs w:val="24"/>
                <w:lang w:val="en-US"/>
              </w:rPr>
              <w:t>Data on efforts to reduce the length of pretrial detention and expedite cases.</w:t>
            </w:r>
          </w:p>
          <w:p w14:paraId="5C9C4283" w14:textId="5736514D" w:rsidR="00AA22CB" w:rsidRPr="00C452B7" w:rsidRDefault="00AA22CB" w:rsidP="00B3016D">
            <w:pPr>
              <w:pStyle w:val="ListParagraph"/>
              <w:numPr>
                <w:ilvl w:val="1"/>
                <w:numId w:val="1"/>
              </w:numPr>
              <w:pBdr>
                <w:top w:val="nil"/>
                <w:left w:val="nil"/>
                <w:bottom w:val="nil"/>
                <w:right w:val="nil"/>
                <w:between w:val="nil"/>
              </w:pBdr>
              <w:jc w:val="both"/>
              <w:rPr>
                <w:rFonts w:ascii="Times New Roman" w:hAnsi="Times New Roman" w:cs="Times New Roman"/>
                <w:sz w:val="24"/>
                <w:szCs w:val="24"/>
                <w:lang w:val="en-US"/>
              </w:rPr>
            </w:pPr>
            <w:r w:rsidRPr="00C452B7">
              <w:rPr>
                <w:rFonts w:ascii="Times New Roman" w:hAnsi="Times New Roman" w:cs="Times New Roman"/>
                <w:sz w:val="24"/>
                <w:szCs w:val="24"/>
                <w:lang w:val="en-US"/>
              </w:rPr>
              <w:t>Information on how appeals and other challenges affect duration of pretrial detention.</w:t>
            </w:r>
          </w:p>
        </w:tc>
      </w:tr>
      <w:tr w:rsidR="00AA22CB" w:rsidRPr="004922D7" w14:paraId="6543F5CF" w14:textId="77777777" w:rsidTr="00771AF5">
        <w:tc>
          <w:tcPr>
            <w:tcW w:w="2141" w:type="dxa"/>
          </w:tcPr>
          <w:p w14:paraId="1981AF8A" w14:textId="77777777" w:rsidR="00AA22CB" w:rsidRPr="004922D7" w:rsidRDefault="00AA22CB" w:rsidP="00650F1F">
            <w:pPr>
              <w:rPr>
                <w:rFonts w:ascii="Times New Roman" w:hAnsi="Times New Roman" w:cs="Times New Roman"/>
              </w:rPr>
            </w:pPr>
            <w:r w:rsidRPr="004922D7">
              <w:rPr>
                <w:rFonts w:ascii="Times New Roman" w:hAnsi="Times New Roman" w:cs="Times New Roman"/>
              </w:rPr>
              <w:t>Link to Global Study</w:t>
            </w:r>
          </w:p>
        </w:tc>
        <w:tc>
          <w:tcPr>
            <w:tcW w:w="6715" w:type="dxa"/>
          </w:tcPr>
          <w:p w14:paraId="1F381115" w14:textId="77777777" w:rsidR="00AA22CB" w:rsidRPr="004922D7" w:rsidRDefault="00040676" w:rsidP="00650F1F">
            <w:pPr>
              <w:shd w:val="clear" w:color="auto" w:fill="FFFFFF"/>
              <w:rPr>
                <w:rFonts w:ascii="Times New Roman" w:hAnsi="Times New Roman" w:cs="Times New Roman"/>
                <w:color w:val="222222"/>
              </w:rPr>
            </w:pPr>
            <w:hyperlink r:id="rId9" w:tgtFrame="_blank" w:history="1">
              <w:r w:rsidR="00AA22CB" w:rsidRPr="004922D7">
                <w:rPr>
                  <w:rFonts w:ascii="Times New Roman" w:hAnsi="Times New Roman" w:cs="Times New Roman"/>
                  <w:color w:val="1155CC"/>
                  <w:u w:val="single"/>
                </w:rPr>
                <w:br/>
              </w:r>
              <w:r w:rsidR="00AA22CB" w:rsidRPr="004922D7">
                <w:rPr>
                  <w:rStyle w:val="Hyperlink"/>
                  <w:rFonts w:ascii="Times New Roman" w:hAnsi="Times New Roman" w:cs="Times New Roman"/>
                  <w:color w:val="1155CC"/>
                </w:rPr>
                <w:t>https://jjimexico.org/ptd-report/</w:t>
              </w:r>
            </w:hyperlink>
          </w:p>
          <w:p w14:paraId="44F42533" w14:textId="77777777" w:rsidR="00AA22CB" w:rsidRPr="004922D7" w:rsidRDefault="00AA22CB" w:rsidP="00650F1F">
            <w:pPr>
              <w:rPr>
                <w:rFonts w:ascii="Times New Roman" w:hAnsi="Times New Roman" w:cs="Times New Roman"/>
              </w:rPr>
            </w:pPr>
          </w:p>
        </w:tc>
      </w:tr>
    </w:tbl>
    <w:p w14:paraId="7B39EFB2" w14:textId="77777777" w:rsidR="00AA22CB" w:rsidRPr="004922D7" w:rsidRDefault="00AA22CB" w:rsidP="00AA22CB">
      <w:pPr>
        <w:rPr>
          <w:rFonts w:ascii="Times New Roman" w:hAnsi="Times New Roman" w:cs="Times New Roman"/>
        </w:rPr>
      </w:pPr>
    </w:p>
    <w:p w14:paraId="113143CC" w14:textId="2A02B011" w:rsidR="00AA22CB" w:rsidRPr="004922D7" w:rsidRDefault="00AA22CB">
      <w:pPr>
        <w:rPr>
          <w:rFonts w:ascii="Times New Roman" w:hAnsi="Times New Roman" w:cs="Times New Roman"/>
        </w:rPr>
      </w:pPr>
    </w:p>
    <w:p w14:paraId="4429568A" w14:textId="00E9C839" w:rsidR="00AA22CB" w:rsidRPr="004922D7" w:rsidRDefault="00AA22CB">
      <w:pPr>
        <w:rPr>
          <w:rFonts w:ascii="Times New Roman" w:hAnsi="Times New Roman" w:cs="Times New Roman"/>
        </w:rPr>
      </w:pPr>
    </w:p>
    <w:p w14:paraId="23B2EF40" w14:textId="22913B1A" w:rsidR="00AA22CB" w:rsidRPr="004922D7" w:rsidRDefault="00AA22CB">
      <w:pPr>
        <w:rPr>
          <w:rFonts w:ascii="Times New Roman" w:hAnsi="Times New Roman" w:cs="Times New Roman"/>
        </w:rPr>
      </w:pPr>
    </w:p>
    <w:p w14:paraId="3895130C" w14:textId="77777777" w:rsidR="00AA22CB" w:rsidRPr="004922D7" w:rsidRDefault="00AA22CB">
      <w:pPr>
        <w:rPr>
          <w:rFonts w:ascii="Times New Roman" w:hAnsi="Times New Roman" w:cs="Times New Roman"/>
        </w:rPr>
      </w:pPr>
    </w:p>
    <w:sectPr w:rsidR="00AA22CB" w:rsidRPr="004922D7" w:rsidSect="00522026">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D0CEFE5" w14:textId="77777777" w:rsidR="00BF213C" w:rsidRDefault="00BF213C" w:rsidP="000A296B">
      <w:r>
        <w:separator/>
      </w:r>
    </w:p>
  </w:endnote>
  <w:endnote w:type="continuationSeparator" w:id="0">
    <w:p w14:paraId="68724779" w14:textId="77777777" w:rsidR="00BF213C" w:rsidRDefault="00BF213C" w:rsidP="000A29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Times New Roman"/>
    <w:charset w:val="00"/>
    <w:family w:val="swiss"/>
    <w:pitch w:val="variable"/>
    <w:sig w:usb0="E1000AEF" w:usb1="5000A1FF" w:usb2="00000000" w:usb3="00000000" w:csb0="000001B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D78737" w14:textId="77777777" w:rsidR="00BF213C" w:rsidRDefault="00BF213C" w:rsidP="000A296B">
      <w:r>
        <w:separator/>
      </w:r>
    </w:p>
  </w:footnote>
  <w:footnote w:type="continuationSeparator" w:id="0">
    <w:p w14:paraId="640D5309" w14:textId="77777777" w:rsidR="00BF213C" w:rsidRDefault="00BF213C" w:rsidP="000A296B">
      <w:r>
        <w:continuationSeparator/>
      </w:r>
    </w:p>
  </w:footnote>
  <w:footnote w:id="1">
    <w:p w14:paraId="7C27FDF9" w14:textId="77777777" w:rsidR="00CD0839" w:rsidRPr="00251BCE" w:rsidRDefault="00CD0839" w:rsidP="00CD0839">
      <w:pPr>
        <w:rPr>
          <w:rFonts w:eastAsia="Calibri"/>
          <w:sz w:val="20"/>
          <w:szCs w:val="20"/>
        </w:rPr>
      </w:pPr>
      <w:r w:rsidRPr="00C828DE">
        <w:rPr>
          <w:sz w:val="20"/>
          <w:szCs w:val="20"/>
          <w:vertAlign w:val="superscript"/>
        </w:rPr>
        <w:footnoteRef/>
      </w:r>
      <w:r w:rsidRPr="00C828DE">
        <w:rPr>
          <w:rFonts w:eastAsia="Calibri"/>
          <w:sz w:val="20"/>
          <w:szCs w:val="20"/>
        </w:rPr>
        <w:t xml:space="preserve"> </w:t>
      </w:r>
      <w:r w:rsidRPr="00253B3B">
        <w:rPr>
          <w:rFonts w:eastAsia="Calibri"/>
          <w:sz w:val="20"/>
          <w:szCs w:val="20"/>
        </w:rPr>
        <w:t xml:space="preserve">Patrick Webb &amp; William Allen </w:t>
      </w:r>
      <w:proofErr w:type="spellStart"/>
      <w:r w:rsidRPr="00253B3B">
        <w:rPr>
          <w:rFonts w:eastAsia="Calibri"/>
          <w:sz w:val="20"/>
          <w:szCs w:val="20"/>
        </w:rPr>
        <w:t>Kritsonis</w:t>
      </w:r>
      <w:proofErr w:type="spellEnd"/>
      <w:r w:rsidRPr="00253B3B">
        <w:rPr>
          <w:rFonts w:eastAsia="Calibri"/>
          <w:sz w:val="20"/>
          <w:szCs w:val="20"/>
        </w:rPr>
        <w:t xml:space="preserve">, </w:t>
      </w:r>
      <w:r w:rsidRPr="003D0A00">
        <w:rPr>
          <w:rFonts w:eastAsia="Calibri"/>
          <w:i/>
          <w:sz w:val="20"/>
          <w:szCs w:val="20"/>
        </w:rPr>
        <w:t>Controlling those Kids: Social Control and the Use of Pretrial Detention among Youth in the United States of America: National Implications</w:t>
      </w:r>
      <w:r w:rsidRPr="00253B3B">
        <w:rPr>
          <w:rFonts w:eastAsia="Calibri"/>
          <w:sz w:val="20"/>
          <w:szCs w:val="20"/>
        </w:rPr>
        <w:t xml:space="preserve">, </w:t>
      </w:r>
      <w:r>
        <w:rPr>
          <w:rFonts w:eastAsia="Calibri"/>
          <w:smallCaps/>
          <w:sz w:val="20"/>
          <w:szCs w:val="20"/>
        </w:rPr>
        <w:t xml:space="preserve">ERIC </w:t>
      </w:r>
      <w:r w:rsidRPr="00253B3B">
        <w:rPr>
          <w:rFonts w:eastAsia="Calibri"/>
          <w:sz w:val="20"/>
          <w:szCs w:val="20"/>
        </w:rPr>
        <w:t>(Oct. 2006), https://eric.ed.gov/?id=ED493565.</w:t>
      </w:r>
      <w:r w:rsidRPr="00253B3B" w:rsidDel="00253B3B">
        <w:rPr>
          <w:rFonts w:eastAsia="Calibri"/>
          <w:sz w:val="20"/>
          <w:szCs w:val="20"/>
        </w:rPr>
        <w:t xml:space="preserve"> </w:t>
      </w:r>
    </w:p>
  </w:footnote>
  <w:footnote w:id="2">
    <w:p w14:paraId="2547237C" w14:textId="77777777" w:rsidR="00CD0839" w:rsidRPr="00D96CED" w:rsidRDefault="00CD0839" w:rsidP="00CD0839">
      <w:pPr>
        <w:rPr>
          <w:rFonts w:eastAsia="Calibri"/>
          <w:sz w:val="20"/>
          <w:szCs w:val="20"/>
        </w:rPr>
      </w:pPr>
      <w:r w:rsidRPr="00D96CED">
        <w:rPr>
          <w:sz w:val="20"/>
          <w:szCs w:val="20"/>
          <w:vertAlign w:val="superscript"/>
        </w:rPr>
        <w:footnoteRef/>
      </w:r>
      <w:r w:rsidRPr="00D96CED">
        <w:rPr>
          <w:rFonts w:eastAsia="Calibri"/>
          <w:sz w:val="20"/>
          <w:szCs w:val="20"/>
        </w:rPr>
        <w:t xml:space="preserve"> </w:t>
      </w:r>
      <w:r w:rsidRPr="00B83369">
        <w:rPr>
          <w:sz w:val="20"/>
          <w:szCs w:val="20"/>
        </w:rPr>
        <w:t>G.A. Res. 44/25, Convention on the Rights of the Child, art. 37(b) (Nov. 20, 1989) [hereinafter CRC].</w:t>
      </w:r>
    </w:p>
  </w:footnote>
  <w:footnote w:id="3">
    <w:p w14:paraId="3529006C" w14:textId="77777777" w:rsidR="00CD0839" w:rsidRDefault="00CD0839" w:rsidP="00CD0839">
      <w:pPr>
        <w:pStyle w:val="FootnoteText"/>
        <w:jc w:val="left"/>
      </w:pPr>
      <w:r>
        <w:rPr>
          <w:rStyle w:val="FootnoteReference"/>
        </w:rPr>
        <w:footnoteRef/>
      </w:r>
      <w:r>
        <w:t xml:space="preserve"> Comm. on the Rights of the Child, </w:t>
      </w:r>
      <w:r w:rsidRPr="00D47D44">
        <w:rPr>
          <w:bCs/>
        </w:rPr>
        <w:t>General Comment 10: Children's Rights in Juvenile Justice</w:t>
      </w:r>
      <w:r>
        <w:t>, § 80, U.N. Doc. CRC/C/GC/10 (Apr. 25, 2007) [hereinafter CRC General Comment 10].</w:t>
      </w:r>
    </w:p>
  </w:footnote>
  <w:footnote w:id="4">
    <w:p w14:paraId="010207CE" w14:textId="77777777" w:rsidR="00CD0839" w:rsidRPr="00764FDC" w:rsidRDefault="00CD0839" w:rsidP="00CD0839">
      <w:pPr>
        <w:pStyle w:val="FootnoteText"/>
      </w:pPr>
      <w:r>
        <w:rPr>
          <w:rStyle w:val="FootnoteReference"/>
        </w:rPr>
        <w:footnoteRef/>
      </w:r>
      <w:r>
        <w:t xml:space="preserve"> </w:t>
      </w:r>
      <w:r>
        <w:rPr>
          <w:i/>
        </w:rPr>
        <w:t xml:space="preserve">Id. </w:t>
      </w:r>
      <w:r>
        <w:t>¶ 83 (specifying that regular review is “preferably every two weeks”).</w:t>
      </w:r>
    </w:p>
  </w:footnote>
  <w:footnote w:id="5">
    <w:p w14:paraId="45F211C6" w14:textId="77777777" w:rsidR="00CD0839" w:rsidRPr="00D96CED" w:rsidRDefault="00CD0839" w:rsidP="00CD0839">
      <w:pPr>
        <w:rPr>
          <w:rFonts w:eastAsia="Calibri"/>
          <w:sz w:val="20"/>
          <w:szCs w:val="20"/>
        </w:rPr>
      </w:pPr>
      <w:r w:rsidRPr="00D96CED">
        <w:rPr>
          <w:sz w:val="20"/>
          <w:szCs w:val="20"/>
          <w:vertAlign w:val="superscript"/>
        </w:rPr>
        <w:footnoteRef/>
      </w:r>
      <w:r w:rsidRPr="00D96CED">
        <w:rPr>
          <w:rFonts w:eastAsia="Calibri"/>
          <w:sz w:val="20"/>
          <w:szCs w:val="20"/>
        </w:rPr>
        <w:t xml:space="preserve"> </w:t>
      </w:r>
      <w:r w:rsidRPr="00B83369">
        <w:rPr>
          <w:sz w:val="20"/>
          <w:szCs w:val="20"/>
        </w:rPr>
        <w:t xml:space="preserve">Moritz </w:t>
      </w:r>
      <w:proofErr w:type="spellStart"/>
      <w:r w:rsidRPr="00B83369">
        <w:rPr>
          <w:sz w:val="20"/>
          <w:szCs w:val="20"/>
        </w:rPr>
        <w:t>Birk</w:t>
      </w:r>
      <w:proofErr w:type="spellEnd"/>
      <w:r w:rsidRPr="00B83369">
        <w:rPr>
          <w:sz w:val="20"/>
          <w:szCs w:val="20"/>
        </w:rPr>
        <w:t xml:space="preserve"> et. al., </w:t>
      </w:r>
      <w:r w:rsidRPr="00D96CED">
        <w:rPr>
          <w:rFonts w:eastAsia="Calibri"/>
          <w:i/>
          <w:sz w:val="20"/>
          <w:szCs w:val="20"/>
        </w:rPr>
        <w:t>Pretrial Detention and Torture: Why Pretrial Detainees Face the Greatest Risk</w:t>
      </w:r>
      <w:r w:rsidRPr="00D96CED">
        <w:rPr>
          <w:rFonts w:eastAsia="Calibri"/>
          <w:sz w:val="20"/>
          <w:szCs w:val="20"/>
        </w:rPr>
        <w:t xml:space="preserve">, </w:t>
      </w:r>
      <w:r>
        <w:rPr>
          <w:rFonts w:eastAsia="Calibri"/>
          <w:sz w:val="20"/>
          <w:szCs w:val="20"/>
        </w:rPr>
        <w:t xml:space="preserve">27, </w:t>
      </w:r>
      <w:r>
        <w:rPr>
          <w:rFonts w:eastAsia="Calibri"/>
          <w:smallCaps/>
          <w:sz w:val="20"/>
          <w:szCs w:val="20"/>
        </w:rPr>
        <w:t>Open Soc’</w:t>
      </w:r>
      <w:r w:rsidRPr="00D96CED">
        <w:rPr>
          <w:rFonts w:eastAsia="Calibri"/>
          <w:smallCaps/>
          <w:sz w:val="20"/>
          <w:szCs w:val="20"/>
        </w:rPr>
        <w:t>y Found</w:t>
      </w:r>
      <w:r w:rsidRPr="00C828DE">
        <w:rPr>
          <w:rFonts w:eastAsia="Calibri"/>
          <w:sz w:val="20"/>
          <w:szCs w:val="20"/>
        </w:rPr>
        <w:t>. (2011))</w:t>
      </w:r>
      <w:r>
        <w:rPr>
          <w:rFonts w:eastAsia="Calibri"/>
          <w:sz w:val="20"/>
          <w:szCs w:val="20"/>
        </w:rPr>
        <w:t xml:space="preserve">, </w:t>
      </w:r>
      <w:hyperlink r:id="rId1" w:history="1">
        <w:r w:rsidRPr="00D96CED">
          <w:rPr>
            <w:rStyle w:val="Hyperlink"/>
            <w:rFonts w:eastAsia="Calibri"/>
            <w:sz w:val="20"/>
            <w:szCs w:val="20"/>
          </w:rPr>
          <w:t>https://www.opensocietyfoundations.org/sites/default/files/pretrial-detention-and-torture-06222011.pdf</w:t>
        </w:r>
      </w:hyperlink>
      <w:r w:rsidRPr="00D96CED">
        <w:rPr>
          <w:rFonts w:eastAsia="Calibri"/>
          <w:sz w:val="20"/>
          <w:szCs w:val="20"/>
        </w:rPr>
        <w:t xml:space="preserve">. </w:t>
      </w:r>
    </w:p>
  </w:footnote>
  <w:footnote w:id="6">
    <w:p w14:paraId="72A0ABA6" w14:textId="77777777" w:rsidR="00CD0839" w:rsidRPr="00D96CED" w:rsidRDefault="00CD0839" w:rsidP="00CD0839">
      <w:pPr>
        <w:rPr>
          <w:rFonts w:eastAsia="Calibri"/>
          <w:sz w:val="20"/>
          <w:szCs w:val="20"/>
        </w:rPr>
      </w:pPr>
      <w:r w:rsidRPr="00D96CED">
        <w:rPr>
          <w:sz w:val="20"/>
          <w:szCs w:val="20"/>
          <w:vertAlign w:val="superscript"/>
        </w:rPr>
        <w:footnoteRef/>
      </w:r>
      <w:r w:rsidRPr="00D96CED">
        <w:rPr>
          <w:rFonts w:eastAsia="Calibri"/>
          <w:sz w:val="20"/>
          <w:szCs w:val="20"/>
        </w:rPr>
        <w:t xml:space="preserve"> Barry Holman &amp; Jason </w:t>
      </w:r>
      <w:proofErr w:type="spellStart"/>
      <w:r w:rsidRPr="00D96CED">
        <w:rPr>
          <w:rFonts w:eastAsia="Calibri"/>
          <w:sz w:val="20"/>
          <w:szCs w:val="20"/>
        </w:rPr>
        <w:t>Ziedenber</w:t>
      </w:r>
      <w:r>
        <w:rPr>
          <w:rFonts w:eastAsia="Calibri"/>
          <w:sz w:val="20"/>
          <w:szCs w:val="20"/>
        </w:rPr>
        <w:t>g</w:t>
      </w:r>
      <w:proofErr w:type="spellEnd"/>
      <w:r w:rsidRPr="00D96CED">
        <w:rPr>
          <w:rFonts w:eastAsia="Calibri"/>
          <w:sz w:val="20"/>
          <w:szCs w:val="20"/>
        </w:rPr>
        <w:t xml:space="preserve">. </w:t>
      </w:r>
      <w:r w:rsidRPr="00D96CED">
        <w:rPr>
          <w:rFonts w:eastAsia="Calibri"/>
          <w:i/>
          <w:sz w:val="20"/>
          <w:szCs w:val="20"/>
        </w:rPr>
        <w:t>The Dangers of Detention: The Impact of Incarcerating Youth in Detention and Other Secure Facilities</w:t>
      </w:r>
      <w:r w:rsidRPr="00D96CED">
        <w:rPr>
          <w:rFonts w:eastAsia="Calibri"/>
          <w:sz w:val="20"/>
          <w:szCs w:val="20"/>
        </w:rPr>
        <w:t xml:space="preserve">, </w:t>
      </w:r>
      <w:r>
        <w:rPr>
          <w:rFonts w:eastAsia="Calibri"/>
          <w:sz w:val="20"/>
          <w:szCs w:val="20"/>
        </w:rPr>
        <w:t xml:space="preserve">3–10, </w:t>
      </w:r>
      <w:r w:rsidRPr="00B0537C">
        <w:rPr>
          <w:rFonts w:eastAsia="Calibri"/>
          <w:smallCaps/>
          <w:sz w:val="20"/>
          <w:szCs w:val="20"/>
        </w:rPr>
        <w:t>Just</w:t>
      </w:r>
      <w:r>
        <w:rPr>
          <w:rFonts w:eastAsia="Calibri"/>
          <w:smallCaps/>
          <w:sz w:val="20"/>
          <w:szCs w:val="20"/>
        </w:rPr>
        <w:t>.</w:t>
      </w:r>
      <w:r w:rsidRPr="00B0537C">
        <w:rPr>
          <w:rFonts w:eastAsia="Calibri"/>
          <w:smallCaps/>
          <w:sz w:val="20"/>
          <w:szCs w:val="20"/>
        </w:rPr>
        <w:t xml:space="preserve"> </w:t>
      </w:r>
      <w:proofErr w:type="spellStart"/>
      <w:r w:rsidRPr="00B0537C">
        <w:rPr>
          <w:rFonts w:eastAsia="Calibri"/>
          <w:smallCaps/>
          <w:sz w:val="20"/>
          <w:szCs w:val="20"/>
        </w:rPr>
        <w:t>Pol</w:t>
      </w:r>
      <w:r>
        <w:rPr>
          <w:rFonts w:eastAsia="Calibri"/>
          <w:smallCaps/>
          <w:sz w:val="20"/>
          <w:szCs w:val="20"/>
        </w:rPr>
        <w:t>’</w:t>
      </w:r>
      <w:r w:rsidRPr="00B0537C">
        <w:rPr>
          <w:rFonts w:eastAsia="Calibri"/>
          <w:smallCaps/>
          <w:sz w:val="20"/>
          <w:szCs w:val="20"/>
        </w:rPr>
        <w:t>y</w:t>
      </w:r>
      <w:proofErr w:type="spellEnd"/>
      <w:r w:rsidRPr="00B0537C">
        <w:rPr>
          <w:rFonts w:eastAsia="Calibri"/>
          <w:smallCaps/>
          <w:sz w:val="20"/>
          <w:szCs w:val="20"/>
        </w:rPr>
        <w:t xml:space="preserve"> Inst</w:t>
      </w:r>
      <w:r>
        <w:rPr>
          <w:rFonts w:eastAsia="Calibri"/>
          <w:smallCaps/>
          <w:sz w:val="20"/>
          <w:szCs w:val="20"/>
        </w:rPr>
        <w:t>.</w:t>
      </w:r>
      <w:r w:rsidRPr="00D96CED">
        <w:rPr>
          <w:rFonts w:eastAsia="Calibri"/>
          <w:sz w:val="20"/>
          <w:szCs w:val="20"/>
        </w:rPr>
        <w:t xml:space="preserve"> (Nov. 28, 2006)</w:t>
      </w:r>
      <w:r>
        <w:rPr>
          <w:rFonts w:eastAsia="Calibri"/>
          <w:sz w:val="20"/>
          <w:szCs w:val="20"/>
        </w:rPr>
        <w:t xml:space="preserve">, </w:t>
      </w:r>
      <w:hyperlink r:id="rId2" w:history="1">
        <w:r w:rsidRPr="00933000">
          <w:rPr>
            <w:rStyle w:val="Hyperlink"/>
            <w:rFonts w:eastAsia="Calibri"/>
            <w:sz w:val="20"/>
            <w:szCs w:val="20"/>
          </w:rPr>
          <w:t>http://www.justicepolicy.org/images/upload/06-11_rep_dangersofdetention_jj.pdf</w:t>
        </w:r>
      </w:hyperlink>
      <w:r>
        <w:rPr>
          <w:rFonts w:eastAsia="Calibri"/>
          <w:sz w:val="20"/>
          <w:szCs w:val="20"/>
        </w:rPr>
        <w:t xml:space="preserve">. </w:t>
      </w:r>
    </w:p>
  </w:footnote>
  <w:footnote w:id="7">
    <w:p w14:paraId="18E5F8FE" w14:textId="77777777" w:rsidR="00CD0839" w:rsidRPr="005F3659" w:rsidRDefault="00CD0839" w:rsidP="00CD0839">
      <w:pPr>
        <w:rPr>
          <w:rFonts w:eastAsia="Calibri"/>
          <w:sz w:val="20"/>
          <w:lang w:val="es-MX"/>
        </w:rPr>
      </w:pPr>
      <w:r w:rsidRPr="00D96CED">
        <w:rPr>
          <w:sz w:val="20"/>
          <w:szCs w:val="20"/>
          <w:vertAlign w:val="superscript"/>
        </w:rPr>
        <w:footnoteRef/>
      </w:r>
      <w:r w:rsidRPr="009C3BC5">
        <w:rPr>
          <w:rFonts w:eastAsia="Calibri"/>
          <w:sz w:val="20"/>
          <w:szCs w:val="20"/>
          <w:lang w:val="es-MX"/>
        </w:rPr>
        <w:t xml:space="preserve"> </w:t>
      </w:r>
      <w:r w:rsidRPr="009C3BC5">
        <w:rPr>
          <w:rFonts w:eastAsia="Calibri"/>
          <w:i/>
          <w:sz w:val="20"/>
          <w:szCs w:val="20"/>
          <w:lang w:val="es-MX"/>
        </w:rPr>
        <w:t>E.g.</w:t>
      </w:r>
      <w:r w:rsidRPr="009C3BC5">
        <w:rPr>
          <w:rFonts w:eastAsia="Calibri"/>
          <w:sz w:val="20"/>
          <w:szCs w:val="20"/>
          <w:lang w:val="es-MX"/>
        </w:rPr>
        <w:t xml:space="preserve">, </w:t>
      </w:r>
      <w:r w:rsidRPr="003D0A00">
        <w:rPr>
          <w:i/>
          <w:sz w:val="20"/>
          <w:szCs w:val="20"/>
          <w:lang w:val="es-MX"/>
        </w:rPr>
        <w:t xml:space="preserve">Diagnóstico del Sistema de Justicia Para Adolescentes del Estado de Chihuahua: </w:t>
      </w:r>
      <w:r>
        <w:rPr>
          <w:i/>
          <w:sz w:val="20"/>
          <w:szCs w:val="20"/>
          <w:lang w:val="es-MX"/>
        </w:rPr>
        <w:t>“</w:t>
      </w:r>
      <w:r w:rsidRPr="003D0A00">
        <w:rPr>
          <w:i/>
          <w:sz w:val="20"/>
          <w:szCs w:val="20"/>
          <w:lang w:val="es-MX"/>
        </w:rPr>
        <w:t>Buenas Prácticas para las Alternativas a la Detención</w:t>
      </w:r>
      <w:r>
        <w:rPr>
          <w:i/>
          <w:sz w:val="20"/>
          <w:szCs w:val="20"/>
          <w:lang w:val="es-MX"/>
        </w:rPr>
        <w:t>”</w:t>
      </w:r>
      <w:r w:rsidRPr="00423E44">
        <w:rPr>
          <w:sz w:val="20"/>
          <w:szCs w:val="20"/>
          <w:lang w:val="es-MX"/>
        </w:rPr>
        <w:t xml:space="preserve">, </w:t>
      </w:r>
      <w:r>
        <w:rPr>
          <w:sz w:val="20"/>
          <w:szCs w:val="20"/>
          <w:lang w:val="es-MX"/>
        </w:rPr>
        <w:t>8–10</w:t>
      </w:r>
      <w:r w:rsidRPr="003D0A00">
        <w:rPr>
          <w:sz w:val="20"/>
          <w:szCs w:val="20"/>
          <w:lang w:val="es-MX"/>
        </w:rPr>
        <w:t xml:space="preserve">, </w:t>
      </w:r>
      <w:r w:rsidRPr="003D0A00">
        <w:rPr>
          <w:smallCaps/>
          <w:sz w:val="20"/>
          <w:szCs w:val="20"/>
          <w:lang w:val="es-MX"/>
        </w:rPr>
        <w:t>Justicia Juvenil Int’l</w:t>
      </w:r>
      <w:r w:rsidRPr="00423E44">
        <w:rPr>
          <w:sz w:val="20"/>
          <w:szCs w:val="20"/>
          <w:lang w:val="es-MX"/>
        </w:rPr>
        <w:t xml:space="preserve"> (Sept. 2017)</w:t>
      </w:r>
      <w:r>
        <w:rPr>
          <w:sz w:val="20"/>
          <w:szCs w:val="20"/>
          <w:lang w:val="es-MX"/>
        </w:rPr>
        <w:t xml:space="preserve"> </w:t>
      </w:r>
      <w:r w:rsidRPr="003D0A00">
        <w:rPr>
          <w:sz w:val="20"/>
          <w:szCs w:val="20"/>
          <w:lang w:val="es-MX"/>
        </w:rPr>
        <w:t>https://jjimexico.org/projects/chihuahua</w:t>
      </w:r>
      <w:r w:rsidRPr="003D0A00">
        <w:rPr>
          <w:color w:val="FF0000"/>
          <w:sz w:val="20"/>
          <w:szCs w:val="20"/>
          <w:lang w:val="es-MX"/>
        </w:rPr>
        <w:t xml:space="preserve"> </w:t>
      </w:r>
      <w:r w:rsidRPr="003D0A00">
        <w:rPr>
          <w:sz w:val="20"/>
          <w:szCs w:val="20"/>
          <w:lang w:val="es-MX"/>
        </w:rPr>
        <w:t xml:space="preserve">[hereinafter </w:t>
      </w:r>
      <w:r w:rsidRPr="003D0A00">
        <w:rPr>
          <w:i/>
          <w:sz w:val="20"/>
          <w:szCs w:val="20"/>
          <w:lang w:val="es-MX"/>
        </w:rPr>
        <w:t>Diagnóstico 2017</w:t>
      </w:r>
      <w:r w:rsidRPr="00965283">
        <w:rPr>
          <w:sz w:val="20"/>
          <w:szCs w:val="20"/>
          <w:lang w:val="es-MX"/>
        </w:rPr>
        <w:t>]</w:t>
      </w:r>
      <w:r>
        <w:rPr>
          <w:sz w:val="20"/>
          <w:szCs w:val="20"/>
          <w:lang w:val="es-MX"/>
        </w:rPr>
        <w:t>.</w:t>
      </w:r>
    </w:p>
  </w:footnote>
  <w:footnote w:id="8">
    <w:p w14:paraId="498DDB26" w14:textId="77777777" w:rsidR="00CD0839" w:rsidRPr="00BA721A" w:rsidRDefault="00CD0839" w:rsidP="00CD0839">
      <w:pPr>
        <w:pStyle w:val="FootnoteText"/>
      </w:pPr>
      <w:r>
        <w:rPr>
          <w:rStyle w:val="FootnoteReference"/>
        </w:rPr>
        <w:footnoteRef/>
      </w:r>
      <w:r>
        <w:rPr>
          <w:rStyle w:val="FootnoteReference"/>
        </w:rPr>
        <w:footnoteRef/>
      </w:r>
      <w:r>
        <w:rPr>
          <w:rStyle w:val="FootnoteReference"/>
        </w:rPr>
        <w:footnoteRef/>
      </w:r>
      <w:r>
        <w:t xml:space="preserve"> </w:t>
      </w:r>
      <w:r w:rsidRPr="00FF2B5D">
        <w:t xml:space="preserve">Additional methodological information available in </w:t>
      </w:r>
      <w:r>
        <w:rPr>
          <w:i/>
        </w:rPr>
        <w:t xml:space="preserve">Children in Pretrial Detention: Promoting Stronger International Time Limits, </w:t>
      </w:r>
      <w:proofErr w:type="spellStart"/>
      <w:r>
        <w:t>i</w:t>
      </w:r>
      <w:proofErr w:type="spellEnd"/>
      <w:r>
        <w:t>, May, 2018 (available at https:jjimexico.org/ptd-report/)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C0395A"/>
    <w:multiLevelType w:val="hybridMultilevel"/>
    <w:tmpl w:val="EE54AA98"/>
    <w:lvl w:ilvl="0" w:tplc="FFFFFFFF">
      <w:start w:val="1"/>
      <w:numFmt w:val="decimal"/>
      <w:lvlText w:val="(%1)"/>
      <w:lvlJc w:val="left"/>
      <w:pPr>
        <w:tabs>
          <w:tab w:val="num" w:pos="360"/>
        </w:tabs>
        <w:ind w:left="357" w:hanging="357"/>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15:restartNumberingAfterBreak="0">
    <w:nsid w:val="1220102B"/>
    <w:multiLevelType w:val="hybridMultilevel"/>
    <w:tmpl w:val="D1506AEA"/>
    <w:lvl w:ilvl="0" w:tplc="FFFFFFFF">
      <w:start w:val="1"/>
      <w:numFmt w:val="decimal"/>
      <w:lvlText w:val="(%1)"/>
      <w:lvlJc w:val="left"/>
      <w:pPr>
        <w:tabs>
          <w:tab w:val="num" w:pos="360"/>
        </w:tabs>
        <w:ind w:left="357" w:hanging="357"/>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15:restartNumberingAfterBreak="0">
    <w:nsid w:val="1E6F2CD1"/>
    <w:multiLevelType w:val="hybridMultilevel"/>
    <w:tmpl w:val="10B076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D786E4B"/>
    <w:multiLevelType w:val="hybridMultilevel"/>
    <w:tmpl w:val="E15AEAE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45911F32"/>
    <w:multiLevelType w:val="hybridMultilevel"/>
    <w:tmpl w:val="87684882"/>
    <w:lvl w:ilvl="0" w:tplc="0409000F">
      <w:start w:val="1"/>
      <w:numFmt w:val="decimal"/>
      <w:lvlText w:val="%1."/>
      <w:lvlJc w:val="left"/>
      <w:pPr>
        <w:ind w:left="720" w:hanging="360"/>
      </w:pPr>
      <w:rPr>
        <w:rFonts w:hint="default"/>
      </w:rPr>
    </w:lvl>
    <w:lvl w:ilvl="1" w:tplc="04090001">
      <w:start w:val="1"/>
      <w:numFmt w:val="bullet"/>
      <w:lvlText w:val=""/>
      <w:lvlJc w:val="left"/>
      <w:pPr>
        <w:ind w:left="72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1F61448"/>
    <w:multiLevelType w:val="hybridMultilevel"/>
    <w:tmpl w:val="8C60BED8"/>
    <w:lvl w:ilvl="0" w:tplc="04090001">
      <w:start w:val="1"/>
      <w:numFmt w:val="bullet"/>
      <w:lvlText w:val=""/>
      <w:lvlJc w:val="left"/>
      <w:pPr>
        <w:ind w:left="783" w:hanging="360"/>
      </w:pPr>
      <w:rPr>
        <w:rFonts w:ascii="Symbol" w:hAnsi="Symbol" w:hint="default"/>
      </w:rPr>
    </w:lvl>
    <w:lvl w:ilvl="1" w:tplc="04090003" w:tentative="1">
      <w:start w:val="1"/>
      <w:numFmt w:val="bullet"/>
      <w:lvlText w:val="o"/>
      <w:lvlJc w:val="left"/>
      <w:pPr>
        <w:ind w:left="1503" w:hanging="360"/>
      </w:pPr>
      <w:rPr>
        <w:rFonts w:ascii="Courier New" w:hAnsi="Courier New" w:cs="Courier New" w:hint="default"/>
      </w:rPr>
    </w:lvl>
    <w:lvl w:ilvl="2" w:tplc="04090005" w:tentative="1">
      <w:start w:val="1"/>
      <w:numFmt w:val="bullet"/>
      <w:lvlText w:val=""/>
      <w:lvlJc w:val="left"/>
      <w:pPr>
        <w:ind w:left="2223" w:hanging="360"/>
      </w:pPr>
      <w:rPr>
        <w:rFonts w:ascii="Wingdings" w:hAnsi="Wingdings" w:hint="default"/>
      </w:rPr>
    </w:lvl>
    <w:lvl w:ilvl="3" w:tplc="04090001" w:tentative="1">
      <w:start w:val="1"/>
      <w:numFmt w:val="bullet"/>
      <w:lvlText w:val=""/>
      <w:lvlJc w:val="left"/>
      <w:pPr>
        <w:ind w:left="2943" w:hanging="360"/>
      </w:pPr>
      <w:rPr>
        <w:rFonts w:ascii="Symbol" w:hAnsi="Symbol" w:hint="default"/>
      </w:rPr>
    </w:lvl>
    <w:lvl w:ilvl="4" w:tplc="04090003" w:tentative="1">
      <w:start w:val="1"/>
      <w:numFmt w:val="bullet"/>
      <w:lvlText w:val="o"/>
      <w:lvlJc w:val="left"/>
      <w:pPr>
        <w:ind w:left="3663" w:hanging="360"/>
      </w:pPr>
      <w:rPr>
        <w:rFonts w:ascii="Courier New" w:hAnsi="Courier New" w:cs="Courier New" w:hint="default"/>
      </w:rPr>
    </w:lvl>
    <w:lvl w:ilvl="5" w:tplc="04090005" w:tentative="1">
      <w:start w:val="1"/>
      <w:numFmt w:val="bullet"/>
      <w:lvlText w:val=""/>
      <w:lvlJc w:val="left"/>
      <w:pPr>
        <w:ind w:left="4383" w:hanging="360"/>
      </w:pPr>
      <w:rPr>
        <w:rFonts w:ascii="Wingdings" w:hAnsi="Wingdings" w:hint="default"/>
      </w:rPr>
    </w:lvl>
    <w:lvl w:ilvl="6" w:tplc="04090001" w:tentative="1">
      <w:start w:val="1"/>
      <w:numFmt w:val="bullet"/>
      <w:lvlText w:val=""/>
      <w:lvlJc w:val="left"/>
      <w:pPr>
        <w:ind w:left="5103" w:hanging="360"/>
      </w:pPr>
      <w:rPr>
        <w:rFonts w:ascii="Symbol" w:hAnsi="Symbol" w:hint="default"/>
      </w:rPr>
    </w:lvl>
    <w:lvl w:ilvl="7" w:tplc="04090003" w:tentative="1">
      <w:start w:val="1"/>
      <w:numFmt w:val="bullet"/>
      <w:lvlText w:val="o"/>
      <w:lvlJc w:val="left"/>
      <w:pPr>
        <w:ind w:left="5823" w:hanging="360"/>
      </w:pPr>
      <w:rPr>
        <w:rFonts w:ascii="Courier New" w:hAnsi="Courier New" w:cs="Courier New" w:hint="default"/>
      </w:rPr>
    </w:lvl>
    <w:lvl w:ilvl="8" w:tplc="04090005" w:tentative="1">
      <w:start w:val="1"/>
      <w:numFmt w:val="bullet"/>
      <w:lvlText w:val=""/>
      <w:lvlJc w:val="left"/>
      <w:pPr>
        <w:ind w:left="6543" w:hanging="360"/>
      </w:pPr>
      <w:rPr>
        <w:rFonts w:ascii="Wingdings" w:hAnsi="Wingdings" w:hint="default"/>
      </w:rPr>
    </w:lvl>
  </w:abstractNum>
  <w:abstractNum w:abstractNumId="6" w15:restartNumberingAfterBreak="0">
    <w:nsid w:val="58ED428B"/>
    <w:multiLevelType w:val="hybridMultilevel"/>
    <w:tmpl w:val="8426048E"/>
    <w:lvl w:ilvl="0" w:tplc="863AF5D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14535C4"/>
    <w:multiLevelType w:val="hybridMultilevel"/>
    <w:tmpl w:val="CC243E5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7260265B"/>
    <w:multiLevelType w:val="hybridMultilevel"/>
    <w:tmpl w:val="79A08A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AB5565F"/>
    <w:multiLevelType w:val="hybridMultilevel"/>
    <w:tmpl w:val="72BE4F5C"/>
    <w:lvl w:ilvl="0" w:tplc="FFFFFFFF">
      <w:start w:val="1"/>
      <w:numFmt w:val="decimal"/>
      <w:lvlText w:val="(%1)"/>
      <w:lvlJc w:val="left"/>
      <w:pPr>
        <w:tabs>
          <w:tab w:val="num" w:pos="360"/>
        </w:tabs>
        <w:ind w:left="357" w:hanging="357"/>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num w:numId="1">
    <w:abstractNumId w:val="4"/>
  </w:num>
  <w:num w:numId="2">
    <w:abstractNumId w:val="3"/>
  </w:num>
  <w:num w:numId="3">
    <w:abstractNumId w:val="8"/>
  </w:num>
  <w:num w:numId="4">
    <w:abstractNumId w:val="5"/>
  </w:num>
  <w:num w:numId="5">
    <w:abstractNumId w:val="2"/>
  </w:num>
  <w:num w:numId="6">
    <w:abstractNumId w:val="6"/>
  </w:num>
  <w:num w:numId="7">
    <w:abstractNumId w:val="7"/>
  </w:num>
  <w:num w:numId="8">
    <w:abstractNumId w:val="0"/>
  </w:num>
  <w:num w:numId="9">
    <w:abstractNumId w:val="1"/>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trackRevisions/>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3A9F"/>
    <w:rsid w:val="000070B9"/>
    <w:rsid w:val="00040676"/>
    <w:rsid w:val="00086EB7"/>
    <w:rsid w:val="00090ADD"/>
    <w:rsid w:val="000A296B"/>
    <w:rsid w:val="000A49C3"/>
    <w:rsid w:val="000A7293"/>
    <w:rsid w:val="000D1DE4"/>
    <w:rsid w:val="00115208"/>
    <w:rsid w:val="001237E7"/>
    <w:rsid w:val="00134CB0"/>
    <w:rsid w:val="00187935"/>
    <w:rsid w:val="00195F22"/>
    <w:rsid w:val="001C5973"/>
    <w:rsid w:val="001E0AA3"/>
    <w:rsid w:val="001F09DF"/>
    <w:rsid w:val="001F1B5F"/>
    <w:rsid w:val="001F56C7"/>
    <w:rsid w:val="00225B1A"/>
    <w:rsid w:val="002A386C"/>
    <w:rsid w:val="002B3B78"/>
    <w:rsid w:val="00303B05"/>
    <w:rsid w:val="00310A40"/>
    <w:rsid w:val="00312FED"/>
    <w:rsid w:val="00354FA3"/>
    <w:rsid w:val="003629A5"/>
    <w:rsid w:val="003E7DA5"/>
    <w:rsid w:val="003F2B67"/>
    <w:rsid w:val="00415EAE"/>
    <w:rsid w:val="004273CC"/>
    <w:rsid w:val="00436A8F"/>
    <w:rsid w:val="00440E87"/>
    <w:rsid w:val="00462AF4"/>
    <w:rsid w:val="00473A3B"/>
    <w:rsid w:val="004922D7"/>
    <w:rsid w:val="0049596E"/>
    <w:rsid w:val="004977BA"/>
    <w:rsid w:val="00522026"/>
    <w:rsid w:val="005370E4"/>
    <w:rsid w:val="00537903"/>
    <w:rsid w:val="00554125"/>
    <w:rsid w:val="005759BE"/>
    <w:rsid w:val="00586A2D"/>
    <w:rsid w:val="005D1DED"/>
    <w:rsid w:val="005E645F"/>
    <w:rsid w:val="005F4C56"/>
    <w:rsid w:val="00613979"/>
    <w:rsid w:val="006B2878"/>
    <w:rsid w:val="006E081B"/>
    <w:rsid w:val="00711FCC"/>
    <w:rsid w:val="00746562"/>
    <w:rsid w:val="007470D3"/>
    <w:rsid w:val="007641BC"/>
    <w:rsid w:val="00771AF5"/>
    <w:rsid w:val="00772996"/>
    <w:rsid w:val="00773F2C"/>
    <w:rsid w:val="007756F4"/>
    <w:rsid w:val="007D7B2D"/>
    <w:rsid w:val="007E0DFA"/>
    <w:rsid w:val="007E67BD"/>
    <w:rsid w:val="007F384B"/>
    <w:rsid w:val="007F465D"/>
    <w:rsid w:val="00817E06"/>
    <w:rsid w:val="008924DA"/>
    <w:rsid w:val="0090460C"/>
    <w:rsid w:val="00924424"/>
    <w:rsid w:val="00924B32"/>
    <w:rsid w:val="00961173"/>
    <w:rsid w:val="009A3ECB"/>
    <w:rsid w:val="009A7B2B"/>
    <w:rsid w:val="009C2458"/>
    <w:rsid w:val="009E4689"/>
    <w:rsid w:val="009F0A61"/>
    <w:rsid w:val="00A31EE2"/>
    <w:rsid w:val="00A35EE0"/>
    <w:rsid w:val="00A52B1F"/>
    <w:rsid w:val="00A81EC4"/>
    <w:rsid w:val="00A87A53"/>
    <w:rsid w:val="00AA22CB"/>
    <w:rsid w:val="00AA70E9"/>
    <w:rsid w:val="00AF25F0"/>
    <w:rsid w:val="00B027EC"/>
    <w:rsid w:val="00B07E2A"/>
    <w:rsid w:val="00B3016D"/>
    <w:rsid w:val="00B30CA2"/>
    <w:rsid w:val="00B574D3"/>
    <w:rsid w:val="00B756AD"/>
    <w:rsid w:val="00B83D6F"/>
    <w:rsid w:val="00BA1DBB"/>
    <w:rsid w:val="00BA63CB"/>
    <w:rsid w:val="00BD5469"/>
    <w:rsid w:val="00BF213C"/>
    <w:rsid w:val="00C22420"/>
    <w:rsid w:val="00C23A9F"/>
    <w:rsid w:val="00C32FDE"/>
    <w:rsid w:val="00C452B7"/>
    <w:rsid w:val="00C76D06"/>
    <w:rsid w:val="00C815A6"/>
    <w:rsid w:val="00CA68F6"/>
    <w:rsid w:val="00CD0839"/>
    <w:rsid w:val="00CF2E23"/>
    <w:rsid w:val="00CF4972"/>
    <w:rsid w:val="00D01729"/>
    <w:rsid w:val="00D12330"/>
    <w:rsid w:val="00D50971"/>
    <w:rsid w:val="00DB615B"/>
    <w:rsid w:val="00DD6A3A"/>
    <w:rsid w:val="00DE4012"/>
    <w:rsid w:val="00DF19BE"/>
    <w:rsid w:val="00E5591E"/>
    <w:rsid w:val="00E818E8"/>
    <w:rsid w:val="00EB2356"/>
    <w:rsid w:val="00EC0378"/>
    <w:rsid w:val="00EC37A8"/>
    <w:rsid w:val="00EF56C3"/>
    <w:rsid w:val="00F1413F"/>
    <w:rsid w:val="00F16676"/>
    <w:rsid w:val="00F249ED"/>
    <w:rsid w:val="00F65501"/>
    <w:rsid w:val="00FB7D38"/>
    <w:rsid w:val="00FC7E94"/>
    <w:rsid w:val="00FE51A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733921C"/>
  <w14:defaultImageDpi w14:val="300"/>
  <w15:docId w15:val="{F12DF4DD-5C33-C842-8793-9F797EE855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5">
    <w:name w:val="heading 5"/>
    <w:basedOn w:val="Normal"/>
    <w:next w:val="Normal"/>
    <w:link w:val="Heading5Char"/>
    <w:qFormat/>
    <w:rsid w:val="00EC0378"/>
    <w:pPr>
      <w:keepNext/>
      <w:keepLines/>
      <w:spacing w:before="120" w:after="120"/>
      <w:jc w:val="center"/>
      <w:outlineLvl w:val="4"/>
    </w:pPr>
    <w:rPr>
      <w:rFonts w:ascii="Times New Roman" w:eastAsia="Times New Roman" w:hAnsi="Times New Roman" w:cs="Times New Roman"/>
      <w:b/>
      <w:sz w:val="22"/>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23A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23A9F"/>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23A9F"/>
    <w:rPr>
      <w:rFonts w:ascii="Lucida Grande" w:hAnsi="Lucida Grande" w:cs="Lucida Grande"/>
      <w:sz w:val="18"/>
      <w:szCs w:val="18"/>
    </w:rPr>
  </w:style>
  <w:style w:type="paragraph" w:styleId="ListParagraph">
    <w:name w:val="List Paragraph"/>
    <w:basedOn w:val="Normal"/>
    <w:uiPriority w:val="34"/>
    <w:qFormat/>
    <w:rsid w:val="007641BC"/>
    <w:pPr>
      <w:spacing w:after="160" w:line="259" w:lineRule="auto"/>
      <w:ind w:left="720"/>
      <w:contextualSpacing/>
    </w:pPr>
    <w:rPr>
      <w:rFonts w:eastAsiaTheme="minorHAnsi"/>
      <w:sz w:val="22"/>
      <w:szCs w:val="22"/>
      <w:lang w:val="es-MX"/>
    </w:rPr>
  </w:style>
  <w:style w:type="character" w:styleId="CommentReference">
    <w:name w:val="annotation reference"/>
    <w:basedOn w:val="DefaultParagraphFont"/>
    <w:uiPriority w:val="99"/>
    <w:semiHidden/>
    <w:unhideWhenUsed/>
    <w:rsid w:val="0090460C"/>
    <w:rPr>
      <w:sz w:val="18"/>
      <w:szCs w:val="18"/>
    </w:rPr>
  </w:style>
  <w:style w:type="paragraph" w:styleId="CommentText">
    <w:name w:val="annotation text"/>
    <w:basedOn w:val="Normal"/>
    <w:link w:val="CommentTextChar"/>
    <w:uiPriority w:val="99"/>
    <w:semiHidden/>
    <w:unhideWhenUsed/>
    <w:rsid w:val="0090460C"/>
  </w:style>
  <w:style w:type="character" w:customStyle="1" w:styleId="CommentTextChar">
    <w:name w:val="Comment Text Char"/>
    <w:basedOn w:val="DefaultParagraphFont"/>
    <w:link w:val="CommentText"/>
    <w:uiPriority w:val="99"/>
    <w:semiHidden/>
    <w:rsid w:val="0090460C"/>
  </w:style>
  <w:style w:type="paragraph" w:styleId="CommentSubject">
    <w:name w:val="annotation subject"/>
    <w:basedOn w:val="CommentText"/>
    <w:next w:val="CommentText"/>
    <w:link w:val="CommentSubjectChar"/>
    <w:uiPriority w:val="99"/>
    <w:semiHidden/>
    <w:unhideWhenUsed/>
    <w:rsid w:val="0090460C"/>
    <w:rPr>
      <w:b/>
      <w:bCs/>
      <w:sz w:val="20"/>
      <w:szCs w:val="20"/>
    </w:rPr>
  </w:style>
  <w:style w:type="character" w:customStyle="1" w:styleId="CommentSubjectChar">
    <w:name w:val="Comment Subject Char"/>
    <w:basedOn w:val="CommentTextChar"/>
    <w:link w:val="CommentSubject"/>
    <w:uiPriority w:val="99"/>
    <w:semiHidden/>
    <w:rsid w:val="0090460C"/>
    <w:rPr>
      <w:b/>
      <w:bCs/>
      <w:sz w:val="20"/>
      <w:szCs w:val="20"/>
    </w:rPr>
  </w:style>
  <w:style w:type="paragraph" w:styleId="NormalWeb">
    <w:name w:val="Normal (Web)"/>
    <w:basedOn w:val="Normal"/>
    <w:uiPriority w:val="99"/>
    <w:unhideWhenUsed/>
    <w:rsid w:val="00312FED"/>
    <w:pPr>
      <w:spacing w:before="100" w:beforeAutospacing="1" w:after="100" w:afterAutospacing="1"/>
    </w:pPr>
    <w:rPr>
      <w:rFonts w:ascii="Times New Roman" w:eastAsia="Times New Roman" w:hAnsi="Times New Roman" w:cs="Times New Roman"/>
    </w:rPr>
  </w:style>
  <w:style w:type="paragraph" w:styleId="FootnoteText">
    <w:name w:val="footnote text"/>
    <w:basedOn w:val="Normal"/>
    <w:link w:val="FootnoteTextChar"/>
    <w:uiPriority w:val="99"/>
    <w:unhideWhenUsed/>
    <w:rsid w:val="000A296B"/>
    <w:pPr>
      <w:pBdr>
        <w:top w:val="nil"/>
        <w:left w:val="nil"/>
        <w:bottom w:val="nil"/>
        <w:right w:val="nil"/>
        <w:between w:val="nil"/>
      </w:pBdr>
      <w:jc w:val="both"/>
    </w:pPr>
    <w:rPr>
      <w:rFonts w:ascii="Times New Roman" w:eastAsia="Times New Roman" w:hAnsi="Times New Roman" w:cs="Times New Roman"/>
      <w:color w:val="000000"/>
      <w:sz w:val="20"/>
      <w:szCs w:val="20"/>
    </w:rPr>
  </w:style>
  <w:style w:type="character" w:customStyle="1" w:styleId="FootnoteTextChar">
    <w:name w:val="Footnote Text Char"/>
    <w:basedOn w:val="DefaultParagraphFont"/>
    <w:link w:val="FootnoteText"/>
    <w:uiPriority w:val="99"/>
    <w:rsid w:val="000A296B"/>
    <w:rPr>
      <w:rFonts w:ascii="Times New Roman" w:eastAsia="Times New Roman" w:hAnsi="Times New Roman" w:cs="Times New Roman"/>
      <w:color w:val="000000"/>
      <w:sz w:val="20"/>
      <w:szCs w:val="20"/>
    </w:rPr>
  </w:style>
  <w:style w:type="character" w:styleId="FootnoteReference">
    <w:name w:val="footnote reference"/>
    <w:basedOn w:val="DefaultParagraphFont"/>
    <w:uiPriority w:val="99"/>
    <w:unhideWhenUsed/>
    <w:rsid w:val="000A296B"/>
    <w:rPr>
      <w:vertAlign w:val="superscript"/>
    </w:rPr>
  </w:style>
  <w:style w:type="character" w:styleId="Hyperlink">
    <w:name w:val="Hyperlink"/>
    <w:basedOn w:val="DefaultParagraphFont"/>
    <w:uiPriority w:val="99"/>
    <w:unhideWhenUsed/>
    <w:rsid w:val="00F249ED"/>
    <w:rPr>
      <w:color w:val="auto"/>
      <w:u w:val="single"/>
    </w:rPr>
  </w:style>
  <w:style w:type="paragraph" w:styleId="Revision">
    <w:name w:val="Revision"/>
    <w:hidden/>
    <w:uiPriority w:val="99"/>
    <w:semiHidden/>
    <w:rsid w:val="00AA22CB"/>
  </w:style>
  <w:style w:type="character" w:customStyle="1" w:styleId="Heading5Char">
    <w:name w:val="Heading 5 Char"/>
    <w:basedOn w:val="DefaultParagraphFont"/>
    <w:link w:val="Heading5"/>
    <w:rsid w:val="00EC0378"/>
    <w:rPr>
      <w:rFonts w:ascii="Times New Roman" w:eastAsia="Times New Roman" w:hAnsi="Times New Roman" w:cs="Times New Roman"/>
      <w:b/>
      <w:sz w:val="22"/>
      <w:szCs w:val="20"/>
      <w:lang w:val="en-GB"/>
    </w:rPr>
  </w:style>
  <w:style w:type="paragraph" w:customStyle="1" w:styleId="Heading5a">
    <w:name w:val="Heading 5a"/>
    <w:basedOn w:val="Heading5"/>
    <w:rsid w:val="00EC0378"/>
    <w:pPr>
      <w:spacing w:before="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535061">
      <w:bodyDiv w:val="1"/>
      <w:marLeft w:val="0"/>
      <w:marRight w:val="0"/>
      <w:marTop w:val="0"/>
      <w:marBottom w:val="0"/>
      <w:divBdr>
        <w:top w:val="none" w:sz="0" w:space="0" w:color="auto"/>
        <w:left w:val="none" w:sz="0" w:space="0" w:color="auto"/>
        <w:bottom w:val="none" w:sz="0" w:space="0" w:color="auto"/>
        <w:right w:val="none" w:sz="0" w:space="0" w:color="auto"/>
      </w:divBdr>
    </w:div>
    <w:div w:id="101264018">
      <w:bodyDiv w:val="1"/>
      <w:marLeft w:val="0"/>
      <w:marRight w:val="0"/>
      <w:marTop w:val="0"/>
      <w:marBottom w:val="0"/>
      <w:divBdr>
        <w:top w:val="none" w:sz="0" w:space="0" w:color="auto"/>
        <w:left w:val="none" w:sz="0" w:space="0" w:color="auto"/>
        <w:bottom w:val="none" w:sz="0" w:space="0" w:color="auto"/>
        <w:right w:val="none" w:sz="0" w:space="0" w:color="auto"/>
      </w:divBdr>
    </w:div>
    <w:div w:id="255721862">
      <w:bodyDiv w:val="1"/>
      <w:marLeft w:val="0"/>
      <w:marRight w:val="0"/>
      <w:marTop w:val="0"/>
      <w:marBottom w:val="0"/>
      <w:divBdr>
        <w:top w:val="none" w:sz="0" w:space="0" w:color="auto"/>
        <w:left w:val="none" w:sz="0" w:space="0" w:color="auto"/>
        <w:bottom w:val="none" w:sz="0" w:space="0" w:color="auto"/>
        <w:right w:val="none" w:sz="0" w:space="0" w:color="auto"/>
      </w:divBdr>
    </w:div>
    <w:div w:id="326791417">
      <w:bodyDiv w:val="1"/>
      <w:marLeft w:val="0"/>
      <w:marRight w:val="0"/>
      <w:marTop w:val="0"/>
      <w:marBottom w:val="0"/>
      <w:divBdr>
        <w:top w:val="none" w:sz="0" w:space="0" w:color="auto"/>
        <w:left w:val="none" w:sz="0" w:space="0" w:color="auto"/>
        <w:bottom w:val="none" w:sz="0" w:space="0" w:color="auto"/>
        <w:right w:val="none" w:sz="0" w:space="0" w:color="auto"/>
      </w:divBdr>
    </w:div>
    <w:div w:id="386689677">
      <w:bodyDiv w:val="1"/>
      <w:marLeft w:val="0"/>
      <w:marRight w:val="0"/>
      <w:marTop w:val="0"/>
      <w:marBottom w:val="0"/>
      <w:divBdr>
        <w:top w:val="none" w:sz="0" w:space="0" w:color="auto"/>
        <w:left w:val="none" w:sz="0" w:space="0" w:color="auto"/>
        <w:bottom w:val="none" w:sz="0" w:space="0" w:color="auto"/>
        <w:right w:val="none" w:sz="0" w:space="0" w:color="auto"/>
      </w:divBdr>
    </w:div>
    <w:div w:id="465515915">
      <w:bodyDiv w:val="1"/>
      <w:marLeft w:val="0"/>
      <w:marRight w:val="0"/>
      <w:marTop w:val="0"/>
      <w:marBottom w:val="0"/>
      <w:divBdr>
        <w:top w:val="none" w:sz="0" w:space="0" w:color="auto"/>
        <w:left w:val="none" w:sz="0" w:space="0" w:color="auto"/>
        <w:bottom w:val="none" w:sz="0" w:space="0" w:color="auto"/>
        <w:right w:val="none" w:sz="0" w:space="0" w:color="auto"/>
      </w:divBdr>
    </w:div>
    <w:div w:id="520243645">
      <w:bodyDiv w:val="1"/>
      <w:marLeft w:val="0"/>
      <w:marRight w:val="0"/>
      <w:marTop w:val="0"/>
      <w:marBottom w:val="0"/>
      <w:divBdr>
        <w:top w:val="none" w:sz="0" w:space="0" w:color="auto"/>
        <w:left w:val="none" w:sz="0" w:space="0" w:color="auto"/>
        <w:bottom w:val="none" w:sz="0" w:space="0" w:color="auto"/>
        <w:right w:val="none" w:sz="0" w:space="0" w:color="auto"/>
      </w:divBdr>
    </w:div>
    <w:div w:id="579290464">
      <w:bodyDiv w:val="1"/>
      <w:marLeft w:val="0"/>
      <w:marRight w:val="0"/>
      <w:marTop w:val="0"/>
      <w:marBottom w:val="0"/>
      <w:divBdr>
        <w:top w:val="none" w:sz="0" w:space="0" w:color="auto"/>
        <w:left w:val="none" w:sz="0" w:space="0" w:color="auto"/>
        <w:bottom w:val="none" w:sz="0" w:space="0" w:color="auto"/>
        <w:right w:val="none" w:sz="0" w:space="0" w:color="auto"/>
      </w:divBdr>
    </w:div>
    <w:div w:id="601915231">
      <w:bodyDiv w:val="1"/>
      <w:marLeft w:val="0"/>
      <w:marRight w:val="0"/>
      <w:marTop w:val="0"/>
      <w:marBottom w:val="0"/>
      <w:divBdr>
        <w:top w:val="none" w:sz="0" w:space="0" w:color="auto"/>
        <w:left w:val="none" w:sz="0" w:space="0" w:color="auto"/>
        <w:bottom w:val="none" w:sz="0" w:space="0" w:color="auto"/>
        <w:right w:val="none" w:sz="0" w:space="0" w:color="auto"/>
      </w:divBdr>
    </w:div>
    <w:div w:id="1095518394">
      <w:bodyDiv w:val="1"/>
      <w:marLeft w:val="0"/>
      <w:marRight w:val="0"/>
      <w:marTop w:val="0"/>
      <w:marBottom w:val="0"/>
      <w:divBdr>
        <w:top w:val="none" w:sz="0" w:space="0" w:color="auto"/>
        <w:left w:val="none" w:sz="0" w:space="0" w:color="auto"/>
        <w:bottom w:val="none" w:sz="0" w:space="0" w:color="auto"/>
        <w:right w:val="none" w:sz="0" w:space="0" w:color="auto"/>
      </w:divBdr>
    </w:div>
    <w:div w:id="1122724886">
      <w:bodyDiv w:val="1"/>
      <w:marLeft w:val="0"/>
      <w:marRight w:val="0"/>
      <w:marTop w:val="0"/>
      <w:marBottom w:val="0"/>
      <w:divBdr>
        <w:top w:val="none" w:sz="0" w:space="0" w:color="auto"/>
        <w:left w:val="none" w:sz="0" w:space="0" w:color="auto"/>
        <w:bottom w:val="none" w:sz="0" w:space="0" w:color="auto"/>
        <w:right w:val="none" w:sz="0" w:space="0" w:color="auto"/>
      </w:divBdr>
    </w:div>
    <w:div w:id="1123041480">
      <w:bodyDiv w:val="1"/>
      <w:marLeft w:val="0"/>
      <w:marRight w:val="0"/>
      <w:marTop w:val="0"/>
      <w:marBottom w:val="0"/>
      <w:divBdr>
        <w:top w:val="none" w:sz="0" w:space="0" w:color="auto"/>
        <w:left w:val="none" w:sz="0" w:space="0" w:color="auto"/>
        <w:bottom w:val="none" w:sz="0" w:space="0" w:color="auto"/>
        <w:right w:val="none" w:sz="0" w:space="0" w:color="auto"/>
      </w:divBdr>
      <w:divsChild>
        <w:div w:id="1627270549">
          <w:marLeft w:val="0"/>
          <w:marRight w:val="0"/>
          <w:marTop w:val="0"/>
          <w:marBottom w:val="0"/>
          <w:divBdr>
            <w:top w:val="none" w:sz="0" w:space="0" w:color="auto"/>
            <w:left w:val="none" w:sz="0" w:space="0" w:color="auto"/>
            <w:bottom w:val="none" w:sz="0" w:space="0" w:color="auto"/>
            <w:right w:val="none" w:sz="0" w:space="0" w:color="auto"/>
          </w:divBdr>
        </w:div>
      </w:divsChild>
    </w:div>
    <w:div w:id="1226724216">
      <w:bodyDiv w:val="1"/>
      <w:marLeft w:val="0"/>
      <w:marRight w:val="0"/>
      <w:marTop w:val="0"/>
      <w:marBottom w:val="0"/>
      <w:divBdr>
        <w:top w:val="none" w:sz="0" w:space="0" w:color="auto"/>
        <w:left w:val="none" w:sz="0" w:space="0" w:color="auto"/>
        <w:bottom w:val="none" w:sz="0" w:space="0" w:color="auto"/>
        <w:right w:val="none" w:sz="0" w:space="0" w:color="auto"/>
      </w:divBdr>
      <w:divsChild>
        <w:div w:id="241839933">
          <w:marLeft w:val="0"/>
          <w:marRight w:val="0"/>
          <w:marTop w:val="0"/>
          <w:marBottom w:val="0"/>
          <w:divBdr>
            <w:top w:val="none" w:sz="0" w:space="0" w:color="auto"/>
            <w:left w:val="none" w:sz="0" w:space="0" w:color="auto"/>
            <w:bottom w:val="none" w:sz="0" w:space="0" w:color="auto"/>
            <w:right w:val="none" w:sz="0" w:space="0" w:color="auto"/>
          </w:divBdr>
          <w:divsChild>
            <w:div w:id="1617374485">
              <w:marLeft w:val="0"/>
              <w:marRight w:val="0"/>
              <w:marTop w:val="0"/>
              <w:marBottom w:val="0"/>
              <w:divBdr>
                <w:top w:val="none" w:sz="0" w:space="0" w:color="auto"/>
                <w:left w:val="none" w:sz="0" w:space="0" w:color="auto"/>
                <w:bottom w:val="none" w:sz="0" w:space="0" w:color="auto"/>
                <w:right w:val="none" w:sz="0" w:space="0" w:color="auto"/>
              </w:divBdr>
              <w:divsChild>
                <w:div w:id="1263999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2256468">
      <w:bodyDiv w:val="1"/>
      <w:marLeft w:val="0"/>
      <w:marRight w:val="0"/>
      <w:marTop w:val="0"/>
      <w:marBottom w:val="0"/>
      <w:divBdr>
        <w:top w:val="none" w:sz="0" w:space="0" w:color="auto"/>
        <w:left w:val="none" w:sz="0" w:space="0" w:color="auto"/>
        <w:bottom w:val="none" w:sz="0" w:space="0" w:color="auto"/>
        <w:right w:val="none" w:sz="0" w:space="0" w:color="auto"/>
      </w:divBdr>
    </w:div>
    <w:div w:id="1301181248">
      <w:bodyDiv w:val="1"/>
      <w:marLeft w:val="0"/>
      <w:marRight w:val="0"/>
      <w:marTop w:val="0"/>
      <w:marBottom w:val="0"/>
      <w:divBdr>
        <w:top w:val="none" w:sz="0" w:space="0" w:color="auto"/>
        <w:left w:val="none" w:sz="0" w:space="0" w:color="auto"/>
        <w:bottom w:val="none" w:sz="0" w:space="0" w:color="auto"/>
        <w:right w:val="none" w:sz="0" w:space="0" w:color="auto"/>
      </w:divBdr>
    </w:div>
    <w:div w:id="1342970872">
      <w:bodyDiv w:val="1"/>
      <w:marLeft w:val="0"/>
      <w:marRight w:val="0"/>
      <w:marTop w:val="0"/>
      <w:marBottom w:val="0"/>
      <w:divBdr>
        <w:top w:val="none" w:sz="0" w:space="0" w:color="auto"/>
        <w:left w:val="none" w:sz="0" w:space="0" w:color="auto"/>
        <w:bottom w:val="none" w:sz="0" w:space="0" w:color="auto"/>
        <w:right w:val="none" w:sz="0" w:space="0" w:color="auto"/>
      </w:divBdr>
    </w:div>
    <w:div w:id="1363900700">
      <w:bodyDiv w:val="1"/>
      <w:marLeft w:val="0"/>
      <w:marRight w:val="0"/>
      <w:marTop w:val="0"/>
      <w:marBottom w:val="0"/>
      <w:divBdr>
        <w:top w:val="none" w:sz="0" w:space="0" w:color="auto"/>
        <w:left w:val="none" w:sz="0" w:space="0" w:color="auto"/>
        <w:bottom w:val="none" w:sz="0" w:space="0" w:color="auto"/>
        <w:right w:val="none" w:sz="0" w:space="0" w:color="auto"/>
      </w:divBdr>
    </w:div>
    <w:div w:id="1504082740">
      <w:bodyDiv w:val="1"/>
      <w:marLeft w:val="0"/>
      <w:marRight w:val="0"/>
      <w:marTop w:val="0"/>
      <w:marBottom w:val="0"/>
      <w:divBdr>
        <w:top w:val="none" w:sz="0" w:space="0" w:color="auto"/>
        <w:left w:val="none" w:sz="0" w:space="0" w:color="auto"/>
        <w:bottom w:val="none" w:sz="0" w:space="0" w:color="auto"/>
        <w:right w:val="none" w:sz="0" w:space="0" w:color="auto"/>
      </w:divBdr>
    </w:div>
    <w:div w:id="1505129711">
      <w:bodyDiv w:val="1"/>
      <w:marLeft w:val="0"/>
      <w:marRight w:val="0"/>
      <w:marTop w:val="0"/>
      <w:marBottom w:val="0"/>
      <w:divBdr>
        <w:top w:val="none" w:sz="0" w:space="0" w:color="auto"/>
        <w:left w:val="none" w:sz="0" w:space="0" w:color="auto"/>
        <w:bottom w:val="none" w:sz="0" w:space="0" w:color="auto"/>
        <w:right w:val="none" w:sz="0" w:space="0" w:color="auto"/>
      </w:divBdr>
    </w:div>
    <w:div w:id="1570723317">
      <w:bodyDiv w:val="1"/>
      <w:marLeft w:val="0"/>
      <w:marRight w:val="0"/>
      <w:marTop w:val="0"/>
      <w:marBottom w:val="0"/>
      <w:divBdr>
        <w:top w:val="none" w:sz="0" w:space="0" w:color="auto"/>
        <w:left w:val="none" w:sz="0" w:space="0" w:color="auto"/>
        <w:bottom w:val="none" w:sz="0" w:space="0" w:color="auto"/>
        <w:right w:val="none" w:sz="0" w:space="0" w:color="auto"/>
      </w:divBdr>
    </w:div>
    <w:div w:id="1575974010">
      <w:bodyDiv w:val="1"/>
      <w:marLeft w:val="0"/>
      <w:marRight w:val="0"/>
      <w:marTop w:val="0"/>
      <w:marBottom w:val="0"/>
      <w:divBdr>
        <w:top w:val="none" w:sz="0" w:space="0" w:color="auto"/>
        <w:left w:val="none" w:sz="0" w:space="0" w:color="auto"/>
        <w:bottom w:val="none" w:sz="0" w:space="0" w:color="auto"/>
        <w:right w:val="none" w:sz="0" w:space="0" w:color="auto"/>
      </w:divBdr>
    </w:div>
    <w:div w:id="1646467724">
      <w:bodyDiv w:val="1"/>
      <w:marLeft w:val="0"/>
      <w:marRight w:val="0"/>
      <w:marTop w:val="0"/>
      <w:marBottom w:val="0"/>
      <w:divBdr>
        <w:top w:val="none" w:sz="0" w:space="0" w:color="auto"/>
        <w:left w:val="none" w:sz="0" w:space="0" w:color="auto"/>
        <w:bottom w:val="none" w:sz="0" w:space="0" w:color="auto"/>
        <w:right w:val="none" w:sz="0" w:space="0" w:color="auto"/>
      </w:divBdr>
    </w:div>
    <w:div w:id="1674071018">
      <w:bodyDiv w:val="1"/>
      <w:marLeft w:val="0"/>
      <w:marRight w:val="0"/>
      <w:marTop w:val="0"/>
      <w:marBottom w:val="0"/>
      <w:divBdr>
        <w:top w:val="none" w:sz="0" w:space="0" w:color="auto"/>
        <w:left w:val="none" w:sz="0" w:space="0" w:color="auto"/>
        <w:bottom w:val="none" w:sz="0" w:space="0" w:color="auto"/>
        <w:right w:val="none" w:sz="0" w:space="0" w:color="auto"/>
      </w:divBdr>
    </w:div>
    <w:div w:id="1932083449">
      <w:bodyDiv w:val="1"/>
      <w:marLeft w:val="0"/>
      <w:marRight w:val="0"/>
      <w:marTop w:val="0"/>
      <w:marBottom w:val="0"/>
      <w:divBdr>
        <w:top w:val="none" w:sz="0" w:space="0" w:color="auto"/>
        <w:left w:val="none" w:sz="0" w:space="0" w:color="auto"/>
        <w:bottom w:val="none" w:sz="0" w:space="0" w:color="auto"/>
        <w:right w:val="none" w:sz="0" w:space="0" w:color="auto"/>
      </w:divBdr>
    </w:div>
    <w:div w:id="1999262130">
      <w:bodyDiv w:val="1"/>
      <w:marLeft w:val="0"/>
      <w:marRight w:val="0"/>
      <w:marTop w:val="0"/>
      <w:marBottom w:val="0"/>
      <w:divBdr>
        <w:top w:val="none" w:sz="0" w:space="0" w:color="auto"/>
        <w:left w:val="none" w:sz="0" w:space="0" w:color="auto"/>
        <w:bottom w:val="none" w:sz="0" w:space="0" w:color="auto"/>
        <w:right w:val="none" w:sz="0" w:space="0" w:color="auto"/>
      </w:divBdr>
    </w:div>
    <w:div w:id="2058314221">
      <w:bodyDiv w:val="1"/>
      <w:marLeft w:val="0"/>
      <w:marRight w:val="0"/>
      <w:marTop w:val="0"/>
      <w:marBottom w:val="0"/>
      <w:divBdr>
        <w:top w:val="none" w:sz="0" w:space="0" w:color="auto"/>
        <w:left w:val="none" w:sz="0" w:space="0" w:color="auto"/>
        <w:bottom w:val="none" w:sz="0" w:space="0" w:color="auto"/>
        <w:right w:val="none" w:sz="0" w:space="0" w:color="auto"/>
      </w:divBdr>
    </w:div>
    <w:div w:id="21081900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jjimexico.org/ptd-report/" TargetMode="Externa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2" Type="http://schemas.openxmlformats.org/officeDocument/2006/relationships/hyperlink" Target="http://www.justicepolicy.org/images/upload/06-11_rep_dangersofdetention_jj.pdf" TargetMode="External"/><Relationship Id="rId1" Type="http://schemas.openxmlformats.org/officeDocument/2006/relationships/hyperlink" Target="https://www.opensocietyfoundations.org/sites/default/files/pretrial-detention-and-torture-0622201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61F19D7-1501-402F-A6D2-F3BEA66F7F9B}">
  <ds:schemaRefs>
    <ds:schemaRef ds:uri="http://schemas.openxmlformats.org/officeDocument/2006/bibliography"/>
  </ds:schemaRefs>
</ds:datastoreItem>
</file>

<file path=customXml/itemProps2.xml><?xml version="1.0" encoding="utf-8"?>
<ds:datastoreItem xmlns:ds="http://schemas.openxmlformats.org/officeDocument/2006/customXml" ds:itemID="{7712BB7A-D5E4-46BA-836D-66B041CADC58}"/>
</file>

<file path=customXml/itemProps3.xml><?xml version="1.0" encoding="utf-8"?>
<ds:datastoreItem xmlns:ds="http://schemas.openxmlformats.org/officeDocument/2006/customXml" ds:itemID="{E869A053-69B5-4653-844D-05BC6BB74844}"/>
</file>

<file path=customXml/itemProps4.xml><?xml version="1.0" encoding="utf-8"?>
<ds:datastoreItem xmlns:ds="http://schemas.openxmlformats.org/officeDocument/2006/customXml" ds:itemID="{B25BD417-1681-43E4-A707-70ED7EDB2F13}"/>
</file>

<file path=docProps/app.xml><?xml version="1.0" encoding="utf-8"?>
<Properties xmlns="http://schemas.openxmlformats.org/officeDocument/2006/extended-properties" xmlns:vt="http://schemas.openxmlformats.org/officeDocument/2006/docPropsVTypes">
  <Template>Normal.dotm</Template>
  <TotalTime>1</TotalTime>
  <Pages>5</Pages>
  <Words>1291</Words>
  <Characters>7359</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ITESM</Company>
  <LinksUpToDate>false</LinksUpToDate>
  <CharactersWithSpaces>8633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Sarahi Garcia</dc:creator>
  <cp:keywords/>
  <dc:description/>
  <cp:lastModifiedBy>BOIT James</cp:lastModifiedBy>
  <cp:revision>2</cp:revision>
  <dcterms:created xsi:type="dcterms:W3CDTF">2019-08-22T08:41:00Z</dcterms:created>
  <dcterms:modified xsi:type="dcterms:W3CDTF">2019-08-22T08:41:00Z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