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85D" w:rsidRPr="00DD585D" w:rsidRDefault="00DD585D" w:rsidP="00DD585D">
      <w:pPr>
        <w:spacing w:after="0" w:line="276" w:lineRule="auto"/>
        <w:jc w:val="center"/>
        <w:rPr>
          <w:rFonts w:ascii="Times New Roman" w:eastAsia="SimSun" w:hAnsi="Times New Roman" w:cs="Times New Roman"/>
          <w:b/>
          <w:caps/>
          <w:spacing w:val="10"/>
          <w:sz w:val="28"/>
          <w:szCs w:val="28"/>
        </w:rPr>
      </w:pPr>
      <w:r w:rsidRPr="00DD585D">
        <w:rPr>
          <w:rFonts w:ascii="Times New Roman" w:eastAsia="SimSun" w:hAnsi="Times New Roman" w:cs="Times New Roman"/>
          <w:b/>
          <w:caps/>
          <w:spacing w:val="10"/>
          <w:sz w:val="28"/>
          <w:szCs w:val="28"/>
        </w:rPr>
        <w:t>Medical Whistleblower advocacy Network</w:t>
      </w:r>
    </w:p>
    <w:p w:rsidR="00DD585D" w:rsidRDefault="00572C39" w:rsidP="00793E46">
      <w:pPr>
        <w:spacing w:after="0" w:line="240" w:lineRule="auto"/>
        <w:jc w:val="center"/>
        <w:rPr>
          <w:rFonts w:ascii="Times New Roman" w:eastAsia="Times New Roman" w:hAnsi="Times New Roman" w:cs="Times New Roman"/>
          <w:b/>
          <w:sz w:val="32"/>
          <w:szCs w:val="32"/>
          <w:lang w:val="es-ES"/>
        </w:rPr>
      </w:pPr>
      <w:r>
        <w:rPr>
          <w:rFonts w:ascii="Times New Roman" w:eastAsia="Times New Roman" w:hAnsi="Times New Roman" w:cs="Times New Roman"/>
          <w:b/>
          <w:sz w:val="32"/>
          <w:szCs w:val="32"/>
          <w:lang w:val="es-ES"/>
        </w:rPr>
        <w:t>3/26/15</w:t>
      </w:r>
    </w:p>
    <w:p w:rsidR="00572C39" w:rsidRDefault="00572C39" w:rsidP="00793E46">
      <w:pPr>
        <w:spacing w:after="0" w:line="240" w:lineRule="auto"/>
        <w:jc w:val="center"/>
        <w:rPr>
          <w:rFonts w:ascii="Times New Roman" w:eastAsia="Times New Roman" w:hAnsi="Times New Roman" w:cs="Times New Roman"/>
          <w:b/>
          <w:sz w:val="32"/>
          <w:szCs w:val="32"/>
          <w:lang w:val="es-ES"/>
        </w:rPr>
      </w:pPr>
    </w:p>
    <w:p w:rsidR="00DD585D" w:rsidRDefault="00793E46" w:rsidP="00793E46">
      <w:pPr>
        <w:spacing w:after="0" w:line="240" w:lineRule="auto"/>
        <w:jc w:val="center"/>
        <w:rPr>
          <w:rFonts w:ascii="Times New Roman" w:eastAsia="Times New Roman" w:hAnsi="Times New Roman" w:cs="Times New Roman"/>
          <w:b/>
          <w:sz w:val="32"/>
          <w:szCs w:val="32"/>
          <w:lang w:val="es-ES"/>
        </w:rPr>
      </w:pPr>
      <w:r w:rsidRPr="00793E46">
        <w:rPr>
          <w:rFonts w:ascii="Times New Roman" w:eastAsia="Times New Roman" w:hAnsi="Times New Roman" w:cs="Times New Roman"/>
          <w:b/>
          <w:sz w:val="32"/>
          <w:szCs w:val="32"/>
          <w:lang w:val="es-ES"/>
        </w:rPr>
        <w:t xml:space="preserve">Víctimas sin voz: </w:t>
      </w:r>
    </w:p>
    <w:p w:rsidR="00793E46" w:rsidRPr="00793E46" w:rsidRDefault="00793E46" w:rsidP="00793E46">
      <w:pPr>
        <w:spacing w:after="0" w:line="240" w:lineRule="auto"/>
        <w:jc w:val="center"/>
        <w:rPr>
          <w:rFonts w:ascii="Times New Roman" w:eastAsia="Times New Roman" w:hAnsi="Times New Roman" w:cs="Times New Roman"/>
          <w:b/>
          <w:sz w:val="32"/>
          <w:szCs w:val="32"/>
        </w:rPr>
      </w:pPr>
      <w:r w:rsidRPr="00793E46">
        <w:rPr>
          <w:rFonts w:ascii="Times New Roman" w:eastAsia="Times New Roman" w:hAnsi="Times New Roman" w:cs="Times New Roman"/>
          <w:b/>
          <w:sz w:val="32"/>
          <w:szCs w:val="32"/>
          <w:lang w:val="es-ES"/>
        </w:rPr>
        <w:t>Wards de la Corte</w:t>
      </w:r>
      <w:r w:rsidRPr="00793E46">
        <w:rPr>
          <w:rFonts w:ascii="Times New Roman" w:eastAsia="Times New Roman" w:hAnsi="Times New Roman" w:cs="Times New Roman"/>
          <w:b/>
          <w:sz w:val="32"/>
          <w:szCs w:val="32"/>
          <w:lang w:val="es-ES"/>
        </w:rPr>
        <w:br/>
        <w:t>resumen</w:t>
      </w:r>
      <w:r w:rsidRPr="00793E46">
        <w:rPr>
          <w:rFonts w:ascii="Times New Roman" w:eastAsia="Times New Roman" w:hAnsi="Times New Roman" w:cs="Times New Roman"/>
          <w:b/>
          <w:sz w:val="32"/>
          <w:szCs w:val="32"/>
          <w:lang w:val="es-ES"/>
        </w:rPr>
        <w:br/>
      </w:r>
      <w:r w:rsidRPr="00793E46">
        <w:rPr>
          <w:rFonts w:ascii="Times New Roman" w:eastAsia="Times New Roman" w:hAnsi="Times New Roman" w:cs="Times New Roman"/>
          <w:b/>
          <w:sz w:val="32"/>
          <w:szCs w:val="32"/>
          <w:lang w:val="es-ES"/>
        </w:rPr>
        <w:br/>
        <w:t>Comité de Derechos Humanos de las Naciones Unidas</w:t>
      </w:r>
      <w:r w:rsidRPr="00793E46">
        <w:rPr>
          <w:rFonts w:ascii="Times New Roman" w:eastAsia="Times New Roman" w:hAnsi="Times New Roman" w:cs="Times New Roman"/>
          <w:b/>
          <w:sz w:val="32"/>
          <w:szCs w:val="32"/>
          <w:lang w:val="es-ES"/>
        </w:rPr>
        <w:br/>
      </w:r>
      <w:r w:rsidRPr="00793E46">
        <w:rPr>
          <w:rFonts w:ascii="Times New Roman" w:eastAsia="Times New Roman" w:hAnsi="Times New Roman" w:cs="Times New Roman"/>
          <w:b/>
          <w:sz w:val="32"/>
          <w:szCs w:val="32"/>
          <w:lang w:val="es-ES"/>
        </w:rPr>
        <w:br/>
        <w:t>En cuanto a la aplicación de las obligaciones de</w:t>
      </w:r>
      <w:r w:rsidRPr="00793E46">
        <w:rPr>
          <w:rFonts w:ascii="Times New Roman" w:eastAsia="Times New Roman" w:hAnsi="Times New Roman" w:cs="Times New Roman"/>
          <w:b/>
          <w:sz w:val="32"/>
          <w:szCs w:val="32"/>
          <w:lang w:val="es-ES"/>
        </w:rPr>
        <w:br/>
      </w:r>
      <w:r w:rsidRPr="00793E46">
        <w:rPr>
          <w:rFonts w:ascii="Times New Roman" w:eastAsia="Times New Roman" w:hAnsi="Times New Roman" w:cs="Times New Roman"/>
          <w:b/>
          <w:sz w:val="32"/>
          <w:szCs w:val="32"/>
          <w:lang w:val="es-ES"/>
        </w:rPr>
        <w:br/>
        <w:t>Los Estados Unidos de América</w:t>
      </w:r>
      <w:r w:rsidRPr="00793E46">
        <w:rPr>
          <w:rFonts w:ascii="Times New Roman" w:eastAsia="Times New Roman" w:hAnsi="Times New Roman" w:cs="Times New Roman"/>
          <w:b/>
          <w:sz w:val="32"/>
          <w:szCs w:val="32"/>
          <w:lang w:val="es-ES"/>
        </w:rPr>
        <w:br/>
      </w:r>
      <w:r w:rsidRPr="00793E46">
        <w:rPr>
          <w:rFonts w:ascii="Times New Roman" w:eastAsia="Times New Roman" w:hAnsi="Times New Roman" w:cs="Times New Roman"/>
          <w:b/>
          <w:sz w:val="32"/>
          <w:szCs w:val="32"/>
          <w:lang w:val="es-ES"/>
        </w:rPr>
        <w:br/>
        <w:t>Perteneciente a la</w:t>
      </w:r>
      <w:r w:rsidRPr="00793E46">
        <w:rPr>
          <w:rFonts w:ascii="Times New Roman" w:eastAsia="Times New Roman" w:hAnsi="Times New Roman" w:cs="Times New Roman"/>
          <w:b/>
          <w:sz w:val="32"/>
          <w:szCs w:val="32"/>
          <w:lang w:val="es-ES"/>
        </w:rPr>
        <w:br/>
      </w:r>
      <w:r w:rsidRPr="00793E46">
        <w:rPr>
          <w:rFonts w:ascii="Times New Roman" w:eastAsia="Times New Roman" w:hAnsi="Times New Roman" w:cs="Times New Roman"/>
          <w:b/>
          <w:sz w:val="32"/>
          <w:szCs w:val="32"/>
          <w:lang w:val="es-ES"/>
        </w:rPr>
        <w:br/>
        <w:t>Pacto Internacional de Derechos Civiles y Políticos</w:t>
      </w:r>
    </w:p>
    <w:p w:rsidR="00793E46" w:rsidRPr="00793E46" w:rsidRDefault="00793E46" w:rsidP="00793E46">
      <w:pPr>
        <w:spacing w:after="0" w:line="240" w:lineRule="auto"/>
        <w:rPr>
          <w:rFonts w:ascii="Times New Roman" w:eastAsia="Times New Roman" w:hAnsi="Times New Roman" w:cs="Times New Roman"/>
          <w:b/>
          <w:sz w:val="32"/>
          <w:szCs w:val="32"/>
        </w:rPr>
      </w:pPr>
    </w:p>
    <w:p w:rsidR="00793E46" w:rsidRDefault="00793E46" w:rsidP="00793E46">
      <w:pPr>
        <w:spacing w:after="0" w:line="240" w:lineRule="auto"/>
        <w:rPr>
          <w:rFonts w:ascii="Times New Roman" w:eastAsia="Times New Roman" w:hAnsi="Times New Roman" w:cs="Times New Roman"/>
          <w:sz w:val="24"/>
          <w:szCs w:val="24"/>
          <w:lang w:val="es-ES"/>
        </w:rPr>
      </w:pPr>
      <w:r w:rsidRPr="00793E46">
        <w:rPr>
          <w:rFonts w:ascii="Times New Roman" w:eastAsia="Times New Roman" w:hAnsi="Times New Roman" w:cs="Times New Roman"/>
          <w:sz w:val="24"/>
          <w:szCs w:val="24"/>
          <w:lang w:val="es-ES"/>
        </w:rPr>
        <w:t>Desde marzo 26 de 2014, ha habido poca acción que ha cambiado la situación con eficacia</w:t>
      </w:r>
      <w:r w:rsidR="00DD585D">
        <w:rPr>
          <w:rFonts w:ascii="Times New Roman" w:eastAsia="Times New Roman" w:hAnsi="Times New Roman" w:cs="Times New Roman"/>
          <w:sz w:val="24"/>
          <w:szCs w:val="24"/>
          <w:lang w:val="es-ES"/>
        </w:rPr>
        <w:t xml:space="preserve"> para los que fueron abusados </w:t>
      </w:r>
      <w:r w:rsidRPr="00793E46">
        <w:rPr>
          <w:rFonts w:ascii="Times New Roman" w:eastAsia="Times New Roman" w:hAnsi="Times New Roman" w:cs="Times New Roman"/>
          <w:sz w:val="24"/>
          <w:szCs w:val="24"/>
          <w:lang w:val="es-ES"/>
        </w:rPr>
        <w:t>como custodia de la corte. Los pacientes de salud mental y las personas con discapacidad mental son muy vulnerables al abuso y maltrato. El seguimiento eficaz de las denuncias de tortura, tratos inhumanos y abuso es necesaria para garantizar la rendición de cuentas, sin embargo, no existe un control efectivo de los casos de custodia y el tratamiento de la tutela de la corte. Mecanismos internos de rendición de cuentas y reparación, deben ser accesibles, transparentes y eficaces, pero en los EE.UU. el sistema judicial ni siquiera sabe con exactitud cuántas personas están actualmente bajo la tutela del tribunal y en la tutela. Bajo la tutela del tribunal son claramente las personas detenidas que fueron privados</w:t>
      </w:r>
      <w:r w:rsidR="009B676F">
        <w:rPr>
          <w:rFonts w:ascii="Times New Roman" w:eastAsia="Times New Roman" w:hAnsi="Times New Roman" w:cs="Times New Roman"/>
          <w:sz w:val="24"/>
          <w:szCs w:val="24"/>
          <w:lang w:val="es-ES"/>
        </w:rPr>
        <w:t xml:space="preserve"> de su</w:t>
      </w:r>
      <w:bookmarkStart w:id="0" w:name="_GoBack"/>
      <w:bookmarkEnd w:id="0"/>
      <w:r w:rsidRPr="00793E46">
        <w:rPr>
          <w:rFonts w:ascii="Times New Roman" w:eastAsia="Times New Roman" w:hAnsi="Times New Roman" w:cs="Times New Roman"/>
          <w:sz w:val="24"/>
          <w:szCs w:val="24"/>
          <w:lang w:val="es-ES"/>
        </w:rPr>
        <w:t xml:space="preserve"> libertad en virtud de la acción estatal.</w:t>
      </w:r>
      <w:r w:rsidRPr="00793E46">
        <w:rPr>
          <w:rFonts w:ascii="Times New Roman" w:eastAsia="Times New Roman" w:hAnsi="Times New Roman" w:cs="Times New Roman"/>
          <w:sz w:val="24"/>
          <w:szCs w:val="24"/>
          <w:lang w:val="es-ES"/>
        </w:rPr>
        <w:br/>
      </w:r>
      <w:r w:rsidRPr="00793E46">
        <w:rPr>
          <w:rFonts w:ascii="Times New Roman" w:eastAsia="Times New Roman" w:hAnsi="Times New Roman" w:cs="Times New Roman"/>
          <w:sz w:val="24"/>
          <w:szCs w:val="24"/>
          <w:lang w:val="es-ES"/>
        </w:rPr>
        <w:br/>
        <w:t>Queda poca información precisa de quién está en la tutela y la calidad y la naturaleza de su atención médica. Hay aproximadamente 1,5 millones de casos de tutela adulta pendientes activos en los Estados Unidos, según el Centro Nacional de 2011 para los Tribunales del Estado informar Tutelas para adultos: Una "mejor estimación" Cálculo Nacional y el impulso para la reforma. Sin embargo numerosos informes han demostrado que muchas oficinas administrativas de los tribunales estatales no recibieron información completa sobre la tutela de tribunales de primera instancia. Algunos estados no pueden distinguir entre las tutelas otorgadas a los niños, jóvenes adultos incapacitados y ancianos. Hubo grandes dificultades de seguimiento el número de casos, ya que estos casos pueden permanecer abiertas durante años ya veces décadas.</w:t>
      </w:r>
      <w:r w:rsidRPr="00793E46">
        <w:rPr>
          <w:rFonts w:ascii="Times New Roman" w:eastAsia="Times New Roman" w:hAnsi="Times New Roman" w:cs="Times New Roman"/>
          <w:sz w:val="24"/>
          <w:szCs w:val="24"/>
          <w:lang w:val="es-ES"/>
        </w:rPr>
        <w:br/>
      </w:r>
      <w:r w:rsidRPr="00793E46">
        <w:rPr>
          <w:rFonts w:ascii="Times New Roman" w:eastAsia="Times New Roman" w:hAnsi="Times New Roman" w:cs="Times New Roman"/>
          <w:sz w:val="24"/>
          <w:szCs w:val="24"/>
          <w:lang w:val="es-ES"/>
        </w:rPr>
        <w:br/>
        <w:t xml:space="preserve">Red de Defensa de Denunciantes Médica (MWAN) señala que los tomadores de decisiones sustituidos, los "profesionales de la salud calificados", no son elegidos por el paciente, sino que asignan a la paciente por aquellos en una posición de poder y autoridad. Los médicos a veces </w:t>
      </w:r>
      <w:r w:rsidRPr="00793E46">
        <w:rPr>
          <w:rFonts w:ascii="Times New Roman" w:eastAsia="Times New Roman" w:hAnsi="Times New Roman" w:cs="Times New Roman"/>
          <w:sz w:val="24"/>
          <w:szCs w:val="24"/>
          <w:lang w:val="es-ES"/>
        </w:rPr>
        <w:lastRenderedPageBreak/>
        <w:t>tratan a las personas con discapacidad como objeto de tratamiento en lugar de los titulares de derechos y no buscan siempre su consentimiento libre e informado cuando se trata de tratamientos. Estos "profesionales de la salud calificados" a menudo son directamente elegidos por los que se están beneficiando directamente financieramente del tratamiento médico seleccionado y alineado con los abusadores. Los "proveedores de salud calificados" se les da inmunidad cuasi-gubernamental para sus decisiones de cuidado de la salud y protegidos por un seguro especial de responsabilidad por negligencia médica. Además, dado que la mayoría de tratamiento de salud mental actual se considera la administración de fármacos psiquiátricos, estos "profesionales de la salud calificados" son a menudo económicamente y políticamente alineados con la industria farmacéutica. Profesionales de la salud calificados a menudo son engañados por los representantes de marketing farmacéutico en la creencia de la terapia con medicamentos es más seguro y más eficaz de lo que realmente es. Las drogas psiquiátricas se utilizan a menudo fuera de la etiqueta para los usos que la FDA no ha aprobado el uso de -esencialmente las salas como conejillos de indias científicas. La atención médica por los "profesionales de la salud calificados" es a menudo lucro impulsada y, a menudo se hace con poco respeto a los derechos humanos y las libertades civiles. El objetivo de dicha atención es a menudo la coerción y el control de la persona con discapacidad.</w:t>
      </w:r>
      <w:r w:rsidRPr="00793E46">
        <w:rPr>
          <w:rFonts w:ascii="Times New Roman" w:eastAsia="Times New Roman" w:hAnsi="Times New Roman" w:cs="Times New Roman"/>
          <w:sz w:val="24"/>
          <w:szCs w:val="24"/>
          <w:lang w:val="es-ES"/>
        </w:rPr>
        <w:br/>
      </w:r>
      <w:r w:rsidRPr="00793E46">
        <w:rPr>
          <w:rFonts w:ascii="Times New Roman" w:eastAsia="Times New Roman" w:hAnsi="Times New Roman" w:cs="Times New Roman"/>
          <w:sz w:val="24"/>
          <w:szCs w:val="24"/>
          <w:lang w:val="es-ES"/>
        </w:rPr>
        <w:br/>
        <w:t>Denunciantes Médico Advocacy Network (MWAN) señala que no se menciona en el documento CCPR / C / EE.UU. / 4 de las obligaciones de Estados Unidos bajo el Código de Nuremberg (que están codificados en la legislación estadounidense en la Regla Común) y que claramente indicar que los pacientes tienen el derecho al consentimiento informado para el tratamiento médico. Bajo la tutela del tribunal están obligados a tratamiento contra su voluntad y sin el consentimiento informado. Drogar forzado puede ser considerada como una forma de tortura y, sin embargo, es una práctica generalizada en las intervenciones de EE.UU. psiquiátricos pueden ser las desapariciones forzadas, a menudo bajo el disfraz de la atención médica de emergencia en que la víctima se mantiene incógnito de familiares y amigos, mientras que la fuerza de personal de firmas de salud mental en el papeleo que elimina de forma efectiva el derecho de los demás a intervenir legalmente en lo que el establecimiento médico ha planeado.</w:t>
      </w:r>
      <w:r w:rsidRPr="00793E46">
        <w:rPr>
          <w:rFonts w:ascii="Times New Roman" w:eastAsia="Times New Roman" w:hAnsi="Times New Roman" w:cs="Times New Roman"/>
          <w:sz w:val="24"/>
          <w:szCs w:val="24"/>
          <w:lang w:val="es-ES"/>
        </w:rPr>
        <w:br/>
      </w:r>
      <w:r w:rsidRPr="00793E46">
        <w:rPr>
          <w:rFonts w:ascii="Times New Roman" w:eastAsia="Times New Roman" w:hAnsi="Times New Roman" w:cs="Times New Roman"/>
          <w:sz w:val="24"/>
          <w:szCs w:val="24"/>
          <w:lang w:val="es-ES"/>
        </w:rPr>
        <w:br/>
        <w:t>Ha habido muy poco impacto de cualquier acción tomada por los E</w:t>
      </w:r>
      <w:r w:rsidR="00DD585D">
        <w:rPr>
          <w:rFonts w:ascii="Times New Roman" w:eastAsia="Times New Roman" w:hAnsi="Times New Roman" w:cs="Times New Roman"/>
          <w:sz w:val="24"/>
          <w:szCs w:val="24"/>
          <w:lang w:val="es-ES"/>
        </w:rPr>
        <w:t xml:space="preserve">E.UU. en los que son abusados </w:t>
      </w:r>
      <w:r w:rsidRPr="00793E46">
        <w:rPr>
          <w:rFonts w:ascii="Times New Roman" w:eastAsia="Times New Roman" w:hAnsi="Times New Roman" w:cs="Times New Roman"/>
          <w:sz w:val="24"/>
          <w:szCs w:val="24"/>
          <w:lang w:val="es-ES"/>
        </w:rPr>
        <w:t>dentro de las instalaciones de salud mental o mientras bajo la tutela del tribunal. Sigue existiendo una falta de investigaciones efectivas, independientes e imparciales de las denuncias individuales de tortura psiquiátrica, violaciónes de consentimiento informado con off-label medicamentos psiquiátricos en violación de los principios éticos del Código de Nuremberg y la Declaración de Helsinki. Quedan las barreras a la responsabilidad y reparación.</w:t>
      </w:r>
    </w:p>
    <w:p w:rsidR="00E33CFC" w:rsidRDefault="00E33CFC" w:rsidP="00E33CFC">
      <w:pPr>
        <w:spacing w:after="0" w:line="240" w:lineRule="auto"/>
        <w:rPr>
          <w:rFonts w:ascii="Times New Roman" w:eastAsia="Times New Roman" w:hAnsi="Times New Roman" w:cs="Times New Roman"/>
          <w:sz w:val="24"/>
          <w:szCs w:val="24"/>
          <w:lang w:val="es-ES"/>
        </w:rPr>
      </w:pPr>
    </w:p>
    <w:p w:rsidR="00E33CFC" w:rsidRDefault="00E33CFC" w:rsidP="00E33CFC">
      <w:pPr>
        <w:spacing w:after="0" w:line="240" w:lineRule="auto"/>
        <w:rPr>
          <w:rFonts w:ascii="Times New Roman" w:eastAsia="Times New Roman" w:hAnsi="Times New Roman" w:cs="Times New Roman"/>
          <w:sz w:val="24"/>
          <w:szCs w:val="24"/>
          <w:lang w:val="es-ES"/>
        </w:rPr>
      </w:pPr>
    </w:p>
    <w:p w:rsidR="00E33CFC" w:rsidRPr="00E33CFC" w:rsidRDefault="00E33CFC" w:rsidP="00E33CFC">
      <w:pPr>
        <w:spacing w:after="0" w:line="240" w:lineRule="auto"/>
        <w:rPr>
          <w:rFonts w:ascii="Times New Roman" w:eastAsia="Times New Roman" w:hAnsi="Times New Roman" w:cs="Times New Roman"/>
          <w:sz w:val="24"/>
          <w:szCs w:val="24"/>
        </w:rPr>
      </w:pPr>
      <w:r w:rsidRPr="00E33CFC">
        <w:rPr>
          <w:rFonts w:ascii="Times New Roman" w:eastAsia="Times New Roman" w:hAnsi="Times New Roman" w:cs="Times New Roman"/>
          <w:b/>
          <w:sz w:val="40"/>
          <w:szCs w:val="40"/>
          <w:lang w:val="es-ES"/>
        </w:rPr>
        <w:t>Recomendaciones</w:t>
      </w:r>
      <w:r w:rsidRPr="00E33CFC">
        <w:rPr>
          <w:rFonts w:ascii="Times New Roman" w:eastAsia="Times New Roman" w:hAnsi="Times New Roman" w:cs="Times New Roman"/>
          <w:b/>
          <w:sz w:val="40"/>
          <w:szCs w:val="40"/>
          <w:lang w:val="es-ES"/>
        </w:rPr>
        <w:br/>
      </w:r>
      <w:r w:rsidRPr="00E33CFC">
        <w:rPr>
          <w:rFonts w:ascii="Times New Roman" w:eastAsia="Times New Roman" w:hAnsi="Times New Roman" w:cs="Times New Roman"/>
          <w:sz w:val="24"/>
          <w:szCs w:val="24"/>
          <w:lang w:val="es-ES"/>
        </w:rPr>
        <w:br/>
        <w:t>Ratificar la CDPD, el CRC y el PIDESC, sin reservas, interpretaciones o declaraciones, y sin más demora, a fin de estar en cumplimiento de las normas reconocidas internacionales relativas al derecho humano de consentimiento informado.</w:t>
      </w:r>
      <w:r w:rsidRPr="00E33CFC">
        <w:rPr>
          <w:rFonts w:ascii="Times New Roman" w:eastAsia="Times New Roman" w:hAnsi="Times New Roman" w:cs="Times New Roman"/>
          <w:sz w:val="24"/>
          <w:szCs w:val="24"/>
          <w:lang w:val="es-ES"/>
        </w:rPr>
        <w:br/>
      </w:r>
      <w:r w:rsidRPr="00E33CFC">
        <w:rPr>
          <w:rFonts w:ascii="Times New Roman" w:eastAsia="Times New Roman" w:hAnsi="Times New Roman" w:cs="Times New Roman"/>
          <w:sz w:val="24"/>
          <w:szCs w:val="24"/>
          <w:lang w:val="es-ES"/>
        </w:rPr>
        <w:br/>
        <w:t xml:space="preserve">Establecer un sistema federal de seguimiento de base de datos para facilitar el seguimiento de las denuncias recibidas por el HHS, la FDA o el Departamento de Justicia en relación con las </w:t>
      </w:r>
      <w:r w:rsidRPr="00E33CFC">
        <w:rPr>
          <w:rFonts w:ascii="Times New Roman" w:eastAsia="Times New Roman" w:hAnsi="Times New Roman" w:cs="Times New Roman"/>
          <w:sz w:val="24"/>
          <w:szCs w:val="24"/>
          <w:lang w:val="es-ES"/>
        </w:rPr>
        <w:lastRenderedPageBreak/>
        <w:t>denuncias de abusos psiquiátricos en centros psiquiátricos, asilos psiquiátricos y en tratamiento ambulatorio y registrar y tratar las denuncias de mala conducta que han sido presentadas por los pupilos contra su corte tutor asignado o equipo de tratamiento médico.</w:t>
      </w:r>
      <w:r w:rsidRPr="00E33CFC">
        <w:rPr>
          <w:rFonts w:ascii="Times New Roman" w:eastAsia="Times New Roman" w:hAnsi="Times New Roman" w:cs="Times New Roman"/>
          <w:sz w:val="24"/>
          <w:szCs w:val="24"/>
          <w:lang w:val="es-ES"/>
        </w:rPr>
        <w:br/>
      </w:r>
      <w:r w:rsidRPr="00E33CFC">
        <w:rPr>
          <w:rFonts w:ascii="Times New Roman" w:eastAsia="Times New Roman" w:hAnsi="Times New Roman" w:cs="Times New Roman"/>
          <w:sz w:val="24"/>
          <w:szCs w:val="24"/>
          <w:lang w:val="es-ES"/>
        </w:rPr>
        <w:br/>
        <w:t>Incluir a las personas con discapacidad en las políticas de revisión, tanto a nivel federal como estatal, para abolir todas las leyes y mecanismos que restringen la capacidad jurídica de cualquier persona (especialmente aquellos con discapacidades) y para crear medidas de apoyo para el ejercicio de la capacidad jurídica que respete la voluntad y las preferencias de la persona.</w:t>
      </w:r>
      <w:r w:rsidRPr="00E33CFC">
        <w:rPr>
          <w:rFonts w:ascii="Times New Roman" w:eastAsia="Times New Roman" w:hAnsi="Times New Roman" w:cs="Times New Roman"/>
          <w:sz w:val="24"/>
          <w:szCs w:val="24"/>
          <w:lang w:val="es-ES"/>
        </w:rPr>
        <w:br/>
      </w:r>
      <w:r w:rsidRPr="00E33CFC">
        <w:rPr>
          <w:rFonts w:ascii="Times New Roman" w:eastAsia="Times New Roman" w:hAnsi="Times New Roman" w:cs="Times New Roman"/>
          <w:sz w:val="24"/>
          <w:szCs w:val="24"/>
          <w:lang w:val="es-ES"/>
        </w:rPr>
        <w:br/>
        <w:t>Evaluar todos los casos de tutela en el sistema judicial del estado para ver si están en conformidad con la Declaración de Helsinki y el Código de Nuremberg en lo que respecta a la realización de la investigación médica, social y conductual.</w:t>
      </w:r>
      <w:r w:rsidRPr="00E33CFC">
        <w:rPr>
          <w:rFonts w:ascii="Times New Roman" w:eastAsia="Times New Roman" w:hAnsi="Times New Roman" w:cs="Times New Roman"/>
          <w:sz w:val="24"/>
          <w:szCs w:val="24"/>
          <w:lang w:val="es-ES"/>
        </w:rPr>
        <w:br/>
      </w:r>
      <w:r w:rsidRPr="00E33CFC">
        <w:rPr>
          <w:rFonts w:ascii="Times New Roman" w:eastAsia="Times New Roman" w:hAnsi="Times New Roman" w:cs="Times New Roman"/>
          <w:sz w:val="24"/>
          <w:szCs w:val="24"/>
          <w:lang w:val="es-ES"/>
        </w:rPr>
        <w:br/>
        <w:t>Proporcionar educación específica sobre Protocolo de Estambul y la formación en la manera de identificar señales de tortura, tratos o penas crueles, inhumanos o degradantes a todos los médicos, el personal y el personal de las instituciones psiquiátricas, centros de salud mental y todos los demás lugares de detención psiquiátrica y darles instrucciones sobre cómo reportar este tipo de incidentes.</w:t>
      </w:r>
      <w:r w:rsidRPr="00E33CFC">
        <w:rPr>
          <w:rFonts w:ascii="Times New Roman" w:eastAsia="Times New Roman" w:hAnsi="Times New Roman" w:cs="Times New Roman"/>
          <w:sz w:val="24"/>
          <w:szCs w:val="24"/>
          <w:lang w:val="es-ES"/>
        </w:rPr>
        <w:br/>
      </w:r>
      <w:r w:rsidRPr="00E33CFC">
        <w:rPr>
          <w:rFonts w:ascii="Times New Roman" w:eastAsia="Times New Roman" w:hAnsi="Times New Roman" w:cs="Times New Roman"/>
          <w:sz w:val="24"/>
          <w:szCs w:val="24"/>
          <w:lang w:val="es-ES"/>
        </w:rPr>
        <w:br/>
        <w:t>Proporcionar capacitación sobre el Protocolo de Estambul y en la manera de identificar señales de tortura, tratos crueles, inhumanos o degradantes a los investigadores del Departamento de Justicia, las fuerzas del orden y el personal penitenciario, e investigar las denuncias individuales de tortura, tratos crueles, inhumanos o degradantes formuladas por las salas de el tribunal, en todas las jurisdicciones de Estados Unidos.</w:t>
      </w:r>
    </w:p>
    <w:p w:rsidR="00E33CFC" w:rsidRPr="00793E46" w:rsidRDefault="00E33CFC" w:rsidP="00793E46">
      <w:pPr>
        <w:spacing w:after="0" w:line="240" w:lineRule="auto"/>
        <w:rPr>
          <w:rFonts w:ascii="Times New Roman" w:eastAsia="Times New Roman" w:hAnsi="Times New Roman" w:cs="Times New Roman"/>
          <w:sz w:val="24"/>
          <w:szCs w:val="24"/>
        </w:rPr>
      </w:pPr>
    </w:p>
    <w:p w:rsidR="002F071A" w:rsidRPr="002F071A" w:rsidRDefault="002F071A" w:rsidP="002F071A">
      <w:pPr>
        <w:spacing w:after="0" w:line="240" w:lineRule="auto"/>
        <w:rPr>
          <w:rFonts w:ascii="Times New Roman" w:eastAsia="Times New Roman" w:hAnsi="Times New Roman" w:cs="Times New Roman"/>
          <w:sz w:val="24"/>
          <w:szCs w:val="24"/>
        </w:rPr>
      </w:pPr>
      <w:r w:rsidRPr="002F071A">
        <w:rPr>
          <w:rFonts w:ascii="Times New Roman" w:eastAsia="Times New Roman" w:hAnsi="Times New Roman" w:cs="Times New Roman"/>
          <w:sz w:val="24"/>
          <w:szCs w:val="24"/>
          <w:lang w:val="es-ES"/>
        </w:rPr>
        <w:br/>
      </w:r>
      <w:r w:rsidRPr="00F9068D">
        <w:rPr>
          <w:rFonts w:ascii="Times New Roman" w:eastAsia="Times New Roman" w:hAnsi="Times New Roman" w:cs="Times New Roman"/>
          <w:b/>
          <w:sz w:val="40"/>
          <w:szCs w:val="40"/>
          <w:lang w:val="es-ES"/>
        </w:rPr>
        <w:t>Preguntas</w:t>
      </w:r>
      <w:r w:rsidRPr="00F9068D">
        <w:rPr>
          <w:rFonts w:ascii="Times New Roman" w:eastAsia="Times New Roman" w:hAnsi="Times New Roman" w:cs="Times New Roman"/>
          <w:sz w:val="40"/>
          <w:szCs w:val="40"/>
          <w:lang w:val="es-ES"/>
        </w:rPr>
        <w:br/>
      </w:r>
      <w:r w:rsidRPr="002F071A">
        <w:rPr>
          <w:rFonts w:ascii="Times New Roman" w:eastAsia="Times New Roman" w:hAnsi="Times New Roman" w:cs="Times New Roman"/>
          <w:sz w:val="24"/>
          <w:szCs w:val="24"/>
          <w:lang w:val="es-ES"/>
        </w:rPr>
        <w:t>• ¿Qué medidas piensa adoptar el EE.UU. tomar para garantizar la protección de los derechos humanos para la protección del tribunal e investigar las denuncias de tortura, tratos crueles, inhumanos y degradantes?</w:t>
      </w:r>
      <w:r w:rsidRPr="002F071A">
        <w:rPr>
          <w:rFonts w:ascii="Times New Roman" w:eastAsia="Times New Roman" w:hAnsi="Times New Roman" w:cs="Times New Roman"/>
          <w:sz w:val="24"/>
          <w:szCs w:val="24"/>
          <w:lang w:val="es-ES"/>
        </w:rPr>
        <w:br/>
      </w:r>
      <w:r w:rsidRPr="002F071A">
        <w:rPr>
          <w:rFonts w:ascii="Times New Roman" w:eastAsia="Times New Roman" w:hAnsi="Times New Roman" w:cs="Times New Roman"/>
          <w:sz w:val="24"/>
          <w:szCs w:val="24"/>
          <w:lang w:val="es-ES"/>
        </w:rPr>
        <w:br/>
        <w:t>• ¿Por qué el gobierno de Estados Unidos no se toman medidas para restringir el uso mayor de "off-label" uso de medicamentos psiquiátricos en violación de la Declaración de Helsinki y el Código de Nuremberg?</w:t>
      </w:r>
      <w:r w:rsidRPr="002F071A">
        <w:rPr>
          <w:rFonts w:ascii="Times New Roman" w:eastAsia="Times New Roman" w:hAnsi="Times New Roman" w:cs="Times New Roman"/>
          <w:sz w:val="24"/>
          <w:szCs w:val="24"/>
          <w:lang w:val="es-ES"/>
        </w:rPr>
        <w:br/>
      </w:r>
      <w:r w:rsidRPr="002F071A">
        <w:rPr>
          <w:rFonts w:ascii="Times New Roman" w:eastAsia="Times New Roman" w:hAnsi="Times New Roman" w:cs="Times New Roman"/>
          <w:sz w:val="24"/>
          <w:szCs w:val="24"/>
          <w:lang w:val="es-ES"/>
        </w:rPr>
        <w:br/>
        <w:t>• ¿Qué hará el gobierno federal hacer para supervisar a los tribunales estatales sistema de tutela?</w:t>
      </w:r>
    </w:p>
    <w:p w:rsidR="00E33CFC" w:rsidRDefault="00E33CFC"/>
    <w:sectPr w:rsidR="00E33CFC">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460" w:rsidRDefault="00380460" w:rsidP="00F9068D">
      <w:pPr>
        <w:spacing w:after="0" w:line="240" w:lineRule="auto"/>
      </w:pPr>
      <w:r>
        <w:separator/>
      </w:r>
    </w:p>
  </w:endnote>
  <w:endnote w:type="continuationSeparator" w:id="0">
    <w:p w:rsidR="00380460" w:rsidRDefault="00380460" w:rsidP="00F90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68D" w:rsidRDefault="00F906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9753448"/>
      <w:docPartObj>
        <w:docPartGallery w:val="Page Numbers (Bottom of Page)"/>
        <w:docPartUnique/>
      </w:docPartObj>
    </w:sdtPr>
    <w:sdtEndPr>
      <w:rPr>
        <w:noProof/>
      </w:rPr>
    </w:sdtEndPr>
    <w:sdtContent>
      <w:p w:rsidR="00F9068D" w:rsidRDefault="00F9068D">
        <w:pPr>
          <w:pStyle w:val="Footer"/>
          <w:jc w:val="right"/>
        </w:pPr>
        <w:r>
          <w:fldChar w:fldCharType="begin"/>
        </w:r>
        <w:r>
          <w:instrText xml:space="preserve"> PAGE   \* MERGEFORMAT </w:instrText>
        </w:r>
        <w:r>
          <w:fldChar w:fldCharType="separate"/>
        </w:r>
        <w:r w:rsidR="009B676F">
          <w:rPr>
            <w:noProof/>
          </w:rPr>
          <w:t>2</w:t>
        </w:r>
        <w:r>
          <w:rPr>
            <w:noProof/>
          </w:rPr>
          <w:fldChar w:fldCharType="end"/>
        </w:r>
      </w:p>
    </w:sdtContent>
  </w:sdt>
  <w:p w:rsidR="00F9068D" w:rsidRDefault="00F906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68D" w:rsidRDefault="00F906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460" w:rsidRDefault="00380460" w:rsidP="00F9068D">
      <w:pPr>
        <w:spacing w:after="0" w:line="240" w:lineRule="auto"/>
      </w:pPr>
      <w:r>
        <w:separator/>
      </w:r>
    </w:p>
  </w:footnote>
  <w:footnote w:type="continuationSeparator" w:id="0">
    <w:p w:rsidR="00380460" w:rsidRDefault="00380460" w:rsidP="00F906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68D" w:rsidRDefault="00F906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68D" w:rsidRDefault="00F906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068D" w:rsidRDefault="00F906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E46"/>
    <w:rsid w:val="002F071A"/>
    <w:rsid w:val="00380460"/>
    <w:rsid w:val="00467152"/>
    <w:rsid w:val="005055EE"/>
    <w:rsid w:val="00572C39"/>
    <w:rsid w:val="00793E46"/>
    <w:rsid w:val="00831408"/>
    <w:rsid w:val="009B676F"/>
    <w:rsid w:val="00A86FA8"/>
    <w:rsid w:val="00DD585D"/>
    <w:rsid w:val="00E33CFC"/>
    <w:rsid w:val="00F90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81817F-3F10-4B79-9FF2-391DF3F52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06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68D"/>
  </w:style>
  <w:style w:type="paragraph" w:styleId="Footer">
    <w:name w:val="footer"/>
    <w:basedOn w:val="Normal"/>
    <w:link w:val="FooterChar"/>
    <w:uiPriority w:val="99"/>
    <w:unhideWhenUsed/>
    <w:rsid w:val="00F906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2177160">
      <w:bodyDiv w:val="1"/>
      <w:marLeft w:val="0"/>
      <w:marRight w:val="0"/>
      <w:marTop w:val="0"/>
      <w:marBottom w:val="0"/>
      <w:divBdr>
        <w:top w:val="none" w:sz="0" w:space="0" w:color="auto"/>
        <w:left w:val="none" w:sz="0" w:space="0" w:color="auto"/>
        <w:bottom w:val="none" w:sz="0" w:space="0" w:color="auto"/>
        <w:right w:val="none" w:sz="0" w:space="0" w:color="auto"/>
      </w:divBdr>
      <w:divsChild>
        <w:div w:id="1011762231">
          <w:marLeft w:val="0"/>
          <w:marRight w:val="0"/>
          <w:marTop w:val="0"/>
          <w:marBottom w:val="0"/>
          <w:divBdr>
            <w:top w:val="none" w:sz="0" w:space="0" w:color="auto"/>
            <w:left w:val="none" w:sz="0" w:space="0" w:color="auto"/>
            <w:bottom w:val="none" w:sz="0" w:space="0" w:color="auto"/>
            <w:right w:val="none" w:sz="0" w:space="0" w:color="auto"/>
          </w:divBdr>
          <w:divsChild>
            <w:div w:id="1600790425">
              <w:marLeft w:val="0"/>
              <w:marRight w:val="0"/>
              <w:marTop w:val="0"/>
              <w:marBottom w:val="0"/>
              <w:divBdr>
                <w:top w:val="none" w:sz="0" w:space="0" w:color="auto"/>
                <w:left w:val="none" w:sz="0" w:space="0" w:color="auto"/>
                <w:bottom w:val="none" w:sz="0" w:space="0" w:color="auto"/>
                <w:right w:val="none" w:sz="0" w:space="0" w:color="auto"/>
              </w:divBdr>
              <w:divsChild>
                <w:div w:id="1798720400">
                  <w:marLeft w:val="0"/>
                  <w:marRight w:val="0"/>
                  <w:marTop w:val="0"/>
                  <w:marBottom w:val="0"/>
                  <w:divBdr>
                    <w:top w:val="none" w:sz="0" w:space="0" w:color="auto"/>
                    <w:left w:val="none" w:sz="0" w:space="0" w:color="auto"/>
                    <w:bottom w:val="none" w:sz="0" w:space="0" w:color="auto"/>
                    <w:right w:val="none" w:sz="0" w:space="0" w:color="auto"/>
                  </w:divBdr>
                  <w:divsChild>
                    <w:div w:id="125824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196403">
          <w:marLeft w:val="0"/>
          <w:marRight w:val="0"/>
          <w:marTop w:val="0"/>
          <w:marBottom w:val="0"/>
          <w:divBdr>
            <w:top w:val="none" w:sz="0" w:space="0" w:color="auto"/>
            <w:left w:val="none" w:sz="0" w:space="0" w:color="auto"/>
            <w:bottom w:val="none" w:sz="0" w:space="0" w:color="auto"/>
            <w:right w:val="none" w:sz="0" w:space="0" w:color="auto"/>
          </w:divBdr>
          <w:divsChild>
            <w:div w:id="1785492217">
              <w:marLeft w:val="0"/>
              <w:marRight w:val="0"/>
              <w:marTop w:val="0"/>
              <w:marBottom w:val="0"/>
              <w:divBdr>
                <w:top w:val="none" w:sz="0" w:space="0" w:color="auto"/>
                <w:left w:val="none" w:sz="0" w:space="0" w:color="auto"/>
                <w:bottom w:val="none" w:sz="0" w:space="0" w:color="auto"/>
                <w:right w:val="none" w:sz="0" w:space="0" w:color="auto"/>
              </w:divBdr>
              <w:divsChild>
                <w:div w:id="1146698682">
                  <w:marLeft w:val="0"/>
                  <w:marRight w:val="0"/>
                  <w:marTop w:val="0"/>
                  <w:marBottom w:val="0"/>
                  <w:divBdr>
                    <w:top w:val="none" w:sz="0" w:space="0" w:color="auto"/>
                    <w:left w:val="none" w:sz="0" w:space="0" w:color="auto"/>
                    <w:bottom w:val="none" w:sz="0" w:space="0" w:color="auto"/>
                    <w:right w:val="none" w:sz="0" w:space="0" w:color="auto"/>
                  </w:divBdr>
                  <w:divsChild>
                    <w:div w:id="1925843440">
                      <w:marLeft w:val="0"/>
                      <w:marRight w:val="0"/>
                      <w:marTop w:val="0"/>
                      <w:marBottom w:val="0"/>
                      <w:divBdr>
                        <w:top w:val="none" w:sz="0" w:space="0" w:color="auto"/>
                        <w:left w:val="none" w:sz="0" w:space="0" w:color="auto"/>
                        <w:bottom w:val="none" w:sz="0" w:space="0" w:color="auto"/>
                        <w:right w:val="none" w:sz="0" w:space="0" w:color="auto"/>
                      </w:divBdr>
                      <w:divsChild>
                        <w:div w:id="66728212">
                          <w:marLeft w:val="0"/>
                          <w:marRight w:val="0"/>
                          <w:marTop w:val="0"/>
                          <w:marBottom w:val="0"/>
                          <w:divBdr>
                            <w:top w:val="none" w:sz="0" w:space="0" w:color="auto"/>
                            <w:left w:val="none" w:sz="0" w:space="0" w:color="auto"/>
                            <w:bottom w:val="none" w:sz="0" w:space="0" w:color="auto"/>
                            <w:right w:val="none" w:sz="0" w:space="0" w:color="auto"/>
                          </w:divBdr>
                          <w:divsChild>
                            <w:div w:id="114080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9109107">
          <w:marLeft w:val="0"/>
          <w:marRight w:val="0"/>
          <w:marTop w:val="0"/>
          <w:marBottom w:val="0"/>
          <w:divBdr>
            <w:top w:val="none" w:sz="0" w:space="0" w:color="auto"/>
            <w:left w:val="none" w:sz="0" w:space="0" w:color="auto"/>
            <w:bottom w:val="none" w:sz="0" w:space="0" w:color="auto"/>
            <w:right w:val="none" w:sz="0" w:space="0" w:color="auto"/>
          </w:divBdr>
          <w:divsChild>
            <w:div w:id="2119979163">
              <w:marLeft w:val="0"/>
              <w:marRight w:val="0"/>
              <w:marTop w:val="0"/>
              <w:marBottom w:val="0"/>
              <w:divBdr>
                <w:top w:val="none" w:sz="0" w:space="0" w:color="auto"/>
                <w:left w:val="none" w:sz="0" w:space="0" w:color="auto"/>
                <w:bottom w:val="none" w:sz="0" w:space="0" w:color="auto"/>
                <w:right w:val="none" w:sz="0" w:space="0" w:color="auto"/>
              </w:divBdr>
              <w:divsChild>
                <w:div w:id="31622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83815">
      <w:bodyDiv w:val="1"/>
      <w:marLeft w:val="0"/>
      <w:marRight w:val="0"/>
      <w:marTop w:val="0"/>
      <w:marBottom w:val="0"/>
      <w:divBdr>
        <w:top w:val="none" w:sz="0" w:space="0" w:color="auto"/>
        <w:left w:val="none" w:sz="0" w:space="0" w:color="auto"/>
        <w:bottom w:val="none" w:sz="0" w:space="0" w:color="auto"/>
        <w:right w:val="none" w:sz="0" w:space="0" w:color="auto"/>
      </w:divBdr>
      <w:divsChild>
        <w:div w:id="1767187653">
          <w:marLeft w:val="0"/>
          <w:marRight w:val="0"/>
          <w:marTop w:val="0"/>
          <w:marBottom w:val="0"/>
          <w:divBdr>
            <w:top w:val="none" w:sz="0" w:space="0" w:color="auto"/>
            <w:left w:val="none" w:sz="0" w:space="0" w:color="auto"/>
            <w:bottom w:val="none" w:sz="0" w:space="0" w:color="auto"/>
            <w:right w:val="none" w:sz="0" w:space="0" w:color="auto"/>
          </w:divBdr>
          <w:divsChild>
            <w:div w:id="120625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49632">
      <w:bodyDiv w:val="1"/>
      <w:marLeft w:val="0"/>
      <w:marRight w:val="0"/>
      <w:marTop w:val="0"/>
      <w:marBottom w:val="0"/>
      <w:divBdr>
        <w:top w:val="none" w:sz="0" w:space="0" w:color="auto"/>
        <w:left w:val="none" w:sz="0" w:space="0" w:color="auto"/>
        <w:bottom w:val="none" w:sz="0" w:space="0" w:color="auto"/>
        <w:right w:val="none" w:sz="0" w:space="0" w:color="auto"/>
      </w:divBdr>
      <w:divsChild>
        <w:div w:id="2001539999">
          <w:marLeft w:val="0"/>
          <w:marRight w:val="0"/>
          <w:marTop w:val="0"/>
          <w:marBottom w:val="0"/>
          <w:divBdr>
            <w:top w:val="none" w:sz="0" w:space="0" w:color="auto"/>
            <w:left w:val="none" w:sz="0" w:space="0" w:color="auto"/>
            <w:bottom w:val="none" w:sz="0" w:space="0" w:color="auto"/>
            <w:right w:val="none" w:sz="0" w:space="0" w:color="auto"/>
          </w:divBdr>
          <w:divsChild>
            <w:div w:id="98372885">
              <w:marLeft w:val="0"/>
              <w:marRight w:val="0"/>
              <w:marTop w:val="0"/>
              <w:marBottom w:val="0"/>
              <w:divBdr>
                <w:top w:val="none" w:sz="0" w:space="0" w:color="auto"/>
                <w:left w:val="none" w:sz="0" w:space="0" w:color="auto"/>
                <w:bottom w:val="none" w:sz="0" w:space="0" w:color="auto"/>
                <w:right w:val="none" w:sz="0" w:space="0" w:color="auto"/>
              </w:divBdr>
              <w:divsChild>
                <w:div w:id="406417786">
                  <w:marLeft w:val="0"/>
                  <w:marRight w:val="0"/>
                  <w:marTop w:val="0"/>
                  <w:marBottom w:val="0"/>
                  <w:divBdr>
                    <w:top w:val="none" w:sz="0" w:space="0" w:color="auto"/>
                    <w:left w:val="none" w:sz="0" w:space="0" w:color="auto"/>
                    <w:bottom w:val="none" w:sz="0" w:space="0" w:color="auto"/>
                    <w:right w:val="none" w:sz="0" w:space="0" w:color="auto"/>
                  </w:divBdr>
                  <w:divsChild>
                    <w:div w:id="1703821774">
                      <w:marLeft w:val="0"/>
                      <w:marRight w:val="0"/>
                      <w:marTop w:val="0"/>
                      <w:marBottom w:val="0"/>
                      <w:divBdr>
                        <w:top w:val="none" w:sz="0" w:space="0" w:color="auto"/>
                        <w:left w:val="none" w:sz="0" w:space="0" w:color="auto"/>
                        <w:bottom w:val="none" w:sz="0" w:space="0" w:color="auto"/>
                        <w:right w:val="none" w:sz="0" w:space="0" w:color="auto"/>
                      </w:divBdr>
                      <w:divsChild>
                        <w:div w:id="376858604">
                          <w:marLeft w:val="0"/>
                          <w:marRight w:val="0"/>
                          <w:marTop w:val="0"/>
                          <w:marBottom w:val="0"/>
                          <w:divBdr>
                            <w:top w:val="none" w:sz="0" w:space="0" w:color="auto"/>
                            <w:left w:val="none" w:sz="0" w:space="0" w:color="auto"/>
                            <w:bottom w:val="none" w:sz="0" w:space="0" w:color="auto"/>
                            <w:right w:val="none" w:sz="0" w:space="0" w:color="auto"/>
                          </w:divBdr>
                          <w:divsChild>
                            <w:div w:id="81306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7324897">
      <w:bodyDiv w:val="1"/>
      <w:marLeft w:val="0"/>
      <w:marRight w:val="0"/>
      <w:marTop w:val="0"/>
      <w:marBottom w:val="0"/>
      <w:divBdr>
        <w:top w:val="none" w:sz="0" w:space="0" w:color="auto"/>
        <w:left w:val="none" w:sz="0" w:space="0" w:color="auto"/>
        <w:bottom w:val="none" w:sz="0" w:space="0" w:color="auto"/>
        <w:right w:val="none" w:sz="0" w:space="0" w:color="auto"/>
      </w:divBdr>
      <w:divsChild>
        <w:div w:id="879786533">
          <w:marLeft w:val="0"/>
          <w:marRight w:val="0"/>
          <w:marTop w:val="0"/>
          <w:marBottom w:val="0"/>
          <w:divBdr>
            <w:top w:val="none" w:sz="0" w:space="0" w:color="auto"/>
            <w:left w:val="none" w:sz="0" w:space="0" w:color="auto"/>
            <w:bottom w:val="none" w:sz="0" w:space="0" w:color="auto"/>
            <w:right w:val="none" w:sz="0" w:space="0" w:color="auto"/>
          </w:divBdr>
          <w:divsChild>
            <w:div w:id="1120876896">
              <w:marLeft w:val="0"/>
              <w:marRight w:val="0"/>
              <w:marTop w:val="0"/>
              <w:marBottom w:val="0"/>
              <w:divBdr>
                <w:top w:val="none" w:sz="0" w:space="0" w:color="auto"/>
                <w:left w:val="none" w:sz="0" w:space="0" w:color="auto"/>
                <w:bottom w:val="none" w:sz="0" w:space="0" w:color="auto"/>
                <w:right w:val="none" w:sz="0" w:space="0" w:color="auto"/>
              </w:divBdr>
              <w:divsChild>
                <w:div w:id="1100837150">
                  <w:marLeft w:val="0"/>
                  <w:marRight w:val="0"/>
                  <w:marTop w:val="0"/>
                  <w:marBottom w:val="0"/>
                  <w:divBdr>
                    <w:top w:val="none" w:sz="0" w:space="0" w:color="auto"/>
                    <w:left w:val="none" w:sz="0" w:space="0" w:color="auto"/>
                    <w:bottom w:val="none" w:sz="0" w:space="0" w:color="auto"/>
                    <w:right w:val="none" w:sz="0" w:space="0" w:color="auto"/>
                  </w:divBdr>
                  <w:divsChild>
                    <w:div w:id="126553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819405">
          <w:marLeft w:val="0"/>
          <w:marRight w:val="0"/>
          <w:marTop w:val="0"/>
          <w:marBottom w:val="0"/>
          <w:divBdr>
            <w:top w:val="none" w:sz="0" w:space="0" w:color="auto"/>
            <w:left w:val="none" w:sz="0" w:space="0" w:color="auto"/>
            <w:bottom w:val="none" w:sz="0" w:space="0" w:color="auto"/>
            <w:right w:val="none" w:sz="0" w:space="0" w:color="auto"/>
          </w:divBdr>
          <w:divsChild>
            <w:div w:id="651058664">
              <w:marLeft w:val="0"/>
              <w:marRight w:val="0"/>
              <w:marTop w:val="0"/>
              <w:marBottom w:val="0"/>
              <w:divBdr>
                <w:top w:val="none" w:sz="0" w:space="0" w:color="auto"/>
                <w:left w:val="none" w:sz="0" w:space="0" w:color="auto"/>
                <w:bottom w:val="none" w:sz="0" w:space="0" w:color="auto"/>
                <w:right w:val="none" w:sz="0" w:space="0" w:color="auto"/>
              </w:divBdr>
              <w:divsChild>
                <w:div w:id="6907058">
                  <w:marLeft w:val="0"/>
                  <w:marRight w:val="0"/>
                  <w:marTop w:val="0"/>
                  <w:marBottom w:val="0"/>
                  <w:divBdr>
                    <w:top w:val="none" w:sz="0" w:space="0" w:color="auto"/>
                    <w:left w:val="none" w:sz="0" w:space="0" w:color="auto"/>
                    <w:bottom w:val="none" w:sz="0" w:space="0" w:color="auto"/>
                    <w:right w:val="none" w:sz="0" w:space="0" w:color="auto"/>
                  </w:divBdr>
                  <w:divsChild>
                    <w:div w:id="7097109">
                      <w:marLeft w:val="0"/>
                      <w:marRight w:val="0"/>
                      <w:marTop w:val="0"/>
                      <w:marBottom w:val="0"/>
                      <w:divBdr>
                        <w:top w:val="none" w:sz="0" w:space="0" w:color="auto"/>
                        <w:left w:val="none" w:sz="0" w:space="0" w:color="auto"/>
                        <w:bottom w:val="none" w:sz="0" w:space="0" w:color="auto"/>
                        <w:right w:val="none" w:sz="0" w:space="0" w:color="auto"/>
                      </w:divBdr>
                      <w:divsChild>
                        <w:div w:id="1806896162">
                          <w:marLeft w:val="0"/>
                          <w:marRight w:val="0"/>
                          <w:marTop w:val="0"/>
                          <w:marBottom w:val="0"/>
                          <w:divBdr>
                            <w:top w:val="none" w:sz="0" w:space="0" w:color="auto"/>
                            <w:left w:val="none" w:sz="0" w:space="0" w:color="auto"/>
                            <w:bottom w:val="none" w:sz="0" w:space="0" w:color="auto"/>
                            <w:right w:val="none" w:sz="0" w:space="0" w:color="auto"/>
                          </w:divBdr>
                          <w:divsChild>
                            <w:div w:id="20213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F8462B-136D-4673-B069-C41621903D0D}"/>
</file>

<file path=customXml/itemProps2.xml><?xml version="1.0" encoding="utf-8"?>
<ds:datastoreItem xmlns:ds="http://schemas.openxmlformats.org/officeDocument/2006/customXml" ds:itemID="{ECF4EC2C-E702-4903-B5A7-F873FCA6C817}"/>
</file>

<file path=customXml/itemProps3.xml><?xml version="1.0" encoding="utf-8"?>
<ds:datastoreItem xmlns:ds="http://schemas.openxmlformats.org/officeDocument/2006/customXml" ds:itemID="{DBA21432-9973-4305-A209-6C178D97ACDA}"/>
</file>

<file path=docProps/app.xml><?xml version="1.0" encoding="utf-8"?>
<Properties xmlns="http://schemas.openxmlformats.org/officeDocument/2006/extended-properties" xmlns:vt="http://schemas.openxmlformats.org/officeDocument/2006/docPropsVTypes">
  <Template>Normal</Template>
  <TotalTime>0</TotalTime>
  <Pages>3</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Parker</dc:creator>
  <cp:keywords/>
  <dc:description/>
  <cp:lastModifiedBy>Janet Parker</cp:lastModifiedBy>
  <cp:revision>2</cp:revision>
  <dcterms:created xsi:type="dcterms:W3CDTF">2015-03-18T22:07:00Z</dcterms:created>
  <dcterms:modified xsi:type="dcterms:W3CDTF">2015-03-18T22:07:00Z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