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D84E3F" w14:textId="00FB2803" w:rsidR="0075044F" w:rsidRPr="007C0B84" w:rsidRDefault="00AD060F" w:rsidP="007C0B84">
      <w:pPr>
        <w:spacing w:before="480" w:after="480" w:line="276" w:lineRule="auto"/>
        <w:jc w:val="center"/>
        <w:rPr>
          <w:rFonts w:asciiTheme="minorHAnsi" w:hAnsiTheme="minorHAnsi" w:cstheme="minorHAnsi"/>
          <w:sz w:val="24"/>
          <w:szCs w:val="24"/>
        </w:rPr>
      </w:pPr>
      <w:r>
        <w:rPr>
          <w:rFonts w:asciiTheme="minorHAnsi" w:hAnsiTheme="minorHAnsi" w:cstheme="minorHAnsi"/>
          <w:noProof/>
          <w:sz w:val="24"/>
          <w:szCs w:val="24"/>
        </w:rPr>
        <w:drawing>
          <wp:anchor distT="0" distB="0" distL="114300" distR="114300" simplePos="0" relativeHeight="251658240" behindDoc="0" locked="0" layoutInCell="1" allowOverlap="1" wp14:anchorId="41394E8B" wp14:editId="62ADDA92">
            <wp:simplePos x="914400" y="1219200"/>
            <wp:positionH relativeFrom="margin">
              <wp:align>center</wp:align>
            </wp:positionH>
            <wp:positionV relativeFrom="margin">
              <wp:align>top</wp:align>
            </wp:positionV>
            <wp:extent cx="6858969" cy="1386840"/>
            <wp:effectExtent l="0" t="0" r="0" b="381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6858969" cy="1386840"/>
                    </a:xfrm>
                    <a:prstGeom prst="rect">
                      <a:avLst/>
                    </a:prstGeom>
                  </pic:spPr>
                </pic:pic>
              </a:graphicData>
            </a:graphic>
          </wp:anchor>
        </w:drawing>
      </w:r>
      <w:r>
        <w:rPr>
          <w:rFonts w:asciiTheme="minorHAnsi" w:hAnsiTheme="minorHAnsi" w:cstheme="minorHAnsi"/>
          <w:b/>
          <w:bCs/>
          <w:color w:val="2E5C8A"/>
          <w:sz w:val="44"/>
          <w:szCs w:val="44"/>
        </w:rPr>
        <w:t>Civil Society Submission</w:t>
      </w:r>
    </w:p>
    <w:p w14:paraId="6A889E21" w14:textId="4377C549" w:rsidR="00C96129" w:rsidRPr="001F3502" w:rsidRDefault="00D21DEB" w:rsidP="007C0B84">
      <w:pPr>
        <w:spacing w:before="480" w:after="480" w:line="240" w:lineRule="auto"/>
        <w:jc w:val="center"/>
        <w:rPr>
          <w:rFonts w:asciiTheme="minorHAnsi" w:hAnsiTheme="minorHAnsi" w:cstheme="minorHAnsi"/>
          <w:sz w:val="44"/>
          <w:szCs w:val="44"/>
        </w:rPr>
      </w:pPr>
      <w:r>
        <w:rPr>
          <w:rFonts w:asciiTheme="minorHAnsi" w:hAnsiTheme="minorHAnsi" w:cstheme="minorHAnsi"/>
          <w:b/>
          <w:bCs/>
          <w:color w:val="2E5C8A"/>
          <w:sz w:val="44"/>
          <w:szCs w:val="44"/>
        </w:rPr>
        <w:t>to the CEDAW Committee</w:t>
      </w:r>
    </w:p>
    <w:p w14:paraId="162757E5" w14:textId="58937361" w:rsidR="00C96129" w:rsidRPr="001F3502" w:rsidRDefault="00D21DEB" w:rsidP="007C0B84">
      <w:pPr>
        <w:spacing w:line="240" w:lineRule="auto"/>
        <w:jc w:val="center"/>
        <w:rPr>
          <w:rFonts w:asciiTheme="minorHAnsi" w:hAnsiTheme="minorHAnsi" w:cstheme="minorHAnsi"/>
          <w:sz w:val="24"/>
          <w:szCs w:val="24"/>
        </w:rPr>
      </w:pPr>
      <w:r>
        <w:rPr>
          <w:rFonts w:asciiTheme="minorHAnsi" w:hAnsiTheme="minorHAnsi" w:cstheme="minorHAnsi"/>
          <w:color w:val="555555"/>
          <w:sz w:val="24"/>
          <w:szCs w:val="24"/>
        </w:rPr>
        <w:t>93rd Session - Intersessional Follow-Up Assessments 2026</w:t>
      </w:r>
    </w:p>
    <w:p w14:paraId="7E63A1FD" w14:textId="77777777" w:rsidR="00C96129" w:rsidRPr="001F3502" w:rsidRDefault="00D21DEB" w:rsidP="007C0B84">
      <w:pPr>
        <w:spacing w:after="600" w:line="240" w:lineRule="auto"/>
        <w:jc w:val="center"/>
        <w:rPr>
          <w:rFonts w:asciiTheme="minorHAnsi" w:hAnsiTheme="minorHAnsi" w:cstheme="minorHAnsi"/>
          <w:sz w:val="24"/>
          <w:szCs w:val="24"/>
        </w:rPr>
      </w:pPr>
      <w:r>
        <w:rPr>
          <w:rFonts w:asciiTheme="minorHAnsi" w:hAnsiTheme="minorHAnsi" w:cstheme="minorHAnsi"/>
          <w:i/>
          <w:iCs/>
          <w:color w:val="555555"/>
          <w:sz w:val="24"/>
          <w:szCs w:val="24"/>
        </w:rPr>
        <w:t>Intersessional Follow-Up to the Concluding Observations on the Fifth Periodic Report of Albania (CEDAW/C/ALB/CO/5)</w:t>
      </w:r>
    </w:p>
    <w:p w14:paraId="4F4A50C9" w14:textId="77777777" w:rsidR="00C96129" w:rsidRPr="001F3502" w:rsidRDefault="00D21DEB" w:rsidP="001F3502">
      <w:pPr>
        <w:spacing w:before="120" w:line="240" w:lineRule="auto"/>
        <w:jc w:val="center"/>
        <w:rPr>
          <w:rFonts w:asciiTheme="minorHAnsi" w:hAnsiTheme="minorHAnsi" w:cstheme="minorHAnsi"/>
          <w:sz w:val="24"/>
          <w:szCs w:val="24"/>
        </w:rPr>
      </w:pPr>
      <w:r>
        <w:rPr>
          <w:rFonts w:asciiTheme="minorHAnsi" w:hAnsiTheme="minorHAnsi" w:cstheme="minorHAnsi"/>
          <w:color w:val="CCCCCC"/>
          <w:sz w:val="24"/>
          <w:szCs w:val="24"/>
        </w:rPr>
        <w:t>────────────────────────────</w:t>
      </w:r>
    </w:p>
    <w:p w14:paraId="7109FBD2" w14:textId="376FA3C2" w:rsidR="00C96129" w:rsidRPr="001F3502" w:rsidRDefault="00021814" w:rsidP="001F3502">
      <w:pPr>
        <w:spacing w:before="300" w:after="100" w:line="240" w:lineRule="auto"/>
        <w:jc w:val="center"/>
        <w:rPr>
          <w:rFonts w:asciiTheme="minorHAnsi" w:hAnsiTheme="minorHAnsi" w:cstheme="minorHAnsi"/>
          <w:sz w:val="24"/>
          <w:szCs w:val="24"/>
        </w:rPr>
      </w:pPr>
      <w:r>
        <w:rPr>
          <w:rFonts w:asciiTheme="minorHAnsi" w:hAnsiTheme="minorHAnsi" w:cstheme="minorHAnsi"/>
          <w:b/>
          <w:bCs/>
          <w:caps/>
          <w:color w:val="888888"/>
          <w:sz w:val="24"/>
          <w:szCs w:val="24"/>
        </w:rPr>
        <w:t>Submitted by</w:t>
      </w:r>
    </w:p>
    <w:p w14:paraId="270E8819" w14:textId="77777777" w:rsidR="00C96129" w:rsidRPr="001F3502" w:rsidRDefault="00D21DEB" w:rsidP="001F3502">
      <w:pPr>
        <w:spacing w:after="80" w:line="240" w:lineRule="auto"/>
        <w:jc w:val="center"/>
        <w:rPr>
          <w:rFonts w:asciiTheme="minorHAnsi" w:hAnsiTheme="minorHAnsi" w:cstheme="minorHAnsi"/>
          <w:sz w:val="24"/>
          <w:szCs w:val="24"/>
        </w:rPr>
      </w:pPr>
      <w:r>
        <w:rPr>
          <w:rFonts w:asciiTheme="minorHAnsi" w:hAnsiTheme="minorHAnsi" w:cstheme="minorHAnsi"/>
          <w:b/>
          <w:bCs/>
          <w:color w:val="2E5C8A"/>
          <w:sz w:val="24"/>
          <w:szCs w:val="24"/>
        </w:rPr>
        <w:t>Gender Alliance for Development Center (GADC)</w:t>
      </w:r>
    </w:p>
    <w:p w14:paraId="7387F4A1" w14:textId="77777777" w:rsidR="00C96129" w:rsidRPr="001F3502" w:rsidRDefault="00D21DEB" w:rsidP="001F3502">
      <w:pPr>
        <w:spacing w:after="80" w:line="240" w:lineRule="auto"/>
        <w:jc w:val="center"/>
        <w:rPr>
          <w:rFonts w:asciiTheme="minorHAnsi" w:hAnsiTheme="minorHAnsi" w:cstheme="minorHAnsi"/>
          <w:sz w:val="24"/>
          <w:szCs w:val="24"/>
        </w:rPr>
      </w:pPr>
      <w:r>
        <w:rPr>
          <w:rFonts w:asciiTheme="minorHAnsi" w:hAnsiTheme="minorHAnsi" w:cstheme="minorHAnsi"/>
          <w:b/>
          <w:bCs/>
          <w:color w:val="2E5C8A"/>
          <w:sz w:val="24"/>
          <w:szCs w:val="24"/>
        </w:rPr>
        <w:t>Albanian Women Empowerment Network (AWEN)</w:t>
      </w:r>
    </w:p>
    <w:p w14:paraId="41C0C49E" w14:textId="43DFD158" w:rsidR="00C96129" w:rsidRPr="001F3502" w:rsidRDefault="00D21DEB" w:rsidP="001F3502">
      <w:pPr>
        <w:spacing w:after="400" w:line="240" w:lineRule="auto"/>
        <w:jc w:val="center"/>
        <w:rPr>
          <w:rFonts w:asciiTheme="minorHAnsi" w:hAnsiTheme="minorHAnsi" w:cstheme="minorHAnsi"/>
          <w:sz w:val="24"/>
          <w:szCs w:val="24"/>
        </w:rPr>
      </w:pPr>
      <w:r>
        <w:rPr>
          <w:rFonts w:asciiTheme="minorHAnsi" w:hAnsiTheme="minorHAnsi" w:cstheme="minorHAnsi"/>
          <w:b/>
          <w:bCs/>
          <w:color w:val="2E5C8A"/>
          <w:sz w:val="24"/>
          <w:szCs w:val="24"/>
        </w:rPr>
        <w:t>Alliance Against LGBTI Discrimination (</w:t>
      </w:r>
      <w:proofErr w:type="spellStart"/>
      <w:r>
        <w:rPr>
          <w:rFonts w:asciiTheme="minorHAnsi" w:hAnsiTheme="minorHAnsi" w:cstheme="minorHAnsi"/>
          <w:b/>
          <w:bCs/>
          <w:color w:val="2E5C8A"/>
          <w:sz w:val="24"/>
          <w:szCs w:val="24"/>
        </w:rPr>
        <w:t>Aleanca</w:t>
      </w:r>
      <w:proofErr w:type="spellEnd"/>
      <w:r>
        <w:rPr>
          <w:rFonts w:asciiTheme="minorHAnsi" w:hAnsiTheme="minorHAnsi" w:cstheme="minorHAnsi"/>
          <w:b/>
          <w:bCs/>
          <w:color w:val="2E5C8A"/>
          <w:sz w:val="24"/>
          <w:szCs w:val="24"/>
        </w:rPr>
        <w:t xml:space="preserve"> LGBTI)</w:t>
      </w:r>
    </w:p>
    <w:p w14:paraId="6CFCDA33" w14:textId="77777777" w:rsidR="007C0B84" w:rsidRDefault="007C0B84" w:rsidP="001F3502">
      <w:pPr>
        <w:spacing w:after="80" w:line="240" w:lineRule="auto"/>
        <w:jc w:val="center"/>
        <w:rPr>
          <w:rFonts w:asciiTheme="minorHAnsi" w:hAnsiTheme="minorHAnsi" w:cstheme="minorHAnsi"/>
          <w:color w:val="888888"/>
          <w:sz w:val="24"/>
          <w:szCs w:val="24"/>
        </w:rPr>
      </w:pPr>
    </w:p>
    <w:p w14:paraId="1B43AC41" w14:textId="3E3AB349" w:rsidR="00C96129" w:rsidRPr="007C0B84" w:rsidRDefault="00D21DEB" w:rsidP="001F3502">
      <w:pPr>
        <w:spacing w:after="80" w:line="240" w:lineRule="auto"/>
        <w:jc w:val="center"/>
        <w:rPr>
          <w:rFonts w:asciiTheme="minorHAnsi" w:hAnsiTheme="minorHAnsi" w:cstheme="minorHAnsi"/>
        </w:rPr>
      </w:pPr>
      <w:r>
        <w:rPr>
          <w:rFonts w:asciiTheme="minorHAnsi" w:hAnsiTheme="minorHAnsi" w:cstheme="minorHAnsi"/>
          <w:color w:val="888888"/>
        </w:rPr>
        <w:t>Drafted by</w:t>
      </w:r>
    </w:p>
    <w:p w14:paraId="0E33FEB3" w14:textId="60821377" w:rsidR="00C96129" w:rsidRPr="007C0B84" w:rsidRDefault="00AD060F" w:rsidP="001F3502">
      <w:pPr>
        <w:spacing w:after="80" w:line="240" w:lineRule="auto"/>
        <w:jc w:val="center"/>
        <w:rPr>
          <w:rFonts w:asciiTheme="minorHAnsi" w:hAnsiTheme="minorHAnsi" w:cstheme="minorHAnsi"/>
        </w:rPr>
      </w:pPr>
      <w:r>
        <w:rPr>
          <w:rFonts w:asciiTheme="minorHAnsi" w:hAnsiTheme="minorHAnsi" w:cstheme="minorHAnsi"/>
          <w:b/>
          <w:bCs/>
        </w:rPr>
        <w:t>LL.M Dea Nini</w:t>
      </w:r>
    </w:p>
    <w:p w14:paraId="7BBEDEA2" w14:textId="6728FAAD" w:rsidR="00C96129" w:rsidRPr="007C0B84" w:rsidRDefault="00AD060F" w:rsidP="001F3502">
      <w:pPr>
        <w:spacing w:after="600" w:line="240" w:lineRule="auto"/>
        <w:jc w:val="center"/>
        <w:rPr>
          <w:rFonts w:asciiTheme="minorHAnsi" w:hAnsiTheme="minorHAnsi" w:cstheme="minorHAnsi"/>
        </w:rPr>
      </w:pPr>
      <w:r>
        <w:rPr>
          <w:rFonts w:asciiTheme="minorHAnsi" w:hAnsiTheme="minorHAnsi" w:cstheme="minorHAnsi"/>
          <w:i/>
          <w:iCs/>
          <w:color w:val="888888"/>
        </w:rPr>
        <w:t>Lawyer | International Human Rights Expert | Albania</w:t>
      </w:r>
    </w:p>
    <w:p w14:paraId="646FE33D" w14:textId="77777777" w:rsidR="00C96129" w:rsidRPr="001F3502" w:rsidRDefault="00C96129" w:rsidP="001F3502">
      <w:pPr>
        <w:spacing w:line="240" w:lineRule="auto"/>
        <w:jc w:val="center"/>
        <w:rPr>
          <w:rFonts w:asciiTheme="minorHAnsi" w:hAnsiTheme="minorHAnsi" w:cstheme="minorHAnsi"/>
          <w:sz w:val="24"/>
          <w:szCs w:val="24"/>
        </w:rPr>
      </w:pPr>
    </w:p>
    <w:p w14:paraId="52A8D13E" w14:textId="77777777" w:rsidR="0075044F" w:rsidRPr="001F3502" w:rsidRDefault="0075044F" w:rsidP="001F3502">
      <w:pPr>
        <w:spacing w:before="200" w:line="240" w:lineRule="auto"/>
        <w:jc w:val="center"/>
        <w:rPr>
          <w:rFonts w:asciiTheme="minorHAnsi" w:hAnsiTheme="minorHAnsi" w:cstheme="minorHAnsi"/>
          <w:color w:val="888888"/>
          <w:sz w:val="24"/>
          <w:szCs w:val="24"/>
        </w:rPr>
      </w:pPr>
    </w:p>
    <w:p w14:paraId="3345AF3C" w14:textId="77777777" w:rsidR="0075044F" w:rsidRPr="001F3502" w:rsidRDefault="0075044F" w:rsidP="001F3502">
      <w:pPr>
        <w:spacing w:before="200" w:line="240" w:lineRule="auto"/>
        <w:jc w:val="center"/>
        <w:rPr>
          <w:rFonts w:asciiTheme="minorHAnsi" w:hAnsiTheme="minorHAnsi" w:cstheme="minorHAnsi"/>
          <w:color w:val="888888"/>
          <w:sz w:val="24"/>
          <w:szCs w:val="24"/>
        </w:rPr>
      </w:pPr>
    </w:p>
    <w:p w14:paraId="72CB5932" w14:textId="77777777" w:rsidR="0075044F" w:rsidRPr="001F3502" w:rsidRDefault="0075044F" w:rsidP="001F3502">
      <w:pPr>
        <w:spacing w:before="200" w:line="240" w:lineRule="auto"/>
        <w:jc w:val="center"/>
        <w:rPr>
          <w:rFonts w:asciiTheme="minorHAnsi" w:hAnsiTheme="minorHAnsi" w:cstheme="minorHAnsi"/>
          <w:color w:val="888888"/>
          <w:sz w:val="24"/>
          <w:szCs w:val="24"/>
        </w:rPr>
      </w:pPr>
    </w:p>
    <w:p w14:paraId="26ACC2BE" w14:textId="77777777" w:rsidR="0075044F" w:rsidRPr="001F3502" w:rsidRDefault="0075044F" w:rsidP="001F3502">
      <w:pPr>
        <w:spacing w:before="200" w:line="240" w:lineRule="auto"/>
        <w:jc w:val="center"/>
        <w:rPr>
          <w:rFonts w:asciiTheme="minorHAnsi" w:hAnsiTheme="minorHAnsi" w:cstheme="minorHAnsi"/>
          <w:color w:val="888888"/>
          <w:sz w:val="24"/>
          <w:szCs w:val="24"/>
        </w:rPr>
      </w:pPr>
    </w:p>
    <w:p w14:paraId="3CE88942" w14:textId="77777777" w:rsidR="0075044F" w:rsidRPr="001F3502" w:rsidRDefault="0075044F" w:rsidP="001F3502">
      <w:pPr>
        <w:spacing w:before="200" w:line="240" w:lineRule="auto"/>
        <w:jc w:val="center"/>
        <w:rPr>
          <w:rFonts w:asciiTheme="minorHAnsi" w:hAnsiTheme="minorHAnsi" w:cstheme="minorHAnsi"/>
          <w:color w:val="888888"/>
          <w:sz w:val="24"/>
          <w:szCs w:val="24"/>
        </w:rPr>
      </w:pPr>
    </w:p>
    <w:p w14:paraId="6FEB6CBD" w14:textId="6E32AC43" w:rsidR="00C80ACE" w:rsidRPr="001F3502" w:rsidRDefault="00D21DEB" w:rsidP="001F3502">
      <w:pPr>
        <w:spacing w:before="200" w:line="240" w:lineRule="auto"/>
        <w:jc w:val="center"/>
        <w:rPr>
          <w:rFonts w:asciiTheme="minorHAnsi" w:hAnsiTheme="minorHAnsi" w:cstheme="minorHAnsi"/>
          <w:sz w:val="24"/>
          <w:szCs w:val="24"/>
        </w:rPr>
      </w:pPr>
      <w:r>
        <w:rPr>
          <w:rFonts w:asciiTheme="minorHAnsi" w:hAnsiTheme="minorHAnsi" w:cstheme="minorHAnsi"/>
          <w:color w:val="888888"/>
        </w:rPr>
        <w:t>May 2026</w:t>
      </w:r>
      <w:r>
        <w:rPr>
          <w:rFonts w:asciiTheme="minorHAnsi" w:hAnsiTheme="minorHAnsi" w:cstheme="minorHAnsi"/>
          <w:sz w:val="24"/>
          <w:szCs w:val="24"/>
        </w:rPr>
        <w:br w:type="page"/>
      </w:r>
    </w:p>
    <w:p w14:paraId="35B778F2" w14:textId="77777777" w:rsidR="00C80ACE" w:rsidRPr="001F3502" w:rsidRDefault="00A87316" w:rsidP="001F3502">
      <w:pPr>
        <w:pStyle w:val="Heading1"/>
        <w:spacing w:line="276" w:lineRule="auto"/>
        <w:jc w:val="both"/>
        <w:rPr>
          <w:rFonts w:asciiTheme="minorHAnsi" w:hAnsiTheme="minorHAnsi" w:cstheme="minorHAnsi"/>
          <w:sz w:val="24"/>
          <w:szCs w:val="24"/>
        </w:rPr>
      </w:pPr>
      <w:r>
        <w:rPr>
          <w:rFonts w:asciiTheme="minorHAnsi" w:hAnsiTheme="minorHAnsi" w:cstheme="minorHAnsi"/>
          <w:sz w:val="24"/>
          <w:szCs w:val="24"/>
        </w:rPr>
        <w:lastRenderedPageBreak/>
        <w:t xml:space="preserve">Submitting </w:t>
      </w:r>
      <w:proofErr w:type="spellStart"/>
      <w:r>
        <w:rPr>
          <w:rFonts w:asciiTheme="minorHAnsi" w:hAnsiTheme="minorHAnsi" w:cstheme="minorHAnsi"/>
          <w:sz w:val="24"/>
          <w:szCs w:val="24"/>
        </w:rPr>
        <w:t>Organisations</w:t>
      </w:r>
      <w:proofErr w:type="spellEnd"/>
    </w:p>
    <w:p w14:paraId="5AA7BBE5" w14:textId="77777777" w:rsidR="00C80ACE" w:rsidRPr="001F3502" w:rsidRDefault="00A87316" w:rsidP="001F3502">
      <w:pPr>
        <w:pStyle w:val="Heading2"/>
        <w:spacing w:line="276" w:lineRule="auto"/>
        <w:jc w:val="both"/>
        <w:rPr>
          <w:rFonts w:asciiTheme="minorHAnsi" w:hAnsiTheme="minorHAnsi" w:cstheme="minorHAnsi"/>
          <w:sz w:val="24"/>
          <w:szCs w:val="24"/>
        </w:rPr>
      </w:pPr>
      <w:r>
        <w:rPr>
          <w:rFonts w:asciiTheme="minorHAnsi" w:hAnsiTheme="minorHAnsi" w:cstheme="minorHAnsi"/>
          <w:sz w:val="24"/>
          <w:szCs w:val="24"/>
        </w:rPr>
        <w:t>Gender Alliance for Development Center (GADC)</w:t>
      </w:r>
    </w:p>
    <w:p w14:paraId="6FE0342E" w14:textId="77777777" w:rsidR="00C80ACE" w:rsidRPr="001F3502" w:rsidRDefault="00A87316" w:rsidP="001F3502">
      <w:pPr>
        <w:spacing w:after="160" w:line="276" w:lineRule="auto"/>
        <w:jc w:val="both"/>
        <w:rPr>
          <w:rFonts w:asciiTheme="minorHAnsi" w:hAnsiTheme="minorHAnsi" w:cstheme="minorHAnsi"/>
          <w:sz w:val="24"/>
          <w:szCs w:val="24"/>
        </w:rPr>
      </w:pPr>
      <w:r>
        <w:rPr>
          <w:rFonts w:asciiTheme="minorHAnsi" w:hAnsiTheme="minorHAnsi" w:cstheme="minorHAnsi"/>
          <w:sz w:val="24"/>
          <w:szCs w:val="24"/>
        </w:rPr>
        <w:t xml:space="preserve">Established in 1995, GADC is one of Albania’s leading civil society </w:t>
      </w:r>
      <w:proofErr w:type="spellStart"/>
      <w:r>
        <w:rPr>
          <w:rFonts w:asciiTheme="minorHAnsi" w:hAnsiTheme="minorHAnsi" w:cstheme="minorHAnsi"/>
          <w:sz w:val="24"/>
          <w:szCs w:val="24"/>
        </w:rPr>
        <w:t>organisations</w:t>
      </w:r>
      <w:proofErr w:type="spellEnd"/>
      <w:r>
        <w:rPr>
          <w:rFonts w:asciiTheme="minorHAnsi" w:hAnsiTheme="minorHAnsi" w:cstheme="minorHAnsi"/>
          <w:sz w:val="24"/>
          <w:szCs w:val="24"/>
        </w:rPr>
        <w:t xml:space="preserve"> working to advance gender equality, women’s rights, and inclusive development. GADC works with public institutions, international </w:t>
      </w:r>
      <w:proofErr w:type="spellStart"/>
      <w:r>
        <w:rPr>
          <w:rFonts w:asciiTheme="minorHAnsi" w:hAnsiTheme="minorHAnsi" w:cstheme="minorHAnsi"/>
          <w:sz w:val="24"/>
          <w:szCs w:val="24"/>
        </w:rPr>
        <w:t>organisations</w:t>
      </w:r>
      <w:proofErr w:type="spellEnd"/>
      <w:r>
        <w:rPr>
          <w:rFonts w:asciiTheme="minorHAnsi" w:hAnsiTheme="minorHAnsi" w:cstheme="minorHAnsi"/>
          <w:sz w:val="24"/>
          <w:szCs w:val="24"/>
        </w:rPr>
        <w:t>, and civil society networks at local, national, and regional level, implementing projects funded by the EU and UN agencies across gender-based violence, economic empowerment, and democratic participation.</w:t>
      </w:r>
    </w:p>
    <w:p w14:paraId="073EA972" w14:textId="77777777" w:rsidR="00C80ACE" w:rsidRPr="001F3502" w:rsidRDefault="00A87316" w:rsidP="001F3502">
      <w:pPr>
        <w:pStyle w:val="Heading2"/>
        <w:spacing w:line="276" w:lineRule="auto"/>
        <w:jc w:val="both"/>
        <w:rPr>
          <w:rFonts w:asciiTheme="minorHAnsi" w:hAnsiTheme="minorHAnsi" w:cstheme="minorHAnsi"/>
          <w:sz w:val="24"/>
          <w:szCs w:val="24"/>
        </w:rPr>
      </w:pPr>
      <w:r>
        <w:rPr>
          <w:rFonts w:asciiTheme="minorHAnsi" w:hAnsiTheme="minorHAnsi" w:cstheme="minorHAnsi"/>
          <w:sz w:val="24"/>
          <w:szCs w:val="24"/>
        </w:rPr>
        <w:t>Albanian Women Empowerment Network (AWEN)</w:t>
      </w:r>
    </w:p>
    <w:p w14:paraId="09F74113" w14:textId="6EB1071F" w:rsidR="00C80ACE" w:rsidRPr="001F3502" w:rsidRDefault="00A87316" w:rsidP="001F3502">
      <w:pPr>
        <w:spacing w:after="160" w:line="276" w:lineRule="auto"/>
        <w:jc w:val="both"/>
        <w:rPr>
          <w:rFonts w:asciiTheme="minorHAnsi" w:hAnsiTheme="minorHAnsi" w:cstheme="minorHAnsi"/>
          <w:sz w:val="24"/>
          <w:szCs w:val="24"/>
        </w:rPr>
      </w:pPr>
      <w:r>
        <w:rPr>
          <w:rFonts w:asciiTheme="minorHAnsi" w:hAnsiTheme="minorHAnsi" w:cstheme="minorHAnsi"/>
          <w:sz w:val="24"/>
          <w:szCs w:val="24"/>
        </w:rPr>
        <w:t xml:space="preserve">Established in 2009 with the support of the </w:t>
      </w:r>
      <w:proofErr w:type="spellStart"/>
      <w:r>
        <w:rPr>
          <w:rFonts w:asciiTheme="minorHAnsi" w:hAnsiTheme="minorHAnsi" w:cstheme="minorHAnsi"/>
          <w:sz w:val="24"/>
          <w:szCs w:val="24"/>
        </w:rPr>
        <w:t>Kvinna</w:t>
      </w:r>
      <w:proofErr w:type="spellEnd"/>
      <w:r>
        <w:rPr>
          <w:rFonts w:asciiTheme="minorHAnsi" w:hAnsiTheme="minorHAnsi" w:cstheme="minorHAnsi"/>
          <w:sz w:val="24"/>
          <w:szCs w:val="24"/>
        </w:rPr>
        <w:t xml:space="preserve"> till </w:t>
      </w:r>
      <w:proofErr w:type="spellStart"/>
      <w:r>
        <w:rPr>
          <w:rFonts w:asciiTheme="minorHAnsi" w:hAnsiTheme="minorHAnsi" w:cstheme="minorHAnsi"/>
          <w:sz w:val="24"/>
          <w:szCs w:val="24"/>
        </w:rPr>
        <w:t>Kvinna</w:t>
      </w:r>
      <w:proofErr w:type="spellEnd"/>
      <w:r>
        <w:rPr>
          <w:rFonts w:asciiTheme="minorHAnsi" w:hAnsiTheme="minorHAnsi" w:cstheme="minorHAnsi"/>
          <w:sz w:val="24"/>
          <w:szCs w:val="24"/>
        </w:rPr>
        <w:t xml:space="preserve"> Foundation, AWEN promotes a rights-based feminist approach ensuring women and girls in Albania, particularly those from </w:t>
      </w:r>
      <w:proofErr w:type="spellStart"/>
      <w:r>
        <w:rPr>
          <w:rFonts w:asciiTheme="minorHAnsi" w:hAnsiTheme="minorHAnsi" w:cstheme="minorHAnsi"/>
          <w:sz w:val="24"/>
          <w:szCs w:val="24"/>
        </w:rPr>
        <w:t>marginalised</w:t>
      </w:r>
      <w:proofErr w:type="spellEnd"/>
      <w:r>
        <w:rPr>
          <w:rFonts w:asciiTheme="minorHAnsi" w:hAnsiTheme="minorHAnsi" w:cstheme="minorHAnsi"/>
          <w:sz w:val="24"/>
          <w:szCs w:val="24"/>
        </w:rPr>
        <w:t xml:space="preserve"> groups, can claim and exercise their rights. AWEN focuses on prevention of and response to gender-based violence, economic empowerment, and women’s meaningful political participation, advocating jointly at local, national, and international levels.</w:t>
      </w:r>
    </w:p>
    <w:p w14:paraId="1D4ECCE7" w14:textId="77777777" w:rsidR="00C80ACE" w:rsidRPr="001F3502" w:rsidRDefault="00A87316" w:rsidP="001F3502">
      <w:pPr>
        <w:pStyle w:val="Heading2"/>
        <w:spacing w:line="276" w:lineRule="auto"/>
        <w:jc w:val="both"/>
        <w:rPr>
          <w:rFonts w:asciiTheme="minorHAnsi" w:hAnsiTheme="minorHAnsi" w:cstheme="minorHAnsi"/>
          <w:sz w:val="24"/>
          <w:szCs w:val="24"/>
        </w:rPr>
      </w:pPr>
      <w:r>
        <w:rPr>
          <w:rFonts w:asciiTheme="minorHAnsi" w:hAnsiTheme="minorHAnsi" w:cstheme="minorHAnsi"/>
          <w:sz w:val="24"/>
          <w:szCs w:val="24"/>
        </w:rPr>
        <w:t>Alliance Against LGBTI Discrimination (</w:t>
      </w:r>
      <w:proofErr w:type="spellStart"/>
      <w:r>
        <w:rPr>
          <w:rFonts w:asciiTheme="minorHAnsi" w:hAnsiTheme="minorHAnsi" w:cstheme="minorHAnsi"/>
          <w:sz w:val="24"/>
          <w:szCs w:val="24"/>
        </w:rPr>
        <w:t>Aleanca</w:t>
      </w:r>
      <w:proofErr w:type="spellEnd"/>
      <w:r>
        <w:rPr>
          <w:rFonts w:asciiTheme="minorHAnsi" w:hAnsiTheme="minorHAnsi" w:cstheme="minorHAnsi"/>
          <w:sz w:val="24"/>
          <w:szCs w:val="24"/>
        </w:rPr>
        <w:t xml:space="preserve"> LGBTI)</w:t>
      </w:r>
    </w:p>
    <w:p w14:paraId="73177509" w14:textId="763E1735" w:rsidR="00C80ACE" w:rsidRPr="001F3502" w:rsidRDefault="00A87316" w:rsidP="001F3502">
      <w:pPr>
        <w:spacing w:after="160" w:line="276" w:lineRule="auto"/>
        <w:jc w:val="both"/>
        <w:rPr>
          <w:rFonts w:asciiTheme="minorHAnsi" w:hAnsiTheme="minorHAnsi" w:cstheme="minorHAnsi"/>
          <w:sz w:val="24"/>
          <w:szCs w:val="24"/>
        </w:rPr>
      </w:pPr>
      <w:proofErr w:type="spellStart"/>
      <w:r>
        <w:rPr>
          <w:rFonts w:asciiTheme="minorHAnsi" w:hAnsiTheme="minorHAnsi" w:cstheme="minorHAnsi"/>
          <w:sz w:val="24"/>
          <w:szCs w:val="24"/>
        </w:rPr>
        <w:t>Aleanca</w:t>
      </w:r>
      <w:proofErr w:type="spellEnd"/>
      <w:r>
        <w:rPr>
          <w:rFonts w:asciiTheme="minorHAnsi" w:hAnsiTheme="minorHAnsi" w:cstheme="minorHAnsi"/>
          <w:sz w:val="24"/>
          <w:szCs w:val="24"/>
        </w:rPr>
        <w:t xml:space="preserve"> LGBTI promotes and safeguards LGBTI+ human rights, empowers LGBTI communities through direct service provision, and documents human rights violations in Albania. </w:t>
      </w:r>
      <w:proofErr w:type="spellStart"/>
      <w:r>
        <w:rPr>
          <w:rFonts w:asciiTheme="minorHAnsi" w:hAnsiTheme="minorHAnsi" w:cstheme="minorHAnsi"/>
          <w:sz w:val="24"/>
          <w:szCs w:val="24"/>
        </w:rPr>
        <w:t>Aleanca</w:t>
      </w:r>
      <w:proofErr w:type="spellEnd"/>
      <w:r>
        <w:rPr>
          <w:rFonts w:asciiTheme="minorHAnsi" w:hAnsiTheme="minorHAnsi" w:cstheme="minorHAnsi"/>
          <w:sz w:val="24"/>
          <w:szCs w:val="24"/>
        </w:rPr>
        <w:t xml:space="preserve"> engages at policy-making levels to ensure laws and policies address LGBTI issues, and pursues legal recognition for same-sex couples, transgender individuals, and rainbow families through strategic litigation at domestic, regional, and international levels.</w:t>
      </w:r>
    </w:p>
    <w:p w14:paraId="65F1C02C" w14:textId="77777777" w:rsidR="00C80ACE" w:rsidRPr="001F3502" w:rsidRDefault="00C80ACE" w:rsidP="001F3502">
      <w:pPr>
        <w:spacing w:after="80" w:line="276" w:lineRule="auto"/>
        <w:jc w:val="both"/>
        <w:rPr>
          <w:rFonts w:asciiTheme="minorHAnsi" w:hAnsiTheme="minorHAnsi" w:cstheme="minorHAnsi"/>
          <w:sz w:val="24"/>
          <w:szCs w:val="24"/>
        </w:rPr>
      </w:pPr>
    </w:p>
    <w:p w14:paraId="06663307" w14:textId="77777777" w:rsidR="00C80ACE" w:rsidRPr="001F3502" w:rsidRDefault="00A87316" w:rsidP="001F3502">
      <w:pPr>
        <w:pStyle w:val="Heading1"/>
        <w:spacing w:line="276" w:lineRule="auto"/>
        <w:jc w:val="both"/>
        <w:rPr>
          <w:rFonts w:asciiTheme="minorHAnsi" w:hAnsiTheme="minorHAnsi" w:cstheme="minorHAnsi"/>
          <w:sz w:val="24"/>
          <w:szCs w:val="24"/>
        </w:rPr>
      </w:pPr>
      <w:r>
        <w:rPr>
          <w:rFonts w:asciiTheme="minorHAnsi" w:hAnsiTheme="minorHAnsi" w:cstheme="minorHAnsi"/>
          <w:sz w:val="24"/>
          <w:szCs w:val="24"/>
        </w:rPr>
        <w:t>Introduction</w:t>
      </w:r>
    </w:p>
    <w:p w14:paraId="19C03B42" w14:textId="5B0C8824" w:rsidR="00C80ACE" w:rsidRPr="001F3502" w:rsidRDefault="00A87316" w:rsidP="001F3502">
      <w:pPr>
        <w:spacing w:after="160" w:line="276" w:lineRule="auto"/>
        <w:jc w:val="both"/>
        <w:rPr>
          <w:rFonts w:asciiTheme="minorHAnsi" w:hAnsiTheme="minorHAnsi" w:cstheme="minorHAnsi"/>
          <w:sz w:val="24"/>
          <w:szCs w:val="24"/>
        </w:rPr>
      </w:pPr>
      <w:r>
        <w:rPr>
          <w:rFonts w:asciiTheme="minorHAnsi" w:hAnsiTheme="minorHAnsi" w:cstheme="minorHAnsi"/>
          <w:sz w:val="24"/>
          <w:szCs w:val="24"/>
        </w:rPr>
        <w:t xml:space="preserve">This submission is presented to the CEDAW Committee as part of the intersessional follow-up procedure to the Concluding Observations on Albania’s fifth periodic report (CEDAW/C/ALB/CO/5), by GADC, AWEN, and </w:t>
      </w:r>
      <w:proofErr w:type="spellStart"/>
      <w:r>
        <w:rPr>
          <w:rFonts w:asciiTheme="minorHAnsi" w:hAnsiTheme="minorHAnsi" w:cstheme="minorHAnsi"/>
          <w:sz w:val="24"/>
          <w:szCs w:val="24"/>
        </w:rPr>
        <w:t>Aleanca</w:t>
      </w:r>
      <w:proofErr w:type="spellEnd"/>
      <w:r>
        <w:rPr>
          <w:rFonts w:asciiTheme="minorHAnsi" w:hAnsiTheme="minorHAnsi" w:cstheme="minorHAnsi"/>
          <w:sz w:val="24"/>
          <w:szCs w:val="24"/>
        </w:rPr>
        <w:t xml:space="preserve"> LGBTI, three civil society </w:t>
      </w:r>
      <w:proofErr w:type="spellStart"/>
      <w:r>
        <w:rPr>
          <w:rFonts w:asciiTheme="minorHAnsi" w:hAnsiTheme="minorHAnsi" w:cstheme="minorHAnsi"/>
          <w:sz w:val="24"/>
          <w:szCs w:val="24"/>
        </w:rPr>
        <w:t>organisations</w:t>
      </w:r>
      <w:proofErr w:type="spellEnd"/>
      <w:r>
        <w:rPr>
          <w:rFonts w:asciiTheme="minorHAnsi" w:hAnsiTheme="minorHAnsi" w:cstheme="minorHAnsi"/>
          <w:sz w:val="24"/>
          <w:szCs w:val="24"/>
        </w:rPr>
        <w:t xml:space="preserve"> with mandates in gender equality, women’s rights, and LGBTI+ human rights in Albania.</w:t>
      </w:r>
    </w:p>
    <w:p w14:paraId="7EAE10CA" w14:textId="6A4FDD2D" w:rsidR="00C80ACE" w:rsidRDefault="00A87316" w:rsidP="001F3502">
      <w:pPr>
        <w:spacing w:after="160" w:line="276" w:lineRule="auto"/>
        <w:jc w:val="both"/>
        <w:rPr>
          <w:rFonts w:asciiTheme="minorHAnsi" w:hAnsiTheme="minorHAnsi" w:cstheme="minorHAnsi"/>
          <w:sz w:val="24"/>
          <w:szCs w:val="24"/>
        </w:rPr>
      </w:pPr>
      <w:r>
        <w:rPr>
          <w:rFonts w:asciiTheme="minorHAnsi" w:hAnsiTheme="minorHAnsi" w:cstheme="minorHAnsi"/>
          <w:sz w:val="24"/>
          <w:szCs w:val="24"/>
        </w:rPr>
        <w:t>The report addresses three recommendations from the most recent Concluding Observations on Albania in respect of which significant legislative and political developments have occurred: Recommendation 12(a) on the revision of the Gender Equality Law; Recommendation 24(b) on the amendment of the Criminal Code to incorporate a consent-based definition of rape; and Recommendation 28(b) on the adoption of temporary special measures to ensure equal representation of women in political and public life, with particular attention to women facing intersecting forms of discrimination.</w:t>
      </w:r>
    </w:p>
    <w:p w14:paraId="14E4F57F" w14:textId="2EAABD10" w:rsidR="00613332" w:rsidRDefault="00613332" w:rsidP="001F3502">
      <w:pPr>
        <w:spacing w:after="160" w:line="276" w:lineRule="auto"/>
        <w:jc w:val="both"/>
        <w:rPr>
          <w:rFonts w:asciiTheme="minorHAnsi" w:hAnsiTheme="minorHAnsi" w:cstheme="minorHAnsi"/>
          <w:sz w:val="24"/>
          <w:szCs w:val="24"/>
        </w:rPr>
      </w:pPr>
    </w:p>
    <w:p w14:paraId="6723E3EE" w14:textId="77777777" w:rsidR="00613332" w:rsidRPr="001F3502" w:rsidRDefault="00613332" w:rsidP="001F3502">
      <w:pPr>
        <w:spacing w:after="160" w:line="276" w:lineRule="auto"/>
        <w:jc w:val="both"/>
        <w:rPr>
          <w:rFonts w:asciiTheme="minorHAnsi" w:hAnsiTheme="minorHAnsi" w:cstheme="minorHAnsi"/>
          <w:sz w:val="24"/>
          <w:szCs w:val="24"/>
        </w:rPr>
      </w:pPr>
    </w:p>
    <w:p w14:paraId="4D5D37EC" w14:textId="5646D87F" w:rsidR="00C80ACE" w:rsidRPr="001F3502" w:rsidRDefault="00A87316" w:rsidP="001F3502">
      <w:pPr>
        <w:pStyle w:val="Heading1"/>
        <w:spacing w:line="276" w:lineRule="auto"/>
        <w:jc w:val="both"/>
        <w:rPr>
          <w:rFonts w:asciiTheme="minorHAnsi" w:hAnsiTheme="minorHAnsi" w:cstheme="minorHAnsi"/>
          <w:sz w:val="24"/>
          <w:szCs w:val="24"/>
        </w:rPr>
      </w:pPr>
      <w:r>
        <w:rPr>
          <w:rFonts w:asciiTheme="minorHAnsi" w:hAnsiTheme="minorHAnsi" w:cstheme="minorHAnsi"/>
          <w:sz w:val="24"/>
          <w:szCs w:val="24"/>
        </w:rPr>
        <w:lastRenderedPageBreak/>
        <w:t>Section 1 - Article 2 / Recommendation 12(a): Revision of Law No. 9970/2008 on Gender Equality</w:t>
      </w:r>
    </w:p>
    <w:p w14:paraId="0C373832" w14:textId="0B3871FE" w:rsidR="00C80ACE" w:rsidRPr="001F3502" w:rsidRDefault="00A87316" w:rsidP="001F3502">
      <w:pPr>
        <w:spacing w:after="160" w:line="276" w:lineRule="auto"/>
        <w:jc w:val="both"/>
        <w:rPr>
          <w:rFonts w:asciiTheme="minorHAnsi" w:hAnsiTheme="minorHAnsi" w:cstheme="minorHAnsi"/>
          <w:sz w:val="24"/>
          <w:szCs w:val="24"/>
        </w:rPr>
      </w:pPr>
      <w:r>
        <w:rPr>
          <w:rFonts w:asciiTheme="minorHAnsi" w:hAnsiTheme="minorHAnsi" w:cstheme="minorHAnsi"/>
          <w:sz w:val="24"/>
          <w:szCs w:val="24"/>
        </w:rPr>
        <w:t>The Committee recommended that the State party “consider revising Law No. 9970/2008 on gender equality in society, in accordance with the commitment made in the National Strategy on Gender Equality, 2021-2030, to accelerate the realization of de jure (legal) and de facto (substantive) gender equality.”</w:t>
      </w:r>
      <w:r>
        <w:rPr>
          <w:rStyle w:val="FootnoteReference"/>
          <w:rFonts w:asciiTheme="minorHAnsi" w:hAnsiTheme="minorHAnsi" w:cstheme="minorHAnsi"/>
          <w:sz w:val="24"/>
          <w:szCs w:val="24"/>
        </w:rPr>
        <w:footnoteReference w:id="1"/>
      </w:r>
    </w:p>
    <w:p w14:paraId="3D739960" w14:textId="77777777" w:rsidR="00C80ACE" w:rsidRPr="001F3502" w:rsidRDefault="00A87316" w:rsidP="001F3502">
      <w:pPr>
        <w:pStyle w:val="Heading2"/>
        <w:spacing w:line="276" w:lineRule="auto"/>
        <w:jc w:val="both"/>
        <w:rPr>
          <w:rFonts w:asciiTheme="minorHAnsi" w:hAnsiTheme="minorHAnsi" w:cstheme="minorHAnsi"/>
          <w:sz w:val="24"/>
          <w:szCs w:val="24"/>
        </w:rPr>
      </w:pPr>
      <w:r>
        <w:rPr>
          <w:rFonts w:asciiTheme="minorHAnsi" w:hAnsiTheme="minorHAnsi" w:cstheme="minorHAnsi"/>
          <w:sz w:val="24"/>
          <w:szCs w:val="24"/>
        </w:rPr>
        <w:t>Legal and Policy Developments</w:t>
      </w:r>
    </w:p>
    <w:p w14:paraId="16CFCF18" w14:textId="1541A0AF" w:rsidR="00C80ACE" w:rsidRPr="001F3502" w:rsidRDefault="00A87316" w:rsidP="00613332">
      <w:pPr>
        <w:spacing w:after="160" w:line="276" w:lineRule="auto"/>
        <w:jc w:val="both"/>
        <w:rPr>
          <w:rFonts w:asciiTheme="minorHAnsi" w:hAnsiTheme="minorHAnsi" w:cstheme="minorHAnsi"/>
          <w:sz w:val="24"/>
          <w:szCs w:val="24"/>
        </w:rPr>
      </w:pPr>
      <w:r>
        <w:rPr>
          <w:rFonts w:asciiTheme="minorHAnsi" w:hAnsiTheme="minorHAnsi" w:cstheme="minorHAnsi"/>
          <w:sz w:val="24"/>
          <w:szCs w:val="24"/>
        </w:rPr>
        <w:t>Law No. 64/2025 “On Gender Equality” was adopted on 6 November 2025, repealing Law No. 9970/2008. Key advances include: an inclusive definition of gender as a social construct and a definition of gender-based discrimination encompassing identity and expression (Articles 4, 6); explicit recognition of multiple and intersectional discrimination (Articles 4(k) and 4(o)); a shifted burden of proof in line with EU Directive 97/80/EC; gender-responsive budgeting and mandatory gender impact assessments (Articles 11-12); and a progressive quota framework requiring a minimum 30% and a target of 50% gender representation across Parliament, local councils, the civil service, and the diplomatic service within ten years (Article 24). The law explicitly references CEDAW, the Istanbul Convention, ILO Convention No. 190, and the EU Charter of Fundamental Rights</w:t>
      </w:r>
      <w:r w:rsidR="00613332">
        <w:rPr>
          <w:rFonts w:asciiTheme="minorHAnsi" w:hAnsiTheme="minorHAnsi" w:cstheme="minorHAnsi"/>
          <w:sz w:val="24"/>
          <w:szCs w:val="24"/>
        </w:rPr>
        <w:t>, among other international human rights standards.</w:t>
      </w:r>
    </w:p>
    <w:p w14:paraId="23BCD663" w14:textId="77777777" w:rsidR="00C80ACE" w:rsidRPr="001F3502" w:rsidRDefault="00A87316" w:rsidP="001F3502">
      <w:pPr>
        <w:pStyle w:val="Heading2"/>
        <w:spacing w:line="276" w:lineRule="auto"/>
        <w:jc w:val="both"/>
        <w:rPr>
          <w:rFonts w:asciiTheme="minorHAnsi" w:hAnsiTheme="minorHAnsi" w:cstheme="minorHAnsi"/>
          <w:sz w:val="24"/>
          <w:szCs w:val="24"/>
        </w:rPr>
      </w:pPr>
      <w:r>
        <w:rPr>
          <w:rFonts w:asciiTheme="minorHAnsi" w:hAnsiTheme="minorHAnsi" w:cstheme="minorHAnsi"/>
          <w:sz w:val="24"/>
          <w:szCs w:val="24"/>
        </w:rPr>
        <w:t xml:space="preserve">A </w:t>
      </w:r>
      <w:proofErr w:type="spellStart"/>
      <w:r>
        <w:rPr>
          <w:rFonts w:asciiTheme="minorHAnsi" w:hAnsiTheme="minorHAnsi" w:cstheme="minorHAnsi"/>
          <w:sz w:val="24"/>
          <w:szCs w:val="24"/>
        </w:rPr>
        <w:t>Polarised</w:t>
      </w:r>
      <w:proofErr w:type="spellEnd"/>
      <w:r>
        <w:rPr>
          <w:rFonts w:asciiTheme="minorHAnsi" w:hAnsiTheme="minorHAnsi" w:cstheme="minorHAnsi"/>
          <w:sz w:val="24"/>
          <w:szCs w:val="24"/>
        </w:rPr>
        <w:t xml:space="preserve"> Legislative Process and the Targeting of Civil Society</w:t>
      </w:r>
    </w:p>
    <w:p w14:paraId="1E795514" w14:textId="424B9A58" w:rsidR="00C80ACE" w:rsidRPr="001F3502" w:rsidRDefault="00A87316" w:rsidP="001F3502">
      <w:pPr>
        <w:spacing w:after="160" w:line="276" w:lineRule="auto"/>
        <w:jc w:val="both"/>
        <w:rPr>
          <w:rFonts w:asciiTheme="minorHAnsi" w:hAnsiTheme="minorHAnsi" w:cstheme="minorHAnsi"/>
          <w:sz w:val="24"/>
          <w:szCs w:val="24"/>
        </w:rPr>
      </w:pPr>
      <w:r>
        <w:rPr>
          <w:rFonts w:asciiTheme="minorHAnsi" w:hAnsiTheme="minorHAnsi" w:cstheme="minorHAnsi"/>
          <w:sz w:val="24"/>
          <w:szCs w:val="24"/>
        </w:rPr>
        <w:t xml:space="preserve">The adoption of Law No. 64/2025 was accompanied by intense political </w:t>
      </w:r>
      <w:proofErr w:type="spellStart"/>
      <w:r>
        <w:rPr>
          <w:rFonts w:asciiTheme="minorHAnsi" w:hAnsiTheme="minorHAnsi" w:cstheme="minorHAnsi"/>
          <w:sz w:val="24"/>
          <w:szCs w:val="24"/>
        </w:rPr>
        <w:t>polarisation</w:t>
      </w:r>
      <w:proofErr w:type="spellEnd"/>
      <w:r>
        <w:rPr>
          <w:rFonts w:asciiTheme="minorHAnsi" w:hAnsiTheme="minorHAnsi" w:cstheme="minorHAnsi"/>
          <w:sz w:val="24"/>
          <w:szCs w:val="24"/>
        </w:rPr>
        <w:t xml:space="preserve"> and a coordinated anti-gender campaign. Media monitoring during 2024-2025 recorded a significant increase in hateful discourse, with gender-based incidents accounting for 40.6% of all monitored cases. Politicians employed </w:t>
      </w:r>
      <w:proofErr w:type="spellStart"/>
      <w:r>
        <w:rPr>
          <w:rFonts w:asciiTheme="minorHAnsi" w:hAnsiTheme="minorHAnsi" w:cstheme="minorHAnsi"/>
          <w:sz w:val="24"/>
          <w:szCs w:val="24"/>
        </w:rPr>
        <w:t>dehumanising</w:t>
      </w:r>
      <w:proofErr w:type="spellEnd"/>
      <w:r>
        <w:rPr>
          <w:rFonts w:asciiTheme="minorHAnsi" w:hAnsiTheme="minorHAnsi" w:cstheme="minorHAnsi"/>
          <w:sz w:val="24"/>
          <w:szCs w:val="24"/>
        </w:rPr>
        <w:t xml:space="preserve"> rhetoric and homophobic insinuations as electoral tools, while women’s rights and LGBTI defenders were subjected to online harassment and coordinated attacks.</w:t>
      </w:r>
      <w:r>
        <w:rPr>
          <w:rStyle w:val="FootnoteReference"/>
          <w:rFonts w:asciiTheme="minorHAnsi" w:hAnsiTheme="minorHAnsi" w:cstheme="minorHAnsi"/>
          <w:sz w:val="24"/>
          <w:szCs w:val="24"/>
        </w:rPr>
        <w:footnoteReference w:id="2"/>
      </w:r>
    </w:p>
    <w:p w14:paraId="2FC1B430" w14:textId="37DB120A" w:rsidR="00C80ACE" w:rsidRPr="00EC12B1" w:rsidRDefault="00A87316" w:rsidP="00EC12B1">
      <w:pPr>
        <w:spacing w:after="160" w:line="276" w:lineRule="auto"/>
        <w:jc w:val="both"/>
        <w:rPr>
          <w:rFonts w:asciiTheme="minorHAnsi" w:hAnsiTheme="minorHAnsi" w:cstheme="minorHAnsi"/>
          <w:sz w:val="24"/>
          <w:szCs w:val="24"/>
        </w:rPr>
      </w:pPr>
      <w:r>
        <w:rPr>
          <w:rFonts w:asciiTheme="minorHAnsi" w:hAnsiTheme="minorHAnsi" w:cstheme="minorHAnsi"/>
          <w:sz w:val="24"/>
          <w:szCs w:val="24"/>
        </w:rPr>
        <w:t>Prior to adoption, GADC and AWEN issued a formal Informative Letter to Members of Parliament opposing proposed amendments to delete references to “gender stereotypes” and intersectionality, warning these deletions would constitute regression against CEDAW standards</w:t>
      </w:r>
      <w:r>
        <w:rPr>
          <w:rStyle w:val="FootnoteReference"/>
        </w:rPr>
        <w:footnoteReference w:id="3"/>
      </w:r>
      <w:r>
        <w:rPr>
          <w:rFonts w:asciiTheme="minorHAnsi" w:hAnsiTheme="minorHAnsi" w:cstheme="minorHAnsi"/>
          <w:sz w:val="24"/>
          <w:szCs w:val="24"/>
        </w:rPr>
        <w:t>. The letter specifically opposed deletions of “gender stereotypes” and intersectionality references</w:t>
      </w:r>
      <w:r>
        <w:rPr>
          <w:rStyle w:val="FootnoteReference"/>
        </w:rPr>
        <w:footnoteReference w:id="4"/>
      </w:r>
      <w:r>
        <w:rPr>
          <w:rFonts w:asciiTheme="minorHAnsi" w:hAnsiTheme="minorHAnsi" w:cstheme="minorHAnsi"/>
          <w:sz w:val="24"/>
          <w:szCs w:val="24"/>
        </w:rPr>
        <w:t xml:space="preserve">. During parliamentary hearings, the submitting </w:t>
      </w:r>
      <w:proofErr w:type="spellStart"/>
      <w:r>
        <w:rPr>
          <w:rFonts w:asciiTheme="minorHAnsi" w:hAnsiTheme="minorHAnsi" w:cstheme="minorHAnsi"/>
          <w:sz w:val="24"/>
          <w:szCs w:val="24"/>
        </w:rPr>
        <w:t>organisations</w:t>
      </w:r>
      <w:proofErr w:type="spellEnd"/>
      <w:r>
        <w:rPr>
          <w:rFonts w:asciiTheme="minorHAnsi" w:hAnsiTheme="minorHAnsi" w:cstheme="minorHAnsi"/>
          <w:sz w:val="24"/>
          <w:szCs w:val="24"/>
        </w:rPr>
        <w:t xml:space="preserve"> were among the few civil society actors defending the law against coordinated opposition. </w:t>
      </w:r>
      <w:r>
        <w:rPr>
          <w:rFonts w:asciiTheme="minorHAnsi" w:hAnsiTheme="minorHAnsi" w:cstheme="minorHAnsi"/>
          <w:sz w:val="24"/>
          <w:szCs w:val="24"/>
        </w:rPr>
        <w:lastRenderedPageBreak/>
        <w:t>Activists faced targeted online attacks</w:t>
      </w:r>
      <w:r w:rsidR="00613332">
        <w:rPr>
          <w:rFonts w:asciiTheme="minorHAnsi" w:hAnsiTheme="minorHAnsi" w:cstheme="minorHAnsi"/>
          <w:sz w:val="24"/>
          <w:szCs w:val="24"/>
        </w:rPr>
        <w:t>,</w:t>
      </w:r>
      <w:r>
        <w:rPr>
          <w:rFonts w:asciiTheme="minorHAnsi" w:hAnsiTheme="minorHAnsi" w:cstheme="minorHAnsi"/>
          <w:sz w:val="24"/>
          <w:szCs w:val="24"/>
        </w:rPr>
        <w:t xml:space="preserve"> accusations of acting as “Soros agents”, defamatory content, and publication of personal information that remain</w:t>
      </w:r>
      <w:r w:rsidR="00613332">
        <w:rPr>
          <w:rFonts w:asciiTheme="minorHAnsi" w:hAnsiTheme="minorHAnsi" w:cstheme="minorHAnsi"/>
          <w:sz w:val="24"/>
          <w:szCs w:val="24"/>
        </w:rPr>
        <w:t>s</w:t>
      </w:r>
      <w:r>
        <w:rPr>
          <w:rFonts w:asciiTheme="minorHAnsi" w:hAnsiTheme="minorHAnsi" w:cstheme="minorHAnsi"/>
          <w:sz w:val="24"/>
          <w:szCs w:val="24"/>
        </w:rPr>
        <w:t xml:space="preserve"> publicly accessible despite reports to law enforcement.</w:t>
      </w:r>
    </w:p>
    <w:p w14:paraId="7202E890" w14:textId="697BDA1C" w:rsidR="00AB1234" w:rsidRPr="00EC12B1" w:rsidRDefault="0038420B" w:rsidP="00EC12B1">
      <w:pPr>
        <w:spacing w:after="160" w:line="276" w:lineRule="auto"/>
        <w:jc w:val="both"/>
        <w:rPr>
          <w:rFonts w:asciiTheme="minorHAnsi" w:hAnsiTheme="minorHAnsi" w:cstheme="minorHAnsi"/>
          <w:sz w:val="24"/>
          <w:szCs w:val="24"/>
        </w:rPr>
      </w:pPr>
      <w:r>
        <w:rPr>
          <w:rFonts w:asciiTheme="minorHAnsi" w:hAnsiTheme="minorHAnsi" w:cstheme="minorHAnsi"/>
          <w:sz w:val="24"/>
          <w:szCs w:val="24"/>
        </w:rPr>
        <w:t xml:space="preserve">These developments reflect broader concerns raised in international monitoring processes. The European Commission’s Albania 2025 Progress Report highlighted persistent challenges related to hate speech, </w:t>
      </w:r>
      <w:proofErr w:type="spellStart"/>
      <w:r>
        <w:rPr>
          <w:rFonts w:asciiTheme="minorHAnsi" w:hAnsiTheme="minorHAnsi" w:cstheme="minorHAnsi"/>
          <w:sz w:val="24"/>
          <w:szCs w:val="24"/>
        </w:rPr>
        <w:t>polarisation</w:t>
      </w:r>
      <w:proofErr w:type="spellEnd"/>
      <w:r>
        <w:rPr>
          <w:rFonts w:asciiTheme="minorHAnsi" w:hAnsiTheme="minorHAnsi" w:cstheme="minorHAnsi"/>
          <w:sz w:val="24"/>
          <w:szCs w:val="24"/>
        </w:rPr>
        <w:t>, and the protection of fundamental rights</w:t>
      </w:r>
      <w:r>
        <w:rPr>
          <w:rStyle w:val="FootnoteReference"/>
          <w:rFonts w:asciiTheme="minorHAnsi" w:hAnsiTheme="minorHAnsi" w:cstheme="minorHAnsi"/>
          <w:sz w:val="24"/>
          <w:szCs w:val="24"/>
        </w:rPr>
        <w:footnoteReference w:id="5"/>
      </w:r>
      <w:r>
        <w:rPr>
          <w:rFonts w:asciiTheme="minorHAnsi" w:hAnsiTheme="minorHAnsi" w:cstheme="minorHAnsi"/>
          <w:sz w:val="24"/>
          <w:szCs w:val="24"/>
        </w:rPr>
        <w:t>, while ODIHR has repeatedly noted gendered attacks during electoral periods</w:t>
      </w:r>
      <w:r>
        <w:rPr>
          <w:rStyle w:val="FootnoteReference"/>
          <w:rFonts w:asciiTheme="minorHAnsi" w:hAnsiTheme="minorHAnsi" w:cstheme="minorHAnsi"/>
          <w:sz w:val="24"/>
          <w:szCs w:val="24"/>
        </w:rPr>
        <w:footnoteReference w:id="6"/>
      </w:r>
      <w:r>
        <w:rPr>
          <w:rFonts w:asciiTheme="minorHAnsi" w:hAnsiTheme="minorHAnsi" w:cstheme="minorHAnsi"/>
          <w:sz w:val="24"/>
          <w:szCs w:val="24"/>
        </w:rPr>
        <w:t>. The targeting of women’s rights and LGBTI defenders raises serious concerns regarding civic space and reprisals against human rights advocates, creating a chilling effect on participation in democratic debate. Despite documented escalation of anti-gender rhetoric, institutional responses remained fragmented and reactive, contributing to a climate of impunity surrounding online harassment.</w:t>
      </w:r>
    </w:p>
    <w:p w14:paraId="34BFEDB6" w14:textId="77777777" w:rsidR="00C80ACE" w:rsidRPr="001F3502" w:rsidRDefault="00A87316" w:rsidP="001F3502">
      <w:pPr>
        <w:pStyle w:val="Heading2"/>
        <w:spacing w:line="276" w:lineRule="auto"/>
        <w:jc w:val="both"/>
        <w:rPr>
          <w:rFonts w:asciiTheme="minorHAnsi" w:hAnsiTheme="minorHAnsi" w:cstheme="minorHAnsi"/>
          <w:sz w:val="24"/>
          <w:szCs w:val="24"/>
        </w:rPr>
      </w:pPr>
      <w:r>
        <w:rPr>
          <w:rFonts w:asciiTheme="minorHAnsi" w:hAnsiTheme="minorHAnsi" w:cstheme="minorHAnsi"/>
          <w:sz w:val="24"/>
          <w:szCs w:val="24"/>
        </w:rPr>
        <w:t>Ongoing Threats to the Law’s Integrity: Constitutional Challenge and Referendum Initiatives</w:t>
      </w:r>
    </w:p>
    <w:p w14:paraId="420F361C" w14:textId="7729350A" w:rsidR="00C80ACE" w:rsidRPr="001F3502" w:rsidRDefault="00E20013" w:rsidP="001F3502">
      <w:pPr>
        <w:spacing w:after="160" w:line="276" w:lineRule="auto"/>
        <w:jc w:val="both"/>
        <w:rPr>
          <w:rFonts w:asciiTheme="minorHAnsi" w:hAnsiTheme="minorHAnsi" w:cstheme="minorHAnsi"/>
          <w:sz w:val="24"/>
          <w:szCs w:val="24"/>
        </w:rPr>
      </w:pPr>
      <w:r>
        <w:rPr>
          <w:rFonts w:asciiTheme="minorHAnsi" w:hAnsiTheme="minorHAnsi" w:cstheme="minorHAnsi"/>
          <w:sz w:val="24"/>
          <w:szCs w:val="24"/>
        </w:rPr>
        <w:t xml:space="preserve">Upon adoption, the law immediately faced coordinated legal challenges. One constitutional petition has been filed before the Constitutional Court with a request for interim suspension. Two referendum initiatives were submitted to the Central Election Commission, which </w:t>
      </w:r>
      <w:proofErr w:type="spellStart"/>
      <w:r>
        <w:rPr>
          <w:rFonts w:asciiTheme="minorHAnsi" w:hAnsiTheme="minorHAnsi" w:cstheme="minorHAnsi"/>
          <w:sz w:val="24"/>
          <w:szCs w:val="24"/>
        </w:rPr>
        <w:t>authorised</w:t>
      </w:r>
      <w:proofErr w:type="spellEnd"/>
      <w:r>
        <w:rPr>
          <w:rFonts w:asciiTheme="minorHAnsi" w:hAnsiTheme="minorHAnsi" w:cstheme="minorHAnsi"/>
          <w:sz w:val="24"/>
          <w:szCs w:val="24"/>
        </w:rPr>
        <w:t xml:space="preserve"> signature collection forms seeking to: abolish Law No. 64/2025; entrench recognition of gender as only two biological sexes; limit marriage to opposite-sex couples; restrict adoption to married heterosexual couples; and impose conditions on sex education. If 50,000 signatures are collected, the initiatives will be referred to the Constitutional Court for prior constitutional review.</w:t>
      </w:r>
    </w:p>
    <w:p w14:paraId="5C9BA597" w14:textId="3C3555A0" w:rsidR="00C80ACE" w:rsidRPr="001F3502" w:rsidRDefault="00A87316" w:rsidP="001F3502">
      <w:pPr>
        <w:spacing w:after="160" w:line="276" w:lineRule="auto"/>
        <w:jc w:val="both"/>
        <w:rPr>
          <w:rFonts w:asciiTheme="minorHAnsi" w:hAnsiTheme="minorHAnsi" w:cstheme="minorHAnsi"/>
          <w:sz w:val="24"/>
          <w:szCs w:val="24"/>
        </w:rPr>
      </w:pPr>
      <w:r>
        <w:rPr>
          <w:rFonts w:asciiTheme="minorHAnsi" w:hAnsiTheme="minorHAnsi" w:cstheme="minorHAnsi"/>
          <w:sz w:val="24"/>
          <w:szCs w:val="24"/>
        </w:rPr>
        <w:t xml:space="preserve">These initiatives constitute a direct attempt to restrict fundamental rights through participatory mechanisms, </w:t>
      </w:r>
      <w:r w:rsidR="00E6582E" w:rsidRPr="00E6582E">
        <w:rPr>
          <w:rFonts w:asciiTheme="minorHAnsi" w:hAnsiTheme="minorHAnsi" w:cstheme="minorHAnsi"/>
          <w:sz w:val="24"/>
          <w:szCs w:val="24"/>
        </w:rPr>
        <w:t>raising serious concerns under Article 151(2) of the Albanian Constitution, which prohibits referenda on the limitation of fundamental rights.</w:t>
      </w:r>
      <w:r w:rsidR="00E6582E">
        <w:rPr>
          <w:rFonts w:asciiTheme="minorHAnsi" w:hAnsiTheme="minorHAnsi" w:cstheme="minorHAnsi"/>
          <w:sz w:val="24"/>
          <w:szCs w:val="24"/>
        </w:rPr>
        <w:t xml:space="preserve"> </w:t>
      </w:r>
      <w:r>
        <w:rPr>
          <w:rFonts w:asciiTheme="minorHAnsi" w:hAnsiTheme="minorHAnsi" w:cstheme="minorHAnsi"/>
          <w:sz w:val="24"/>
          <w:szCs w:val="24"/>
        </w:rPr>
        <w:t>ECtHR jurisprudence and Venice Commission standards confirm that Albania’s</w:t>
      </w:r>
      <w:r w:rsidR="00E6582E">
        <w:rPr>
          <w:rFonts w:asciiTheme="minorHAnsi" w:hAnsiTheme="minorHAnsi" w:cstheme="minorHAnsi"/>
          <w:sz w:val="24"/>
          <w:szCs w:val="24"/>
        </w:rPr>
        <w:t xml:space="preserve"> international human rights obligations </w:t>
      </w:r>
      <w:r>
        <w:rPr>
          <w:rFonts w:asciiTheme="minorHAnsi" w:hAnsiTheme="minorHAnsi" w:cstheme="minorHAnsi"/>
          <w:sz w:val="24"/>
          <w:szCs w:val="24"/>
        </w:rPr>
        <w:t>are not subject to popular vote, and equality protections cannot be subjected to majoritarian approval where the effect would be regression.</w:t>
      </w:r>
    </w:p>
    <w:p w14:paraId="7593D8AD" w14:textId="77777777" w:rsidR="00C80ACE" w:rsidRPr="001F3502" w:rsidRDefault="00A87316" w:rsidP="001F3502">
      <w:pPr>
        <w:pStyle w:val="Heading2"/>
        <w:spacing w:line="276" w:lineRule="auto"/>
        <w:jc w:val="both"/>
        <w:rPr>
          <w:rFonts w:asciiTheme="minorHAnsi" w:hAnsiTheme="minorHAnsi" w:cstheme="minorHAnsi"/>
          <w:sz w:val="24"/>
          <w:szCs w:val="24"/>
        </w:rPr>
      </w:pPr>
      <w:r>
        <w:rPr>
          <w:rFonts w:asciiTheme="minorHAnsi" w:hAnsiTheme="minorHAnsi" w:cstheme="minorHAnsi"/>
          <w:sz w:val="24"/>
          <w:szCs w:val="24"/>
        </w:rPr>
        <w:t>Remaining Gaps</w:t>
      </w:r>
    </w:p>
    <w:p w14:paraId="43EC69B2" w14:textId="4561339C" w:rsidR="00C80ACE" w:rsidRPr="001F3502" w:rsidRDefault="00A87316" w:rsidP="001F3502">
      <w:pPr>
        <w:spacing w:after="160" w:line="276" w:lineRule="auto"/>
        <w:jc w:val="both"/>
        <w:rPr>
          <w:rFonts w:asciiTheme="minorHAnsi" w:hAnsiTheme="minorHAnsi" w:cstheme="minorHAnsi"/>
          <w:sz w:val="24"/>
          <w:szCs w:val="24"/>
        </w:rPr>
      </w:pPr>
      <w:r>
        <w:rPr>
          <w:rFonts w:asciiTheme="minorHAnsi" w:hAnsiTheme="minorHAnsi" w:cstheme="minorHAnsi"/>
          <w:sz w:val="24"/>
          <w:szCs w:val="24"/>
        </w:rPr>
        <w:t xml:space="preserve">Law No. 64/2025 requires subsidiary legislation within six months of entry into force. No implementation budget has been adopted and the resourcing and independence of mandated gender equality officers remain untested. Albania still lacks disaggregated equality </w:t>
      </w:r>
      <w:r>
        <w:rPr>
          <w:rFonts w:asciiTheme="minorHAnsi" w:hAnsiTheme="minorHAnsi" w:cstheme="minorHAnsi"/>
          <w:sz w:val="24"/>
          <w:szCs w:val="24"/>
        </w:rPr>
        <w:lastRenderedPageBreak/>
        <w:t>indicators and targeted budgeting to translate the law’s recognition of intersectional discrimination into measurable policy outcomes.</w:t>
      </w:r>
    </w:p>
    <w:p w14:paraId="0BCE022D" w14:textId="2042573F" w:rsidR="00C80ACE" w:rsidRPr="001F3502" w:rsidRDefault="00A87316" w:rsidP="001F3502">
      <w:pPr>
        <w:pStyle w:val="Heading2"/>
        <w:spacing w:line="276" w:lineRule="auto"/>
        <w:jc w:val="both"/>
        <w:rPr>
          <w:rFonts w:asciiTheme="minorHAnsi" w:hAnsiTheme="minorHAnsi" w:cstheme="minorHAnsi"/>
          <w:sz w:val="24"/>
          <w:szCs w:val="24"/>
        </w:rPr>
      </w:pPr>
      <w:r>
        <w:rPr>
          <w:rFonts w:asciiTheme="minorHAnsi" w:hAnsiTheme="minorHAnsi" w:cstheme="minorHAnsi"/>
          <w:sz w:val="24"/>
          <w:szCs w:val="24"/>
        </w:rPr>
        <w:t>Recommendations</w:t>
      </w:r>
    </w:p>
    <w:p w14:paraId="21B33AEC" w14:textId="77777777" w:rsidR="00E91BFF" w:rsidRPr="001F3502" w:rsidRDefault="00E91BFF" w:rsidP="001F3502">
      <w:pPr>
        <w:spacing w:before="100" w:beforeAutospacing="1" w:after="100" w:afterAutospacing="1" w:line="276" w:lineRule="auto"/>
        <w:jc w:val="both"/>
        <w:rPr>
          <w:rFonts w:asciiTheme="minorHAnsi" w:eastAsia="Times New Roman" w:hAnsiTheme="minorHAnsi" w:cstheme="minorHAnsi"/>
          <w:sz w:val="24"/>
          <w:szCs w:val="24"/>
        </w:rPr>
      </w:pPr>
      <w:r>
        <w:rPr>
          <w:rFonts w:asciiTheme="minorHAnsi" w:eastAsia="Times New Roman" w:hAnsiTheme="minorHAnsi" w:cstheme="minorHAnsi"/>
          <w:sz w:val="24"/>
          <w:szCs w:val="24"/>
        </w:rPr>
        <w:t xml:space="preserve">The submitting </w:t>
      </w:r>
      <w:proofErr w:type="spellStart"/>
      <w:r>
        <w:rPr>
          <w:rFonts w:asciiTheme="minorHAnsi" w:eastAsia="Times New Roman" w:hAnsiTheme="minorHAnsi" w:cstheme="minorHAnsi"/>
          <w:sz w:val="24"/>
          <w:szCs w:val="24"/>
        </w:rPr>
        <w:t>organisations</w:t>
      </w:r>
      <w:proofErr w:type="spellEnd"/>
      <w:r>
        <w:rPr>
          <w:rFonts w:asciiTheme="minorHAnsi" w:eastAsia="Times New Roman" w:hAnsiTheme="minorHAnsi" w:cstheme="minorHAnsi"/>
          <w:sz w:val="24"/>
          <w:szCs w:val="24"/>
        </w:rPr>
        <w:t xml:space="preserve"> call on the Committee to recommend that Albania:</w:t>
      </w:r>
    </w:p>
    <w:p w14:paraId="6D505D77" w14:textId="77777777" w:rsidR="00CE5E7E" w:rsidRPr="001F3502" w:rsidRDefault="00E91BFF" w:rsidP="001F3502">
      <w:pPr>
        <w:pStyle w:val="ListParagraph"/>
        <w:numPr>
          <w:ilvl w:val="0"/>
          <w:numId w:val="7"/>
        </w:numPr>
        <w:spacing w:before="100" w:beforeAutospacing="1" w:after="100" w:afterAutospacing="1" w:line="276" w:lineRule="auto"/>
        <w:jc w:val="both"/>
        <w:rPr>
          <w:rFonts w:asciiTheme="minorHAnsi" w:eastAsia="Times New Roman" w:hAnsiTheme="minorHAnsi" w:cstheme="minorHAnsi"/>
        </w:rPr>
      </w:pPr>
      <w:r>
        <w:rPr>
          <w:rFonts w:asciiTheme="minorHAnsi" w:eastAsia="Times New Roman" w:hAnsiTheme="minorHAnsi" w:cstheme="minorHAnsi"/>
        </w:rPr>
        <w:t>Ensure the timely adoption of all subsidiary legislation necessary for the effective implementation of Law No. 64/2025, with meaningful civil society participation;</w:t>
      </w:r>
    </w:p>
    <w:p w14:paraId="241A65D0" w14:textId="77777777" w:rsidR="00CE5E7E" w:rsidRPr="001F3502" w:rsidRDefault="00E91BFF" w:rsidP="001F3502">
      <w:pPr>
        <w:pStyle w:val="ListParagraph"/>
        <w:numPr>
          <w:ilvl w:val="0"/>
          <w:numId w:val="7"/>
        </w:numPr>
        <w:spacing w:before="100" w:beforeAutospacing="1" w:after="100" w:afterAutospacing="1" w:line="276" w:lineRule="auto"/>
        <w:jc w:val="both"/>
        <w:rPr>
          <w:rFonts w:asciiTheme="minorHAnsi" w:eastAsia="Times New Roman" w:hAnsiTheme="minorHAnsi" w:cstheme="minorHAnsi"/>
        </w:rPr>
      </w:pPr>
      <w:r>
        <w:rPr>
          <w:rFonts w:asciiTheme="minorHAnsi" w:eastAsia="Times New Roman" w:hAnsiTheme="minorHAnsi" w:cstheme="minorHAnsi"/>
        </w:rPr>
        <w:t xml:space="preserve">Allocate adequate financial and institutional resources for the law’s implementation, including effective and independent gender equality mechanisms; </w:t>
      </w:r>
    </w:p>
    <w:p w14:paraId="3B7E3EB3" w14:textId="77777777" w:rsidR="00CE5E7E" w:rsidRPr="001F3502" w:rsidRDefault="00E91BFF" w:rsidP="001F3502">
      <w:pPr>
        <w:pStyle w:val="ListParagraph"/>
        <w:numPr>
          <w:ilvl w:val="0"/>
          <w:numId w:val="7"/>
        </w:numPr>
        <w:spacing w:before="100" w:beforeAutospacing="1" w:after="100" w:afterAutospacing="1" w:line="276" w:lineRule="auto"/>
        <w:jc w:val="both"/>
        <w:rPr>
          <w:rFonts w:asciiTheme="minorHAnsi" w:eastAsia="Times New Roman" w:hAnsiTheme="minorHAnsi" w:cstheme="minorHAnsi"/>
        </w:rPr>
      </w:pPr>
      <w:r>
        <w:rPr>
          <w:rFonts w:asciiTheme="minorHAnsi" w:eastAsia="Times New Roman" w:hAnsiTheme="minorHAnsi" w:cstheme="minorHAnsi"/>
        </w:rPr>
        <w:t xml:space="preserve">Prevent any constitutional, referendum-related or political process from reducing the level of protection established by Law No. 64/2025, in line with CEDAW and Article 151(2) of the Constitution; </w:t>
      </w:r>
    </w:p>
    <w:p w14:paraId="07A63E66" w14:textId="4B09368B" w:rsidR="00C80ACE" w:rsidRPr="001F3502" w:rsidRDefault="00E91BFF" w:rsidP="001F3502">
      <w:pPr>
        <w:pStyle w:val="ListParagraph"/>
        <w:numPr>
          <w:ilvl w:val="0"/>
          <w:numId w:val="7"/>
        </w:numPr>
        <w:spacing w:before="100" w:beforeAutospacing="1" w:after="100" w:afterAutospacing="1" w:line="276" w:lineRule="auto"/>
        <w:jc w:val="both"/>
        <w:rPr>
          <w:rFonts w:asciiTheme="minorHAnsi" w:eastAsia="Times New Roman" w:hAnsiTheme="minorHAnsi" w:cstheme="minorHAnsi"/>
        </w:rPr>
      </w:pPr>
      <w:r>
        <w:rPr>
          <w:rFonts w:asciiTheme="minorHAnsi" w:eastAsia="Times New Roman" w:hAnsiTheme="minorHAnsi" w:cstheme="minorHAnsi"/>
        </w:rPr>
        <w:t xml:space="preserve">Publicly condemn and address anti-gender disinformation, hate speech and harassment targeting women’s rights defenders, LGBTI defenders and civil society </w:t>
      </w:r>
      <w:proofErr w:type="spellStart"/>
      <w:r>
        <w:rPr>
          <w:rFonts w:asciiTheme="minorHAnsi" w:eastAsia="Times New Roman" w:hAnsiTheme="minorHAnsi" w:cstheme="minorHAnsi"/>
        </w:rPr>
        <w:t>organisations</w:t>
      </w:r>
      <w:proofErr w:type="spellEnd"/>
      <w:r>
        <w:rPr>
          <w:rFonts w:asciiTheme="minorHAnsi" w:eastAsia="Times New Roman" w:hAnsiTheme="minorHAnsi" w:cstheme="minorHAnsi"/>
        </w:rPr>
        <w:t>.</w:t>
      </w:r>
    </w:p>
    <w:p w14:paraId="0FB47E0A" w14:textId="5B156994" w:rsidR="00C80ACE" w:rsidRPr="001F3502" w:rsidRDefault="00A87316" w:rsidP="001F3502">
      <w:pPr>
        <w:pStyle w:val="Heading1"/>
        <w:spacing w:line="276" w:lineRule="auto"/>
        <w:jc w:val="both"/>
        <w:rPr>
          <w:rFonts w:asciiTheme="minorHAnsi" w:hAnsiTheme="minorHAnsi" w:cstheme="minorHAnsi"/>
          <w:sz w:val="24"/>
          <w:szCs w:val="24"/>
        </w:rPr>
      </w:pPr>
      <w:r>
        <w:rPr>
          <w:rFonts w:asciiTheme="minorHAnsi" w:hAnsiTheme="minorHAnsi" w:cstheme="minorHAnsi"/>
          <w:sz w:val="24"/>
          <w:szCs w:val="24"/>
        </w:rPr>
        <w:t>Section 2 - Article 2 / Recommendation 24(b): Amendment of the Criminal Code - Consent-Based Definition of Rape</w:t>
      </w:r>
    </w:p>
    <w:p w14:paraId="1A540057" w14:textId="77777777" w:rsidR="00C80ACE" w:rsidRPr="001F3502" w:rsidRDefault="00A87316" w:rsidP="001F3502">
      <w:pPr>
        <w:spacing w:after="160" w:line="276" w:lineRule="auto"/>
        <w:jc w:val="both"/>
        <w:rPr>
          <w:rFonts w:asciiTheme="minorHAnsi" w:hAnsiTheme="minorHAnsi" w:cstheme="minorHAnsi"/>
          <w:sz w:val="24"/>
          <w:szCs w:val="24"/>
        </w:rPr>
      </w:pPr>
      <w:r>
        <w:rPr>
          <w:rFonts w:asciiTheme="minorHAnsi" w:hAnsiTheme="minorHAnsi" w:cstheme="minorHAnsi"/>
          <w:sz w:val="24"/>
          <w:szCs w:val="24"/>
        </w:rPr>
        <w:t>The Committee recommended that the State party “amend the Criminal Code to incorporate a definition of rape based on lack of consent that covers any non-consensual sexual act and takes into account all coercive circumstances, in line with international human rights standards.”</w:t>
      </w:r>
      <w:r>
        <w:rPr>
          <w:rStyle w:val="FootnoteReference"/>
          <w:rFonts w:asciiTheme="minorHAnsi" w:hAnsiTheme="minorHAnsi" w:cstheme="minorHAnsi"/>
          <w:sz w:val="24"/>
          <w:szCs w:val="24"/>
        </w:rPr>
        <w:footnoteReference w:id="7"/>
      </w:r>
    </w:p>
    <w:p w14:paraId="7A1BBA4E" w14:textId="77777777" w:rsidR="00C80ACE" w:rsidRPr="001F3502" w:rsidRDefault="00A87316" w:rsidP="001F3502">
      <w:pPr>
        <w:pStyle w:val="Heading2"/>
        <w:spacing w:line="276" w:lineRule="auto"/>
        <w:jc w:val="both"/>
        <w:rPr>
          <w:rFonts w:asciiTheme="minorHAnsi" w:hAnsiTheme="minorHAnsi" w:cstheme="minorHAnsi"/>
          <w:sz w:val="24"/>
          <w:szCs w:val="24"/>
        </w:rPr>
      </w:pPr>
      <w:r>
        <w:rPr>
          <w:rFonts w:asciiTheme="minorHAnsi" w:hAnsiTheme="minorHAnsi" w:cstheme="minorHAnsi"/>
          <w:sz w:val="24"/>
          <w:szCs w:val="24"/>
        </w:rPr>
        <w:t>Legal Framework and Proposed Reform</w:t>
      </w:r>
    </w:p>
    <w:p w14:paraId="14C734B8" w14:textId="304D1A88" w:rsidR="00C80ACE" w:rsidRPr="001F3502" w:rsidRDefault="00A87316" w:rsidP="001F3502">
      <w:pPr>
        <w:spacing w:after="160" w:line="276" w:lineRule="auto"/>
        <w:jc w:val="both"/>
        <w:rPr>
          <w:rFonts w:asciiTheme="minorHAnsi" w:hAnsiTheme="minorHAnsi" w:cstheme="minorHAnsi"/>
          <w:sz w:val="24"/>
          <w:szCs w:val="24"/>
        </w:rPr>
      </w:pPr>
      <w:r>
        <w:rPr>
          <w:rFonts w:asciiTheme="minorHAnsi" w:hAnsiTheme="minorHAnsi" w:cstheme="minorHAnsi"/>
          <w:sz w:val="24"/>
          <w:szCs w:val="24"/>
        </w:rPr>
        <w:t>The proposed draft Criminal Code, not yet adopted, introduces in Article 800 a consent-based definition of rape</w:t>
      </w:r>
      <w:r w:rsidR="00613332">
        <w:rPr>
          <w:rFonts w:asciiTheme="minorHAnsi" w:hAnsiTheme="minorHAnsi" w:cstheme="minorHAnsi"/>
          <w:sz w:val="24"/>
          <w:szCs w:val="24"/>
        </w:rPr>
        <w:t>,</w:t>
      </w:r>
      <w:r>
        <w:rPr>
          <w:rFonts w:asciiTheme="minorHAnsi" w:hAnsiTheme="minorHAnsi" w:cstheme="minorHAnsi"/>
          <w:sz w:val="24"/>
          <w:szCs w:val="24"/>
        </w:rPr>
        <w:t xml:space="preserve"> an important step toward alignment with CEDAW General Recommendation No. 35, the Istanbul Convention (Articles 36-40), and international human rights standards, and an overdue departure from the coercive-circumstances model.</w:t>
      </w:r>
    </w:p>
    <w:p w14:paraId="1FA2AC35" w14:textId="77777777" w:rsidR="00C80ACE" w:rsidRPr="001F3502" w:rsidRDefault="00A87316" w:rsidP="001F3502">
      <w:pPr>
        <w:pStyle w:val="Heading2"/>
        <w:spacing w:line="276" w:lineRule="auto"/>
        <w:jc w:val="both"/>
        <w:rPr>
          <w:rFonts w:asciiTheme="minorHAnsi" w:hAnsiTheme="minorHAnsi" w:cstheme="minorHAnsi"/>
          <w:sz w:val="24"/>
          <w:szCs w:val="24"/>
        </w:rPr>
      </w:pPr>
      <w:r>
        <w:rPr>
          <w:rFonts w:asciiTheme="minorHAnsi" w:hAnsiTheme="minorHAnsi" w:cstheme="minorHAnsi"/>
          <w:sz w:val="24"/>
          <w:szCs w:val="24"/>
        </w:rPr>
        <w:t>Gaps in the Proposed Consent Standard</w:t>
      </w:r>
    </w:p>
    <w:p w14:paraId="3EB529B9" w14:textId="77777777" w:rsidR="00C80ACE" w:rsidRPr="001F3502" w:rsidRDefault="00A87316" w:rsidP="001F3502">
      <w:pPr>
        <w:spacing w:after="160" w:line="276" w:lineRule="auto"/>
        <w:jc w:val="both"/>
        <w:rPr>
          <w:rFonts w:asciiTheme="minorHAnsi" w:hAnsiTheme="minorHAnsi" w:cstheme="minorHAnsi"/>
          <w:sz w:val="24"/>
          <w:szCs w:val="24"/>
        </w:rPr>
      </w:pPr>
      <w:r>
        <w:rPr>
          <w:rFonts w:asciiTheme="minorHAnsi" w:hAnsiTheme="minorHAnsi" w:cstheme="minorHAnsi"/>
          <w:sz w:val="24"/>
          <w:szCs w:val="24"/>
        </w:rPr>
        <w:t>However, Article 800 as currently drafted does not fully meet international human rights standards. The draft does not explicitly establish that consent must be freely given and assessed against all surrounding circumstances, creating a material risk of restrictive interpretation.</w:t>
      </w:r>
      <w:r>
        <w:rPr>
          <w:rStyle w:val="FootnoteReference"/>
          <w:rFonts w:asciiTheme="minorHAnsi" w:hAnsiTheme="minorHAnsi" w:cstheme="minorHAnsi"/>
          <w:sz w:val="24"/>
          <w:szCs w:val="24"/>
        </w:rPr>
        <w:footnoteReference w:id="8"/>
      </w:r>
    </w:p>
    <w:p w14:paraId="470E6816" w14:textId="20C499B7" w:rsidR="00C80ACE" w:rsidRPr="001F3502" w:rsidRDefault="00A87316" w:rsidP="001F3502">
      <w:pPr>
        <w:spacing w:after="160" w:line="276" w:lineRule="auto"/>
        <w:jc w:val="both"/>
        <w:rPr>
          <w:rFonts w:asciiTheme="minorHAnsi" w:hAnsiTheme="minorHAnsi" w:cstheme="minorHAnsi"/>
          <w:sz w:val="24"/>
          <w:szCs w:val="24"/>
        </w:rPr>
      </w:pPr>
      <w:r>
        <w:rPr>
          <w:rFonts w:asciiTheme="minorHAnsi" w:hAnsiTheme="minorHAnsi" w:cstheme="minorHAnsi"/>
          <w:sz w:val="24"/>
          <w:szCs w:val="24"/>
        </w:rPr>
        <w:lastRenderedPageBreak/>
        <w:t>Critically, the draft does not clarify that silence, passivity, lack of physical resistance, or trauma-related freezing responses</w:t>
      </w:r>
      <w:r w:rsidR="00613332">
        <w:rPr>
          <w:rFonts w:asciiTheme="minorHAnsi" w:hAnsiTheme="minorHAnsi" w:cstheme="minorHAnsi"/>
          <w:sz w:val="24"/>
          <w:szCs w:val="24"/>
        </w:rPr>
        <w:t>,</w:t>
      </w:r>
      <w:r>
        <w:rPr>
          <w:rFonts w:asciiTheme="minorHAnsi" w:hAnsiTheme="minorHAnsi" w:cstheme="minorHAnsi"/>
          <w:sz w:val="24"/>
          <w:szCs w:val="24"/>
        </w:rPr>
        <w:t xml:space="preserve"> including the well-documented tonic immobility response</w:t>
      </w:r>
      <w:r w:rsidR="00613332">
        <w:rPr>
          <w:rFonts w:asciiTheme="minorHAnsi" w:hAnsiTheme="minorHAnsi" w:cstheme="minorHAnsi"/>
          <w:sz w:val="24"/>
          <w:szCs w:val="24"/>
        </w:rPr>
        <w:t>,</w:t>
      </w:r>
      <w:r>
        <w:rPr>
          <w:rFonts w:asciiTheme="minorHAnsi" w:hAnsiTheme="minorHAnsi" w:cstheme="minorHAnsi"/>
          <w:sz w:val="24"/>
          <w:szCs w:val="24"/>
        </w:rPr>
        <w:t xml:space="preserve"> shall not be interpreted as consent. In the Albanian context, where institutional capacity for trauma-informed assessment remains limited and cultural assumptions continue to shape proceedings, explicit statutory language is essential to prevent trauma responses from being misread as acquiescence.</w:t>
      </w:r>
      <w:r>
        <w:rPr>
          <w:rStyle w:val="FootnoteReference"/>
          <w:rFonts w:asciiTheme="minorHAnsi" w:hAnsiTheme="minorHAnsi" w:cstheme="minorHAnsi"/>
          <w:sz w:val="24"/>
          <w:szCs w:val="24"/>
        </w:rPr>
        <w:footnoteReference w:id="9"/>
      </w:r>
    </w:p>
    <w:p w14:paraId="0EBBF195" w14:textId="5FD32ACB" w:rsidR="00C80ACE" w:rsidRPr="001F3502" w:rsidRDefault="00A87316" w:rsidP="001F3502">
      <w:pPr>
        <w:spacing w:after="160" w:line="276" w:lineRule="auto"/>
        <w:jc w:val="both"/>
        <w:rPr>
          <w:rFonts w:asciiTheme="minorHAnsi" w:hAnsiTheme="minorHAnsi" w:cstheme="minorHAnsi"/>
          <w:sz w:val="24"/>
          <w:szCs w:val="24"/>
        </w:rPr>
      </w:pPr>
      <w:r>
        <w:rPr>
          <w:rFonts w:asciiTheme="minorHAnsi" w:hAnsiTheme="minorHAnsi" w:cstheme="minorHAnsi"/>
          <w:sz w:val="24"/>
          <w:szCs w:val="24"/>
        </w:rPr>
        <w:t>The Istanbul Convention (Article 36) requires consent to be evaluated in light of all surrounding circumstances</w:t>
      </w:r>
      <w:r>
        <w:rPr>
          <w:rStyle w:val="FootnoteReference"/>
          <w:rFonts w:asciiTheme="minorHAnsi" w:hAnsiTheme="minorHAnsi" w:cstheme="minorHAnsi"/>
          <w:sz w:val="24"/>
          <w:szCs w:val="24"/>
        </w:rPr>
        <w:footnoteReference w:id="10"/>
      </w:r>
      <w:r>
        <w:rPr>
          <w:rFonts w:asciiTheme="minorHAnsi" w:hAnsiTheme="minorHAnsi" w:cstheme="minorHAnsi"/>
          <w:sz w:val="24"/>
          <w:szCs w:val="24"/>
        </w:rPr>
        <w:t>, and CEDAW General Recommendation No. 35 requires legal definitions to capture all non-consensual acts without imposing undue burdens on complainants.</w:t>
      </w:r>
    </w:p>
    <w:p w14:paraId="4AA438A5" w14:textId="77777777" w:rsidR="00C80ACE" w:rsidRPr="001F3502" w:rsidRDefault="00A87316" w:rsidP="001F3502">
      <w:pPr>
        <w:pStyle w:val="Heading2"/>
        <w:spacing w:line="276" w:lineRule="auto"/>
        <w:jc w:val="both"/>
        <w:rPr>
          <w:rFonts w:asciiTheme="minorHAnsi" w:hAnsiTheme="minorHAnsi" w:cstheme="minorHAnsi"/>
          <w:sz w:val="24"/>
          <w:szCs w:val="24"/>
        </w:rPr>
      </w:pPr>
      <w:r>
        <w:rPr>
          <w:rFonts w:asciiTheme="minorHAnsi" w:hAnsiTheme="minorHAnsi" w:cstheme="minorHAnsi"/>
          <w:sz w:val="24"/>
          <w:szCs w:val="24"/>
        </w:rPr>
        <w:t>Aggravating Circumstances: Article 801 and Vulnerability Gaps</w:t>
      </w:r>
    </w:p>
    <w:p w14:paraId="191DF2E7" w14:textId="7E0DC92F" w:rsidR="00C80ACE" w:rsidRPr="001F3502" w:rsidRDefault="00F84B38" w:rsidP="001F3502">
      <w:pPr>
        <w:spacing w:after="160" w:line="276" w:lineRule="auto"/>
        <w:jc w:val="both"/>
        <w:rPr>
          <w:rFonts w:asciiTheme="minorHAnsi" w:hAnsiTheme="minorHAnsi" w:cstheme="minorHAnsi"/>
          <w:sz w:val="24"/>
          <w:szCs w:val="24"/>
        </w:rPr>
      </w:pPr>
      <w:r>
        <w:rPr>
          <w:rFonts w:asciiTheme="minorHAnsi" w:hAnsiTheme="minorHAnsi" w:cstheme="minorHAnsi"/>
          <w:sz w:val="24"/>
          <w:szCs w:val="24"/>
        </w:rPr>
        <w:t xml:space="preserve">Article 801 of the proposed draft Criminal Code should be amended before adoption to explicitly include pregnancy, disability, and belonging to </w:t>
      </w:r>
      <w:proofErr w:type="spellStart"/>
      <w:r>
        <w:rPr>
          <w:rFonts w:asciiTheme="minorHAnsi" w:hAnsiTheme="minorHAnsi" w:cstheme="minorHAnsi"/>
          <w:sz w:val="24"/>
          <w:szCs w:val="24"/>
        </w:rPr>
        <w:t>marginalised</w:t>
      </w:r>
      <w:proofErr w:type="spellEnd"/>
      <w:r>
        <w:rPr>
          <w:rFonts w:asciiTheme="minorHAnsi" w:hAnsiTheme="minorHAnsi" w:cstheme="minorHAnsi"/>
          <w:sz w:val="24"/>
          <w:szCs w:val="24"/>
        </w:rPr>
        <w:t xml:space="preserve"> groups as aggravating factors in sexual violence offences. Women with disabilities, pregnant women, and women from </w:t>
      </w:r>
      <w:proofErr w:type="spellStart"/>
      <w:r>
        <w:rPr>
          <w:rFonts w:asciiTheme="minorHAnsi" w:hAnsiTheme="minorHAnsi" w:cstheme="minorHAnsi"/>
          <w:sz w:val="24"/>
          <w:szCs w:val="24"/>
        </w:rPr>
        <w:t>marginalised</w:t>
      </w:r>
      <w:proofErr w:type="spellEnd"/>
      <w:r>
        <w:rPr>
          <w:rFonts w:asciiTheme="minorHAnsi" w:hAnsiTheme="minorHAnsi" w:cstheme="minorHAnsi"/>
          <w:sz w:val="24"/>
          <w:szCs w:val="24"/>
        </w:rPr>
        <w:t xml:space="preserve"> communities face heightened exposure to sexual violence and compounded barriers to justice, a pattern </w:t>
      </w:r>
      <w:proofErr w:type="spellStart"/>
      <w:r>
        <w:rPr>
          <w:rFonts w:asciiTheme="minorHAnsi" w:hAnsiTheme="minorHAnsi" w:cstheme="minorHAnsi"/>
          <w:sz w:val="24"/>
          <w:szCs w:val="24"/>
        </w:rPr>
        <w:t>recognised</w:t>
      </w:r>
      <w:proofErr w:type="spellEnd"/>
      <w:r>
        <w:rPr>
          <w:rFonts w:asciiTheme="minorHAnsi" w:hAnsiTheme="minorHAnsi" w:cstheme="minorHAnsi"/>
          <w:sz w:val="24"/>
          <w:szCs w:val="24"/>
        </w:rPr>
        <w:t xml:space="preserve"> by CEDAW General Recommendation No. 35 through its intersectionality framework and which engages Albania’s obligations under CEDAW Article 2(c) to ensure effective legal protection. The Istanbul Convention (Article 46) requires treating offences against particularly vulnerable persons as aggravated; disability falls within this category, and the same rationale applies to pregnancy and </w:t>
      </w:r>
      <w:proofErr w:type="spellStart"/>
      <w:r>
        <w:rPr>
          <w:rFonts w:asciiTheme="minorHAnsi" w:hAnsiTheme="minorHAnsi" w:cstheme="minorHAnsi"/>
          <w:sz w:val="24"/>
          <w:szCs w:val="24"/>
        </w:rPr>
        <w:t>marginalised</w:t>
      </w:r>
      <w:proofErr w:type="spellEnd"/>
      <w:r>
        <w:rPr>
          <w:rFonts w:asciiTheme="minorHAnsi" w:hAnsiTheme="minorHAnsi" w:cstheme="minorHAnsi"/>
          <w:sz w:val="24"/>
          <w:szCs w:val="24"/>
        </w:rPr>
        <w:t xml:space="preserve"> group status even where not explicitly enumerated.</w:t>
      </w:r>
      <w:r>
        <w:rPr>
          <w:rStyle w:val="FootnoteReference"/>
          <w:rFonts w:asciiTheme="minorHAnsi" w:hAnsiTheme="minorHAnsi" w:cstheme="minorHAnsi"/>
          <w:sz w:val="24"/>
          <w:szCs w:val="24"/>
        </w:rPr>
        <w:footnoteReference w:id="11"/>
      </w:r>
    </w:p>
    <w:p w14:paraId="63BEA084" w14:textId="77777777" w:rsidR="00C80ACE" w:rsidRPr="001F3502" w:rsidRDefault="00A87316" w:rsidP="001F3502">
      <w:pPr>
        <w:pStyle w:val="Heading2"/>
        <w:spacing w:line="276" w:lineRule="auto"/>
        <w:jc w:val="both"/>
        <w:rPr>
          <w:rFonts w:asciiTheme="minorHAnsi" w:hAnsiTheme="minorHAnsi" w:cstheme="minorHAnsi"/>
          <w:sz w:val="24"/>
          <w:szCs w:val="24"/>
        </w:rPr>
      </w:pPr>
      <w:r>
        <w:rPr>
          <w:rFonts w:asciiTheme="minorHAnsi" w:hAnsiTheme="minorHAnsi" w:cstheme="minorHAnsi"/>
          <w:sz w:val="24"/>
          <w:szCs w:val="24"/>
        </w:rPr>
        <w:t>Access to Justice and Institutional Capacity</w:t>
      </w:r>
    </w:p>
    <w:p w14:paraId="2320D9C5" w14:textId="53223A36" w:rsidR="00C80ACE" w:rsidRPr="001F3502" w:rsidRDefault="00A87316" w:rsidP="001F3502">
      <w:pPr>
        <w:spacing w:after="160" w:line="276" w:lineRule="auto"/>
        <w:jc w:val="both"/>
        <w:rPr>
          <w:rFonts w:asciiTheme="minorHAnsi" w:hAnsiTheme="minorHAnsi" w:cstheme="minorHAnsi"/>
          <w:sz w:val="24"/>
          <w:szCs w:val="24"/>
        </w:rPr>
      </w:pPr>
      <w:r>
        <w:rPr>
          <w:rFonts w:asciiTheme="minorHAnsi" w:hAnsiTheme="minorHAnsi" w:cstheme="minorHAnsi"/>
          <w:sz w:val="24"/>
          <w:szCs w:val="24"/>
        </w:rPr>
        <w:t xml:space="preserve">Legislative reform requires parallel investment in institutional capacity. Prosecutors, judges, and law enforcement must receive mandatory trauma-informed training on sexual violence and consent. Survivor support services, including legal aid, psychosocial support, and shelter, must be accessible to all women, including those with disabilities, rural women, and LBTI women. Media coverage of sexual violence in Albania continues to rely on sensationalism and victim-blaming, shaping assumptions among legal actors and contributing to harmful </w:t>
      </w:r>
      <w:r>
        <w:rPr>
          <w:rFonts w:asciiTheme="minorHAnsi" w:hAnsiTheme="minorHAnsi" w:cstheme="minorHAnsi"/>
          <w:sz w:val="24"/>
          <w:szCs w:val="24"/>
        </w:rPr>
        <w:lastRenderedPageBreak/>
        <w:t xml:space="preserve">stereotypes regarding survivor </w:t>
      </w:r>
      <w:proofErr w:type="spellStart"/>
      <w:r>
        <w:rPr>
          <w:rFonts w:asciiTheme="minorHAnsi" w:hAnsiTheme="minorHAnsi" w:cstheme="minorHAnsi"/>
          <w:sz w:val="24"/>
          <w:szCs w:val="24"/>
        </w:rPr>
        <w:t>behaviour</w:t>
      </w:r>
      <w:proofErr w:type="spellEnd"/>
      <w:r>
        <w:rPr>
          <w:rFonts w:asciiTheme="minorHAnsi" w:hAnsiTheme="minorHAnsi" w:cstheme="minorHAnsi"/>
          <w:sz w:val="24"/>
          <w:szCs w:val="24"/>
        </w:rPr>
        <w:t xml:space="preserve"> that risk influencing the interpretation of consent and credibility in judicial proceedings.</w:t>
      </w:r>
    </w:p>
    <w:p w14:paraId="7F18F145" w14:textId="69AE1B44" w:rsidR="00C80ACE" w:rsidRPr="001F3502" w:rsidRDefault="00A87316" w:rsidP="001F3502">
      <w:pPr>
        <w:pStyle w:val="Heading2"/>
        <w:spacing w:line="276" w:lineRule="auto"/>
        <w:jc w:val="both"/>
        <w:rPr>
          <w:rFonts w:asciiTheme="minorHAnsi" w:hAnsiTheme="minorHAnsi" w:cstheme="minorHAnsi"/>
          <w:sz w:val="24"/>
          <w:szCs w:val="24"/>
        </w:rPr>
      </w:pPr>
      <w:r>
        <w:rPr>
          <w:rFonts w:asciiTheme="minorHAnsi" w:hAnsiTheme="minorHAnsi" w:cstheme="minorHAnsi"/>
          <w:sz w:val="24"/>
          <w:szCs w:val="24"/>
        </w:rPr>
        <w:t>Recommendations</w:t>
      </w:r>
    </w:p>
    <w:p w14:paraId="234AF374" w14:textId="77777777" w:rsidR="005473C1" w:rsidRPr="001F3502" w:rsidRDefault="005473C1" w:rsidP="001F3502">
      <w:pPr>
        <w:spacing w:before="100" w:beforeAutospacing="1" w:after="100" w:afterAutospacing="1" w:line="276" w:lineRule="auto"/>
        <w:jc w:val="both"/>
        <w:rPr>
          <w:rFonts w:asciiTheme="minorHAnsi" w:eastAsia="Times New Roman" w:hAnsiTheme="minorHAnsi" w:cstheme="minorHAnsi"/>
          <w:sz w:val="24"/>
          <w:szCs w:val="24"/>
        </w:rPr>
      </w:pPr>
      <w:r>
        <w:rPr>
          <w:rFonts w:asciiTheme="minorHAnsi" w:eastAsia="Times New Roman" w:hAnsiTheme="minorHAnsi" w:cstheme="minorHAnsi"/>
          <w:sz w:val="24"/>
          <w:szCs w:val="24"/>
        </w:rPr>
        <w:t xml:space="preserve">The submitting </w:t>
      </w:r>
      <w:proofErr w:type="spellStart"/>
      <w:r>
        <w:rPr>
          <w:rFonts w:asciiTheme="minorHAnsi" w:eastAsia="Times New Roman" w:hAnsiTheme="minorHAnsi" w:cstheme="minorHAnsi"/>
          <w:sz w:val="24"/>
          <w:szCs w:val="24"/>
        </w:rPr>
        <w:t>organisations</w:t>
      </w:r>
      <w:proofErr w:type="spellEnd"/>
      <w:r>
        <w:rPr>
          <w:rFonts w:asciiTheme="minorHAnsi" w:eastAsia="Times New Roman" w:hAnsiTheme="minorHAnsi" w:cstheme="minorHAnsi"/>
          <w:sz w:val="24"/>
          <w:szCs w:val="24"/>
        </w:rPr>
        <w:t xml:space="preserve"> call on the Committee to recommend that Albania:</w:t>
      </w:r>
    </w:p>
    <w:p w14:paraId="51498539" w14:textId="77777777" w:rsidR="00CE5E7E" w:rsidRPr="001F3502" w:rsidRDefault="005473C1" w:rsidP="001F3502">
      <w:pPr>
        <w:pStyle w:val="ListParagraph"/>
        <w:numPr>
          <w:ilvl w:val="0"/>
          <w:numId w:val="8"/>
        </w:numPr>
        <w:spacing w:before="100" w:beforeAutospacing="1" w:after="100" w:afterAutospacing="1" w:line="276" w:lineRule="auto"/>
        <w:jc w:val="both"/>
        <w:rPr>
          <w:rFonts w:asciiTheme="minorHAnsi" w:eastAsia="Times New Roman" w:hAnsiTheme="minorHAnsi" w:cstheme="minorHAnsi"/>
        </w:rPr>
      </w:pPr>
      <w:r>
        <w:rPr>
          <w:rFonts w:asciiTheme="minorHAnsi" w:eastAsia="Times New Roman" w:hAnsiTheme="minorHAnsi" w:cstheme="minorHAnsi"/>
        </w:rPr>
        <w:t xml:space="preserve">Amend Article 800 of the proposed draft Criminal Code before adoption to explicitly provide that consent must be freely and voluntarily given, assessed in light of all surrounding circumstances, and cannot be inferred from silence, passivity, lack of physical resistance or trauma-related freezing responses; </w:t>
      </w:r>
    </w:p>
    <w:p w14:paraId="1064AB67" w14:textId="77777777" w:rsidR="00CE5E7E" w:rsidRPr="001F3502" w:rsidRDefault="005473C1" w:rsidP="001F3502">
      <w:pPr>
        <w:pStyle w:val="ListParagraph"/>
        <w:numPr>
          <w:ilvl w:val="0"/>
          <w:numId w:val="8"/>
        </w:numPr>
        <w:spacing w:before="100" w:beforeAutospacing="1" w:after="100" w:afterAutospacing="1" w:line="276" w:lineRule="auto"/>
        <w:jc w:val="both"/>
        <w:rPr>
          <w:rFonts w:asciiTheme="minorHAnsi" w:eastAsia="Times New Roman" w:hAnsiTheme="minorHAnsi" w:cstheme="minorHAnsi"/>
        </w:rPr>
      </w:pPr>
      <w:r>
        <w:rPr>
          <w:rFonts w:asciiTheme="minorHAnsi" w:eastAsia="Times New Roman" w:hAnsiTheme="minorHAnsi" w:cstheme="minorHAnsi"/>
        </w:rPr>
        <w:t xml:space="preserve">Amend Article 801 of the proposed draft Criminal Code to include disability, pregnancy and vulnerability linked to </w:t>
      </w:r>
      <w:proofErr w:type="spellStart"/>
      <w:r>
        <w:rPr>
          <w:rFonts w:asciiTheme="minorHAnsi" w:eastAsia="Times New Roman" w:hAnsiTheme="minorHAnsi" w:cstheme="minorHAnsi"/>
        </w:rPr>
        <w:t>marginalisation</w:t>
      </w:r>
      <w:proofErr w:type="spellEnd"/>
      <w:r>
        <w:rPr>
          <w:rFonts w:asciiTheme="minorHAnsi" w:eastAsia="Times New Roman" w:hAnsiTheme="minorHAnsi" w:cstheme="minorHAnsi"/>
        </w:rPr>
        <w:t xml:space="preserve"> or intersecting forms of discrimination as aggravating circumstances in sexual violence offences; </w:t>
      </w:r>
    </w:p>
    <w:p w14:paraId="1282BBA0" w14:textId="77777777" w:rsidR="00CE5E7E" w:rsidRPr="001F3502" w:rsidRDefault="005473C1" w:rsidP="001F3502">
      <w:pPr>
        <w:pStyle w:val="ListParagraph"/>
        <w:numPr>
          <w:ilvl w:val="0"/>
          <w:numId w:val="8"/>
        </w:numPr>
        <w:spacing w:before="100" w:beforeAutospacing="1" w:after="100" w:afterAutospacing="1" w:line="276" w:lineRule="auto"/>
        <w:jc w:val="both"/>
        <w:rPr>
          <w:rFonts w:asciiTheme="minorHAnsi" w:eastAsia="Times New Roman" w:hAnsiTheme="minorHAnsi" w:cstheme="minorHAnsi"/>
        </w:rPr>
      </w:pPr>
      <w:r>
        <w:rPr>
          <w:rFonts w:asciiTheme="minorHAnsi" w:eastAsia="Times New Roman" w:hAnsiTheme="minorHAnsi" w:cstheme="minorHAnsi"/>
        </w:rPr>
        <w:t xml:space="preserve">Ensure effective implementation of the consent-based standard through mandatory, continuous and trauma-informed training for judges, prosecutors, police officers and forensic professionals on sexual violence, consent and survivor credibility; </w:t>
      </w:r>
    </w:p>
    <w:p w14:paraId="01CF2937" w14:textId="5975AD35" w:rsidR="00C80ACE" w:rsidRPr="001F3502" w:rsidRDefault="005473C1" w:rsidP="001F3502">
      <w:pPr>
        <w:pStyle w:val="ListParagraph"/>
        <w:numPr>
          <w:ilvl w:val="0"/>
          <w:numId w:val="8"/>
        </w:numPr>
        <w:spacing w:before="100" w:beforeAutospacing="1" w:after="100" w:afterAutospacing="1" w:line="276" w:lineRule="auto"/>
        <w:jc w:val="both"/>
        <w:rPr>
          <w:rFonts w:asciiTheme="minorHAnsi" w:eastAsia="Times New Roman" w:hAnsiTheme="minorHAnsi" w:cstheme="minorHAnsi"/>
        </w:rPr>
      </w:pPr>
      <w:r>
        <w:rPr>
          <w:rFonts w:asciiTheme="minorHAnsi" w:eastAsia="Times New Roman" w:hAnsiTheme="minorHAnsi" w:cstheme="minorHAnsi"/>
        </w:rPr>
        <w:t>Guarantee accessible and adequately funded survivor-</w:t>
      </w:r>
      <w:proofErr w:type="spellStart"/>
      <w:r>
        <w:rPr>
          <w:rFonts w:asciiTheme="minorHAnsi" w:eastAsia="Times New Roman" w:hAnsiTheme="minorHAnsi" w:cstheme="minorHAnsi"/>
        </w:rPr>
        <w:t>centred</w:t>
      </w:r>
      <w:proofErr w:type="spellEnd"/>
      <w:r>
        <w:rPr>
          <w:rFonts w:asciiTheme="minorHAnsi" w:eastAsia="Times New Roman" w:hAnsiTheme="minorHAnsi" w:cstheme="minorHAnsi"/>
        </w:rPr>
        <w:t xml:space="preserve"> support services, including free legal aid, psychosocial support, shelter and referral mechanisms, with specific attention to women with disabilities, women in rural areas, LBTI women and other women facing intersecting forms of discrimination.</w:t>
      </w:r>
    </w:p>
    <w:p w14:paraId="036CE67F" w14:textId="1AB331B8" w:rsidR="00C80ACE" w:rsidRPr="001F3502" w:rsidRDefault="00A87316" w:rsidP="001F3502">
      <w:pPr>
        <w:pStyle w:val="Heading1"/>
        <w:spacing w:line="276" w:lineRule="auto"/>
        <w:jc w:val="both"/>
        <w:rPr>
          <w:rFonts w:asciiTheme="minorHAnsi" w:hAnsiTheme="minorHAnsi" w:cstheme="minorHAnsi"/>
          <w:sz w:val="24"/>
          <w:szCs w:val="24"/>
        </w:rPr>
      </w:pPr>
      <w:r>
        <w:rPr>
          <w:rFonts w:asciiTheme="minorHAnsi" w:hAnsiTheme="minorHAnsi" w:cstheme="minorHAnsi"/>
          <w:sz w:val="24"/>
          <w:szCs w:val="24"/>
        </w:rPr>
        <w:t>Section 3 - Article 7 / Recommendation 28(b): Temporary Special Measures and Equal Representation of Women in Political and Public Life</w:t>
      </w:r>
    </w:p>
    <w:p w14:paraId="03D33C82" w14:textId="08C6972A" w:rsidR="00C80ACE" w:rsidRPr="001F3502" w:rsidRDefault="00A87316" w:rsidP="001F3502">
      <w:pPr>
        <w:spacing w:after="160" w:line="276" w:lineRule="auto"/>
        <w:jc w:val="both"/>
        <w:rPr>
          <w:rFonts w:asciiTheme="minorHAnsi" w:hAnsiTheme="minorHAnsi" w:cstheme="minorHAnsi"/>
          <w:sz w:val="24"/>
          <w:szCs w:val="24"/>
        </w:rPr>
      </w:pPr>
      <w:r>
        <w:rPr>
          <w:rFonts w:asciiTheme="minorHAnsi" w:hAnsiTheme="minorHAnsi" w:cstheme="minorHAnsi"/>
          <w:sz w:val="24"/>
          <w:szCs w:val="24"/>
        </w:rPr>
        <w:t>The Committee recommended that the State party “adopt temporary special measures, such as statutory quotas and a gender parity system, in line with article 4(1) of the Convention and the Committee’s general recommendation No. 25, to ensure the equal representation of women, including rural women, women with disabilities, women belonging to ethnic minorities and lesbian, bisexual, transgender and intersex women, in Parliament and municipal legislative bodies, the Government, the civil service and the foreign service, in particular at decision-making levels.”</w:t>
      </w:r>
      <w:r>
        <w:rPr>
          <w:rStyle w:val="FootnoteReference"/>
          <w:rFonts w:asciiTheme="minorHAnsi" w:hAnsiTheme="minorHAnsi" w:cstheme="minorHAnsi"/>
          <w:sz w:val="24"/>
          <w:szCs w:val="24"/>
        </w:rPr>
        <w:footnoteReference w:id="12"/>
      </w:r>
    </w:p>
    <w:p w14:paraId="7284FB96" w14:textId="77777777" w:rsidR="00C80ACE" w:rsidRPr="001F3502" w:rsidRDefault="00A87316" w:rsidP="001F3502">
      <w:pPr>
        <w:pStyle w:val="Heading2"/>
        <w:spacing w:line="276" w:lineRule="auto"/>
        <w:jc w:val="both"/>
        <w:rPr>
          <w:rFonts w:asciiTheme="minorHAnsi" w:hAnsiTheme="minorHAnsi" w:cstheme="minorHAnsi"/>
          <w:sz w:val="24"/>
          <w:szCs w:val="24"/>
        </w:rPr>
      </w:pPr>
      <w:r>
        <w:rPr>
          <w:rFonts w:asciiTheme="minorHAnsi" w:hAnsiTheme="minorHAnsi" w:cstheme="minorHAnsi"/>
          <w:sz w:val="24"/>
          <w:szCs w:val="24"/>
        </w:rPr>
        <w:t>Legal Framework: Advances Under Law No. 64/2025</w:t>
      </w:r>
    </w:p>
    <w:p w14:paraId="616B7AB7" w14:textId="1E7FC7B4" w:rsidR="00CE5E7E" w:rsidRPr="001F3502" w:rsidRDefault="00A87316" w:rsidP="001F3502">
      <w:pPr>
        <w:spacing w:after="160" w:line="276" w:lineRule="auto"/>
        <w:jc w:val="both"/>
        <w:rPr>
          <w:rFonts w:asciiTheme="minorHAnsi" w:hAnsiTheme="minorHAnsi" w:cstheme="minorHAnsi"/>
          <w:sz w:val="24"/>
          <w:szCs w:val="24"/>
        </w:rPr>
      </w:pPr>
      <w:r>
        <w:rPr>
          <w:rFonts w:asciiTheme="minorHAnsi" w:hAnsiTheme="minorHAnsi" w:cstheme="minorHAnsi"/>
          <w:sz w:val="24"/>
          <w:szCs w:val="24"/>
        </w:rPr>
        <w:t xml:space="preserve">Law No. 64/2025 “On Gender Equality” establishes the most comprehensive framework for gender-balanced representation to date. Article 24 provides that representation below 30% for either gender constitutes discrimination, with a progressive trajectory toward 50% parity within ten years. Temporary special measures including quotas are expressly </w:t>
      </w:r>
      <w:proofErr w:type="spellStart"/>
      <w:r>
        <w:rPr>
          <w:rFonts w:asciiTheme="minorHAnsi" w:hAnsiTheme="minorHAnsi" w:cstheme="minorHAnsi"/>
          <w:sz w:val="24"/>
          <w:szCs w:val="24"/>
        </w:rPr>
        <w:t>recognised</w:t>
      </w:r>
      <w:proofErr w:type="spellEnd"/>
      <w:r>
        <w:rPr>
          <w:rFonts w:asciiTheme="minorHAnsi" w:hAnsiTheme="minorHAnsi" w:cstheme="minorHAnsi"/>
          <w:sz w:val="24"/>
          <w:szCs w:val="24"/>
        </w:rPr>
        <w:t xml:space="preserve"> as </w:t>
      </w:r>
      <w:r>
        <w:rPr>
          <w:rFonts w:asciiTheme="minorHAnsi" w:hAnsiTheme="minorHAnsi" w:cstheme="minorHAnsi"/>
          <w:sz w:val="24"/>
          <w:szCs w:val="24"/>
        </w:rPr>
        <w:lastRenderedPageBreak/>
        <w:t>non-discriminatory (Article 8), aligning with CEDAW Article 4(1), General Recommendation No. 25, and General Recommendation No. 40 (2024).</w:t>
      </w:r>
      <w:r>
        <w:rPr>
          <w:rStyle w:val="FootnoteReference"/>
          <w:rFonts w:asciiTheme="minorHAnsi" w:hAnsiTheme="minorHAnsi" w:cstheme="minorHAnsi"/>
          <w:sz w:val="24"/>
          <w:szCs w:val="24"/>
        </w:rPr>
        <w:t xml:space="preserve"> </w:t>
      </w:r>
      <w:r>
        <w:rPr>
          <w:rStyle w:val="FootnoteReference"/>
          <w:rFonts w:asciiTheme="minorHAnsi" w:hAnsiTheme="minorHAnsi" w:cstheme="minorHAnsi"/>
          <w:sz w:val="24"/>
          <w:szCs w:val="24"/>
        </w:rPr>
        <w:footnoteReference w:id="13"/>
      </w:r>
    </w:p>
    <w:p w14:paraId="46A1CDAF" w14:textId="35A5A362" w:rsidR="00463751" w:rsidRPr="00061207" w:rsidRDefault="00463751" w:rsidP="00061207">
      <w:pPr>
        <w:spacing w:after="160" w:line="276" w:lineRule="auto"/>
        <w:jc w:val="both"/>
        <w:rPr>
          <w:rFonts w:asciiTheme="minorHAnsi" w:hAnsiTheme="minorHAnsi" w:cstheme="minorHAnsi"/>
          <w:sz w:val="24"/>
          <w:szCs w:val="24"/>
        </w:rPr>
      </w:pPr>
      <w:r>
        <w:rPr>
          <w:rFonts w:asciiTheme="minorHAnsi" w:hAnsiTheme="minorHAnsi" w:cstheme="minorHAnsi"/>
          <w:sz w:val="24"/>
          <w:szCs w:val="24"/>
        </w:rPr>
        <w:t>Women currently hold 34.3% of parliamentary seats (48 out of 140)</w:t>
      </w:r>
      <w:r>
        <w:rPr>
          <w:rStyle w:val="FootnoteReference"/>
          <w:rFonts w:asciiTheme="minorHAnsi" w:hAnsiTheme="minorHAnsi" w:cstheme="minorHAnsi"/>
          <w:sz w:val="24"/>
          <w:szCs w:val="24"/>
        </w:rPr>
        <w:t xml:space="preserve"> </w:t>
      </w:r>
      <w:r>
        <w:rPr>
          <w:rStyle w:val="FootnoteReference"/>
          <w:rFonts w:asciiTheme="minorHAnsi" w:hAnsiTheme="minorHAnsi" w:cstheme="minorHAnsi"/>
          <w:sz w:val="24"/>
          <w:szCs w:val="24"/>
        </w:rPr>
        <w:footnoteReference w:id="14"/>
      </w:r>
      <w:r>
        <w:rPr>
          <w:rFonts w:asciiTheme="minorHAnsi" w:hAnsiTheme="minorHAnsi" w:cstheme="minorHAnsi"/>
          <w:sz w:val="24"/>
          <w:szCs w:val="24"/>
        </w:rPr>
        <w:t xml:space="preserve"> and approximately 36.8% of ministerial positions</w:t>
      </w:r>
      <w:r>
        <w:rPr>
          <w:rStyle w:val="FootnoteReference"/>
          <w:rFonts w:asciiTheme="minorHAnsi" w:hAnsiTheme="minorHAnsi" w:cstheme="minorHAnsi"/>
          <w:sz w:val="24"/>
          <w:szCs w:val="24"/>
        </w:rPr>
        <w:footnoteReference w:id="15"/>
      </w:r>
      <w:r w:rsidR="00C14852">
        <w:rPr>
          <w:rFonts w:asciiTheme="minorHAnsi" w:hAnsiTheme="minorHAnsi" w:cstheme="minorHAnsi"/>
          <w:sz w:val="24"/>
          <w:szCs w:val="24"/>
        </w:rPr>
        <w:t xml:space="preserve">. </w:t>
      </w:r>
      <w:r w:rsidR="00C14852" w:rsidRPr="00C14852">
        <w:rPr>
          <w:rFonts w:asciiTheme="minorHAnsi" w:hAnsiTheme="minorHAnsi" w:cstheme="minorHAnsi"/>
          <w:sz w:val="24"/>
          <w:szCs w:val="24"/>
        </w:rPr>
        <w:t xml:space="preserve">While these figures reflect gradual progress under the quota framework, representation remains below parity and does not ensure substantive equality, particularly for women from </w:t>
      </w:r>
      <w:proofErr w:type="spellStart"/>
      <w:r w:rsidR="00C14852" w:rsidRPr="00C14852">
        <w:rPr>
          <w:rFonts w:asciiTheme="minorHAnsi" w:hAnsiTheme="minorHAnsi" w:cstheme="minorHAnsi"/>
          <w:sz w:val="24"/>
          <w:szCs w:val="24"/>
        </w:rPr>
        <w:t>marginalised</w:t>
      </w:r>
      <w:proofErr w:type="spellEnd"/>
      <w:r w:rsidR="00C14852" w:rsidRPr="00C14852">
        <w:rPr>
          <w:rFonts w:asciiTheme="minorHAnsi" w:hAnsiTheme="minorHAnsi" w:cstheme="minorHAnsi"/>
          <w:sz w:val="24"/>
          <w:szCs w:val="24"/>
        </w:rPr>
        <w:t xml:space="preserve"> groups who continue to face exclusion from leadership positions and internal party structures.</w:t>
      </w:r>
    </w:p>
    <w:p w14:paraId="56EEB53F" w14:textId="168CB7E5" w:rsidR="00C80ACE" w:rsidRPr="001F3502" w:rsidRDefault="004B536A" w:rsidP="001F3502">
      <w:pPr>
        <w:pStyle w:val="Heading2"/>
        <w:spacing w:line="276" w:lineRule="auto"/>
        <w:jc w:val="both"/>
        <w:rPr>
          <w:rFonts w:asciiTheme="minorHAnsi" w:hAnsiTheme="minorHAnsi" w:cstheme="minorHAnsi"/>
          <w:sz w:val="24"/>
          <w:szCs w:val="24"/>
        </w:rPr>
      </w:pPr>
      <w:r>
        <w:rPr>
          <w:rFonts w:asciiTheme="minorHAnsi" w:hAnsiTheme="minorHAnsi" w:cstheme="minorHAnsi"/>
          <w:sz w:val="24"/>
          <w:szCs w:val="24"/>
        </w:rPr>
        <w:t>Persistent Implementation Gap and Political Environment</w:t>
      </w:r>
    </w:p>
    <w:p w14:paraId="1EAC2128" w14:textId="32600BC7" w:rsidR="00C80ACE" w:rsidRPr="001F3502" w:rsidRDefault="004B536A" w:rsidP="001F3502">
      <w:pPr>
        <w:spacing w:after="160" w:line="276" w:lineRule="auto"/>
        <w:jc w:val="both"/>
        <w:rPr>
          <w:rFonts w:asciiTheme="minorHAnsi" w:hAnsiTheme="minorHAnsi" w:cstheme="minorHAnsi"/>
          <w:sz w:val="24"/>
          <w:szCs w:val="24"/>
        </w:rPr>
      </w:pPr>
      <w:r>
        <w:rPr>
          <w:rFonts w:asciiTheme="minorHAnsi" w:hAnsiTheme="minorHAnsi" w:cstheme="minorHAnsi"/>
          <w:sz w:val="24"/>
          <w:szCs w:val="24"/>
        </w:rPr>
        <w:t xml:space="preserve">Despite the improved legal framework, the political environment continues to undermine substantive equality. An analysis of the May 2025 election </w:t>
      </w:r>
      <w:proofErr w:type="spellStart"/>
      <w:r>
        <w:rPr>
          <w:rFonts w:asciiTheme="minorHAnsi" w:hAnsiTheme="minorHAnsi" w:cstheme="minorHAnsi"/>
          <w:sz w:val="24"/>
          <w:szCs w:val="24"/>
        </w:rPr>
        <w:t>programmes</w:t>
      </w:r>
      <w:proofErr w:type="spellEnd"/>
      <w:r>
        <w:rPr>
          <w:rFonts w:asciiTheme="minorHAnsi" w:hAnsiTheme="minorHAnsi" w:cstheme="minorHAnsi"/>
          <w:sz w:val="24"/>
          <w:szCs w:val="24"/>
        </w:rPr>
        <w:t xml:space="preserve"> by </w:t>
      </w:r>
      <w:proofErr w:type="spellStart"/>
      <w:r>
        <w:rPr>
          <w:rFonts w:asciiTheme="minorHAnsi" w:hAnsiTheme="minorHAnsi" w:cstheme="minorHAnsi"/>
          <w:sz w:val="24"/>
          <w:szCs w:val="24"/>
        </w:rPr>
        <w:t>Aleanca</w:t>
      </w:r>
      <w:proofErr w:type="spellEnd"/>
      <w:r>
        <w:rPr>
          <w:rFonts w:asciiTheme="minorHAnsi" w:hAnsiTheme="minorHAnsi" w:cstheme="minorHAnsi"/>
          <w:sz w:val="24"/>
          <w:szCs w:val="24"/>
        </w:rPr>
        <w:t xml:space="preserve"> LGBTI found ten out of eleven parties made no reference to LGBTI+ rights; the governing party published no electoral </w:t>
      </w:r>
      <w:proofErr w:type="spellStart"/>
      <w:r>
        <w:rPr>
          <w:rFonts w:asciiTheme="minorHAnsi" w:hAnsiTheme="minorHAnsi" w:cstheme="minorHAnsi"/>
          <w:sz w:val="24"/>
          <w:szCs w:val="24"/>
        </w:rPr>
        <w:t>programme</w:t>
      </w:r>
      <w:proofErr w:type="spellEnd"/>
      <w:r>
        <w:rPr>
          <w:rFonts w:asciiTheme="minorHAnsi" w:hAnsiTheme="minorHAnsi" w:cstheme="minorHAnsi"/>
          <w:sz w:val="24"/>
          <w:szCs w:val="24"/>
        </w:rPr>
        <w:t xml:space="preserve"> and made no public commitment on LGBTI+ equality despite three consecutive mandates. Exclusionary anti-gender rhetoric remained present throughout the campaign, including statements targeting non-heteronormative family models.</w:t>
      </w:r>
      <w:r>
        <w:rPr>
          <w:rStyle w:val="FootnoteReference"/>
          <w:rFonts w:asciiTheme="minorHAnsi" w:hAnsiTheme="minorHAnsi" w:cstheme="minorHAnsi"/>
          <w:sz w:val="24"/>
          <w:szCs w:val="24"/>
        </w:rPr>
        <w:t xml:space="preserve"> </w:t>
      </w:r>
      <w:r>
        <w:rPr>
          <w:rStyle w:val="FootnoteReference"/>
          <w:rFonts w:asciiTheme="minorHAnsi" w:hAnsiTheme="minorHAnsi" w:cstheme="minorHAnsi"/>
          <w:sz w:val="24"/>
          <w:szCs w:val="24"/>
        </w:rPr>
        <w:footnoteReference w:id="16"/>
      </w:r>
    </w:p>
    <w:p w14:paraId="4C80CB41" w14:textId="73631DA7" w:rsidR="00C80ACE" w:rsidRPr="00061207" w:rsidRDefault="004B536A" w:rsidP="00061207">
      <w:pPr>
        <w:spacing w:after="160" w:line="276" w:lineRule="auto"/>
        <w:jc w:val="both"/>
        <w:rPr>
          <w:rFonts w:asciiTheme="minorHAnsi" w:hAnsiTheme="minorHAnsi" w:cstheme="minorHAnsi"/>
          <w:sz w:val="24"/>
          <w:szCs w:val="24"/>
        </w:rPr>
      </w:pPr>
      <w:r>
        <w:rPr>
          <w:rFonts w:asciiTheme="minorHAnsi" w:hAnsiTheme="minorHAnsi" w:cstheme="minorHAnsi"/>
          <w:sz w:val="24"/>
          <w:szCs w:val="24"/>
        </w:rPr>
        <w:t xml:space="preserve">These dynamics disproportionately affect the women identified in Recommendation 28(b), where formal representation cannot guarantee substantive participation in party cultures hostile to diversity. Media monitoring during 2024-2025 documented systematic targeting of women in politics through appearance-based attacks and </w:t>
      </w:r>
      <w:proofErr w:type="spellStart"/>
      <w:r>
        <w:rPr>
          <w:rFonts w:asciiTheme="minorHAnsi" w:hAnsiTheme="minorHAnsi" w:cstheme="minorHAnsi"/>
          <w:sz w:val="24"/>
          <w:szCs w:val="24"/>
        </w:rPr>
        <w:t>sexualised</w:t>
      </w:r>
      <w:proofErr w:type="spellEnd"/>
      <w:r>
        <w:rPr>
          <w:rFonts w:asciiTheme="minorHAnsi" w:hAnsiTheme="minorHAnsi" w:cstheme="minorHAnsi"/>
          <w:sz w:val="24"/>
          <w:szCs w:val="24"/>
        </w:rPr>
        <w:t xml:space="preserve"> commentary reaching up to 300,000 persons. These patterns constitute gender-based political violence, increasingly </w:t>
      </w:r>
      <w:proofErr w:type="spellStart"/>
      <w:r>
        <w:rPr>
          <w:rFonts w:asciiTheme="minorHAnsi" w:hAnsiTheme="minorHAnsi" w:cstheme="minorHAnsi"/>
          <w:sz w:val="24"/>
          <w:szCs w:val="24"/>
        </w:rPr>
        <w:t>recognised</w:t>
      </w:r>
      <w:proofErr w:type="spellEnd"/>
      <w:r>
        <w:rPr>
          <w:rFonts w:asciiTheme="minorHAnsi" w:hAnsiTheme="minorHAnsi" w:cstheme="minorHAnsi"/>
          <w:sz w:val="24"/>
          <w:szCs w:val="24"/>
        </w:rPr>
        <w:t xml:space="preserve"> under international human rights standards as a barrier to women’s equal political participation.</w:t>
      </w:r>
      <w:r>
        <w:rPr>
          <w:rStyle w:val="FootnoteReference"/>
          <w:rFonts w:asciiTheme="minorHAnsi" w:hAnsiTheme="minorHAnsi" w:cstheme="minorHAnsi"/>
          <w:sz w:val="24"/>
          <w:szCs w:val="24"/>
        </w:rPr>
        <w:footnoteReference w:id="17"/>
      </w:r>
    </w:p>
    <w:p w14:paraId="6A426039" w14:textId="0F370394" w:rsidR="00C80ACE" w:rsidRPr="001F3502" w:rsidRDefault="00D13D42" w:rsidP="001F3502">
      <w:pPr>
        <w:pStyle w:val="Heading2"/>
        <w:spacing w:line="276" w:lineRule="auto"/>
        <w:jc w:val="both"/>
        <w:rPr>
          <w:rFonts w:asciiTheme="minorHAnsi" w:hAnsiTheme="minorHAnsi" w:cstheme="minorHAnsi"/>
          <w:sz w:val="24"/>
          <w:szCs w:val="24"/>
        </w:rPr>
      </w:pPr>
      <w:r>
        <w:rPr>
          <w:rFonts w:asciiTheme="minorHAnsi" w:hAnsiTheme="minorHAnsi" w:cstheme="minorHAnsi"/>
          <w:sz w:val="24"/>
          <w:szCs w:val="24"/>
        </w:rPr>
        <w:t>Structural Exclusion of Intersecting Groups</w:t>
      </w:r>
    </w:p>
    <w:p w14:paraId="0F725316" w14:textId="4B44F8B4" w:rsidR="00C80ACE" w:rsidRPr="00061207" w:rsidRDefault="00A87316" w:rsidP="001F3502">
      <w:pPr>
        <w:spacing w:after="160" w:line="276" w:lineRule="auto"/>
        <w:jc w:val="both"/>
        <w:rPr>
          <w:rFonts w:asciiTheme="minorHAnsi" w:hAnsiTheme="minorHAnsi" w:cstheme="minorHAnsi"/>
          <w:sz w:val="24"/>
          <w:szCs w:val="24"/>
        </w:rPr>
      </w:pPr>
      <w:r>
        <w:rPr>
          <w:rFonts w:asciiTheme="minorHAnsi" w:hAnsiTheme="minorHAnsi" w:cstheme="minorHAnsi"/>
          <w:sz w:val="24"/>
          <w:szCs w:val="24"/>
        </w:rPr>
        <w:t xml:space="preserve">Law No. 64/2025 does not establish targeted measures for women facing compounded disadvantage. The 30% floor applies to gender as a category without disaggregating for rural women, women with disabilities, women from Roma and Egyptian communities, or LBTI women. No mechanism requires parties to publish data disaggregated by disability, ethnicity, or sexual orientation. The Electoral Code’s vacancy replacement rules contain a “list exhaustion” loophole in Article 164, documented as enabling the displacement of elected women through coordinated mass resignations. The absence of systematic equality data </w:t>
      </w:r>
      <w:r>
        <w:rPr>
          <w:rFonts w:asciiTheme="minorHAnsi" w:hAnsiTheme="minorHAnsi" w:cstheme="minorHAnsi"/>
          <w:sz w:val="24"/>
          <w:szCs w:val="24"/>
        </w:rPr>
        <w:lastRenderedPageBreak/>
        <w:t>limits institutional capacity to assess whether women facing intersecting forms of discrimination are effectively represented.</w:t>
      </w:r>
      <w:r>
        <w:rPr>
          <w:rStyle w:val="FootnoteReference"/>
          <w:rFonts w:asciiTheme="minorHAnsi" w:hAnsiTheme="minorHAnsi" w:cstheme="minorHAnsi"/>
          <w:sz w:val="24"/>
          <w:szCs w:val="24"/>
        </w:rPr>
        <w:footnoteReference w:id="18"/>
      </w:r>
    </w:p>
    <w:p w14:paraId="2FEA2771" w14:textId="5B143E0A" w:rsidR="00C80ACE" w:rsidRPr="001F3502" w:rsidRDefault="00A87316" w:rsidP="001F3502">
      <w:pPr>
        <w:spacing w:after="160" w:line="276" w:lineRule="auto"/>
        <w:jc w:val="both"/>
        <w:rPr>
          <w:rFonts w:asciiTheme="minorHAnsi" w:hAnsiTheme="minorHAnsi" w:cstheme="minorHAnsi"/>
          <w:sz w:val="24"/>
          <w:szCs w:val="24"/>
        </w:rPr>
      </w:pPr>
      <w:r>
        <w:rPr>
          <w:rFonts w:asciiTheme="minorHAnsi" w:hAnsiTheme="minorHAnsi" w:cstheme="minorHAnsi"/>
          <w:sz w:val="24"/>
          <w:szCs w:val="24"/>
        </w:rPr>
        <w:t xml:space="preserve">Evidence from the 2023 local elections illustrates the scale of this gap. A study found that 78.67% of post-election resignations from municipal councils were by women (225 out of 286), that 93.40% of women on party lists in the ten most affected councils ultimately withdrew, and that only 11% of mandates were held by women despite near-equal lists. Nine out of eleven parties ended with no women seated, reflecting </w:t>
      </w:r>
      <w:proofErr w:type="spellStart"/>
      <w:r>
        <w:rPr>
          <w:rFonts w:asciiTheme="minorHAnsi" w:hAnsiTheme="minorHAnsi" w:cstheme="minorHAnsi"/>
          <w:sz w:val="24"/>
          <w:szCs w:val="24"/>
        </w:rPr>
        <w:t>organised</w:t>
      </w:r>
      <w:proofErr w:type="spellEnd"/>
      <w:r>
        <w:rPr>
          <w:rFonts w:asciiTheme="minorHAnsi" w:hAnsiTheme="minorHAnsi" w:cstheme="minorHAnsi"/>
          <w:sz w:val="24"/>
          <w:szCs w:val="24"/>
        </w:rPr>
        <w:t xml:space="preserve"> practices of recruiting women as placeholders who were pressured to resign after the election. Data on the May 2025 parliamentary elections will supplement this submission when published.</w:t>
      </w:r>
    </w:p>
    <w:p w14:paraId="44F7F996" w14:textId="532C2E89" w:rsidR="00C80ACE" w:rsidRPr="001F3502" w:rsidRDefault="00A87316" w:rsidP="001F3502">
      <w:pPr>
        <w:spacing w:after="160" w:line="276" w:lineRule="auto"/>
        <w:jc w:val="both"/>
        <w:rPr>
          <w:rFonts w:asciiTheme="minorHAnsi" w:hAnsiTheme="minorHAnsi" w:cstheme="minorHAnsi"/>
          <w:sz w:val="24"/>
          <w:szCs w:val="24"/>
        </w:rPr>
      </w:pPr>
      <w:r>
        <w:rPr>
          <w:rFonts w:asciiTheme="minorHAnsi" w:hAnsiTheme="minorHAnsi" w:cstheme="minorHAnsi"/>
          <w:sz w:val="24"/>
          <w:szCs w:val="24"/>
        </w:rPr>
        <w:t>The Alliance’s 2024-2025 annual survey found 88% of LGBTI+ respondents wished to leave Albania, the highest figure in twelve years.</w:t>
      </w:r>
      <w:r>
        <w:rPr>
          <w:rStyle w:val="FootnoteReference"/>
          <w:rFonts w:asciiTheme="minorHAnsi" w:hAnsiTheme="minorHAnsi" w:cstheme="minorHAnsi"/>
          <w:sz w:val="24"/>
          <w:szCs w:val="24"/>
        </w:rPr>
        <w:footnoteReference w:id="19"/>
      </w:r>
      <w:r>
        <w:rPr>
          <w:rFonts w:asciiTheme="minorHAnsi" w:hAnsiTheme="minorHAnsi" w:cstheme="minorHAnsi"/>
          <w:sz w:val="24"/>
          <w:szCs w:val="24"/>
        </w:rPr>
        <w:t xml:space="preserve"> This reflects cumulative legal invisibility, institutional passivity, and hostile rhetoric</w:t>
      </w:r>
      <w:r w:rsidR="00C14852">
        <w:rPr>
          <w:rFonts w:asciiTheme="minorHAnsi" w:hAnsiTheme="minorHAnsi" w:cstheme="minorHAnsi"/>
          <w:sz w:val="24"/>
          <w:szCs w:val="24"/>
        </w:rPr>
        <w:t>,</w:t>
      </w:r>
      <w:r>
        <w:rPr>
          <w:rFonts w:asciiTheme="minorHAnsi" w:hAnsiTheme="minorHAnsi" w:cstheme="minorHAnsi"/>
          <w:sz w:val="24"/>
          <w:szCs w:val="24"/>
        </w:rPr>
        <w:t xml:space="preserve"> factors that compound for LBTI women facing both gender-based and identity-based discrimination.</w:t>
      </w:r>
    </w:p>
    <w:p w14:paraId="782EB9AB" w14:textId="77777777" w:rsidR="00C80ACE" w:rsidRPr="001F3502" w:rsidRDefault="00C80ACE" w:rsidP="001F3502">
      <w:pPr>
        <w:spacing w:after="80" w:line="276" w:lineRule="auto"/>
        <w:jc w:val="both"/>
        <w:rPr>
          <w:rFonts w:asciiTheme="minorHAnsi" w:hAnsiTheme="minorHAnsi" w:cstheme="minorHAnsi"/>
          <w:sz w:val="24"/>
          <w:szCs w:val="24"/>
        </w:rPr>
      </w:pPr>
    </w:p>
    <w:p w14:paraId="3395CE95" w14:textId="4D6135D6" w:rsidR="00C80ACE" w:rsidRPr="001F3502" w:rsidRDefault="00A87316" w:rsidP="001F3502">
      <w:pPr>
        <w:pStyle w:val="Heading2"/>
        <w:spacing w:line="276" w:lineRule="auto"/>
        <w:jc w:val="both"/>
        <w:rPr>
          <w:rFonts w:asciiTheme="minorHAnsi" w:hAnsiTheme="minorHAnsi" w:cstheme="minorHAnsi"/>
          <w:sz w:val="24"/>
          <w:szCs w:val="24"/>
        </w:rPr>
      </w:pPr>
      <w:r>
        <w:rPr>
          <w:rFonts w:asciiTheme="minorHAnsi" w:hAnsiTheme="minorHAnsi" w:cstheme="minorHAnsi"/>
          <w:sz w:val="24"/>
          <w:szCs w:val="24"/>
        </w:rPr>
        <w:t xml:space="preserve">Recommendations </w:t>
      </w:r>
    </w:p>
    <w:p w14:paraId="2879E613" w14:textId="77777777" w:rsidR="00671F51" w:rsidRPr="001F3502" w:rsidRDefault="00671F51" w:rsidP="001F3502">
      <w:pPr>
        <w:spacing w:before="100" w:beforeAutospacing="1" w:after="100" w:afterAutospacing="1" w:line="276" w:lineRule="auto"/>
        <w:jc w:val="both"/>
        <w:rPr>
          <w:rFonts w:asciiTheme="minorHAnsi" w:eastAsia="Times New Roman" w:hAnsiTheme="minorHAnsi" w:cstheme="minorHAnsi"/>
          <w:sz w:val="24"/>
          <w:szCs w:val="24"/>
        </w:rPr>
      </w:pPr>
      <w:r>
        <w:rPr>
          <w:rFonts w:asciiTheme="minorHAnsi" w:eastAsia="Times New Roman" w:hAnsiTheme="minorHAnsi" w:cstheme="minorHAnsi"/>
          <w:sz w:val="24"/>
          <w:szCs w:val="24"/>
        </w:rPr>
        <w:t xml:space="preserve">The submitting </w:t>
      </w:r>
      <w:proofErr w:type="spellStart"/>
      <w:r>
        <w:rPr>
          <w:rFonts w:asciiTheme="minorHAnsi" w:eastAsia="Times New Roman" w:hAnsiTheme="minorHAnsi" w:cstheme="minorHAnsi"/>
          <w:sz w:val="24"/>
          <w:szCs w:val="24"/>
        </w:rPr>
        <w:t>organisations</w:t>
      </w:r>
      <w:proofErr w:type="spellEnd"/>
      <w:r>
        <w:rPr>
          <w:rFonts w:asciiTheme="minorHAnsi" w:eastAsia="Times New Roman" w:hAnsiTheme="minorHAnsi" w:cstheme="minorHAnsi"/>
          <w:sz w:val="24"/>
          <w:szCs w:val="24"/>
        </w:rPr>
        <w:t xml:space="preserve"> call on the Committee to recommend that the State party:</w:t>
      </w:r>
    </w:p>
    <w:p w14:paraId="06E02BB5" w14:textId="77777777" w:rsidR="001F3502" w:rsidRPr="001F3502" w:rsidRDefault="00671F51" w:rsidP="001F3502">
      <w:pPr>
        <w:pStyle w:val="ListParagraph"/>
        <w:numPr>
          <w:ilvl w:val="0"/>
          <w:numId w:val="9"/>
        </w:numPr>
        <w:spacing w:before="100" w:beforeAutospacing="1" w:after="100" w:afterAutospacing="1" w:line="276" w:lineRule="auto"/>
        <w:jc w:val="both"/>
        <w:rPr>
          <w:rFonts w:asciiTheme="minorHAnsi" w:eastAsia="Times New Roman" w:hAnsiTheme="minorHAnsi" w:cstheme="minorHAnsi"/>
        </w:rPr>
      </w:pPr>
      <w:r>
        <w:rPr>
          <w:rFonts w:asciiTheme="minorHAnsi" w:eastAsia="Times New Roman" w:hAnsiTheme="minorHAnsi" w:cstheme="minorHAnsi"/>
        </w:rPr>
        <w:t>Adopt implementing regulations under Law No. 64/2025 establishing clear benchmarks, monitoring mechanisms, and sanctions to ensure the progressive achievement of parity across political and public decision-making bodies;</w:t>
      </w:r>
    </w:p>
    <w:p w14:paraId="456FBE2B" w14:textId="77777777" w:rsidR="001F3502" w:rsidRPr="001F3502" w:rsidRDefault="00671F51" w:rsidP="001F3502">
      <w:pPr>
        <w:pStyle w:val="ListParagraph"/>
        <w:numPr>
          <w:ilvl w:val="0"/>
          <w:numId w:val="9"/>
        </w:numPr>
        <w:spacing w:before="100" w:beforeAutospacing="1" w:after="100" w:afterAutospacing="1" w:line="276" w:lineRule="auto"/>
        <w:jc w:val="both"/>
        <w:rPr>
          <w:rFonts w:asciiTheme="minorHAnsi" w:eastAsia="Times New Roman" w:hAnsiTheme="minorHAnsi" w:cstheme="minorHAnsi"/>
        </w:rPr>
      </w:pPr>
      <w:r>
        <w:rPr>
          <w:rFonts w:asciiTheme="minorHAnsi" w:eastAsia="Times New Roman" w:hAnsiTheme="minorHAnsi" w:cstheme="minorHAnsi"/>
        </w:rPr>
        <w:t>Amend Article 164 of the Electoral Code to eliminate the “list exhaustion” loophole and ensure that gender parity requirements are preserved throughout mandate replacement procedures;</w:t>
      </w:r>
    </w:p>
    <w:p w14:paraId="7EF77EB8" w14:textId="77777777" w:rsidR="001F3502" w:rsidRPr="001F3502" w:rsidRDefault="00671F51" w:rsidP="001F3502">
      <w:pPr>
        <w:pStyle w:val="ListParagraph"/>
        <w:numPr>
          <w:ilvl w:val="0"/>
          <w:numId w:val="9"/>
        </w:numPr>
        <w:spacing w:before="100" w:beforeAutospacing="1" w:after="100" w:afterAutospacing="1" w:line="276" w:lineRule="auto"/>
        <w:jc w:val="both"/>
        <w:rPr>
          <w:rFonts w:asciiTheme="minorHAnsi" w:eastAsia="Times New Roman" w:hAnsiTheme="minorHAnsi" w:cstheme="minorHAnsi"/>
        </w:rPr>
      </w:pPr>
      <w:r>
        <w:rPr>
          <w:rFonts w:asciiTheme="minorHAnsi" w:eastAsia="Times New Roman" w:hAnsiTheme="minorHAnsi" w:cstheme="minorHAnsi"/>
        </w:rPr>
        <w:t>Introduce targeted temporary special measures to increase the representation of rural women, women with disabilities, Roma and Egyptian women, and LBTI women in political and public life, in line with Articles 4 and 7 of the Convention and General Recommendations No. 25, No. 28, and No. 40;</w:t>
      </w:r>
    </w:p>
    <w:p w14:paraId="5B3A0836" w14:textId="77777777" w:rsidR="001F3502" w:rsidRPr="001F3502" w:rsidRDefault="00671F51" w:rsidP="001F3502">
      <w:pPr>
        <w:pStyle w:val="ListParagraph"/>
        <w:numPr>
          <w:ilvl w:val="0"/>
          <w:numId w:val="9"/>
        </w:numPr>
        <w:spacing w:before="100" w:beforeAutospacing="1" w:after="100" w:afterAutospacing="1" w:line="276" w:lineRule="auto"/>
        <w:jc w:val="both"/>
        <w:rPr>
          <w:rFonts w:asciiTheme="minorHAnsi" w:eastAsia="Times New Roman" w:hAnsiTheme="minorHAnsi" w:cstheme="minorHAnsi"/>
        </w:rPr>
      </w:pPr>
      <w:r>
        <w:rPr>
          <w:rFonts w:asciiTheme="minorHAnsi" w:eastAsia="Times New Roman" w:hAnsiTheme="minorHAnsi" w:cstheme="minorHAnsi"/>
        </w:rPr>
        <w:t>Require political parties and public institutions to collect and publish disaggregated data on participation and representation in decision-making structures, including by sex, disability, ethnicity, and, where safely and voluntarily disclosed, sexual orientation and gender identity;</w:t>
      </w:r>
    </w:p>
    <w:p w14:paraId="2CAF0F99" w14:textId="77777777" w:rsidR="001F3502" w:rsidRPr="001F3502" w:rsidRDefault="00671F51" w:rsidP="001F3502">
      <w:pPr>
        <w:pStyle w:val="ListParagraph"/>
        <w:numPr>
          <w:ilvl w:val="0"/>
          <w:numId w:val="9"/>
        </w:numPr>
        <w:spacing w:before="100" w:beforeAutospacing="1" w:after="100" w:afterAutospacing="1" w:line="276" w:lineRule="auto"/>
        <w:jc w:val="both"/>
        <w:rPr>
          <w:rFonts w:asciiTheme="minorHAnsi" w:eastAsia="Times New Roman" w:hAnsiTheme="minorHAnsi" w:cstheme="minorHAnsi"/>
        </w:rPr>
      </w:pPr>
      <w:r>
        <w:rPr>
          <w:rFonts w:asciiTheme="minorHAnsi" w:eastAsia="Times New Roman" w:hAnsiTheme="minorHAnsi" w:cstheme="minorHAnsi"/>
        </w:rPr>
        <w:lastRenderedPageBreak/>
        <w:t>Strengthen institutional responses to gender-based political violence, misogynistic hate speech, online harassment, and discriminatory rhetoric targeting women and LGBTI+ persons during electoral campaigns and public political debate;</w:t>
      </w:r>
    </w:p>
    <w:p w14:paraId="5C486C3F" w14:textId="6B2CB1D4" w:rsidR="00C80ACE" w:rsidRPr="001F3502" w:rsidRDefault="00671F51" w:rsidP="001F3502">
      <w:pPr>
        <w:pStyle w:val="ListParagraph"/>
        <w:numPr>
          <w:ilvl w:val="0"/>
          <w:numId w:val="9"/>
        </w:numPr>
        <w:spacing w:before="100" w:beforeAutospacing="1" w:after="100" w:afterAutospacing="1" w:line="276" w:lineRule="auto"/>
        <w:jc w:val="both"/>
        <w:rPr>
          <w:rFonts w:asciiTheme="minorHAnsi" w:eastAsia="Times New Roman" w:hAnsiTheme="minorHAnsi" w:cstheme="minorHAnsi"/>
        </w:rPr>
      </w:pPr>
      <w:r>
        <w:rPr>
          <w:rFonts w:asciiTheme="minorHAnsi" w:eastAsia="Times New Roman" w:hAnsiTheme="minorHAnsi" w:cstheme="minorHAnsi"/>
        </w:rPr>
        <w:t>Ensure effective oversight by the Central Election Commission and the Commissioner for Protection from Discrimination regarding compliance with gender parity obligations and discriminatory political practices.</w:t>
      </w:r>
    </w:p>
    <w:p w14:paraId="616D8F7E" w14:textId="77777777" w:rsidR="00C80ACE" w:rsidRPr="001F3502" w:rsidRDefault="00A87316" w:rsidP="001F3502">
      <w:pPr>
        <w:pStyle w:val="Heading1"/>
        <w:spacing w:line="276" w:lineRule="auto"/>
        <w:jc w:val="both"/>
        <w:rPr>
          <w:rFonts w:asciiTheme="minorHAnsi" w:hAnsiTheme="minorHAnsi" w:cstheme="minorHAnsi"/>
          <w:sz w:val="24"/>
          <w:szCs w:val="24"/>
        </w:rPr>
      </w:pPr>
      <w:r>
        <w:rPr>
          <w:rFonts w:asciiTheme="minorHAnsi" w:hAnsiTheme="minorHAnsi" w:cstheme="minorHAnsi"/>
          <w:sz w:val="24"/>
          <w:szCs w:val="24"/>
        </w:rPr>
        <w:t>Conclusions and Summary of Recommendations</w:t>
      </w:r>
    </w:p>
    <w:p w14:paraId="751B0B6C" w14:textId="7085D86C" w:rsidR="00671F51" w:rsidRPr="001F3502" w:rsidRDefault="00671F51" w:rsidP="001F3502">
      <w:pPr>
        <w:spacing w:before="100" w:beforeAutospacing="1" w:after="100" w:afterAutospacing="1" w:line="276" w:lineRule="auto"/>
        <w:jc w:val="both"/>
        <w:rPr>
          <w:rFonts w:asciiTheme="minorHAnsi" w:eastAsia="Times New Roman" w:hAnsiTheme="minorHAnsi" w:cstheme="minorHAnsi"/>
          <w:sz w:val="24"/>
          <w:szCs w:val="24"/>
        </w:rPr>
      </w:pPr>
      <w:r>
        <w:rPr>
          <w:rFonts w:asciiTheme="minorHAnsi" w:eastAsia="Times New Roman" w:hAnsiTheme="minorHAnsi" w:cstheme="minorHAnsi"/>
          <w:sz w:val="24"/>
          <w:szCs w:val="24"/>
        </w:rPr>
        <w:t xml:space="preserve">Albania has undertaken important legislative reforms, including the adoption of Law No. 64/2025 “On Gender Equality” </w:t>
      </w:r>
      <w:r>
        <w:rPr>
          <w:rFonts w:asciiTheme="minorHAnsi" w:hAnsiTheme="minorHAnsi" w:cstheme="minorHAnsi"/>
          <w:sz w:val="24"/>
          <w:szCs w:val="24"/>
        </w:rPr>
        <w:t xml:space="preserve">and the introduction of a consent-based definition of rape within the proposed draft Criminal Code. </w:t>
      </w:r>
      <w:r>
        <w:rPr>
          <w:rFonts w:asciiTheme="minorHAnsi" w:eastAsia="Times New Roman" w:hAnsiTheme="minorHAnsi" w:cstheme="minorHAnsi"/>
          <w:sz w:val="24"/>
          <w:szCs w:val="24"/>
        </w:rPr>
        <w:t xml:space="preserve">However, these developments have occurred alongside increasing anti-gender </w:t>
      </w:r>
      <w:proofErr w:type="spellStart"/>
      <w:r>
        <w:rPr>
          <w:rFonts w:asciiTheme="minorHAnsi" w:eastAsia="Times New Roman" w:hAnsiTheme="minorHAnsi" w:cstheme="minorHAnsi"/>
          <w:sz w:val="24"/>
          <w:szCs w:val="24"/>
        </w:rPr>
        <w:t>mobilisation</w:t>
      </w:r>
      <w:proofErr w:type="spellEnd"/>
      <w:r>
        <w:rPr>
          <w:rFonts w:asciiTheme="minorHAnsi" w:eastAsia="Times New Roman" w:hAnsiTheme="minorHAnsi" w:cstheme="minorHAnsi"/>
          <w:sz w:val="24"/>
          <w:szCs w:val="24"/>
        </w:rPr>
        <w:t xml:space="preserve">, discriminatory political rhetoric, attacks against civil society actors, and persistent barriers to substantive equality in practice. </w:t>
      </w:r>
    </w:p>
    <w:p w14:paraId="29922A3E" w14:textId="77777777" w:rsidR="00671F51" w:rsidRPr="001F3502" w:rsidRDefault="00671F51" w:rsidP="001F3502">
      <w:pPr>
        <w:spacing w:before="100" w:beforeAutospacing="1" w:after="100" w:afterAutospacing="1" w:line="276" w:lineRule="auto"/>
        <w:jc w:val="both"/>
        <w:rPr>
          <w:rFonts w:asciiTheme="minorHAnsi" w:eastAsia="Times New Roman" w:hAnsiTheme="minorHAnsi" w:cstheme="minorHAnsi"/>
          <w:sz w:val="24"/>
          <w:szCs w:val="24"/>
        </w:rPr>
      </w:pPr>
      <w:r>
        <w:rPr>
          <w:rFonts w:asciiTheme="minorHAnsi" w:eastAsia="Times New Roman" w:hAnsiTheme="minorHAnsi" w:cstheme="minorHAnsi"/>
          <w:sz w:val="24"/>
          <w:szCs w:val="24"/>
        </w:rPr>
        <w:t xml:space="preserve">The submitting </w:t>
      </w:r>
      <w:proofErr w:type="spellStart"/>
      <w:r>
        <w:rPr>
          <w:rFonts w:asciiTheme="minorHAnsi" w:eastAsia="Times New Roman" w:hAnsiTheme="minorHAnsi" w:cstheme="minorHAnsi"/>
          <w:sz w:val="24"/>
          <w:szCs w:val="24"/>
        </w:rPr>
        <w:t>organisations</w:t>
      </w:r>
      <w:proofErr w:type="spellEnd"/>
      <w:r>
        <w:rPr>
          <w:rFonts w:asciiTheme="minorHAnsi" w:eastAsia="Times New Roman" w:hAnsiTheme="minorHAnsi" w:cstheme="minorHAnsi"/>
          <w:sz w:val="24"/>
          <w:szCs w:val="24"/>
        </w:rPr>
        <w:t xml:space="preserve"> respectfully urge the Committee to:</w:t>
      </w:r>
    </w:p>
    <w:p w14:paraId="676B57AD" w14:textId="77777777" w:rsidR="00671F51" w:rsidRPr="001F3502" w:rsidRDefault="00671F51" w:rsidP="001F3502">
      <w:pPr>
        <w:numPr>
          <w:ilvl w:val="0"/>
          <w:numId w:val="6"/>
        </w:numPr>
        <w:spacing w:before="100" w:beforeAutospacing="1" w:after="100" w:afterAutospacing="1" w:line="276" w:lineRule="auto"/>
        <w:jc w:val="both"/>
        <w:rPr>
          <w:rFonts w:asciiTheme="minorHAnsi" w:eastAsia="Times New Roman" w:hAnsiTheme="minorHAnsi" w:cstheme="minorHAnsi"/>
          <w:sz w:val="24"/>
          <w:szCs w:val="24"/>
        </w:rPr>
      </w:pPr>
      <w:r>
        <w:rPr>
          <w:rFonts w:asciiTheme="minorHAnsi" w:eastAsia="Times New Roman" w:hAnsiTheme="minorHAnsi" w:cstheme="minorHAnsi"/>
          <w:sz w:val="24"/>
          <w:szCs w:val="24"/>
        </w:rPr>
        <w:t xml:space="preserve">Call on Albania to ensure the effective implementation of Law No. 64/2025 and prevent any constitutional or referendum-based rollback of rights protections; </w:t>
      </w:r>
    </w:p>
    <w:p w14:paraId="1C0F68CF" w14:textId="77777777" w:rsidR="00671F51" w:rsidRPr="001F3502" w:rsidRDefault="00671F51" w:rsidP="001F3502">
      <w:pPr>
        <w:numPr>
          <w:ilvl w:val="0"/>
          <w:numId w:val="6"/>
        </w:numPr>
        <w:spacing w:before="100" w:beforeAutospacing="1" w:after="100" w:afterAutospacing="1" w:line="276" w:lineRule="auto"/>
        <w:jc w:val="both"/>
        <w:rPr>
          <w:rFonts w:asciiTheme="minorHAnsi" w:eastAsia="Times New Roman" w:hAnsiTheme="minorHAnsi" w:cstheme="minorHAnsi"/>
          <w:sz w:val="24"/>
          <w:szCs w:val="24"/>
        </w:rPr>
      </w:pPr>
      <w:r>
        <w:rPr>
          <w:rFonts w:asciiTheme="minorHAnsi" w:eastAsia="Times New Roman" w:hAnsiTheme="minorHAnsi" w:cstheme="minorHAnsi"/>
          <w:sz w:val="24"/>
          <w:szCs w:val="24"/>
        </w:rPr>
        <w:t xml:space="preserve">Urge Albania to align the proposed Criminal Code with international standards on consent-based sexual violence and trauma-informed interpretation; </w:t>
      </w:r>
    </w:p>
    <w:p w14:paraId="16348254" w14:textId="77777777" w:rsidR="00671F51" w:rsidRPr="001F3502" w:rsidRDefault="00671F51" w:rsidP="001F3502">
      <w:pPr>
        <w:numPr>
          <w:ilvl w:val="0"/>
          <w:numId w:val="6"/>
        </w:numPr>
        <w:spacing w:before="100" w:beforeAutospacing="1" w:after="100" w:afterAutospacing="1" w:line="276" w:lineRule="auto"/>
        <w:jc w:val="both"/>
        <w:rPr>
          <w:rFonts w:asciiTheme="minorHAnsi" w:eastAsia="Times New Roman" w:hAnsiTheme="minorHAnsi" w:cstheme="minorHAnsi"/>
          <w:sz w:val="24"/>
          <w:szCs w:val="24"/>
        </w:rPr>
      </w:pPr>
      <w:r>
        <w:rPr>
          <w:rFonts w:asciiTheme="minorHAnsi" w:eastAsia="Times New Roman" w:hAnsiTheme="minorHAnsi" w:cstheme="minorHAnsi"/>
          <w:sz w:val="24"/>
          <w:szCs w:val="24"/>
        </w:rPr>
        <w:t xml:space="preserve">Recommend stronger temporary special measures and electoral safeguards to ensure inclusive representation of women facing intersecting forms of discrimination; </w:t>
      </w:r>
    </w:p>
    <w:p w14:paraId="77787BAC" w14:textId="77777777" w:rsidR="00671F51" w:rsidRPr="001F3502" w:rsidRDefault="00671F51" w:rsidP="001F3502">
      <w:pPr>
        <w:numPr>
          <w:ilvl w:val="0"/>
          <w:numId w:val="6"/>
        </w:numPr>
        <w:spacing w:before="100" w:beforeAutospacing="1" w:after="100" w:afterAutospacing="1" w:line="276" w:lineRule="auto"/>
        <w:jc w:val="both"/>
        <w:rPr>
          <w:rFonts w:asciiTheme="minorHAnsi" w:eastAsia="Times New Roman" w:hAnsiTheme="minorHAnsi" w:cstheme="minorHAnsi"/>
          <w:sz w:val="24"/>
          <w:szCs w:val="24"/>
        </w:rPr>
      </w:pPr>
      <w:r>
        <w:rPr>
          <w:rFonts w:asciiTheme="minorHAnsi" w:eastAsia="Times New Roman" w:hAnsiTheme="minorHAnsi" w:cstheme="minorHAnsi"/>
          <w:sz w:val="24"/>
          <w:szCs w:val="24"/>
        </w:rPr>
        <w:t xml:space="preserve">Express concern regarding misogynistic, anti-gender, and anti-LGBTI rhetoric and attacks targeting women’s rights and LGBTI defenders; </w:t>
      </w:r>
    </w:p>
    <w:p w14:paraId="642D674C" w14:textId="77777777" w:rsidR="00671F51" w:rsidRPr="001F3502" w:rsidRDefault="00671F51" w:rsidP="001F3502">
      <w:pPr>
        <w:numPr>
          <w:ilvl w:val="0"/>
          <w:numId w:val="6"/>
        </w:numPr>
        <w:spacing w:before="100" w:beforeAutospacing="1" w:after="100" w:afterAutospacing="1" w:line="276" w:lineRule="auto"/>
        <w:jc w:val="both"/>
        <w:rPr>
          <w:rFonts w:asciiTheme="minorHAnsi" w:eastAsia="Times New Roman" w:hAnsiTheme="minorHAnsi" w:cstheme="minorHAnsi"/>
          <w:sz w:val="24"/>
          <w:szCs w:val="24"/>
        </w:rPr>
      </w:pPr>
      <w:r>
        <w:rPr>
          <w:rFonts w:asciiTheme="minorHAnsi" w:eastAsia="Times New Roman" w:hAnsiTheme="minorHAnsi" w:cstheme="minorHAnsi"/>
          <w:sz w:val="24"/>
          <w:szCs w:val="24"/>
        </w:rPr>
        <w:t xml:space="preserve">Encourage systematic collection of disaggregated equality data and meaningful civil society participation in monitoring gender equality reforms. </w:t>
      </w:r>
    </w:p>
    <w:p w14:paraId="177AE482" w14:textId="2FE441D5" w:rsidR="00C80ACE" w:rsidRPr="001F3502" w:rsidRDefault="00671F51" w:rsidP="001F3502">
      <w:pPr>
        <w:spacing w:before="100" w:beforeAutospacing="1" w:after="100" w:afterAutospacing="1" w:line="276" w:lineRule="auto"/>
        <w:jc w:val="both"/>
        <w:rPr>
          <w:rFonts w:asciiTheme="minorHAnsi" w:eastAsia="Times New Roman" w:hAnsiTheme="minorHAnsi" w:cstheme="minorHAnsi"/>
          <w:sz w:val="24"/>
          <w:szCs w:val="24"/>
        </w:rPr>
      </w:pPr>
      <w:r>
        <w:rPr>
          <w:rFonts w:asciiTheme="minorHAnsi" w:eastAsia="Times New Roman" w:hAnsiTheme="minorHAnsi" w:cstheme="minorHAnsi"/>
          <w:sz w:val="24"/>
          <w:szCs w:val="24"/>
        </w:rPr>
        <w:t xml:space="preserve">The submitting </w:t>
      </w:r>
      <w:proofErr w:type="spellStart"/>
      <w:r>
        <w:rPr>
          <w:rFonts w:asciiTheme="minorHAnsi" w:eastAsia="Times New Roman" w:hAnsiTheme="minorHAnsi" w:cstheme="minorHAnsi"/>
          <w:sz w:val="24"/>
          <w:szCs w:val="24"/>
        </w:rPr>
        <w:t>organisations</w:t>
      </w:r>
      <w:proofErr w:type="spellEnd"/>
      <w:r>
        <w:rPr>
          <w:rFonts w:asciiTheme="minorHAnsi" w:eastAsia="Times New Roman" w:hAnsiTheme="minorHAnsi" w:cstheme="minorHAnsi"/>
          <w:sz w:val="24"/>
          <w:szCs w:val="24"/>
        </w:rPr>
        <w:t xml:space="preserve"> further encourage the Committee to maintain enhanced follow-up monitoring on</w:t>
      </w:r>
      <w:r w:rsidR="00C14852">
        <w:rPr>
          <w:rFonts w:asciiTheme="minorHAnsi" w:eastAsia="Times New Roman" w:hAnsiTheme="minorHAnsi" w:cstheme="minorHAnsi"/>
          <w:sz w:val="24"/>
          <w:szCs w:val="24"/>
        </w:rPr>
        <w:t xml:space="preserve"> the</w:t>
      </w:r>
      <w:r>
        <w:rPr>
          <w:rFonts w:asciiTheme="minorHAnsi" w:eastAsia="Times New Roman" w:hAnsiTheme="minorHAnsi" w:cstheme="minorHAnsi"/>
          <w:sz w:val="24"/>
          <w:szCs w:val="24"/>
        </w:rPr>
        <w:t xml:space="preserve"> implementation of Law No. 64/2025, </w:t>
      </w:r>
      <w:r w:rsidR="00C14852">
        <w:rPr>
          <w:rFonts w:asciiTheme="minorHAnsi" w:eastAsia="Times New Roman" w:hAnsiTheme="minorHAnsi" w:cstheme="minorHAnsi"/>
          <w:sz w:val="24"/>
          <w:szCs w:val="24"/>
        </w:rPr>
        <w:t xml:space="preserve">the </w:t>
      </w:r>
      <w:r>
        <w:rPr>
          <w:rFonts w:asciiTheme="minorHAnsi" w:eastAsia="Times New Roman" w:hAnsiTheme="minorHAnsi" w:cstheme="minorHAnsi"/>
          <w:sz w:val="24"/>
          <w:szCs w:val="24"/>
        </w:rPr>
        <w:t>protection of wom</w:t>
      </w:r>
      <w:r w:rsidR="00C14852">
        <w:rPr>
          <w:rFonts w:asciiTheme="minorHAnsi" w:eastAsia="Times New Roman" w:hAnsiTheme="minorHAnsi" w:cstheme="minorHAnsi"/>
          <w:sz w:val="24"/>
          <w:szCs w:val="24"/>
        </w:rPr>
        <w:t>e</w:t>
      </w:r>
      <w:r>
        <w:rPr>
          <w:rFonts w:asciiTheme="minorHAnsi" w:eastAsia="Times New Roman" w:hAnsiTheme="minorHAnsi" w:cstheme="minorHAnsi"/>
          <w:sz w:val="24"/>
          <w:szCs w:val="24"/>
        </w:rPr>
        <w:t>n human rights defenders, safeguards against regression of equality protections, and consent-based sexual violence standards.</w:t>
      </w:r>
    </w:p>
    <w:sectPr w:rsidR="00C80ACE" w:rsidRPr="001F3502">
      <w:headerReference w:type="default" r:id="rId9"/>
      <w:footerReference w:type="default" r:id="rId10"/>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50C69F" w14:textId="77777777" w:rsidR="00F26C1A" w:rsidRDefault="00F26C1A">
      <w:r>
        <w:separator/>
      </w:r>
    </w:p>
  </w:endnote>
  <w:endnote w:type="continuationSeparator" w:id="0">
    <w:p w14:paraId="54AC1BFE" w14:textId="77777777" w:rsidR="00F26C1A" w:rsidRDefault="00F26C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EC11AF" w14:textId="0C993FD6" w:rsidR="00BE715D" w:rsidRDefault="00F42F0A">
    <w:pPr>
      <w:pBdr>
        <w:top w:val="single" w:sz="4" w:space="1" w:color="DDDDDD"/>
      </w:pBdr>
      <w:tabs>
        <w:tab w:val="right" w:pos="9026"/>
      </w:tabs>
    </w:pPr>
    <w:r>
      <w:rPr>
        <w:color w:val="AAAAAA"/>
        <w:sz w:val="16"/>
        <w:szCs w:val="16"/>
      </w:rPr>
      <w:t xml:space="preserve">GADC </w:t>
    </w:r>
    <w:r w:rsidR="0075044F">
      <w:rPr>
        <w:color w:val="AAAAAA"/>
        <w:sz w:val="16"/>
        <w:szCs w:val="16"/>
      </w:rPr>
      <w:t>|</w:t>
    </w:r>
    <w:r>
      <w:rPr>
        <w:color w:val="AAAAAA"/>
        <w:sz w:val="16"/>
        <w:szCs w:val="16"/>
      </w:rPr>
      <w:t xml:space="preserve"> AWEN </w:t>
    </w:r>
    <w:r w:rsidR="0075044F">
      <w:rPr>
        <w:color w:val="AAAAAA"/>
        <w:sz w:val="16"/>
        <w:szCs w:val="16"/>
      </w:rPr>
      <w:t>|</w:t>
    </w:r>
    <w:r>
      <w:rPr>
        <w:color w:val="AAAAAA"/>
        <w:sz w:val="16"/>
        <w:szCs w:val="16"/>
      </w:rPr>
      <w:t xml:space="preserve"> </w:t>
    </w:r>
    <w:proofErr w:type="spellStart"/>
    <w:r>
      <w:rPr>
        <w:color w:val="AAAAAA"/>
        <w:sz w:val="16"/>
        <w:szCs w:val="16"/>
      </w:rPr>
      <w:t>Aleanca</w:t>
    </w:r>
    <w:proofErr w:type="spellEnd"/>
    <w:r>
      <w:rPr>
        <w:color w:val="AAAAAA"/>
        <w:sz w:val="16"/>
        <w:szCs w:val="16"/>
      </w:rPr>
      <w:t xml:space="preserve"> LGBTI</w:t>
    </w:r>
    <w:r>
      <w:rPr>
        <w:color w:val="AAAAAA"/>
        <w:sz w:val="16"/>
        <w:szCs w:val="16"/>
      </w:rPr>
      <w:tab/>
    </w:r>
    <w:r>
      <w:rPr>
        <w:color w:val="2E5C8A"/>
        <w:sz w:val="16"/>
        <w:szCs w:val="16"/>
      </w:rPr>
      <w:fldChar w:fldCharType="begin"/>
    </w:r>
    <w:r>
      <w:rPr>
        <w:color w:val="2E5C8A"/>
        <w:sz w:val="16"/>
        <w:szCs w:val="16"/>
      </w:rPr>
      <w:instrText xml:space="preserve"> PAGE </w:instrText>
    </w:r>
    <w:r>
      <w:rPr>
        <w:color w:val="2E5C8A"/>
        <w:sz w:val="16"/>
        <w:szCs w:val="16"/>
      </w:rPr>
      <w:fldChar w:fldCharType="separate"/>
    </w:r>
    <w:r w:rsidR="00AD060F">
      <w:rPr>
        <w:noProof/>
        <w:color w:val="2E5C8A"/>
        <w:sz w:val="16"/>
        <w:szCs w:val="16"/>
      </w:rPr>
      <w:t>1</w:t>
    </w:r>
    <w:r>
      <w:rPr>
        <w:color w:val="2E5C8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1ABA30" w14:textId="77777777" w:rsidR="00F26C1A" w:rsidRDefault="00F26C1A">
      <w:r>
        <w:separator/>
      </w:r>
    </w:p>
  </w:footnote>
  <w:footnote w:type="continuationSeparator" w:id="0">
    <w:p w14:paraId="62579B9F" w14:textId="77777777" w:rsidR="00F26C1A" w:rsidRDefault="00F26C1A">
      <w:r>
        <w:continuationSeparator/>
      </w:r>
    </w:p>
  </w:footnote>
  <w:footnote w:id="1">
    <w:p w14:paraId="3D911352" w14:textId="77777777" w:rsidR="009D601D" w:rsidRPr="00EC12B1" w:rsidRDefault="009D601D" w:rsidP="00EC12B1">
      <w:pPr>
        <w:spacing w:line="240" w:lineRule="auto"/>
        <w:jc w:val="both"/>
        <w:rPr>
          <w:rFonts w:asciiTheme="minorHAnsi" w:hAnsiTheme="minorHAnsi" w:cstheme="minorHAnsi"/>
        </w:rPr>
      </w:pPr>
      <w:r w:rsidRPr="00EC12B1">
        <w:rPr>
          <w:rStyle w:val="FootnoteReference"/>
          <w:rFonts w:asciiTheme="minorHAnsi" w:hAnsiTheme="minorHAnsi" w:cstheme="minorHAnsi"/>
        </w:rPr>
        <w:footnoteRef/>
      </w:r>
      <w:r w:rsidRPr="00EC12B1">
        <w:rPr>
          <w:rFonts w:asciiTheme="minorHAnsi" w:hAnsiTheme="minorHAnsi" w:cstheme="minorHAnsi"/>
        </w:rPr>
        <w:t>CEDAW Committee, Concluding Observations on the Fifth Periodic Report of Albania, UN Doc CEDAW/C/ALB/CO/5 (14 November 2023), para. 12(a).</w:t>
      </w:r>
    </w:p>
  </w:footnote>
  <w:footnote w:id="2">
    <w:p w14:paraId="46BF213F" w14:textId="185D7EA5" w:rsidR="00C240E3" w:rsidRPr="00EC12B1" w:rsidRDefault="00D21DEB" w:rsidP="00EC12B1">
      <w:pPr>
        <w:pStyle w:val="FootnoteText"/>
        <w:jc w:val="both"/>
        <w:rPr>
          <w:rFonts w:asciiTheme="minorHAnsi" w:hAnsiTheme="minorHAnsi" w:cstheme="minorHAnsi"/>
        </w:rPr>
      </w:pPr>
      <w:r w:rsidRPr="00EC12B1">
        <w:rPr>
          <w:rStyle w:val="FootnoteReference"/>
          <w:rFonts w:asciiTheme="minorHAnsi" w:hAnsiTheme="minorHAnsi" w:cstheme="minorHAnsi"/>
        </w:rPr>
        <w:footnoteRef/>
      </w:r>
      <w:r w:rsidRPr="00EC12B1">
        <w:rPr>
          <w:rFonts w:asciiTheme="minorHAnsi" w:hAnsiTheme="minorHAnsi" w:cstheme="minorHAnsi"/>
        </w:rPr>
        <w:t>Dorentina Hysa, Monitoring Report on Hate Speech in Albania 2025 (Albanian Women in Audiovisual / Media Diversity Institute Western Balkans, 2025).</w:t>
      </w:r>
    </w:p>
  </w:footnote>
  <w:footnote w:id="3">
    <w:p w14:paraId="6B631C7D" w14:textId="77777777" w:rsidR="00061207" w:rsidRDefault="00061207" w:rsidP="00061207">
      <w:pPr>
        <w:spacing w:line="240" w:lineRule="auto"/>
        <w:jc w:val="both"/>
      </w:pPr>
      <w:r>
        <w:rPr>
          <w:rStyle w:val="FootnoteReference"/>
        </w:rPr>
        <w:footnoteRef/>
      </w:r>
      <w:proofErr w:type="spellStart"/>
      <w:r>
        <w:t>Letër</w:t>
      </w:r>
      <w:proofErr w:type="spellEnd"/>
      <w:r>
        <w:t xml:space="preserve"> </w:t>
      </w:r>
      <w:proofErr w:type="spellStart"/>
      <w:r>
        <w:t>Informuese</w:t>
      </w:r>
      <w:proofErr w:type="spellEnd"/>
      <w:r>
        <w:t xml:space="preserve"> </w:t>
      </w:r>
      <w:proofErr w:type="spellStart"/>
      <w:r>
        <w:t>për</w:t>
      </w:r>
      <w:proofErr w:type="spellEnd"/>
      <w:r>
        <w:t xml:space="preserve"> </w:t>
      </w:r>
      <w:proofErr w:type="spellStart"/>
      <w:r>
        <w:t>Anëtarët</w:t>
      </w:r>
      <w:proofErr w:type="spellEnd"/>
      <w:r>
        <w:t xml:space="preserve"> e </w:t>
      </w:r>
      <w:proofErr w:type="spellStart"/>
      <w:r>
        <w:t>Kuvendit</w:t>
      </w:r>
      <w:proofErr w:type="spellEnd"/>
      <w:r>
        <w:t xml:space="preserve"> </w:t>
      </w:r>
      <w:proofErr w:type="spellStart"/>
      <w:r>
        <w:t>të</w:t>
      </w:r>
      <w:proofErr w:type="spellEnd"/>
      <w:r>
        <w:t xml:space="preserve"> </w:t>
      </w:r>
      <w:proofErr w:type="spellStart"/>
      <w:r>
        <w:t>Shqipërisë</w:t>
      </w:r>
      <w:proofErr w:type="spellEnd"/>
      <w:r>
        <w:t xml:space="preserve"> </w:t>
      </w:r>
      <w:proofErr w:type="spellStart"/>
      <w:r>
        <w:t>lidhur</w:t>
      </w:r>
      <w:proofErr w:type="spellEnd"/>
      <w:r>
        <w:t xml:space="preserve"> me </w:t>
      </w:r>
      <w:proofErr w:type="spellStart"/>
      <w:r>
        <w:t>Projektligjin</w:t>
      </w:r>
      <w:proofErr w:type="spellEnd"/>
      <w:r>
        <w:t xml:space="preserve"> </w:t>
      </w:r>
      <w:proofErr w:type="spellStart"/>
      <w:r>
        <w:t>për</w:t>
      </w:r>
      <w:proofErr w:type="spellEnd"/>
      <w:r>
        <w:t xml:space="preserve"> </w:t>
      </w:r>
      <w:proofErr w:type="spellStart"/>
      <w:r>
        <w:t>Barazinë</w:t>
      </w:r>
      <w:proofErr w:type="spellEnd"/>
      <w:r>
        <w:t xml:space="preserve"> </w:t>
      </w:r>
      <w:proofErr w:type="spellStart"/>
      <w:r>
        <w:t>Gjinore</w:t>
      </w:r>
      <w:proofErr w:type="spellEnd"/>
      <w:r>
        <w:t>, GADC, AWEN, (2025).</w:t>
      </w:r>
    </w:p>
  </w:footnote>
  <w:footnote w:id="4">
    <w:p w14:paraId="23E6EE09" w14:textId="77777777" w:rsidR="00061207" w:rsidRDefault="00061207" w:rsidP="00061207">
      <w:pPr>
        <w:spacing w:line="240" w:lineRule="auto"/>
        <w:jc w:val="both"/>
      </w:pPr>
      <w:r>
        <w:rPr>
          <w:rStyle w:val="FootnoteReference"/>
        </w:rPr>
        <w:footnoteRef/>
      </w:r>
      <w:r>
        <w:t>Ibid. The letter specifically opposed proposed amendments to delete all references to “gender stereotypes” and to remove the concept of multiple belonging (intersectionality) from the draft law.</w:t>
      </w:r>
    </w:p>
  </w:footnote>
  <w:footnote w:id="5">
    <w:p w14:paraId="39198016" w14:textId="6C77C7BC" w:rsidR="00C50BFC" w:rsidRPr="00EC12B1" w:rsidRDefault="00C50BFC" w:rsidP="00EC12B1">
      <w:pPr>
        <w:pStyle w:val="FootnoteText"/>
        <w:jc w:val="both"/>
        <w:rPr>
          <w:rFonts w:asciiTheme="minorHAnsi" w:hAnsiTheme="minorHAnsi" w:cstheme="minorHAnsi"/>
        </w:rPr>
      </w:pPr>
      <w:r w:rsidRPr="00EC12B1">
        <w:rPr>
          <w:rStyle w:val="FootnoteReference"/>
          <w:rFonts w:asciiTheme="minorHAnsi" w:hAnsiTheme="minorHAnsi" w:cstheme="minorHAnsi"/>
        </w:rPr>
        <w:footnoteRef/>
      </w:r>
      <w:r w:rsidRPr="00EC12B1">
        <w:rPr>
          <w:rFonts w:asciiTheme="minorHAnsi" w:hAnsiTheme="minorHAnsi" w:cstheme="minorHAnsi"/>
        </w:rPr>
        <w:t xml:space="preserve"> </w:t>
      </w:r>
      <w:r w:rsidR="00EC12B1" w:rsidRPr="00EC12B1">
        <w:rPr>
          <w:rFonts w:asciiTheme="minorHAnsi" w:hAnsiTheme="minorHAnsi" w:cstheme="minorHAnsi"/>
        </w:rPr>
        <w:t xml:space="preserve">European Commission, </w:t>
      </w:r>
      <w:r w:rsidR="00EC12B1" w:rsidRPr="00EC12B1">
        <w:rPr>
          <w:rStyle w:val="Emphasis"/>
          <w:rFonts w:asciiTheme="minorHAnsi" w:hAnsiTheme="minorHAnsi" w:cstheme="minorHAnsi"/>
        </w:rPr>
        <w:t>Albania Report 2025</w:t>
      </w:r>
      <w:r w:rsidR="00EC12B1" w:rsidRPr="00EC12B1">
        <w:rPr>
          <w:rFonts w:asciiTheme="minorHAnsi" w:hAnsiTheme="minorHAnsi" w:cstheme="minorHAnsi"/>
        </w:rPr>
        <w:t>, Commission Staff Working Document, accompanying the Communication from the Commission to the European Parliament, the Council, the European Economic and Social Committee and the Committee of the Regions, Brussels, 2025.</w:t>
      </w:r>
    </w:p>
  </w:footnote>
  <w:footnote w:id="6">
    <w:p w14:paraId="4F6B4B20" w14:textId="03DCA498" w:rsidR="00EC12B1" w:rsidRPr="00EC12B1" w:rsidRDefault="00EC12B1" w:rsidP="00EC12B1">
      <w:pPr>
        <w:pStyle w:val="FootnoteText"/>
        <w:jc w:val="both"/>
        <w:rPr>
          <w:rFonts w:asciiTheme="minorHAnsi" w:hAnsiTheme="minorHAnsi" w:cstheme="minorHAnsi"/>
        </w:rPr>
      </w:pPr>
      <w:r w:rsidRPr="00EC12B1">
        <w:rPr>
          <w:rStyle w:val="FootnoteReference"/>
          <w:rFonts w:asciiTheme="minorHAnsi" w:hAnsiTheme="minorHAnsi" w:cstheme="minorHAnsi"/>
        </w:rPr>
        <w:footnoteRef/>
      </w:r>
      <w:r w:rsidRPr="00EC12B1">
        <w:rPr>
          <w:rFonts w:asciiTheme="minorHAnsi" w:hAnsiTheme="minorHAnsi" w:cstheme="minorHAnsi"/>
        </w:rPr>
        <w:t xml:space="preserve"> OSCE/ODIHR, (PACE), and European Parliament, </w:t>
      </w:r>
      <w:r w:rsidRPr="00EC12B1">
        <w:rPr>
          <w:rStyle w:val="Emphasis"/>
          <w:rFonts w:asciiTheme="minorHAnsi" w:hAnsiTheme="minorHAnsi" w:cstheme="minorHAnsi"/>
        </w:rPr>
        <w:t>International Election Observation Mission: Albania: Parliamentary Elections, 11 May 2025</w:t>
      </w:r>
      <w:r w:rsidRPr="00EC12B1">
        <w:rPr>
          <w:rFonts w:asciiTheme="minorHAnsi" w:hAnsiTheme="minorHAnsi" w:cstheme="minorHAnsi"/>
        </w:rPr>
        <w:t>, Warsaw/Strasbourg/Brussels, 2025.</w:t>
      </w:r>
    </w:p>
  </w:footnote>
  <w:footnote w:id="7">
    <w:p w14:paraId="22317464" w14:textId="77777777" w:rsidR="009D601D" w:rsidRPr="00EC12B1" w:rsidRDefault="009D601D" w:rsidP="00EC12B1">
      <w:pPr>
        <w:spacing w:line="240" w:lineRule="auto"/>
        <w:jc w:val="both"/>
        <w:rPr>
          <w:rFonts w:asciiTheme="minorHAnsi" w:hAnsiTheme="minorHAnsi" w:cstheme="minorHAnsi"/>
        </w:rPr>
      </w:pPr>
      <w:r w:rsidRPr="00EC12B1">
        <w:rPr>
          <w:rStyle w:val="FootnoteReference"/>
          <w:rFonts w:asciiTheme="minorHAnsi" w:hAnsiTheme="minorHAnsi" w:cstheme="minorHAnsi"/>
        </w:rPr>
        <w:footnoteRef/>
      </w:r>
      <w:r w:rsidRPr="00EC12B1">
        <w:rPr>
          <w:rFonts w:asciiTheme="minorHAnsi" w:hAnsiTheme="minorHAnsi" w:cstheme="minorHAnsi"/>
        </w:rPr>
        <w:t>CEDAW Committee, Concluding Observations on the Fifth Periodic Report of Albania, UN Doc CEDAW/C/ALB/CO/5 (14 November 2023), para. 24(b).</w:t>
      </w:r>
    </w:p>
  </w:footnote>
  <w:footnote w:id="8">
    <w:p w14:paraId="3B5F85BA" w14:textId="57CBB3F0" w:rsidR="00C80ACE" w:rsidRPr="00EC12B1" w:rsidRDefault="00A87316" w:rsidP="00EC12B1">
      <w:pPr>
        <w:spacing w:line="240" w:lineRule="auto"/>
        <w:jc w:val="both"/>
        <w:rPr>
          <w:rFonts w:asciiTheme="minorHAnsi" w:hAnsiTheme="minorHAnsi" w:cstheme="minorHAnsi"/>
        </w:rPr>
      </w:pPr>
      <w:r w:rsidRPr="00EC12B1">
        <w:rPr>
          <w:rStyle w:val="FootnoteReference"/>
          <w:rFonts w:asciiTheme="minorHAnsi" w:hAnsiTheme="minorHAnsi" w:cstheme="minorHAnsi"/>
        </w:rPr>
        <w:footnoteRef/>
      </w:r>
      <w:r w:rsidRPr="00EC12B1">
        <w:rPr>
          <w:rFonts w:asciiTheme="minorHAnsi" w:hAnsiTheme="minorHAnsi" w:cstheme="minorHAnsi"/>
        </w:rPr>
        <w:t>CEDAW General Recommendation No. 35 on gender-based violence against women, updating General Recommendation No. 19 (2017), paras. 28</w:t>
      </w:r>
      <w:r w:rsidR="00840E59" w:rsidRPr="00EC12B1">
        <w:rPr>
          <w:rFonts w:asciiTheme="minorHAnsi" w:hAnsiTheme="minorHAnsi" w:cstheme="minorHAnsi"/>
        </w:rPr>
        <w:t>-</w:t>
      </w:r>
      <w:r w:rsidRPr="00EC12B1">
        <w:rPr>
          <w:rFonts w:asciiTheme="minorHAnsi" w:hAnsiTheme="minorHAnsi" w:cstheme="minorHAnsi"/>
        </w:rPr>
        <w:t>29.</w:t>
      </w:r>
    </w:p>
  </w:footnote>
  <w:footnote w:id="9">
    <w:p w14:paraId="5A99FE6B" w14:textId="1C94EF31" w:rsidR="00C80ACE" w:rsidRPr="00EC12B1" w:rsidRDefault="00A87316" w:rsidP="00EC12B1">
      <w:pPr>
        <w:spacing w:line="240" w:lineRule="auto"/>
        <w:jc w:val="both"/>
        <w:rPr>
          <w:rFonts w:asciiTheme="minorHAnsi" w:hAnsiTheme="minorHAnsi" w:cstheme="minorHAnsi"/>
        </w:rPr>
      </w:pPr>
      <w:r w:rsidRPr="00EC12B1">
        <w:rPr>
          <w:rStyle w:val="FootnoteReference"/>
          <w:rFonts w:asciiTheme="minorHAnsi" w:hAnsiTheme="minorHAnsi" w:cstheme="minorHAnsi"/>
        </w:rPr>
        <w:footnoteRef/>
      </w:r>
      <w:r w:rsidRPr="00EC12B1">
        <w:rPr>
          <w:rFonts w:asciiTheme="minorHAnsi" w:hAnsiTheme="minorHAnsi" w:cstheme="minorHAnsi"/>
        </w:rPr>
        <w:t>Ibid., para. 29(</w:t>
      </w:r>
      <w:r w:rsidR="00366646" w:rsidRPr="00EC12B1">
        <w:rPr>
          <w:rFonts w:asciiTheme="minorHAnsi" w:hAnsiTheme="minorHAnsi" w:cstheme="minorHAnsi"/>
        </w:rPr>
        <w:t>e</w:t>
      </w:r>
      <w:r w:rsidRPr="00EC12B1">
        <w:rPr>
          <w:rFonts w:asciiTheme="minorHAnsi" w:hAnsiTheme="minorHAnsi" w:cstheme="minorHAnsi"/>
        </w:rPr>
        <w:t xml:space="preserve">): States parties should </w:t>
      </w:r>
      <w:proofErr w:type="gramStart"/>
      <w:r w:rsidRPr="00EC12B1">
        <w:rPr>
          <w:rFonts w:asciiTheme="minorHAnsi" w:hAnsiTheme="minorHAnsi" w:cstheme="minorHAnsi"/>
        </w:rPr>
        <w:t>“</w:t>
      </w:r>
      <w:r w:rsidR="00366646" w:rsidRPr="00EC12B1">
        <w:rPr>
          <w:rFonts w:asciiTheme="minorHAnsi" w:hAnsiTheme="minorHAnsi" w:cstheme="minorHAnsi"/>
        </w:rPr>
        <w:t>..</w:t>
      </w:r>
      <w:proofErr w:type="gramEnd"/>
      <w:r w:rsidRPr="00EC12B1">
        <w:rPr>
          <w:rFonts w:asciiTheme="minorHAnsi" w:hAnsiTheme="minorHAnsi" w:cstheme="minorHAnsi"/>
        </w:rPr>
        <w:t>ensure</w:t>
      </w:r>
      <w:r w:rsidR="00366646" w:rsidRPr="00EC12B1">
        <w:rPr>
          <w:rFonts w:asciiTheme="minorHAnsi" w:hAnsiTheme="minorHAnsi" w:cstheme="minorHAnsi"/>
        </w:rPr>
        <w:t>..</w:t>
      </w:r>
      <w:r w:rsidRPr="00EC12B1">
        <w:rPr>
          <w:rFonts w:asciiTheme="minorHAnsi" w:hAnsiTheme="minorHAnsi" w:cstheme="minorHAnsi"/>
        </w:rPr>
        <w:t xml:space="preserve"> that</w:t>
      </w:r>
      <w:r w:rsidR="00366646" w:rsidRPr="00EC12B1">
        <w:rPr>
          <w:rFonts w:asciiTheme="minorHAnsi" w:hAnsiTheme="minorHAnsi" w:cstheme="minorHAnsi"/>
        </w:rPr>
        <w:t xml:space="preserve"> the</w:t>
      </w:r>
      <w:r w:rsidRPr="00EC12B1">
        <w:rPr>
          <w:rFonts w:asciiTheme="minorHAnsi" w:hAnsiTheme="minorHAnsi" w:cstheme="minorHAnsi"/>
        </w:rPr>
        <w:t xml:space="preserve"> definition of sexual</w:t>
      </w:r>
      <w:r w:rsidR="00366646" w:rsidRPr="00EC12B1">
        <w:rPr>
          <w:rFonts w:asciiTheme="minorHAnsi" w:hAnsiTheme="minorHAnsi" w:cstheme="minorHAnsi"/>
        </w:rPr>
        <w:t xml:space="preserve"> crimes,</w:t>
      </w:r>
      <w:r w:rsidRPr="00EC12B1">
        <w:rPr>
          <w:rFonts w:asciiTheme="minorHAnsi" w:hAnsiTheme="minorHAnsi" w:cstheme="minorHAnsi"/>
        </w:rPr>
        <w:t xml:space="preserve"> including marital and </w:t>
      </w:r>
      <w:r w:rsidR="00366646" w:rsidRPr="00EC12B1">
        <w:rPr>
          <w:rFonts w:asciiTheme="minorHAnsi" w:hAnsiTheme="minorHAnsi" w:cstheme="minorHAnsi"/>
        </w:rPr>
        <w:t xml:space="preserve">acquaintance or </w:t>
      </w:r>
      <w:r w:rsidRPr="00EC12B1">
        <w:rPr>
          <w:rFonts w:asciiTheme="minorHAnsi" w:hAnsiTheme="minorHAnsi" w:cstheme="minorHAnsi"/>
        </w:rPr>
        <w:t xml:space="preserve">date rape, </w:t>
      </w:r>
      <w:r w:rsidR="00366646" w:rsidRPr="00EC12B1">
        <w:rPr>
          <w:rFonts w:asciiTheme="minorHAnsi" w:hAnsiTheme="minorHAnsi" w:cstheme="minorHAnsi"/>
        </w:rPr>
        <w:t>is</w:t>
      </w:r>
      <w:r w:rsidRPr="00EC12B1">
        <w:rPr>
          <w:rFonts w:asciiTheme="minorHAnsi" w:hAnsiTheme="minorHAnsi" w:cstheme="minorHAnsi"/>
        </w:rPr>
        <w:t xml:space="preserve"> based on </w:t>
      </w:r>
      <w:r w:rsidR="00366646" w:rsidRPr="00EC12B1">
        <w:rPr>
          <w:rFonts w:asciiTheme="minorHAnsi" w:hAnsiTheme="minorHAnsi" w:cstheme="minorHAnsi"/>
        </w:rPr>
        <w:t xml:space="preserve">the </w:t>
      </w:r>
      <w:r w:rsidRPr="00EC12B1">
        <w:rPr>
          <w:rFonts w:asciiTheme="minorHAnsi" w:hAnsiTheme="minorHAnsi" w:cstheme="minorHAnsi"/>
        </w:rPr>
        <w:t>lack of free</w:t>
      </w:r>
      <w:r w:rsidR="00366646" w:rsidRPr="00EC12B1">
        <w:rPr>
          <w:rFonts w:asciiTheme="minorHAnsi" w:hAnsiTheme="minorHAnsi" w:cstheme="minorHAnsi"/>
        </w:rPr>
        <w:t>ly given</w:t>
      </w:r>
      <w:r w:rsidRPr="00EC12B1">
        <w:rPr>
          <w:rFonts w:asciiTheme="minorHAnsi" w:hAnsiTheme="minorHAnsi" w:cstheme="minorHAnsi"/>
        </w:rPr>
        <w:t xml:space="preserve"> consent and take</w:t>
      </w:r>
      <w:r w:rsidR="00840E59" w:rsidRPr="00EC12B1">
        <w:rPr>
          <w:rFonts w:asciiTheme="minorHAnsi" w:hAnsiTheme="minorHAnsi" w:cstheme="minorHAnsi"/>
        </w:rPr>
        <w:t>s</w:t>
      </w:r>
      <w:r w:rsidRPr="00EC12B1">
        <w:rPr>
          <w:rFonts w:asciiTheme="minorHAnsi" w:hAnsiTheme="minorHAnsi" w:cstheme="minorHAnsi"/>
        </w:rPr>
        <w:t xml:space="preserve"> into account coercive circumstances”.</w:t>
      </w:r>
    </w:p>
  </w:footnote>
  <w:footnote w:id="10">
    <w:p w14:paraId="431D9D51" w14:textId="77777777" w:rsidR="00840E59" w:rsidRPr="00EC12B1" w:rsidRDefault="00840E59" w:rsidP="00EC12B1">
      <w:pPr>
        <w:spacing w:line="240" w:lineRule="auto"/>
        <w:jc w:val="both"/>
        <w:rPr>
          <w:rFonts w:asciiTheme="minorHAnsi" w:hAnsiTheme="minorHAnsi" w:cstheme="minorHAnsi"/>
        </w:rPr>
      </w:pPr>
      <w:r w:rsidRPr="00EC12B1">
        <w:rPr>
          <w:rStyle w:val="FootnoteReference"/>
          <w:rFonts w:asciiTheme="minorHAnsi" w:hAnsiTheme="minorHAnsi" w:cstheme="minorHAnsi"/>
        </w:rPr>
        <w:footnoteRef/>
      </w:r>
      <w:r w:rsidRPr="00EC12B1">
        <w:rPr>
          <w:rFonts w:asciiTheme="minorHAnsi" w:hAnsiTheme="minorHAnsi" w:cstheme="minorHAnsi"/>
        </w:rPr>
        <w:t>Council of Europe, GREVIO Baseline Evaluation Report on Albania (2024).</w:t>
      </w:r>
    </w:p>
  </w:footnote>
  <w:footnote w:id="11">
    <w:p w14:paraId="46394645" w14:textId="29C84178" w:rsidR="00F84B38" w:rsidRPr="00EC12B1" w:rsidRDefault="00F84B38" w:rsidP="00EC12B1">
      <w:pPr>
        <w:pStyle w:val="FootnoteText"/>
        <w:jc w:val="both"/>
        <w:rPr>
          <w:rFonts w:asciiTheme="minorHAnsi" w:hAnsiTheme="minorHAnsi" w:cstheme="minorHAnsi"/>
        </w:rPr>
      </w:pPr>
      <w:r w:rsidRPr="00EC12B1">
        <w:rPr>
          <w:rStyle w:val="FootnoteReference"/>
          <w:rFonts w:asciiTheme="minorHAnsi" w:hAnsiTheme="minorHAnsi" w:cstheme="minorHAnsi"/>
        </w:rPr>
        <w:footnoteRef/>
      </w:r>
      <w:r w:rsidRPr="00EC12B1">
        <w:rPr>
          <w:rFonts w:asciiTheme="minorHAnsi" w:hAnsiTheme="minorHAnsi" w:cstheme="minorHAnsi"/>
        </w:rPr>
        <w:t xml:space="preserve"> Istanbul Convention, Article 46, which requires States to treat as aggravating circumstances offences committed against persons rendered particularly vulnerable by specific circumstances, including disability. On the heightened risk of sexual violence for women with disabilities and pregnant women, see UN Special Rapporteur on Violence Against Women, Report on Violence against Women: Its Causes and Consequences, A/HRC/23/49 (2013); CEDAW General Recommendation No. 35 (2017), para. 12, on intersecting forms of discrimination affecting women with disabilities and other </w:t>
      </w:r>
      <w:proofErr w:type="spellStart"/>
      <w:r w:rsidRPr="00EC12B1">
        <w:rPr>
          <w:rFonts w:asciiTheme="minorHAnsi" w:hAnsiTheme="minorHAnsi" w:cstheme="minorHAnsi"/>
        </w:rPr>
        <w:t>marginalised</w:t>
      </w:r>
      <w:proofErr w:type="spellEnd"/>
      <w:r w:rsidRPr="00EC12B1">
        <w:rPr>
          <w:rFonts w:asciiTheme="minorHAnsi" w:hAnsiTheme="minorHAnsi" w:cstheme="minorHAnsi"/>
        </w:rPr>
        <w:t xml:space="preserve"> groups.</w:t>
      </w:r>
    </w:p>
  </w:footnote>
  <w:footnote w:id="12">
    <w:p w14:paraId="45A1CC9F" w14:textId="6A1F5D8F" w:rsidR="00687DEE" w:rsidRPr="00EC12B1" w:rsidRDefault="00687DEE" w:rsidP="00EC12B1">
      <w:pPr>
        <w:spacing w:line="240" w:lineRule="auto"/>
        <w:jc w:val="both"/>
        <w:rPr>
          <w:rFonts w:asciiTheme="minorHAnsi" w:hAnsiTheme="minorHAnsi" w:cstheme="minorHAnsi"/>
        </w:rPr>
      </w:pPr>
      <w:r w:rsidRPr="00EC12B1">
        <w:rPr>
          <w:rFonts w:asciiTheme="minorHAnsi" w:hAnsiTheme="minorHAnsi" w:cstheme="minorHAnsi"/>
        </w:rPr>
        <w:footnoteRef/>
      </w:r>
      <w:r w:rsidRPr="00EC12B1">
        <w:rPr>
          <w:rFonts w:asciiTheme="minorHAnsi" w:hAnsiTheme="minorHAnsi" w:cstheme="minorHAnsi"/>
        </w:rPr>
        <w:t xml:space="preserve"> CEDAW Committee, Concluding Observations on the Fifth Periodic Report of Albania, UN Doc CEDAW/C/ALB/CO/5 (14 November 2023), para. 28(b).</w:t>
      </w:r>
    </w:p>
  </w:footnote>
  <w:footnote w:id="13">
    <w:p w14:paraId="529E506A" w14:textId="77777777" w:rsidR="00CE5E7E" w:rsidRPr="00EC12B1" w:rsidRDefault="00CE5E7E" w:rsidP="00EC12B1">
      <w:pPr>
        <w:spacing w:line="240" w:lineRule="auto"/>
        <w:jc w:val="both"/>
        <w:rPr>
          <w:rFonts w:asciiTheme="minorHAnsi" w:hAnsiTheme="minorHAnsi" w:cstheme="minorHAnsi"/>
        </w:rPr>
      </w:pPr>
      <w:r w:rsidRPr="00EC12B1">
        <w:rPr>
          <w:rStyle w:val="FootnoteReference"/>
          <w:rFonts w:asciiTheme="minorHAnsi" w:hAnsiTheme="minorHAnsi" w:cstheme="minorHAnsi"/>
        </w:rPr>
        <w:footnoteRef/>
      </w:r>
      <w:r w:rsidRPr="00EC12B1">
        <w:rPr>
          <w:rFonts w:asciiTheme="minorHAnsi" w:hAnsiTheme="minorHAnsi" w:cstheme="minorHAnsi"/>
        </w:rPr>
        <w:t>CEDAW General Recommendation No. 25 on temporary special measures (2004); General Recommendation No. 40 on equal and inclusive representation of women in decision-making systems (2024).</w:t>
      </w:r>
    </w:p>
  </w:footnote>
  <w:footnote w:id="14">
    <w:p w14:paraId="0AD349EB" w14:textId="77777777" w:rsidR="00061207" w:rsidRDefault="00061207" w:rsidP="00061207">
      <w:pPr>
        <w:spacing w:line="240" w:lineRule="auto"/>
        <w:jc w:val="both"/>
      </w:pPr>
      <w:r>
        <w:rPr>
          <w:rStyle w:val="FootnoteReference"/>
        </w:rPr>
        <w:footnoteRef/>
      </w:r>
      <w:r>
        <w:t>Inter-Parliamentary Union, Women in national parliaments: Albania (2026), reporting 48 women MPs out of 140 seats (34.3%).</w:t>
      </w:r>
    </w:p>
  </w:footnote>
  <w:footnote w:id="15">
    <w:p w14:paraId="45298927" w14:textId="77777777" w:rsidR="00061207" w:rsidRDefault="00061207" w:rsidP="00061207">
      <w:pPr>
        <w:spacing w:line="240" w:lineRule="auto"/>
        <w:jc w:val="both"/>
      </w:pPr>
      <w:r>
        <w:rPr>
          <w:rStyle w:val="FootnoteReference"/>
        </w:rPr>
        <w:footnoteRef/>
      </w:r>
      <w:r>
        <w:t>Proportion of ministerial positions held by women in Albania (data: 7 out of 19 = 36.8%).</w:t>
      </w:r>
    </w:p>
  </w:footnote>
  <w:footnote w:id="16">
    <w:p w14:paraId="3CB8BD82" w14:textId="77777777" w:rsidR="004B536A" w:rsidRPr="00EC12B1" w:rsidRDefault="004B536A" w:rsidP="00EC12B1">
      <w:pPr>
        <w:pStyle w:val="FootnoteText"/>
        <w:jc w:val="both"/>
        <w:rPr>
          <w:rFonts w:asciiTheme="minorHAnsi" w:hAnsiTheme="minorHAnsi" w:cstheme="minorHAnsi"/>
        </w:rPr>
      </w:pPr>
      <w:r w:rsidRPr="00EC12B1">
        <w:rPr>
          <w:rStyle w:val="FootnoteReference"/>
          <w:rFonts w:asciiTheme="minorHAnsi" w:hAnsiTheme="minorHAnsi" w:cstheme="minorHAnsi"/>
        </w:rPr>
        <w:footnoteRef/>
      </w:r>
      <w:r w:rsidRPr="00EC12B1">
        <w:rPr>
          <w:rFonts w:asciiTheme="minorHAnsi" w:hAnsiTheme="minorHAnsi" w:cstheme="minorHAnsi"/>
        </w:rPr>
        <w:t xml:space="preserve"> Link to Report: </w:t>
      </w:r>
      <w:hyperlink r:id="rId1" w:history="1">
        <w:r w:rsidRPr="00EC12B1">
          <w:rPr>
            <w:rStyle w:val="Hyperlink"/>
            <w:rFonts w:asciiTheme="minorHAnsi" w:hAnsiTheme="minorHAnsi" w:cstheme="minorHAnsi"/>
          </w:rPr>
          <w:t>https://aleancalgbt.org/wp-content/uploads/2025/05/Raporti-Mendo-Politikisht-2025.pdf</w:t>
        </w:r>
      </w:hyperlink>
      <w:r w:rsidRPr="00EC12B1">
        <w:rPr>
          <w:rFonts w:asciiTheme="minorHAnsi" w:hAnsiTheme="minorHAnsi" w:cstheme="minorHAnsi"/>
        </w:rPr>
        <w:t xml:space="preserve"> </w:t>
      </w:r>
    </w:p>
  </w:footnote>
  <w:footnote w:id="17">
    <w:p w14:paraId="29AC7116" w14:textId="2FDE3B35" w:rsidR="00AB1234" w:rsidRDefault="00C45DAE">
      <w:pPr>
        <w:spacing w:line="240" w:lineRule="auto"/>
        <w:jc w:val="both"/>
      </w:pPr>
      <w:r>
        <w:rPr>
          <w:rStyle w:val="FootnoteReference"/>
        </w:rPr>
        <w:footnoteRef/>
      </w:r>
      <w:r>
        <w:t>Dorentina Hysa, Monitoring Report on Hate Speech in Albania 2025 (Albanian Women in Audiovisual / Media Diversity Institute Western Balkans, 2025).</w:t>
      </w:r>
    </w:p>
  </w:footnote>
  <w:footnote w:id="18">
    <w:p w14:paraId="577B30A8" w14:textId="77777777" w:rsidR="00AB1234" w:rsidRDefault="00C45DAE">
      <w:pPr>
        <w:spacing w:line="240" w:lineRule="auto"/>
        <w:jc w:val="both"/>
      </w:pPr>
      <w:r>
        <w:rPr>
          <w:rStyle w:val="FootnoteReference"/>
        </w:rPr>
        <w:footnoteRef/>
      </w:r>
      <w:r>
        <w:t>Article 164 of the Electoral Code of the Republic of Albania permits replacement of vacant mandates by remaining candidates on the multi-name list once candidates of the underrepresented gender have been exhausted, creating a loophole that undermines the effective preservation of gender parity requirements throughout the electoral cycle.</w:t>
      </w:r>
    </w:p>
  </w:footnote>
  <w:footnote w:id="19">
    <w:p w14:paraId="2D40D8A4" w14:textId="1A680055" w:rsidR="001F3502" w:rsidRPr="00EC12B1" w:rsidRDefault="001F3502" w:rsidP="00EC12B1">
      <w:pPr>
        <w:pStyle w:val="FootnoteText"/>
        <w:jc w:val="both"/>
        <w:rPr>
          <w:rFonts w:asciiTheme="minorHAnsi" w:hAnsiTheme="minorHAnsi" w:cstheme="minorHAnsi"/>
        </w:rPr>
      </w:pPr>
      <w:r w:rsidRPr="00EC12B1">
        <w:rPr>
          <w:rStyle w:val="FootnoteReference"/>
          <w:rFonts w:asciiTheme="minorHAnsi" w:hAnsiTheme="minorHAnsi" w:cstheme="minorHAnsi"/>
        </w:rPr>
        <w:footnoteRef/>
      </w:r>
      <w:r w:rsidRPr="00EC12B1">
        <w:rPr>
          <w:rFonts w:asciiTheme="minorHAnsi" w:hAnsiTheme="minorHAnsi" w:cstheme="minorHAnsi"/>
        </w:rPr>
        <w:t xml:space="preserve"> The Alliance Against Discrimination of LGBTI (</w:t>
      </w:r>
      <w:proofErr w:type="spellStart"/>
      <w:r w:rsidRPr="00EC12B1">
        <w:rPr>
          <w:rFonts w:asciiTheme="minorHAnsi" w:hAnsiTheme="minorHAnsi" w:cstheme="minorHAnsi"/>
        </w:rPr>
        <w:t>Aleanca</w:t>
      </w:r>
      <w:proofErr w:type="spellEnd"/>
      <w:r w:rsidRPr="00EC12B1">
        <w:rPr>
          <w:rFonts w:asciiTheme="minorHAnsi" w:hAnsiTheme="minorHAnsi" w:cstheme="minorHAnsi"/>
        </w:rPr>
        <w:t xml:space="preserve"> LGBTI), </w:t>
      </w:r>
      <w:r w:rsidRPr="00EC12B1">
        <w:rPr>
          <w:rStyle w:val="Emphasis"/>
          <w:rFonts w:asciiTheme="minorHAnsi" w:hAnsiTheme="minorHAnsi" w:cstheme="minorHAnsi"/>
        </w:rPr>
        <w:t>Annual Community Questionnaire 2024-2025.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6731D7" w14:textId="7929E5AB" w:rsidR="00BE715D" w:rsidRDefault="00F42F0A">
    <w:pPr>
      <w:pBdr>
        <w:bottom w:val="single" w:sz="6" w:space="1" w:color="2E5C8A"/>
      </w:pBdr>
      <w:tabs>
        <w:tab w:val="right" w:pos="9026"/>
      </w:tabs>
    </w:pPr>
    <w:r>
      <w:rPr>
        <w:color w:val="2E5C8A"/>
        <w:sz w:val="18"/>
        <w:szCs w:val="18"/>
      </w:rPr>
      <w:t>Civil Society Submission to the CEDAW Committee</w:t>
    </w:r>
    <w:r>
      <w:rPr>
        <w:color w:val="AAAAAA"/>
        <w:sz w:val="18"/>
        <w:szCs w:val="18"/>
      </w:rPr>
      <w:tab/>
      <w:t xml:space="preserve">93rd Session </w:t>
    </w:r>
    <w:r w:rsidR="00AD060F">
      <w:rPr>
        <w:color w:val="AAAAAA"/>
        <w:sz w:val="18"/>
        <w:szCs w:val="18"/>
      </w:rPr>
      <w:t>|</w:t>
    </w:r>
    <w:r>
      <w:rPr>
        <w:color w:val="AAAAAA"/>
        <w:sz w:val="18"/>
        <w:szCs w:val="18"/>
      </w:rPr>
      <w:t xml:space="preserve"> Intersessional Follow-Up </w:t>
    </w:r>
    <w:r w:rsidR="00AD060F">
      <w:rPr>
        <w:color w:val="AAAAAA"/>
        <w:sz w:val="18"/>
        <w:szCs w:val="18"/>
      </w:rPr>
      <w:t>|</w:t>
    </w:r>
    <w:r>
      <w:rPr>
        <w:color w:val="AAAAAA"/>
        <w:sz w:val="18"/>
        <w:szCs w:val="18"/>
      </w:rPr>
      <w:t xml:space="preserve"> Albania 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9152D8"/>
    <w:multiLevelType w:val="multilevel"/>
    <w:tmpl w:val="DC4CC930"/>
    <w:lvl w:ilvl="0">
      <w:start w:val="1"/>
      <w:numFmt w:val="bullet"/>
      <w:lvlText w:val=""/>
      <w:lvlJc w:val="left"/>
      <w:pPr>
        <w:tabs>
          <w:tab w:val="num" w:pos="720"/>
        </w:tabs>
        <w:ind w:left="720" w:hanging="360"/>
      </w:pPr>
      <w:rPr>
        <w:rFonts w:ascii="Arial" w:hAnsi="Arial"/>
        <w:color w:val="2E5C8A"/>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9B10E5"/>
    <w:multiLevelType w:val="hybridMultilevel"/>
    <w:tmpl w:val="CE66AE18"/>
    <w:lvl w:ilvl="0" w:tplc="4562479E">
      <w:start w:val="1"/>
      <w:numFmt w:val="decimal"/>
      <w:lvlText w:val="%1."/>
      <w:lvlJc w:val="left"/>
      <w:pPr>
        <w:ind w:left="720" w:hanging="360"/>
      </w:pPr>
    </w:lvl>
    <w:lvl w:ilvl="1" w:tplc="F4DE8048">
      <w:numFmt w:val="decimal"/>
      <w:lvlText w:val=""/>
      <w:lvlJc w:val="left"/>
    </w:lvl>
    <w:lvl w:ilvl="2" w:tplc="C3B0B1C6">
      <w:numFmt w:val="decimal"/>
      <w:lvlText w:val=""/>
      <w:lvlJc w:val="left"/>
    </w:lvl>
    <w:lvl w:ilvl="3" w:tplc="7BD2B9B8">
      <w:numFmt w:val="decimal"/>
      <w:lvlText w:val=""/>
      <w:lvlJc w:val="left"/>
    </w:lvl>
    <w:lvl w:ilvl="4" w:tplc="6F5202D2">
      <w:numFmt w:val="decimal"/>
      <w:lvlText w:val=""/>
      <w:lvlJc w:val="left"/>
    </w:lvl>
    <w:lvl w:ilvl="5" w:tplc="865AB3D8">
      <w:numFmt w:val="decimal"/>
      <w:lvlText w:val=""/>
      <w:lvlJc w:val="left"/>
    </w:lvl>
    <w:lvl w:ilvl="6" w:tplc="D922AEE0">
      <w:numFmt w:val="decimal"/>
      <w:lvlText w:val=""/>
      <w:lvlJc w:val="left"/>
    </w:lvl>
    <w:lvl w:ilvl="7" w:tplc="7130B968">
      <w:numFmt w:val="decimal"/>
      <w:lvlText w:val=""/>
      <w:lvlJc w:val="left"/>
    </w:lvl>
    <w:lvl w:ilvl="8" w:tplc="41DCFB26">
      <w:numFmt w:val="decimal"/>
      <w:lvlText w:val=""/>
      <w:lvlJc w:val="left"/>
    </w:lvl>
  </w:abstractNum>
  <w:abstractNum w:abstractNumId="2" w15:restartNumberingAfterBreak="0">
    <w:nsid w:val="37B37FC7"/>
    <w:multiLevelType w:val="hybridMultilevel"/>
    <w:tmpl w:val="B09CBFA6"/>
    <w:lvl w:ilvl="0" w:tplc="AA668C1A">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26C7962"/>
    <w:multiLevelType w:val="hybridMultilevel"/>
    <w:tmpl w:val="0B309762"/>
    <w:lvl w:ilvl="0" w:tplc="AA668C1A">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6C234DD"/>
    <w:multiLevelType w:val="hybridMultilevel"/>
    <w:tmpl w:val="9164178A"/>
    <w:lvl w:ilvl="0" w:tplc="7CCE5AD0">
      <w:start w:val="1"/>
      <w:numFmt w:val="bullet"/>
      <w:lvlText w:val="•"/>
      <w:lvlJc w:val="left"/>
      <w:pPr>
        <w:ind w:left="720" w:hanging="360"/>
      </w:pPr>
    </w:lvl>
    <w:lvl w:ilvl="1" w:tplc="39643186">
      <w:numFmt w:val="decimal"/>
      <w:lvlText w:val=""/>
      <w:lvlJc w:val="left"/>
    </w:lvl>
    <w:lvl w:ilvl="2" w:tplc="46F0B52C">
      <w:numFmt w:val="decimal"/>
      <w:lvlText w:val=""/>
      <w:lvlJc w:val="left"/>
    </w:lvl>
    <w:lvl w:ilvl="3" w:tplc="E90E536C">
      <w:numFmt w:val="decimal"/>
      <w:lvlText w:val=""/>
      <w:lvlJc w:val="left"/>
    </w:lvl>
    <w:lvl w:ilvl="4" w:tplc="D204A2B8">
      <w:numFmt w:val="decimal"/>
      <w:lvlText w:val=""/>
      <w:lvlJc w:val="left"/>
    </w:lvl>
    <w:lvl w:ilvl="5" w:tplc="E612BDD4">
      <w:numFmt w:val="decimal"/>
      <w:lvlText w:val=""/>
      <w:lvlJc w:val="left"/>
    </w:lvl>
    <w:lvl w:ilvl="6" w:tplc="17EE6A9A">
      <w:numFmt w:val="decimal"/>
      <w:lvlText w:val=""/>
      <w:lvlJc w:val="left"/>
    </w:lvl>
    <w:lvl w:ilvl="7" w:tplc="3774C190">
      <w:numFmt w:val="decimal"/>
      <w:lvlText w:val=""/>
      <w:lvlJc w:val="left"/>
    </w:lvl>
    <w:lvl w:ilvl="8" w:tplc="4DFE9F94">
      <w:numFmt w:val="decimal"/>
      <w:lvlText w:val=""/>
      <w:lvlJc w:val="left"/>
    </w:lvl>
  </w:abstractNum>
  <w:abstractNum w:abstractNumId="5" w15:restartNumberingAfterBreak="0">
    <w:nsid w:val="48EE0729"/>
    <w:multiLevelType w:val="multilevel"/>
    <w:tmpl w:val="BBF098B0"/>
    <w:lvl w:ilvl="0">
      <w:start w:val="1"/>
      <w:numFmt w:val="bullet"/>
      <w:lvlText w:val=""/>
      <w:lvlJc w:val="left"/>
      <w:pPr>
        <w:tabs>
          <w:tab w:val="num" w:pos="720"/>
        </w:tabs>
        <w:ind w:left="720" w:hanging="360"/>
      </w:pPr>
      <w:rPr>
        <w:rFonts w:ascii="Arial" w:hAnsi="Arial"/>
        <w:color w:val="2E5C8A"/>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8EF4334"/>
    <w:multiLevelType w:val="multilevel"/>
    <w:tmpl w:val="A98610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C1C02BD"/>
    <w:multiLevelType w:val="hybridMultilevel"/>
    <w:tmpl w:val="68BA3174"/>
    <w:lvl w:ilvl="0" w:tplc="AA668C1A">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10350F2"/>
    <w:multiLevelType w:val="hybridMultilevel"/>
    <w:tmpl w:val="0FB4B660"/>
    <w:lvl w:ilvl="0" w:tplc="1E7E377E">
      <w:start w:val="1"/>
      <w:numFmt w:val="bullet"/>
      <w:lvlText w:val="●"/>
      <w:lvlJc w:val="left"/>
      <w:pPr>
        <w:ind w:left="720" w:hanging="360"/>
      </w:pPr>
    </w:lvl>
    <w:lvl w:ilvl="1" w:tplc="69766F94">
      <w:start w:val="1"/>
      <w:numFmt w:val="bullet"/>
      <w:lvlText w:val="○"/>
      <w:lvlJc w:val="left"/>
      <w:pPr>
        <w:ind w:left="1440" w:hanging="360"/>
      </w:pPr>
    </w:lvl>
    <w:lvl w:ilvl="2" w:tplc="0CDCD75E">
      <w:start w:val="1"/>
      <w:numFmt w:val="bullet"/>
      <w:lvlText w:val="■"/>
      <w:lvlJc w:val="left"/>
      <w:pPr>
        <w:ind w:left="2160" w:hanging="360"/>
      </w:pPr>
    </w:lvl>
    <w:lvl w:ilvl="3" w:tplc="E16A1996">
      <w:start w:val="1"/>
      <w:numFmt w:val="bullet"/>
      <w:lvlText w:val="●"/>
      <w:lvlJc w:val="left"/>
      <w:pPr>
        <w:ind w:left="2880" w:hanging="360"/>
      </w:pPr>
    </w:lvl>
    <w:lvl w:ilvl="4" w:tplc="D4903922">
      <w:start w:val="1"/>
      <w:numFmt w:val="bullet"/>
      <w:lvlText w:val="○"/>
      <w:lvlJc w:val="left"/>
      <w:pPr>
        <w:ind w:left="3600" w:hanging="360"/>
      </w:pPr>
    </w:lvl>
    <w:lvl w:ilvl="5" w:tplc="398C0690">
      <w:start w:val="1"/>
      <w:numFmt w:val="bullet"/>
      <w:lvlText w:val="■"/>
      <w:lvlJc w:val="left"/>
      <w:pPr>
        <w:ind w:left="4320" w:hanging="360"/>
      </w:pPr>
    </w:lvl>
    <w:lvl w:ilvl="6" w:tplc="1256BC5E">
      <w:start w:val="1"/>
      <w:numFmt w:val="bullet"/>
      <w:lvlText w:val="●"/>
      <w:lvlJc w:val="left"/>
      <w:pPr>
        <w:ind w:left="5040" w:hanging="360"/>
      </w:pPr>
    </w:lvl>
    <w:lvl w:ilvl="7" w:tplc="F41A512E">
      <w:start w:val="1"/>
      <w:numFmt w:val="bullet"/>
      <w:lvlText w:val="●"/>
      <w:lvlJc w:val="left"/>
      <w:pPr>
        <w:ind w:left="5760" w:hanging="360"/>
      </w:pPr>
    </w:lvl>
    <w:lvl w:ilvl="8" w:tplc="C720928C">
      <w:start w:val="1"/>
      <w:numFmt w:val="bullet"/>
      <w:lvlText w:val="●"/>
      <w:lvlJc w:val="left"/>
      <w:pPr>
        <w:ind w:left="6480" w:hanging="360"/>
      </w:pPr>
    </w:lvl>
  </w:abstractNum>
  <w:num w:numId="1">
    <w:abstractNumId w:val="8"/>
    <w:lvlOverride w:ilvl="0">
      <w:startOverride w:val="1"/>
    </w:lvlOverride>
  </w:num>
  <w:num w:numId="2">
    <w:abstractNumId w:val="4"/>
    <w:lvlOverride w:ilvl="0">
      <w:startOverride w:val="1"/>
    </w:lvlOverride>
  </w:num>
  <w:num w:numId="3">
    <w:abstractNumId w:val="1"/>
    <w:lvlOverride w:ilvl="0">
      <w:startOverride w:val="1"/>
    </w:lvlOverride>
  </w:num>
  <w:num w:numId="4">
    <w:abstractNumId w:val="5"/>
  </w:num>
  <w:num w:numId="5">
    <w:abstractNumId w:val="0"/>
  </w:num>
  <w:num w:numId="6">
    <w:abstractNumId w:val="6"/>
  </w:num>
  <w:num w:numId="7">
    <w:abstractNumId w:val="7"/>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80ACE"/>
    <w:rsid w:val="00021814"/>
    <w:rsid w:val="00061207"/>
    <w:rsid w:val="00134D48"/>
    <w:rsid w:val="001F3502"/>
    <w:rsid w:val="00283058"/>
    <w:rsid w:val="003135C4"/>
    <w:rsid w:val="00345BA1"/>
    <w:rsid w:val="00352490"/>
    <w:rsid w:val="00366646"/>
    <w:rsid w:val="0038420B"/>
    <w:rsid w:val="003B167F"/>
    <w:rsid w:val="004404EF"/>
    <w:rsid w:val="00463751"/>
    <w:rsid w:val="004B536A"/>
    <w:rsid w:val="005473C1"/>
    <w:rsid w:val="00597018"/>
    <w:rsid w:val="005F7D65"/>
    <w:rsid w:val="00613332"/>
    <w:rsid w:val="00634EE1"/>
    <w:rsid w:val="006424F3"/>
    <w:rsid w:val="00671F51"/>
    <w:rsid w:val="00687DEE"/>
    <w:rsid w:val="0075044F"/>
    <w:rsid w:val="007C0B84"/>
    <w:rsid w:val="008147E1"/>
    <w:rsid w:val="00840E59"/>
    <w:rsid w:val="00930A10"/>
    <w:rsid w:val="00965A56"/>
    <w:rsid w:val="00973B95"/>
    <w:rsid w:val="009D601D"/>
    <w:rsid w:val="00A87316"/>
    <w:rsid w:val="00AD060F"/>
    <w:rsid w:val="00B41712"/>
    <w:rsid w:val="00B7056F"/>
    <w:rsid w:val="00B95ADB"/>
    <w:rsid w:val="00BD6897"/>
    <w:rsid w:val="00BE715D"/>
    <w:rsid w:val="00C14852"/>
    <w:rsid w:val="00C240E3"/>
    <w:rsid w:val="00C45DAE"/>
    <w:rsid w:val="00C50BFC"/>
    <w:rsid w:val="00C70761"/>
    <w:rsid w:val="00C80ACE"/>
    <w:rsid w:val="00C96129"/>
    <w:rsid w:val="00CE5E7E"/>
    <w:rsid w:val="00D13D42"/>
    <w:rsid w:val="00D21DEB"/>
    <w:rsid w:val="00D30272"/>
    <w:rsid w:val="00DD7982"/>
    <w:rsid w:val="00E20013"/>
    <w:rsid w:val="00E6582E"/>
    <w:rsid w:val="00E91BFF"/>
    <w:rsid w:val="00EC12B1"/>
    <w:rsid w:val="00F26C1A"/>
    <w:rsid w:val="00F42F0A"/>
    <w:rsid w:val="00F70AD7"/>
    <w:rsid w:val="00F84B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CEE5BF"/>
  <w15:docId w15:val="{BA71C15C-B675-4274-B3A3-7EC2607DA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0" w:line="288" w:lineRule="auto"/>
    </w:pPr>
    <w:rPr>
      <w:sz w:val="20"/>
      <w:szCs w:val="20"/>
    </w:rPr>
  </w:style>
  <w:style w:type="paragraph" w:styleId="Heading1">
    <w:name w:val="heading 1"/>
    <w:uiPriority w:val="9"/>
    <w:qFormat/>
    <w:pPr>
      <w:shd w:val="clear" w:color="auto" w:fill="1F3864"/>
      <w:spacing w:before="200" w:after="120"/>
      <w:ind w:left="240" w:right="240"/>
      <w:outlineLvl w:val="0"/>
    </w:pPr>
    <w:rPr>
      <w:b/>
      <w:color w:val="FFFFFF"/>
      <w:sz w:val="26"/>
      <w:szCs w:val="26"/>
    </w:rPr>
  </w:style>
  <w:style w:type="paragraph" w:styleId="Heading2">
    <w:name w:val="heading 2"/>
    <w:uiPriority w:val="9"/>
    <w:unhideWhenUsed/>
    <w:qFormat/>
    <w:pPr>
      <w:pBdr>
        <w:left w:val="single" w:sz="18" w:space="6" w:color="2E5C8A"/>
      </w:pBdr>
      <w:spacing w:before="240" w:after="80"/>
      <w:ind w:left="200"/>
      <w:outlineLvl w:val="1"/>
    </w:pPr>
    <w:rPr>
      <w:b/>
      <w:color w:val="2E5C8A"/>
      <w:sz w:val="22"/>
      <w:szCs w:val="22"/>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9D601D"/>
    <w:pPr>
      <w:tabs>
        <w:tab w:val="center" w:pos="4680"/>
        <w:tab w:val="right" w:pos="9360"/>
      </w:tabs>
    </w:pPr>
  </w:style>
  <w:style w:type="character" w:customStyle="1" w:styleId="HeaderChar">
    <w:name w:val="Header Char"/>
    <w:basedOn w:val="DefaultParagraphFont"/>
    <w:link w:val="Header"/>
    <w:uiPriority w:val="99"/>
    <w:rsid w:val="009D601D"/>
  </w:style>
  <w:style w:type="paragraph" w:styleId="Footer">
    <w:name w:val="footer"/>
    <w:basedOn w:val="Normal"/>
    <w:link w:val="FooterChar"/>
    <w:uiPriority w:val="99"/>
    <w:unhideWhenUsed/>
    <w:rsid w:val="009D601D"/>
    <w:pPr>
      <w:tabs>
        <w:tab w:val="center" w:pos="4680"/>
        <w:tab w:val="right" w:pos="9360"/>
      </w:tabs>
    </w:pPr>
  </w:style>
  <w:style w:type="character" w:customStyle="1" w:styleId="FooterChar">
    <w:name w:val="Footer Char"/>
    <w:basedOn w:val="DefaultParagraphFont"/>
    <w:link w:val="Footer"/>
    <w:uiPriority w:val="99"/>
    <w:rsid w:val="009D601D"/>
  </w:style>
  <w:style w:type="paragraph" w:styleId="NormalWeb">
    <w:name w:val="Normal (Web)"/>
    <w:basedOn w:val="Normal"/>
    <w:uiPriority w:val="99"/>
    <w:semiHidden/>
    <w:unhideWhenUsed/>
    <w:rsid w:val="00E91BFF"/>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5473C1"/>
    <w:rPr>
      <w:b/>
      <w:bCs/>
    </w:rPr>
  </w:style>
  <w:style w:type="character" w:styleId="UnresolvedMention">
    <w:name w:val="Unresolved Mention"/>
    <w:basedOn w:val="DefaultParagraphFont"/>
    <w:uiPriority w:val="99"/>
    <w:semiHidden/>
    <w:unhideWhenUsed/>
    <w:rsid w:val="00D30272"/>
    <w:rPr>
      <w:color w:val="605E5C"/>
      <w:shd w:val="clear" w:color="auto" w:fill="E1DFDD"/>
    </w:rPr>
  </w:style>
  <w:style w:type="character" w:styleId="Emphasis">
    <w:name w:val="Emphasis"/>
    <w:basedOn w:val="DefaultParagraphFont"/>
    <w:uiPriority w:val="20"/>
    <w:qFormat/>
    <w:rsid w:val="00463751"/>
    <w:rPr>
      <w:i/>
      <w:iCs/>
    </w:rPr>
  </w:style>
  <w:style w:type="character" w:styleId="CommentReference">
    <w:name w:val="annotation reference"/>
    <w:basedOn w:val="DefaultParagraphFont"/>
    <w:uiPriority w:val="99"/>
    <w:semiHidden/>
    <w:unhideWhenUsed/>
    <w:rsid w:val="00C70761"/>
    <w:rPr>
      <w:sz w:val="16"/>
      <w:szCs w:val="16"/>
    </w:rPr>
  </w:style>
  <w:style w:type="paragraph" w:styleId="CommentText">
    <w:name w:val="annotation text"/>
    <w:basedOn w:val="Normal"/>
    <w:link w:val="CommentTextChar"/>
    <w:uiPriority w:val="99"/>
    <w:unhideWhenUsed/>
    <w:rsid w:val="00C70761"/>
    <w:pPr>
      <w:spacing w:line="240" w:lineRule="auto"/>
    </w:pPr>
  </w:style>
  <w:style w:type="character" w:customStyle="1" w:styleId="CommentTextChar">
    <w:name w:val="Comment Text Char"/>
    <w:basedOn w:val="DefaultParagraphFont"/>
    <w:link w:val="CommentText"/>
    <w:uiPriority w:val="99"/>
    <w:rsid w:val="00C70761"/>
    <w:rPr>
      <w:sz w:val="20"/>
      <w:szCs w:val="20"/>
    </w:rPr>
  </w:style>
  <w:style w:type="paragraph" w:styleId="CommentSubject">
    <w:name w:val="annotation subject"/>
    <w:basedOn w:val="CommentText"/>
    <w:next w:val="CommentText"/>
    <w:link w:val="CommentSubjectChar"/>
    <w:uiPriority w:val="99"/>
    <w:semiHidden/>
    <w:unhideWhenUsed/>
    <w:rsid w:val="00C70761"/>
    <w:rPr>
      <w:b/>
      <w:bCs/>
    </w:rPr>
  </w:style>
  <w:style w:type="character" w:customStyle="1" w:styleId="CommentSubjectChar">
    <w:name w:val="Comment Subject Char"/>
    <w:basedOn w:val="CommentTextChar"/>
    <w:link w:val="CommentSubject"/>
    <w:uiPriority w:val="99"/>
    <w:semiHidden/>
    <w:rsid w:val="00C7076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509559">
      <w:bodyDiv w:val="1"/>
      <w:marLeft w:val="0"/>
      <w:marRight w:val="0"/>
      <w:marTop w:val="0"/>
      <w:marBottom w:val="0"/>
      <w:divBdr>
        <w:top w:val="none" w:sz="0" w:space="0" w:color="auto"/>
        <w:left w:val="none" w:sz="0" w:space="0" w:color="auto"/>
        <w:bottom w:val="none" w:sz="0" w:space="0" w:color="auto"/>
        <w:right w:val="none" w:sz="0" w:space="0" w:color="auto"/>
      </w:divBdr>
      <w:divsChild>
        <w:div w:id="2108847833">
          <w:marLeft w:val="0"/>
          <w:marRight w:val="0"/>
          <w:marTop w:val="0"/>
          <w:marBottom w:val="0"/>
          <w:divBdr>
            <w:top w:val="none" w:sz="0" w:space="0" w:color="auto"/>
            <w:left w:val="none" w:sz="0" w:space="0" w:color="auto"/>
            <w:bottom w:val="none" w:sz="0" w:space="0" w:color="auto"/>
            <w:right w:val="none" w:sz="0" w:space="0" w:color="auto"/>
          </w:divBdr>
          <w:divsChild>
            <w:div w:id="955405958">
              <w:marLeft w:val="0"/>
              <w:marRight w:val="0"/>
              <w:marTop w:val="0"/>
              <w:marBottom w:val="0"/>
              <w:divBdr>
                <w:top w:val="none" w:sz="0" w:space="0" w:color="auto"/>
                <w:left w:val="none" w:sz="0" w:space="0" w:color="auto"/>
                <w:bottom w:val="none" w:sz="0" w:space="0" w:color="auto"/>
                <w:right w:val="none" w:sz="0" w:space="0" w:color="auto"/>
              </w:divBdr>
              <w:divsChild>
                <w:div w:id="805664768">
                  <w:marLeft w:val="0"/>
                  <w:marRight w:val="0"/>
                  <w:marTop w:val="0"/>
                  <w:marBottom w:val="0"/>
                  <w:divBdr>
                    <w:top w:val="none" w:sz="0" w:space="0" w:color="auto"/>
                    <w:left w:val="none" w:sz="0" w:space="0" w:color="auto"/>
                    <w:bottom w:val="none" w:sz="0" w:space="0" w:color="auto"/>
                    <w:right w:val="none" w:sz="0" w:space="0" w:color="auto"/>
                  </w:divBdr>
                  <w:divsChild>
                    <w:div w:id="696006771">
                      <w:marLeft w:val="0"/>
                      <w:marRight w:val="0"/>
                      <w:marTop w:val="0"/>
                      <w:marBottom w:val="0"/>
                      <w:divBdr>
                        <w:top w:val="none" w:sz="0" w:space="0" w:color="auto"/>
                        <w:left w:val="none" w:sz="0" w:space="0" w:color="auto"/>
                        <w:bottom w:val="none" w:sz="0" w:space="0" w:color="auto"/>
                        <w:right w:val="none" w:sz="0" w:space="0" w:color="auto"/>
                      </w:divBdr>
                      <w:divsChild>
                        <w:div w:id="900290664">
                          <w:marLeft w:val="0"/>
                          <w:marRight w:val="0"/>
                          <w:marTop w:val="0"/>
                          <w:marBottom w:val="0"/>
                          <w:divBdr>
                            <w:top w:val="none" w:sz="0" w:space="0" w:color="auto"/>
                            <w:left w:val="none" w:sz="0" w:space="0" w:color="auto"/>
                            <w:bottom w:val="none" w:sz="0" w:space="0" w:color="auto"/>
                            <w:right w:val="none" w:sz="0" w:space="0" w:color="auto"/>
                          </w:divBdr>
                          <w:divsChild>
                            <w:div w:id="80303195">
                              <w:marLeft w:val="0"/>
                              <w:marRight w:val="0"/>
                              <w:marTop w:val="0"/>
                              <w:marBottom w:val="0"/>
                              <w:divBdr>
                                <w:top w:val="none" w:sz="0" w:space="0" w:color="auto"/>
                                <w:left w:val="none" w:sz="0" w:space="0" w:color="auto"/>
                                <w:bottom w:val="none" w:sz="0" w:space="0" w:color="auto"/>
                                <w:right w:val="none" w:sz="0" w:space="0" w:color="auto"/>
                              </w:divBdr>
                              <w:divsChild>
                                <w:div w:id="1341588407">
                                  <w:marLeft w:val="0"/>
                                  <w:marRight w:val="0"/>
                                  <w:marTop w:val="0"/>
                                  <w:marBottom w:val="0"/>
                                  <w:divBdr>
                                    <w:top w:val="none" w:sz="0" w:space="0" w:color="auto"/>
                                    <w:left w:val="none" w:sz="0" w:space="0" w:color="auto"/>
                                    <w:bottom w:val="none" w:sz="0" w:space="0" w:color="auto"/>
                                    <w:right w:val="none" w:sz="0" w:space="0" w:color="auto"/>
                                  </w:divBdr>
                                  <w:divsChild>
                                    <w:div w:id="1401171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5574368">
      <w:bodyDiv w:val="1"/>
      <w:marLeft w:val="0"/>
      <w:marRight w:val="0"/>
      <w:marTop w:val="0"/>
      <w:marBottom w:val="0"/>
      <w:divBdr>
        <w:top w:val="none" w:sz="0" w:space="0" w:color="auto"/>
        <w:left w:val="none" w:sz="0" w:space="0" w:color="auto"/>
        <w:bottom w:val="none" w:sz="0" w:space="0" w:color="auto"/>
        <w:right w:val="none" w:sz="0" w:space="0" w:color="auto"/>
      </w:divBdr>
    </w:div>
    <w:div w:id="1591281831">
      <w:bodyDiv w:val="1"/>
      <w:marLeft w:val="0"/>
      <w:marRight w:val="0"/>
      <w:marTop w:val="0"/>
      <w:marBottom w:val="0"/>
      <w:divBdr>
        <w:top w:val="none" w:sz="0" w:space="0" w:color="auto"/>
        <w:left w:val="none" w:sz="0" w:space="0" w:color="auto"/>
        <w:bottom w:val="none" w:sz="0" w:space="0" w:color="auto"/>
        <w:right w:val="none" w:sz="0" w:space="0" w:color="auto"/>
      </w:divBdr>
    </w:div>
    <w:div w:id="19618384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aleancalgbt.org/wp-content/uploads/2025/05/Raporti-Mendo-Politikisht-202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A2A2B7-B392-4D91-9BBD-416F543A24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1302</TotalTime>
  <Pages>10</Pages>
  <Words>3135</Words>
  <Characters>17871</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dea nini</cp:lastModifiedBy>
  <cp:revision>34</cp:revision>
  <dcterms:created xsi:type="dcterms:W3CDTF">2026-05-27T12:44:00Z</dcterms:created>
  <dcterms:modified xsi:type="dcterms:W3CDTF">2026-05-28T11:31:00Z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50878497-7577-407e-80cc-2fdc285b676c</vt:lpwstr>
  </property>
</Properties>
</file>