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F16" w:rsidRDefault="00574F16" w:rsidP="00574F16">
      <w:pPr>
        <w:rPr>
          <w:b/>
          <w:sz w:val="28"/>
          <w:szCs w:val="28"/>
        </w:rPr>
      </w:pPr>
    </w:p>
    <w:p w:rsidR="00574F16" w:rsidRDefault="00574F16" w:rsidP="00574F16">
      <w:pPr>
        <w:rPr>
          <w:b/>
          <w:sz w:val="28"/>
          <w:szCs w:val="28"/>
        </w:rPr>
      </w:pPr>
    </w:p>
    <w:p w:rsidR="00574F16" w:rsidRDefault="00857098" w:rsidP="00857098">
      <w:pPr>
        <w:jc w:val="center"/>
        <w:rPr>
          <w:b/>
          <w:sz w:val="52"/>
          <w:szCs w:val="52"/>
        </w:rPr>
      </w:pPr>
      <w:r>
        <w:rPr>
          <w:b/>
          <w:noProof/>
          <w:sz w:val="52"/>
          <w:szCs w:val="52"/>
          <w:lang w:eastAsia="es-ES"/>
        </w:rPr>
        <w:drawing>
          <wp:inline distT="0" distB="0" distL="0" distR="0" wp14:anchorId="3951CB30" wp14:editId="0388C35C">
            <wp:extent cx="1587600" cy="15876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desc.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7600" cy="1587600"/>
                    </a:xfrm>
                    <a:prstGeom prst="rect">
                      <a:avLst/>
                    </a:prstGeom>
                  </pic:spPr>
                </pic:pic>
              </a:graphicData>
            </a:graphic>
          </wp:inline>
        </w:drawing>
      </w:r>
    </w:p>
    <w:p w:rsidR="00574F16" w:rsidRDefault="00574F16" w:rsidP="00574F16">
      <w:pPr>
        <w:rPr>
          <w:b/>
          <w:sz w:val="52"/>
          <w:szCs w:val="52"/>
        </w:rPr>
      </w:pPr>
    </w:p>
    <w:p w:rsidR="00574F16" w:rsidRDefault="00104248" w:rsidP="00574F16">
      <w:pPr>
        <w:jc w:val="center"/>
        <w:rPr>
          <w:b/>
          <w:color w:val="1F4E79" w:themeColor="accent1" w:themeShade="80"/>
          <w:sz w:val="52"/>
          <w:szCs w:val="52"/>
        </w:rPr>
      </w:pPr>
      <w:r>
        <w:rPr>
          <w:b/>
          <w:color w:val="1F4E79" w:themeColor="accent1" w:themeShade="80"/>
          <w:sz w:val="52"/>
          <w:szCs w:val="52"/>
        </w:rPr>
        <w:t>Informe Intermedio</w:t>
      </w:r>
      <w:r w:rsidR="002D2AE5">
        <w:rPr>
          <w:b/>
          <w:color w:val="1F4E79" w:themeColor="accent1" w:themeShade="80"/>
          <w:sz w:val="52"/>
          <w:szCs w:val="52"/>
        </w:rPr>
        <w:t xml:space="preserve"> seguimiento Observaciones Finales</w:t>
      </w:r>
    </w:p>
    <w:p w:rsidR="00104248" w:rsidRPr="0073332D" w:rsidRDefault="00104248" w:rsidP="00574F16">
      <w:pPr>
        <w:jc w:val="center"/>
        <w:rPr>
          <w:b/>
          <w:color w:val="1F4E79" w:themeColor="accent1" w:themeShade="80"/>
          <w:sz w:val="52"/>
          <w:szCs w:val="52"/>
        </w:rPr>
      </w:pPr>
      <w:r>
        <w:rPr>
          <w:b/>
          <w:color w:val="1F4E79" w:themeColor="accent1" w:themeShade="80"/>
          <w:sz w:val="52"/>
          <w:szCs w:val="52"/>
        </w:rPr>
        <w:t>6º Examen Periódico PIDESC al Reino de España</w:t>
      </w:r>
    </w:p>
    <w:p w:rsidR="00574F16" w:rsidRDefault="00574F16" w:rsidP="00574F16">
      <w:pPr>
        <w:rPr>
          <w:b/>
          <w:sz w:val="28"/>
          <w:szCs w:val="28"/>
        </w:rPr>
      </w:pPr>
    </w:p>
    <w:p w:rsidR="00574F16" w:rsidRDefault="00574F16" w:rsidP="00574F16">
      <w:pPr>
        <w:rPr>
          <w:b/>
          <w:sz w:val="28"/>
          <w:szCs w:val="28"/>
        </w:rPr>
      </w:pPr>
    </w:p>
    <w:p w:rsidR="00574F16" w:rsidRDefault="00574F16" w:rsidP="00574F16">
      <w:pPr>
        <w:rPr>
          <w:b/>
          <w:sz w:val="28"/>
          <w:szCs w:val="28"/>
        </w:rPr>
      </w:pPr>
    </w:p>
    <w:p w:rsidR="00574F16" w:rsidRDefault="00574F16" w:rsidP="00574F16">
      <w:pPr>
        <w:rPr>
          <w:b/>
          <w:sz w:val="28"/>
          <w:szCs w:val="28"/>
        </w:rPr>
      </w:pPr>
    </w:p>
    <w:p w:rsidR="0073332D" w:rsidRPr="00C03713" w:rsidRDefault="00574F16" w:rsidP="0073332D">
      <w:pPr>
        <w:jc w:val="center"/>
        <w:rPr>
          <w:b/>
          <w:sz w:val="32"/>
          <w:szCs w:val="32"/>
        </w:rPr>
      </w:pPr>
      <w:r w:rsidRPr="00C03713">
        <w:rPr>
          <w:b/>
          <w:sz w:val="32"/>
          <w:szCs w:val="32"/>
        </w:rPr>
        <w:t xml:space="preserve">Contribución escrita </w:t>
      </w:r>
      <w:r w:rsidR="00A826BA" w:rsidRPr="00C03713">
        <w:rPr>
          <w:b/>
          <w:sz w:val="32"/>
          <w:szCs w:val="32"/>
        </w:rPr>
        <w:t xml:space="preserve">de la Plataforma DESC </w:t>
      </w:r>
      <w:r w:rsidR="00A213B8">
        <w:rPr>
          <w:b/>
          <w:sz w:val="32"/>
          <w:szCs w:val="32"/>
        </w:rPr>
        <w:t>España</w:t>
      </w:r>
    </w:p>
    <w:p w:rsidR="00574F16" w:rsidRDefault="00574F16" w:rsidP="00574F16">
      <w:pPr>
        <w:rPr>
          <w:b/>
          <w:sz w:val="28"/>
          <w:szCs w:val="28"/>
        </w:rPr>
      </w:pPr>
    </w:p>
    <w:p w:rsidR="0073332D" w:rsidRDefault="0073332D" w:rsidP="00574F16">
      <w:pPr>
        <w:rPr>
          <w:b/>
          <w:sz w:val="28"/>
          <w:szCs w:val="28"/>
        </w:rPr>
      </w:pPr>
    </w:p>
    <w:p w:rsidR="0073332D" w:rsidRDefault="0073332D" w:rsidP="00574F16">
      <w:pPr>
        <w:rPr>
          <w:b/>
          <w:sz w:val="28"/>
          <w:szCs w:val="28"/>
        </w:rPr>
      </w:pPr>
    </w:p>
    <w:p w:rsidR="0073332D" w:rsidRDefault="0073332D" w:rsidP="00574F16">
      <w:pPr>
        <w:rPr>
          <w:b/>
          <w:sz w:val="28"/>
          <w:szCs w:val="28"/>
        </w:rPr>
      </w:pPr>
    </w:p>
    <w:p w:rsidR="00574F16" w:rsidRDefault="00574F16" w:rsidP="00574F16">
      <w:pPr>
        <w:rPr>
          <w:b/>
          <w:sz w:val="28"/>
          <w:szCs w:val="28"/>
        </w:rPr>
      </w:pPr>
      <w:r>
        <w:rPr>
          <w:b/>
          <w:sz w:val="28"/>
          <w:szCs w:val="28"/>
        </w:rPr>
        <w:t>Dirección:</w:t>
      </w:r>
      <w:r w:rsidR="00C03713">
        <w:rPr>
          <w:b/>
          <w:sz w:val="28"/>
          <w:szCs w:val="28"/>
        </w:rPr>
        <w:t xml:space="preserve"> </w:t>
      </w:r>
      <w:hyperlink r:id="rId9" w:history="1">
        <w:r w:rsidR="005F7CE8" w:rsidRPr="000866B5">
          <w:rPr>
            <w:rStyle w:val="Hipervnculo"/>
            <w:b/>
            <w:sz w:val="28"/>
            <w:szCs w:val="28"/>
          </w:rPr>
          <w:t>plataformadesc@gmail.com</w:t>
        </w:r>
      </w:hyperlink>
      <w:r w:rsidR="005F7CE8">
        <w:rPr>
          <w:b/>
          <w:sz w:val="28"/>
          <w:szCs w:val="28"/>
        </w:rPr>
        <w:t xml:space="preserve"> </w:t>
      </w:r>
    </w:p>
    <w:p w:rsidR="00574F16" w:rsidRPr="005F7CE8" w:rsidRDefault="00574F16" w:rsidP="00574F16">
      <w:pPr>
        <w:rPr>
          <w:b/>
          <w:sz w:val="28"/>
          <w:szCs w:val="28"/>
          <w:lang w:val="en-GB"/>
        </w:rPr>
      </w:pPr>
      <w:r w:rsidRPr="005F7CE8">
        <w:rPr>
          <w:b/>
          <w:sz w:val="28"/>
          <w:szCs w:val="28"/>
          <w:lang w:val="en-GB"/>
        </w:rPr>
        <w:t>Web:</w:t>
      </w:r>
      <w:r w:rsidR="008D16A6" w:rsidRPr="005F7CE8">
        <w:rPr>
          <w:b/>
          <w:sz w:val="28"/>
          <w:szCs w:val="28"/>
          <w:lang w:val="en-GB"/>
        </w:rPr>
        <w:t xml:space="preserve"> </w:t>
      </w:r>
      <w:r w:rsidR="00020621" w:rsidRPr="005F7CE8">
        <w:rPr>
          <w:b/>
          <w:sz w:val="28"/>
          <w:szCs w:val="28"/>
          <w:lang w:val="en-GB"/>
        </w:rPr>
        <w:t>https://plataformadesc.wixsite.com</w:t>
      </w:r>
    </w:p>
    <w:p w:rsidR="00070D05" w:rsidRPr="005F7CE8" w:rsidRDefault="00070D05">
      <w:pPr>
        <w:rPr>
          <w:lang w:val="en-GB"/>
        </w:rPr>
      </w:pPr>
      <w:r w:rsidRPr="005F7CE8">
        <w:rPr>
          <w:lang w:val="en-GB"/>
        </w:rPr>
        <w:br w:type="page"/>
      </w:r>
    </w:p>
    <w:p w:rsidR="00844E83" w:rsidRPr="005F7CE8" w:rsidRDefault="00070D05" w:rsidP="00844E83">
      <w:pPr>
        <w:jc w:val="both"/>
        <w:rPr>
          <w:b/>
          <w:color w:val="1F4E79" w:themeColor="accent1" w:themeShade="80"/>
          <w:sz w:val="24"/>
          <w:szCs w:val="24"/>
          <w:lang w:val="en-GB"/>
        </w:rPr>
      </w:pPr>
      <w:proofErr w:type="spellStart"/>
      <w:r w:rsidRPr="005F7CE8">
        <w:rPr>
          <w:b/>
          <w:color w:val="1F4E79" w:themeColor="accent1" w:themeShade="80"/>
          <w:sz w:val="24"/>
          <w:szCs w:val="24"/>
          <w:lang w:val="en-GB"/>
        </w:rPr>
        <w:lastRenderedPageBreak/>
        <w:t>Presentación</w:t>
      </w:r>
      <w:proofErr w:type="spellEnd"/>
      <w:r w:rsidRPr="005F7CE8">
        <w:rPr>
          <w:b/>
          <w:color w:val="1F4E79" w:themeColor="accent1" w:themeShade="80"/>
          <w:sz w:val="24"/>
          <w:szCs w:val="24"/>
          <w:lang w:val="en-GB"/>
        </w:rPr>
        <w:t xml:space="preserve"> </w:t>
      </w:r>
    </w:p>
    <w:p w:rsidR="00A213B8" w:rsidRPr="00A213B8" w:rsidRDefault="00104248" w:rsidP="00844E83">
      <w:pPr>
        <w:jc w:val="both"/>
        <w:rPr>
          <w:sz w:val="24"/>
          <w:szCs w:val="24"/>
        </w:rPr>
      </w:pPr>
      <w:r w:rsidRPr="00A213B8">
        <w:rPr>
          <w:sz w:val="24"/>
          <w:szCs w:val="24"/>
        </w:rPr>
        <w:t>Como hace pocos días manifestábamos en Ginebra en las pre-sesiones del Examen Periódico Universal a nuestro Estado para 2020</w:t>
      </w:r>
      <w:r w:rsidR="002D2AE5" w:rsidRPr="00A213B8">
        <w:rPr>
          <w:sz w:val="24"/>
          <w:szCs w:val="24"/>
        </w:rPr>
        <w:t>,</w:t>
      </w:r>
      <w:r w:rsidR="00844E83" w:rsidRPr="00A213B8">
        <w:rPr>
          <w:sz w:val="24"/>
          <w:szCs w:val="24"/>
        </w:rPr>
        <w:t xml:space="preserve"> España </w:t>
      </w:r>
      <w:r w:rsidR="00AE76C5" w:rsidRPr="00A213B8">
        <w:rPr>
          <w:sz w:val="24"/>
          <w:szCs w:val="24"/>
        </w:rPr>
        <w:t xml:space="preserve">sigue sufriendo </w:t>
      </w:r>
      <w:r w:rsidR="00844E83" w:rsidRPr="00A213B8">
        <w:rPr>
          <w:sz w:val="24"/>
          <w:szCs w:val="24"/>
        </w:rPr>
        <w:t xml:space="preserve">un grave retroceso de los derechos </w:t>
      </w:r>
      <w:r w:rsidR="00AE76C5" w:rsidRPr="00A213B8">
        <w:rPr>
          <w:sz w:val="24"/>
          <w:szCs w:val="24"/>
        </w:rPr>
        <w:t>económicos, sociales y culturales (DESC). A pesar de la recuperación de algunos indicadores macroeconómicos, l</w:t>
      </w:r>
      <w:r w:rsidR="00844E83" w:rsidRPr="00A213B8">
        <w:rPr>
          <w:sz w:val="24"/>
          <w:szCs w:val="24"/>
        </w:rPr>
        <w:t xml:space="preserve">as </w:t>
      </w:r>
      <w:r w:rsidR="00AE76C5" w:rsidRPr="00A213B8">
        <w:rPr>
          <w:sz w:val="24"/>
          <w:szCs w:val="24"/>
        </w:rPr>
        <w:t>políticas económicas y sociales</w:t>
      </w:r>
      <w:r w:rsidR="0073332D" w:rsidRPr="00A213B8">
        <w:rPr>
          <w:sz w:val="24"/>
          <w:szCs w:val="24"/>
        </w:rPr>
        <w:t>,</w:t>
      </w:r>
      <w:r w:rsidR="00AE76C5" w:rsidRPr="00A213B8">
        <w:rPr>
          <w:sz w:val="24"/>
          <w:szCs w:val="24"/>
        </w:rPr>
        <w:t xml:space="preserve"> así como</w:t>
      </w:r>
      <w:r w:rsidR="00844E83" w:rsidRPr="00A213B8">
        <w:rPr>
          <w:sz w:val="24"/>
          <w:szCs w:val="24"/>
        </w:rPr>
        <w:t xml:space="preserve"> los cambios legislativos </w:t>
      </w:r>
      <w:r w:rsidR="00AE76C5" w:rsidRPr="00A213B8">
        <w:rPr>
          <w:sz w:val="24"/>
          <w:szCs w:val="24"/>
        </w:rPr>
        <w:t xml:space="preserve">adoptados con motivo de la crisis de 2012 se han mantenido, </w:t>
      </w:r>
      <w:r w:rsidR="00AE76C5" w:rsidRPr="00A213B8">
        <w:rPr>
          <w:b/>
          <w:sz w:val="24"/>
          <w:szCs w:val="24"/>
        </w:rPr>
        <w:t>generando</w:t>
      </w:r>
      <w:r w:rsidR="00844E83" w:rsidRPr="00A213B8">
        <w:rPr>
          <w:b/>
          <w:sz w:val="24"/>
          <w:szCs w:val="24"/>
        </w:rPr>
        <w:t xml:space="preserve"> inequidad, discriminación y desprotección</w:t>
      </w:r>
      <w:r w:rsidR="00844E83" w:rsidRPr="00A213B8">
        <w:rPr>
          <w:sz w:val="24"/>
          <w:szCs w:val="24"/>
        </w:rPr>
        <w:t xml:space="preserve"> en una gran parte de la población.</w:t>
      </w:r>
      <w:r w:rsidR="00A213B8" w:rsidRPr="00A213B8">
        <w:rPr>
          <w:sz w:val="24"/>
          <w:szCs w:val="24"/>
        </w:rPr>
        <w:t xml:space="preserve"> </w:t>
      </w:r>
    </w:p>
    <w:p w:rsidR="00844E83" w:rsidRPr="00A213B8" w:rsidRDefault="00844E83" w:rsidP="00844E83">
      <w:pPr>
        <w:jc w:val="both"/>
        <w:rPr>
          <w:sz w:val="24"/>
          <w:szCs w:val="24"/>
        </w:rPr>
      </w:pPr>
      <w:r w:rsidRPr="00A213B8">
        <w:rPr>
          <w:b/>
          <w:sz w:val="24"/>
          <w:szCs w:val="24"/>
        </w:rPr>
        <w:t>España ha desatendido sistemáticamente</w:t>
      </w:r>
      <w:r w:rsidRPr="00A213B8">
        <w:rPr>
          <w:sz w:val="24"/>
          <w:szCs w:val="24"/>
        </w:rPr>
        <w:t xml:space="preserve"> tanto las recomendaciones realizadas </w:t>
      </w:r>
      <w:r w:rsidR="00AE76C5" w:rsidRPr="00A213B8">
        <w:rPr>
          <w:sz w:val="24"/>
          <w:szCs w:val="24"/>
        </w:rPr>
        <w:t xml:space="preserve">en el anterior </w:t>
      </w:r>
      <w:r w:rsidR="00E4293A" w:rsidRPr="00A213B8">
        <w:rPr>
          <w:sz w:val="24"/>
          <w:szCs w:val="24"/>
        </w:rPr>
        <w:t>Examen Periódico Universal (</w:t>
      </w:r>
      <w:r w:rsidR="00AE76C5" w:rsidRPr="00A213B8">
        <w:rPr>
          <w:sz w:val="24"/>
          <w:szCs w:val="24"/>
        </w:rPr>
        <w:t>EPU</w:t>
      </w:r>
      <w:r w:rsidR="00E4293A" w:rsidRPr="00A213B8">
        <w:rPr>
          <w:sz w:val="24"/>
          <w:szCs w:val="24"/>
        </w:rPr>
        <w:t>)</w:t>
      </w:r>
      <w:r w:rsidR="00AE76C5" w:rsidRPr="00A213B8">
        <w:rPr>
          <w:sz w:val="24"/>
          <w:szCs w:val="24"/>
        </w:rPr>
        <w:t xml:space="preserve"> como las realizadas por el </w:t>
      </w:r>
      <w:r w:rsidRPr="00A213B8">
        <w:rPr>
          <w:sz w:val="24"/>
          <w:szCs w:val="24"/>
        </w:rPr>
        <w:t xml:space="preserve">Comité DESC </w:t>
      </w:r>
      <w:r w:rsidR="00AE76C5" w:rsidRPr="00A213B8">
        <w:rPr>
          <w:sz w:val="24"/>
          <w:szCs w:val="24"/>
        </w:rPr>
        <w:t>y por</w:t>
      </w:r>
      <w:r w:rsidRPr="00A213B8">
        <w:rPr>
          <w:sz w:val="24"/>
          <w:szCs w:val="24"/>
        </w:rPr>
        <w:t xml:space="preserve"> diversos organismos de las Naciones Unidas </w:t>
      </w:r>
      <w:r w:rsidR="00166D35" w:rsidRPr="00A213B8">
        <w:rPr>
          <w:sz w:val="24"/>
          <w:szCs w:val="24"/>
        </w:rPr>
        <w:t xml:space="preserve">(NNUU) </w:t>
      </w:r>
      <w:r w:rsidRPr="00A213B8">
        <w:rPr>
          <w:sz w:val="24"/>
          <w:szCs w:val="24"/>
        </w:rPr>
        <w:t>que han reiterado la necesidad de cambios en las leyes y políticas españolas para cumplir con sus obligaciones internacionales.</w:t>
      </w:r>
    </w:p>
    <w:p w:rsidR="00A213B8" w:rsidRDefault="00844E83" w:rsidP="00844E83">
      <w:pPr>
        <w:jc w:val="both"/>
        <w:rPr>
          <w:sz w:val="24"/>
          <w:szCs w:val="24"/>
        </w:rPr>
      </w:pPr>
      <w:r w:rsidRPr="00A213B8">
        <w:rPr>
          <w:b/>
          <w:sz w:val="24"/>
          <w:szCs w:val="24"/>
        </w:rPr>
        <w:t>Las medidas de austeridad</w:t>
      </w:r>
      <w:r w:rsidRPr="00A213B8">
        <w:rPr>
          <w:sz w:val="24"/>
          <w:szCs w:val="24"/>
        </w:rPr>
        <w:t xml:space="preserve">, de carácter fuertemente restrictivo, que se </w:t>
      </w:r>
      <w:r w:rsidR="000333AA" w:rsidRPr="00A213B8">
        <w:rPr>
          <w:sz w:val="24"/>
          <w:szCs w:val="24"/>
        </w:rPr>
        <w:t>adoptaron</w:t>
      </w:r>
      <w:r w:rsidRPr="00A213B8">
        <w:rPr>
          <w:sz w:val="24"/>
          <w:szCs w:val="24"/>
        </w:rPr>
        <w:t xml:space="preserve"> en el contexto d</w:t>
      </w:r>
      <w:r w:rsidR="000333AA" w:rsidRPr="00A213B8">
        <w:rPr>
          <w:sz w:val="24"/>
          <w:szCs w:val="24"/>
        </w:rPr>
        <w:t>e crisis económica y financiera</w:t>
      </w:r>
      <w:r w:rsidR="00AE76C5" w:rsidRPr="00A213B8">
        <w:rPr>
          <w:sz w:val="24"/>
          <w:szCs w:val="24"/>
        </w:rPr>
        <w:t xml:space="preserve"> y que </w:t>
      </w:r>
      <w:r w:rsidRPr="00A213B8">
        <w:rPr>
          <w:sz w:val="24"/>
          <w:szCs w:val="24"/>
        </w:rPr>
        <w:t>no han protegido el contenido mínimo esencial de los derechos del Pacto</w:t>
      </w:r>
      <w:r w:rsidR="00AE76C5" w:rsidRPr="00A213B8">
        <w:rPr>
          <w:sz w:val="24"/>
          <w:szCs w:val="24"/>
        </w:rPr>
        <w:t xml:space="preserve">, se mantienen a día de hoy. Esto ha </w:t>
      </w:r>
      <w:r w:rsidRPr="00A213B8">
        <w:rPr>
          <w:sz w:val="24"/>
          <w:szCs w:val="24"/>
        </w:rPr>
        <w:t>supuesto una</w:t>
      </w:r>
      <w:r w:rsidR="000333AA" w:rsidRPr="00A213B8">
        <w:rPr>
          <w:sz w:val="24"/>
          <w:szCs w:val="24"/>
        </w:rPr>
        <w:t xml:space="preserve"> continua</w:t>
      </w:r>
      <w:r w:rsidRPr="00A213B8">
        <w:rPr>
          <w:sz w:val="24"/>
          <w:szCs w:val="24"/>
        </w:rPr>
        <w:t xml:space="preserve"> regresión en los derechos de gran parte de la ciudadanía y muy en especial de los grupos que sufren mayor discriminación, como son la población migrante y refugiada, comunidad gitana, personas con discapacidad, personas LGTBI y personas sin hogar.</w:t>
      </w:r>
      <w:r w:rsidR="00A213B8" w:rsidRPr="00A213B8">
        <w:rPr>
          <w:sz w:val="24"/>
          <w:szCs w:val="24"/>
        </w:rPr>
        <w:t xml:space="preserve"> </w:t>
      </w:r>
    </w:p>
    <w:p w:rsidR="00104248" w:rsidRPr="00A213B8" w:rsidRDefault="00844E83" w:rsidP="00844E83">
      <w:pPr>
        <w:jc w:val="both"/>
        <w:rPr>
          <w:sz w:val="24"/>
          <w:szCs w:val="24"/>
        </w:rPr>
      </w:pPr>
      <w:r w:rsidRPr="00A213B8">
        <w:rPr>
          <w:b/>
          <w:sz w:val="24"/>
          <w:szCs w:val="24"/>
        </w:rPr>
        <w:t>El contexto socioeconómico provocado por las políticas de recorte en el gasto público</w:t>
      </w:r>
      <w:r w:rsidRPr="00A213B8">
        <w:rPr>
          <w:sz w:val="24"/>
          <w:szCs w:val="24"/>
        </w:rPr>
        <w:t>, los cambios legislativos ineficaces y limitados, la desregulación del mercado laboral, la progresiva condicionalidad en el acceso a las prestaciones del sistema público de servicios sociales, la prevalencia concedida al cumplimiento del objetivo de déficit presupuestario frente a cualquier otro gasto público y la falta de justiciabilidad de los DESC han tenido graves repercusiones en el ejercicio y garantías de los derechos de la población.</w:t>
      </w:r>
    </w:p>
    <w:p w:rsidR="00104248" w:rsidRPr="00A213B8" w:rsidRDefault="002D2AE5" w:rsidP="00844E83">
      <w:pPr>
        <w:jc w:val="both"/>
        <w:rPr>
          <w:sz w:val="24"/>
          <w:szCs w:val="24"/>
        </w:rPr>
      </w:pPr>
      <w:r w:rsidRPr="00A213B8">
        <w:rPr>
          <w:b/>
          <w:sz w:val="24"/>
          <w:szCs w:val="24"/>
        </w:rPr>
        <w:t>En el</w:t>
      </w:r>
      <w:r w:rsidR="00104248" w:rsidRPr="00A213B8">
        <w:rPr>
          <w:b/>
          <w:sz w:val="24"/>
          <w:szCs w:val="24"/>
        </w:rPr>
        <w:t xml:space="preserve"> 6º Informe Periódico PIDESC</w:t>
      </w:r>
      <w:r w:rsidR="00D53468" w:rsidRPr="00A213B8">
        <w:rPr>
          <w:b/>
          <w:sz w:val="24"/>
          <w:szCs w:val="24"/>
        </w:rPr>
        <w:t xml:space="preserve"> a España, el Comité </w:t>
      </w:r>
      <w:r w:rsidR="00104248" w:rsidRPr="00A213B8">
        <w:rPr>
          <w:b/>
          <w:sz w:val="24"/>
          <w:szCs w:val="24"/>
        </w:rPr>
        <w:t xml:space="preserve">estableció </w:t>
      </w:r>
      <w:r w:rsidR="00D53468" w:rsidRPr="00A213B8">
        <w:rPr>
          <w:b/>
          <w:sz w:val="24"/>
          <w:szCs w:val="24"/>
        </w:rPr>
        <w:t xml:space="preserve">– párrafo 55- </w:t>
      </w:r>
      <w:r w:rsidR="00104248" w:rsidRPr="00A213B8">
        <w:rPr>
          <w:b/>
          <w:sz w:val="24"/>
          <w:szCs w:val="24"/>
        </w:rPr>
        <w:t>un plazo de 18 meses para</w:t>
      </w:r>
      <w:r w:rsidRPr="00A213B8">
        <w:rPr>
          <w:b/>
          <w:sz w:val="24"/>
          <w:szCs w:val="24"/>
        </w:rPr>
        <w:t xml:space="preserve"> que</w:t>
      </w:r>
      <w:r w:rsidR="00104248" w:rsidRPr="00A213B8">
        <w:rPr>
          <w:b/>
          <w:sz w:val="24"/>
          <w:szCs w:val="24"/>
        </w:rPr>
        <w:t xml:space="preserve"> </w:t>
      </w:r>
      <w:r w:rsidR="00D53468" w:rsidRPr="00A213B8">
        <w:rPr>
          <w:b/>
          <w:sz w:val="24"/>
          <w:szCs w:val="24"/>
        </w:rPr>
        <w:t xml:space="preserve">su Gobierno </w:t>
      </w:r>
      <w:r w:rsidRPr="00A213B8">
        <w:rPr>
          <w:b/>
          <w:sz w:val="24"/>
          <w:szCs w:val="24"/>
        </w:rPr>
        <w:t>informara</w:t>
      </w:r>
      <w:r w:rsidR="00104248" w:rsidRPr="00A213B8">
        <w:rPr>
          <w:b/>
          <w:sz w:val="24"/>
          <w:szCs w:val="24"/>
        </w:rPr>
        <w:t xml:space="preserve"> </w:t>
      </w:r>
      <w:r w:rsidRPr="00A213B8">
        <w:rPr>
          <w:b/>
          <w:sz w:val="24"/>
          <w:szCs w:val="24"/>
        </w:rPr>
        <w:t>sobre la aplicación de las recomendaciones formuladas en los párrafos 14 (medidas de austeridad), 38 (desahu</w:t>
      </w:r>
      <w:r w:rsidR="00D53468" w:rsidRPr="00A213B8">
        <w:rPr>
          <w:b/>
          <w:sz w:val="24"/>
          <w:szCs w:val="24"/>
        </w:rPr>
        <w:t>cios) y 42 (derecho a la salud).</w:t>
      </w:r>
      <w:r w:rsidR="00A213B8" w:rsidRPr="00A213B8">
        <w:rPr>
          <w:sz w:val="24"/>
          <w:szCs w:val="24"/>
        </w:rPr>
        <w:t xml:space="preserve"> </w:t>
      </w:r>
      <w:r w:rsidRPr="00A213B8">
        <w:rPr>
          <w:sz w:val="24"/>
          <w:szCs w:val="24"/>
        </w:rPr>
        <w:t>Con fecha 25 de octubre, el Gobierno e</w:t>
      </w:r>
      <w:r w:rsidR="00D53468" w:rsidRPr="00A213B8">
        <w:rPr>
          <w:sz w:val="24"/>
          <w:szCs w:val="24"/>
        </w:rPr>
        <w:t>spañol ha presentado una respuesta informando de cada una de ellas</w:t>
      </w:r>
      <w:r w:rsidRPr="00A213B8">
        <w:rPr>
          <w:sz w:val="24"/>
          <w:szCs w:val="24"/>
        </w:rPr>
        <w:t xml:space="preserve">, y </w:t>
      </w:r>
      <w:r w:rsidRPr="00A213B8">
        <w:rPr>
          <w:b/>
          <w:sz w:val="24"/>
          <w:szCs w:val="24"/>
        </w:rPr>
        <w:t xml:space="preserve">como </w:t>
      </w:r>
      <w:proofErr w:type="spellStart"/>
      <w:r w:rsidRPr="00A213B8">
        <w:rPr>
          <w:b/>
          <w:sz w:val="24"/>
          <w:szCs w:val="24"/>
        </w:rPr>
        <w:t>PlatDESC</w:t>
      </w:r>
      <w:proofErr w:type="spellEnd"/>
      <w:r w:rsidRPr="00A213B8">
        <w:rPr>
          <w:b/>
          <w:sz w:val="24"/>
          <w:szCs w:val="24"/>
        </w:rPr>
        <w:t xml:space="preserve"> España, venimos en este momen</w:t>
      </w:r>
      <w:r w:rsidR="00D53468" w:rsidRPr="00A213B8">
        <w:rPr>
          <w:b/>
          <w:sz w:val="24"/>
          <w:szCs w:val="24"/>
        </w:rPr>
        <w:t>to a llevar a cabo la nuestra ante este Comité de Derechos Económicos, Sociales y Culturales</w:t>
      </w:r>
      <w:r w:rsidR="00D53468" w:rsidRPr="00A213B8">
        <w:rPr>
          <w:sz w:val="24"/>
          <w:szCs w:val="24"/>
        </w:rPr>
        <w:t>.</w:t>
      </w:r>
    </w:p>
    <w:p w:rsidR="00DD6DA0" w:rsidRPr="00A213B8" w:rsidRDefault="00DD6DA0" w:rsidP="00167C80">
      <w:pPr>
        <w:spacing w:after="0" w:line="240" w:lineRule="auto"/>
        <w:jc w:val="both"/>
        <w:rPr>
          <w:rFonts w:cstheme="minorHAnsi"/>
          <w:b/>
          <w:sz w:val="24"/>
          <w:szCs w:val="24"/>
        </w:rPr>
      </w:pPr>
    </w:p>
    <w:p w:rsidR="00BF2BC5" w:rsidRPr="00A213B8" w:rsidRDefault="00BF2BC5" w:rsidP="00A213B8">
      <w:pPr>
        <w:shd w:val="clear" w:color="auto" w:fill="1F4E79" w:themeFill="accent1" w:themeFillShade="80"/>
        <w:spacing w:after="0" w:line="240" w:lineRule="auto"/>
        <w:jc w:val="both"/>
        <w:rPr>
          <w:rFonts w:cstheme="minorHAnsi"/>
          <w:b/>
          <w:color w:val="FFFFFF" w:themeColor="background1"/>
          <w:sz w:val="24"/>
          <w:szCs w:val="24"/>
        </w:rPr>
      </w:pPr>
      <w:r w:rsidRPr="00A213B8">
        <w:rPr>
          <w:rFonts w:cstheme="minorHAnsi"/>
          <w:b/>
          <w:color w:val="FFFFFF" w:themeColor="background1"/>
          <w:sz w:val="24"/>
          <w:szCs w:val="24"/>
        </w:rPr>
        <w:t>DERECHO A LA VIVIENDA</w:t>
      </w:r>
      <w:r w:rsidR="00D53468" w:rsidRPr="00A213B8">
        <w:rPr>
          <w:rFonts w:cstheme="minorHAnsi"/>
          <w:b/>
          <w:color w:val="FFFFFF" w:themeColor="background1"/>
          <w:sz w:val="24"/>
          <w:szCs w:val="24"/>
        </w:rPr>
        <w:t>: párrafo 38 6º Informe Periódico PIDESC</w:t>
      </w:r>
    </w:p>
    <w:p w:rsidR="00A213B8" w:rsidRDefault="00A213B8" w:rsidP="00AE0B9A">
      <w:pPr>
        <w:spacing w:after="0" w:line="240" w:lineRule="auto"/>
        <w:jc w:val="both"/>
        <w:rPr>
          <w:rFonts w:cstheme="minorHAnsi"/>
          <w:b/>
          <w:sz w:val="24"/>
          <w:szCs w:val="24"/>
        </w:rPr>
      </w:pPr>
    </w:p>
    <w:p w:rsidR="00A213B8" w:rsidRPr="00A213B8" w:rsidRDefault="0010436B" w:rsidP="00AE0B9A">
      <w:pPr>
        <w:spacing w:after="0" w:line="240" w:lineRule="auto"/>
        <w:jc w:val="both"/>
        <w:rPr>
          <w:rFonts w:cstheme="minorHAnsi"/>
          <w:sz w:val="24"/>
          <w:szCs w:val="24"/>
        </w:rPr>
      </w:pPr>
      <w:r w:rsidRPr="00A213B8">
        <w:rPr>
          <w:rFonts w:cstheme="minorHAnsi"/>
          <w:b/>
          <w:sz w:val="24"/>
          <w:szCs w:val="24"/>
        </w:rPr>
        <w:t>Párrafo 38:</w:t>
      </w:r>
      <w:r w:rsidRPr="00A213B8">
        <w:rPr>
          <w:rFonts w:cstheme="minorHAnsi"/>
          <w:sz w:val="24"/>
          <w:szCs w:val="24"/>
        </w:rPr>
        <w:t xml:space="preserve"> </w:t>
      </w:r>
      <w:r w:rsidRPr="00A213B8">
        <w:rPr>
          <w:rFonts w:cstheme="minorHAnsi"/>
          <w:i/>
          <w:sz w:val="24"/>
          <w:szCs w:val="24"/>
        </w:rPr>
        <w:t xml:space="preserve">El Comité reitera su anterior recomendación (E/C.12/ESP/CO/5, párr. 22) e insta al Estado parte a que adopte </w:t>
      </w:r>
      <w:r w:rsidRPr="00A213B8">
        <w:rPr>
          <w:rFonts w:cstheme="minorHAnsi"/>
          <w:b/>
          <w:i/>
          <w:sz w:val="24"/>
          <w:szCs w:val="24"/>
        </w:rPr>
        <w:t>un marco legislativo que establezca requisitos y procedimientos adecuados para llevar a cabo desahucios o desalojos forzados, que entre otros incorpore los principios de razonabilidad y proporcionalidad, así como las debidas garantías legales y procesales</w:t>
      </w:r>
      <w:r w:rsidRPr="00A213B8">
        <w:rPr>
          <w:rFonts w:cstheme="minorHAnsi"/>
          <w:i/>
          <w:sz w:val="24"/>
          <w:szCs w:val="24"/>
        </w:rPr>
        <w:t xml:space="preserve"> para las personas afectadas; asegurando que las personas afectadas tengan acceso a una compensación o la opción de una vivienda alternativa adecuada; sean informadas con un plazo suficiente y razonable de notificación sobre las decisiones que ordenen los desahucios y tengan acceso a un recurso judicial efectivo. El Comité recomienda al Estado parte que adopte </w:t>
      </w:r>
      <w:r w:rsidRPr="00A213B8">
        <w:rPr>
          <w:rFonts w:cstheme="minorHAnsi"/>
          <w:b/>
          <w:i/>
          <w:sz w:val="24"/>
          <w:szCs w:val="24"/>
        </w:rPr>
        <w:t>un protocolo de actuación en casos de desahucios que asegure una coordinación adecuada entre los tribunales y los servicios sociales locales</w:t>
      </w:r>
      <w:r w:rsidRPr="00A213B8">
        <w:rPr>
          <w:rFonts w:cstheme="minorHAnsi"/>
          <w:i/>
          <w:sz w:val="24"/>
          <w:szCs w:val="24"/>
        </w:rPr>
        <w:t xml:space="preserve">, así como entre los servicios sociales mismos, a fin de brindar una protección adecuada a las personas que puedan quedarse sin hogar como resultado del desahucio. </w:t>
      </w:r>
      <w:r w:rsidRPr="00A213B8">
        <w:rPr>
          <w:rFonts w:cstheme="minorHAnsi"/>
          <w:i/>
          <w:sz w:val="24"/>
          <w:szCs w:val="24"/>
        </w:rPr>
        <w:lastRenderedPageBreak/>
        <w:t xml:space="preserve">El Comité señala a la atención del Estado parte su Observación General N° 7 (1997) sobre los desalojos forzosos.  </w:t>
      </w:r>
    </w:p>
    <w:p w:rsidR="00A213B8" w:rsidRPr="00A213B8" w:rsidRDefault="00A213B8" w:rsidP="00AE0B9A">
      <w:pPr>
        <w:spacing w:after="0" w:line="240" w:lineRule="auto"/>
        <w:jc w:val="both"/>
        <w:rPr>
          <w:rFonts w:cstheme="minorHAnsi"/>
          <w:b/>
          <w:sz w:val="24"/>
          <w:szCs w:val="24"/>
        </w:rPr>
      </w:pPr>
    </w:p>
    <w:p w:rsidR="00AE0B9A" w:rsidRPr="00A213B8" w:rsidRDefault="00AE0B9A" w:rsidP="00AE0B9A">
      <w:pPr>
        <w:spacing w:after="0" w:line="240" w:lineRule="auto"/>
        <w:jc w:val="both"/>
        <w:rPr>
          <w:rFonts w:cstheme="minorHAnsi"/>
          <w:sz w:val="24"/>
          <w:szCs w:val="24"/>
        </w:rPr>
      </w:pPr>
      <w:r w:rsidRPr="00A213B8">
        <w:rPr>
          <w:rFonts w:cstheme="minorHAnsi"/>
          <w:b/>
          <w:sz w:val="24"/>
          <w:szCs w:val="24"/>
        </w:rPr>
        <w:t>Actualmente estamos inmersos en la mayor crisis de asequibilidad de la vivienda de este país</w:t>
      </w:r>
      <w:r w:rsidRPr="00A213B8">
        <w:rPr>
          <w:rFonts w:cstheme="minorHAnsi"/>
          <w:sz w:val="24"/>
          <w:szCs w:val="24"/>
        </w:rPr>
        <w:t xml:space="preserve">, debido a la combinación de la </w:t>
      </w:r>
      <w:r w:rsidRPr="00A213B8">
        <w:rPr>
          <w:rFonts w:cstheme="minorHAnsi"/>
          <w:b/>
          <w:sz w:val="24"/>
          <w:szCs w:val="24"/>
        </w:rPr>
        <w:t>reducción de la renta familiar y al enorme aumento de precios de la vivienda en alquiler y en compra.</w:t>
      </w:r>
      <w:r w:rsidRPr="00A213B8">
        <w:rPr>
          <w:rFonts w:cstheme="minorHAnsi"/>
          <w:sz w:val="24"/>
          <w:szCs w:val="24"/>
        </w:rPr>
        <w:t xml:space="preserve">  El precio del alquiler se incrementó desde diciembre de 2017 a diciembre de 2018 un 9,3%</w:t>
      </w:r>
      <w:r w:rsidRPr="00A213B8">
        <w:rPr>
          <w:rStyle w:val="Refdenotaalpie"/>
          <w:rFonts w:cstheme="minorHAnsi"/>
          <w:sz w:val="24"/>
          <w:szCs w:val="24"/>
        </w:rPr>
        <w:footnoteReference w:id="1"/>
      </w:r>
      <w:r w:rsidRPr="00A213B8">
        <w:rPr>
          <w:rFonts w:cstheme="minorHAnsi"/>
          <w:sz w:val="24"/>
          <w:szCs w:val="24"/>
        </w:rPr>
        <w:t xml:space="preserve">. El 7,3% de los hogares españoles ha tenido retrasos en los pagos relacionados con vivienda, cifra que aumenta al 30,5% cuando nos centramos en las personas con menor renta (primer </w:t>
      </w:r>
      <w:proofErr w:type="spellStart"/>
      <w:r w:rsidRPr="00A213B8">
        <w:rPr>
          <w:rFonts w:cstheme="minorHAnsi"/>
          <w:sz w:val="24"/>
          <w:szCs w:val="24"/>
        </w:rPr>
        <w:t>decil</w:t>
      </w:r>
      <w:proofErr w:type="spellEnd"/>
      <w:r w:rsidRPr="00A213B8">
        <w:rPr>
          <w:rFonts w:cstheme="minorHAnsi"/>
          <w:sz w:val="24"/>
          <w:szCs w:val="24"/>
        </w:rPr>
        <w:t>)</w:t>
      </w:r>
      <w:r w:rsidRPr="00A213B8">
        <w:rPr>
          <w:rStyle w:val="Refdenotaalpie"/>
          <w:rFonts w:cstheme="minorHAnsi"/>
          <w:sz w:val="24"/>
          <w:szCs w:val="24"/>
        </w:rPr>
        <w:footnoteReference w:id="2"/>
      </w:r>
    </w:p>
    <w:p w:rsidR="00AE0B9A" w:rsidRPr="00A213B8" w:rsidRDefault="00AE0B9A" w:rsidP="00AE0B9A">
      <w:pPr>
        <w:spacing w:after="0" w:line="240" w:lineRule="auto"/>
        <w:jc w:val="both"/>
        <w:rPr>
          <w:rFonts w:cstheme="minorHAnsi"/>
          <w:sz w:val="24"/>
          <w:szCs w:val="24"/>
        </w:rPr>
      </w:pPr>
    </w:p>
    <w:p w:rsidR="0010436B" w:rsidRPr="00A213B8" w:rsidRDefault="00AE0B9A" w:rsidP="00AE0B9A">
      <w:pPr>
        <w:spacing w:after="0" w:line="240" w:lineRule="auto"/>
        <w:jc w:val="both"/>
        <w:rPr>
          <w:rFonts w:cstheme="minorHAnsi"/>
          <w:sz w:val="24"/>
          <w:szCs w:val="24"/>
        </w:rPr>
      </w:pPr>
      <w:r w:rsidRPr="00A213B8">
        <w:rPr>
          <w:rFonts w:cstheme="minorHAnsi"/>
          <w:sz w:val="24"/>
          <w:szCs w:val="24"/>
        </w:rPr>
        <w:t xml:space="preserve">La pérdida de vivienda afecta cada vez más a las personas que viven de alquiler: en 2018 se produjeron </w:t>
      </w:r>
      <w:r w:rsidRPr="00A213B8">
        <w:rPr>
          <w:rFonts w:cstheme="minorHAnsi"/>
          <w:b/>
          <w:sz w:val="24"/>
          <w:szCs w:val="24"/>
        </w:rPr>
        <w:t>44.000</w:t>
      </w:r>
      <w:r w:rsidR="0010436B" w:rsidRPr="00A213B8">
        <w:rPr>
          <w:rFonts w:cstheme="minorHAnsi"/>
          <w:b/>
          <w:sz w:val="24"/>
          <w:szCs w:val="24"/>
        </w:rPr>
        <w:t xml:space="preserve"> desahucios</w:t>
      </w:r>
      <w:r w:rsidRPr="00A213B8">
        <w:rPr>
          <w:rFonts w:cstheme="minorHAnsi"/>
          <w:sz w:val="24"/>
          <w:szCs w:val="24"/>
        </w:rPr>
        <w:t>, de los que el 62%, 27.700, son consecuencia de la Ley de Arrendamientos Urbanos (Impacto de la crisis en los órganos judiciales, CGPJ)</w:t>
      </w:r>
      <w:r w:rsidRPr="00A213B8">
        <w:rPr>
          <w:rStyle w:val="Refdenotaalpie"/>
          <w:rFonts w:cstheme="minorHAnsi"/>
          <w:sz w:val="24"/>
          <w:szCs w:val="24"/>
        </w:rPr>
        <w:footnoteReference w:id="3"/>
      </w:r>
      <w:r w:rsidRPr="00A213B8">
        <w:rPr>
          <w:rFonts w:cstheme="minorHAnsi"/>
          <w:sz w:val="24"/>
          <w:szCs w:val="24"/>
        </w:rPr>
        <w:t>. Hay 3.443.365</w:t>
      </w:r>
      <w:r w:rsidRPr="00A213B8">
        <w:rPr>
          <w:rStyle w:val="Refdenotaalpie"/>
          <w:rFonts w:cstheme="minorHAnsi"/>
          <w:sz w:val="24"/>
          <w:szCs w:val="24"/>
        </w:rPr>
        <w:footnoteReference w:id="4"/>
      </w:r>
      <w:r w:rsidRPr="00A213B8">
        <w:rPr>
          <w:rFonts w:cstheme="minorHAnsi"/>
          <w:sz w:val="24"/>
          <w:szCs w:val="24"/>
        </w:rPr>
        <w:t xml:space="preserve"> viviendas vacías mientras que tan solo un </w:t>
      </w:r>
      <w:r w:rsidRPr="00A213B8">
        <w:rPr>
          <w:rFonts w:cstheme="minorHAnsi"/>
          <w:b/>
          <w:sz w:val="24"/>
          <w:szCs w:val="24"/>
        </w:rPr>
        <w:t>2%</w:t>
      </w:r>
      <w:r w:rsidRPr="00A213B8">
        <w:rPr>
          <w:rStyle w:val="Refdenotaalpie"/>
          <w:rFonts w:cstheme="minorHAnsi"/>
          <w:b/>
          <w:sz w:val="24"/>
          <w:szCs w:val="24"/>
        </w:rPr>
        <w:footnoteReference w:id="5"/>
      </w:r>
      <w:r w:rsidRPr="00A213B8">
        <w:rPr>
          <w:rFonts w:cstheme="minorHAnsi"/>
          <w:b/>
          <w:sz w:val="24"/>
          <w:szCs w:val="24"/>
        </w:rPr>
        <w:t xml:space="preserve"> del parque residencial son viviendas protegidas</w:t>
      </w:r>
      <w:r w:rsidRPr="00A213B8">
        <w:rPr>
          <w:rFonts w:cstheme="minorHAnsi"/>
          <w:sz w:val="24"/>
          <w:szCs w:val="24"/>
        </w:rPr>
        <w:t>, cifras claramente insuficientes para cubrir las necesidades sociales. Más de 30.000</w:t>
      </w:r>
      <w:r w:rsidRPr="00A213B8">
        <w:rPr>
          <w:rStyle w:val="Refdenotaalpie"/>
          <w:rFonts w:cstheme="minorHAnsi"/>
          <w:sz w:val="24"/>
          <w:szCs w:val="24"/>
        </w:rPr>
        <w:footnoteReference w:id="6"/>
      </w:r>
      <w:r w:rsidRPr="00A213B8">
        <w:rPr>
          <w:rFonts w:cstheme="minorHAnsi"/>
          <w:sz w:val="24"/>
          <w:szCs w:val="24"/>
        </w:rPr>
        <w:t xml:space="preserve"> personas están sin hogar en España (la Estrategia Nacional de Personas sin Hogar de 2015</w:t>
      </w:r>
      <w:r w:rsidRPr="00A213B8">
        <w:rPr>
          <w:rStyle w:val="Refdenotaalpie"/>
          <w:rFonts w:cstheme="minorHAnsi"/>
          <w:sz w:val="24"/>
          <w:szCs w:val="24"/>
        </w:rPr>
        <w:footnoteReference w:id="7"/>
      </w:r>
      <w:r w:rsidRPr="00A213B8">
        <w:rPr>
          <w:rFonts w:cstheme="minorHAnsi"/>
          <w:sz w:val="24"/>
          <w:szCs w:val="24"/>
        </w:rPr>
        <w:t xml:space="preserve"> no ha tenido implementación ni ha contado con presupuesto alguno para llevarse a cabo); más de </w:t>
      </w:r>
      <w:r w:rsidRPr="00A213B8">
        <w:rPr>
          <w:rFonts w:cstheme="minorHAnsi"/>
          <w:b/>
          <w:sz w:val="24"/>
          <w:szCs w:val="24"/>
        </w:rPr>
        <w:t>400.000</w:t>
      </w:r>
      <w:r w:rsidRPr="00A213B8">
        <w:rPr>
          <w:rStyle w:val="Refdenotaalpie"/>
          <w:rFonts w:cstheme="minorHAnsi"/>
          <w:b/>
          <w:sz w:val="24"/>
          <w:szCs w:val="24"/>
        </w:rPr>
        <w:footnoteReference w:id="8"/>
      </w:r>
      <w:r w:rsidRPr="00A213B8">
        <w:rPr>
          <w:rFonts w:cstheme="minorHAnsi"/>
          <w:b/>
          <w:sz w:val="24"/>
          <w:szCs w:val="24"/>
        </w:rPr>
        <w:t xml:space="preserve"> personas están inscritas en los registros de solicitud de vivienda pública.</w:t>
      </w:r>
      <w:r w:rsidRPr="00A213B8">
        <w:rPr>
          <w:rFonts w:cstheme="minorHAnsi"/>
          <w:sz w:val="24"/>
          <w:szCs w:val="24"/>
        </w:rPr>
        <w:t xml:space="preserve"> Se estima que es necesario un parque de vivienda de 1,5 millones de vivienda sociales para cubrir la demanda, sin embargo, estamos lejos de esta realidad</w:t>
      </w:r>
      <w:r w:rsidRPr="00A213B8">
        <w:rPr>
          <w:rStyle w:val="Refdenotaalpie"/>
          <w:rFonts w:cstheme="minorHAnsi"/>
          <w:sz w:val="24"/>
          <w:szCs w:val="24"/>
        </w:rPr>
        <w:footnoteReference w:id="9"/>
      </w:r>
      <w:r w:rsidRPr="00A213B8">
        <w:rPr>
          <w:rFonts w:cstheme="minorHAnsi"/>
          <w:sz w:val="24"/>
          <w:szCs w:val="24"/>
        </w:rPr>
        <w:t>; un 9,6% de la población no podían mantener una temperatura adecuada de su vivienda en los meses fríos del año, algo que aumenta al 24,2% para las personas con menos ingresos</w:t>
      </w:r>
      <w:r w:rsidRPr="00A213B8">
        <w:rPr>
          <w:rStyle w:val="Refdenotaalpie"/>
          <w:rFonts w:cstheme="minorHAnsi"/>
          <w:sz w:val="24"/>
          <w:szCs w:val="24"/>
        </w:rPr>
        <w:footnoteReference w:id="10"/>
      </w:r>
      <w:r w:rsidRPr="00A213B8">
        <w:rPr>
          <w:rFonts w:cstheme="minorHAnsi"/>
          <w:sz w:val="24"/>
          <w:szCs w:val="24"/>
        </w:rPr>
        <w:t>; el 13,6% de la población tiene problemas para pagar la hipoteca, el alquiler, y los insumos necesarios para la vida digna; el 7,4% tiene retrasos en el pago del alquiler/hipoteca y un 15% en el del agua, gas y calefacción</w:t>
      </w:r>
      <w:r w:rsidRPr="00A213B8">
        <w:rPr>
          <w:rStyle w:val="Refdenotaalpie"/>
          <w:rFonts w:cstheme="minorHAnsi"/>
          <w:sz w:val="24"/>
          <w:szCs w:val="24"/>
        </w:rPr>
        <w:footnoteReference w:id="11"/>
      </w:r>
      <w:r w:rsidRPr="00A213B8">
        <w:rPr>
          <w:rFonts w:cstheme="minorHAnsi"/>
          <w:sz w:val="24"/>
          <w:szCs w:val="24"/>
        </w:rPr>
        <w:t>. Más de 2.000 familias gitanas todavía viven en chabolas</w:t>
      </w:r>
      <w:r w:rsidRPr="00A213B8">
        <w:rPr>
          <w:rStyle w:val="Refdenotaalpie"/>
          <w:rFonts w:cstheme="minorHAnsi"/>
          <w:sz w:val="24"/>
          <w:szCs w:val="24"/>
        </w:rPr>
        <w:footnoteReference w:id="12"/>
      </w:r>
      <w:r w:rsidRPr="00A213B8">
        <w:rPr>
          <w:rFonts w:cstheme="minorHAnsi"/>
          <w:sz w:val="24"/>
          <w:szCs w:val="24"/>
        </w:rPr>
        <w:t>. La falta de accesibilidad limita el derecho a la vivienda a personas mayores y personas con discapacidad.</w:t>
      </w:r>
      <w:r w:rsidR="0010436B" w:rsidRPr="00A213B8">
        <w:rPr>
          <w:rFonts w:cstheme="minorHAnsi"/>
          <w:sz w:val="24"/>
          <w:szCs w:val="24"/>
        </w:rPr>
        <w:t xml:space="preserve"> </w:t>
      </w:r>
    </w:p>
    <w:p w:rsidR="0010436B" w:rsidRPr="00A213B8" w:rsidRDefault="0010436B" w:rsidP="00AE0B9A">
      <w:pPr>
        <w:spacing w:after="0" w:line="240" w:lineRule="auto"/>
        <w:jc w:val="both"/>
        <w:rPr>
          <w:rFonts w:cstheme="minorHAnsi"/>
          <w:sz w:val="24"/>
          <w:szCs w:val="24"/>
        </w:rPr>
      </w:pPr>
    </w:p>
    <w:p w:rsidR="0010436B" w:rsidRPr="00A213B8" w:rsidRDefault="0010436B" w:rsidP="00AE0B9A">
      <w:pPr>
        <w:spacing w:after="0" w:line="240" w:lineRule="auto"/>
        <w:jc w:val="both"/>
        <w:rPr>
          <w:rFonts w:cstheme="minorHAnsi"/>
          <w:sz w:val="24"/>
          <w:szCs w:val="24"/>
        </w:rPr>
      </w:pPr>
      <w:r w:rsidRPr="00A213B8">
        <w:rPr>
          <w:rFonts w:cstheme="minorHAnsi"/>
          <w:b/>
          <w:sz w:val="24"/>
          <w:szCs w:val="24"/>
        </w:rPr>
        <w:t>Si hablamos de vivienda disponible en caso de desalojo</w:t>
      </w:r>
      <w:r w:rsidRPr="00A213B8">
        <w:rPr>
          <w:rFonts w:cstheme="minorHAnsi"/>
          <w:sz w:val="24"/>
          <w:szCs w:val="24"/>
        </w:rPr>
        <w:t xml:space="preserve"> es esencial tener en cuenta que:</w:t>
      </w:r>
    </w:p>
    <w:p w:rsidR="0010436B" w:rsidRPr="00A213B8" w:rsidRDefault="0010436B" w:rsidP="0010436B">
      <w:pPr>
        <w:pStyle w:val="Standard"/>
        <w:numPr>
          <w:ilvl w:val="0"/>
          <w:numId w:val="38"/>
        </w:numPr>
        <w:spacing w:after="0"/>
        <w:rPr>
          <w:sz w:val="24"/>
          <w:szCs w:val="24"/>
        </w:rPr>
      </w:pPr>
      <w:r w:rsidRPr="00A213B8">
        <w:rPr>
          <w:sz w:val="24"/>
          <w:szCs w:val="24"/>
        </w:rPr>
        <w:t xml:space="preserve">El parque de vivienda pública ofrece cobertura a menos del </w:t>
      </w:r>
      <w:r w:rsidRPr="00A213B8">
        <w:rPr>
          <w:b/>
          <w:sz w:val="24"/>
          <w:szCs w:val="24"/>
        </w:rPr>
        <w:t>2,5% de los hogares</w:t>
      </w:r>
      <w:r w:rsidRPr="00A213B8">
        <w:rPr>
          <w:sz w:val="24"/>
          <w:szCs w:val="24"/>
        </w:rPr>
        <w:t>.</w:t>
      </w:r>
    </w:p>
    <w:p w:rsidR="0010436B" w:rsidRPr="00A213B8" w:rsidRDefault="0010436B" w:rsidP="0010436B">
      <w:pPr>
        <w:pStyle w:val="Standard"/>
        <w:numPr>
          <w:ilvl w:val="0"/>
          <w:numId w:val="38"/>
        </w:numPr>
        <w:spacing w:after="0"/>
        <w:rPr>
          <w:sz w:val="24"/>
          <w:szCs w:val="24"/>
        </w:rPr>
      </w:pPr>
      <w:r w:rsidRPr="00A213B8">
        <w:rPr>
          <w:sz w:val="24"/>
          <w:szCs w:val="24"/>
        </w:rPr>
        <w:t>El parque</w:t>
      </w:r>
      <w:r w:rsidRPr="00A213B8">
        <w:rPr>
          <w:rStyle w:val="Refdenotaalpie"/>
          <w:sz w:val="24"/>
          <w:szCs w:val="24"/>
        </w:rPr>
        <w:footnoteReference w:id="13"/>
      </w:r>
      <w:r w:rsidRPr="00A213B8">
        <w:rPr>
          <w:sz w:val="24"/>
          <w:szCs w:val="24"/>
        </w:rPr>
        <w:t xml:space="preserve"> de vivienda protegida con calificación definitiva ha pasado de ser de </w:t>
      </w:r>
      <w:r w:rsidR="005F7CE8">
        <w:rPr>
          <w:b/>
          <w:sz w:val="24"/>
          <w:szCs w:val="24"/>
        </w:rPr>
        <w:t>63.900 viviendas en 200</w:t>
      </w:r>
      <w:bookmarkStart w:id="0" w:name="_GoBack"/>
      <w:bookmarkEnd w:id="0"/>
      <w:r w:rsidRPr="00A213B8">
        <w:rPr>
          <w:b/>
          <w:sz w:val="24"/>
          <w:szCs w:val="24"/>
        </w:rPr>
        <w:t>8</w:t>
      </w:r>
      <w:r w:rsidRPr="00A213B8">
        <w:rPr>
          <w:sz w:val="24"/>
          <w:szCs w:val="24"/>
        </w:rPr>
        <w:t xml:space="preserve"> (año de comienzo de la grave crisis económica y residencial que dio lugar a hablar de “emergencia habitacional” en el Estado español) a </w:t>
      </w:r>
      <w:r w:rsidRPr="00A213B8">
        <w:rPr>
          <w:b/>
          <w:sz w:val="24"/>
          <w:szCs w:val="24"/>
        </w:rPr>
        <w:t>2.737 en 2018.</w:t>
      </w:r>
    </w:p>
    <w:p w:rsidR="0010436B" w:rsidRPr="00A213B8" w:rsidRDefault="0010436B" w:rsidP="00A213B8">
      <w:pPr>
        <w:pStyle w:val="Standard"/>
        <w:numPr>
          <w:ilvl w:val="0"/>
          <w:numId w:val="38"/>
        </w:numPr>
        <w:spacing w:after="0"/>
        <w:rPr>
          <w:sz w:val="24"/>
          <w:szCs w:val="24"/>
        </w:rPr>
      </w:pPr>
      <w:r w:rsidRPr="00A213B8">
        <w:rPr>
          <w:sz w:val="24"/>
          <w:szCs w:val="24"/>
        </w:rPr>
        <w:t xml:space="preserve">La inversión en vivienda protegida en 2018 ha sido de </w:t>
      </w:r>
      <w:r w:rsidRPr="00A213B8">
        <w:rPr>
          <w:b/>
          <w:sz w:val="24"/>
          <w:szCs w:val="24"/>
        </w:rPr>
        <w:t>7000</w:t>
      </w:r>
      <w:r w:rsidRPr="00A213B8">
        <w:rPr>
          <w:sz w:val="24"/>
          <w:szCs w:val="24"/>
        </w:rPr>
        <w:t xml:space="preserve"> viviendas</w:t>
      </w:r>
      <w:r w:rsidRPr="00A213B8">
        <w:rPr>
          <w:rStyle w:val="Refdenotaalpie"/>
          <w:sz w:val="24"/>
          <w:szCs w:val="24"/>
        </w:rPr>
        <w:footnoteReference w:id="14"/>
      </w:r>
    </w:p>
    <w:p w:rsidR="00A213B8" w:rsidRDefault="00A213B8" w:rsidP="0010436B">
      <w:pPr>
        <w:pStyle w:val="Standard"/>
        <w:rPr>
          <w:sz w:val="24"/>
          <w:szCs w:val="24"/>
        </w:rPr>
      </w:pPr>
    </w:p>
    <w:p w:rsidR="00A213B8" w:rsidRDefault="00A213B8" w:rsidP="0010436B">
      <w:pPr>
        <w:pStyle w:val="Standard"/>
        <w:rPr>
          <w:sz w:val="24"/>
          <w:szCs w:val="24"/>
        </w:rPr>
      </w:pPr>
    </w:p>
    <w:p w:rsidR="00A213B8" w:rsidRDefault="00A213B8" w:rsidP="0010436B">
      <w:pPr>
        <w:pStyle w:val="Standard"/>
        <w:rPr>
          <w:sz w:val="24"/>
          <w:szCs w:val="24"/>
        </w:rPr>
      </w:pPr>
    </w:p>
    <w:p w:rsidR="0010436B" w:rsidRPr="00A213B8" w:rsidRDefault="0010436B" w:rsidP="0010436B">
      <w:pPr>
        <w:pStyle w:val="Standard"/>
        <w:rPr>
          <w:sz w:val="24"/>
          <w:szCs w:val="24"/>
        </w:rPr>
      </w:pPr>
      <w:r w:rsidRPr="00A213B8">
        <w:rPr>
          <w:sz w:val="24"/>
          <w:szCs w:val="24"/>
        </w:rPr>
        <w:t>Si consideramos que, de otro lado, durante 2018</w:t>
      </w:r>
      <w:r w:rsidRPr="00A213B8">
        <w:rPr>
          <w:rStyle w:val="Refdenotaalpie"/>
          <w:sz w:val="24"/>
          <w:szCs w:val="24"/>
        </w:rPr>
        <w:footnoteReference w:id="15"/>
      </w:r>
      <w:r w:rsidRPr="00A213B8">
        <w:rPr>
          <w:sz w:val="24"/>
          <w:szCs w:val="24"/>
        </w:rPr>
        <w:t xml:space="preserve"> se produjeron un total de </w:t>
      </w:r>
      <w:r w:rsidRPr="00A213B8">
        <w:rPr>
          <w:b/>
          <w:sz w:val="24"/>
          <w:szCs w:val="24"/>
        </w:rPr>
        <w:t>26.247</w:t>
      </w:r>
      <w:r w:rsidRPr="00A213B8">
        <w:rPr>
          <w:sz w:val="24"/>
          <w:szCs w:val="24"/>
        </w:rPr>
        <w:t xml:space="preserve"> </w:t>
      </w:r>
      <w:r w:rsidRPr="00A213B8">
        <w:rPr>
          <w:b/>
          <w:sz w:val="24"/>
          <w:szCs w:val="24"/>
        </w:rPr>
        <w:t xml:space="preserve">ejecuciones hipotecarias de viviendas urbanas </w:t>
      </w:r>
      <w:r w:rsidRPr="00A213B8">
        <w:rPr>
          <w:sz w:val="24"/>
          <w:szCs w:val="24"/>
        </w:rPr>
        <w:t xml:space="preserve">(sin contar de alquiler) iniciadas e inscritas en el registro de la propiedad, podemos decir que el Estado español no está llevando a cabo un desarrollo progresivo del derecho a una vivienda adecuada de conformidad al estándar de razonabilidad de Naciones Unidas si además tenemos en cuenta que </w:t>
      </w:r>
      <w:r w:rsidRPr="00A213B8">
        <w:rPr>
          <w:b/>
          <w:sz w:val="24"/>
          <w:szCs w:val="24"/>
        </w:rPr>
        <w:t>nuestro crecimiento económico</w:t>
      </w:r>
      <w:r w:rsidRPr="00A213B8">
        <w:rPr>
          <w:rStyle w:val="Refdenotaalpie"/>
          <w:b/>
          <w:sz w:val="24"/>
          <w:szCs w:val="24"/>
        </w:rPr>
        <w:footnoteReference w:id="16"/>
      </w:r>
      <w:r w:rsidRPr="00A213B8">
        <w:rPr>
          <w:b/>
          <w:sz w:val="24"/>
          <w:szCs w:val="24"/>
        </w:rPr>
        <w:t xml:space="preserve"> según nuestro Instituto Nacional de Estadística, está siendo, desde 2014 (año de finalización de la crisis) positivo</w:t>
      </w:r>
      <w:r w:rsidRPr="00A213B8">
        <w:rPr>
          <w:sz w:val="24"/>
          <w:szCs w:val="24"/>
        </w:rPr>
        <w:t xml:space="preserve">: </w:t>
      </w:r>
    </w:p>
    <w:p w:rsidR="00A213B8" w:rsidRPr="00A213B8" w:rsidRDefault="0010436B" w:rsidP="00A213B8">
      <w:pPr>
        <w:pStyle w:val="Standard"/>
        <w:jc w:val="center"/>
        <w:rPr>
          <w:sz w:val="24"/>
          <w:szCs w:val="24"/>
        </w:rPr>
      </w:pPr>
      <w:r w:rsidRPr="00A213B8">
        <w:rPr>
          <w:noProof/>
          <w:sz w:val="24"/>
          <w:szCs w:val="24"/>
          <w:lang w:eastAsia="es-ES"/>
        </w:rPr>
        <w:drawing>
          <wp:inline distT="0" distB="0" distL="0" distR="0" wp14:anchorId="409C74AE" wp14:editId="4D3505CF">
            <wp:extent cx="1504950" cy="2162175"/>
            <wp:effectExtent l="0" t="0" r="0" b="9525"/>
            <wp:docPr id="9" name="Imagen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505548" cy="2163034"/>
                    </a:xfrm>
                    <a:prstGeom prst="rect">
                      <a:avLst/>
                    </a:prstGeom>
                    <a:noFill/>
                    <a:ln>
                      <a:noFill/>
                      <a:prstDash/>
                    </a:ln>
                  </pic:spPr>
                </pic:pic>
              </a:graphicData>
            </a:graphic>
          </wp:inline>
        </w:drawing>
      </w:r>
      <w:r w:rsidRPr="00A213B8">
        <w:rPr>
          <w:sz w:val="24"/>
          <w:szCs w:val="24"/>
        </w:rPr>
        <w:t>Fuente. INE</w:t>
      </w:r>
    </w:p>
    <w:p w:rsidR="0010436B" w:rsidRPr="00A213B8" w:rsidRDefault="0010436B" w:rsidP="00AE0B9A">
      <w:pPr>
        <w:spacing w:after="0" w:line="240" w:lineRule="auto"/>
        <w:jc w:val="both"/>
        <w:rPr>
          <w:rFonts w:cstheme="minorHAnsi"/>
          <w:sz w:val="24"/>
          <w:szCs w:val="24"/>
        </w:rPr>
      </w:pPr>
      <w:r w:rsidRPr="00A213B8">
        <w:rPr>
          <w:rFonts w:cstheme="minorHAnsi"/>
          <w:sz w:val="24"/>
          <w:szCs w:val="24"/>
        </w:rPr>
        <w:t>Estos datos son clave a la hora de entender la situación</w:t>
      </w:r>
      <w:r w:rsidR="00101F2D" w:rsidRPr="00A213B8">
        <w:rPr>
          <w:rFonts w:cstheme="minorHAnsi"/>
          <w:sz w:val="24"/>
          <w:szCs w:val="24"/>
        </w:rPr>
        <w:t xml:space="preserve"> real</w:t>
      </w:r>
      <w:r w:rsidRPr="00A213B8">
        <w:rPr>
          <w:rFonts w:cstheme="minorHAnsi"/>
          <w:sz w:val="24"/>
          <w:szCs w:val="24"/>
        </w:rPr>
        <w:t xml:space="preserve"> de las personas que se encuentran en procesos de p</w:t>
      </w:r>
      <w:r w:rsidR="00101F2D" w:rsidRPr="00A213B8">
        <w:rPr>
          <w:rFonts w:cstheme="minorHAnsi"/>
          <w:sz w:val="24"/>
          <w:szCs w:val="24"/>
        </w:rPr>
        <w:t>érdida de vivienda, aún con las superficiales reformas llevadas a cabo en los últimos meses por el Gobierno.</w:t>
      </w:r>
    </w:p>
    <w:p w:rsidR="0048489D" w:rsidRPr="00A213B8" w:rsidRDefault="0048489D" w:rsidP="00AE0B9A">
      <w:pPr>
        <w:spacing w:after="0" w:line="240" w:lineRule="auto"/>
        <w:jc w:val="both"/>
        <w:rPr>
          <w:rFonts w:cstheme="minorHAnsi"/>
          <w:sz w:val="24"/>
          <w:szCs w:val="24"/>
        </w:rPr>
      </w:pPr>
    </w:p>
    <w:p w:rsidR="002845C7" w:rsidRPr="00A213B8" w:rsidRDefault="0048489D" w:rsidP="00AE0B9A">
      <w:pPr>
        <w:spacing w:after="0" w:line="240" w:lineRule="auto"/>
        <w:jc w:val="both"/>
        <w:rPr>
          <w:rFonts w:cstheme="minorHAnsi"/>
          <w:sz w:val="24"/>
          <w:szCs w:val="24"/>
        </w:rPr>
      </w:pPr>
      <w:r w:rsidRPr="00A213B8">
        <w:rPr>
          <w:rFonts w:cstheme="minorHAnsi"/>
          <w:sz w:val="24"/>
          <w:szCs w:val="24"/>
        </w:rPr>
        <w:t xml:space="preserve">Respecto a la efectividad de las </w:t>
      </w:r>
      <w:r w:rsidR="00101F2D" w:rsidRPr="00A213B8">
        <w:rPr>
          <w:rFonts w:cstheme="minorHAnsi"/>
          <w:sz w:val="24"/>
          <w:szCs w:val="24"/>
        </w:rPr>
        <w:t xml:space="preserve">estas </w:t>
      </w:r>
      <w:r w:rsidRPr="00A213B8">
        <w:rPr>
          <w:rFonts w:cstheme="minorHAnsi"/>
          <w:sz w:val="24"/>
          <w:szCs w:val="24"/>
        </w:rPr>
        <w:t>reformas procesales en los procedimientos de desalojos (</w:t>
      </w:r>
      <w:r w:rsidRPr="00A213B8">
        <w:rPr>
          <w:rFonts w:cstheme="minorHAnsi"/>
          <w:b/>
          <w:sz w:val="24"/>
          <w:szCs w:val="24"/>
        </w:rPr>
        <w:t>Ley 5/2018, de 11 de junio</w:t>
      </w:r>
      <w:r w:rsidRPr="00A213B8">
        <w:rPr>
          <w:rFonts w:cstheme="minorHAnsi"/>
          <w:sz w:val="24"/>
          <w:szCs w:val="24"/>
        </w:rPr>
        <w:t xml:space="preserve">, de modificación de la Ley 1/2000, de 7 de enero, de Enjuiciamiento Civil (LEC), en relación a la ocupación ilegal de viviendas y </w:t>
      </w:r>
      <w:r w:rsidRPr="00A213B8">
        <w:rPr>
          <w:rFonts w:cstheme="minorHAnsi"/>
          <w:b/>
          <w:sz w:val="24"/>
          <w:szCs w:val="24"/>
        </w:rPr>
        <w:t>el Real Decreto-ley 7/2019, de 1 de marzo, de medidas urgentes</w:t>
      </w:r>
      <w:r w:rsidRPr="00A213B8">
        <w:rPr>
          <w:rFonts w:cstheme="minorHAnsi"/>
          <w:sz w:val="24"/>
          <w:szCs w:val="24"/>
        </w:rPr>
        <w:t xml:space="preserve"> en materia de vivienda y alquiler</w:t>
      </w:r>
      <w:r w:rsidRPr="00A213B8">
        <w:rPr>
          <w:rStyle w:val="Refdenotaalpie"/>
          <w:rFonts w:cstheme="minorHAnsi"/>
          <w:sz w:val="24"/>
          <w:szCs w:val="24"/>
        </w:rPr>
        <w:footnoteReference w:id="17"/>
      </w:r>
      <w:r w:rsidR="00686681" w:rsidRPr="00A213B8">
        <w:rPr>
          <w:rFonts w:cstheme="minorHAnsi"/>
          <w:sz w:val="24"/>
          <w:szCs w:val="24"/>
        </w:rPr>
        <w:t xml:space="preserve"> queremos hacer constar: </w:t>
      </w:r>
      <w:r w:rsidR="002845C7" w:rsidRPr="00A213B8">
        <w:rPr>
          <w:rFonts w:cstheme="minorHAnsi"/>
          <w:b/>
          <w:sz w:val="24"/>
          <w:szCs w:val="24"/>
        </w:rPr>
        <w:t>que la recomendada coordinación y comunicación a Servicios Sociales no está siendo acompañada de una dotación mayor de recursos para los mismos</w:t>
      </w:r>
      <w:r w:rsidR="00B65FA4" w:rsidRPr="00A213B8">
        <w:rPr>
          <w:rFonts w:cstheme="minorHAnsi"/>
          <w:b/>
          <w:sz w:val="24"/>
          <w:szCs w:val="24"/>
        </w:rPr>
        <w:t xml:space="preserve"> y</w:t>
      </w:r>
      <w:r w:rsidR="002845C7" w:rsidRPr="00A213B8">
        <w:rPr>
          <w:rFonts w:cstheme="minorHAnsi"/>
          <w:b/>
          <w:sz w:val="24"/>
          <w:szCs w:val="24"/>
        </w:rPr>
        <w:t xml:space="preserve"> tampoco en los juzgados hay medios para abarcar mayores cargas administrativas</w:t>
      </w:r>
      <w:r w:rsidR="00B65FA4" w:rsidRPr="00A213B8">
        <w:rPr>
          <w:rStyle w:val="Refdenotaalpie"/>
          <w:rFonts w:cstheme="minorHAnsi"/>
          <w:sz w:val="24"/>
          <w:szCs w:val="24"/>
        </w:rPr>
        <w:footnoteReference w:id="18"/>
      </w:r>
      <w:r w:rsidR="00B65FA4" w:rsidRPr="00A213B8">
        <w:rPr>
          <w:rFonts w:cstheme="minorHAnsi"/>
          <w:sz w:val="24"/>
          <w:szCs w:val="24"/>
        </w:rPr>
        <w:t>. F</w:t>
      </w:r>
      <w:r w:rsidR="002845C7" w:rsidRPr="00A213B8">
        <w:rPr>
          <w:rFonts w:cstheme="minorHAnsi"/>
          <w:sz w:val="24"/>
          <w:szCs w:val="24"/>
        </w:rPr>
        <w:t>inalmente, al no existir</w:t>
      </w:r>
      <w:r w:rsidR="00B65FA4" w:rsidRPr="00A213B8">
        <w:rPr>
          <w:rFonts w:cstheme="minorHAnsi"/>
          <w:sz w:val="24"/>
          <w:szCs w:val="24"/>
        </w:rPr>
        <w:t xml:space="preserve"> un</w:t>
      </w:r>
      <w:r w:rsidR="002845C7" w:rsidRPr="00A213B8">
        <w:rPr>
          <w:rFonts w:cstheme="minorHAnsi"/>
          <w:sz w:val="24"/>
          <w:szCs w:val="24"/>
        </w:rPr>
        <w:t xml:space="preserve"> parque de vivienda de social y de emergencia </w:t>
      </w:r>
      <w:r w:rsidR="00B65FA4" w:rsidRPr="00A213B8">
        <w:rPr>
          <w:rFonts w:cstheme="minorHAnsi"/>
          <w:sz w:val="24"/>
          <w:szCs w:val="24"/>
        </w:rPr>
        <w:t xml:space="preserve">suficiente </w:t>
      </w:r>
      <w:r w:rsidR="002845C7" w:rsidRPr="00A213B8">
        <w:rPr>
          <w:rFonts w:cstheme="minorHAnsi"/>
          <w:sz w:val="24"/>
          <w:szCs w:val="24"/>
        </w:rPr>
        <w:t xml:space="preserve">para albergar el problema de los desahucios, sobre todo en las grandes ciudades como Madrid, Barcelona, Valencia, Málaga, Palma, etc. no se alcanza ningún nivel de protección frente al desalojo sin alternativa habitacional. </w:t>
      </w:r>
    </w:p>
    <w:p w:rsidR="004E1050" w:rsidRPr="00A213B8" w:rsidRDefault="004E1050" w:rsidP="00AE0B9A">
      <w:pPr>
        <w:spacing w:after="0" w:line="240" w:lineRule="auto"/>
        <w:jc w:val="both"/>
        <w:rPr>
          <w:rFonts w:cstheme="minorHAnsi"/>
          <w:sz w:val="24"/>
          <w:szCs w:val="24"/>
        </w:rPr>
      </w:pPr>
    </w:p>
    <w:p w:rsidR="0048489D" w:rsidRPr="00A213B8" w:rsidRDefault="00B65FA4" w:rsidP="00AE0B9A">
      <w:pPr>
        <w:spacing w:after="0" w:line="240" w:lineRule="auto"/>
        <w:jc w:val="both"/>
        <w:rPr>
          <w:rFonts w:cstheme="minorHAnsi"/>
          <w:sz w:val="24"/>
          <w:szCs w:val="24"/>
        </w:rPr>
      </w:pPr>
      <w:r w:rsidRPr="00A213B8">
        <w:rPr>
          <w:rFonts w:cstheme="minorHAnsi"/>
          <w:sz w:val="24"/>
          <w:szCs w:val="24"/>
        </w:rPr>
        <w:t xml:space="preserve">Desde las entidades que pertenecemos a la Plataforma DESC, detectamos que </w:t>
      </w:r>
      <w:r w:rsidR="002845C7" w:rsidRPr="00A213B8">
        <w:rPr>
          <w:rFonts w:cstheme="minorHAnsi"/>
          <w:sz w:val="24"/>
          <w:szCs w:val="24"/>
        </w:rPr>
        <w:t>en</w:t>
      </w:r>
      <w:r w:rsidRPr="00A213B8">
        <w:rPr>
          <w:rFonts w:cstheme="minorHAnsi"/>
          <w:sz w:val="24"/>
          <w:szCs w:val="24"/>
        </w:rPr>
        <w:t xml:space="preserve"> una</w:t>
      </w:r>
      <w:r w:rsidR="002845C7" w:rsidRPr="00A213B8">
        <w:rPr>
          <w:rFonts w:cstheme="minorHAnsi"/>
          <w:sz w:val="24"/>
          <w:szCs w:val="24"/>
        </w:rPr>
        <w:t xml:space="preserve"> mayoría de los casos se deriva info</w:t>
      </w:r>
      <w:r w:rsidR="000C4C7E" w:rsidRPr="00A213B8">
        <w:rPr>
          <w:rFonts w:cstheme="minorHAnsi"/>
          <w:sz w:val="24"/>
          <w:szCs w:val="24"/>
        </w:rPr>
        <w:t>rmación a Servicios Sociales, dó</w:t>
      </w:r>
      <w:r w:rsidR="002845C7" w:rsidRPr="00A213B8">
        <w:rPr>
          <w:rFonts w:cstheme="minorHAnsi"/>
          <w:sz w:val="24"/>
          <w:szCs w:val="24"/>
        </w:rPr>
        <w:t>nde tras la tramitación burocrática y recomendaciones de prórroga que no se podrán atender (el alza de precios y la burbuja de alquiler presionan a todos los actores del mercado), quedará registrado otro desahucio más, otra familia en la calle. A pesar de haber cumplimentado la obligatoriedad de la comunicación o haber llevado a cabo una suspensión durante</w:t>
      </w:r>
      <w:r w:rsidR="000C4C7E" w:rsidRPr="00A213B8">
        <w:rPr>
          <w:rFonts w:cstheme="minorHAnsi"/>
          <w:sz w:val="24"/>
          <w:szCs w:val="24"/>
        </w:rPr>
        <w:t xml:space="preserve"> apenas un mes o tres meses más.</w:t>
      </w:r>
    </w:p>
    <w:p w:rsidR="00AE0B9A" w:rsidRPr="00A213B8" w:rsidRDefault="00AE0B9A" w:rsidP="00AE0B9A">
      <w:pPr>
        <w:spacing w:after="0" w:line="240" w:lineRule="auto"/>
        <w:jc w:val="both"/>
        <w:rPr>
          <w:rFonts w:cstheme="minorHAnsi"/>
          <w:sz w:val="24"/>
          <w:szCs w:val="24"/>
        </w:rPr>
      </w:pPr>
    </w:p>
    <w:p w:rsidR="00B65FA4" w:rsidRPr="00A213B8" w:rsidRDefault="00B65FA4" w:rsidP="00AE0B9A">
      <w:pPr>
        <w:spacing w:after="0" w:line="240" w:lineRule="auto"/>
        <w:jc w:val="both"/>
        <w:rPr>
          <w:rFonts w:cstheme="minorHAnsi"/>
          <w:sz w:val="24"/>
          <w:szCs w:val="24"/>
        </w:rPr>
      </w:pPr>
    </w:p>
    <w:p w:rsidR="00987E78" w:rsidRPr="00A213B8" w:rsidRDefault="00987E78" w:rsidP="00987E78">
      <w:pPr>
        <w:spacing w:after="0" w:line="240" w:lineRule="auto"/>
        <w:jc w:val="both"/>
        <w:rPr>
          <w:rFonts w:cstheme="minorHAnsi"/>
          <w:b/>
          <w:color w:val="1F4E79" w:themeColor="accent1" w:themeShade="80"/>
          <w:sz w:val="24"/>
          <w:szCs w:val="24"/>
        </w:rPr>
      </w:pPr>
      <w:r w:rsidRPr="00A213B8">
        <w:rPr>
          <w:rFonts w:cstheme="minorHAnsi"/>
          <w:b/>
          <w:color w:val="1F4E79" w:themeColor="accent1" w:themeShade="80"/>
          <w:sz w:val="24"/>
          <w:szCs w:val="24"/>
        </w:rPr>
        <w:t>Recomendaciones</w:t>
      </w:r>
    </w:p>
    <w:p w:rsidR="00E4293A" w:rsidRPr="00A213B8" w:rsidRDefault="00E4293A" w:rsidP="00E4293A">
      <w:pPr>
        <w:spacing w:after="0" w:line="240" w:lineRule="auto"/>
        <w:jc w:val="both"/>
        <w:rPr>
          <w:rFonts w:cstheme="minorHAnsi"/>
          <w:sz w:val="24"/>
          <w:szCs w:val="24"/>
        </w:rPr>
      </w:pPr>
    </w:p>
    <w:p w:rsidR="00E4293A" w:rsidRPr="00A213B8" w:rsidRDefault="00E4293A" w:rsidP="00CD1DEA">
      <w:pPr>
        <w:pStyle w:val="Prrafodelista"/>
        <w:numPr>
          <w:ilvl w:val="0"/>
          <w:numId w:val="35"/>
        </w:numPr>
        <w:spacing w:after="0" w:line="240" w:lineRule="auto"/>
        <w:jc w:val="both"/>
        <w:rPr>
          <w:rFonts w:cstheme="minorHAnsi"/>
          <w:sz w:val="24"/>
          <w:szCs w:val="24"/>
        </w:rPr>
      </w:pPr>
      <w:r w:rsidRPr="00A213B8">
        <w:rPr>
          <w:rFonts w:cstheme="minorHAnsi"/>
          <w:b/>
          <w:sz w:val="24"/>
          <w:szCs w:val="24"/>
        </w:rPr>
        <w:t>Desarrollar un plan estratégico de vivienda orientado al alquiler y la rehabilitación,</w:t>
      </w:r>
      <w:r w:rsidRPr="00A213B8">
        <w:rPr>
          <w:rFonts w:cstheme="minorHAnsi"/>
          <w:sz w:val="24"/>
          <w:szCs w:val="24"/>
        </w:rPr>
        <w:t xml:space="preserve"> dejando de fomentar la vivienda en propiedad y el endeudamiento, y dotado suficientemente de fondos para vivienda social, que priorice</w:t>
      </w:r>
      <w:r w:rsidR="0010436B" w:rsidRPr="00A213B8">
        <w:rPr>
          <w:rFonts w:cstheme="minorHAnsi"/>
          <w:sz w:val="24"/>
          <w:szCs w:val="24"/>
        </w:rPr>
        <w:t xml:space="preserve"> los derechos de la persona, </w:t>
      </w:r>
      <w:r w:rsidRPr="00A213B8">
        <w:rPr>
          <w:rFonts w:cstheme="minorHAnsi"/>
          <w:sz w:val="24"/>
          <w:szCs w:val="24"/>
        </w:rPr>
        <w:t>facilite la coord</w:t>
      </w:r>
      <w:r w:rsidR="0010436B" w:rsidRPr="00A213B8">
        <w:rPr>
          <w:rFonts w:cstheme="minorHAnsi"/>
          <w:sz w:val="24"/>
          <w:szCs w:val="24"/>
        </w:rPr>
        <w:t>inación entre administraciones y provea de vivienda suficiente, adecuada y asequible, para las personas y familias en caso de desalojos forzosos.</w:t>
      </w:r>
    </w:p>
    <w:p w:rsidR="00CD1DEA" w:rsidRPr="00A213B8" w:rsidRDefault="00E4293A" w:rsidP="00CD1DEA">
      <w:pPr>
        <w:pStyle w:val="Prrafodelista"/>
        <w:numPr>
          <w:ilvl w:val="0"/>
          <w:numId w:val="35"/>
        </w:numPr>
        <w:spacing w:after="0" w:line="240" w:lineRule="auto"/>
        <w:jc w:val="both"/>
        <w:rPr>
          <w:rFonts w:cstheme="minorHAnsi"/>
          <w:sz w:val="24"/>
          <w:szCs w:val="24"/>
        </w:rPr>
      </w:pPr>
      <w:r w:rsidRPr="00A213B8">
        <w:rPr>
          <w:rFonts w:cstheme="minorHAnsi"/>
          <w:b/>
          <w:sz w:val="24"/>
          <w:szCs w:val="24"/>
        </w:rPr>
        <w:t>Modificar la LAU para proteger de manera firme a inquilinos/as</w:t>
      </w:r>
      <w:r w:rsidRPr="00A213B8">
        <w:rPr>
          <w:rFonts w:cstheme="minorHAnsi"/>
          <w:sz w:val="24"/>
          <w:szCs w:val="24"/>
        </w:rPr>
        <w:t xml:space="preserve">, aumentando la duración de los contratos y estableciendo límites a los precios abusivos de alquiler. Abordar la reforma de la normativa hipotecaria que proteja los derechos de los consumidores en relación con las sentencias del TJUE. </w:t>
      </w:r>
    </w:p>
    <w:p w:rsidR="00CD1DEA" w:rsidRPr="00A213B8" w:rsidRDefault="00E4293A" w:rsidP="00CD1DEA">
      <w:pPr>
        <w:pStyle w:val="Prrafodelista"/>
        <w:numPr>
          <w:ilvl w:val="0"/>
          <w:numId w:val="35"/>
        </w:numPr>
        <w:spacing w:after="0" w:line="240" w:lineRule="auto"/>
        <w:jc w:val="both"/>
        <w:rPr>
          <w:rFonts w:cstheme="minorHAnsi"/>
          <w:sz w:val="24"/>
          <w:szCs w:val="24"/>
        </w:rPr>
      </w:pPr>
      <w:r w:rsidRPr="00A213B8">
        <w:rPr>
          <w:rFonts w:cstheme="minorHAnsi"/>
          <w:sz w:val="24"/>
          <w:szCs w:val="24"/>
        </w:rPr>
        <w:t>Diseñar procedimientos y herramientas de protección específica en el caso de pérdida de vivienda</w:t>
      </w:r>
      <w:r w:rsidR="00A213B8">
        <w:rPr>
          <w:rFonts w:cstheme="minorHAnsi"/>
          <w:sz w:val="24"/>
          <w:szCs w:val="24"/>
        </w:rPr>
        <w:t>, con suficiente asignación presupuestaria,</w:t>
      </w:r>
      <w:r w:rsidR="0048489D" w:rsidRPr="00A213B8">
        <w:rPr>
          <w:rFonts w:cstheme="minorHAnsi"/>
          <w:sz w:val="24"/>
          <w:szCs w:val="24"/>
        </w:rPr>
        <w:t xml:space="preserve"> que </w:t>
      </w:r>
      <w:r w:rsidR="0048489D" w:rsidRPr="00A213B8">
        <w:rPr>
          <w:rFonts w:cstheme="minorHAnsi"/>
          <w:b/>
          <w:sz w:val="24"/>
          <w:szCs w:val="24"/>
        </w:rPr>
        <w:t>garanticen</w:t>
      </w:r>
      <w:r w:rsidRPr="00A213B8">
        <w:rPr>
          <w:rFonts w:cstheme="minorHAnsi"/>
          <w:b/>
          <w:sz w:val="24"/>
          <w:szCs w:val="24"/>
        </w:rPr>
        <w:t xml:space="preserve"> el realojo obligatorio</w:t>
      </w:r>
      <w:r w:rsidRPr="00A213B8">
        <w:rPr>
          <w:rFonts w:cstheme="minorHAnsi"/>
          <w:sz w:val="24"/>
          <w:szCs w:val="24"/>
        </w:rPr>
        <w:t xml:space="preserve"> por parte de la administración en caso de estar en situación de vulnerabilidad y carecer de alternativa habitacional. </w:t>
      </w:r>
    </w:p>
    <w:p w:rsidR="00E4293A" w:rsidRPr="00A213B8" w:rsidRDefault="00E4293A" w:rsidP="0048489D">
      <w:pPr>
        <w:pStyle w:val="Prrafodelista"/>
        <w:numPr>
          <w:ilvl w:val="0"/>
          <w:numId w:val="35"/>
        </w:numPr>
        <w:spacing w:after="0" w:line="240" w:lineRule="auto"/>
        <w:jc w:val="both"/>
        <w:rPr>
          <w:rFonts w:cstheme="minorHAnsi"/>
          <w:sz w:val="24"/>
          <w:szCs w:val="24"/>
        </w:rPr>
      </w:pPr>
      <w:r w:rsidRPr="00A213B8">
        <w:rPr>
          <w:rFonts w:cstheme="minorHAnsi"/>
          <w:b/>
          <w:sz w:val="24"/>
          <w:szCs w:val="24"/>
        </w:rPr>
        <w:t>Dar cumplimiento a las recomendaciones del Comité DESC</w:t>
      </w:r>
      <w:r w:rsidR="0048489D" w:rsidRPr="00A213B8">
        <w:rPr>
          <w:rFonts w:cstheme="minorHAnsi"/>
          <w:sz w:val="24"/>
          <w:szCs w:val="24"/>
        </w:rPr>
        <w:t xml:space="preserve"> a raíz de los </w:t>
      </w:r>
      <w:r w:rsidRPr="00A213B8">
        <w:rPr>
          <w:rFonts w:cstheme="minorHAnsi"/>
          <w:sz w:val="24"/>
          <w:szCs w:val="24"/>
        </w:rPr>
        <w:t>caso</w:t>
      </w:r>
      <w:r w:rsidR="0048489D" w:rsidRPr="00A213B8">
        <w:rPr>
          <w:rFonts w:cstheme="minorHAnsi"/>
          <w:sz w:val="24"/>
          <w:szCs w:val="24"/>
        </w:rPr>
        <w:t>s E/C.12/61/D/5/2015 y E/C.12/66/D/37/2018.</w:t>
      </w:r>
    </w:p>
    <w:p w:rsidR="009F74CC" w:rsidRPr="00A213B8" w:rsidRDefault="009F74CC" w:rsidP="00167C80">
      <w:pPr>
        <w:spacing w:after="0" w:line="240" w:lineRule="auto"/>
        <w:jc w:val="both"/>
        <w:rPr>
          <w:rFonts w:cstheme="minorHAnsi"/>
          <w:sz w:val="24"/>
          <w:szCs w:val="24"/>
        </w:rPr>
      </w:pPr>
    </w:p>
    <w:p w:rsidR="00736981" w:rsidRPr="00A213B8" w:rsidRDefault="00736981" w:rsidP="00167C80">
      <w:pPr>
        <w:spacing w:after="0" w:line="240" w:lineRule="auto"/>
        <w:jc w:val="both"/>
        <w:rPr>
          <w:rFonts w:cstheme="minorHAnsi"/>
          <w:b/>
          <w:sz w:val="24"/>
          <w:szCs w:val="24"/>
        </w:rPr>
      </w:pPr>
    </w:p>
    <w:p w:rsidR="009F74CC" w:rsidRPr="00A213B8" w:rsidRDefault="00104248" w:rsidP="0073332D">
      <w:pPr>
        <w:shd w:val="clear" w:color="auto" w:fill="1F4E79" w:themeFill="accent1" w:themeFillShade="80"/>
        <w:spacing w:after="0" w:line="240" w:lineRule="auto"/>
        <w:jc w:val="both"/>
        <w:rPr>
          <w:rFonts w:cstheme="minorHAnsi"/>
          <w:b/>
          <w:color w:val="FFFFFF" w:themeColor="background1"/>
          <w:sz w:val="24"/>
          <w:szCs w:val="24"/>
        </w:rPr>
      </w:pPr>
      <w:r w:rsidRPr="00A213B8">
        <w:rPr>
          <w:rFonts w:cstheme="minorHAnsi"/>
          <w:b/>
          <w:color w:val="FFFFFF" w:themeColor="background1"/>
          <w:sz w:val="24"/>
          <w:szCs w:val="24"/>
        </w:rPr>
        <w:t>DERECHO A LA SALUD</w:t>
      </w:r>
      <w:r w:rsidR="00D53468" w:rsidRPr="00A213B8">
        <w:rPr>
          <w:rFonts w:cstheme="minorHAnsi"/>
          <w:b/>
          <w:color w:val="FFFFFF" w:themeColor="background1"/>
          <w:sz w:val="24"/>
          <w:szCs w:val="24"/>
        </w:rPr>
        <w:t>: párrafo 42 6º Informe Periódico PIDESC</w:t>
      </w:r>
    </w:p>
    <w:p w:rsidR="00BF2BC5" w:rsidRPr="00A213B8" w:rsidRDefault="00BF2BC5" w:rsidP="00167C80">
      <w:pPr>
        <w:spacing w:after="0" w:line="240" w:lineRule="auto"/>
        <w:jc w:val="both"/>
        <w:rPr>
          <w:rFonts w:cstheme="minorHAnsi"/>
          <w:b/>
          <w:sz w:val="24"/>
          <w:szCs w:val="24"/>
        </w:rPr>
      </w:pPr>
    </w:p>
    <w:p w:rsidR="00CB33A1" w:rsidRPr="00A213B8" w:rsidRDefault="00CB33A1" w:rsidP="00167C80">
      <w:pPr>
        <w:spacing w:after="0" w:line="240" w:lineRule="auto"/>
        <w:jc w:val="both"/>
        <w:rPr>
          <w:rFonts w:cstheme="minorHAnsi"/>
          <w:i/>
          <w:sz w:val="24"/>
          <w:szCs w:val="24"/>
        </w:rPr>
      </w:pPr>
      <w:r w:rsidRPr="00A213B8">
        <w:rPr>
          <w:rFonts w:cstheme="minorHAnsi"/>
          <w:sz w:val="24"/>
          <w:szCs w:val="24"/>
        </w:rPr>
        <w:t xml:space="preserve">Párrafo 42: </w:t>
      </w:r>
      <w:r w:rsidRPr="00A213B8">
        <w:rPr>
          <w:rFonts w:cstheme="minorHAnsi"/>
          <w:i/>
          <w:sz w:val="24"/>
          <w:szCs w:val="24"/>
        </w:rPr>
        <w:t xml:space="preserve">De acuerdo a su anterior recomendación (E/C.12/ESP/CO/5, para 19), el Comité insta al Estado parte que lleve a cabo una </w:t>
      </w:r>
      <w:r w:rsidRPr="00A213B8">
        <w:rPr>
          <w:rFonts w:cstheme="minorHAnsi"/>
          <w:b/>
          <w:i/>
          <w:sz w:val="24"/>
          <w:szCs w:val="24"/>
        </w:rPr>
        <w:t>evaluación exhaustiva sobre el impacto que ha tenido la aplicación del Real Decreto-ley 16/2012 en el disfrute del derecho del más alto nivel posible de salud</w:t>
      </w:r>
      <w:r w:rsidRPr="00A213B8">
        <w:rPr>
          <w:rFonts w:cstheme="minorHAnsi"/>
          <w:i/>
          <w:sz w:val="24"/>
          <w:szCs w:val="24"/>
        </w:rPr>
        <w:t xml:space="preserve"> a fin de llevar a cabo los reajustes necesarios para garantizar la disponibilidad, accesibilidad, asequibilidad, aceptabilidad y calidad de los servicios y atención de salud, incluyendo la derogación de las disposiciones que implicaron retrocesos en la protección del derecho a la salud. Además, le insta a que </w:t>
      </w:r>
      <w:r w:rsidRPr="00A213B8">
        <w:rPr>
          <w:rFonts w:cstheme="minorHAnsi"/>
          <w:b/>
          <w:i/>
          <w:sz w:val="24"/>
          <w:szCs w:val="24"/>
        </w:rPr>
        <w:t>tome las medidas necesarias para que los migrantes en situación irregular tengan acceso a todos los servicios de salud necesarios, sin discriminación</w:t>
      </w:r>
      <w:r w:rsidRPr="00A213B8">
        <w:rPr>
          <w:rFonts w:cstheme="minorHAnsi"/>
          <w:i/>
          <w:sz w:val="24"/>
          <w:szCs w:val="24"/>
        </w:rPr>
        <w:t xml:space="preserve"> </w:t>
      </w:r>
      <w:r w:rsidRPr="00A213B8">
        <w:rPr>
          <w:rFonts w:cstheme="minorHAnsi"/>
          <w:b/>
          <w:i/>
          <w:sz w:val="24"/>
          <w:szCs w:val="24"/>
        </w:rPr>
        <w:t>alguna</w:t>
      </w:r>
      <w:r w:rsidRPr="00A213B8">
        <w:rPr>
          <w:rFonts w:cstheme="minorHAnsi"/>
          <w:i/>
          <w:sz w:val="24"/>
          <w:szCs w:val="24"/>
        </w:rPr>
        <w:t>, de conformidad con los artículos 2 y 12 del Pacto. El Comité remite al Estado parte su observación general núm. 14 (2000) relativa al disfrute del más alto nivel posible de salud</w:t>
      </w:r>
    </w:p>
    <w:p w:rsidR="00CB33A1" w:rsidRPr="00A213B8" w:rsidRDefault="00CB33A1" w:rsidP="00167C80">
      <w:pPr>
        <w:spacing w:after="0" w:line="240" w:lineRule="auto"/>
        <w:jc w:val="both"/>
        <w:rPr>
          <w:rFonts w:cstheme="minorHAnsi"/>
          <w:sz w:val="24"/>
          <w:szCs w:val="24"/>
        </w:rPr>
      </w:pPr>
    </w:p>
    <w:p w:rsidR="008218D6" w:rsidRPr="00A213B8" w:rsidRDefault="00DA417B" w:rsidP="00167C80">
      <w:pPr>
        <w:spacing w:after="0" w:line="240" w:lineRule="auto"/>
        <w:jc w:val="both"/>
        <w:rPr>
          <w:rFonts w:cstheme="minorHAnsi"/>
          <w:b/>
          <w:sz w:val="24"/>
          <w:szCs w:val="24"/>
        </w:rPr>
      </w:pPr>
      <w:r w:rsidRPr="00A213B8">
        <w:rPr>
          <w:rFonts w:cstheme="minorHAnsi"/>
          <w:sz w:val="24"/>
          <w:szCs w:val="24"/>
        </w:rPr>
        <w:t xml:space="preserve">La aprobación del Real Decreto-Ley 7/2018 (RDL) fue un paso importante pero insuficiente hacia el cumplimiento de la recomendación del Comité, </w:t>
      </w:r>
      <w:r w:rsidRPr="00A213B8">
        <w:rPr>
          <w:rFonts w:cstheme="minorHAnsi"/>
          <w:b/>
          <w:sz w:val="24"/>
          <w:szCs w:val="24"/>
        </w:rPr>
        <w:t xml:space="preserve">pero sigue teniendo importantes grietas que mantienen la exclusión de un gran número de personas, en especial a las personas migrantes en situación irregular. </w:t>
      </w:r>
    </w:p>
    <w:p w:rsidR="008218D6" w:rsidRPr="00A213B8" w:rsidRDefault="008218D6" w:rsidP="00167C80">
      <w:pPr>
        <w:spacing w:after="0" w:line="240" w:lineRule="auto"/>
        <w:jc w:val="both"/>
        <w:rPr>
          <w:rFonts w:cstheme="minorHAnsi"/>
          <w:sz w:val="24"/>
          <w:szCs w:val="24"/>
        </w:rPr>
      </w:pPr>
    </w:p>
    <w:p w:rsidR="00736981" w:rsidRPr="00A213B8" w:rsidRDefault="00736981" w:rsidP="00736981">
      <w:pPr>
        <w:jc w:val="both"/>
        <w:rPr>
          <w:rFonts w:cstheme="minorHAnsi"/>
          <w:sz w:val="24"/>
          <w:szCs w:val="24"/>
        </w:rPr>
      </w:pPr>
      <w:r w:rsidRPr="00A213B8">
        <w:rPr>
          <w:rFonts w:cstheme="minorHAnsi"/>
          <w:sz w:val="24"/>
          <w:szCs w:val="24"/>
        </w:rPr>
        <w:t>Pese al cambio en la normativa estatal que parecía recuperar el acceso a la sa</w:t>
      </w:r>
      <w:r w:rsidR="00C804A4">
        <w:rPr>
          <w:rFonts w:cstheme="minorHAnsi"/>
          <w:sz w:val="24"/>
          <w:szCs w:val="24"/>
        </w:rPr>
        <w:t>lud para las personas migrantes</w:t>
      </w:r>
      <w:r w:rsidRPr="00A213B8">
        <w:rPr>
          <w:rFonts w:cstheme="minorHAnsi"/>
          <w:sz w:val="24"/>
          <w:szCs w:val="24"/>
        </w:rPr>
        <w:t xml:space="preserve"> en situación irregular, </w:t>
      </w:r>
      <w:r w:rsidRPr="00A213B8">
        <w:rPr>
          <w:rFonts w:cstheme="minorHAnsi"/>
          <w:b/>
          <w:sz w:val="24"/>
          <w:szCs w:val="24"/>
        </w:rPr>
        <w:t>dicha normativa prevé un desarrollo normativo por comunidades autónomas que no se ha dado todavía, generando graves obstáculos en el acceso normalizado</w:t>
      </w:r>
      <w:r w:rsidRPr="00A213B8">
        <w:rPr>
          <w:rFonts w:cstheme="minorHAnsi"/>
          <w:sz w:val="24"/>
          <w:szCs w:val="24"/>
        </w:rPr>
        <w:t xml:space="preserve">. </w:t>
      </w:r>
      <w:r w:rsidR="00BB1E4E" w:rsidRPr="00A213B8">
        <w:rPr>
          <w:rFonts w:cstheme="minorHAnsi"/>
          <w:sz w:val="24"/>
          <w:szCs w:val="24"/>
        </w:rPr>
        <w:t>Así,</w:t>
      </w:r>
      <w:r w:rsidRPr="00A213B8">
        <w:rPr>
          <w:rFonts w:cstheme="minorHAnsi"/>
          <w:sz w:val="24"/>
          <w:szCs w:val="24"/>
        </w:rPr>
        <w:t xml:space="preserve"> no se ha adoptado un Reglamento del RDL 7/2018 que clarifique el contenido de este y garantice el derecho a la atención sanitaria, de forma que en cada Comunidad Autónoma se está aplicando de forma diferente y, en la práctica, se mantienen las situaciones de exclusión previas a la aprobación del Real Decreto.</w:t>
      </w:r>
    </w:p>
    <w:p w:rsidR="00736981" w:rsidRPr="00A213B8" w:rsidRDefault="00736981" w:rsidP="00736981">
      <w:pPr>
        <w:jc w:val="both"/>
        <w:rPr>
          <w:rFonts w:cstheme="minorHAnsi"/>
          <w:sz w:val="24"/>
          <w:szCs w:val="24"/>
        </w:rPr>
      </w:pPr>
      <w:r w:rsidRPr="00A213B8">
        <w:rPr>
          <w:rFonts w:cstheme="minorHAnsi"/>
          <w:sz w:val="24"/>
          <w:szCs w:val="24"/>
        </w:rPr>
        <w:t xml:space="preserve"> Además, es especialmente grave en el caso de </w:t>
      </w:r>
      <w:r w:rsidRPr="00A213B8">
        <w:rPr>
          <w:rFonts w:cstheme="minorHAnsi"/>
          <w:b/>
          <w:sz w:val="24"/>
          <w:szCs w:val="24"/>
        </w:rPr>
        <w:t>ascendientes no comunitarios de españoles o de comunitarios</w:t>
      </w:r>
      <w:r w:rsidRPr="00A213B8">
        <w:rPr>
          <w:rFonts w:cstheme="minorHAnsi"/>
          <w:sz w:val="24"/>
          <w:szCs w:val="24"/>
        </w:rPr>
        <w:t xml:space="preserve"> puesto que no están siendo reconocidos como beneficiarios.</w:t>
      </w:r>
    </w:p>
    <w:p w:rsidR="003A58B4" w:rsidRPr="00A213B8" w:rsidRDefault="003A58B4" w:rsidP="00167C80">
      <w:pPr>
        <w:spacing w:after="0" w:line="240" w:lineRule="auto"/>
        <w:jc w:val="both"/>
        <w:rPr>
          <w:rFonts w:cstheme="minorHAnsi"/>
          <w:b/>
          <w:color w:val="1F4E79" w:themeColor="accent1" w:themeShade="80"/>
          <w:sz w:val="24"/>
          <w:szCs w:val="24"/>
        </w:rPr>
      </w:pPr>
    </w:p>
    <w:p w:rsidR="00DA417B" w:rsidRPr="00A213B8" w:rsidRDefault="005748BA" w:rsidP="00167C80">
      <w:pPr>
        <w:spacing w:after="0" w:line="240" w:lineRule="auto"/>
        <w:jc w:val="both"/>
        <w:rPr>
          <w:rFonts w:cstheme="minorHAnsi"/>
          <w:b/>
          <w:color w:val="1F4E79" w:themeColor="accent1" w:themeShade="80"/>
          <w:sz w:val="24"/>
          <w:szCs w:val="24"/>
        </w:rPr>
      </w:pPr>
      <w:r w:rsidRPr="00A213B8">
        <w:rPr>
          <w:rFonts w:cstheme="minorHAnsi"/>
          <w:b/>
          <w:color w:val="1F4E79" w:themeColor="accent1" w:themeShade="80"/>
          <w:sz w:val="24"/>
          <w:szCs w:val="24"/>
        </w:rPr>
        <w:lastRenderedPageBreak/>
        <w:t>Recomendaciones</w:t>
      </w:r>
    </w:p>
    <w:p w:rsidR="005956CF" w:rsidRPr="00A213B8" w:rsidRDefault="005956CF" w:rsidP="00167C80">
      <w:pPr>
        <w:spacing w:after="0" w:line="240" w:lineRule="auto"/>
        <w:jc w:val="both"/>
        <w:rPr>
          <w:rFonts w:cstheme="minorHAnsi"/>
          <w:sz w:val="24"/>
          <w:szCs w:val="24"/>
        </w:rPr>
      </w:pPr>
    </w:p>
    <w:p w:rsidR="00370091" w:rsidRPr="00A213B8" w:rsidRDefault="00370091" w:rsidP="00E4293A">
      <w:pPr>
        <w:pStyle w:val="Prrafodelista"/>
        <w:numPr>
          <w:ilvl w:val="0"/>
          <w:numId w:val="16"/>
        </w:numPr>
        <w:spacing w:after="0" w:line="240" w:lineRule="auto"/>
        <w:jc w:val="both"/>
        <w:rPr>
          <w:rFonts w:cstheme="minorHAnsi"/>
          <w:sz w:val="24"/>
          <w:szCs w:val="24"/>
        </w:rPr>
      </w:pPr>
      <w:r w:rsidRPr="00A213B8">
        <w:rPr>
          <w:rFonts w:cstheme="minorHAnsi"/>
          <w:b/>
          <w:sz w:val="24"/>
          <w:szCs w:val="24"/>
        </w:rPr>
        <w:t>Desarrollar un Reglamento del RDL 7/2018</w:t>
      </w:r>
      <w:r w:rsidRPr="00A213B8">
        <w:rPr>
          <w:rFonts w:cstheme="minorHAnsi"/>
          <w:sz w:val="24"/>
          <w:szCs w:val="24"/>
        </w:rPr>
        <w:t xml:space="preserve"> que clarifique el contenido de este y garantice el derecho a la atención sanitaria, de forma que en cada Comunidad Autónoma</w:t>
      </w:r>
      <w:r w:rsidR="00BB1E4E" w:rsidRPr="00A213B8">
        <w:rPr>
          <w:rFonts w:cstheme="minorHAnsi"/>
          <w:sz w:val="24"/>
          <w:szCs w:val="24"/>
        </w:rPr>
        <w:t>.</w:t>
      </w:r>
    </w:p>
    <w:p w:rsidR="00DA417B" w:rsidRPr="00A213B8" w:rsidRDefault="00DA417B" w:rsidP="00E4293A">
      <w:pPr>
        <w:pStyle w:val="Prrafodelista"/>
        <w:numPr>
          <w:ilvl w:val="0"/>
          <w:numId w:val="16"/>
        </w:numPr>
        <w:spacing w:after="0" w:line="240" w:lineRule="auto"/>
        <w:jc w:val="both"/>
        <w:rPr>
          <w:rFonts w:cstheme="minorHAnsi"/>
          <w:sz w:val="24"/>
          <w:szCs w:val="24"/>
        </w:rPr>
      </w:pPr>
      <w:r w:rsidRPr="00A213B8">
        <w:rPr>
          <w:rFonts w:cstheme="minorHAnsi"/>
          <w:b/>
          <w:sz w:val="24"/>
          <w:szCs w:val="24"/>
        </w:rPr>
        <w:t>Eliminar las barreras a la exclusión</w:t>
      </w:r>
      <w:r w:rsidRPr="00A213B8">
        <w:rPr>
          <w:rFonts w:cstheme="minorHAnsi"/>
          <w:sz w:val="24"/>
          <w:szCs w:val="24"/>
        </w:rPr>
        <w:t xml:space="preserve">, específicamente: </w:t>
      </w:r>
    </w:p>
    <w:p w:rsidR="00DA417B" w:rsidRPr="00A213B8" w:rsidRDefault="00DA417B" w:rsidP="00167C80">
      <w:pPr>
        <w:pStyle w:val="Prrafodelista"/>
        <w:numPr>
          <w:ilvl w:val="0"/>
          <w:numId w:val="13"/>
        </w:numPr>
        <w:spacing w:after="0" w:line="240" w:lineRule="auto"/>
        <w:jc w:val="both"/>
        <w:rPr>
          <w:rFonts w:cstheme="minorHAnsi"/>
          <w:sz w:val="24"/>
          <w:szCs w:val="24"/>
        </w:rPr>
      </w:pPr>
      <w:r w:rsidRPr="00A213B8">
        <w:rPr>
          <w:rFonts w:cstheme="minorHAnsi"/>
          <w:sz w:val="24"/>
          <w:szCs w:val="24"/>
        </w:rPr>
        <w:t>Flexibilizar los medios de prueba de los requisitos administrativos para que estos no constituyan barreras insalvables. Particularmente, no supeditar la prueba de que la persona vive efectivamente en España exclusivamente al empadronamiento aceptando o cualquier medio de prueba admitido en derecho como pueden ser certificados de escolarización de menores a su cargo, recibos, documentos emitidos por organizaciones sociales, etc.</w:t>
      </w:r>
    </w:p>
    <w:p w:rsidR="00DA417B" w:rsidRPr="00A213B8" w:rsidRDefault="00DA417B" w:rsidP="00167C80">
      <w:pPr>
        <w:pStyle w:val="Prrafodelista"/>
        <w:numPr>
          <w:ilvl w:val="0"/>
          <w:numId w:val="13"/>
        </w:numPr>
        <w:spacing w:after="0" w:line="240" w:lineRule="auto"/>
        <w:jc w:val="both"/>
        <w:rPr>
          <w:rFonts w:cstheme="minorHAnsi"/>
          <w:sz w:val="24"/>
          <w:szCs w:val="24"/>
        </w:rPr>
      </w:pPr>
      <w:r w:rsidRPr="00A213B8">
        <w:rPr>
          <w:rFonts w:cstheme="minorHAnsi"/>
          <w:sz w:val="24"/>
          <w:szCs w:val="24"/>
        </w:rPr>
        <w:t>Reconocer el derecho a la atención sanitaria con cargo a fondos públicos a las personas mayores – padres, madres, abuelos y abuelas – que han llegado a España fruto de un proceso legal de reagrupación familiar.</w:t>
      </w:r>
    </w:p>
    <w:p w:rsidR="00DA417B" w:rsidRPr="00A213B8" w:rsidRDefault="00DA417B" w:rsidP="00167C80">
      <w:pPr>
        <w:pStyle w:val="Prrafodelista"/>
        <w:numPr>
          <w:ilvl w:val="0"/>
          <w:numId w:val="13"/>
        </w:numPr>
        <w:spacing w:after="0" w:line="240" w:lineRule="auto"/>
        <w:jc w:val="both"/>
        <w:rPr>
          <w:rFonts w:cstheme="minorHAnsi"/>
          <w:sz w:val="24"/>
          <w:szCs w:val="24"/>
        </w:rPr>
      </w:pPr>
      <w:r w:rsidRPr="00A213B8">
        <w:rPr>
          <w:rFonts w:cstheme="minorHAnsi"/>
          <w:sz w:val="24"/>
          <w:szCs w:val="24"/>
        </w:rPr>
        <w:t xml:space="preserve">Garantizar en todo caso la atención con cargo a fondos públicos a mujeres embarazadas, menores de edad, solicitantes de asilo, víctimas de </w:t>
      </w:r>
      <w:proofErr w:type="gramStart"/>
      <w:r w:rsidRPr="00A213B8">
        <w:rPr>
          <w:rFonts w:cstheme="minorHAnsi"/>
          <w:sz w:val="24"/>
          <w:szCs w:val="24"/>
        </w:rPr>
        <w:t>trata</w:t>
      </w:r>
      <w:proofErr w:type="gramEnd"/>
      <w:r w:rsidRPr="00A213B8">
        <w:rPr>
          <w:rFonts w:cstheme="minorHAnsi"/>
          <w:sz w:val="24"/>
          <w:szCs w:val="24"/>
        </w:rPr>
        <w:t xml:space="preserve"> así como la atención en urgencias, sin exigir prueba de un tiempo mínimo de estancia en el país. </w:t>
      </w:r>
    </w:p>
    <w:p w:rsidR="00DA417B" w:rsidRPr="00C804A4" w:rsidRDefault="00DA417B" w:rsidP="00C804A4">
      <w:pPr>
        <w:pStyle w:val="Prrafodelista"/>
        <w:numPr>
          <w:ilvl w:val="0"/>
          <w:numId w:val="13"/>
        </w:numPr>
        <w:spacing w:after="0" w:line="240" w:lineRule="auto"/>
        <w:jc w:val="both"/>
        <w:rPr>
          <w:rFonts w:cstheme="minorHAnsi"/>
          <w:sz w:val="24"/>
          <w:szCs w:val="24"/>
        </w:rPr>
      </w:pPr>
      <w:r w:rsidRPr="00A213B8">
        <w:rPr>
          <w:rFonts w:cstheme="minorHAnsi"/>
          <w:sz w:val="24"/>
          <w:szCs w:val="24"/>
        </w:rPr>
        <w:t>Derogar los copagos del RDL 16/2012</w:t>
      </w:r>
      <w:r w:rsidR="00BB1E4E" w:rsidRPr="00A213B8">
        <w:rPr>
          <w:rFonts w:cstheme="minorHAnsi"/>
          <w:sz w:val="24"/>
          <w:szCs w:val="24"/>
        </w:rPr>
        <w:t>.</w:t>
      </w:r>
    </w:p>
    <w:p w:rsidR="002F0341" w:rsidRPr="00A213B8" w:rsidRDefault="00DA417B" w:rsidP="00167C80">
      <w:pPr>
        <w:pStyle w:val="Prrafodelista"/>
        <w:numPr>
          <w:ilvl w:val="0"/>
          <w:numId w:val="16"/>
        </w:numPr>
        <w:spacing w:after="0" w:line="240" w:lineRule="auto"/>
        <w:jc w:val="both"/>
        <w:rPr>
          <w:rFonts w:cstheme="minorHAnsi"/>
          <w:sz w:val="24"/>
          <w:szCs w:val="24"/>
        </w:rPr>
      </w:pPr>
      <w:r w:rsidRPr="00A213B8">
        <w:rPr>
          <w:rFonts w:cstheme="minorHAnsi"/>
          <w:b/>
          <w:sz w:val="24"/>
          <w:szCs w:val="24"/>
        </w:rPr>
        <w:t xml:space="preserve">Asegurar el gasto público </w:t>
      </w:r>
      <w:r w:rsidRPr="00A213B8">
        <w:rPr>
          <w:rFonts w:cstheme="minorHAnsi"/>
          <w:sz w:val="24"/>
          <w:szCs w:val="24"/>
        </w:rPr>
        <w:t xml:space="preserve">necesario para garantizar una financiación suficiente y finalista que reduzca al máximo las desigualdades. </w:t>
      </w:r>
    </w:p>
    <w:p w:rsidR="00DA417B" w:rsidRPr="00A213B8" w:rsidRDefault="00DA417B" w:rsidP="00167C80">
      <w:pPr>
        <w:pStyle w:val="Prrafodelista"/>
        <w:numPr>
          <w:ilvl w:val="0"/>
          <w:numId w:val="16"/>
        </w:numPr>
        <w:spacing w:after="0" w:line="240" w:lineRule="auto"/>
        <w:jc w:val="both"/>
        <w:rPr>
          <w:rFonts w:cstheme="minorHAnsi"/>
          <w:sz w:val="24"/>
          <w:szCs w:val="24"/>
        </w:rPr>
      </w:pPr>
      <w:r w:rsidRPr="00A213B8">
        <w:rPr>
          <w:rFonts w:cstheme="minorHAnsi"/>
          <w:b/>
          <w:sz w:val="24"/>
          <w:szCs w:val="24"/>
        </w:rPr>
        <w:t>Parar privatizaciones y recuperar lo privatizado</w:t>
      </w:r>
      <w:r w:rsidRPr="00A213B8">
        <w:rPr>
          <w:rFonts w:cstheme="minorHAnsi"/>
          <w:sz w:val="24"/>
          <w:szCs w:val="24"/>
        </w:rPr>
        <w:t xml:space="preserve"> para garantizar la disponibilidad, accesibilidad, asequibilidad, aceptabilidad y calidad de los servicios y atención de salud</w:t>
      </w:r>
      <w:r w:rsidR="002024EF" w:rsidRPr="00A213B8">
        <w:rPr>
          <w:rFonts w:cstheme="minorHAnsi"/>
          <w:sz w:val="24"/>
          <w:szCs w:val="24"/>
        </w:rPr>
        <w:t>.</w:t>
      </w:r>
    </w:p>
    <w:p w:rsidR="008B1E5C" w:rsidRDefault="008B1E5C" w:rsidP="00167C80">
      <w:pPr>
        <w:spacing w:after="0" w:line="240" w:lineRule="auto"/>
        <w:jc w:val="both"/>
        <w:rPr>
          <w:rFonts w:cstheme="minorHAnsi"/>
          <w:sz w:val="24"/>
          <w:szCs w:val="24"/>
        </w:rPr>
      </w:pPr>
    </w:p>
    <w:p w:rsidR="00C804A4" w:rsidRDefault="00C804A4" w:rsidP="00167C80">
      <w:pPr>
        <w:spacing w:after="0" w:line="240" w:lineRule="auto"/>
        <w:jc w:val="both"/>
        <w:rPr>
          <w:rFonts w:cstheme="minorHAnsi"/>
          <w:sz w:val="24"/>
          <w:szCs w:val="24"/>
        </w:rPr>
      </w:pPr>
    </w:p>
    <w:p w:rsidR="00C804A4" w:rsidRPr="005F7CE8" w:rsidRDefault="00C804A4" w:rsidP="00167C80">
      <w:pPr>
        <w:spacing w:after="0" w:line="240" w:lineRule="auto"/>
        <w:jc w:val="both"/>
        <w:rPr>
          <w:rFonts w:cstheme="minorHAnsi"/>
          <w:color w:val="000000" w:themeColor="text1"/>
          <w:sz w:val="24"/>
          <w:szCs w:val="24"/>
        </w:rPr>
      </w:pPr>
    </w:p>
    <w:p w:rsidR="00C804A4" w:rsidRPr="005F7CE8" w:rsidRDefault="00C804A4" w:rsidP="00167C80">
      <w:pPr>
        <w:spacing w:after="0" w:line="240" w:lineRule="auto"/>
        <w:jc w:val="both"/>
        <w:rPr>
          <w:rFonts w:cstheme="minorHAnsi"/>
          <w:color w:val="000000" w:themeColor="text1"/>
          <w:sz w:val="24"/>
          <w:szCs w:val="24"/>
        </w:rPr>
      </w:pPr>
    </w:p>
    <w:p w:rsidR="00C804A4" w:rsidRPr="005F7CE8" w:rsidRDefault="00C804A4" w:rsidP="00167C80">
      <w:pPr>
        <w:spacing w:after="0" w:line="240" w:lineRule="auto"/>
        <w:jc w:val="both"/>
        <w:rPr>
          <w:rFonts w:cstheme="minorHAnsi"/>
          <w:color w:val="000000" w:themeColor="text1"/>
          <w:sz w:val="24"/>
          <w:szCs w:val="24"/>
        </w:rPr>
      </w:pPr>
    </w:p>
    <w:p w:rsidR="00C804A4" w:rsidRPr="005F7CE8" w:rsidRDefault="00C804A4" w:rsidP="00167C80">
      <w:pPr>
        <w:spacing w:after="0" w:line="240" w:lineRule="auto"/>
        <w:jc w:val="both"/>
        <w:rPr>
          <w:rFonts w:cstheme="minorHAnsi"/>
          <w:color w:val="000000" w:themeColor="text1"/>
          <w:sz w:val="24"/>
          <w:szCs w:val="24"/>
        </w:rPr>
      </w:pPr>
    </w:p>
    <w:p w:rsidR="00C804A4" w:rsidRPr="005F7CE8" w:rsidRDefault="00C804A4" w:rsidP="00167C80">
      <w:pPr>
        <w:spacing w:after="0" w:line="240" w:lineRule="auto"/>
        <w:jc w:val="both"/>
        <w:rPr>
          <w:rFonts w:cstheme="minorHAnsi"/>
          <w:color w:val="000000" w:themeColor="text1"/>
          <w:sz w:val="24"/>
          <w:szCs w:val="24"/>
        </w:rPr>
      </w:pPr>
    </w:p>
    <w:p w:rsidR="00C804A4" w:rsidRPr="005F7CE8" w:rsidRDefault="00C804A4" w:rsidP="00167C80">
      <w:pPr>
        <w:spacing w:after="0" w:line="240" w:lineRule="auto"/>
        <w:jc w:val="both"/>
        <w:rPr>
          <w:rFonts w:cstheme="minorHAnsi"/>
          <w:color w:val="000000" w:themeColor="text1"/>
          <w:sz w:val="24"/>
          <w:szCs w:val="24"/>
        </w:rPr>
      </w:pPr>
    </w:p>
    <w:p w:rsidR="00C804A4" w:rsidRPr="005F7CE8" w:rsidRDefault="00C804A4" w:rsidP="00167C80">
      <w:pPr>
        <w:spacing w:after="0" w:line="240" w:lineRule="auto"/>
        <w:jc w:val="both"/>
        <w:rPr>
          <w:rFonts w:cstheme="minorHAnsi"/>
          <w:color w:val="000000" w:themeColor="text1"/>
          <w:sz w:val="24"/>
          <w:szCs w:val="24"/>
        </w:rPr>
      </w:pPr>
    </w:p>
    <w:p w:rsidR="00C804A4" w:rsidRPr="005F7CE8" w:rsidRDefault="00C804A4" w:rsidP="00167C80">
      <w:pPr>
        <w:spacing w:after="0" w:line="240" w:lineRule="auto"/>
        <w:jc w:val="both"/>
        <w:rPr>
          <w:rFonts w:cstheme="minorHAnsi"/>
          <w:color w:val="000000" w:themeColor="text1"/>
          <w:sz w:val="24"/>
          <w:szCs w:val="24"/>
        </w:rPr>
      </w:pPr>
    </w:p>
    <w:p w:rsidR="00C804A4" w:rsidRPr="005F7CE8" w:rsidRDefault="00C804A4" w:rsidP="00167C80">
      <w:pPr>
        <w:spacing w:after="0" w:line="240" w:lineRule="auto"/>
        <w:jc w:val="both"/>
        <w:rPr>
          <w:rFonts w:cstheme="minorHAnsi"/>
          <w:color w:val="000000" w:themeColor="text1"/>
          <w:sz w:val="24"/>
          <w:szCs w:val="24"/>
        </w:rPr>
      </w:pPr>
    </w:p>
    <w:p w:rsidR="00C804A4" w:rsidRPr="005F7CE8" w:rsidRDefault="00C804A4" w:rsidP="00167C80">
      <w:pPr>
        <w:spacing w:after="0" w:line="240" w:lineRule="auto"/>
        <w:jc w:val="both"/>
        <w:rPr>
          <w:rFonts w:cstheme="minorHAnsi"/>
          <w:color w:val="000000" w:themeColor="text1"/>
          <w:sz w:val="24"/>
          <w:szCs w:val="24"/>
        </w:rPr>
      </w:pPr>
    </w:p>
    <w:p w:rsidR="00C804A4" w:rsidRPr="005F7CE8" w:rsidRDefault="00C804A4" w:rsidP="00167C80">
      <w:pPr>
        <w:spacing w:after="0" w:line="240" w:lineRule="auto"/>
        <w:jc w:val="both"/>
        <w:rPr>
          <w:rFonts w:cstheme="minorHAnsi"/>
          <w:color w:val="000000" w:themeColor="text1"/>
          <w:sz w:val="24"/>
          <w:szCs w:val="24"/>
        </w:rPr>
      </w:pPr>
    </w:p>
    <w:p w:rsidR="00C804A4" w:rsidRPr="005F7CE8" w:rsidRDefault="00C804A4" w:rsidP="00167C80">
      <w:pPr>
        <w:spacing w:after="0" w:line="240" w:lineRule="auto"/>
        <w:jc w:val="both"/>
        <w:rPr>
          <w:rFonts w:cstheme="minorHAnsi"/>
          <w:color w:val="000000" w:themeColor="text1"/>
          <w:sz w:val="24"/>
          <w:szCs w:val="24"/>
        </w:rPr>
      </w:pPr>
    </w:p>
    <w:p w:rsidR="00C804A4" w:rsidRPr="005F7CE8" w:rsidRDefault="00C804A4" w:rsidP="00167C80">
      <w:pPr>
        <w:spacing w:after="0" w:line="240" w:lineRule="auto"/>
        <w:jc w:val="both"/>
        <w:rPr>
          <w:rFonts w:cstheme="minorHAnsi"/>
          <w:color w:val="000000" w:themeColor="text1"/>
          <w:sz w:val="24"/>
          <w:szCs w:val="24"/>
        </w:rPr>
      </w:pPr>
    </w:p>
    <w:p w:rsidR="00C804A4" w:rsidRPr="005F7CE8" w:rsidRDefault="00C804A4" w:rsidP="00167C80">
      <w:pPr>
        <w:spacing w:after="0" w:line="240" w:lineRule="auto"/>
        <w:jc w:val="both"/>
        <w:rPr>
          <w:rFonts w:cstheme="minorHAnsi"/>
          <w:color w:val="000000" w:themeColor="text1"/>
          <w:sz w:val="24"/>
          <w:szCs w:val="24"/>
        </w:rPr>
      </w:pPr>
    </w:p>
    <w:p w:rsidR="00C804A4" w:rsidRPr="005F7CE8" w:rsidRDefault="00C804A4" w:rsidP="00167C80">
      <w:pPr>
        <w:spacing w:after="0" w:line="240" w:lineRule="auto"/>
        <w:jc w:val="both"/>
        <w:rPr>
          <w:rFonts w:cstheme="minorHAnsi"/>
          <w:color w:val="000000" w:themeColor="text1"/>
          <w:sz w:val="24"/>
          <w:szCs w:val="24"/>
        </w:rPr>
      </w:pPr>
    </w:p>
    <w:p w:rsidR="00C804A4" w:rsidRPr="005F7CE8" w:rsidRDefault="00C804A4" w:rsidP="00167C80">
      <w:pPr>
        <w:spacing w:after="0" w:line="240" w:lineRule="auto"/>
        <w:jc w:val="both"/>
        <w:rPr>
          <w:rFonts w:cstheme="minorHAnsi"/>
          <w:color w:val="000000" w:themeColor="text1"/>
          <w:sz w:val="24"/>
          <w:szCs w:val="24"/>
        </w:rPr>
      </w:pPr>
    </w:p>
    <w:p w:rsidR="00C804A4" w:rsidRPr="005F7CE8" w:rsidRDefault="00C804A4" w:rsidP="00167C80">
      <w:pPr>
        <w:spacing w:after="0" w:line="240" w:lineRule="auto"/>
        <w:jc w:val="both"/>
        <w:rPr>
          <w:rFonts w:cstheme="minorHAnsi"/>
          <w:color w:val="000000" w:themeColor="text1"/>
          <w:sz w:val="24"/>
          <w:szCs w:val="24"/>
        </w:rPr>
      </w:pPr>
    </w:p>
    <w:p w:rsidR="00C804A4" w:rsidRPr="005F7CE8" w:rsidRDefault="00C804A4" w:rsidP="00167C80">
      <w:pPr>
        <w:spacing w:after="0" w:line="240" w:lineRule="auto"/>
        <w:jc w:val="both"/>
        <w:rPr>
          <w:rFonts w:cstheme="minorHAnsi"/>
          <w:color w:val="000000" w:themeColor="text1"/>
          <w:sz w:val="24"/>
          <w:szCs w:val="24"/>
        </w:rPr>
      </w:pPr>
    </w:p>
    <w:p w:rsidR="00C804A4" w:rsidRPr="005F7CE8" w:rsidRDefault="00C804A4" w:rsidP="00167C80">
      <w:pPr>
        <w:spacing w:after="0" w:line="240" w:lineRule="auto"/>
        <w:jc w:val="both"/>
        <w:rPr>
          <w:rFonts w:cstheme="minorHAnsi"/>
          <w:color w:val="000000" w:themeColor="text1"/>
          <w:sz w:val="24"/>
          <w:szCs w:val="24"/>
        </w:rPr>
      </w:pPr>
    </w:p>
    <w:p w:rsidR="00C804A4" w:rsidRPr="005F7CE8" w:rsidRDefault="00C804A4" w:rsidP="00167C80">
      <w:pPr>
        <w:spacing w:after="0" w:line="240" w:lineRule="auto"/>
        <w:jc w:val="both"/>
        <w:rPr>
          <w:rFonts w:cstheme="minorHAnsi"/>
          <w:color w:val="000000" w:themeColor="text1"/>
          <w:sz w:val="24"/>
          <w:szCs w:val="24"/>
        </w:rPr>
      </w:pPr>
    </w:p>
    <w:p w:rsidR="00C804A4" w:rsidRPr="005F7CE8" w:rsidRDefault="00C804A4" w:rsidP="00167C80">
      <w:pPr>
        <w:spacing w:after="0" w:line="240" w:lineRule="auto"/>
        <w:jc w:val="both"/>
        <w:rPr>
          <w:rFonts w:cstheme="minorHAnsi"/>
          <w:color w:val="000000" w:themeColor="text1"/>
          <w:sz w:val="24"/>
          <w:szCs w:val="24"/>
        </w:rPr>
      </w:pPr>
    </w:p>
    <w:p w:rsidR="00C804A4" w:rsidRPr="005F7CE8" w:rsidRDefault="00C804A4" w:rsidP="00167C80">
      <w:pPr>
        <w:spacing w:after="0" w:line="240" w:lineRule="auto"/>
        <w:jc w:val="both"/>
        <w:rPr>
          <w:rFonts w:cstheme="minorHAnsi"/>
          <w:color w:val="000000" w:themeColor="text1"/>
          <w:sz w:val="24"/>
          <w:szCs w:val="24"/>
        </w:rPr>
      </w:pPr>
    </w:p>
    <w:p w:rsidR="00C804A4" w:rsidRPr="005F7CE8" w:rsidRDefault="00C804A4" w:rsidP="00167C80">
      <w:pPr>
        <w:spacing w:after="0" w:line="240" w:lineRule="auto"/>
        <w:jc w:val="both"/>
        <w:rPr>
          <w:rFonts w:cstheme="minorHAnsi"/>
          <w:color w:val="000000" w:themeColor="text1"/>
          <w:sz w:val="24"/>
          <w:szCs w:val="24"/>
        </w:rPr>
      </w:pPr>
    </w:p>
    <w:p w:rsidR="00C804A4" w:rsidRPr="005F7CE8" w:rsidRDefault="00C804A4" w:rsidP="00167C80">
      <w:pPr>
        <w:spacing w:after="0" w:line="240" w:lineRule="auto"/>
        <w:jc w:val="both"/>
        <w:rPr>
          <w:rFonts w:cstheme="minorHAnsi"/>
          <w:color w:val="000000" w:themeColor="text1"/>
          <w:sz w:val="24"/>
          <w:szCs w:val="24"/>
        </w:rPr>
      </w:pPr>
    </w:p>
    <w:p w:rsidR="00C804A4" w:rsidRPr="005F7CE8" w:rsidRDefault="00C804A4" w:rsidP="00167C80">
      <w:pPr>
        <w:spacing w:after="0" w:line="240" w:lineRule="auto"/>
        <w:jc w:val="both"/>
        <w:rPr>
          <w:rFonts w:cstheme="minorHAnsi"/>
          <w:color w:val="000000" w:themeColor="text1"/>
          <w:sz w:val="24"/>
          <w:szCs w:val="24"/>
        </w:rPr>
      </w:pPr>
    </w:p>
    <w:p w:rsidR="00C804A4" w:rsidRPr="005F7CE8" w:rsidRDefault="00C804A4" w:rsidP="00167C80">
      <w:pPr>
        <w:spacing w:after="0" w:line="240" w:lineRule="auto"/>
        <w:jc w:val="both"/>
        <w:rPr>
          <w:rFonts w:cstheme="minorHAnsi"/>
          <w:color w:val="000000" w:themeColor="text1"/>
          <w:sz w:val="24"/>
          <w:szCs w:val="24"/>
        </w:rPr>
      </w:pPr>
    </w:p>
    <w:p w:rsidR="00C804A4" w:rsidRPr="005F7CE8" w:rsidRDefault="00C804A4" w:rsidP="00167C80">
      <w:pPr>
        <w:spacing w:after="0" w:line="240" w:lineRule="auto"/>
        <w:jc w:val="both"/>
        <w:rPr>
          <w:rFonts w:cstheme="minorHAnsi"/>
          <w:color w:val="000000" w:themeColor="text1"/>
          <w:sz w:val="24"/>
          <w:szCs w:val="24"/>
        </w:rPr>
      </w:pPr>
    </w:p>
    <w:p w:rsidR="00C804A4" w:rsidRDefault="00C804A4" w:rsidP="00C804A4">
      <w:pPr>
        <w:spacing w:after="0" w:line="240" w:lineRule="auto"/>
        <w:jc w:val="both"/>
        <w:rPr>
          <w:rFonts w:cstheme="minorHAnsi"/>
          <w:b/>
          <w:color w:val="1F4E79" w:themeColor="accent1" w:themeShade="80"/>
          <w:sz w:val="24"/>
          <w:szCs w:val="24"/>
        </w:rPr>
      </w:pPr>
      <w:r>
        <w:rPr>
          <w:rFonts w:cstheme="minorHAnsi"/>
          <w:b/>
          <w:color w:val="1F4E79" w:themeColor="accent1" w:themeShade="80"/>
          <w:sz w:val="24"/>
          <w:szCs w:val="24"/>
        </w:rPr>
        <w:t xml:space="preserve">Entidades que pertenecen a la </w:t>
      </w:r>
      <w:proofErr w:type="spellStart"/>
      <w:r>
        <w:rPr>
          <w:rFonts w:cstheme="minorHAnsi"/>
          <w:b/>
          <w:color w:val="1F4E79" w:themeColor="accent1" w:themeShade="80"/>
          <w:sz w:val="24"/>
          <w:szCs w:val="24"/>
        </w:rPr>
        <w:t>PlatDESC</w:t>
      </w:r>
      <w:proofErr w:type="spellEnd"/>
      <w:r>
        <w:rPr>
          <w:rFonts w:cstheme="minorHAnsi"/>
          <w:b/>
          <w:color w:val="1F4E79" w:themeColor="accent1" w:themeShade="80"/>
          <w:sz w:val="24"/>
          <w:szCs w:val="24"/>
        </w:rPr>
        <w:t xml:space="preserve"> España:</w:t>
      </w:r>
    </w:p>
    <w:p w:rsidR="00C804A4" w:rsidRDefault="00C804A4" w:rsidP="00C804A4">
      <w:pPr>
        <w:spacing w:after="0" w:line="240" w:lineRule="auto"/>
        <w:jc w:val="both"/>
        <w:rPr>
          <w:rFonts w:cstheme="minorHAnsi"/>
          <w:color w:val="000000" w:themeColor="text1"/>
          <w:sz w:val="24"/>
          <w:szCs w:val="24"/>
        </w:rPr>
      </w:pPr>
    </w:p>
    <w:p w:rsidR="00C804A4" w:rsidRPr="00C804A4" w:rsidRDefault="00C804A4" w:rsidP="00C804A4">
      <w:pPr>
        <w:spacing w:after="0" w:line="240" w:lineRule="auto"/>
        <w:jc w:val="both"/>
        <w:rPr>
          <w:rFonts w:cstheme="minorHAnsi"/>
          <w:color w:val="000000" w:themeColor="text1"/>
          <w:sz w:val="24"/>
          <w:szCs w:val="24"/>
        </w:rPr>
      </w:pPr>
      <w:r w:rsidRPr="00670599">
        <w:rPr>
          <w:rFonts w:cstheme="minorHAnsi"/>
          <w:b/>
          <w:color w:val="000000" w:themeColor="text1"/>
          <w:sz w:val="24"/>
          <w:szCs w:val="24"/>
        </w:rPr>
        <w:t>AEDIDH</w:t>
      </w:r>
      <w:r w:rsidRPr="00C804A4">
        <w:rPr>
          <w:rFonts w:cstheme="minorHAnsi"/>
          <w:color w:val="000000" w:themeColor="text1"/>
          <w:sz w:val="24"/>
          <w:szCs w:val="24"/>
        </w:rPr>
        <w:t>, Asociación Española para el Derecho Internacional de los Derechos Humanos.</w:t>
      </w:r>
    </w:p>
    <w:p w:rsidR="00C804A4" w:rsidRPr="00C804A4" w:rsidRDefault="00C804A4" w:rsidP="00C804A4">
      <w:pPr>
        <w:spacing w:after="0" w:line="240" w:lineRule="auto"/>
        <w:jc w:val="both"/>
        <w:rPr>
          <w:rFonts w:cstheme="minorHAnsi"/>
          <w:color w:val="000000" w:themeColor="text1"/>
          <w:sz w:val="24"/>
          <w:szCs w:val="24"/>
        </w:rPr>
      </w:pPr>
      <w:r w:rsidRPr="00670599">
        <w:rPr>
          <w:rFonts w:cstheme="minorHAnsi"/>
          <w:b/>
          <w:color w:val="000000" w:themeColor="text1"/>
          <w:sz w:val="24"/>
          <w:szCs w:val="24"/>
        </w:rPr>
        <w:t>APDHE</w:t>
      </w:r>
      <w:r w:rsidRPr="00C804A4">
        <w:rPr>
          <w:rFonts w:cstheme="minorHAnsi"/>
          <w:color w:val="000000" w:themeColor="text1"/>
          <w:sz w:val="24"/>
          <w:szCs w:val="24"/>
        </w:rPr>
        <w:t>, Asociación Pro Derechos Humanos de España.</w:t>
      </w:r>
    </w:p>
    <w:p w:rsidR="00C804A4" w:rsidRPr="00C804A4" w:rsidRDefault="00C804A4" w:rsidP="00C804A4">
      <w:pPr>
        <w:spacing w:after="0" w:line="240" w:lineRule="auto"/>
        <w:jc w:val="both"/>
        <w:rPr>
          <w:rFonts w:cstheme="minorHAnsi"/>
          <w:color w:val="000000" w:themeColor="text1"/>
          <w:sz w:val="24"/>
          <w:szCs w:val="24"/>
        </w:rPr>
      </w:pPr>
      <w:r w:rsidRPr="00670599">
        <w:rPr>
          <w:rFonts w:cstheme="minorHAnsi"/>
          <w:b/>
          <w:color w:val="000000" w:themeColor="text1"/>
          <w:sz w:val="24"/>
          <w:szCs w:val="24"/>
        </w:rPr>
        <w:t>Movimiento ATD Cuarto Mundo España</w:t>
      </w:r>
      <w:r w:rsidRPr="00C804A4">
        <w:rPr>
          <w:rFonts w:cstheme="minorHAnsi"/>
          <w:color w:val="000000" w:themeColor="text1"/>
          <w:sz w:val="24"/>
          <w:szCs w:val="24"/>
        </w:rPr>
        <w:t>.</w:t>
      </w:r>
    </w:p>
    <w:p w:rsidR="00C804A4" w:rsidRPr="00C804A4" w:rsidRDefault="00C804A4" w:rsidP="00C804A4">
      <w:pPr>
        <w:spacing w:after="0" w:line="240" w:lineRule="auto"/>
        <w:jc w:val="both"/>
        <w:rPr>
          <w:rFonts w:cstheme="minorHAnsi"/>
          <w:color w:val="000000" w:themeColor="text1"/>
          <w:sz w:val="24"/>
          <w:szCs w:val="24"/>
        </w:rPr>
      </w:pPr>
      <w:r w:rsidRPr="00670599">
        <w:rPr>
          <w:rFonts w:cstheme="minorHAnsi"/>
          <w:b/>
          <w:color w:val="000000" w:themeColor="text1"/>
          <w:sz w:val="24"/>
          <w:szCs w:val="24"/>
        </w:rPr>
        <w:t>CAES</w:t>
      </w:r>
      <w:r w:rsidRPr="00C804A4">
        <w:rPr>
          <w:rFonts w:cstheme="minorHAnsi"/>
          <w:color w:val="000000" w:themeColor="text1"/>
          <w:sz w:val="24"/>
          <w:szCs w:val="24"/>
        </w:rPr>
        <w:t>, Centro de Asesoría y Estudios Sociales.</w:t>
      </w:r>
    </w:p>
    <w:p w:rsidR="00C804A4" w:rsidRPr="00C804A4" w:rsidRDefault="00C804A4" w:rsidP="00C804A4">
      <w:pPr>
        <w:spacing w:after="0" w:line="240" w:lineRule="auto"/>
        <w:jc w:val="both"/>
        <w:rPr>
          <w:rFonts w:cstheme="minorHAnsi"/>
          <w:color w:val="000000" w:themeColor="text1"/>
          <w:sz w:val="24"/>
          <w:szCs w:val="24"/>
        </w:rPr>
      </w:pPr>
      <w:r w:rsidRPr="00670599">
        <w:rPr>
          <w:rFonts w:cstheme="minorHAnsi"/>
          <w:b/>
          <w:color w:val="000000" w:themeColor="text1"/>
          <w:sz w:val="24"/>
          <w:szCs w:val="24"/>
        </w:rPr>
        <w:t>CCOO</w:t>
      </w:r>
      <w:r w:rsidRPr="00C804A4">
        <w:rPr>
          <w:rFonts w:cstheme="minorHAnsi"/>
          <w:color w:val="000000" w:themeColor="text1"/>
          <w:sz w:val="24"/>
          <w:szCs w:val="24"/>
        </w:rPr>
        <w:t>, Confederación Sindical de Comisiones Obreras.</w:t>
      </w:r>
    </w:p>
    <w:p w:rsidR="00C804A4" w:rsidRPr="00C804A4" w:rsidRDefault="00C804A4" w:rsidP="00C804A4">
      <w:pPr>
        <w:spacing w:after="0" w:line="240" w:lineRule="auto"/>
        <w:jc w:val="both"/>
        <w:rPr>
          <w:rFonts w:cstheme="minorHAnsi"/>
          <w:color w:val="000000" w:themeColor="text1"/>
          <w:sz w:val="24"/>
          <w:szCs w:val="24"/>
        </w:rPr>
      </w:pPr>
      <w:r w:rsidRPr="00670599">
        <w:rPr>
          <w:rFonts w:cstheme="minorHAnsi"/>
          <w:b/>
          <w:color w:val="000000" w:themeColor="text1"/>
          <w:sz w:val="24"/>
          <w:szCs w:val="24"/>
        </w:rPr>
        <w:t>CEAR</w:t>
      </w:r>
      <w:r w:rsidRPr="00C804A4">
        <w:rPr>
          <w:rFonts w:cstheme="minorHAnsi"/>
          <w:color w:val="000000" w:themeColor="text1"/>
          <w:sz w:val="24"/>
          <w:szCs w:val="24"/>
        </w:rPr>
        <w:t>, Comisión Española de Ayuda al Refugiado.</w:t>
      </w:r>
    </w:p>
    <w:p w:rsidR="00C804A4" w:rsidRPr="00C804A4" w:rsidRDefault="00C804A4" w:rsidP="00C804A4">
      <w:pPr>
        <w:spacing w:after="0" w:line="240" w:lineRule="auto"/>
        <w:jc w:val="both"/>
        <w:rPr>
          <w:rFonts w:cstheme="minorHAnsi"/>
          <w:color w:val="000000" w:themeColor="text1"/>
          <w:sz w:val="24"/>
          <w:szCs w:val="24"/>
        </w:rPr>
      </w:pPr>
      <w:r w:rsidRPr="00670599">
        <w:rPr>
          <w:rFonts w:cstheme="minorHAnsi"/>
          <w:b/>
          <w:color w:val="000000" w:themeColor="text1"/>
          <w:sz w:val="24"/>
          <w:szCs w:val="24"/>
        </w:rPr>
        <w:t>CERMI,</w:t>
      </w:r>
      <w:r w:rsidRPr="00C804A4">
        <w:rPr>
          <w:rFonts w:cstheme="minorHAnsi"/>
          <w:color w:val="000000" w:themeColor="text1"/>
          <w:sz w:val="24"/>
          <w:szCs w:val="24"/>
        </w:rPr>
        <w:t xml:space="preserve"> Comité Español de Representantes de Personas con Discapacidad.</w:t>
      </w:r>
    </w:p>
    <w:p w:rsidR="00C804A4" w:rsidRPr="00670599" w:rsidRDefault="00C804A4" w:rsidP="00C804A4">
      <w:pPr>
        <w:spacing w:after="0" w:line="240" w:lineRule="auto"/>
        <w:jc w:val="both"/>
        <w:rPr>
          <w:rFonts w:cstheme="minorHAnsi"/>
          <w:b/>
          <w:color w:val="000000" w:themeColor="text1"/>
          <w:sz w:val="24"/>
          <w:szCs w:val="24"/>
        </w:rPr>
      </w:pPr>
      <w:r w:rsidRPr="00670599">
        <w:rPr>
          <w:rFonts w:cstheme="minorHAnsi"/>
          <w:b/>
          <w:color w:val="000000" w:themeColor="text1"/>
          <w:sz w:val="24"/>
          <w:szCs w:val="24"/>
        </w:rPr>
        <w:t>Fundación Secretariado Gitano.</w:t>
      </w:r>
    </w:p>
    <w:p w:rsidR="00C804A4" w:rsidRPr="00670599" w:rsidRDefault="00C804A4" w:rsidP="00C804A4">
      <w:pPr>
        <w:spacing w:after="0" w:line="240" w:lineRule="auto"/>
        <w:jc w:val="both"/>
        <w:rPr>
          <w:rFonts w:cstheme="minorHAnsi"/>
          <w:b/>
          <w:color w:val="000000" w:themeColor="text1"/>
          <w:sz w:val="24"/>
          <w:szCs w:val="24"/>
        </w:rPr>
      </w:pPr>
      <w:r w:rsidRPr="00670599">
        <w:rPr>
          <w:rFonts w:cstheme="minorHAnsi"/>
          <w:b/>
          <w:color w:val="000000" w:themeColor="text1"/>
          <w:sz w:val="24"/>
          <w:szCs w:val="24"/>
        </w:rPr>
        <w:t>​Consejo General del Trabajo Social.</w:t>
      </w:r>
    </w:p>
    <w:p w:rsidR="00C804A4" w:rsidRPr="00670599" w:rsidRDefault="00C804A4" w:rsidP="00C804A4">
      <w:pPr>
        <w:spacing w:after="0" w:line="240" w:lineRule="auto"/>
        <w:jc w:val="both"/>
        <w:rPr>
          <w:rFonts w:cstheme="minorHAnsi"/>
          <w:b/>
          <w:color w:val="000000" w:themeColor="text1"/>
          <w:sz w:val="24"/>
          <w:szCs w:val="24"/>
        </w:rPr>
      </w:pPr>
      <w:r w:rsidRPr="00670599">
        <w:rPr>
          <w:rFonts w:cstheme="minorHAnsi"/>
          <w:b/>
          <w:color w:val="000000" w:themeColor="text1"/>
          <w:sz w:val="24"/>
          <w:szCs w:val="24"/>
        </w:rPr>
        <w:t>Coordinadora de Organizaciones de Cooperación para el Desarrollo de España.</w:t>
      </w:r>
    </w:p>
    <w:p w:rsidR="00C804A4" w:rsidRPr="00670599" w:rsidRDefault="00C804A4" w:rsidP="00C804A4">
      <w:pPr>
        <w:spacing w:after="0" w:line="240" w:lineRule="auto"/>
        <w:jc w:val="both"/>
        <w:rPr>
          <w:rFonts w:cstheme="minorHAnsi"/>
          <w:b/>
          <w:color w:val="000000" w:themeColor="text1"/>
          <w:sz w:val="24"/>
          <w:szCs w:val="24"/>
        </w:rPr>
      </w:pPr>
      <w:r w:rsidRPr="00670599">
        <w:rPr>
          <w:rFonts w:cstheme="minorHAnsi"/>
          <w:b/>
          <w:color w:val="000000" w:themeColor="text1"/>
          <w:sz w:val="24"/>
          <w:szCs w:val="24"/>
        </w:rPr>
        <w:t>FACUA</w:t>
      </w:r>
    </w:p>
    <w:p w:rsidR="00C804A4" w:rsidRPr="00C804A4" w:rsidRDefault="00C804A4" w:rsidP="00C804A4">
      <w:pPr>
        <w:spacing w:after="0" w:line="240" w:lineRule="auto"/>
        <w:jc w:val="both"/>
        <w:rPr>
          <w:rFonts w:cstheme="minorHAnsi"/>
          <w:color w:val="000000" w:themeColor="text1"/>
          <w:sz w:val="24"/>
          <w:szCs w:val="24"/>
        </w:rPr>
      </w:pPr>
      <w:r w:rsidRPr="00670599">
        <w:rPr>
          <w:rFonts w:cstheme="minorHAnsi"/>
          <w:b/>
          <w:color w:val="000000" w:themeColor="text1"/>
          <w:sz w:val="24"/>
          <w:szCs w:val="24"/>
        </w:rPr>
        <w:t>FFADSPU</w:t>
      </w:r>
      <w:r w:rsidRPr="00C804A4">
        <w:rPr>
          <w:rFonts w:cstheme="minorHAnsi"/>
          <w:color w:val="000000" w:themeColor="text1"/>
          <w:sz w:val="24"/>
          <w:szCs w:val="24"/>
        </w:rPr>
        <w:t>, Federación de Asociaciones para la Defensa de la Sanidad Pública.</w:t>
      </w:r>
    </w:p>
    <w:p w:rsidR="00C804A4" w:rsidRPr="00670599" w:rsidRDefault="00C804A4" w:rsidP="00C804A4">
      <w:pPr>
        <w:spacing w:after="0" w:line="240" w:lineRule="auto"/>
        <w:jc w:val="both"/>
        <w:rPr>
          <w:rFonts w:cstheme="minorHAnsi"/>
          <w:b/>
          <w:color w:val="000000" w:themeColor="text1"/>
          <w:sz w:val="24"/>
          <w:szCs w:val="24"/>
        </w:rPr>
      </w:pPr>
      <w:r w:rsidRPr="00670599">
        <w:rPr>
          <w:rFonts w:cstheme="minorHAnsi"/>
          <w:b/>
          <w:color w:val="000000" w:themeColor="text1"/>
          <w:sz w:val="24"/>
          <w:szCs w:val="24"/>
        </w:rPr>
        <w:t>Federación de Asociaciones de Defensa y Promoción de los Derechos Humanos</w:t>
      </w:r>
    </w:p>
    <w:p w:rsidR="00C804A4" w:rsidRPr="00670599" w:rsidRDefault="00C804A4" w:rsidP="00C804A4">
      <w:pPr>
        <w:spacing w:after="0" w:line="240" w:lineRule="auto"/>
        <w:jc w:val="both"/>
        <w:rPr>
          <w:rFonts w:cstheme="minorHAnsi"/>
          <w:b/>
          <w:color w:val="000000" w:themeColor="text1"/>
          <w:sz w:val="24"/>
          <w:szCs w:val="24"/>
        </w:rPr>
      </w:pPr>
      <w:r w:rsidRPr="00670599">
        <w:rPr>
          <w:rFonts w:cstheme="minorHAnsi"/>
          <w:b/>
          <w:color w:val="000000" w:themeColor="text1"/>
          <w:sz w:val="24"/>
          <w:szCs w:val="24"/>
        </w:rPr>
        <w:t>Federación Estatal de Lesbianas, Gais, Transexuales y Bisexuales.</w:t>
      </w:r>
    </w:p>
    <w:p w:rsidR="00C804A4" w:rsidRPr="00C804A4" w:rsidRDefault="00C804A4" w:rsidP="00C804A4">
      <w:pPr>
        <w:spacing w:after="0" w:line="240" w:lineRule="auto"/>
        <w:jc w:val="both"/>
        <w:rPr>
          <w:rFonts w:cstheme="minorHAnsi"/>
          <w:color w:val="000000" w:themeColor="text1"/>
          <w:sz w:val="24"/>
          <w:szCs w:val="24"/>
        </w:rPr>
      </w:pPr>
      <w:r w:rsidRPr="00670599">
        <w:rPr>
          <w:rFonts w:cstheme="minorHAnsi"/>
          <w:b/>
          <w:color w:val="000000" w:themeColor="text1"/>
          <w:sz w:val="24"/>
          <w:szCs w:val="24"/>
        </w:rPr>
        <w:t>EAPN España</w:t>
      </w:r>
      <w:r w:rsidRPr="00C804A4">
        <w:rPr>
          <w:rFonts w:cstheme="minorHAnsi"/>
          <w:color w:val="000000" w:themeColor="text1"/>
          <w:sz w:val="24"/>
          <w:szCs w:val="24"/>
        </w:rPr>
        <w:t>, Red Europea de Lucha contra la Pobreza y la Exclusión Social en el Estado Español.</w:t>
      </w:r>
    </w:p>
    <w:p w:rsidR="00C804A4" w:rsidRPr="00C804A4" w:rsidRDefault="00C804A4" w:rsidP="00C804A4">
      <w:pPr>
        <w:spacing w:after="0" w:line="240" w:lineRule="auto"/>
        <w:jc w:val="both"/>
        <w:rPr>
          <w:rFonts w:cstheme="minorHAnsi"/>
          <w:color w:val="000000" w:themeColor="text1"/>
          <w:sz w:val="24"/>
          <w:szCs w:val="24"/>
        </w:rPr>
      </w:pPr>
      <w:r w:rsidRPr="00670599">
        <w:rPr>
          <w:rFonts w:cstheme="minorHAnsi"/>
          <w:b/>
          <w:color w:val="000000" w:themeColor="text1"/>
          <w:sz w:val="24"/>
          <w:szCs w:val="24"/>
        </w:rPr>
        <w:t>IDHC</w:t>
      </w:r>
      <w:r w:rsidRPr="00C804A4">
        <w:rPr>
          <w:rFonts w:cstheme="minorHAnsi"/>
          <w:color w:val="000000" w:themeColor="text1"/>
          <w:sz w:val="24"/>
          <w:szCs w:val="24"/>
        </w:rPr>
        <w:t xml:space="preserve">, </w:t>
      </w:r>
      <w:proofErr w:type="spellStart"/>
      <w:r w:rsidRPr="00C804A4">
        <w:rPr>
          <w:rFonts w:cstheme="minorHAnsi"/>
          <w:color w:val="000000" w:themeColor="text1"/>
          <w:sz w:val="24"/>
          <w:szCs w:val="24"/>
        </w:rPr>
        <w:t>Institut</w:t>
      </w:r>
      <w:proofErr w:type="spellEnd"/>
      <w:r w:rsidRPr="00C804A4">
        <w:rPr>
          <w:rFonts w:cstheme="minorHAnsi"/>
          <w:color w:val="000000" w:themeColor="text1"/>
          <w:sz w:val="24"/>
          <w:szCs w:val="24"/>
        </w:rPr>
        <w:t xml:space="preserve"> de </w:t>
      </w:r>
      <w:proofErr w:type="spellStart"/>
      <w:r w:rsidRPr="00C804A4">
        <w:rPr>
          <w:rFonts w:cstheme="minorHAnsi"/>
          <w:color w:val="000000" w:themeColor="text1"/>
          <w:sz w:val="24"/>
          <w:szCs w:val="24"/>
        </w:rPr>
        <w:t>Drets</w:t>
      </w:r>
      <w:proofErr w:type="spellEnd"/>
      <w:r w:rsidRPr="00C804A4">
        <w:rPr>
          <w:rFonts w:cstheme="minorHAnsi"/>
          <w:color w:val="000000" w:themeColor="text1"/>
          <w:sz w:val="24"/>
          <w:szCs w:val="24"/>
        </w:rPr>
        <w:t xml:space="preserve"> </w:t>
      </w:r>
      <w:proofErr w:type="spellStart"/>
      <w:r w:rsidRPr="00C804A4">
        <w:rPr>
          <w:rFonts w:cstheme="minorHAnsi"/>
          <w:color w:val="000000" w:themeColor="text1"/>
          <w:sz w:val="24"/>
          <w:szCs w:val="24"/>
        </w:rPr>
        <w:t>Humans</w:t>
      </w:r>
      <w:proofErr w:type="spellEnd"/>
      <w:r w:rsidRPr="00C804A4">
        <w:rPr>
          <w:rFonts w:cstheme="minorHAnsi"/>
          <w:color w:val="000000" w:themeColor="text1"/>
          <w:sz w:val="24"/>
          <w:szCs w:val="24"/>
        </w:rPr>
        <w:t xml:space="preserve"> de Catalunya </w:t>
      </w:r>
    </w:p>
    <w:p w:rsidR="00C804A4" w:rsidRPr="00670599" w:rsidRDefault="00C804A4" w:rsidP="00C804A4">
      <w:pPr>
        <w:spacing w:after="0" w:line="240" w:lineRule="auto"/>
        <w:jc w:val="both"/>
        <w:rPr>
          <w:rFonts w:cstheme="minorHAnsi"/>
          <w:b/>
          <w:color w:val="000000" w:themeColor="text1"/>
          <w:sz w:val="24"/>
          <w:szCs w:val="24"/>
        </w:rPr>
      </w:pPr>
      <w:r w:rsidRPr="00670599">
        <w:rPr>
          <w:rFonts w:cstheme="minorHAnsi"/>
          <w:b/>
          <w:color w:val="000000" w:themeColor="text1"/>
          <w:sz w:val="24"/>
          <w:szCs w:val="24"/>
        </w:rPr>
        <w:t>Observatori DESC.</w:t>
      </w:r>
    </w:p>
    <w:p w:rsidR="00C804A4" w:rsidRPr="00670599" w:rsidRDefault="00C804A4" w:rsidP="00C804A4">
      <w:pPr>
        <w:spacing w:after="0" w:line="240" w:lineRule="auto"/>
        <w:jc w:val="both"/>
        <w:rPr>
          <w:rFonts w:cstheme="minorHAnsi"/>
          <w:b/>
          <w:color w:val="000000" w:themeColor="text1"/>
          <w:sz w:val="24"/>
          <w:szCs w:val="24"/>
        </w:rPr>
      </w:pPr>
      <w:r w:rsidRPr="00670599">
        <w:rPr>
          <w:rFonts w:cstheme="minorHAnsi"/>
          <w:b/>
          <w:color w:val="000000" w:themeColor="text1"/>
          <w:sz w:val="24"/>
          <w:szCs w:val="24"/>
        </w:rPr>
        <w:t>Observatorio Internacional del Derecho Humano a la Paz.</w:t>
      </w:r>
    </w:p>
    <w:p w:rsidR="00C804A4" w:rsidRPr="00670599" w:rsidRDefault="00C804A4" w:rsidP="00C804A4">
      <w:pPr>
        <w:spacing w:after="0" w:line="240" w:lineRule="auto"/>
        <w:jc w:val="both"/>
        <w:rPr>
          <w:rFonts w:cstheme="minorHAnsi"/>
          <w:b/>
          <w:color w:val="000000" w:themeColor="text1"/>
          <w:sz w:val="24"/>
          <w:szCs w:val="24"/>
        </w:rPr>
      </w:pPr>
      <w:r w:rsidRPr="00670599">
        <w:rPr>
          <w:rFonts w:cstheme="minorHAnsi"/>
          <w:b/>
          <w:color w:val="000000" w:themeColor="text1"/>
          <w:sz w:val="24"/>
          <w:szCs w:val="24"/>
        </w:rPr>
        <w:t>Provivienda.</w:t>
      </w:r>
    </w:p>
    <w:p w:rsidR="00C804A4" w:rsidRPr="00670599" w:rsidRDefault="00C804A4" w:rsidP="00C804A4">
      <w:pPr>
        <w:spacing w:after="0" w:line="240" w:lineRule="auto"/>
        <w:jc w:val="both"/>
        <w:rPr>
          <w:rFonts w:cstheme="minorHAnsi"/>
          <w:b/>
          <w:color w:val="000000" w:themeColor="text1"/>
          <w:sz w:val="24"/>
          <w:szCs w:val="24"/>
        </w:rPr>
      </w:pPr>
      <w:r w:rsidRPr="00670599">
        <w:rPr>
          <w:rFonts w:cstheme="minorHAnsi"/>
          <w:b/>
          <w:color w:val="000000" w:themeColor="text1"/>
          <w:sz w:val="24"/>
          <w:szCs w:val="24"/>
        </w:rPr>
        <w:t>Red Acoge.</w:t>
      </w:r>
    </w:p>
    <w:p w:rsidR="00C804A4" w:rsidRPr="00670599" w:rsidRDefault="00C804A4" w:rsidP="00C804A4">
      <w:pPr>
        <w:spacing w:after="0" w:line="240" w:lineRule="auto"/>
        <w:jc w:val="both"/>
        <w:rPr>
          <w:rFonts w:cstheme="minorHAnsi"/>
          <w:b/>
          <w:color w:val="000000" w:themeColor="text1"/>
          <w:sz w:val="24"/>
          <w:szCs w:val="24"/>
        </w:rPr>
      </w:pPr>
      <w:r w:rsidRPr="00670599">
        <w:rPr>
          <w:rFonts w:cstheme="minorHAnsi"/>
          <w:b/>
          <w:color w:val="000000" w:themeColor="text1"/>
          <w:sz w:val="24"/>
          <w:szCs w:val="24"/>
        </w:rPr>
        <w:t>Red Española contra la Trata de personas.</w:t>
      </w:r>
    </w:p>
    <w:p w:rsidR="00C804A4" w:rsidRPr="00670599" w:rsidRDefault="00C804A4" w:rsidP="00C804A4">
      <w:pPr>
        <w:spacing w:after="0" w:line="240" w:lineRule="auto"/>
        <w:jc w:val="both"/>
        <w:rPr>
          <w:rFonts w:cstheme="minorHAnsi"/>
          <w:b/>
          <w:color w:val="000000" w:themeColor="text1"/>
          <w:sz w:val="24"/>
          <w:szCs w:val="24"/>
          <w:lang w:val="en-GB"/>
        </w:rPr>
      </w:pPr>
      <w:r w:rsidRPr="00670599">
        <w:rPr>
          <w:rFonts w:cstheme="minorHAnsi"/>
          <w:b/>
          <w:color w:val="000000" w:themeColor="text1"/>
          <w:sz w:val="24"/>
          <w:szCs w:val="24"/>
          <w:lang w:val="en-GB"/>
        </w:rPr>
        <w:t>Save the Children.</w:t>
      </w:r>
    </w:p>
    <w:p w:rsidR="00C804A4" w:rsidRPr="00670599" w:rsidRDefault="00C804A4" w:rsidP="00C804A4">
      <w:pPr>
        <w:spacing w:after="0" w:line="240" w:lineRule="auto"/>
        <w:jc w:val="both"/>
        <w:rPr>
          <w:rFonts w:cstheme="minorHAnsi"/>
          <w:b/>
          <w:color w:val="000000" w:themeColor="text1"/>
          <w:sz w:val="24"/>
          <w:szCs w:val="24"/>
          <w:lang w:val="en-GB"/>
        </w:rPr>
      </w:pPr>
      <w:r w:rsidRPr="00670599">
        <w:rPr>
          <w:rFonts w:cstheme="minorHAnsi"/>
          <w:b/>
          <w:color w:val="000000" w:themeColor="text1"/>
          <w:sz w:val="24"/>
          <w:szCs w:val="24"/>
          <w:lang w:val="en-GB"/>
        </w:rPr>
        <w:t>Universidad de Valencia</w:t>
      </w:r>
    </w:p>
    <w:p w:rsidR="00C804A4" w:rsidRPr="00670599" w:rsidRDefault="00C804A4" w:rsidP="00C804A4">
      <w:pPr>
        <w:spacing w:after="0" w:line="240" w:lineRule="auto"/>
        <w:jc w:val="both"/>
        <w:rPr>
          <w:rFonts w:cstheme="minorHAnsi"/>
          <w:b/>
          <w:color w:val="000000" w:themeColor="text1"/>
          <w:sz w:val="24"/>
          <w:szCs w:val="24"/>
          <w:lang w:val="en-GB"/>
        </w:rPr>
      </w:pPr>
      <w:r w:rsidRPr="00670599">
        <w:rPr>
          <w:rFonts w:cstheme="minorHAnsi"/>
          <w:b/>
          <w:color w:val="000000" w:themeColor="text1"/>
          <w:sz w:val="24"/>
          <w:szCs w:val="24"/>
          <w:lang w:val="en-GB"/>
        </w:rPr>
        <w:t>Women’s Link Worldwide.</w:t>
      </w:r>
    </w:p>
    <w:p w:rsidR="00C804A4" w:rsidRPr="00C804A4" w:rsidRDefault="00C804A4" w:rsidP="00167C80">
      <w:pPr>
        <w:spacing w:after="0" w:line="240" w:lineRule="auto"/>
        <w:jc w:val="both"/>
        <w:rPr>
          <w:rFonts w:cstheme="minorHAnsi"/>
          <w:color w:val="000000" w:themeColor="text1"/>
          <w:sz w:val="24"/>
          <w:szCs w:val="24"/>
          <w:lang w:val="en-GB"/>
        </w:rPr>
      </w:pPr>
    </w:p>
    <w:sectPr w:rsidR="00C804A4" w:rsidRPr="00C804A4" w:rsidSect="00F772C6">
      <w:headerReference w:type="even" r:id="rId11"/>
      <w:headerReference w:type="default" r:id="rId12"/>
      <w:footerReference w:type="even" r:id="rId13"/>
      <w:footerReference w:type="default" r:id="rId14"/>
      <w:headerReference w:type="first" r:id="rId15"/>
      <w:footerReference w:type="first" r:id="rId16"/>
      <w:pgSz w:w="11906" w:h="16838"/>
      <w:pgMar w:top="907" w:right="1134" w:bottom="90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51DD" w:rsidRDefault="007D51DD" w:rsidP="009F74CC">
      <w:pPr>
        <w:spacing w:after="0" w:line="240" w:lineRule="auto"/>
      </w:pPr>
      <w:r>
        <w:separator/>
      </w:r>
    </w:p>
  </w:endnote>
  <w:endnote w:type="continuationSeparator" w:id="0">
    <w:p w:rsidR="007D51DD" w:rsidRDefault="007D51DD" w:rsidP="009F74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13E" w:rsidRDefault="0011513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7488023"/>
      <w:docPartObj>
        <w:docPartGallery w:val="Page Numbers (Bottom of Page)"/>
        <w:docPartUnique/>
      </w:docPartObj>
    </w:sdtPr>
    <w:sdtEndPr/>
    <w:sdtContent>
      <w:p w:rsidR="00070D05" w:rsidRDefault="00070D05">
        <w:pPr>
          <w:pStyle w:val="Piedepgina"/>
          <w:jc w:val="right"/>
        </w:pPr>
        <w:r>
          <w:fldChar w:fldCharType="begin"/>
        </w:r>
        <w:r>
          <w:instrText>PAGE   \* MERGEFORMAT</w:instrText>
        </w:r>
        <w:r>
          <w:fldChar w:fldCharType="separate"/>
        </w:r>
        <w:r w:rsidR="005F7CE8">
          <w:rPr>
            <w:noProof/>
          </w:rPr>
          <w:t>3</w:t>
        </w:r>
        <w:r>
          <w:fldChar w:fldCharType="end"/>
        </w:r>
      </w:p>
    </w:sdtContent>
  </w:sdt>
  <w:p w:rsidR="00070D05" w:rsidRDefault="00070D05">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13E" w:rsidRDefault="0011513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51DD" w:rsidRDefault="007D51DD" w:rsidP="009F74CC">
      <w:pPr>
        <w:spacing w:after="0" w:line="240" w:lineRule="auto"/>
      </w:pPr>
      <w:r>
        <w:separator/>
      </w:r>
    </w:p>
  </w:footnote>
  <w:footnote w:type="continuationSeparator" w:id="0">
    <w:p w:rsidR="007D51DD" w:rsidRDefault="007D51DD" w:rsidP="009F74CC">
      <w:pPr>
        <w:spacing w:after="0" w:line="240" w:lineRule="auto"/>
      </w:pPr>
      <w:r>
        <w:continuationSeparator/>
      </w:r>
    </w:p>
  </w:footnote>
  <w:footnote w:id="1">
    <w:p w:rsidR="00AE0B9A" w:rsidRPr="0073332D" w:rsidRDefault="00AE0B9A" w:rsidP="00AE0B9A">
      <w:pPr>
        <w:spacing w:after="0" w:line="240" w:lineRule="auto"/>
        <w:jc w:val="both"/>
        <w:rPr>
          <w:rFonts w:cstheme="minorHAnsi"/>
          <w:sz w:val="18"/>
          <w:szCs w:val="18"/>
        </w:rPr>
      </w:pPr>
      <w:r>
        <w:rPr>
          <w:rStyle w:val="Refdenotaalpie"/>
        </w:rPr>
        <w:footnoteRef/>
      </w:r>
      <w:r>
        <w:t xml:space="preserve"> </w:t>
      </w:r>
      <w:r w:rsidRPr="0073332D">
        <w:rPr>
          <w:rFonts w:cstheme="minorHAnsi"/>
          <w:sz w:val="18"/>
          <w:szCs w:val="18"/>
        </w:rPr>
        <w:t>Índice de Precios Idealista</w:t>
      </w:r>
    </w:p>
  </w:footnote>
  <w:footnote w:id="2">
    <w:p w:rsidR="00AE0B9A" w:rsidRPr="0073332D" w:rsidRDefault="00AE0B9A" w:rsidP="00AE0B9A">
      <w:pPr>
        <w:spacing w:after="0" w:line="240" w:lineRule="auto"/>
        <w:jc w:val="both"/>
        <w:rPr>
          <w:rFonts w:cstheme="minorHAnsi"/>
          <w:sz w:val="18"/>
          <w:szCs w:val="18"/>
        </w:rPr>
      </w:pPr>
      <w:r w:rsidRPr="0073332D">
        <w:rPr>
          <w:rStyle w:val="Refdenotaalpie"/>
        </w:rPr>
        <w:footnoteRef/>
      </w:r>
      <w:r w:rsidRPr="0073332D">
        <w:rPr>
          <w:sz w:val="18"/>
          <w:szCs w:val="18"/>
        </w:rPr>
        <w:t xml:space="preserve"> </w:t>
      </w:r>
      <w:r w:rsidRPr="0073332D">
        <w:rPr>
          <w:rFonts w:cstheme="minorHAnsi"/>
          <w:sz w:val="18"/>
          <w:szCs w:val="18"/>
        </w:rPr>
        <w:t>Encuesta de Condiciones de Vida 2018, INE</w:t>
      </w:r>
    </w:p>
  </w:footnote>
  <w:footnote w:id="3">
    <w:p w:rsidR="00AE0B9A" w:rsidRPr="0073332D" w:rsidRDefault="00AE0B9A" w:rsidP="00AE0B9A">
      <w:pPr>
        <w:pStyle w:val="Textonotapie"/>
        <w:rPr>
          <w:sz w:val="18"/>
          <w:szCs w:val="18"/>
        </w:rPr>
      </w:pPr>
      <w:r w:rsidRPr="0073332D">
        <w:rPr>
          <w:rStyle w:val="Refdenotaalpie"/>
        </w:rPr>
        <w:footnoteRef/>
      </w:r>
      <w:r w:rsidRPr="0073332D">
        <w:rPr>
          <w:sz w:val="18"/>
          <w:szCs w:val="18"/>
        </w:rPr>
        <w:t xml:space="preserve"> </w:t>
      </w:r>
      <w:r w:rsidRPr="0073332D">
        <w:rPr>
          <w:rFonts w:cstheme="minorHAnsi"/>
          <w:sz w:val="18"/>
          <w:szCs w:val="18"/>
        </w:rPr>
        <w:t>Impacto de la crisis en los órganos judiciales, CGPJ</w:t>
      </w:r>
    </w:p>
  </w:footnote>
  <w:footnote w:id="4">
    <w:p w:rsidR="00AE0B9A" w:rsidRPr="0073332D" w:rsidRDefault="00AE0B9A" w:rsidP="00AE0B9A">
      <w:pPr>
        <w:pStyle w:val="Textonotapie"/>
        <w:rPr>
          <w:sz w:val="18"/>
          <w:szCs w:val="18"/>
        </w:rPr>
      </w:pPr>
      <w:r w:rsidRPr="0073332D">
        <w:rPr>
          <w:rStyle w:val="Refdenotaalpie"/>
        </w:rPr>
        <w:footnoteRef/>
      </w:r>
      <w:r w:rsidRPr="0073332D">
        <w:rPr>
          <w:sz w:val="18"/>
          <w:szCs w:val="18"/>
        </w:rPr>
        <w:t xml:space="preserve"> </w:t>
      </w:r>
      <w:r w:rsidRPr="0073332D">
        <w:rPr>
          <w:rFonts w:cstheme="minorHAnsi"/>
          <w:sz w:val="18"/>
          <w:szCs w:val="18"/>
        </w:rPr>
        <w:t>Censo de Población y Vivienda 2014, INE</w:t>
      </w:r>
    </w:p>
  </w:footnote>
  <w:footnote w:id="5">
    <w:p w:rsidR="00AE0B9A" w:rsidRPr="0073332D" w:rsidRDefault="00AE0B9A" w:rsidP="00AE0B9A">
      <w:pPr>
        <w:pStyle w:val="Textonotapie"/>
        <w:rPr>
          <w:sz w:val="18"/>
          <w:szCs w:val="18"/>
        </w:rPr>
      </w:pPr>
      <w:r w:rsidRPr="0073332D">
        <w:rPr>
          <w:rStyle w:val="Refdenotaalpie"/>
        </w:rPr>
        <w:footnoteRef/>
      </w:r>
      <w:r w:rsidRPr="0073332D">
        <w:rPr>
          <w:sz w:val="18"/>
          <w:szCs w:val="18"/>
        </w:rPr>
        <w:t xml:space="preserve"> </w:t>
      </w:r>
      <w:r w:rsidRPr="0073332D">
        <w:rPr>
          <w:rFonts w:cstheme="minorHAnsi"/>
          <w:sz w:val="18"/>
          <w:szCs w:val="18"/>
        </w:rPr>
        <w:t>Encuesta de Condiciones de Vida, 2018, INE</w:t>
      </w:r>
    </w:p>
  </w:footnote>
  <w:footnote w:id="6">
    <w:p w:rsidR="00AE0B9A" w:rsidRPr="0073332D" w:rsidRDefault="00AE0B9A" w:rsidP="00AE0B9A">
      <w:pPr>
        <w:spacing w:after="0" w:line="240" w:lineRule="auto"/>
        <w:jc w:val="both"/>
        <w:rPr>
          <w:rFonts w:cstheme="minorHAnsi"/>
          <w:sz w:val="18"/>
          <w:szCs w:val="18"/>
        </w:rPr>
      </w:pPr>
      <w:r w:rsidRPr="0073332D">
        <w:rPr>
          <w:rStyle w:val="Refdenotaalpie"/>
        </w:rPr>
        <w:footnoteRef/>
      </w:r>
      <w:r w:rsidRPr="0073332D">
        <w:rPr>
          <w:sz w:val="18"/>
          <w:szCs w:val="18"/>
        </w:rPr>
        <w:t xml:space="preserve"> </w:t>
      </w:r>
      <w:r w:rsidRPr="0073332D">
        <w:rPr>
          <w:rFonts w:cstheme="minorHAnsi"/>
          <w:sz w:val="18"/>
          <w:szCs w:val="18"/>
        </w:rPr>
        <w:t>Encuesta de Personas sin Hogar 2012, INE</w:t>
      </w:r>
    </w:p>
  </w:footnote>
  <w:footnote w:id="7">
    <w:p w:rsidR="00AE0B9A" w:rsidRPr="0073332D" w:rsidRDefault="00AE0B9A" w:rsidP="00AE0B9A">
      <w:pPr>
        <w:pStyle w:val="Textonotapie"/>
        <w:rPr>
          <w:sz w:val="18"/>
          <w:szCs w:val="18"/>
        </w:rPr>
      </w:pPr>
      <w:r w:rsidRPr="0073332D">
        <w:rPr>
          <w:rStyle w:val="Refdenotaalpie"/>
        </w:rPr>
        <w:footnoteRef/>
      </w:r>
      <w:r w:rsidRPr="0073332D">
        <w:rPr>
          <w:sz w:val="18"/>
          <w:szCs w:val="18"/>
        </w:rPr>
        <w:t xml:space="preserve"> Estrategia Nacional Integral para personas sin Hogar 2015-2020 Ministerio de Sanidad, Consumo y Bienestar Social.</w:t>
      </w:r>
    </w:p>
  </w:footnote>
  <w:footnote w:id="8">
    <w:p w:rsidR="00AE0B9A" w:rsidRPr="0073332D" w:rsidRDefault="00AE0B9A" w:rsidP="00AE0B9A">
      <w:pPr>
        <w:spacing w:after="0" w:line="240" w:lineRule="auto"/>
        <w:jc w:val="both"/>
        <w:rPr>
          <w:rFonts w:cstheme="minorHAnsi"/>
          <w:sz w:val="18"/>
          <w:szCs w:val="18"/>
        </w:rPr>
      </w:pPr>
      <w:r w:rsidRPr="0073332D">
        <w:rPr>
          <w:rStyle w:val="Refdenotaalpie"/>
        </w:rPr>
        <w:footnoteRef/>
      </w:r>
      <w:r w:rsidRPr="0073332D">
        <w:rPr>
          <w:sz w:val="18"/>
          <w:szCs w:val="18"/>
        </w:rPr>
        <w:t xml:space="preserve"> </w:t>
      </w:r>
      <w:r w:rsidRPr="0073332D">
        <w:rPr>
          <w:rFonts w:cstheme="minorHAnsi"/>
          <w:sz w:val="18"/>
          <w:szCs w:val="18"/>
        </w:rPr>
        <w:t>Fundación Alternativas, 2018</w:t>
      </w:r>
    </w:p>
  </w:footnote>
  <w:footnote w:id="9">
    <w:p w:rsidR="00AE0B9A" w:rsidRPr="0073332D" w:rsidRDefault="00AE0B9A" w:rsidP="00AE0B9A">
      <w:pPr>
        <w:pStyle w:val="Textonotapie"/>
        <w:rPr>
          <w:sz w:val="18"/>
          <w:szCs w:val="18"/>
        </w:rPr>
      </w:pPr>
      <w:r w:rsidRPr="0073332D">
        <w:rPr>
          <w:rStyle w:val="Refdenotaalpie"/>
        </w:rPr>
        <w:footnoteRef/>
      </w:r>
      <w:r w:rsidRPr="0073332D">
        <w:rPr>
          <w:sz w:val="18"/>
          <w:szCs w:val="18"/>
        </w:rPr>
        <w:t xml:space="preserve"> </w:t>
      </w:r>
      <w:r w:rsidRPr="0073332D">
        <w:rPr>
          <w:rFonts w:cstheme="minorHAnsi"/>
          <w:sz w:val="18"/>
          <w:szCs w:val="18"/>
        </w:rPr>
        <w:t>Fundación Alternativas, 2018</w:t>
      </w:r>
    </w:p>
  </w:footnote>
  <w:footnote w:id="10">
    <w:p w:rsidR="00AE0B9A" w:rsidRPr="0073332D" w:rsidRDefault="00AE0B9A" w:rsidP="00AE0B9A">
      <w:pPr>
        <w:pStyle w:val="Textonotapie"/>
        <w:rPr>
          <w:sz w:val="18"/>
          <w:szCs w:val="18"/>
        </w:rPr>
      </w:pPr>
      <w:r w:rsidRPr="0073332D">
        <w:rPr>
          <w:rStyle w:val="Refdenotaalpie"/>
        </w:rPr>
        <w:footnoteRef/>
      </w:r>
      <w:r w:rsidRPr="0073332D">
        <w:rPr>
          <w:sz w:val="18"/>
          <w:szCs w:val="18"/>
        </w:rPr>
        <w:t xml:space="preserve"> </w:t>
      </w:r>
      <w:r w:rsidRPr="0073332D">
        <w:rPr>
          <w:rFonts w:cstheme="minorHAnsi"/>
          <w:sz w:val="18"/>
          <w:szCs w:val="18"/>
        </w:rPr>
        <w:t>Encuesta de Condiciones de Vida 2018, INE</w:t>
      </w:r>
    </w:p>
  </w:footnote>
  <w:footnote w:id="11">
    <w:p w:rsidR="00AE0B9A" w:rsidRPr="0073332D" w:rsidRDefault="00AE0B9A" w:rsidP="00AE0B9A">
      <w:pPr>
        <w:pStyle w:val="Textonotapie"/>
        <w:rPr>
          <w:sz w:val="18"/>
          <w:szCs w:val="18"/>
        </w:rPr>
      </w:pPr>
      <w:r w:rsidRPr="0073332D">
        <w:rPr>
          <w:rStyle w:val="Refdenotaalpie"/>
        </w:rPr>
        <w:footnoteRef/>
      </w:r>
      <w:r w:rsidRPr="0073332D">
        <w:rPr>
          <w:sz w:val="18"/>
          <w:szCs w:val="18"/>
        </w:rPr>
        <w:t xml:space="preserve"> </w:t>
      </w:r>
      <w:r w:rsidRPr="0073332D">
        <w:rPr>
          <w:rFonts w:cstheme="minorHAnsi"/>
          <w:sz w:val="18"/>
          <w:szCs w:val="18"/>
        </w:rPr>
        <w:t>Encuesta FOESSA 2018 (EINSFF18)</w:t>
      </w:r>
    </w:p>
  </w:footnote>
  <w:footnote w:id="12">
    <w:p w:rsidR="00AE0B9A" w:rsidRDefault="00AE0B9A" w:rsidP="00AE0B9A">
      <w:pPr>
        <w:pStyle w:val="Textonotapie"/>
      </w:pPr>
      <w:r>
        <w:rPr>
          <w:rStyle w:val="Refdenotaalpie"/>
        </w:rPr>
        <w:footnoteRef/>
      </w:r>
      <w:r>
        <w:t xml:space="preserve"> Estudio - Mapa sobre Vivienda y Comunidad Gitana, 2015</w:t>
      </w:r>
    </w:p>
  </w:footnote>
  <w:footnote w:id="13">
    <w:p w:rsidR="0010436B" w:rsidRDefault="0010436B" w:rsidP="0010436B">
      <w:pPr>
        <w:pStyle w:val="Textonotapie"/>
      </w:pPr>
      <w:r>
        <w:rPr>
          <w:rStyle w:val="Refdenotaalpie"/>
        </w:rPr>
        <w:footnoteRef/>
      </w:r>
      <w:r>
        <w:rPr>
          <w:sz w:val="18"/>
          <w:szCs w:val="18"/>
        </w:rPr>
        <w:t xml:space="preserve">Ministerio de Fomento </w:t>
      </w:r>
      <w:hyperlink r:id="rId1" w:history="1">
        <w:r>
          <w:rPr>
            <w:rStyle w:val="Hipervnculo"/>
            <w:sz w:val="18"/>
            <w:szCs w:val="18"/>
          </w:rPr>
          <w:t>https://apps.fomento.gob.es/BoletinOnline2/?nivel=2&amp;orden=31000000</w:t>
        </w:r>
      </w:hyperlink>
      <w:r>
        <w:rPr>
          <w:sz w:val="18"/>
          <w:szCs w:val="18"/>
        </w:rPr>
        <w:t xml:space="preserve"> </w:t>
      </w:r>
    </w:p>
  </w:footnote>
  <w:footnote w:id="14">
    <w:p w:rsidR="0010436B" w:rsidRDefault="0010436B" w:rsidP="0010436B">
      <w:pPr>
        <w:pStyle w:val="Textonotapie"/>
      </w:pPr>
      <w:r>
        <w:rPr>
          <w:rStyle w:val="Refdenotaalpie"/>
        </w:rPr>
        <w:footnoteRef/>
      </w:r>
      <w:r>
        <w:rPr>
          <w:sz w:val="18"/>
          <w:szCs w:val="18"/>
        </w:rPr>
        <w:t xml:space="preserve"> BANCO DE ESPAÑA </w:t>
      </w:r>
      <w:hyperlink r:id="rId2" w:history="1">
        <w:r>
          <w:rPr>
            <w:rStyle w:val="Hipervnculo"/>
            <w:sz w:val="18"/>
            <w:szCs w:val="18"/>
          </w:rPr>
          <w:t>https://www.bde.es/webbde/es/estadis/infoest/si_1_5.pdf</w:t>
        </w:r>
      </w:hyperlink>
      <w:r>
        <w:rPr>
          <w:sz w:val="18"/>
          <w:szCs w:val="18"/>
        </w:rPr>
        <w:t xml:space="preserve"> </w:t>
      </w:r>
    </w:p>
  </w:footnote>
  <w:footnote w:id="15">
    <w:p w:rsidR="0010436B" w:rsidRDefault="0010436B" w:rsidP="0010436B">
      <w:pPr>
        <w:pStyle w:val="Textonotapie"/>
      </w:pPr>
      <w:r>
        <w:rPr>
          <w:rStyle w:val="Refdenotaalpie"/>
        </w:rPr>
        <w:footnoteRef/>
      </w:r>
      <w:r>
        <w:rPr>
          <w:sz w:val="18"/>
          <w:szCs w:val="18"/>
        </w:rPr>
        <w:t xml:space="preserve"> Instituto Nacional de Estadística </w:t>
      </w:r>
      <w:hyperlink r:id="rId3" w:history="1">
        <w:r>
          <w:rPr>
            <w:rStyle w:val="Hipervnculo"/>
            <w:sz w:val="18"/>
            <w:szCs w:val="18"/>
          </w:rPr>
          <w:t>https://www.ine.es/jaxiT3/Datos.htm?t=7709</w:t>
        </w:r>
      </w:hyperlink>
      <w:r>
        <w:rPr>
          <w:sz w:val="18"/>
          <w:szCs w:val="18"/>
        </w:rPr>
        <w:t xml:space="preserve"> </w:t>
      </w:r>
    </w:p>
  </w:footnote>
  <w:footnote w:id="16">
    <w:p w:rsidR="0010436B" w:rsidRDefault="0010436B" w:rsidP="0010436B">
      <w:pPr>
        <w:pStyle w:val="Textonotapie"/>
      </w:pPr>
      <w:r>
        <w:rPr>
          <w:rStyle w:val="Refdenotaalpie"/>
        </w:rPr>
        <w:footnoteRef/>
      </w:r>
      <w:r>
        <w:rPr>
          <w:sz w:val="18"/>
          <w:szCs w:val="18"/>
        </w:rPr>
        <w:t xml:space="preserve">Instituto Nacional de Estadística  </w:t>
      </w:r>
      <w:hyperlink r:id="rId4" w:history="1">
        <w:r>
          <w:rPr>
            <w:rStyle w:val="Hipervnculo"/>
            <w:sz w:val="18"/>
            <w:szCs w:val="18"/>
          </w:rPr>
          <w:t>https://www.ine.es/prensa/pib_tabla_cne.htm</w:t>
        </w:r>
      </w:hyperlink>
      <w:r>
        <w:rPr>
          <w:sz w:val="18"/>
          <w:szCs w:val="18"/>
        </w:rPr>
        <w:t xml:space="preserve"> </w:t>
      </w:r>
    </w:p>
  </w:footnote>
  <w:footnote w:id="17">
    <w:p w:rsidR="0048489D" w:rsidRDefault="0048489D">
      <w:pPr>
        <w:pStyle w:val="Textonotapie"/>
      </w:pPr>
      <w:r>
        <w:rPr>
          <w:rStyle w:val="Refdenotaalpie"/>
        </w:rPr>
        <w:footnoteRef/>
      </w:r>
      <w:r>
        <w:t xml:space="preserve"> </w:t>
      </w:r>
      <w:r w:rsidRPr="0048489D">
        <w:rPr>
          <w:sz w:val="18"/>
          <w:szCs w:val="18"/>
        </w:rPr>
        <w:t>En la actualidad pendiente de Sentencia sobre su constitucionalidad por nuestro TC.</w:t>
      </w:r>
    </w:p>
  </w:footnote>
  <w:footnote w:id="18">
    <w:p w:rsidR="00B65FA4" w:rsidRPr="00B65FA4" w:rsidRDefault="00B65FA4">
      <w:pPr>
        <w:pStyle w:val="Textonotapie"/>
        <w:rPr>
          <w:sz w:val="18"/>
        </w:rPr>
      </w:pPr>
      <w:r w:rsidRPr="00B65FA4">
        <w:rPr>
          <w:rStyle w:val="Refdenotaalpie"/>
          <w:sz w:val="18"/>
        </w:rPr>
        <w:footnoteRef/>
      </w:r>
      <w:r w:rsidRPr="00B65FA4">
        <w:rPr>
          <w:sz w:val="18"/>
        </w:rPr>
        <w:t xml:space="preserve"> “</w:t>
      </w:r>
      <w:r w:rsidRPr="00B65FA4">
        <w:rPr>
          <w:i/>
          <w:sz w:val="18"/>
        </w:rPr>
        <w:t xml:space="preserve">Según los datos del Consejo General del Poder Judicial (CGPJ), </w:t>
      </w:r>
      <w:r w:rsidRPr="00B65FA4">
        <w:rPr>
          <w:rStyle w:val="Textoennegrita"/>
          <w:i/>
          <w:sz w:val="18"/>
        </w:rPr>
        <w:t>2018 acabó con los tribunales un 2,7% más congestionados</w:t>
      </w:r>
      <w:r w:rsidRPr="00B65FA4">
        <w:rPr>
          <w:i/>
          <w:sz w:val="18"/>
        </w:rPr>
        <w:t xml:space="preserve"> que el año anterior. Los asuntos resueltos bajaron un 1,4%, mientras que entraron en el sistema un 1,7% más. Los casos pendientes de resolver ascendieron más de un 9%” </w:t>
      </w:r>
      <w:hyperlink r:id="rId5" w:history="1">
        <w:r w:rsidRPr="00B83AD4">
          <w:rPr>
            <w:rStyle w:val="Hipervnculo"/>
            <w:sz w:val="18"/>
          </w:rPr>
          <w:t>https://cincodias.elpais.com/cincodias/2019/11/22/legal/1574444155_510285.html</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13E" w:rsidRDefault="0011513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13E" w:rsidRDefault="0011513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13E" w:rsidRDefault="0011513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640FE"/>
    <w:multiLevelType w:val="multilevel"/>
    <w:tmpl w:val="1FD464F2"/>
    <w:lvl w:ilvl="0">
      <w:start w:val="1"/>
      <w:numFmt w:val="bullet"/>
      <w:lvlText w:val="●"/>
      <w:lvlJc w:val="left"/>
      <w:pPr>
        <w:ind w:left="360" w:hanging="360"/>
      </w:pPr>
      <w:rPr>
        <w:rFonts w:ascii="Verdana" w:eastAsia="Verdana" w:hAnsi="Verdana" w:cs="Verdana"/>
        <w:sz w:val="24"/>
        <w:szCs w:val="24"/>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 w15:restartNumberingAfterBreak="0">
    <w:nsid w:val="09F528A8"/>
    <w:multiLevelType w:val="hybridMultilevel"/>
    <w:tmpl w:val="6E0AF82A"/>
    <w:lvl w:ilvl="0" w:tplc="204C5D90">
      <w:numFmt w:val="bullet"/>
      <w:lvlText w:val="•"/>
      <w:lvlJc w:val="left"/>
      <w:pPr>
        <w:ind w:left="1065" w:hanging="705"/>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BDE04DE"/>
    <w:multiLevelType w:val="hybridMultilevel"/>
    <w:tmpl w:val="D8FCFB82"/>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13863368"/>
    <w:multiLevelType w:val="hybridMultilevel"/>
    <w:tmpl w:val="375AC1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47870B4"/>
    <w:multiLevelType w:val="hybridMultilevel"/>
    <w:tmpl w:val="6F544E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76B1AE2"/>
    <w:multiLevelType w:val="multilevel"/>
    <w:tmpl w:val="F5D0ADCE"/>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A473B29"/>
    <w:multiLevelType w:val="hybridMultilevel"/>
    <w:tmpl w:val="BC7427E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1CC67ED1"/>
    <w:multiLevelType w:val="hybridMultilevel"/>
    <w:tmpl w:val="BD68C1F4"/>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1212BD0"/>
    <w:multiLevelType w:val="hybridMultilevel"/>
    <w:tmpl w:val="2FC8999E"/>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29F749A"/>
    <w:multiLevelType w:val="hybridMultilevel"/>
    <w:tmpl w:val="35764AA2"/>
    <w:lvl w:ilvl="0" w:tplc="204C5D90">
      <w:numFmt w:val="bullet"/>
      <w:lvlText w:val="•"/>
      <w:lvlJc w:val="left"/>
      <w:pPr>
        <w:ind w:left="1065" w:hanging="705"/>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52F41B7"/>
    <w:multiLevelType w:val="hybridMultilevel"/>
    <w:tmpl w:val="B43E3EC0"/>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84641C6"/>
    <w:multiLevelType w:val="hybridMultilevel"/>
    <w:tmpl w:val="2DDCA36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948668F"/>
    <w:multiLevelType w:val="hybridMultilevel"/>
    <w:tmpl w:val="93D25C3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B12188D"/>
    <w:multiLevelType w:val="multilevel"/>
    <w:tmpl w:val="004A68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BCE40E2"/>
    <w:multiLevelType w:val="hybridMultilevel"/>
    <w:tmpl w:val="172098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18F64F4"/>
    <w:multiLevelType w:val="hybridMultilevel"/>
    <w:tmpl w:val="CF34A4F4"/>
    <w:lvl w:ilvl="0" w:tplc="0C0A000F">
      <w:start w:val="1"/>
      <w:numFmt w:val="decimal"/>
      <w:lvlText w:val="%1."/>
      <w:lvlJc w:val="left"/>
      <w:pPr>
        <w:ind w:left="1068" w:hanging="360"/>
      </w:pPr>
      <w:rPr>
        <w:rFonts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6" w15:restartNumberingAfterBreak="0">
    <w:nsid w:val="36423AF9"/>
    <w:multiLevelType w:val="hybridMultilevel"/>
    <w:tmpl w:val="48A69F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8834515"/>
    <w:multiLevelType w:val="multilevel"/>
    <w:tmpl w:val="D82471BC"/>
    <w:styleLink w:val="WWNum18"/>
    <w:lvl w:ilvl="0">
      <w:numFmt w:val="bullet"/>
      <w:lvlText w:val="-"/>
      <w:lvlJc w:val="left"/>
      <w:pPr>
        <w:ind w:left="720" w:hanging="360"/>
      </w:pPr>
      <w:rPr>
        <w:rFonts w:ascii="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39C338EA"/>
    <w:multiLevelType w:val="hybridMultilevel"/>
    <w:tmpl w:val="695697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9F12217"/>
    <w:multiLevelType w:val="hybridMultilevel"/>
    <w:tmpl w:val="FA7AB4A6"/>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D064400"/>
    <w:multiLevelType w:val="hybridMultilevel"/>
    <w:tmpl w:val="161EED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EC37164"/>
    <w:multiLevelType w:val="hybridMultilevel"/>
    <w:tmpl w:val="B2641B9A"/>
    <w:lvl w:ilvl="0" w:tplc="204C5D90">
      <w:numFmt w:val="bullet"/>
      <w:lvlText w:val="•"/>
      <w:lvlJc w:val="left"/>
      <w:pPr>
        <w:ind w:left="1065" w:hanging="705"/>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FF30190"/>
    <w:multiLevelType w:val="hybridMultilevel"/>
    <w:tmpl w:val="243A4216"/>
    <w:lvl w:ilvl="0" w:tplc="0C0A000F">
      <w:start w:val="1"/>
      <w:numFmt w:val="decimal"/>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A8F14C1"/>
    <w:multiLevelType w:val="hybridMultilevel"/>
    <w:tmpl w:val="D9F8AC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D4C20A2"/>
    <w:multiLevelType w:val="hybridMultilevel"/>
    <w:tmpl w:val="5372AA9E"/>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5" w15:restartNumberingAfterBreak="0">
    <w:nsid w:val="51014877"/>
    <w:multiLevelType w:val="hybridMultilevel"/>
    <w:tmpl w:val="651A24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AC75E80"/>
    <w:multiLevelType w:val="hybridMultilevel"/>
    <w:tmpl w:val="48789AE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D0679AD"/>
    <w:multiLevelType w:val="hybridMultilevel"/>
    <w:tmpl w:val="532AF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14B524E"/>
    <w:multiLevelType w:val="hybridMultilevel"/>
    <w:tmpl w:val="74A8EF26"/>
    <w:lvl w:ilvl="0" w:tplc="204C5D90">
      <w:numFmt w:val="bullet"/>
      <w:lvlText w:val="•"/>
      <w:lvlJc w:val="left"/>
      <w:pPr>
        <w:ind w:left="1065" w:hanging="705"/>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1E01D42"/>
    <w:multiLevelType w:val="hybridMultilevel"/>
    <w:tmpl w:val="229294C4"/>
    <w:lvl w:ilvl="0" w:tplc="204C5D90">
      <w:numFmt w:val="bullet"/>
      <w:lvlText w:val="•"/>
      <w:lvlJc w:val="left"/>
      <w:pPr>
        <w:ind w:left="1065" w:hanging="705"/>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67A1119"/>
    <w:multiLevelType w:val="hybridMultilevel"/>
    <w:tmpl w:val="5E5A3E38"/>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96E6903"/>
    <w:multiLevelType w:val="hybridMultilevel"/>
    <w:tmpl w:val="D994B002"/>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C264445"/>
    <w:multiLevelType w:val="hybridMultilevel"/>
    <w:tmpl w:val="9106FD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2952068"/>
    <w:multiLevelType w:val="hybridMultilevel"/>
    <w:tmpl w:val="5A0E3E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4AE0A4E"/>
    <w:multiLevelType w:val="hybridMultilevel"/>
    <w:tmpl w:val="ED8808AA"/>
    <w:lvl w:ilvl="0" w:tplc="0C0A000F">
      <w:start w:val="1"/>
      <w:numFmt w:val="decimal"/>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84C5D35"/>
    <w:multiLevelType w:val="hybridMultilevel"/>
    <w:tmpl w:val="EDDEF3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DAF6E5F"/>
    <w:multiLevelType w:val="multilevel"/>
    <w:tmpl w:val="E9202F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FEB3A50"/>
    <w:multiLevelType w:val="hybridMultilevel"/>
    <w:tmpl w:val="B0264B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3"/>
  </w:num>
  <w:num w:numId="2">
    <w:abstractNumId w:val="21"/>
  </w:num>
  <w:num w:numId="3">
    <w:abstractNumId w:val="9"/>
  </w:num>
  <w:num w:numId="4">
    <w:abstractNumId w:val="28"/>
  </w:num>
  <w:num w:numId="5">
    <w:abstractNumId w:val="1"/>
  </w:num>
  <w:num w:numId="6">
    <w:abstractNumId w:val="29"/>
  </w:num>
  <w:num w:numId="7">
    <w:abstractNumId w:val="5"/>
  </w:num>
  <w:num w:numId="8">
    <w:abstractNumId w:val="13"/>
  </w:num>
  <w:num w:numId="9">
    <w:abstractNumId w:val="0"/>
  </w:num>
  <w:num w:numId="10">
    <w:abstractNumId w:val="36"/>
  </w:num>
  <w:num w:numId="11">
    <w:abstractNumId w:val="26"/>
  </w:num>
  <w:num w:numId="12">
    <w:abstractNumId w:val="34"/>
  </w:num>
  <w:num w:numId="13">
    <w:abstractNumId w:val="24"/>
  </w:num>
  <w:num w:numId="14">
    <w:abstractNumId w:val="3"/>
  </w:num>
  <w:num w:numId="15">
    <w:abstractNumId w:val="18"/>
  </w:num>
  <w:num w:numId="16">
    <w:abstractNumId w:val="37"/>
  </w:num>
  <w:num w:numId="17">
    <w:abstractNumId w:val="4"/>
  </w:num>
  <w:num w:numId="18">
    <w:abstractNumId w:val="14"/>
  </w:num>
  <w:num w:numId="19">
    <w:abstractNumId w:val="35"/>
  </w:num>
  <w:num w:numId="20">
    <w:abstractNumId w:val="27"/>
  </w:num>
  <w:num w:numId="21">
    <w:abstractNumId w:val="11"/>
  </w:num>
  <w:num w:numId="22">
    <w:abstractNumId w:val="19"/>
  </w:num>
  <w:num w:numId="23">
    <w:abstractNumId w:val="6"/>
  </w:num>
  <w:num w:numId="24">
    <w:abstractNumId w:val="33"/>
  </w:num>
  <w:num w:numId="25">
    <w:abstractNumId w:val="32"/>
  </w:num>
  <w:num w:numId="26">
    <w:abstractNumId w:val="2"/>
  </w:num>
  <w:num w:numId="27">
    <w:abstractNumId w:val="15"/>
  </w:num>
  <w:num w:numId="28">
    <w:abstractNumId w:val="16"/>
  </w:num>
  <w:num w:numId="29">
    <w:abstractNumId w:val="25"/>
  </w:num>
  <w:num w:numId="30">
    <w:abstractNumId w:val="8"/>
  </w:num>
  <w:num w:numId="31">
    <w:abstractNumId w:val="22"/>
  </w:num>
  <w:num w:numId="32">
    <w:abstractNumId w:val="31"/>
  </w:num>
  <w:num w:numId="33">
    <w:abstractNumId w:val="30"/>
  </w:num>
  <w:num w:numId="34">
    <w:abstractNumId w:val="12"/>
  </w:num>
  <w:num w:numId="35">
    <w:abstractNumId w:val="7"/>
  </w:num>
  <w:num w:numId="36">
    <w:abstractNumId w:val="10"/>
  </w:num>
  <w:num w:numId="37">
    <w:abstractNumId w:val="17"/>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CC0"/>
    <w:rsid w:val="00020621"/>
    <w:rsid w:val="00024644"/>
    <w:rsid w:val="00032E7C"/>
    <w:rsid w:val="000333AA"/>
    <w:rsid w:val="000574B7"/>
    <w:rsid w:val="00070D05"/>
    <w:rsid w:val="000B6364"/>
    <w:rsid w:val="000C4C7E"/>
    <w:rsid w:val="000C60C8"/>
    <w:rsid w:val="000D198A"/>
    <w:rsid w:val="000E764B"/>
    <w:rsid w:val="00101F2D"/>
    <w:rsid w:val="00104248"/>
    <w:rsid w:val="0010436B"/>
    <w:rsid w:val="0011513E"/>
    <w:rsid w:val="00152F61"/>
    <w:rsid w:val="00166D35"/>
    <w:rsid w:val="00167C80"/>
    <w:rsid w:val="00167CC0"/>
    <w:rsid w:val="0017366C"/>
    <w:rsid w:val="002024EF"/>
    <w:rsid w:val="00211D0F"/>
    <w:rsid w:val="002845C7"/>
    <w:rsid w:val="002C7B99"/>
    <w:rsid w:val="002D2AE5"/>
    <w:rsid w:val="002D566F"/>
    <w:rsid w:val="002F0341"/>
    <w:rsid w:val="0032250A"/>
    <w:rsid w:val="00326E7F"/>
    <w:rsid w:val="00370091"/>
    <w:rsid w:val="003A1C20"/>
    <w:rsid w:val="003A58B4"/>
    <w:rsid w:val="003A7EE9"/>
    <w:rsid w:val="003D53D3"/>
    <w:rsid w:val="0040123A"/>
    <w:rsid w:val="0048489D"/>
    <w:rsid w:val="004B2FA7"/>
    <w:rsid w:val="004C50FA"/>
    <w:rsid w:val="004E1050"/>
    <w:rsid w:val="00502DD0"/>
    <w:rsid w:val="00520CE4"/>
    <w:rsid w:val="005748BA"/>
    <w:rsid w:val="00574F16"/>
    <w:rsid w:val="00580FE0"/>
    <w:rsid w:val="00585C11"/>
    <w:rsid w:val="005956CF"/>
    <w:rsid w:val="005F7CE8"/>
    <w:rsid w:val="00603D33"/>
    <w:rsid w:val="00610FB1"/>
    <w:rsid w:val="00622F79"/>
    <w:rsid w:val="00670599"/>
    <w:rsid w:val="0067188A"/>
    <w:rsid w:val="006831B8"/>
    <w:rsid w:val="00686681"/>
    <w:rsid w:val="006B4671"/>
    <w:rsid w:val="006C28E8"/>
    <w:rsid w:val="0073332D"/>
    <w:rsid w:val="00736981"/>
    <w:rsid w:val="007653AC"/>
    <w:rsid w:val="00782927"/>
    <w:rsid w:val="007C3842"/>
    <w:rsid w:val="007D51DD"/>
    <w:rsid w:val="008057F7"/>
    <w:rsid w:val="008172B2"/>
    <w:rsid w:val="008218D6"/>
    <w:rsid w:val="0082712E"/>
    <w:rsid w:val="00844E83"/>
    <w:rsid w:val="00857098"/>
    <w:rsid w:val="008B1E5C"/>
    <w:rsid w:val="008D16A6"/>
    <w:rsid w:val="00976F5C"/>
    <w:rsid w:val="00986EA2"/>
    <w:rsid w:val="00987E78"/>
    <w:rsid w:val="009F74CC"/>
    <w:rsid w:val="00A15764"/>
    <w:rsid w:val="00A16E04"/>
    <w:rsid w:val="00A213B8"/>
    <w:rsid w:val="00A30237"/>
    <w:rsid w:val="00A826BA"/>
    <w:rsid w:val="00A851DF"/>
    <w:rsid w:val="00AD21AF"/>
    <w:rsid w:val="00AD70EE"/>
    <w:rsid w:val="00AE0B9A"/>
    <w:rsid w:val="00AE76C5"/>
    <w:rsid w:val="00AF73A1"/>
    <w:rsid w:val="00AF7443"/>
    <w:rsid w:val="00B65FA4"/>
    <w:rsid w:val="00B730D3"/>
    <w:rsid w:val="00BB1E4E"/>
    <w:rsid w:val="00BB788C"/>
    <w:rsid w:val="00BC6919"/>
    <w:rsid w:val="00BD0365"/>
    <w:rsid w:val="00BE790E"/>
    <w:rsid w:val="00BF2BC5"/>
    <w:rsid w:val="00C03713"/>
    <w:rsid w:val="00C223D5"/>
    <w:rsid w:val="00C55BD9"/>
    <w:rsid w:val="00C610A6"/>
    <w:rsid w:val="00C74D74"/>
    <w:rsid w:val="00C804A4"/>
    <w:rsid w:val="00CB33A1"/>
    <w:rsid w:val="00CD1DEA"/>
    <w:rsid w:val="00CD5C6A"/>
    <w:rsid w:val="00D452BC"/>
    <w:rsid w:val="00D53468"/>
    <w:rsid w:val="00DA417B"/>
    <w:rsid w:val="00DD6DA0"/>
    <w:rsid w:val="00DE37EB"/>
    <w:rsid w:val="00DF42E5"/>
    <w:rsid w:val="00E35310"/>
    <w:rsid w:val="00E4293A"/>
    <w:rsid w:val="00E5020D"/>
    <w:rsid w:val="00E5400E"/>
    <w:rsid w:val="00EB0A81"/>
    <w:rsid w:val="00EE101F"/>
    <w:rsid w:val="00EE6A63"/>
    <w:rsid w:val="00F015E6"/>
    <w:rsid w:val="00F14863"/>
    <w:rsid w:val="00F33B91"/>
    <w:rsid w:val="00F364B5"/>
    <w:rsid w:val="00F772C6"/>
    <w:rsid w:val="00F84947"/>
    <w:rsid w:val="00FA52E1"/>
    <w:rsid w:val="00FC78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431F03"/>
  <w15:chartTrackingRefBased/>
  <w15:docId w15:val="{11467955-DBC6-4C7A-913F-69CD10F0E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70EE"/>
    <w:pPr>
      <w:ind w:left="720"/>
      <w:contextualSpacing/>
    </w:pPr>
  </w:style>
  <w:style w:type="paragraph" w:styleId="Textodeglobo">
    <w:name w:val="Balloon Text"/>
    <w:basedOn w:val="Normal"/>
    <w:link w:val="TextodegloboCar"/>
    <w:uiPriority w:val="99"/>
    <w:semiHidden/>
    <w:unhideWhenUsed/>
    <w:rsid w:val="00167C8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67C80"/>
    <w:rPr>
      <w:rFonts w:ascii="Segoe UI" w:hAnsi="Segoe UI" w:cs="Segoe UI"/>
      <w:sz w:val="18"/>
      <w:szCs w:val="18"/>
    </w:rPr>
  </w:style>
  <w:style w:type="paragraph" w:styleId="Textonotapie">
    <w:name w:val="footnote text"/>
    <w:basedOn w:val="Normal"/>
    <w:link w:val="TextonotapieCar"/>
    <w:unhideWhenUsed/>
    <w:rsid w:val="00DD6DA0"/>
    <w:pPr>
      <w:spacing w:after="0" w:line="240" w:lineRule="auto"/>
    </w:pPr>
    <w:rPr>
      <w:sz w:val="20"/>
      <w:szCs w:val="20"/>
    </w:rPr>
  </w:style>
  <w:style w:type="character" w:customStyle="1" w:styleId="TextonotapieCar">
    <w:name w:val="Texto nota pie Car"/>
    <w:basedOn w:val="Fuentedeprrafopredeter"/>
    <w:link w:val="Textonotapie"/>
    <w:rsid w:val="00DD6DA0"/>
    <w:rPr>
      <w:sz w:val="20"/>
      <w:szCs w:val="20"/>
    </w:rPr>
  </w:style>
  <w:style w:type="character" w:styleId="Refdenotaalpie">
    <w:name w:val="footnote reference"/>
    <w:basedOn w:val="Fuentedeprrafopredeter"/>
    <w:unhideWhenUsed/>
    <w:rsid w:val="00DD6DA0"/>
    <w:rPr>
      <w:vertAlign w:val="superscript"/>
    </w:rPr>
  </w:style>
  <w:style w:type="character" w:styleId="Refdecomentario">
    <w:name w:val="annotation reference"/>
    <w:basedOn w:val="Fuentedeprrafopredeter"/>
    <w:uiPriority w:val="99"/>
    <w:semiHidden/>
    <w:unhideWhenUsed/>
    <w:rsid w:val="00E4293A"/>
    <w:rPr>
      <w:sz w:val="16"/>
      <w:szCs w:val="16"/>
    </w:rPr>
  </w:style>
  <w:style w:type="paragraph" w:styleId="Textocomentario">
    <w:name w:val="annotation text"/>
    <w:basedOn w:val="Normal"/>
    <w:link w:val="TextocomentarioCar"/>
    <w:uiPriority w:val="99"/>
    <w:semiHidden/>
    <w:unhideWhenUsed/>
    <w:rsid w:val="00E4293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4293A"/>
    <w:rPr>
      <w:sz w:val="20"/>
      <w:szCs w:val="20"/>
    </w:rPr>
  </w:style>
  <w:style w:type="paragraph" w:styleId="Encabezado">
    <w:name w:val="header"/>
    <w:basedOn w:val="Normal"/>
    <w:link w:val="EncabezadoCar"/>
    <w:uiPriority w:val="99"/>
    <w:unhideWhenUsed/>
    <w:rsid w:val="00070D0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70D05"/>
  </w:style>
  <w:style w:type="paragraph" w:styleId="Piedepgina">
    <w:name w:val="footer"/>
    <w:basedOn w:val="Normal"/>
    <w:link w:val="PiedepginaCar"/>
    <w:uiPriority w:val="99"/>
    <w:unhideWhenUsed/>
    <w:rsid w:val="00070D0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70D05"/>
  </w:style>
  <w:style w:type="paragraph" w:customStyle="1" w:styleId="Standard">
    <w:name w:val="Standard"/>
    <w:rsid w:val="0010436B"/>
    <w:pPr>
      <w:suppressAutoHyphens/>
      <w:autoSpaceDN w:val="0"/>
      <w:spacing w:line="247" w:lineRule="auto"/>
      <w:textAlignment w:val="baseline"/>
    </w:pPr>
    <w:rPr>
      <w:rFonts w:ascii="Calibri" w:eastAsia="SimSun" w:hAnsi="Calibri" w:cs="F"/>
      <w:kern w:val="3"/>
    </w:rPr>
  </w:style>
  <w:style w:type="character" w:styleId="Hipervnculo">
    <w:name w:val="Hyperlink"/>
    <w:basedOn w:val="Fuentedeprrafopredeter"/>
    <w:rsid w:val="0010436B"/>
    <w:rPr>
      <w:color w:val="0563C1"/>
      <w:u w:val="single"/>
    </w:rPr>
  </w:style>
  <w:style w:type="numbering" w:customStyle="1" w:styleId="WWNum18">
    <w:name w:val="WWNum18"/>
    <w:basedOn w:val="Sinlista"/>
    <w:rsid w:val="0010436B"/>
    <w:pPr>
      <w:numPr>
        <w:numId w:val="37"/>
      </w:numPr>
    </w:pPr>
  </w:style>
  <w:style w:type="character" w:styleId="Textoennegrita">
    <w:name w:val="Strong"/>
    <w:basedOn w:val="Fuentedeprrafopredeter"/>
    <w:uiPriority w:val="22"/>
    <w:qFormat/>
    <w:rsid w:val="00B65F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3223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mailto:plataformadesc@gmail.com"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ine.es/jaxiT3/Datos.htm?t=7709" TargetMode="External"/><Relationship Id="rId2" Type="http://schemas.openxmlformats.org/officeDocument/2006/relationships/hyperlink" Target="https://www.bde.es/webbde/es/estadis/infoest/si_1_5.pdf" TargetMode="External"/><Relationship Id="rId1" Type="http://schemas.openxmlformats.org/officeDocument/2006/relationships/hyperlink" Target="https://apps.fomento.gob.es/BoletinOnline2/?nivel=2&amp;orden=31000000" TargetMode="External"/><Relationship Id="rId5" Type="http://schemas.openxmlformats.org/officeDocument/2006/relationships/hyperlink" Target="https://cincodias.elpais.com/cincodias/2019/11/22/legal/1574444155_510285.html" TargetMode="External"/><Relationship Id="rId4" Type="http://schemas.openxmlformats.org/officeDocument/2006/relationships/hyperlink" Target="https://www.ine.es/prensa/pib_tabla_cne.h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2E60FE-3535-4D74-B5E5-49C8EB35FFEE}">
  <ds:schemaRefs>
    <ds:schemaRef ds:uri="http://schemas.openxmlformats.org/officeDocument/2006/bibliography"/>
  </ds:schemaRefs>
</ds:datastoreItem>
</file>

<file path=customXml/itemProps2.xml><?xml version="1.0" encoding="utf-8"?>
<ds:datastoreItem xmlns:ds="http://schemas.openxmlformats.org/officeDocument/2006/customXml" ds:itemID="{A703A4AC-831B-4387-A7E3-D9FF1E3F0042}"/>
</file>

<file path=customXml/itemProps3.xml><?xml version="1.0" encoding="utf-8"?>
<ds:datastoreItem xmlns:ds="http://schemas.openxmlformats.org/officeDocument/2006/customXml" ds:itemID="{2414A139-C851-430B-8B1F-7FAD7CF5BC8F}"/>
</file>

<file path=customXml/itemProps4.xml><?xml version="1.0" encoding="utf-8"?>
<ds:datastoreItem xmlns:ds="http://schemas.openxmlformats.org/officeDocument/2006/customXml" ds:itemID="{E6B74F7B-10E7-4D20-89DA-2B41342BBB1A}"/>
</file>

<file path=docProps/app.xml><?xml version="1.0" encoding="utf-8"?>
<Properties xmlns="http://schemas.openxmlformats.org/officeDocument/2006/extended-properties" xmlns:vt="http://schemas.openxmlformats.org/officeDocument/2006/docPropsVTypes">
  <Template>Normal.dotm</Template>
  <TotalTime>3</TotalTime>
  <Pages>7</Pages>
  <Words>2234</Words>
  <Characters>12290</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INCIDENCIA</dc:creator>
  <cp:keywords/>
  <dc:description/>
  <cp:lastModifiedBy>Sonia Olea Ferreras</cp:lastModifiedBy>
  <cp:revision>4</cp:revision>
  <cp:lastPrinted>2019-07-05T10:36:00Z</cp:lastPrinted>
  <dcterms:created xsi:type="dcterms:W3CDTF">2019-12-19T07:49:00Z</dcterms:created>
  <dcterms:modified xsi:type="dcterms:W3CDTF">2019-12-19T20:46:00Z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