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9B59F5" w14:paraId="055328C4" w14:textId="77777777">
        <w:trPr>
          <w:cantSplit/>
          <w:trHeight w:hRule="exact" w:val="851"/>
        </w:trPr>
        <w:tc>
          <w:tcPr>
            <w:tcW w:w="1276" w:type="dxa"/>
            <w:tcBorders>
              <w:bottom w:val="single" w:sz="4" w:space="0" w:color="auto"/>
            </w:tcBorders>
            <w:vAlign w:val="bottom"/>
          </w:tcPr>
          <w:p w14:paraId="55099873" w14:textId="26864A5C" w:rsidR="009B59F5" w:rsidRDefault="009B59F5">
            <w:pPr>
              <w:spacing w:after="80"/>
            </w:pPr>
          </w:p>
        </w:tc>
        <w:tc>
          <w:tcPr>
            <w:tcW w:w="2268" w:type="dxa"/>
            <w:tcBorders>
              <w:bottom w:val="single" w:sz="4" w:space="0" w:color="auto"/>
            </w:tcBorders>
            <w:vAlign w:val="bottom"/>
          </w:tcPr>
          <w:p w14:paraId="6C2A44EC" w14:textId="08DF736F" w:rsidR="009B59F5" w:rsidRDefault="009B59F5">
            <w:pPr>
              <w:spacing w:after="80" w:line="300" w:lineRule="exact"/>
              <w:rPr>
                <w:b/>
                <w:sz w:val="24"/>
                <w:szCs w:val="24"/>
              </w:rPr>
            </w:pPr>
          </w:p>
        </w:tc>
        <w:tc>
          <w:tcPr>
            <w:tcW w:w="6095" w:type="dxa"/>
            <w:gridSpan w:val="2"/>
            <w:tcBorders>
              <w:bottom w:val="single" w:sz="4" w:space="0" w:color="auto"/>
            </w:tcBorders>
            <w:vAlign w:val="bottom"/>
          </w:tcPr>
          <w:p w14:paraId="2CA30713" w14:textId="7F5C0BCA" w:rsidR="009B59F5" w:rsidRDefault="00FD2DBD">
            <w:pPr>
              <w:suppressAutoHyphens w:val="0"/>
              <w:spacing w:after="20"/>
              <w:jc w:val="right"/>
            </w:pPr>
            <w:r w:rsidRPr="00BF6436">
              <w:rPr>
                <w:sz w:val="40"/>
                <w:szCs w:val="40"/>
              </w:rPr>
              <w:t>CCPR</w:t>
            </w:r>
            <w:r>
              <w:t>/C</w:t>
            </w:r>
            <w:r w:rsidR="00035A8A">
              <w:t>/</w:t>
            </w:r>
            <w:r>
              <w:t>14</w:t>
            </w:r>
            <w:r w:rsidR="00AB7FF8">
              <w:t>5</w:t>
            </w:r>
            <w:r>
              <w:t>/D/</w:t>
            </w:r>
            <w:r w:rsidR="004F7888">
              <w:t>37</w:t>
            </w:r>
            <w:r w:rsidR="00242A19">
              <w:t>17</w:t>
            </w:r>
            <w:r>
              <w:t>/20</w:t>
            </w:r>
            <w:r w:rsidR="004F7888">
              <w:t>20</w:t>
            </w:r>
          </w:p>
        </w:tc>
      </w:tr>
      <w:tr w:rsidR="009B59F5" w14:paraId="61287AAA" w14:textId="77777777">
        <w:trPr>
          <w:cantSplit/>
          <w:trHeight w:hRule="exact" w:val="2835"/>
        </w:trPr>
        <w:tc>
          <w:tcPr>
            <w:tcW w:w="1276" w:type="dxa"/>
            <w:tcBorders>
              <w:top w:val="single" w:sz="4" w:space="0" w:color="auto"/>
              <w:bottom w:val="single" w:sz="12" w:space="0" w:color="auto"/>
            </w:tcBorders>
          </w:tcPr>
          <w:p w14:paraId="624F97E8" w14:textId="093D3381" w:rsidR="009B59F5" w:rsidRDefault="009B59F5">
            <w:pPr>
              <w:spacing w:before="120"/>
            </w:pPr>
          </w:p>
        </w:tc>
        <w:tc>
          <w:tcPr>
            <w:tcW w:w="5528" w:type="dxa"/>
            <w:gridSpan w:val="2"/>
            <w:tcBorders>
              <w:top w:val="single" w:sz="4" w:space="0" w:color="auto"/>
              <w:bottom w:val="single" w:sz="12" w:space="0" w:color="auto"/>
            </w:tcBorders>
          </w:tcPr>
          <w:p w14:paraId="30FDC1EE" w14:textId="77777777" w:rsidR="00331364" w:rsidRDefault="00331364" w:rsidP="002B4B1E">
            <w:pPr>
              <w:spacing w:before="120" w:line="380" w:lineRule="exact"/>
              <w:rPr>
                <w:b/>
                <w:sz w:val="34"/>
                <w:szCs w:val="40"/>
              </w:rPr>
            </w:pPr>
          </w:p>
          <w:p w14:paraId="23DB792A" w14:textId="77777777" w:rsidR="00331364" w:rsidRDefault="00331364" w:rsidP="002B4B1E">
            <w:pPr>
              <w:spacing w:before="120" w:line="380" w:lineRule="exact"/>
              <w:rPr>
                <w:b/>
                <w:sz w:val="34"/>
                <w:szCs w:val="40"/>
              </w:rPr>
            </w:pPr>
          </w:p>
          <w:p w14:paraId="09B5BFC1" w14:textId="1564F39C" w:rsidR="00331364" w:rsidRDefault="00331364" w:rsidP="002B4B1E">
            <w:pPr>
              <w:spacing w:before="120" w:line="380" w:lineRule="exact"/>
              <w:rPr>
                <w:b/>
                <w:sz w:val="34"/>
                <w:szCs w:val="40"/>
              </w:rPr>
            </w:pPr>
            <w:r>
              <w:rPr>
                <w:b/>
                <w:sz w:val="34"/>
                <w:szCs w:val="40"/>
              </w:rPr>
              <w:t>Advance unedited version</w:t>
            </w:r>
          </w:p>
          <w:p w14:paraId="73693124" w14:textId="77777777" w:rsidR="00C172E7" w:rsidRDefault="00C172E7" w:rsidP="00C172E7">
            <w:pPr>
              <w:rPr>
                <w:b/>
                <w:sz w:val="34"/>
                <w:szCs w:val="40"/>
              </w:rPr>
            </w:pPr>
          </w:p>
          <w:p w14:paraId="03BEC0F0" w14:textId="77777777" w:rsidR="00C172E7" w:rsidRDefault="00C172E7" w:rsidP="00C172E7">
            <w:pPr>
              <w:jc w:val="right"/>
              <w:rPr>
                <w:sz w:val="34"/>
                <w:szCs w:val="40"/>
              </w:rPr>
            </w:pPr>
          </w:p>
          <w:p w14:paraId="3022448E" w14:textId="6D6EA187" w:rsidR="00C172E7" w:rsidRPr="00C172E7" w:rsidRDefault="00C172E7" w:rsidP="00C172E7">
            <w:pPr>
              <w:ind w:right="680"/>
              <w:rPr>
                <w:sz w:val="34"/>
                <w:szCs w:val="40"/>
              </w:rPr>
            </w:pPr>
          </w:p>
        </w:tc>
        <w:tc>
          <w:tcPr>
            <w:tcW w:w="2835" w:type="dxa"/>
            <w:tcBorders>
              <w:top w:val="single" w:sz="4" w:space="0" w:color="auto"/>
              <w:bottom w:val="single" w:sz="12" w:space="0" w:color="auto"/>
            </w:tcBorders>
          </w:tcPr>
          <w:p w14:paraId="2DACBD99" w14:textId="537977C0" w:rsidR="009B59F5" w:rsidRDefault="00FD2DBD">
            <w:pPr>
              <w:suppressAutoHyphens w:val="0"/>
              <w:spacing w:before="240"/>
            </w:pPr>
            <w:r>
              <w:t xml:space="preserve">Distr.: </w:t>
            </w:r>
            <w:r w:rsidR="0014266A">
              <w:t>General</w:t>
            </w:r>
          </w:p>
          <w:p w14:paraId="56F27165" w14:textId="75F3DAE3" w:rsidR="009B59F5" w:rsidRDefault="00696DBA">
            <w:pPr>
              <w:suppressAutoHyphens w:val="0"/>
            </w:pPr>
            <w:r>
              <w:t>11</w:t>
            </w:r>
            <w:r w:rsidR="0017048A">
              <w:t xml:space="preserve"> March </w:t>
            </w:r>
            <w:r w:rsidR="00A53463">
              <w:t>202</w:t>
            </w:r>
            <w:r w:rsidR="00C172E7">
              <w:t>6</w:t>
            </w:r>
          </w:p>
          <w:p w14:paraId="734FAA94" w14:textId="77777777" w:rsidR="00A10CAE" w:rsidRDefault="00A10CAE">
            <w:pPr>
              <w:suppressAutoHyphens w:val="0"/>
            </w:pPr>
          </w:p>
          <w:p w14:paraId="50CFD839" w14:textId="77777777" w:rsidR="00A10CAE" w:rsidRDefault="00A10CAE" w:rsidP="00A10CAE">
            <w:pPr>
              <w:suppressAutoHyphens w:val="0"/>
            </w:pPr>
            <w:r>
              <w:t xml:space="preserve">Original: English </w:t>
            </w:r>
          </w:p>
          <w:p w14:paraId="5DF842CF" w14:textId="50A6D08F" w:rsidR="00A10CAE" w:rsidRDefault="00A10CAE" w:rsidP="00A10CAE">
            <w:pPr>
              <w:suppressAutoHyphens w:val="0"/>
            </w:pPr>
            <w:r>
              <w:t>English, French and Spanish only</w:t>
            </w:r>
          </w:p>
          <w:p w14:paraId="54A1E058" w14:textId="02FA99AF" w:rsidR="009B59F5" w:rsidRDefault="009B59F5" w:rsidP="001076E8">
            <w:pPr>
              <w:suppressAutoHyphens w:val="0"/>
            </w:pPr>
          </w:p>
        </w:tc>
      </w:tr>
    </w:tbl>
    <w:p w14:paraId="1E508245" w14:textId="3CC153C9" w:rsidR="009B59F5" w:rsidRDefault="00FD2DBD">
      <w:pPr>
        <w:rPr>
          <w:b/>
          <w:bCs/>
          <w:sz w:val="24"/>
          <w:szCs w:val="24"/>
        </w:rPr>
      </w:pPr>
      <w:r>
        <w:rPr>
          <w:b/>
          <w:bCs/>
          <w:sz w:val="24"/>
          <w:szCs w:val="24"/>
        </w:rPr>
        <w:t>Human Rights Committee</w:t>
      </w:r>
    </w:p>
    <w:p w14:paraId="7ACE9AB9" w14:textId="6D375830" w:rsidR="00E834F9" w:rsidRDefault="00E834F9" w:rsidP="009A5D41">
      <w:pPr>
        <w:rPr>
          <w:b/>
          <w:bCs/>
        </w:rPr>
      </w:pPr>
    </w:p>
    <w:p w14:paraId="522EB815" w14:textId="67659232" w:rsidR="009B59F5" w:rsidRDefault="0000633A" w:rsidP="00476DDE">
      <w:pPr>
        <w:pStyle w:val="HChG"/>
        <w:snapToGrid w:val="0"/>
        <w:spacing w:before="0" w:line="276" w:lineRule="auto"/>
        <w:ind w:left="1138" w:right="1138" w:firstLine="0"/>
      </w:pPr>
      <w:r>
        <w:rPr>
          <w:bCs/>
          <w:szCs w:val="28"/>
        </w:rPr>
        <w:t>Views adopted by the Committee under the Optional Protocol, c</w:t>
      </w:r>
      <w:r w:rsidRPr="0070789A">
        <w:rPr>
          <w:bCs/>
          <w:szCs w:val="28"/>
        </w:rPr>
        <w:t>oncerning c</w:t>
      </w:r>
      <w:r w:rsidR="00FD2DBD" w:rsidRPr="004B5862">
        <w:t>ommunication</w:t>
      </w:r>
      <w:r w:rsidR="00FD2DBD">
        <w:t xml:space="preserve"> No. 3</w:t>
      </w:r>
      <w:r w:rsidR="004F7888">
        <w:t>7</w:t>
      </w:r>
      <w:r w:rsidR="00242A19">
        <w:t>17</w:t>
      </w:r>
      <w:r w:rsidR="00FD2DBD">
        <w:t>/20</w:t>
      </w:r>
      <w:r w:rsidR="004F7888">
        <w:t>20</w:t>
      </w:r>
      <w:r w:rsidRPr="0000633A">
        <w:rPr>
          <w:b w:val="0"/>
          <w:sz w:val="20"/>
        </w:rPr>
        <w:footnoteReference w:customMarkFollows="1" w:id="1"/>
        <w:t>*</w:t>
      </w:r>
      <w:r w:rsidRPr="0000633A">
        <w:rPr>
          <w:b w:val="0"/>
          <w:sz w:val="20"/>
          <w:vertAlign w:val="superscript"/>
        </w:rPr>
        <w:t>,</w:t>
      </w:r>
      <w:r w:rsidRPr="0000633A">
        <w:rPr>
          <w:b w:val="0"/>
          <w:sz w:val="20"/>
        </w:rPr>
        <w:footnoteReference w:customMarkFollows="1" w:id="2"/>
        <w:t>**</w:t>
      </w:r>
      <w:r w:rsidR="00FD2DBD">
        <w:tab/>
      </w:r>
      <w:r w:rsidR="00FD2DBD">
        <w:tab/>
      </w:r>
    </w:p>
    <w:p w14:paraId="6558F01E" w14:textId="367F7F2D" w:rsidR="009B59F5" w:rsidRDefault="00FD2DBD" w:rsidP="003331AE">
      <w:pPr>
        <w:pStyle w:val="SingleTxtG"/>
        <w:spacing w:line="276" w:lineRule="auto"/>
        <w:ind w:left="4536" w:hanging="3402"/>
        <w:jc w:val="left"/>
      </w:pPr>
      <w:r>
        <w:rPr>
          <w:i/>
          <w:iCs/>
        </w:rPr>
        <w:t>Communication submitted by:</w:t>
      </w:r>
      <w:r>
        <w:rPr>
          <w:i/>
        </w:rPr>
        <w:tab/>
      </w:r>
      <w:r w:rsidR="00242A19">
        <w:rPr>
          <w:iCs/>
        </w:rPr>
        <w:t xml:space="preserve">Stojko Ivanov Stojkov </w:t>
      </w:r>
      <w:r w:rsidR="00934E78">
        <w:rPr>
          <w:iCs/>
        </w:rPr>
        <w:t>(</w:t>
      </w:r>
      <w:r>
        <w:t>represented by counsel,</w:t>
      </w:r>
      <w:r w:rsidR="00242A19" w:rsidRPr="00242A19">
        <w:t xml:space="preserve"> Krassimir Kanev</w:t>
      </w:r>
      <w:r w:rsidR="00B25FB0">
        <w:t>, Bulgarian Helsinki Committee</w:t>
      </w:r>
      <w:r>
        <w:t>)</w:t>
      </w:r>
      <w:r w:rsidR="00C15251">
        <w:t xml:space="preserve"> </w:t>
      </w:r>
    </w:p>
    <w:p w14:paraId="20009DB8" w14:textId="05F06E7E" w:rsidR="009B59F5" w:rsidRDefault="00FD2DBD">
      <w:pPr>
        <w:pStyle w:val="SingleTxtG"/>
        <w:ind w:left="4536" w:hanging="3402"/>
        <w:jc w:val="left"/>
      </w:pPr>
      <w:r>
        <w:rPr>
          <w:i/>
          <w:iCs/>
        </w:rPr>
        <w:t>Alleged victim:</w:t>
      </w:r>
      <w:r>
        <w:rPr>
          <w:i/>
        </w:rPr>
        <w:tab/>
      </w:r>
      <w:r>
        <w:rPr>
          <w:iCs/>
        </w:rPr>
        <w:t>The author</w:t>
      </w:r>
      <w:r w:rsidR="00C15251">
        <w:rPr>
          <w:iCs/>
        </w:rPr>
        <w:t xml:space="preserve"> </w:t>
      </w:r>
    </w:p>
    <w:p w14:paraId="52AF681F" w14:textId="628D2937" w:rsidR="009B59F5" w:rsidRDefault="00FD2DBD">
      <w:pPr>
        <w:pStyle w:val="SingleTxtG"/>
        <w:ind w:left="4536" w:hanging="3402"/>
        <w:jc w:val="left"/>
      </w:pPr>
      <w:r>
        <w:rPr>
          <w:i/>
          <w:iCs/>
        </w:rPr>
        <w:t xml:space="preserve">State </w:t>
      </w:r>
      <w:r w:rsidR="00AB7FF8">
        <w:rPr>
          <w:i/>
          <w:iCs/>
        </w:rPr>
        <w:t>P</w:t>
      </w:r>
      <w:r>
        <w:rPr>
          <w:i/>
          <w:iCs/>
        </w:rPr>
        <w:t>arty:</w:t>
      </w:r>
      <w:r>
        <w:rPr>
          <w:i/>
        </w:rPr>
        <w:tab/>
      </w:r>
      <w:r w:rsidR="00242A19">
        <w:rPr>
          <w:iCs/>
        </w:rPr>
        <w:t>Bulgaria</w:t>
      </w:r>
      <w:r w:rsidR="00C15251">
        <w:rPr>
          <w:iCs/>
        </w:rPr>
        <w:t xml:space="preserve"> </w:t>
      </w:r>
    </w:p>
    <w:p w14:paraId="2E3A43A8" w14:textId="300913C1" w:rsidR="009B59F5" w:rsidRDefault="00FD2DBD">
      <w:pPr>
        <w:pStyle w:val="SingleTxtG"/>
        <w:ind w:left="4536" w:hanging="3402"/>
        <w:jc w:val="left"/>
      </w:pPr>
      <w:r>
        <w:rPr>
          <w:i/>
          <w:iCs/>
        </w:rPr>
        <w:t>Date of communication:</w:t>
      </w:r>
      <w:r>
        <w:rPr>
          <w:i/>
        </w:rPr>
        <w:tab/>
      </w:r>
      <w:r w:rsidR="00613394">
        <w:rPr>
          <w:iCs/>
        </w:rPr>
        <w:t>1</w:t>
      </w:r>
      <w:r w:rsidR="00242A19" w:rsidRPr="00242A19">
        <w:rPr>
          <w:iCs/>
        </w:rPr>
        <w:t>8 December 2017</w:t>
      </w:r>
      <w:r w:rsidR="00242A19">
        <w:rPr>
          <w:iCs/>
        </w:rPr>
        <w:t xml:space="preserve"> </w:t>
      </w:r>
      <w:r>
        <w:t>(initial submission)</w:t>
      </w:r>
    </w:p>
    <w:p w14:paraId="0C424812" w14:textId="424D2DF9" w:rsidR="009B59F5" w:rsidRDefault="00FD2DBD" w:rsidP="003331AE">
      <w:pPr>
        <w:pStyle w:val="SingleTxtG"/>
        <w:spacing w:line="276" w:lineRule="auto"/>
        <w:ind w:left="4536" w:hanging="3402"/>
        <w:jc w:val="left"/>
      </w:pPr>
      <w:r>
        <w:rPr>
          <w:i/>
          <w:iCs/>
        </w:rPr>
        <w:t>Document references:</w:t>
      </w:r>
      <w:r>
        <w:rPr>
          <w:i/>
        </w:rPr>
        <w:tab/>
      </w:r>
      <w:r>
        <w:t xml:space="preserve">Decision taken pursuant to rule 92 of the Committee’s rules of procedure, transmitted to the State </w:t>
      </w:r>
      <w:r w:rsidR="007F2C68">
        <w:t>P</w:t>
      </w:r>
      <w:r>
        <w:t xml:space="preserve">arty </w:t>
      </w:r>
      <w:r w:rsidRPr="005852BF">
        <w:t xml:space="preserve">on </w:t>
      </w:r>
      <w:r w:rsidR="00172EFF">
        <w:t>10 March 2020</w:t>
      </w:r>
      <w:r w:rsidR="004F7888">
        <w:t xml:space="preserve"> </w:t>
      </w:r>
      <w:r>
        <w:t>(not issued in document form)</w:t>
      </w:r>
    </w:p>
    <w:p w14:paraId="65D38B51" w14:textId="60DCDF00" w:rsidR="009B59F5" w:rsidRDefault="00FD2DBD">
      <w:pPr>
        <w:pStyle w:val="SingleTxtG"/>
        <w:ind w:left="4536" w:hanging="3402"/>
        <w:jc w:val="left"/>
      </w:pPr>
      <w:r>
        <w:rPr>
          <w:i/>
          <w:iCs/>
        </w:rPr>
        <w:t xml:space="preserve">Date of adoption of </w:t>
      </w:r>
      <w:r w:rsidR="00AB7FF8">
        <w:rPr>
          <w:i/>
          <w:iCs/>
        </w:rPr>
        <w:t>Views</w:t>
      </w:r>
      <w:r>
        <w:rPr>
          <w:i/>
          <w:iCs/>
        </w:rPr>
        <w:t>:</w:t>
      </w:r>
      <w:r>
        <w:rPr>
          <w:i/>
        </w:rPr>
        <w:tab/>
      </w:r>
      <w:r w:rsidR="00BD3887">
        <w:rPr>
          <w:iCs/>
        </w:rPr>
        <w:t xml:space="preserve">11 </w:t>
      </w:r>
      <w:r w:rsidR="005820B9">
        <w:rPr>
          <w:iCs/>
        </w:rPr>
        <w:t xml:space="preserve">March </w:t>
      </w:r>
      <w:r>
        <w:t>202</w:t>
      </w:r>
      <w:r w:rsidR="00E7375E">
        <w:t>6</w:t>
      </w:r>
    </w:p>
    <w:p w14:paraId="7F9485C7" w14:textId="7B97221B" w:rsidR="009B59F5" w:rsidRDefault="00FD2DBD">
      <w:pPr>
        <w:pStyle w:val="SingleTxtG"/>
        <w:ind w:left="4536" w:hanging="3402"/>
        <w:jc w:val="left"/>
      </w:pPr>
      <w:r>
        <w:rPr>
          <w:i/>
          <w:iCs/>
        </w:rPr>
        <w:t>Subject matter:</w:t>
      </w:r>
      <w:r>
        <w:rPr>
          <w:i/>
        </w:rPr>
        <w:tab/>
      </w:r>
      <w:r w:rsidR="006E3C6C" w:rsidRPr="006E3C6C">
        <w:rPr>
          <w:iCs/>
        </w:rPr>
        <w:t xml:space="preserve">Denial of registration of a non-profit </w:t>
      </w:r>
      <w:r w:rsidR="007D577E">
        <w:rPr>
          <w:iCs/>
        </w:rPr>
        <w:t>association</w:t>
      </w:r>
      <w:r w:rsidR="00C15251">
        <w:rPr>
          <w:iCs/>
        </w:rPr>
        <w:t xml:space="preserve"> </w:t>
      </w:r>
    </w:p>
    <w:p w14:paraId="7FDD1DF2" w14:textId="106752C3" w:rsidR="009B59F5" w:rsidRDefault="00FD2DBD">
      <w:pPr>
        <w:pStyle w:val="SingleTxtG"/>
        <w:ind w:left="4536" w:hanging="3402"/>
        <w:jc w:val="left"/>
      </w:pPr>
      <w:r>
        <w:rPr>
          <w:i/>
          <w:iCs/>
        </w:rPr>
        <w:t>Procedural issue</w:t>
      </w:r>
      <w:r w:rsidR="00B6207D">
        <w:rPr>
          <w:i/>
          <w:iCs/>
        </w:rPr>
        <w:t>s</w:t>
      </w:r>
      <w:r>
        <w:rPr>
          <w:i/>
          <w:iCs/>
        </w:rPr>
        <w:t>:</w:t>
      </w:r>
      <w:r>
        <w:rPr>
          <w:i/>
          <w:iCs/>
        </w:rPr>
        <w:tab/>
      </w:r>
      <w:r w:rsidR="00C5253F">
        <w:t xml:space="preserve">Admissibility </w:t>
      </w:r>
      <w:r w:rsidR="00A654B6">
        <w:t>–</w:t>
      </w:r>
      <w:r w:rsidR="00C5253F">
        <w:t xml:space="preserve"> </w:t>
      </w:r>
      <w:r w:rsidR="00753FF3">
        <w:t>lack of substantiation</w:t>
      </w:r>
      <w:r w:rsidR="00B6207D">
        <w:t>; non-exhaustion of domestic remedies</w:t>
      </w:r>
    </w:p>
    <w:p w14:paraId="60D2DA74" w14:textId="5859562C" w:rsidR="009B59F5" w:rsidRDefault="00FD2DBD" w:rsidP="003331AE">
      <w:pPr>
        <w:pStyle w:val="SingleTxtG"/>
        <w:spacing w:line="276" w:lineRule="auto"/>
        <w:ind w:left="4536" w:hanging="3402"/>
        <w:jc w:val="left"/>
        <w:rPr>
          <w:iCs/>
        </w:rPr>
      </w:pPr>
      <w:r>
        <w:rPr>
          <w:i/>
          <w:iCs/>
        </w:rPr>
        <w:t>Substantive issue</w:t>
      </w:r>
      <w:r w:rsidR="00A654B6">
        <w:rPr>
          <w:i/>
          <w:iCs/>
        </w:rPr>
        <w:t>s</w:t>
      </w:r>
      <w:r>
        <w:rPr>
          <w:i/>
          <w:iCs/>
        </w:rPr>
        <w:t>:</w:t>
      </w:r>
      <w:r>
        <w:rPr>
          <w:i/>
          <w:iCs/>
        </w:rPr>
        <w:tab/>
      </w:r>
      <w:r w:rsidR="006E3C6C" w:rsidRPr="006E3C6C">
        <w:t>Right to freedom of association</w:t>
      </w:r>
      <w:r w:rsidR="008B5632" w:rsidRPr="006E3C6C">
        <w:t xml:space="preserve">; </w:t>
      </w:r>
      <w:r w:rsidR="00967C80">
        <w:t>d</w:t>
      </w:r>
      <w:r w:rsidR="006E3C6C" w:rsidRPr="006E3C6C">
        <w:t>iscrimination</w:t>
      </w:r>
      <w:r w:rsidR="00967C80">
        <w:t xml:space="preserve"> on the ground of ethnic origin</w:t>
      </w:r>
      <w:r w:rsidR="00C15251">
        <w:t xml:space="preserve"> </w:t>
      </w:r>
    </w:p>
    <w:p w14:paraId="141372A1" w14:textId="4997B337" w:rsidR="009B59F5" w:rsidRDefault="00FD2DBD">
      <w:pPr>
        <w:pStyle w:val="SingleTxtG"/>
        <w:ind w:left="4536" w:hanging="3402"/>
        <w:jc w:val="left"/>
      </w:pPr>
      <w:r>
        <w:rPr>
          <w:i/>
          <w:iCs/>
        </w:rPr>
        <w:t>Article</w:t>
      </w:r>
      <w:r w:rsidR="00B27F6D">
        <w:rPr>
          <w:i/>
          <w:iCs/>
        </w:rPr>
        <w:t>s</w:t>
      </w:r>
      <w:r>
        <w:rPr>
          <w:i/>
          <w:iCs/>
        </w:rPr>
        <w:t xml:space="preserve"> of the Covenant:</w:t>
      </w:r>
      <w:r>
        <w:rPr>
          <w:i/>
          <w:iCs/>
        </w:rPr>
        <w:tab/>
      </w:r>
      <w:r w:rsidR="006E3C6C" w:rsidRPr="006E3C6C">
        <w:t xml:space="preserve">2 </w:t>
      </w:r>
      <w:r w:rsidR="00A13348" w:rsidRPr="006E3C6C">
        <w:t>(1)</w:t>
      </w:r>
      <w:r w:rsidR="006E3C6C" w:rsidRPr="006E3C6C">
        <w:t xml:space="preserve"> and 22</w:t>
      </w:r>
      <w:r w:rsidR="00753FF3">
        <w:t xml:space="preserve"> </w:t>
      </w:r>
    </w:p>
    <w:p w14:paraId="1B93BC3D" w14:textId="3AC14BDC" w:rsidR="00242A19" w:rsidRDefault="00FD2DBD" w:rsidP="00242A19">
      <w:pPr>
        <w:pStyle w:val="SingleTxtG"/>
        <w:spacing w:after="240"/>
        <w:ind w:left="4536" w:hanging="3402"/>
        <w:jc w:val="left"/>
        <w:rPr>
          <w:iCs/>
        </w:rPr>
      </w:pPr>
      <w:r>
        <w:rPr>
          <w:i/>
          <w:iCs/>
        </w:rPr>
        <w:t>Article</w:t>
      </w:r>
      <w:r w:rsidR="004F7888">
        <w:rPr>
          <w:i/>
          <w:iCs/>
        </w:rPr>
        <w:t>s</w:t>
      </w:r>
      <w:r>
        <w:rPr>
          <w:i/>
          <w:iCs/>
        </w:rPr>
        <w:t xml:space="preserve"> of the Optional Protocol:</w:t>
      </w:r>
      <w:r>
        <w:rPr>
          <w:i/>
          <w:iCs/>
        </w:rPr>
        <w:tab/>
      </w:r>
      <w:r>
        <w:rPr>
          <w:iCs/>
        </w:rPr>
        <w:t xml:space="preserve">2 </w:t>
      </w:r>
      <w:r w:rsidR="004F7888">
        <w:rPr>
          <w:iCs/>
        </w:rPr>
        <w:t>and 5 (2) (b)</w:t>
      </w:r>
    </w:p>
    <w:p w14:paraId="367D415E" w14:textId="506EF5EB" w:rsidR="0084085F" w:rsidRDefault="006438F4" w:rsidP="002E652B">
      <w:pPr>
        <w:pStyle w:val="SingleTxtG"/>
      </w:pPr>
      <w:r w:rsidRPr="009615DB">
        <w:t>1.</w:t>
      </w:r>
      <w:r w:rsidR="006E3C6C">
        <w:tab/>
      </w:r>
      <w:r w:rsidR="006E3C6C" w:rsidRPr="006E3C6C">
        <w:t xml:space="preserve">The author of the communication is Stojko Ivanov Stojkov, a national of Bulgaria born </w:t>
      </w:r>
      <w:r w:rsidR="002C1014">
        <w:t xml:space="preserve">on 16 April </w:t>
      </w:r>
      <w:r w:rsidR="006E3C6C" w:rsidRPr="006E3C6C">
        <w:t>1974</w:t>
      </w:r>
      <w:r w:rsidR="00172EFF">
        <w:t xml:space="preserve">. </w:t>
      </w:r>
      <w:r w:rsidR="006E3C6C" w:rsidRPr="006E3C6C">
        <w:t xml:space="preserve">He claims that the denial of registration of </w:t>
      </w:r>
      <w:r w:rsidR="001C0CAD">
        <w:t xml:space="preserve">a </w:t>
      </w:r>
      <w:r w:rsidR="006E3C6C" w:rsidRPr="006E3C6C">
        <w:t xml:space="preserve">non-profit </w:t>
      </w:r>
      <w:r w:rsidR="001C0CAD">
        <w:t>association</w:t>
      </w:r>
      <w:r w:rsidR="00547F38">
        <w:t xml:space="preserve"> called </w:t>
      </w:r>
      <w:r w:rsidR="000A1389">
        <w:t xml:space="preserve">the </w:t>
      </w:r>
      <w:r w:rsidR="00547F38">
        <w:t>Human Rights Protection Committee “Tolerance”</w:t>
      </w:r>
      <w:r w:rsidR="001C0CAD">
        <w:t xml:space="preserve">, </w:t>
      </w:r>
      <w:r w:rsidR="006E3C6C" w:rsidRPr="006E3C6C">
        <w:t xml:space="preserve">due to </w:t>
      </w:r>
      <w:r w:rsidR="001C0CAD">
        <w:t xml:space="preserve">the </w:t>
      </w:r>
      <w:r w:rsidR="006E3C6C" w:rsidRPr="006E3C6C">
        <w:t>eth</w:t>
      </w:r>
      <w:r w:rsidR="002F170B">
        <w:t>n</w:t>
      </w:r>
      <w:r w:rsidR="006E3C6C" w:rsidRPr="006E3C6C">
        <w:t>ic origin</w:t>
      </w:r>
      <w:r w:rsidR="001C0CAD">
        <w:t xml:space="preserve"> of the author</w:t>
      </w:r>
      <w:r w:rsidR="006E3C6C" w:rsidRPr="006E3C6C">
        <w:t>, amounts to a violation of his right</w:t>
      </w:r>
      <w:r w:rsidR="00684562">
        <w:t>s</w:t>
      </w:r>
      <w:r w:rsidR="006E3C6C" w:rsidRPr="006E3C6C">
        <w:t xml:space="preserve"> to freedom of association under article 22,</w:t>
      </w:r>
      <w:r w:rsidR="00967C80">
        <w:t xml:space="preserve"> and to an equal enjoyment of rights under article 2 (1), read in conjunction with article 22 of the Covenant. T</w:t>
      </w:r>
      <w:r w:rsidR="006E3C6C" w:rsidRPr="006E3C6C">
        <w:t>he Optional Protocol entered into force for the State Party on 26 June 1992. The author is represented by counsel.</w:t>
      </w:r>
      <w:r w:rsidR="00D43729" w:rsidRPr="009615DB">
        <w:t xml:space="preserve"> </w:t>
      </w:r>
    </w:p>
    <w:p w14:paraId="35453E7F" w14:textId="1600E873" w:rsidR="009B59F5" w:rsidRPr="00102D12" w:rsidRDefault="00A67C32" w:rsidP="00A67C32">
      <w:pPr>
        <w:pStyle w:val="H23G"/>
      </w:pPr>
      <w:r>
        <w:lastRenderedPageBreak/>
        <w:tab/>
      </w:r>
      <w:r>
        <w:tab/>
      </w:r>
      <w:r w:rsidR="00FD2DBD" w:rsidRPr="00102D12">
        <w:t xml:space="preserve">Facts as submitted by the author </w:t>
      </w:r>
    </w:p>
    <w:p w14:paraId="325AD9A6" w14:textId="5FD2D665" w:rsidR="00E32EE9" w:rsidRPr="00102D12" w:rsidRDefault="00FD2DBD" w:rsidP="002E652B">
      <w:pPr>
        <w:pStyle w:val="SingleTxtG"/>
        <w:rPr>
          <w:lang w:eastAsia="en-GB"/>
        </w:rPr>
      </w:pPr>
      <w:r w:rsidRPr="00102D12">
        <w:rPr>
          <w:bCs/>
        </w:rPr>
        <w:t>2.</w:t>
      </w:r>
      <w:r w:rsidRPr="00102D12">
        <w:rPr>
          <w:bCs/>
          <w:lang w:eastAsia="en-GB"/>
        </w:rPr>
        <w:t>1</w:t>
      </w:r>
      <w:r w:rsidRPr="00102D12">
        <w:rPr>
          <w:lang w:eastAsia="en-GB"/>
        </w:rPr>
        <w:tab/>
      </w:r>
      <w:r w:rsidR="00BF2775" w:rsidRPr="00102D12">
        <w:rPr>
          <w:lang w:eastAsia="en-GB"/>
        </w:rPr>
        <w:t>The author</w:t>
      </w:r>
      <w:r w:rsidR="00400A98">
        <w:rPr>
          <w:lang w:eastAsia="en-GB"/>
        </w:rPr>
        <w:t>,</w:t>
      </w:r>
      <w:r w:rsidR="00BF2775" w:rsidRPr="00102D12">
        <w:rPr>
          <w:lang w:eastAsia="en-GB"/>
        </w:rPr>
        <w:t xml:space="preserve"> </w:t>
      </w:r>
      <w:r w:rsidR="00D43879">
        <w:rPr>
          <w:lang w:eastAsia="en-GB"/>
        </w:rPr>
        <w:t>who</w:t>
      </w:r>
      <w:r w:rsidR="00D845C0" w:rsidRPr="00102D12">
        <w:rPr>
          <w:lang w:eastAsia="en-GB"/>
        </w:rPr>
        <w:t xml:space="preserve"> is a historian by profession</w:t>
      </w:r>
      <w:r w:rsidR="00D43879">
        <w:rPr>
          <w:lang w:eastAsia="en-GB"/>
        </w:rPr>
        <w:t xml:space="preserve">, belongs to the Macedonian minority in Bulgaria. </w:t>
      </w:r>
      <w:r w:rsidR="00BF2775" w:rsidRPr="00B8542A">
        <w:rPr>
          <w:lang w:eastAsia="en-GB"/>
        </w:rPr>
        <w:t xml:space="preserve">He </w:t>
      </w:r>
      <w:r w:rsidR="00303217" w:rsidRPr="00B8542A">
        <w:rPr>
          <w:lang w:eastAsia="en-GB"/>
        </w:rPr>
        <w:t>identifies himself as</w:t>
      </w:r>
      <w:r w:rsidR="00FA7BD7" w:rsidRPr="00B8542A">
        <w:rPr>
          <w:lang w:eastAsia="en-GB"/>
        </w:rPr>
        <w:t xml:space="preserve"> </w:t>
      </w:r>
      <w:r w:rsidR="00BF2775" w:rsidRPr="00B8542A">
        <w:rPr>
          <w:lang w:eastAsia="en-GB"/>
        </w:rPr>
        <w:t>co-president of the political party UMO Ilinden</w:t>
      </w:r>
      <w:r w:rsidR="00FA7BD7" w:rsidRPr="00B8542A">
        <w:rPr>
          <w:lang w:eastAsia="en-GB"/>
        </w:rPr>
        <w:t xml:space="preserve"> - PIRIN</w:t>
      </w:r>
      <w:r w:rsidR="00BF2775" w:rsidRPr="00B8542A">
        <w:rPr>
          <w:lang w:eastAsia="en-GB"/>
        </w:rPr>
        <w:t xml:space="preserve">, which the Bulgarian Constitutional Court </w:t>
      </w:r>
      <w:r w:rsidR="00BF2775" w:rsidRPr="00B8542A">
        <w:t>declared</w:t>
      </w:r>
      <w:r w:rsidR="00BF2775" w:rsidRPr="00B8542A">
        <w:rPr>
          <w:lang w:eastAsia="en-GB"/>
        </w:rPr>
        <w:t xml:space="preserve"> unconstitutional</w:t>
      </w:r>
      <w:r w:rsidR="004B5053" w:rsidRPr="00B8542A">
        <w:rPr>
          <w:lang w:eastAsia="en-GB"/>
        </w:rPr>
        <w:t xml:space="preserve">, </w:t>
      </w:r>
      <w:r w:rsidR="00BF2775" w:rsidRPr="00B8542A">
        <w:rPr>
          <w:lang w:eastAsia="en-GB"/>
        </w:rPr>
        <w:t>and which was subsequently deregistered.</w:t>
      </w:r>
      <w:r w:rsidR="00BF2775" w:rsidRPr="00102D12">
        <w:rPr>
          <w:lang w:eastAsia="en-GB"/>
        </w:rPr>
        <w:t xml:space="preserve"> </w:t>
      </w:r>
      <w:r w:rsidR="00BF2775" w:rsidRPr="00B8542A">
        <w:rPr>
          <w:lang w:eastAsia="en-GB"/>
        </w:rPr>
        <w:t xml:space="preserve">The author </w:t>
      </w:r>
      <w:r w:rsidR="00F464A3" w:rsidRPr="00B8542A">
        <w:rPr>
          <w:lang w:eastAsia="en-GB"/>
        </w:rPr>
        <w:t xml:space="preserve">has been </w:t>
      </w:r>
      <w:r w:rsidR="00BF2775" w:rsidRPr="00B8542A">
        <w:rPr>
          <w:lang w:eastAsia="en-GB"/>
        </w:rPr>
        <w:t xml:space="preserve">among the founders of several non-profit organizations of ethnic Macedonians in the State </w:t>
      </w:r>
      <w:r w:rsidR="00F464A3" w:rsidRPr="00B8542A">
        <w:rPr>
          <w:lang w:eastAsia="en-GB"/>
        </w:rPr>
        <w:t>P</w:t>
      </w:r>
      <w:r w:rsidR="00BF2775" w:rsidRPr="00B8542A">
        <w:rPr>
          <w:lang w:eastAsia="en-GB"/>
        </w:rPr>
        <w:t>arty</w:t>
      </w:r>
      <w:r w:rsidR="00FA7BD7" w:rsidRPr="00B8542A">
        <w:rPr>
          <w:lang w:eastAsia="en-GB"/>
        </w:rPr>
        <w:t xml:space="preserve">, none of which </w:t>
      </w:r>
      <w:r w:rsidR="00D43879" w:rsidRPr="00B8542A">
        <w:rPr>
          <w:lang w:eastAsia="en-GB"/>
        </w:rPr>
        <w:t>was registered</w:t>
      </w:r>
      <w:r w:rsidR="00FA7BD7" w:rsidRPr="00B8542A">
        <w:rPr>
          <w:lang w:eastAsia="en-GB"/>
        </w:rPr>
        <w:t>, due to the policy of denying the Macedonian ethnic identity.</w:t>
      </w:r>
      <w:r w:rsidR="00C15251">
        <w:rPr>
          <w:lang w:eastAsia="en-GB"/>
        </w:rPr>
        <w:t xml:space="preserve"> </w:t>
      </w:r>
    </w:p>
    <w:p w14:paraId="3D4DBD67" w14:textId="3677D3B5" w:rsidR="00E32EE9" w:rsidRPr="00102D12" w:rsidRDefault="00E32EE9" w:rsidP="002E652B">
      <w:pPr>
        <w:pStyle w:val="SingleTxtG"/>
        <w:rPr>
          <w:lang w:eastAsia="en-GB"/>
        </w:rPr>
      </w:pPr>
      <w:r w:rsidRPr="00102D12">
        <w:rPr>
          <w:lang w:eastAsia="en-GB"/>
        </w:rPr>
        <w:t>2.2</w:t>
      </w:r>
      <w:r w:rsidRPr="00102D12">
        <w:rPr>
          <w:lang w:eastAsia="en-GB"/>
        </w:rPr>
        <w:tab/>
        <w:t xml:space="preserve"> </w:t>
      </w:r>
      <w:r w:rsidR="00BF2775" w:rsidRPr="00102D12">
        <w:rPr>
          <w:lang w:eastAsia="en-GB"/>
        </w:rPr>
        <w:t xml:space="preserve">On 20 October 2013, </w:t>
      </w:r>
      <w:r w:rsidR="00CC569A" w:rsidRPr="00102D12">
        <w:rPr>
          <w:lang w:eastAsia="en-GB"/>
        </w:rPr>
        <w:t xml:space="preserve">seven individuals including </w:t>
      </w:r>
      <w:r w:rsidR="00BF2775" w:rsidRPr="00102D12">
        <w:rPr>
          <w:lang w:eastAsia="en-GB"/>
        </w:rPr>
        <w:t xml:space="preserve">the author </w:t>
      </w:r>
      <w:r w:rsidR="00CC569A" w:rsidRPr="00102D12">
        <w:rPr>
          <w:lang w:eastAsia="en-GB"/>
        </w:rPr>
        <w:t xml:space="preserve">met to form a non-profit human rights organization, </w:t>
      </w:r>
      <w:r w:rsidR="004B5053" w:rsidRPr="00102D12">
        <w:rPr>
          <w:lang w:eastAsia="en-GB"/>
        </w:rPr>
        <w:t xml:space="preserve">the </w:t>
      </w:r>
      <w:r w:rsidR="00CC569A" w:rsidRPr="00102D12">
        <w:rPr>
          <w:lang w:eastAsia="en-GB"/>
        </w:rPr>
        <w:t>Human Rights Protection Committee “Tolerance” (HRPCT)</w:t>
      </w:r>
      <w:r w:rsidR="00E7242F" w:rsidRPr="00102D12">
        <w:rPr>
          <w:lang w:eastAsia="en-GB"/>
        </w:rPr>
        <w:t xml:space="preserve">, and adopted the organization’s statute. </w:t>
      </w:r>
      <w:r w:rsidR="00CC569A" w:rsidRPr="00102D12">
        <w:rPr>
          <w:lang w:eastAsia="en-GB"/>
        </w:rPr>
        <w:t>All founders w</w:t>
      </w:r>
      <w:r w:rsidR="00BF2775" w:rsidRPr="00102D12">
        <w:rPr>
          <w:lang w:eastAsia="en-GB"/>
        </w:rPr>
        <w:t>ere ethnic Macedonians</w:t>
      </w:r>
      <w:r w:rsidR="00E7242F" w:rsidRPr="00102D12">
        <w:rPr>
          <w:lang w:eastAsia="en-GB"/>
        </w:rPr>
        <w:t xml:space="preserve"> and most of them </w:t>
      </w:r>
      <w:r w:rsidR="008B715F">
        <w:rPr>
          <w:lang w:eastAsia="en-GB"/>
        </w:rPr>
        <w:t>were founding members of</w:t>
      </w:r>
      <w:r w:rsidR="00E7242F" w:rsidRPr="00102D12">
        <w:rPr>
          <w:lang w:eastAsia="en-GB"/>
        </w:rPr>
        <w:t xml:space="preserve"> </w:t>
      </w:r>
      <w:r w:rsidR="00E7242F" w:rsidRPr="002E652B">
        <w:t>other</w:t>
      </w:r>
      <w:r w:rsidR="00E7242F" w:rsidRPr="00102D12">
        <w:rPr>
          <w:lang w:eastAsia="en-GB"/>
        </w:rPr>
        <w:t xml:space="preserve"> non-profit organizations and political parties, which were denied registration by the Bulgarian courts. </w:t>
      </w:r>
      <w:r w:rsidR="00BF2775" w:rsidRPr="00102D12">
        <w:rPr>
          <w:lang w:eastAsia="en-GB"/>
        </w:rPr>
        <w:t>The</w:t>
      </w:r>
      <w:r w:rsidR="00F464A3" w:rsidRPr="00102D12">
        <w:rPr>
          <w:lang w:eastAsia="en-GB"/>
        </w:rPr>
        <w:t xml:space="preserve"> </w:t>
      </w:r>
      <w:r w:rsidR="00BF2775" w:rsidRPr="00102D12">
        <w:rPr>
          <w:lang w:eastAsia="en-GB"/>
        </w:rPr>
        <w:t xml:space="preserve">author was elected </w:t>
      </w:r>
      <w:r w:rsidR="006A4ADB" w:rsidRPr="00102D12">
        <w:rPr>
          <w:lang w:eastAsia="en-GB"/>
        </w:rPr>
        <w:t xml:space="preserve">as </w:t>
      </w:r>
      <w:r w:rsidR="00BF2775" w:rsidRPr="00102D12">
        <w:rPr>
          <w:lang w:eastAsia="en-GB"/>
        </w:rPr>
        <w:t>chairperson</w:t>
      </w:r>
      <w:r w:rsidR="00E7242F" w:rsidRPr="00102D12">
        <w:rPr>
          <w:lang w:eastAsia="en-GB"/>
        </w:rPr>
        <w:t xml:space="preserve"> of the manag</w:t>
      </w:r>
      <w:r w:rsidR="00CD0045" w:rsidRPr="00102D12">
        <w:rPr>
          <w:lang w:eastAsia="en-GB"/>
        </w:rPr>
        <w:t xml:space="preserve">ing </w:t>
      </w:r>
      <w:r w:rsidR="00E7242F" w:rsidRPr="00102D12">
        <w:rPr>
          <w:lang w:eastAsia="en-GB"/>
        </w:rPr>
        <w:t>board</w:t>
      </w:r>
      <w:r w:rsidR="00E7242F" w:rsidRPr="00102D12">
        <w:t xml:space="preserve"> of the </w:t>
      </w:r>
      <w:r w:rsidR="00E7242F" w:rsidRPr="00102D12">
        <w:rPr>
          <w:lang w:eastAsia="en-GB"/>
        </w:rPr>
        <w:t>HRPCT</w:t>
      </w:r>
      <w:r w:rsidR="00BF2775" w:rsidRPr="00102D12">
        <w:rPr>
          <w:lang w:eastAsia="en-GB"/>
        </w:rPr>
        <w:t>.</w:t>
      </w:r>
      <w:r w:rsidR="00F464A3" w:rsidRPr="00102D12">
        <w:rPr>
          <w:lang w:eastAsia="en-GB"/>
        </w:rPr>
        <w:t xml:space="preserve"> </w:t>
      </w:r>
      <w:r w:rsidR="00BF2775" w:rsidRPr="00102D12">
        <w:rPr>
          <w:lang w:eastAsia="en-GB"/>
        </w:rPr>
        <w:t xml:space="preserve">To ensure </w:t>
      </w:r>
      <w:r w:rsidR="00E7242F" w:rsidRPr="00102D12">
        <w:rPr>
          <w:lang w:eastAsia="en-GB"/>
        </w:rPr>
        <w:t>c</w:t>
      </w:r>
      <w:r w:rsidR="00BF2775" w:rsidRPr="00102D12">
        <w:rPr>
          <w:lang w:eastAsia="en-GB"/>
        </w:rPr>
        <w:t xml:space="preserve">ompliance </w:t>
      </w:r>
      <w:r w:rsidR="00E7242F" w:rsidRPr="00102D12">
        <w:rPr>
          <w:lang w:eastAsia="en-GB"/>
        </w:rPr>
        <w:t xml:space="preserve">of the statute </w:t>
      </w:r>
      <w:r w:rsidR="00BF2775" w:rsidRPr="00102D12">
        <w:rPr>
          <w:lang w:eastAsia="en-GB"/>
        </w:rPr>
        <w:t xml:space="preserve">with the Bulgarian law, the founders borrowed </w:t>
      </w:r>
      <w:r w:rsidR="00F464A3" w:rsidRPr="00102D12">
        <w:rPr>
          <w:lang w:eastAsia="en-GB"/>
        </w:rPr>
        <w:t xml:space="preserve">the </w:t>
      </w:r>
      <w:r w:rsidR="00BF2775" w:rsidRPr="00102D12">
        <w:rPr>
          <w:lang w:eastAsia="en-GB"/>
        </w:rPr>
        <w:t>provisions from already registered associations in the State Party</w:t>
      </w:r>
      <w:r w:rsidR="00FC73FC" w:rsidRPr="00102D12">
        <w:rPr>
          <w:lang w:eastAsia="en-GB"/>
        </w:rPr>
        <w:t>, with similar goals</w:t>
      </w:r>
      <w:r w:rsidR="00BF2775" w:rsidRPr="00102D12">
        <w:rPr>
          <w:lang w:eastAsia="en-GB"/>
        </w:rPr>
        <w:t>.</w:t>
      </w:r>
      <w:r w:rsidR="007F581E" w:rsidRPr="00102D12">
        <w:rPr>
          <w:rStyle w:val="FootnoteReference"/>
          <w:color w:val="000000"/>
          <w:lang w:eastAsia="en-GB"/>
        </w:rPr>
        <w:footnoteReference w:id="3"/>
      </w:r>
      <w:r w:rsidR="00BF2775" w:rsidRPr="00102D12">
        <w:rPr>
          <w:lang w:eastAsia="en-GB"/>
        </w:rPr>
        <w:t xml:space="preserve"> The only </w:t>
      </w:r>
      <w:r w:rsidR="00E7375E">
        <w:rPr>
          <w:lang w:eastAsia="en-GB"/>
        </w:rPr>
        <w:t xml:space="preserve">relevant </w:t>
      </w:r>
      <w:r w:rsidR="00BF2775" w:rsidRPr="00102D12">
        <w:rPr>
          <w:lang w:eastAsia="en-GB"/>
        </w:rPr>
        <w:t xml:space="preserve">difference in the HRPCT’s statute was a </w:t>
      </w:r>
      <w:r w:rsidR="00021B6E" w:rsidRPr="00102D12">
        <w:rPr>
          <w:lang w:eastAsia="en-GB"/>
        </w:rPr>
        <w:t xml:space="preserve">reference to </w:t>
      </w:r>
      <w:r w:rsidR="00BF2775" w:rsidRPr="00102D12">
        <w:rPr>
          <w:lang w:eastAsia="en-GB"/>
        </w:rPr>
        <w:t xml:space="preserve">the rights of </w:t>
      </w:r>
      <w:r w:rsidR="00021B6E" w:rsidRPr="00102D12">
        <w:rPr>
          <w:lang w:eastAsia="en-GB"/>
        </w:rPr>
        <w:t xml:space="preserve">the </w:t>
      </w:r>
      <w:r w:rsidR="00BF2775" w:rsidRPr="00102D12">
        <w:rPr>
          <w:lang w:eastAsia="en-GB"/>
        </w:rPr>
        <w:t xml:space="preserve">Macedonians in </w:t>
      </w:r>
      <w:r w:rsidR="00021B6E" w:rsidRPr="00102D12">
        <w:rPr>
          <w:lang w:eastAsia="en-GB"/>
        </w:rPr>
        <w:t>Bulgaria</w:t>
      </w:r>
      <w:r w:rsidR="00BF2775" w:rsidRPr="00102D12">
        <w:rPr>
          <w:lang w:eastAsia="en-GB"/>
        </w:rPr>
        <w:t>.</w:t>
      </w:r>
      <w:r w:rsidR="00021B6E" w:rsidRPr="00102D12">
        <w:rPr>
          <w:lang w:eastAsia="en-GB"/>
        </w:rPr>
        <w:t xml:space="preserve"> </w:t>
      </w:r>
    </w:p>
    <w:p w14:paraId="1F092E16" w14:textId="2E0199A0" w:rsidR="00671F3D" w:rsidRPr="00102D12" w:rsidRDefault="00E32EE9" w:rsidP="002E652B">
      <w:pPr>
        <w:pStyle w:val="SingleTxtG"/>
        <w:rPr>
          <w:color w:val="000000"/>
          <w:lang w:val="en-US" w:eastAsia="en-GB"/>
        </w:rPr>
      </w:pPr>
      <w:r w:rsidRPr="00102D12">
        <w:rPr>
          <w:color w:val="000000"/>
          <w:lang w:eastAsia="en-GB"/>
        </w:rPr>
        <w:t>2.3</w:t>
      </w:r>
      <w:r w:rsidRPr="00102D12">
        <w:rPr>
          <w:color w:val="000000"/>
          <w:lang w:eastAsia="en-GB"/>
        </w:rPr>
        <w:tab/>
      </w:r>
      <w:r w:rsidR="007F6F83" w:rsidRPr="00102D12">
        <w:rPr>
          <w:color w:val="000000"/>
          <w:lang w:val="en-US" w:eastAsia="en-GB"/>
        </w:rPr>
        <w:t>On 13 November</w:t>
      </w:r>
      <w:r w:rsidR="00F464A3" w:rsidRPr="00102D12">
        <w:rPr>
          <w:color w:val="000000"/>
          <w:lang w:val="en-US" w:eastAsia="en-GB"/>
        </w:rPr>
        <w:t xml:space="preserve"> </w:t>
      </w:r>
      <w:r w:rsidR="007F6F83" w:rsidRPr="00102D12">
        <w:rPr>
          <w:color w:val="000000"/>
          <w:lang w:val="en-US" w:eastAsia="en-GB"/>
        </w:rPr>
        <w:t>2013, the author and two other</w:t>
      </w:r>
      <w:r w:rsidR="00076AE0" w:rsidRPr="00102D12">
        <w:rPr>
          <w:color w:val="000000"/>
          <w:lang w:val="en-US" w:eastAsia="en-GB"/>
        </w:rPr>
        <w:t xml:space="preserve"> member</w:t>
      </w:r>
      <w:r w:rsidR="007F6F83" w:rsidRPr="00102D12">
        <w:rPr>
          <w:color w:val="000000"/>
          <w:lang w:val="en-US" w:eastAsia="en-GB"/>
        </w:rPr>
        <w:t xml:space="preserve">s </w:t>
      </w:r>
      <w:r w:rsidR="00076AE0" w:rsidRPr="00102D12">
        <w:rPr>
          <w:color w:val="000000"/>
          <w:lang w:val="en-US" w:eastAsia="en-GB"/>
        </w:rPr>
        <w:t>of the managing board of the H</w:t>
      </w:r>
      <w:r w:rsidR="00CD0045" w:rsidRPr="00102D12">
        <w:rPr>
          <w:color w:val="000000"/>
          <w:lang w:val="en-US" w:eastAsia="en-GB"/>
        </w:rPr>
        <w:t>R</w:t>
      </w:r>
      <w:r w:rsidR="00076AE0" w:rsidRPr="00102D12">
        <w:rPr>
          <w:color w:val="000000"/>
          <w:lang w:val="en-US" w:eastAsia="en-GB"/>
        </w:rPr>
        <w:t xml:space="preserve">PCT filed </w:t>
      </w:r>
      <w:r w:rsidR="007F6F83" w:rsidRPr="00102D12">
        <w:rPr>
          <w:color w:val="000000"/>
          <w:lang w:val="en-US" w:eastAsia="en-GB"/>
        </w:rPr>
        <w:t xml:space="preserve">an application </w:t>
      </w:r>
      <w:r w:rsidR="00076AE0" w:rsidRPr="00102D12">
        <w:rPr>
          <w:color w:val="000000"/>
          <w:lang w:val="en-US" w:eastAsia="en-GB"/>
        </w:rPr>
        <w:t xml:space="preserve">to </w:t>
      </w:r>
      <w:r w:rsidR="007F6F83" w:rsidRPr="002E652B">
        <w:t>the</w:t>
      </w:r>
      <w:r w:rsidR="007F6F83" w:rsidRPr="00102D12">
        <w:rPr>
          <w:color w:val="000000"/>
          <w:lang w:val="en-US" w:eastAsia="en-GB"/>
        </w:rPr>
        <w:t xml:space="preserve"> Blagoevgrad Regional Court </w:t>
      </w:r>
      <w:r w:rsidR="00076AE0" w:rsidRPr="00102D12">
        <w:rPr>
          <w:color w:val="000000"/>
          <w:lang w:val="en-US" w:eastAsia="en-GB"/>
        </w:rPr>
        <w:t xml:space="preserve">for </w:t>
      </w:r>
      <w:r w:rsidR="007F6F83" w:rsidRPr="00102D12">
        <w:rPr>
          <w:color w:val="000000"/>
          <w:lang w:val="en-US" w:eastAsia="en-GB"/>
        </w:rPr>
        <w:t>regist</w:t>
      </w:r>
      <w:r w:rsidR="00076AE0" w:rsidRPr="00102D12">
        <w:rPr>
          <w:color w:val="000000"/>
          <w:lang w:val="en-US" w:eastAsia="en-GB"/>
        </w:rPr>
        <w:t>ration of the</w:t>
      </w:r>
      <w:r w:rsidR="00B54B31" w:rsidRPr="00102D12">
        <w:rPr>
          <w:color w:val="000000"/>
          <w:lang w:val="en-US" w:eastAsia="en-GB"/>
        </w:rPr>
        <w:t xml:space="preserve"> </w:t>
      </w:r>
      <w:r w:rsidR="007F6F83" w:rsidRPr="00102D12">
        <w:rPr>
          <w:color w:val="000000"/>
          <w:lang w:val="en-US" w:eastAsia="en-GB"/>
        </w:rPr>
        <w:t xml:space="preserve">HRPCT as an association under the Non-Profit Legal Entities Act (NPLEA). </w:t>
      </w:r>
      <w:r w:rsidR="00076AE0" w:rsidRPr="00102D12">
        <w:rPr>
          <w:color w:val="000000"/>
          <w:lang w:val="en-US" w:eastAsia="en-GB"/>
        </w:rPr>
        <w:t xml:space="preserve">In the application, the petitioners stated the aims of the association, the means of achieving them, the sources of financing and other information required by </w:t>
      </w:r>
      <w:r w:rsidR="00CD0045" w:rsidRPr="00102D12">
        <w:rPr>
          <w:color w:val="000000"/>
          <w:lang w:val="en-US" w:eastAsia="en-GB"/>
        </w:rPr>
        <w:t xml:space="preserve">the </w:t>
      </w:r>
      <w:r w:rsidR="00076AE0" w:rsidRPr="00102D12">
        <w:rPr>
          <w:color w:val="000000"/>
          <w:lang w:val="en-US" w:eastAsia="en-GB"/>
        </w:rPr>
        <w:t xml:space="preserve">NPLEA. They enclosed the statute (Articles of </w:t>
      </w:r>
      <w:r w:rsidR="00CD0045" w:rsidRPr="00102D12">
        <w:rPr>
          <w:color w:val="000000"/>
          <w:lang w:val="en-US" w:eastAsia="en-GB"/>
        </w:rPr>
        <w:t>A</w:t>
      </w:r>
      <w:r w:rsidR="00076AE0" w:rsidRPr="00102D12">
        <w:rPr>
          <w:color w:val="000000"/>
          <w:lang w:val="en-US" w:eastAsia="en-GB"/>
        </w:rPr>
        <w:t xml:space="preserve">ssociation), the minutes from the constituent assembly and paid the fee required for consideration of the application by the court. The author’s application was not answered by the Blagoevgrad Regional Court for </w:t>
      </w:r>
      <w:r w:rsidR="007F6F83" w:rsidRPr="00102D12">
        <w:rPr>
          <w:color w:val="000000"/>
          <w:lang w:val="en-US" w:eastAsia="en-GB"/>
        </w:rPr>
        <w:t>almost nine months</w:t>
      </w:r>
      <w:r w:rsidR="003631BF" w:rsidRPr="00102D12">
        <w:rPr>
          <w:color w:val="000000"/>
          <w:lang w:val="en-US" w:eastAsia="en-GB"/>
        </w:rPr>
        <w:t xml:space="preserve">. On </w:t>
      </w:r>
      <w:r w:rsidR="007F6F83" w:rsidRPr="00102D12">
        <w:rPr>
          <w:color w:val="000000"/>
          <w:lang w:val="en-US" w:eastAsia="en-GB"/>
        </w:rPr>
        <w:t>12 August 2014</w:t>
      </w:r>
      <w:r w:rsidR="003631BF" w:rsidRPr="00102D12">
        <w:rPr>
          <w:color w:val="000000"/>
          <w:lang w:val="en-US" w:eastAsia="en-GB"/>
        </w:rPr>
        <w:t xml:space="preserve">, the author received a notification dated 8 August 2014 from judge L.M. stating </w:t>
      </w:r>
      <w:r w:rsidR="007F6F83" w:rsidRPr="00102D12">
        <w:rPr>
          <w:color w:val="000000"/>
          <w:lang w:val="en-US" w:eastAsia="en-GB"/>
        </w:rPr>
        <w:t xml:space="preserve">that the application was “left without movement” because the </w:t>
      </w:r>
      <w:r w:rsidR="003631BF" w:rsidRPr="00102D12">
        <w:rPr>
          <w:color w:val="000000"/>
          <w:lang w:val="en-US" w:eastAsia="en-GB"/>
        </w:rPr>
        <w:t>“</w:t>
      </w:r>
      <w:r w:rsidR="007F6F83" w:rsidRPr="00102D12">
        <w:rPr>
          <w:color w:val="000000"/>
          <w:lang w:val="en-US" w:eastAsia="en-GB"/>
        </w:rPr>
        <w:t xml:space="preserve">organization’s objectives </w:t>
      </w:r>
      <w:r w:rsidR="003631BF" w:rsidRPr="00102D12">
        <w:rPr>
          <w:color w:val="000000"/>
          <w:lang w:val="en-US" w:eastAsia="en-GB"/>
        </w:rPr>
        <w:t xml:space="preserve">and the means of their </w:t>
      </w:r>
      <w:r w:rsidR="00CD0045" w:rsidRPr="00102D12">
        <w:rPr>
          <w:color w:val="000000"/>
          <w:lang w:val="en-US" w:eastAsia="en-GB"/>
        </w:rPr>
        <w:t xml:space="preserve">achievement </w:t>
      </w:r>
      <w:r w:rsidR="003631BF" w:rsidRPr="00102D12">
        <w:rPr>
          <w:color w:val="000000"/>
          <w:lang w:val="en-US" w:eastAsia="en-GB"/>
        </w:rPr>
        <w:t xml:space="preserve">were </w:t>
      </w:r>
      <w:r w:rsidR="007F6F83" w:rsidRPr="00102D12">
        <w:rPr>
          <w:color w:val="000000"/>
          <w:lang w:val="en-US" w:eastAsia="en-GB"/>
        </w:rPr>
        <w:t xml:space="preserve">not </w:t>
      </w:r>
      <w:r w:rsidR="003631BF" w:rsidRPr="00102D12">
        <w:rPr>
          <w:color w:val="000000"/>
          <w:lang w:val="en-US" w:eastAsia="en-GB"/>
        </w:rPr>
        <w:t xml:space="preserve">described in </w:t>
      </w:r>
      <w:r w:rsidR="007F6F83" w:rsidRPr="00102D12">
        <w:rPr>
          <w:color w:val="000000"/>
          <w:lang w:val="en-US" w:eastAsia="en-GB"/>
        </w:rPr>
        <w:t>sufficient</w:t>
      </w:r>
      <w:r w:rsidR="003631BF" w:rsidRPr="00102D12">
        <w:rPr>
          <w:color w:val="000000"/>
          <w:lang w:val="en-US" w:eastAsia="en-GB"/>
        </w:rPr>
        <w:t xml:space="preserve"> </w:t>
      </w:r>
      <w:r w:rsidR="007F6F83" w:rsidRPr="00102D12">
        <w:rPr>
          <w:color w:val="000000"/>
          <w:lang w:val="en-US" w:eastAsia="en-GB"/>
        </w:rPr>
        <w:t>detail</w:t>
      </w:r>
      <w:r w:rsidR="003631BF" w:rsidRPr="00102D12">
        <w:rPr>
          <w:color w:val="000000"/>
          <w:lang w:val="en-US" w:eastAsia="en-GB"/>
        </w:rPr>
        <w:t>” and that “not all details due to be included in the decision were stated”</w:t>
      </w:r>
      <w:r w:rsidR="007F6F83" w:rsidRPr="00102D12">
        <w:rPr>
          <w:color w:val="000000"/>
          <w:lang w:val="en-US" w:eastAsia="en-GB"/>
        </w:rPr>
        <w:t xml:space="preserve">. </w:t>
      </w:r>
      <w:r w:rsidR="003631BF" w:rsidRPr="00102D12">
        <w:rPr>
          <w:color w:val="000000"/>
          <w:lang w:val="en-US" w:eastAsia="en-GB"/>
        </w:rPr>
        <w:t>On 15 August 2014, the author and the other founders of the association met in an attempt to respond to the re</w:t>
      </w:r>
      <w:r w:rsidR="00CD0045" w:rsidRPr="00102D12">
        <w:rPr>
          <w:color w:val="000000"/>
          <w:lang w:val="en-US" w:eastAsia="en-GB"/>
        </w:rPr>
        <w:t xml:space="preserve">quirements </w:t>
      </w:r>
      <w:r w:rsidR="003631BF" w:rsidRPr="00102D12">
        <w:rPr>
          <w:color w:val="000000"/>
          <w:lang w:val="en-US" w:eastAsia="en-GB"/>
        </w:rPr>
        <w:t xml:space="preserve">of the Blagoevgrad Regional Court. </w:t>
      </w:r>
      <w:r w:rsidR="00317669" w:rsidRPr="00102D12">
        <w:rPr>
          <w:color w:val="000000"/>
          <w:lang w:val="en-US" w:eastAsia="en-GB"/>
        </w:rPr>
        <w:t xml:space="preserve">They adopted detailed supplements to Articles 3 and 4 of the statute and decided that the association will supplement its request for registration. </w:t>
      </w:r>
      <w:r w:rsidR="003631BF" w:rsidRPr="00102D12">
        <w:rPr>
          <w:color w:val="000000"/>
          <w:lang w:val="en-US" w:eastAsia="en-GB"/>
        </w:rPr>
        <w:t xml:space="preserve">On 20 August 2014, the three members of the managing board </w:t>
      </w:r>
      <w:r w:rsidR="007F6F83" w:rsidRPr="00102D12">
        <w:rPr>
          <w:color w:val="000000"/>
          <w:lang w:val="en-US" w:eastAsia="en-GB"/>
        </w:rPr>
        <w:t>filed a new</w:t>
      </w:r>
      <w:r w:rsidR="00317669" w:rsidRPr="00102D12">
        <w:rPr>
          <w:color w:val="000000"/>
          <w:lang w:val="en-US" w:eastAsia="en-GB"/>
        </w:rPr>
        <w:t xml:space="preserve">, </w:t>
      </w:r>
      <w:r w:rsidR="007F6F83" w:rsidRPr="00102D12">
        <w:rPr>
          <w:color w:val="000000"/>
          <w:lang w:val="en-US" w:eastAsia="en-GB"/>
        </w:rPr>
        <w:t xml:space="preserve">supplemented application, </w:t>
      </w:r>
      <w:r w:rsidR="00317669" w:rsidRPr="00102D12">
        <w:rPr>
          <w:color w:val="000000"/>
          <w:lang w:val="en-US" w:eastAsia="en-GB"/>
        </w:rPr>
        <w:t xml:space="preserve">and paid again a fee for its consideration. On 22 October 2014, the same judge L.M. of </w:t>
      </w:r>
      <w:r w:rsidR="007F6F83" w:rsidRPr="00102D12">
        <w:rPr>
          <w:color w:val="000000"/>
          <w:lang w:val="en-US" w:eastAsia="en-GB"/>
        </w:rPr>
        <w:t xml:space="preserve">the Blagoevgrad Regional Court </w:t>
      </w:r>
      <w:r w:rsidR="00317669" w:rsidRPr="00102D12">
        <w:rPr>
          <w:color w:val="000000"/>
          <w:lang w:val="en-US" w:eastAsia="en-GB"/>
        </w:rPr>
        <w:t>issued a short decision r</w:t>
      </w:r>
      <w:r w:rsidR="007F6F83" w:rsidRPr="00102D12">
        <w:rPr>
          <w:color w:val="000000"/>
          <w:lang w:val="en-US" w:eastAsia="en-GB"/>
        </w:rPr>
        <w:t>eject</w:t>
      </w:r>
      <w:r w:rsidR="00317669" w:rsidRPr="00102D12">
        <w:rPr>
          <w:color w:val="000000"/>
          <w:lang w:val="en-US" w:eastAsia="en-GB"/>
        </w:rPr>
        <w:t>ing the request for registration</w:t>
      </w:r>
      <w:r w:rsidR="002A48A6">
        <w:rPr>
          <w:color w:val="000000"/>
          <w:lang w:val="en-US" w:eastAsia="en-GB"/>
        </w:rPr>
        <w:t xml:space="preserve"> due to the contradiction</w:t>
      </w:r>
      <w:r w:rsidR="0024465C">
        <w:rPr>
          <w:color w:val="000000"/>
          <w:lang w:val="en-US" w:eastAsia="en-GB"/>
        </w:rPr>
        <w:t>s</w:t>
      </w:r>
      <w:r w:rsidR="002A48A6">
        <w:rPr>
          <w:color w:val="000000"/>
          <w:lang w:val="en-US" w:eastAsia="en-GB"/>
        </w:rPr>
        <w:t xml:space="preserve"> of the application with </w:t>
      </w:r>
      <w:r w:rsidR="00317669" w:rsidRPr="00102D12">
        <w:rPr>
          <w:color w:val="000000"/>
          <w:lang w:val="en-US" w:eastAsia="en-GB"/>
        </w:rPr>
        <w:t xml:space="preserve">several provisions of the NPLEA, namely articles 20, 34 and 38 (1). The decision only referred to the </w:t>
      </w:r>
      <w:r w:rsidR="00CD0045" w:rsidRPr="00102D12">
        <w:rPr>
          <w:color w:val="000000"/>
          <w:lang w:val="en-US" w:eastAsia="en-GB"/>
        </w:rPr>
        <w:t xml:space="preserve">cited </w:t>
      </w:r>
      <w:r w:rsidR="00317669" w:rsidRPr="00102D12">
        <w:rPr>
          <w:color w:val="000000"/>
          <w:lang w:val="en-US" w:eastAsia="en-GB"/>
        </w:rPr>
        <w:t xml:space="preserve">provisions, </w:t>
      </w:r>
      <w:r w:rsidR="007F6F83" w:rsidRPr="00102D12">
        <w:rPr>
          <w:color w:val="000000"/>
          <w:lang w:val="en-US" w:eastAsia="en-GB"/>
        </w:rPr>
        <w:t>without further explanations</w:t>
      </w:r>
      <w:r w:rsidR="00317669" w:rsidRPr="00102D12">
        <w:rPr>
          <w:color w:val="000000"/>
          <w:lang w:val="en-US" w:eastAsia="en-GB"/>
        </w:rPr>
        <w:t xml:space="preserve"> of the reasons for rejection.</w:t>
      </w:r>
      <w:r w:rsidR="00C15251">
        <w:rPr>
          <w:color w:val="000000"/>
          <w:lang w:val="en-US" w:eastAsia="en-GB"/>
        </w:rPr>
        <w:t xml:space="preserve"> </w:t>
      </w:r>
    </w:p>
    <w:p w14:paraId="7FFD1003" w14:textId="0E6F64EC" w:rsidR="00C6682C" w:rsidRPr="00102D12" w:rsidRDefault="00E32EE9" w:rsidP="002E652B">
      <w:pPr>
        <w:pStyle w:val="SingleTxtG"/>
        <w:rPr>
          <w:color w:val="000000"/>
          <w:lang w:val="en-US" w:eastAsia="en-GB"/>
        </w:rPr>
      </w:pPr>
      <w:r w:rsidRPr="00102D12">
        <w:rPr>
          <w:color w:val="000000"/>
          <w:lang w:val="en-US" w:eastAsia="en-GB"/>
        </w:rPr>
        <w:t>2.4</w:t>
      </w:r>
      <w:r w:rsidRPr="00102D12">
        <w:rPr>
          <w:color w:val="000000"/>
          <w:lang w:val="en-US" w:eastAsia="en-GB"/>
        </w:rPr>
        <w:tab/>
      </w:r>
      <w:r w:rsidR="003B0E9D" w:rsidRPr="00102D12">
        <w:rPr>
          <w:color w:val="000000"/>
          <w:lang w:val="en-US" w:eastAsia="en-GB"/>
        </w:rPr>
        <w:t xml:space="preserve">On 11 November 2014, the </w:t>
      </w:r>
      <w:r w:rsidR="007F6F83" w:rsidRPr="00102D12">
        <w:rPr>
          <w:color w:val="000000"/>
          <w:lang w:val="en-US" w:eastAsia="en-GB"/>
        </w:rPr>
        <w:t xml:space="preserve">author and </w:t>
      </w:r>
      <w:r w:rsidR="003B0E9D" w:rsidRPr="00102D12">
        <w:rPr>
          <w:color w:val="000000"/>
          <w:lang w:val="en-US" w:eastAsia="en-GB"/>
        </w:rPr>
        <w:t xml:space="preserve">the other members of the managing board </w:t>
      </w:r>
      <w:r w:rsidR="007F6F83" w:rsidRPr="00102D12">
        <w:rPr>
          <w:color w:val="000000"/>
          <w:lang w:val="en-US" w:eastAsia="en-GB"/>
        </w:rPr>
        <w:t xml:space="preserve">appealed </w:t>
      </w:r>
      <w:r w:rsidR="003B0E9D" w:rsidRPr="00102D12">
        <w:rPr>
          <w:color w:val="000000"/>
          <w:lang w:val="en-US" w:eastAsia="en-GB"/>
        </w:rPr>
        <w:t xml:space="preserve">the </w:t>
      </w:r>
      <w:r w:rsidR="00CD0045" w:rsidRPr="00102D12">
        <w:rPr>
          <w:color w:val="000000"/>
          <w:lang w:val="en-US" w:eastAsia="en-GB"/>
        </w:rPr>
        <w:t xml:space="preserve">regional court </w:t>
      </w:r>
      <w:r w:rsidR="003B0E9D" w:rsidRPr="00102D12">
        <w:rPr>
          <w:color w:val="000000"/>
          <w:lang w:val="en-US" w:eastAsia="en-GB"/>
        </w:rPr>
        <w:t xml:space="preserve">decision to </w:t>
      </w:r>
      <w:r w:rsidR="007F6F83" w:rsidRPr="00102D12">
        <w:rPr>
          <w:color w:val="000000"/>
          <w:lang w:val="en-US" w:eastAsia="en-GB"/>
        </w:rPr>
        <w:t>the Sofia Court of Appeal</w:t>
      </w:r>
      <w:r w:rsidR="0061262A" w:rsidRPr="00102D12">
        <w:rPr>
          <w:color w:val="000000"/>
          <w:lang w:val="en-US" w:eastAsia="en-GB"/>
        </w:rPr>
        <w:t xml:space="preserve">. They </w:t>
      </w:r>
      <w:r w:rsidR="007F6F83" w:rsidRPr="00102D12">
        <w:rPr>
          <w:color w:val="000000"/>
          <w:lang w:val="en-US" w:eastAsia="en-GB"/>
        </w:rPr>
        <w:t>argu</w:t>
      </w:r>
      <w:r w:rsidR="0061262A" w:rsidRPr="00102D12">
        <w:rPr>
          <w:color w:val="000000"/>
          <w:lang w:val="en-US" w:eastAsia="en-GB"/>
        </w:rPr>
        <w:t xml:space="preserve">ed that the blanket referral </w:t>
      </w:r>
      <w:r w:rsidR="00CD0045" w:rsidRPr="00102D12">
        <w:rPr>
          <w:color w:val="000000"/>
          <w:lang w:val="en-US" w:eastAsia="en-GB"/>
        </w:rPr>
        <w:t xml:space="preserve">by </w:t>
      </w:r>
      <w:r w:rsidR="0061262A" w:rsidRPr="00102D12">
        <w:rPr>
          <w:color w:val="000000"/>
          <w:lang w:val="en-US" w:eastAsia="en-GB"/>
        </w:rPr>
        <w:t xml:space="preserve">judge </w:t>
      </w:r>
      <w:r w:rsidR="00CD0045" w:rsidRPr="00102D12">
        <w:rPr>
          <w:color w:val="000000"/>
          <w:lang w:val="en-US" w:eastAsia="en-GB"/>
        </w:rPr>
        <w:t xml:space="preserve">L.M. </w:t>
      </w:r>
      <w:r w:rsidR="0061262A" w:rsidRPr="00102D12">
        <w:rPr>
          <w:color w:val="000000"/>
          <w:lang w:val="en-US" w:eastAsia="en-GB"/>
        </w:rPr>
        <w:t>to the respective provisions of the NPLEA made it unclear what exactly was wrong with the statute and supporting documents</w:t>
      </w:r>
      <w:r w:rsidR="00CD0045" w:rsidRPr="00102D12">
        <w:rPr>
          <w:color w:val="000000"/>
          <w:lang w:val="en-US" w:eastAsia="en-GB"/>
        </w:rPr>
        <w:t>,</w:t>
      </w:r>
      <w:r w:rsidR="0061262A" w:rsidRPr="00102D12">
        <w:rPr>
          <w:color w:val="000000"/>
          <w:lang w:val="en-US" w:eastAsia="en-GB"/>
        </w:rPr>
        <w:t xml:space="preserve"> and which of the requirements of the cited articles were not met. They </w:t>
      </w:r>
      <w:r w:rsidR="00CD0045" w:rsidRPr="00102D12">
        <w:rPr>
          <w:color w:val="000000"/>
          <w:lang w:val="en-US" w:eastAsia="en-GB"/>
        </w:rPr>
        <w:t xml:space="preserve">submitted </w:t>
      </w:r>
      <w:r w:rsidR="007F6F83" w:rsidRPr="00102D12">
        <w:rPr>
          <w:color w:val="000000"/>
          <w:lang w:val="en-US" w:eastAsia="en-GB"/>
        </w:rPr>
        <w:t xml:space="preserve">that they had followed </w:t>
      </w:r>
      <w:r w:rsidR="0061262A" w:rsidRPr="00102D12">
        <w:rPr>
          <w:color w:val="000000"/>
          <w:lang w:val="en-US" w:eastAsia="en-GB"/>
        </w:rPr>
        <w:t xml:space="preserve">e.g. </w:t>
      </w:r>
      <w:r w:rsidR="007F6F83" w:rsidRPr="00102D12">
        <w:rPr>
          <w:color w:val="000000"/>
          <w:lang w:val="en-US" w:eastAsia="en-GB"/>
        </w:rPr>
        <w:t xml:space="preserve">the statute of the Bulgarian Helsinki Committee, a registered organization, and had only added a mention </w:t>
      </w:r>
      <w:r w:rsidR="002A48A6">
        <w:rPr>
          <w:color w:val="000000"/>
          <w:lang w:val="en-US" w:eastAsia="en-GB"/>
        </w:rPr>
        <w:t>to</w:t>
      </w:r>
      <w:r w:rsidR="007F6F83" w:rsidRPr="00102D12">
        <w:rPr>
          <w:color w:val="000000"/>
          <w:lang w:val="en-US" w:eastAsia="en-GB"/>
        </w:rPr>
        <w:t xml:space="preserve"> persons self-identifying as Macedonians. </w:t>
      </w:r>
      <w:r w:rsidR="0061262A" w:rsidRPr="00102D12">
        <w:rPr>
          <w:color w:val="000000"/>
          <w:lang w:val="en-US" w:eastAsia="en-GB"/>
        </w:rPr>
        <w:t xml:space="preserve">The author assumed that </w:t>
      </w:r>
      <w:r w:rsidR="002A48A6">
        <w:rPr>
          <w:color w:val="000000"/>
          <w:lang w:val="en-US" w:eastAsia="en-GB"/>
        </w:rPr>
        <w:t>the reference to persons self-identifying as Macedonians</w:t>
      </w:r>
      <w:r w:rsidR="00E9319E">
        <w:rPr>
          <w:color w:val="000000"/>
          <w:lang w:val="en-US" w:eastAsia="en-GB"/>
        </w:rPr>
        <w:t xml:space="preserve"> in the statute is</w:t>
      </w:r>
      <w:r w:rsidR="002A48A6">
        <w:rPr>
          <w:color w:val="000000"/>
          <w:lang w:val="en-US" w:eastAsia="en-GB"/>
        </w:rPr>
        <w:t xml:space="preserve"> </w:t>
      </w:r>
      <w:r w:rsidR="0061262A" w:rsidRPr="00102D12">
        <w:rPr>
          <w:color w:val="000000"/>
          <w:lang w:val="en-US" w:eastAsia="en-GB"/>
        </w:rPr>
        <w:t xml:space="preserve">the real reasons and motives for </w:t>
      </w:r>
      <w:r w:rsidR="00E9319E">
        <w:rPr>
          <w:color w:val="000000"/>
          <w:lang w:val="en-US" w:eastAsia="en-GB"/>
        </w:rPr>
        <w:t xml:space="preserve">the </w:t>
      </w:r>
      <w:r w:rsidR="0061262A" w:rsidRPr="00102D12">
        <w:rPr>
          <w:color w:val="000000"/>
          <w:lang w:val="en-US" w:eastAsia="en-GB"/>
        </w:rPr>
        <w:t xml:space="preserve">abnormal delay </w:t>
      </w:r>
      <w:r w:rsidR="00E9319E">
        <w:rPr>
          <w:color w:val="000000"/>
          <w:lang w:val="en-US" w:eastAsia="en-GB"/>
        </w:rPr>
        <w:t xml:space="preserve">of the court </w:t>
      </w:r>
      <w:r w:rsidR="001C39EE">
        <w:rPr>
          <w:color w:val="000000"/>
          <w:lang w:val="en-US" w:eastAsia="en-GB"/>
        </w:rPr>
        <w:t xml:space="preserve">proceedings </w:t>
      </w:r>
      <w:r w:rsidR="0061262A" w:rsidRPr="00102D12">
        <w:rPr>
          <w:color w:val="000000"/>
          <w:lang w:val="en-US" w:eastAsia="en-GB"/>
        </w:rPr>
        <w:t xml:space="preserve">and illegal decision </w:t>
      </w:r>
      <w:r w:rsidR="00E9319E">
        <w:rPr>
          <w:color w:val="000000"/>
          <w:lang w:val="en-US" w:eastAsia="en-GB"/>
        </w:rPr>
        <w:t xml:space="preserve">of the judge. </w:t>
      </w:r>
      <w:r w:rsidR="0061262A" w:rsidRPr="00102D12">
        <w:rPr>
          <w:color w:val="000000"/>
          <w:lang w:val="en-US" w:eastAsia="en-GB"/>
        </w:rPr>
        <w:t xml:space="preserve">He also pointed at the numerous judgments of the European Court of Human Rights </w:t>
      </w:r>
      <w:r w:rsidR="00332B1C" w:rsidRPr="00102D12">
        <w:rPr>
          <w:color w:val="000000"/>
          <w:lang w:val="en-US" w:eastAsia="en-GB"/>
        </w:rPr>
        <w:t xml:space="preserve">which </w:t>
      </w:r>
      <w:r w:rsidR="0061262A" w:rsidRPr="00102D12">
        <w:rPr>
          <w:color w:val="000000"/>
          <w:lang w:val="en-US" w:eastAsia="en-GB"/>
        </w:rPr>
        <w:t>f</w:t>
      </w:r>
      <w:r w:rsidR="00332B1C" w:rsidRPr="00102D12">
        <w:rPr>
          <w:color w:val="000000"/>
          <w:lang w:val="en-US" w:eastAsia="en-GB"/>
        </w:rPr>
        <w:t xml:space="preserve">ound </w:t>
      </w:r>
      <w:r w:rsidR="0061262A" w:rsidRPr="00102D12">
        <w:rPr>
          <w:color w:val="000000"/>
          <w:lang w:val="en-US" w:eastAsia="en-GB"/>
        </w:rPr>
        <w:t xml:space="preserve">violations of </w:t>
      </w:r>
      <w:r w:rsidR="00332B1C" w:rsidRPr="00102D12">
        <w:rPr>
          <w:color w:val="000000"/>
          <w:lang w:val="en-US" w:eastAsia="en-GB"/>
        </w:rPr>
        <w:t xml:space="preserve">the </w:t>
      </w:r>
      <w:r w:rsidR="0061262A" w:rsidRPr="00102D12">
        <w:rPr>
          <w:color w:val="000000"/>
          <w:lang w:val="en-US" w:eastAsia="en-GB"/>
        </w:rPr>
        <w:t>obligations</w:t>
      </w:r>
      <w:r w:rsidR="00332B1C" w:rsidRPr="00102D12">
        <w:rPr>
          <w:color w:val="000000"/>
          <w:lang w:val="en-US" w:eastAsia="en-GB"/>
        </w:rPr>
        <w:t xml:space="preserve"> by Bulgaria under the European Convention on Human Rights </w:t>
      </w:r>
      <w:r w:rsidR="0061262A" w:rsidRPr="00102D12">
        <w:rPr>
          <w:color w:val="000000"/>
          <w:lang w:val="en-US" w:eastAsia="en-GB"/>
        </w:rPr>
        <w:t xml:space="preserve">in cases related to the rights of the Macedonians. </w:t>
      </w:r>
    </w:p>
    <w:p w14:paraId="292E0891" w14:textId="54E568B9" w:rsidR="000B0CB6" w:rsidRDefault="00C6682C" w:rsidP="002E652B">
      <w:pPr>
        <w:pStyle w:val="SingleTxtG"/>
        <w:rPr>
          <w:color w:val="000000"/>
          <w:lang w:val="en-US" w:eastAsia="en-GB"/>
        </w:rPr>
      </w:pPr>
      <w:r w:rsidRPr="00102D12">
        <w:rPr>
          <w:color w:val="000000"/>
          <w:lang w:val="en-US" w:eastAsia="en-GB"/>
        </w:rPr>
        <w:t>2.5</w:t>
      </w:r>
      <w:r w:rsidRPr="00102D12">
        <w:rPr>
          <w:color w:val="000000"/>
          <w:lang w:val="en-US" w:eastAsia="en-GB"/>
        </w:rPr>
        <w:tab/>
      </w:r>
      <w:r w:rsidR="007F6F83" w:rsidRPr="00102D12">
        <w:rPr>
          <w:color w:val="000000"/>
          <w:lang w:val="en-US" w:eastAsia="en-GB"/>
        </w:rPr>
        <w:t xml:space="preserve">On 11 August 2015, the Sofia Court of Appeal </w:t>
      </w:r>
      <w:r w:rsidR="00411C2C" w:rsidRPr="00102D12">
        <w:rPr>
          <w:color w:val="000000"/>
          <w:lang w:val="en-US" w:eastAsia="en-GB"/>
        </w:rPr>
        <w:t xml:space="preserve">in its </w:t>
      </w:r>
      <w:r w:rsidR="00235E3D" w:rsidRPr="00102D12">
        <w:rPr>
          <w:color w:val="000000"/>
          <w:lang w:val="en-US" w:eastAsia="en-GB"/>
        </w:rPr>
        <w:t>d</w:t>
      </w:r>
      <w:r w:rsidR="00411C2C" w:rsidRPr="00102D12">
        <w:rPr>
          <w:color w:val="000000"/>
          <w:lang w:val="en-US" w:eastAsia="en-GB"/>
        </w:rPr>
        <w:t xml:space="preserve">ecision </w:t>
      </w:r>
      <w:r w:rsidR="00235E3D" w:rsidRPr="00102D12">
        <w:rPr>
          <w:color w:val="000000"/>
          <w:lang w:val="en-US" w:eastAsia="en-GB"/>
        </w:rPr>
        <w:t>n</w:t>
      </w:r>
      <w:r w:rsidR="00411C2C" w:rsidRPr="00102D12">
        <w:rPr>
          <w:color w:val="000000"/>
          <w:lang w:val="en-US" w:eastAsia="en-GB"/>
        </w:rPr>
        <w:t xml:space="preserve">o. 1803 </w:t>
      </w:r>
      <w:r w:rsidR="007F6F83" w:rsidRPr="00102D12">
        <w:rPr>
          <w:color w:val="000000"/>
          <w:lang w:val="en-US" w:eastAsia="en-GB"/>
        </w:rPr>
        <w:t xml:space="preserve">upheld the decision of the Blagoevgrad Regional Court, </w:t>
      </w:r>
      <w:r w:rsidR="00411C2C" w:rsidRPr="00102D12">
        <w:rPr>
          <w:color w:val="000000"/>
          <w:lang w:val="en-US" w:eastAsia="en-GB"/>
        </w:rPr>
        <w:t xml:space="preserve">rejecting the appeal. It </w:t>
      </w:r>
      <w:r w:rsidR="0024328C" w:rsidRPr="00102D12">
        <w:rPr>
          <w:color w:val="000000"/>
          <w:lang w:val="en-US" w:eastAsia="en-GB"/>
        </w:rPr>
        <w:t xml:space="preserve">reasoned that it had to consider only those facts and circumstances that took place before the submission of the </w:t>
      </w:r>
      <w:r w:rsidR="0024328C" w:rsidRPr="00102D12">
        <w:rPr>
          <w:color w:val="000000"/>
          <w:lang w:val="en-US" w:eastAsia="en-GB"/>
        </w:rPr>
        <w:lastRenderedPageBreak/>
        <w:t xml:space="preserve">original application. The </w:t>
      </w:r>
      <w:r w:rsidR="00235E3D" w:rsidRPr="00102D12">
        <w:rPr>
          <w:color w:val="000000"/>
          <w:lang w:val="en-US" w:eastAsia="en-GB"/>
        </w:rPr>
        <w:t xml:space="preserve">Sofia Court of Appeal </w:t>
      </w:r>
      <w:r w:rsidR="00411C2C" w:rsidRPr="00102D12">
        <w:rPr>
          <w:color w:val="000000"/>
          <w:lang w:val="en-US" w:eastAsia="en-GB"/>
        </w:rPr>
        <w:t xml:space="preserve">found </w:t>
      </w:r>
      <w:r w:rsidR="007F6F83" w:rsidRPr="00102D12">
        <w:rPr>
          <w:color w:val="000000"/>
          <w:lang w:val="en-US" w:eastAsia="en-GB"/>
        </w:rPr>
        <w:t xml:space="preserve">that the </w:t>
      </w:r>
      <w:r w:rsidR="0024328C" w:rsidRPr="00102D12">
        <w:rPr>
          <w:color w:val="000000"/>
          <w:lang w:val="en-US" w:eastAsia="en-GB"/>
        </w:rPr>
        <w:t xml:space="preserve">information </w:t>
      </w:r>
      <w:r w:rsidR="00235E3D" w:rsidRPr="00102D12">
        <w:rPr>
          <w:color w:val="000000"/>
          <w:lang w:val="en-US" w:eastAsia="en-GB"/>
        </w:rPr>
        <w:t xml:space="preserve">on </w:t>
      </w:r>
      <w:r w:rsidR="0024328C" w:rsidRPr="00102D12">
        <w:rPr>
          <w:color w:val="000000"/>
          <w:lang w:val="en-US" w:eastAsia="en-GB"/>
        </w:rPr>
        <w:t xml:space="preserve">the </w:t>
      </w:r>
      <w:r w:rsidR="007F6F83" w:rsidRPr="00102D12">
        <w:rPr>
          <w:color w:val="000000"/>
          <w:lang w:val="en-US" w:eastAsia="en-GB"/>
        </w:rPr>
        <w:t>“unified citizen’s numbers” of three of the founders w</w:t>
      </w:r>
      <w:r w:rsidR="0024328C" w:rsidRPr="00102D12">
        <w:rPr>
          <w:color w:val="000000"/>
          <w:lang w:val="en-US" w:eastAsia="en-GB"/>
        </w:rPr>
        <w:t xml:space="preserve">as </w:t>
      </w:r>
      <w:r w:rsidR="007F6F83" w:rsidRPr="00102D12">
        <w:rPr>
          <w:color w:val="000000"/>
          <w:lang w:val="en-US" w:eastAsia="en-GB"/>
        </w:rPr>
        <w:t xml:space="preserve">missing </w:t>
      </w:r>
      <w:r w:rsidR="0024328C" w:rsidRPr="00102D12">
        <w:rPr>
          <w:color w:val="000000"/>
          <w:lang w:val="en-US" w:eastAsia="en-GB"/>
        </w:rPr>
        <w:t xml:space="preserve">in the initial documents, which did not allow the court to verify whether the founders had full capacity to act. The court also found a contradiction between article 3 of the NPLEA and article 23 of the statute of </w:t>
      </w:r>
      <w:r w:rsidR="00B54B31" w:rsidRPr="00102D12">
        <w:rPr>
          <w:color w:val="000000"/>
          <w:lang w:val="en-US" w:eastAsia="en-GB"/>
        </w:rPr>
        <w:t xml:space="preserve">the </w:t>
      </w:r>
      <w:r w:rsidR="007F6F83" w:rsidRPr="00102D12">
        <w:rPr>
          <w:color w:val="000000"/>
          <w:lang w:val="en-US" w:eastAsia="en-GB"/>
        </w:rPr>
        <w:t>HRPCT</w:t>
      </w:r>
      <w:r w:rsidR="0024328C" w:rsidRPr="00102D12">
        <w:rPr>
          <w:color w:val="000000"/>
          <w:lang w:val="en-US" w:eastAsia="en-GB"/>
        </w:rPr>
        <w:t xml:space="preserve"> regulating the property of the association, which </w:t>
      </w:r>
      <w:r w:rsidR="007F6F83" w:rsidRPr="00102D12">
        <w:rPr>
          <w:color w:val="000000"/>
          <w:lang w:val="en-US" w:eastAsia="en-GB"/>
        </w:rPr>
        <w:t xml:space="preserve">appeared </w:t>
      </w:r>
      <w:r w:rsidR="001E50B6" w:rsidRPr="00102D12">
        <w:rPr>
          <w:color w:val="000000"/>
          <w:lang w:val="en-US" w:eastAsia="en-GB"/>
        </w:rPr>
        <w:t xml:space="preserve">to the court </w:t>
      </w:r>
      <w:r w:rsidR="007F6F83" w:rsidRPr="00102D12">
        <w:rPr>
          <w:color w:val="000000"/>
          <w:lang w:val="en-US" w:eastAsia="en-GB"/>
        </w:rPr>
        <w:t xml:space="preserve">to allow for commercial activities prohibited to non-profit associations. </w:t>
      </w:r>
      <w:r w:rsidR="00C419FC" w:rsidRPr="00102D12">
        <w:rPr>
          <w:color w:val="000000"/>
          <w:lang w:val="en-US" w:eastAsia="en-GB"/>
        </w:rPr>
        <w:t xml:space="preserve">Judge I. </w:t>
      </w:r>
      <w:r w:rsidR="0009481A" w:rsidRPr="00102D12">
        <w:rPr>
          <w:color w:val="000000"/>
          <w:lang w:val="en-US" w:eastAsia="en-GB"/>
        </w:rPr>
        <w:t xml:space="preserve">of the panel, who served as judge-rapporteur, issued a </w:t>
      </w:r>
      <w:r w:rsidR="007F6F83" w:rsidRPr="00102D12">
        <w:rPr>
          <w:color w:val="000000"/>
          <w:lang w:val="en-US" w:eastAsia="en-GB"/>
        </w:rPr>
        <w:t>dissent</w:t>
      </w:r>
      <w:r w:rsidR="0009481A" w:rsidRPr="00102D12">
        <w:rPr>
          <w:color w:val="000000"/>
          <w:lang w:val="en-US" w:eastAsia="en-GB"/>
        </w:rPr>
        <w:t>ing opinion</w:t>
      </w:r>
      <w:r w:rsidR="001E50B6" w:rsidRPr="00102D12">
        <w:rPr>
          <w:color w:val="000000"/>
          <w:lang w:val="en-US" w:eastAsia="en-GB"/>
        </w:rPr>
        <w:t>,</w:t>
      </w:r>
      <w:r w:rsidR="00235E3D" w:rsidRPr="00102D12">
        <w:rPr>
          <w:color w:val="000000"/>
          <w:lang w:val="en-US" w:eastAsia="en-GB"/>
        </w:rPr>
        <w:t xml:space="preserve"> </w:t>
      </w:r>
      <w:r w:rsidR="007F6F83" w:rsidRPr="00102D12">
        <w:rPr>
          <w:color w:val="000000"/>
          <w:lang w:val="en-US" w:eastAsia="en-GB"/>
        </w:rPr>
        <w:t xml:space="preserve">contesting the conclusion </w:t>
      </w:r>
      <w:r w:rsidR="0009481A" w:rsidRPr="00102D12">
        <w:rPr>
          <w:color w:val="000000"/>
          <w:lang w:val="en-US" w:eastAsia="en-GB"/>
        </w:rPr>
        <w:t xml:space="preserve">of the </w:t>
      </w:r>
      <w:r w:rsidR="00235E3D" w:rsidRPr="00102D12">
        <w:rPr>
          <w:color w:val="000000"/>
          <w:lang w:val="en-US" w:eastAsia="en-GB"/>
        </w:rPr>
        <w:t xml:space="preserve">Blagoevgrad Regional Court. </w:t>
      </w:r>
      <w:r w:rsidR="0009481A" w:rsidRPr="00102D12">
        <w:rPr>
          <w:color w:val="000000"/>
          <w:lang w:val="en-US" w:eastAsia="en-GB"/>
        </w:rPr>
        <w:t xml:space="preserve">According to her, “the inconsistencies pointed out by the first instance judge and shared by other members of the panel, are not of such a nature that do not meet the requirements of the NPLEA” and </w:t>
      </w:r>
      <w:r w:rsidR="007F6F83" w:rsidRPr="00102D12">
        <w:rPr>
          <w:color w:val="000000"/>
          <w:lang w:val="en-US" w:eastAsia="en-GB"/>
        </w:rPr>
        <w:t>that the association could not be registered</w:t>
      </w:r>
      <w:r w:rsidR="0009481A" w:rsidRPr="00102D12">
        <w:rPr>
          <w:color w:val="000000"/>
          <w:lang w:val="en-US" w:eastAsia="en-GB"/>
        </w:rPr>
        <w:t xml:space="preserve">. The dissenting judge considered that “the objectives and </w:t>
      </w:r>
      <w:r w:rsidR="00C419FC" w:rsidRPr="00102D12">
        <w:rPr>
          <w:color w:val="000000"/>
          <w:lang w:val="en-US" w:eastAsia="en-GB"/>
        </w:rPr>
        <w:t xml:space="preserve">means </w:t>
      </w:r>
      <w:r w:rsidR="0009481A" w:rsidRPr="00102D12">
        <w:rPr>
          <w:color w:val="000000"/>
          <w:lang w:val="en-US" w:eastAsia="en-GB"/>
        </w:rPr>
        <w:t>are precisely and clearly specified in the application. Address, names and positions of persons representing the non-profit legal entity</w:t>
      </w:r>
      <w:r w:rsidRPr="00102D12">
        <w:rPr>
          <w:color w:val="000000"/>
          <w:lang w:val="en-US" w:eastAsia="en-GB"/>
        </w:rPr>
        <w:t xml:space="preserve">, </w:t>
      </w:r>
      <w:r w:rsidR="0009481A" w:rsidRPr="00102D12">
        <w:rPr>
          <w:color w:val="000000"/>
          <w:lang w:val="en-US" w:eastAsia="en-GB"/>
        </w:rPr>
        <w:t>are</w:t>
      </w:r>
      <w:r w:rsidRPr="00102D12">
        <w:rPr>
          <w:color w:val="000000"/>
          <w:lang w:val="en-US" w:eastAsia="en-GB"/>
        </w:rPr>
        <w:t xml:space="preserve"> also indicated.” She </w:t>
      </w:r>
      <w:r w:rsidR="007F6F83" w:rsidRPr="00102D12">
        <w:rPr>
          <w:color w:val="000000"/>
          <w:lang w:val="en-US" w:eastAsia="en-GB"/>
        </w:rPr>
        <w:t>refer</w:t>
      </w:r>
      <w:r w:rsidRPr="00102D12">
        <w:rPr>
          <w:color w:val="000000"/>
          <w:lang w:val="en-US" w:eastAsia="en-GB"/>
        </w:rPr>
        <w:t xml:space="preserve">red </w:t>
      </w:r>
      <w:r w:rsidR="007F6F83" w:rsidRPr="00102D12">
        <w:rPr>
          <w:color w:val="000000"/>
          <w:lang w:val="en-US" w:eastAsia="en-GB"/>
        </w:rPr>
        <w:t xml:space="preserve">to </w:t>
      </w:r>
      <w:r w:rsidR="000B0CB6" w:rsidRPr="00102D12">
        <w:rPr>
          <w:color w:val="000000"/>
          <w:lang w:val="en-US" w:eastAsia="en-GB"/>
        </w:rPr>
        <w:t>the</w:t>
      </w:r>
      <w:r w:rsidRPr="00102D12">
        <w:rPr>
          <w:color w:val="000000"/>
          <w:lang w:val="en-US" w:eastAsia="en-GB"/>
        </w:rPr>
        <w:t xml:space="preserve"> relevant case law of </w:t>
      </w:r>
      <w:r w:rsidR="007F6F83" w:rsidRPr="00102D12">
        <w:rPr>
          <w:color w:val="000000"/>
          <w:lang w:val="en-US" w:eastAsia="en-GB"/>
        </w:rPr>
        <w:t>the European Court of Human Rights</w:t>
      </w:r>
      <w:r w:rsidR="000B0CB6" w:rsidRPr="00102D12">
        <w:rPr>
          <w:color w:val="000000"/>
          <w:lang w:val="en-US" w:eastAsia="en-GB"/>
        </w:rPr>
        <w:t xml:space="preserve">, </w:t>
      </w:r>
      <w:r w:rsidRPr="00102D12">
        <w:rPr>
          <w:color w:val="000000"/>
          <w:lang w:val="en-US" w:eastAsia="en-GB"/>
        </w:rPr>
        <w:t xml:space="preserve">including judgments which </w:t>
      </w:r>
      <w:r w:rsidR="007F6F83" w:rsidRPr="00102D12">
        <w:rPr>
          <w:color w:val="000000"/>
          <w:lang w:val="en-US" w:eastAsia="en-GB"/>
        </w:rPr>
        <w:t>f</w:t>
      </w:r>
      <w:r w:rsidR="000B0CB6" w:rsidRPr="00102D12">
        <w:rPr>
          <w:color w:val="000000"/>
          <w:lang w:val="en-US" w:eastAsia="en-GB"/>
        </w:rPr>
        <w:t xml:space="preserve">ound </w:t>
      </w:r>
      <w:r w:rsidR="007F6F83" w:rsidRPr="00102D12">
        <w:rPr>
          <w:color w:val="000000"/>
          <w:lang w:val="en-US" w:eastAsia="en-GB"/>
        </w:rPr>
        <w:t xml:space="preserve">violations by </w:t>
      </w:r>
      <w:r w:rsidRPr="00102D12">
        <w:rPr>
          <w:color w:val="000000"/>
          <w:lang w:val="en-US" w:eastAsia="en-GB"/>
        </w:rPr>
        <w:t xml:space="preserve">Bulgaria </w:t>
      </w:r>
      <w:r w:rsidR="000B0CB6" w:rsidRPr="00102D12">
        <w:rPr>
          <w:color w:val="000000"/>
          <w:lang w:val="en-US" w:eastAsia="en-GB"/>
        </w:rPr>
        <w:t xml:space="preserve">of article 11 of the European Convention on Human Rights </w:t>
      </w:r>
      <w:r w:rsidR="007F6F83" w:rsidRPr="00102D12">
        <w:rPr>
          <w:color w:val="000000"/>
          <w:lang w:val="en-US" w:eastAsia="en-GB"/>
        </w:rPr>
        <w:t xml:space="preserve">in cases </w:t>
      </w:r>
      <w:r w:rsidR="000B0CB6" w:rsidRPr="00102D12">
        <w:rPr>
          <w:color w:val="000000"/>
          <w:lang w:val="en-US" w:eastAsia="en-GB"/>
        </w:rPr>
        <w:t xml:space="preserve">that </w:t>
      </w:r>
      <w:r w:rsidR="007F6F83" w:rsidRPr="00102D12">
        <w:rPr>
          <w:color w:val="000000"/>
          <w:lang w:val="en-US" w:eastAsia="en-GB"/>
        </w:rPr>
        <w:t>involv</w:t>
      </w:r>
      <w:r w:rsidR="000B0CB6" w:rsidRPr="00102D12">
        <w:rPr>
          <w:color w:val="000000"/>
          <w:lang w:val="en-US" w:eastAsia="en-GB"/>
        </w:rPr>
        <w:t xml:space="preserve">ed </w:t>
      </w:r>
      <w:r w:rsidR="007F6F83" w:rsidRPr="00102D12">
        <w:rPr>
          <w:color w:val="000000"/>
          <w:lang w:val="en-US" w:eastAsia="en-GB"/>
        </w:rPr>
        <w:t xml:space="preserve">ethnic Macedonians. </w:t>
      </w:r>
      <w:r w:rsidRPr="00102D12">
        <w:rPr>
          <w:color w:val="000000"/>
          <w:lang w:val="en-US" w:eastAsia="en-GB"/>
        </w:rPr>
        <w:t xml:space="preserve">She specifically pointed </w:t>
      </w:r>
      <w:r w:rsidR="00C419FC" w:rsidRPr="00102D12">
        <w:rPr>
          <w:color w:val="000000"/>
          <w:lang w:val="en-US" w:eastAsia="en-GB"/>
        </w:rPr>
        <w:t xml:space="preserve">to </w:t>
      </w:r>
      <w:r w:rsidRPr="00102D12">
        <w:rPr>
          <w:color w:val="000000"/>
          <w:lang w:val="en-US" w:eastAsia="en-GB"/>
        </w:rPr>
        <w:t xml:space="preserve">the requirements of necessity and proportionality of interference by the state into the right to freedom of association. In her view, “such interference by the denial of registration in this process was unjustified”. </w:t>
      </w:r>
      <w:r w:rsidR="007F6F83" w:rsidRPr="00102D12">
        <w:rPr>
          <w:color w:val="000000"/>
          <w:lang w:val="en-US" w:eastAsia="en-GB"/>
        </w:rPr>
        <w:t xml:space="preserve">The judgment of the Sofia Court of Appeal </w:t>
      </w:r>
      <w:r w:rsidR="000B0CB6" w:rsidRPr="00102D12">
        <w:rPr>
          <w:color w:val="000000"/>
          <w:lang w:val="en-US" w:eastAsia="en-GB"/>
        </w:rPr>
        <w:t xml:space="preserve">was </w:t>
      </w:r>
      <w:r w:rsidR="007F6F83" w:rsidRPr="00102D12">
        <w:rPr>
          <w:color w:val="000000"/>
          <w:lang w:val="en-US" w:eastAsia="en-GB"/>
        </w:rPr>
        <w:t>final.</w:t>
      </w:r>
    </w:p>
    <w:p w14:paraId="04746C04" w14:textId="15CD7451" w:rsidR="006E5D60" w:rsidRPr="0096445D" w:rsidRDefault="00E32EE9" w:rsidP="002E652B">
      <w:pPr>
        <w:pStyle w:val="SingleTxtG"/>
        <w:rPr>
          <w:color w:val="000000"/>
          <w:lang w:val="en-US" w:eastAsia="en-GB"/>
        </w:rPr>
      </w:pPr>
      <w:r w:rsidRPr="0096445D">
        <w:rPr>
          <w:color w:val="000000"/>
          <w:lang w:val="en-US" w:eastAsia="en-GB"/>
        </w:rPr>
        <w:t>2.</w:t>
      </w:r>
      <w:r w:rsidR="00C6682C">
        <w:rPr>
          <w:color w:val="000000"/>
          <w:lang w:val="en-US" w:eastAsia="en-GB"/>
        </w:rPr>
        <w:t>6</w:t>
      </w:r>
      <w:r w:rsidRPr="0096445D">
        <w:rPr>
          <w:color w:val="000000"/>
          <w:lang w:val="en-US" w:eastAsia="en-GB"/>
        </w:rPr>
        <w:tab/>
        <w:t xml:space="preserve"> The author </w:t>
      </w:r>
      <w:r w:rsidR="00432505">
        <w:rPr>
          <w:color w:val="000000"/>
          <w:lang w:val="en-US" w:eastAsia="en-GB"/>
        </w:rPr>
        <w:t xml:space="preserve">claims </w:t>
      </w:r>
      <w:r w:rsidR="00D017A9">
        <w:rPr>
          <w:color w:val="000000"/>
          <w:lang w:val="en-US" w:eastAsia="en-GB"/>
        </w:rPr>
        <w:t>that</w:t>
      </w:r>
      <w:r w:rsidR="00FA655E">
        <w:rPr>
          <w:color w:val="000000"/>
          <w:lang w:val="en-US" w:eastAsia="en-GB"/>
        </w:rPr>
        <w:t>,</w:t>
      </w:r>
      <w:r w:rsidR="00D017A9">
        <w:rPr>
          <w:color w:val="000000"/>
          <w:lang w:val="en-US" w:eastAsia="en-GB"/>
        </w:rPr>
        <w:t xml:space="preserve"> with the decision of the Sofia Court of Appeal of 11 August 2015</w:t>
      </w:r>
      <w:r w:rsidR="00A630D5">
        <w:rPr>
          <w:color w:val="000000"/>
          <w:lang w:val="en-US" w:eastAsia="en-GB"/>
        </w:rPr>
        <w:t>,</w:t>
      </w:r>
      <w:r w:rsidR="00D017A9">
        <w:rPr>
          <w:color w:val="000000"/>
          <w:lang w:val="en-US" w:eastAsia="en-GB"/>
        </w:rPr>
        <w:t xml:space="preserve"> which became final, </w:t>
      </w:r>
      <w:r w:rsidRPr="0096445D">
        <w:rPr>
          <w:color w:val="000000"/>
          <w:lang w:val="en-US" w:eastAsia="en-GB"/>
        </w:rPr>
        <w:t xml:space="preserve">he has </w:t>
      </w:r>
      <w:r w:rsidRPr="00FA655E">
        <w:rPr>
          <w:color w:val="000000"/>
          <w:lang w:val="en-US" w:eastAsia="en-GB"/>
        </w:rPr>
        <w:t xml:space="preserve">exhausted </w:t>
      </w:r>
      <w:r w:rsidR="000B0CB6" w:rsidRPr="00FA655E">
        <w:rPr>
          <w:color w:val="000000"/>
          <w:lang w:val="en-US" w:eastAsia="en-GB"/>
        </w:rPr>
        <w:t xml:space="preserve">all </w:t>
      </w:r>
      <w:r w:rsidRPr="00FA655E">
        <w:rPr>
          <w:color w:val="000000"/>
          <w:lang w:val="en-US" w:eastAsia="en-GB"/>
        </w:rPr>
        <w:t>a</w:t>
      </w:r>
      <w:r w:rsidR="00EB3CD1" w:rsidRPr="00FA655E">
        <w:rPr>
          <w:color w:val="000000"/>
          <w:lang w:val="en-US" w:eastAsia="en-GB"/>
        </w:rPr>
        <w:t xml:space="preserve">vailable </w:t>
      </w:r>
      <w:r w:rsidRPr="00FA655E">
        <w:rPr>
          <w:color w:val="000000"/>
          <w:lang w:val="en-US" w:eastAsia="en-GB"/>
        </w:rPr>
        <w:t>domestic remedies</w:t>
      </w:r>
      <w:r w:rsidR="007F6F83" w:rsidRPr="00FA655E">
        <w:rPr>
          <w:color w:val="000000"/>
          <w:lang w:val="en-US" w:eastAsia="en-GB"/>
        </w:rPr>
        <w:t>.</w:t>
      </w:r>
      <w:r w:rsidR="007F6F83">
        <w:rPr>
          <w:color w:val="000000"/>
          <w:lang w:val="en-US" w:eastAsia="en-GB"/>
        </w:rPr>
        <w:t xml:space="preserve"> </w:t>
      </w:r>
      <w:r w:rsidR="00811AF3" w:rsidRPr="0096445D">
        <w:rPr>
          <w:color w:val="000000"/>
          <w:lang w:val="en-US" w:eastAsia="en-GB"/>
        </w:rPr>
        <w:t xml:space="preserve">The </w:t>
      </w:r>
      <w:r w:rsidR="00CB7BEC" w:rsidRPr="0096445D">
        <w:rPr>
          <w:color w:val="000000"/>
          <w:lang w:val="en-US" w:eastAsia="en-GB"/>
        </w:rPr>
        <w:t xml:space="preserve">same </w:t>
      </w:r>
      <w:r w:rsidR="00811AF3" w:rsidRPr="0096445D">
        <w:rPr>
          <w:color w:val="000000"/>
          <w:lang w:val="en-US" w:eastAsia="en-GB"/>
        </w:rPr>
        <w:t xml:space="preserve">matter has not been submitted to </w:t>
      </w:r>
      <w:r w:rsidR="00CB7BEC" w:rsidRPr="0096445D">
        <w:rPr>
          <w:color w:val="000000"/>
          <w:lang w:val="en-US" w:eastAsia="en-GB"/>
        </w:rPr>
        <w:t xml:space="preserve">another procedure of international investigation or settlement. </w:t>
      </w:r>
    </w:p>
    <w:p w14:paraId="61A56A02" w14:textId="52F7FC95" w:rsidR="00AC506C" w:rsidRPr="00AC506C" w:rsidRDefault="002920D8" w:rsidP="002920D8">
      <w:pPr>
        <w:pStyle w:val="H23G"/>
        <w:rPr>
          <w:rFonts w:eastAsia="Arial Unicode MS"/>
          <w:u w:color="000000"/>
          <w:bdr w:val="nil"/>
          <w:lang w:val="en-US" w:eastAsia="en-GB"/>
        </w:rPr>
      </w:pPr>
      <w:r>
        <w:rPr>
          <w:rFonts w:eastAsia="Arial Unicode MS"/>
          <w:u w:color="000000"/>
          <w:bdr w:val="nil"/>
          <w:lang w:val="en-US" w:eastAsia="en-GB"/>
        </w:rPr>
        <w:tab/>
      </w:r>
      <w:r>
        <w:rPr>
          <w:rFonts w:eastAsia="Arial Unicode MS"/>
          <w:u w:color="000000"/>
          <w:bdr w:val="nil"/>
          <w:lang w:val="en-US" w:eastAsia="en-GB"/>
        </w:rPr>
        <w:tab/>
      </w:r>
      <w:r w:rsidR="00FD2DBD" w:rsidRPr="00AC506C">
        <w:rPr>
          <w:rFonts w:eastAsia="Arial Unicode MS"/>
          <w:u w:color="000000"/>
          <w:bdr w:val="nil"/>
          <w:lang w:val="en-US" w:eastAsia="en-GB"/>
        </w:rPr>
        <w:t>Complaint</w:t>
      </w:r>
    </w:p>
    <w:p w14:paraId="2AB31A4F" w14:textId="64AEE5BB" w:rsidR="002011DC" w:rsidRDefault="00AC506C" w:rsidP="002E652B">
      <w:pPr>
        <w:pStyle w:val="SingleTxtG"/>
        <w:rPr>
          <w:rFonts w:eastAsia="Arial Unicode MS"/>
          <w:bCs/>
          <w:color w:val="000000"/>
          <w:u w:color="000000"/>
          <w:bdr w:val="nil"/>
          <w:lang w:val="en-US" w:eastAsia="en-GB"/>
        </w:rPr>
      </w:pPr>
      <w:r w:rsidRPr="00D61B70">
        <w:rPr>
          <w:rFonts w:eastAsia="Arial Unicode MS"/>
          <w:bCs/>
          <w:color w:val="000000"/>
          <w:u w:color="000000"/>
          <w:bdr w:val="nil"/>
          <w:lang w:val="en-US" w:eastAsia="en-GB"/>
        </w:rPr>
        <w:t>3.1</w:t>
      </w:r>
      <w:r w:rsidR="008B6953" w:rsidRPr="00D61B70">
        <w:rPr>
          <w:rFonts w:eastAsia="Arial Unicode MS"/>
          <w:bCs/>
          <w:color w:val="000000"/>
          <w:u w:color="000000"/>
          <w:bdr w:val="nil"/>
          <w:lang w:val="en-US" w:eastAsia="en-GB"/>
        </w:rPr>
        <w:tab/>
      </w:r>
      <w:r w:rsidR="00DB50AD" w:rsidRPr="00D935A0">
        <w:rPr>
          <w:rFonts w:eastAsia="Arial Unicode MS"/>
          <w:bCs/>
          <w:color w:val="000000"/>
          <w:u w:color="000000"/>
          <w:bdr w:val="nil"/>
          <w:lang w:val="en-US" w:eastAsia="en-GB"/>
        </w:rPr>
        <w:t>The author claims that the denial of registration of</w:t>
      </w:r>
      <w:r w:rsidR="00E240E7" w:rsidRPr="00D935A0">
        <w:rPr>
          <w:rFonts w:eastAsia="Arial Unicode MS"/>
          <w:bCs/>
          <w:color w:val="000000"/>
          <w:u w:color="000000"/>
          <w:bdr w:val="nil"/>
          <w:lang w:val="en-US" w:eastAsia="en-GB"/>
        </w:rPr>
        <w:t xml:space="preserve"> non-profit association called </w:t>
      </w:r>
      <w:r w:rsidR="00B54B31" w:rsidRPr="00D935A0">
        <w:rPr>
          <w:rFonts w:eastAsia="Arial Unicode MS"/>
          <w:bCs/>
          <w:color w:val="000000"/>
          <w:u w:color="000000"/>
          <w:bdr w:val="nil"/>
          <w:lang w:val="en-US" w:eastAsia="en-GB"/>
        </w:rPr>
        <w:t xml:space="preserve">the </w:t>
      </w:r>
      <w:r w:rsidR="00DB50AD" w:rsidRPr="00D935A0">
        <w:rPr>
          <w:rFonts w:eastAsia="Arial Unicode MS"/>
          <w:bCs/>
          <w:color w:val="000000"/>
          <w:u w:color="000000"/>
          <w:bdr w:val="nil"/>
          <w:lang w:val="en-US" w:eastAsia="en-GB"/>
        </w:rPr>
        <w:t>H</w:t>
      </w:r>
      <w:r w:rsidR="00E240E7" w:rsidRPr="00D935A0">
        <w:rPr>
          <w:rFonts w:eastAsia="Arial Unicode MS"/>
          <w:bCs/>
          <w:color w:val="000000"/>
          <w:u w:color="000000"/>
          <w:bdr w:val="nil"/>
          <w:lang w:val="en-US" w:eastAsia="en-GB"/>
        </w:rPr>
        <w:t xml:space="preserve">uman Rights </w:t>
      </w:r>
      <w:r w:rsidR="00DB50AD" w:rsidRPr="00D935A0">
        <w:rPr>
          <w:rFonts w:eastAsia="Arial Unicode MS"/>
          <w:bCs/>
          <w:color w:val="000000"/>
          <w:u w:color="000000"/>
          <w:bdr w:val="nil"/>
          <w:lang w:val="en-US" w:eastAsia="en-GB"/>
        </w:rPr>
        <w:t>P</w:t>
      </w:r>
      <w:r w:rsidR="00E240E7" w:rsidRPr="00D935A0">
        <w:rPr>
          <w:rFonts w:eastAsia="Arial Unicode MS"/>
          <w:bCs/>
          <w:color w:val="000000"/>
          <w:u w:color="000000"/>
          <w:bdr w:val="nil"/>
          <w:lang w:val="en-US" w:eastAsia="en-GB"/>
        </w:rPr>
        <w:t xml:space="preserve">rotection </w:t>
      </w:r>
      <w:r w:rsidR="00DB50AD" w:rsidRPr="002E652B">
        <w:t>C</w:t>
      </w:r>
      <w:r w:rsidR="00E240E7" w:rsidRPr="002E652B">
        <w:t>ommittee</w:t>
      </w:r>
      <w:r w:rsidR="00E240E7" w:rsidRPr="00D935A0">
        <w:rPr>
          <w:rFonts w:eastAsia="Arial Unicode MS"/>
          <w:bCs/>
          <w:color w:val="000000"/>
          <w:u w:color="000000"/>
          <w:bdr w:val="nil"/>
          <w:lang w:val="en-US" w:eastAsia="en-GB"/>
        </w:rPr>
        <w:t xml:space="preserve"> “</w:t>
      </w:r>
      <w:r w:rsidR="00DB50AD" w:rsidRPr="00D935A0">
        <w:rPr>
          <w:rFonts w:eastAsia="Arial Unicode MS"/>
          <w:bCs/>
          <w:color w:val="000000"/>
          <w:u w:color="000000"/>
          <w:bdr w:val="nil"/>
          <w:lang w:val="en-US" w:eastAsia="en-GB"/>
        </w:rPr>
        <w:t>T</w:t>
      </w:r>
      <w:r w:rsidR="00E240E7" w:rsidRPr="00D935A0">
        <w:rPr>
          <w:rFonts w:eastAsia="Arial Unicode MS"/>
          <w:bCs/>
          <w:color w:val="000000"/>
          <w:u w:color="000000"/>
          <w:bdr w:val="nil"/>
          <w:lang w:val="en-US" w:eastAsia="en-GB"/>
        </w:rPr>
        <w:t>olerance”</w:t>
      </w:r>
      <w:r w:rsidR="00DB50AD" w:rsidRPr="00D935A0">
        <w:rPr>
          <w:rFonts w:eastAsia="Arial Unicode MS"/>
          <w:bCs/>
          <w:color w:val="000000"/>
          <w:u w:color="000000"/>
          <w:bdr w:val="nil"/>
          <w:lang w:val="en-US" w:eastAsia="en-GB"/>
        </w:rPr>
        <w:t xml:space="preserve">, which he represents, has violated </w:t>
      </w:r>
      <w:r w:rsidR="00335980" w:rsidRPr="00D935A0">
        <w:rPr>
          <w:rFonts w:eastAsia="Arial Unicode MS"/>
          <w:bCs/>
          <w:color w:val="000000"/>
          <w:u w:color="000000"/>
          <w:bdr w:val="nil"/>
          <w:lang w:val="en-US" w:eastAsia="en-GB"/>
        </w:rPr>
        <w:t xml:space="preserve">the author’s right </w:t>
      </w:r>
      <w:r w:rsidR="00DB50AD" w:rsidRPr="00D935A0">
        <w:rPr>
          <w:rFonts w:eastAsia="Arial Unicode MS"/>
          <w:bCs/>
          <w:color w:val="000000"/>
          <w:u w:color="000000"/>
          <w:bdr w:val="nil"/>
          <w:lang w:val="en-US" w:eastAsia="en-GB"/>
        </w:rPr>
        <w:t>to freedom of association under article 22 of the Covenant</w:t>
      </w:r>
      <w:r w:rsidR="00E27DBE" w:rsidRPr="00D935A0">
        <w:rPr>
          <w:rFonts w:eastAsia="Arial Unicode MS"/>
          <w:bCs/>
          <w:color w:val="000000"/>
          <w:u w:color="000000"/>
          <w:bdr w:val="nil"/>
          <w:lang w:val="en-US" w:eastAsia="en-GB"/>
        </w:rPr>
        <w:t>. He argues that</w:t>
      </w:r>
      <w:r w:rsidR="00DB50AD" w:rsidRPr="00D935A0">
        <w:rPr>
          <w:rFonts w:eastAsia="Arial Unicode MS"/>
          <w:bCs/>
          <w:color w:val="000000"/>
          <w:u w:color="000000"/>
          <w:bdr w:val="nil"/>
          <w:lang w:val="en-US" w:eastAsia="en-GB"/>
        </w:rPr>
        <w:t xml:space="preserve"> the restrictions </w:t>
      </w:r>
      <w:r w:rsidR="00F035E8" w:rsidRPr="00D935A0">
        <w:rPr>
          <w:rFonts w:eastAsia="Arial Unicode MS"/>
          <w:bCs/>
          <w:color w:val="000000"/>
          <w:u w:color="000000"/>
          <w:bdr w:val="nil"/>
          <w:lang w:val="en-US" w:eastAsia="en-GB"/>
        </w:rPr>
        <w:t xml:space="preserve">of this right </w:t>
      </w:r>
      <w:r w:rsidR="00DB50AD" w:rsidRPr="00D935A0">
        <w:rPr>
          <w:rFonts w:eastAsia="Arial Unicode MS"/>
          <w:bCs/>
          <w:color w:val="000000"/>
          <w:u w:color="000000"/>
          <w:bdr w:val="nil"/>
          <w:lang w:val="en-US" w:eastAsia="en-GB"/>
        </w:rPr>
        <w:t>were not provided</w:t>
      </w:r>
      <w:r w:rsidR="00E27DBE" w:rsidRPr="00D935A0">
        <w:rPr>
          <w:rFonts w:eastAsia="Arial Unicode MS"/>
          <w:bCs/>
          <w:color w:val="000000"/>
          <w:u w:color="000000"/>
          <w:bdr w:val="nil"/>
          <w:lang w:val="en-US" w:eastAsia="en-GB"/>
        </w:rPr>
        <w:t xml:space="preserve"> </w:t>
      </w:r>
      <w:r w:rsidR="00DB50AD" w:rsidRPr="00D935A0">
        <w:rPr>
          <w:rFonts w:eastAsia="Arial Unicode MS"/>
          <w:bCs/>
          <w:color w:val="000000"/>
          <w:u w:color="000000"/>
          <w:bdr w:val="nil"/>
          <w:lang w:val="en-US" w:eastAsia="en-GB"/>
        </w:rPr>
        <w:t>by law, did not pursue a legitimate aim and</w:t>
      </w:r>
      <w:r w:rsidR="00E27DBE" w:rsidRPr="00D935A0">
        <w:rPr>
          <w:rFonts w:eastAsia="Arial Unicode MS"/>
          <w:bCs/>
          <w:color w:val="000000"/>
          <w:u w:color="000000"/>
          <w:bdr w:val="nil"/>
          <w:lang w:val="en-US" w:eastAsia="en-GB"/>
        </w:rPr>
        <w:t xml:space="preserve"> </w:t>
      </w:r>
      <w:r w:rsidR="00DB50AD" w:rsidRPr="00D935A0">
        <w:rPr>
          <w:rFonts w:eastAsia="Arial Unicode MS"/>
          <w:bCs/>
          <w:color w:val="000000"/>
          <w:u w:color="000000"/>
          <w:bdr w:val="nil"/>
          <w:lang w:val="en-US" w:eastAsia="en-GB"/>
        </w:rPr>
        <w:t>were not necessary in a democratic</w:t>
      </w:r>
      <w:r w:rsidR="00E27DBE" w:rsidRPr="00D935A0">
        <w:rPr>
          <w:rFonts w:eastAsia="Arial Unicode MS"/>
          <w:bCs/>
          <w:color w:val="000000"/>
          <w:u w:color="000000"/>
          <w:bdr w:val="nil"/>
          <w:lang w:val="en-US" w:eastAsia="en-GB"/>
        </w:rPr>
        <w:t xml:space="preserve"> </w:t>
      </w:r>
      <w:r w:rsidR="00DB50AD" w:rsidRPr="00D935A0">
        <w:rPr>
          <w:rFonts w:eastAsia="Arial Unicode MS"/>
          <w:bCs/>
          <w:color w:val="000000"/>
          <w:u w:color="000000"/>
          <w:bdr w:val="nil"/>
          <w:lang w:val="en-US" w:eastAsia="en-GB"/>
        </w:rPr>
        <w:t>society.</w:t>
      </w:r>
      <w:r w:rsidR="00DB50AD" w:rsidRPr="00DB50AD">
        <w:rPr>
          <w:rFonts w:eastAsia="Arial Unicode MS"/>
          <w:bCs/>
          <w:color w:val="000000"/>
          <w:u w:color="000000"/>
          <w:bdr w:val="nil"/>
          <w:lang w:val="en-US" w:eastAsia="en-GB"/>
        </w:rPr>
        <w:t xml:space="preserve"> </w:t>
      </w:r>
    </w:p>
    <w:p w14:paraId="5B05CF7E" w14:textId="2F5A48F5" w:rsidR="004E0F12" w:rsidRDefault="002011DC" w:rsidP="002E652B">
      <w:pPr>
        <w:pStyle w:val="SingleTxtG"/>
        <w:rPr>
          <w:rFonts w:eastAsia="Arial Unicode MS"/>
          <w:bCs/>
          <w:color w:val="000000"/>
          <w:u w:color="000000"/>
          <w:bdr w:val="nil"/>
          <w:lang w:val="en-US" w:eastAsia="en-GB"/>
        </w:rPr>
      </w:pPr>
      <w:r>
        <w:rPr>
          <w:rFonts w:eastAsia="Arial Unicode MS"/>
          <w:bCs/>
          <w:color w:val="000000"/>
          <w:u w:color="000000"/>
          <w:bdr w:val="nil"/>
          <w:lang w:val="en-US" w:eastAsia="en-GB"/>
        </w:rPr>
        <w:t>3.2</w:t>
      </w:r>
      <w:r>
        <w:rPr>
          <w:rFonts w:eastAsia="Arial Unicode MS"/>
          <w:bCs/>
          <w:color w:val="000000"/>
          <w:u w:color="000000"/>
          <w:bdr w:val="nil"/>
          <w:lang w:val="en-US" w:eastAsia="en-GB"/>
        </w:rPr>
        <w:tab/>
      </w:r>
      <w:r w:rsidRPr="00102D12">
        <w:rPr>
          <w:rFonts w:eastAsia="Arial Unicode MS"/>
          <w:bCs/>
          <w:color w:val="000000"/>
          <w:u w:color="000000"/>
          <w:bdr w:val="nil"/>
          <w:lang w:val="en-US" w:eastAsia="en-GB"/>
        </w:rPr>
        <w:t xml:space="preserve">The author </w:t>
      </w:r>
      <w:r w:rsidR="001603FC" w:rsidRPr="00102D12">
        <w:rPr>
          <w:rFonts w:eastAsia="Arial Unicode MS"/>
          <w:bCs/>
          <w:color w:val="000000"/>
          <w:u w:color="000000"/>
          <w:bdr w:val="nil"/>
          <w:lang w:val="en-US" w:eastAsia="en-GB"/>
        </w:rPr>
        <w:t xml:space="preserve">argues </w:t>
      </w:r>
      <w:r w:rsidRPr="00102D12">
        <w:rPr>
          <w:rFonts w:eastAsia="Arial Unicode MS"/>
          <w:bCs/>
          <w:color w:val="000000"/>
          <w:u w:color="000000"/>
          <w:bdr w:val="nil"/>
          <w:lang w:val="en-US" w:eastAsia="en-GB"/>
        </w:rPr>
        <w:t>that the Bulgarian courts applied the law arbitrarily and</w:t>
      </w:r>
      <w:r w:rsidR="001B3460" w:rsidRPr="00102D12">
        <w:rPr>
          <w:rFonts w:eastAsia="Arial Unicode MS"/>
          <w:bCs/>
          <w:color w:val="000000"/>
          <w:u w:color="000000"/>
          <w:bdr w:val="nil"/>
          <w:lang w:val="en-US" w:eastAsia="en-GB"/>
        </w:rPr>
        <w:t xml:space="preserve"> </w:t>
      </w:r>
      <w:r w:rsidRPr="00102D12">
        <w:rPr>
          <w:rFonts w:eastAsia="Arial Unicode MS"/>
          <w:bCs/>
          <w:color w:val="000000"/>
          <w:u w:color="000000"/>
          <w:bdr w:val="nil"/>
          <w:lang w:val="en-US" w:eastAsia="en-GB"/>
        </w:rPr>
        <w:t xml:space="preserve">the restrictions cannot be considered </w:t>
      </w:r>
      <w:r w:rsidR="001B3460" w:rsidRPr="00102D12">
        <w:rPr>
          <w:rFonts w:eastAsia="Arial Unicode MS"/>
          <w:bCs/>
          <w:color w:val="000000"/>
          <w:u w:color="000000"/>
          <w:bdr w:val="nil"/>
          <w:lang w:val="en-US" w:eastAsia="en-GB"/>
        </w:rPr>
        <w:t xml:space="preserve">as </w:t>
      </w:r>
      <w:r w:rsidRPr="00102D12">
        <w:rPr>
          <w:rFonts w:eastAsia="Arial Unicode MS"/>
          <w:bCs/>
          <w:color w:val="000000"/>
          <w:u w:color="000000"/>
          <w:bdr w:val="nil"/>
          <w:lang w:val="en-US" w:eastAsia="en-GB"/>
        </w:rPr>
        <w:t>“prescribed by law” within article 22</w:t>
      </w:r>
      <w:r w:rsidR="001B3460" w:rsidRPr="00102D12">
        <w:rPr>
          <w:rFonts w:eastAsia="Arial Unicode MS"/>
          <w:bCs/>
          <w:color w:val="000000"/>
          <w:u w:color="000000"/>
          <w:bdr w:val="nil"/>
          <w:lang w:val="en-US" w:eastAsia="en-GB"/>
        </w:rPr>
        <w:t xml:space="preserve"> of the Covenant</w:t>
      </w:r>
      <w:r w:rsidRPr="00102D12">
        <w:rPr>
          <w:rFonts w:eastAsia="Arial Unicode MS"/>
          <w:bCs/>
          <w:color w:val="000000"/>
          <w:u w:color="000000"/>
          <w:bdr w:val="nil"/>
          <w:lang w:val="en-US" w:eastAsia="en-GB"/>
        </w:rPr>
        <w:t>.</w:t>
      </w:r>
      <w:r w:rsidR="001B3460" w:rsidRPr="00102D12">
        <w:rPr>
          <w:rFonts w:eastAsia="Arial Unicode MS"/>
          <w:bCs/>
          <w:color w:val="000000"/>
          <w:u w:color="000000"/>
          <w:bdr w:val="nil"/>
          <w:lang w:val="en-US" w:eastAsia="en-GB"/>
        </w:rPr>
        <w:t xml:space="preserve"> </w:t>
      </w:r>
      <w:r w:rsidRPr="00102D12">
        <w:rPr>
          <w:rFonts w:eastAsia="Arial Unicode MS"/>
          <w:bCs/>
          <w:color w:val="000000"/>
          <w:u w:color="000000"/>
          <w:bdr w:val="nil"/>
          <w:lang w:val="en-US" w:eastAsia="en-GB"/>
        </w:rPr>
        <w:t>T</w:t>
      </w:r>
      <w:r w:rsidR="00DB50AD" w:rsidRPr="00102D12">
        <w:rPr>
          <w:rFonts w:eastAsia="Arial Unicode MS"/>
          <w:bCs/>
          <w:color w:val="000000"/>
          <w:u w:color="000000"/>
          <w:bdr w:val="nil"/>
          <w:lang w:val="en-US" w:eastAsia="en-GB"/>
        </w:rPr>
        <w:t xml:space="preserve">he Blagoevgrad Regional Court </w:t>
      </w:r>
      <w:r w:rsidR="00E27DBE" w:rsidRPr="00102D12">
        <w:rPr>
          <w:rFonts w:eastAsia="Arial Unicode MS"/>
          <w:bCs/>
          <w:color w:val="000000"/>
          <w:u w:color="000000"/>
          <w:bdr w:val="nil"/>
          <w:lang w:val="en-US" w:eastAsia="en-GB"/>
        </w:rPr>
        <w:t xml:space="preserve">provided </w:t>
      </w:r>
      <w:r w:rsidR="00DB50AD" w:rsidRPr="00102D12">
        <w:rPr>
          <w:rFonts w:eastAsia="Arial Unicode MS"/>
          <w:bCs/>
          <w:color w:val="000000"/>
          <w:u w:color="000000"/>
          <w:bdr w:val="nil"/>
          <w:lang w:val="en-US" w:eastAsia="en-GB"/>
        </w:rPr>
        <w:t>no reasons for refusing registration</w:t>
      </w:r>
      <w:r w:rsidR="001B3460" w:rsidRPr="00102D12">
        <w:rPr>
          <w:rFonts w:eastAsia="Arial Unicode MS"/>
          <w:bCs/>
          <w:color w:val="000000"/>
          <w:u w:color="000000"/>
          <w:bdr w:val="nil"/>
          <w:lang w:val="en-US" w:eastAsia="en-GB"/>
        </w:rPr>
        <w:t xml:space="preserve"> of the HRP</w:t>
      </w:r>
      <w:r w:rsidR="00FD5DCC" w:rsidRPr="00102D12">
        <w:rPr>
          <w:rFonts w:eastAsia="Arial Unicode MS"/>
          <w:bCs/>
          <w:color w:val="000000"/>
          <w:u w:color="000000"/>
          <w:bdr w:val="nil"/>
          <w:lang w:val="en-US" w:eastAsia="en-GB"/>
        </w:rPr>
        <w:t>C</w:t>
      </w:r>
      <w:r w:rsidR="001B3460" w:rsidRPr="00102D12">
        <w:rPr>
          <w:rFonts w:eastAsia="Arial Unicode MS"/>
          <w:bCs/>
          <w:color w:val="000000"/>
          <w:u w:color="000000"/>
          <w:bdr w:val="nil"/>
          <w:lang w:val="en-US" w:eastAsia="en-GB"/>
        </w:rPr>
        <w:t>T</w:t>
      </w:r>
      <w:r w:rsidR="00F035E8" w:rsidRPr="00102D12">
        <w:rPr>
          <w:rFonts w:eastAsia="Arial Unicode MS"/>
          <w:bCs/>
          <w:color w:val="000000"/>
          <w:u w:color="000000"/>
          <w:bdr w:val="nil"/>
          <w:lang w:val="en-US" w:eastAsia="en-GB"/>
        </w:rPr>
        <w:t xml:space="preserve">, </w:t>
      </w:r>
      <w:r w:rsidR="00C50F91" w:rsidRPr="00102D12">
        <w:rPr>
          <w:rFonts w:eastAsia="Arial Unicode MS"/>
          <w:bCs/>
          <w:color w:val="000000"/>
          <w:u w:color="000000"/>
          <w:bdr w:val="nil"/>
          <w:lang w:val="en-US" w:eastAsia="en-GB"/>
        </w:rPr>
        <w:t xml:space="preserve">given the </w:t>
      </w:r>
      <w:r w:rsidRPr="00102D12">
        <w:rPr>
          <w:rFonts w:eastAsia="Arial Unicode MS"/>
          <w:bCs/>
          <w:color w:val="000000"/>
          <w:u w:color="000000"/>
          <w:bdr w:val="nil"/>
          <w:lang w:val="en-US" w:eastAsia="en-GB"/>
        </w:rPr>
        <w:t xml:space="preserve">absence of </w:t>
      </w:r>
      <w:r w:rsidR="00F035E8" w:rsidRPr="00102D12">
        <w:rPr>
          <w:rFonts w:eastAsia="Arial Unicode MS"/>
          <w:bCs/>
          <w:color w:val="000000"/>
          <w:u w:color="000000"/>
          <w:bdr w:val="nil"/>
          <w:lang w:val="en-US" w:eastAsia="en-GB"/>
        </w:rPr>
        <w:t>explan</w:t>
      </w:r>
      <w:r w:rsidRPr="00102D12">
        <w:rPr>
          <w:rFonts w:eastAsia="Arial Unicode MS"/>
          <w:bCs/>
          <w:color w:val="000000"/>
          <w:u w:color="000000"/>
          <w:bdr w:val="nil"/>
          <w:lang w:val="en-US" w:eastAsia="en-GB"/>
        </w:rPr>
        <w:t xml:space="preserve">ations </w:t>
      </w:r>
      <w:r w:rsidR="00F035E8" w:rsidRPr="00102D12">
        <w:rPr>
          <w:rFonts w:eastAsia="Arial Unicode MS"/>
          <w:bCs/>
          <w:color w:val="000000"/>
          <w:u w:color="000000"/>
          <w:bdr w:val="nil"/>
          <w:lang w:val="en-US" w:eastAsia="en-GB"/>
        </w:rPr>
        <w:t xml:space="preserve">how </w:t>
      </w:r>
      <w:r w:rsidR="005974D2" w:rsidRPr="00102D12">
        <w:rPr>
          <w:rFonts w:eastAsia="Arial Unicode MS"/>
          <w:bCs/>
          <w:color w:val="000000"/>
          <w:u w:color="000000"/>
          <w:bdr w:val="nil"/>
          <w:lang w:val="en-US" w:eastAsia="en-GB"/>
        </w:rPr>
        <w:t xml:space="preserve">the draft </w:t>
      </w:r>
      <w:r w:rsidR="00F035E8" w:rsidRPr="00102D12">
        <w:rPr>
          <w:rFonts w:eastAsia="Arial Unicode MS"/>
          <w:bCs/>
          <w:color w:val="000000"/>
          <w:u w:color="000000"/>
          <w:bdr w:val="nil"/>
          <w:lang w:val="en-US" w:eastAsia="en-GB"/>
        </w:rPr>
        <w:t xml:space="preserve">statute </w:t>
      </w:r>
      <w:r w:rsidR="005974D2" w:rsidRPr="00102D12">
        <w:rPr>
          <w:rFonts w:eastAsia="Arial Unicode MS"/>
          <w:bCs/>
          <w:color w:val="000000"/>
          <w:u w:color="000000"/>
          <w:bdr w:val="nil"/>
          <w:lang w:val="en-US" w:eastAsia="en-GB"/>
        </w:rPr>
        <w:t xml:space="preserve">of the association </w:t>
      </w:r>
      <w:r w:rsidR="00F035E8" w:rsidRPr="00102D12">
        <w:rPr>
          <w:rFonts w:eastAsia="Arial Unicode MS"/>
          <w:bCs/>
          <w:color w:val="000000"/>
          <w:u w:color="000000"/>
          <w:bdr w:val="nil"/>
          <w:lang w:val="en-US" w:eastAsia="en-GB"/>
        </w:rPr>
        <w:t xml:space="preserve">contradicted </w:t>
      </w:r>
      <w:r w:rsidR="00E27959" w:rsidRPr="00102D12">
        <w:rPr>
          <w:rFonts w:eastAsia="Arial Unicode MS"/>
          <w:bCs/>
          <w:color w:val="000000"/>
          <w:u w:color="000000"/>
          <w:bdr w:val="nil"/>
          <w:lang w:val="en-US" w:eastAsia="en-GB"/>
        </w:rPr>
        <w:t>the Non-Profit Legal Entities Act (</w:t>
      </w:r>
      <w:r w:rsidR="00F035E8" w:rsidRPr="00102D12">
        <w:rPr>
          <w:rFonts w:eastAsia="Arial Unicode MS"/>
          <w:bCs/>
          <w:color w:val="000000"/>
          <w:u w:color="000000"/>
          <w:bdr w:val="nil"/>
          <w:lang w:val="en-US" w:eastAsia="en-GB"/>
        </w:rPr>
        <w:t>NPLEA</w:t>
      </w:r>
      <w:r w:rsidR="00E27959" w:rsidRPr="00102D12">
        <w:rPr>
          <w:rFonts w:eastAsia="Arial Unicode MS"/>
          <w:bCs/>
          <w:color w:val="000000"/>
          <w:u w:color="000000"/>
          <w:bdr w:val="nil"/>
          <w:lang w:val="en-US" w:eastAsia="en-GB"/>
        </w:rPr>
        <w:t>)</w:t>
      </w:r>
      <w:r w:rsidR="00C50F91" w:rsidRPr="00102D12">
        <w:rPr>
          <w:rFonts w:eastAsia="Arial Unicode MS"/>
          <w:bCs/>
          <w:color w:val="000000"/>
          <w:u w:color="000000"/>
          <w:bdr w:val="nil"/>
          <w:lang w:val="en-US" w:eastAsia="en-GB"/>
        </w:rPr>
        <w:t xml:space="preserve">. The court also </w:t>
      </w:r>
      <w:r w:rsidR="00F035E8" w:rsidRPr="00102D12">
        <w:rPr>
          <w:rFonts w:eastAsia="Arial Unicode MS"/>
          <w:bCs/>
          <w:color w:val="000000"/>
          <w:u w:color="000000"/>
          <w:bdr w:val="nil"/>
          <w:lang w:val="en-US" w:eastAsia="en-GB"/>
        </w:rPr>
        <w:t xml:space="preserve">failed to observe the obligations on establishing </w:t>
      </w:r>
      <w:r w:rsidR="00F035E8" w:rsidRPr="002E652B">
        <w:t>evidence</w:t>
      </w:r>
      <w:r w:rsidR="00F035E8" w:rsidRPr="00102D12">
        <w:rPr>
          <w:rFonts w:eastAsia="Arial Unicode MS"/>
          <w:bCs/>
          <w:color w:val="000000"/>
          <w:u w:color="000000"/>
          <w:bdr w:val="nil"/>
          <w:lang w:val="en-US" w:eastAsia="en-GB"/>
        </w:rPr>
        <w:t xml:space="preserve"> </w:t>
      </w:r>
      <w:r w:rsidR="0010169C" w:rsidRPr="00102D12">
        <w:rPr>
          <w:rFonts w:eastAsia="Arial Unicode MS"/>
          <w:bCs/>
          <w:color w:val="000000"/>
          <w:u w:color="000000"/>
          <w:bdr w:val="nil"/>
          <w:lang w:val="en-US" w:eastAsia="en-GB"/>
        </w:rPr>
        <w:t xml:space="preserve">in accordance with </w:t>
      </w:r>
      <w:r w:rsidR="00F035E8" w:rsidRPr="00102D12">
        <w:rPr>
          <w:rFonts w:eastAsia="Arial Unicode MS"/>
          <w:bCs/>
          <w:color w:val="000000"/>
          <w:u w:color="000000"/>
          <w:bdr w:val="nil"/>
          <w:lang w:val="en-US" w:eastAsia="en-GB"/>
        </w:rPr>
        <w:t>articles 533-</w:t>
      </w:r>
      <w:r w:rsidRPr="00102D12">
        <w:rPr>
          <w:rFonts w:eastAsia="Arial Unicode MS"/>
          <w:bCs/>
          <w:color w:val="000000"/>
          <w:u w:color="000000"/>
          <w:bdr w:val="nil"/>
          <w:lang w:val="en-US" w:eastAsia="en-GB"/>
        </w:rPr>
        <w:t>535 of the Code of Civil Procedure</w:t>
      </w:r>
      <w:r w:rsidR="0010169C" w:rsidRPr="00102D12">
        <w:rPr>
          <w:rFonts w:eastAsia="Arial Unicode MS"/>
          <w:bCs/>
          <w:color w:val="000000"/>
          <w:u w:color="000000"/>
          <w:bdr w:val="nil"/>
          <w:lang w:val="en-US" w:eastAsia="en-GB"/>
        </w:rPr>
        <w:t xml:space="preserve"> </w:t>
      </w:r>
      <w:r w:rsidR="00C50F91" w:rsidRPr="00102D12">
        <w:rPr>
          <w:rFonts w:eastAsia="Arial Unicode MS"/>
          <w:bCs/>
          <w:color w:val="000000"/>
          <w:u w:color="000000"/>
          <w:bdr w:val="nil"/>
          <w:lang w:val="en-US" w:eastAsia="en-GB"/>
        </w:rPr>
        <w:t xml:space="preserve">as it did not </w:t>
      </w:r>
      <w:r w:rsidR="004E0F12" w:rsidRPr="00102D12">
        <w:rPr>
          <w:rFonts w:eastAsia="Arial Unicode MS"/>
          <w:bCs/>
          <w:color w:val="000000"/>
          <w:u w:color="000000"/>
          <w:bdr w:val="nil"/>
          <w:lang w:val="en-US" w:eastAsia="en-GB"/>
        </w:rPr>
        <w:t xml:space="preserve">seek evidence from other authorities </w:t>
      </w:r>
      <w:r w:rsidR="0010169C" w:rsidRPr="00102D12">
        <w:rPr>
          <w:rFonts w:eastAsia="Arial Unicode MS"/>
          <w:bCs/>
          <w:color w:val="000000"/>
          <w:u w:color="000000"/>
          <w:bdr w:val="nil"/>
          <w:lang w:val="en-US" w:eastAsia="en-GB"/>
        </w:rPr>
        <w:t xml:space="preserve">in favor of the </w:t>
      </w:r>
      <w:r w:rsidR="00136669" w:rsidRPr="00102D12">
        <w:rPr>
          <w:rFonts w:eastAsia="Arial Unicode MS"/>
          <w:bCs/>
          <w:color w:val="000000"/>
          <w:u w:color="000000"/>
          <w:bdr w:val="nil"/>
          <w:lang w:val="en-US" w:eastAsia="en-GB"/>
        </w:rPr>
        <w:t xml:space="preserve">author, </w:t>
      </w:r>
      <w:r w:rsidR="004E0F12" w:rsidRPr="00102D12">
        <w:rPr>
          <w:rFonts w:eastAsia="Arial Unicode MS"/>
          <w:bCs/>
          <w:color w:val="000000"/>
          <w:u w:color="000000"/>
          <w:bdr w:val="nil"/>
          <w:lang w:val="en-US" w:eastAsia="en-GB"/>
        </w:rPr>
        <w:t xml:space="preserve">or </w:t>
      </w:r>
      <w:r w:rsidR="00C50F91" w:rsidRPr="00102D12">
        <w:rPr>
          <w:rFonts w:eastAsia="Arial Unicode MS"/>
          <w:bCs/>
          <w:color w:val="000000"/>
          <w:u w:color="000000"/>
          <w:bdr w:val="nil"/>
          <w:lang w:val="en-US" w:eastAsia="en-GB"/>
        </w:rPr>
        <w:t>invite the author</w:t>
      </w:r>
      <w:r w:rsidR="004E0F12" w:rsidRPr="00102D12">
        <w:rPr>
          <w:rFonts w:eastAsia="Arial Unicode MS"/>
          <w:bCs/>
          <w:color w:val="000000"/>
          <w:u w:color="000000"/>
          <w:bdr w:val="nil"/>
          <w:lang w:val="en-US" w:eastAsia="en-GB"/>
        </w:rPr>
        <w:t xml:space="preserve"> for a hearing</w:t>
      </w:r>
      <w:r w:rsidR="00C50F91" w:rsidRPr="00102D12">
        <w:rPr>
          <w:rFonts w:eastAsia="Arial Unicode MS"/>
          <w:bCs/>
          <w:color w:val="000000"/>
          <w:u w:color="000000"/>
          <w:bdr w:val="nil"/>
          <w:lang w:val="en-US" w:eastAsia="en-GB"/>
        </w:rPr>
        <w:t xml:space="preserve">, </w:t>
      </w:r>
      <w:r w:rsidRPr="00102D12">
        <w:rPr>
          <w:rFonts w:eastAsia="Arial Unicode MS"/>
          <w:bCs/>
          <w:color w:val="000000"/>
          <w:u w:color="000000"/>
          <w:bdr w:val="nil"/>
          <w:lang w:val="en-US" w:eastAsia="en-GB"/>
        </w:rPr>
        <w:t xml:space="preserve">and </w:t>
      </w:r>
      <w:r w:rsidR="00DB50AD" w:rsidRPr="00102D12">
        <w:rPr>
          <w:rFonts w:eastAsia="Arial Unicode MS"/>
          <w:bCs/>
          <w:color w:val="000000"/>
          <w:u w:color="000000"/>
          <w:bdr w:val="nil"/>
          <w:lang w:val="en-US" w:eastAsia="en-GB"/>
        </w:rPr>
        <w:t>did not examine the author’s additional submissions.</w:t>
      </w:r>
      <w:r w:rsidRPr="00102D12">
        <w:rPr>
          <w:rFonts w:eastAsia="Arial Unicode MS"/>
          <w:bCs/>
          <w:color w:val="000000"/>
          <w:u w:color="000000"/>
          <w:bdr w:val="nil"/>
          <w:lang w:val="en-US" w:eastAsia="en-GB"/>
        </w:rPr>
        <w:t xml:space="preserve"> </w:t>
      </w:r>
      <w:r w:rsidR="00C50F91" w:rsidRPr="00102D12">
        <w:rPr>
          <w:rFonts w:eastAsia="Arial Unicode MS"/>
          <w:bCs/>
          <w:color w:val="000000"/>
          <w:u w:color="000000"/>
          <w:bdr w:val="nil"/>
          <w:lang w:val="en-US" w:eastAsia="en-GB"/>
        </w:rPr>
        <w:t xml:space="preserve">While the </w:t>
      </w:r>
      <w:r w:rsidRPr="00102D12">
        <w:rPr>
          <w:rFonts w:eastAsia="Arial Unicode MS"/>
          <w:bCs/>
          <w:color w:val="000000"/>
          <w:u w:color="000000"/>
          <w:bdr w:val="nil"/>
          <w:lang w:val="en-US" w:eastAsia="en-GB"/>
        </w:rPr>
        <w:t xml:space="preserve">Blagoevgrad Regional Court showed </w:t>
      </w:r>
      <w:r w:rsidRPr="00102D12">
        <w:rPr>
          <w:rFonts w:eastAsia="Arial Unicode MS"/>
          <w:bCs/>
          <w:i/>
          <w:iCs/>
          <w:color w:val="000000"/>
          <w:u w:color="000000"/>
          <w:bdr w:val="nil"/>
          <w:lang w:val="en-US" w:eastAsia="en-GB"/>
        </w:rPr>
        <w:t>pro forma</w:t>
      </w:r>
      <w:r w:rsidRPr="00102D12">
        <w:rPr>
          <w:rFonts w:eastAsia="Arial Unicode MS"/>
          <w:bCs/>
          <w:color w:val="000000"/>
          <w:u w:color="000000"/>
          <w:bdr w:val="nil"/>
          <w:lang w:val="en-US" w:eastAsia="en-GB"/>
        </w:rPr>
        <w:t xml:space="preserve"> activity in instructing the applicant association to make certain amendments to its statute and application</w:t>
      </w:r>
      <w:r w:rsidR="00C50F91" w:rsidRPr="00102D12">
        <w:rPr>
          <w:rFonts w:eastAsia="Arial Unicode MS"/>
          <w:bCs/>
          <w:color w:val="000000"/>
          <w:u w:color="000000"/>
          <w:bdr w:val="nil"/>
          <w:lang w:val="en-US" w:eastAsia="en-GB"/>
        </w:rPr>
        <w:t xml:space="preserve">, it adopted </w:t>
      </w:r>
      <w:r w:rsidRPr="00102D12">
        <w:rPr>
          <w:rFonts w:eastAsia="Arial Unicode MS"/>
          <w:bCs/>
          <w:color w:val="000000"/>
          <w:u w:color="000000"/>
          <w:bdr w:val="nil"/>
          <w:lang w:val="en-US" w:eastAsia="en-GB"/>
        </w:rPr>
        <w:t>its final ruling in complete disregard of the additional submissions as if they were not made.</w:t>
      </w:r>
      <w:r>
        <w:rPr>
          <w:rFonts w:eastAsia="Arial Unicode MS"/>
          <w:bCs/>
          <w:color w:val="000000"/>
          <w:u w:color="000000"/>
          <w:bdr w:val="nil"/>
          <w:lang w:val="en-US" w:eastAsia="en-GB"/>
        </w:rPr>
        <w:t xml:space="preserve"> </w:t>
      </w:r>
    </w:p>
    <w:p w14:paraId="7A658D05" w14:textId="7FEF7006" w:rsidR="00E75BFB" w:rsidRPr="002011DC" w:rsidRDefault="004E0F12" w:rsidP="002E652B">
      <w:pPr>
        <w:pStyle w:val="SingleTxtG"/>
        <w:rPr>
          <w:rFonts w:eastAsia="Arial Unicode MS"/>
          <w:bCs/>
          <w:color w:val="000000"/>
          <w:u w:color="000000"/>
          <w:bdr w:val="nil"/>
          <w:lang w:val="en-US" w:eastAsia="en-GB"/>
        </w:rPr>
      </w:pPr>
      <w:r w:rsidRPr="00102D12">
        <w:rPr>
          <w:rFonts w:eastAsia="Arial Unicode MS"/>
          <w:bCs/>
          <w:color w:val="000000"/>
          <w:u w:color="000000"/>
          <w:bdr w:val="nil"/>
          <w:lang w:val="en-US" w:eastAsia="en-GB"/>
        </w:rPr>
        <w:t>3.3</w:t>
      </w:r>
      <w:r w:rsidRPr="00102D12">
        <w:rPr>
          <w:rFonts w:eastAsia="Arial Unicode MS"/>
          <w:bCs/>
          <w:color w:val="000000"/>
          <w:u w:color="000000"/>
          <w:bdr w:val="nil"/>
          <w:lang w:val="en-US" w:eastAsia="en-GB"/>
        </w:rPr>
        <w:tab/>
      </w:r>
      <w:r w:rsidR="00547049" w:rsidRPr="00102D12">
        <w:rPr>
          <w:rFonts w:eastAsia="Arial Unicode MS"/>
          <w:bCs/>
          <w:color w:val="000000"/>
          <w:u w:color="000000"/>
          <w:bdr w:val="nil"/>
          <w:lang w:val="en-US" w:eastAsia="en-GB"/>
        </w:rPr>
        <w:t xml:space="preserve">In addition, </w:t>
      </w:r>
      <w:r w:rsidRPr="00102D12">
        <w:rPr>
          <w:rFonts w:eastAsia="Arial Unicode MS"/>
          <w:bCs/>
          <w:color w:val="000000"/>
          <w:u w:color="000000"/>
          <w:bdr w:val="nil"/>
          <w:lang w:val="en-US" w:eastAsia="en-GB"/>
        </w:rPr>
        <w:t xml:space="preserve">the </w:t>
      </w:r>
      <w:r w:rsidR="00DB50AD" w:rsidRPr="00102D12">
        <w:rPr>
          <w:rFonts w:eastAsia="Arial Unicode MS"/>
          <w:bCs/>
          <w:color w:val="000000"/>
          <w:u w:color="000000"/>
          <w:bdr w:val="nil"/>
          <w:lang w:val="en-US" w:eastAsia="en-GB"/>
        </w:rPr>
        <w:t xml:space="preserve">Sofia Court of Appeal without any justification </w:t>
      </w:r>
      <w:r w:rsidR="00E27DBE" w:rsidRPr="00102D12">
        <w:rPr>
          <w:rFonts w:eastAsia="Arial Unicode MS"/>
          <w:bCs/>
          <w:color w:val="000000"/>
          <w:u w:color="000000"/>
          <w:bdr w:val="nil"/>
          <w:lang w:val="en-US" w:eastAsia="en-GB"/>
        </w:rPr>
        <w:t>considered</w:t>
      </w:r>
      <w:r w:rsidR="00DB50AD" w:rsidRPr="00102D12">
        <w:rPr>
          <w:rFonts w:eastAsia="Arial Unicode MS"/>
          <w:bCs/>
          <w:color w:val="000000"/>
          <w:u w:color="000000"/>
          <w:bdr w:val="nil"/>
          <w:lang w:val="en-US" w:eastAsia="en-GB"/>
        </w:rPr>
        <w:t xml:space="preserve"> only the facts and circumstances preceding </w:t>
      </w:r>
      <w:r w:rsidR="00DB50AD" w:rsidRPr="002E652B">
        <w:t>the</w:t>
      </w:r>
      <w:r w:rsidR="00DB50AD" w:rsidRPr="00102D12">
        <w:rPr>
          <w:rFonts w:eastAsia="Arial Unicode MS"/>
          <w:bCs/>
          <w:color w:val="000000"/>
          <w:u w:color="000000"/>
          <w:bdr w:val="nil"/>
          <w:lang w:val="en-US" w:eastAsia="en-GB"/>
        </w:rPr>
        <w:t xml:space="preserve"> submission of the original application</w:t>
      </w:r>
      <w:r w:rsidRPr="00102D12">
        <w:rPr>
          <w:rFonts w:eastAsia="Arial Unicode MS"/>
          <w:bCs/>
          <w:color w:val="000000"/>
          <w:u w:color="000000"/>
          <w:bdr w:val="nil"/>
          <w:lang w:val="en-US" w:eastAsia="en-GB"/>
        </w:rPr>
        <w:t xml:space="preserve">, </w:t>
      </w:r>
      <w:r w:rsidR="00DB50AD" w:rsidRPr="00102D12">
        <w:rPr>
          <w:rFonts w:eastAsia="Arial Unicode MS"/>
          <w:bCs/>
          <w:color w:val="000000"/>
          <w:u w:color="000000"/>
          <w:bdr w:val="nil"/>
          <w:lang w:val="en-US" w:eastAsia="en-GB"/>
        </w:rPr>
        <w:t xml:space="preserve">and invented formalistic and unlawful grounds in denying registration of </w:t>
      </w:r>
      <w:r w:rsidR="00B54B31" w:rsidRPr="00102D12">
        <w:rPr>
          <w:rFonts w:eastAsia="Arial Unicode MS"/>
          <w:bCs/>
          <w:color w:val="000000"/>
          <w:u w:color="000000"/>
          <w:bdr w:val="nil"/>
          <w:lang w:val="en-US" w:eastAsia="en-GB"/>
        </w:rPr>
        <w:t xml:space="preserve">the </w:t>
      </w:r>
      <w:r w:rsidR="00DB50AD" w:rsidRPr="00102D12">
        <w:rPr>
          <w:rFonts w:eastAsia="Arial Unicode MS"/>
          <w:bCs/>
          <w:color w:val="000000"/>
          <w:u w:color="000000"/>
          <w:bdr w:val="nil"/>
          <w:lang w:val="en-US" w:eastAsia="en-GB"/>
        </w:rPr>
        <w:t>HRPCT</w:t>
      </w:r>
      <w:r w:rsidRPr="00102D12">
        <w:rPr>
          <w:rFonts w:eastAsia="Arial Unicode MS"/>
          <w:bCs/>
          <w:color w:val="000000"/>
          <w:u w:color="000000"/>
          <w:bdr w:val="nil"/>
          <w:lang w:val="en-US" w:eastAsia="en-GB"/>
        </w:rPr>
        <w:t>, in contradiction of the Code of Civil Procedure</w:t>
      </w:r>
      <w:r w:rsidR="00DB50AD" w:rsidRPr="00102D12">
        <w:rPr>
          <w:rFonts w:eastAsia="Arial Unicode MS"/>
          <w:bCs/>
          <w:color w:val="000000"/>
          <w:u w:color="000000"/>
          <w:bdr w:val="nil"/>
          <w:lang w:val="en-US" w:eastAsia="en-GB"/>
        </w:rPr>
        <w:t>.</w:t>
      </w:r>
      <w:r w:rsidRPr="00102D12">
        <w:rPr>
          <w:rFonts w:eastAsia="Arial Unicode MS"/>
          <w:bCs/>
          <w:color w:val="000000"/>
          <w:u w:color="000000"/>
          <w:bdr w:val="nil"/>
          <w:lang w:val="en-US" w:eastAsia="en-GB"/>
        </w:rPr>
        <w:t xml:space="preserve"> As concerns the allegedly missing unified citizen’s numbers of three of the founding members, those numbers are no indication whether the person concerned has legal capacity to act. If the absence of those identification numbers has been a</w:t>
      </w:r>
      <w:r w:rsidR="0067260C" w:rsidRPr="00102D12">
        <w:rPr>
          <w:rFonts w:eastAsia="Arial Unicode MS"/>
          <w:bCs/>
          <w:color w:val="000000"/>
          <w:u w:color="000000"/>
          <w:bdr w:val="nil"/>
          <w:lang w:val="en-US" w:eastAsia="en-GB"/>
        </w:rPr>
        <w:t xml:space="preserve"> problem </w:t>
      </w:r>
      <w:r w:rsidRPr="00102D12">
        <w:rPr>
          <w:rFonts w:eastAsia="Arial Unicode MS"/>
          <w:bCs/>
          <w:color w:val="000000"/>
          <w:u w:color="000000"/>
          <w:bdr w:val="nil"/>
          <w:lang w:val="en-US" w:eastAsia="en-GB"/>
        </w:rPr>
        <w:t>at all</w:t>
      </w:r>
      <w:r w:rsidR="0067260C" w:rsidRPr="00102D12">
        <w:rPr>
          <w:rFonts w:eastAsia="Arial Unicode MS"/>
          <w:bCs/>
          <w:color w:val="000000"/>
          <w:u w:color="000000"/>
          <w:bdr w:val="nil"/>
          <w:lang w:val="en-US" w:eastAsia="en-GB"/>
        </w:rPr>
        <w:t>, it could have been easily solved by the Blagoevgrad Regional Court by</w:t>
      </w:r>
      <w:r w:rsidR="00547049" w:rsidRPr="00102D12">
        <w:rPr>
          <w:rFonts w:eastAsia="Arial Unicode MS"/>
          <w:bCs/>
          <w:color w:val="000000"/>
          <w:u w:color="000000"/>
          <w:bdr w:val="nil"/>
          <w:lang w:val="en-US" w:eastAsia="en-GB"/>
        </w:rPr>
        <w:t xml:space="preserve"> seeking the requisite information from the concerned authorities based on a</w:t>
      </w:r>
      <w:r w:rsidR="0067260C" w:rsidRPr="00102D12">
        <w:rPr>
          <w:rFonts w:eastAsia="Arial Unicode MS"/>
          <w:bCs/>
          <w:color w:val="000000"/>
          <w:u w:color="000000"/>
          <w:bdr w:val="nil"/>
          <w:lang w:val="en-US" w:eastAsia="en-GB"/>
        </w:rPr>
        <w:t xml:space="preserve">rticle 535 of the Code of Civil Procedure. </w:t>
      </w:r>
      <w:r w:rsidR="00547049" w:rsidRPr="00102D12">
        <w:rPr>
          <w:rFonts w:eastAsia="Arial Unicode MS"/>
          <w:bCs/>
          <w:color w:val="000000"/>
          <w:u w:color="000000"/>
          <w:bdr w:val="nil"/>
          <w:lang w:val="en-US" w:eastAsia="en-GB"/>
        </w:rPr>
        <w:t xml:space="preserve">Regarding </w:t>
      </w:r>
      <w:r w:rsidR="0067260C" w:rsidRPr="00102D12">
        <w:rPr>
          <w:rFonts w:eastAsia="Arial Unicode MS"/>
          <w:bCs/>
          <w:color w:val="000000"/>
          <w:u w:color="000000"/>
          <w:bdr w:val="nil"/>
          <w:lang w:val="en-US" w:eastAsia="en-GB"/>
        </w:rPr>
        <w:t>the alleged contradiction between article 3 of the NPLEA and article 23 of the Articles of Association regulating the property of the association, this second ground for denial o</w:t>
      </w:r>
      <w:r w:rsidR="00547049" w:rsidRPr="00102D12">
        <w:rPr>
          <w:rFonts w:eastAsia="Arial Unicode MS"/>
          <w:bCs/>
          <w:color w:val="000000"/>
          <w:u w:color="000000"/>
          <w:bdr w:val="nil"/>
          <w:lang w:val="en-US" w:eastAsia="en-GB"/>
        </w:rPr>
        <w:t>f</w:t>
      </w:r>
      <w:r w:rsidR="0067260C" w:rsidRPr="00102D12">
        <w:rPr>
          <w:rFonts w:eastAsia="Arial Unicode MS"/>
          <w:bCs/>
          <w:color w:val="000000"/>
          <w:u w:color="000000"/>
          <w:bdr w:val="nil"/>
          <w:lang w:val="en-US" w:eastAsia="en-GB"/>
        </w:rPr>
        <w:t xml:space="preserve"> registration </w:t>
      </w:r>
      <w:r w:rsidR="00547049" w:rsidRPr="00102D12">
        <w:rPr>
          <w:rFonts w:eastAsia="Arial Unicode MS"/>
          <w:bCs/>
          <w:color w:val="000000"/>
          <w:u w:color="000000"/>
          <w:bdr w:val="nil"/>
          <w:lang w:val="en-US" w:eastAsia="en-GB"/>
        </w:rPr>
        <w:t xml:space="preserve">of the association </w:t>
      </w:r>
      <w:r w:rsidR="0067260C" w:rsidRPr="00102D12">
        <w:rPr>
          <w:rFonts w:eastAsia="Arial Unicode MS"/>
          <w:bCs/>
          <w:color w:val="000000"/>
          <w:u w:color="000000"/>
          <w:bdr w:val="nil"/>
          <w:lang w:val="en-US" w:eastAsia="en-GB"/>
        </w:rPr>
        <w:t>is also unlawful. The founders borrowed the provision of article 23 of the Articles of Association from the statu</w:t>
      </w:r>
      <w:r w:rsidR="00335980" w:rsidRPr="00102D12">
        <w:rPr>
          <w:rFonts w:eastAsia="Arial Unicode MS"/>
          <w:bCs/>
          <w:color w:val="000000"/>
          <w:u w:color="000000"/>
          <w:bdr w:val="nil"/>
          <w:lang w:val="en-US" w:eastAsia="en-GB"/>
        </w:rPr>
        <w:t>t</w:t>
      </w:r>
      <w:r w:rsidR="0067260C" w:rsidRPr="00102D12">
        <w:rPr>
          <w:rFonts w:eastAsia="Arial Unicode MS"/>
          <w:bCs/>
          <w:color w:val="000000"/>
          <w:u w:color="000000"/>
          <w:bdr w:val="nil"/>
          <w:lang w:val="en-US" w:eastAsia="en-GB"/>
        </w:rPr>
        <w:t>es of the above-mentioned non-governmental organizations, which have been legally registered in Bulgaria under the same procedure. If those provisions were unlawful, the Blagoevgrad Regional Court was obliged to recommend their removal from the statute of the HRPCT,</w:t>
      </w:r>
      <w:r w:rsidR="0067260C">
        <w:rPr>
          <w:rFonts w:eastAsia="Arial Unicode MS"/>
          <w:bCs/>
          <w:color w:val="000000"/>
          <w:u w:color="000000"/>
          <w:bdr w:val="nil"/>
          <w:lang w:val="en-US" w:eastAsia="en-GB"/>
        </w:rPr>
        <w:t xml:space="preserve"> which did not happen</w:t>
      </w:r>
      <w:r w:rsidR="0067260C" w:rsidRPr="00102D12">
        <w:rPr>
          <w:rFonts w:eastAsia="Arial Unicode MS"/>
          <w:bCs/>
          <w:color w:val="000000"/>
          <w:u w:color="000000"/>
          <w:bdr w:val="nil"/>
          <w:lang w:val="en-US" w:eastAsia="en-GB"/>
        </w:rPr>
        <w:t xml:space="preserve">. </w:t>
      </w:r>
      <w:r w:rsidR="00DC033D" w:rsidRPr="00102D12">
        <w:rPr>
          <w:rFonts w:eastAsia="Arial Unicode MS"/>
          <w:bCs/>
          <w:color w:val="000000"/>
          <w:u w:color="000000"/>
          <w:bdr w:val="nil"/>
          <w:lang w:val="en-US" w:eastAsia="en-GB"/>
        </w:rPr>
        <w:t xml:space="preserve">Even if unlawful, as judge I. stated in her dissenting opinion, “in case of conflict with the law, the </w:t>
      </w:r>
      <w:r w:rsidR="00DC033D" w:rsidRPr="002E652B">
        <w:t>Articles</w:t>
      </w:r>
      <w:r w:rsidR="00DC033D" w:rsidRPr="00102D12">
        <w:rPr>
          <w:rFonts w:eastAsia="Arial Unicode MS"/>
          <w:bCs/>
          <w:color w:val="000000"/>
          <w:u w:color="000000"/>
          <w:bdr w:val="nil"/>
          <w:lang w:val="en-US" w:eastAsia="en-GB"/>
        </w:rPr>
        <w:t xml:space="preserve"> of Association will not h</w:t>
      </w:r>
      <w:r w:rsidR="00102D12" w:rsidRPr="00102D12">
        <w:rPr>
          <w:rFonts w:eastAsia="Arial Unicode MS"/>
          <w:bCs/>
          <w:color w:val="000000"/>
          <w:u w:color="000000"/>
          <w:bdr w:val="nil"/>
          <w:lang w:val="en-US" w:eastAsia="en-GB"/>
        </w:rPr>
        <w:t xml:space="preserve">ave legal effect </w:t>
      </w:r>
      <w:r w:rsidR="00DC033D" w:rsidRPr="00102D12">
        <w:rPr>
          <w:rFonts w:eastAsia="Arial Unicode MS"/>
          <w:bCs/>
          <w:color w:val="000000"/>
          <w:u w:color="000000"/>
          <w:bdr w:val="nil"/>
          <w:lang w:val="en-US" w:eastAsia="en-GB"/>
        </w:rPr>
        <w:t xml:space="preserve">partially only </w:t>
      </w:r>
      <w:r w:rsidR="00DC033D" w:rsidRPr="00102D12">
        <w:rPr>
          <w:rFonts w:eastAsia="Arial Unicode MS"/>
          <w:bCs/>
          <w:color w:val="000000"/>
          <w:u w:color="000000"/>
          <w:bdr w:val="nil"/>
          <w:lang w:val="en-US" w:eastAsia="en-GB"/>
        </w:rPr>
        <w:lastRenderedPageBreak/>
        <w:t xml:space="preserve">regarding this norm. This part will be void.” </w:t>
      </w:r>
      <w:r w:rsidR="00335980" w:rsidRPr="00102D12">
        <w:rPr>
          <w:rFonts w:eastAsia="Arial Unicode MS"/>
          <w:bCs/>
          <w:color w:val="000000"/>
          <w:u w:color="000000"/>
          <w:bdr w:val="nil"/>
          <w:lang w:val="en-US" w:eastAsia="en-GB"/>
        </w:rPr>
        <w:t xml:space="preserve">Even if </w:t>
      </w:r>
      <w:r w:rsidR="00DC033D" w:rsidRPr="00102D12">
        <w:rPr>
          <w:rFonts w:eastAsia="Arial Unicode MS"/>
          <w:bCs/>
          <w:color w:val="000000"/>
          <w:u w:color="000000"/>
          <w:bdr w:val="nil"/>
          <w:lang w:val="en-US" w:eastAsia="en-GB"/>
        </w:rPr>
        <w:t>assumed</w:t>
      </w:r>
      <w:r w:rsidR="00335980" w:rsidRPr="00102D12">
        <w:rPr>
          <w:rFonts w:eastAsia="Arial Unicode MS"/>
          <w:bCs/>
          <w:color w:val="000000"/>
          <w:u w:color="000000"/>
          <w:bdr w:val="nil"/>
          <w:lang w:val="en-US" w:eastAsia="en-GB"/>
        </w:rPr>
        <w:t xml:space="preserve"> </w:t>
      </w:r>
      <w:r w:rsidR="00DC033D" w:rsidRPr="00102D12">
        <w:rPr>
          <w:rFonts w:eastAsia="Arial Unicode MS"/>
          <w:bCs/>
          <w:color w:val="000000"/>
          <w:u w:color="000000"/>
          <w:bdr w:val="nil"/>
          <w:lang w:val="en-US" w:eastAsia="en-GB"/>
        </w:rPr>
        <w:t>that the restriction of the author’s right to freedom of association had been lawful, it had not pursued any of the legitimate aims specified in article 22 (2) of the Covenant. The restriction of the author’s right was also grossly disproportionate, even if there were small irregularities in the documents, they were not of such a nature to justify a denial of a fundamental human right, which is guaranteed by both the Covenant and the Bulgarian Constitution. Therefore</w:t>
      </w:r>
      <w:r w:rsidR="00560761" w:rsidRPr="00102D12">
        <w:rPr>
          <w:rFonts w:eastAsia="Arial Unicode MS"/>
          <w:bCs/>
          <w:color w:val="000000"/>
          <w:u w:color="000000"/>
          <w:bdr w:val="nil"/>
          <w:lang w:val="en-US" w:eastAsia="en-GB"/>
        </w:rPr>
        <w:t>, there was a violation of article 22 of the Covenant since the restriction of the author’s right to freedom of association had not been “prescribed by law”, had not pursued a legitimate aim and was not necessary in a democratic society.</w:t>
      </w:r>
      <w:r w:rsidR="00C15251">
        <w:rPr>
          <w:rFonts w:eastAsia="Arial Unicode MS"/>
          <w:bCs/>
          <w:color w:val="000000"/>
          <w:u w:color="000000"/>
          <w:bdr w:val="nil"/>
          <w:lang w:val="en-US" w:eastAsia="en-GB"/>
        </w:rPr>
        <w:t xml:space="preserve"> </w:t>
      </w:r>
    </w:p>
    <w:p w14:paraId="7CAEBA86" w14:textId="357FF71B" w:rsidR="00F5242E" w:rsidRPr="00BD3822" w:rsidRDefault="00E75BFB" w:rsidP="002E652B">
      <w:pPr>
        <w:pStyle w:val="SingleTxtG"/>
        <w:rPr>
          <w:rFonts w:eastAsia="Arial Unicode MS"/>
          <w:bCs/>
          <w:color w:val="000000"/>
          <w:u w:color="000000"/>
          <w:bdr w:val="nil"/>
          <w:lang w:val="en-US" w:eastAsia="en-GB"/>
        </w:rPr>
      </w:pPr>
      <w:r w:rsidRPr="005312A5">
        <w:rPr>
          <w:rFonts w:eastAsia="Arial Unicode MS"/>
          <w:bCs/>
          <w:color w:val="000000"/>
          <w:u w:color="000000"/>
          <w:bdr w:val="nil"/>
          <w:lang w:val="en-US" w:eastAsia="en-GB"/>
        </w:rPr>
        <w:t>3.</w:t>
      </w:r>
      <w:r w:rsidR="00560761" w:rsidRPr="005312A5">
        <w:rPr>
          <w:rFonts w:eastAsia="Arial Unicode MS"/>
          <w:bCs/>
          <w:color w:val="000000"/>
          <w:u w:color="000000"/>
          <w:bdr w:val="nil"/>
          <w:lang w:val="en-US" w:eastAsia="en-GB"/>
        </w:rPr>
        <w:t>4</w:t>
      </w:r>
      <w:r w:rsidRPr="005312A5">
        <w:rPr>
          <w:rFonts w:eastAsia="Arial Unicode MS"/>
          <w:bCs/>
          <w:color w:val="000000"/>
          <w:u w:color="000000"/>
          <w:bdr w:val="nil"/>
          <w:lang w:val="en-US" w:eastAsia="en-GB"/>
        </w:rPr>
        <w:tab/>
      </w:r>
      <w:r w:rsidR="00335980" w:rsidRPr="005312A5">
        <w:rPr>
          <w:rFonts w:eastAsia="Arial Unicode MS"/>
          <w:bCs/>
          <w:color w:val="000000"/>
          <w:u w:color="000000"/>
          <w:bdr w:val="nil"/>
          <w:lang w:val="en-US" w:eastAsia="en-GB"/>
        </w:rPr>
        <w:t xml:space="preserve">Furthermore, </w:t>
      </w:r>
      <w:r w:rsidR="00E27DBE" w:rsidRPr="005312A5">
        <w:rPr>
          <w:rFonts w:eastAsia="Arial Unicode MS"/>
          <w:bCs/>
          <w:color w:val="000000"/>
          <w:u w:color="000000"/>
          <w:bdr w:val="nil"/>
          <w:lang w:val="en-US" w:eastAsia="en-GB"/>
        </w:rPr>
        <w:t xml:space="preserve">the </w:t>
      </w:r>
      <w:r w:rsidR="00464F91" w:rsidRPr="005312A5">
        <w:rPr>
          <w:rFonts w:eastAsia="Arial Unicode MS"/>
          <w:bCs/>
          <w:color w:val="000000"/>
          <w:u w:color="000000"/>
          <w:bdr w:val="nil"/>
          <w:lang w:val="en-US" w:eastAsia="en-GB"/>
        </w:rPr>
        <w:t xml:space="preserve">author </w:t>
      </w:r>
      <w:r w:rsidR="00335980" w:rsidRPr="005312A5">
        <w:rPr>
          <w:rFonts w:eastAsia="Arial Unicode MS"/>
          <w:bCs/>
          <w:color w:val="000000"/>
          <w:u w:color="000000"/>
          <w:bdr w:val="nil"/>
          <w:lang w:val="en-US" w:eastAsia="en-GB"/>
        </w:rPr>
        <w:t xml:space="preserve">claims </w:t>
      </w:r>
      <w:r w:rsidR="00464F91" w:rsidRPr="005312A5">
        <w:rPr>
          <w:rFonts w:eastAsia="Arial Unicode MS"/>
          <w:bCs/>
          <w:color w:val="000000"/>
          <w:u w:color="000000"/>
          <w:bdr w:val="nil"/>
          <w:lang w:val="en-US" w:eastAsia="en-GB"/>
        </w:rPr>
        <w:t>that</w:t>
      </w:r>
      <w:r w:rsidR="00E27DBE" w:rsidRPr="005312A5">
        <w:rPr>
          <w:rFonts w:eastAsia="Arial Unicode MS"/>
          <w:bCs/>
          <w:color w:val="000000"/>
          <w:u w:color="000000"/>
          <w:bdr w:val="nil"/>
          <w:lang w:val="en-US" w:eastAsia="en-GB"/>
        </w:rPr>
        <w:t>,</w:t>
      </w:r>
      <w:r w:rsidR="00464F91" w:rsidRPr="005312A5">
        <w:rPr>
          <w:rFonts w:eastAsia="Arial Unicode MS"/>
          <w:bCs/>
          <w:color w:val="000000"/>
          <w:u w:color="000000"/>
          <w:bdr w:val="nil"/>
          <w:lang w:val="en-US" w:eastAsia="en-GB"/>
        </w:rPr>
        <w:t xml:space="preserve"> in exercising his right to freedom of association, he was </w:t>
      </w:r>
      <w:r w:rsidR="00E27DBE" w:rsidRPr="005312A5">
        <w:rPr>
          <w:rFonts w:eastAsia="Arial Unicode MS"/>
          <w:bCs/>
          <w:color w:val="000000"/>
          <w:u w:color="000000"/>
          <w:bdr w:val="nil"/>
          <w:lang w:val="en-US" w:eastAsia="en-GB"/>
        </w:rPr>
        <w:t xml:space="preserve">subjected to </w:t>
      </w:r>
      <w:r w:rsidR="00464F91" w:rsidRPr="005312A5">
        <w:rPr>
          <w:rFonts w:eastAsia="Arial Unicode MS"/>
          <w:bCs/>
          <w:color w:val="000000"/>
          <w:u w:color="000000"/>
          <w:bdr w:val="nil"/>
          <w:lang w:val="en-US" w:eastAsia="en-GB"/>
        </w:rPr>
        <w:t xml:space="preserve">discrimination </w:t>
      </w:r>
      <w:r w:rsidR="00E27DBE" w:rsidRPr="005312A5">
        <w:rPr>
          <w:rFonts w:eastAsia="Arial Unicode MS"/>
          <w:bCs/>
          <w:color w:val="000000"/>
          <w:u w:color="000000"/>
          <w:bdr w:val="nil"/>
          <w:lang w:val="en-US" w:eastAsia="en-GB"/>
        </w:rPr>
        <w:t xml:space="preserve">on </w:t>
      </w:r>
      <w:r w:rsidR="00560761" w:rsidRPr="005312A5">
        <w:rPr>
          <w:rFonts w:eastAsia="Arial Unicode MS"/>
          <w:bCs/>
          <w:color w:val="000000"/>
          <w:u w:color="000000"/>
          <w:bdr w:val="nil"/>
          <w:lang w:val="en-US" w:eastAsia="en-GB"/>
        </w:rPr>
        <w:t xml:space="preserve">the </w:t>
      </w:r>
      <w:r w:rsidR="00E27DBE" w:rsidRPr="005312A5">
        <w:rPr>
          <w:rFonts w:eastAsia="Arial Unicode MS"/>
          <w:bCs/>
          <w:color w:val="000000"/>
          <w:u w:color="000000"/>
          <w:bdr w:val="nil"/>
          <w:lang w:val="en-US" w:eastAsia="en-GB"/>
        </w:rPr>
        <w:t xml:space="preserve">ground </w:t>
      </w:r>
      <w:r w:rsidR="00464F91" w:rsidRPr="005312A5">
        <w:rPr>
          <w:rFonts w:eastAsia="Arial Unicode MS"/>
          <w:bCs/>
          <w:color w:val="000000"/>
          <w:u w:color="000000"/>
          <w:bdr w:val="nil"/>
          <w:lang w:val="en-US" w:eastAsia="en-GB"/>
        </w:rPr>
        <w:t xml:space="preserve">of ethnic origin, contrary to article 2 (1), </w:t>
      </w:r>
      <w:r w:rsidR="00102D12" w:rsidRPr="005312A5">
        <w:rPr>
          <w:rFonts w:eastAsia="Arial Unicode MS"/>
          <w:bCs/>
          <w:color w:val="000000"/>
          <w:u w:color="000000"/>
          <w:bdr w:val="nil"/>
          <w:lang w:val="en-US" w:eastAsia="en-GB"/>
        </w:rPr>
        <w:t xml:space="preserve">read </w:t>
      </w:r>
      <w:r w:rsidR="00464F91" w:rsidRPr="005312A5">
        <w:rPr>
          <w:rFonts w:eastAsia="Arial Unicode MS"/>
          <w:bCs/>
          <w:color w:val="000000"/>
          <w:u w:color="000000"/>
          <w:bdr w:val="nil"/>
          <w:lang w:val="en-US" w:eastAsia="en-GB"/>
        </w:rPr>
        <w:t>in conjunction with article 22</w:t>
      </w:r>
      <w:r w:rsidR="00BD3822" w:rsidRPr="005312A5">
        <w:t xml:space="preserve"> </w:t>
      </w:r>
      <w:r w:rsidR="00BD3822" w:rsidRPr="005312A5">
        <w:rPr>
          <w:rFonts w:eastAsia="Arial Unicode MS"/>
          <w:bCs/>
          <w:color w:val="000000"/>
          <w:u w:color="000000"/>
          <w:bdr w:val="nil"/>
          <w:lang w:val="en-US" w:eastAsia="en-GB"/>
        </w:rPr>
        <w:t>of the Covenant</w:t>
      </w:r>
      <w:r w:rsidR="00464F91" w:rsidRPr="005312A5">
        <w:rPr>
          <w:rFonts w:eastAsia="Arial Unicode MS"/>
          <w:bCs/>
          <w:color w:val="000000"/>
          <w:u w:color="000000"/>
          <w:bdr w:val="nil"/>
          <w:lang w:val="en-US" w:eastAsia="en-GB"/>
        </w:rPr>
        <w:t xml:space="preserve">. </w:t>
      </w:r>
      <w:r w:rsidR="00E27DBE" w:rsidRPr="005312A5">
        <w:rPr>
          <w:rFonts w:eastAsia="Arial Unicode MS"/>
          <w:bCs/>
          <w:color w:val="000000"/>
          <w:u w:color="000000"/>
          <w:bdr w:val="nil"/>
          <w:lang w:val="en-US" w:eastAsia="en-GB"/>
        </w:rPr>
        <w:t xml:space="preserve">He asserts that the </w:t>
      </w:r>
      <w:r w:rsidR="00464F91" w:rsidRPr="005312A5">
        <w:rPr>
          <w:rFonts w:eastAsia="Arial Unicode MS"/>
          <w:bCs/>
          <w:color w:val="000000"/>
          <w:u w:color="000000"/>
          <w:bdr w:val="nil"/>
          <w:lang w:val="en-US" w:eastAsia="en-GB"/>
        </w:rPr>
        <w:t>only difference between the HRPCT’s statute and those of already registered associations is the former’s reference to ethnic Macedonians</w:t>
      </w:r>
      <w:r w:rsidR="00BD3822" w:rsidRPr="005312A5">
        <w:rPr>
          <w:rFonts w:eastAsia="Arial Unicode MS"/>
          <w:bCs/>
          <w:color w:val="000000"/>
          <w:u w:color="000000"/>
          <w:bdr w:val="nil"/>
          <w:lang w:val="en-US" w:eastAsia="en-GB"/>
        </w:rPr>
        <w:t>, which points to the alleged discrimination</w:t>
      </w:r>
      <w:r w:rsidR="00464F91" w:rsidRPr="005312A5">
        <w:rPr>
          <w:rFonts w:eastAsia="Arial Unicode MS"/>
          <w:bCs/>
          <w:color w:val="000000"/>
          <w:u w:color="000000"/>
          <w:bdr w:val="nil"/>
          <w:lang w:val="en-US" w:eastAsia="en-GB"/>
        </w:rPr>
        <w:t>.</w:t>
      </w:r>
      <w:r w:rsidR="00210262" w:rsidRPr="005312A5">
        <w:rPr>
          <w:rFonts w:eastAsia="Arial Unicode MS"/>
          <w:bCs/>
          <w:color w:val="000000"/>
          <w:u w:color="000000"/>
          <w:bdr w:val="nil"/>
          <w:lang w:val="en-US" w:eastAsia="en-GB"/>
        </w:rPr>
        <w:t xml:space="preserve"> </w:t>
      </w:r>
      <w:r w:rsidR="00560761" w:rsidRPr="005312A5">
        <w:rPr>
          <w:rFonts w:eastAsia="Arial Unicode MS"/>
          <w:bCs/>
          <w:color w:val="000000"/>
          <w:u w:color="000000"/>
          <w:bdr w:val="nil"/>
          <w:lang w:val="en-US" w:eastAsia="en-GB"/>
        </w:rPr>
        <w:t xml:space="preserve">The author admits that the courts do not mention the founding members’ Macedonian ethnic identity explicitly, to avoid being </w:t>
      </w:r>
      <w:r w:rsidR="00560761" w:rsidRPr="002E652B">
        <w:t>accused</w:t>
      </w:r>
      <w:r w:rsidR="00560761" w:rsidRPr="005312A5">
        <w:rPr>
          <w:rFonts w:eastAsia="Arial Unicode MS"/>
          <w:bCs/>
          <w:color w:val="000000"/>
          <w:u w:color="000000"/>
          <w:bdr w:val="nil"/>
          <w:lang w:val="en-US" w:eastAsia="en-GB"/>
        </w:rPr>
        <w:t xml:space="preserve"> of discrimination. The </w:t>
      </w:r>
      <w:r w:rsidR="00BD3822" w:rsidRPr="005312A5">
        <w:rPr>
          <w:rFonts w:eastAsia="Arial Unicode MS"/>
          <w:bCs/>
          <w:color w:val="000000"/>
          <w:u w:color="000000"/>
          <w:bdr w:val="nil"/>
          <w:lang w:val="en-US" w:eastAsia="en-GB"/>
        </w:rPr>
        <w:t>two courts invented grounds for refusal of registration of the HRP</w:t>
      </w:r>
      <w:r w:rsidR="00384820">
        <w:rPr>
          <w:rFonts w:eastAsia="Arial Unicode MS"/>
          <w:bCs/>
          <w:color w:val="000000"/>
          <w:u w:color="000000"/>
          <w:bdr w:val="nil"/>
          <w:lang w:val="en-US" w:eastAsia="en-GB"/>
        </w:rPr>
        <w:t>C</w:t>
      </w:r>
      <w:r w:rsidR="00BD3822" w:rsidRPr="005312A5">
        <w:rPr>
          <w:rFonts w:eastAsia="Arial Unicode MS"/>
          <w:bCs/>
          <w:color w:val="000000"/>
          <w:u w:color="000000"/>
          <w:bdr w:val="nil"/>
          <w:lang w:val="en-US" w:eastAsia="en-GB"/>
        </w:rPr>
        <w:t>T, which they usually do not apply in the registration of other non-profit organizations, when they are not Macedonian.</w:t>
      </w:r>
      <w:r w:rsidR="00FA655E">
        <w:rPr>
          <w:rFonts w:eastAsia="Arial Unicode MS"/>
          <w:bCs/>
          <w:color w:val="000000"/>
          <w:u w:color="000000"/>
          <w:bdr w:val="nil"/>
          <w:lang w:val="en-US" w:eastAsia="en-GB"/>
        </w:rPr>
        <w:t xml:space="preserve"> In that context, the </w:t>
      </w:r>
      <w:r w:rsidR="00464F91" w:rsidRPr="00BD3822">
        <w:rPr>
          <w:rFonts w:eastAsia="Arial Unicode MS"/>
          <w:bCs/>
          <w:color w:val="000000"/>
          <w:u w:color="000000"/>
          <w:bdr w:val="nil"/>
          <w:lang w:val="en-US" w:eastAsia="en-GB"/>
        </w:rPr>
        <w:t xml:space="preserve">author </w:t>
      </w:r>
      <w:r w:rsidR="00FA655E">
        <w:rPr>
          <w:rFonts w:eastAsia="Arial Unicode MS"/>
          <w:bCs/>
          <w:color w:val="000000"/>
          <w:u w:color="000000"/>
          <w:bdr w:val="nil"/>
          <w:lang w:val="en-US" w:eastAsia="en-GB"/>
        </w:rPr>
        <w:t xml:space="preserve">asserts </w:t>
      </w:r>
      <w:r w:rsidR="00464F91" w:rsidRPr="00BD3822">
        <w:rPr>
          <w:rFonts w:eastAsia="Arial Unicode MS"/>
          <w:bCs/>
          <w:color w:val="000000"/>
          <w:u w:color="000000"/>
          <w:bdr w:val="nil"/>
          <w:lang w:val="en-US" w:eastAsia="en-GB"/>
        </w:rPr>
        <w:t>that the Bulgarian authorities</w:t>
      </w:r>
      <w:r w:rsidR="00E87FA0">
        <w:rPr>
          <w:rFonts w:eastAsia="Arial Unicode MS"/>
          <w:bCs/>
          <w:color w:val="000000"/>
          <w:u w:color="000000"/>
          <w:bdr w:val="nil"/>
          <w:lang w:val="en-US" w:eastAsia="en-GB"/>
        </w:rPr>
        <w:t xml:space="preserve">, since Bulgaria’s independence, </w:t>
      </w:r>
      <w:r w:rsidR="00464F91" w:rsidRPr="00BD3822">
        <w:rPr>
          <w:rFonts w:eastAsia="Arial Unicode MS"/>
          <w:bCs/>
          <w:color w:val="000000"/>
          <w:u w:color="000000"/>
          <w:bdr w:val="nil"/>
          <w:lang w:val="en-US" w:eastAsia="en-GB"/>
        </w:rPr>
        <w:t>systematically deny the Macedonian ethnic identity</w:t>
      </w:r>
      <w:r w:rsidR="00E87FA0">
        <w:rPr>
          <w:rFonts w:eastAsia="Arial Unicode MS"/>
          <w:bCs/>
          <w:color w:val="000000"/>
          <w:u w:color="000000"/>
          <w:bdr w:val="nil"/>
          <w:lang w:val="en-US" w:eastAsia="en-GB"/>
        </w:rPr>
        <w:t xml:space="preserve"> as they consider Macedonians as Bulgarians and that Macedonia is a geographic region that ethnically belongs to Bulgaria</w:t>
      </w:r>
      <w:r w:rsidR="00FA655E">
        <w:rPr>
          <w:rFonts w:eastAsia="Arial Unicode MS"/>
          <w:bCs/>
          <w:color w:val="000000"/>
          <w:u w:color="000000"/>
          <w:bdr w:val="nil"/>
          <w:lang w:val="en-US" w:eastAsia="en-GB"/>
        </w:rPr>
        <w:t xml:space="preserve">. </w:t>
      </w:r>
      <w:r w:rsidR="00485E81" w:rsidRPr="00485E81">
        <w:rPr>
          <w:rFonts w:eastAsia="Arial Unicode MS"/>
          <w:bCs/>
          <w:color w:val="000000"/>
          <w:u w:color="000000"/>
          <w:bdr w:val="nil"/>
          <w:lang w:val="en-US" w:eastAsia="en-GB"/>
        </w:rPr>
        <w:t>Since then, this has been the official policy of all subsequent governments, which has included routine denials of the existence in Bulgaria of persons with Macedonian ethnic identity, such as through denials of registrations of non-profit associations of ethnic Macedonians. The author also referred to some of the latest incidents of denials of registrations of associations of ethnic Macedonians.</w:t>
      </w:r>
      <w:r w:rsidR="00BC5986">
        <w:rPr>
          <w:rFonts w:eastAsia="Arial Unicode MS"/>
          <w:bCs/>
          <w:color w:val="000000"/>
          <w:u w:color="000000"/>
          <w:bdr w:val="nil"/>
          <w:lang w:val="en-US" w:eastAsia="en-GB"/>
        </w:rPr>
        <w:t xml:space="preserve"> </w:t>
      </w:r>
      <w:r w:rsidR="00BC5986" w:rsidRPr="005312A5">
        <w:rPr>
          <w:rFonts w:eastAsia="Arial Unicode MS"/>
          <w:bCs/>
          <w:color w:val="000000"/>
          <w:u w:color="000000"/>
          <w:bdr w:val="nil"/>
          <w:lang w:val="en-US" w:eastAsia="en-GB"/>
        </w:rPr>
        <w:t xml:space="preserve">Finally, the author </w:t>
      </w:r>
      <w:r w:rsidR="00FA655E" w:rsidRPr="005312A5">
        <w:rPr>
          <w:rFonts w:eastAsia="Arial Unicode MS"/>
          <w:bCs/>
          <w:color w:val="000000"/>
          <w:u w:color="000000"/>
          <w:bdr w:val="nil"/>
          <w:lang w:val="en-US" w:eastAsia="en-GB"/>
        </w:rPr>
        <w:t xml:space="preserve">argued </w:t>
      </w:r>
      <w:r w:rsidR="00BC5986" w:rsidRPr="005312A5">
        <w:rPr>
          <w:rFonts w:eastAsia="Arial Unicode MS"/>
          <w:bCs/>
          <w:color w:val="000000"/>
          <w:u w:color="000000"/>
          <w:bdr w:val="nil"/>
          <w:lang w:val="en-US" w:eastAsia="en-GB"/>
        </w:rPr>
        <w:t>that no group in Bulgaria, ethnic or other, has suffered from such a systematic denial o</w:t>
      </w:r>
      <w:r w:rsidR="00502850" w:rsidRPr="005312A5">
        <w:rPr>
          <w:rFonts w:eastAsia="Arial Unicode MS"/>
          <w:bCs/>
          <w:color w:val="000000"/>
          <w:u w:color="000000"/>
          <w:bdr w:val="nil"/>
          <w:lang w:val="en-US" w:eastAsia="en-GB"/>
        </w:rPr>
        <w:t>f</w:t>
      </w:r>
      <w:r w:rsidR="00BC5986" w:rsidRPr="005312A5">
        <w:rPr>
          <w:rFonts w:eastAsia="Arial Unicode MS"/>
          <w:bCs/>
          <w:color w:val="000000"/>
          <w:u w:color="000000"/>
          <w:bdr w:val="nil"/>
          <w:lang w:val="en-US" w:eastAsia="en-GB"/>
        </w:rPr>
        <w:t xml:space="preserve"> their identity and </w:t>
      </w:r>
      <w:r w:rsidR="00FA655E" w:rsidRPr="005312A5">
        <w:rPr>
          <w:rFonts w:eastAsia="Arial Unicode MS"/>
          <w:bCs/>
          <w:color w:val="000000"/>
          <w:u w:color="000000"/>
          <w:bdr w:val="nil"/>
          <w:lang w:val="en-US" w:eastAsia="en-GB"/>
        </w:rPr>
        <w:t xml:space="preserve">their </w:t>
      </w:r>
      <w:r w:rsidR="00BC5986" w:rsidRPr="005312A5">
        <w:rPr>
          <w:rFonts w:eastAsia="Arial Unicode MS"/>
          <w:bCs/>
          <w:color w:val="000000"/>
          <w:u w:color="000000"/>
          <w:bdr w:val="nil"/>
          <w:lang w:val="en-US" w:eastAsia="en-GB"/>
        </w:rPr>
        <w:t>rights to assembly and to association as ethnic Macedonians.</w:t>
      </w:r>
      <w:r w:rsidR="00C15251">
        <w:rPr>
          <w:rFonts w:eastAsia="Arial Unicode MS"/>
          <w:bCs/>
          <w:color w:val="000000"/>
          <w:u w:color="000000"/>
          <w:bdr w:val="nil"/>
          <w:lang w:val="en-US" w:eastAsia="en-GB"/>
        </w:rPr>
        <w:t xml:space="preserve"> </w:t>
      </w:r>
    </w:p>
    <w:p w14:paraId="482889F2" w14:textId="38F02953" w:rsidR="00D92C9C" w:rsidRDefault="002920D8" w:rsidP="002920D8">
      <w:pPr>
        <w:pStyle w:val="H23G"/>
        <w:rPr>
          <w:rFonts w:eastAsia="Calibri"/>
        </w:rPr>
      </w:pPr>
      <w:r>
        <w:rPr>
          <w:rFonts w:eastAsia="Calibri"/>
        </w:rPr>
        <w:tab/>
      </w:r>
      <w:r>
        <w:rPr>
          <w:rFonts w:eastAsia="Calibri"/>
        </w:rPr>
        <w:tab/>
      </w:r>
      <w:r w:rsidR="00830D3F" w:rsidRPr="00830D3F">
        <w:rPr>
          <w:rFonts w:eastAsia="Calibri"/>
        </w:rPr>
        <w:t xml:space="preserve">State </w:t>
      </w:r>
      <w:r w:rsidR="005460DA">
        <w:rPr>
          <w:rFonts w:eastAsia="Calibri"/>
        </w:rPr>
        <w:t>P</w:t>
      </w:r>
      <w:r w:rsidR="00830D3F" w:rsidRPr="00830D3F">
        <w:rPr>
          <w:rFonts w:eastAsia="Calibri"/>
        </w:rPr>
        <w:t>arty’s observations on admissibility</w:t>
      </w:r>
      <w:r w:rsidR="00E66729">
        <w:rPr>
          <w:rFonts w:eastAsia="Calibri"/>
        </w:rPr>
        <w:t xml:space="preserve"> and the merits</w:t>
      </w:r>
      <w:r w:rsidR="00830D3F" w:rsidRPr="00830D3F">
        <w:rPr>
          <w:rFonts w:eastAsia="Calibri"/>
        </w:rPr>
        <w:t xml:space="preserve"> </w:t>
      </w:r>
    </w:p>
    <w:p w14:paraId="480C596F" w14:textId="77777777" w:rsidR="00E66729" w:rsidRDefault="000F31C2" w:rsidP="002E652B">
      <w:pPr>
        <w:pStyle w:val="SingleTxtG"/>
        <w:rPr>
          <w:rFonts w:eastAsia="Calibri"/>
        </w:rPr>
      </w:pPr>
      <w:r>
        <w:rPr>
          <w:rFonts w:eastAsia="Calibri"/>
        </w:rPr>
        <w:t>4</w:t>
      </w:r>
      <w:r w:rsidR="00EE2D85">
        <w:rPr>
          <w:rFonts w:eastAsia="Calibri"/>
        </w:rPr>
        <w:t>.</w:t>
      </w:r>
      <w:r w:rsidR="000A031F">
        <w:rPr>
          <w:rFonts w:eastAsia="Calibri"/>
        </w:rPr>
        <w:t>1</w:t>
      </w:r>
      <w:r w:rsidR="00EE2D85">
        <w:rPr>
          <w:rFonts w:eastAsia="Calibri"/>
        </w:rPr>
        <w:tab/>
      </w:r>
      <w:r w:rsidR="00167BD5">
        <w:rPr>
          <w:rFonts w:eastAsia="Calibri"/>
        </w:rPr>
        <w:t xml:space="preserve">On </w:t>
      </w:r>
      <w:r w:rsidR="00E66729">
        <w:rPr>
          <w:rFonts w:eastAsia="Calibri"/>
        </w:rPr>
        <w:t xml:space="preserve">15 May 2020, </w:t>
      </w:r>
      <w:r w:rsidR="00177A07">
        <w:rPr>
          <w:rFonts w:eastAsia="Calibri"/>
        </w:rPr>
        <w:t xml:space="preserve">the </w:t>
      </w:r>
      <w:r w:rsidR="00177A07" w:rsidRPr="002E652B">
        <w:t>State</w:t>
      </w:r>
      <w:r w:rsidR="00177A07">
        <w:rPr>
          <w:rFonts w:eastAsia="Calibri"/>
        </w:rPr>
        <w:t xml:space="preserve"> </w:t>
      </w:r>
      <w:r w:rsidR="005460DA">
        <w:rPr>
          <w:rFonts w:eastAsia="Calibri"/>
        </w:rPr>
        <w:t>P</w:t>
      </w:r>
      <w:r w:rsidR="00177A07">
        <w:rPr>
          <w:rFonts w:eastAsia="Calibri"/>
        </w:rPr>
        <w:t xml:space="preserve">arty submitted </w:t>
      </w:r>
      <w:r w:rsidR="00E66729">
        <w:rPr>
          <w:rFonts w:eastAsia="Calibri"/>
        </w:rPr>
        <w:t xml:space="preserve">its observations on admissibility and the merits. </w:t>
      </w:r>
    </w:p>
    <w:p w14:paraId="2D2C6631" w14:textId="075C1A3C" w:rsidR="00E66729" w:rsidRDefault="00E66729" w:rsidP="002E652B">
      <w:pPr>
        <w:pStyle w:val="SingleTxtG"/>
        <w:rPr>
          <w:rFonts w:eastAsia="Calibri"/>
        </w:rPr>
      </w:pPr>
      <w:r w:rsidRPr="00F03F8B">
        <w:rPr>
          <w:rFonts w:eastAsia="Calibri"/>
        </w:rPr>
        <w:t>4.2</w:t>
      </w:r>
      <w:r w:rsidRPr="00F03F8B">
        <w:rPr>
          <w:rFonts w:eastAsia="Calibri"/>
        </w:rPr>
        <w:tab/>
        <w:t xml:space="preserve">As regards the admissibility, the State Party argued that the author has not exhausted all available domestic remedies. Although the decision of the Sofia Court of Appeal is final, it has not gained binding force yet. Furthermore, there are no limitations for the author to submit a new request for registration, after eliminating the shortcomings </w:t>
      </w:r>
      <w:r w:rsidR="00A72469" w:rsidRPr="00F03F8B">
        <w:rPr>
          <w:rFonts w:eastAsia="Calibri"/>
        </w:rPr>
        <w:t xml:space="preserve">determined </w:t>
      </w:r>
      <w:r w:rsidRPr="00F03F8B">
        <w:rPr>
          <w:rFonts w:eastAsia="Calibri"/>
        </w:rPr>
        <w:t xml:space="preserve">by the </w:t>
      </w:r>
      <w:r w:rsidR="00F03F8B" w:rsidRPr="00F03F8B">
        <w:rPr>
          <w:rFonts w:eastAsia="Calibri"/>
        </w:rPr>
        <w:t>regional c</w:t>
      </w:r>
      <w:r w:rsidRPr="00F03F8B">
        <w:rPr>
          <w:rFonts w:eastAsia="Calibri"/>
        </w:rPr>
        <w:t xml:space="preserve">ourt in the </w:t>
      </w:r>
      <w:r w:rsidR="00A72469" w:rsidRPr="00F03F8B">
        <w:rPr>
          <w:rFonts w:eastAsia="Calibri"/>
        </w:rPr>
        <w:t xml:space="preserve">original </w:t>
      </w:r>
      <w:r w:rsidRPr="00F03F8B">
        <w:rPr>
          <w:rFonts w:eastAsia="Calibri"/>
        </w:rPr>
        <w:t>request</w:t>
      </w:r>
      <w:r w:rsidR="00A72469" w:rsidRPr="00F03F8B">
        <w:rPr>
          <w:rFonts w:eastAsia="Calibri"/>
        </w:rPr>
        <w:t xml:space="preserve"> </w:t>
      </w:r>
      <w:r w:rsidRPr="00F03F8B">
        <w:rPr>
          <w:rFonts w:eastAsia="Calibri"/>
        </w:rPr>
        <w:t xml:space="preserve">and by complying with the </w:t>
      </w:r>
      <w:r w:rsidR="00A72469" w:rsidRPr="00F03F8B">
        <w:rPr>
          <w:rFonts w:eastAsia="Calibri"/>
        </w:rPr>
        <w:t xml:space="preserve">requirements </w:t>
      </w:r>
      <w:r w:rsidRPr="00F03F8B">
        <w:rPr>
          <w:rFonts w:eastAsia="Calibri"/>
        </w:rPr>
        <w:t>of the domestic law.</w:t>
      </w:r>
      <w:r>
        <w:rPr>
          <w:rFonts w:eastAsia="Calibri"/>
        </w:rPr>
        <w:t xml:space="preserve"> </w:t>
      </w:r>
    </w:p>
    <w:p w14:paraId="4A902482" w14:textId="27AAF2DB" w:rsidR="008E79BA" w:rsidRDefault="00E66729" w:rsidP="002E652B">
      <w:pPr>
        <w:pStyle w:val="SingleTxtG"/>
        <w:rPr>
          <w:rFonts w:eastAsia="Calibri"/>
        </w:rPr>
      </w:pPr>
      <w:r>
        <w:rPr>
          <w:rFonts w:eastAsia="Calibri"/>
        </w:rPr>
        <w:t>4.3</w:t>
      </w:r>
      <w:r>
        <w:rPr>
          <w:rFonts w:eastAsia="Calibri"/>
        </w:rPr>
        <w:tab/>
        <w:t xml:space="preserve">As to the merits, the </w:t>
      </w:r>
      <w:r w:rsidRPr="002E652B">
        <w:t>State</w:t>
      </w:r>
      <w:r>
        <w:rPr>
          <w:rFonts w:eastAsia="Calibri"/>
        </w:rPr>
        <w:t xml:space="preserve"> Party submitted that the author has not </w:t>
      </w:r>
      <w:r w:rsidR="0026559A">
        <w:rPr>
          <w:rFonts w:eastAsia="Calibri"/>
        </w:rPr>
        <w:t xml:space="preserve">provided </w:t>
      </w:r>
      <w:r>
        <w:rPr>
          <w:rFonts w:eastAsia="Calibri"/>
        </w:rPr>
        <w:t xml:space="preserve">sufficient evidence to substantiate his allegations of a violation of article 2 (1) of the Covenant. The cited arguments regarding the alleged violation of the prohibition of discrimination quote other cases that are not applicable to the present case. Although the claims do not deny that the </w:t>
      </w:r>
      <w:r w:rsidR="00F03F8B">
        <w:rPr>
          <w:rFonts w:eastAsia="Calibri"/>
        </w:rPr>
        <w:t>c</w:t>
      </w:r>
      <w:r>
        <w:rPr>
          <w:rFonts w:eastAsia="Calibri"/>
        </w:rPr>
        <w:t xml:space="preserve">ourt’s decision is not based on the ethnic identity of the founders of the organisation, namely Macedonian, </w:t>
      </w:r>
      <w:r w:rsidR="00162CDA">
        <w:rPr>
          <w:rFonts w:eastAsia="Calibri"/>
        </w:rPr>
        <w:t xml:space="preserve">the author made </w:t>
      </w:r>
      <w:r>
        <w:rPr>
          <w:rFonts w:eastAsia="Calibri"/>
        </w:rPr>
        <w:t xml:space="preserve">unfounded </w:t>
      </w:r>
      <w:r w:rsidR="00162CDA">
        <w:rPr>
          <w:rFonts w:eastAsia="Calibri"/>
        </w:rPr>
        <w:t xml:space="preserve">claims </w:t>
      </w:r>
      <w:r>
        <w:rPr>
          <w:rFonts w:eastAsia="Calibri"/>
        </w:rPr>
        <w:t xml:space="preserve">based on the </w:t>
      </w:r>
      <w:r w:rsidR="00F03F8B">
        <w:rPr>
          <w:rFonts w:eastAsia="Calibri"/>
        </w:rPr>
        <w:t>c</w:t>
      </w:r>
      <w:r>
        <w:rPr>
          <w:rFonts w:eastAsia="Calibri"/>
        </w:rPr>
        <w:t>ourt’s decision</w:t>
      </w:r>
      <w:r w:rsidR="00162CDA">
        <w:rPr>
          <w:rFonts w:eastAsia="Calibri"/>
        </w:rPr>
        <w:t xml:space="preserve"> </w:t>
      </w:r>
      <w:r>
        <w:rPr>
          <w:rFonts w:eastAsia="Calibri"/>
        </w:rPr>
        <w:t xml:space="preserve">to </w:t>
      </w:r>
      <w:r w:rsidR="008E79BA">
        <w:rPr>
          <w:rFonts w:eastAsia="Calibri"/>
        </w:rPr>
        <w:t xml:space="preserve">deny the registration. The </w:t>
      </w:r>
      <w:r w:rsidR="00162CDA">
        <w:rPr>
          <w:rFonts w:eastAsia="Calibri"/>
        </w:rPr>
        <w:t xml:space="preserve">author’s </w:t>
      </w:r>
      <w:r w:rsidR="008E79BA">
        <w:rPr>
          <w:rFonts w:eastAsia="Calibri"/>
        </w:rPr>
        <w:t xml:space="preserve">arguments </w:t>
      </w:r>
      <w:r w:rsidR="00F03F8B">
        <w:rPr>
          <w:rFonts w:eastAsia="Calibri"/>
        </w:rPr>
        <w:t>i</w:t>
      </w:r>
      <w:r w:rsidR="008E79BA">
        <w:rPr>
          <w:rFonts w:eastAsia="Calibri"/>
        </w:rPr>
        <w:t xml:space="preserve">n </w:t>
      </w:r>
      <w:r w:rsidR="00F03F8B">
        <w:rPr>
          <w:rFonts w:eastAsia="Calibri"/>
        </w:rPr>
        <w:t xml:space="preserve">his initial communication </w:t>
      </w:r>
      <w:r w:rsidR="008E79BA">
        <w:rPr>
          <w:rFonts w:eastAsia="Calibri"/>
        </w:rPr>
        <w:t xml:space="preserve">do not take into consideration the obvious reasons for the </w:t>
      </w:r>
      <w:r w:rsidR="00F03F8B">
        <w:rPr>
          <w:rFonts w:eastAsia="Calibri"/>
        </w:rPr>
        <w:t>c</w:t>
      </w:r>
      <w:r w:rsidR="008E79BA">
        <w:rPr>
          <w:rFonts w:eastAsia="Calibri"/>
        </w:rPr>
        <w:t>ourt’s decision, includ</w:t>
      </w:r>
      <w:r w:rsidR="00162CDA">
        <w:rPr>
          <w:rFonts w:eastAsia="Calibri"/>
        </w:rPr>
        <w:t xml:space="preserve">ing </w:t>
      </w:r>
      <w:r w:rsidR="008E79BA">
        <w:rPr>
          <w:rFonts w:eastAsia="Calibri"/>
        </w:rPr>
        <w:t xml:space="preserve">the breach of obligatory legal requirements for registration. </w:t>
      </w:r>
    </w:p>
    <w:p w14:paraId="03B65D13" w14:textId="016C24D8" w:rsidR="00234332" w:rsidRDefault="008E79BA" w:rsidP="002E652B">
      <w:pPr>
        <w:pStyle w:val="SingleTxtG"/>
        <w:rPr>
          <w:rFonts w:eastAsia="Calibri"/>
        </w:rPr>
      </w:pPr>
      <w:r>
        <w:rPr>
          <w:rFonts w:eastAsia="Calibri"/>
        </w:rPr>
        <w:t>4.4</w:t>
      </w:r>
      <w:r>
        <w:rPr>
          <w:rFonts w:eastAsia="Calibri"/>
        </w:rPr>
        <w:tab/>
      </w:r>
      <w:r w:rsidR="00162CDA">
        <w:rPr>
          <w:rFonts w:eastAsia="Calibri"/>
        </w:rPr>
        <w:t xml:space="preserve">The State Party noted </w:t>
      </w:r>
      <w:r w:rsidR="00764FE2">
        <w:rPr>
          <w:rFonts w:eastAsia="Calibri"/>
        </w:rPr>
        <w:t>the author</w:t>
      </w:r>
      <w:r w:rsidR="00162CDA">
        <w:rPr>
          <w:rFonts w:eastAsia="Calibri"/>
        </w:rPr>
        <w:t>’s</w:t>
      </w:r>
      <w:r w:rsidR="00764FE2">
        <w:rPr>
          <w:rFonts w:eastAsia="Calibri"/>
        </w:rPr>
        <w:t xml:space="preserve"> assert</w:t>
      </w:r>
      <w:r w:rsidR="00162CDA">
        <w:rPr>
          <w:rFonts w:eastAsia="Calibri"/>
        </w:rPr>
        <w:t xml:space="preserve">ion </w:t>
      </w:r>
      <w:r w:rsidR="00764FE2">
        <w:rPr>
          <w:rFonts w:eastAsia="Calibri"/>
        </w:rPr>
        <w:t xml:space="preserve">that </w:t>
      </w:r>
      <w:r w:rsidR="00162CDA">
        <w:rPr>
          <w:rFonts w:eastAsia="Calibri"/>
        </w:rPr>
        <w:t xml:space="preserve">his rights </w:t>
      </w:r>
      <w:r w:rsidR="00162CDA" w:rsidRPr="00312DC1">
        <w:rPr>
          <w:rFonts w:eastAsia="Calibri"/>
        </w:rPr>
        <w:t xml:space="preserve">under </w:t>
      </w:r>
      <w:r w:rsidR="00764FE2" w:rsidRPr="00312DC1">
        <w:rPr>
          <w:rFonts w:eastAsia="Calibri"/>
        </w:rPr>
        <w:t>article 22</w:t>
      </w:r>
      <w:r w:rsidR="00764FE2">
        <w:rPr>
          <w:rFonts w:eastAsia="Calibri"/>
        </w:rPr>
        <w:t xml:space="preserve"> </w:t>
      </w:r>
      <w:r w:rsidR="00162CDA">
        <w:rPr>
          <w:rFonts w:eastAsia="Calibri"/>
        </w:rPr>
        <w:t xml:space="preserve">of the Covenant were violated, </w:t>
      </w:r>
      <w:r w:rsidR="00764FE2">
        <w:rPr>
          <w:rFonts w:eastAsia="Calibri"/>
        </w:rPr>
        <w:t>since the limitation</w:t>
      </w:r>
      <w:r w:rsidR="00162CDA">
        <w:rPr>
          <w:rFonts w:eastAsia="Calibri"/>
        </w:rPr>
        <w:t>s</w:t>
      </w:r>
      <w:r w:rsidR="00764FE2">
        <w:rPr>
          <w:rFonts w:eastAsia="Calibri"/>
        </w:rPr>
        <w:t xml:space="preserve"> of the right of association </w:t>
      </w:r>
      <w:r w:rsidR="00162CDA">
        <w:rPr>
          <w:rFonts w:eastAsia="Calibri"/>
        </w:rPr>
        <w:t>have not been s</w:t>
      </w:r>
      <w:r w:rsidR="00F13BD9">
        <w:rPr>
          <w:rFonts w:eastAsia="Calibri"/>
        </w:rPr>
        <w:t xml:space="preserve">tipulated </w:t>
      </w:r>
      <w:r w:rsidR="00764FE2">
        <w:rPr>
          <w:rFonts w:eastAsia="Calibri"/>
        </w:rPr>
        <w:t xml:space="preserve">in </w:t>
      </w:r>
      <w:r w:rsidR="00162CDA">
        <w:rPr>
          <w:rFonts w:eastAsia="Calibri"/>
        </w:rPr>
        <w:t xml:space="preserve">the </w:t>
      </w:r>
      <w:r w:rsidR="00764FE2">
        <w:rPr>
          <w:rFonts w:eastAsia="Calibri"/>
        </w:rPr>
        <w:t>law, d</w:t>
      </w:r>
      <w:r w:rsidR="00162CDA">
        <w:rPr>
          <w:rFonts w:eastAsia="Calibri"/>
        </w:rPr>
        <w:t xml:space="preserve">id </w:t>
      </w:r>
      <w:r w:rsidR="00764FE2">
        <w:rPr>
          <w:rFonts w:eastAsia="Calibri"/>
        </w:rPr>
        <w:t>not have a le</w:t>
      </w:r>
      <w:r w:rsidR="00F03F8B">
        <w:rPr>
          <w:rFonts w:eastAsia="Calibri"/>
        </w:rPr>
        <w:t xml:space="preserve">gitimate </w:t>
      </w:r>
      <w:r w:rsidR="00764FE2">
        <w:rPr>
          <w:rFonts w:eastAsia="Calibri"/>
        </w:rPr>
        <w:t xml:space="preserve">purpose and </w:t>
      </w:r>
      <w:r w:rsidR="00162CDA">
        <w:rPr>
          <w:rFonts w:eastAsia="Calibri"/>
        </w:rPr>
        <w:t xml:space="preserve">were </w:t>
      </w:r>
      <w:r w:rsidR="00764FE2">
        <w:rPr>
          <w:rFonts w:eastAsia="Calibri"/>
        </w:rPr>
        <w:t xml:space="preserve">not necessary </w:t>
      </w:r>
      <w:r w:rsidR="00162CDA">
        <w:rPr>
          <w:rFonts w:eastAsia="Calibri"/>
        </w:rPr>
        <w:t xml:space="preserve">in </w:t>
      </w:r>
      <w:r w:rsidR="00764FE2">
        <w:rPr>
          <w:rFonts w:eastAsia="Calibri"/>
        </w:rPr>
        <w:t xml:space="preserve">a democratic society. </w:t>
      </w:r>
      <w:r w:rsidR="00162CDA">
        <w:rPr>
          <w:rFonts w:eastAsia="Calibri"/>
        </w:rPr>
        <w:t xml:space="preserve">The State Party argued that the </w:t>
      </w:r>
      <w:r w:rsidR="00B056C3">
        <w:rPr>
          <w:rFonts w:eastAsia="Calibri"/>
        </w:rPr>
        <w:t>freedom of association is not an absolute right</w:t>
      </w:r>
      <w:r w:rsidR="00F13BD9">
        <w:rPr>
          <w:rFonts w:eastAsia="Calibri"/>
        </w:rPr>
        <w:t>,</w:t>
      </w:r>
      <w:r w:rsidR="00CF4A2E" w:rsidRPr="00CF4A2E">
        <w:rPr>
          <w:rStyle w:val="FootnoteReference"/>
          <w:rFonts w:eastAsia="Calibri"/>
        </w:rPr>
        <w:t xml:space="preserve"> </w:t>
      </w:r>
      <w:r w:rsidR="00CF4A2E">
        <w:rPr>
          <w:rStyle w:val="FootnoteReference"/>
          <w:rFonts w:eastAsia="Calibri"/>
        </w:rPr>
        <w:footnoteReference w:id="4"/>
      </w:r>
      <w:r w:rsidR="00F13BD9">
        <w:rPr>
          <w:rFonts w:eastAsia="Calibri"/>
        </w:rPr>
        <w:t xml:space="preserve"> </w:t>
      </w:r>
      <w:r w:rsidR="00B056C3">
        <w:rPr>
          <w:rFonts w:eastAsia="Calibri"/>
        </w:rPr>
        <w:t>a</w:t>
      </w:r>
      <w:r w:rsidR="00F03F8B">
        <w:rPr>
          <w:rFonts w:eastAsia="Calibri"/>
        </w:rPr>
        <w:t xml:space="preserve">s </w:t>
      </w:r>
      <w:r w:rsidR="00B056C3">
        <w:rPr>
          <w:rFonts w:eastAsia="Calibri"/>
        </w:rPr>
        <w:t xml:space="preserve">it can be subject to certain legal limitations. </w:t>
      </w:r>
      <w:r w:rsidR="00234332">
        <w:rPr>
          <w:rFonts w:eastAsia="Calibri"/>
        </w:rPr>
        <w:t xml:space="preserve">As for the process of registration of the concerned </w:t>
      </w:r>
      <w:r w:rsidR="00234332">
        <w:rPr>
          <w:rFonts w:eastAsia="Calibri"/>
        </w:rPr>
        <w:lastRenderedPageBreak/>
        <w:t>non-profit organi</w:t>
      </w:r>
      <w:r w:rsidR="00F03F8B">
        <w:rPr>
          <w:rFonts w:eastAsia="Calibri"/>
        </w:rPr>
        <w:t>z</w:t>
      </w:r>
      <w:r w:rsidR="00234332">
        <w:rPr>
          <w:rFonts w:eastAsia="Calibri"/>
        </w:rPr>
        <w:t xml:space="preserve">ation, the </w:t>
      </w:r>
      <w:r w:rsidR="001C3E82" w:rsidRPr="001C3E82">
        <w:rPr>
          <w:rFonts w:eastAsia="Calibri"/>
        </w:rPr>
        <w:t xml:space="preserve">Blagoevgrad </w:t>
      </w:r>
      <w:r w:rsidR="001C3E82">
        <w:rPr>
          <w:rFonts w:eastAsia="Calibri"/>
        </w:rPr>
        <w:t>R</w:t>
      </w:r>
      <w:r w:rsidR="00F03F8B">
        <w:rPr>
          <w:rFonts w:eastAsia="Calibri"/>
        </w:rPr>
        <w:t xml:space="preserve">egional </w:t>
      </w:r>
      <w:r w:rsidR="001C3E82">
        <w:rPr>
          <w:rFonts w:eastAsia="Calibri"/>
        </w:rPr>
        <w:t>C</w:t>
      </w:r>
      <w:r w:rsidR="00234332">
        <w:rPr>
          <w:rFonts w:eastAsia="Calibri"/>
        </w:rPr>
        <w:t xml:space="preserve">ourt refused registration </w:t>
      </w:r>
      <w:r w:rsidR="00F03F8B">
        <w:rPr>
          <w:rFonts w:eastAsia="Calibri"/>
        </w:rPr>
        <w:t xml:space="preserve">for non-compliance with the mandatory requirements, including the specification of the organisation’s activities </w:t>
      </w:r>
      <w:r w:rsidR="00234332">
        <w:rPr>
          <w:rFonts w:eastAsia="Calibri"/>
        </w:rPr>
        <w:t xml:space="preserve">and </w:t>
      </w:r>
      <w:r w:rsidR="00F03F8B">
        <w:rPr>
          <w:rFonts w:eastAsia="Calibri"/>
        </w:rPr>
        <w:t xml:space="preserve">the </w:t>
      </w:r>
      <w:r w:rsidR="00234332">
        <w:rPr>
          <w:rFonts w:eastAsia="Calibri"/>
        </w:rPr>
        <w:t>content of the draft statute of the organi</w:t>
      </w:r>
      <w:r w:rsidR="00F03F8B">
        <w:rPr>
          <w:rFonts w:eastAsia="Calibri"/>
        </w:rPr>
        <w:t>z</w:t>
      </w:r>
      <w:r w:rsidR="00234332">
        <w:rPr>
          <w:rFonts w:eastAsia="Calibri"/>
        </w:rPr>
        <w:t>ation</w:t>
      </w:r>
      <w:r w:rsidR="00F13BD9">
        <w:rPr>
          <w:rFonts w:eastAsia="Calibri"/>
        </w:rPr>
        <w:t>,</w:t>
      </w:r>
      <w:r w:rsidR="00234332">
        <w:rPr>
          <w:rFonts w:eastAsia="Calibri"/>
        </w:rPr>
        <w:t xml:space="preserve"> </w:t>
      </w:r>
      <w:r w:rsidR="00F03F8B">
        <w:rPr>
          <w:rFonts w:eastAsia="Calibri"/>
        </w:rPr>
        <w:t xml:space="preserve">under </w:t>
      </w:r>
      <w:r w:rsidR="00234332">
        <w:rPr>
          <w:rFonts w:eastAsia="Calibri"/>
        </w:rPr>
        <w:t>articles 20, 34 and 38 (1) of the Non-Profit Legal Entities Act</w:t>
      </w:r>
      <w:r w:rsidR="00F03F8B">
        <w:rPr>
          <w:rFonts w:eastAsia="Calibri"/>
        </w:rPr>
        <w:t xml:space="preserve"> (NPLEA).</w:t>
      </w:r>
      <w:r w:rsidR="00C15251">
        <w:rPr>
          <w:rFonts w:eastAsia="Calibri"/>
        </w:rPr>
        <w:t xml:space="preserve"> </w:t>
      </w:r>
    </w:p>
    <w:p w14:paraId="6CDF49FD" w14:textId="2BE61E06" w:rsidR="006B76A1" w:rsidRDefault="00234332" w:rsidP="002E652B">
      <w:pPr>
        <w:pStyle w:val="SingleTxtG"/>
        <w:rPr>
          <w:rFonts w:eastAsia="Calibri"/>
        </w:rPr>
      </w:pPr>
      <w:r>
        <w:rPr>
          <w:rFonts w:eastAsia="Calibri"/>
        </w:rPr>
        <w:t>4.5</w:t>
      </w:r>
      <w:r>
        <w:rPr>
          <w:rFonts w:eastAsia="Calibri"/>
        </w:rPr>
        <w:tab/>
      </w:r>
      <w:r w:rsidRPr="00312DC1">
        <w:rPr>
          <w:rFonts w:eastAsia="Calibri"/>
        </w:rPr>
        <w:t xml:space="preserve">The decision of the </w:t>
      </w:r>
      <w:r w:rsidR="00C65A5D" w:rsidRPr="00312DC1">
        <w:rPr>
          <w:rFonts w:eastAsia="Calibri"/>
        </w:rPr>
        <w:t xml:space="preserve">Blagoevgrad Regional Court </w:t>
      </w:r>
      <w:r w:rsidRPr="00312DC1">
        <w:rPr>
          <w:rFonts w:eastAsia="Calibri"/>
        </w:rPr>
        <w:t xml:space="preserve">was appealed to the Sofia Court of Appeal, which upheld the </w:t>
      </w:r>
      <w:r w:rsidR="00C65A5D" w:rsidRPr="00312DC1">
        <w:rPr>
          <w:rFonts w:eastAsia="Calibri"/>
        </w:rPr>
        <w:t xml:space="preserve">first instance </w:t>
      </w:r>
      <w:r w:rsidRPr="00312DC1">
        <w:rPr>
          <w:rFonts w:eastAsia="Calibri"/>
        </w:rPr>
        <w:t>decision</w:t>
      </w:r>
      <w:r w:rsidR="00C65A5D" w:rsidRPr="00312DC1">
        <w:rPr>
          <w:rFonts w:eastAsia="Calibri"/>
        </w:rPr>
        <w:t xml:space="preserve"> </w:t>
      </w:r>
      <w:r w:rsidRPr="00312DC1">
        <w:rPr>
          <w:rFonts w:eastAsia="Calibri"/>
        </w:rPr>
        <w:t xml:space="preserve">and provided additional arguments confirming the ruling. The </w:t>
      </w:r>
      <w:r w:rsidRPr="002E652B">
        <w:t>decision</w:t>
      </w:r>
      <w:r w:rsidRPr="00312DC1">
        <w:rPr>
          <w:rFonts w:eastAsia="Calibri"/>
        </w:rPr>
        <w:t xml:space="preserve"> is based on a violation of article 5, in connection with article 19 (2) of the N</w:t>
      </w:r>
      <w:r w:rsidR="00F03F8B" w:rsidRPr="00312DC1">
        <w:rPr>
          <w:rFonts w:eastAsia="Calibri"/>
        </w:rPr>
        <w:t>PLEA</w:t>
      </w:r>
      <w:r w:rsidRPr="00312DC1">
        <w:rPr>
          <w:rFonts w:eastAsia="Calibri"/>
        </w:rPr>
        <w:t xml:space="preserve">, </w:t>
      </w:r>
      <w:r w:rsidR="0057714E" w:rsidRPr="00312DC1">
        <w:rPr>
          <w:rFonts w:eastAsia="Calibri"/>
        </w:rPr>
        <w:t xml:space="preserve">which require that </w:t>
      </w:r>
      <w:r w:rsidR="006531DE" w:rsidRPr="00312DC1">
        <w:rPr>
          <w:rFonts w:eastAsia="Calibri"/>
        </w:rPr>
        <w:t xml:space="preserve">there must be at least 7 </w:t>
      </w:r>
      <w:r w:rsidRPr="00312DC1">
        <w:rPr>
          <w:rFonts w:eastAsia="Calibri"/>
        </w:rPr>
        <w:t>founders of a non-profit organisation</w:t>
      </w:r>
      <w:r w:rsidR="006531DE" w:rsidRPr="00312DC1">
        <w:rPr>
          <w:rFonts w:eastAsia="Calibri"/>
        </w:rPr>
        <w:t xml:space="preserve">. </w:t>
      </w:r>
      <w:r w:rsidRPr="00312DC1">
        <w:rPr>
          <w:rFonts w:eastAsia="Calibri"/>
        </w:rPr>
        <w:t xml:space="preserve">It </w:t>
      </w:r>
      <w:r w:rsidR="0057714E" w:rsidRPr="00312DC1">
        <w:rPr>
          <w:rFonts w:eastAsia="Calibri"/>
        </w:rPr>
        <w:t xml:space="preserve">was </w:t>
      </w:r>
      <w:r w:rsidRPr="00312DC1">
        <w:rPr>
          <w:rFonts w:eastAsia="Calibri"/>
        </w:rPr>
        <w:t xml:space="preserve">established that three of the persons, </w:t>
      </w:r>
      <w:r w:rsidR="0057714E" w:rsidRPr="00312DC1">
        <w:rPr>
          <w:rFonts w:eastAsia="Calibri"/>
        </w:rPr>
        <w:t xml:space="preserve">designated </w:t>
      </w:r>
      <w:r w:rsidRPr="00312DC1">
        <w:rPr>
          <w:rFonts w:eastAsia="Calibri"/>
        </w:rPr>
        <w:t xml:space="preserve">as founding members in the </w:t>
      </w:r>
      <w:r w:rsidR="0057714E" w:rsidRPr="00312DC1">
        <w:rPr>
          <w:rFonts w:eastAsia="Calibri"/>
        </w:rPr>
        <w:t xml:space="preserve">filed </w:t>
      </w:r>
      <w:r w:rsidRPr="00312DC1">
        <w:rPr>
          <w:rFonts w:eastAsia="Calibri"/>
        </w:rPr>
        <w:t xml:space="preserve">documents, had not specified </w:t>
      </w:r>
      <w:r w:rsidR="0057714E" w:rsidRPr="00312DC1">
        <w:rPr>
          <w:rFonts w:eastAsia="Calibri"/>
        </w:rPr>
        <w:t xml:space="preserve">their </w:t>
      </w:r>
      <w:r w:rsidR="00882676" w:rsidRPr="00312DC1">
        <w:rPr>
          <w:rFonts w:eastAsia="Calibri"/>
        </w:rPr>
        <w:t xml:space="preserve">Unified Citizen Number, which </w:t>
      </w:r>
      <w:r w:rsidR="0057714E" w:rsidRPr="00312DC1">
        <w:rPr>
          <w:rFonts w:eastAsia="Calibri"/>
        </w:rPr>
        <w:t xml:space="preserve">has made </w:t>
      </w:r>
      <w:r w:rsidR="00882676" w:rsidRPr="00312DC1">
        <w:rPr>
          <w:rFonts w:eastAsia="Calibri"/>
        </w:rPr>
        <w:t xml:space="preserve">their identification </w:t>
      </w:r>
      <w:r w:rsidR="0057714E" w:rsidRPr="00312DC1">
        <w:rPr>
          <w:rFonts w:eastAsia="Calibri"/>
        </w:rPr>
        <w:t xml:space="preserve">impossible, and their </w:t>
      </w:r>
      <w:r w:rsidR="00882676" w:rsidRPr="00312DC1">
        <w:rPr>
          <w:rFonts w:eastAsia="Calibri"/>
        </w:rPr>
        <w:t>freedom of will</w:t>
      </w:r>
      <w:r w:rsidR="0057714E" w:rsidRPr="00312DC1">
        <w:rPr>
          <w:rFonts w:eastAsia="Calibri"/>
        </w:rPr>
        <w:t xml:space="preserve"> (</w:t>
      </w:r>
      <w:r w:rsidR="00882676" w:rsidRPr="00312DC1">
        <w:rPr>
          <w:rFonts w:eastAsia="Calibri"/>
        </w:rPr>
        <w:t>if the</w:t>
      </w:r>
      <w:r w:rsidR="0057714E" w:rsidRPr="00312DC1">
        <w:rPr>
          <w:rFonts w:eastAsia="Calibri"/>
        </w:rPr>
        <w:t xml:space="preserve">y are </w:t>
      </w:r>
      <w:r w:rsidR="00882676" w:rsidRPr="00312DC1">
        <w:rPr>
          <w:rFonts w:eastAsia="Calibri"/>
        </w:rPr>
        <w:t xml:space="preserve">competent and have full legal capacity) </w:t>
      </w:r>
      <w:r w:rsidR="0057714E" w:rsidRPr="00312DC1">
        <w:rPr>
          <w:rFonts w:eastAsia="Calibri"/>
        </w:rPr>
        <w:t xml:space="preserve">could not be ascertained either. </w:t>
      </w:r>
      <w:r w:rsidR="00882676" w:rsidRPr="00312DC1">
        <w:rPr>
          <w:rFonts w:eastAsia="Calibri"/>
        </w:rPr>
        <w:t xml:space="preserve">The </w:t>
      </w:r>
      <w:r w:rsidR="00312DC1" w:rsidRPr="00312DC1">
        <w:rPr>
          <w:rFonts w:eastAsia="Calibri"/>
        </w:rPr>
        <w:t>c</w:t>
      </w:r>
      <w:r w:rsidR="00882676" w:rsidRPr="00312DC1">
        <w:rPr>
          <w:rFonts w:eastAsia="Calibri"/>
        </w:rPr>
        <w:t xml:space="preserve">ourt </w:t>
      </w:r>
      <w:r w:rsidR="0057714E" w:rsidRPr="00312DC1">
        <w:rPr>
          <w:rFonts w:eastAsia="Calibri"/>
        </w:rPr>
        <w:t xml:space="preserve">concluded </w:t>
      </w:r>
      <w:r w:rsidR="00882676" w:rsidRPr="00312DC1">
        <w:rPr>
          <w:rFonts w:eastAsia="Calibri"/>
        </w:rPr>
        <w:t>that</w:t>
      </w:r>
      <w:r w:rsidR="0057714E" w:rsidRPr="00312DC1">
        <w:rPr>
          <w:rFonts w:eastAsia="Calibri"/>
        </w:rPr>
        <w:t xml:space="preserve"> the capacity </w:t>
      </w:r>
      <w:r w:rsidR="00882676" w:rsidRPr="00312DC1">
        <w:rPr>
          <w:rFonts w:eastAsia="Calibri"/>
        </w:rPr>
        <w:t xml:space="preserve">of </w:t>
      </w:r>
      <w:r w:rsidR="0057714E" w:rsidRPr="00312DC1">
        <w:rPr>
          <w:rFonts w:eastAsia="Calibri"/>
        </w:rPr>
        <w:t xml:space="preserve">the </w:t>
      </w:r>
      <w:r w:rsidR="00882676" w:rsidRPr="00312DC1">
        <w:rPr>
          <w:rFonts w:eastAsia="Calibri"/>
        </w:rPr>
        <w:t>three founding members to express their will freely has not been established</w:t>
      </w:r>
      <w:r w:rsidR="0057714E" w:rsidRPr="00312DC1">
        <w:rPr>
          <w:rFonts w:eastAsia="Calibri"/>
        </w:rPr>
        <w:t xml:space="preserve">, due to the missing information. It represented </w:t>
      </w:r>
      <w:r w:rsidR="00882676" w:rsidRPr="00312DC1">
        <w:rPr>
          <w:rFonts w:eastAsia="Calibri"/>
        </w:rPr>
        <w:t>a substantial defect</w:t>
      </w:r>
      <w:r w:rsidR="0057714E" w:rsidRPr="00312DC1">
        <w:rPr>
          <w:rFonts w:eastAsia="Calibri"/>
        </w:rPr>
        <w:t xml:space="preserve"> </w:t>
      </w:r>
      <w:r w:rsidR="00312DC1" w:rsidRPr="00312DC1">
        <w:rPr>
          <w:rFonts w:eastAsia="Calibri"/>
        </w:rPr>
        <w:t xml:space="preserve">in </w:t>
      </w:r>
      <w:r w:rsidR="00882676" w:rsidRPr="00312DC1">
        <w:rPr>
          <w:rFonts w:eastAsia="Calibri"/>
        </w:rPr>
        <w:t>founding the non-profit organi</w:t>
      </w:r>
      <w:r w:rsidR="00312DC1" w:rsidRPr="00312DC1">
        <w:rPr>
          <w:rFonts w:eastAsia="Calibri"/>
        </w:rPr>
        <w:t>z</w:t>
      </w:r>
      <w:r w:rsidR="00882676" w:rsidRPr="00312DC1">
        <w:rPr>
          <w:rFonts w:eastAsia="Calibri"/>
        </w:rPr>
        <w:t>ation.</w:t>
      </w:r>
      <w:r w:rsidR="00882676">
        <w:rPr>
          <w:rFonts w:eastAsia="Calibri"/>
        </w:rPr>
        <w:t xml:space="preserve"> </w:t>
      </w:r>
    </w:p>
    <w:p w14:paraId="1FF8789B" w14:textId="37AB1C67" w:rsidR="00DC34AD" w:rsidRDefault="006B76A1" w:rsidP="002E652B">
      <w:pPr>
        <w:pStyle w:val="SingleTxtG"/>
        <w:rPr>
          <w:rFonts w:eastAsia="Calibri"/>
        </w:rPr>
      </w:pPr>
      <w:r>
        <w:rPr>
          <w:rFonts w:eastAsia="Calibri"/>
        </w:rPr>
        <w:t>4.6</w:t>
      </w:r>
      <w:r>
        <w:rPr>
          <w:rFonts w:eastAsia="Calibri"/>
        </w:rPr>
        <w:tab/>
      </w:r>
      <w:r w:rsidRPr="00312DC1">
        <w:rPr>
          <w:rFonts w:eastAsia="Calibri"/>
        </w:rPr>
        <w:t xml:space="preserve">The Court also found a violation in article 23 of the draft statute of </w:t>
      </w:r>
      <w:r w:rsidR="00B54B31" w:rsidRPr="00312DC1">
        <w:rPr>
          <w:rFonts w:eastAsia="Calibri"/>
        </w:rPr>
        <w:t xml:space="preserve">the </w:t>
      </w:r>
      <w:r w:rsidR="00CE0CDE" w:rsidRPr="00312DC1">
        <w:rPr>
          <w:rFonts w:eastAsia="Calibri"/>
        </w:rPr>
        <w:t xml:space="preserve">HRPCT of the requirements of </w:t>
      </w:r>
      <w:r w:rsidRPr="00312DC1">
        <w:rPr>
          <w:rFonts w:eastAsia="Calibri"/>
        </w:rPr>
        <w:t>article</w:t>
      </w:r>
      <w:r w:rsidR="00CE0CDE" w:rsidRPr="00312DC1">
        <w:rPr>
          <w:rFonts w:eastAsia="Calibri"/>
        </w:rPr>
        <w:t xml:space="preserve"> </w:t>
      </w:r>
      <w:r w:rsidRPr="00312DC1">
        <w:rPr>
          <w:rFonts w:eastAsia="Calibri"/>
        </w:rPr>
        <w:t xml:space="preserve">3 </w:t>
      </w:r>
      <w:r w:rsidR="00B54B31" w:rsidRPr="00312DC1">
        <w:rPr>
          <w:rFonts w:eastAsia="Calibri"/>
        </w:rPr>
        <w:t xml:space="preserve">of the </w:t>
      </w:r>
      <w:r w:rsidRPr="00312DC1">
        <w:rPr>
          <w:rFonts w:eastAsia="Calibri"/>
        </w:rPr>
        <w:t>NPLEA, which prohibits the participation of non-profit organi</w:t>
      </w:r>
      <w:r w:rsidR="00312DC1" w:rsidRPr="00312DC1">
        <w:rPr>
          <w:rFonts w:eastAsia="Calibri"/>
        </w:rPr>
        <w:t>z</w:t>
      </w:r>
      <w:r w:rsidRPr="00312DC1">
        <w:rPr>
          <w:rFonts w:eastAsia="Calibri"/>
        </w:rPr>
        <w:t xml:space="preserve">ations in </w:t>
      </w:r>
      <w:r w:rsidR="00B54B31" w:rsidRPr="00312DC1">
        <w:rPr>
          <w:rFonts w:eastAsia="Calibri"/>
        </w:rPr>
        <w:t>commercial activities</w:t>
      </w:r>
      <w:r w:rsidRPr="00312DC1">
        <w:rPr>
          <w:rFonts w:eastAsia="Calibri"/>
        </w:rPr>
        <w:t>. The draft statute has provided that “…</w:t>
      </w:r>
      <w:r w:rsidRPr="00312DC1">
        <w:rPr>
          <w:rFonts w:eastAsia="Calibri"/>
          <w:i/>
          <w:iCs/>
        </w:rPr>
        <w:t xml:space="preserve">the property of the </w:t>
      </w:r>
      <w:r w:rsidR="00E86433" w:rsidRPr="00312DC1">
        <w:rPr>
          <w:rFonts w:eastAsia="Calibri"/>
          <w:i/>
          <w:iCs/>
        </w:rPr>
        <w:t>committee consists of …</w:t>
      </w:r>
      <w:r w:rsidR="00CE0CDE" w:rsidRPr="00312DC1">
        <w:rPr>
          <w:rFonts w:eastAsia="Calibri"/>
          <w:i/>
          <w:iCs/>
        </w:rPr>
        <w:t xml:space="preserve"> </w:t>
      </w:r>
      <w:r w:rsidR="00E86433" w:rsidRPr="00312DC1">
        <w:rPr>
          <w:rFonts w:eastAsia="Calibri"/>
          <w:i/>
          <w:iCs/>
        </w:rPr>
        <w:t>securities, shares in capital companies and other rights and obligations</w:t>
      </w:r>
      <w:r w:rsidR="00E86433" w:rsidRPr="00312DC1">
        <w:rPr>
          <w:rFonts w:eastAsia="Calibri"/>
        </w:rPr>
        <w:t xml:space="preserve">”, which is in contradiction of the </w:t>
      </w:r>
      <w:r w:rsidR="00312DC1" w:rsidRPr="00312DC1">
        <w:rPr>
          <w:rFonts w:eastAsia="Calibri"/>
        </w:rPr>
        <w:t>law</w:t>
      </w:r>
      <w:r w:rsidR="00E86433" w:rsidRPr="00312DC1">
        <w:rPr>
          <w:rFonts w:eastAsia="Calibri"/>
        </w:rPr>
        <w:t xml:space="preserve">. According to </w:t>
      </w:r>
      <w:r w:rsidR="00312DC1" w:rsidRPr="00312DC1">
        <w:rPr>
          <w:rFonts w:eastAsia="Calibri"/>
        </w:rPr>
        <w:t xml:space="preserve">the </w:t>
      </w:r>
      <w:r w:rsidR="00E86433" w:rsidRPr="00312DC1">
        <w:rPr>
          <w:rFonts w:eastAsia="Calibri"/>
        </w:rPr>
        <w:t>NPLEA, any commercial activities of a non-profit organi</w:t>
      </w:r>
      <w:r w:rsidR="00312DC1" w:rsidRPr="00312DC1">
        <w:rPr>
          <w:rFonts w:eastAsia="Calibri"/>
        </w:rPr>
        <w:t>z</w:t>
      </w:r>
      <w:r w:rsidR="00E86433" w:rsidRPr="00312DC1">
        <w:rPr>
          <w:rFonts w:eastAsia="Calibri"/>
        </w:rPr>
        <w:t>ation may only be linked to the subject of the organi</w:t>
      </w:r>
      <w:r w:rsidR="00312DC1" w:rsidRPr="00312DC1">
        <w:rPr>
          <w:rFonts w:eastAsia="Calibri"/>
        </w:rPr>
        <w:t>z</w:t>
      </w:r>
      <w:r w:rsidR="00E86433" w:rsidRPr="00312DC1">
        <w:rPr>
          <w:rFonts w:eastAsia="Calibri"/>
        </w:rPr>
        <w:t>ation’s main activities, for which it had been registered. The reason lies in the different taxation and financial control</w:t>
      </w:r>
      <w:r w:rsidR="00444F73" w:rsidRPr="00312DC1">
        <w:rPr>
          <w:rFonts w:eastAsia="Calibri"/>
        </w:rPr>
        <w:t xml:space="preserve"> requirements as </w:t>
      </w:r>
      <w:r w:rsidR="00E86433" w:rsidRPr="00312DC1">
        <w:rPr>
          <w:rFonts w:eastAsia="Calibri"/>
        </w:rPr>
        <w:t>regard</w:t>
      </w:r>
      <w:r w:rsidR="00444F73" w:rsidRPr="00312DC1">
        <w:rPr>
          <w:rFonts w:eastAsia="Calibri"/>
        </w:rPr>
        <w:t xml:space="preserve">s </w:t>
      </w:r>
      <w:r w:rsidR="00E86433" w:rsidRPr="00312DC1">
        <w:rPr>
          <w:rFonts w:eastAsia="Calibri"/>
        </w:rPr>
        <w:t>trade organi</w:t>
      </w:r>
      <w:r w:rsidR="00312DC1" w:rsidRPr="00312DC1">
        <w:rPr>
          <w:rFonts w:eastAsia="Calibri"/>
        </w:rPr>
        <w:t>z</w:t>
      </w:r>
      <w:r w:rsidR="00E86433" w:rsidRPr="00312DC1">
        <w:rPr>
          <w:rFonts w:eastAsia="Calibri"/>
        </w:rPr>
        <w:t>ations and non-profit organi</w:t>
      </w:r>
      <w:r w:rsidR="00312DC1" w:rsidRPr="00312DC1">
        <w:rPr>
          <w:rFonts w:eastAsia="Calibri"/>
        </w:rPr>
        <w:t>z</w:t>
      </w:r>
      <w:r w:rsidR="00E86433" w:rsidRPr="00312DC1">
        <w:rPr>
          <w:rFonts w:eastAsia="Calibri"/>
        </w:rPr>
        <w:t>ations.</w:t>
      </w:r>
      <w:r w:rsidR="00444F73" w:rsidRPr="00312DC1">
        <w:rPr>
          <w:rFonts w:eastAsia="Calibri"/>
        </w:rPr>
        <w:t xml:space="preserve"> Such legal </w:t>
      </w:r>
      <w:r w:rsidR="00E86433" w:rsidRPr="00312DC1">
        <w:rPr>
          <w:rFonts w:eastAsia="Calibri"/>
        </w:rPr>
        <w:t>requirement is meant to prevent hidden trade activit</w:t>
      </w:r>
      <w:r w:rsidR="00444F73" w:rsidRPr="00312DC1">
        <w:rPr>
          <w:rFonts w:eastAsia="Calibri"/>
        </w:rPr>
        <w:t xml:space="preserve">ies </w:t>
      </w:r>
      <w:r w:rsidR="00E86433" w:rsidRPr="00312DC1">
        <w:rPr>
          <w:rFonts w:eastAsia="Calibri"/>
        </w:rPr>
        <w:t>on part of an organi</w:t>
      </w:r>
      <w:r w:rsidR="00312DC1" w:rsidRPr="00312DC1">
        <w:rPr>
          <w:rFonts w:eastAsia="Calibri"/>
        </w:rPr>
        <w:t>za</w:t>
      </w:r>
      <w:r w:rsidR="00E86433" w:rsidRPr="00312DC1">
        <w:rPr>
          <w:rFonts w:eastAsia="Calibri"/>
        </w:rPr>
        <w:t>tion registered as non-profit</w:t>
      </w:r>
      <w:r w:rsidR="00444F73" w:rsidRPr="00312DC1">
        <w:rPr>
          <w:rFonts w:eastAsia="Calibri"/>
        </w:rPr>
        <w:t xml:space="preserve"> and </w:t>
      </w:r>
      <w:r w:rsidR="00DC34AD" w:rsidRPr="00312DC1">
        <w:rPr>
          <w:rFonts w:eastAsia="Calibri"/>
        </w:rPr>
        <w:t>cannot be circumvented.</w:t>
      </w:r>
      <w:r w:rsidR="00C15251">
        <w:rPr>
          <w:rFonts w:eastAsia="Calibri"/>
        </w:rPr>
        <w:t xml:space="preserve"> </w:t>
      </w:r>
    </w:p>
    <w:p w14:paraId="775FE81B" w14:textId="4848E4E4" w:rsidR="000D1C80" w:rsidRDefault="00DC34AD" w:rsidP="002E652B">
      <w:pPr>
        <w:pStyle w:val="SingleTxtG"/>
        <w:rPr>
          <w:rFonts w:eastAsia="Calibri"/>
        </w:rPr>
      </w:pPr>
      <w:r>
        <w:rPr>
          <w:rFonts w:eastAsia="Calibri"/>
        </w:rPr>
        <w:t>4.7</w:t>
      </w:r>
      <w:r>
        <w:rPr>
          <w:rFonts w:eastAsia="Calibri"/>
        </w:rPr>
        <w:tab/>
      </w:r>
      <w:r w:rsidR="004C1558">
        <w:rPr>
          <w:rFonts w:eastAsia="Calibri"/>
        </w:rPr>
        <w:t xml:space="preserve">Concerning </w:t>
      </w:r>
      <w:r w:rsidR="00C62F1A">
        <w:rPr>
          <w:rFonts w:eastAsia="Calibri"/>
        </w:rPr>
        <w:t>t</w:t>
      </w:r>
      <w:r w:rsidR="00C62F1A" w:rsidRPr="00312DC1">
        <w:rPr>
          <w:rFonts w:eastAsia="Calibri"/>
        </w:rPr>
        <w:t xml:space="preserve">he element of necessity of the </w:t>
      </w:r>
      <w:r w:rsidR="004C1558" w:rsidRPr="00312DC1">
        <w:rPr>
          <w:rFonts w:eastAsia="Calibri"/>
        </w:rPr>
        <w:t xml:space="preserve">legal </w:t>
      </w:r>
      <w:r w:rsidR="00C62F1A" w:rsidRPr="00312DC1">
        <w:rPr>
          <w:rFonts w:eastAsia="Calibri"/>
        </w:rPr>
        <w:t xml:space="preserve">requirements, also interpreted as proportionality of their legal purpose, </w:t>
      </w:r>
      <w:r w:rsidR="004C1558" w:rsidRPr="00312DC1">
        <w:rPr>
          <w:rFonts w:eastAsia="Calibri"/>
        </w:rPr>
        <w:t xml:space="preserve">the State Party </w:t>
      </w:r>
      <w:r w:rsidR="00C62F1A" w:rsidRPr="00312DC1">
        <w:rPr>
          <w:rFonts w:eastAsia="Calibri"/>
        </w:rPr>
        <w:t xml:space="preserve">pointed out that similar requirements regarding identification </w:t>
      </w:r>
      <w:r w:rsidR="00C62F1A" w:rsidRPr="002E652B">
        <w:t>and</w:t>
      </w:r>
      <w:r w:rsidR="00C62F1A" w:rsidRPr="00312DC1">
        <w:rPr>
          <w:rFonts w:eastAsia="Calibri"/>
        </w:rPr>
        <w:t xml:space="preserve"> non-involvement in specialized trade activit</w:t>
      </w:r>
      <w:r w:rsidR="004C1558" w:rsidRPr="00312DC1">
        <w:rPr>
          <w:rFonts w:eastAsia="Calibri"/>
        </w:rPr>
        <w:t xml:space="preserve">ies </w:t>
      </w:r>
      <w:r w:rsidR="00C62F1A" w:rsidRPr="00312DC1">
        <w:rPr>
          <w:rFonts w:eastAsia="Calibri"/>
        </w:rPr>
        <w:t xml:space="preserve">are present in the laws of most other European countries. The </w:t>
      </w:r>
      <w:r w:rsidR="00312DC1" w:rsidRPr="00312DC1">
        <w:rPr>
          <w:rFonts w:eastAsia="Calibri"/>
        </w:rPr>
        <w:t>c</w:t>
      </w:r>
      <w:r w:rsidR="00C62F1A" w:rsidRPr="00312DC1">
        <w:rPr>
          <w:rFonts w:eastAsia="Calibri"/>
        </w:rPr>
        <w:t>ourt based its decision on substantial formal deficiencies which ma</w:t>
      </w:r>
      <w:r w:rsidR="004C1558" w:rsidRPr="00312DC1">
        <w:rPr>
          <w:rFonts w:eastAsia="Calibri"/>
        </w:rPr>
        <w:t xml:space="preserve">de </w:t>
      </w:r>
      <w:r w:rsidR="00C62F1A" w:rsidRPr="00312DC1">
        <w:rPr>
          <w:rFonts w:eastAsia="Calibri"/>
        </w:rPr>
        <w:t>the lawful registration impossible. The</w:t>
      </w:r>
      <w:r w:rsidR="004C1558" w:rsidRPr="00312DC1">
        <w:rPr>
          <w:rFonts w:eastAsia="Calibri"/>
        </w:rPr>
        <w:t xml:space="preserve"> </w:t>
      </w:r>
      <w:r w:rsidR="00C62F1A" w:rsidRPr="00312DC1">
        <w:rPr>
          <w:rFonts w:eastAsia="Calibri"/>
        </w:rPr>
        <w:t>narrow prerequisite</w:t>
      </w:r>
      <w:r w:rsidR="004C1558" w:rsidRPr="00312DC1">
        <w:rPr>
          <w:rFonts w:eastAsia="Calibri"/>
        </w:rPr>
        <w:t>s</w:t>
      </w:r>
      <w:r w:rsidR="00C62F1A" w:rsidRPr="00312DC1">
        <w:rPr>
          <w:rFonts w:eastAsia="Calibri"/>
        </w:rPr>
        <w:t xml:space="preserve"> for the successful </w:t>
      </w:r>
      <w:r w:rsidR="004C1558" w:rsidRPr="00312DC1">
        <w:rPr>
          <w:rFonts w:eastAsia="Calibri"/>
        </w:rPr>
        <w:t xml:space="preserve">enjoyment </w:t>
      </w:r>
      <w:r w:rsidR="00C62F1A" w:rsidRPr="00312DC1">
        <w:rPr>
          <w:rFonts w:eastAsia="Calibri"/>
        </w:rPr>
        <w:t xml:space="preserve">of the right to </w:t>
      </w:r>
      <w:r w:rsidR="004C1558" w:rsidRPr="00312DC1">
        <w:rPr>
          <w:rFonts w:eastAsia="Calibri"/>
        </w:rPr>
        <w:t xml:space="preserve">freedom of </w:t>
      </w:r>
      <w:r w:rsidR="00C62F1A" w:rsidRPr="00312DC1">
        <w:rPr>
          <w:rFonts w:eastAsia="Calibri"/>
        </w:rPr>
        <w:t>association can hardly be viewed as arbitrary</w:t>
      </w:r>
      <w:r w:rsidR="004C1558" w:rsidRPr="00312DC1">
        <w:rPr>
          <w:rFonts w:eastAsia="Calibri"/>
        </w:rPr>
        <w:t xml:space="preserve">. The State Party added that its laws are </w:t>
      </w:r>
      <w:r w:rsidR="00C62F1A" w:rsidRPr="00312DC1">
        <w:rPr>
          <w:rFonts w:eastAsia="Calibri"/>
        </w:rPr>
        <w:t xml:space="preserve">in line with the existing jurisprudence of the European Court of Human Rights </w:t>
      </w:r>
      <w:r w:rsidR="004C1558" w:rsidRPr="00312DC1">
        <w:rPr>
          <w:rFonts w:eastAsia="Calibri"/>
        </w:rPr>
        <w:t xml:space="preserve">on </w:t>
      </w:r>
      <w:r w:rsidR="00C62F1A" w:rsidRPr="00312DC1">
        <w:rPr>
          <w:rFonts w:eastAsia="Calibri"/>
        </w:rPr>
        <w:t>article 11 of the European Convention</w:t>
      </w:r>
      <w:r w:rsidR="004C1558" w:rsidRPr="00312DC1">
        <w:rPr>
          <w:rFonts w:eastAsia="Calibri"/>
        </w:rPr>
        <w:t xml:space="preserve"> on Human Rights</w:t>
      </w:r>
      <w:r w:rsidR="00C62F1A" w:rsidRPr="00312DC1">
        <w:rPr>
          <w:rFonts w:eastAsia="Calibri"/>
        </w:rPr>
        <w:t>.</w:t>
      </w:r>
      <w:r w:rsidR="004C1558" w:rsidRPr="00312DC1">
        <w:rPr>
          <w:rFonts w:eastAsia="Calibri"/>
        </w:rPr>
        <w:t xml:space="preserve"> </w:t>
      </w:r>
      <w:r w:rsidR="00C62F1A" w:rsidRPr="00312DC1">
        <w:rPr>
          <w:rFonts w:eastAsia="Calibri"/>
        </w:rPr>
        <w:t>The content of the present case do</w:t>
      </w:r>
      <w:r w:rsidR="003F3B46" w:rsidRPr="00312DC1">
        <w:rPr>
          <w:rFonts w:eastAsia="Calibri"/>
        </w:rPr>
        <w:t>es</w:t>
      </w:r>
      <w:r w:rsidR="00C62F1A" w:rsidRPr="00312DC1">
        <w:rPr>
          <w:rFonts w:eastAsia="Calibri"/>
        </w:rPr>
        <w:t xml:space="preserve"> not reveal any connection to the case of </w:t>
      </w:r>
      <w:r w:rsidR="00C62F1A" w:rsidRPr="00312DC1">
        <w:rPr>
          <w:rFonts w:eastAsia="Calibri"/>
          <w:i/>
          <w:iCs/>
        </w:rPr>
        <w:t>UMO Ilinden v. Bulgaria</w:t>
      </w:r>
      <w:r w:rsidR="00C62F1A" w:rsidRPr="00312DC1">
        <w:rPr>
          <w:rFonts w:eastAsia="Calibri"/>
        </w:rPr>
        <w:t xml:space="preserve"> before the European Court. </w:t>
      </w:r>
      <w:r w:rsidR="00F13BD9" w:rsidRPr="00312DC1">
        <w:rPr>
          <w:rFonts w:eastAsia="Calibri"/>
        </w:rPr>
        <w:t xml:space="preserve">The State Party </w:t>
      </w:r>
      <w:r w:rsidR="00234332" w:rsidRPr="00312DC1">
        <w:rPr>
          <w:rFonts w:eastAsia="Calibri"/>
        </w:rPr>
        <w:t>conclu</w:t>
      </w:r>
      <w:r w:rsidR="00F13BD9" w:rsidRPr="00312DC1">
        <w:rPr>
          <w:rFonts w:eastAsia="Calibri"/>
        </w:rPr>
        <w:t xml:space="preserve">ded that the </w:t>
      </w:r>
      <w:r w:rsidR="004C1558" w:rsidRPr="00312DC1">
        <w:rPr>
          <w:rFonts w:eastAsia="Calibri"/>
        </w:rPr>
        <w:t xml:space="preserve">claims </w:t>
      </w:r>
      <w:r w:rsidR="00F13BD9" w:rsidRPr="00312DC1">
        <w:rPr>
          <w:rFonts w:eastAsia="Calibri"/>
        </w:rPr>
        <w:t xml:space="preserve">of a </w:t>
      </w:r>
      <w:r w:rsidR="00234332" w:rsidRPr="00312DC1">
        <w:rPr>
          <w:rFonts w:eastAsia="Calibri"/>
        </w:rPr>
        <w:t>violation of article 22</w:t>
      </w:r>
      <w:r w:rsidR="00312DC1" w:rsidRPr="00312DC1">
        <w:rPr>
          <w:rFonts w:eastAsia="Calibri"/>
        </w:rPr>
        <w:t xml:space="preserve"> </w:t>
      </w:r>
      <w:r w:rsidR="00234332" w:rsidRPr="00312DC1">
        <w:rPr>
          <w:rFonts w:eastAsia="Calibri"/>
        </w:rPr>
        <w:t>and</w:t>
      </w:r>
      <w:r w:rsidR="00F13BD9" w:rsidRPr="00312DC1">
        <w:rPr>
          <w:rFonts w:eastAsia="Calibri"/>
        </w:rPr>
        <w:t xml:space="preserve"> of </w:t>
      </w:r>
      <w:r w:rsidR="00234332" w:rsidRPr="00312DC1">
        <w:rPr>
          <w:rFonts w:eastAsia="Calibri"/>
        </w:rPr>
        <w:t xml:space="preserve">article 2 (1), </w:t>
      </w:r>
      <w:r w:rsidR="00312DC1" w:rsidRPr="00312DC1">
        <w:rPr>
          <w:rFonts w:eastAsia="Calibri"/>
        </w:rPr>
        <w:t xml:space="preserve">read </w:t>
      </w:r>
      <w:r w:rsidR="00234332" w:rsidRPr="00312DC1">
        <w:rPr>
          <w:rFonts w:eastAsia="Calibri"/>
        </w:rPr>
        <w:t>in conjunction with article 22 of the Covenant,</w:t>
      </w:r>
      <w:r w:rsidR="004C1558" w:rsidRPr="00312DC1">
        <w:rPr>
          <w:rFonts w:eastAsia="Calibri"/>
        </w:rPr>
        <w:t xml:space="preserve"> </w:t>
      </w:r>
      <w:r w:rsidR="00234332" w:rsidRPr="00312DC1">
        <w:rPr>
          <w:rFonts w:eastAsia="Calibri"/>
        </w:rPr>
        <w:t>are unfounded.</w:t>
      </w:r>
      <w:r w:rsidR="00C15251">
        <w:rPr>
          <w:rFonts w:eastAsia="Calibri"/>
        </w:rPr>
        <w:t xml:space="preserve"> </w:t>
      </w:r>
    </w:p>
    <w:p w14:paraId="0FF10C68" w14:textId="02D40344" w:rsidR="001B2499" w:rsidRPr="00665A6E" w:rsidRDefault="00FD2DBD" w:rsidP="002920D8">
      <w:pPr>
        <w:pStyle w:val="H23G"/>
      </w:pPr>
      <w:r>
        <w:tab/>
      </w:r>
      <w:r w:rsidR="002920D8">
        <w:tab/>
      </w:r>
      <w:r w:rsidR="002920D8">
        <w:tab/>
      </w:r>
      <w:r w:rsidR="001B2499" w:rsidRPr="001B2499">
        <w:t xml:space="preserve">Author’s comments on </w:t>
      </w:r>
      <w:r w:rsidR="00A37A97">
        <w:t xml:space="preserve">the State Party’s observations </w:t>
      </w:r>
    </w:p>
    <w:p w14:paraId="49E8D965" w14:textId="77777777" w:rsidR="006531DE" w:rsidRDefault="000F31C2" w:rsidP="002E652B">
      <w:pPr>
        <w:pStyle w:val="SingleTxtG"/>
        <w:rPr>
          <w:rFonts w:asciiTheme="majorBidi" w:hAnsiTheme="majorBidi" w:cstheme="majorBidi"/>
        </w:rPr>
      </w:pPr>
      <w:r w:rsidRPr="00720133">
        <w:rPr>
          <w:rFonts w:asciiTheme="majorBidi" w:hAnsiTheme="majorBidi" w:cstheme="majorBidi"/>
        </w:rPr>
        <w:t>5</w:t>
      </w:r>
      <w:r w:rsidR="001B2499" w:rsidRPr="00720133">
        <w:rPr>
          <w:rFonts w:asciiTheme="majorBidi" w:hAnsiTheme="majorBidi" w:cstheme="majorBidi"/>
        </w:rPr>
        <w:t>.1</w:t>
      </w:r>
      <w:r w:rsidR="00BE4EBF">
        <w:rPr>
          <w:rFonts w:asciiTheme="majorBidi" w:hAnsiTheme="majorBidi" w:cstheme="majorBidi"/>
        </w:rPr>
        <w:tab/>
      </w:r>
      <w:r w:rsidR="00BE4EBF" w:rsidRPr="00BE4EBF">
        <w:rPr>
          <w:rFonts w:asciiTheme="majorBidi" w:hAnsiTheme="majorBidi" w:cstheme="majorBidi"/>
        </w:rPr>
        <w:t>On</w:t>
      </w:r>
      <w:r w:rsidR="00BE4EBF">
        <w:rPr>
          <w:rFonts w:asciiTheme="majorBidi" w:hAnsiTheme="majorBidi" w:cstheme="majorBidi"/>
        </w:rPr>
        <w:t xml:space="preserve"> </w:t>
      </w:r>
      <w:r w:rsidR="00BE4EBF" w:rsidRPr="00BE4EBF">
        <w:rPr>
          <w:rFonts w:asciiTheme="majorBidi" w:hAnsiTheme="majorBidi" w:cstheme="majorBidi"/>
        </w:rPr>
        <w:t>1</w:t>
      </w:r>
      <w:r w:rsidR="00A37A97">
        <w:rPr>
          <w:rFonts w:asciiTheme="majorBidi" w:hAnsiTheme="majorBidi" w:cstheme="majorBidi"/>
        </w:rPr>
        <w:t xml:space="preserve">9 October </w:t>
      </w:r>
      <w:r w:rsidR="00A37A97" w:rsidRPr="002E652B">
        <w:t>2020</w:t>
      </w:r>
      <w:r w:rsidR="00A37A97">
        <w:rPr>
          <w:rFonts w:asciiTheme="majorBidi" w:hAnsiTheme="majorBidi" w:cstheme="majorBidi"/>
        </w:rPr>
        <w:t xml:space="preserve">, </w:t>
      </w:r>
      <w:r w:rsidR="00BE4EBF" w:rsidRPr="00BE4EBF">
        <w:rPr>
          <w:rFonts w:asciiTheme="majorBidi" w:hAnsiTheme="majorBidi" w:cstheme="majorBidi"/>
        </w:rPr>
        <w:t>the author submitted his comments</w:t>
      </w:r>
      <w:r w:rsidR="006531DE">
        <w:rPr>
          <w:rFonts w:asciiTheme="majorBidi" w:hAnsiTheme="majorBidi" w:cstheme="majorBidi"/>
        </w:rPr>
        <w:t xml:space="preserve"> on the State Party’s observations. </w:t>
      </w:r>
    </w:p>
    <w:p w14:paraId="6199BF02" w14:textId="6A2D49F9" w:rsidR="00D53515" w:rsidRDefault="006531DE" w:rsidP="002E652B">
      <w:pPr>
        <w:pStyle w:val="SingleTxtG"/>
        <w:rPr>
          <w:rFonts w:asciiTheme="majorBidi" w:hAnsiTheme="majorBidi" w:cstheme="majorBidi"/>
        </w:rPr>
      </w:pPr>
      <w:r>
        <w:rPr>
          <w:rFonts w:asciiTheme="majorBidi" w:hAnsiTheme="majorBidi" w:cstheme="majorBidi"/>
        </w:rPr>
        <w:t>5.2</w:t>
      </w:r>
      <w:r w:rsidR="00C15251">
        <w:rPr>
          <w:rFonts w:asciiTheme="majorBidi" w:hAnsiTheme="majorBidi" w:cstheme="majorBidi"/>
        </w:rPr>
        <w:t xml:space="preserve"> </w:t>
      </w:r>
      <w:r w:rsidR="00055426">
        <w:rPr>
          <w:rFonts w:asciiTheme="majorBidi" w:hAnsiTheme="majorBidi" w:cstheme="majorBidi"/>
        </w:rPr>
        <w:tab/>
      </w:r>
      <w:r>
        <w:rPr>
          <w:rFonts w:asciiTheme="majorBidi" w:hAnsiTheme="majorBidi" w:cstheme="majorBidi"/>
        </w:rPr>
        <w:t xml:space="preserve">As regards the State Party’s </w:t>
      </w:r>
      <w:r w:rsidR="001E4D3F">
        <w:rPr>
          <w:rFonts w:asciiTheme="majorBidi" w:hAnsiTheme="majorBidi" w:cstheme="majorBidi"/>
        </w:rPr>
        <w:t xml:space="preserve">alleged </w:t>
      </w:r>
      <w:r>
        <w:rPr>
          <w:rFonts w:asciiTheme="majorBidi" w:hAnsiTheme="majorBidi" w:cstheme="majorBidi"/>
        </w:rPr>
        <w:t xml:space="preserve">non-exhaustion of domestic remedies, the author raised two objections. </w:t>
      </w:r>
      <w:r w:rsidR="00090253">
        <w:rPr>
          <w:rFonts w:asciiTheme="majorBidi" w:hAnsiTheme="majorBidi" w:cstheme="majorBidi"/>
        </w:rPr>
        <w:t xml:space="preserve">First, he </w:t>
      </w:r>
      <w:r>
        <w:rPr>
          <w:rFonts w:asciiTheme="majorBidi" w:hAnsiTheme="majorBidi" w:cstheme="majorBidi"/>
        </w:rPr>
        <w:t>question</w:t>
      </w:r>
      <w:r w:rsidR="00A42D03">
        <w:rPr>
          <w:rFonts w:asciiTheme="majorBidi" w:hAnsiTheme="majorBidi" w:cstheme="majorBidi"/>
        </w:rPr>
        <w:t xml:space="preserve">ed </w:t>
      </w:r>
      <w:r>
        <w:rPr>
          <w:rFonts w:asciiTheme="majorBidi" w:hAnsiTheme="majorBidi" w:cstheme="majorBidi"/>
        </w:rPr>
        <w:t xml:space="preserve">the </w:t>
      </w:r>
      <w:r w:rsidR="00090253">
        <w:rPr>
          <w:rFonts w:asciiTheme="majorBidi" w:hAnsiTheme="majorBidi" w:cstheme="majorBidi"/>
        </w:rPr>
        <w:t xml:space="preserve">alleged </w:t>
      </w:r>
      <w:r>
        <w:rPr>
          <w:rFonts w:asciiTheme="majorBidi" w:hAnsiTheme="majorBidi" w:cstheme="majorBidi"/>
        </w:rPr>
        <w:t xml:space="preserve">non-binding force of the </w:t>
      </w:r>
      <w:r w:rsidR="00090253">
        <w:rPr>
          <w:rFonts w:asciiTheme="majorBidi" w:hAnsiTheme="majorBidi" w:cstheme="majorBidi"/>
        </w:rPr>
        <w:t xml:space="preserve">ruling of </w:t>
      </w:r>
      <w:r w:rsidR="00C07F89">
        <w:rPr>
          <w:rFonts w:asciiTheme="majorBidi" w:hAnsiTheme="majorBidi" w:cstheme="majorBidi"/>
        </w:rPr>
        <w:t xml:space="preserve">the </w:t>
      </w:r>
      <w:r>
        <w:rPr>
          <w:rFonts w:asciiTheme="majorBidi" w:hAnsiTheme="majorBidi" w:cstheme="majorBidi"/>
        </w:rPr>
        <w:t>Sofia Court of Appeal</w:t>
      </w:r>
      <w:r w:rsidR="00090253">
        <w:rPr>
          <w:rFonts w:asciiTheme="majorBidi" w:hAnsiTheme="majorBidi" w:cstheme="majorBidi"/>
        </w:rPr>
        <w:t xml:space="preserve">, </w:t>
      </w:r>
      <w:r w:rsidR="00C07F89" w:rsidRPr="002E652B">
        <w:t>consider</w:t>
      </w:r>
      <w:r w:rsidR="00090253" w:rsidRPr="002E652B">
        <w:t>ing</w:t>
      </w:r>
      <w:r w:rsidR="00090253">
        <w:rPr>
          <w:rFonts w:asciiTheme="majorBidi" w:hAnsiTheme="majorBidi" w:cstheme="majorBidi"/>
        </w:rPr>
        <w:t xml:space="preserve"> </w:t>
      </w:r>
      <w:r>
        <w:rPr>
          <w:rFonts w:asciiTheme="majorBidi" w:hAnsiTheme="majorBidi" w:cstheme="majorBidi"/>
        </w:rPr>
        <w:t xml:space="preserve">such objection </w:t>
      </w:r>
      <w:r w:rsidR="00C07F89">
        <w:rPr>
          <w:rFonts w:asciiTheme="majorBidi" w:hAnsiTheme="majorBidi" w:cstheme="majorBidi"/>
        </w:rPr>
        <w:t xml:space="preserve">as </w:t>
      </w:r>
      <w:r>
        <w:rPr>
          <w:rFonts w:asciiTheme="majorBidi" w:hAnsiTheme="majorBidi" w:cstheme="majorBidi"/>
        </w:rPr>
        <w:t>unfounded. The</w:t>
      </w:r>
      <w:r w:rsidR="003B37BE">
        <w:rPr>
          <w:rFonts w:asciiTheme="majorBidi" w:hAnsiTheme="majorBidi" w:cstheme="majorBidi"/>
        </w:rPr>
        <w:t xml:space="preserve"> </w:t>
      </w:r>
      <w:r>
        <w:rPr>
          <w:rFonts w:asciiTheme="majorBidi" w:hAnsiTheme="majorBidi" w:cstheme="majorBidi"/>
        </w:rPr>
        <w:t>S</w:t>
      </w:r>
      <w:r w:rsidR="001E4D3F">
        <w:rPr>
          <w:rFonts w:asciiTheme="majorBidi" w:hAnsiTheme="majorBidi" w:cstheme="majorBidi"/>
        </w:rPr>
        <w:t>ofia Court of Appeal d</w:t>
      </w:r>
      <w:r w:rsidR="00A95CA0">
        <w:rPr>
          <w:rFonts w:asciiTheme="majorBidi" w:hAnsiTheme="majorBidi" w:cstheme="majorBidi"/>
        </w:rPr>
        <w:t xml:space="preserve">ecision </w:t>
      </w:r>
      <w:r w:rsidR="003B37BE">
        <w:rPr>
          <w:rFonts w:asciiTheme="majorBidi" w:hAnsiTheme="majorBidi" w:cstheme="majorBidi"/>
        </w:rPr>
        <w:t xml:space="preserve">is binding </w:t>
      </w:r>
      <w:r w:rsidR="00A95CA0">
        <w:rPr>
          <w:rFonts w:asciiTheme="majorBidi" w:hAnsiTheme="majorBidi" w:cstheme="majorBidi"/>
        </w:rPr>
        <w:t xml:space="preserve">as </w:t>
      </w:r>
      <w:r w:rsidR="003B37BE">
        <w:rPr>
          <w:rFonts w:asciiTheme="majorBidi" w:hAnsiTheme="majorBidi" w:cstheme="majorBidi"/>
        </w:rPr>
        <w:t xml:space="preserve">it </w:t>
      </w:r>
      <w:r w:rsidR="00A42D03">
        <w:rPr>
          <w:rFonts w:asciiTheme="majorBidi" w:hAnsiTheme="majorBidi" w:cstheme="majorBidi"/>
        </w:rPr>
        <w:t xml:space="preserve">rejected the </w:t>
      </w:r>
      <w:r w:rsidR="003B37BE">
        <w:rPr>
          <w:rFonts w:asciiTheme="majorBidi" w:hAnsiTheme="majorBidi" w:cstheme="majorBidi"/>
        </w:rPr>
        <w:t>incorporat</w:t>
      </w:r>
      <w:r w:rsidR="00A42D03">
        <w:rPr>
          <w:rFonts w:asciiTheme="majorBidi" w:hAnsiTheme="majorBidi" w:cstheme="majorBidi"/>
        </w:rPr>
        <w:t xml:space="preserve">ion of </w:t>
      </w:r>
      <w:r w:rsidR="00B54B31">
        <w:rPr>
          <w:rFonts w:asciiTheme="majorBidi" w:hAnsiTheme="majorBidi" w:cstheme="majorBidi"/>
        </w:rPr>
        <w:t xml:space="preserve">the </w:t>
      </w:r>
      <w:r w:rsidR="003B37BE">
        <w:rPr>
          <w:rFonts w:asciiTheme="majorBidi" w:hAnsiTheme="majorBidi" w:cstheme="majorBidi"/>
        </w:rPr>
        <w:t>H</w:t>
      </w:r>
      <w:r w:rsidR="00090253">
        <w:rPr>
          <w:rFonts w:asciiTheme="majorBidi" w:hAnsiTheme="majorBidi" w:cstheme="majorBidi"/>
        </w:rPr>
        <w:t>RPCT</w:t>
      </w:r>
      <w:r w:rsidR="00A42D03">
        <w:rPr>
          <w:rFonts w:asciiTheme="majorBidi" w:hAnsiTheme="majorBidi" w:cstheme="majorBidi"/>
        </w:rPr>
        <w:t xml:space="preserve">, based on </w:t>
      </w:r>
      <w:r w:rsidR="003B37BE">
        <w:rPr>
          <w:rFonts w:asciiTheme="majorBidi" w:hAnsiTheme="majorBidi" w:cstheme="majorBidi"/>
        </w:rPr>
        <w:t>the statute</w:t>
      </w:r>
      <w:r w:rsidR="00A95CA0">
        <w:rPr>
          <w:rFonts w:asciiTheme="majorBidi" w:hAnsiTheme="majorBidi" w:cstheme="majorBidi"/>
        </w:rPr>
        <w:t xml:space="preserve"> that </w:t>
      </w:r>
      <w:r w:rsidR="003B37BE">
        <w:rPr>
          <w:rFonts w:asciiTheme="majorBidi" w:hAnsiTheme="majorBidi" w:cstheme="majorBidi"/>
        </w:rPr>
        <w:t xml:space="preserve">the founders adopted on 20 October 2013 and presented to the courts. </w:t>
      </w:r>
      <w:r w:rsidR="00090253">
        <w:rPr>
          <w:rFonts w:asciiTheme="majorBidi" w:hAnsiTheme="majorBidi" w:cstheme="majorBidi"/>
        </w:rPr>
        <w:t>Second, he object</w:t>
      </w:r>
      <w:r w:rsidR="00A42D03">
        <w:rPr>
          <w:rFonts w:asciiTheme="majorBidi" w:hAnsiTheme="majorBidi" w:cstheme="majorBidi"/>
        </w:rPr>
        <w:t xml:space="preserve">ed to </w:t>
      </w:r>
      <w:r w:rsidR="003B37BE">
        <w:rPr>
          <w:rFonts w:asciiTheme="majorBidi" w:hAnsiTheme="majorBidi" w:cstheme="majorBidi"/>
        </w:rPr>
        <w:t xml:space="preserve">the </w:t>
      </w:r>
      <w:r w:rsidR="00A95CA0">
        <w:rPr>
          <w:rFonts w:asciiTheme="majorBidi" w:hAnsiTheme="majorBidi" w:cstheme="majorBidi"/>
        </w:rPr>
        <w:t xml:space="preserve">argument </w:t>
      </w:r>
      <w:r w:rsidR="00090253">
        <w:rPr>
          <w:rFonts w:asciiTheme="majorBidi" w:hAnsiTheme="majorBidi" w:cstheme="majorBidi"/>
        </w:rPr>
        <w:t xml:space="preserve">by </w:t>
      </w:r>
      <w:r w:rsidR="00A95CA0">
        <w:rPr>
          <w:rFonts w:asciiTheme="majorBidi" w:hAnsiTheme="majorBidi" w:cstheme="majorBidi"/>
        </w:rPr>
        <w:t>the G</w:t>
      </w:r>
      <w:r w:rsidR="003B37BE">
        <w:rPr>
          <w:rFonts w:asciiTheme="majorBidi" w:hAnsiTheme="majorBidi" w:cstheme="majorBidi"/>
        </w:rPr>
        <w:t xml:space="preserve">overnment </w:t>
      </w:r>
      <w:r w:rsidR="00090253">
        <w:rPr>
          <w:rFonts w:asciiTheme="majorBidi" w:hAnsiTheme="majorBidi" w:cstheme="majorBidi"/>
        </w:rPr>
        <w:t xml:space="preserve">which it </w:t>
      </w:r>
      <w:r w:rsidR="003B37BE">
        <w:rPr>
          <w:rFonts w:asciiTheme="majorBidi" w:hAnsiTheme="majorBidi" w:cstheme="majorBidi"/>
        </w:rPr>
        <w:t>already advance</w:t>
      </w:r>
      <w:r w:rsidR="00090253">
        <w:rPr>
          <w:rFonts w:asciiTheme="majorBidi" w:hAnsiTheme="majorBidi" w:cstheme="majorBidi"/>
        </w:rPr>
        <w:t>d</w:t>
      </w:r>
      <w:r w:rsidR="003B37BE">
        <w:rPr>
          <w:rFonts w:asciiTheme="majorBidi" w:hAnsiTheme="majorBidi" w:cstheme="majorBidi"/>
        </w:rPr>
        <w:t xml:space="preserve"> before the European Court of Human Rights in </w:t>
      </w:r>
      <w:r w:rsidR="00090253">
        <w:rPr>
          <w:rFonts w:asciiTheme="majorBidi" w:hAnsiTheme="majorBidi" w:cstheme="majorBidi"/>
        </w:rPr>
        <w:t xml:space="preserve">the </w:t>
      </w:r>
      <w:r w:rsidR="003B37BE">
        <w:rPr>
          <w:rFonts w:asciiTheme="majorBidi" w:hAnsiTheme="majorBidi" w:cstheme="majorBidi"/>
        </w:rPr>
        <w:t xml:space="preserve">case </w:t>
      </w:r>
      <w:r w:rsidR="00A42D03">
        <w:rPr>
          <w:rFonts w:asciiTheme="majorBidi" w:hAnsiTheme="majorBidi" w:cstheme="majorBidi"/>
        </w:rPr>
        <w:t xml:space="preserve">which </w:t>
      </w:r>
      <w:r w:rsidR="003B37BE">
        <w:rPr>
          <w:rFonts w:asciiTheme="majorBidi" w:hAnsiTheme="majorBidi" w:cstheme="majorBidi"/>
        </w:rPr>
        <w:t>involv</w:t>
      </w:r>
      <w:r w:rsidR="00A42D03">
        <w:rPr>
          <w:rFonts w:asciiTheme="majorBidi" w:hAnsiTheme="majorBidi" w:cstheme="majorBidi"/>
        </w:rPr>
        <w:t xml:space="preserve">ed </w:t>
      </w:r>
      <w:r w:rsidR="003B37BE">
        <w:rPr>
          <w:rFonts w:asciiTheme="majorBidi" w:hAnsiTheme="majorBidi" w:cstheme="majorBidi"/>
        </w:rPr>
        <w:t>the refusal by the Bulgarian courts to register another Macedonian organi</w:t>
      </w:r>
      <w:r w:rsidR="001E4D3F">
        <w:rPr>
          <w:rFonts w:asciiTheme="majorBidi" w:hAnsiTheme="majorBidi" w:cstheme="majorBidi"/>
        </w:rPr>
        <w:t>z</w:t>
      </w:r>
      <w:r w:rsidR="003B37BE">
        <w:rPr>
          <w:rFonts w:asciiTheme="majorBidi" w:hAnsiTheme="majorBidi" w:cstheme="majorBidi"/>
        </w:rPr>
        <w:t>ation,</w:t>
      </w:r>
      <w:r w:rsidR="001E4D3F">
        <w:rPr>
          <w:rFonts w:asciiTheme="majorBidi" w:hAnsiTheme="majorBidi" w:cstheme="majorBidi"/>
        </w:rPr>
        <w:t xml:space="preserve"> </w:t>
      </w:r>
      <w:r w:rsidR="003B37BE" w:rsidRPr="00090253">
        <w:rPr>
          <w:rFonts w:asciiTheme="majorBidi" w:hAnsiTheme="majorBidi" w:cstheme="majorBidi"/>
          <w:i/>
          <w:iCs/>
        </w:rPr>
        <w:t>UMO Ilinden</w:t>
      </w:r>
      <w:r w:rsidR="00A95CA0">
        <w:rPr>
          <w:rFonts w:asciiTheme="majorBidi" w:hAnsiTheme="majorBidi" w:cstheme="majorBidi"/>
        </w:rPr>
        <w:t>, in 2002-2004</w:t>
      </w:r>
      <w:r w:rsidR="003B37BE">
        <w:rPr>
          <w:rFonts w:asciiTheme="majorBidi" w:hAnsiTheme="majorBidi" w:cstheme="majorBidi"/>
        </w:rPr>
        <w:t>. In that case, the European Court</w:t>
      </w:r>
      <w:r w:rsidR="00A95CA0">
        <w:rPr>
          <w:rFonts w:asciiTheme="majorBidi" w:hAnsiTheme="majorBidi" w:cstheme="majorBidi"/>
        </w:rPr>
        <w:t xml:space="preserve"> </w:t>
      </w:r>
      <w:r w:rsidR="003B37BE">
        <w:rPr>
          <w:rFonts w:asciiTheme="majorBidi" w:hAnsiTheme="majorBidi" w:cstheme="majorBidi"/>
        </w:rPr>
        <w:t xml:space="preserve">rejected the </w:t>
      </w:r>
      <w:r w:rsidR="00D53515">
        <w:rPr>
          <w:rFonts w:asciiTheme="majorBidi" w:hAnsiTheme="majorBidi" w:cstheme="majorBidi"/>
        </w:rPr>
        <w:t>G</w:t>
      </w:r>
      <w:r w:rsidR="003B37BE">
        <w:rPr>
          <w:rFonts w:asciiTheme="majorBidi" w:hAnsiTheme="majorBidi" w:cstheme="majorBidi"/>
        </w:rPr>
        <w:t xml:space="preserve">overnment’s argument that the association, registration </w:t>
      </w:r>
      <w:r w:rsidR="00A42D03">
        <w:rPr>
          <w:rFonts w:asciiTheme="majorBidi" w:hAnsiTheme="majorBidi" w:cstheme="majorBidi"/>
        </w:rPr>
        <w:t xml:space="preserve">of which </w:t>
      </w:r>
      <w:r w:rsidR="003B37BE">
        <w:rPr>
          <w:rFonts w:asciiTheme="majorBidi" w:hAnsiTheme="majorBidi" w:cstheme="majorBidi"/>
        </w:rPr>
        <w:t>was rejected,</w:t>
      </w:r>
      <w:r w:rsidR="00A42D03">
        <w:rPr>
          <w:rFonts w:asciiTheme="majorBidi" w:hAnsiTheme="majorBidi" w:cstheme="majorBidi"/>
        </w:rPr>
        <w:t xml:space="preserve"> </w:t>
      </w:r>
      <w:r w:rsidR="003B37BE">
        <w:rPr>
          <w:rFonts w:asciiTheme="majorBidi" w:hAnsiTheme="majorBidi" w:cstheme="majorBidi"/>
        </w:rPr>
        <w:t>could reapply for registration</w:t>
      </w:r>
      <w:r w:rsidR="00D53515">
        <w:rPr>
          <w:rFonts w:asciiTheme="majorBidi" w:hAnsiTheme="majorBidi" w:cstheme="majorBidi"/>
        </w:rPr>
        <w:t xml:space="preserve">. </w:t>
      </w:r>
      <w:r w:rsidR="00D53515" w:rsidRPr="001E4D3F">
        <w:rPr>
          <w:rFonts w:asciiTheme="majorBidi" w:hAnsiTheme="majorBidi" w:cstheme="majorBidi"/>
        </w:rPr>
        <w:t xml:space="preserve">The </w:t>
      </w:r>
      <w:r w:rsidR="003B37BE" w:rsidRPr="001E4D3F">
        <w:rPr>
          <w:rFonts w:asciiTheme="majorBidi" w:hAnsiTheme="majorBidi" w:cstheme="majorBidi"/>
        </w:rPr>
        <w:t xml:space="preserve">Court </w:t>
      </w:r>
      <w:r w:rsidR="00D53515" w:rsidRPr="001E4D3F">
        <w:rPr>
          <w:rFonts w:asciiTheme="majorBidi" w:hAnsiTheme="majorBidi" w:cstheme="majorBidi"/>
        </w:rPr>
        <w:t xml:space="preserve">considered </w:t>
      </w:r>
      <w:r w:rsidR="003B3558" w:rsidRPr="001E4D3F">
        <w:rPr>
          <w:rFonts w:asciiTheme="majorBidi" w:hAnsiTheme="majorBidi" w:cstheme="majorBidi"/>
        </w:rPr>
        <w:t>the refusals to register the association as interference with the right to freedom of association.</w:t>
      </w:r>
      <w:r w:rsidR="00A42D03" w:rsidRPr="001E4D3F">
        <w:rPr>
          <w:rFonts w:asciiTheme="majorBidi" w:hAnsiTheme="majorBidi" w:cstheme="majorBidi"/>
        </w:rPr>
        <w:t xml:space="preserve"> </w:t>
      </w:r>
      <w:r w:rsidR="003B3558" w:rsidRPr="001E4D3F">
        <w:rPr>
          <w:rFonts w:asciiTheme="majorBidi" w:hAnsiTheme="majorBidi" w:cstheme="majorBidi"/>
        </w:rPr>
        <w:t xml:space="preserve">Separate </w:t>
      </w:r>
      <w:r w:rsidR="00090253" w:rsidRPr="001E4D3F">
        <w:rPr>
          <w:rFonts w:asciiTheme="majorBidi" w:hAnsiTheme="majorBidi" w:cstheme="majorBidi"/>
        </w:rPr>
        <w:t xml:space="preserve">subsequent </w:t>
      </w:r>
      <w:r w:rsidR="003B3558" w:rsidRPr="001E4D3F">
        <w:rPr>
          <w:rFonts w:asciiTheme="majorBidi" w:hAnsiTheme="majorBidi" w:cstheme="majorBidi"/>
        </w:rPr>
        <w:t>registration proceedings were considered of no relevance for the exhaustion of domestic remedies.</w:t>
      </w:r>
      <w:r w:rsidR="003B3558" w:rsidRPr="001E4D3F">
        <w:rPr>
          <w:rStyle w:val="FootnoteReference"/>
          <w:rFonts w:cstheme="majorBidi"/>
        </w:rPr>
        <w:footnoteReference w:id="5"/>
      </w:r>
      <w:r w:rsidR="003B37BE">
        <w:rPr>
          <w:rFonts w:asciiTheme="majorBidi" w:hAnsiTheme="majorBidi" w:cstheme="majorBidi"/>
        </w:rPr>
        <w:t xml:space="preserve"> </w:t>
      </w:r>
    </w:p>
    <w:p w14:paraId="7427770F" w14:textId="10E78ED4" w:rsidR="00EE3B00" w:rsidRDefault="00D53515" w:rsidP="002E652B">
      <w:pPr>
        <w:pStyle w:val="SingleTxtG"/>
        <w:rPr>
          <w:rFonts w:asciiTheme="majorBidi" w:hAnsiTheme="majorBidi" w:cstheme="majorBidi"/>
        </w:rPr>
      </w:pPr>
      <w:r>
        <w:rPr>
          <w:rFonts w:asciiTheme="majorBidi" w:hAnsiTheme="majorBidi" w:cstheme="majorBidi"/>
        </w:rPr>
        <w:lastRenderedPageBreak/>
        <w:t>5.3</w:t>
      </w:r>
      <w:r>
        <w:rPr>
          <w:rFonts w:asciiTheme="majorBidi" w:hAnsiTheme="majorBidi" w:cstheme="majorBidi"/>
        </w:rPr>
        <w:tab/>
      </w:r>
      <w:r w:rsidR="00C07F89" w:rsidRPr="001E4D3F">
        <w:rPr>
          <w:rFonts w:asciiTheme="majorBidi" w:hAnsiTheme="majorBidi" w:cstheme="majorBidi"/>
        </w:rPr>
        <w:t xml:space="preserve">The legal situation </w:t>
      </w:r>
      <w:r w:rsidRPr="001E4D3F">
        <w:rPr>
          <w:rFonts w:asciiTheme="majorBidi" w:hAnsiTheme="majorBidi" w:cstheme="majorBidi"/>
        </w:rPr>
        <w:t xml:space="preserve">in the present case </w:t>
      </w:r>
      <w:r w:rsidR="00C07F89" w:rsidRPr="001E4D3F">
        <w:rPr>
          <w:rFonts w:asciiTheme="majorBidi" w:hAnsiTheme="majorBidi" w:cstheme="majorBidi"/>
        </w:rPr>
        <w:t xml:space="preserve">is </w:t>
      </w:r>
      <w:r w:rsidR="00A42D03" w:rsidRPr="001E4D3F">
        <w:rPr>
          <w:rFonts w:asciiTheme="majorBidi" w:hAnsiTheme="majorBidi" w:cstheme="majorBidi"/>
        </w:rPr>
        <w:t xml:space="preserve">identical. </w:t>
      </w:r>
      <w:r w:rsidR="00C07F89" w:rsidRPr="001E4D3F">
        <w:rPr>
          <w:rFonts w:asciiTheme="majorBidi" w:hAnsiTheme="majorBidi" w:cstheme="majorBidi"/>
        </w:rPr>
        <w:t xml:space="preserve">The author complains of interference </w:t>
      </w:r>
      <w:r w:rsidR="00A42D03" w:rsidRPr="001E4D3F">
        <w:rPr>
          <w:rFonts w:asciiTheme="majorBidi" w:hAnsiTheme="majorBidi" w:cstheme="majorBidi"/>
        </w:rPr>
        <w:t xml:space="preserve">with </w:t>
      </w:r>
      <w:r w:rsidR="00C07F89" w:rsidRPr="001E4D3F">
        <w:rPr>
          <w:rFonts w:asciiTheme="majorBidi" w:hAnsiTheme="majorBidi" w:cstheme="majorBidi"/>
        </w:rPr>
        <w:t xml:space="preserve">his rights because of the refusals of the Bulgarian courts to register </w:t>
      </w:r>
      <w:r w:rsidR="00B54B31" w:rsidRPr="001E4D3F">
        <w:rPr>
          <w:rFonts w:asciiTheme="majorBidi" w:hAnsiTheme="majorBidi" w:cstheme="majorBidi"/>
        </w:rPr>
        <w:t xml:space="preserve">the </w:t>
      </w:r>
      <w:r w:rsidR="00C07F89" w:rsidRPr="001E4D3F">
        <w:rPr>
          <w:rFonts w:asciiTheme="majorBidi" w:hAnsiTheme="majorBidi" w:cstheme="majorBidi"/>
        </w:rPr>
        <w:t xml:space="preserve">HRPCT. The possibility to re-apply for registration is of no relevance for the exhaustion of domestic remedies also in the present case. The </w:t>
      </w:r>
      <w:r w:rsidR="00090253" w:rsidRPr="001E4D3F">
        <w:rPr>
          <w:rFonts w:asciiTheme="majorBidi" w:hAnsiTheme="majorBidi" w:cstheme="majorBidi"/>
        </w:rPr>
        <w:t xml:space="preserve">State Party’s </w:t>
      </w:r>
      <w:r w:rsidR="00EE3B00" w:rsidRPr="001E4D3F">
        <w:rPr>
          <w:rFonts w:asciiTheme="majorBidi" w:hAnsiTheme="majorBidi" w:cstheme="majorBidi"/>
        </w:rPr>
        <w:t>o</w:t>
      </w:r>
      <w:r w:rsidR="00C07F89" w:rsidRPr="001E4D3F">
        <w:rPr>
          <w:rFonts w:asciiTheme="majorBidi" w:hAnsiTheme="majorBidi" w:cstheme="majorBidi"/>
        </w:rPr>
        <w:t xml:space="preserve">bjections </w:t>
      </w:r>
      <w:r w:rsidRPr="001E4D3F">
        <w:rPr>
          <w:rFonts w:asciiTheme="majorBidi" w:hAnsiTheme="majorBidi" w:cstheme="majorBidi"/>
        </w:rPr>
        <w:t xml:space="preserve">to </w:t>
      </w:r>
      <w:r w:rsidR="00EE3B00" w:rsidRPr="001E4D3F">
        <w:rPr>
          <w:rFonts w:asciiTheme="majorBidi" w:hAnsiTheme="majorBidi" w:cstheme="majorBidi"/>
        </w:rPr>
        <w:t xml:space="preserve">the </w:t>
      </w:r>
      <w:r w:rsidR="00C07F89" w:rsidRPr="001E4D3F">
        <w:rPr>
          <w:rFonts w:asciiTheme="majorBidi" w:hAnsiTheme="majorBidi" w:cstheme="majorBidi"/>
        </w:rPr>
        <w:t xml:space="preserve">admissibility </w:t>
      </w:r>
      <w:r w:rsidR="00EE3B00" w:rsidRPr="001E4D3F">
        <w:rPr>
          <w:rFonts w:asciiTheme="majorBidi" w:hAnsiTheme="majorBidi" w:cstheme="majorBidi"/>
        </w:rPr>
        <w:t xml:space="preserve">of the communication </w:t>
      </w:r>
      <w:r w:rsidR="00C07F89" w:rsidRPr="001E4D3F">
        <w:rPr>
          <w:rFonts w:asciiTheme="majorBidi" w:hAnsiTheme="majorBidi" w:cstheme="majorBidi"/>
        </w:rPr>
        <w:t>should</w:t>
      </w:r>
      <w:r w:rsidR="001E4D3F" w:rsidRPr="001E4D3F">
        <w:rPr>
          <w:rFonts w:asciiTheme="majorBidi" w:hAnsiTheme="majorBidi" w:cstheme="majorBidi"/>
        </w:rPr>
        <w:t xml:space="preserve"> hence</w:t>
      </w:r>
      <w:r w:rsidR="00C07F89" w:rsidRPr="001E4D3F">
        <w:rPr>
          <w:rFonts w:asciiTheme="majorBidi" w:hAnsiTheme="majorBidi" w:cstheme="majorBidi"/>
        </w:rPr>
        <w:t xml:space="preserve"> be rejected.</w:t>
      </w:r>
      <w:r w:rsidR="00C07F89">
        <w:rPr>
          <w:rFonts w:asciiTheme="majorBidi" w:hAnsiTheme="majorBidi" w:cstheme="majorBidi"/>
        </w:rPr>
        <w:t xml:space="preserve"> </w:t>
      </w:r>
    </w:p>
    <w:p w14:paraId="35D69D58" w14:textId="43819DFE" w:rsidR="003A7101" w:rsidRDefault="00EE3B00" w:rsidP="002E652B">
      <w:pPr>
        <w:pStyle w:val="SingleTxtG"/>
        <w:rPr>
          <w:rFonts w:asciiTheme="majorBidi" w:hAnsiTheme="majorBidi" w:cstheme="majorBidi"/>
        </w:rPr>
      </w:pPr>
      <w:r>
        <w:rPr>
          <w:rFonts w:asciiTheme="majorBidi" w:hAnsiTheme="majorBidi" w:cstheme="majorBidi"/>
        </w:rPr>
        <w:t>5.4</w:t>
      </w:r>
      <w:r>
        <w:rPr>
          <w:rFonts w:asciiTheme="majorBidi" w:hAnsiTheme="majorBidi" w:cstheme="majorBidi"/>
        </w:rPr>
        <w:tab/>
      </w:r>
      <w:r w:rsidRPr="001E4D3F">
        <w:rPr>
          <w:rFonts w:asciiTheme="majorBidi" w:hAnsiTheme="majorBidi" w:cstheme="majorBidi"/>
        </w:rPr>
        <w:t xml:space="preserve">As </w:t>
      </w:r>
      <w:r w:rsidR="00A42D03" w:rsidRPr="001E4D3F">
        <w:rPr>
          <w:rFonts w:asciiTheme="majorBidi" w:hAnsiTheme="majorBidi" w:cstheme="majorBidi"/>
        </w:rPr>
        <w:t xml:space="preserve">concerns </w:t>
      </w:r>
      <w:r w:rsidRPr="001E4D3F">
        <w:rPr>
          <w:rFonts w:asciiTheme="majorBidi" w:hAnsiTheme="majorBidi" w:cstheme="majorBidi"/>
        </w:rPr>
        <w:t xml:space="preserve">the Government’s objections to the merits, </w:t>
      </w:r>
      <w:r w:rsidR="00A42D03" w:rsidRPr="001E4D3F">
        <w:rPr>
          <w:rFonts w:asciiTheme="majorBidi" w:hAnsiTheme="majorBidi" w:cstheme="majorBidi"/>
        </w:rPr>
        <w:t xml:space="preserve">due to the </w:t>
      </w:r>
      <w:r w:rsidRPr="001E4D3F">
        <w:rPr>
          <w:rFonts w:asciiTheme="majorBidi" w:hAnsiTheme="majorBidi" w:cstheme="majorBidi"/>
        </w:rPr>
        <w:t xml:space="preserve">alleged prohibition of commercial activities </w:t>
      </w:r>
      <w:r w:rsidR="00A42D03" w:rsidRPr="002E652B">
        <w:t>for</w:t>
      </w:r>
      <w:r w:rsidR="00A42D03" w:rsidRPr="001E4D3F">
        <w:rPr>
          <w:rFonts w:asciiTheme="majorBidi" w:hAnsiTheme="majorBidi" w:cstheme="majorBidi"/>
        </w:rPr>
        <w:t xml:space="preserve"> </w:t>
      </w:r>
      <w:r w:rsidRPr="001E4D3F">
        <w:rPr>
          <w:rFonts w:asciiTheme="majorBidi" w:hAnsiTheme="majorBidi" w:cstheme="majorBidi"/>
        </w:rPr>
        <w:t>the non-profit organi</w:t>
      </w:r>
      <w:r w:rsidR="001E4D3F" w:rsidRPr="001E4D3F">
        <w:rPr>
          <w:rFonts w:asciiTheme="majorBidi" w:hAnsiTheme="majorBidi" w:cstheme="majorBidi"/>
        </w:rPr>
        <w:t>z</w:t>
      </w:r>
      <w:r w:rsidRPr="001E4D3F">
        <w:rPr>
          <w:rFonts w:asciiTheme="majorBidi" w:hAnsiTheme="majorBidi" w:cstheme="majorBidi"/>
        </w:rPr>
        <w:t>ations, the author emphasize</w:t>
      </w:r>
      <w:r w:rsidR="00A42D03" w:rsidRPr="001E4D3F">
        <w:rPr>
          <w:rFonts w:asciiTheme="majorBidi" w:hAnsiTheme="majorBidi" w:cstheme="majorBidi"/>
        </w:rPr>
        <w:t xml:space="preserve">d </w:t>
      </w:r>
      <w:r w:rsidRPr="001E4D3F">
        <w:rPr>
          <w:rFonts w:asciiTheme="majorBidi" w:hAnsiTheme="majorBidi" w:cstheme="majorBidi"/>
        </w:rPr>
        <w:t xml:space="preserve">a distinction </w:t>
      </w:r>
      <w:r w:rsidR="00A42D03" w:rsidRPr="001E4D3F">
        <w:rPr>
          <w:rFonts w:asciiTheme="majorBidi" w:hAnsiTheme="majorBidi" w:cstheme="majorBidi"/>
        </w:rPr>
        <w:t xml:space="preserve">between </w:t>
      </w:r>
      <w:r w:rsidRPr="001E4D3F">
        <w:rPr>
          <w:rFonts w:asciiTheme="majorBidi" w:hAnsiTheme="majorBidi" w:cstheme="majorBidi"/>
        </w:rPr>
        <w:t>article 3 of the NPLEA</w:t>
      </w:r>
      <w:r w:rsidR="00A42D03" w:rsidRPr="001E4D3F">
        <w:rPr>
          <w:rFonts w:asciiTheme="majorBidi" w:hAnsiTheme="majorBidi" w:cstheme="majorBidi"/>
        </w:rPr>
        <w:t xml:space="preserve">, which refers to </w:t>
      </w:r>
      <w:r w:rsidRPr="001E4D3F">
        <w:rPr>
          <w:rFonts w:asciiTheme="majorBidi" w:hAnsiTheme="majorBidi" w:cstheme="majorBidi"/>
        </w:rPr>
        <w:t>“activities’</w:t>
      </w:r>
      <w:r w:rsidR="00A42D03" w:rsidRPr="001E4D3F">
        <w:rPr>
          <w:rFonts w:asciiTheme="majorBidi" w:hAnsiTheme="majorBidi" w:cstheme="majorBidi"/>
        </w:rPr>
        <w:t xml:space="preserve">, </w:t>
      </w:r>
      <w:r w:rsidRPr="001E4D3F">
        <w:rPr>
          <w:rFonts w:asciiTheme="majorBidi" w:hAnsiTheme="majorBidi" w:cstheme="majorBidi"/>
        </w:rPr>
        <w:t xml:space="preserve">whereas article 23 of the HRPCT statute talks about “property”. </w:t>
      </w:r>
      <w:r w:rsidR="003A7101" w:rsidRPr="001E4D3F">
        <w:rPr>
          <w:rFonts w:asciiTheme="majorBidi" w:hAnsiTheme="majorBidi" w:cstheme="majorBidi"/>
        </w:rPr>
        <w:t>He add</w:t>
      </w:r>
      <w:r w:rsidR="00A42D03" w:rsidRPr="001E4D3F">
        <w:rPr>
          <w:rFonts w:asciiTheme="majorBidi" w:hAnsiTheme="majorBidi" w:cstheme="majorBidi"/>
        </w:rPr>
        <w:t xml:space="preserve">ed </w:t>
      </w:r>
      <w:r w:rsidR="003A7101" w:rsidRPr="001E4D3F">
        <w:rPr>
          <w:rFonts w:asciiTheme="majorBidi" w:hAnsiTheme="majorBidi" w:cstheme="majorBidi"/>
        </w:rPr>
        <w:t xml:space="preserve">that </w:t>
      </w:r>
      <w:r w:rsidRPr="001E4D3F">
        <w:rPr>
          <w:rFonts w:asciiTheme="majorBidi" w:hAnsiTheme="majorBidi" w:cstheme="majorBidi"/>
        </w:rPr>
        <w:t>the law does not treat income from e.g. inherited shares or securities, or renting</w:t>
      </w:r>
      <w:r w:rsidR="003A7101" w:rsidRPr="001E4D3F">
        <w:rPr>
          <w:rFonts w:asciiTheme="majorBidi" w:hAnsiTheme="majorBidi" w:cstheme="majorBidi"/>
        </w:rPr>
        <w:t xml:space="preserve"> of </w:t>
      </w:r>
      <w:r w:rsidRPr="001E4D3F">
        <w:rPr>
          <w:rFonts w:asciiTheme="majorBidi" w:hAnsiTheme="majorBidi" w:cstheme="majorBidi"/>
        </w:rPr>
        <w:t>office space, as commercial activities</w:t>
      </w:r>
      <w:r w:rsidR="003A7101" w:rsidRPr="001E4D3F">
        <w:rPr>
          <w:rFonts w:asciiTheme="majorBidi" w:hAnsiTheme="majorBidi" w:cstheme="majorBidi"/>
        </w:rPr>
        <w:t>,</w:t>
      </w:r>
      <w:r w:rsidRPr="001E4D3F">
        <w:rPr>
          <w:rFonts w:asciiTheme="majorBidi" w:hAnsiTheme="majorBidi" w:cstheme="majorBidi"/>
        </w:rPr>
        <w:t xml:space="preserve"> which </w:t>
      </w:r>
      <w:r w:rsidR="00A42D03" w:rsidRPr="001E4D3F">
        <w:rPr>
          <w:rFonts w:asciiTheme="majorBidi" w:hAnsiTheme="majorBidi" w:cstheme="majorBidi"/>
        </w:rPr>
        <w:t xml:space="preserve">would be </w:t>
      </w:r>
      <w:r w:rsidRPr="001E4D3F">
        <w:rPr>
          <w:rFonts w:asciiTheme="majorBidi" w:hAnsiTheme="majorBidi" w:cstheme="majorBidi"/>
        </w:rPr>
        <w:t>prohibited.</w:t>
      </w:r>
      <w:r w:rsidR="003A7101" w:rsidRPr="001E4D3F">
        <w:rPr>
          <w:rFonts w:asciiTheme="majorBidi" w:hAnsiTheme="majorBidi" w:cstheme="majorBidi"/>
        </w:rPr>
        <w:t xml:space="preserve"> </w:t>
      </w:r>
      <w:r w:rsidR="00A42D03" w:rsidRPr="001E4D3F">
        <w:rPr>
          <w:rFonts w:asciiTheme="majorBidi" w:hAnsiTheme="majorBidi" w:cstheme="majorBidi"/>
        </w:rPr>
        <w:t xml:space="preserve">In fact, </w:t>
      </w:r>
      <w:r w:rsidRPr="001E4D3F">
        <w:rPr>
          <w:rFonts w:asciiTheme="majorBidi" w:hAnsiTheme="majorBidi" w:cstheme="majorBidi"/>
        </w:rPr>
        <w:t xml:space="preserve">many NGOs in Bulgaria </w:t>
      </w:r>
      <w:r w:rsidR="00A42D03" w:rsidRPr="001E4D3F">
        <w:rPr>
          <w:rFonts w:asciiTheme="majorBidi" w:hAnsiTheme="majorBidi" w:cstheme="majorBidi"/>
        </w:rPr>
        <w:t xml:space="preserve">undertake such activities since the </w:t>
      </w:r>
      <w:r w:rsidR="00A276DF" w:rsidRPr="001E4D3F">
        <w:rPr>
          <w:rFonts w:asciiTheme="majorBidi" w:hAnsiTheme="majorBidi" w:cstheme="majorBidi"/>
        </w:rPr>
        <w:t xml:space="preserve">NGOs are not obliged to sell or otherwise dispose of any income-generating property. </w:t>
      </w:r>
      <w:r w:rsidR="00A66B80" w:rsidRPr="001E4D3F">
        <w:rPr>
          <w:rFonts w:asciiTheme="majorBidi" w:hAnsiTheme="majorBidi" w:cstheme="majorBidi"/>
        </w:rPr>
        <w:t xml:space="preserve">The </w:t>
      </w:r>
      <w:r w:rsidR="00A276DF" w:rsidRPr="001E4D3F">
        <w:rPr>
          <w:rFonts w:asciiTheme="majorBidi" w:hAnsiTheme="majorBidi" w:cstheme="majorBidi"/>
        </w:rPr>
        <w:t xml:space="preserve">important </w:t>
      </w:r>
      <w:r w:rsidR="00A66B80" w:rsidRPr="001E4D3F">
        <w:rPr>
          <w:rFonts w:asciiTheme="majorBidi" w:hAnsiTheme="majorBidi" w:cstheme="majorBidi"/>
        </w:rPr>
        <w:t xml:space="preserve">fact is </w:t>
      </w:r>
      <w:r w:rsidR="00A276DF" w:rsidRPr="001E4D3F">
        <w:rPr>
          <w:rFonts w:asciiTheme="majorBidi" w:hAnsiTheme="majorBidi" w:cstheme="majorBidi"/>
        </w:rPr>
        <w:t xml:space="preserve">that the NGO is non-profit, i.e. </w:t>
      </w:r>
      <w:r w:rsidR="00A66B80" w:rsidRPr="001E4D3F">
        <w:rPr>
          <w:rFonts w:asciiTheme="majorBidi" w:hAnsiTheme="majorBidi" w:cstheme="majorBidi"/>
        </w:rPr>
        <w:t xml:space="preserve">that </w:t>
      </w:r>
      <w:r w:rsidR="00A276DF" w:rsidRPr="001E4D3F">
        <w:rPr>
          <w:rFonts w:asciiTheme="majorBidi" w:hAnsiTheme="majorBidi" w:cstheme="majorBidi"/>
        </w:rPr>
        <w:t>it does not distribute a profit among its members at the end of the year</w:t>
      </w:r>
      <w:r w:rsidR="00A66B80" w:rsidRPr="001E4D3F">
        <w:rPr>
          <w:rFonts w:asciiTheme="majorBidi" w:hAnsiTheme="majorBidi" w:cstheme="majorBidi"/>
        </w:rPr>
        <w:t xml:space="preserve"> </w:t>
      </w:r>
      <w:r w:rsidR="00A276DF" w:rsidRPr="001E4D3F">
        <w:rPr>
          <w:rFonts w:asciiTheme="majorBidi" w:hAnsiTheme="majorBidi" w:cstheme="majorBidi"/>
        </w:rPr>
        <w:t xml:space="preserve">but uses the income to pursue its goals. </w:t>
      </w:r>
      <w:r w:rsidR="00A66B80" w:rsidRPr="001E4D3F">
        <w:rPr>
          <w:rFonts w:asciiTheme="majorBidi" w:hAnsiTheme="majorBidi" w:cstheme="majorBidi"/>
        </w:rPr>
        <w:t xml:space="preserve">The author argues </w:t>
      </w:r>
      <w:r w:rsidR="003A7101" w:rsidRPr="001E4D3F">
        <w:rPr>
          <w:rFonts w:asciiTheme="majorBidi" w:hAnsiTheme="majorBidi" w:cstheme="majorBidi"/>
        </w:rPr>
        <w:t xml:space="preserve">that </w:t>
      </w:r>
      <w:r w:rsidR="00A276DF" w:rsidRPr="001E4D3F">
        <w:rPr>
          <w:rFonts w:asciiTheme="majorBidi" w:hAnsiTheme="majorBidi" w:cstheme="majorBidi"/>
        </w:rPr>
        <w:t xml:space="preserve">article 23 of the HRPCT statute </w:t>
      </w:r>
      <w:r w:rsidR="003A7101" w:rsidRPr="001E4D3F">
        <w:rPr>
          <w:rFonts w:asciiTheme="majorBidi" w:hAnsiTheme="majorBidi" w:cstheme="majorBidi"/>
        </w:rPr>
        <w:t xml:space="preserve">sets out </w:t>
      </w:r>
      <w:r w:rsidR="00A276DF" w:rsidRPr="001E4D3F">
        <w:rPr>
          <w:rFonts w:asciiTheme="majorBidi" w:hAnsiTheme="majorBidi" w:cstheme="majorBidi"/>
        </w:rPr>
        <w:t>that securities and shares in capital companies, which the association intends to own as its property, are unrelated to its main activities.</w:t>
      </w:r>
      <w:r w:rsidR="00A276DF">
        <w:rPr>
          <w:rFonts w:asciiTheme="majorBidi" w:hAnsiTheme="majorBidi" w:cstheme="majorBidi"/>
        </w:rPr>
        <w:t xml:space="preserve"> </w:t>
      </w:r>
    </w:p>
    <w:p w14:paraId="60B9D080" w14:textId="6A2CCFD9" w:rsidR="009B28F9" w:rsidRDefault="003A7101" w:rsidP="002E652B">
      <w:pPr>
        <w:pStyle w:val="SingleTxtG"/>
        <w:rPr>
          <w:rFonts w:asciiTheme="majorBidi" w:hAnsiTheme="majorBidi" w:cstheme="majorBidi"/>
        </w:rPr>
      </w:pPr>
      <w:r>
        <w:rPr>
          <w:rFonts w:asciiTheme="majorBidi" w:hAnsiTheme="majorBidi" w:cstheme="majorBidi"/>
        </w:rPr>
        <w:t>5.5</w:t>
      </w:r>
      <w:r>
        <w:rPr>
          <w:rFonts w:asciiTheme="majorBidi" w:hAnsiTheme="majorBidi" w:cstheme="majorBidi"/>
        </w:rPr>
        <w:tab/>
      </w:r>
      <w:r w:rsidR="00603FC9">
        <w:rPr>
          <w:rFonts w:asciiTheme="majorBidi" w:hAnsiTheme="majorBidi" w:cstheme="majorBidi"/>
        </w:rPr>
        <w:t xml:space="preserve">Furthermore, </w:t>
      </w:r>
      <w:r>
        <w:rPr>
          <w:rFonts w:asciiTheme="majorBidi" w:hAnsiTheme="majorBidi" w:cstheme="majorBidi"/>
        </w:rPr>
        <w:t xml:space="preserve">the Government in its observations does not address the obvious double standard applied by the Bulgarian courts </w:t>
      </w:r>
      <w:r w:rsidR="00603FC9">
        <w:rPr>
          <w:rFonts w:asciiTheme="majorBidi" w:hAnsiTheme="majorBidi" w:cstheme="majorBidi"/>
        </w:rPr>
        <w:t>regarding</w:t>
      </w:r>
      <w:r w:rsidR="008A7E69">
        <w:rPr>
          <w:rFonts w:asciiTheme="majorBidi" w:hAnsiTheme="majorBidi" w:cstheme="majorBidi"/>
        </w:rPr>
        <w:t xml:space="preserve"> the registration of the HRPCT compared to other non-profit organi</w:t>
      </w:r>
      <w:r w:rsidR="001E4D3F">
        <w:rPr>
          <w:rFonts w:asciiTheme="majorBidi" w:hAnsiTheme="majorBidi" w:cstheme="majorBidi"/>
        </w:rPr>
        <w:t>z</w:t>
      </w:r>
      <w:r w:rsidR="008A7E69">
        <w:rPr>
          <w:rFonts w:asciiTheme="majorBidi" w:hAnsiTheme="majorBidi" w:cstheme="majorBidi"/>
        </w:rPr>
        <w:t xml:space="preserve">ations. In the initial communication, the author offered proof that the HRPCT borrowed the provisions </w:t>
      </w:r>
      <w:r w:rsidR="00603FC9">
        <w:rPr>
          <w:rFonts w:asciiTheme="majorBidi" w:hAnsiTheme="majorBidi" w:cstheme="majorBidi"/>
        </w:rPr>
        <w:t xml:space="preserve">on </w:t>
      </w:r>
      <w:r w:rsidR="008A7E69">
        <w:rPr>
          <w:rFonts w:asciiTheme="majorBidi" w:hAnsiTheme="majorBidi" w:cstheme="majorBidi"/>
        </w:rPr>
        <w:t xml:space="preserve">its property from two associations, which had been and continue to be </w:t>
      </w:r>
      <w:r w:rsidR="008A7E69" w:rsidRPr="002E652B">
        <w:t>registered</w:t>
      </w:r>
      <w:r w:rsidR="008A7E69">
        <w:rPr>
          <w:rFonts w:asciiTheme="majorBidi" w:hAnsiTheme="majorBidi" w:cstheme="majorBidi"/>
        </w:rPr>
        <w:t xml:space="preserve"> in Bulgaria</w:t>
      </w:r>
      <w:r w:rsidR="00603FC9">
        <w:rPr>
          <w:rFonts w:asciiTheme="majorBidi" w:hAnsiTheme="majorBidi" w:cstheme="majorBidi"/>
        </w:rPr>
        <w:t xml:space="preserve">: The </w:t>
      </w:r>
      <w:r w:rsidR="008A7E69">
        <w:rPr>
          <w:rFonts w:asciiTheme="majorBidi" w:hAnsiTheme="majorBidi" w:cstheme="majorBidi"/>
        </w:rPr>
        <w:t>Bulgarian Human Rights and the Bulgarian Energy and Mining Forum.</w:t>
      </w:r>
      <w:r w:rsidR="00603FC9">
        <w:rPr>
          <w:rFonts w:asciiTheme="majorBidi" w:hAnsiTheme="majorBidi" w:cstheme="majorBidi"/>
        </w:rPr>
        <w:t xml:space="preserve"> </w:t>
      </w:r>
      <w:r w:rsidR="008A7E69">
        <w:rPr>
          <w:rFonts w:asciiTheme="majorBidi" w:hAnsiTheme="majorBidi" w:cstheme="majorBidi"/>
        </w:rPr>
        <w:t xml:space="preserve">The author also </w:t>
      </w:r>
      <w:r w:rsidR="00603FC9">
        <w:rPr>
          <w:rFonts w:asciiTheme="majorBidi" w:hAnsiTheme="majorBidi" w:cstheme="majorBidi"/>
        </w:rPr>
        <w:t xml:space="preserve">noted </w:t>
      </w:r>
      <w:r w:rsidR="008A7E69">
        <w:rPr>
          <w:rFonts w:asciiTheme="majorBidi" w:hAnsiTheme="majorBidi" w:cstheme="majorBidi"/>
        </w:rPr>
        <w:t>similar provisions in the statutes of several other non-profit organi</w:t>
      </w:r>
      <w:r w:rsidR="00217367">
        <w:rPr>
          <w:rFonts w:asciiTheme="majorBidi" w:hAnsiTheme="majorBidi" w:cstheme="majorBidi"/>
        </w:rPr>
        <w:t>z</w:t>
      </w:r>
      <w:r w:rsidR="008A7E69">
        <w:rPr>
          <w:rFonts w:asciiTheme="majorBidi" w:hAnsiTheme="majorBidi" w:cstheme="majorBidi"/>
        </w:rPr>
        <w:t xml:space="preserve">ations, all of </w:t>
      </w:r>
      <w:r w:rsidR="00603FC9">
        <w:rPr>
          <w:rFonts w:asciiTheme="majorBidi" w:hAnsiTheme="majorBidi" w:cstheme="majorBidi"/>
        </w:rPr>
        <w:t xml:space="preserve">them </w:t>
      </w:r>
      <w:r w:rsidR="008A7E69">
        <w:rPr>
          <w:rFonts w:asciiTheme="majorBidi" w:hAnsiTheme="majorBidi" w:cstheme="majorBidi"/>
        </w:rPr>
        <w:t>registered and active in Bulgaria for many years.</w:t>
      </w:r>
      <w:r w:rsidR="008A7E69">
        <w:rPr>
          <w:rStyle w:val="FootnoteReference"/>
          <w:rFonts w:cstheme="majorBidi"/>
        </w:rPr>
        <w:footnoteReference w:id="6"/>
      </w:r>
      <w:r w:rsidR="00EE3B00">
        <w:rPr>
          <w:rFonts w:asciiTheme="majorBidi" w:hAnsiTheme="majorBidi" w:cstheme="majorBidi"/>
        </w:rPr>
        <w:t xml:space="preserve"> </w:t>
      </w:r>
      <w:r w:rsidR="008D2355">
        <w:rPr>
          <w:rFonts w:asciiTheme="majorBidi" w:hAnsiTheme="majorBidi" w:cstheme="majorBidi"/>
        </w:rPr>
        <w:t xml:space="preserve">In the dissenting opinion </w:t>
      </w:r>
      <w:r w:rsidR="00272DEE">
        <w:rPr>
          <w:rFonts w:asciiTheme="majorBidi" w:hAnsiTheme="majorBidi" w:cstheme="majorBidi"/>
        </w:rPr>
        <w:t>annexed to the Sofia Court of Appeal, Judge I</w:t>
      </w:r>
      <w:r w:rsidR="00217367">
        <w:rPr>
          <w:rFonts w:asciiTheme="majorBidi" w:hAnsiTheme="majorBidi" w:cstheme="majorBidi"/>
        </w:rPr>
        <w:t xml:space="preserve">. </w:t>
      </w:r>
      <w:r w:rsidR="00272DEE">
        <w:rPr>
          <w:rFonts w:asciiTheme="majorBidi" w:hAnsiTheme="majorBidi" w:cstheme="majorBidi"/>
        </w:rPr>
        <w:t>stated that “in case of conflict with the law, the Articles of Association will not h</w:t>
      </w:r>
      <w:r w:rsidR="00217367">
        <w:rPr>
          <w:rFonts w:asciiTheme="majorBidi" w:hAnsiTheme="majorBidi" w:cstheme="majorBidi"/>
        </w:rPr>
        <w:t xml:space="preserve">ave </w:t>
      </w:r>
      <w:r w:rsidR="00272DEE">
        <w:rPr>
          <w:rFonts w:asciiTheme="majorBidi" w:hAnsiTheme="majorBidi" w:cstheme="majorBidi"/>
        </w:rPr>
        <w:t xml:space="preserve">legal </w:t>
      </w:r>
      <w:r w:rsidR="00217367">
        <w:rPr>
          <w:rFonts w:asciiTheme="majorBidi" w:hAnsiTheme="majorBidi" w:cstheme="majorBidi"/>
        </w:rPr>
        <w:t xml:space="preserve">effect </w:t>
      </w:r>
      <w:r w:rsidR="00272DEE">
        <w:rPr>
          <w:rFonts w:asciiTheme="majorBidi" w:hAnsiTheme="majorBidi" w:cstheme="majorBidi"/>
        </w:rPr>
        <w:t xml:space="preserve">partially regarding </w:t>
      </w:r>
      <w:r w:rsidR="00B54B31">
        <w:rPr>
          <w:rFonts w:asciiTheme="majorBidi" w:hAnsiTheme="majorBidi" w:cstheme="majorBidi"/>
        </w:rPr>
        <w:t xml:space="preserve">only </w:t>
      </w:r>
      <w:r w:rsidR="00272DEE">
        <w:rPr>
          <w:rFonts w:asciiTheme="majorBidi" w:hAnsiTheme="majorBidi" w:cstheme="majorBidi"/>
        </w:rPr>
        <w:t xml:space="preserve">this norm. This part will be void.” </w:t>
      </w:r>
      <w:r w:rsidR="00272DEE" w:rsidRPr="00217367">
        <w:rPr>
          <w:rFonts w:asciiTheme="majorBidi" w:hAnsiTheme="majorBidi" w:cstheme="majorBidi"/>
        </w:rPr>
        <w:t>The author added that the Blagoevgrad Regional Court did not find a contradiction between article 23 of the HRPCT statute and article 3 of the NPLEA and</w:t>
      </w:r>
      <w:r w:rsidR="00B54B31" w:rsidRPr="00217367">
        <w:rPr>
          <w:rFonts w:asciiTheme="majorBidi" w:hAnsiTheme="majorBidi" w:cstheme="majorBidi"/>
        </w:rPr>
        <w:t xml:space="preserve"> </w:t>
      </w:r>
      <w:r w:rsidR="00272DEE" w:rsidRPr="00217367">
        <w:rPr>
          <w:rFonts w:asciiTheme="majorBidi" w:hAnsiTheme="majorBidi" w:cstheme="majorBidi"/>
        </w:rPr>
        <w:t>did</w:t>
      </w:r>
      <w:r w:rsidR="00451180" w:rsidRPr="00217367">
        <w:rPr>
          <w:rFonts w:asciiTheme="majorBidi" w:hAnsiTheme="majorBidi" w:cstheme="majorBidi"/>
        </w:rPr>
        <w:t xml:space="preserve"> </w:t>
      </w:r>
      <w:r w:rsidR="00272DEE" w:rsidRPr="00217367">
        <w:rPr>
          <w:rFonts w:asciiTheme="majorBidi" w:hAnsiTheme="majorBidi" w:cstheme="majorBidi"/>
        </w:rPr>
        <w:t>not issue</w:t>
      </w:r>
      <w:r w:rsidR="00B54B31" w:rsidRPr="00217367">
        <w:rPr>
          <w:rFonts w:asciiTheme="majorBidi" w:hAnsiTheme="majorBidi" w:cstheme="majorBidi"/>
        </w:rPr>
        <w:t xml:space="preserve"> </w:t>
      </w:r>
      <w:r w:rsidR="00272DEE" w:rsidRPr="00217367">
        <w:rPr>
          <w:rFonts w:asciiTheme="majorBidi" w:hAnsiTheme="majorBidi" w:cstheme="majorBidi"/>
        </w:rPr>
        <w:t>instructions for rectification.</w:t>
      </w:r>
      <w:r w:rsidR="00451180">
        <w:rPr>
          <w:rFonts w:asciiTheme="majorBidi" w:hAnsiTheme="majorBidi" w:cstheme="majorBidi"/>
        </w:rPr>
        <w:t xml:space="preserve"> He </w:t>
      </w:r>
      <w:r w:rsidR="00B54B31">
        <w:rPr>
          <w:rFonts w:asciiTheme="majorBidi" w:hAnsiTheme="majorBidi" w:cstheme="majorBidi"/>
        </w:rPr>
        <w:t xml:space="preserve">further </w:t>
      </w:r>
      <w:r w:rsidR="00451180">
        <w:rPr>
          <w:rFonts w:asciiTheme="majorBidi" w:hAnsiTheme="majorBidi" w:cstheme="majorBidi"/>
        </w:rPr>
        <w:t xml:space="preserve">noted that the decision of both the Blagoevgrad Regional Court and the Sofia Court of Appeal had a </w:t>
      </w:r>
      <w:r w:rsidR="007F0848">
        <w:rPr>
          <w:rFonts w:asciiTheme="majorBidi" w:hAnsiTheme="majorBidi" w:cstheme="majorBidi"/>
        </w:rPr>
        <w:t xml:space="preserve">subsequent </w:t>
      </w:r>
      <w:r w:rsidR="00451180">
        <w:rPr>
          <w:rFonts w:asciiTheme="majorBidi" w:hAnsiTheme="majorBidi" w:cstheme="majorBidi"/>
        </w:rPr>
        <w:t xml:space="preserve">discriminatory purpose </w:t>
      </w:r>
      <w:r w:rsidR="007F0848">
        <w:rPr>
          <w:rFonts w:asciiTheme="majorBidi" w:hAnsiTheme="majorBidi" w:cstheme="majorBidi"/>
        </w:rPr>
        <w:t xml:space="preserve">as </w:t>
      </w:r>
      <w:r w:rsidR="00451180">
        <w:rPr>
          <w:rFonts w:asciiTheme="majorBidi" w:hAnsiTheme="majorBidi" w:cstheme="majorBidi"/>
        </w:rPr>
        <w:t xml:space="preserve">the refusal to register the HRPCT was due to its </w:t>
      </w:r>
      <w:r w:rsidR="007F0848">
        <w:rPr>
          <w:rFonts w:asciiTheme="majorBidi" w:hAnsiTheme="majorBidi" w:cstheme="majorBidi"/>
        </w:rPr>
        <w:t xml:space="preserve">stated </w:t>
      </w:r>
      <w:r w:rsidR="00451180">
        <w:rPr>
          <w:rFonts w:asciiTheme="majorBidi" w:hAnsiTheme="majorBidi" w:cstheme="majorBidi"/>
        </w:rPr>
        <w:t xml:space="preserve">goals – to protect the rights of the Macedonians, which the Government refuses </w:t>
      </w:r>
      <w:r w:rsidR="009B28F9">
        <w:rPr>
          <w:rFonts w:asciiTheme="majorBidi" w:hAnsiTheme="majorBidi" w:cstheme="majorBidi"/>
        </w:rPr>
        <w:t>to recognize</w:t>
      </w:r>
      <w:r w:rsidR="007F0848">
        <w:rPr>
          <w:rFonts w:asciiTheme="majorBidi" w:hAnsiTheme="majorBidi" w:cstheme="majorBidi"/>
        </w:rPr>
        <w:t xml:space="preserve">. The author </w:t>
      </w:r>
      <w:r w:rsidR="0091061C">
        <w:rPr>
          <w:rFonts w:asciiTheme="majorBidi" w:hAnsiTheme="majorBidi" w:cstheme="majorBidi"/>
        </w:rPr>
        <w:t xml:space="preserve">pointed out </w:t>
      </w:r>
      <w:r w:rsidR="009B28F9">
        <w:rPr>
          <w:rFonts w:asciiTheme="majorBidi" w:hAnsiTheme="majorBidi" w:cstheme="majorBidi"/>
        </w:rPr>
        <w:t xml:space="preserve">the </w:t>
      </w:r>
      <w:r w:rsidR="0091061C">
        <w:rPr>
          <w:rFonts w:asciiTheme="majorBidi" w:hAnsiTheme="majorBidi" w:cstheme="majorBidi"/>
        </w:rPr>
        <w:t xml:space="preserve">practice of </w:t>
      </w:r>
      <w:r w:rsidR="009B28F9">
        <w:rPr>
          <w:rFonts w:asciiTheme="majorBidi" w:hAnsiTheme="majorBidi" w:cstheme="majorBidi"/>
        </w:rPr>
        <w:t>systematic denial of the Macedonian ethnic identity</w:t>
      </w:r>
      <w:r w:rsidR="0091061C">
        <w:rPr>
          <w:rFonts w:asciiTheme="majorBidi" w:hAnsiTheme="majorBidi" w:cstheme="majorBidi"/>
        </w:rPr>
        <w:t xml:space="preserve">, referring to </w:t>
      </w:r>
      <w:r w:rsidR="009B28F9">
        <w:rPr>
          <w:rFonts w:asciiTheme="majorBidi" w:hAnsiTheme="majorBidi" w:cstheme="majorBidi"/>
        </w:rPr>
        <w:t>numerous refusals to register Macedonian organi</w:t>
      </w:r>
      <w:r w:rsidR="00217367">
        <w:rPr>
          <w:rFonts w:asciiTheme="majorBidi" w:hAnsiTheme="majorBidi" w:cstheme="majorBidi"/>
        </w:rPr>
        <w:t>z</w:t>
      </w:r>
      <w:r w:rsidR="009B28F9">
        <w:rPr>
          <w:rFonts w:asciiTheme="majorBidi" w:hAnsiTheme="majorBidi" w:cstheme="majorBidi"/>
        </w:rPr>
        <w:t>ations</w:t>
      </w:r>
      <w:r w:rsidR="0091061C">
        <w:rPr>
          <w:rFonts w:asciiTheme="majorBidi" w:hAnsiTheme="majorBidi" w:cstheme="majorBidi"/>
        </w:rPr>
        <w:t xml:space="preserve"> by the Bulgarian authorities</w:t>
      </w:r>
      <w:r w:rsidR="009B28F9" w:rsidRPr="00217367">
        <w:rPr>
          <w:rFonts w:asciiTheme="majorBidi" w:hAnsiTheme="majorBidi" w:cstheme="majorBidi"/>
        </w:rPr>
        <w:t xml:space="preserve">. </w:t>
      </w:r>
      <w:r w:rsidR="0091061C" w:rsidRPr="00217367">
        <w:rPr>
          <w:rFonts w:asciiTheme="majorBidi" w:hAnsiTheme="majorBidi" w:cstheme="majorBidi"/>
        </w:rPr>
        <w:t xml:space="preserve">In view of the </w:t>
      </w:r>
      <w:r w:rsidR="009B28F9" w:rsidRPr="00217367">
        <w:rPr>
          <w:rFonts w:asciiTheme="majorBidi" w:hAnsiTheme="majorBidi" w:cstheme="majorBidi"/>
        </w:rPr>
        <w:t>author</w:t>
      </w:r>
      <w:r w:rsidR="0091061C" w:rsidRPr="00217367">
        <w:rPr>
          <w:rFonts w:asciiTheme="majorBidi" w:hAnsiTheme="majorBidi" w:cstheme="majorBidi"/>
        </w:rPr>
        <w:t xml:space="preserve">, there </w:t>
      </w:r>
      <w:r w:rsidR="009B28F9" w:rsidRPr="00217367">
        <w:rPr>
          <w:rFonts w:asciiTheme="majorBidi" w:hAnsiTheme="majorBidi" w:cstheme="majorBidi"/>
        </w:rPr>
        <w:t>were no objective reasons to refuse registration of the HRPCT in flagrant contradiction with the established jurisprudence of the Bulgarian courts.</w:t>
      </w:r>
      <w:r w:rsidR="009B28F9">
        <w:rPr>
          <w:rFonts w:asciiTheme="majorBidi" w:hAnsiTheme="majorBidi" w:cstheme="majorBidi"/>
        </w:rPr>
        <w:t xml:space="preserve"> </w:t>
      </w:r>
    </w:p>
    <w:p w14:paraId="0D0FC2EE" w14:textId="533C6864" w:rsidR="001C1CF0" w:rsidRDefault="009B28F9" w:rsidP="002E652B">
      <w:pPr>
        <w:pStyle w:val="SingleTxtG"/>
        <w:rPr>
          <w:rFonts w:asciiTheme="majorBidi" w:hAnsiTheme="majorBidi" w:cstheme="majorBidi"/>
        </w:rPr>
      </w:pPr>
      <w:r>
        <w:rPr>
          <w:rFonts w:asciiTheme="majorBidi" w:hAnsiTheme="majorBidi" w:cstheme="majorBidi"/>
        </w:rPr>
        <w:t>5.6</w:t>
      </w:r>
      <w:r>
        <w:rPr>
          <w:rFonts w:asciiTheme="majorBidi" w:hAnsiTheme="majorBidi" w:cstheme="majorBidi"/>
        </w:rPr>
        <w:tab/>
      </w:r>
      <w:r w:rsidRPr="00217367">
        <w:rPr>
          <w:rFonts w:asciiTheme="majorBidi" w:hAnsiTheme="majorBidi" w:cstheme="majorBidi"/>
        </w:rPr>
        <w:t xml:space="preserve">Since 2016, the situation </w:t>
      </w:r>
      <w:r w:rsidR="0091061C" w:rsidRPr="00217367">
        <w:rPr>
          <w:rFonts w:asciiTheme="majorBidi" w:hAnsiTheme="majorBidi" w:cstheme="majorBidi"/>
        </w:rPr>
        <w:t xml:space="preserve">concerning </w:t>
      </w:r>
      <w:r w:rsidRPr="00217367">
        <w:rPr>
          <w:rFonts w:asciiTheme="majorBidi" w:hAnsiTheme="majorBidi" w:cstheme="majorBidi"/>
        </w:rPr>
        <w:t>the recognition of the Macedonian minority and the registration</w:t>
      </w:r>
      <w:r w:rsidR="0091061C" w:rsidRPr="00217367">
        <w:rPr>
          <w:rFonts w:asciiTheme="majorBidi" w:hAnsiTheme="majorBidi" w:cstheme="majorBidi"/>
        </w:rPr>
        <w:t>s</w:t>
      </w:r>
      <w:r w:rsidRPr="00217367">
        <w:rPr>
          <w:rFonts w:asciiTheme="majorBidi" w:hAnsiTheme="majorBidi" w:cstheme="majorBidi"/>
        </w:rPr>
        <w:t xml:space="preserve"> of Macedonian organi</w:t>
      </w:r>
      <w:r w:rsidR="00217367" w:rsidRPr="00217367">
        <w:rPr>
          <w:rFonts w:asciiTheme="majorBidi" w:hAnsiTheme="majorBidi" w:cstheme="majorBidi"/>
        </w:rPr>
        <w:t>z</w:t>
      </w:r>
      <w:r w:rsidRPr="00217367">
        <w:rPr>
          <w:rFonts w:asciiTheme="majorBidi" w:hAnsiTheme="majorBidi" w:cstheme="majorBidi"/>
        </w:rPr>
        <w:t>ation in Bulgaria has not improved but deteriorated</w:t>
      </w:r>
      <w:r w:rsidR="0091061C" w:rsidRPr="00217367">
        <w:rPr>
          <w:rFonts w:asciiTheme="majorBidi" w:hAnsiTheme="majorBidi" w:cstheme="majorBidi"/>
        </w:rPr>
        <w:t xml:space="preserve">. The author referred to </w:t>
      </w:r>
      <w:r w:rsidRPr="00217367">
        <w:rPr>
          <w:rFonts w:asciiTheme="majorBidi" w:hAnsiTheme="majorBidi" w:cstheme="majorBidi"/>
        </w:rPr>
        <w:t xml:space="preserve">the increased number of complaints before the European Court of Human Rights and </w:t>
      </w:r>
      <w:r w:rsidRPr="002E652B">
        <w:t>related</w:t>
      </w:r>
      <w:r w:rsidRPr="00217367">
        <w:rPr>
          <w:rFonts w:asciiTheme="majorBidi" w:hAnsiTheme="majorBidi" w:cstheme="majorBidi"/>
        </w:rPr>
        <w:t xml:space="preserve"> judgments, finding a violation of article 11 of the European Convention</w:t>
      </w:r>
      <w:r w:rsidR="00675A51" w:rsidRPr="00217367">
        <w:rPr>
          <w:rFonts w:asciiTheme="majorBidi" w:hAnsiTheme="majorBidi" w:cstheme="majorBidi"/>
        </w:rPr>
        <w:t xml:space="preserve"> </w:t>
      </w:r>
      <w:r w:rsidR="0091061C" w:rsidRPr="00217367">
        <w:rPr>
          <w:rFonts w:asciiTheme="majorBidi" w:hAnsiTheme="majorBidi" w:cstheme="majorBidi"/>
        </w:rPr>
        <w:t>on Human Rights</w:t>
      </w:r>
      <w:r w:rsidR="00217367" w:rsidRPr="00217367">
        <w:rPr>
          <w:rFonts w:asciiTheme="majorBidi" w:hAnsiTheme="majorBidi" w:cstheme="majorBidi"/>
        </w:rPr>
        <w:t xml:space="preserve"> </w:t>
      </w:r>
      <w:r w:rsidR="0091061C" w:rsidRPr="00217367">
        <w:rPr>
          <w:rFonts w:asciiTheme="majorBidi" w:hAnsiTheme="majorBidi" w:cstheme="majorBidi"/>
        </w:rPr>
        <w:t xml:space="preserve">given that the </w:t>
      </w:r>
      <w:r w:rsidR="00675A51" w:rsidRPr="00217367">
        <w:rPr>
          <w:rFonts w:asciiTheme="majorBidi" w:hAnsiTheme="majorBidi" w:cstheme="majorBidi"/>
        </w:rPr>
        <w:t xml:space="preserve">refusals </w:t>
      </w:r>
      <w:r w:rsidR="0091061C" w:rsidRPr="00217367">
        <w:rPr>
          <w:rFonts w:asciiTheme="majorBidi" w:hAnsiTheme="majorBidi" w:cstheme="majorBidi"/>
        </w:rPr>
        <w:t xml:space="preserve">by </w:t>
      </w:r>
      <w:r w:rsidR="00675A51" w:rsidRPr="00217367">
        <w:rPr>
          <w:rFonts w:asciiTheme="majorBidi" w:hAnsiTheme="majorBidi" w:cstheme="majorBidi"/>
        </w:rPr>
        <w:t>the Bulgarian courts to register such associations increased</w:t>
      </w:r>
      <w:r w:rsidRPr="00217367">
        <w:rPr>
          <w:rFonts w:asciiTheme="majorBidi" w:hAnsiTheme="majorBidi" w:cstheme="majorBidi"/>
        </w:rPr>
        <w:t>.</w:t>
      </w:r>
      <w:r w:rsidR="00675A51" w:rsidRPr="00217367">
        <w:rPr>
          <w:rFonts w:asciiTheme="majorBidi" w:hAnsiTheme="majorBidi" w:cstheme="majorBidi"/>
        </w:rPr>
        <w:t xml:space="preserve"> </w:t>
      </w:r>
      <w:r w:rsidR="0091061C" w:rsidRPr="00217367">
        <w:rPr>
          <w:rFonts w:asciiTheme="majorBidi" w:hAnsiTheme="majorBidi" w:cstheme="majorBidi"/>
        </w:rPr>
        <w:t xml:space="preserve">The </w:t>
      </w:r>
      <w:r w:rsidR="00675A51" w:rsidRPr="00217367">
        <w:rPr>
          <w:rFonts w:asciiTheme="majorBidi" w:hAnsiTheme="majorBidi" w:cstheme="majorBidi"/>
        </w:rPr>
        <w:t xml:space="preserve">author </w:t>
      </w:r>
      <w:r w:rsidR="0091061C" w:rsidRPr="00217367">
        <w:rPr>
          <w:rFonts w:asciiTheme="majorBidi" w:hAnsiTheme="majorBidi" w:cstheme="majorBidi"/>
        </w:rPr>
        <w:t xml:space="preserve">also emphasized that </w:t>
      </w:r>
      <w:r w:rsidR="00675A51" w:rsidRPr="00217367">
        <w:rPr>
          <w:rFonts w:asciiTheme="majorBidi" w:hAnsiTheme="majorBidi" w:cstheme="majorBidi"/>
        </w:rPr>
        <w:t>the Committee of Ministers of the Council of Europe</w:t>
      </w:r>
      <w:r w:rsidR="0091061C" w:rsidRPr="00217367">
        <w:t xml:space="preserve"> decided to </w:t>
      </w:r>
      <w:r w:rsidR="0091061C" w:rsidRPr="00217367">
        <w:rPr>
          <w:rFonts w:asciiTheme="majorBidi" w:hAnsiTheme="majorBidi" w:cstheme="majorBidi"/>
        </w:rPr>
        <w:t>enhance its supervision of the implementation of judgments in such cases</w:t>
      </w:r>
      <w:r w:rsidR="003C25E7" w:rsidRPr="00217367">
        <w:rPr>
          <w:rFonts w:asciiTheme="majorBidi" w:hAnsiTheme="majorBidi" w:cstheme="majorBidi"/>
        </w:rPr>
        <w:t xml:space="preserve">, </w:t>
      </w:r>
      <w:r w:rsidR="00675A51" w:rsidRPr="00217367">
        <w:rPr>
          <w:rFonts w:asciiTheme="majorBidi" w:hAnsiTheme="majorBidi" w:cstheme="majorBidi"/>
        </w:rPr>
        <w:t>due to the systematic failure of the Bulgarian authorities to implement th</w:t>
      </w:r>
      <w:r w:rsidR="003C25E7" w:rsidRPr="00217367">
        <w:rPr>
          <w:rFonts w:asciiTheme="majorBidi" w:hAnsiTheme="majorBidi" w:cstheme="majorBidi"/>
        </w:rPr>
        <w:t xml:space="preserve">ose </w:t>
      </w:r>
      <w:r w:rsidR="00675A51" w:rsidRPr="00217367">
        <w:rPr>
          <w:rFonts w:asciiTheme="majorBidi" w:hAnsiTheme="majorBidi" w:cstheme="majorBidi"/>
        </w:rPr>
        <w:t>judgments.</w:t>
      </w:r>
      <w:r w:rsidR="00675A51" w:rsidRPr="00217367">
        <w:rPr>
          <w:rStyle w:val="FootnoteReference"/>
          <w:rFonts w:cstheme="majorBidi"/>
        </w:rPr>
        <w:footnoteReference w:id="7"/>
      </w:r>
      <w:r w:rsidR="00C15251">
        <w:rPr>
          <w:rFonts w:asciiTheme="majorBidi" w:hAnsiTheme="majorBidi" w:cstheme="majorBidi"/>
        </w:rPr>
        <w:t xml:space="preserve"> </w:t>
      </w:r>
    </w:p>
    <w:p w14:paraId="4911337A" w14:textId="33F4CE02" w:rsidR="000F31C2" w:rsidRPr="00720133" w:rsidRDefault="001C1CF0" w:rsidP="002E652B">
      <w:pPr>
        <w:pStyle w:val="SingleTxtG"/>
        <w:rPr>
          <w:rFonts w:asciiTheme="majorBidi" w:hAnsiTheme="majorBidi" w:cstheme="majorBidi"/>
        </w:rPr>
      </w:pPr>
      <w:r>
        <w:rPr>
          <w:rFonts w:asciiTheme="majorBidi" w:hAnsiTheme="majorBidi" w:cstheme="majorBidi"/>
        </w:rPr>
        <w:t>5.7</w:t>
      </w:r>
      <w:r>
        <w:rPr>
          <w:rFonts w:asciiTheme="majorBidi" w:hAnsiTheme="majorBidi" w:cstheme="majorBidi"/>
        </w:rPr>
        <w:tab/>
      </w:r>
      <w:r w:rsidR="00925DCD">
        <w:rPr>
          <w:rFonts w:asciiTheme="majorBidi" w:hAnsiTheme="majorBidi" w:cstheme="majorBidi"/>
        </w:rPr>
        <w:t xml:space="preserve">The </w:t>
      </w:r>
      <w:r>
        <w:rPr>
          <w:rFonts w:asciiTheme="majorBidi" w:hAnsiTheme="majorBidi" w:cstheme="majorBidi"/>
        </w:rPr>
        <w:t xml:space="preserve">author </w:t>
      </w:r>
      <w:r w:rsidR="00925DCD">
        <w:rPr>
          <w:rFonts w:asciiTheme="majorBidi" w:hAnsiTheme="majorBidi" w:cstheme="majorBidi"/>
        </w:rPr>
        <w:t>f</w:t>
      </w:r>
      <w:r w:rsidR="00217367">
        <w:rPr>
          <w:rFonts w:asciiTheme="majorBidi" w:hAnsiTheme="majorBidi" w:cstheme="majorBidi"/>
        </w:rPr>
        <w:t xml:space="preserve">inally </w:t>
      </w:r>
      <w:r>
        <w:rPr>
          <w:rFonts w:asciiTheme="majorBidi" w:hAnsiTheme="majorBidi" w:cstheme="majorBidi"/>
        </w:rPr>
        <w:t>argued that he was discriminated against because of his Macedonian ethnic identity</w:t>
      </w:r>
      <w:r w:rsidR="00217367">
        <w:rPr>
          <w:rFonts w:asciiTheme="majorBidi" w:hAnsiTheme="majorBidi" w:cstheme="majorBidi"/>
        </w:rPr>
        <w:t xml:space="preserve">, </w:t>
      </w:r>
      <w:r>
        <w:rPr>
          <w:rFonts w:asciiTheme="majorBidi" w:hAnsiTheme="majorBidi" w:cstheme="majorBidi"/>
        </w:rPr>
        <w:t>and because of his association with the HRPCT which aims at protecting the rights of the Macedonians in Bulgaria. He and the HR</w:t>
      </w:r>
      <w:r w:rsidR="002D153F">
        <w:rPr>
          <w:rFonts w:asciiTheme="majorBidi" w:hAnsiTheme="majorBidi" w:cstheme="majorBidi"/>
        </w:rPr>
        <w:t>P</w:t>
      </w:r>
      <w:r>
        <w:rPr>
          <w:rFonts w:asciiTheme="majorBidi" w:hAnsiTheme="majorBidi" w:cstheme="majorBidi"/>
        </w:rPr>
        <w:t xml:space="preserve">CT were treated less favourably in a similar situation </w:t>
      </w:r>
      <w:r w:rsidR="002D153F">
        <w:rPr>
          <w:rFonts w:asciiTheme="majorBidi" w:hAnsiTheme="majorBidi" w:cstheme="majorBidi"/>
        </w:rPr>
        <w:t xml:space="preserve">when compared with </w:t>
      </w:r>
      <w:r>
        <w:rPr>
          <w:rFonts w:asciiTheme="majorBidi" w:hAnsiTheme="majorBidi" w:cstheme="majorBidi"/>
        </w:rPr>
        <w:t>other registered</w:t>
      </w:r>
      <w:r w:rsidR="00925DCD">
        <w:rPr>
          <w:rFonts w:asciiTheme="majorBidi" w:hAnsiTheme="majorBidi" w:cstheme="majorBidi"/>
        </w:rPr>
        <w:t xml:space="preserve"> </w:t>
      </w:r>
      <w:r>
        <w:rPr>
          <w:rFonts w:asciiTheme="majorBidi" w:hAnsiTheme="majorBidi" w:cstheme="majorBidi"/>
        </w:rPr>
        <w:t xml:space="preserve">non-profit </w:t>
      </w:r>
      <w:r>
        <w:rPr>
          <w:rFonts w:asciiTheme="majorBidi" w:hAnsiTheme="majorBidi" w:cstheme="majorBidi"/>
        </w:rPr>
        <w:lastRenderedPageBreak/>
        <w:t>organi</w:t>
      </w:r>
      <w:r w:rsidR="00217367">
        <w:rPr>
          <w:rFonts w:asciiTheme="majorBidi" w:hAnsiTheme="majorBidi" w:cstheme="majorBidi"/>
        </w:rPr>
        <w:t>z</w:t>
      </w:r>
      <w:r>
        <w:rPr>
          <w:rFonts w:asciiTheme="majorBidi" w:hAnsiTheme="majorBidi" w:cstheme="majorBidi"/>
        </w:rPr>
        <w:t xml:space="preserve">ations. </w:t>
      </w:r>
      <w:r w:rsidR="00CB657B">
        <w:rPr>
          <w:rFonts w:asciiTheme="majorBidi" w:hAnsiTheme="majorBidi" w:cstheme="majorBidi"/>
        </w:rPr>
        <w:t xml:space="preserve">In such circumstances, the burden of proof should be shifted to the </w:t>
      </w:r>
      <w:r w:rsidR="00925DCD">
        <w:rPr>
          <w:rFonts w:asciiTheme="majorBidi" w:hAnsiTheme="majorBidi" w:cstheme="majorBidi"/>
        </w:rPr>
        <w:t>G</w:t>
      </w:r>
      <w:r w:rsidR="00CB657B">
        <w:rPr>
          <w:rFonts w:asciiTheme="majorBidi" w:hAnsiTheme="majorBidi" w:cstheme="majorBidi"/>
        </w:rPr>
        <w:t xml:space="preserve">overnment which has to demonstrate that the equality of treatment had been respected in the present case. </w:t>
      </w:r>
      <w:r w:rsidR="00925DCD">
        <w:rPr>
          <w:rFonts w:asciiTheme="majorBidi" w:hAnsiTheme="majorBidi" w:cstheme="majorBidi"/>
        </w:rPr>
        <w:t xml:space="preserve">The author added that the State Party in its </w:t>
      </w:r>
      <w:r w:rsidR="00CB657B">
        <w:rPr>
          <w:rFonts w:asciiTheme="majorBidi" w:hAnsiTheme="majorBidi" w:cstheme="majorBidi"/>
        </w:rPr>
        <w:t>observations</w:t>
      </w:r>
      <w:r w:rsidR="00925DCD">
        <w:rPr>
          <w:rFonts w:asciiTheme="majorBidi" w:hAnsiTheme="majorBidi" w:cstheme="majorBidi"/>
        </w:rPr>
        <w:t xml:space="preserve"> </w:t>
      </w:r>
      <w:r w:rsidR="00CB657B">
        <w:rPr>
          <w:rFonts w:asciiTheme="majorBidi" w:hAnsiTheme="majorBidi" w:cstheme="majorBidi"/>
        </w:rPr>
        <w:t xml:space="preserve">did not provide any justification for the difference </w:t>
      </w:r>
      <w:r w:rsidR="00925DCD">
        <w:rPr>
          <w:rFonts w:asciiTheme="majorBidi" w:hAnsiTheme="majorBidi" w:cstheme="majorBidi"/>
        </w:rPr>
        <w:t xml:space="preserve">of </w:t>
      </w:r>
      <w:r w:rsidR="00CB657B">
        <w:rPr>
          <w:rFonts w:asciiTheme="majorBidi" w:hAnsiTheme="majorBidi" w:cstheme="majorBidi"/>
        </w:rPr>
        <w:t xml:space="preserve">treatment. </w:t>
      </w:r>
      <w:r w:rsidR="00921F1E">
        <w:rPr>
          <w:rFonts w:asciiTheme="majorBidi" w:hAnsiTheme="majorBidi" w:cstheme="majorBidi"/>
        </w:rPr>
        <w:t xml:space="preserve">He invited the Committee to find a </w:t>
      </w:r>
      <w:r w:rsidR="00CB657B">
        <w:rPr>
          <w:rFonts w:asciiTheme="majorBidi" w:hAnsiTheme="majorBidi" w:cstheme="majorBidi"/>
        </w:rPr>
        <w:t>violation of article 22, and of article 2(1)</w:t>
      </w:r>
      <w:r w:rsidR="00217367">
        <w:rPr>
          <w:rFonts w:asciiTheme="majorBidi" w:hAnsiTheme="majorBidi" w:cstheme="majorBidi"/>
        </w:rPr>
        <w:t xml:space="preserve">, read </w:t>
      </w:r>
      <w:r w:rsidR="00CB657B">
        <w:rPr>
          <w:rFonts w:asciiTheme="majorBidi" w:hAnsiTheme="majorBidi" w:cstheme="majorBidi"/>
        </w:rPr>
        <w:t>in conjunction with article 22 of the Covenant.</w:t>
      </w:r>
      <w:r w:rsidR="00C15251">
        <w:rPr>
          <w:rFonts w:asciiTheme="majorBidi" w:hAnsiTheme="majorBidi" w:cstheme="majorBidi"/>
        </w:rPr>
        <w:t xml:space="preserve"> </w:t>
      </w:r>
    </w:p>
    <w:p w14:paraId="516E9A68" w14:textId="40756C38" w:rsidR="000F31C2" w:rsidRDefault="002920D8" w:rsidP="002920D8">
      <w:pPr>
        <w:pStyle w:val="H23G"/>
      </w:pPr>
      <w:r>
        <w:tab/>
      </w:r>
      <w:r>
        <w:tab/>
      </w:r>
      <w:r w:rsidR="000F31C2" w:rsidRPr="000F31C2">
        <w:t xml:space="preserve">State </w:t>
      </w:r>
      <w:r w:rsidR="000E4F49">
        <w:t>P</w:t>
      </w:r>
      <w:r w:rsidR="000F31C2" w:rsidRPr="000F31C2">
        <w:t xml:space="preserve">arty’s </w:t>
      </w:r>
      <w:r w:rsidR="0017643C">
        <w:t xml:space="preserve">further </w:t>
      </w:r>
      <w:r w:rsidR="000F31C2" w:rsidRPr="000F31C2">
        <w:t>observations</w:t>
      </w:r>
      <w:r w:rsidR="00B1633A">
        <w:t xml:space="preserve"> on admissibility and the merits</w:t>
      </w:r>
    </w:p>
    <w:p w14:paraId="116D2E11" w14:textId="1957DF4A" w:rsidR="00A37A97" w:rsidRDefault="00161C25" w:rsidP="002B4B1E">
      <w:pPr>
        <w:pStyle w:val="SingleTxtG"/>
      </w:pPr>
      <w:r w:rsidRPr="00161C25">
        <w:t>6.1</w:t>
      </w:r>
      <w:r w:rsidRPr="00161C25">
        <w:tab/>
        <w:t xml:space="preserve">On </w:t>
      </w:r>
      <w:r w:rsidR="00A37A97">
        <w:t xml:space="preserve">10 February 2021, the </w:t>
      </w:r>
      <w:r w:rsidRPr="00161C25">
        <w:t>State Party</w:t>
      </w:r>
      <w:r>
        <w:t xml:space="preserve"> submitted that the author’s com</w:t>
      </w:r>
      <w:r w:rsidR="00A37A97">
        <w:t xml:space="preserve">ments do not </w:t>
      </w:r>
      <w:r w:rsidR="00557C34">
        <w:t xml:space="preserve">raise </w:t>
      </w:r>
      <w:r w:rsidR="00A37A97">
        <w:t xml:space="preserve">additional arguments, reiterating its initial observations. </w:t>
      </w:r>
    </w:p>
    <w:p w14:paraId="6FFD0C17" w14:textId="0DEDF7D9" w:rsidR="005C4A3F" w:rsidRDefault="00E825CC" w:rsidP="00A37A97">
      <w:pPr>
        <w:pStyle w:val="SingleTxtG"/>
      </w:pPr>
      <w:r>
        <w:t>6.2</w:t>
      </w:r>
      <w:r>
        <w:tab/>
      </w:r>
      <w:r w:rsidR="00A37A97">
        <w:t xml:space="preserve">The State Party </w:t>
      </w:r>
      <w:r w:rsidR="005C4A3F">
        <w:t xml:space="preserve">asserted </w:t>
      </w:r>
      <w:r w:rsidR="00A37A97">
        <w:t xml:space="preserve">that the </w:t>
      </w:r>
      <w:r w:rsidR="005C4A3F">
        <w:t xml:space="preserve">decision </w:t>
      </w:r>
      <w:r w:rsidR="00557C34">
        <w:t xml:space="preserve">of the </w:t>
      </w:r>
      <w:r w:rsidR="005C4A3F" w:rsidRPr="005C4A3F">
        <w:t>Blagoevgrad</w:t>
      </w:r>
      <w:r w:rsidR="00557C34">
        <w:t xml:space="preserve"> Regional Court</w:t>
      </w:r>
      <w:r w:rsidR="005C4A3F">
        <w:t xml:space="preserve">, </w:t>
      </w:r>
      <w:r w:rsidR="00557C34">
        <w:t xml:space="preserve">dated 22 October 2014, </w:t>
      </w:r>
      <w:r w:rsidR="00A37A97">
        <w:t xml:space="preserve">as confirmed by the </w:t>
      </w:r>
      <w:r w:rsidR="00641886">
        <w:t xml:space="preserve">Sofia Court of </w:t>
      </w:r>
      <w:r w:rsidR="00A37A97">
        <w:t>Appe</w:t>
      </w:r>
      <w:r w:rsidR="00641886">
        <w:t>al,</w:t>
      </w:r>
      <w:r w:rsidR="00557C34">
        <w:t xml:space="preserve"> </w:t>
      </w:r>
      <w:r w:rsidR="00A37A97">
        <w:t>stated the reasons for denying the registration of the Human</w:t>
      </w:r>
      <w:r w:rsidR="00557C34">
        <w:t xml:space="preserve"> </w:t>
      </w:r>
      <w:r w:rsidR="00A37A97">
        <w:t xml:space="preserve">Rights Protection Committee </w:t>
      </w:r>
      <w:r w:rsidR="00557C34">
        <w:t>“</w:t>
      </w:r>
      <w:r w:rsidR="00A37A97">
        <w:t>Tolerance</w:t>
      </w:r>
      <w:r w:rsidR="00557C34">
        <w:t>”</w:t>
      </w:r>
      <w:r w:rsidR="00A37A97">
        <w:t xml:space="preserve">. </w:t>
      </w:r>
      <w:r w:rsidR="00557C34">
        <w:t xml:space="preserve">Those </w:t>
      </w:r>
      <w:r w:rsidR="00A37A97">
        <w:t>reasons, except</w:t>
      </w:r>
      <w:r w:rsidR="00641886">
        <w:t xml:space="preserve"> </w:t>
      </w:r>
      <w:r w:rsidR="00A37A97">
        <w:t xml:space="preserve">the grounds related to the lack of fulfilment of the formal </w:t>
      </w:r>
      <w:r w:rsidR="00641886">
        <w:t xml:space="preserve">legal </w:t>
      </w:r>
      <w:r w:rsidR="00A37A97">
        <w:t xml:space="preserve">requirements, are of different nature and do not coincide with the cited </w:t>
      </w:r>
      <w:r w:rsidR="005C4A3F">
        <w:t xml:space="preserve">jurisprudence of the European Court of Human Rights. </w:t>
      </w:r>
      <w:r w:rsidR="00557C34">
        <w:t xml:space="preserve">It also </w:t>
      </w:r>
      <w:r w:rsidR="00A57265">
        <w:t xml:space="preserve">argued that the </w:t>
      </w:r>
      <w:r w:rsidR="00641886">
        <w:t xml:space="preserve">present </w:t>
      </w:r>
      <w:r w:rsidR="005C4A3F">
        <w:t>complaint</w:t>
      </w:r>
      <w:r w:rsidR="00641886">
        <w:t xml:space="preserve"> </w:t>
      </w:r>
      <w:r w:rsidR="005C4A3F">
        <w:t xml:space="preserve">relates to the </w:t>
      </w:r>
      <w:r w:rsidR="00641886">
        <w:t xml:space="preserve">process of </w:t>
      </w:r>
      <w:r w:rsidR="005C4A3F">
        <w:t xml:space="preserve">registration of an organisation in the Registry </w:t>
      </w:r>
      <w:r w:rsidR="00641886">
        <w:t xml:space="preserve">of </w:t>
      </w:r>
      <w:r w:rsidR="005C4A3F">
        <w:t xml:space="preserve">Non-Profit Legal Entities before this procedure was revised </w:t>
      </w:r>
      <w:r w:rsidR="00641886">
        <w:t xml:space="preserve">and </w:t>
      </w:r>
      <w:r w:rsidR="005C4A3F">
        <w:t>amend</w:t>
      </w:r>
      <w:r w:rsidR="00641886">
        <w:t xml:space="preserve">ed </w:t>
      </w:r>
      <w:r w:rsidR="005C4A3F">
        <w:t>in 2016</w:t>
      </w:r>
      <w:r w:rsidR="00A57265">
        <w:t xml:space="preserve">, and that </w:t>
      </w:r>
      <w:r w:rsidR="00641886">
        <w:t xml:space="preserve">the </w:t>
      </w:r>
      <w:r w:rsidR="005C4A3F">
        <w:t xml:space="preserve">new registration procedure before the Registry Agency offers more opportunities for entities to obtain legal status. </w:t>
      </w:r>
    </w:p>
    <w:p w14:paraId="31B00050" w14:textId="09C03C13" w:rsidR="00B11416" w:rsidRDefault="005C4A3F" w:rsidP="00A37A97">
      <w:pPr>
        <w:pStyle w:val="SingleTxtG"/>
      </w:pPr>
      <w:r>
        <w:t xml:space="preserve">6.3 </w:t>
      </w:r>
      <w:r>
        <w:tab/>
      </w:r>
      <w:r w:rsidR="00557C34">
        <w:t xml:space="preserve">Furthermore, </w:t>
      </w:r>
      <w:r w:rsidR="00A57265">
        <w:t>the State Party reiterated that the d</w:t>
      </w:r>
      <w:r>
        <w:t>ecision</w:t>
      </w:r>
      <w:r w:rsidR="00A57265">
        <w:t xml:space="preserve"> of </w:t>
      </w:r>
      <w:r w:rsidR="00A57265" w:rsidRPr="00A57265">
        <w:t>the Sofia Court of Appeal</w:t>
      </w:r>
      <w:r w:rsidR="00D935A0">
        <w:t xml:space="preserve">, </w:t>
      </w:r>
      <w:r w:rsidR="00A57265">
        <w:t>w</w:t>
      </w:r>
      <w:r>
        <w:t xml:space="preserve">hich </w:t>
      </w:r>
      <w:r w:rsidR="00557C34">
        <w:t xml:space="preserve">upheld the </w:t>
      </w:r>
      <w:r>
        <w:t>deni</w:t>
      </w:r>
      <w:r w:rsidR="00557C34">
        <w:t xml:space="preserve">al of </w:t>
      </w:r>
      <w:r>
        <w:t>registration of the HRPCT</w:t>
      </w:r>
      <w:r w:rsidR="00D935A0">
        <w:t xml:space="preserve">, </w:t>
      </w:r>
      <w:r>
        <w:t xml:space="preserve">has not been final and the author had the opportunity to file a new request before the Registry Agency. Moreover, the decisions </w:t>
      </w:r>
      <w:r w:rsidR="00A57265">
        <w:t xml:space="preserve">of the </w:t>
      </w:r>
      <w:r>
        <w:t>Registry Agency</w:t>
      </w:r>
      <w:r w:rsidR="00A57265">
        <w:t xml:space="preserve">, which </w:t>
      </w:r>
      <w:r>
        <w:t>denied registration</w:t>
      </w:r>
      <w:r w:rsidR="00B11416">
        <w:t xml:space="preserve">, are </w:t>
      </w:r>
      <w:r w:rsidR="00D935A0">
        <w:t xml:space="preserve">newly </w:t>
      </w:r>
      <w:r w:rsidR="00B11416">
        <w:t xml:space="preserve">subject to </w:t>
      </w:r>
      <w:r w:rsidR="00D935A0">
        <w:t xml:space="preserve">a </w:t>
      </w:r>
      <w:r w:rsidR="00B11416">
        <w:t>judicial control</w:t>
      </w:r>
      <w:r w:rsidR="00A57265">
        <w:t xml:space="preserve"> pursuant to </w:t>
      </w:r>
      <w:r w:rsidR="00B11416">
        <w:t xml:space="preserve">article 25 of the Law on the Trade Register and the Register of Non-Profit Legal Entities. </w:t>
      </w:r>
      <w:r w:rsidR="00A57265">
        <w:t xml:space="preserve">Such </w:t>
      </w:r>
      <w:r w:rsidR="00B11416">
        <w:t xml:space="preserve">judicial control of administrative decisions </w:t>
      </w:r>
      <w:r w:rsidR="00A57265">
        <w:t xml:space="preserve">involves </w:t>
      </w:r>
      <w:r w:rsidR="00B11416">
        <w:t>two instances</w:t>
      </w:r>
      <w:r w:rsidR="00A57265">
        <w:t xml:space="preserve">; a review </w:t>
      </w:r>
      <w:r w:rsidR="00B11416">
        <w:t xml:space="preserve">by the </w:t>
      </w:r>
      <w:r w:rsidR="00A57265">
        <w:t xml:space="preserve">first instance </w:t>
      </w:r>
      <w:r w:rsidR="00B11416">
        <w:t>court</w:t>
      </w:r>
      <w:r w:rsidR="00A57265">
        <w:t xml:space="preserve">, which can be appealed to </w:t>
      </w:r>
      <w:r w:rsidR="00B11416">
        <w:t xml:space="preserve">the </w:t>
      </w:r>
      <w:r w:rsidR="00A57265">
        <w:t xml:space="preserve">court of </w:t>
      </w:r>
      <w:r w:rsidR="00B11416">
        <w:t>appe</w:t>
      </w:r>
      <w:r w:rsidR="00A57265">
        <w:t>a</w:t>
      </w:r>
      <w:r w:rsidR="00B11416">
        <w:t>l</w:t>
      </w:r>
      <w:r w:rsidR="00A57265">
        <w:t xml:space="preserve">, </w:t>
      </w:r>
      <w:r w:rsidR="00B11416">
        <w:t>which decision is then final.</w:t>
      </w:r>
    </w:p>
    <w:p w14:paraId="70522A18" w14:textId="17D126C7" w:rsidR="00161C25" w:rsidRPr="00161C25" w:rsidRDefault="00B11416" w:rsidP="00451180">
      <w:pPr>
        <w:pStyle w:val="SingleTxtG"/>
      </w:pPr>
      <w:r>
        <w:t>6.4</w:t>
      </w:r>
      <w:r>
        <w:tab/>
      </w:r>
      <w:r w:rsidR="00EE3B00">
        <w:t xml:space="preserve">Finally, the </w:t>
      </w:r>
      <w:r>
        <w:t xml:space="preserve">State Party reiterated that the author’s </w:t>
      </w:r>
      <w:r w:rsidR="00A57265">
        <w:t xml:space="preserve">claims </w:t>
      </w:r>
      <w:r>
        <w:t>of a violation of article 22, and of article 2 (1)</w:t>
      </w:r>
      <w:r w:rsidR="00557C34">
        <w:t xml:space="preserve">, read </w:t>
      </w:r>
      <w:r>
        <w:t>in conjunction with article 22 of the Covenant</w:t>
      </w:r>
      <w:r w:rsidR="00557C34">
        <w:t xml:space="preserve">, </w:t>
      </w:r>
      <w:r>
        <w:t>have been unfounded.</w:t>
      </w:r>
      <w:r w:rsidR="00C15251">
        <w:t xml:space="preserve"> </w:t>
      </w:r>
    </w:p>
    <w:p w14:paraId="48351320" w14:textId="5DF7B283" w:rsidR="009B59F5" w:rsidRPr="00EB08A3" w:rsidRDefault="002920D8" w:rsidP="002920D8">
      <w:pPr>
        <w:pStyle w:val="H23G"/>
        <w:rPr>
          <w:rFonts w:ascii="Times" w:eastAsia="Calibri" w:hAnsi="Times"/>
        </w:rPr>
      </w:pPr>
      <w:r>
        <w:tab/>
      </w:r>
      <w:r>
        <w:tab/>
      </w:r>
      <w:r w:rsidR="00FD2DBD" w:rsidRPr="00EB08A3">
        <w:t>Issues and proceedings before the Committee</w:t>
      </w:r>
    </w:p>
    <w:p w14:paraId="372B9A40" w14:textId="38AB1FB5" w:rsidR="009B59F5" w:rsidRDefault="00FD2DBD">
      <w:pPr>
        <w:keepNext/>
        <w:keepLines/>
        <w:tabs>
          <w:tab w:val="right" w:pos="851"/>
        </w:tabs>
        <w:spacing w:after="120" w:line="240" w:lineRule="exact"/>
        <w:ind w:left="1134" w:right="1134" w:hanging="1134"/>
        <w:rPr>
          <w:rFonts w:eastAsia="SimSun"/>
          <w:i/>
          <w:lang w:eastAsia="zh-CN"/>
        </w:rPr>
      </w:pPr>
      <w:r>
        <w:rPr>
          <w:rFonts w:eastAsia="SimSun"/>
          <w:i/>
          <w:lang w:eastAsia="zh-CN"/>
        </w:rPr>
        <w:tab/>
      </w:r>
      <w:r>
        <w:rPr>
          <w:rFonts w:eastAsia="SimSun"/>
          <w:i/>
          <w:lang w:eastAsia="zh-CN"/>
        </w:rPr>
        <w:tab/>
      </w:r>
      <w:r w:rsidR="000D3413">
        <w:rPr>
          <w:rFonts w:eastAsia="SimSun"/>
          <w:i/>
          <w:lang w:eastAsia="zh-CN"/>
        </w:rPr>
        <w:tab/>
      </w:r>
      <w:r>
        <w:rPr>
          <w:rFonts w:eastAsia="SimSun"/>
          <w:i/>
          <w:lang w:eastAsia="zh-CN"/>
        </w:rPr>
        <w:t>Consideration of admissibility</w:t>
      </w:r>
    </w:p>
    <w:p w14:paraId="2AF2DAEC" w14:textId="02E35E6E" w:rsidR="00234117" w:rsidRDefault="00A37A97" w:rsidP="002E652B">
      <w:pPr>
        <w:pStyle w:val="SingleTxtG"/>
      </w:pPr>
      <w:r>
        <w:t>7</w:t>
      </w:r>
      <w:r w:rsidR="007C47CF">
        <w:t>.1</w:t>
      </w:r>
      <w:r w:rsidR="00FD2DBD">
        <w:tab/>
        <w:t>Before considering any claim</w:t>
      </w:r>
      <w:r w:rsidR="0091268C">
        <w:t>s</w:t>
      </w:r>
      <w:r w:rsidR="00FD2DBD">
        <w:t xml:space="preserve"> contained in a communication, the Committee must decide, in </w:t>
      </w:r>
      <w:r w:rsidR="00FD2DBD" w:rsidRPr="00BF6436">
        <w:rPr>
          <w:bCs/>
        </w:rPr>
        <w:t>accordance</w:t>
      </w:r>
      <w:r w:rsidR="00FD2DBD">
        <w:t xml:space="preserve"> with rule 97 of its rules of procedure, whether the communication is admissible under the Optional Protocol. </w:t>
      </w:r>
    </w:p>
    <w:p w14:paraId="3CB88DF4" w14:textId="18BAFAF4" w:rsidR="007C47CF" w:rsidRDefault="001B451A" w:rsidP="002E652B">
      <w:pPr>
        <w:pStyle w:val="SingleTxtG"/>
      </w:pPr>
      <w:r>
        <w:t>7</w:t>
      </w:r>
      <w:r w:rsidR="00234117">
        <w:t>.2</w:t>
      </w:r>
      <w:r w:rsidR="00234117">
        <w:tab/>
        <w:t>The Committee has ascertained, as required under article 5 (2) (a) of the Optional Protocol, that the same matter is not being examined under another procedure of international investigation or settlement.</w:t>
      </w:r>
      <w:r w:rsidR="00801D5C">
        <w:t xml:space="preserve"> </w:t>
      </w:r>
    </w:p>
    <w:p w14:paraId="4F444029" w14:textId="1FA988D3" w:rsidR="005B6204" w:rsidRPr="005B6204" w:rsidRDefault="002F7B61" w:rsidP="002E652B">
      <w:pPr>
        <w:pStyle w:val="SingleTxtG"/>
      </w:pPr>
      <w:r>
        <w:t>7</w:t>
      </w:r>
      <w:r w:rsidR="007E3A43">
        <w:t>.3</w:t>
      </w:r>
      <w:r w:rsidR="007E3A43">
        <w:tab/>
      </w:r>
      <w:r w:rsidR="009C5C2C">
        <w:t xml:space="preserve">The Committee recalls its jurisprudence to the effect that authors must avail themselves of all domestic remedies in order to fulfil the requirement of article 5 (2) (b) of the Optional Protocol, insofar as such remedies </w:t>
      </w:r>
      <w:r w:rsidR="0011454E">
        <w:t>are</w:t>
      </w:r>
      <w:r w:rsidR="009C5C2C">
        <w:t xml:space="preserve"> effective and available to the author.</w:t>
      </w:r>
      <w:r w:rsidR="009C5C2C">
        <w:rPr>
          <w:rStyle w:val="FootnoteReference"/>
        </w:rPr>
        <w:footnoteReference w:id="8"/>
      </w:r>
      <w:r w:rsidR="009C5C2C">
        <w:t xml:space="preserve"> The Committee takes note of the State </w:t>
      </w:r>
      <w:r w:rsidR="00744C83">
        <w:t>P</w:t>
      </w:r>
      <w:r w:rsidR="009C5C2C">
        <w:t>arty’s argument that the author ha</w:t>
      </w:r>
      <w:r w:rsidR="00744C83">
        <w:t xml:space="preserve">s </w:t>
      </w:r>
      <w:r w:rsidR="009C5C2C">
        <w:t xml:space="preserve">not exhausted all </w:t>
      </w:r>
      <w:r w:rsidR="00744C83">
        <w:t xml:space="preserve">available </w:t>
      </w:r>
      <w:r w:rsidR="009C5C2C">
        <w:t xml:space="preserve">remedies since </w:t>
      </w:r>
      <w:r w:rsidR="00744C83">
        <w:t xml:space="preserve">the decision of the Sofia Court of Appeal, although </w:t>
      </w:r>
      <w:r w:rsidR="00217367">
        <w:t xml:space="preserve">considered </w:t>
      </w:r>
      <w:r w:rsidR="00744C83">
        <w:t>final</w:t>
      </w:r>
      <w:r w:rsidR="00217367">
        <w:t xml:space="preserve">, </w:t>
      </w:r>
      <w:r w:rsidR="00744C83">
        <w:t xml:space="preserve">has not </w:t>
      </w:r>
      <w:r w:rsidR="00217367">
        <w:t xml:space="preserve">reportedly </w:t>
      </w:r>
      <w:r w:rsidR="00744C83">
        <w:t>entered into legal force</w:t>
      </w:r>
      <w:r w:rsidR="00217367">
        <w:t xml:space="preserve">, </w:t>
      </w:r>
      <w:r w:rsidR="00744C83">
        <w:t xml:space="preserve">and the author could resubmit a request for registration of the HRPCT </w:t>
      </w:r>
      <w:r w:rsidR="005A14BB">
        <w:t>as a</w:t>
      </w:r>
      <w:r w:rsidR="00217367">
        <w:t xml:space="preserve">n </w:t>
      </w:r>
      <w:r w:rsidR="005A14BB">
        <w:t xml:space="preserve">association </w:t>
      </w:r>
      <w:r w:rsidR="00744C83">
        <w:t xml:space="preserve">under the amended law. </w:t>
      </w:r>
      <w:r w:rsidR="009C5C2C">
        <w:t>However, the author ha</w:t>
      </w:r>
      <w:r w:rsidR="00744C83">
        <w:t>s</w:t>
      </w:r>
      <w:r w:rsidR="009C5C2C">
        <w:t xml:space="preserve"> </w:t>
      </w:r>
      <w:r w:rsidR="005A14BB">
        <w:t xml:space="preserve">established that he </w:t>
      </w:r>
      <w:r w:rsidR="001526FA">
        <w:t xml:space="preserve">duly </w:t>
      </w:r>
      <w:r w:rsidR="009C5C2C">
        <w:t xml:space="preserve">pursued </w:t>
      </w:r>
      <w:r w:rsidR="003B3F4D">
        <w:t xml:space="preserve">judicial </w:t>
      </w:r>
      <w:r w:rsidR="00744C83">
        <w:t>pro</w:t>
      </w:r>
      <w:r w:rsidR="009C5C2C">
        <w:t xml:space="preserve">ceedings before </w:t>
      </w:r>
      <w:r w:rsidR="00744C83">
        <w:t xml:space="preserve">the </w:t>
      </w:r>
      <w:r w:rsidR="00453422" w:rsidRPr="00453422">
        <w:t>Blagoevgrad</w:t>
      </w:r>
      <w:r w:rsidR="00453422">
        <w:t xml:space="preserve"> </w:t>
      </w:r>
      <w:r w:rsidR="00744C83">
        <w:t xml:space="preserve">District Court and the Sofia Court of Appeal, both of which denied the request for registration of the </w:t>
      </w:r>
      <w:r w:rsidR="003B3F4D">
        <w:t>HRP</w:t>
      </w:r>
      <w:r w:rsidR="00453422">
        <w:t>C</w:t>
      </w:r>
      <w:r w:rsidR="003B3F4D">
        <w:t>T</w:t>
      </w:r>
      <w:r w:rsidR="001526FA">
        <w:t>,</w:t>
      </w:r>
      <w:r w:rsidR="00281C2A">
        <w:t xml:space="preserve"> and their respective rulings </w:t>
      </w:r>
      <w:r w:rsidR="001526FA">
        <w:t xml:space="preserve">were forwarded </w:t>
      </w:r>
      <w:r w:rsidR="00281C2A">
        <w:t xml:space="preserve">to the author and other members of the managing board. In that context, the </w:t>
      </w:r>
      <w:r w:rsidR="009C5C2C">
        <w:t xml:space="preserve">Committee observes that the State </w:t>
      </w:r>
      <w:r w:rsidR="00471FDC">
        <w:t>P</w:t>
      </w:r>
      <w:r w:rsidR="009C5C2C">
        <w:t xml:space="preserve">arty has not </w:t>
      </w:r>
      <w:r w:rsidR="008B665E">
        <w:t xml:space="preserve">sufficiently </w:t>
      </w:r>
      <w:r w:rsidR="009C5C2C">
        <w:t xml:space="preserve">explained </w:t>
      </w:r>
      <w:r w:rsidR="008B665E">
        <w:t xml:space="preserve">that </w:t>
      </w:r>
      <w:r w:rsidR="009C5C2C">
        <w:t xml:space="preserve">the domestic remedies were effective. The Committee considers that the author resorted to available domestic remedies; </w:t>
      </w:r>
      <w:r w:rsidR="00281C2A">
        <w:t xml:space="preserve">he appealed the negative decision of the Blagoevgrad </w:t>
      </w:r>
      <w:r w:rsidR="001526FA">
        <w:t>Regional</w:t>
      </w:r>
      <w:r w:rsidR="00281C2A">
        <w:t xml:space="preserve"> Court</w:t>
      </w:r>
      <w:r w:rsidR="001E1B9F">
        <w:t xml:space="preserve">, </w:t>
      </w:r>
      <w:r w:rsidR="00281C2A">
        <w:t xml:space="preserve">which rejected the request for registration of </w:t>
      </w:r>
      <w:r w:rsidR="001526FA">
        <w:t>the HRPCT</w:t>
      </w:r>
      <w:r w:rsidR="00281C2A">
        <w:t xml:space="preserve">, but </w:t>
      </w:r>
      <w:r w:rsidR="00281C2A">
        <w:lastRenderedPageBreak/>
        <w:t>h</w:t>
      </w:r>
      <w:r w:rsidR="00471FDC">
        <w:t xml:space="preserve">is </w:t>
      </w:r>
      <w:r w:rsidR="009C5C2C">
        <w:t xml:space="preserve">claims </w:t>
      </w:r>
      <w:r w:rsidR="00471FDC">
        <w:t xml:space="preserve">on appeal </w:t>
      </w:r>
      <w:r w:rsidR="009C5C2C">
        <w:t>were</w:t>
      </w:r>
      <w:r w:rsidR="00281C2A">
        <w:t xml:space="preserve"> </w:t>
      </w:r>
      <w:r w:rsidR="009C5C2C">
        <w:t xml:space="preserve">unsuccessful </w:t>
      </w:r>
      <w:r w:rsidR="001E1B9F">
        <w:t xml:space="preserve">and </w:t>
      </w:r>
      <w:r w:rsidR="00281C2A">
        <w:t xml:space="preserve">the Sofia Court of Appeal upheld the </w:t>
      </w:r>
      <w:r w:rsidR="001526FA">
        <w:t xml:space="preserve">regional </w:t>
      </w:r>
      <w:r w:rsidR="001E1B9F">
        <w:t xml:space="preserve">court decision </w:t>
      </w:r>
      <w:r w:rsidR="009C5C2C">
        <w:t>(see para. 2.</w:t>
      </w:r>
      <w:r w:rsidR="00471FDC">
        <w:t>5</w:t>
      </w:r>
      <w:r w:rsidR="009C5C2C">
        <w:t xml:space="preserve"> above). Accordingly, the Committee concludes that the examination of the author’</w:t>
      </w:r>
      <w:r w:rsidR="00471FDC">
        <w:t>s</w:t>
      </w:r>
      <w:r w:rsidR="009C5C2C">
        <w:t xml:space="preserve"> claims is not precluded by the requirements of article 5 (2) (b) of the Optional Protocol.</w:t>
      </w:r>
      <w:r w:rsidR="005B6204" w:rsidRPr="005B6204">
        <w:t xml:space="preserve"> </w:t>
      </w:r>
    </w:p>
    <w:p w14:paraId="39FF11DD" w14:textId="2B04F73B" w:rsidR="00266EDA" w:rsidRPr="00EA7C2F" w:rsidRDefault="003B3F4D" w:rsidP="002E652B">
      <w:pPr>
        <w:pStyle w:val="SingleTxtG"/>
      </w:pPr>
      <w:r w:rsidRPr="009A1C55">
        <w:t>7</w:t>
      </w:r>
      <w:r w:rsidR="00266EDA" w:rsidRPr="009A1C55">
        <w:t>.</w:t>
      </w:r>
      <w:r w:rsidR="009C5C2C" w:rsidRPr="009A1C55">
        <w:t>4</w:t>
      </w:r>
      <w:r w:rsidR="00266EDA">
        <w:tab/>
      </w:r>
      <w:r w:rsidR="00266EDA" w:rsidRPr="00EA7C2F">
        <w:t xml:space="preserve">The Committee considers that the author’s claims under article </w:t>
      </w:r>
      <w:r w:rsidR="009C5C2C">
        <w:t>22</w:t>
      </w:r>
      <w:r w:rsidR="00DD67EF">
        <w:t xml:space="preserve"> </w:t>
      </w:r>
      <w:r w:rsidR="009C5C2C">
        <w:t xml:space="preserve">of the Covenant have been sufficiently </w:t>
      </w:r>
      <w:r w:rsidR="00266EDA" w:rsidRPr="00EA7C2F">
        <w:t>substantiated for</w:t>
      </w:r>
      <w:r w:rsidR="00266EDA">
        <w:t xml:space="preserve"> the</w:t>
      </w:r>
      <w:r w:rsidR="00266EDA" w:rsidRPr="00EA7C2F">
        <w:t xml:space="preserve"> purposes of admissibility</w:t>
      </w:r>
      <w:r w:rsidR="009C5C2C">
        <w:t xml:space="preserve">. </w:t>
      </w:r>
      <w:r w:rsidR="00266EDA" w:rsidRPr="00EA7C2F">
        <w:t>It therefore declares those claims admissible and proceeds to their consideration on the merits.</w:t>
      </w:r>
      <w:r w:rsidR="00C15251">
        <w:t xml:space="preserve"> </w:t>
      </w:r>
      <w:r w:rsidR="006401FA">
        <w:t xml:space="preserve">The Committee </w:t>
      </w:r>
      <w:r w:rsidR="009F6B3B">
        <w:t xml:space="preserve">however </w:t>
      </w:r>
      <w:r w:rsidR="0061311C">
        <w:t>c</w:t>
      </w:r>
      <w:r w:rsidR="006401FA">
        <w:t>onsiders that the author has not sufficiently substa</w:t>
      </w:r>
      <w:r w:rsidR="0061311C">
        <w:t>n</w:t>
      </w:r>
      <w:r w:rsidR="006401FA">
        <w:t>ti</w:t>
      </w:r>
      <w:r w:rsidR="0061311C">
        <w:t xml:space="preserve">ated </w:t>
      </w:r>
      <w:r w:rsidR="006401FA">
        <w:t>his claims under art</w:t>
      </w:r>
      <w:r w:rsidR="0011454E">
        <w:t xml:space="preserve">icle </w:t>
      </w:r>
      <w:r w:rsidR="006401FA">
        <w:t>2 (1), in conjunction with art</w:t>
      </w:r>
      <w:r w:rsidR="0011454E">
        <w:t>icle</w:t>
      </w:r>
      <w:r w:rsidR="006401FA">
        <w:t xml:space="preserve"> 22</w:t>
      </w:r>
      <w:r w:rsidR="009F6B3B">
        <w:t xml:space="preserve"> of the Covenant</w:t>
      </w:r>
      <w:r w:rsidR="0011454E">
        <w:t xml:space="preserve">, as </w:t>
      </w:r>
      <w:r w:rsidR="003220C8">
        <w:t xml:space="preserve">those </w:t>
      </w:r>
      <w:r w:rsidR="0011454E">
        <w:t xml:space="preserve">have been </w:t>
      </w:r>
      <w:r w:rsidR="00CE092A">
        <w:t xml:space="preserve">too </w:t>
      </w:r>
      <w:r w:rsidR="0011454E">
        <w:t>general, without appropriate evidence</w:t>
      </w:r>
      <w:r w:rsidR="006401FA">
        <w:t>.</w:t>
      </w:r>
      <w:r w:rsidR="000B23C1">
        <w:rPr>
          <w:rStyle w:val="FootnoteReference"/>
        </w:rPr>
        <w:footnoteReference w:id="9"/>
      </w:r>
      <w:r w:rsidR="006401FA">
        <w:t xml:space="preserve"> Accordingly, the Committee finds th</w:t>
      </w:r>
      <w:r w:rsidR="0061311C">
        <w:t xml:space="preserve">is part of the communication </w:t>
      </w:r>
      <w:r w:rsidR="006401FA">
        <w:t>inadmissible, pursuant to art</w:t>
      </w:r>
      <w:r w:rsidR="0061311C">
        <w:t xml:space="preserve">icle </w:t>
      </w:r>
      <w:r w:rsidR="006401FA">
        <w:t xml:space="preserve">2 of the Optional Protocol. </w:t>
      </w:r>
    </w:p>
    <w:p w14:paraId="095D2354" w14:textId="77777777" w:rsidR="00266EDA" w:rsidRPr="00EA7C2F" w:rsidRDefault="00266EDA" w:rsidP="00266EDA">
      <w:pPr>
        <w:spacing w:after="120" w:line="276" w:lineRule="auto"/>
        <w:ind w:left="1134" w:right="1134"/>
        <w:jc w:val="both"/>
        <w:rPr>
          <w:rFonts w:eastAsia="SimSun"/>
          <w:lang w:eastAsia="zh-CN"/>
        </w:rPr>
      </w:pPr>
      <w:r w:rsidRPr="00EA7C2F">
        <w:rPr>
          <w:i/>
          <w:iCs/>
        </w:rPr>
        <w:t>Consideration of the merits</w:t>
      </w:r>
    </w:p>
    <w:p w14:paraId="355C3B9E" w14:textId="2CD23078" w:rsidR="00852BC3" w:rsidRDefault="003B3F4D" w:rsidP="002E652B">
      <w:pPr>
        <w:pStyle w:val="SingleTxtG"/>
      </w:pPr>
      <w:r>
        <w:t>8.</w:t>
      </w:r>
      <w:r w:rsidR="00852BC3" w:rsidRPr="00EA7C2F">
        <w:t>1</w:t>
      </w:r>
      <w:r w:rsidR="00852BC3" w:rsidRPr="00EA7C2F">
        <w:tab/>
        <w:t>The Committee has considered the communication in the light of all the information made available to it by the parties, as provided</w:t>
      </w:r>
      <w:r w:rsidR="00852BC3" w:rsidRPr="00084A8B">
        <w:t xml:space="preserve"> for</w:t>
      </w:r>
      <w:r w:rsidR="00852BC3" w:rsidRPr="00EA7C2F">
        <w:t xml:space="preserve"> under article 5 (1) of the Optional Protocol.</w:t>
      </w:r>
    </w:p>
    <w:p w14:paraId="4C67698E" w14:textId="10BD9172" w:rsidR="004C3E28" w:rsidRDefault="001001A9" w:rsidP="002E652B">
      <w:pPr>
        <w:pStyle w:val="SingleTxtG"/>
      </w:pPr>
      <w:r w:rsidRPr="0028053E">
        <w:t>8</w:t>
      </w:r>
      <w:r w:rsidR="00852BC3" w:rsidRPr="0028053E">
        <w:t>.2</w:t>
      </w:r>
      <w:r w:rsidR="00852BC3">
        <w:tab/>
      </w:r>
      <w:r w:rsidR="004C3E28">
        <w:t xml:space="preserve">The issue before the Committee is whether the rejection of the author’s application for registration of a non-profit association HRPCT amounted to a violation of </w:t>
      </w:r>
      <w:r w:rsidR="007D7811">
        <w:t>the</w:t>
      </w:r>
      <w:r w:rsidR="00046490">
        <w:t xml:space="preserve"> </w:t>
      </w:r>
      <w:r w:rsidR="004C3E28">
        <w:t>right to freedom of association under article 22</w:t>
      </w:r>
      <w:r w:rsidR="00046490">
        <w:t xml:space="preserve"> </w:t>
      </w:r>
      <w:r w:rsidR="004C3E28">
        <w:t>of the Covenant</w:t>
      </w:r>
      <w:r w:rsidR="0028053E">
        <w:t>.</w:t>
      </w:r>
      <w:r w:rsidR="00C15251">
        <w:t xml:space="preserve"> </w:t>
      </w:r>
    </w:p>
    <w:p w14:paraId="05786535" w14:textId="511CDB1D" w:rsidR="00101320" w:rsidRDefault="004C3E28" w:rsidP="00B4032E">
      <w:pPr>
        <w:pStyle w:val="SingleTxtG"/>
      </w:pPr>
      <w:r>
        <w:t>8.3</w:t>
      </w:r>
      <w:r>
        <w:tab/>
      </w:r>
      <w:r w:rsidR="009C275A">
        <w:t>T</w:t>
      </w:r>
      <w:r w:rsidR="00852BC3">
        <w:t>he Committee notes th</w:t>
      </w:r>
      <w:r w:rsidR="0079017E">
        <w:t xml:space="preserve">e author’s </w:t>
      </w:r>
      <w:r w:rsidR="00852BC3">
        <w:t>claim</w:t>
      </w:r>
      <w:r w:rsidR="0079017E">
        <w:t xml:space="preserve"> that </w:t>
      </w:r>
      <w:r w:rsidR="007702A3">
        <w:t xml:space="preserve">the application for registration of </w:t>
      </w:r>
      <w:r w:rsidR="00046490">
        <w:t xml:space="preserve">the </w:t>
      </w:r>
      <w:r w:rsidR="007702A3">
        <w:t xml:space="preserve">association HRPCT, he submitted on behalf of the founding members of the association, all of whom consider themselves as belonging to the Macedonian ethnicity, </w:t>
      </w:r>
      <w:r w:rsidR="000C28F5">
        <w:t xml:space="preserve">was rejected unlawfully by the Blagoevgrad Regional Court and the Sofia Court of Appeal. The Committee </w:t>
      </w:r>
      <w:r w:rsidR="007D3E3E">
        <w:t>also</w:t>
      </w:r>
      <w:r w:rsidR="000C28F5">
        <w:t xml:space="preserve"> notes the author’s claim </w:t>
      </w:r>
      <w:r w:rsidR="000C28F5" w:rsidRPr="000C28F5">
        <w:t xml:space="preserve">that the restrictions of </w:t>
      </w:r>
      <w:r w:rsidR="000C28F5">
        <w:t xml:space="preserve">the </w:t>
      </w:r>
      <w:r w:rsidR="000C28F5" w:rsidRPr="000C28F5">
        <w:t>author’s right to freedom of association</w:t>
      </w:r>
      <w:r w:rsidR="00046490">
        <w:t xml:space="preserve"> </w:t>
      </w:r>
      <w:r w:rsidR="000C28F5" w:rsidRPr="000C28F5">
        <w:t>were not pr</w:t>
      </w:r>
      <w:r w:rsidR="00CB0E38">
        <w:t>escribed</w:t>
      </w:r>
      <w:r w:rsidR="000C28F5" w:rsidRPr="000C28F5">
        <w:t xml:space="preserve"> by law, </w:t>
      </w:r>
      <w:r w:rsidR="00CB0E38">
        <w:t>were not proportionate a</w:t>
      </w:r>
      <w:r w:rsidR="00046490">
        <w:t xml:space="preserve">s they </w:t>
      </w:r>
      <w:r w:rsidR="000C28F5" w:rsidRPr="000C28F5">
        <w:t>did not pursue a legitimate aim</w:t>
      </w:r>
      <w:r w:rsidR="00CB0E38">
        <w:t xml:space="preserve"> </w:t>
      </w:r>
      <w:r w:rsidR="000C28F5" w:rsidRPr="000C28F5">
        <w:t xml:space="preserve">and were not necessary in a democratic society. It also notes the State </w:t>
      </w:r>
      <w:r w:rsidR="000C28F5">
        <w:t>P</w:t>
      </w:r>
      <w:r w:rsidR="000C28F5" w:rsidRPr="000C28F5">
        <w:t xml:space="preserve">arty’s observations that the </w:t>
      </w:r>
      <w:r w:rsidR="00CB0E38">
        <w:t xml:space="preserve">restrictions applied </w:t>
      </w:r>
      <w:r w:rsidR="000C28F5">
        <w:t xml:space="preserve">in the context of the assessments of the application for registration of the HRPCT </w:t>
      </w:r>
      <w:r w:rsidR="000C28F5" w:rsidRPr="000C28F5">
        <w:t>and,</w:t>
      </w:r>
      <w:r w:rsidR="000C28F5">
        <w:t xml:space="preserve"> </w:t>
      </w:r>
      <w:r w:rsidR="000C28F5" w:rsidRPr="000C28F5">
        <w:t xml:space="preserve">consequently, </w:t>
      </w:r>
      <w:r w:rsidR="00FD1EAC">
        <w:t xml:space="preserve">on the author’s </w:t>
      </w:r>
      <w:r w:rsidR="000C28F5" w:rsidRPr="000C28F5">
        <w:t>rights</w:t>
      </w:r>
      <w:r w:rsidR="00FD1EAC">
        <w:t xml:space="preserve"> </w:t>
      </w:r>
      <w:r w:rsidR="000C28F5" w:rsidRPr="000C28F5">
        <w:t>w</w:t>
      </w:r>
      <w:r w:rsidR="00FD1EAC">
        <w:t xml:space="preserve">ere </w:t>
      </w:r>
      <w:r w:rsidR="000C28F5" w:rsidRPr="000C28F5">
        <w:t>prescribed by law, pursued the legitimate aim of protecting the rights and freedoms of others and w</w:t>
      </w:r>
      <w:r w:rsidR="00FD1EAC">
        <w:t xml:space="preserve">ere </w:t>
      </w:r>
      <w:r w:rsidR="000C28F5" w:rsidRPr="000C28F5">
        <w:t>proportionate to the legitimate aim pursued (para</w:t>
      </w:r>
      <w:r w:rsidR="001C3E82">
        <w:t>s</w:t>
      </w:r>
      <w:r w:rsidR="000C28F5" w:rsidRPr="000C28F5">
        <w:t xml:space="preserve">. </w:t>
      </w:r>
      <w:r w:rsidR="001C3E82">
        <w:t xml:space="preserve">4.4-4.5 </w:t>
      </w:r>
      <w:r w:rsidR="000C28F5" w:rsidRPr="000C28F5">
        <w:t xml:space="preserve">above). The Committee also notes the State </w:t>
      </w:r>
      <w:r w:rsidR="00FD1EAC">
        <w:t>P</w:t>
      </w:r>
      <w:r w:rsidR="000C28F5" w:rsidRPr="000C28F5">
        <w:t xml:space="preserve">arty’s assertion that </w:t>
      </w:r>
      <w:r w:rsidR="00FD1EAC">
        <w:t xml:space="preserve">the author and other founding members could resubmit the application for registration of the association with supplemented information, in compliance with the NPLEA, including the correct </w:t>
      </w:r>
      <w:r w:rsidR="00046490">
        <w:t xml:space="preserve">Unified </w:t>
      </w:r>
      <w:r w:rsidR="004A6907">
        <w:t>Citizen</w:t>
      </w:r>
      <w:r w:rsidR="00FD1EAC">
        <w:t xml:space="preserve"> </w:t>
      </w:r>
      <w:r w:rsidR="00046490">
        <w:t>N</w:t>
      </w:r>
      <w:r w:rsidR="00FD1EAC">
        <w:t xml:space="preserve">umbers of all the founding members and </w:t>
      </w:r>
      <w:r w:rsidR="00046490">
        <w:t xml:space="preserve">an indication of a </w:t>
      </w:r>
      <w:r w:rsidR="00FD1EAC">
        <w:t xml:space="preserve">lawfully </w:t>
      </w:r>
      <w:r w:rsidR="00F82DE8">
        <w:t xml:space="preserve">permissible </w:t>
      </w:r>
      <w:r w:rsidR="00FD1EAC">
        <w:t>property of the association, defined in its statute (Articles of Association).</w:t>
      </w:r>
      <w:r w:rsidR="00C15251">
        <w:t xml:space="preserve"> </w:t>
      </w:r>
    </w:p>
    <w:p w14:paraId="327318F6" w14:textId="6E314B75" w:rsidR="00B674A3" w:rsidRDefault="00E50CA1" w:rsidP="00606471">
      <w:pPr>
        <w:pStyle w:val="SingleTxtG"/>
      </w:pPr>
      <w:r>
        <w:t>8.4</w:t>
      </w:r>
      <w:r>
        <w:tab/>
      </w:r>
      <w:r w:rsidRPr="00E50CA1">
        <w:t xml:space="preserve">Pursuant to article 22 (2) of the Covenant, any restriction on the right to freedom of association must meet the following conditions: (a) it must be prescribed by law; (b) it must be imposed only for one of the purposes set out in article 22 (2); and (c) it must be “necessary in a democratic society” for achieving one of those purposes. The reference to “a democratic society” in the context of article 22 indicates that the existence of associations that peacefully promote ideas </w:t>
      </w:r>
      <w:r w:rsidR="003A17C9">
        <w:t>of tolerance and coexistence of various ethnic groups</w:t>
      </w:r>
      <w:r w:rsidR="00A006DB">
        <w:t>,</w:t>
      </w:r>
      <w:r w:rsidR="003A17C9">
        <w:t xml:space="preserve"> </w:t>
      </w:r>
      <w:r w:rsidR="00417BA2" w:rsidRPr="00417BA2">
        <w:t>even if their views are not shared by the authorities or the majority of the population</w:t>
      </w:r>
      <w:r w:rsidRPr="00E50CA1">
        <w:t>, is the cornerstone of any society.</w:t>
      </w:r>
      <w:r w:rsidR="0021183F">
        <w:rPr>
          <w:rStyle w:val="FootnoteReference"/>
        </w:rPr>
        <w:footnoteReference w:id="10"/>
      </w:r>
      <w:r w:rsidR="0021183F">
        <w:t xml:space="preserve"> </w:t>
      </w:r>
      <w:r w:rsidR="00606471">
        <w:t xml:space="preserve">The Committee also recalls its jurisprudence that the possibility to apply for </w:t>
      </w:r>
      <w:r w:rsidR="00606471" w:rsidRPr="00D34F11">
        <w:t>regist</w:t>
      </w:r>
      <w:r w:rsidR="00606471">
        <w:t xml:space="preserve">ration of </w:t>
      </w:r>
      <w:r w:rsidR="00606471" w:rsidRPr="00D34F11">
        <w:t xml:space="preserve">a human rights organization should </w:t>
      </w:r>
      <w:r w:rsidR="00606471">
        <w:t xml:space="preserve">remain within the discretion of every </w:t>
      </w:r>
      <w:r w:rsidR="00606471" w:rsidRPr="00D34F11">
        <w:t>individual</w:t>
      </w:r>
      <w:r w:rsidR="00606471">
        <w:t xml:space="preserve">, and </w:t>
      </w:r>
      <w:r w:rsidR="00BA72A6" w:rsidRPr="00BA72A6">
        <w:t xml:space="preserve">falls within the scope of article 22 </w:t>
      </w:r>
      <w:r w:rsidR="00BA72A6">
        <w:t xml:space="preserve">of the Covenant, </w:t>
      </w:r>
      <w:r w:rsidR="00BA72A6" w:rsidRPr="00BA72A6">
        <w:t>and that the authorities should facilitate the establishment and functioning of associations</w:t>
      </w:r>
      <w:r w:rsidR="00606471" w:rsidRPr="00D34F11">
        <w:t>.</w:t>
      </w:r>
      <w:r w:rsidR="00606471">
        <w:rPr>
          <w:rStyle w:val="FootnoteReference"/>
        </w:rPr>
        <w:footnoteReference w:id="11"/>
      </w:r>
      <w:r w:rsidR="00606471" w:rsidRPr="00D34F11">
        <w:t xml:space="preserve"> </w:t>
      </w:r>
    </w:p>
    <w:p w14:paraId="62D26FB9" w14:textId="516FD859" w:rsidR="003A17C9" w:rsidRDefault="00B674A3" w:rsidP="00606471">
      <w:pPr>
        <w:pStyle w:val="SingleTxtG"/>
      </w:pPr>
      <w:r w:rsidRPr="00A46860">
        <w:t>8.5</w:t>
      </w:r>
      <w:r>
        <w:rPr>
          <w:b/>
          <w:bCs/>
        </w:rPr>
        <w:t xml:space="preserve"> </w:t>
      </w:r>
      <w:r w:rsidR="00A46860">
        <w:rPr>
          <w:b/>
          <w:bCs/>
        </w:rPr>
        <w:tab/>
      </w:r>
      <w:r w:rsidRPr="00A46860">
        <w:t>In the present case,</w:t>
      </w:r>
      <w:r>
        <w:t xml:space="preserve"> t</w:t>
      </w:r>
      <w:r w:rsidR="00E50CA1" w:rsidRPr="00E50CA1">
        <w:t xml:space="preserve">he Committee </w:t>
      </w:r>
      <w:r w:rsidR="003A17C9">
        <w:t xml:space="preserve">considers that the Blagoevgrad Regional Court and subsequently the Sofia Court of Appeal </w:t>
      </w:r>
      <w:r w:rsidR="00022D1C">
        <w:t>based their decision</w:t>
      </w:r>
      <w:r w:rsidR="00D556AD">
        <w:t>s</w:t>
      </w:r>
      <w:r w:rsidR="00022D1C">
        <w:t xml:space="preserve"> to </w:t>
      </w:r>
      <w:r w:rsidR="003A17C9">
        <w:t>den</w:t>
      </w:r>
      <w:r w:rsidR="00022D1C">
        <w:t>y</w:t>
      </w:r>
      <w:r w:rsidR="003A17C9">
        <w:t xml:space="preserve"> the application for registration of the association on the information contained in the original application, </w:t>
      </w:r>
      <w:r w:rsidR="003A17C9" w:rsidRPr="008717FD">
        <w:t>disregarding the supplement</w:t>
      </w:r>
      <w:r w:rsidR="006F3AC9" w:rsidRPr="008717FD">
        <w:t xml:space="preserve">ary </w:t>
      </w:r>
      <w:r w:rsidR="00A006DB" w:rsidRPr="008717FD">
        <w:t>information</w:t>
      </w:r>
      <w:r w:rsidR="001C3E82" w:rsidRPr="008717FD">
        <w:t xml:space="preserve"> including </w:t>
      </w:r>
      <w:r w:rsidR="009622E7" w:rsidRPr="008717FD">
        <w:t xml:space="preserve">on </w:t>
      </w:r>
      <w:r w:rsidR="001C3E82" w:rsidRPr="008717FD">
        <w:t xml:space="preserve">the </w:t>
      </w:r>
      <w:r w:rsidR="009622E7" w:rsidRPr="008717FD">
        <w:t>identification of all the founding members</w:t>
      </w:r>
      <w:r w:rsidR="00022D1C">
        <w:t>.</w:t>
      </w:r>
      <w:r w:rsidR="003A17C9" w:rsidRPr="008717FD">
        <w:t xml:space="preserve"> </w:t>
      </w:r>
      <w:r w:rsidR="00022D1C">
        <w:t xml:space="preserve">The courts did not seek complementary evidence from other State </w:t>
      </w:r>
      <w:r w:rsidR="00022D1C">
        <w:lastRenderedPageBreak/>
        <w:t>authorities to verify the identification numbers of all founding members. The Committee also considers that the courts</w:t>
      </w:r>
      <w:r w:rsidR="00A006DB" w:rsidRPr="00584403">
        <w:t xml:space="preserve"> did not include a</w:t>
      </w:r>
      <w:r w:rsidR="00A10324" w:rsidRPr="00584403">
        <w:t>n</w:t>
      </w:r>
      <w:r w:rsidR="00A006DB" w:rsidRPr="00584403">
        <w:t xml:space="preserve"> </w:t>
      </w:r>
      <w:r w:rsidR="00A10324" w:rsidRPr="00584403">
        <w:t xml:space="preserve">explanation </w:t>
      </w:r>
      <w:r w:rsidR="00022D1C">
        <w:t>as to how</w:t>
      </w:r>
      <w:r w:rsidR="003A17C9" w:rsidRPr="00584403">
        <w:t xml:space="preserve"> the provisions of the NPLEA were not respected</w:t>
      </w:r>
      <w:r w:rsidR="00022D1C">
        <w:t>,</w:t>
      </w:r>
      <w:r w:rsidR="006F3AC9" w:rsidRPr="006F3AC9">
        <w:t xml:space="preserve"> </w:t>
      </w:r>
      <w:r w:rsidR="00022D1C">
        <w:t xml:space="preserve">nor </w:t>
      </w:r>
      <w:r w:rsidR="006F3AC9" w:rsidRPr="006F3AC9">
        <w:t xml:space="preserve">did </w:t>
      </w:r>
      <w:r w:rsidR="00022D1C">
        <w:t>they</w:t>
      </w:r>
      <w:r w:rsidR="006F3AC9" w:rsidRPr="006F3AC9">
        <w:t xml:space="preserve"> seek a rectification of the disputed provision in article 23 of the HRPCT’s statute </w:t>
      </w:r>
      <w:r w:rsidR="00082FD0">
        <w:t xml:space="preserve">concerning </w:t>
      </w:r>
      <w:r w:rsidR="006F3AC9" w:rsidRPr="006F3AC9">
        <w:t>the proposed property of the association for alleged contradiction with the NPLEA</w:t>
      </w:r>
      <w:r w:rsidR="006F3AC9">
        <w:t xml:space="preserve">. </w:t>
      </w:r>
      <w:r w:rsidR="00D34561">
        <w:t xml:space="preserve">In </w:t>
      </w:r>
      <w:r w:rsidR="00664CCB">
        <w:t>addition,</w:t>
      </w:r>
      <w:r w:rsidR="00D34561">
        <w:t xml:space="preserve"> the Committee </w:t>
      </w:r>
      <w:r w:rsidR="00022D1C">
        <w:t xml:space="preserve">notes that the State Party has not explained why </w:t>
      </w:r>
      <w:r w:rsidR="00664CCB" w:rsidRPr="00664CCB">
        <w:t xml:space="preserve">the refusal to register the association </w:t>
      </w:r>
      <w:r w:rsidR="00022D1C">
        <w:t xml:space="preserve">constituted a necessary and </w:t>
      </w:r>
      <w:r w:rsidR="00664CCB" w:rsidRPr="00664CCB">
        <w:t xml:space="preserve">proportionate </w:t>
      </w:r>
      <w:r w:rsidR="00D556AD">
        <w:t>restriction of the author’s right to freedom of association</w:t>
      </w:r>
      <w:r w:rsidR="00664CCB" w:rsidRPr="00664CCB">
        <w:t xml:space="preserve">. </w:t>
      </w:r>
      <w:r w:rsidR="006F3AC9" w:rsidRPr="008717FD">
        <w:t xml:space="preserve">The </w:t>
      </w:r>
      <w:r w:rsidR="00A006DB" w:rsidRPr="008717FD">
        <w:t xml:space="preserve">Committee </w:t>
      </w:r>
      <w:r w:rsidR="006F3AC9" w:rsidRPr="008717FD">
        <w:t xml:space="preserve">accordingly finds </w:t>
      </w:r>
      <w:r w:rsidR="00A006DB" w:rsidRPr="008717FD">
        <w:t xml:space="preserve">that </w:t>
      </w:r>
      <w:r w:rsidR="00584403">
        <w:t xml:space="preserve">the grounds for rejection of the application for registration of the association were </w:t>
      </w:r>
      <w:r w:rsidR="00F90CF2" w:rsidRPr="008717FD">
        <w:t>excessive</w:t>
      </w:r>
      <w:r w:rsidR="00A10324">
        <w:t>ly</w:t>
      </w:r>
      <w:r w:rsidR="00F90CF2" w:rsidRPr="008717FD">
        <w:t xml:space="preserve"> </w:t>
      </w:r>
      <w:r w:rsidR="003A17C9" w:rsidRPr="008717FD">
        <w:t>formal</w:t>
      </w:r>
      <w:r w:rsidR="00A006DB" w:rsidRPr="008717FD">
        <w:t xml:space="preserve">istic </w:t>
      </w:r>
      <w:r w:rsidR="00606471">
        <w:t xml:space="preserve">and hence </w:t>
      </w:r>
      <w:r w:rsidR="00A006DB" w:rsidRPr="008717FD">
        <w:t xml:space="preserve">amounted </w:t>
      </w:r>
      <w:r w:rsidR="003A17C9" w:rsidRPr="008717FD">
        <w:t>to disproportionate</w:t>
      </w:r>
      <w:r w:rsidR="0006446E">
        <w:t xml:space="preserve"> </w:t>
      </w:r>
      <w:r w:rsidR="003A17C9" w:rsidRPr="008717FD">
        <w:t xml:space="preserve">and unnecessary restrictions since the </w:t>
      </w:r>
      <w:r w:rsidR="00E50CA1" w:rsidRPr="008717FD">
        <w:t xml:space="preserve">courts did not provide </w:t>
      </w:r>
      <w:r w:rsidR="006F3AC9" w:rsidRPr="00584403">
        <w:t xml:space="preserve">a </w:t>
      </w:r>
      <w:r w:rsidR="00E50CA1" w:rsidRPr="00584403">
        <w:t xml:space="preserve">valid </w:t>
      </w:r>
      <w:r w:rsidR="00A77301" w:rsidRPr="00584403">
        <w:t>l</w:t>
      </w:r>
      <w:r w:rsidR="00E50CA1" w:rsidRPr="00584403">
        <w:t>egal</w:t>
      </w:r>
      <w:r w:rsidR="00A77301" w:rsidRPr="00584403">
        <w:t xml:space="preserve"> justifi</w:t>
      </w:r>
      <w:r w:rsidR="006F3AC9" w:rsidRPr="00584403">
        <w:t>cation</w:t>
      </w:r>
      <w:r w:rsidR="006F3AC9" w:rsidRPr="008717FD">
        <w:t xml:space="preserve"> of the </w:t>
      </w:r>
      <w:r w:rsidR="00E50CA1" w:rsidRPr="008717FD">
        <w:t>restriction</w:t>
      </w:r>
      <w:r w:rsidR="003A17C9" w:rsidRPr="008717FD">
        <w:t xml:space="preserve">s applied, therefore not </w:t>
      </w:r>
      <w:r w:rsidR="00E50CA1" w:rsidRPr="008717FD">
        <w:t>meet</w:t>
      </w:r>
      <w:r w:rsidR="003A17C9" w:rsidRPr="008717FD">
        <w:t>ing</w:t>
      </w:r>
      <w:r w:rsidR="00E50CA1" w:rsidRPr="008717FD">
        <w:t xml:space="preserve"> the criteria contained in article 22 (2) of the Covenant</w:t>
      </w:r>
      <w:r w:rsidR="003A17C9" w:rsidRPr="008717FD">
        <w:t>.</w:t>
      </w:r>
      <w:r w:rsidR="00D3102F" w:rsidRPr="00584403">
        <w:rPr>
          <w:rStyle w:val="FootnoteReference"/>
        </w:rPr>
        <w:footnoteReference w:id="12"/>
      </w:r>
      <w:r w:rsidR="003A17C9">
        <w:t xml:space="preserve"> </w:t>
      </w:r>
      <w:r w:rsidR="00606471">
        <w:t>T</w:t>
      </w:r>
      <w:r w:rsidR="00606471" w:rsidRPr="00D34F11">
        <w:t xml:space="preserve">he Committee </w:t>
      </w:r>
      <w:r w:rsidR="00606471">
        <w:t xml:space="preserve">therefore </w:t>
      </w:r>
      <w:r w:rsidR="00606471" w:rsidRPr="00D34F11">
        <w:t>finds that the State Party violated the author’s right to freedom of association under article 22 of the Covenant.</w:t>
      </w:r>
    </w:p>
    <w:p w14:paraId="57CBA4FF" w14:textId="36F17A7F" w:rsidR="005D5A92" w:rsidRDefault="001001A9" w:rsidP="002E652B">
      <w:pPr>
        <w:pStyle w:val="SingleTxtG"/>
        <w:rPr>
          <w:bCs/>
          <w:iCs/>
        </w:rPr>
      </w:pPr>
      <w:r w:rsidRPr="0046548F">
        <w:rPr>
          <w:bCs/>
          <w:iCs/>
        </w:rPr>
        <w:t>9</w:t>
      </w:r>
      <w:r w:rsidR="0086250C" w:rsidRPr="0046548F">
        <w:rPr>
          <w:bCs/>
          <w:iCs/>
        </w:rPr>
        <w:t>.</w:t>
      </w:r>
      <w:r w:rsidR="0086250C">
        <w:rPr>
          <w:bCs/>
          <w:iCs/>
        </w:rPr>
        <w:t xml:space="preserve"> </w:t>
      </w:r>
      <w:r w:rsidR="0086250C">
        <w:rPr>
          <w:bCs/>
          <w:iCs/>
        </w:rPr>
        <w:tab/>
      </w:r>
      <w:r w:rsidR="0086250C" w:rsidRPr="0086250C">
        <w:rPr>
          <w:bCs/>
          <w:iCs/>
        </w:rPr>
        <w:t xml:space="preserve">The Human Rights Committee, acting under article 5 (4) of the Optional Protocol, is of the view that the </w:t>
      </w:r>
      <w:r w:rsidR="002B2CBB" w:rsidRPr="002B2CBB">
        <w:rPr>
          <w:bCs/>
          <w:iCs/>
        </w:rPr>
        <w:t xml:space="preserve">facts before it disclose a violation by the State Party of </w:t>
      </w:r>
      <w:r w:rsidR="00301BED">
        <w:rPr>
          <w:bCs/>
          <w:iCs/>
        </w:rPr>
        <w:t xml:space="preserve">the author’s rights under </w:t>
      </w:r>
      <w:r w:rsidR="002B2CBB" w:rsidRPr="002B2CBB">
        <w:rPr>
          <w:bCs/>
          <w:iCs/>
        </w:rPr>
        <w:t>article 22 of the Covenant</w:t>
      </w:r>
      <w:r w:rsidR="0046548F">
        <w:rPr>
          <w:bCs/>
          <w:iCs/>
        </w:rPr>
        <w:t>.</w:t>
      </w:r>
      <w:r w:rsidR="00C15251">
        <w:rPr>
          <w:bCs/>
          <w:iCs/>
        </w:rPr>
        <w:t xml:space="preserve"> </w:t>
      </w:r>
    </w:p>
    <w:p w14:paraId="729996B8" w14:textId="399527E2" w:rsidR="005D5A92" w:rsidRPr="0086250C" w:rsidRDefault="0086250C" w:rsidP="002E652B">
      <w:pPr>
        <w:pStyle w:val="SingleTxtG"/>
        <w:rPr>
          <w:bCs/>
          <w:iCs/>
        </w:rPr>
      </w:pPr>
      <w:r w:rsidRPr="0046548F">
        <w:rPr>
          <w:bCs/>
          <w:iCs/>
        </w:rPr>
        <w:t>1</w:t>
      </w:r>
      <w:r w:rsidR="002B2CBB" w:rsidRPr="0046548F">
        <w:rPr>
          <w:bCs/>
          <w:iCs/>
        </w:rPr>
        <w:t>0</w:t>
      </w:r>
      <w:r w:rsidRPr="0046548F">
        <w:rPr>
          <w:bCs/>
          <w:iCs/>
        </w:rPr>
        <w:t>.</w:t>
      </w:r>
      <w:r w:rsidRPr="0086250C">
        <w:rPr>
          <w:bCs/>
          <w:iCs/>
        </w:rPr>
        <w:tab/>
        <w:t>Pursuant to article 2 (3) (a) of the Covenant, the State Party is under an obligation to provide the author with an effective remedy</w:t>
      </w:r>
      <w:r w:rsidR="005D5A92">
        <w:rPr>
          <w:bCs/>
          <w:iCs/>
        </w:rPr>
        <w:t xml:space="preserve">. </w:t>
      </w:r>
      <w:r w:rsidR="005D5A92" w:rsidRPr="005D5A92">
        <w:rPr>
          <w:bCs/>
          <w:iCs/>
        </w:rPr>
        <w:t>This requires it to make full reparation to individuals</w:t>
      </w:r>
      <w:r w:rsidR="005D5A92">
        <w:rPr>
          <w:bCs/>
          <w:iCs/>
        </w:rPr>
        <w:t xml:space="preserve"> </w:t>
      </w:r>
      <w:r w:rsidR="005D5A92" w:rsidRPr="005D5A92">
        <w:rPr>
          <w:bCs/>
          <w:iCs/>
        </w:rPr>
        <w:t>whose</w:t>
      </w:r>
      <w:r w:rsidR="005D5A92">
        <w:rPr>
          <w:bCs/>
          <w:iCs/>
        </w:rPr>
        <w:t xml:space="preserve"> </w:t>
      </w:r>
      <w:r w:rsidR="005D5A92" w:rsidRPr="005D5A92">
        <w:rPr>
          <w:bCs/>
          <w:iCs/>
        </w:rPr>
        <w:t>Covenant rights have been violated.</w:t>
      </w:r>
      <w:r w:rsidR="005D5A92">
        <w:rPr>
          <w:bCs/>
          <w:iCs/>
        </w:rPr>
        <w:t xml:space="preserve"> </w:t>
      </w:r>
      <w:r w:rsidR="005D5A92" w:rsidRPr="005D5A92">
        <w:rPr>
          <w:bCs/>
          <w:iCs/>
        </w:rPr>
        <w:t>Accordingly,</w:t>
      </w:r>
      <w:r w:rsidR="005D5A92">
        <w:rPr>
          <w:bCs/>
          <w:iCs/>
        </w:rPr>
        <w:t xml:space="preserve"> </w:t>
      </w:r>
      <w:r w:rsidR="005D5A92" w:rsidRPr="005D5A92">
        <w:rPr>
          <w:bCs/>
          <w:iCs/>
        </w:rPr>
        <w:t xml:space="preserve">the State </w:t>
      </w:r>
      <w:r w:rsidR="005D5A92">
        <w:rPr>
          <w:bCs/>
          <w:iCs/>
        </w:rPr>
        <w:t>P</w:t>
      </w:r>
      <w:r w:rsidR="005D5A92" w:rsidRPr="005D5A92">
        <w:rPr>
          <w:bCs/>
          <w:iCs/>
        </w:rPr>
        <w:t>arty</w:t>
      </w:r>
      <w:r w:rsidR="005D5A92">
        <w:rPr>
          <w:bCs/>
          <w:iCs/>
        </w:rPr>
        <w:t xml:space="preserve"> </w:t>
      </w:r>
      <w:r w:rsidR="005D5A92" w:rsidRPr="005D5A92">
        <w:rPr>
          <w:bCs/>
          <w:iCs/>
        </w:rPr>
        <w:t>is obligated: (a) to review the decision</w:t>
      </w:r>
      <w:r w:rsidR="002B2CBB">
        <w:rPr>
          <w:bCs/>
          <w:iCs/>
        </w:rPr>
        <w:t>s</w:t>
      </w:r>
      <w:r w:rsidR="005D5A92" w:rsidRPr="005D5A92">
        <w:rPr>
          <w:bCs/>
          <w:iCs/>
        </w:rPr>
        <w:t xml:space="preserve"> of the </w:t>
      </w:r>
      <w:r w:rsidR="002B2CBB">
        <w:rPr>
          <w:bCs/>
          <w:iCs/>
        </w:rPr>
        <w:t xml:space="preserve">Blagoevgrad </w:t>
      </w:r>
      <w:r w:rsidR="005D5A92">
        <w:rPr>
          <w:bCs/>
          <w:iCs/>
        </w:rPr>
        <w:t xml:space="preserve">Regional </w:t>
      </w:r>
      <w:r w:rsidR="002B2CBB">
        <w:rPr>
          <w:bCs/>
          <w:iCs/>
        </w:rPr>
        <w:t xml:space="preserve">Court </w:t>
      </w:r>
      <w:r w:rsidR="005D5A92">
        <w:rPr>
          <w:bCs/>
          <w:iCs/>
        </w:rPr>
        <w:t xml:space="preserve">and </w:t>
      </w:r>
      <w:r w:rsidR="002B2CBB">
        <w:rPr>
          <w:bCs/>
          <w:iCs/>
        </w:rPr>
        <w:t xml:space="preserve">of the Sofia Appeals Court </w:t>
      </w:r>
      <w:r w:rsidR="005D5A92">
        <w:rPr>
          <w:bCs/>
          <w:iCs/>
        </w:rPr>
        <w:t xml:space="preserve">which denied the registration of the HRPCT, </w:t>
      </w:r>
      <w:r w:rsidR="005D5A92" w:rsidRPr="005D5A92">
        <w:rPr>
          <w:bCs/>
          <w:iCs/>
        </w:rPr>
        <w:t xml:space="preserve">in accordance with </w:t>
      </w:r>
      <w:r w:rsidR="005D5A92">
        <w:rPr>
          <w:bCs/>
          <w:iCs/>
        </w:rPr>
        <w:t xml:space="preserve">article </w:t>
      </w:r>
      <w:r w:rsidR="005D5A92" w:rsidRPr="005D5A92">
        <w:rPr>
          <w:bCs/>
          <w:iCs/>
        </w:rPr>
        <w:t>22</w:t>
      </w:r>
      <w:r w:rsidR="005D5A92">
        <w:rPr>
          <w:bCs/>
          <w:iCs/>
        </w:rPr>
        <w:t xml:space="preserve"> </w:t>
      </w:r>
      <w:r w:rsidR="005D5A92" w:rsidRPr="005D5A92">
        <w:rPr>
          <w:bCs/>
          <w:iCs/>
        </w:rPr>
        <w:t xml:space="preserve">of the Covenant; and (b) to provide </w:t>
      </w:r>
      <w:r w:rsidR="005D5A92">
        <w:rPr>
          <w:bCs/>
          <w:iCs/>
        </w:rPr>
        <w:t xml:space="preserve">the author </w:t>
      </w:r>
      <w:r w:rsidR="005D5A92" w:rsidRPr="005D5A92">
        <w:rPr>
          <w:bCs/>
          <w:iCs/>
        </w:rPr>
        <w:t xml:space="preserve">with adequate compensation, including reimbursement of the court fees and legal expenses he has incurred. The State </w:t>
      </w:r>
      <w:r w:rsidR="005D5A92">
        <w:rPr>
          <w:bCs/>
          <w:iCs/>
        </w:rPr>
        <w:t>P</w:t>
      </w:r>
      <w:r w:rsidR="005D5A92" w:rsidRPr="005D5A92">
        <w:rPr>
          <w:bCs/>
          <w:iCs/>
        </w:rPr>
        <w:t>arty is also under an obligation to take all steps necessary to prevent similar violations from occurring in the future.</w:t>
      </w:r>
    </w:p>
    <w:p w14:paraId="0CFF075C" w14:textId="04252C2D" w:rsidR="0086250C" w:rsidRDefault="00301BED" w:rsidP="002E652B">
      <w:pPr>
        <w:pStyle w:val="SingleTxtG"/>
        <w:rPr>
          <w:bCs/>
          <w:iCs/>
        </w:rPr>
      </w:pPr>
      <w:r>
        <w:rPr>
          <w:bCs/>
          <w:iCs/>
        </w:rPr>
        <w:t>1</w:t>
      </w:r>
      <w:r w:rsidR="002B2CBB">
        <w:rPr>
          <w:bCs/>
          <w:iCs/>
        </w:rPr>
        <w:t>1</w:t>
      </w:r>
      <w:r>
        <w:rPr>
          <w:bCs/>
          <w:iCs/>
        </w:rPr>
        <w:t>.</w:t>
      </w:r>
      <w:r>
        <w:rPr>
          <w:bCs/>
          <w:iCs/>
        </w:rPr>
        <w:tab/>
      </w:r>
      <w:r w:rsidR="00133455" w:rsidRPr="00133455">
        <w:rPr>
          <w:bCs/>
          <w:iCs/>
        </w:rPr>
        <w:t xml:space="preserve">Bearing in mind that, by becoming a party to the Optional Protocol, the State </w:t>
      </w:r>
      <w:r w:rsidR="00133455">
        <w:rPr>
          <w:bCs/>
          <w:iCs/>
        </w:rPr>
        <w:t>P</w:t>
      </w:r>
      <w:r w:rsidR="00133455" w:rsidRPr="00133455">
        <w:rPr>
          <w:bCs/>
          <w:iCs/>
        </w:rPr>
        <w:t xml:space="preserve">arty has recognized the competence of the Committee to determine whether there has been a violation of the Covenant and that, pursuant to article 2 of the Covenant, the State </w:t>
      </w:r>
      <w:r w:rsidR="00133455">
        <w:rPr>
          <w:bCs/>
          <w:iCs/>
        </w:rPr>
        <w:t>P</w:t>
      </w:r>
      <w:r w:rsidR="00133455" w:rsidRPr="00133455">
        <w:rPr>
          <w:bCs/>
          <w:iCs/>
        </w:rPr>
        <w:t xml:space="preserve">arty has undertaken to ensure to all </w:t>
      </w:r>
      <w:r w:rsidR="00133455" w:rsidRPr="002E652B">
        <w:t>individuals</w:t>
      </w:r>
      <w:r w:rsidR="00133455" w:rsidRPr="00133455">
        <w:rPr>
          <w:bCs/>
          <w:iCs/>
        </w:rPr>
        <w:t xml:space="preserve"> within its territory and subject to its jurisdiction the rights recognized in the Covenant and to provide an effective and enforceable remedy when it has been determined that a </w:t>
      </w:r>
      <w:r w:rsidR="00133455" w:rsidRPr="002E652B">
        <w:t>violation</w:t>
      </w:r>
      <w:r w:rsidR="00133455" w:rsidRPr="00133455">
        <w:rPr>
          <w:bCs/>
          <w:iCs/>
        </w:rPr>
        <w:t xml:space="preserve"> has occurred, the Committee wishes to receive from the State </w:t>
      </w:r>
      <w:r w:rsidR="00133455">
        <w:rPr>
          <w:bCs/>
          <w:iCs/>
        </w:rPr>
        <w:t>P</w:t>
      </w:r>
      <w:r w:rsidR="00133455" w:rsidRPr="00133455">
        <w:rPr>
          <w:bCs/>
          <w:iCs/>
        </w:rPr>
        <w:t xml:space="preserve">arty, within 180 days, information about the measures taken to give effect to the Committee’s Views. The State </w:t>
      </w:r>
      <w:r w:rsidR="00133455">
        <w:rPr>
          <w:bCs/>
          <w:iCs/>
        </w:rPr>
        <w:t>P</w:t>
      </w:r>
      <w:r w:rsidR="00133455" w:rsidRPr="00133455">
        <w:rPr>
          <w:bCs/>
          <w:iCs/>
        </w:rPr>
        <w:t>arty is also requested to publish the present Views and to have them widely disseminated in the language of the State party.</w:t>
      </w:r>
    </w:p>
    <w:p w14:paraId="724FECD4" w14:textId="458120EE" w:rsidR="00BF6436" w:rsidRPr="00BF6436" w:rsidRDefault="00BF6436" w:rsidP="00380795">
      <w:pPr>
        <w:pStyle w:val="SingleTxtG"/>
        <w:spacing w:before="240" w:after="0" w:line="240" w:lineRule="auto"/>
        <w:jc w:val="center"/>
        <w:rPr>
          <w:u w:val="single"/>
        </w:rPr>
      </w:pPr>
      <w:r>
        <w:rPr>
          <w:u w:val="single"/>
        </w:rPr>
        <w:tab/>
      </w:r>
      <w:r>
        <w:rPr>
          <w:u w:val="single"/>
        </w:rPr>
        <w:tab/>
      </w:r>
      <w:r>
        <w:rPr>
          <w:u w:val="single"/>
        </w:rPr>
        <w:tab/>
      </w:r>
    </w:p>
    <w:sectPr w:rsidR="00BF6436" w:rsidRPr="00BF6436">
      <w:headerReference w:type="even" r:id="rId11"/>
      <w:headerReference w:type="default" r:id="rId12"/>
      <w:footerReference w:type="even" r:id="rId13"/>
      <w:footerReference w:type="default" r:id="rId14"/>
      <w:footerReference w:type="first" r:id="rId15"/>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4DA745" w14:textId="77777777" w:rsidR="00685460" w:rsidRDefault="00685460">
      <w:pPr>
        <w:spacing w:line="240" w:lineRule="auto"/>
      </w:pPr>
      <w:r>
        <w:separator/>
      </w:r>
    </w:p>
  </w:endnote>
  <w:endnote w:type="continuationSeparator" w:id="0">
    <w:p w14:paraId="17E3C255" w14:textId="77777777" w:rsidR="00685460" w:rsidRDefault="0068546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Times">
    <w:altName w:val="Sylfae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E9C7ED" w14:textId="7C52BAC1" w:rsidR="009B59F5" w:rsidRDefault="00FD2DBD">
    <w:pPr>
      <w:pStyle w:val="Footer"/>
      <w:tabs>
        <w:tab w:val="right" w:pos="9638"/>
      </w:tabs>
    </w:pPr>
    <w:r>
      <w:rPr>
        <w:b/>
        <w:bCs/>
        <w:sz w:val="18"/>
      </w:rPr>
      <w:fldChar w:fldCharType="begin"/>
    </w:r>
    <w:r>
      <w:rPr>
        <w:b/>
        <w:bCs/>
        <w:sz w:val="18"/>
      </w:rPr>
      <w:instrText xml:space="preserve"> PAGE  \* MERGEFORMAT </w:instrText>
    </w:r>
    <w:r>
      <w:rPr>
        <w:b/>
        <w:bCs/>
        <w:sz w:val="18"/>
      </w:rPr>
      <w:fldChar w:fldCharType="separate"/>
    </w:r>
    <w:r>
      <w:rPr>
        <w:b/>
        <w:bCs/>
        <w:noProof/>
        <w:sz w:val="18"/>
      </w:rPr>
      <w:t>14</w:t>
    </w:r>
    <w:r>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571B68" w14:textId="462D7420" w:rsidR="009B59F5" w:rsidRDefault="00FD2DBD">
    <w:pPr>
      <w:pStyle w:val="Footer"/>
      <w:tabs>
        <w:tab w:val="right" w:pos="9638"/>
      </w:tabs>
    </w:pPr>
    <w:r>
      <w:tab/>
    </w:r>
    <w:r>
      <w:rPr>
        <w:b/>
        <w:bCs/>
        <w:sz w:val="18"/>
      </w:rPr>
      <w:fldChar w:fldCharType="begin"/>
    </w:r>
    <w:r>
      <w:rPr>
        <w:b/>
        <w:bCs/>
        <w:sz w:val="18"/>
      </w:rPr>
      <w:instrText xml:space="preserve"> PAGE  \* MERGEFORMAT </w:instrText>
    </w:r>
    <w:r>
      <w:rPr>
        <w:b/>
        <w:bCs/>
        <w:sz w:val="18"/>
      </w:rPr>
      <w:fldChar w:fldCharType="separate"/>
    </w:r>
    <w:r>
      <w:rPr>
        <w:b/>
        <w:bCs/>
        <w:noProof/>
        <w:sz w:val="18"/>
      </w:rPr>
      <w:t>13</w:t>
    </w:r>
    <w:r>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84506E" w14:textId="0836BCB1" w:rsidR="00E862C3" w:rsidRDefault="00E862C3" w:rsidP="00E862C3">
    <w:pPr>
      <w:pStyle w:val="Footer"/>
    </w:pPr>
    <w:r w:rsidRPr="0027112F">
      <w:rPr>
        <w:noProof/>
        <w:lang w:val="en-US"/>
      </w:rPr>
      <w:drawing>
        <wp:anchor distT="0" distB="0" distL="114300" distR="114300" simplePos="0" relativeHeight="251659264" behindDoc="0" locked="1" layoutInCell="1" allowOverlap="1" wp14:anchorId="36F1772B" wp14:editId="68756E2E">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E62B4A" w14:textId="77777777" w:rsidR="00685460" w:rsidRDefault="00685460">
      <w:pPr>
        <w:spacing w:line="240" w:lineRule="auto"/>
      </w:pPr>
      <w:r>
        <w:separator/>
      </w:r>
    </w:p>
  </w:footnote>
  <w:footnote w:type="continuationSeparator" w:id="0">
    <w:p w14:paraId="565644DD" w14:textId="77777777" w:rsidR="00685460" w:rsidRDefault="00685460">
      <w:pPr>
        <w:spacing w:line="240" w:lineRule="auto"/>
      </w:pPr>
      <w:r>
        <w:continuationSeparator/>
      </w:r>
    </w:p>
  </w:footnote>
  <w:footnote w:id="1">
    <w:p w14:paraId="48E2031A" w14:textId="75D1CA4E" w:rsidR="0000633A" w:rsidRPr="00FC675E" w:rsidRDefault="0000633A" w:rsidP="0000633A">
      <w:pPr>
        <w:pStyle w:val="FootnoteText"/>
      </w:pPr>
      <w:r>
        <w:rPr>
          <w:rStyle w:val="FootnoteReference"/>
        </w:rPr>
        <w:tab/>
      </w:r>
      <w:r w:rsidRPr="00600312">
        <w:rPr>
          <w:rStyle w:val="FootnoteReference"/>
          <w:vertAlign w:val="baseline"/>
        </w:rPr>
        <w:t>*</w:t>
      </w:r>
      <w:r w:rsidRPr="00600312">
        <w:rPr>
          <w:rStyle w:val="FootnoteReference"/>
          <w:vertAlign w:val="baseline"/>
        </w:rPr>
        <w:tab/>
      </w:r>
      <w:r w:rsidRPr="00FC675E">
        <w:t>Adopted by the Committee at its 14</w:t>
      </w:r>
      <w:r w:rsidR="004D6581">
        <w:t>5</w:t>
      </w:r>
      <w:r w:rsidRPr="0070789A">
        <w:rPr>
          <w:vertAlign w:val="superscript"/>
        </w:rPr>
        <w:t>th</w:t>
      </w:r>
      <w:r>
        <w:t xml:space="preserve"> </w:t>
      </w:r>
      <w:r w:rsidRPr="00FC675E">
        <w:t>session (</w:t>
      </w:r>
      <w:r>
        <w:t>2–1</w:t>
      </w:r>
      <w:r w:rsidR="004D6581">
        <w:t>9 March</w:t>
      </w:r>
      <w:r>
        <w:t xml:space="preserve"> </w:t>
      </w:r>
      <w:r w:rsidRPr="00FC675E">
        <w:t>202</w:t>
      </w:r>
      <w:r w:rsidR="004D6581">
        <w:t>6</w:t>
      </w:r>
      <w:r w:rsidRPr="00FC675E">
        <w:t>).</w:t>
      </w:r>
    </w:p>
  </w:footnote>
  <w:footnote w:id="2">
    <w:p w14:paraId="219DE978" w14:textId="71B35F05" w:rsidR="0000633A" w:rsidRPr="009A30FC" w:rsidRDefault="0000633A" w:rsidP="0000633A">
      <w:pPr>
        <w:pStyle w:val="FootnoteText"/>
        <w:rPr>
          <w:rFonts w:asciiTheme="majorBidi" w:hAnsiTheme="majorBidi" w:cstheme="majorBidi"/>
          <w:szCs w:val="18"/>
        </w:rPr>
      </w:pPr>
      <w:r w:rsidRPr="00600312">
        <w:rPr>
          <w:rStyle w:val="FootnoteReference"/>
          <w:vertAlign w:val="baseline"/>
        </w:rPr>
        <w:tab/>
        <w:t>**</w:t>
      </w:r>
      <w:r w:rsidRPr="00600312">
        <w:rPr>
          <w:rStyle w:val="FootnoteReference"/>
          <w:vertAlign w:val="baseline"/>
        </w:rPr>
        <w:tab/>
      </w:r>
      <w:r w:rsidRPr="009A30FC">
        <w:rPr>
          <w:rFonts w:asciiTheme="majorBidi" w:hAnsiTheme="majorBidi" w:cstheme="majorBidi"/>
          <w:szCs w:val="18"/>
        </w:rPr>
        <w:t xml:space="preserve">The following members of the Committee participated in the examination of the communication: </w:t>
      </w:r>
      <w:r w:rsidR="008808A8">
        <w:rPr>
          <w:rFonts w:asciiTheme="majorBidi" w:hAnsiTheme="majorBidi" w:cstheme="majorBidi"/>
          <w:szCs w:val="18"/>
        </w:rPr>
        <w:t>Tania Mar</w:t>
      </w:r>
      <w:r w:rsidR="008808A8">
        <w:rPr>
          <w:rFonts w:asciiTheme="majorBidi" w:hAnsiTheme="majorBidi" w:cstheme="majorBidi"/>
          <w:szCs w:val="18"/>
          <w:lang w:val="cs-CZ"/>
        </w:rPr>
        <w:t xml:space="preserve">ía </w:t>
      </w:r>
      <w:r w:rsidR="00CE0067">
        <w:rPr>
          <w:rFonts w:asciiTheme="majorBidi" w:hAnsiTheme="majorBidi" w:cstheme="majorBidi"/>
          <w:szCs w:val="18"/>
          <w:lang w:val="cs-CZ"/>
        </w:rPr>
        <w:t xml:space="preserve">Abdo Rocholl, </w:t>
      </w:r>
      <w:r w:rsidRPr="009A30FC">
        <w:rPr>
          <w:rFonts w:asciiTheme="majorBidi" w:hAnsiTheme="majorBidi" w:cstheme="majorBidi"/>
          <w:szCs w:val="18"/>
        </w:rPr>
        <w:t xml:space="preserve">Wafaa Ashraf Moharram Bassim, Rodrigo A. Carazo, Yvonne Donders, </w:t>
      </w:r>
      <w:r>
        <w:rPr>
          <w:rFonts w:asciiTheme="majorBidi" w:hAnsiTheme="majorBidi" w:cstheme="majorBidi"/>
          <w:szCs w:val="18"/>
        </w:rPr>
        <w:t>Carlos Ram</w:t>
      </w:r>
      <w:r>
        <w:rPr>
          <w:rFonts w:asciiTheme="majorBidi" w:hAnsiTheme="majorBidi" w:cstheme="majorBidi"/>
          <w:szCs w:val="18"/>
          <w:lang w:val="cs-CZ"/>
        </w:rPr>
        <w:t>ón Fernández Liesa, Laurence R. Helfer, Konstantin Korkelia, Dalia Leinart</w:t>
      </w:r>
      <w:r w:rsidR="008808A8">
        <w:rPr>
          <w:rFonts w:asciiTheme="majorBidi" w:hAnsiTheme="majorBidi" w:cstheme="majorBidi"/>
          <w:szCs w:val="18"/>
          <w:lang w:val="cs-CZ"/>
        </w:rPr>
        <w:t>e</w:t>
      </w:r>
      <w:r>
        <w:rPr>
          <w:rFonts w:asciiTheme="majorBidi" w:hAnsiTheme="majorBidi" w:cstheme="majorBidi"/>
          <w:szCs w:val="18"/>
          <w:lang w:val="cs-CZ"/>
        </w:rPr>
        <w:t xml:space="preserve">, </w:t>
      </w:r>
      <w:r w:rsidRPr="009A30FC">
        <w:rPr>
          <w:rFonts w:asciiTheme="majorBidi" w:hAnsiTheme="majorBidi" w:cstheme="majorBidi"/>
          <w:szCs w:val="18"/>
        </w:rPr>
        <w:t xml:space="preserve">Bacre Waly Ndiaye, </w:t>
      </w:r>
      <w:r>
        <w:rPr>
          <w:rFonts w:asciiTheme="majorBidi" w:hAnsiTheme="majorBidi" w:cstheme="majorBidi"/>
          <w:szCs w:val="18"/>
        </w:rPr>
        <w:t>Hernán Quezada Cabrera, Akmal Saidov, Ivan Šimonovi</w:t>
      </w:r>
      <w:r w:rsidRPr="002E0F78">
        <w:rPr>
          <w:iCs/>
        </w:rPr>
        <w:t>ć</w:t>
      </w:r>
      <w:r>
        <w:rPr>
          <w:rFonts w:asciiTheme="majorBidi" w:hAnsiTheme="majorBidi" w:cstheme="majorBidi"/>
          <w:szCs w:val="18"/>
        </w:rPr>
        <w:t xml:space="preserve">, </w:t>
      </w:r>
      <w:r w:rsidRPr="009A30FC">
        <w:rPr>
          <w:rFonts w:asciiTheme="majorBidi" w:hAnsiTheme="majorBidi" w:cstheme="majorBidi"/>
          <w:szCs w:val="18"/>
        </w:rPr>
        <w:t xml:space="preserve">Soh Changrok, </w:t>
      </w:r>
      <w:r w:rsidR="00CE0067">
        <w:rPr>
          <w:rFonts w:asciiTheme="majorBidi" w:hAnsiTheme="majorBidi" w:cstheme="majorBidi"/>
          <w:szCs w:val="18"/>
        </w:rPr>
        <w:t xml:space="preserve">Tijana Šurlan, </w:t>
      </w:r>
      <w:r w:rsidRPr="009A30FC">
        <w:rPr>
          <w:rFonts w:asciiTheme="majorBidi" w:hAnsiTheme="majorBidi" w:cstheme="majorBidi"/>
          <w:szCs w:val="18"/>
        </w:rPr>
        <w:t>Teraya Koji</w:t>
      </w:r>
      <w:r>
        <w:rPr>
          <w:rFonts w:asciiTheme="majorBidi" w:hAnsiTheme="majorBidi" w:cstheme="majorBidi"/>
          <w:szCs w:val="18"/>
        </w:rPr>
        <w:t>, Hél</w:t>
      </w:r>
      <w:r w:rsidRPr="004D7028">
        <w:rPr>
          <w:rFonts w:asciiTheme="majorBidi" w:hAnsiTheme="majorBidi" w:cstheme="majorBidi"/>
          <w:szCs w:val="18"/>
        </w:rPr>
        <w:t>èn</w:t>
      </w:r>
      <w:r>
        <w:rPr>
          <w:rFonts w:asciiTheme="majorBidi" w:hAnsiTheme="majorBidi" w:cstheme="majorBidi"/>
          <w:szCs w:val="18"/>
        </w:rPr>
        <w:t xml:space="preserve">e Tigroudja, </w:t>
      </w:r>
      <w:r w:rsidRPr="009A30FC">
        <w:rPr>
          <w:rFonts w:asciiTheme="majorBidi" w:hAnsiTheme="majorBidi" w:cstheme="majorBidi"/>
          <w:szCs w:val="18"/>
        </w:rPr>
        <w:t>and Imeru Tamerat Yigezu.</w:t>
      </w:r>
    </w:p>
  </w:footnote>
  <w:footnote w:id="3">
    <w:p w14:paraId="4CE195B1" w14:textId="7CE18D0C" w:rsidR="007F581E" w:rsidRPr="007F581E" w:rsidRDefault="002E652B">
      <w:pPr>
        <w:pStyle w:val="FootnoteText"/>
      </w:pPr>
      <w:r>
        <w:tab/>
      </w:r>
      <w:r w:rsidR="007F581E">
        <w:rPr>
          <w:rStyle w:val="FootnoteReference"/>
        </w:rPr>
        <w:footnoteRef/>
      </w:r>
      <w:r>
        <w:tab/>
      </w:r>
      <w:r w:rsidR="007F581E">
        <w:t>The author submitted that many provisions of the statute were borrowed from the statute of the Bulgarian Helsinki Committee</w:t>
      </w:r>
      <w:r w:rsidR="00021B6E">
        <w:t xml:space="preserve">, and </w:t>
      </w:r>
      <w:r w:rsidR="004B5053">
        <w:t xml:space="preserve">from </w:t>
      </w:r>
      <w:r w:rsidR="00021B6E">
        <w:t xml:space="preserve">the </w:t>
      </w:r>
      <w:r w:rsidR="0097625D">
        <w:t xml:space="preserve">statutes of </w:t>
      </w:r>
      <w:r w:rsidR="004B5053">
        <w:t xml:space="preserve">other </w:t>
      </w:r>
      <w:r w:rsidR="00021B6E">
        <w:t xml:space="preserve">associations </w:t>
      </w:r>
      <w:r w:rsidR="0097625D">
        <w:t xml:space="preserve">such as </w:t>
      </w:r>
      <w:r w:rsidR="00021B6E">
        <w:t>Health and Long Life, Bulgarian Human Rights, Bulgarian Energy and Mining Forum etc</w:t>
      </w:r>
      <w:r w:rsidR="007F581E">
        <w:t>.</w:t>
      </w:r>
      <w:r w:rsidR="0097625D">
        <w:t xml:space="preserve"> The author provided weblinks to the</w:t>
      </w:r>
      <w:r w:rsidR="004B5053">
        <w:t xml:space="preserve"> </w:t>
      </w:r>
      <w:r w:rsidR="0097625D">
        <w:t>statutes</w:t>
      </w:r>
      <w:r w:rsidR="004B5053">
        <w:t xml:space="preserve"> of the referred organizations.</w:t>
      </w:r>
      <w:r w:rsidR="00021B6E">
        <w:t xml:space="preserve"> </w:t>
      </w:r>
    </w:p>
  </w:footnote>
  <w:footnote w:id="4">
    <w:p w14:paraId="3BDA88F6" w14:textId="575A90BB" w:rsidR="00CF4A2E" w:rsidRPr="00B056C3" w:rsidRDefault="00CF4A2E" w:rsidP="00CF4A2E">
      <w:pPr>
        <w:pStyle w:val="FootnoteText"/>
      </w:pPr>
      <w:r>
        <w:tab/>
      </w:r>
      <w:r>
        <w:rPr>
          <w:rStyle w:val="FootnoteReference"/>
        </w:rPr>
        <w:footnoteRef/>
      </w:r>
      <w:r>
        <w:tab/>
        <w:t xml:space="preserve">The State Party referred to the Committee’s views in </w:t>
      </w:r>
      <w:proofErr w:type="spellStart"/>
      <w:r w:rsidRPr="00CD36C1">
        <w:rPr>
          <w:i/>
          <w:iCs/>
        </w:rPr>
        <w:t>Katsora</w:t>
      </w:r>
      <w:proofErr w:type="spellEnd"/>
      <w:r w:rsidRPr="00CD36C1">
        <w:rPr>
          <w:i/>
          <w:iCs/>
        </w:rPr>
        <w:t xml:space="preserve">, </w:t>
      </w:r>
      <w:proofErr w:type="spellStart"/>
      <w:r w:rsidRPr="00CD36C1">
        <w:rPr>
          <w:i/>
          <w:iCs/>
        </w:rPr>
        <w:t>Sudalenko</w:t>
      </w:r>
      <w:proofErr w:type="spellEnd"/>
      <w:r w:rsidRPr="00CD36C1">
        <w:rPr>
          <w:i/>
          <w:iCs/>
        </w:rPr>
        <w:t xml:space="preserve"> and </w:t>
      </w:r>
      <w:proofErr w:type="spellStart"/>
      <w:r w:rsidRPr="00CD36C1">
        <w:rPr>
          <w:i/>
          <w:iCs/>
        </w:rPr>
        <w:t>Nemkovich</w:t>
      </w:r>
      <w:proofErr w:type="spellEnd"/>
      <w:r w:rsidRPr="00CD36C1">
        <w:rPr>
          <w:i/>
          <w:iCs/>
        </w:rPr>
        <w:t xml:space="preserve"> v. Belarus</w:t>
      </w:r>
      <w:r>
        <w:t xml:space="preserve"> (</w:t>
      </w:r>
      <w:r w:rsidR="00B00B81" w:rsidRPr="00B00B81">
        <w:t>CCPR/C/100/D/</w:t>
      </w:r>
      <w:r>
        <w:t xml:space="preserve">1383/2005); </w:t>
      </w:r>
      <w:proofErr w:type="spellStart"/>
      <w:r w:rsidRPr="00CD36C1">
        <w:rPr>
          <w:i/>
          <w:iCs/>
        </w:rPr>
        <w:t>Mikhailovskaya</w:t>
      </w:r>
      <w:proofErr w:type="spellEnd"/>
      <w:r w:rsidRPr="00CD36C1">
        <w:rPr>
          <w:i/>
          <w:iCs/>
        </w:rPr>
        <w:t xml:space="preserve"> and Volchek v. Belarus</w:t>
      </w:r>
      <w:r>
        <w:t xml:space="preserve"> (</w:t>
      </w:r>
      <w:r w:rsidR="00192564" w:rsidRPr="00192564">
        <w:t>CCPR/C/111/D/</w:t>
      </w:r>
      <w:r>
        <w:t>1993/</w:t>
      </w:r>
      <w:r w:rsidRPr="002E652B">
        <w:t>2010</w:t>
      </w:r>
      <w:r>
        <w:t xml:space="preserve">); </w:t>
      </w:r>
      <w:proofErr w:type="spellStart"/>
      <w:r w:rsidRPr="00CD36C1">
        <w:rPr>
          <w:i/>
          <w:iCs/>
        </w:rPr>
        <w:t>Kalyakin</w:t>
      </w:r>
      <w:proofErr w:type="spellEnd"/>
      <w:r w:rsidRPr="00CD36C1">
        <w:rPr>
          <w:i/>
          <w:iCs/>
        </w:rPr>
        <w:t xml:space="preserve"> v. Belarus</w:t>
      </w:r>
      <w:r>
        <w:t xml:space="preserve"> (</w:t>
      </w:r>
      <w:r w:rsidR="00034BB7" w:rsidRPr="00034BB7">
        <w:t>CCPR/C/112/D/</w:t>
      </w:r>
      <w:r>
        <w:t xml:space="preserve">2153/2012) and </w:t>
      </w:r>
      <w:r w:rsidRPr="00CD36C1">
        <w:rPr>
          <w:i/>
          <w:iCs/>
        </w:rPr>
        <w:t>Romanovsky v. Belarus</w:t>
      </w:r>
      <w:r>
        <w:t xml:space="preserve"> (</w:t>
      </w:r>
      <w:r w:rsidR="00034BB7" w:rsidRPr="00034BB7">
        <w:t>CCPR/C/115/D/</w:t>
      </w:r>
      <w:r>
        <w:t xml:space="preserve">2011/2010). </w:t>
      </w:r>
    </w:p>
  </w:footnote>
  <w:footnote w:id="5">
    <w:p w14:paraId="7A39BFBD" w14:textId="0606680D" w:rsidR="008A7E69" w:rsidRDefault="002E652B" w:rsidP="002E652B">
      <w:pPr>
        <w:pStyle w:val="FootnoteText"/>
        <w:rPr>
          <w:lang w:val="en-US"/>
        </w:rPr>
      </w:pPr>
      <w:r>
        <w:tab/>
      </w:r>
      <w:r w:rsidR="003B3558">
        <w:rPr>
          <w:rStyle w:val="FootnoteReference"/>
        </w:rPr>
        <w:footnoteRef/>
      </w:r>
      <w:r w:rsidR="003B3558">
        <w:t xml:space="preserve"> </w:t>
      </w:r>
      <w:r>
        <w:tab/>
      </w:r>
      <w:r w:rsidR="003B3558" w:rsidRPr="002E652B">
        <w:t>ECtHR</w:t>
      </w:r>
      <w:r w:rsidR="003B3558">
        <w:rPr>
          <w:lang w:val="en-US"/>
        </w:rPr>
        <w:t xml:space="preserve">, </w:t>
      </w:r>
      <w:r w:rsidR="003B3558" w:rsidRPr="00416BBD">
        <w:rPr>
          <w:i/>
          <w:iCs/>
          <w:lang w:val="en-US"/>
        </w:rPr>
        <w:t xml:space="preserve">United Macedonian </w:t>
      </w:r>
      <w:proofErr w:type="spellStart"/>
      <w:r w:rsidR="003B3558" w:rsidRPr="00416BBD">
        <w:rPr>
          <w:i/>
          <w:iCs/>
          <w:lang w:val="en-US"/>
        </w:rPr>
        <w:t>Organisation</w:t>
      </w:r>
      <w:proofErr w:type="spellEnd"/>
      <w:r w:rsidR="003B3558" w:rsidRPr="00416BBD">
        <w:rPr>
          <w:i/>
          <w:iCs/>
          <w:lang w:val="en-US"/>
        </w:rPr>
        <w:t xml:space="preserve"> Ilinden and Others v. Bulgaria</w:t>
      </w:r>
      <w:r w:rsidR="003B3558">
        <w:rPr>
          <w:lang w:val="en-US"/>
        </w:rPr>
        <w:t xml:space="preserve"> (No. 2), No. 34960/04,</w:t>
      </w:r>
      <w:r w:rsidR="00C15251">
        <w:rPr>
          <w:lang w:val="en-US"/>
        </w:rPr>
        <w:t xml:space="preserve"> </w:t>
      </w:r>
    </w:p>
    <w:p w14:paraId="6919A662" w14:textId="064A80CA" w:rsidR="003B3558" w:rsidRPr="00451180" w:rsidRDefault="00C15251" w:rsidP="003B3558">
      <w:pPr>
        <w:pStyle w:val="FootnoteText"/>
        <w:ind w:hanging="54"/>
        <w:rPr>
          <w:lang w:val="en-US"/>
        </w:rPr>
      </w:pPr>
      <w:r>
        <w:rPr>
          <w:lang w:val="en-US"/>
        </w:rPr>
        <w:t xml:space="preserve"> </w:t>
      </w:r>
      <w:r w:rsidR="003B3558">
        <w:rPr>
          <w:lang w:val="en-US"/>
        </w:rPr>
        <w:t xml:space="preserve">Judgment of 18 October 2011, para. </w:t>
      </w:r>
      <w:r w:rsidR="003B3558" w:rsidRPr="00451180">
        <w:rPr>
          <w:lang w:val="en-US"/>
        </w:rPr>
        <w:t xml:space="preserve">27. </w:t>
      </w:r>
    </w:p>
  </w:footnote>
  <w:footnote w:id="6">
    <w:p w14:paraId="276E0AD9" w14:textId="4D2ACF7D" w:rsidR="008A7E69" w:rsidRDefault="002E652B" w:rsidP="00217367">
      <w:pPr>
        <w:pStyle w:val="FootnoteText"/>
        <w:rPr>
          <w:lang w:val="en-US"/>
        </w:rPr>
      </w:pPr>
      <w:r>
        <w:tab/>
      </w:r>
      <w:r w:rsidR="008A7E69">
        <w:rPr>
          <w:rStyle w:val="FootnoteReference"/>
        </w:rPr>
        <w:footnoteRef/>
      </w:r>
      <w:r w:rsidR="008A7E69">
        <w:t xml:space="preserve"> </w:t>
      </w:r>
      <w:r>
        <w:tab/>
      </w:r>
      <w:r w:rsidR="008A7E69">
        <w:rPr>
          <w:lang w:val="en-US"/>
        </w:rPr>
        <w:t xml:space="preserve">A reference has been made </w:t>
      </w:r>
      <w:r w:rsidR="00090253">
        <w:rPr>
          <w:lang w:val="en-US"/>
        </w:rPr>
        <w:t xml:space="preserve">e.g. </w:t>
      </w:r>
      <w:r w:rsidR="008A7E69">
        <w:rPr>
          <w:lang w:val="en-US"/>
        </w:rPr>
        <w:t>to the Club 9000, Bulgarian Glaucoma Association, Charles Perrault</w:t>
      </w:r>
      <w:r w:rsidR="00C15251">
        <w:rPr>
          <w:lang w:val="en-US"/>
        </w:rPr>
        <w:t xml:space="preserve"> </w:t>
      </w:r>
    </w:p>
    <w:p w14:paraId="68CC6490" w14:textId="47D81407" w:rsidR="008A7E69" w:rsidRDefault="00C15251" w:rsidP="008A7E69">
      <w:pPr>
        <w:pStyle w:val="FootnoteText"/>
        <w:ind w:left="1080" w:firstLine="0"/>
        <w:rPr>
          <w:lang w:val="en-US"/>
        </w:rPr>
      </w:pPr>
      <w:r>
        <w:rPr>
          <w:lang w:val="en-US"/>
        </w:rPr>
        <w:t xml:space="preserve"> </w:t>
      </w:r>
      <w:r w:rsidR="008A7E69">
        <w:rPr>
          <w:lang w:val="en-US"/>
        </w:rPr>
        <w:t xml:space="preserve">Association and the Association of Trainers and Researchers in Bulgaria in General Medicine, some </w:t>
      </w:r>
    </w:p>
    <w:p w14:paraId="205F1B0E" w14:textId="7614B2E7" w:rsidR="008A7E69" w:rsidRPr="008A7E69" w:rsidRDefault="00C15251" w:rsidP="008A7E69">
      <w:pPr>
        <w:pStyle w:val="FootnoteText"/>
        <w:ind w:left="1080" w:firstLine="0"/>
        <w:rPr>
          <w:lang w:val="en-US"/>
        </w:rPr>
      </w:pPr>
      <w:r>
        <w:rPr>
          <w:lang w:val="en-US"/>
        </w:rPr>
        <w:t xml:space="preserve"> </w:t>
      </w:r>
      <w:r w:rsidR="008A7E69">
        <w:rPr>
          <w:lang w:val="en-US"/>
        </w:rPr>
        <w:t xml:space="preserve">of which </w:t>
      </w:r>
      <w:r w:rsidR="00A66B80">
        <w:rPr>
          <w:lang w:val="en-US"/>
        </w:rPr>
        <w:t xml:space="preserve">had even </w:t>
      </w:r>
      <w:r w:rsidR="008A7E69">
        <w:rPr>
          <w:lang w:val="en-US"/>
        </w:rPr>
        <w:t>a profit-making purpose.</w:t>
      </w:r>
      <w:r>
        <w:rPr>
          <w:lang w:val="en-US"/>
        </w:rPr>
        <w:t xml:space="preserve"> </w:t>
      </w:r>
    </w:p>
  </w:footnote>
  <w:footnote w:id="7">
    <w:p w14:paraId="224A9CA6" w14:textId="0DEABC81" w:rsidR="00675A51" w:rsidRPr="00675A51" w:rsidRDefault="002E652B">
      <w:pPr>
        <w:pStyle w:val="FootnoteText"/>
        <w:rPr>
          <w:lang w:val="en-US"/>
        </w:rPr>
      </w:pPr>
      <w:r>
        <w:tab/>
      </w:r>
      <w:r w:rsidR="00675A51">
        <w:rPr>
          <w:rStyle w:val="FootnoteReference"/>
        </w:rPr>
        <w:footnoteRef/>
      </w:r>
      <w:r w:rsidR="00675A51">
        <w:t xml:space="preserve"> </w:t>
      </w:r>
      <w:r>
        <w:tab/>
      </w:r>
      <w:r w:rsidR="00675A51">
        <w:t>Committee of Ministers, Interim Resolution CM/</w:t>
      </w:r>
      <w:proofErr w:type="spellStart"/>
      <w:r w:rsidR="00675A51">
        <w:t>ResDH</w:t>
      </w:r>
      <w:proofErr w:type="spellEnd"/>
      <w:r w:rsidR="00675A51">
        <w:t xml:space="preserve">(2020)197, 1 October 2020. See also </w:t>
      </w:r>
      <w:r w:rsidR="009C5C2C">
        <w:t>E</w:t>
      </w:r>
      <w:r w:rsidR="00675A51">
        <w:t xml:space="preserve">uropean Parliament, Resolution 2020/2793(RSP) of 8 October 2020 on the rule of law and fundamental rights in Bulgaria, in which it called on the Bulgarian government to take all the necessary measures to safeguard the rights of minorities effectively, including the freedom of association, including through </w:t>
      </w:r>
      <w:r w:rsidR="00217367">
        <w:t xml:space="preserve">the </w:t>
      </w:r>
      <w:r w:rsidR="00675A51">
        <w:t xml:space="preserve">implementation of the ECtHR judgments on Macedonian cases. </w:t>
      </w:r>
    </w:p>
  </w:footnote>
  <w:footnote w:id="8">
    <w:p w14:paraId="796C9E62" w14:textId="0FBC842E" w:rsidR="009C5C2C" w:rsidRPr="009F712A" w:rsidRDefault="002E652B">
      <w:pPr>
        <w:pStyle w:val="FootnoteText"/>
        <w:rPr>
          <w:lang w:val="en-US"/>
        </w:rPr>
      </w:pPr>
      <w:r>
        <w:rPr>
          <w:lang w:val="en-US"/>
        </w:rPr>
        <w:tab/>
      </w:r>
      <w:r w:rsidR="009C5C2C">
        <w:rPr>
          <w:rStyle w:val="FootnoteReference"/>
        </w:rPr>
        <w:footnoteRef/>
      </w:r>
      <w:r w:rsidR="009C5C2C" w:rsidRPr="00744C83">
        <w:rPr>
          <w:lang w:val="es-ES"/>
        </w:rPr>
        <w:t xml:space="preserve"> </w:t>
      </w:r>
      <w:r>
        <w:rPr>
          <w:lang w:val="es-ES"/>
        </w:rPr>
        <w:tab/>
      </w:r>
      <w:r w:rsidR="00454904" w:rsidRPr="009A5D41">
        <w:rPr>
          <w:lang w:val="es-ES"/>
        </w:rPr>
        <w:t>See</w:t>
      </w:r>
      <w:r w:rsidR="00514493">
        <w:rPr>
          <w:lang w:val="es-ES"/>
        </w:rPr>
        <w:t xml:space="preserve"> </w:t>
      </w:r>
      <w:proofErr w:type="spellStart"/>
      <w:r w:rsidR="00514493">
        <w:rPr>
          <w:lang w:val="es-ES"/>
        </w:rPr>
        <w:t>e.g</w:t>
      </w:r>
      <w:proofErr w:type="spellEnd"/>
      <w:r w:rsidR="00514493">
        <w:rPr>
          <w:lang w:val="es-ES"/>
        </w:rPr>
        <w:t xml:space="preserve">. </w:t>
      </w:r>
      <w:r w:rsidR="00454904" w:rsidRPr="009F712A">
        <w:rPr>
          <w:i/>
          <w:iCs/>
          <w:lang w:val="es-ES"/>
        </w:rPr>
        <w:t xml:space="preserve">Lazarov and Lazarov v. Bulgaria </w:t>
      </w:r>
      <w:r w:rsidR="00454904" w:rsidRPr="009F712A">
        <w:rPr>
          <w:lang w:val="es-ES"/>
        </w:rPr>
        <w:t xml:space="preserve">(CCPR/C/137/D/3171/2018), para. </w:t>
      </w:r>
      <w:r w:rsidR="00454904" w:rsidRPr="007559AC">
        <w:rPr>
          <w:lang w:val="es-ES"/>
        </w:rPr>
        <w:t xml:space="preserve">7.3; </w:t>
      </w:r>
      <w:r w:rsidR="00045F95" w:rsidRPr="007559AC">
        <w:rPr>
          <w:i/>
          <w:iCs/>
          <w:lang w:val="es-ES"/>
        </w:rPr>
        <w:t>Vanchev v. Bulgaria</w:t>
      </w:r>
      <w:r w:rsidR="00045F95" w:rsidRPr="007559AC">
        <w:rPr>
          <w:lang w:val="es-ES"/>
        </w:rPr>
        <w:t xml:space="preserve"> (CCPR/C/130/D/2820/2016)</w:t>
      </w:r>
      <w:r w:rsidR="00045F95">
        <w:rPr>
          <w:lang w:val="es-ES"/>
        </w:rPr>
        <w:t xml:space="preserve">, para. 6.3; and </w:t>
      </w:r>
      <w:proofErr w:type="spellStart"/>
      <w:r w:rsidR="007559AC" w:rsidRPr="007559AC">
        <w:rPr>
          <w:i/>
          <w:iCs/>
          <w:lang w:val="es-ES"/>
        </w:rPr>
        <w:t>Naidenova</w:t>
      </w:r>
      <w:proofErr w:type="spellEnd"/>
      <w:r w:rsidR="007559AC" w:rsidRPr="007559AC">
        <w:rPr>
          <w:i/>
          <w:iCs/>
          <w:lang w:val="es-ES"/>
        </w:rPr>
        <w:t xml:space="preserve"> et al. v. Bulgaria</w:t>
      </w:r>
      <w:r w:rsidR="007559AC">
        <w:rPr>
          <w:lang w:val="es-ES"/>
        </w:rPr>
        <w:t xml:space="preserve"> (</w:t>
      </w:r>
      <w:r w:rsidR="007559AC" w:rsidRPr="007559AC">
        <w:rPr>
          <w:lang w:val="es-ES"/>
        </w:rPr>
        <w:t>CCPR/C/106/D/2073/2011</w:t>
      </w:r>
      <w:r w:rsidR="007559AC">
        <w:rPr>
          <w:lang w:val="es-ES"/>
        </w:rPr>
        <w:t xml:space="preserve">), para. </w:t>
      </w:r>
      <w:r w:rsidR="007559AC" w:rsidRPr="009F712A">
        <w:rPr>
          <w:lang w:val="en-US"/>
        </w:rPr>
        <w:t xml:space="preserve">13.5. </w:t>
      </w:r>
      <w:r w:rsidR="00454904" w:rsidRPr="009F712A">
        <w:rPr>
          <w:lang w:val="en-US"/>
        </w:rPr>
        <w:t xml:space="preserve"> </w:t>
      </w:r>
    </w:p>
  </w:footnote>
  <w:footnote w:id="9">
    <w:p w14:paraId="788D5D5C" w14:textId="3395C549" w:rsidR="000B23C1" w:rsidRPr="00416BBD" w:rsidRDefault="000B23C1">
      <w:pPr>
        <w:pStyle w:val="FootnoteText"/>
        <w:rPr>
          <w:lang w:val="en-US"/>
        </w:rPr>
      </w:pPr>
      <w:r w:rsidRPr="00416BBD">
        <w:rPr>
          <w:lang w:val="en-US"/>
        </w:rPr>
        <w:t xml:space="preserve">                    </w:t>
      </w:r>
      <w:r>
        <w:rPr>
          <w:rStyle w:val="FootnoteReference"/>
        </w:rPr>
        <w:footnoteRef/>
      </w:r>
      <w:r w:rsidRPr="00416BBD">
        <w:rPr>
          <w:lang w:val="en-US"/>
        </w:rPr>
        <w:t xml:space="preserve">   Cf. </w:t>
      </w:r>
      <w:r w:rsidRPr="00416BBD">
        <w:rPr>
          <w:i/>
          <w:iCs/>
          <w:lang w:val="en-US"/>
        </w:rPr>
        <w:t>Poliakov v. Belarus</w:t>
      </w:r>
      <w:r w:rsidRPr="00416BBD">
        <w:rPr>
          <w:lang w:val="en-US"/>
        </w:rPr>
        <w:t xml:space="preserve"> (CCPR/C/111/D/2030/2011), para. 7.4.</w:t>
      </w:r>
    </w:p>
  </w:footnote>
  <w:footnote w:id="10">
    <w:p w14:paraId="67850ED1" w14:textId="436BF91E" w:rsidR="0021183F" w:rsidRPr="00606471" w:rsidRDefault="002E652B" w:rsidP="00905CB7">
      <w:pPr>
        <w:pStyle w:val="FootnoteText"/>
      </w:pPr>
      <w:r w:rsidRPr="00416BBD">
        <w:rPr>
          <w:lang w:val="en-US"/>
        </w:rPr>
        <w:tab/>
      </w:r>
      <w:r w:rsidR="0021183F">
        <w:rPr>
          <w:rStyle w:val="FootnoteReference"/>
        </w:rPr>
        <w:footnoteRef/>
      </w:r>
      <w:r w:rsidR="0021183F">
        <w:t xml:space="preserve"> </w:t>
      </w:r>
      <w:r>
        <w:tab/>
      </w:r>
      <w:r w:rsidR="00905CB7">
        <w:t xml:space="preserve">E.g. </w:t>
      </w:r>
      <w:r w:rsidR="000C7241" w:rsidRPr="000C7241">
        <w:rPr>
          <w:i/>
          <w:iCs/>
        </w:rPr>
        <w:t xml:space="preserve">Yurlov, </w:t>
      </w:r>
      <w:proofErr w:type="spellStart"/>
      <w:r w:rsidR="000C7241" w:rsidRPr="000C7241">
        <w:rPr>
          <w:i/>
          <w:iCs/>
        </w:rPr>
        <w:t>Beklyaev</w:t>
      </w:r>
      <w:proofErr w:type="spellEnd"/>
      <w:r w:rsidR="000C7241" w:rsidRPr="000C7241">
        <w:rPr>
          <w:i/>
          <w:iCs/>
        </w:rPr>
        <w:t xml:space="preserve"> and Nesterov v. the Russian Federation</w:t>
      </w:r>
      <w:r w:rsidR="000C7241">
        <w:t xml:space="preserve"> (</w:t>
      </w:r>
      <w:r w:rsidR="000C7241" w:rsidRPr="000C7241">
        <w:t>CCPR/C/139/D/2925/2017</w:t>
      </w:r>
      <w:r w:rsidR="000C7241">
        <w:t xml:space="preserve">), </w:t>
      </w:r>
      <w:r w:rsidR="0021183F">
        <w:t xml:space="preserve">para. </w:t>
      </w:r>
      <w:r w:rsidR="0021183F" w:rsidRPr="00905CB7">
        <w:rPr>
          <w:lang w:val="en-US"/>
        </w:rPr>
        <w:t>9.8</w:t>
      </w:r>
      <w:r w:rsidR="00905CB7" w:rsidRPr="00905CB7">
        <w:rPr>
          <w:lang w:val="en-US"/>
        </w:rPr>
        <w:t xml:space="preserve">, and </w:t>
      </w:r>
      <w:proofErr w:type="spellStart"/>
      <w:r w:rsidR="00905CB7" w:rsidRPr="00905CB7">
        <w:rPr>
          <w:i/>
          <w:iCs/>
          <w:lang w:val="en-US"/>
        </w:rPr>
        <w:t>Mullina</w:t>
      </w:r>
      <w:proofErr w:type="spellEnd"/>
      <w:r w:rsidR="00905CB7" w:rsidRPr="00905CB7">
        <w:rPr>
          <w:i/>
          <w:iCs/>
          <w:lang w:val="en-US"/>
        </w:rPr>
        <w:t xml:space="preserve">, </w:t>
      </w:r>
      <w:proofErr w:type="spellStart"/>
      <w:r w:rsidR="00905CB7" w:rsidRPr="00905CB7">
        <w:rPr>
          <w:i/>
          <w:iCs/>
          <w:lang w:val="en-US"/>
        </w:rPr>
        <w:t>Mullina</w:t>
      </w:r>
      <w:proofErr w:type="spellEnd"/>
      <w:r w:rsidR="00905CB7" w:rsidRPr="00905CB7">
        <w:rPr>
          <w:i/>
          <w:iCs/>
          <w:lang w:val="en-US"/>
        </w:rPr>
        <w:t xml:space="preserve"> and </w:t>
      </w:r>
      <w:proofErr w:type="spellStart"/>
      <w:r w:rsidR="00905CB7" w:rsidRPr="00905CB7">
        <w:rPr>
          <w:i/>
          <w:iCs/>
          <w:lang w:val="en-US"/>
        </w:rPr>
        <w:t>Lukmanova</w:t>
      </w:r>
      <w:proofErr w:type="spellEnd"/>
      <w:r w:rsidR="00905CB7" w:rsidRPr="00905CB7">
        <w:rPr>
          <w:i/>
          <w:iCs/>
          <w:lang w:val="en-US"/>
        </w:rPr>
        <w:t xml:space="preserve"> v. Uzbekistan</w:t>
      </w:r>
      <w:r w:rsidR="00905CB7" w:rsidRPr="00905CB7">
        <w:rPr>
          <w:lang w:val="en-US"/>
        </w:rPr>
        <w:t xml:space="preserve"> (CCPR/C/138/D/3025/2017 an</w:t>
      </w:r>
      <w:r w:rsidR="00905CB7">
        <w:rPr>
          <w:lang w:val="en-US"/>
        </w:rPr>
        <w:t>d C</w:t>
      </w:r>
      <w:r w:rsidR="00905CB7" w:rsidRPr="00905CB7">
        <w:rPr>
          <w:lang w:val="en-US"/>
        </w:rPr>
        <w:t xml:space="preserve">CPR/C/138/D/3037/2017), para. </w:t>
      </w:r>
      <w:r w:rsidR="00905CB7" w:rsidRPr="00606471">
        <w:t>8.12</w:t>
      </w:r>
      <w:r w:rsidR="0021183F" w:rsidRPr="00606471">
        <w:t xml:space="preserve">. </w:t>
      </w:r>
    </w:p>
  </w:footnote>
  <w:footnote w:id="11">
    <w:p w14:paraId="7244163A" w14:textId="1C7E0DEF" w:rsidR="00606471" w:rsidRPr="005E4DE3" w:rsidRDefault="004E3483" w:rsidP="00606471">
      <w:pPr>
        <w:pStyle w:val="FootnoteText"/>
        <w:rPr>
          <w:lang w:val="en-US"/>
        </w:rPr>
      </w:pPr>
      <w:r>
        <w:tab/>
      </w:r>
      <w:r w:rsidR="00606471">
        <w:rPr>
          <w:rStyle w:val="FootnoteReference"/>
        </w:rPr>
        <w:footnoteRef/>
      </w:r>
      <w:r w:rsidR="00606471">
        <w:t xml:space="preserve"> </w:t>
      </w:r>
      <w:r>
        <w:tab/>
      </w:r>
      <w:r w:rsidR="00606471">
        <w:t xml:space="preserve">See </w:t>
      </w:r>
      <w:r w:rsidR="00606471" w:rsidRPr="005E4DE3">
        <w:rPr>
          <w:i/>
          <w:iCs/>
        </w:rPr>
        <w:t xml:space="preserve">Yurlov, </w:t>
      </w:r>
      <w:proofErr w:type="spellStart"/>
      <w:r w:rsidR="00606471" w:rsidRPr="005E4DE3">
        <w:rPr>
          <w:i/>
          <w:iCs/>
        </w:rPr>
        <w:t>Beklyaev</w:t>
      </w:r>
      <w:proofErr w:type="spellEnd"/>
      <w:r w:rsidR="00606471" w:rsidRPr="005E4DE3">
        <w:rPr>
          <w:i/>
          <w:iCs/>
        </w:rPr>
        <w:t xml:space="preserve"> and Nesterov</w:t>
      </w:r>
      <w:r w:rsidR="00606471">
        <w:t xml:space="preserve">, paras. 9.8-9.9; and </w:t>
      </w:r>
      <w:r w:rsidR="00606471" w:rsidRPr="00AE20D3">
        <w:rPr>
          <w:i/>
          <w:iCs/>
        </w:rPr>
        <w:t>Pavlenko, Kondratenko and Baryshev v. Russian Federation</w:t>
      </w:r>
      <w:r w:rsidR="00606471">
        <w:t xml:space="preserve"> (</w:t>
      </w:r>
      <w:r w:rsidR="00606471" w:rsidRPr="00AE20D3">
        <w:t>CCPR/C/139/D/2765/2016</w:t>
      </w:r>
      <w:r w:rsidR="00606471">
        <w:t xml:space="preserve">), paras. 10.9.-10.10.   </w:t>
      </w:r>
    </w:p>
  </w:footnote>
  <w:footnote w:id="12">
    <w:p w14:paraId="0677C6B3" w14:textId="11A8F217" w:rsidR="00D3102F" w:rsidRPr="005E4DE3" w:rsidRDefault="002E652B" w:rsidP="00AD608B">
      <w:pPr>
        <w:pStyle w:val="FootnoteText"/>
      </w:pPr>
      <w:r w:rsidRPr="00606471">
        <w:tab/>
      </w:r>
      <w:r w:rsidR="00D3102F">
        <w:rPr>
          <w:rStyle w:val="FootnoteReference"/>
        </w:rPr>
        <w:footnoteRef/>
      </w:r>
      <w:r w:rsidR="00D3102F" w:rsidRPr="00AD608B">
        <w:rPr>
          <w:lang w:val="en-US"/>
        </w:rPr>
        <w:t xml:space="preserve"> </w:t>
      </w:r>
      <w:r w:rsidRPr="00AD608B">
        <w:rPr>
          <w:lang w:val="en-US"/>
        </w:rPr>
        <w:tab/>
      </w:r>
      <w:r w:rsidR="00D3102F" w:rsidRPr="00AD608B">
        <w:rPr>
          <w:lang w:val="en-US"/>
        </w:rPr>
        <w:t xml:space="preserve">E.g. </w:t>
      </w:r>
      <w:r w:rsidR="00D3102F" w:rsidRPr="00AD608B">
        <w:rPr>
          <w:i/>
          <w:iCs/>
          <w:lang w:val="en-US"/>
        </w:rPr>
        <w:t>Romanovsky v. Belarus</w:t>
      </w:r>
      <w:r w:rsidR="00D3102F" w:rsidRPr="00AD608B">
        <w:rPr>
          <w:lang w:val="en-US"/>
        </w:rPr>
        <w:t xml:space="preserve"> (CCPR/C/115/D/2011/2010), para</w:t>
      </w:r>
      <w:r w:rsidR="00584403" w:rsidRPr="00AD608B">
        <w:rPr>
          <w:lang w:val="en-US"/>
        </w:rPr>
        <w:t>s</w:t>
      </w:r>
      <w:r w:rsidR="00D3102F" w:rsidRPr="00AD608B">
        <w:rPr>
          <w:lang w:val="en-US"/>
        </w:rPr>
        <w:t xml:space="preserve">. </w:t>
      </w:r>
      <w:r w:rsidR="00584403" w:rsidRPr="00606471">
        <w:rPr>
          <w:lang w:val="en-US"/>
        </w:rPr>
        <w:t>7.3.-</w:t>
      </w:r>
      <w:r w:rsidR="00D3102F" w:rsidRPr="005E4DE3">
        <w:t>7.4.</w:t>
      </w:r>
      <w:r w:rsidR="00BE0B61">
        <w:t xml:space="preserve"> See also </w:t>
      </w:r>
      <w:r w:rsidR="00AD608B" w:rsidRPr="00AD608B">
        <w:t>the Concluding observations on the fourth periodic report of Bulgaria (CCPR/C/BGR/CO/4), paras. 35 and 36 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32AE54" w14:textId="45F2B6D5" w:rsidR="009B59F5" w:rsidRDefault="00FD2DBD">
    <w:pPr>
      <w:pStyle w:val="Header"/>
    </w:pPr>
    <w:r>
      <w:t>CCPR/C/14</w:t>
    </w:r>
    <w:r w:rsidR="009C10DA">
      <w:t>5</w:t>
    </w:r>
    <w:r>
      <w:t>/D/3</w:t>
    </w:r>
    <w:r w:rsidR="00F64D6D">
      <w:t>7</w:t>
    </w:r>
    <w:r w:rsidR="00242A19">
      <w:t>17</w:t>
    </w:r>
    <w:r>
      <w:t>/20</w:t>
    </w:r>
    <w:r w:rsidR="00F64D6D">
      <w:t>20</w:t>
    </w:r>
    <w:r w:rsidR="00331364">
      <w:t xml:space="preserve"> Advance unedited version</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20BEC8" w14:textId="0B5CDB5B" w:rsidR="009B59F5" w:rsidRDefault="00331364">
    <w:pPr>
      <w:pStyle w:val="Header"/>
      <w:jc w:val="right"/>
    </w:pPr>
    <w:r>
      <w:t xml:space="preserve">Advance unedited version </w:t>
    </w:r>
    <w:r w:rsidR="00FD2DBD">
      <w:t>CCPR/C/14</w:t>
    </w:r>
    <w:r w:rsidR="00D0568B">
      <w:t>5</w:t>
    </w:r>
    <w:r w:rsidR="00FD2DBD">
      <w:t>/D/3</w:t>
    </w:r>
    <w:r w:rsidR="00F64D6D">
      <w:t>7</w:t>
    </w:r>
    <w:r w:rsidR="006E3C6C">
      <w:t>17</w:t>
    </w:r>
    <w:r w:rsidR="00FD2DBD">
      <w:t>/20</w:t>
    </w:r>
    <w:r w:rsidR="00F64D6D">
      <w:t>20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D3063C48"/>
    <w:lvl w:ilvl="0" w:tplc="AE488D30">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 w15:restartNumberingAfterBreak="0">
    <w:nsid w:val="00000002"/>
    <w:multiLevelType w:val="multilevel"/>
    <w:tmpl w:val="01A8DAE6"/>
    <w:lvl w:ilvl="0">
      <w:start w:val="1"/>
      <w:numFmt w:val="decimal"/>
      <w:lvlText w:val="%1."/>
      <w:lvlJc w:val="left"/>
      <w:pPr>
        <w:ind w:left="1689" w:hanging="555"/>
      </w:pPr>
      <w:rPr>
        <w:rFonts w:hint="default"/>
        <w:b w:val="0"/>
      </w:rPr>
    </w:lvl>
    <w:lvl w:ilvl="1">
      <w:start w:val="2"/>
      <w:numFmt w:val="decimal"/>
      <w:isLgl/>
      <w:lvlText w:val="%1.%2"/>
      <w:lvlJc w:val="left"/>
      <w:pPr>
        <w:ind w:left="1494" w:hanging="360"/>
      </w:pPr>
      <w:rPr>
        <w:rFonts w:hint="default"/>
        <w:b w:val="0"/>
      </w:rPr>
    </w:lvl>
    <w:lvl w:ilvl="2">
      <w:start w:val="1"/>
      <w:numFmt w:val="decimal"/>
      <w:isLgl/>
      <w:lvlText w:val="%1.%2.%3"/>
      <w:lvlJc w:val="left"/>
      <w:pPr>
        <w:ind w:left="1854" w:hanging="720"/>
      </w:pPr>
      <w:rPr>
        <w:rFonts w:hint="default"/>
      </w:rPr>
    </w:lvl>
    <w:lvl w:ilvl="3">
      <w:start w:val="1"/>
      <w:numFmt w:val="decimal"/>
      <w:isLgl/>
      <w:lvlText w:val="%1.%2.%3.%4"/>
      <w:lvlJc w:val="left"/>
      <w:pPr>
        <w:ind w:left="1854" w:hanging="720"/>
      </w:pPr>
      <w:rPr>
        <w:rFonts w:hint="default"/>
      </w:rPr>
    </w:lvl>
    <w:lvl w:ilvl="4">
      <w:start w:val="1"/>
      <w:numFmt w:val="decimal"/>
      <w:isLgl/>
      <w:lvlText w:val="%1.%2.%3.%4.%5"/>
      <w:lvlJc w:val="left"/>
      <w:pPr>
        <w:ind w:left="1854" w:hanging="720"/>
      </w:pPr>
      <w:rPr>
        <w:rFonts w:hint="default"/>
      </w:rPr>
    </w:lvl>
    <w:lvl w:ilvl="5">
      <w:start w:val="1"/>
      <w:numFmt w:val="decimal"/>
      <w:isLgl/>
      <w:lvlText w:val="%1.%2.%3.%4.%5.%6"/>
      <w:lvlJc w:val="left"/>
      <w:pPr>
        <w:ind w:left="2214" w:hanging="1080"/>
      </w:pPr>
      <w:rPr>
        <w:rFonts w:hint="default"/>
      </w:rPr>
    </w:lvl>
    <w:lvl w:ilvl="6">
      <w:start w:val="1"/>
      <w:numFmt w:val="decimal"/>
      <w:isLgl/>
      <w:lvlText w:val="%1.%2.%3.%4.%5.%6.%7"/>
      <w:lvlJc w:val="left"/>
      <w:pPr>
        <w:ind w:left="2214" w:hanging="1080"/>
      </w:pPr>
      <w:rPr>
        <w:rFonts w:hint="default"/>
      </w:rPr>
    </w:lvl>
    <w:lvl w:ilvl="7">
      <w:start w:val="1"/>
      <w:numFmt w:val="decimal"/>
      <w:isLgl/>
      <w:lvlText w:val="%1.%2.%3.%4.%5.%6.%7.%8"/>
      <w:lvlJc w:val="left"/>
      <w:pPr>
        <w:ind w:left="2574" w:hanging="1440"/>
      </w:pPr>
      <w:rPr>
        <w:rFonts w:hint="default"/>
      </w:rPr>
    </w:lvl>
    <w:lvl w:ilvl="8">
      <w:start w:val="1"/>
      <w:numFmt w:val="decimal"/>
      <w:isLgl/>
      <w:lvlText w:val="%1.%2.%3.%4.%5.%6.%7.%8.%9"/>
      <w:lvlJc w:val="left"/>
      <w:pPr>
        <w:ind w:left="2574" w:hanging="1440"/>
      </w:pPr>
      <w:rPr>
        <w:rFonts w:hint="default"/>
      </w:rPr>
    </w:lvl>
  </w:abstractNum>
  <w:abstractNum w:abstractNumId="2" w15:restartNumberingAfterBreak="0">
    <w:nsid w:val="00000003"/>
    <w:multiLevelType w:val="multilevel"/>
    <w:tmpl w:val="C4C06F56"/>
    <w:lvl w:ilvl="0">
      <w:start w:val="2"/>
      <w:numFmt w:val="decimal"/>
      <w:lvlText w:val="%1"/>
      <w:lvlJc w:val="left"/>
      <w:pPr>
        <w:ind w:left="360" w:hanging="360"/>
      </w:pPr>
      <w:rPr>
        <w:rFonts w:eastAsia="SimSun" w:hint="default"/>
      </w:rPr>
    </w:lvl>
    <w:lvl w:ilvl="1">
      <w:start w:val="6"/>
      <w:numFmt w:val="decimal"/>
      <w:lvlText w:val="%1.%2"/>
      <w:lvlJc w:val="left"/>
      <w:pPr>
        <w:ind w:left="1494" w:hanging="360"/>
      </w:pPr>
      <w:rPr>
        <w:rFonts w:eastAsia="SimSun" w:hint="default"/>
      </w:rPr>
    </w:lvl>
    <w:lvl w:ilvl="2">
      <w:start w:val="1"/>
      <w:numFmt w:val="decimal"/>
      <w:lvlText w:val="%1.%2.%3"/>
      <w:lvlJc w:val="left"/>
      <w:pPr>
        <w:ind w:left="2988" w:hanging="720"/>
      </w:pPr>
      <w:rPr>
        <w:rFonts w:eastAsia="SimSun" w:hint="default"/>
      </w:rPr>
    </w:lvl>
    <w:lvl w:ilvl="3">
      <w:start w:val="1"/>
      <w:numFmt w:val="decimal"/>
      <w:lvlText w:val="%1.%2.%3.%4"/>
      <w:lvlJc w:val="left"/>
      <w:pPr>
        <w:ind w:left="4122" w:hanging="720"/>
      </w:pPr>
      <w:rPr>
        <w:rFonts w:eastAsia="SimSun" w:hint="default"/>
      </w:rPr>
    </w:lvl>
    <w:lvl w:ilvl="4">
      <w:start w:val="1"/>
      <w:numFmt w:val="decimal"/>
      <w:lvlText w:val="%1.%2.%3.%4.%5"/>
      <w:lvlJc w:val="left"/>
      <w:pPr>
        <w:ind w:left="5256" w:hanging="720"/>
      </w:pPr>
      <w:rPr>
        <w:rFonts w:eastAsia="SimSun" w:hint="default"/>
      </w:rPr>
    </w:lvl>
    <w:lvl w:ilvl="5">
      <w:start w:val="1"/>
      <w:numFmt w:val="decimal"/>
      <w:lvlText w:val="%1.%2.%3.%4.%5.%6"/>
      <w:lvlJc w:val="left"/>
      <w:pPr>
        <w:ind w:left="6750" w:hanging="1080"/>
      </w:pPr>
      <w:rPr>
        <w:rFonts w:eastAsia="SimSun" w:hint="default"/>
      </w:rPr>
    </w:lvl>
    <w:lvl w:ilvl="6">
      <w:start w:val="1"/>
      <w:numFmt w:val="decimal"/>
      <w:lvlText w:val="%1.%2.%3.%4.%5.%6.%7"/>
      <w:lvlJc w:val="left"/>
      <w:pPr>
        <w:ind w:left="7884" w:hanging="1080"/>
      </w:pPr>
      <w:rPr>
        <w:rFonts w:eastAsia="SimSun" w:hint="default"/>
      </w:rPr>
    </w:lvl>
    <w:lvl w:ilvl="7">
      <w:start w:val="1"/>
      <w:numFmt w:val="decimal"/>
      <w:lvlText w:val="%1.%2.%3.%4.%5.%6.%7.%8"/>
      <w:lvlJc w:val="left"/>
      <w:pPr>
        <w:ind w:left="9378" w:hanging="1440"/>
      </w:pPr>
      <w:rPr>
        <w:rFonts w:eastAsia="SimSun" w:hint="default"/>
      </w:rPr>
    </w:lvl>
    <w:lvl w:ilvl="8">
      <w:start w:val="1"/>
      <w:numFmt w:val="decimal"/>
      <w:lvlText w:val="%1.%2.%3.%4.%5.%6.%7.%8.%9"/>
      <w:lvlJc w:val="left"/>
      <w:pPr>
        <w:ind w:left="10512" w:hanging="1440"/>
      </w:pPr>
      <w:rPr>
        <w:rFonts w:eastAsia="SimSun" w:hint="default"/>
      </w:rPr>
    </w:lvl>
  </w:abstractNum>
  <w:abstractNum w:abstractNumId="3" w15:restartNumberingAfterBreak="0">
    <w:nsid w:val="00000004"/>
    <w:multiLevelType w:val="multilevel"/>
    <w:tmpl w:val="5E043E3C"/>
    <w:lvl w:ilvl="0">
      <w:start w:val="2"/>
      <w:numFmt w:val="decimal"/>
      <w:lvlText w:val="%1"/>
      <w:lvlJc w:val="left"/>
      <w:pPr>
        <w:ind w:left="360" w:hanging="360"/>
      </w:pPr>
      <w:rPr>
        <w:rFonts w:hint="default"/>
      </w:rPr>
    </w:lvl>
    <w:lvl w:ilvl="1">
      <w:start w:val="4"/>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256" w:hanging="72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7884" w:hanging="108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512" w:hanging="1440"/>
      </w:pPr>
      <w:rPr>
        <w:rFonts w:hint="default"/>
      </w:rPr>
    </w:lvl>
  </w:abstractNum>
  <w:abstractNum w:abstractNumId="4" w15:restartNumberingAfterBreak="0">
    <w:nsid w:val="00000005"/>
    <w:multiLevelType w:val="multilevel"/>
    <w:tmpl w:val="0409001D"/>
    <w:lvl w:ilvl="0">
      <w:start w:val="1"/>
      <w:numFmt w:val="decimal"/>
      <w:lvlText w:val="%1)"/>
      <w:lvlJc w:val="left"/>
      <w:pPr>
        <w:tabs>
          <w:tab w:val="left" w:pos="360"/>
        </w:tabs>
        <w:ind w:left="360" w:hanging="360"/>
      </w:pPr>
    </w:lvl>
    <w:lvl w:ilvl="1">
      <w:start w:val="1"/>
      <w:numFmt w:val="lowerLetter"/>
      <w:lvlText w:val="%2)"/>
      <w:lvlJc w:val="left"/>
      <w:pPr>
        <w:tabs>
          <w:tab w:val="left" w:pos="720"/>
        </w:tabs>
        <w:ind w:left="720" w:hanging="360"/>
      </w:pPr>
    </w:lvl>
    <w:lvl w:ilvl="2">
      <w:start w:val="1"/>
      <w:numFmt w:val="lowerRoman"/>
      <w:lvlText w:val="%3)"/>
      <w:lvlJc w:val="left"/>
      <w:pPr>
        <w:tabs>
          <w:tab w:val="left" w:pos="1080"/>
        </w:tabs>
        <w:ind w:left="1080" w:hanging="360"/>
      </w:pPr>
    </w:lvl>
    <w:lvl w:ilvl="3">
      <w:start w:val="1"/>
      <w:numFmt w:val="decimal"/>
      <w:lvlText w:val="(%4)"/>
      <w:lvlJc w:val="left"/>
      <w:pPr>
        <w:tabs>
          <w:tab w:val="left" w:pos="1440"/>
        </w:tabs>
        <w:ind w:left="1440" w:hanging="360"/>
      </w:pPr>
    </w:lvl>
    <w:lvl w:ilvl="4">
      <w:start w:val="1"/>
      <w:numFmt w:val="lowerLetter"/>
      <w:lvlText w:val="(%5)"/>
      <w:lvlJc w:val="left"/>
      <w:pPr>
        <w:tabs>
          <w:tab w:val="left" w:pos="1800"/>
        </w:tabs>
        <w:ind w:left="1800" w:hanging="360"/>
      </w:pPr>
    </w:lvl>
    <w:lvl w:ilvl="5">
      <w:start w:val="1"/>
      <w:numFmt w:val="lowerRoman"/>
      <w:lvlText w:val="(%6)"/>
      <w:lvlJc w:val="left"/>
      <w:pPr>
        <w:tabs>
          <w:tab w:val="left" w:pos="2160"/>
        </w:tabs>
        <w:ind w:left="2160" w:hanging="360"/>
      </w:pPr>
    </w:lvl>
    <w:lvl w:ilvl="6">
      <w:start w:val="1"/>
      <w:numFmt w:val="decimal"/>
      <w:lvlText w:val="%7."/>
      <w:lvlJc w:val="left"/>
      <w:pPr>
        <w:tabs>
          <w:tab w:val="left" w:pos="2520"/>
        </w:tabs>
        <w:ind w:left="2520" w:hanging="360"/>
      </w:pPr>
    </w:lvl>
    <w:lvl w:ilvl="7">
      <w:start w:val="1"/>
      <w:numFmt w:val="lowerLetter"/>
      <w:lvlText w:val="%8."/>
      <w:lvlJc w:val="left"/>
      <w:pPr>
        <w:tabs>
          <w:tab w:val="left" w:pos="2880"/>
        </w:tabs>
        <w:ind w:left="2880" w:hanging="360"/>
      </w:pPr>
    </w:lvl>
    <w:lvl w:ilvl="8">
      <w:start w:val="1"/>
      <w:numFmt w:val="lowerRoman"/>
      <w:lvlText w:val="%9."/>
      <w:lvlJc w:val="left"/>
      <w:pPr>
        <w:tabs>
          <w:tab w:val="left" w:pos="3240"/>
        </w:tabs>
        <w:ind w:left="3240" w:hanging="360"/>
      </w:pPr>
    </w:lvl>
  </w:abstractNum>
  <w:abstractNum w:abstractNumId="5" w15:restartNumberingAfterBreak="0">
    <w:nsid w:val="00000006"/>
    <w:multiLevelType w:val="hybridMultilevel"/>
    <w:tmpl w:val="DBCEF8C4"/>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6" w15:restartNumberingAfterBreak="0">
    <w:nsid w:val="00000007"/>
    <w:multiLevelType w:val="hybridMultilevel"/>
    <w:tmpl w:val="F98030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0000008"/>
    <w:multiLevelType w:val="hybridMultilevel"/>
    <w:tmpl w:val="497EC7CC"/>
    <w:lvl w:ilvl="0" w:tplc="FAE4B376">
      <w:start w:val="1"/>
      <w:numFmt w:val="bullet"/>
      <w:pStyle w:val="Bullet2G"/>
      <w:lvlText w:val="•"/>
      <w:lvlJc w:val="left"/>
      <w:pPr>
        <w:tabs>
          <w:tab w:val="left" w:pos="2268"/>
        </w:tabs>
        <w:ind w:left="2268" w:hanging="170"/>
      </w:pPr>
      <w:rPr>
        <w:rFonts w:ascii="Times New Roman" w:hAnsi="Times New Roman" w:cs="Times New Roman" w:hint="default"/>
      </w:rPr>
    </w:lvl>
    <w:lvl w:ilvl="1" w:tplc="04090003" w:tentative="1">
      <w:start w:val="1"/>
      <w:numFmt w:val="bullet"/>
      <w:lvlText w:val="o"/>
      <w:lvlJc w:val="left"/>
      <w:pPr>
        <w:tabs>
          <w:tab w:val="left" w:pos="1440"/>
        </w:tabs>
        <w:ind w:left="1440" w:hanging="360"/>
      </w:pPr>
      <w:rPr>
        <w:rFonts w:ascii="Courier New" w:hAnsi="Courier New" w:hint="default"/>
      </w:rPr>
    </w:lvl>
    <w:lvl w:ilvl="2" w:tplc="04090005" w:tentative="1">
      <w:start w:val="1"/>
      <w:numFmt w:val="bullet"/>
      <w:lvlText w:val=""/>
      <w:lvlJc w:val="left"/>
      <w:pPr>
        <w:tabs>
          <w:tab w:val="left" w:pos="2160"/>
        </w:tabs>
        <w:ind w:left="2160" w:hanging="360"/>
      </w:pPr>
      <w:rPr>
        <w:rFonts w:ascii="Wingdings" w:hAnsi="Wingdings" w:hint="default"/>
      </w:rPr>
    </w:lvl>
    <w:lvl w:ilvl="3" w:tplc="04090001" w:tentative="1">
      <w:start w:val="1"/>
      <w:numFmt w:val="bullet"/>
      <w:lvlText w:val=""/>
      <w:lvlJc w:val="left"/>
      <w:pPr>
        <w:tabs>
          <w:tab w:val="left" w:pos="2880"/>
        </w:tabs>
        <w:ind w:left="2880" w:hanging="360"/>
      </w:pPr>
      <w:rPr>
        <w:rFonts w:ascii="Symbol" w:hAnsi="Symbol" w:hint="default"/>
      </w:rPr>
    </w:lvl>
    <w:lvl w:ilvl="4" w:tplc="04090003" w:tentative="1">
      <w:start w:val="1"/>
      <w:numFmt w:val="bullet"/>
      <w:lvlText w:val="o"/>
      <w:lvlJc w:val="left"/>
      <w:pPr>
        <w:tabs>
          <w:tab w:val="left" w:pos="3600"/>
        </w:tabs>
        <w:ind w:left="3600" w:hanging="360"/>
      </w:pPr>
      <w:rPr>
        <w:rFonts w:ascii="Courier New" w:hAnsi="Courier New" w:hint="default"/>
      </w:rPr>
    </w:lvl>
    <w:lvl w:ilvl="5" w:tplc="04090005" w:tentative="1">
      <w:start w:val="1"/>
      <w:numFmt w:val="bullet"/>
      <w:lvlText w:val=""/>
      <w:lvlJc w:val="left"/>
      <w:pPr>
        <w:tabs>
          <w:tab w:val="left" w:pos="4320"/>
        </w:tabs>
        <w:ind w:left="4320" w:hanging="360"/>
      </w:pPr>
      <w:rPr>
        <w:rFonts w:ascii="Wingdings" w:hAnsi="Wingdings" w:hint="default"/>
      </w:rPr>
    </w:lvl>
    <w:lvl w:ilvl="6" w:tplc="04090001" w:tentative="1">
      <w:start w:val="1"/>
      <w:numFmt w:val="bullet"/>
      <w:lvlText w:val=""/>
      <w:lvlJc w:val="left"/>
      <w:pPr>
        <w:tabs>
          <w:tab w:val="left" w:pos="5040"/>
        </w:tabs>
        <w:ind w:left="5040" w:hanging="360"/>
      </w:pPr>
      <w:rPr>
        <w:rFonts w:ascii="Symbol" w:hAnsi="Symbol" w:hint="default"/>
      </w:rPr>
    </w:lvl>
    <w:lvl w:ilvl="7" w:tplc="04090003" w:tentative="1">
      <w:start w:val="1"/>
      <w:numFmt w:val="bullet"/>
      <w:lvlText w:val="o"/>
      <w:lvlJc w:val="left"/>
      <w:pPr>
        <w:tabs>
          <w:tab w:val="left" w:pos="5760"/>
        </w:tabs>
        <w:ind w:left="5760" w:hanging="360"/>
      </w:pPr>
      <w:rPr>
        <w:rFonts w:ascii="Courier New" w:hAnsi="Courier New" w:hint="default"/>
      </w:rPr>
    </w:lvl>
    <w:lvl w:ilvl="8" w:tplc="04090005" w:tentative="1">
      <w:start w:val="1"/>
      <w:numFmt w:val="bullet"/>
      <w:lvlText w:val=""/>
      <w:lvlJc w:val="left"/>
      <w:pPr>
        <w:tabs>
          <w:tab w:val="left" w:pos="6480"/>
        </w:tabs>
        <w:ind w:left="6480" w:hanging="360"/>
      </w:pPr>
      <w:rPr>
        <w:rFonts w:ascii="Wingdings" w:hAnsi="Wingdings" w:hint="default"/>
      </w:rPr>
    </w:lvl>
  </w:abstractNum>
  <w:abstractNum w:abstractNumId="8" w15:restartNumberingAfterBreak="0">
    <w:nsid w:val="00000009"/>
    <w:multiLevelType w:val="hybridMultilevel"/>
    <w:tmpl w:val="37982864"/>
    <w:lvl w:ilvl="0" w:tplc="73D4F5EE">
      <w:start w:val="14"/>
      <w:numFmt w:val="bullet"/>
      <w:lvlText w:val="–"/>
      <w:lvlJc w:val="left"/>
      <w:pPr>
        <w:ind w:left="405" w:hanging="360"/>
      </w:pPr>
      <w:rPr>
        <w:rFonts w:ascii="Times New Roman" w:eastAsia="Times New Roman" w:hAnsi="Times New Roman" w:cs="Times New Roman"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abstractNum w:abstractNumId="9" w15:restartNumberingAfterBreak="0">
    <w:nsid w:val="0000000A"/>
    <w:multiLevelType w:val="hybridMultilevel"/>
    <w:tmpl w:val="1E42311E"/>
    <w:lvl w:ilvl="0" w:tplc="AF9C6A16">
      <w:start w:val="1"/>
      <w:numFmt w:val="decimal"/>
      <w:lvlText w:val="2.%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0000000B"/>
    <w:multiLevelType w:val="hybridMultilevel"/>
    <w:tmpl w:val="FF0E5B48"/>
    <w:lvl w:ilvl="0" w:tplc="6D5E22D8">
      <w:start w:val="1"/>
      <w:numFmt w:val="bullet"/>
      <w:pStyle w:val="Bullet1G"/>
      <w:lvlText w:val="•"/>
      <w:lvlJc w:val="left"/>
      <w:pPr>
        <w:tabs>
          <w:tab w:val="left"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left" w:pos="1440"/>
        </w:tabs>
        <w:ind w:left="1440" w:hanging="360"/>
      </w:pPr>
      <w:rPr>
        <w:rFonts w:ascii="Courier New" w:hAnsi="Courier New" w:hint="default"/>
      </w:rPr>
    </w:lvl>
    <w:lvl w:ilvl="2" w:tplc="04090005" w:tentative="1">
      <w:start w:val="1"/>
      <w:numFmt w:val="bullet"/>
      <w:lvlText w:val=""/>
      <w:lvlJc w:val="left"/>
      <w:pPr>
        <w:tabs>
          <w:tab w:val="left" w:pos="2160"/>
        </w:tabs>
        <w:ind w:left="2160" w:hanging="360"/>
      </w:pPr>
      <w:rPr>
        <w:rFonts w:ascii="Wingdings" w:hAnsi="Wingdings" w:hint="default"/>
      </w:rPr>
    </w:lvl>
    <w:lvl w:ilvl="3" w:tplc="04090001" w:tentative="1">
      <w:start w:val="1"/>
      <w:numFmt w:val="bullet"/>
      <w:lvlText w:val=""/>
      <w:lvlJc w:val="left"/>
      <w:pPr>
        <w:tabs>
          <w:tab w:val="left" w:pos="2880"/>
        </w:tabs>
        <w:ind w:left="2880" w:hanging="360"/>
      </w:pPr>
      <w:rPr>
        <w:rFonts w:ascii="Symbol" w:hAnsi="Symbol" w:hint="default"/>
      </w:rPr>
    </w:lvl>
    <w:lvl w:ilvl="4" w:tplc="04090003" w:tentative="1">
      <w:start w:val="1"/>
      <w:numFmt w:val="bullet"/>
      <w:lvlText w:val="o"/>
      <w:lvlJc w:val="left"/>
      <w:pPr>
        <w:tabs>
          <w:tab w:val="left" w:pos="3600"/>
        </w:tabs>
        <w:ind w:left="3600" w:hanging="360"/>
      </w:pPr>
      <w:rPr>
        <w:rFonts w:ascii="Courier New" w:hAnsi="Courier New" w:hint="default"/>
      </w:rPr>
    </w:lvl>
    <w:lvl w:ilvl="5" w:tplc="04090005" w:tentative="1">
      <w:start w:val="1"/>
      <w:numFmt w:val="bullet"/>
      <w:lvlText w:val=""/>
      <w:lvlJc w:val="left"/>
      <w:pPr>
        <w:tabs>
          <w:tab w:val="left" w:pos="4320"/>
        </w:tabs>
        <w:ind w:left="4320" w:hanging="360"/>
      </w:pPr>
      <w:rPr>
        <w:rFonts w:ascii="Wingdings" w:hAnsi="Wingdings" w:hint="default"/>
      </w:rPr>
    </w:lvl>
    <w:lvl w:ilvl="6" w:tplc="04090001" w:tentative="1">
      <w:start w:val="1"/>
      <w:numFmt w:val="bullet"/>
      <w:lvlText w:val=""/>
      <w:lvlJc w:val="left"/>
      <w:pPr>
        <w:tabs>
          <w:tab w:val="left" w:pos="5040"/>
        </w:tabs>
        <w:ind w:left="5040" w:hanging="360"/>
      </w:pPr>
      <w:rPr>
        <w:rFonts w:ascii="Symbol" w:hAnsi="Symbol" w:hint="default"/>
      </w:rPr>
    </w:lvl>
    <w:lvl w:ilvl="7" w:tplc="04090003" w:tentative="1">
      <w:start w:val="1"/>
      <w:numFmt w:val="bullet"/>
      <w:lvlText w:val="o"/>
      <w:lvlJc w:val="left"/>
      <w:pPr>
        <w:tabs>
          <w:tab w:val="left" w:pos="5760"/>
        </w:tabs>
        <w:ind w:left="5760" w:hanging="360"/>
      </w:pPr>
      <w:rPr>
        <w:rFonts w:ascii="Courier New" w:hAnsi="Courier New" w:hint="default"/>
      </w:rPr>
    </w:lvl>
    <w:lvl w:ilvl="8" w:tplc="04090005" w:tentative="1">
      <w:start w:val="1"/>
      <w:numFmt w:val="bullet"/>
      <w:lvlText w:val=""/>
      <w:lvlJc w:val="left"/>
      <w:pPr>
        <w:tabs>
          <w:tab w:val="left" w:pos="6480"/>
        </w:tabs>
        <w:ind w:left="6480" w:hanging="360"/>
      </w:pPr>
      <w:rPr>
        <w:rFonts w:ascii="Wingdings" w:hAnsi="Wingdings" w:hint="default"/>
      </w:rPr>
    </w:lvl>
  </w:abstractNum>
  <w:abstractNum w:abstractNumId="11" w15:restartNumberingAfterBreak="0">
    <w:nsid w:val="0000000C"/>
    <w:multiLevelType w:val="multilevel"/>
    <w:tmpl w:val="877AF692"/>
    <w:lvl w:ilvl="0">
      <w:start w:val="2"/>
      <w:numFmt w:val="decimal"/>
      <w:lvlText w:val="%1"/>
      <w:lvlJc w:val="left"/>
      <w:pPr>
        <w:ind w:left="360" w:hanging="360"/>
      </w:pPr>
      <w:rPr>
        <w:rFonts w:hint="default"/>
        <w:sz w:val="20"/>
      </w:rPr>
    </w:lvl>
    <w:lvl w:ilvl="1">
      <w:start w:val="8"/>
      <w:numFmt w:val="decimal"/>
      <w:lvlText w:val="%1.%2"/>
      <w:lvlJc w:val="left"/>
      <w:pPr>
        <w:ind w:left="360" w:hanging="360"/>
      </w:pPr>
      <w:rPr>
        <w:rFonts w:hint="default"/>
        <w:sz w:val="20"/>
      </w:rPr>
    </w:lvl>
    <w:lvl w:ilvl="2">
      <w:start w:val="1"/>
      <w:numFmt w:val="decimal"/>
      <w:lvlText w:val="%1.%2.%3"/>
      <w:lvlJc w:val="left"/>
      <w:pPr>
        <w:ind w:left="720" w:hanging="720"/>
      </w:pPr>
      <w:rPr>
        <w:rFonts w:hint="default"/>
        <w:sz w:val="20"/>
      </w:rPr>
    </w:lvl>
    <w:lvl w:ilvl="3">
      <w:start w:val="1"/>
      <w:numFmt w:val="decimal"/>
      <w:lvlText w:val="%1.%2.%3.%4"/>
      <w:lvlJc w:val="left"/>
      <w:pPr>
        <w:ind w:left="720" w:hanging="720"/>
      </w:pPr>
      <w:rPr>
        <w:rFonts w:hint="default"/>
        <w:sz w:val="20"/>
      </w:rPr>
    </w:lvl>
    <w:lvl w:ilvl="4">
      <w:start w:val="1"/>
      <w:numFmt w:val="decimal"/>
      <w:lvlText w:val="%1.%2.%3.%4.%5"/>
      <w:lvlJc w:val="left"/>
      <w:pPr>
        <w:ind w:left="1080" w:hanging="1080"/>
      </w:pPr>
      <w:rPr>
        <w:rFonts w:hint="default"/>
        <w:sz w:val="20"/>
      </w:rPr>
    </w:lvl>
    <w:lvl w:ilvl="5">
      <w:start w:val="1"/>
      <w:numFmt w:val="decimal"/>
      <w:lvlText w:val="%1.%2.%3.%4.%5.%6"/>
      <w:lvlJc w:val="left"/>
      <w:pPr>
        <w:ind w:left="1080" w:hanging="1080"/>
      </w:pPr>
      <w:rPr>
        <w:rFonts w:hint="default"/>
        <w:sz w:val="20"/>
      </w:rPr>
    </w:lvl>
    <w:lvl w:ilvl="6">
      <w:start w:val="1"/>
      <w:numFmt w:val="decimal"/>
      <w:lvlText w:val="%1.%2.%3.%4.%5.%6.%7"/>
      <w:lvlJc w:val="left"/>
      <w:pPr>
        <w:ind w:left="1440" w:hanging="1440"/>
      </w:pPr>
      <w:rPr>
        <w:rFonts w:hint="default"/>
        <w:sz w:val="20"/>
      </w:rPr>
    </w:lvl>
    <w:lvl w:ilvl="7">
      <w:start w:val="1"/>
      <w:numFmt w:val="decimal"/>
      <w:lvlText w:val="%1.%2.%3.%4.%5.%6.%7.%8"/>
      <w:lvlJc w:val="left"/>
      <w:pPr>
        <w:ind w:left="1440" w:hanging="1440"/>
      </w:pPr>
      <w:rPr>
        <w:rFonts w:hint="default"/>
        <w:sz w:val="20"/>
      </w:rPr>
    </w:lvl>
    <w:lvl w:ilvl="8">
      <w:start w:val="1"/>
      <w:numFmt w:val="decimal"/>
      <w:lvlText w:val="%1.%2.%3.%4.%5.%6.%7.%8.%9"/>
      <w:lvlJc w:val="left"/>
      <w:pPr>
        <w:ind w:left="1440" w:hanging="1440"/>
      </w:pPr>
      <w:rPr>
        <w:rFonts w:hint="default"/>
        <w:sz w:val="20"/>
      </w:rPr>
    </w:lvl>
  </w:abstractNum>
  <w:abstractNum w:abstractNumId="12" w15:restartNumberingAfterBreak="0">
    <w:nsid w:val="0000000D"/>
    <w:multiLevelType w:val="multilevel"/>
    <w:tmpl w:val="07C09C5C"/>
    <w:lvl w:ilvl="0">
      <w:start w:val="1"/>
      <w:numFmt w:val="decimal"/>
      <w:lvlText w:val="%1."/>
      <w:lvlJc w:val="left"/>
      <w:pPr>
        <w:ind w:left="1689" w:hanging="555"/>
      </w:pPr>
      <w:rPr>
        <w:rFonts w:hint="default"/>
      </w:rPr>
    </w:lvl>
    <w:lvl w:ilvl="1">
      <w:start w:val="1"/>
      <w:numFmt w:val="decimal"/>
      <w:isLgl/>
      <w:lvlText w:val="%1.%2"/>
      <w:lvlJc w:val="left"/>
      <w:pPr>
        <w:ind w:left="1494" w:hanging="360"/>
      </w:pPr>
      <w:rPr>
        <w:rFonts w:hint="default"/>
        <w:b w:val="0"/>
      </w:rPr>
    </w:lvl>
    <w:lvl w:ilvl="2">
      <w:start w:val="1"/>
      <w:numFmt w:val="decimal"/>
      <w:isLgl/>
      <w:lvlText w:val="%1.%2.%3"/>
      <w:lvlJc w:val="left"/>
      <w:pPr>
        <w:ind w:left="1854" w:hanging="720"/>
      </w:pPr>
      <w:rPr>
        <w:rFonts w:hint="default"/>
      </w:rPr>
    </w:lvl>
    <w:lvl w:ilvl="3">
      <w:start w:val="1"/>
      <w:numFmt w:val="decimal"/>
      <w:isLgl/>
      <w:lvlText w:val="%1.%2.%3.%4"/>
      <w:lvlJc w:val="left"/>
      <w:pPr>
        <w:ind w:left="1854" w:hanging="720"/>
      </w:pPr>
      <w:rPr>
        <w:rFonts w:hint="default"/>
      </w:rPr>
    </w:lvl>
    <w:lvl w:ilvl="4">
      <w:start w:val="1"/>
      <w:numFmt w:val="decimal"/>
      <w:isLgl/>
      <w:lvlText w:val="%1.%2.%3.%4.%5"/>
      <w:lvlJc w:val="left"/>
      <w:pPr>
        <w:ind w:left="1854" w:hanging="720"/>
      </w:pPr>
      <w:rPr>
        <w:rFonts w:hint="default"/>
      </w:rPr>
    </w:lvl>
    <w:lvl w:ilvl="5">
      <w:start w:val="1"/>
      <w:numFmt w:val="decimal"/>
      <w:isLgl/>
      <w:lvlText w:val="%1.%2.%3.%4.%5.%6"/>
      <w:lvlJc w:val="left"/>
      <w:pPr>
        <w:ind w:left="2214" w:hanging="1080"/>
      </w:pPr>
      <w:rPr>
        <w:rFonts w:hint="default"/>
      </w:rPr>
    </w:lvl>
    <w:lvl w:ilvl="6">
      <w:start w:val="1"/>
      <w:numFmt w:val="decimal"/>
      <w:isLgl/>
      <w:lvlText w:val="%1.%2.%3.%4.%5.%6.%7"/>
      <w:lvlJc w:val="left"/>
      <w:pPr>
        <w:ind w:left="2214" w:hanging="1080"/>
      </w:pPr>
      <w:rPr>
        <w:rFonts w:hint="default"/>
      </w:rPr>
    </w:lvl>
    <w:lvl w:ilvl="7">
      <w:start w:val="1"/>
      <w:numFmt w:val="decimal"/>
      <w:isLgl/>
      <w:lvlText w:val="%1.%2.%3.%4.%5.%6.%7.%8"/>
      <w:lvlJc w:val="left"/>
      <w:pPr>
        <w:ind w:left="2574" w:hanging="1440"/>
      </w:pPr>
      <w:rPr>
        <w:rFonts w:hint="default"/>
      </w:rPr>
    </w:lvl>
    <w:lvl w:ilvl="8">
      <w:start w:val="1"/>
      <w:numFmt w:val="decimal"/>
      <w:isLgl/>
      <w:lvlText w:val="%1.%2.%3.%4.%5.%6.%7.%8.%9"/>
      <w:lvlJc w:val="left"/>
      <w:pPr>
        <w:ind w:left="2574" w:hanging="1440"/>
      </w:pPr>
      <w:rPr>
        <w:rFonts w:hint="default"/>
      </w:rPr>
    </w:lvl>
  </w:abstractNum>
  <w:abstractNum w:abstractNumId="13" w15:restartNumberingAfterBreak="0">
    <w:nsid w:val="0000000E"/>
    <w:multiLevelType w:val="multilevel"/>
    <w:tmpl w:val="BCEAD844"/>
    <w:lvl w:ilvl="0">
      <w:start w:val="1"/>
      <w:numFmt w:val="decimal"/>
      <w:lvlText w:val="%1"/>
      <w:lvlJc w:val="left"/>
      <w:pPr>
        <w:ind w:left="555" w:hanging="555"/>
      </w:pPr>
      <w:rPr>
        <w:rFonts w:hint="default"/>
      </w:rPr>
    </w:lvl>
    <w:lvl w:ilvl="1">
      <w:start w:val="1"/>
      <w:numFmt w:val="decimal"/>
      <w:lvlText w:val="%1.%2"/>
      <w:lvlJc w:val="left"/>
      <w:pPr>
        <w:ind w:left="2399" w:hanging="555"/>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256" w:hanging="72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7884" w:hanging="108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512" w:hanging="1440"/>
      </w:pPr>
      <w:rPr>
        <w:rFonts w:hint="default"/>
      </w:rPr>
    </w:lvl>
  </w:abstractNum>
  <w:abstractNum w:abstractNumId="14" w15:restartNumberingAfterBreak="0">
    <w:nsid w:val="0000000F"/>
    <w:multiLevelType w:val="hybridMultilevel"/>
    <w:tmpl w:val="E6D4F9DC"/>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5" w15:restartNumberingAfterBreak="0">
    <w:nsid w:val="00000010"/>
    <w:multiLevelType w:val="multilevel"/>
    <w:tmpl w:val="B3C04630"/>
    <w:lvl w:ilvl="0">
      <w:start w:val="2"/>
      <w:numFmt w:val="decimal"/>
      <w:lvlText w:val="%1"/>
      <w:lvlJc w:val="left"/>
      <w:pPr>
        <w:ind w:left="360" w:hanging="360"/>
      </w:pPr>
      <w:rPr>
        <w:rFonts w:hint="default"/>
      </w:rPr>
    </w:lvl>
    <w:lvl w:ilvl="1">
      <w:start w:val="4"/>
      <w:numFmt w:val="decimal"/>
      <w:lvlText w:val="%1.%2"/>
      <w:lvlJc w:val="left"/>
      <w:pPr>
        <w:ind w:left="1353"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256" w:hanging="72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7884" w:hanging="108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512" w:hanging="1440"/>
      </w:pPr>
      <w:rPr>
        <w:rFonts w:hint="default"/>
      </w:rPr>
    </w:lvl>
  </w:abstractNum>
  <w:abstractNum w:abstractNumId="16" w15:restartNumberingAfterBreak="0">
    <w:nsid w:val="00000011"/>
    <w:multiLevelType w:val="multilevel"/>
    <w:tmpl w:val="5BA64AE4"/>
    <w:lvl w:ilvl="0">
      <w:start w:val="2"/>
      <w:numFmt w:val="decimal"/>
      <w:lvlText w:val="%1"/>
      <w:lvlJc w:val="left"/>
      <w:pPr>
        <w:ind w:left="360" w:hanging="360"/>
      </w:pPr>
      <w:rPr>
        <w:rFonts w:hint="default"/>
      </w:rPr>
    </w:lvl>
    <w:lvl w:ilvl="1">
      <w:start w:val="2"/>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256" w:hanging="72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7884" w:hanging="108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512" w:hanging="1440"/>
      </w:pPr>
      <w:rPr>
        <w:rFonts w:hint="default"/>
      </w:rPr>
    </w:lvl>
  </w:abstractNum>
  <w:abstractNum w:abstractNumId="17" w15:restartNumberingAfterBreak="0">
    <w:nsid w:val="00000012"/>
    <w:multiLevelType w:val="hybridMultilevel"/>
    <w:tmpl w:val="F6A22DEC"/>
    <w:lvl w:ilvl="0" w:tplc="561249C8">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8" w15:restartNumberingAfterBreak="0">
    <w:nsid w:val="0000001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00000014"/>
    <w:multiLevelType w:val="multilevel"/>
    <w:tmpl w:val="0409001F"/>
    <w:styleLink w:val="111111"/>
    <w:lvl w:ilvl="0">
      <w:start w:val="1"/>
      <w:numFmt w:val="decimal"/>
      <w:lvlText w:val="%1."/>
      <w:lvlJc w:val="left"/>
      <w:pPr>
        <w:tabs>
          <w:tab w:val="left" w:pos="360"/>
        </w:tabs>
        <w:ind w:left="360" w:hanging="360"/>
      </w:pPr>
    </w:lvl>
    <w:lvl w:ilvl="1">
      <w:start w:val="1"/>
      <w:numFmt w:val="decimal"/>
      <w:lvlText w:val="%1.%2."/>
      <w:lvlJc w:val="left"/>
      <w:pPr>
        <w:tabs>
          <w:tab w:val="left" w:pos="792"/>
        </w:tabs>
        <w:ind w:left="792" w:hanging="432"/>
      </w:pPr>
    </w:lvl>
    <w:lvl w:ilvl="2">
      <w:start w:val="1"/>
      <w:numFmt w:val="decimal"/>
      <w:lvlText w:val="%1.%2.%3."/>
      <w:lvlJc w:val="left"/>
      <w:pPr>
        <w:tabs>
          <w:tab w:val="left" w:pos="1224"/>
        </w:tabs>
        <w:ind w:left="1224" w:hanging="504"/>
      </w:pPr>
    </w:lvl>
    <w:lvl w:ilvl="3">
      <w:start w:val="1"/>
      <w:numFmt w:val="decimal"/>
      <w:lvlText w:val="%1.%2.%3.%4."/>
      <w:lvlJc w:val="left"/>
      <w:pPr>
        <w:tabs>
          <w:tab w:val="left" w:pos="1728"/>
        </w:tabs>
        <w:ind w:left="1728" w:hanging="648"/>
      </w:pPr>
    </w:lvl>
    <w:lvl w:ilvl="4">
      <w:start w:val="1"/>
      <w:numFmt w:val="decimal"/>
      <w:lvlText w:val="%1.%2.%3.%4.%5."/>
      <w:lvlJc w:val="left"/>
      <w:pPr>
        <w:tabs>
          <w:tab w:val="left" w:pos="2232"/>
        </w:tabs>
        <w:ind w:left="2232" w:hanging="792"/>
      </w:pPr>
    </w:lvl>
    <w:lvl w:ilvl="5">
      <w:start w:val="1"/>
      <w:numFmt w:val="decimal"/>
      <w:lvlText w:val="%1.%2.%3.%4.%5.%6."/>
      <w:lvlJc w:val="left"/>
      <w:pPr>
        <w:tabs>
          <w:tab w:val="left" w:pos="2736"/>
        </w:tabs>
        <w:ind w:left="2736" w:hanging="936"/>
      </w:pPr>
    </w:lvl>
    <w:lvl w:ilvl="6">
      <w:start w:val="1"/>
      <w:numFmt w:val="decimal"/>
      <w:lvlText w:val="%1.%2.%3.%4.%5.%6.%7."/>
      <w:lvlJc w:val="left"/>
      <w:pPr>
        <w:tabs>
          <w:tab w:val="left" w:pos="3240"/>
        </w:tabs>
        <w:ind w:left="3240" w:hanging="1080"/>
      </w:pPr>
    </w:lvl>
    <w:lvl w:ilvl="7">
      <w:start w:val="1"/>
      <w:numFmt w:val="decimal"/>
      <w:lvlText w:val="%1.%2.%3.%4.%5.%6.%7.%8."/>
      <w:lvlJc w:val="left"/>
      <w:pPr>
        <w:tabs>
          <w:tab w:val="left" w:pos="3744"/>
        </w:tabs>
        <w:ind w:left="3744" w:hanging="1224"/>
      </w:pPr>
    </w:lvl>
    <w:lvl w:ilvl="8">
      <w:start w:val="1"/>
      <w:numFmt w:val="decimal"/>
      <w:lvlText w:val="%1.%2.%3.%4.%5.%6.%7.%8.%9."/>
      <w:lvlJc w:val="left"/>
      <w:pPr>
        <w:tabs>
          <w:tab w:val="left" w:pos="4320"/>
        </w:tabs>
        <w:ind w:left="4320" w:hanging="1440"/>
      </w:pPr>
    </w:lvl>
  </w:abstractNum>
  <w:abstractNum w:abstractNumId="20" w15:restartNumberingAfterBreak="0">
    <w:nsid w:val="00000015"/>
    <w:multiLevelType w:val="multilevel"/>
    <w:tmpl w:val="C5E8FCD4"/>
    <w:lvl w:ilvl="0">
      <w:start w:val="1"/>
      <w:numFmt w:val="decimal"/>
      <w:lvlText w:val="%1"/>
      <w:lvlJc w:val="left"/>
      <w:pPr>
        <w:ind w:left="360" w:hanging="360"/>
      </w:pPr>
      <w:rPr>
        <w:rFonts w:hint="default"/>
      </w:rPr>
    </w:lvl>
    <w:lvl w:ilvl="1">
      <w:start w:val="1"/>
      <w:numFmt w:val="decimal"/>
      <w:lvlText w:val="%1.%2"/>
      <w:lvlJc w:val="left"/>
      <w:pPr>
        <w:ind w:left="1494" w:hanging="360"/>
      </w:pPr>
      <w:rPr>
        <w:rFonts w:hint="default"/>
        <w:b w:val="0"/>
        <w:bCs/>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256" w:hanging="72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7884" w:hanging="108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512" w:hanging="1440"/>
      </w:pPr>
      <w:rPr>
        <w:rFonts w:hint="default"/>
      </w:rPr>
    </w:lvl>
  </w:abstractNum>
  <w:abstractNum w:abstractNumId="21" w15:restartNumberingAfterBreak="0">
    <w:nsid w:val="00000016"/>
    <w:multiLevelType w:val="hybridMultilevel"/>
    <w:tmpl w:val="334088C2"/>
    <w:lvl w:ilvl="0" w:tplc="CDEC7886">
      <w:start w:val="6"/>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00000017"/>
    <w:multiLevelType w:val="hybridMultilevel"/>
    <w:tmpl w:val="EDCEBC1C"/>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3" w15:restartNumberingAfterBreak="0">
    <w:nsid w:val="00000018"/>
    <w:multiLevelType w:val="multilevel"/>
    <w:tmpl w:val="64B04F5E"/>
    <w:lvl w:ilvl="0">
      <w:start w:val="2"/>
      <w:numFmt w:val="decimal"/>
      <w:lvlText w:val="%1"/>
      <w:lvlJc w:val="left"/>
      <w:pPr>
        <w:ind w:left="360" w:hanging="360"/>
      </w:pPr>
      <w:rPr>
        <w:rFonts w:hint="default"/>
      </w:rPr>
    </w:lvl>
    <w:lvl w:ilvl="1">
      <w:start w:val="10"/>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256" w:hanging="72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7884" w:hanging="108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512" w:hanging="1440"/>
      </w:pPr>
      <w:rPr>
        <w:rFonts w:hint="default"/>
      </w:rPr>
    </w:lvl>
  </w:abstractNum>
  <w:abstractNum w:abstractNumId="24" w15:restartNumberingAfterBreak="0">
    <w:nsid w:val="00000019"/>
    <w:multiLevelType w:val="multilevel"/>
    <w:tmpl w:val="870E837E"/>
    <w:lvl w:ilvl="0">
      <w:start w:val="2"/>
      <w:numFmt w:val="decimal"/>
      <w:lvlText w:val="%1"/>
      <w:lvlJc w:val="left"/>
      <w:pPr>
        <w:ind w:left="360" w:hanging="360"/>
      </w:pPr>
      <w:rPr>
        <w:rFonts w:eastAsia="SimSun" w:hint="default"/>
        <w:b w:val="0"/>
      </w:rPr>
    </w:lvl>
    <w:lvl w:ilvl="1">
      <w:start w:val="8"/>
      <w:numFmt w:val="decimal"/>
      <w:lvlText w:val="%1.%2"/>
      <w:lvlJc w:val="left"/>
      <w:pPr>
        <w:ind w:left="1494" w:hanging="360"/>
      </w:pPr>
      <w:rPr>
        <w:rFonts w:eastAsia="SimSun" w:hint="default"/>
        <w:b w:val="0"/>
      </w:rPr>
    </w:lvl>
    <w:lvl w:ilvl="2">
      <w:start w:val="1"/>
      <w:numFmt w:val="decimal"/>
      <w:lvlText w:val="%1.%2.%3"/>
      <w:lvlJc w:val="left"/>
      <w:pPr>
        <w:ind w:left="2988" w:hanging="720"/>
      </w:pPr>
      <w:rPr>
        <w:rFonts w:eastAsia="SimSun" w:hint="default"/>
        <w:b w:val="0"/>
      </w:rPr>
    </w:lvl>
    <w:lvl w:ilvl="3">
      <w:start w:val="1"/>
      <w:numFmt w:val="decimal"/>
      <w:lvlText w:val="%1.%2.%3.%4"/>
      <w:lvlJc w:val="left"/>
      <w:pPr>
        <w:ind w:left="4122" w:hanging="720"/>
      </w:pPr>
      <w:rPr>
        <w:rFonts w:eastAsia="SimSun" w:hint="default"/>
        <w:b w:val="0"/>
      </w:rPr>
    </w:lvl>
    <w:lvl w:ilvl="4">
      <w:start w:val="1"/>
      <w:numFmt w:val="decimal"/>
      <w:lvlText w:val="%1.%2.%3.%4.%5"/>
      <w:lvlJc w:val="left"/>
      <w:pPr>
        <w:ind w:left="5256" w:hanging="720"/>
      </w:pPr>
      <w:rPr>
        <w:rFonts w:eastAsia="SimSun" w:hint="default"/>
        <w:b w:val="0"/>
      </w:rPr>
    </w:lvl>
    <w:lvl w:ilvl="5">
      <w:start w:val="1"/>
      <w:numFmt w:val="decimal"/>
      <w:lvlText w:val="%1.%2.%3.%4.%5.%6"/>
      <w:lvlJc w:val="left"/>
      <w:pPr>
        <w:ind w:left="6750" w:hanging="1080"/>
      </w:pPr>
      <w:rPr>
        <w:rFonts w:eastAsia="SimSun" w:hint="default"/>
        <w:b w:val="0"/>
      </w:rPr>
    </w:lvl>
    <w:lvl w:ilvl="6">
      <w:start w:val="1"/>
      <w:numFmt w:val="decimal"/>
      <w:lvlText w:val="%1.%2.%3.%4.%5.%6.%7"/>
      <w:lvlJc w:val="left"/>
      <w:pPr>
        <w:ind w:left="7884" w:hanging="1080"/>
      </w:pPr>
      <w:rPr>
        <w:rFonts w:eastAsia="SimSun" w:hint="default"/>
        <w:b w:val="0"/>
      </w:rPr>
    </w:lvl>
    <w:lvl w:ilvl="7">
      <w:start w:val="1"/>
      <w:numFmt w:val="decimal"/>
      <w:lvlText w:val="%1.%2.%3.%4.%5.%6.%7.%8"/>
      <w:lvlJc w:val="left"/>
      <w:pPr>
        <w:ind w:left="9378" w:hanging="1440"/>
      </w:pPr>
      <w:rPr>
        <w:rFonts w:eastAsia="SimSun" w:hint="default"/>
        <w:b w:val="0"/>
      </w:rPr>
    </w:lvl>
    <w:lvl w:ilvl="8">
      <w:start w:val="1"/>
      <w:numFmt w:val="decimal"/>
      <w:lvlText w:val="%1.%2.%3.%4.%5.%6.%7.%8.%9"/>
      <w:lvlJc w:val="left"/>
      <w:pPr>
        <w:ind w:left="10512" w:hanging="1440"/>
      </w:pPr>
      <w:rPr>
        <w:rFonts w:eastAsia="SimSun" w:hint="default"/>
        <w:b w:val="0"/>
      </w:rPr>
    </w:lvl>
  </w:abstractNum>
  <w:abstractNum w:abstractNumId="25" w15:restartNumberingAfterBreak="0">
    <w:nsid w:val="0000001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0000001B"/>
    <w:multiLevelType w:val="multilevel"/>
    <w:tmpl w:val="03FE753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15:restartNumberingAfterBreak="0">
    <w:nsid w:val="0000001C"/>
    <w:multiLevelType w:val="multilevel"/>
    <w:tmpl w:val="EF58CC66"/>
    <w:lvl w:ilvl="0">
      <w:start w:val="2"/>
      <w:numFmt w:val="decimal"/>
      <w:lvlText w:val="%1"/>
      <w:lvlJc w:val="left"/>
      <w:pPr>
        <w:ind w:left="360" w:hanging="360"/>
      </w:pPr>
      <w:rPr>
        <w:rFonts w:hint="default"/>
      </w:rPr>
    </w:lvl>
    <w:lvl w:ilvl="1">
      <w:start w:val="11"/>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256" w:hanging="72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7884" w:hanging="108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512" w:hanging="1440"/>
      </w:pPr>
      <w:rPr>
        <w:rFonts w:hint="default"/>
      </w:rPr>
    </w:lvl>
  </w:abstractNum>
  <w:abstractNum w:abstractNumId="28" w15:restartNumberingAfterBreak="0">
    <w:nsid w:val="0000001D"/>
    <w:multiLevelType w:val="multilevel"/>
    <w:tmpl w:val="8124E45E"/>
    <w:lvl w:ilvl="0">
      <w:start w:val="1"/>
      <w:numFmt w:val="decimal"/>
      <w:lvlText w:val="%1"/>
      <w:lvlJc w:val="left"/>
      <w:pPr>
        <w:ind w:left="360" w:hanging="360"/>
      </w:pPr>
      <w:rPr>
        <w:rFonts w:hint="default"/>
      </w:rPr>
    </w:lvl>
    <w:lvl w:ilvl="1">
      <w:start w:val="1"/>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256" w:hanging="72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7884" w:hanging="108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512" w:hanging="1440"/>
      </w:pPr>
      <w:rPr>
        <w:rFonts w:hint="default"/>
      </w:rPr>
    </w:lvl>
  </w:abstractNum>
  <w:abstractNum w:abstractNumId="29" w15:restartNumberingAfterBreak="0">
    <w:nsid w:val="347A7BE0"/>
    <w:multiLevelType w:val="hybridMultilevel"/>
    <w:tmpl w:val="FFD08D26"/>
    <w:lvl w:ilvl="0" w:tplc="2FB47626">
      <w:start w:val="1"/>
      <w:numFmt w:val="decimal"/>
      <w:pStyle w:val="ParaNoG"/>
      <w:lvlText w:val="%1."/>
      <w:lvlJc w:val="left"/>
      <w:pPr>
        <w:tabs>
          <w:tab w:val="left"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left" w:pos="1440"/>
        </w:tabs>
        <w:ind w:left="1440" w:hanging="360"/>
      </w:pPr>
    </w:lvl>
    <w:lvl w:ilvl="2" w:tplc="0409001B" w:tentative="1">
      <w:start w:val="1"/>
      <w:numFmt w:val="lowerRoman"/>
      <w:lvlText w:val="%3."/>
      <w:lvlJc w:val="right"/>
      <w:pPr>
        <w:tabs>
          <w:tab w:val="left" w:pos="2160"/>
        </w:tabs>
        <w:ind w:left="2160" w:hanging="180"/>
      </w:pPr>
    </w:lvl>
    <w:lvl w:ilvl="3" w:tplc="0409000F" w:tentative="1">
      <w:start w:val="1"/>
      <w:numFmt w:val="decimal"/>
      <w:lvlText w:val="%4."/>
      <w:lvlJc w:val="left"/>
      <w:pPr>
        <w:tabs>
          <w:tab w:val="left" w:pos="2880"/>
        </w:tabs>
        <w:ind w:left="2880" w:hanging="360"/>
      </w:pPr>
    </w:lvl>
    <w:lvl w:ilvl="4" w:tplc="04090019" w:tentative="1">
      <w:start w:val="1"/>
      <w:numFmt w:val="lowerLetter"/>
      <w:lvlText w:val="%5."/>
      <w:lvlJc w:val="left"/>
      <w:pPr>
        <w:tabs>
          <w:tab w:val="left" w:pos="3600"/>
        </w:tabs>
        <w:ind w:left="3600" w:hanging="360"/>
      </w:pPr>
    </w:lvl>
    <w:lvl w:ilvl="5" w:tplc="0409001B" w:tentative="1">
      <w:start w:val="1"/>
      <w:numFmt w:val="lowerRoman"/>
      <w:lvlText w:val="%6."/>
      <w:lvlJc w:val="right"/>
      <w:pPr>
        <w:tabs>
          <w:tab w:val="left" w:pos="4320"/>
        </w:tabs>
        <w:ind w:left="4320" w:hanging="180"/>
      </w:pPr>
    </w:lvl>
    <w:lvl w:ilvl="6" w:tplc="0409000F" w:tentative="1">
      <w:start w:val="1"/>
      <w:numFmt w:val="decimal"/>
      <w:lvlText w:val="%7."/>
      <w:lvlJc w:val="left"/>
      <w:pPr>
        <w:tabs>
          <w:tab w:val="left" w:pos="5040"/>
        </w:tabs>
        <w:ind w:left="5040" w:hanging="360"/>
      </w:pPr>
    </w:lvl>
    <w:lvl w:ilvl="7" w:tplc="04090019" w:tentative="1">
      <w:start w:val="1"/>
      <w:numFmt w:val="lowerLetter"/>
      <w:lvlText w:val="%8."/>
      <w:lvlJc w:val="left"/>
      <w:pPr>
        <w:tabs>
          <w:tab w:val="left" w:pos="5760"/>
        </w:tabs>
        <w:ind w:left="5760" w:hanging="360"/>
      </w:pPr>
    </w:lvl>
    <w:lvl w:ilvl="8" w:tplc="0409001B" w:tentative="1">
      <w:start w:val="1"/>
      <w:numFmt w:val="lowerRoman"/>
      <w:lvlText w:val="%9."/>
      <w:lvlJc w:val="right"/>
      <w:pPr>
        <w:tabs>
          <w:tab w:val="left" w:pos="6480"/>
        </w:tabs>
        <w:ind w:left="6480" w:hanging="180"/>
      </w:pPr>
    </w:lvl>
  </w:abstractNum>
  <w:abstractNum w:abstractNumId="30" w15:restartNumberingAfterBreak="0">
    <w:nsid w:val="39E82D2E"/>
    <w:multiLevelType w:val="multilevel"/>
    <w:tmpl w:val="DA2EAE02"/>
    <w:lvl w:ilvl="0">
      <w:start w:val="1"/>
      <w:numFmt w:val="decimal"/>
      <w:lvlText w:val="%1"/>
      <w:lvlJc w:val="left"/>
      <w:pPr>
        <w:ind w:left="570" w:hanging="570"/>
      </w:pPr>
      <w:rPr>
        <w:rFonts w:eastAsia="Times New Roman" w:hint="default"/>
      </w:rPr>
    </w:lvl>
    <w:lvl w:ilvl="1">
      <w:start w:val="1"/>
      <w:numFmt w:val="decimal"/>
      <w:lvlText w:val="%1.%2"/>
      <w:lvlJc w:val="left"/>
      <w:pPr>
        <w:ind w:left="1704" w:hanging="570"/>
      </w:pPr>
      <w:rPr>
        <w:rFonts w:eastAsia="Times New Roman" w:hint="default"/>
      </w:rPr>
    </w:lvl>
    <w:lvl w:ilvl="2">
      <w:start w:val="1"/>
      <w:numFmt w:val="decimal"/>
      <w:lvlText w:val="%1.%2.%3"/>
      <w:lvlJc w:val="left"/>
      <w:pPr>
        <w:ind w:left="2988" w:hanging="720"/>
      </w:pPr>
      <w:rPr>
        <w:rFonts w:eastAsia="Times New Roman" w:hint="default"/>
      </w:rPr>
    </w:lvl>
    <w:lvl w:ilvl="3">
      <w:start w:val="1"/>
      <w:numFmt w:val="decimal"/>
      <w:lvlText w:val="%1.%2.%3.%4"/>
      <w:lvlJc w:val="left"/>
      <w:pPr>
        <w:ind w:left="4122" w:hanging="720"/>
      </w:pPr>
      <w:rPr>
        <w:rFonts w:eastAsia="Times New Roman" w:hint="default"/>
      </w:rPr>
    </w:lvl>
    <w:lvl w:ilvl="4">
      <w:start w:val="1"/>
      <w:numFmt w:val="decimal"/>
      <w:lvlText w:val="%1.%2.%3.%4.%5"/>
      <w:lvlJc w:val="left"/>
      <w:pPr>
        <w:ind w:left="5256" w:hanging="720"/>
      </w:pPr>
      <w:rPr>
        <w:rFonts w:eastAsia="Times New Roman" w:hint="default"/>
      </w:rPr>
    </w:lvl>
    <w:lvl w:ilvl="5">
      <w:start w:val="1"/>
      <w:numFmt w:val="decimal"/>
      <w:lvlText w:val="%1.%2.%3.%4.%5.%6"/>
      <w:lvlJc w:val="left"/>
      <w:pPr>
        <w:ind w:left="6750" w:hanging="1080"/>
      </w:pPr>
      <w:rPr>
        <w:rFonts w:eastAsia="Times New Roman" w:hint="default"/>
      </w:rPr>
    </w:lvl>
    <w:lvl w:ilvl="6">
      <w:start w:val="1"/>
      <w:numFmt w:val="decimal"/>
      <w:lvlText w:val="%1.%2.%3.%4.%5.%6.%7"/>
      <w:lvlJc w:val="left"/>
      <w:pPr>
        <w:ind w:left="7884" w:hanging="1080"/>
      </w:pPr>
      <w:rPr>
        <w:rFonts w:eastAsia="Times New Roman" w:hint="default"/>
      </w:rPr>
    </w:lvl>
    <w:lvl w:ilvl="7">
      <w:start w:val="1"/>
      <w:numFmt w:val="decimal"/>
      <w:lvlText w:val="%1.%2.%3.%4.%5.%6.%7.%8"/>
      <w:lvlJc w:val="left"/>
      <w:pPr>
        <w:ind w:left="9378" w:hanging="1440"/>
      </w:pPr>
      <w:rPr>
        <w:rFonts w:eastAsia="Times New Roman" w:hint="default"/>
      </w:rPr>
    </w:lvl>
    <w:lvl w:ilvl="8">
      <w:start w:val="1"/>
      <w:numFmt w:val="decimal"/>
      <w:lvlText w:val="%1.%2.%3.%4.%5.%6.%7.%8.%9"/>
      <w:lvlJc w:val="left"/>
      <w:pPr>
        <w:ind w:left="10512" w:hanging="1440"/>
      </w:pPr>
      <w:rPr>
        <w:rFonts w:eastAsia="Times New Roman" w:hint="default"/>
      </w:rPr>
    </w:lvl>
  </w:abstractNum>
  <w:abstractNum w:abstractNumId="31" w15:restartNumberingAfterBreak="0">
    <w:nsid w:val="45231CE5"/>
    <w:multiLevelType w:val="multilevel"/>
    <w:tmpl w:val="FF0AE6C8"/>
    <w:lvl w:ilvl="0">
      <w:start w:val="1"/>
      <w:numFmt w:val="decimal"/>
      <w:lvlText w:val="%1"/>
      <w:lvlJc w:val="left"/>
      <w:pPr>
        <w:ind w:left="360" w:hanging="360"/>
      </w:pPr>
      <w:rPr>
        <w:rFonts w:hint="default"/>
      </w:rPr>
    </w:lvl>
    <w:lvl w:ilvl="1">
      <w:start w:val="1"/>
      <w:numFmt w:val="decimal"/>
      <w:lvlText w:val="%1.%2"/>
      <w:lvlJc w:val="left"/>
      <w:pPr>
        <w:ind w:left="1494" w:hanging="360"/>
      </w:pPr>
      <w:rPr>
        <w:rFonts w:hint="default"/>
        <w:b w:val="0"/>
        <w:bCs/>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256" w:hanging="72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7884" w:hanging="108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512" w:hanging="1440"/>
      </w:pPr>
      <w:rPr>
        <w:rFonts w:hint="default"/>
      </w:rPr>
    </w:lvl>
  </w:abstractNum>
  <w:abstractNum w:abstractNumId="32" w15:restartNumberingAfterBreak="0">
    <w:nsid w:val="57C26562"/>
    <w:multiLevelType w:val="multilevel"/>
    <w:tmpl w:val="38EAE8B6"/>
    <w:lvl w:ilvl="0">
      <w:start w:val="1"/>
      <w:numFmt w:val="decimal"/>
      <w:lvlText w:val="%1"/>
      <w:lvlJc w:val="left"/>
      <w:pPr>
        <w:ind w:left="360" w:hanging="360"/>
      </w:pPr>
      <w:rPr>
        <w:rFonts w:eastAsia="Times New Roman" w:hint="default"/>
      </w:rPr>
    </w:lvl>
    <w:lvl w:ilvl="1">
      <w:start w:val="1"/>
      <w:numFmt w:val="decimal"/>
      <w:lvlText w:val="%1.%2"/>
      <w:lvlJc w:val="left"/>
      <w:pPr>
        <w:ind w:left="1440" w:hanging="360"/>
      </w:pPr>
      <w:rPr>
        <w:rFonts w:eastAsia="Times New Roman" w:hint="default"/>
      </w:rPr>
    </w:lvl>
    <w:lvl w:ilvl="2">
      <w:start w:val="1"/>
      <w:numFmt w:val="decimal"/>
      <w:lvlText w:val="%1.%2.%3"/>
      <w:lvlJc w:val="left"/>
      <w:pPr>
        <w:ind w:left="2880" w:hanging="720"/>
      </w:pPr>
      <w:rPr>
        <w:rFonts w:eastAsia="Times New Roman" w:hint="default"/>
      </w:rPr>
    </w:lvl>
    <w:lvl w:ilvl="3">
      <w:start w:val="1"/>
      <w:numFmt w:val="decimal"/>
      <w:lvlText w:val="%1.%2.%3.%4"/>
      <w:lvlJc w:val="left"/>
      <w:pPr>
        <w:ind w:left="3960" w:hanging="720"/>
      </w:pPr>
      <w:rPr>
        <w:rFonts w:eastAsia="Times New Roman" w:hint="default"/>
      </w:rPr>
    </w:lvl>
    <w:lvl w:ilvl="4">
      <w:start w:val="1"/>
      <w:numFmt w:val="decimal"/>
      <w:lvlText w:val="%1.%2.%3.%4.%5"/>
      <w:lvlJc w:val="left"/>
      <w:pPr>
        <w:ind w:left="5040" w:hanging="720"/>
      </w:pPr>
      <w:rPr>
        <w:rFonts w:eastAsia="Times New Roman" w:hint="default"/>
      </w:rPr>
    </w:lvl>
    <w:lvl w:ilvl="5">
      <w:start w:val="1"/>
      <w:numFmt w:val="decimal"/>
      <w:lvlText w:val="%1.%2.%3.%4.%5.%6"/>
      <w:lvlJc w:val="left"/>
      <w:pPr>
        <w:ind w:left="6480" w:hanging="1080"/>
      </w:pPr>
      <w:rPr>
        <w:rFonts w:eastAsia="Times New Roman" w:hint="default"/>
      </w:rPr>
    </w:lvl>
    <w:lvl w:ilvl="6">
      <w:start w:val="1"/>
      <w:numFmt w:val="decimal"/>
      <w:lvlText w:val="%1.%2.%3.%4.%5.%6.%7"/>
      <w:lvlJc w:val="left"/>
      <w:pPr>
        <w:ind w:left="7560" w:hanging="1080"/>
      </w:pPr>
      <w:rPr>
        <w:rFonts w:eastAsia="Times New Roman" w:hint="default"/>
      </w:rPr>
    </w:lvl>
    <w:lvl w:ilvl="7">
      <w:start w:val="1"/>
      <w:numFmt w:val="decimal"/>
      <w:lvlText w:val="%1.%2.%3.%4.%5.%6.%7.%8"/>
      <w:lvlJc w:val="left"/>
      <w:pPr>
        <w:ind w:left="9000" w:hanging="1440"/>
      </w:pPr>
      <w:rPr>
        <w:rFonts w:eastAsia="Times New Roman" w:hint="default"/>
      </w:rPr>
    </w:lvl>
    <w:lvl w:ilvl="8">
      <w:start w:val="1"/>
      <w:numFmt w:val="decimal"/>
      <w:lvlText w:val="%1.%2.%3.%4.%5.%6.%7.%8.%9"/>
      <w:lvlJc w:val="left"/>
      <w:pPr>
        <w:ind w:left="10080" w:hanging="1440"/>
      </w:pPr>
      <w:rPr>
        <w:rFonts w:eastAsia="Times New Roman" w:hint="default"/>
      </w:rPr>
    </w:lvl>
  </w:abstractNum>
  <w:abstractNum w:abstractNumId="33" w15:restartNumberingAfterBreak="0">
    <w:nsid w:val="7C8F4A66"/>
    <w:multiLevelType w:val="multilevel"/>
    <w:tmpl w:val="F36E83E8"/>
    <w:lvl w:ilvl="0">
      <w:start w:val="1"/>
      <w:numFmt w:val="decimal"/>
      <w:lvlText w:val="%1"/>
      <w:lvlJc w:val="left"/>
      <w:pPr>
        <w:ind w:left="555" w:hanging="555"/>
      </w:pPr>
      <w:rPr>
        <w:rFonts w:hint="default"/>
      </w:rPr>
    </w:lvl>
    <w:lvl w:ilvl="1">
      <w:start w:val="1"/>
      <w:numFmt w:val="decimal"/>
      <w:lvlText w:val="%1.%2"/>
      <w:lvlJc w:val="left"/>
      <w:pPr>
        <w:ind w:left="1689" w:hanging="555"/>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256" w:hanging="72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7884" w:hanging="108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512" w:hanging="1440"/>
      </w:pPr>
      <w:rPr>
        <w:rFonts w:hint="default"/>
      </w:rPr>
    </w:lvl>
  </w:abstractNum>
  <w:num w:numId="1" w16cid:durableId="886572602">
    <w:abstractNumId w:val="10"/>
  </w:num>
  <w:num w:numId="2" w16cid:durableId="955060407">
    <w:abstractNumId w:val="7"/>
  </w:num>
  <w:num w:numId="3" w16cid:durableId="938217788">
    <w:abstractNumId w:val="29"/>
  </w:num>
  <w:num w:numId="4" w16cid:durableId="2033221374">
    <w:abstractNumId w:val="19"/>
  </w:num>
  <w:num w:numId="5" w16cid:durableId="248392415">
    <w:abstractNumId w:val="25"/>
  </w:num>
  <w:num w:numId="6" w16cid:durableId="1795362329">
    <w:abstractNumId w:val="13"/>
  </w:num>
  <w:num w:numId="7" w16cid:durableId="887763015">
    <w:abstractNumId w:val="18"/>
  </w:num>
  <w:num w:numId="8" w16cid:durableId="192155509">
    <w:abstractNumId w:val="4"/>
  </w:num>
  <w:num w:numId="9" w16cid:durableId="1286696521">
    <w:abstractNumId w:val="8"/>
  </w:num>
  <w:num w:numId="10" w16cid:durableId="558781553">
    <w:abstractNumId w:val="12"/>
  </w:num>
  <w:num w:numId="11" w16cid:durableId="32000960">
    <w:abstractNumId w:val="26"/>
  </w:num>
  <w:num w:numId="12" w16cid:durableId="2118912286">
    <w:abstractNumId w:val="24"/>
  </w:num>
  <w:num w:numId="13" w16cid:durableId="1343236388">
    <w:abstractNumId w:val="2"/>
  </w:num>
  <w:num w:numId="14" w16cid:durableId="544878471">
    <w:abstractNumId w:val="3"/>
  </w:num>
  <w:num w:numId="15" w16cid:durableId="2042585653">
    <w:abstractNumId w:val="16"/>
  </w:num>
  <w:num w:numId="16" w16cid:durableId="812525359">
    <w:abstractNumId w:val="21"/>
  </w:num>
  <w:num w:numId="17" w16cid:durableId="331954442">
    <w:abstractNumId w:val="1"/>
  </w:num>
  <w:num w:numId="18" w16cid:durableId="1864518274">
    <w:abstractNumId w:val="14"/>
  </w:num>
  <w:num w:numId="19" w16cid:durableId="1996377999">
    <w:abstractNumId w:val="22"/>
  </w:num>
  <w:num w:numId="20" w16cid:durableId="2017145260">
    <w:abstractNumId w:val="20"/>
  </w:num>
  <w:num w:numId="21" w16cid:durableId="471948442">
    <w:abstractNumId w:val="9"/>
  </w:num>
  <w:num w:numId="22" w16cid:durableId="965430942">
    <w:abstractNumId w:val="15"/>
  </w:num>
  <w:num w:numId="23" w16cid:durableId="2008553978">
    <w:abstractNumId w:val="11"/>
  </w:num>
  <w:num w:numId="24" w16cid:durableId="1682387708">
    <w:abstractNumId w:val="23"/>
  </w:num>
  <w:num w:numId="25" w16cid:durableId="1293711261">
    <w:abstractNumId w:val="27"/>
  </w:num>
  <w:num w:numId="26" w16cid:durableId="251014775">
    <w:abstractNumId w:val="0"/>
  </w:num>
  <w:num w:numId="27" w16cid:durableId="1053698167">
    <w:abstractNumId w:val="17"/>
  </w:num>
  <w:num w:numId="28" w16cid:durableId="1818105221">
    <w:abstractNumId w:val="28"/>
  </w:num>
  <w:num w:numId="29" w16cid:durableId="386608705">
    <w:abstractNumId w:val="6"/>
  </w:num>
  <w:num w:numId="30" w16cid:durableId="346057025">
    <w:abstractNumId w:val="5"/>
  </w:num>
  <w:num w:numId="31" w16cid:durableId="1630941864">
    <w:abstractNumId w:val="33"/>
  </w:num>
  <w:num w:numId="32" w16cid:durableId="2127234658">
    <w:abstractNumId w:val="31"/>
  </w:num>
  <w:num w:numId="33" w16cid:durableId="108748188">
    <w:abstractNumId w:val="30"/>
  </w:num>
  <w:num w:numId="34" w16cid:durableId="414522177">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5"/>
  <w:bordersDoNotSurroundHeader/>
  <w:bordersDoNotSurroundFooter/>
  <w:proofState w:spelling="clean"/>
  <w:documentProtection w:edit="trackedChanges" w:enforcement="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59F5"/>
    <w:rsid w:val="00001263"/>
    <w:rsid w:val="00001332"/>
    <w:rsid w:val="0000178C"/>
    <w:rsid w:val="0000333B"/>
    <w:rsid w:val="000034AF"/>
    <w:rsid w:val="00003703"/>
    <w:rsid w:val="0000380F"/>
    <w:rsid w:val="00003FA5"/>
    <w:rsid w:val="00004C55"/>
    <w:rsid w:val="0000633A"/>
    <w:rsid w:val="00006CA9"/>
    <w:rsid w:val="000075BC"/>
    <w:rsid w:val="000105AE"/>
    <w:rsid w:val="00010D49"/>
    <w:rsid w:val="00011D22"/>
    <w:rsid w:val="000146ED"/>
    <w:rsid w:val="00014B69"/>
    <w:rsid w:val="00014F97"/>
    <w:rsid w:val="00016378"/>
    <w:rsid w:val="00017B0A"/>
    <w:rsid w:val="00017CA0"/>
    <w:rsid w:val="000202DC"/>
    <w:rsid w:val="00020AE1"/>
    <w:rsid w:val="0002189A"/>
    <w:rsid w:val="00021B6E"/>
    <w:rsid w:val="00022D1C"/>
    <w:rsid w:val="000231B0"/>
    <w:rsid w:val="00023510"/>
    <w:rsid w:val="000248B5"/>
    <w:rsid w:val="00024E5F"/>
    <w:rsid w:val="000250CB"/>
    <w:rsid w:val="000272E8"/>
    <w:rsid w:val="0003120F"/>
    <w:rsid w:val="00033121"/>
    <w:rsid w:val="00034BB7"/>
    <w:rsid w:val="00035A8A"/>
    <w:rsid w:val="000361AC"/>
    <w:rsid w:val="000369E3"/>
    <w:rsid w:val="00036E0C"/>
    <w:rsid w:val="00037AA4"/>
    <w:rsid w:val="00037B11"/>
    <w:rsid w:val="0004021F"/>
    <w:rsid w:val="0004131F"/>
    <w:rsid w:val="00041452"/>
    <w:rsid w:val="00041BCF"/>
    <w:rsid w:val="000423F9"/>
    <w:rsid w:val="0004520B"/>
    <w:rsid w:val="00045D86"/>
    <w:rsid w:val="00045F95"/>
    <w:rsid w:val="00046490"/>
    <w:rsid w:val="00046715"/>
    <w:rsid w:val="0005097E"/>
    <w:rsid w:val="000510CC"/>
    <w:rsid w:val="00051953"/>
    <w:rsid w:val="00051A5E"/>
    <w:rsid w:val="00051B8B"/>
    <w:rsid w:val="000526F9"/>
    <w:rsid w:val="00053821"/>
    <w:rsid w:val="0005531E"/>
    <w:rsid w:val="00055426"/>
    <w:rsid w:val="0005548F"/>
    <w:rsid w:val="00055C11"/>
    <w:rsid w:val="000614DD"/>
    <w:rsid w:val="00063D53"/>
    <w:rsid w:val="0006446E"/>
    <w:rsid w:val="000658AA"/>
    <w:rsid w:val="00065EE0"/>
    <w:rsid w:val="000666F6"/>
    <w:rsid w:val="000702D5"/>
    <w:rsid w:val="0007112F"/>
    <w:rsid w:val="00071687"/>
    <w:rsid w:val="00071849"/>
    <w:rsid w:val="00071E02"/>
    <w:rsid w:val="0007340B"/>
    <w:rsid w:val="00074153"/>
    <w:rsid w:val="000743FD"/>
    <w:rsid w:val="00074B4E"/>
    <w:rsid w:val="000754F6"/>
    <w:rsid w:val="00076AE0"/>
    <w:rsid w:val="00076CD1"/>
    <w:rsid w:val="00081103"/>
    <w:rsid w:val="0008255E"/>
    <w:rsid w:val="0008299E"/>
    <w:rsid w:val="00082FD0"/>
    <w:rsid w:val="00083797"/>
    <w:rsid w:val="00085E23"/>
    <w:rsid w:val="00090191"/>
    <w:rsid w:val="00090253"/>
    <w:rsid w:val="0009481A"/>
    <w:rsid w:val="00094FC5"/>
    <w:rsid w:val="000956FD"/>
    <w:rsid w:val="0009642D"/>
    <w:rsid w:val="000969B5"/>
    <w:rsid w:val="000A031F"/>
    <w:rsid w:val="000A0CD6"/>
    <w:rsid w:val="000A1389"/>
    <w:rsid w:val="000A1478"/>
    <w:rsid w:val="000A167B"/>
    <w:rsid w:val="000A265F"/>
    <w:rsid w:val="000A4646"/>
    <w:rsid w:val="000A51AB"/>
    <w:rsid w:val="000A5F69"/>
    <w:rsid w:val="000A6408"/>
    <w:rsid w:val="000A64C4"/>
    <w:rsid w:val="000A6935"/>
    <w:rsid w:val="000B095E"/>
    <w:rsid w:val="000B0CB6"/>
    <w:rsid w:val="000B1B0C"/>
    <w:rsid w:val="000B1B73"/>
    <w:rsid w:val="000B23C1"/>
    <w:rsid w:val="000B27D6"/>
    <w:rsid w:val="000B45AA"/>
    <w:rsid w:val="000B587C"/>
    <w:rsid w:val="000B61E2"/>
    <w:rsid w:val="000B6651"/>
    <w:rsid w:val="000B6964"/>
    <w:rsid w:val="000B7D53"/>
    <w:rsid w:val="000C0029"/>
    <w:rsid w:val="000C03A8"/>
    <w:rsid w:val="000C04C7"/>
    <w:rsid w:val="000C0D90"/>
    <w:rsid w:val="000C28F5"/>
    <w:rsid w:val="000C3EBA"/>
    <w:rsid w:val="000C5A9F"/>
    <w:rsid w:val="000C7241"/>
    <w:rsid w:val="000C7AB3"/>
    <w:rsid w:val="000D195D"/>
    <w:rsid w:val="000D1C80"/>
    <w:rsid w:val="000D24A5"/>
    <w:rsid w:val="000D29B9"/>
    <w:rsid w:val="000D3413"/>
    <w:rsid w:val="000D3BD4"/>
    <w:rsid w:val="000D3E32"/>
    <w:rsid w:val="000D3EA6"/>
    <w:rsid w:val="000D3EFE"/>
    <w:rsid w:val="000D4344"/>
    <w:rsid w:val="000D4F52"/>
    <w:rsid w:val="000D5691"/>
    <w:rsid w:val="000D5EFB"/>
    <w:rsid w:val="000D6D5C"/>
    <w:rsid w:val="000D739E"/>
    <w:rsid w:val="000E0C52"/>
    <w:rsid w:val="000E276D"/>
    <w:rsid w:val="000E27BE"/>
    <w:rsid w:val="000E4539"/>
    <w:rsid w:val="000E4BFB"/>
    <w:rsid w:val="000E4F49"/>
    <w:rsid w:val="000E6D0D"/>
    <w:rsid w:val="000E7E8A"/>
    <w:rsid w:val="000F0B3A"/>
    <w:rsid w:val="000F1B76"/>
    <w:rsid w:val="000F31C2"/>
    <w:rsid w:val="000F4216"/>
    <w:rsid w:val="000F584F"/>
    <w:rsid w:val="000F6904"/>
    <w:rsid w:val="000F7221"/>
    <w:rsid w:val="000F78E3"/>
    <w:rsid w:val="001001A9"/>
    <w:rsid w:val="00101320"/>
    <w:rsid w:val="0010169C"/>
    <w:rsid w:val="00102D12"/>
    <w:rsid w:val="00102F2E"/>
    <w:rsid w:val="001048E2"/>
    <w:rsid w:val="00105A06"/>
    <w:rsid w:val="001064A4"/>
    <w:rsid w:val="001076E8"/>
    <w:rsid w:val="00107A75"/>
    <w:rsid w:val="00107F42"/>
    <w:rsid w:val="0011454E"/>
    <w:rsid w:val="0011516E"/>
    <w:rsid w:val="001171CE"/>
    <w:rsid w:val="001236DF"/>
    <w:rsid w:val="00123E73"/>
    <w:rsid w:val="001256F7"/>
    <w:rsid w:val="00126AC7"/>
    <w:rsid w:val="00126F09"/>
    <w:rsid w:val="001275C9"/>
    <w:rsid w:val="00133455"/>
    <w:rsid w:val="0013380A"/>
    <w:rsid w:val="00133B4D"/>
    <w:rsid w:val="00135D60"/>
    <w:rsid w:val="00135E6D"/>
    <w:rsid w:val="00136608"/>
    <w:rsid w:val="00136669"/>
    <w:rsid w:val="00137CFC"/>
    <w:rsid w:val="00140CAC"/>
    <w:rsid w:val="00141ED3"/>
    <w:rsid w:val="0014266A"/>
    <w:rsid w:val="001436C5"/>
    <w:rsid w:val="001440AE"/>
    <w:rsid w:val="0014442C"/>
    <w:rsid w:val="00146A69"/>
    <w:rsid w:val="001475EB"/>
    <w:rsid w:val="00151798"/>
    <w:rsid w:val="001526FA"/>
    <w:rsid w:val="00152730"/>
    <w:rsid w:val="00152923"/>
    <w:rsid w:val="00152B10"/>
    <w:rsid w:val="00152DA2"/>
    <w:rsid w:val="00154E6E"/>
    <w:rsid w:val="001554F6"/>
    <w:rsid w:val="0015606D"/>
    <w:rsid w:val="00156A16"/>
    <w:rsid w:val="00156FFB"/>
    <w:rsid w:val="00157624"/>
    <w:rsid w:val="001603FC"/>
    <w:rsid w:val="00160BB9"/>
    <w:rsid w:val="0016199B"/>
    <w:rsid w:val="00161C25"/>
    <w:rsid w:val="0016202A"/>
    <w:rsid w:val="00162773"/>
    <w:rsid w:val="00162CDA"/>
    <w:rsid w:val="00164AB6"/>
    <w:rsid w:val="00164D99"/>
    <w:rsid w:val="001651A5"/>
    <w:rsid w:val="00166DD5"/>
    <w:rsid w:val="0016738F"/>
    <w:rsid w:val="001675AB"/>
    <w:rsid w:val="00167BD5"/>
    <w:rsid w:val="0017048A"/>
    <w:rsid w:val="00171D40"/>
    <w:rsid w:val="00172EFF"/>
    <w:rsid w:val="0017350F"/>
    <w:rsid w:val="00174A2C"/>
    <w:rsid w:val="0017643C"/>
    <w:rsid w:val="00177134"/>
    <w:rsid w:val="001778B6"/>
    <w:rsid w:val="00177A07"/>
    <w:rsid w:val="00177AE3"/>
    <w:rsid w:val="00180573"/>
    <w:rsid w:val="00181969"/>
    <w:rsid w:val="00183079"/>
    <w:rsid w:val="0018346C"/>
    <w:rsid w:val="00183633"/>
    <w:rsid w:val="00190D47"/>
    <w:rsid w:val="00190EE7"/>
    <w:rsid w:val="00190F7E"/>
    <w:rsid w:val="00191657"/>
    <w:rsid w:val="0019188E"/>
    <w:rsid w:val="001922AB"/>
    <w:rsid w:val="00192564"/>
    <w:rsid w:val="001930A5"/>
    <w:rsid w:val="00193CDE"/>
    <w:rsid w:val="00195327"/>
    <w:rsid w:val="0019606D"/>
    <w:rsid w:val="001975EC"/>
    <w:rsid w:val="001A181F"/>
    <w:rsid w:val="001A20FF"/>
    <w:rsid w:val="001A25ED"/>
    <w:rsid w:val="001A55A3"/>
    <w:rsid w:val="001A6D5F"/>
    <w:rsid w:val="001B03BC"/>
    <w:rsid w:val="001B1CCA"/>
    <w:rsid w:val="001B2499"/>
    <w:rsid w:val="001B2C4C"/>
    <w:rsid w:val="001B3232"/>
    <w:rsid w:val="001B3460"/>
    <w:rsid w:val="001B451A"/>
    <w:rsid w:val="001B7014"/>
    <w:rsid w:val="001C0207"/>
    <w:rsid w:val="001C0CAD"/>
    <w:rsid w:val="001C1273"/>
    <w:rsid w:val="001C1724"/>
    <w:rsid w:val="001C1912"/>
    <w:rsid w:val="001C1CF0"/>
    <w:rsid w:val="001C1DA5"/>
    <w:rsid w:val="001C39EE"/>
    <w:rsid w:val="001C3E82"/>
    <w:rsid w:val="001C4E95"/>
    <w:rsid w:val="001C58B6"/>
    <w:rsid w:val="001C5EB9"/>
    <w:rsid w:val="001C7E37"/>
    <w:rsid w:val="001C7E76"/>
    <w:rsid w:val="001D1F71"/>
    <w:rsid w:val="001D2356"/>
    <w:rsid w:val="001D42FD"/>
    <w:rsid w:val="001D49DA"/>
    <w:rsid w:val="001D561C"/>
    <w:rsid w:val="001D56EE"/>
    <w:rsid w:val="001D5A69"/>
    <w:rsid w:val="001D704A"/>
    <w:rsid w:val="001D7AB6"/>
    <w:rsid w:val="001E019B"/>
    <w:rsid w:val="001E1596"/>
    <w:rsid w:val="001E16B2"/>
    <w:rsid w:val="001E1B9F"/>
    <w:rsid w:val="001E2348"/>
    <w:rsid w:val="001E2A5A"/>
    <w:rsid w:val="001E3321"/>
    <w:rsid w:val="001E4D3F"/>
    <w:rsid w:val="001E50B6"/>
    <w:rsid w:val="001E7906"/>
    <w:rsid w:val="001F11AC"/>
    <w:rsid w:val="001F1218"/>
    <w:rsid w:val="001F14B1"/>
    <w:rsid w:val="001F1E80"/>
    <w:rsid w:val="001F2D0B"/>
    <w:rsid w:val="001F300D"/>
    <w:rsid w:val="001F498A"/>
    <w:rsid w:val="001F52E3"/>
    <w:rsid w:val="001F5781"/>
    <w:rsid w:val="001F6F81"/>
    <w:rsid w:val="001F7A3C"/>
    <w:rsid w:val="001F7CE9"/>
    <w:rsid w:val="00200118"/>
    <w:rsid w:val="002011DC"/>
    <w:rsid w:val="002018E5"/>
    <w:rsid w:val="0020335B"/>
    <w:rsid w:val="00203E68"/>
    <w:rsid w:val="002044FD"/>
    <w:rsid w:val="00205211"/>
    <w:rsid w:val="0020648D"/>
    <w:rsid w:val="0020692D"/>
    <w:rsid w:val="002073FD"/>
    <w:rsid w:val="00207E8B"/>
    <w:rsid w:val="00210262"/>
    <w:rsid w:val="00210469"/>
    <w:rsid w:val="002109C8"/>
    <w:rsid w:val="0021183F"/>
    <w:rsid w:val="002129A4"/>
    <w:rsid w:val="002129C1"/>
    <w:rsid w:val="0021426D"/>
    <w:rsid w:val="00215C04"/>
    <w:rsid w:val="00215CF5"/>
    <w:rsid w:val="00215DFC"/>
    <w:rsid w:val="00215E01"/>
    <w:rsid w:val="00217367"/>
    <w:rsid w:val="00220D20"/>
    <w:rsid w:val="00222975"/>
    <w:rsid w:val="00223A4E"/>
    <w:rsid w:val="00225CE1"/>
    <w:rsid w:val="00226727"/>
    <w:rsid w:val="00226A75"/>
    <w:rsid w:val="00230C64"/>
    <w:rsid w:val="00230E76"/>
    <w:rsid w:val="00231426"/>
    <w:rsid w:val="00231C02"/>
    <w:rsid w:val="00231CFB"/>
    <w:rsid w:val="00232B8B"/>
    <w:rsid w:val="00233F06"/>
    <w:rsid w:val="00234117"/>
    <w:rsid w:val="00234332"/>
    <w:rsid w:val="00235E3D"/>
    <w:rsid w:val="00236EA4"/>
    <w:rsid w:val="00237163"/>
    <w:rsid w:val="00237896"/>
    <w:rsid w:val="002406CA"/>
    <w:rsid w:val="002407EE"/>
    <w:rsid w:val="00241D62"/>
    <w:rsid w:val="00242888"/>
    <w:rsid w:val="0024288F"/>
    <w:rsid w:val="00242A19"/>
    <w:rsid w:val="0024328C"/>
    <w:rsid w:val="00243E96"/>
    <w:rsid w:val="0024465C"/>
    <w:rsid w:val="002474EA"/>
    <w:rsid w:val="002475A8"/>
    <w:rsid w:val="002479E5"/>
    <w:rsid w:val="00247C9E"/>
    <w:rsid w:val="00247F6B"/>
    <w:rsid w:val="0025030C"/>
    <w:rsid w:val="00250347"/>
    <w:rsid w:val="00250540"/>
    <w:rsid w:val="00250582"/>
    <w:rsid w:val="00250ACB"/>
    <w:rsid w:val="002512EF"/>
    <w:rsid w:val="00252AAD"/>
    <w:rsid w:val="00252DF2"/>
    <w:rsid w:val="00254E3D"/>
    <w:rsid w:val="0025582B"/>
    <w:rsid w:val="00255B8D"/>
    <w:rsid w:val="00256435"/>
    <w:rsid w:val="002573A9"/>
    <w:rsid w:val="00257E1C"/>
    <w:rsid w:val="002605BB"/>
    <w:rsid w:val="00260F86"/>
    <w:rsid w:val="0026185E"/>
    <w:rsid w:val="002621AD"/>
    <w:rsid w:val="002629B5"/>
    <w:rsid w:val="00262F6F"/>
    <w:rsid w:val="002651BF"/>
    <w:rsid w:val="0026559A"/>
    <w:rsid w:val="0026570E"/>
    <w:rsid w:val="00266EDA"/>
    <w:rsid w:val="00266F5E"/>
    <w:rsid w:val="002671FD"/>
    <w:rsid w:val="00267B3C"/>
    <w:rsid w:val="0027002D"/>
    <w:rsid w:val="0027084E"/>
    <w:rsid w:val="00270D1F"/>
    <w:rsid w:val="002717B4"/>
    <w:rsid w:val="00272DEE"/>
    <w:rsid w:val="002743B4"/>
    <w:rsid w:val="002756AE"/>
    <w:rsid w:val="00276380"/>
    <w:rsid w:val="002766EE"/>
    <w:rsid w:val="00276DB1"/>
    <w:rsid w:val="00277203"/>
    <w:rsid w:val="0027770D"/>
    <w:rsid w:val="00280039"/>
    <w:rsid w:val="0028045C"/>
    <w:rsid w:val="0028053E"/>
    <w:rsid w:val="00280AF2"/>
    <w:rsid w:val="00280DE9"/>
    <w:rsid w:val="002816B5"/>
    <w:rsid w:val="00281C15"/>
    <w:rsid w:val="00281C2A"/>
    <w:rsid w:val="00282355"/>
    <w:rsid w:val="00284672"/>
    <w:rsid w:val="0028614C"/>
    <w:rsid w:val="00287C11"/>
    <w:rsid w:val="002900EF"/>
    <w:rsid w:val="0029085E"/>
    <w:rsid w:val="002911F7"/>
    <w:rsid w:val="00291CDE"/>
    <w:rsid w:val="002920D8"/>
    <w:rsid w:val="00292218"/>
    <w:rsid w:val="00292262"/>
    <w:rsid w:val="00292650"/>
    <w:rsid w:val="00292A96"/>
    <w:rsid w:val="002930B2"/>
    <w:rsid w:val="00293F6B"/>
    <w:rsid w:val="002940C9"/>
    <w:rsid w:val="002941A3"/>
    <w:rsid w:val="00295999"/>
    <w:rsid w:val="00295E7C"/>
    <w:rsid w:val="00296042"/>
    <w:rsid w:val="00297702"/>
    <w:rsid w:val="00297ED8"/>
    <w:rsid w:val="002A04E7"/>
    <w:rsid w:val="002A2762"/>
    <w:rsid w:val="002A2C70"/>
    <w:rsid w:val="002A4381"/>
    <w:rsid w:val="002A48A6"/>
    <w:rsid w:val="002A7793"/>
    <w:rsid w:val="002B2CBB"/>
    <w:rsid w:val="002B33ED"/>
    <w:rsid w:val="002B41F3"/>
    <w:rsid w:val="002B4B1E"/>
    <w:rsid w:val="002B4E26"/>
    <w:rsid w:val="002B6FB8"/>
    <w:rsid w:val="002B70A5"/>
    <w:rsid w:val="002B79F6"/>
    <w:rsid w:val="002B7A34"/>
    <w:rsid w:val="002C01F6"/>
    <w:rsid w:val="002C04DF"/>
    <w:rsid w:val="002C0D18"/>
    <w:rsid w:val="002C1014"/>
    <w:rsid w:val="002C2337"/>
    <w:rsid w:val="002C3576"/>
    <w:rsid w:val="002C40A8"/>
    <w:rsid w:val="002C4166"/>
    <w:rsid w:val="002C4FF7"/>
    <w:rsid w:val="002C60F3"/>
    <w:rsid w:val="002C7AEF"/>
    <w:rsid w:val="002C7F04"/>
    <w:rsid w:val="002D153F"/>
    <w:rsid w:val="002D17F0"/>
    <w:rsid w:val="002D1884"/>
    <w:rsid w:val="002D4879"/>
    <w:rsid w:val="002D4ECC"/>
    <w:rsid w:val="002D79AF"/>
    <w:rsid w:val="002E18A1"/>
    <w:rsid w:val="002E20CB"/>
    <w:rsid w:val="002E5E3B"/>
    <w:rsid w:val="002E5E70"/>
    <w:rsid w:val="002E652B"/>
    <w:rsid w:val="002E653F"/>
    <w:rsid w:val="002E6A3C"/>
    <w:rsid w:val="002E77F3"/>
    <w:rsid w:val="002E7ED2"/>
    <w:rsid w:val="002F07D1"/>
    <w:rsid w:val="002F170B"/>
    <w:rsid w:val="002F19E9"/>
    <w:rsid w:val="002F2D9C"/>
    <w:rsid w:val="002F404B"/>
    <w:rsid w:val="002F48A2"/>
    <w:rsid w:val="002F4CE5"/>
    <w:rsid w:val="002F50F2"/>
    <w:rsid w:val="002F539B"/>
    <w:rsid w:val="002F7B61"/>
    <w:rsid w:val="003003A2"/>
    <w:rsid w:val="003019CF"/>
    <w:rsid w:val="00301BED"/>
    <w:rsid w:val="00302170"/>
    <w:rsid w:val="003021A5"/>
    <w:rsid w:val="00303217"/>
    <w:rsid w:val="003032A7"/>
    <w:rsid w:val="00305562"/>
    <w:rsid w:val="00305B2F"/>
    <w:rsid w:val="00305B62"/>
    <w:rsid w:val="00306345"/>
    <w:rsid w:val="00310310"/>
    <w:rsid w:val="00311687"/>
    <w:rsid w:val="0031171A"/>
    <w:rsid w:val="00311EA1"/>
    <w:rsid w:val="00312331"/>
    <w:rsid w:val="00312DC1"/>
    <w:rsid w:val="0031347A"/>
    <w:rsid w:val="003139C0"/>
    <w:rsid w:val="0031465E"/>
    <w:rsid w:val="003153BA"/>
    <w:rsid w:val="00315B28"/>
    <w:rsid w:val="00317292"/>
    <w:rsid w:val="003173FF"/>
    <w:rsid w:val="00317669"/>
    <w:rsid w:val="003220C8"/>
    <w:rsid w:val="0032238E"/>
    <w:rsid w:val="00324EA2"/>
    <w:rsid w:val="00325DA3"/>
    <w:rsid w:val="0032731B"/>
    <w:rsid w:val="0033050C"/>
    <w:rsid w:val="00330534"/>
    <w:rsid w:val="0033062F"/>
    <w:rsid w:val="00331364"/>
    <w:rsid w:val="00332600"/>
    <w:rsid w:val="00332B1C"/>
    <w:rsid w:val="003331AE"/>
    <w:rsid w:val="00335310"/>
    <w:rsid w:val="00335980"/>
    <w:rsid w:val="003359BC"/>
    <w:rsid w:val="0033734C"/>
    <w:rsid w:val="00340123"/>
    <w:rsid w:val="00340D01"/>
    <w:rsid w:val="00341255"/>
    <w:rsid w:val="003424EA"/>
    <w:rsid w:val="00343960"/>
    <w:rsid w:val="00347244"/>
    <w:rsid w:val="003500C4"/>
    <w:rsid w:val="00350410"/>
    <w:rsid w:val="0035180E"/>
    <w:rsid w:val="0035294B"/>
    <w:rsid w:val="00352D1A"/>
    <w:rsid w:val="00353C49"/>
    <w:rsid w:val="00354CE0"/>
    <w:rsid w:val="00356600"/>
    <w:rsid w:val="0035661A"/>
    <w:rsid w:val="00356965"/>
    <w:rsid w:val="00357B34"/>
    <w:rsid w:val="00360511"/>
    <w:rsid w:val="00360B84"/>
    <w:rsid w:val="00360E87"/>
    <w:rsid w:val="00361016"/>
    <w:rsid w:val="003624D0"/>
    <w:rsid w:val="003631BF"/>
    <w:rsid w:val="00364E5E"/>
    <w:rsid w:val="00365289"/>
    <w:rsid w:val="003672A6"/>
    <w:rsid w:val="0036754F"/>
    <w:rsid w:val="003679DC"/>
    <w:rsid w:val="003704EE"/>
    <w:rsid w:val="003719D5"/>
    <w:rsid w:val="00371ED6"/>
    <w:rsid w:val="00372CE2"/>
    <w:rsid w:val="00372F1B"/>
    <w:rsid w:val="00375EC0"/>
    <w:rsid w:val="00376432"/>
    <w:rsid w:val="00376B07"/>
    <w:rsid w:val="00376FEE"/>
    <w:rsid w:val="00377482"/>
    <w:rsid w:val="00380795"/>
    <w:rsid w:val="0038268A"/>
    <w:rsid w:val="00383309"/>
    <w:rsid w:val="00384820"/>
    <w:rsid w:val="003858FE"/>
    <w:rsid w:val="00386F0A"/>
    <w:rsid w:val="00387189"/>
    <w:rsid w:val="003902B0"/>
    <w:rsid w:val="00391024"/>
    <w:rsid w:val="0039117D"/>
    <w:rsid w:val="0039146E"/>
    <w:rsid w:val="003944B2"/>
    <w:rsid w:val="0039675E"/>
    <w:rsid w:val="00396D46"/>
    <w:rsid w:val="00397171"/>
    <w:rsid w:val="003A1083"/>
    <w:rsid w:val="003A11B9"/>
    <w:rsid w:val="003A17C9"/>
    <w:rsid w:val="003A6A0B"/>
    <w:rsid w:val="003A7101"/>
    <w:rsid w:val="003B0491"/>
    <w:rsid w:val="003B0E9D"/>
    <w:rsid w:val="003B2CD2"/>
    <w:rsid w:val="003B2FCE"/>
    <w:rsid w:val="003B303C"/>
    <w:rsid w:val="003B30BD"/>
    <w:rsid w:val="003B3558"/>
    <w:rsid w:val="003B37BE"/>
    <w:rsid w:val="003B3E5E"/>
    <w:rsid w:val="003B3F4D"/>
    <w:rsid w:val="003B492C"/>
    <w:rsid w:val="003B5231"/>
    <w:rsid w:val="003B57F4"/>
    <w:rsid w:val="003B6F96"/>
    <w:rsid w:val="003B7E1C"/>
    <w:rsid w:val="003C0644"/>
    <w:rsid w:val="003C0C77"/>
    <w:rsid w:val="003C1A77"/>
    <w:rsid w:val="003C1C74"/>
    <w:rsid w:val="003C25E7"/>
    <w:rsid w:val="003C2E07"/>
    <w:rsid w:val="003C359F"/>
    <w:rsid w:val="003C4C0B"/>
    <w:rsid w:val="003C5735"/>
    <w:rsid w:val="003C6F41"/>
    <w:rsid w:val="003D010E"/>
    <w:rsid w:val="003D1AFD"/>
    <w:rsid w:val="003D2CDF"/>
    <w:rsid w:val="003D36AA"/>
    <w:rsid w:val="003D41C8"/>
    <w:rsid w:val="003D4DB1"/>
    <w:rsid w:val="003D510D"/>
    <w:rsid w:val="003D525C"/>
    <w:rsid w:val="003D5A76"/>
    <w:rsid w:val="003D6275"/>
    <w:rsid w:val="003D644B"/>
    <w:rsid w:val="003D710B"/>
    <w:rsid w:val="003E1284"/>
    <w:rsid w:val="003E242B"/>
    <w:rsid w:val="003E30BB"/>
    <w:rsid w:val="003E42F8"/>
    <w:rsid w:val="003E4840"/>
    <w:rsid w:val="003E4F2A"/>
    <w:rsid w:val="003E67B5"/>
    <w:rsid w:val="003E6AEC"/>
    <w:rsid w:val="003E7F1E"/>
    <w:rsid w:val="003F04BF"/>
    <w:rsid w:val="003F08E1"/>
    <w:rsid w:val="003F1AB6"/>
    <w:rsid w:val="003F2951"/>
    <w:rsid w:val="003F3B46"/>
    <w:rsid w:val="003F3FCC"/>
    <w:rsid w:val="003F4D03"/>
    <w:rsid w:val="003F58BE"/>
    <w:rsid w:val="003F5DA4"/>
    <w:rsid w:val="003F6204"/>
    <w:rsid w:val="003F63A7"/>
    <w:rsid w:val="003F77DF"/>
    <w:rsid w:val="003F7C72"/>
    <w:rsid w:val="00400A98"/>
    <w:rsid w:val="00404C7B"/>
    <w:rsid w:val="0040704B"/>
    <w:rsid w:val="004076B9"/>
    <w:rsid w:val="00407E2F"/>
    <w:rsid w:val="00407E8A"/>
    <w:rsid w:val="00410AE6"/>
    <w:rsid w:val="00411C2C"/>
    <w:rsid w:val="004122FD"/>
    <w:rsid w:val="00413685"/>
    <w:rsid w:val="00413E13"/>
    <w:rsid w:val="0041467A"/>
    <w:rsid w:val="00414EAC"/>
    <w:rsid w:val="004155DE"/>
    <w:rsid w:val="00415A09"/>
    <w:rsid w:val="00415AAF"/>
    <w:rsid w:val="00415F15"/>
    <w:rsid w:val="00416400"/>
    <w:rsid w:val="00416BBD"/>
    <w:rsid w:val="00417BA2"/>
    <w:rsid w:val="00417EBD"/>
    <w:rsid w:val="00420180"/>
    <w:rsid w:val="00420A83"/>
    <w:rsid w:val="00422910"/>
    <w:rsid w:val="0042318C"/>
    <w:rsid w:val="00423F77"/>
    <w:rsid w:val="00424B0C"/>
    <w:rsid w:val="00425F9D"/>
    <w:rsid w:val="004263E7"/>
    <w:rsid w:val="004271F9"/>
    <w:rsid w:val="0042743C"/>
    <w:rsid w:val="00432365"/>
    <w:rsid w:val="00432505"/>
    <w:rsid w:val="004328EE"/>
    <w:rsid w:val="00434188"/>
    <w:rsid w:val="00436BE1"/>
    <w:rsid w:val="004377D8"/>
    <w:rsid w:val="004407A5"/>
    <w:rsid w:val="00440D28"/>
    <w:rsid w:val="004416F6"/>
    <w:rsid w:val="0044220C"/>
    <w:rsid w:val="00442996"/>
    <w:rsid w:val="0044348B"/>
    <w:rsid w:val="00443A07"/>
    <w:rsid w:val="00444480"/>
    <w:rsid w:val="00444EFE"/>
    <w:rsid w:val="00444F73"/>
    <w:rsid w:val="004455C6"/>
    <w:rsid w:val="004460C2"/>
    <w:rsid w:val="0044632C"/>
    <w:rsid w:val="0045105C"/>
    <w:rsid w:val="00451180"/>
    <w:rsid w:val="00451A76"/>
    <w:rsid w:val="00451D50"/>
    <w:rsid w:val="004523C4"/>
    <w:rsid w:val="004525A7"/>
    <w:rsid w:val="004531D8"/>
    <w:rsid w:val="004531DE"/>
    <w:rsid w:val="00453422"/>
    <w:rsid w:val="0045361F"/>
    <w:rsid w:val="00454904"/>
    <w:rsid w:val="00454E8D"/>
    <w:rsid w:val="0045520F"/>
    <w:rsid w:val="00460428"/>
    <w:rsid w:val="00460A9F"/>
    <w:rsid w:val="00462C18"/>
    <w:rsid w:val="0046311E"/>
    <w:rsid w:val="0046456F"/>
    <w:rsid w:val="00464F91"/>
    <w:rsid w:val="004652AB"/>
    <w:rsid w:val="0046548F"/>
    <w:rsid w:val="00466CAF"/>
    <w:rsid w:val="00471722"/>
    <w:rsid w:val="00471FDC"/>
    <w:rsid w:val="00472E00"/>
    <w:rsid w:val="00473987"/>
    <w:rsid w:val="00473B46"/>
    <w:rsid w:val="004744DB"/>
    <w:rsid w:val="004758ED"/>
    <w:rsid w:val="00476DDE"/>
    <w:rsid w:val="004774FF"/>
    <w:rsid w:val="004779D9"/>
    <w:rsid w:val="00477DB8"/>
    <w:rsid w:val="00480DF2"/>
    <w:rsid w:val="004844F4"/>
    <w:rsid w:val="00485E81"/>
    <w:rsid w:val="0048640E"/>
    <w:rsid w:val="00487073"/>
    <w:rsid w:val="004901E8"/>
    <w:rsid w:val="004912D8"/>
    <w:rsid w:val="00492553"/>
    <w:rsid w:val="00493C52"/>
    <w:rsid w:val="004946DC"/>
    <w:rsid w:val="00495EB4"/>
    <w:rsid w:val="0049638B"/>
    <w:rsid w:val="00496913"/>
    <w:rsid w:val="004A4724"/>
    <w:rsid w:val="004A4A51"/>
    <w:rsid w:val="004A6907"/>
    <w:rsid w:val="004A6F4C"/>
    <w:rsid w:val="004B0C25"/>
    <w:rsid w:val="004B1111"/>
    <w:rsid w:val="004B112E"/>
    <w:rsid w:val="004B2678"/>
    <w:rsid w:val="004B2E50"/>
    <w:rsid w:val="004B3734"/>
    <w:rsid w:val="004B376D"/>
    <w:rsid w:val="004B380F"/>
    <w:rsid w:val="004B5053"/>
    <w:rsid w:val="004B5862"/>
    <w:rsid w:val="004B68D3"/>
    <w:rsid w:val="004B7A6B"/>
    <w:rsid w:val="004B7CB5"/>
    <w:rsid w:val="004C00D5"/>
    <w:rsid w:val="004C1558"/>
    <w:rsid w:val="004C2B3F"/>
    <w:rsid w:val="004C3E28"/>
    <w:rsid w:val="004C4EC5"/>
    <w:rsid w:val="004C4F9A"/>
    <w:rsid w:val="004C5246"/>
    <w:rsid w:val="004C68B7"/>
    <w:rsid w:val="004C7183"/>
    <w:rsid w:val="004C78EA"/>
    <w:rsid w:val="004D045A"/>
    <w:rsid w:val="004D0A9C"/>
    <w:rsid w:val="004D1AD6"/>
    <w:rsid w:val="004D1AED"/>
    <w:rsid w:val="004D2B2F"/>
    <w:rsid w:val="004D3DC2"/>
    <w:rsid w:val="004D4034"/>
    <w:rsid w:val="004D4B6C"/>
    <w:rsid w:val="004D52E1"/>
    <w:rsid w:val="004D6581"/>
    <w:rsid w:val="004D6959"/>
    <w:rsid w:val="004E0F12"/>
    <w:rsid w:val="004E1D55"/>
    <w:rsid w:val="004E3483"/>
    <w:rsid w:val="004F0CDF"/>
    <w:rsid w:val="004F47C3"/>
    <w:rsid w:val="004F4A92"/>
    <w:rsid w:val="004F62AF"/>
    <w:rsid w:val="004F727E"/>
    <w:rsid w:val="004F76F5"/>
    <w:rsid w:val="004F7888"/>
    <w:rsid w:val="005000F4"/>
    <w:rsid w:val="005006D0"/>
    <w:rsid w:val="00502089"/>
    <w:rsid w:val="00502850"/>
    <w:rsid w:val="00502960"/>
    <w:rsid w:val="00502BA7"/>
    <w:rsid w:val="00502CA7"/>
    <w:rsid w:val="005030CB"/>
    <w:rsid w:val="005032BB"/>
    <w:rsid w:val="00504D07"/>
    <w:rsid w:val="00505F90"/>
    <w:rsid w:val="00506239"/>
    <w:rsid w:val="005066EF"/>
    <w:rsid w:val="005069C2"/>
    <w:rsid w:val="00507408"/>
    <w:rsid w:val="00507591"/>
    <w:rsid w:val="005102AE"/>
    <w:rsid w:val="00510691"/>
    <w:rsid w:val="005107F7"/>
    <w:rsid w:val="00511491"/>
    <w:rsid w:val="005116DF"/>
    <w:rsid w:val="0051289E"/>
    <w:rsid w:val="00513FB5"/>
    <w:rsid w:val="00514493"/>
    <w:rsid w:val="0051461F"/>
    <w:rsid w:val="00514BA3"/>
    <w:rsid w:val="00517091"/>
    <w:rsid w:val="00520FAD"/>
    <w:rsid w:val="0052257B"/>
    <w:rsid w:val="0052418D"/>
    <w:rsid w:val="00526929"/>
    <w:rsid w:val="00526BD6"/>
    <w:rsid w:val="0052776F"/>
    <w:rsid w:val="00527D4E"/>
    <w:rsid w:val="005301B1"/>
    <w:rsid w:val="005301E0"/>
    <w:rsid w:val="005308CA"/>
    <w:rsid w:val="005312A5"/>
    <w:rsid w:val="00531848"/>
    <w:rsid w:val="00532B66"/>
    <w:rsid w:val="00533E68"/>
    <w:rsid w:val="0053441C"/>
    <w:rsid w:val="00534EC2"/>
    <w:rsid w:val="00535013"/>
    <w:rsid w:val="00537EDA"/>
    <w:rsid w:val="00537FDF"/>
    <w:rsid w:val="00541B98"/>
    <w:rsid w:val="00541F4C"/>
    <w:rsid w:val="0054499A"/>
    <w:rsid w:val="00545052"/>
    <w:rsid w:val="00545688"/>
    <w:rsid w:val="005460DA"/>
    <w:rsid w:val="00546F7C"/>
    <w:rsid w:val="00547049"/>
    <w:rsid w:val="00547F0C"/>
    <w:rsid w:val="00547F38"/>
    <w:rsid w:val="00550019"/>
    <w:rsid w:val="0055162B"/>
    <w:rsid w:val="005518BE"/>
    <w:rsid w:val="0055300A"/>
    <w:rsid w:val="00554B71"/>
    <w:rsid w:val="00554EAA"/>
    <w:rsid w:val="00557C34"/>
    <w:rsid w:val="00560606"/>
    <w:rsid w:val="00560761"/>
    <w:rsid w:val="00561713"/>
    <w:rsid w:val="00561B4C"/>
    <w:rsid w:val="00563753"/>
    <w:rsid w:val="00564BE0"/>
    <w:rsid w:val="00565AEB"/>
    <w:rsid w:val="00566BCB"/>
    <w:rsid w:val="00567557"/>
    <w:rsid w:val="0057080F"/>
    <w:rsid w:val="0057114D"/>
    <w:rsid w:val="00571213"/>
    <w:rsid w:val="00572209"/>
    <w:rsid w:val="00572F66"/>
    <w:rsid w:val="00573948"/>
    <w:rsid w:val="00573DDB"/>
    <w:rsid w:val="00573E15"/>
    <w:rsid w:val="00574061"/>
    <w:rsid w:val="0057480A"/>
    <w:rsid w:val="00574B7E"/>
    <w:rsid w:val="00576E0F"/>
    <w:rsid w:val="0057714E"/>
    <w:rsid w:val="00577B46"/>
    <w:rsid w:val="005813FF"/>
    <w:rsid w:val="005820B9"/>
    <w:rsid w:val="005830B6"/>
    <w:rsid w:val="00583A25"/>
    <w:rsid w:val="00583B3A"/>
    <w:rsid w:val="00584403"/>
    <w:rsid w:val="005852BF"/>
    <w:rsid w:val="00585F17"/>
    <w:rsid w:val="00586E80"/>
    <w:rsid w:val="005901D1"/>
    <w:rsid w:val="005904D7"/>
    <w:rsid w:val="00591CA5"/>
    <w:rsid w:val="005920EB"/>
    <w:rsid w:val="00596836"/>
    <w:rsid w:val="005969FB"/>
    <w:rsid w:val="00596FC4"/>
    <w:rsid w:val="005972C4"/>
    <w:rsid w:val="005974D2"/>
    <w:rsid w:val="00597723"/>
    <w:rsid w:val="00597F09"/>
    <w:rsid w:val="005A05C9"/>
    <w:rsid w:val="005A09A6"/>
    <w:rsid w:val="005A14BB"/>
    <w:rsid w:val="005A196A"/>
    <w:rsid w:val="005A3358"/>
    <w:rsid w:val="005A35A5"/>
    <w:rsid w:val="005A40D9"/>
    <w:rsid w:val="005A4D29"/>
    <w:rsid w:val="005A7A91"/>
    <w:rsid w:val="005B108A"/>
    <w:rsid w:val="005B2CD7"/>
    <w:rsid w:val="005B3C92"/>
    <w:rsid w:val="005B4D4E"/>
    <w:rsid w:val="005B5567"/>
    <w:rsid w:val="005B6204"/>
    <w:rsid w:val="005B6DF5"/>
    <w:rsid w:val="005B73D8"/>
    <w:rsid w:val="005C0C9D"/>
    <w:rsid w:val="005C264E"/>
    <w:rsid w:val="005C2E63"/>
    <w:rsid w:val="005C40BA"/>
    <w:rsid w:val="005C4A3F"/>
    <w:rsid w:val="005C537D"/>
    <w:rsid w:val="005C64B6"/>
    <w:rsid w:val="005C65D7"/>
    <w:rsid w:val="005D072E"/>
    <w:rsid w:val="005D39DC"/>
    <w:rsid w:val="005D4DFF"/>
    <w:rsid w:val="005D5A92"/>
    <w:rsid w:val="005D5CB8"/>
    <w:rsid w:val="005D5FD4"/>
    <w:rsid w:val="005D736F"/>
    <w:rsid w:val="005D7BFC"/>
    <w:rsid w:val="005E00F6"/>
    <w:rsid w:val="005E0D50"/>
    <w:rsid w:val="005E19DC"/>
    <w:rsid w:val="005E2007"/>
    <w:rsid w:val="005E2DA7"/>
    <w:rsid w:val="005E44A5"/>
    <w:rsid w:val="005E4DE3"/>
    <w:rsid w:val="005E5A9C"/>
    <w:rsid w:val="005E67B8"/>
    <w:rsid w:val="005E6F6F"/>
    <w:rsid w:val="005E72FE"/>
    <w:rsid w:val="005E7B0C"/>
    <w:rsid w:val="005F190B"/>
    <w:rsid w:val="005F2945"/>
    <w:rsid w:val="005F567A"/>
    <w:rsid w:val="005F6683"/>
    <w:rsid w:val="005F7E71"/>
    <w:rsid w:val="00603FC9"/>
    <w:rsid w:val="00605816"/>
    <w:rsid w:val="00605E90"/>
    <w:rsid w:val="00606069"/>
    <w:rsid w:val="00606471"/>
    <w:rsid w:val="00606E86"/>
    <w:rsid w:val="0060712F"/>
    <w:rsid w:val="00607286"/>
    <w:rsid w:val="006075DB"/>
    <w:rsid w:val="006100C6"/>
    <w:rsid w:val="006102F1"/>
    <w:rsid w:val="006103C7"/>
    <w:rsid w:val="00610DF6"/>
    <w:rsid w:val="0061124C"/>
    <w:rsid w:val="0061262A"/>
    <w:rsid w:val="0061274C"/>
    <w:rsid w:val="006130FE"/>
    <w:rsid w:val="0061311C"/>
    <w:rsid w:val="00613394"/>
    <w:rsid w:val="00615576"/>
    <w:rsid w:val="00615D2C"/>
    <w:rsid w:val="00616C5F"/>
    <w:rsid w:val="00620303"/>
    <w:rsid w:val="00620A20"/>
    <w:rsid w:val="00620A9C"/>
    <w:rsid w:val="00620D03"/>
    <w:rsid w:val="00621A36"/>
    <w:rsid w:val="00622D1B"/>
    <w:rsid w:val="00623FC4"/>
    <w:rsid w:val="00625099"/>
    <w:rsid w:val="00625D1D"/>
    <w:rsid w:val="00626049"/>
    <w:rsid w:val="00626336"/>
    <w:rsid w:val="006264D9"/>
    <w:rsid w:val="006300B5"/>
    <w:rsid w:val="00630575"/>
    <w:rsid w:val="0063359A"/>
    <w:rsid w:val="006344DA"/>
    <w:rsid w:val="0063554D"/>
    <w:rsid w:val="00636012"/>
    <w:rsid w:val="006401FA"/>
    <w:rsid w:val="00641196"/>
    <w:rsid w:val="00641886"/>
    <w:rsid w:val="00643630"/>
    <w:rsid w:val="006438F4"/>
    <w:rsid w:val="00644E8A"/>
    <w:rsid w:val="00644EC6"/>
    <w:rsid w:val="0064647B"/>
    <w:rsid w:val="00646481"/>
    <w:rsid w:val="0064755E"/>
    <w:rsid w:val="00647D51"/>
    <w:rsid w:val="0065031F"/>
    <w:rsid w:val="0065063B"/>
    <w:rsid w:val="006514E4"/>
    <w:rsid w:val="006518E6"/>
    <w:rsid w:val="00651CE2"/>
    <w:rsid w:val="00651FCC"/>
    <w:rsid w:val="00652122"/>
    <w:rsid w:val="006531DE"/>
    <w:rsid w:val="00654B5D"/>
    <w:rsid w:val="0065531A"/>
    <w:rsid w:val="00655FF4"/>
    <w:rsid w:val="00656FA5"/>
    <w:rsid w:val="00660972"/>
    <w:rsid w:val="0066153B"/>
    <w:rsid w:val="00661EE3"/>
    <w:rsid w:val="00662892"/>
    <w:rsid w:val="006631AD"/>
    <w:rsid w:val="00664558"/>
    <w:rsid w:val="00664BAC"/>
    <w:rsid w:val="00664CCB"/>
    <w:rsid w:val="00664D1A"/>
    <w:rsid w:val="00665A6E"/>
    <w:rsid w:val="00665C15"/>
    <w:rsid w:val="0066624B"/>
    <w:rsid w:val="0066716F"/>
    <w:rsid w:val="006671C2"/>
    <w:rsid w:val="00667FDE"/>
    <w:rsid w:val="00670FC1"/>
    <w:rsid w:val="00671F3D"/>
    <w:rsid w:val="00672508"/>
    <w:rsid w:val="0067260C"/>
    <w:rsid w:val="0067372C"/>
    <w:rsid w:val="00675A51"/>
    <w:rsid w:val="00675A9C"/>
    <w:rsid w:val="00675FC7"/>
    <w:rsid w:val="00677F59"/>
    <w:rsid w:val="006804F4"/>
    <w:rsid w:val="00680CD4"/>
    <w:rsid w:val="00684161"/>
    <w:rsid w:val="00684562"/>
    <w:rsid w:val="00684C08"/>
    <w:rsid w:val="00684D94"/>
    <w:rsid w:val="00685460"/>
    <w:rsid w:val="0068634C"/>
    <w:rsid w:val="00686F72"/>
    <w:rsid w:val="0069036D"/>
    <w:rsid w:val="00690F1E"/>
    <w:rsid w:val="00691512"/>
    <w:rsid w:val="00691C92"/>
    <w:rsid w:val="006942CF"/>
    <w:rsid w:val="0069434C"/>
    <w:rsid w:val="00694973"/>
    <w:rsid w:val="006950CF"/>
    <w:rsid w:val="00695705"/>
    <w:rsid w:val="00695C28"/>
    <w:rsid w:val="006965B2"/>
    <w:rsid w:val="00696DBA"/>
    <w:rsid w:val="0069736F"/>
    <w:rsid w:val="006A160D"/>
    <w:rsid w:val="006A49B5"/>
    <w:rsid w:val="006A4ADB"/>
    <w:rsid w:val="006A5128"/>
    <w:rsid w:val="006A54A2"/>
    <w:rsid w:val="006A6948"/>
    <w:rsid w:val="006A6FE0"/>
    <w:rsid w:val="006B0185"/>
    <w:rsid w:val="006B0649"/>
    <w:rsid w:val="006B0F40"/>
    <w:rsid w:val="006B1588"/>
    <w:rsid w:val="006B3F11"/>
    <w:rsid w:val="006B6D68"/>
    <w:rsid w:val="006B7658"/>
    <w:rsid w:val="006B76A1"/>
    <w:rsid w:val="006C16AA"/>
    <w:rsid w:val="006C27CD"/>
    <w:rsid w:val="006C430B"/>
    <w:rsid w:val="006C532E"/>
    <w:rsid w:val="006C5822"/>
    <w:rsid w:val="006C6967"/>
    <w:rsid w:val="006C78AA"/>
    <w:rsid w:val="006C7D75"/>
    <w:rsid w:val="006D141D"/>
    <w:rsid w:val="006D1B13"/>
    <w:rsid w:val="006D3191"/>
    <w:rsid w:val="006D4CD4"/>
    <w:rsid w:val="006D5BDC"/>
    <w:rsid w:val="006E064B"/>
    <w:rsid w:val="006E1EA2"/>
    <w:rsid w:val="006E39C6"/>
    <w:rsid w:val="006E3C6C"/>
    <w:rsid w:val="006E5D60"/>
    <w:rsid w:val="006E67B1"/>
    <w:rsid w:val="006E72D2"/>
    <w:rsid w:val="006E7478"/>
    <w:rsid w:val="006E7672"/>
    <w:rsid w:val="006E7800"/>
    <w:rsid w:val="006F1005"/>
    <w:rsid w:val="006F1CA5"/>
    <w:rsid w:val="006F22B0"/>
    <w:rsid w:val="006F3737"/>
    <w:rsid w:val="006F3AC9"/>
    <w:rsid w:val="006F4DF9"/>
    <w:rsid w:val="006F57A5"/>
    <w:rsid w:val="006F5ADA"/>
    <w:rsid w:val="006F6E53"/>
    <w:rsid w:val="006F6E5D"/>
    <w:rsid w:val="006F705A"/>
    <w:rsid w:val="00700380"/>
    <w:rsid w:val="00700859"/>
    <w:rsid w:val="00700990"/>
    <w:rsid w:val="00703FCD"/>
    <w:rsid w:val="00705E77"/>
    <w:rsid w:val="0070674E"/>
    <w:rsid w:val="0071095E"/>
    <w:rsid w:val="00711A90"/>
    <w:rsid w:val="00711D6B"/>
    <w:rsid w:val="007131FF"/>
    <w:rsid w:val="00714BA0"/>
    <w:rsid w:val="00717498"/>
    <w:rsid w:val="007174D2"/>
    <w:rsid w:val="00720133"/>
    <w:rsid w:val="00720E07"/>
    <w:rsid w:val="00722540"/>
    <w:rsid w:val="007228E4"/>
    <w:rsid w:val="007234CC"/>
    <w:rsid w:val="0072497B"/>
    <w:rsid w:val="00726002"/>
    <w:rsid w:val="00727B48"/>
    <w:rsid w:val="0073360D"/>
    <w:rsid w:val="007355A1"/>
    <w:rsid w:val="0073611A"/>
    <w:rsid w:val="007375C8"/>
    <w:rsid w:val="0073768F"/>
    <w:rsid w:val="007377E8"/>
    <w:rsid w:val="0074134A"/>
    <w:rsid w:val="0074366B"/>
    <w:rsid w:val="00744C83"/>
    <w:rsid w:val="007466C6"/>
    <w:rsid w:val="007526B5"/>
    <w:rsid w:val="00753FF3"/>
    <w:rsid w:val="00754A88"/>
    <w:rsid w:val="007559AC"/>
    <w:rsid w:val="00760171"/>
    <w:rsid w:val="00760BC9"/>
    <w:rsid w:val="00761023"/>
    <w:rsid w:val="00761521"/>
    <w:rsid w:val="007621AC"/>
    <w:rsid w:val="00763ECC"/>
    <w:rsid w:val="0076488B"/>
    <w:rsid w:val="00764FE2"/>
    <w:rsid w:val="0076662D"/>
    <w:rsid w:val="00766721"/>
    <w:rsid w:val="00766F7C"/>
    <w:rsid w:val="007702A3"/>
    <w:rsid w:val="007718A2"/>
    <w:rsid w:val="00771AAD"/>
    <w:rsid w:val="007723AB"/>
    <w:rsid w:val="0077379E"/>
    <w:rsid w:val="0077465C"/>
    <w:rsid w:val="007749D7"/>
    <w:rsid w:val="0077683D"/>
    <w:rsid w:val="00776AD7"/>
    <w:rsid w:val="00776AF2"/>
    <w:rsid w:val="00776CE3"/>
    <w:rsid w:val="007777F7"/>
    <w:rsid w:val="0078020A"/>
    <w:rsid w:val="0078068C"/>
    <w:rsid w:val="00782076"/>
    <w:rsid w:val="00783395"/>
    <w:rsid w:val="00783A93"/>
    <w:rsid w:val="00783EC8"/>
    <w:rsid w:val="0078507C"/>
    <w:rsid w:val="007855EF"/>
    <w:rsid w:val="00786797"/>
    <w:rsid w:val="00786896"/>
    <w:rsid w:val="0079017E"/>
    <w:rsid w:val="00793374"/>
    <w:rsid w:val="007954E9"/>
    <w:rsid w:val="007A1C36"/>
    <w:rsid w:val="007A2CA8"/>
    <w:rsid w:val="007A37E0"/>
    <w:rsid w:val="007A39E5"/>
    <w:rsid w:val="007A5848"/>
    <w:rsid w:val="007A6E6A"/>
    <w:rsid w:val="007A70B8"/>
    <w:rsid w:val="007B09AD"/>
    <w:rsid w:val="007B0B88"/>
    <w:rsid w:val="007B0EB1"/>
    <w:rsid w:val="007B1415"/>
    <w:rsid w:val="007B1C82"/>
    <w:rsid w:val="007B2E41"/>
    <w:rsid w:val="007B35D2"/>
    <w:rsid w:val="007B4187"/>
    <w:rsid w:val="007B5C40"/>
    <w:rsid w:val="007B67C1"/>
    <w:rsid w:val="007B68C4"/>
    <w:rsid w:val="007B790B"/>
    <w:rsid w:val="007C0F8D"/>
    <w:rsid w:val="007C14FD"/>
    <w:rsid w:val="007C2558"/>
    <w:rsid w:val="007C3023"/>
    <w:rsid w:val="007C3320"/>
    <w:rsid w:val="007C47CF"/>
    <w:rsid w:val="007C4B05"/>
    <w:rsid w:val="007C4B30"/>
    <w:rsid w:val="007C4EDC"/>
    <w:rsid w:val="007C5FC0"/>
    <w:rsid w:val="007C6917"/>
    <w:rsid w:val="007D01B3"/>
    <w:rsid w:val="007D0533"/>
    <w:rsid w:val="007D196B"/>
    <w:rsid w:val="007D25EA"/>
    <w:rsid w:val="007D3321"/>
    <w:rsid w:val="007D398E"/>
    <w:rsid w:val="007D3BE7"/>
    <w:rsid w:val="007D3E3E"/>
    <w:rsid w:val="007D4708"/>
    <w:rsid w:val="007D577E"/>
    <w:rsid w:val="007D6637"/>
    <w:rsid w:val="007D716F"/>
    <w:rsid w:val="007D7811"/>
    <w:rsid w:val="007E3A43"/>
    <w:rsid w:val="007E3B33"/>
    <w:rsid w:val="007E4DD2"/>
    <w:rsid w:val="007E4E74"/>
    <w:rsid w:val="007E593D"/>
    <w:rsid w:val="007E6412"/>
    <w:rsid w:val="007E7FBD"/>
    <w:rsid w:val="007F0848"/>
    <w:rsid w:val="007F1ABB"/>
    <w:rsid w:val="007F2C68"/>
    <w:rsid w:val="007F581E"/>
    <w:rsid w:val="007F5E72"/>
    <w:rsid w:val="007F6F83"/>
    <w:rsid w:val="007F7F1F"/>
    <w:rsid w:val="0080076F"/>
    <w:rsid w:val="00801D5C"/>
    <w:rsid w:val="00802987"/>
    <w:rsid w:val="00803038"/>
    <w:rsid w:val="008054CC"/>
    <w:rsid w:val="00811AEC"/>
    <w:rsid w:val="00811AF3"/>
    <w:rsid w:val="0081293E"/>
    <w:rsid w:val="008131D7"/>
    <w:rsid w:val="0081345B"/>
    <w:rsid w:val="008156B9"/>
    <w:rsid w:val="008156E6"/>
    <w:rsid w:val="00815B9F"/>
    <w:rsid w:val="00817673"/>
    <w:rsid w:val="00820031"/>
    <w:rsid w:val="00821CFB"/>
    <w:rsid w:val="0082287B"/>
    <w:rsid w:val="00823517"/>
    <w:rsid w:val="008237C5"/>
    <w:rsid w:val="00823C83"/>
    <w:rsid w:val="00824ECF"/>
    <w:rsid w:val="00825011"/>
    <w:rsid w:val="0082606D"/>
    <w:rsid w:val="008277F6"/>
    <w:rsid w:val="00830D3F"/>
    <w:rsid w:val="0083192C"/>
    <w:rsid w:val="00832950"/>
    <w:rsid w:val="00833DC6"/>
    <w:rsid w:val="00834D28"/>
    <w:rsid w:val="008355FB"/>
    <w:rsid w:val="008377B7"/>
    <w:rsid w:val="008401F5"/>
    <w:rsid w:val="0084085F"/>
    <w:rsid w:val="00841444"/>
    <w:rsid w:val="00841B50"/>
    <w:rsid w:val="008421B9"/>
    <w:rsid w:val="00843CCA"/>
    <w:rsid w:val="00843CF9"/>
    <w:rsid w:val="0084502D"/>
    <w:rsid w:val="00846E41"/>
    <w:rsid w:val="00847099"/>
    <w:rsid w:val="0085068A"/>
    <w:rsid w:val="00851097"/>
    <w:rsid w:val="0085124C"/>
    <w:rsid w:val="00851386"/>
    <w:rsid w:val="008517CC"/>
    <w:rsid w:val="00852BC3"/>
    <w:rsid w:val="00853B7A"/>
    <w:rsid w:val="00854A22"/>
    <w:rsid w:val="00855D9D"/>
    <w:rsid w:val="0086033E"/>
    <w:rsid w:val="00860856"/>
    <w:rsid w:val="00860D23"/>
    <w:rsid w:val="0086250C"/>
    <w:rsid w:val="00865F3A"/>
    <w:rsid w:val="00866243"/>
    <w:rsid w:val="00867C9E"/>
    <w:rsid w:val="00870372"/>
    <w:rsid w:val="00870C4C"/>
    <w:rsid w:val="008713F3"/>
    <w:rsid w:val="00871762"/>
    <w:rsid w:val="008717EB"/>
    <w:rsid w:val="008717FD"/>
    <w:rsid w:val="00871E4D"/>
    <w:rsid w:val="00872B09"/>
    <w:rsid w:val="008738F2"/>
    <w:rsid w:val="00874B44"/>
    <w:rsid w:val="008767BA"/>
    <w:rsid w:val="00876C40"/>
    <w:rsid w:val="00876D9D"/>
    <w:rsid w:val="008775F7"/>
    <w:rsid w:val="00877BB1"/>
    <w:rsid w:val="00880500"/>
    <w:rsid w:val="008808A8"/>
    <w:rsid w:val="00880FEC"/>
    <w:rsid w:val="008811E7"/>
    <w:rsid w:val="00882414"/>
    <w:rsid w:val="00882676"/>
    <w:rsid w:val="00883B92"/>
    <w:rsid w:val="00884314"/>
    <w:rsid w:val="008864A3"/>
    <w:rsid w:val="008872AA"/>
    <w:rsid w:val="0089083B"/>
    <w:rsid w:val="00890B6C"/>
    <w:rsid w:val="00891A33"/>
    <w:rsid w:val="00892A83"/>
    <w:rsid w:val="008946D9"/>
    <w:rsid w:val="008948F5"/>
    <w:rsid w:val="00895222"/>
    <w:rsid w:val="008962C2"/>
    <w:rsid w:val="00896A19"/>
    <w:rsid w:val="00897B35"/>
    <w:rsid w:val="00897F09"/>
    <w:rsid w:val="008A1473"/>
    <w:rsid w:val="008A1E00"/>
    <w:rsid w:val="008A2033"/>
    <w:rsid w:val="008A213A"/>
    <w:rsid w:val="008A3C0D"/>
    <w:rsid w:val="008A4570"/>
    <w:rsid w:val="008A52E3"/>
    <w:rsid w:val="008A555C"/>
    <w:rsid w:val="008A672F"/>
    <w:rsid w:val="008A7E69"/>
    <w:rsid w:val="008B08A5"/>
    <w:rsid w:val="008B20A7"/>
    <w:rsid w:val="008B2E81"/>
    <w:rsid w:val="008B31C0"/>
    <w:rsid w:val="008B4193"/>
    <w:rsid w:val="008B4403"/>
    <w:rsid w:val="008B4C26"/>
    <w:rsid w:val="008B4F2C"/>
    <w:rsid w:val="008B5443"/>
    <w:rsid w:val="008B5632"/>
    <w:rsid w:val="008B56A5"/>
    <w:rsid w:val="008B5801"/>
    <w:rsid w:val="008B665E"/>
    <w:rsid w:val="008B6953"/>
    <w:rsid w:val="008B715F"/>
    <w:rsid w:val="008B7306"/>
    <w:rsid w:val="008B786E"/>
    <w:rsid w:val="008B7DA2"/>
    <w:rsid w:val="008C14F7"/>
    <w:rsid w:val="008C1CCE"/>
    <w:rsid w:val="008C2587"/>
    <w:rsid w:val="008C2B19"/>
    <w:rsid w:val="008C3433"/>
    <w:rsid w:val="008C4B8F"/>
    <w:rsid w:val="008C766A"/>
    <w:rsid w:val="008C779B"/>
    <w:rsid w:val="008D0BFE"/>
    <w:rsid w:val="008D2355"/>
    <w:rsid w:val="008D6258"/>
    <w:rsid w:val="008D69A3"/>
    <w:rsid w:val="008D7ABB"/>
    <w:rsid w:val="008E0203"/>
    <w:rsid w:val="008E1398"/>
    <w:rsid w:val="008E33E6"/>
    <w:rsid w:val="008E3524"/>
    <w:rsid w:val="008E361F"/>
    <w:rsid w:val="008E3B22"/>
    <w:rsid w:val="008E3E97"/>
    <w:rsid w:val="008E5554"/>
    <w:rsid w:val="008E57EC"/>
    <w:rsid w:val="008E61DD"/>
    <w:rsid w:val="008E79BA"/>
    <w:rsid w:val="008E7EFE"/>
    <w:rsid w:val="008F4B6F"/>
    <w:rsid w:val="00902CFB"/>
    <w:rsid w:val="00905CB7"/>
    <w:rsid w:val="0091061C"/>
    <w:rsid w:val="00911270"/>
    <w:rsid w:val="00911D64"/>
    <w:rsid w:val="00911E01"/>
    <w:rsid w:val="0091268C"/>
    <w:rsid w:val="00912934"/>
    <w:rsid w:val="00912BA3"/>
    <w:rsid w:val="00912BC2"/>
    <w:rsid w:val="00912BC5"/>
    <w:rsid w:val="0091362C"/>
    <w:rsid w:val="009139AD"/>
    <w:rsid w:val="00914C43"/>
    <w:rsid w:val="009157BD"/>
    <w:rsid w:val="00916AFF"/>
    <w:rsid w:val="009202C2"/>
    <w:rsid w:val="00921F1E"/>
    <w:rsid w:val="00922D92"/>
    <w:rsid w:val="009230C8"/>
    <w:rsid w:val="00923F00"/>
    <w:rsid w:val="00924162"/>
    <w:rsid w:val="00924954"/>
    <w:rsid w:val="009258CA"/>
    <w:rsid w:val="00925DCD"/>
    <w:rsid w:val="00927421"/>
    <w:rsid w:val="009279FE"/>
    <w:rsid w:val="00927E9B"/>
    <w:rsid w:val="00930818"/>
    <w:rsid w:val="00931737"/>
    <w:rsid w:val="00931D97"/>
    <w:rsid w:val="00932E8A"/>
    <w:rsid w:val="00933267"/>
    <w:rsid w:val="009347C1"/>
    <w:rsid w:val="00934E78"/>
    <w:rsid w:val="00935FFB"/>
    <w:rsid w:val="00937558"/>
    <w:rsid w:val="0093766C"/>
    <w:rsid w:val="00937CAB"/>
    <w:rsid w:val="009419E0"/>
    <w:rsid w:val="00944919"/>
    <w:rsid w:val="009453D7"/>
    <w:rsid w:val="0094699E"/>
    <w:rsid w:val="00946BC7"/>
    <w:rsid w:val="009504AD"/>
    <w:rsid w:val="0095098C"/>
    <w:rsid w:val="00950ADD"/>
    <w:rsid w:val="00951262"/>
    <w:rsid w:val="00953BB1"/>
    <w:rsid w:val="00954D2D"/>
    <w:rsid w:val="00955132"/>
    <w:rsid w:val="00955533"/>
    <w:rsid w:val="00955679"/>
    <w:rsid w:val="0095603D"/>
    <w:rsid w:val="0095627A"/>
    <w:rsid w:val="00956789"/>
    <w:rsid w:val="009568E1"/>
    <w:rsid w:val="00956DCD"/>
    <w:rsid w:val="00957EA9"/>
    <w:rsid w:val="0096099F"/>
    <w:rsid w:val="00960B8D"/>
    <w:rsid w:val="00960FF8"/>
    <w:rsid w:val="009615DB"/>
    <w:rsid w:val="009622E7"/>
    <w:rsid w:val="00963553"/>
    <w:rsid w:val="009639B4"/>
    <w:rsid w:val="0096445D"/>
    <w:rsid w:val="00964656"/>
    <w:rsid w:val="00965CB2"/>
    <w:rsid w:val="00967C80"/>
    <w:rsid w:val="00970B89"/>
    <w:rsid w:val="009722ED"/>
    <w:rsid w:val="00972944"/>
    <w:rsid w:val="00974197"/>
    <w:rsid w:val="00974B48"/>
    <w:rsid w:val="00974BB9"/>
    <w:rsid w:val="0097502C"/>
    <w:rsid w:val="0097625D"/>
    <w:rsid w:val="00976F19"/>
    <w:rsid w:val="00977730"/>
    <w:rsid w:val="00980DD8"/>
    <w:rsid w:val="00981047"/>
    <w:rsid w:val="0098124F"/>
    <w:rsid w:val="009813ED"/>
    <w:rsid w:val="00981981"/>
    <w:rsid w:val="00982153"/>
    <w:rsid w:val="0098397E"/>
    <w:rsid w:val="00983A22"/>
    <w:rsid w:val="0098507F"/>
    <w:rsid w:val="00986DFC"/>
    <w:rsid w:val="00990C2B"/>
    <w:rsid w:val="00992195"/>
    <w:rsid w:val="00992733"/>
    <w:rsid w:val="00993D55"/>
    <w:rsid w:val="009943C7"/>
    <w:rsid w:val="00995F76"/>
    <w:rsid w:val="0099617D"/>
    <w:rsid w:val="009964EA"/>
    <w:rsid w:val="009966F4"/>
    <w:rsid w:val="00996794"/>
    <w:rsid w:val="00996DBB"/>
    <w:rsid w:val="00997D78"/>
    <w:rsid w:val="00997FA3"/>
    <w:rsid w:val="009A162F"/>
    <w:rsid w:val="009A1C55"/>
    <w:rsid w:val="009A2EAE"/>
    <w:rsid w:val="009A2F7C"/>
    <w:rsid w:val="009A2FC1"/>
    <w:rsid w:val="009A30E1"/>
    <w:rsid w:val="009A4218"/>
    <w:rsid w:val="009A4851"/>
    <w:rsid w:val="009A5527"/>
    <w:rsid w:val="009A5D41"/>
    <w:rsid w:val="009A6700"/>
    <w:rsid w:val="009A6ACD"/>
    <w:rsid w:val="009A7446"/>
    <w:rsid w:val="009B15B6"/>
    <w:rsid w:val="009B1807"/>
    <w:rsid w:val="009B21DC"/>
    <w:rsid w:val="009B28F9"/>
    <w:rsid w:val="009B3991"/>
    <w:rsid w:val="009B50D2"/>
    <w:rsid w:val="009B59C4"/>
    <w:rsid w:val="009B59F5"/>
    <w:rsid w:val="009B5AA0"/>
    <w:rsid w:val="009B6EE4"/>
    <w:rsid w:val="009B7284"/>
    <w:rsid w:val="009B79F8"/>
    <w:rsid w:val="009C03A2"/>
    <w:rsid w:val="009C10DA"/>
    <w:rsid w:val="009C1BD7"/>
    <w:rsid w:val="009C275A"/>
    <w:rsid w:val="009C2F23"/>
    <w:rsid w:val="009C34A0"/>
    <w:rsid w:val="009C37EB"/>
    <w:rsid w:val="009C52C0"/>
    <w:rsid w:val="009C5C2C"/>
    <w:rsid w:val="009C5CB2"/>
    <w:rsid w:val="009C620B"/>
    <w:rsid w:val="009C68FB"/>
    <w:rsid w:val="009C6D49"/>
    <w:rsid w:val="009C6DE2"/>
    <w:rsid w:val="009D0DDA"/>
    <w:rsid w:val="009D1193"/>
    <w:rsid w:val="009D1621"/>
    <w:rsid w:val="009D3794"/>
    <w:rsid w:val="009D49EC"/>
    <w:rsid w:val="009D4D82"/>
    <w:rsid w:val="009D4DCB"/>
    <w:rsid w:val="009D55CF"/>
    <w:rsid w:val="009D58C9"/>
    <w:rsid w:val="009D677A"/>
    <w:rsid w:val="009D6EB3"/>
    <w:rsid w:val="009D76D8"/>
    <w:rsid w:val="009E0FD0"/>
    <w:rsid w:val="009E2565"/>
    <w:rsid w:val="009E2EC1"/>
    <w:rsid w:val="009E41D0"/>
    <w:rsid w:val="009E4412"/>
    <w:rsid w:val="009E6074"/>
    <w:rsid w:val="009E6A0E"/>
    <w:rsid w:val="009E6C4B"/>
    <w:rsid w:val="009E7B3D"/>
    <w:rsid w:val="009E7DDF"/>
    <w:rsid w:val="009F049C"/>
    <w:rsid w:val="009F1960"/>
    <w:rsid w:val="009F2ECF"/>
    <w:rsid w:val="009F3DF7"/>
    <w:rsid w:val="009F5112"/>
    <w:rsid w:val="009F5DF1"/>
    <w:rsid w:val="009F6B3B"/>
    <w:rsid w:val="009F712A"/>
    <w:rsid w:val="009F7DBE"/>
    <w:rsid w:val="00A006DB"/>
    <w:rsid w:val="00A01E16"/>
    <w:rsid w:val="00A02A88"/>
    <w:rsid w:val="00A04F3B"/>
    <w:rsid w:val="00A05A90"/>
    <w:rsid w:val="00A05F90"/>
    <w:rsid w:val="00A06087"/>
    <w:rsid w:val="00A10324"/>
    <w:rsid w:val="00A10CAE"/>
    <w:rsid w:val="00A11118"/>
    <w:rsid w:val="00A116D7"/>
    <w:rsid w:val="00A1250C"/>
    <w:rsid w:val="00A13348"/>
    <w:rsid w:val="00A152AB"/>
    <w:rsid w:val="00A157C2"/>
    <w:rsid w:val="00A15A86"/>
    <w:rsid w:val="00A21D67"/>
    <w:rsid w:val="00A22D23"/>
    <w:rsid w:val="00A230A8"/>
    <w:rsid w:val="00A23357"/>
    <w:rsid w:val="00A236BE"/>
    <w:rsid w:val="00A23912"/>
    <w:rsid w:val="00A23E0E"/>
    <w:rsid w:val="00A24FBF"/>
    <w:rsid w:val="00A26EB0"/>
    <w:rsid w:val="00A276DF"/>
    <w:rsid w:val="00A27A7E"/>
    <w:rsid w:val="00A27B0D"/>
    <w:rsid w:val="00A307C2"/>
    <w:rsid w:val="00A3152C"/>
    <w:rsid w:val="00A31C4C"/>
    <w:rsid w:val="00A32077"/>
    <w:rsid w:val="00A32608"/>
    <w:rsid w:val="00A342DC"/>
    <w:rsid w:val="00A345D2"/>
    <w:rsid w:val="00A34D52"/>
    <w:rsid w:val="00A35471"/>
    <w:rsid w:val="00A3584C"/>
    <w:rsid w:val="00A36AC2"/>
    <w:rsid w:val="00A36AD0"/>
    <w:rsid w:val="00A36D80"/>
    <w:rsid w:val="00A37160"/>
    <w:rsid w:val="00A37781"/>
    <w:rsid w:val="00A37792"/>
    <w:rsid w:val="00A37A97"/>
    <w:rsid w:val="00A406CD"/>
    <w:rsid w:val="00A41A5E"/>
    <w:rsid w:val="00A423C4"/>
    <w:rsid w:val="00A425BE"/>
    <w:rsid w:val="00A42D03"/>
    <w:rsid w:val="00A43F0B"/>
    <w:rsid w:val="00A443B3"/>
    <w:rsid w:val="00A448FB"/>
    <w:rsid w:val="00A44973"/>
    <w:rsid w:val="00A45573"/>
    <w:rsid w:val="00A46860"/>
    <w:rsid w:val="00A4785C"/>
    <w:rsid w:val="00A51145"/>
    <w:rsid w:val="00A518B6"/>
    <w:rsid w:val="00A53463"/>
    <w:rsid w:val="00A53E2B"/>
    <w:rsid w:val="00A560DF"/>
    <w:rsid w:val="00A57265"/>
    <w:rsid w:val="00A60A8E"/>
    <w:rsid w:val="00A625FE"/>
    <w:rsid w:val="00A62E9C"/>
    <w:rsid w:val="00A630D5"/>
    <w:rsid w:val="00A63114"/>
    <w:rsid w:val="00A64E69"/>
    <w:rsid w:val="00A654B6"/>
    <w:rsid w:val="00A66B80"/>
    <w:rsid w:val="00A67C32"/>
    <w:rsid w:val="00A72469"/>
    <w:rsid w:val="00A731AF"/>
    <w:rsid w:val="00A731C3"/>
    <w:rsid w:val="00A739FB"/>
    <w:rsid w:val="00A74882"/>
    <w:rsid w:val="00A750F4"/>
    <w:rsid w:val="00A752DC"/>
    <w:rsid w:val="00A77301"/>
    <w:rsid w:val="00A8556B"/>
    <w:rsid w:val="00A86B40"/>
    <w:rsid w:val="00A90160"/>
    <w:rsid w:val="00A90381"/>
    <w:rsid w:val="00A911B6"/>
    <w:rsid w:val="00A91B53"/>
    <w:rsid w:val="00A9301C"/>
    <w:rsid w:val="00A95CA0"/>
    <w:rsid w:val="00A97676"/>
    <w:rsid w:val="00A97EB9"/>
    <w:rsid w:val="00AA1C8F"/>
    <w:rsid w:val="00AA2656"/>
    <w:rsid w:val="00AA28BB"/>
    <w:rsid w:val="00AA300B"/>
    <w:rsid w:val="00AA43F7"/>
    <w:rsid w:val="00AA586A"/>
    <w:rsid w:val="00AA6F75"/>
    <w:rsid w:val="00AA7A3D"/>
    <w:rsid w:val="00AB01D9"/>
    <w:rsid w:val="00AB0281"/>
    <w:rsid w:val="00AB0316"/>
    <w:rsid w:val="00AB2283"/>
    <w:rsid w:val="00AB28FF"/>
    <w:rsid w:val="00AB2A5C"/>
    <w:rsid w:val="00AB4C0C"/>
    <w:rsid w:val="00AB53FA"/>
    <w:rsid w:val="00AB7531"/>
    <w:rsid w:val="00AB7FF8"/>
    <w:rsid w:val="00AC0634"/>
    <w:rsid w:val="00AC078F"/>
    <w:rsid w:val="00AC0C24"/>
    <w:rsid w:val="00AC0F5A"/>
    <w:rsid w:val="00AC4308"/>
    <w:rsid w:val="00AC47D8"/>
    <w:rsid w:val="00AC4C62"/>
    <w:rsid w:val="00AC506C"/>
    <w:rsid w:val="00AC5417"/>
    <w:rsid w:val="00AC5540"/>
    <w:rsid w:val="00AC56CF"/>
    <w:rsid w:val="00AC5B1B"/>
    <w:rsid w:val="00AC5C1A"/>
    <w:rsid w:val="00AC5D34"/>
    <w:rsid w:val="00AD0F4F"/>
    <w:rsid w:val="00AD113C"/>
    <w:rsid w:val="00AD2FDC"/>
    <w:rsid w:val="00AD4AD2"/>
    <w:rsid w:val="00AD5E1C"/>
    <w:rsid w:val="00AD608B"/>
    <w:rsid w:val="00AD7797"/>
    <w:rsid w:val="00AE0030"/>
    <w:rsid w:val="00AE0F76"/>
    <w:rsid w:val="00AE1629"/>
    <w:rsid w:val="00AE20D3"/>
    <w:rsid w:val="00AE2E88"/>
    <w:rsid w:val="00AE493A"/>
    <w:rsid w:val="00AE4BDE"/>
    <w:rsid w:val="00AE55CA"/>
    <w:rsid w:val="00AE5711"/>
    <w:rsid w:val="00AE58CD"/>
    <w:rsid w:val="00AF018A"/>
    <w:rsid w:val="00AF0883"/>
    <w:rsid w:val="00AF0EA4"/>
    <w:rsid w:val="00AF1AA0"/>
    <w:rsid w:val="00AF1F70"/>
    <w:rsid w:val="00AF2883"/>
    <w:rsid w:val="00AF4D31"/>
    <w:rsid w:val="00AF547A"/>
    <w:rsid w:val="00AF5B8F"/>
    <w:rsid w:val="00AF5EF4"/>
    <w:rsid w:val="00AF6EBB"/>
    <w:rsid w:val="00AF7D44"/>
    <w:rsid w:val="00B00B81"/>
    <w:rsid w:val="00B01439"/>
    <w:rsid w:val="00B02EC7"/>
    <w:rsid w:val="00B03E2C"/>
    <w:rsid w:val="00B04F2B"/>
    <w:rsid w:val="00B05225"/>
    <w:rsid w:val="00B05397"/>
    <w:rsid w:val="00B056C3"/>
    <w:rsid w:val="00B07612"/>
    <w:rsid w:val="00B1108C"/>
    <w:rsid w:val="00B11416"/>
    <w:rsid w:val="00B117BF"/>
    <w:rsid w:val="00B11C8D"/>
    <w:rsid w:val="00B12B84"/>
    <w:rsid w:val="00B136E1"/>
    <w:rsid w:val="00B13AF1"/>
    <w:rsid w:val="00B1418B"/>
    <w:rsid w:val="00B14A40"/>
    <w:rsid w:val="00B1541B"/>
    <w:rsid w:val="00B15B9C"/>
    <w:rsid w:val="00B15E52"/>
    <w:rsid w:val="00B1633A"/>
    <w:rsid w:val="00B164A1"/>
    <w:rsid w:val="00B2026B"/>
    <w:rsid w:val="00B225C9"/>
    <w:rsid w:val="00B22EED"/>
    <w:rsid w:val="00B25196"/>
    <w:rsid w:val="00B25A69"/>
    <w:rsid w:val="00B25FB0"/>
    <w:rsid w:val="00B27F6D"/>
    <w:rsid w:val="00B300C1"/>
    <w:rsid w:val="00B30AAE"/>
    <w:rsid w:val="00B31A1F"/>
    <w:rsid w:val="00B31A5F"/>
    <w:rsid w:val="00B33136"/>
    <w:rsid w:val="00B33C8C"/>
    <w:rsid w:val="00B3478F"/>
    <w:rsid w:val="00B349ED"/>
    <w:rsid w:val="00B3540C"/>
    <w:rsid w:val="00B356CD"/>
    <w:rsid w:val="00B36205"/>
    <w:rsid w:val="00B36367"/>
    <w:rsid w:val="00B36456"/>
    <w:rsid w:val="00B36AC7"/>
    <w:rsid w:val="00B37E20"/>
    <w:rsid w:val="00B4032E"/>
    <w:rsid w:val="00B41653"/>
    <w:rsid w:val="00B4172C"/>
    <w:rsid w:val="00B4197F"/>
    <w:rsid w:val="00B42438"/>
    <w:rsid w:val="00B42C07"/>
    <w:rsid w:val="00B42CA7"/>
    <w:rsid w:val="00B445D3"/>
    <w:rsid w:val="00B4497A"/>
    <w:rsid w:val="00B44B17"/>
    <w:rsid w:val="00B451C7"/>
    <w:rsid w:val="00B455D4"/>
    <w:rsid w:val="00B464E0"/>
    <w:rsid w:val="00B46E4E"/>
    <w:rsid w:val="00B47330"/>
    <w:rsid w:val="00B47540"/>
    <w:rsid w:val="00B50136"/>
    <w:rsid w:val="00B507B9"/>
    <w:rsid w:val="00B50E29"/>
    <w:rsid w:val="00B528EB"/>
    <w:rsid w:val="00B531D5"/>
    <w:rsid w:val="00B535FA"/>
    <w:rsid w:val="00B536E3"/>
    <w:rsid w:val="00B54B31"/>
    <w:rsid w:val="00B55142"/>
    <w:rsid w:val="00B55D27"/>
    <w:rsid w:val="00B57F20"/>
    <w:rsid w:val="00B604E5"/>
    <w:rsid w:val="00B6080C"/>
    <w:rsid w:val="00B615C8"/>
    <w:rsid w:val="00B617D6"/>
    <w:rsid w:val="00B61F0F"/>
    <w:rsid w:val="00B6207D"/>
    <w:rsid w:val="00B6328D"/>
    <w:rsid w:val="00B64F50"/>
    <w:rsid w:val="00B66117"/>
    <w:rsid w:val="00B66DBD"/>
    <w:rsid w:val="00B674A3"/>
    <w:rsid w:val="00B675BA"/>
    <w:rsid w:val="00B704C0"/>
    <w:rsid w:val="00B71D20"/>
    <w:rsid w:val="00B74C04"/>
    <w:rsid w:val="00B76366"/>
    <w:rsid w:val="00B76402"/>
    <w:rsid w:val="00B764FA"/>
    <w:rsid w:val="00B807F3"/>
    <w:rsid w:val="00B80C23"/>
    <w:rsid w:val="00B81BA0"/>
    <w:rsid w:val="00B82193"/>
    <w:rsid w:val="00B825BF"/>
    <w:rsid w:val="00B829FF"/>
    <w:rsid w:val="00B84506"/>
    <w:rsid w:val="00B847CB"/>
    <w:rsid w:val="00B8542A"/>
    <w:rsid w:val="00B8639E"/>
    <w:rsid w:val="00B9131D"/>
    <w:rsid w:val="00B9143A"/>
    <w:rsid w:val="00B91ADA"/>
    <w:rsid w:val="00B92EF9"/>
    <w:rsid w:val="00B93DD2"/>
    <w:rsid w:val="00B95393"/>
    <w:rsid w:val="00B96199"/>
    <w:rsid w:val="00BA00FF"/>
    <w:rsid w:val="00BA16D7"/>
    <w:rsid w:val="00BA208C"/>
    <w:rsid w:val="00BA2294"/>
    <w:rsid w:val="00BA25BE"/>
    <w:rsid w:val="00BA2607"/>
    <w:rsid w:val="00BA2F45"/>
    <w:rsid w:val="00BA72A6"/>
    <w:rsid w:val="00BA7985"/>
    <w:rsid w:val="00BA7F4C"/>
    <w:rsid w:val="00BB07F2"/>
    <w:rsid w:val="00BB2FE2"/>
    <w:rsid w:val="00BB3EEA"/>
    <w:rsid w:val="00BB4AA0"/>
    <w:rsid w:val="00BB5402"/>
    <w:rsid w:val="00BB7500"/>
    <w:rsid w:val="00BC0818"/>
    <w:rsid w:val="00BC5800"/>
    <w:rsid w:val="00BC5986"/>
    <w:rsid w:val="00BC74E8"/>
    <w:rsid w:val="00BD0540"/>
    <w:rsid w:val="00BD13CB"/>
    <w:rsid w:val="00BD194E"/>
    <w:rsid w:val="00BD26F5"/>
    <w:rsid w:val="00BD2DC9"/>
    <w:rsid w:val="00BD2E0D"/>
    <w:rsid w:val="00BD3822"/>
    <w:rsid w:val="00BD3830"/>
    <w:rsid w:val="00BD3887"/>
    <w:rsid w:val="00BD4607"/>
    <w:rsid w:val="00BD4694"/>
    <w:rsid w:val="00BD4DA2"/>
    <w:rsid w:val="00BD4FB4"/>
    <w:rsid w:val="00BD658C"/>
    <w:rsid w:val="00BD67D4"/>
    <w:rsid w:val="00BD6D0C"/>
    <w:rsid w:val="00BE03ED"/>
    <w:rsid w:val="00BE092D"/>
    <w:rsid w:val="00BE0A8E"/>
    <w:rsid w:val="00BE0B61"/>
    <w:rsid w:val="00BE0D73"/>
    <w:rsid w:val="00BE1EA9"/>
    <w:rsid w:val="00BE2075"/>
    <w:rsid w:val="00BE2631"/>
    <w:rsid w:val="00BE4DB7"/>
    <w:rsid w:val="00BE4EBF"/>
    <w:rsid w:val="00BE5081"/>
    <w:rsid w:val="00BE62C1"/>
    <w:rsid w:val="00BE651D"/>
    <w:rsid w:val="00BE6B7C"/>
    <w:rsid w:val="00BE7326"/>
    <w:rsid w:val="00BE7D9C"/>
    <w:rsid w:val="00BF00CC"/>
    <w:rsid w:val="00BF05CE"/>
    <w:rsid w:val="00BF1971"/>
    <w:rsid w:val="00BF1E4A"/>
    <w:rsid w:val="00BF2775"/>
    <w:rsid w:val="00BF27E2"/>
    <w:rsid w:val="00BF302F"/>
    <w:rsid w:val="00BF326E"/>
    <w:rsid w:val="00BF3AD5"/>
    <w:rsid w:val="00BF40E1"/>
    <w:rsid w:val="00BF43FF"/>
    <w:rsid w:val="00BF4AE8"/>
    <w:rsid w:val="00BF5725"/>
    <w:rsid w:val="00BF6436"/>
    <w:rsid w:val="00BF6573"/>
    <w:rsid w:val="00BF78FE"/>
    <w:rsid w:val="00C0095B"/>
    <w:rsid w:val="00C00D46"/>
    <w:rsid w:val="00C00EDF"/>
    <w:rsid w:val="00C02C92"/>
    <w:rsid w:val="00C02EED"/>
    <w:rsid w:val="00C03DAA"/>
    <w:rsid w:val="00C056EF"/>
    <w:rsid w:val="00C05832"/>
    <w:rsid w:val="00C063A4"/>
    <w:rsid w:val="00C0678C"/>
    <w:rsid w:val="00C07F89"/>
    <w:rsid w:val="00C108D9"/>
    <w:rsid w:val="00C126B1"/>
    <w:rsid w:val="00C12AE0"/>
    <w:rsid w:val="00C12E16"/>
    <w:rsid w:val="00C13ABF"/>
    <w:rsid w:val="00C13D6F"/>
    <w:rsid w:val="00C13F88"/>
    <w:rsid w:val="00C1408D"/>
    <w:rsid w:val="00C15251"/>
    <w:rsid w:val="00C16588"/>
    <w:rsid w:val="00C1674B"/>
    <w:rsid w:val="00C172E7"/>
    <w:rsid w:val="00C23CAA"/>
    <w:rsid w:val="00C23D49"/>
    <w:rsid w:val="00C23D81"/>
    <w:rsid w:val="00C24138"/>
    <w:rsid w:val="00C24888"/>
    <w:rsid w:val="00C254EC"/>
    <w:rsid w:val="00C261CC"/>
    <w:rsid w:val="00C26470"/>
    <w:rsid w:val="00C27534"/>
    <w:rsid w:val="00C27696"/>
    <w:rsid w:val="00C31F39"/>
    <w:rsid w:val="00C3238E"/>
    <w:rsid w:val="00C35D19"/>
    <w:rsid w:val="00C37AB4"/>
    <w:rsid w:val="00C37DC2"/>
    <w:rsid w:val="00C400C7"/>
    <w:rsid w:val="00C4094E"/>
    <w:rsid w:val="00C417CF"/>
    <w:rsid w:val="00C419FC"/>
    <w:rsid w:val="00C41E56"/>
    <w:rsid w:val="00C42F83"/>
    <w:rsid w:val="00C43505"/>
    <w:rsid w:val="00C44735"/>
    <w:rsid w:val="00C44B50"/>
    <w:rsid w:val="00C4512D"/>
    <w:rsid w:val="00C465BB"/>
    <w:rsid w:val="00C47132"/>
    <w:rsid w:val="00C47D77"/>
    <w:rsid w:val="00C50886"/>
    <w:rsid w:val="00C50F91"/>
    <w:rsid w:val="00C5253F"/>
    <w:rsid w:val="00C5255D"/>
    <w:rsid w:val="00C53A7C"/>
    <w:rsid w:val="00C53FEA"/>
    <w:rsid w:val="00C6068A"/>
    <w:rsid w:val="00C62157"/>
    <w:rsid w:val="00C62F1A"/>
    <w:rsid w:val="00C6380C"/>
    <w:rsid w:val="00C642EE"/>
    <w:rsid w:val="00C647EE"/>
    <w:rsid w:val="00C64CFF"/>
    <w:rsid w:val="00C657B0"/>
    <w:rsid w:val="00C65905"/>
    <w:rsid w:val="00C65A5D"/>
    <w:rsid w:val="00C661A2"/>
    <w:rsid w:val="00C666DA"/>
    <w:rsid w:val="00C6682C"/>
    <w:rsid w:val="00C66D48"/>
    <w:rsid w:val="00C67A9A"/>
    <w:rsid w:val="00C67E8A"/>
    <w:rsid w:val="00C67EEA"/>
    <w:rsid w:val="00C71A1A"/>
    <w:rsid w:val="00C71E43"/>
    <w:rsid w:val="00C72301"/>
    <w:rsid w:val="00C7399F"/>
    <w:rsid w:val="00C73B6E"/>
    <w:rsid w:val="00C751EC"/>
    <w:rsid w:val="00C76002"/>
    <w:rsid w:val="00C76954"/>
    <w:rsid w:val="00C80E58"/>
    <w:rsid w:val="00C81302"/>
    <w:rsid w:val="00C81994"/>
    <w:rsid w:val="00C82138"/>
    <w:rsid w:val="00C830ED"/>
    <w:rsid w:val="00C83E80"/>
    <w:rsid w:val="00C83EA1"/>
    <w:rsid w:val="00C856F8"/>
    <w:rsid w:val="00C85ED4"/>
    <w:rsid w:val="00C87D0A"/>
    <w:rsid w:val="00C901C5"/>
    <w:rsid w:val="00C9181A"/>
    <w:rsid w:val="00C9260D"/>
    <w:rsid w:val="00C92770"/>
    <w:rsid w:val="00C96517"/>
    <w:rsid w:val="00C96523"/>
    <w:rsid w:val="00C96C30"/>
    <w:rsid w:val="00CA0027"/>
    <w:rsid w:val="00CA1790"/>
    <w:rsid w:val="00CA18F1"/>
    <w:rsid w:val="00CA1A99"/>
    <w:rsid w:val="00CA20F3"/>
    <w:rsid w:val="00CA3610"/>
    <w:rsid w:val="00CA504C"/>
    <w:rsid w:val="00CA5385"/>
    <w:rsid w:val="00CA56FB"/>
    <w:rsid w:val="00CB0E38"/>
    <w:rsid w:val="00CB1591"/>
    <w:rsid w:val="00CB1F15"/>
    <w:rsid w:val="00CB236B"/>
    <w:rsid w:val="00CB2EB6"/>
    <w:rsid w:val="00CB3281"/>
    <w:rsid w:val="00CB39DD"/>
    <w:rsid w:val="00CB52D3"/>
    <w:rsid w:val="00CB582E"/>
    <w:rsid w:val="00CB6023"/>
    <w:rsid w:val="00CB657B"/>
    <w:rsid w:val="00CB6C90"/>
    <w:rsid w:val="00CB7BEC"/>
    <w:rsid w:val="00CC257E"/>
    <w:rsid w:val="00CC3AC7"/>
    <w:rsid w:val="00CC3C1B"/>
    <w:rsid w:val="00CC3C5E"/>
    <w:rsid w:val="00CC480F"/>
    <w:rsid w:val="00CC4A2B"/>
    <w:rsid w:val="00CC4C21"/>
    <w:rsid w:val="00CC4F63"/>
    <w:rsid w:val="00CC554A"/>
    <w:rsid w:val="00CC569A"/>
    <w:rsid w:val="00CC6334"/>
    <w:rsid w:val="00CC7F87"/>
    <w:rsid w:val="00CD0045"/>
    <w:rsid w:val="00CD036B"/>
    <w:rsid w:val="00CD0875"/>
    <w:rsid w:val="00CD0B40"/>
    <w:rsid w:val="00CD1FC9"/>
    <w:rsid w:val="00CD2BB6"/>
    <w:rsid w:val="00CD36C1"/>
    <w:rsid w:val="00CD4219"/>
    <w:rsid w:val="00CD46AC"/>
    <w:rsid w:val="00CD5101"/>
    <w:rsid w:val="00CD519E"/>
    <w:rsid w:val="00CD5200"/>
    <w:rsid w:val="00CD5F06"/>
    <w:rsid w:val="00CD7BB6"/>
    <w:rsid w:val="00CD7EC5"/>
    <w:rsid w:val="00CE0067"/>
    <w:rsid w:val="00CE092A"/>
    <w:rsid w:val="00CE0AF7"/>
    <w:rsid w:val="00CE0CDE"/>
    <w:rsid w:val="00CE1609"/>
    <w:rsid w:val="00CE5055"/>
    <w:rsid w:val="00CE63DE"/>
    <w:rsid w:val="00CE7267"/>
    <w:rsid w:val="00CE7751"/>
    <w:rsid w:val="00CF09BF"/>
    <w:rsid w:val="00CF175A"/>
    <w:rsid w:val="00CF30A6"/>
    <w:rsid w:val="00CF3380"/>
    <w:rsid w:val="00CF379A"/>
    <w:rsid w:val="00CF4A2E"/>
    <w:rsid w:val="00CF521D"/>
    <w:rsid w:val="00CF609E"/>
    <w:rsid w:val="00CF71A9"/>
    <w:rsid w:val="00CF7BE1"/>
    <w:rsid w:val="00D00198"/>
    <w:rsid w:val="00D017A9"/>
    <w:rsid w:val="00D01CD3"/>
    <w:rsid w:val="00D03CF1"/>
    <w:rsid w:val="00D04989"/>
    <w:rsid w:val="00D04F6B"/>
    <w:rsid w:val="00D0568B"/>
    <w:rsid w:val="00D076F6"/>
    <w:rsid w:val="00D07BC7"/>
    <w:rsid w:val="00D105DA"/>
    <w:rsid w:val="00D11A6F"/>
    <w:rsid w:val="00D12012"/>
    <w:rsid w:val="00D145B5"/>
    <w:rsid w:val="00D16004"/>
    <w:rsid w:val="00D1636A"/>
    <w:rsid w:val="00D17A67"/>
    <w:rsid w:val="00D21611"/>
    <w:rsid w:val="00D21ECE"/>
    <w:rsid w:val="00D22254"/>
    <w:rsid w:val="00D223D2"/>
    <w:rsid w:val="00D2261D"/>
    <w:rsid w:val="00D23DEA"/>
    <w:rsid w:val="00D248D1"/>
    <w:rsid w:val="00D30935"/>
    <w:rsid w:val="00D30D48"/>
    <w:rsid w:val="00D3102F"/>
    <w:rsid w:val="00D32A0C"/>
    <w:rsid w:val="00D34561"/>
    <w:rsid w:val="00D34F11"/>
    <w:rsid w:val="00D35DC7"/>
    <w:rsid w:val="00D36856"/>
    <w:rsid w:val="00D36DE3"/>
    <w:rsid w:val="00D37868"/>
    <w:rsid w:val="00D40B57"/>
    <w:rsid w:val="00D40EA8"/>
    <w:rsid w:val="00D41831"/>
    <w:rsid w:val="00D41850"/>
    <w:rsid w:val="00D41ADC"/>
    <w:rsid w:val="00D42722"/>
    <w:rsid w:val="00D43729"/>
    <w:rsid w:val="00D43879"/>
    <w:rsid w:val="00D43CBD"/>
    <w:rsid w:val="00D44339"/>
    <w:rsid w:val="00D450B9"/>
    <w:rsid w:val="00D4554E"/>
    <w:rsid w:val="00D457E5"/>
    <w:rsid w:val="00D45F56"/>
    <w:rsid w:val="00D46C86"/>
    <w:rsid w:val="00D4711D"/>
    <w:rsid w:val="00D477F0"/>
    <w:rsid w:val="00D5024A"/>
    <w:rsid w:val="00D53515"/>
    <w:rsid w:val="00D548D1"/>
    <w:rsid w:val="00D54C0C"/>
    <w:rsid w:val="00D556AD"/>
    <w:rsid w:val="00D557E6"/>
    <w:rsid w:val="00D6020A"/>
    <w:rsid w:val="00D61B70"/>
    <w:rsid w:val="00D61F4C"/>
    <w:rsid w:val="00D625EC"/>
    <w:rsid w:val="00D62610"/>
    <w:rsid w:val="00D62A32"/>
    <w:rsid w:val="00D6346F"/>
    <w:rsid w:val="00D63597"/>
    <w:rsid w:val="00D650A8"/>
    <w:rsid w:val="00D65435"/>
    <w:rsid w:val="00D67D2F"/>
    <w:rsid w:val="00D705CE"/>
    <w:rsid w:val="00D7073C"/>
    <w:rsid w:val="00D71916"/>
    <w:rsid w:val="00D738DC"/>
    <w:rsid w:val="00D73B59"/>
    <w:rsid w:val="00D74958"/>
    <w:rsid w:val="00D75AD4"/>
    <w:rsid w:val="00D7624C"/>
    <w:rsid w:val="00D80C20"/>
    <w:rsid w:val="00D80C51"/>
    <w:rsid w:val="00D80E39"/>
    <w:rsid w:val="00D80EE9"/>
    <w:rsid w:val="00D8190F"/>
    <w:rsid w:val="00D819FA"/>
    <w:rsid w:val="00D8238B"/>
    <w:rsid w:val="00D826EE"/>
    <w:rsid w:val="00D82749"/>
    <w:rsid w:val="00D82C44"/>
    <w:rsid w:val="00D83298"/>
    <w:rsid w:val="00D83D54"/>
    <w:rsid w:val="00D845C0"/>
    <w:rsid w:val="00D84703"/>
    <w:rsid w:val="00D84C8A"/>
    <w:rsid w:val="00D86C77"/>
    <w:rsid w:val="00D9033D"/>
    <w:rsid w:val="00D9147E"/>
    <w:rsid w:val="00D92C9C"/>
    <w:rsid w:val="00D935A0"/>
    <w:rsid w:val="00D93816"/>
    <w:rsid w:val="00D93C16"/>
    <w:rsid w:val="00D94D91"/>
    <w:rsid w:val="00D95147"/>
    <w:rsid w:val="00D95BBE"/>
    <w:rsid w:val="00D9729F"/>
    <w:rsid w:val="00DA0435"/>
    <w:rsid w:val="00DA1759"/>
    <w:rsid w:val="00DA1C33"/>
    <w:rsid w:val="00DA4D93"/>
    <w:rsid w:val="00DA6548"/>
    <w:rsid w:val="00DA6874"/>
    <w:rsid w:val="00DB0168"/>
    <w:rsid w:val="00DB2B65"/>
    <w:rsid w:val="00DB4CBC"/>
    <w:rsid w:val="00DB50AD"/>
    <w:rsid w:val="00DB57EA"/>
    <w:rsid w:val="00DB64E3"/>
    <w:rsid w:val="00DB6AD3"/>
    <w:rsid w:val="00DC033D"/>
    <w:rsid w:val="00DC0B74"/>
    <w:rsid w:val="00DC181D"/>
    <w:rsid w:val="00DC1FF3"/>
    <w:rsid w:val="00DC2484"/>
    <w:rsid w:val="00DC34AD"/>
    <w:rsid w:val="00DC350F"/>
    <w:rsid w:val="00DC3601"/>
    <w:rsid w:val="00DC6C27"/>
    <w:rsid w:val="00DC6F6D"/>
    <w:rsid w:val="00DC7D61"/>
    <w:rsid w:val="00DD023A"/>
    <w:rsid w:val="00DD03B1"/>
    <w:rsid w:val="00DD10B1"/>
    <w:rsid w:val="00DD1361"/>
    <w:rsid w:val="00DD186B"/>
    <w:rsid w:val="00DD1A06"/>
    <w:rsid w:val="00DD1E71"/>
    <w:rsid w:val="00DD270C"/>
    <w:rsid w:val="00DD2EFC"/>
    <w:rsid w:val="00DD509A"/>
    <w:rsid w:val="00DD52BB"/>
    <w:rsid w:val="00DD67EF"/>
    <w:rsid w:val="00DD7BB3"/>
    <w:rsid w:val="00DE1B45"/>
    <w:rsid w:val="00DE209A"/>
    <w:rsid w:val="00DE22E0"/>
    <w:rsid w:val="00DE2B5F"/>
    <w:rsid w:val="00DE2DDF"/>
    <w:rsid w:val="00DE5FD1"/>
    <w:rsid w:val="00DE6A6B"/>
    <w:rsid w:val="00DE6FA8"/>
    <w:rsid w:val="00DF0722"/>
    <w:rsid w:val="00DF0CC8"/>
    <w:rsid w:val="00DF34B6"/>
    <w:rsid w:val="00DF3B56"/>
    <w:rsid w:val="00DF4407"/>
    <w:rsid w:val="00DF48EC"/>
    <w:rsid w:val="00DF5D4E"/>
    <w:rsid w:val="00DF68A5"/>
    <w:rsid w:val="00DF7486"/>
    <w:rsid w:val="00DF7F78"/>
    <w:rsid w:val="00E0081B"/>
    <w:rsid w:val="00E00D67"/>
    <w:rsid w:val="00E04526"/>
    <w:rsid w:val="00E04B62"/>
    <w:rsid w:val="00E053F8"/>
    <w:rsid w:val="00E058A5"/>
    <w:rsid w:val="00E059F2"/>
    <w:rsid w:val="00E065CE"/>
    <w:rsid w:val="00E06828"/>
    <w:rsid w:val="00E06B78"/>
    <w:rsid w:val="00E07226"/>
    <w:rsid w:val="00E07BA2"/>
    <w:rsid w:val="00E10665"/>
    <w:rsid w:val="00E11BB4"/>
    <w:rsid w:val="00E12344"/>
    <w:rsid w:val="00E1540C"/>
    <w:rsid w:val="00E15CF1"/>
    <w:rsid w:val="00E17F56"/>
    <w:rsid w:val="00E22ED3"/>
    <w:rsid w:val="00E232BB"/>
    <w:rsid w:val="00E236F7"/>
    <w:rsid w:val="00E240E7"/>
    <w:rsid w:val="00E2628C"/>
    <w:rsid w:val="00E2721B"/>
    <w:rsid w:val="00E2755D"/>
    <w:rsid w:val="00E27959"/>
    <w:rsid w:val="00E27DBE"/>
    <w:rsid w:val="00E31EA2"/>
    <w:rsid w:val="00E32EE9"/>
    <w:rsid w:val="00E3329E"/>
    <w:rsid w:val="00E33B26"/>
    <w:rsid w:val="00E34ED6"/>
    <w:rsid w:val="00E3584D"/>
    <w:rsid w:val="00E3585C"/>
    <w:rsid w:val="00E365AF"/>
    <w:rsid w:val="00E3688B"/>
    <w:rsid w:val="00E37DAE"/>
    <w:rsid w:val="00E401D3"/>
    <w:rsid w:val="00E4390A"/>
    <w:rsid w:val="00E451ED"/>
    <w:rsid w:val="00E45549"/>
    <w:rsid w:val="00E4648E"/>
    <w:rsid w:val="00E46F16"/>
    <w:rsid w:val="00E47646"/>
    <w:rsid w:val="00E50051"/>
    <w:rsid w:val="00E50472"/>
    <w:rsid w:val="00E5094C"/>
    <w:rsid w:val="00E50CA1"/>
    <w:rsid w:val="00E50FCE"/>
    <w:rsid w:val="00E55309"/>
    <w:rsid w:val="00E56355"/>
    <w:rsid w:val="00E56D8E"/>
    <w:rsid w:val="00E6004B"/>
    <w:rsid w:val="00E6396A"/>
    <w:rsid w:val="00E63BE0"/>
    <w:rsid w:val="00E63DB5"/>
    <w:rsid w:val="00E640D1"/>
    <w:rsid w:val="00E64762"/>
    <w:rsid w:val="00E65194"/>
    <w:rsid w:val="00E66729"/>
    <w:rsid w:val="00E67752"/>
    <w:rsid w:val="00E67B69"/>
    <w:rsid w:val="00E67C45"/>
    <w:rsid w:val="00E67E73"/>
    <w:rsid w:val="00E701AD"/>
    <w:rsid w:val="00E71CCE"/>
    <w:rsid w:val="00E7242F"/>
    <w:rsid w:val="00E72D2B"/>
    <w:rsid w:val="00E7375E"/>
    <w:rsid w:val="00E73A40"/>
    <w:rsid w:val="00E752DA"/>
    <w:rsid w:val="00E75B1F"/>
    <w:rsid w:val="00E75BFB"/>
    <w:rsid w:val="00E810D3"/>
    <w:rsid w:val="00E825CC"/>
    <w:rsid w:val="00E834F9"/>
    <w:rsid w:val="00E84BAC"/>
    <w:rsid w:val="00E855D2"/>
    <w:rsid w:val="00E859D4"/>
    <w:rsid w:val="00E862C3"/>
    <w:rsid w:val="00E86433"/>
    <w:rsid w:val="00E87DFB"/>
    <w:rsid w:val="00E87FA0"/>
    <w:rsid w:val="00E9047F"/>
    <w:rsid w:val="00E90960"/>
    <w:rsid w:val="00E91098"/>
    <w:rsid w:val="00E91536"/>
    <w:rsid w:val="00E92005"/>
    <w:rsid w:val="00E92058"/>
    <w:rsid w:val="00E9319E"/>
    <w:rsid w:val="00E94F40"/>
    <w:rsid w:val="00E965E6"/>
    <w:rsid w:val="00E966F1"/>
    <w:rsid w:val="00E96BB2"/>
    <w:rsid w:val="00EA0707"/>
    <w:rsid w:val="00EA1917"/>
    <w:rsid w:val="00EA2963"/>
    <w:rsid w:val="00EA4435"/>
    <w:rsid w:val="00EA490B"/>
    <w:rsid w:val="00EA63CF"/>
    <w:rsid w:val="00EA6DD7"/>
    <w:rsid w:val="00EA71D3"/>
    <w:rsid w:val="00EA7E20"/>
    <w:rsid w:val="00EB08A3"/>
    <w:rsid w:val="00EB1894"/>
    <w:rsid w:val="00EB1BBE"/>
    <w:rsid w:val="00EB21A2"/>
    <w:rsid w:val="00EB2AB3"/>
    <w:rsid w:val="00EB35F7"/>
    <w:rsid w:val="00EB3CD1"/>
    <w:rsid w:val="00EB3E59"/>
    <w:rsid w:val="00EB6A21"/>
    <w:rsid w:val="00EB72CC"/>
    <w:rsid w:val="00EB7330"/>
    <w:rsid w:val="00EB79AD"/>
    <w:rsid w:val="00EC2242"/>
    <w:rsid w:val="00EC3DA0"/>
    <w:rsid w:val="00EC4E2E"/>
    <w:rsid w:val="00EC56D4"/>
    <w:rsid w:val="00ED0771"/>
    <w:rsid w:val="00ED0AE0"/>
    <w:rsid w:val="00ED3DF2"/>
    <w:rsid w:val="00ED40FA"/>
    <w:rsid w:val="00ED4488"/>
    <w:rsid w:val="00ED525F"/>
    <w:rsid w:val="00ED687C"/>
    <w:rsid w:val="00ED7600"/>
    <w:rsid w:val="00EE0013"/>
    <w:rsid w:val="00EE0A36"/>
    <w:rsid w:val="00EE2272"/>
    <w:rsid w:val="00EE269B"/>
    <w:rsid w:val="00EE2D85"/>
    <w:rsid w:val="00EE3B00"/>
    <w:rsid w:val="00EE4D39"/>
    <w:rsid w:val="00EE4E7B"/>
    <w:rsid w:val="00EE62B3"/>
    <w:rsid w:val="00EE7302"/>
    <w:rsid w:val="00EE7F91"/>
    <w:rsid w:val="00EF00E3"/>
    <w:rsid w:val="00EF0890"/>
    <w:rsid w:val="00EF4B09"/>
    <w:rsid w:val="00EF50CB"/>
    <w:rsid w:val="00EF6DE7"/>
    <w:rsid w:val="00F00C77"/>
    <w:rsid w:val="00F00CD7"/>
    <w:rsid w:val="00F01952"/>
    <w:rsid w:val="00F02CEB"/>
    <w:rsid w:val="00F03438"/>
    <w:rsid w:val="00F035E8"/>
    <w:rsid w:val="00F03F8B"/>
    <w:rsid w:val="00F045D1"/>
    <w:rsid w:val="00F05EC2"/>
    <w:rsid w:val="00F068D0"/>
    <w:rsid w:val="00F0710D"/>
    <w:rsid w:val="00F077CB"/>
    <w:rsid w:val="00F11A5B"/>
    <w:rsid w:val="00F12735"/>
    <w:rsid w:val="00F1290D"/>
    <w:rsid w:val="00F1322E"/>
    <w:rsid w:val="00F13BD9"/>
    <w:rsid w:val="00F14B3D"/>
    <w:rsid w:val="00F14DB0"/>
    <w:rsid w:val="00F20733"/>
    <w:rsid w:val="00F2096F"/>
    <w:rsid w:val="00F210D6"/>
    <w:rsid w:val="00F22CEF"/>
    <w:rsid w:val="00F235DC"/>
    <w:rsid w:val="00F25BD8"/>
    <w:rsid w:val="00F26020"/>
    <w:rsid w:val="00F2636B"/>
    <w:rsid w:val="00F26C83"/>
    <w:rsid w:val="00F26FCB"/>
    <w:rsid w:val="00F27FED"/>
    <w:rsid w:val="00F32405"/>
    <w:rsid w:val="00F3313F"/>
    <w:rsid w:val="00F34235"/>
    <w:rsid w:val="00F3572D"/>
    <w:rsid w:val="00F358DA"/>
    <w:rsid w:val="00F37D54"/>
    <w:rsid w:val="00F403CF"/>
    <w:rsid w:val="00F40C51"/>
    <w:rsid w:val="00F40C57"/>
    <w:rsid w:val="00F433C6"/>
    <w:rsid w:val="00F464A3"/>
    <w:rsid w:val="00F4747E"/>
    <w:rsid w:val="00F510BB"/>
    <w:rsid w:val="00F51C40"/>
    <w:rsid w:val="00F5242E"/>
    <w:rsid w:val="00F5264A"/>
    <w:rsid w:val="00F52D9E"/>
    <w:rsid w:val="00F531EF"/>
    <w:rsid w:val="00F53417"/>
    <w:rsid w:val="00F55563"/>
    <w:rsid w:val="00F567D7"/>
    <w:rsid w:val="00F568CC"/>
    <w:rsid w:val="00F57678"/>
    <w:rsid w:val="00F57A32"/>
    <w:rsid w:val="00F60676"/>
    <w:rsid w:val="00F60A66"/>
    <w:rsid w:val="00F6143F"/>
    <w:rsid w:val="00F62E06"/>
    <w:rsid w:val="00F63695"/>
    <w:rsid w:val="00F6469B"/>
    <w:rsid w:val="00F64AC9"/>
    <w:rsid w:val="00F64D6D"/>
    <w:rsid w:val="00F65F67"/>
    <w:rsid w:val="00F66262"/>
    <w:rsid w:val="00F67242"/>
    <w:rsid w:val="00F7063A"/>
    <w:rsid w:val="00F72A6B"/>
    <w:rsid w:val="00F74F35"/>
    <w:rsid w:val="00F75AF4"/>
    <w:rsid w:val="00F76B2E"/>
    <w:rsid w:val="00F76E34"/>
    <w:rsid w:val="00F771C1"/>
    <w:rsid w:val="00F77B4E"/>
    <w:rsid w:val="00F8031D"/>
    <w:rsid w:val="00F8134F"/>
    <w:rsid w:val="00F82DE8"/>
    <w:rsid w:val="00F83238"/>
    <w:rsid w:val="00F839E5"/>
    <w:rsid w:val="00F85503"/>
    <w:rsid w:val="00F86CA5"/>
    <w:rsid w:val="00F87754"/>
    <w:rsid w:val="00F90ADF"/>
    <w:rsid w:val="00F90CF2"/>
    <w:rsid w:val="00F916B9"/>
    <w:rsid w:val="00F9330C"/>
    <w:rsid w:val="00F939D5"/>
    <w:rsid w:val="00F94440"/>
    <w:rsid w:val="00F954F1"/>
    <w:rsid w:val="00FA333F"/>
    <w:rsid w:val="00FA48A8"/>
    <w:rsid w:val="00FA5FCF"/>
    <w:rsid w:val="00FA655E"/>
    <w:rsid w:val="00FA66BC"/>
    <w:rsid w:val="00FA722B"/>
    <w:rsid w:val="00FA7BD7"/>
    <w:rsid w:val="00FB3071"/>
    <w:rsid w:val="00FB5922"/>
    <w:rsid w:val="00FB6C61"/>
    <w:rsid w:val="00FC0726"/>
    <w:rsid w:val="00FC11D5"/>
    <w:rsid w:val="00FC1665"/>
    <w:rsid w:val="00FC1FD9"/>
    <w:rsid w:val="00FC2EDB"/>
    <w:rsid w:val="00FC37F2"/>
    <w:rsid w:val="00FC3A0E"/>
    <w:rsid w:val="00FC3CBF"/>
    <w:rsid w:val="00FC45C1"/>
    <w:rsid w:val="00FC73FC"/>
    <w:rsid w:val="00FC7EB1"/>
    <w:rsid w:val="00FD0B5D"/>
    <w:rsid w:val="00FD1EAC"/>
    <w:rsid w:val="00FD20F4"/>
    <w:rsid w:val="00FD2DBD"/>
    <w:rsid w:val="00FD35EC"/>
    <w:rsid w:val="00FD3930"/>
    <w:rsid w:val="00FD3AE6"/>
    <w:rsid w:val="00FD4069"/>
    <w:rsid w:val="00FD5498"/>
    <w:rsid w:val="00FD5849"/>
    <w:rsid w:val="00FD5DCC"/>
    <w:rsid w:val="00FD5EDF"/>
    <w:rsid w:val="00FE0014"/>
    <w:rsid w:val="00FE0C14"/>
    <w:rsid w:val="00FE1231"/>
    <w:rsid w:val="00FE14F9"/>
    <w:rsid w:val="00FE1E8A"/>
    <w:rsid w:val="00FE23FD"/>
    <w:rsid w:val="00FE2A14"/>
    <w:rsid w:val="00FE3E8A"/>
    <w:rsid w:val="00FE4D8A"/>
    <w:rsid w:val="00FE5775"/>
    <w:rsid w:val="00FE5D55"/>
    <w:rsid w:val="00FE5EDB"/>
    <w:rsid w:val="00FE60C8"/>
    <w:rsid w:val="00FE7125"/>
    <w:rsid w:val="00FF087D"/>
    <w:rsid w:val="00FF1494"/>
    <w:rsid w:val="00FF19FF"/>
    <w:rsid w:val="00FF2CD4"/>
    <w:rsid w:val="00FF2F7A"/>
    <w:rsid w:val="00FF387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C65B37"/>
  <w15:docId w15:val="{F5F54669-7BE5-441D-8BC7-E27714B13E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SimSun" w:hAnsi="Calibri" w:cs="Arial"/>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basedOn w:val="SingleTxtG"/>
    <w:next w:val="SingleTxtG"/>
    <w:link w:val="Heading1Char"/>
    <w:uiPriority w:val="9"/>
    <w:qFormat/>
    <w:pPr>
      <w:spacing w:after="0" w:line="240" w:lineRule="auto"/>
      <w:ind w:right="0"/>
      <w:jc w:val="left"/>
      <w:outlineLvl w:val="0"/>
    </w:pPr>
  </w:style>
  <w:style w:type="paragraph" w:styleId="Heading2">
    <w:name w:val="heading 2"/>
    <w:basedOn w:val="Normal"/>
    <w:next w:val="Normal"/>
    <w:link w:val="Heading2Char"/>
    <w:uiPriority w:val="9"/>
    <w:semiHidden/>
    <w:unhideWhenUsed/>
    <w:qFormat/>
    <w:pPr>
      <w:spacing w:line="240" w:lineRule="auto"/>
      <w:outlineLvl w:val="1"/>
    </w:pPr>
    <w:rPr>
      <w:rFonts w:eastAsia="SimSun"/>
      <w:lang w:eastAsia="zh-CN"/>
    </w:rPr>
  </w:style>
  <w:style w:type="paragraph" w:styleId="Heading3">
    <w:name w:val="heading 3"/>
    <w:basedOn w:val="Normal"/>
    <w:next w:val="Normal"/>
    <w:link w:val="Heading3Char"/>
    <w:uiPriority w:val="9"/>
    <w:semiHidden/>
    <w:unhideWhenUsed/>
    <w:qFormat/>
    <w:pPr>
      <w:spacing w:line="240" w:lineRule="auto"/>
      <w:outlineLvl w:val="2"/>
    </w:pPr>
    <w:rPr>
      <w:rFonts w:eastAsia="SimSun"/>
      <w:lang w:eastAsia="zh-CN"/>
    </w:rPr>
  </w:style>
  <w:style w:type="paragraph" w:styleId="Heading4">
    <w:name w:val="heading 4"/>
    <w:basedOn w:val="Normal"/>
    <w:next w:val="Normal"/>
    <w:link w:val="Heading4Char"/>
    <w:uiPriority w:val="9"/>
    <w:semiHidden/>
    <w:unhideWhenUsed/>
    <w:qFormat/>
    <w:pPr>
      <w:spacing w:line="240" w:lineRule="auto"/>
      <w:outlineLvl w:val="3"/>
    </w:pPr>
    <w:rPr>
      <w:rFonts w:eastAsia="SimSun"/>
      <w:lang w:eastAsia="zh-CN"/>
    </w:rPr>
  </w:style>
  <w:style w:type="paragraph" w:styleId="Heading5">
    <w:name w:val="heading 5"/>
    <w:basedOn w:val="Normal"/>
    <w:next w:val="Normal"/>
    <w:link w:val="Heading5Char"/>
    <w:uiPriority w:val="9"/>
    <w:semiHidden/>
    <w:unhideWhenUsed/>
    <w:qFormat/>
    <w:pPr>
      <w:spacing w:line="240" w:lineRule="auto"/>
      <w:outlineLvl w:val="4"/>
    </w:pPr>
    <w:rPr>
      <w:rFonts w:eastAsia="SimSun"/>
      <w:lang w:eastAsia="zh-CN"/>
    </w:rPr>
  </w:style>
  <w:style w:type="paragraph" w:styleId="Heading6">
    <w:name w:val="heading 6"/>
    <w:basedOn w:val="Normal"/>
    <w:next w:val="Normal"/>
    <w:link w:val="Heading6Char"/>
    <w:uiPriority w:val="9"/>
    <w:semiHidden/>
    <w:unhideWhenUsed/>
    <w:qFormat/>
    <w:pPr>
      <w:spacing w:line="240" w:lineRule="auto"/>
      <w:outlineLvl w:val="5"/>
    </w:pPr>
    <w:rPr>
      <w:rFonts w:eastAsia="SimSun"/>
      <w:lang w:eastAsia="zh-CN"/>
    </w:rPr>
  </w:style>
  <w:style w:type="paragraph" w:styleId="Heading7">
    <w:name w:val="heading 7"/>
    <w:basedOn w:val="Normal"/>
    <w:next w:val="Normal"/>
    <w:link w:val="Heading7Char"/>
    <w:pPr>
      <w:spacing w:line="240" w:lineRule="auto"/>
      <w:outlineLvl w:val="6"/>
    </w:pPr>
    <w:rPr>
      <w:rFonts w:eastAsia="SimSun"/>
      <w:lang w:eastAsia="zh-CN"/>
    </w:rPr>
  </w:style>
  <w:style w:type="paragraph" w:styleId="Heading8">
    <w:name w:val="heading 8"/>
    <w:basedOn w:val="Normal"/>
    <w:next w:val="Normal"/>
    <w:link w:val="Heading8Char"/>
    <w:pPr>
      <w:spacing w:line="240" w:lineRule="auto"/>
      <w:outlineLvl w:val="7"/>
    </w:pPr>
    <w:rPr>
      <w:rFonts w:eastAsia="SimSun"/>
      <w:lang w:eastAsia="zh-CN"/>
    </w:rPr>
  </w:style>
  <w:style w:type="paragraph" w:styleId="Heading9">
    <w:name w:val="heading 9"/>
    <w:basedOn w:val="Normal"/>
    <w:next w:val="Normal"/>
    <w:link w:val="Heading9Char"/>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pBdr>
        <w:bottom w:val="single" w:sz="4" w:space="4" w:color="auto"/>
      </w:pBdr>
      <w:spacing w:line="240" w:lineRule="auto"/>
    </w:pPr>
    <w:rPr>
      <w:rFonts w:eastAsia="SimSun"/>
      <w:b/>
      <w:sz w:val="18"/>
      <w:lang w:eastAsia="zh-CN"/>
    </w:rPr>
  </w:style>
  <w:style w:type="character" w:customStyle="1" w:styleId="HeaderChar">
    <w:name w:val="Header Char"/>
    <w:basedOn w:val="DefaultParagraphFont"/>
    <w:link w:val="Header"/>
    <w:rPr>
      <w:rFonts w:ascii="Times New Roman" w:hAnsi="Times New Roman" w:cs="Times New Roman"/>
      <w:b/>
      <w:sz w:val="18"/>
      <w:szCs w:val="20"/>
    </w:rPr>
  </w:style>
  <w:style w:type="paragraph" w:styleId="Footer">
    <w:name w:val="footer"/>
    <w:basedOn w:val="Normal"/>
    <w:link w:val="FooterChar"/>
    <w:pPr>
      <w:spacing w:line="240" w:lineRule="auto"/>
    </w:pPr>
    <w:rPr>
      <w:rFonts w:eastAsia="SimSun"/>
      <w:sz w:val="16"/>
      <w:lang w:eastAsia="zh-CN"/>
    </w:rPr>
  </w:style>
  <w:style w:type="character" w:customStyle="1" w:styleId="FooterChar">
    <w:name w:val="Footer Char"/>
    <w:basedOn w:val="DefaultParagraphFont"/>
    <w:link w:val="Footer"/>
    <w:rPr>
      <w:rFonts w:ascii="Times New Roman" w:eastAsia="SimSun" w:hAnsi="Times New Roman" w:cs="Times New Roman"/>
      <w:sz w:val="16"/>
      <w:szCs w:val="20"/>
    </w:rPr>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pPr>
      <w:spacing w:after="120"/>
      <w:ind w:left="1134" w:right="1134"/>
      <w:jc w:val="both"/>
    </w:pPr>
    <w:rPr>
      <w:rFonts w:eastAsia="SimSun"/>
      <w:lang w:eastAsia="zh-CN"/>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
      </w:numPr>
      <w:spacing w:after="120"/>
      <w:ind w:right="1134"/>
      <w:jc w:val="both"/>
    </w:pPr>
  </w:style>
  <w:style w:type="paragraph" w:customStyle="1" w:styleId="Bullet2G">
    <w:name w:val="_Bullet 2_G"/>
    <w:basedOn w:val="Normal"/>
    <w:pPr>
      <w:numPr>
        <w:numId w:val="2"/>
      </w:numPr>
      <w:spacing w:after="120"/>
      <w:ind w:right="1134"/>
      <w:jc w:val="both"/>
    </w:pPr>
  </w:style>
  <w:style w:type="paragraph" w:customStyle="1" w:styleId="ParaNoG">
    <w:name w:val="_ParaNo._G"/>
    <w:basedOn w:val="SingleTxtG"/>
    <w:pPr>
      <w:numPr>
        <w:numId w:val="3"/>
      </w:numPr>
    </w:pPr>
  </w:style>
  <w:style w:type="numbering" w:styleId="111111">
    <w:name w:val="Outline List 2"/>
    <w:basedOn w:val="NoList"/>
    <w:pPr>
      <w:numPr>
        <w:numId w:val="4"/>
      </w:numPr>
    </w:pPr>
  </w:style>
  <w:style w:type="numbering" w:styleId="1ai">
    <w:name w:val="Outline List 1"/>
    <w:basedOn w:val="NoList"/>
    <w:pPr>
      <w:numPr>
        <w:numId w:val="5"/>
      </w:numPr>
    </w:pPr>
  </w:style>
  <w:style w:type="character" w:styleId="EndnoteReference">
    <w:name w:val="endnote reference"/>
    <w:rPr>
      <w:rFonts w:ascii="Times New Roman" w:hAnsi="Times New Roman"/>
      <w:sz w:val="18"/>
      <w:vertAlign w:val="superscript"/>
    </w:rPr>
  </w:style>
  <w:style w:type="paragraph" w:styleId="FootnoteText">
    <w:name w:val="footnote text"/>
    <w:aliases w:val="5_G,Footnote Text Char Char Char Char Char,Footnote Text Char Char Char Char,Footnote reference,FA Fu,Footnote Text Char Char Char,Footnote Reference1, Char,Char,ft,Style 27,Char Char Char Char Char,Style 11, Char Char Char,Char Char Char"/>
    <w:basedOn w:val="Normal"/>
    <w:link w:val="FootnoteTextChar"/>
    <w:qFormat/>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Footnote Text Char Char Char Char Char Char,Footnote Text Char Char Char Char Char1,Footnote reference Char,FA Fu Char,Footnote Text Char Char Char Char1,Footnote Reference1 Char, Char Char,Char Char,ft Char,Style 27 Char"/>
    <w:basedOn w:val="DefaultParagraphFont"/>
    <w:link w:val="FootnoteText"/>
    <w:qFormat/>
    <w:rPr>
      <w:rFonts w:ascii="Times New Roman" w:eastAsia="SimSun" w:hAnsi="Times New Roman" w:cs="Times New Roman"/>
      <w:sz w:val="18"/>
      <w:szCs w:val="20"/>
    </w:rPr>
  </w:style>
  <w:style w:type="paragraph" w:styleId="EndnoteText">
    <w:name w:val="endnote text"/>
    <w:basedOn w:val="FootnoteText"/>
    <w:link w:val="EndnoteTextChar"/>
  </w:style>
  <w:style w:type="character" w:customStyle="1" w:styleId="EndnoteTextChar">
    <w:name w:val="Endnote Text Char"/>
    <w:basedOn w:val="DefaultParagraphFont"/>
    <w:link w:val="EndnoteText"/>
    <w:rPr>
      <w:rFonts w:ascii="Times New Roman" w:eastAsia="SimSun" w:hAnsi="Times New Roman" w:cs="Times New Roman"/>
      <w:sz w:val="18"/>
      <w:szCs w:val="20"/>
    </w:rPr>
  </w:style>
  <w:style w:type="character" w:styleId="FootnoteReference">
    <w:name w:val="footnote reference"/>
    <w:aliases w:val="4_G,Footnote number,ftref,Footnotes refss,Style 10,referencia nota al pie,BVI fnr,Footnote text,4_Footnote text,callout,Fago Fußnotenzeichen,16 Point,Superscript 6 Point,Footnote,Footnote symbol,f,Footnote Refernece,Ref,callou,SUPERS"/>
    <w:link w:val="Appelnotedebasde"/>
    <w:qFormat/>
    <w:rPr>
      <w:rFonts w:ascii="Times New Roman" w:hAnsi="Times New Roman"/>
      <w:sz w:val="18"/>
      <w:vertAlign w:val="superscript"/>
    </w:rPr>
  </w:style>
  <w:style w:type="character" w:customStyle="1" w:styleId="Heading1Char">
    <w:name w:val="Heading 1 Char"/>
    <w:basedOn w:val="DefaultParagraphFont"/>
    <w:link w:val="Heading1"/>
    <w:rPr>
      <w:rFonts w:ascii="Times New Roman" w:hAnsi="Times New Roman" w:cs="Times New Roman"/>
      <w:sz w:val="20"/>
      <w:szCs w:val="20"/>
    </w:rPr>
  </w:style>
  <w:style w:type="character" w:customStyle="1" w:styleId="Heading2Char">
    <w:name w:val="Heading 2 Char"/>
    <w:basedOn w:val="DefaultParagraphFont"/>
    <w:link w:val="Heading2"/>
    <w:rPr>
      <w:rFonts w:ascii="Times New Roman" w:hAnsi="Times New Roman" w:cs="Times New Roman"/>
      <w:sz w:val="20"/>
      <w:szCs w:val="20"/>
    </w:rPr>
  </w:style>
  <w:style w:type="character" w:customStyle="1" w:styleId="Heading3Char">
    <w:name w:val="Heading 3 Char"/>
    <w:basedOn w:val="DefaultParagraphFont"/>
    <w:link w:val="Heading3"/>
    <w:rPr>
      <w:rFonts w:ascii="Times New Roman" w:hAnsi="Times New Roman" w:cs="Times New Roman"/>
      <w:sz w:val="20"/>
      <w:szCs w:val="20"/>
    </w:rPr>
  </w:style>
  <w:style w:type="character" w:customStyle="1" w:styleId="Heading4Char">
    <w:name w:val="Heading 4 Char"/>
    <w:basedOn w:val="DefaultParagraphFont"/>
    <w:link w:val="Heading4"/>
    <w:rPr>
      <w:rFonts w:ascii="Times New Roman" w:hAnsi="Times New Roman" w:cs="Times New Roman"/>
      <w:sz w:val="20"/>
      <w:szCs w:val="20"/>
    </w:rPr>
  </w:style>
  <w:style w:type="character" w:customStyle="1" w:styleId="Heading5Char">
    <w:name w:val="Heading 5 Char"/>
    <w:basedOn w:val="DefaultParagraphFont"/>
    <w:link w:val="Heading5"/>
    <w:rPr>
      <w:rFonts w:ascii="Times New Roman" w:hAnsi="Times New Roman" w:cs="Times New Roman"/>
      <w:sz w:val="20"/>
      <w:szCs w:val="20"/>
    </w:rPr>
  </w:style>
  <w:style w:type="character" w:customStyle="1" w:styleId="Heading6Char">
    <w:name w:val="Heading 6 Char"/>
    <w:basedOn w:val="DefaultParagraphFont"/>
    <w:link w:val="Heading6"/>
    <w:rPr>
      <w:rFonts w:ascii="Times New Roman" w:hAnsi="Times New Roman" w:cs="Times New Roman"/>
      <w:sz w:val="20"/>
      <w:szCs w:val="20"/>
    </w:rPr>
  </w:style>
  <w:style w:type="character" w:customStyle="1" w:styleId="Heading7Char">
    <w:name w:val="Heading 7 Char"/>
    <w:basedOn w:val="DefaultParagraphFont"/>
    <w:link w:val="Heading7"/>
    <w:rPr>
      <w:rFonts w:ascii="Times New Roman" w:hAnsi="Times New Roman" w:cs="Times New Roman"/>
      <w:sz w:val="20"/>
      <w:szCs w:val="20"/>
    </w:rPr>
  </w:style>
  <w:style w:type="character" w:customStyle="1" w:styleId="Heading8Char">
    <w:name w:val="Heading 8 Char"/>
    <w:basedOn w:val="DefaultParagraphFont"/>
    <w:link w:val="Heading8"/>
    <w:rPr>
      <w:rFonts w:ascii="Times New Roman" w:hAnsi="Times New Roman" w:cs="Times New Roman"/>
      <w:sz w:val="20"/>
      <w:szCs w:val="20"/>
    </w:rPr>
  </w:style>
  <w:style w:type="character" w:customStyle="1" w:styleId="Heading9Char">
    <w:name w:val="Heading 9 Char"/>
    <w:basedOn w:val="DefaultParagraphFont"/>
    <w:link w:val="Heading9"/>
    <w:rPr>
      <w:rFonts w:ascii="Times New Roman" w:hAnsi="Times New Roman" w:cs="Times New Roman"/>
      <w:sz w:val="20"/>
      <w:szCs w:val="20"/>
    </w:rPr>
  </w:style>
  <w:style w:type="character" w:styleId="PageNumber">
    <w:name w:val="page number"/>
    <w:rPr>
      <w:rFonts w:ascii="Times New Roman" w:hAnsi="Times New Roman"/>
      <w:b/>
      <w:sz w:val="18"/>
    </w:rPr>
  </w:style>
  <w:style w:type="character" w:styleId="BookTitle">
    <w:name w:val="Book Title"/>
    <w:basedOn w:val="DefaultParagraphFont"/>
    <w:uiPriority w:val="33"/>
    <w:rPr>
      <w:b/>
      <w:bCs/>
      <w:smallCaps/>
      <w:spacing w:val="5"/>
    </w:rPr>
  </w:style>
  <w:style w:type="table" w:styleId="TableGrid">
    <w:name w:val="Table Grid"/>
    <w:basedOn w:val="TableNormal"/>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rPr>
      <w:rFonts w:ascii="Tahoma" w:eastAsia="Times New Roman" w:hAnsi="Tahoma" w:cs="Tahoma"/>
      <w:sz w:val="16"/>
      <w:szCs w:val="16"/>
      <w:lang w:eastAsia="en-US"/>
    </w:rPr>
  </w:style>
  <w:style w:type="character" w:styleId="CommentReference">
    <w:name w:val="annotation reference"/>
    <w:basedOn w:val="DefaultParagraphFont"/>
    <w:uiPriority w:val="99"/>
    <w:rPr>
      <w:sz w:val="16"/>
      <w:szCs w:val="16"/>
    </w:rPr>
  </w:style>
  <w:style w:type="paragraph" w:styleId="CommentText">
    <w:name w:val="annotation text"/>
    <w:basedOn w:val="Normal"/>
    <w:link w:val="CommentTextChar"/>
    <w:uiPriority w:val="99"/>
    <w:pPr>
      <w:spacing w:line="240" w:lineRule="auto"/>
    </w:pPr>
  </w:style>
  <w:style w:type="character" w:customStyle="1" w:styleId="CommentTextChar">
    <w:name w:val="Comment Text Char"/>
    <w:basedOn w:val="DefaultParagraphFont"/>
    <w:link w:val="CommentText"/>
    <w:uiPriority w:val="99"/>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rPr>
      <w:b/>
      <w:bCs/>
    </w:rPr>
  </w:style>
  <w:style w:type="character" w:customStyle="1" w:styleId="CommentSubjectChar">
    <w:name w:val="Comment Subject Char"/>
    <w:basedOn w:val="CommentTextChar"/>
    <w:link w:val="CommentSubject"/>
    <w:uiPriority w:val="99"/>
    <w:rPr>
      <w:rFonts w:ascii="Times New Roman" w:eastAsia="Times New Roman" w:hAnsi="Times New Roman" w:cs="Times New Roman"/>
      <w:b/>
      <w:bCs/>
      <w:sz w:val="20"/>
      <w:szCs w:val="20"/>
      <w:lang w:eastAsia="en-US"/>
    </w:rPr>
  </w:style>
  <w:style w:type="paragraph" w:styleId="ListParagraph">
    <w:name w:val="List Paragraph"/>
    <w:basedOn w:val="Normal"/>
    <w:uiPriority w:val="34"/>
    <w:pPr>
      <w:ind w:left="720"/>
      <w:contextualSpacing/>
    </w:pPr>
  </w:style>
  <w:style w:type="character" w:styleId="Hyperlink">
    <w:name w:val="Hyperlink"/>
    <w:basedOn w:val="DefaultParagraphFont"/>
    <w:uiPriority w:val="99"/>
    <w:rPr>
      <w:color w:val="0000FF"/>
      <w:u w:val="single"/>
    </w:rPr>
  </w:style>
  <w:style w:type="character" w:customStyle="1" w:styleId="SingleTxtGChar">
    <w:name w:val="_ Single Txt_G Char"/>
    <w:link w:val="SingleTxtG"/>
    <w:rPr>
      <w:rFonts w:ascii="Times New Roman" w:hAnsi="Times New Roman" w:cs="Times New Roman"/>
      <w:sz w:val="20"/>
      <w:szCs w:val="20"/>
    </w:rPr>
  </w:style>
  <w:style w:type="paragraph" w:styleId="Revision">
    <w:name w:val="Revision"/>
    <w:uiPriority w:val="99"/>
    <w:pPr>
      <w:spacing w:after="0" w:line="240" w:lineRule="auto"/>
    </w:pPr>
    <w:rPr>
      <w:rFonts w:ascii="Times New Roman" w:eastAsia="Times New Roman" w:hAnsi="Times New Roman" w:cs="Times New Roman"/>
      <w:sz w:val="20"/>
      <w:szCs w:val="20"/>
      <w:lang w:eastAsia="en-US"/>
    </w:rPr>
  </w:style>
  <w:style w:type="paragraph" w:customStyle="1" w:styleId="Corps">
    <w:name w:val="Corps"/>
    <w:pPr>
      <w:pBdr>
        <w:top w:val="nil"/>
        <w:left w:val="nil"/>
        <w:bottom w:val="nil"/>
        <w:right w:val="nil"/>
        <w:between w:val="nil"/>
        <w:bar w:val="nil"/>
      </w:pBdr>
      <w:jc w:val="both"/>
    </w:pPr>
    <w:rPr>
      <w:rFonts w:ascii="Times New Roman" w:eastAsia="Arial Unicode MS" w:hAnsi="Arial Unicode MS" w:cs="Arial Unicode MS"/>
      <w:color w:val="000000"/>
      <w:sz w:val="24"/>
      <w:szCs w:val="24"/>
      <w:u w:color="000000"/>
      <w:bdr w:val="nil"/>
      <w:lang w:val="en-US" w:eastAsia="en-GB"/>
    </w:rPr>
  </w:style>
  <w:style w:type="character" w:customStyle="1" w:styleId="ui-provider">
    <w:name w:val="ui-provider"/>
    <w:basedOn w:val="DefaultParagraphFont"/>
  </w:style>
  <w:style w:type="paragraph" w:customStyle="1" w:styleId="Appelnotedebasde">
    <w:name w:val="Appel note de bas de"/>
    <w:aliases w:val="Appel note de bas de page Char Char Char Char Char Char Char Char,Appel note de bas de page Char2 Char Char Char Char Char Char Char Char Char Char,Appel note de bas de page Char1"/>
    <w:basedOn w:val="Normal"/>
    <w:link w:val="FootnoteReference"/>
    <w:rsid w:val="00625D1D"/>
    <w:pPr>
      <w:suppressAutoHyphens w:val="0"/>
      <w:spacing w:before="120" w:after="120" w:line="240" w:lineRule="auto"/>
    </w:pPr>
    <w:rPr>
      <w:rFonts w:eastAsia="SimSun" w:cs="Arial"/>
      <w:sz w:val="18"/>
      <w:szCs w:val="22"/>
      <w:vertAlign w:val="superscript"/>
      <w:lang w:eastAsia="zh-CN"/>
    </w:rPr>
  </w:style>
  <w:style w:type="character" w:styleId="UnresolvedMention">
    <w:name w:val="Unresolved Mention"/>
    <w:basedOn w:val="DefaultParagraphFont"/>
    <w:uiPriority w:val="99"/>
    <w:semiHidden/>
    <w:unhideWhenUsed/>
    <w:rsid w:val="00F75AF4"/>
    <w:rPr>
      <w:color w:val="605E5C"/>
      <w:shd w:val="clear" w:color="auto" w:fill="E1DFDD"/>
    </w:rPr>
  </w:style>
  <w:style w:type="character" w:styleId="Strong">
    <w:name w:val="Strong"/>
    <w:basedOn w:val="DefaultParagraphFont"/>
    <w:uiPriority w:val="22"/>
    <w:qFormat/>
    <w:rsid w:val="008C1CC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8785221ADBDE248AF0BB097DEBF0CEB" ma:contentTypeVersion="15" ma:contentTypeDescription="Create a new document." ma:contentTypeScope="" ma:versionID="05b9c29a21d1f68c923830b55acce731">
  <xsd:schema xmlns:xsd="http://www.w3.org/2001/XMLSchema" xmlns:xs="http://www.w3.org/2001/XMLSchema" xmlns:p="http://schemas.microsoft.com/office/2006/metadata/properties" xmlns:ns2="26f64be0-bbb7-4b08-87cb-17d7462398e0" xmlns:ns3="11a6fe0c-d8de-4390-afb3-d9c7c54181f0" xmlns:ns4="985ec44e-1bab-4c0b-9df0-6ba128686fc9" targetNamespace="http://schemas.microsoft.com/office/2006/metadata/properties" ma:root="true" ma:fieldsID="d5554ec05f83a4490b80374ab9d60cfc" ns2:_="" ns3:_="" ns4:_="">
    <xsd:import namespace="26f64be0-bbb7-4b08-87cb-17d7462398e0"/>
    <xsd:import namespace="11a6fe0c-d8de-4390-afb3-d9c7c54181f0"/>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3:SharedWithUsers" minOccurs="0"/>
                <xsd:element ref="ns3:SharedWithDetails" minOccurs="0"/>
                <xsd:element ref="ns2:lcf76f155ced4ddcb4097134ff3c332f" minOccurs="0"/>
                <xsd:element ref="ns4: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6f64be0-bbb7-4b08-87cb-17d7462398e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description="" ma:indexed="true" ma:internalName="MediaServiceLocatio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22"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e823ee95-c171-4790-839f-a7a22323ee5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26f64be0-bbb7-4b08-87cb-17d7462398e0">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712F41-5A14-43C3-9A46-B7F27E551D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6f64be0-bbb7-4b08-87cb-17d7462398e0"/>
    <ds:schemaRef ds:uri="11a6fe0c-d8de-4390-afb3-d9c7c54181f0"/>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EB7DBCB-04DF-4662-8C57-4BDCF4A53DF2}">
  <ds:schemaRefs>
    <ds:schemaRef ds:uri="http://schemas.microsoft.com/sharepoint/v3/contenttype/forms"/>
  </ds:schemaRefs>
</ds:datastoreItem>
</file>

<file path=customXml/itemProps3.xml><?xml version="1.0" encoding="utf-8"?>
<ds:datastoreItem xmlns:ds="http://schemas.openxmlformats.org/officeDocument/2006/customXml" ds:itemID="{BEF889C2-FD60-4D85-9575-1C0D806987C6}">
  <ds:schemaRefs>
    <ds:schemaRef ds:uri="http://schemas.microsoft.com/office/2006/documentManagement/types"/>
    <ds:schemaRef ds:uri="http://schemas.openxmlformats.org/package/2006/metadata/core-properties"/>
    <ds:schemaRef ds:uri="d0e6e1dd-cead-4b20-a8ab-6c17962cc4ab"/>
    <ds:schemaRef ds:uri="843519ee-602c-4a77-9f98-e0b2d1df032d"/>
    <ds:schemaRef ds:uri="http://purl.org/dc/elements/1.1/"/>
    <ds:schemaRef ds:uri="http://purl.org/dc/terms/"/>
    <ds:schemaRef ds:uri="http://purl.org/dc/dcmitype/"/>
    <ds:schemaRef ds:uri="http://schemas.microsoft.com/office/infopath/2007/PartnerControls"/>
    <ds:schemaRef ds:uri="http://www.w3.org/XML/1998/namespace"/>
    <ds:schemaRef ds:uri="2d113eb4-e65a-468c-82cb-a0357bc1037f"/>
    <ds:schemaRef ds:uri="1bb7588e-e247-4215-aaaa-8ddb8e8e8079"/>
    <ds:schemaRef ds:uri="http://schemas.microsoft.com/office/2006/metadata/properties"/>
    <ds:schemaRef ds:uri="985ec44e-1bab-4c0b-9df0-6ba128686fc9"/>
    <ds:schemaRef ds:uri="26f64be0-bbb7-4b08-87cb-17d7462398e0"/>
  </ds:schemaRefs>
</ds:datastoreItem>
</file>

<file path=customXml/itemProps4.xml><?xml version="1.0" encoding="utf-8"?>
<ds:datastoreItem xmlns:ds="http://schemas.openxmlformats.org/officeDocument/2006/customXml" ds:itemID="{D9706B6A-ABCE-4A9A-9B4D-88D43E67F235}">
  <ds:schemaRefs>
    <ds:schemaRef ds:uri="http://schemas.openxmlformats.org/officeDocument/2006/bibliography"/>
  </ds:schemaRefs>
</ds:datastoreItem>
</file>

<file path=docMetadata/LabelInfo.xml><?xml version="1.0" encoding="utf-8"?>
<clbl:labelList xmlns:clbl="http://schemas.microsoft.com/office/2020/mipLabelMetadata">
  <clbl:label id="{8b77875e-5908-45a0-9cb4-dec9ae074618}"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Template>
  <TotalTime>0</TotalTime>
  <Pages>9</Pages>
  <Words>5229</Words>
  <Characters>29806</Characters>
  <Application>Microsoft Office Word</Application>
  <DocSecurity>4</DocSecurity>
  <Lines>248</Lines>
  <Paragraphs>69</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CCPR/C/145/DR/3717/2020</vt:lpstr>
      <vt:lpstr>CCPR/C/WG/143/DR/3324/2019</vt:lpstr>
    </vt:vector>
  </TitlesOfParts>
  <Company>DCM</Company>
  <LinksUpToDate>false</LinksUpToDate>
  <CharactersWithSpaces>34966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CCPR/C/145/DR/3717/2020</dc:title>
  <dc:subject>2602939</dc:subject>
  <dc:creator>pae</dc:creator>
  <cp:keywords/>
  <dc:description>final</dc:description>
  <cp:lastModifiedBy>Mohamed Abdelazim</cp:lastModifiedBy>
  <cp:revision>2</cp:revision>
  <cp:lastPrinted>2026-04-09T11:51:00Z</cp:lastPrinted>
  <dcterms:created xsi:type="dcterms:W3CDTF">2026-04-09T11:55:00Z</dcterms:created>
  <dcterms:modified xsi:type="dcterms:W3CDTF">2026-04-09T11:55:00Z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0x010100F8785221ADBDE248AF0BB097DEBF0CEB</vt:lpwstr>
  </property>
  <property fmtid="{D5CDD505-2E9C-101B-9397-08002B2CF9AE}" pid="3" name="DocID">
    <vt:r8>27887</vt:r8>
  </property>
  <property fmtid="{D5CDD505-2E9C-101B-9397-08002B2CF9AE}" pid="4" name="Lang">
    <vt:lpwstr>E</vt:lpwstr>
  </property>
  <property fmtid="{D5CDD505-2E9C-101B-9397-08002B2CF9AE}" pid="5" name="Source">
    <vt:lpwstr>MS</vt:lpwstr>
  </property>
  <property fmtid="{D5CDD505-2E9C-101B-9397-08002B2CF9AE}" pid="6" name="DocUniqueID">
    <vt:lpwstr>88908464-e90c-4589-a232-9d38d8d49d06</vt:lpwstr>
  </property>
  <property fmtid="{D5CDD505-2E9C-101B-9397-08002B2CF9AE}" pid="7" name="CycleNumber">
    <vt:r8>1</vt:r8>
  </property>
  <property fmtid="{D5CDD505-2E9C-101B-9397-08002B2CF9AE}" pid="8" name="eMemo">
    <vt:r8>0</vt:r8>
  </property>
  <property fmtid="{D5CDD505-2E9C-101B-9397-08002B2CF9AE}" pid="9" name="DocDescription">
    <vt:lpwstr>draft recommendation re  CCPR C WG 145 DR 3717 2020 (Human Rights Treaties - Petitions   Inquiries)</vt:lpwstr>
  </property>
  <property fmtid="{D5CDD505-2E9C-101B-9397-08002B2CF9AE}" pid="10" name="Drafter">
    <vt:lpwstr>1263</vt:lpwstr>
  </property>
  <property fmtid="{D5CDD505-2E9C-101B-9397-08002B2CF9AE}" pid="11" name="RelatedDocumentsURL">
    <vt:lpwstr>https://memostore-ohchr.msappproxy.net/SupportingDocuments.aspx?DocId=27887, https://memostore-ohchr.msappproxy.net/SupportingDocuments.aspx?DocId=27887</vt:lpwstr>
  </property>
  <property fmtid="{D5CDD505-2E9C-101B-9397-08002B2CF9AE}" pid="12" name="NeedsAditionalReview">
    <vt:bool>true</vt:bool>
  </property>
  <property fmtid="{D5CDD505-2E9C-101B-9397-08002B2CF9AE}" pid="13" name="3Signatures1stGroup">
    <vt:lpwstr>1203</vt:lpwstr>
  </property>
  <property fmtid="{D5CDD505-2E9C-101B-9397-08002B2CF9AE}" pid="14" name="IsVisible">
    <vt:bool>true</vt:bool>
  </property>
  <property fmtid="{D5CDD505-2E9C-101B-9397-08002B2CF9AE}" pid="15" name="3Signatures1stGroupDateTime">
    <vt:filetime>2025-10-07T22:00:00Z</vt:filetime>
  </property>
  <property fmtid="{D5CDD505-2E9C-101B-9397-08002B2CF9AE}" pid="16" name="3Signatures1stGroupNotified">
    <vt:lpwstr>1224</vt:lpwstr>
  </property>
  <property fmtid="{D5CDD505-2E9C-101B-9397-08002B2CF9AE}" pid="17" name="Accept_WF_3SA_CTMD HRTB PUAS CCPR">
    <vt:lpwstr>,</vt:lpwstr>
  </property>
  <property fmtid="{D5CDD505-2E9C-101B-9397-08002B2CF9AE}" pid="18" name="Notify_WF_3SA_CTMD HRTB PUAS CCPR">
    <vt:lpwstr>https://eclearance.ohchr.org/_layouts/15/wrkstat.aspx?List=4e2a6322-35be-4516-8809-9481ced96d76&amp;WorkflowInstanceName=b512993b-0193-4d1c-a758-040710112c19, Pending First Signature Approval</vt:lpwstr>
  </property>
  <property fmtid="{D5CDD505-2E9C-101B-9397-08002B2CF9AE}" pid="19" name="Reject_WF_3SA_CTMD HRTB PUAS CCPR">
    <vt:lpwstr>https://eclearance.ohchr.org/_layouts/15/wrkstat.aspx?List=4e2a6322-35be-4516-8809-9481ced96d76&amp;WorkflowInstanceName=01d25c22-3ac9-4308-be9f-c2199d0f6e0f, First Signature Approval Stage</vt:lpwstr>
  </property>
  <property fmtid="{D5CDD505-2E9C-101B-9397-08002B2CF9AE}" pid="20" name="3Signatures1stGroupApprover">
    <vt:lpwstr>1224</vt:lpwstr>
  </property>
  <property fmtid="{D5CDD505-2E9C-101B-9397-08002B2CF9AE}" pid="21" name="ICV">
    <vt:lpwstr>267c36fcc4864d429044c185b8f8b936</vt:lpwstr>
  </property>
  <property fmtid="{D5CDD505-2E9C-101B-9397-08002B2CF9AE}" pid="22" name="3Signatures2ndGroup">
    <vt:lpwstr>400</vt:lpwstr>
  </property>
  <property fmtid="{D5CDD505-2E9C-101B-9397-08002B2CF9AE}" pid="23" name="MediaServiceImageTags">
    <vt:lpwstr/>
  </property>
</Properties>
</file>