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9B6947" w14:textId="77777777" w:rsidR="000C1B0C" w:rsidRDefault="000C1B0C" w:rsidP="000C1B0C">
      <w:pPr>
        <w:pStyle w:val="Title"/>
        <w:jc w:val="center"/>
        <w:rPr>
          <w:rFonts w:asciiTheme="minorHAnsi" w:hAnsiTheme="minorHAnsi"/>
          <w:b/>
          <w:sz w:val="28"/>
          <w:szCs w:val="28"/>
        </w:rPr>
      </w:pPr>
    </w:p>
    <w:p w14:paraId="206B7188" w14:textId="70D1869C" w:rsidR="00960207" w:rsidRPr="00EA2D66" w:rsidRDefault="00BB4B1D" w:rsidP="000C1B0C">
      <w:pPr>
        <w:pStyle w:val="Title"/>
        <w:jc w:val="center"/>
        <w:rPr>
          <w:rFonts w:asciiTheme="minorHAnsi" w:hAnsiTheme="minorHAnsi"/>
          <w:sz w:val="28"/>
          <w:szCs w:val="28"/>
        </w:rPr>
      </w:pPr>
      <w:r>
        <w:rPr>
          <w:rFonts w:asciiTheme="minorHAnsi" w:hAnsiTheme="minorHAnsi"/>
          <w:b/>
          <w:sz w:val="28"/>
          <w:szCs w:val="28"/>
        </w:rPr>
        <w:t>Alternative Report to the United Nations</w:t>
      </w:r>
      <w:r w:rsidR="000C1B0C">
        <w:rPr>
          <w:rFonts w:asciiTheme="minorHAnsi" w:hAnsiTheme="minorHAnsi"/>
          <w:b/>
          <w:sz w:val="28"/>
          <w:szCs w:val="28"/>
        </w:rPr>
        <w:t xml:space="preserve"> </w:t>
      </w:r>
      <w:r>
        <w:rPr>
          <w:rFonts w:asciiTheme="minorHAnsi" w:hAnsiTheme="minorHAnsi"/>
          <w:b/>
          <w:sz w:val="28"/>
          <w:szCs w:val="28"/>
        </w:rPr>
        <w:t>Committee on the Rights of the Child</w:t>
      </w:r>
      <w:r w:rsidR="00960207" w:rsidRPr="00EA2D66">
        <w:rPr>
          <w:rFonts w:asciiTheme="minorHAnsi" w:hAnsiTheme="minorHAnsi"/>
          <w:b/>
          <w:sz w:val="28"/>
          <w:szCs w:val="28"/>
        </w:rPr>
        <w:t xml:space="preserve"> </w:t>
      </w:r>
      <w:r>
        <w:rPr>
          <w:rFonts w:asciiTheme="minorHAnsi" w:hAnsiTheme="minorHAnsi"/>
          <w:b/>
          <w:sz w:val="28"/>
          <w:szCs w:val="28"/>
        </w:rPr>
        <w:t>on the Arab Republic of Egypt</w:t>
      </w:r>
    </w:p>
    <w:p w14:paraId="54EF3C55" w14:textId="77777777" w:rsidR="00F52357" w:rsidRPr="00EA2D66" w:rsidRDefault="00F52357" w:rsidP="00E01AAD">
      <w:pPr>
        <w:jc w:val="center"/>
        <w:rPr>
          <w:sz w:val="28"/>
          <w:szCs w:val="28"/>
        </w:rPr>
      </w:pPr>
    </w:p>
    <w:p w14:paraId="525004B9" w14:textId="33F2FC40" w:rsidR="00394C90" w:rsidRDefault="00BB4B1D" w:rsidP="000C1B0C">
      <w:pPr>
        <w:pStyle w:val="Title"/>
        <w:jc w:val="center"/>
        <w:rPr>
          <w:rFonts w:asciiTheme="minorHAnsi" w:hAnsiTheme="minorHAnsi"/>
          <w:b/>
          <w:bCs/>
          <w:sz w:val="28"/>
          <w:szCs w:val="28"/>
        </w:rPr>
      </w:pPr>
      <w:r w:rsidRPr="00BB4B1D">
        <w:rPr>
          <w:rFonts w:asciiTheme="minorHAnsi" w:hAnsiTheme="minorHAnsi"/>
          <w:b/>
          <w:bCs/>
          <w:sz w:val="28"/>
          <w:szCs w:val="28"/>
        </w:rPr>
        <w:t>Joint submission by Reprieve and The Advocates for Human Rights</w:t>
      </w:r>
    </w:p>
    <w:p w14:paraId="002B809B" w14:textId="77777777" w:rsidR="000C1B0C" w:rsidRPr="000C1B0C" w:rsidRDefault="000C1B0C" w:rsidP="000C1B0C"/>
    <w:p w14:paraId="62D20CBD" w14:textId="51484CA7" w:rsidR="00394C90" w:rsidRPr="00BB4B1D" w:rsidRDefault="00BB4B1D" w:rsidP="00E01AAD">
      <w:pPr>
        <w:pStyle w:val="Title"/>
        <w:jc w:val="center"/>
        <w:rPr>
          <w:rFonts w:asciiTheme="minorHAnsi" w:hAnsiTheme="minorHAnsi"/>
          <w:b/>
          <w:bCs/>
          <w:sz w:val="24"/>
          <w:szCs w:val="24"/>
        </w:rPr>
      </w:pPr>
      <w:r w:rsidRPr="00BB4B1D">
        <w:rPr>
          <w:rFonts w:asciiTheme="minorHAnsi" w:hAnsiTheme="minorHAnsi"/>
          <w:b/>
          <w:bCs/>
          <w:sz w:val="24"/>
          <w:szCs w:val="24"/>
        </w:rPr>
        <w:t xml:space="preserve">July 2023 </w:t>
      </w:r>
    </w:p>
    <w:p w14:paraId="2F3F9F34" w14:textId="77777777" w:rsidR="00394C90" w:rsidRPr="00EA2D66" w:rsidRDefault="00394C90" w:rsidP="008D5C69">
      <w:pPr>
        <w:jc w:val="both"/>
        <w:rPr>
          <w:sz w:val="24"/>
          <w:szCs w:val="24"/>
        </w:rPr>
      </w:pPr>
    </w:p>
    <w:p w14:paraId="36CB60FD" w14:textId="77777777" w:rsidR="00394C90" w:rsidRPr="00EA2D66" w:rsidRDefault="00394C90" w:rsidP="008D5C69">
      <w:pPr>
        <w:spacing w:line="276" w:lineRule="auto"/>
        <w:jc w:val="both"/>
        <w:rPr>
          <w:b/>
          <w:sz w:val="24"/>
          <w:szCs w:val="24"/>
        </w:rPr>
      </w:pPr>
      <w:r w:rsidRPr="00EA2D66">
        <w:rPr>
          <w:b/>
          <w:sz w:val="24"/>
          <w:szCs w:val="24"/>
        </w:rPr>
        <w:t>ABOUT REPRIEVE</w:t>
      </w:r>
    </w:p>
    <w:p w14:paraId="33548E3F" w14:textId="77777777" w:rsidR="001C26CB" w:rsidRDefault="001C26CB" w:rsidP="008D5C69">
      <w:pPr>
        <w:spacing w:line="276" w:lineRule="auto"/>
        <w:jc w:val="both"/>
        <w:rPr>
          <w:sz w:val="24"/>
          <w:szCs w:val="24"/>
        </w:rPr>
      </w:pPr>
      <w:r w:rsidRPr="00EA2D66">
        <w:rPr>
          <w:sz w:val="24"/>
          <w:szCs w:val="24"/>
        </w:rPr>
        <w:t>Reprieve is a charitable organization registered in the United Kingdom (No. 1114900) in special consultative status with the United Nations Economic and Social Council (ECOSOC) that provides free legal and investigative support to those who have been subjected to state-sponsored human rights abuses. Our clients belong to some of the most vulnerable populations in the world. In particular, we protect the rights of those facing the death penalty and deliver justice to victims of arbitrary detention, torture, and extrajudicial execution.</w:t>
      </w:r>
    </w:p>
    <w:p w14:paraId="104ABE89" w14:textId="71AD648F" w:rsidR="00BB4B1D" w:rsidRPr="00EA2D66" w:rsidRDefault="00BB4B1D" w:rsidP="00BB4B1D">
      <w:pPr>
        <w:spacing w:line="276" w:lineRule="auto"/>
        <w:jc w:val="both"/>
        <w:rPr>
          <w:b/>
          <w:sz w:val="24"/>
          <w:szCs w:val="24"/>
        </w:rPr>
      </w:pPr>
      <w:r w:rsidRPr="00EA2D66">
        <w:rPr>
          <w:b/>
          <w:sz w:val="24"/>
          <w:szCs w:val="24"/>
        </w:rPr>
        <w:t xml:space="preserve">ABOUT </w:t>
      </w:r>
      <w:r>
        <w:rPr>
          <w:b/>
          <w:sz w:val="24"/>
          <w:szCs w:val="24"/>
        </w:rPr>
        <w:t>THE ADVOCATES FOR HUMAN RIGHTS</w:t>
      </w:r>
    </w:p>
    <w:p w14:paraId="1609C802" w14:textId="55667379" w:rsidR="00BB4B1D" w:rsidRPr="00EA2D66" w:rsidRDefault="00BB4B1D" w:rsidP="008D5C69">
      <w:pPr>
        <w:spacing w:line="276" w:lineRule="auto"/>
        <w:jc w:val="both"/>
        <w:rPr>
          <w:sz w:val="24"/>
          <w:szCs w:val="24"/>
        </w:rPr>
      </w:pPr>
      <w:r w:rsidRPr="00BB4B1D">
        <w:rPr>
          <w:sz w:val="24"/>
          <w:szCs w:val="24"/>
        </w:rPr>
        <w:t>The Advocates for Human Rights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r>
        <w:rPr>
          <w:sz w:val="24"/>
          <w:szCs w:val="24"/>
        </w:rPr>
        <w:t>.</w:t>
      </w:r>
      <w:r w:rsidR="00495C9C">
        <w:rPr>
          <w:sz w:val="24"/>
          <w:szCs w:val="24"/>
        </w:rPr>
        <w:t xml:space="preserve"> </w:t>
      </w:r>
      <w:r w:rsidR="00495C9C" w:rsidRPr="00495C9C">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4DE1D38A" w14:textId="77777777" w:rsidR="007F211C" w:rsidRPr="00EA2D66" w:rsidRDefault="007F211C" w:rsidP="008D5C69">
      <w:pPr>
        <w:spacing w:line="276" w:lineRule="auto"/>
        <w:jc w:val="both"/>
        <w:rPr>
          <w:b/>
          <w:sz w:val="24"/>
          <w:szCs w:val="24"/>
        </w:rPr>
      </w:pPr>
      <w:r w:rsidRPr="00EA2D66">
        <w:rPr>
          <w:b/>
          <w:sz w:val="24"/>
          <w:szCs w:val="24"/>
        </w:rPr>
        <w:t>SUMMARY</w:t>
      </w:r>
    </w:p>
    <w:p w14:paraId="7FFECB9E" w14:textId="25A0E64A" w:rsidR="009158B4" w:rsidRPr="00EA2D66" w:rsidRDefault="00BB4B1D" w:rsidP="000C1B0C">
      <w:pPr>
        <w:spacing w:line="276" w:lineRule="auto"/>
        <w:jc w:val="both"/>
        <w:rPr>
          <w:sz w:val="24"/>
          <w:szCs w:val="24"/>
        </w:rPr>
      </w:pPr>
      <w:r>
        <w:rPr>
          <w:sz w:val="24"/>
          <w:szCs w:val="24"/>
        </w:rPr>
        <w:t xml:space="preserve">This joint submission </w:t>
      </w:r>
      <w:r w:rsidR="008F4F87">
        <w:rPr>
          <w:sz w:val="24"/>
          <w:szCs w:val="24"/>
        </w:rPr>
        <w:t>provides an overview of the Arab Republic of Egypt’s application of the death penalty against children ahead of the State’s review before the Committee on the Rights of the Child at the 96</w:t>
      </w:r>
      <w:r w:rsidR="008F4F87" w:rsidRPr="008F4F87">
        <w:rPr>
          <w:sz w:val="24"/>
          <w:szCs w:val="24"/>
          <w:vertAlign w:val="superscript"/>
        </w:rPr>
        <w:t>th</w:t>
      </w:r>
      <w:r w:rsidR="008F4F87">
        <w:rPr>
          <w:sz w:val="24"/>
          <w:szCs w:val="24"/>
        </w:rPr>
        <w:t xml:space="preserve"> session. It finds that Egypt’s domestic framework does not adequately protect children from the death penalty, </w:t>
      </w:r>
      <w:r w:rsidR="00B32EAA">
        <w:rPr>
          <w:sz w:val="24"/>
          <w:szCs w:val="24"/>
        </w:rPr>
        <w:t>fails to provide sufficient special protection measures when children are alleged to come into conflict with the law, and places them at risk of violence. Egypt has repeatedly failed to provide data on the number of persons on death row or at risk of the death penalty, therefore the true scale of children sentenced to death remains unknown.</w:t>
      </w:r>
      <w:r w:rsidR="000C1B0C">
        <w:rPr>
          <w:sz w:val="24"/>
          <w:szCs w:val="24"/>
        </w:rPr>
        <w:t xml:space="preserve"> </w:t>
      </w:r>
      <w:r w:rsidR="009158B4" w:rsidRPr="00EA2D66">
        <w:rPr>
          <w:sz w:val="24"/>
          <w:szCs w:val="24"/>
        </w:rPr>
        <w:t>The word</w:t>
      </w:r>
      <w:r w:rsidR="004E3818" w:rsidRPr="00EA2D66">
        <w:rPr>
          <w:sz w:val="24"/>
          <w:szCs w:val="24"/>
        </w:rPr>
        <w:t xml:space="preserve"> count of this submission is</w:t>
      </w:r>
      <w:r>
        <w:rPr>
          <w:sz w:val="24"/>
          <w:szCs w:val="24"/>
        </w:rPr>
        <w:t xml:space="preserve"> </w:t>
      </w:r>
      <w:r w:rsidR="00823EC8">
        <w:rPr>
          <w:sz w:val="24"/>
          <w:szCs w:val="24"/>
        </w:rPr>
        <w:t>3000</w:t>
      </w:r>
      <w:r>
        <w:rPr>
          <w:sz w:val="24"/>
          <w:szCs w:val="24"/>
        </w:rPr>
        <w:t xml:space="preserve">, excluding </w:t>
      </w:r>
      <w:r w:rsidR="00B32EAA">
        <w:rPr>
          <w:sz w:val="24"/>
          <w:szCs w:val="24"/>
        </w:rPr>
        <w:t xml:space="preserve">footnotes and </w:t>
      </w:r>
      <w:r w:rsidR="00AE4ED3">
        <w:rPr>
          <w:sz w:val="24"/>
          <w:szCs w:val="24"/>
        </w:rPr>
        <w:t>glossary of terms</w:t>
      </w:r>
      <w:r>
        <w:rPr>
          <w:sz w:val="24"/>
          <w:szCs w:val="24"/>
        </w:rPr>
        <w:t>.</w:t>
      </w:r>
    </w:p>
    <w:p w14:paraId="6CD66B79" w14:textId="77777777" w:rsidR="0006565B" w:rsidRDefault="0006565B" w:rsidP="008D5C69">
      <w:pPr>
        <w:jc w:val="both"/>
        <w:rPr>
          <w:sz w:val="24"/>
          <w:szCs w:val="24"/>
        </w:rPr>
      </w:pPr>
    </w:p>
    <w:p w14:paraId="2D7BABB0" w14:textId="77777777" w:rsidR="009A4B99" w:rsidRPr="00EA2D66" w:rsidRDefault="009A4B99" w:rsidP="008D5C69">
      <w:pPr>
        <w:jc w:val="both"/>
        <w:rPr>
          <w:sz w:val="24"/>
          <w:szCs w:val="24"/>
        </w:rPr>
      </w:pPr>
    </w:p>
    <w:sdt>
      <w:sdtPr>
        <w:rPr>
          <w:rFonts w:asciiTheme="minorHAnsi" w:eastAsiaTheme="minorHAnsi" w:hAnsiTheme="minorHAnsi" w:cstheme="minorBidi"/>
          <w:b w:val="0"/>
          <w:bCs w:val="0"/>
          <w:color w:val="auto"/>
          <w:sz w:val="22"/>
          <w:szCs w:val="22"/>
          <w:lang w:val="en-GB"/>
        </w:rPr>
        <w:id w:val="-2119598842"/>
        <w:docPartObj>
          <w:docPartGallery w:val="Table of Contents"/>
          <w:docPartUnique/>
        </w:docPartObj>
      </w:sdtPr>
      <w:sdtEndPr>
        <w:rPr>
          <w:noProof/>
        </w:rPr>
      </w:sdtEndPr>
      <w:sdtContent>
        <w:p w14:paraId="5DCAB7F8" w14:textId="7932CB99" w:rsidR="002D4817" w:rsidRPr="00524341" w:rsidRDefault="002D4817" w:rsidP="00524341">
          <w:pPr>
            <w:pStyle w:val="TOCHeading"/>
            <w:spacing w:line="360" w:lineRule="auto"/>
            <w:rPr>
              <w:rFonts w:asciiTheme="minorHAnsi" w:hAnsiTheme="minorHAnsi" w:cstheme="minorHAnsi"/>
              <w:color w:val="auto"/>
            </w:rPr>
          </w:pPr>
          <w:r w:rsidRPr="00524341">
            <w:rPr>
              <w:rFonts w:asciiTheme="minorHAnsi" w:hAnsiTheme="minorHAnsi" w:cstheme="minorHAnsi"/>
              <w:color w:val="auto"/>
            </w:rPr>
            <w:t>TABLE OF CONTENTS</w:t>
          </w:r>
        </w:p>
        <w:p w14:paraId="79A24402" w14:textId="76D5FC1F" w:rsidR="009A4B99" w:rsidRDefault="002D4817" w:rsidP="00733FFD">
          <w:pPr>
            <w:pStyle w:val="TOC1"/>
            <w:tabs>
              <w:tab w:val="right" w:leader="dot" w:pos="9016"/>
            </w:tabs>
            <w:spacing w:line="480" w:lineRule="auto"/>
            <w:rPr>
              <w:rFonts w:eastAsiaTheme="minorEastAsia" w:cstheme="minorBidi"/>
              <w:b w:val="0"/>
              <w:bCs w:val="0"/>
              <w:i w:val="0"/>
              <w:iCs w:val="0"/>
              <w:noProof/>
              <w:kern w:val="2"/>
              <w:szCs w:val="24"/>
              <w:lang w:eastAsia="zh-TW"/>
              <w14:ligatures w14:val="standardContextual"/>
            </w:rPr>
          </w:pPr>
          <w:r w:rsidRPr="00524341">
            <w:rPr>
              <w:b w:val="0"/>
              <w:bCs w:val="0"/>
              <w:i w:val="0"/>
              <w:iCs w:val="0"/>
              <w:szCs w:val="24"/>
            </w:rPr>
            <w:fldChar w:fldCharType="begin"/>
          </w:r>
          <w:r w:rsidRPr="00524341">
            <w:rPr>
              <w:b w:val="0"/>
              <w:bCs w:val="0"/>
              <w:i w:val="0"/>
              <w:iCs w:val="0"/>
              <w:szCs w:val="24"/>
            </w:rPr>
            <w:instrText xml:space="preserve"> TOC \o "1-3" \h \z \u </w:instrText>
          </w:r>
          <w:r w:rsidRPr="00524341">
            <w:rPr>
              <w:b w:val="0"/>
              <w:bCs w:val="0"/>
              <w:i w:val="0"/>
              <w:iCs w:val="0"/>
              <w:szCs w:val="24"/>
            </w:rPr>
            <w:fldChar w:fldCharType="separate"/>
          </w:r>
          <w:hyperlink w:anchor="_Toc139285161" w:history="1">
            <w:r w:rsidR="009A4B99" w:rsidRPr="00FB7755">
              <w:rPr>
                <w:rStyle w:val="Hyperlink"/>
                <w:noProof/>
              </w:rPr>
              <w:t>GLOSSARY OF TERMS AND KEY PRINCIPLES</w:t>
            </w:r>
            <w:r w:rsidR="009A4B99">
              <w:rPr>
                <w:noProof/>
                <w:webHidden/>
              </w:rPr>
              <w:tab/>
            </w:r>
            <w:r w:rsidR="009A4B99">
              <w:rPr>
                <w:noProof/>
                <w:webHidden/>
              </w:rPr>
              <w:fldChar w:fldCharType="begin"/>
            </w:r>
            <w:r w:rsidR="009A4B99">
              <w:rPr>
                <w:noProof/>
                <w:webHidden/>
              </w:rPr>
              <w:instrText xml:space="preserve"> PAGEREF _Toc139285161 \h </w:instrText>
            </w:r>
            <w:r w:rsidR="009A4B99">
              <w:rPr>
                <w:noProof/>
                <w:webHidden/>
              </w:rPr>
            </w:r>
            <w:r w:rsidR="009A4B99">
              <w:rPr>
                <w:noProof/>
                <w:webHidden/>
              </w:rPr>
              <w:fldChar w:fldCharType="separate"/>
            </w:r>
            <w:r w:rsidR="00F03278">
              <w:rPr>
                <w:noProof/>
                <w:webHidden/>
              </w:rPr>
              <w:t>3</w:t>
            </w:r>
            <w:r w:rsidR="009A4B99">
              <w:rPr>
                <w:noProof/>
                <w:webHidden/>
              </w:rPr>
              <w:fldChar w:fldCharType="end"/>
            </w:r>
          </w:hyperlink>
        </w:p>
        <w:p w14:paraId="6117F517" w14:textId="0040FC03" w:rsidR="009A4B99" w:rsidRDefault="00F871F8">
          <w:pPr>
            <w:pStyle w:val="TOC1"/>
            <w:tabs>
              <w:tab w:val="left" w:pos="440"/>
              <w:tab w:val="right" w:leader="dot" w:pos="9016"/>
            </w:tabs>
            <w:rPr>
              <w:rFonts w:eastAsiaTheme="minorEastAsia" w:cstheme="minorBidi"/>
              <w:b w:val="0"/>
              <w:bCs w:val="0"/>
              <w:i w:val="0"/>
              <w:iCs w:val="0"/>
              <w:noProof/>
              <w:kern w:val="2"/>
              <w:szCs w:val="24"/>
              <w:lang w:eastAsia="zh-TW"/>
              <w14:ligatures w14:val="standardContextual"/>
            </w:rPr>
          </w:pPr>
          <w:hyperlink w:anchor="_Toc139285162" w:history="1">
            <w:r w:rsidR="009A4B99" w:rsidRPr="00FB7755">
              <w:rPr>
                <w:rStyle w:val="Hyperlink"/>
                <w:noProof/>
              </w:rPr>
              <w:t>I.</w:t>
            </w:r>
            <w:r w:rsidR="009A4B99">
              <w:rPr>
                <w:rFonts w:eastAsiaTheme="minorEastAsia" w:cstheme="minorBidi"/>
                <w:b w:val="0"/>
                <w:bCs w:val="0"/>
                <w:i w:val="0"/>
                <w:iCs w:val="0"/>
                <w:noProof/>
                <w:kern w:val="2"/>
                <w:szCs w:val="24"/>
                <w:lang w:eastAsia="zh-TW"/>
                <w14:ligatures w14:val="standardContextual"/>
              </w:rPr>
              <w:tab/>
            </w:r>
            <w:r w:rsidR="009A4B99" w:rsidRPr="00FB7755">
              <w:rPr>
                <w:rStyle w:val="Hyperlink"/>
                <w:noProof/>
              </w:rPr>
              <w:t>INTRODUCTION</w:t>
            </w:r>
            <w:r w:rsidR="009A4B99">
              <w:rPr>
                <w:noProof/>
                <w:webHidden/>
              </w:rPr>
              <w:tab/>
            </w:r>
            <w:r w:rsidR="009A4B99">
              <w:rPr>
                <w:noProof/>
                <w:webHidden/>
              </w:rPr>
              <w:fldChar w:fldCharType="begin"/>
            </w:r>
            <w:r w:rsidR="009A4B99">
              <w:rPr>
                <w:noProof/>
                <w:webHidden/>
              </w:rPr>
              <w:instrText xml:space="preserve"> PAGEREF _Toc139285162 \h </w:instrText>
            </w:r>
            <w:r w:rsidR="009A4B99">
              <w:rPr>
                <w:noProof/>
                <w:webHidden/>
              </w:rPr>
            </w:r>
            <w:r w:rsidR="009A4B99">
              <w:rPr>
                <w:noProof/>
                <w:webHidden/>
              </w:rPr>
              <w:fldChar w:fldCharType="separate"/>
            </w:r>
            <w:r w:rsidR="00F03278">
              <w:rPr>
                <w:noProof/>
                <w:webHidden/>
              </w:rPr>
              <w:t>5</w:t>
            </w:r>
            <w:r w:rsidR="009A4B99">
              <w:rPr>
                <w:noProof/>
                <w:webHidden/>
              </w:rPr>
              <w:fldChar w:fldCharType="end"/>
            </w:r>
          </w:hyperlink>
        </w:p>
        <w:p w14:paraId="6F2250A3" w14:textId="30FF3B92" w:rsidR="009A4B99" w:rsidRDefault="00F871F8">
          <w:pPr>
            <w:pStyle w:val="TOC1"/>
            <w:tabs>
              <w:tab w:val="left" w:pos="440"/>
              <w:tab w:val="right" w:leader="dot" w:pos="9016"/>
            </w:tabs>
            <w:rPr>
              <w:rFonts w:eastAsiaTheme="minorEastAsia" w:cstheme="minorBidi"/>
              <w:b w:val="0"/>
              <w:bCs w:val="0"/>
              <w:i w:val="0"/>
              <w:iCs w:val="0"/>
              <w:noProof/>
              <w:kern w:val="2"/>
              <w:szCs w:val="24"/>
              <w:lang w:eastAsia="zh-TW"/>
              <w14:ligatures w14:val="standardContextual"/>
            </w:rPr>
          </w:pPr>
          <w:hyperlink w:anchor="_Toc139285163" w:history="1">
            <w:r w:rsidR="009A4B99" w:rsidRPr="00FB7755">
              <w:rPr>
                <w:rStyle w:val="Hyperlink"/>
                <w:noProof/>
              </w:rPr>
              <w:t>II.</w:t>
            </w:r>
            <w:r w:rsidR="009A4B99">
              <w:rPr>
                <w:rFonts w:eastAsiaTheme="minorEastAsia" w:cstheme="minorBidi"/>
                <w:b w:val="0"/>
                <w:bCs w:val="0"/>
                <w:i w:val="0"/>
                <w:iCs w:val="0"/>
                <w:noProof/>
                <w:kern w:val="2"/>
                <w:szCs w:val="24"/>
                <w:lang w:eastAsia="zh-TW"/>
                <w14:ligatures w14:val="standardContextual"/>
              </w:rPr>
              <w:tab/>
            </w:r>
            <w:r w:rsidR="009A4B99" w:rsidRPr="00FB7755">
              <w:rPr>
                <w:rStyle w:val="Hyperlink"/>
                <w:noProof/>
              </w:rPr>
              <w:t>THE RIGHT TO LIFE AND THE CHILD LAW</w:t>
            </w:r>
            <w:r w:rsidR="009A4B99">
              <w:rPr>
                <w:noProof/>
                <w:webHidden/>
              </w:rPr>
              <w:tab/>
            </w:r>
            <w:r w:rsidR="009A4B99">
              <w:rPr>
                <w:noProof/>
                <w:webHidden/>
              </w:rPr>
              <w:fldChar w:fldCharType="begin"/>
            </w:r>
            <w:r w:rsidR="009A4B99">
              <w:rPr>
                <w:noProof/>
                <w:webHidden/>
              </w:rPr>
              <w:instrText xml:space="preserve"> PAGEREF _Toc139285163 \h </w:instrText>
            </w:r>
            <w:r w:rsidR="009A4B99">
              <w:rPr>
                <w:noProof/>
                <w:webHidden/>
              </w:rPr>
            </w:r>
            <w:r w:rsidR="009A4B99">
              <w:rPr>
                <w:noProof/>
                <w:webHidden/>
              </w:rPr>
              <w:fldChar w:fldCharType="separate"/>
            </w:r>
            <w:r w:rsidR="00F03278">
              <w:rPr>
                <w:noProof/>
                <w:webHidden/>
              </w:rPr>
              <w:t>6</w:t>
            </w:r>
            <w:r w:rsidR="009A4B99">
              <w:rPr>
                <w:noProof/>
                <w:webHidden/>
              </w:rPr>
              <w:fldChar w:fldCharType="end"/>
            </w:r>
          </w:hyperlink>
        </w:p>
        <w:p w14:paraId="127C82E4" w14:textId="79A362D3" w:rsidR="009A4B99" w:rsidRDefault="00F871F8">
          <w:pPr>
            <w:pStyle w:val="TOC2"/>
            <w:tabs>
              <w:tab w:val="right" w:leader="dot" w:pos="9016"/>
            </w:tabs>
            <w:rPr>
              <w:rFonts w:eastAsiaTheme="minorEastAsia" w:cstheme="minorBidi"/>
              <w:b w:val="0"/>
              <w:bCs w:val="0"/>
              <w:noProof/>
              <w:kern w:val="2"/>
              <w:sz w:val="24"/>
              <w:szCs w:val="24"/>
              <w:lang w:eastAsia="zh-TW"/>
              <w14:ligatures w14:val="standardContextual"/>
            </w:rPr>
          </w:pPr>
          <w:hyperlink w:anchor="_Toc139285164" w:history="1">
            <w:r w:rsidR="009A4B99" w:rsidRPr="00FB7755">
              <w:rPr>
                <w:rStyle w:val="Hyperlink"/>
                <w:noProof/>
              </w:rPr>
              <w:t>Case study: Ismail*</w:t>
            </w:r>
            <w:r w:rsidR="009A4B99">
              <w:rPr>
                <w:noProof/>
                <w:webHidden/>
              </w:rPr>
              <w:tab/>
            </w:r>
            <w:r w:rsidR="009A4B99">
              <w:rPr>
                <w:noProof/>
                <w:webHidden/>
              </w:rPr>
              <w:fldChar w:fldCharType="begin"/>
            </w:r>
            <w:r w:rsidR="009A4B99">
              <w:rPr>
                <w:noProof/>
                <w:webHidden/>
              </w:rPr>
              <w:instrText xml:space="preserve"> PAGEREF _Toc139285164 \h </w:instrText>
            </w:r>
            <w:r w:rsidR="009A4B99">
              <w:rPr>
                <w:noProof/>
                <w:webHidden/>
              </w:rPr>
            </w:r>
            <w:r w:rsidR="009A4B99">
              <w:rPr>
                <w:noProof/>
                <w:webHidden/>
              </w:rPr>
              <w:fldChar w:fldCharType="separate"/>
            </w:r>
            <w:r w:rsidR="00F03278">
              <w:rPr>
                <w:noProof/>
                <w:webHidden/>
              </w:rPr>
              <w:t>7</w:t>
            </w:r>
            <w:r w:rsidR="009A4B99">
              <w:rPr>
                <w:noProof/>
                <w:webHidden/>
              </w:rPr>
              <w:fldChar w:fldCharType="end"/>
            </w:r>
          </w:hyperlink>
        </w:p>
        <w:p w14:paraId="4DB61A1A" w14:textId="69999F20" w:rsidR="009A4B99" w:rsidRDefault="00F871F8">
          <w:pPr>
            <w:pStyle w:val="TOC1"/>
            <w:tabs>
              <w:tab w:val="left" w:pos="660"/>
              <w:tab w:val="right" w:leader="dot" w:pos="9016"/>
            </w:tabs>
            <w:rPr>
              <w:rFonts w:eastAsiaTheme="minorEastAsia" w:cstheme="minorBidi"/>
              <w:b w:val="0"/>
              <w:bCs w:val="0"/>
              <w:i w:val="0"/>
              <w:iCs w:val="0"/>
              <w:noProof/>
              <w:kern w:val="2"/>
              <w:szCs w:val="24"/>
              <w:lang w:eastAsia="zh-TW"/>
              <w14:ligatures w14:val="standardContextual"/>
            </w:rPr>
          </w:pPr>
          <w:hyperlink w:anchor="_Toc139285165" w:history="1">
            <w:r w:rsidR="009A4B99" w:rsidRPr="00FB7755">
              <w:rPr>
                <w:rStyle w:val="Hyperlink"/>
                <w:noProof/>
              </w:rPr>
              <w:t>III.</w:t>
            </w:r>
            <w:r w:rsidR="009A4B99">
              <w:rPr>
                <w:rFonts w:eastAsiaTheme="minorEastAsia" w:cstheme="minorBidi"/>
                <w:b w:val="0"/>
                <w:bCs w:val="0"/>
                <w:i w:val="0"/>
                <w:iCs w:val="0"/>
                <w:noProof/>
                <w:kern w:val="2"/>
                <w:szCs w:val="24"/>
                <w:lang w:eastAsia="zh-TW"/>
                <w14:ligatures w14:val="standardContextual"/>
              </w:rPr>
              <w:tab/>
            </w:r>
            <w:r w:rsidR="009A4B99" w:rsidRPr="00FB7755">
              <w:rPr>
                <w:rStyle w:val="Hyperlink"/>
                <w:noProof/>
              </w:rPr>
              <w:t>MASS TRIALS AND FAILURE TO GUARANTEE SPECIAL MEASURES OF PROTECTION</w:t>
            </w:r>
            <w:r w:rsidR="009A4B99">
              <w:rPr>
                <w:noProof/>
                <w:webHidden/>
              </w:rPr>
              <w:tab/>
            </w:r>
            <w:r w:rsidR="009A4B99">
              <w:rPr>
                <w:noProof/>
                <w:webHidden/>
              </w:rPr>
              <w:fldChar w:fldCharType="begin"/>
            </w:r>
            <w:r w:rsidR="009A4B99">
              <w:rPr>
                <w:noProof/>
                <w:webHidden/>
              </w:rPr>
              <w:instrText xml:space="preserve"> PAGEREF _Toc139285165 \h </w:instrText>
            </w:r>
            <w:r w:rsidR="009A4B99">
              <w:rPr>
                <w:noProof/>
                <w:webHidden/>
              </w:rPr>
            </w:r>
            <w:r w:rsidR="009A4B99">
              <w:rPr>
                <w:noProof/>
                <w:webHidden/>
              </w:rPr>
              <w:fldChar w:fldCharType="separate"/>
            </w:r>
            <w:r w:rsidR="00F03278">
              <w:rPr>
                <w:noProof/>
                <w:webHidden/>
              </w:rPr>
              <w:t>9</w:t>
            </w:r>
            <w:r w:rsidR="009A4B99">
              <w:rPr>
                <w:noProof/>
                <w:webHidden/>
              </w:rPr>
              <w:fldChar w:fldCharType="end"/>
            </w:r>
          </w:hyperlink>
        </w:p>
        <w:p w14:paraId="5E1436E7" w14:textId="34397D7C" w:rsidR="009A4B99" w:rsidRDefault="00F871F8">
          <w:pPr>
            <w:pStyle w:val="TOC2"/>
            <w:tabs>
              <w:tab w:val="right" w:leader="dot" w:pos="9016"/>
            </w:tabs>
            <w:rPr>
              <w:rFonts w:eastAsiaTheme="minorEastAsia" w:cstheme="minorBidi"/>
              <w:b w:val="0"/>
              <w:bCs w:val="0"/>
              <w:noProof/>
              <w:kern w:val="2"/>
              <w:sz w:val="24"/>
              <w:szCs w:val="24"/>
              <w:lang w:eastAsia="zh-TW"/>
              <w14:ligatures w14:val="standardContextual"/>
            </w:rPr>
          </w:pPr>
          <w:hyperlink w:anchor="_Toc139285166" w:history="1">
            <w:r w:rsidR="009A4B99" w:rsidRPr="00FB7755">
              <w:rPr>
                <w:rStyle w:val="Hyperlink"/>
                <w:noProof/>
              </w:rPr>
              <w:t>Case study: the Awda incident</w:t>
            </w:r>
            <w:r w:rsidR="009A4B99">
              <w:rPr>
                <w:noProof/>
                <w:webHidden/>
              </w:rPr>
              <w:tab/>
            </w:r>
            <w:r w:rsidR="009A4B99">
              <w:rPr>
                <w:noProof/>
                <w:webHidden/>
              </w:rPr>
              <w:fldChar w:fldCharType="begin"/>
            </w:r>
            <w:r w:rsidR="009A4B99">
              <w:rPr>
                <w:noProof/>
                <w:webHidden/>
              </w:rPr>
              <w:instrText xml:space="preserve"> PAGEREF _Toc139285166 \h </w:instrText>
            </w:r>
            <w:r w:rsidR="009A4B99">
              <w:rPr>
                <w:noProof/>
                <w:webHidden/>
              </w:rPr>
            </w:r>
            <w:r w:rsidR="009A4B99">
              <w:rPr>
                <w:noProof/>
                <w:webHidden/>
              </w:rPr>
              <w:fldChar w:fldCharType="separate"/>
            </w:r>
            <w:r w:rsidR="00F03278">
              <w:rPr>
                <w:noProof/>
                <w:webHidden/>
              </w:rPr>
              <w:t>10</w:t>
            </w:r>
            <w:r w:rsidR="009A4B99">
              <w:rPr>
                <w:noProof/>
                <w:webHidden/>
              </w:rPr>
              <w:fldChar w:fldCharType="end"/>
            </w:r>
          </w:hyperlink>
        </w:p>
        <w:p w14:paraId="488B257E" w14:textId="599FF0D3" w:rsidR="009A4B99" w:rsidRDefault="00F871F8">
          <w:pPr>
            <w:pStyle w:val="TOC1"/>
            <w:tabs>
              <w:tab w:val="left" w:pos="660"/>
              <w:tab w:val="right" w:leader="dot" w:pos="9016"/>
            </w:tabs>
            <w:rPr>
              <w:rFonts w:eastAsiaTheme="minorEastAsia" w:cstheme="minorBidi"/>
              <w:b w:val="0"/>
              <w:bCs w:val="0"/>
              <w:i w:val="0"/>
              <w:iCs w:val="0"/>
              <w:noProof/>
              <w:kern w:val="2"/>
              <w:szCs w:val="24"/>
              <w:lang w:eastAsia="zh-TW"/>
              <w14:ligatures w14:val="standardContextual"/>
            </w:rPr>
          </w:pPr>
          <w:hyperlink w:anchor="_Toc139285167" w:history="1">
            <w:r w:rsidR="009A4B99" w:rsidRPr="00FB7755">
              <w:rPr>
                <w:rStyle w:val="Hyperlink"/>
                <w:noProof/>
              </w:rPr>
              <w:t>IV.</w:t>
            </w:r>
            <w:r w:rsidR="009A4B99">
              <w:rPr>
                <w:rFonts w:eastAsiaTheme="minorEastAsia" w:cstheme="minorBidi"/>
                <w:b w:val="0"/>
                <w:bCs w:val="0"/>
                <w:i w:val="0"/>
                <w:iCs w:val="0"/>
                <w:noProof/>
                <w:kern w:val="2"/>
                <w:szCs w:val="24"/>
                <w:lang w:eastAsia="zh-TW"/>
                <w14:ligatures w14:val="standardContextual"/>
              </w:rPr>
              <w:tab/>
            </w:r>
            <w:r w:rsidR="009A4B99" w:rsidRPr="00FB7755">
              <w:rPr>
                <w:rStyle w:val="Hyperlink"/>
                <w:noProof/>
              </w:rPr>
              <w:t>VIOLENCE AGAINST CHILDREN – TORTURE AND ILL-TREATMENT</w:t>
            </w:r>
            <w:r w:rsidR="009A4B99">
              <w:rPr>
                <w:noProof/>
                <w:webHidden/>
              </w:rPr>
              <w:tab/>
            </w:r>
            <w:r w:rsidR="009A4B99">
              <w:rPr>
                <w:noProof/>
                <w:webHidden/>
              </w:rPr>
              <w:fldChar w:fldCharType="begin"/>
            </w:r>
            <w:r w:rsidR="009A4B99">
              <w:rPr>
                <w:noProof/>
                <w:webHidden/>
              </w:rPr>
              <w:instrText xml:space="preserve"> PAGEREF _Toc139285167 \h </w:instrText>
            </w:r>
            <w:r w:rsidR="009A4B99">
              <w:rPr>
                <w:noProof/>
                <w:webHidden/>
              </w:rPr>
            </w:r>
            <w:r w:rsidR="009A4B99">
              <w:rPr>
                <w:noProof/>
                <w:webHidden/>
              </w:rPr>
              <w:fldChar w:fldCharType="separate"/>
            </w:r>
            <w:r w:rsidR="00F03278">
              <w:rPr>
                <w:noProof/>
                <w:webHidden/>
              </w:rPr>
              <w:t>11</w:t>
            </w:r>
            <w:r w:rsidR="009A4B99">
              <w:rPr>
                <w:noProof/>
                <w:webHidden/>
              </w:rPr>
              <w:fldChar w:fldCharType="end"/>
            </w:r>
          </w:hyperlink>
        </w:p>
        <w:p w14:paraId="1D2A29FE" w14:textId="3E8B5B6F" w:rsidR="009A4B99" w:rsidRDefault="00F871F8">
          <w:pPr>
            <w:pStyle w:val="TOC2"/>
            <w:tabs>
              <w:tab w:val="right" w:leader="dot" w:pos="9016"/>
            </w:tabs>
            <w:rPr>
              <w:rFonts w:eastAsiaTheme="minorEastAsia" w:cstheme="minorBidi"/>
              <w:b w:val="0"/>
              <w:bCs w:val="0"/>
              <w:noProof/>
              <w:kern w:val="2"/>
              <w:sz w:val="24"/>
              <w:szCs w:val="24"/>
              <w:lang w:eastAsia="zh-TW"/>
              <w14:ligatures w14:val="standardContextual"/>
            </w:rPr>
          </w:pPr>
          <w:hyperlink w:anchor="_Toc139285168" w:history="1">
            <w:r w:rsidR="009A4B99" w:rsidRPr="00FB7755">
              <w:rPr>
                <w:rStyle w:val="Hyperlink"/>
                <w:noProof/>
              </w:rPr>
              <w:t>Case study: Ahmad Saddouma</w:t>
            </w:r>
            <w:r w:rsidR="009A4B99">
              <w:rPr>
                <w:noProof/>
                <w:webHidden/>
              </w:rPr>
              <w:tab/>
            </w:r>
            <w:r w:rsidR="009A4B99">
              <w:rPr>
                <w:noProof/>
                <w:webHidden/>
              </w:rPr>
              <w:fldChar w:fldCharType="begin"/>
            </w:r>
            <w:r w:rsidR="009A4B99">
              <w:rPr>
                <w:noProof/>
                <w:webHidden/>
              </w:rPr>
              <w:instrText xml:space="preserve"> PAGEREF _Toc139285168 \h </w:instrText>
            </w:r>
            <w:r w:rsidR="009A4B99">
              <w:rPr>
                <w:noProof/>
                <w:webHidden/>
              </w:rPr>
            </w:r>
            <w:r w:rsidR="009A4B99">
              <w:rPr>
                <w:noProof/>
                <w:webHidden/>
              </w:rPr>
              <w:fldChar w:fldCharType="separate"/>
            </w:r>
            <w:r w:rsidR="00F03278">
              <w:rPr>
                <w:noProof/>
                <w:webHidden/>
              </w:rPr>
              <w:t>11</w:t>
            </w:r>
            <w:r w:rsidR="009A4B99">
              <w:rPr>
                <w:noProof/>
                <w:webHidden/>
              </w:rPr>
              <w:fldChar w:fldCharType="end"/>
            </w:r>
          </w:hyperlink>
        </w:p>
        <w:p w14:paraId="7599B93B" w14:textId="786261EF" w:rsidR="009A4B99" w:rsidRDefault="00F871F8">
          <w:pPr>
            <w:pStyle w:val="TOC1"/>
            <w:tabs>
              <w:tab w:val="left" w:pos="660"/>
              <w:tab w:val="right" w:leader="dot" w:pos="9016"/>
            </w:tabs>
            <w:rPr>
              <w:rFonts w:eastAsiaTheme="minorEastAsia" w:cstheme="minorBidi"/>
              <w:b w:val="0"/>
              <w:bCs w:val="0"/>
              <w:i w:val="0"/>
              <w:iCs w:val="0"/>
              <w:noProof/>
              <w:kern w:val="2"/>
              <w:szCs w:val="24"/>
              <w:lang w:eastAsia="zh-TW"/>
              <w14:ligatures w14:val="standardContextual"/>
            </w:rPr>
          </w:pPr>
          <w:hyperlink w:anchor="_Toc139285169" w:history="1">
            <w:r w:rsidR="009A4B99" w:rsidRPr="00FB7755">
              <w:rPr>
                <w:rStyle w:val="Hyperlink"/>
                <w:noProof/>
              </w:rPr>
              <w:t>V.</w:t>
            </w:r>
            <w:r w:rsidR="009A4B99">
              <w:rPr>
                <w:rFonts w:eastAsiaTheme="minorEastAsia" w:cstheme="minorBidi"/>
                <w:b w:val="0"/>
                <w:bCs w:val="0"/>
                <w:i w:val="0"/>
                <w:iCs w:val="0"/>
                <w:noProof/>
                <w:kern w:val="2"/>
                <w:szCs w:val="24"/>
                <w:lang w:eastAsia="zh-TW"/>
                <w14:ligatures w14:val="standardContextual"/>
              </w:rPr>
              <w:tab/>
            </w:r>
            <w:r w:rsidR="009A4B99" w:rsidRPr="00FB7755">
              <w:rPr>
                <w:rStyle w:val="Hyperlink"/>
                <w:noProof/>
              </w:rPr>
              <w:t>CONCLUSIONS AND RECOMMENDATIONS</w:t>
            </w:r>
            <w:r w:rsidR="009A4B99">
              <w:rPr>
                <w:noProof/>
                <w:webHidden/>
              </w:rPr>
              <w:tab/>
            </w:r>
            <w:r w:rsidR="009A4B99">
              <w:rPr>
                <w:noProof/>
                <w:webHidden/>
              </w:rPr>
              <w:fldChar w:fldCharType="begin"/>
            </w:r>
            <w:r w:rsidR="009A4B99">
              <w:rPr>
                <w:noProof/>
                <w:webHidden/>
              </w:rPr>
              <w:instrText xml:space="preserve"> PAGEREF _Toc139285169 \h </w:instrText>
            </w:r>
            <w:r w:rsidR="009A4B99">
              <w:rPr>
                <w:noProof/>
                <w:webHidden/>
              </w:rPr>
            </w:r>
            <w:r w:rsidR="009A4B99">
              <w:rPr>
                <w:noProof/>
                <w:webHidden/>
              </w:rPr>
              <w:fldChar w:fldCharType="separate"/>
            </w:r>
            <w:r w:rsidR="00F03278">
              <w:rPr>
                <w:noProof/>
                <w:webHidden/>
              </w:rPr>
              <w:t>12</w:t>
            </w:r>
            <w:r w:rsidR="009A4B99">
              <w:rPr>
                <w:noProof/>
                <w:webHidden/>
              </w:rPr>
              <w:fldChar w:fldCharType="end"/>
            </w:r>
          </w:hyperlink>
        </w:p>
        <w:p w14:paraId="256402F9" w14:textId="757AD635" w:rsidR="009A4B99" w:rsidRDefault="00F871F8">
          <w:pPr>
            <w:pStyle w:val="TOC2"/>
            <w:tabs>
              <w:tab w:val="right" w:leader="dot" w:pos="9016"/>
            </w:tabs>
            <w:rPr>
              <w:rFonts w:eastAsiaTheme="minorEastAsia" w:cstheme="minorBidi"/>
              <w:b w:val="0"/>
              <w:bCs w:val="0"/>
              <w:noProof/>
              <w:kern w:val="2"/>
              <w:sz w:val="24"/>
              <w:szCs w:val="24"/>
              <w:lang w:eastAsia="zh-TW"/>
              <w14:ligatures w14:val="standardContextual"/>
            </w:rPr>
          </w:pPr>
          <w:hyperlink w:anchor="_Toc139285170" w:history="1">
            <w:r w:rsidR="009A4B99" w:rsidRPr="00FB7755">
              <w:rPr>
                <w:rStyle w:val="Hyperlink"/>
                <w:noProof/>
              </w:rPr>
              <w:t>On the Right to Life</w:t>
            </w:r>
            <w:r w:rsidR="009A4B99">
              <w:rPr>
                <w:noProof/>
                <w:webHidden/>
              </w:rPr>
              <w:tab/>
            </w:r>
            <w:r w:rsidR="009A4B99">
              <w:rPr>
                <w:noProof/>
                <w:webHidden/>
              </w:rPr>
              <w:fldChar w:fldCharType="begin"/>
            </w:r>
            <w:r w:rsidR="009A4B99">
              <w:rPr>
                <w:noProof/>
                <w:webHidden/>
              </w:rPr>
              <w:instrText xml:space="preserve"> PAGEREF _Toc139285170 \h </w:instrText>
            </w:r>
            <w:r w:rsidR="009A4B99">
              <w:rPr>
                <w:noProof/>
                <w:webHidden/>
              </w:rPr>
            </w:r>
            <w:r w:rsidR="009A4B99">
              <w:rPr>
                <w:noProof/>
                <w:webHidden/>
              </w:rPr>
              <w:fldChar w:fldCharType="separate"/>
            </w:r>
            <w:r w:rsidR="00F03278">
              <w:rPr>
                <w:noProof/>
                <w:webHidden/>
              </w:rPr>
              <w:t>13</w:t>
            </w:r>
            <w:r w:rsidR="009A4B99">
              <w:rPr>
                <w:noProof/>
                <w:webHidden/>
              </w:rPr>
              <w:fldChar w:fldCharType="end"/>
            </w:r>
          </w:hyperlink>
        </w:p>
        <w:p w14:paraId="08D2CBB9" w14:textId="5AC25115" w:rsidR="009A4B99" w:rsidRDefault="00F871F8">
          <w:pPr>
            <w:pStyle w:val="TOC2"/>
            <w:tabs>
              <w:tab w:val="right" w:leader="dot" w:pos="9016"/>
            </w:tabs>
            <w:rPr>
              <w:rFonts w:eastAsiaTheme="minorEastAsia" w:cstheme="minorBidi"/>
              <w:b w:val="0"/>
              <w:bCs w:val="0"/>
              <w:noProof/>
              <w:kern w:val="2"/>
              <w:sz w:val="24"/>
              <w:szCs w:val="24"/>
              <w:lang w:eastAsia="zh-TW"/>
              <w14:ligatures w14:val="standardContextual"/>
            </w:rPr>
          </w:pPr>
          <w:hyperlink w:anchor="_Toc139285171" w:history="1">
            <w:r w:rsidR="009A4B99" w:rsidRPr="00FB7755">
              <w:rPr>
                <w:rStyle w:val="Hyperlink"/>
                <w:noProof/>
              </w:rPr>
              <w:t>On Special Protection Measures</w:t>
            </w:r>
            <w:r w:rsidR="009A4B99">
              <w:rPr>
                <w:noProof/>
                <w:webHidden/>
              </w:rPr>
              <w:tab/>
            </w:r>
            <w:r w:rsidR="009A4B99">
              <w:rPr>
                <w:noProof/>
                <w:webHidden/>
              </w:rPr>
              <w:fldChar w:fldCharType="begin"/>
            </w:r>
            <w:r w:rsidR="009A4B99">
              <w:rPr>
                <w:noProof/>
                <w:webHidden/>
              </w:rPr>
              <w:instrText xml:space="preserve"> PAGEREF _Toc139285171 \h </w:instrText>
            </w:r>
            <w:r w:rsidR="009A4B99">
              <w:rPr>
                <w:noProof/>
                <w:webHidden/>
              </w:rPr>
            </w:r>
            <w:r w:rsidR="009A4B99">
              <w:rPr>
                <w:noProof/>
                <w:webHidden/>
              </w:rPr>
              <w:fldChar w:fldCharType="separate"/>
            </w:r>
            <w:r w:rsidR="00F03278">
              <w:rPr>
                <w:noProof/>
                <w:webHidden/>
              </w:rPr>
              <w:t>13</w:t>
            </w:r>
            <w:r w:rsidR="009A4B99">
              <w:rPr>
                <w:noProof/>
                <w:webHidden/>
              </w:rPr>
              <w:fldChar w:fldCharType="end"/>
            </w:r>
          </w:hyperlink>
        </w:p>
        <w:p w14:paraId="19DE33B4" w14:textId="36F8A523" w:rsidR="009A4B99" w:rsidRDefault="00F871F8">
          <w:pPr>
            <w:pStyle w:val="TOC2"/>
            <w:tabs>
              <w:tab w:val="right" w:leader="dot" w:pos="9016"/>
            </w:tabs>
            <w:rPr>
              <w:rFonts w:eastAsiaTheme="minorEastAsia" w:cstheme="minorBidi"/>
              <w:b w:val="0"/>
              <w:bCs w:val="0"/>
              <w:noProof/>
              <w:kern w:val="2"/>
              <w:sz w:val="24"/>
              <w:szCs w:val="24"/>
              <w:lang w:eastAsia="zh-TW"/>
              <w14:ligatures w14:val="standardContextual"/>
            </w:rPr>
          </w:pPr>
          <w:hyperlink w:anchor="_Toc139285172" w:history="1">
            <w:r w:rsidR="009A4B99" w:rsidRPr="00FB7755">
              <w:rPr>
                <w:rStyle w:val="Hyperlink"/>
                <w:noProof/>
              </w:rPr>
              <w:t>On Violence Against Children</w:t>
            </w:r>
            <w:r w:rsidR="009A4B99">
              <w:rPr>
                <w:noProof/>
                <w:webHidden/>
              </w:rPr>
              <w:tab/>
            </w:r>
            <w:r w:rsidR="009A4B99">
              <w:rPr>
                <w:noProof/>
                <w:webHidden/>
              </w:rPr>
              <w:fldChar w:fldCharType="begin"/>
            </w:r>
            <w:r w:rsidR="009A4B99">
              <w:rPr>
                <w:noProof/>
                <w:webHidden/>
              </w:rPr>
              <w:instrText xml:space="preserve"> PAGEREF _Toc139285172 \h </w:instrText>
            </w:r>
            <w:r w:rsidR="009A4B99">
              <w:rPr>
                <w:noProof/>
                <w:webHidden/>
              </w:rPr>
            </w:r>
            <w:r w:rsidR="009A4B99">
              <w:rPr>
                <w:noProof/>
                <w:webHidden/>
              </w:rPr>
              <w:fldChar w:fldCharType="separate"/>
            </w:r>
            <w:r w:rsidR="00F03278">
              <w:rPr>
                <w:noProof/>
                <w:webHidden/>
              </w:rPr>
              <w:t>14</w:t>
            </w:r>
            <w:r w:rsidR="009A4B99">
              <w:rPr>
                <w:noProof/>
                <w:webHidden/>
              </w:rPr>
              <w:fldChar w:fldCharType="end"/>
            </w:r>
          </w:hyperlink>
        </w:p>
        <w:p w14:paraId="4500859A" w14:textId="4C96EB4A" w:rsidR="002D4817" w:rsidRDefault="002D4817" w:rsidP="00524341">
          <w:pPr>
            <w:spacing w:line="360" w:lineRule="auto"/>
          </w:pPr>
          <w:r w:rsidRPr="00524341">
            <w:rPr>
              <w:noProof/>
              <w:sz w:val="24"/>
              <w:szCs w:val="24"/>
            </w:rPr>
            <w:fldChar w:fldCharType="end"/>
          </w:r>
        </w:p>
      </w:sdtContent>
    </w:sdt>
    <w:p w14:paraId="78E6038E" w14:textId="77777777" w:rsidR="0006565B" w:rsidRPr="00EA2D66" w:rsidRDefault="0006565B" w:rsidP="008D5C69">
      <w:pPr>
        <w:jc w:val="both"/>
        <w:rPr>
          <w:sz w:val="24"/>
          <w:szCs w:val="24"/>
        </w:rPr>
      </w:pPr>
    </w:p>
    <w:p w14:paraId="35E06613" w14:textId="77777777" w:rsidR="0006565B" w:rsidRPr="00EA2D66" w:rsidRDefault="0006565B" w:rsidP="008D5C69">
      <w:pPr>
        <w:jc w:val="both"/>
        <w:rPr>
          <w:sz w:val="24"/>
          <w:szCs w:val="24"/>
        </w:rPr>
      </w:pPr>
    </w:p>
    <w:p w14:paraId="679D8648" w14:textId="77777777" w:rsidR="00CE0F02" w:rsidRDefault="00CE0F02">
      <w:pPr>
        <w:rPr>
          <w:rFonts w:eastAsiaTheme="majorEastAsia" w:cstheme="majorBidi"/>
          <w:b/>
          <w:sz w:val="28"/>
          <w:szCs w:val="32"/>
        </w:rPr>
      </w:pPr>
      <w:r>
        <w:br w:type="page"/>
      </w:r>
    </w:p>
    <w:p w14:paraId="7CB8A889" w14:textId="1F71B0EF" w:rsidR="007D60CD" w:rsidRDefault="005A1452" w:rsidP="005A1452">
      <w:pPr>
        <w:pStyle w:val="Heading1"/>
      </w:pPr>
      <w:bookmarkStart w:id="0" w:name="_Toc139285161"/>
      <w:r w:rsidRPr="005A1452">
        <w:lastRenderedPageBreak/>
        <w:t>GLOSSARY OF TERMS</w:t>
      </w:r>
      <w:r>
        <w:t xml:space="preserve"> AND KEY PRINCIPLES</w:t>
      </w:r>
      <w:bookmarkEnd w:id="0"/>
    </w:p>
    <w:p w14:paraId="5F046445" w14:textId="77777777" w:rsidR="005A1452" w:rsidRPr="005A1452" w:rsidRDefault="005A1452" w:rsidP="005A145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477"/>
      </w:tblGrid>
      <w:tr w:rsidR="00C85341" w:rsidRPr="00524341" w14:paraId="10F29692" w14:textId="77777777" w:rsidTr="00524341">
        <w:tc>
          <w:tcPr>
            <w:tcW w:w="3539" w:type="dxa"/>
          </w:tcPr>
          <w:p w14:paraId="2C7DF7F6" w14:textId="118FD803" w:rsidR="005A1452" w:rsidRPr="00524341" w:rsidRDefault="005A1452" w:rsidP="005A1452">
            <w:pPr>
              <w:rPr>
                <w:rFonts w:cstheme="minorHAnsi"/>
                <w:b/>
                <w:bCs/>
              </w:rPr>
            </w:pPr>
            <w:r w:rsidRPr="00524341">
              <w:rPr>
                <w:rFonts w:cstheme="minorHAnsi"/>
                <w:b/>
                <w:bCs/>
              </w:rPr>
              <w:t>Assembly Law</w:t>
            </w:r>
          </w:p>
        </w:tc>
        <w:tc>
          <w:tcPr>
            <w:tcW w:w="5477" w:type="dxa"/>
          </w:tcPr>
          <w:p w14:paraId="361C8E76" w14:textId="77777777" w:rsidR="005A1452" w:rsidRPr="00524341" w:rsidRDefault="005A1452" w:rsidP="005A1452">
            <w:pPr>
              <w:rPr>
                <w:rFonts w:cstheme="minorHAnsi"/>
              </w:rPr>
            </w:pPr>
            <w:r w:rsidRPr="00524341">
              <w:rPr>
                <w:rFonts w:cstheme="minorHAnsi"/>
              </w:rPr>
              <w:t>A British Colonial-era law that enshrines the concept of collective liability, allowing the state to hold any individual accused of attending an assembly deemed illegal for being unlicensed jointly liable for any criminal act that allegedly arose because of that assembly.</w:t>
            </w:r>
            <w:r w:rsidR="00B46479" w:rsidRPr="00524341">
              <w:rPr>
                <w:rStyle w:val="FootnoteReference"/>
                <w:rFonts w:cstheme="minorHAnsi"/>
              </w:rPr>
              <w:footnoteReference w:id="1"/>
            </w:r>
          </w:p>
          <w:p w14:paraId="779E5A14" w14:textId="53BB0F4C" w:rsidR="00524341" w:rsidRPr="00524341" w:rsidRDefault="00524341" w:rsidP="005A1452">
            <w:pPr>
              <w:rPr>
                <w:rFonts w:cstheme="minorHAnsi"/>
                <w:b/>
                <w:bCs/>
                <w:i/>
                <w:iCs/>
              </w:rPr>
            </w:pPr>
          </w:p>
        </w:tc>
      </w:tr>
      <w:tr w:rsidR="00C85341" w:rsidRPr="00524341" w14:paraId="53E0A833" w14:textId="77777777" w:rsidTr="00524341">
        <w:tc>
          <w:tcPr>
            <w:tcW w:w="3539" w:type="dxa"/>
          </w:tcPr>
          <w:p w14:paraId="10BA20B6" w14:textId="26A33A0D" w:rsidR="00C85341" w:rsidRPr="00524341" w:rsidRDefault="00C85341" w:rsidP="005A1452">
            <w:pPr>
              <w:rPr>
                <w:rFonts w:cstheme="minorHAnsi"/>
                <w:b/>
                <w:bCs/>
              </w:rPr>
            </w:pPr>
            <w:r w:rsidRPr="00524341">
              <w:rPr>
                <w:rFonts w:cstheme="minorHAnsi"/>
                <w:b/>
                <w:bCs/>
              </w:rPr>
              <w:t>Child/Children</w:t>
            </w:r>
          </w:p>
        </w:tc>
        <w:tc>
          <w:tcPr>
            <w:tcW w:w="5477" w:type="dxa"/>
          </w:tcPr>
          <w:p w14:paraId="7DFEF676" w14:textId="77777777" w:rsidR="00C85341" w:rsidRPr="00524341" w:rsidRDefault="00C85341" w:rsidP="008905A5">
            <w:pPr>
              <w:rPr>
                <w:rFonts w:cstheme="minorHAnsi"/>
              </w:rPr>
            </w:pPr>
            <w:r w:rsidRPr="00524341">
              <w:rPr>
                <w:rFonts w:cstheme="minorHAnsi"/>
              </w:rPr>
              <w:t>A person who, under Egyptian law, has not yet attained the age of 18.</w:t>
            </w:r>
            <w:r w:rsidR="00B46479" w:rsidRPr="00524341">
              <w:rPr>
                <w:rStyle w:val="FootnoteReference"/>
                <w:rFonts w:cstheme="minorHAnsi"/>
              </w:rPr>
              <w:footnoteReference w:id="2"/>
            </w:r>
            <w:r w:rsidRPr="00524341">
              <w:rPr>
                <w:rFonts w:cstheme="minorHAnsi"/>
              </w:rPr>
              <w:t xml:space="preserve"> For the purpose of this submission, it refers to persons sentenced to death both before they turned 18 or </w:t>
            </w:r>
            <w:r w:rsidR="008905A5" w:rsidRPr="00524341">
              <w:rPr>
                <w:rFonts w:cstheme="minorHAnsi"/>
              </w:rPr>
              <w:t xml:space="preserve">for </w:t>
            </w:r>
            <w:r w:rsidRPr="00524341">
              <w:rPr>
                <w:rFonts w:cstheme="minorHAnsi"/>
              </w:rPr>
              <w:t>alleged offence committed</w:t>
            </w:r>
            <w:r w:rsidR="008905A5" w:rsidRPr="00524341">
              <w:rPr>
                <w:rFonts w:cstheme="minorHAnsi"/>
              </w:rPr>
              <w:t xml:space="preserve"> before reaching the age of </w:t>
            </w:r>
            <w:r w:rsidR="00B46479" w:rsidRPr="00524341">
              <w:rPr>
                <w:rFonts w:cstheme="minorHAnsi"/>
              </w:rPr>
              <w:t>18</w:t>
            </w:r>
            <w:r w:rsidR="008905A5" w:rsidRPr="00524341">
              <w:rPr>
                <w:rFonts w:cstheme="minorHAnsi"/>
              </w:rPr>
              <w:t>.</w:t>
            </w:r>
          </w:p>
          <w:p w14:paraId="4F859CE4" w14:textId="3F49CD6D" w:rsidR="00524341" w:rsidRPr="00524341" w:rsidRDefault="00524341" w:rsidP="008905A5">
            <w:pPr>
              <w:rPr>
                <w:rFonts w:cstheme="minorHAnsi"/>
                <w:highlight w:val="yellow"/>
              </w:rPr>
            </w:pPr>
          </w:p>
        </w:tc>
      </w:tr>
      <w:tr w:rsidR="00C85341" w:rsidRPr="00524341" w14:paraId="1F42BEC8" w14:textId="77777777" w:rsidTr="00524341">
        <w:tc>
          <w:tcPr>
            <w:tcW w:w="3539" w:type="dxa"/>
          </w:tcPr>
          <w:p w14:paraId="73B6265D" w14:textId="5DA27C97" w:rsidR="00C85341" w:rsidRPr="00524341" w:rsidRDefault="00C85341" w:rsidP="005A1452">
            <w:pPr>
              <w:rPr>
                <w:rFonts w:cstheme="minorHAnsi"/>
                <w:b/>
                <w:bCs/>
              </w:rPr>
            </w:pPr>
            <w:r w:rsidRPr="00524341">
              <w:rPr>
                <w:rFonts w:cstheme="minorHAnsi"/>
                <w:b/>
                <w:bCs/>
              </w:rPr>
              <w:t>Child Law or Child Code</w:t>
            </w:r>
          </w:p>
        </w:tc>
        <w:tc>
          <w:tcPr>
            <w:tcW w:w="5477" w:type="dxa"/>
          </w:tcPr>
          <w:p w14:paraId="34A91816" w14:textId="77777777" w:rsidR="00C85341" w:rsidRPr="00524341" w:rsidRDefault="00C85341" w:rsidP="005A1452">
            <w:pPr>
              <w:rPr>
                <w:rFonts w:cstheme="minorHAnsi"/>
              </w:rPr>
            </w:pPr>
            <w:r w:rsidRPr="00524341">
              <w:rPr>
                <w:rFonts w:cstheme="minorHAnsi"/>
              </w:rPr>
              <w:t>A domestic law originally passed in 1996, and amended in 2008, which protects children under the age of 18 from the death sentence and life imprisonment.</w:t>
            </w:r>
            <w:r w:rsidR="00B46479" w:rsidRPr="00524341">
              <w:rPr>
                <w:rStyle w:val="FootnoteReference"/>
                <w:rFonts w:cstheme="minorHAnsi"/>
              </w:rPr>
              <w:footnoteReference w:id="3"/>
            </w:r>
          </w:p>
          <w:p w14:paraId="2DEAAEDA" w14:textId="208EFF03" w:rsidR="00524341" w:rsidRPr="00524341" w:rsidRDefault="00524341" w:rsidP="005A1452">
            <w:pPr>
              <w:rPr>
                <w:rFonts w:cstheme="minorHAnsi"/>
                <w:highlight w:val="yellow"/>
              </w:rPr>
            </w:pPr>
          </w:p>
        </w:tc>
      </w:tr>
      <w:tr w:rsidR="00C85341" w:rsidRPr="00524341" w14:paraId="229EA66E" w14:textId="77777777" w:rsidTr="00524341">
        <w:tc>
          <w:tcPr>
            <w:tcW w:w="3539" w:type="dxa"/>
          </w:tcPr>
          <w:p w14:paraId="1EF3CA51" w14:textId="27090941" w:rsidR="00C85341" w:rsidRPr="00524341" w:rsidRDefault="00C85341" w:rsidP="005A1452">
            <w:pPr>
              <w:rPr>
                <w:rFonts w:cstheme="minorHAnsi"/>
                <w:b/>
                <w:bCs/>
              </w:rPr>
            </w:pPr>
            <w:r w:rsidRPr="00524341">
              <w:rPr>
                <w:rFonts w:cstheme="minorHAnsi"/>
                <w:b/>
                <w:bCs/>
              </w:rPr>
              <w:t>Court of Cassation</w:t>
            </w:r>
          </w:p>
        </w:tc>
        <w:tc>
          <w:tcPr>
            <w:tcW w:w="5477" w:type="dxa"/>
          </w:tcPr>
          <w:p w14:paraId="6BF8B213" w14:textId="77777777" w:rsidR="00C85341" w:rsidRPr="00524341" w:rsidRDefault="00C85341" w:rsidP="005A1452">
            <w:pPr>
              <w:rPr>
                <w:rFonts w:cstheme="minorHAnsi"/>
              </w:rPr>
            </w:pPr>
            <w:r w:rsidRPr="00524341">
              <w:rPr>
                <w:rFonts w:cstheme="minorHAnsi"/>
              </w:rPr>
              <w:t>Egypt’s highest court.</w:t>
            </w:r>
            <w:r w:rsidR="00B46479" w:rsidRPr="00524341">
              <w:rPr>
                <w:rStyle w:val="FootnoteReference"/>
                <w:rFonts w:cstheme="minorHAnsi"/>
              </w:rPr>
              <w:footnoteReference w:id="4"/>
            </w:r>
            <w:r w:rsidRPr="00524341">
              <w:rPr>
                <w:rFonts w:cstheme="minorHAnsi"/>
              </w:rPr>
              <w:t xml:space="preserve"> A death sentence can be appealed to the Court of Cassation, Egypt’s highest court.</w:t>
            </w:r>
            <w:r w:rsidR="00B46479" w:rsidRPr="00524341">
              <w:rPr>
                <w:rFonts w:cstheme="minorHAnsi"/>
              </w:rPr>
              <w:t xml:space="preserve"> </w:t>
            </w:r>
            <w:r w:rsidRPr="00524341">
              <w:rPr>
                <w:rFonts w:cstheme="minorHAnsi"/>
              </w:rPr>
              <w:t>Under the current law, the Court of Cassation is no longer required to remit a capital case to a lower court for a retrial or rehearing.</w:t>
            </w:r>
            <w:r w:rsidRPr="00524341">
              <w:rPr>
                <w:rStyle w:val="A10"/>
                <w:rFonts w:asciiTheme="minorHAnsi" w:hAnsiTheme="minorHAnsi" w:cstheme="minorHAnsi"/>
                <w:color w:val="auto"/>
                <w:sz w:val="22"/>
                <w:szCs w:val="22"/>
              </w:rPr>
              <w:t xml:space="preserve"> </w:t>
            </w:r>
            <w:r w:rsidRPr="00524341">
              <w:rPr>
                <w:rFonts w:cstheme="minorHAnsi"/>
              </w:rPr>
              <w:t>Instead, it has the power to confirm or alter the sentence.</w:t>
            </w:r>
            <w:r w:rsidR="00B46479" w:rsidRPr="00524341">
              <w:rPr>
                <w:rFonts w:cstheme="minorHAnsi"/>
              </w:rPr>
              <w:t xml:space="preserve"> </w:t>
            </w:r>
            <w:r w:rsidRPr="00524341">
              <w:rPr>
                <w:rFonts w:cstheme="minorHAnsi"/>
              </w:rPr>
              <w:t>Once a death sentence is confirmed by the Court of Cassation, it becomes final, pending presidential order of its implementation or pardon</w:t>
            </w:r>
            <w:r w:rsidR="00A3078A" w:rsidRPr="00524341">
              <w:rPr>
                <w:rFonts w:cstheme="minorHAnsi"/>
              </w:rPr>
              <w:t>.</w:t>
            </w:r>
          </w:p>
          <w:p w14:paraId="09A53994" w14:textId="61684155" w:rsidR="00524341" w:rsidRPr="00524341" w:rsidRDefault="00524341" w:rsidP="005A1452">
            <w:pPr>
              <w:rPr>
                <w:rFonts w:cstheme="minorHAnsi"/>
                <w:highlight w:val="yellow"/>
              </w:rPr>
            </w:pPr>
          </w:p>
        </w:tc>
      </w:tr>
      <w:tr w:rsidR="00C85341" w:rsidRPr="00524341" w14:paraId="46373CF6" w14:textId="77777777" w:rsidTr="00524341">
        <w:tc>
          <w:tcPr>
            <w:tcW w:w="3539" w:type="dxa"/>
          </w:tcPr>
          <w:p w14:paraId="18444C1D" w14:textId="77777777" w:rsidR="00C85341" w:rsidRPr="00524341" w:rsidRDefault="00C85341" w:rsidP="00C85341">
            <w:pPr>
              <w:rPr>
                <w:rFonts w:cstheme="minorHAnsi"/>
                <w:b/>
                <w:bCs/>
              </w:rPr>
            </w:pPr>
            <w:r w:rsidRPr="00524341">
              <w:rPr>
                <w:rFonts w:cstheme="minorHAnsi"/>
                <w:b/>
                <w:bCs/>
              </w:rPr>
              <w:t>Mass trial</w:t>
            </w:r>
          </w:p>
          <w:p w14:paraId="17DF2D96" w14:textId="77777777" w:rsidR="00C85341" w:rsidRPr="00524341" w:rsidRDefault="00C85341" w:rsidP="005A1452">
            <w:pPr>
              <w:rPr>
                <w:rFonts w:cstheme="minorHAnsi"/>
                <w:b/>
                <w:bCs/>
              </w:rPr>
            </w:pPr>
          </w:p>
        </w:tc>
        <w:tc>
          <w:tcPr>
            <w:tcW w:w="5477" w:type="dxa"/>
          </w:tcPr>
          <w:p w14:paraId="7996D5E6" w14:textId="77777777" w:rsidR="00C85341" w:rsidRPr="00524341" w:rsidRDefault="00C85341" w:rsidP="00C85341">
            <w:pPr>
              <w:rPr>
                <w:rFonts w:cstheme="minorHAnsi"/>
              </w:rPr>
            </w:pPr>
            <w:r w:rsidRPr="00524341">
              <w:rPr>
                <w:rFonts w:cstheme="minorHAnsi"/>
              </w:rPr>
              <w:t xml:space="preserve">There is no single internationally accepted definition of a mass trial. For the purposes of this </w:t>
            </w:r>
            <w:r w:rsidR="008905A5" w:rsidRPr="00524341">
              <w:rPr>
                <w:rFonts w:cstheme="minorHAnsi"/>
              </w:rPr>
              <w:t>submission</w:t>
            </w:r>
            <w:r w:rsidRPr="00524341">
              <w:rPr>
                <w:rFonts w:cstheme="minorHAnsi"/>
              </w:rPr>
              <w:t>, a mass trial is defined as one in which 15 or more individuals are tried simultaneously.</w:t>
            </w:r>
          </w:p>
          <w:p w14:paraId="67E48E62" w14:textId="3F974D56" w:rsidR="00524341" w:rsidRPr="00524341" w:rsidRDefault="00524341" w:rsidP="00C85341">
            <w:pPr>
              <w:rPr>
                <w:rFonts w:cstheme="minorHAnsi"/>
                <w:highlight w:val="yellow"/>
              </w:rPr>
            </w:pPr>
          </w:p>
        </w:tc>
      </w:tr>
      <w:tr w:rsidR="00C85341" w:rsidRPr="00524341" w14:paraId="2F749D73" w14:textId="77777777" w:rsidTr="00524341">
        <w:tc>
          <w:tcPr>
            <w:tcW w:w="3539" w:type="dxa"/>
          </w:tcPr>
          <w:p w14:paraId="4624F66D" w14:textId="479B6250" w:rsidR="005A1452" w:rsidRPr="00524341" w:rsidRDefault="005A1452" w:rsidP="005A1452">
            <w:pPr>
              <w:rPr>
                <w:rFonts w:cstheme="minorHAnsi"/>
                <w:b/>
                <w:bCs/>
              </w:rPr>
            </w:pPr>
            <w:r w:rsidRPr="00524341">
              <w:rPr>
                <w:rFonts w:cstheme="minorHAnsi"/>
                <w:b/>
                <w:bCs/>
              </w:rPr>
              <w:t>Offences punishable by the death penalty in Egypt</w:t>
            </w:r>
          </w:p>
        </w:tc>
        <w:tc>
          <w:tcPr>
            <w:tcW w:w="5477" w:type="dxa"/>
          </w:tcPr>
          <w:p w14:paraId="45BA710C" w14:textId="77777777" w:rsidR="005A1452" w:rsidRPr="00524341" w:rsidRDefault="005A1452" w:rsidP="008905A5">
            <w:pPr>
              <w:rPr>
                <w:rStyle w:val="A8"/>
                <w:rFonts w:asciiTheme="minorHAnsi" w:hAnsiTheme="minorHAnsi" w:cstheme="minorHAnsi"/>
                <w:color w:val="auto"/>
              </w:rPr>
            </w:pPr>
            <w:r w:rsidRPr="00524341">
              <w:rPr>
                <w:rFonts w:cstheme="minorHAnsi"/>
                <w:b/>
                <w:bCs/>
                <w:i/>
                <w:iCs/>
              </w:rPr>
              <w:t>1</w:t>
            </w:r>
            <w:r w:rsidRPr="00524341">
              <w:rPr>
                <w:rStyle w:val="A8"/>
                <w:rFonts w:asciiTheme="minorHAnsi" w:hAnsiTheme="minorHAnsi" w:cstheme="minorHAnsi"/>
                <w:color w:val="auto"/>
              </w:rPr>
              <w:t>04 offences are punishable by death under Egyptian law.</w:t>
            </w:r>
            <w:r w:rsidR="00B46479" w:rsidRPr="00524341">
              <w:rPr>
                <w:rStyle w:val="FootnoteReference"/>
                <w:rFonts w:cstheme="minorHAnsi"/>
              </w:rPr>
              <w:footnoteReference w:id="5"/>
            </w:r>
            <w:r w:rsidR="00B46479" w:rsidRPr="00524341">
              <w:rPr>
                <w:rStyle w:val="A8"/>
                <w:rFonts w:asciiTheme="minorHAnsi" w:hAnsiTheme="minorHAnsi" w:cstheme="minorHAnsi"/>
                <w:color w:val="auto"/>
              </w:rPr>
              <w:t xml:space="preserve"> </w:t>
            </w:r>
            <w:r w:rsidRPr="00524341">
              <w:rPr>
                <w:rStyle w:val="A8"/>
                <w:rFonts w:asciiTheme="minorHAnsi" w:hAnsiTheme="minorHAnsi" w:cstheme="minorHAnsi"/>
                <w:color w:val="auto"/>
              </w:rPr>
              <w:t>Set out in the Penal Code,</w:t>
            </w:r>
            <w:r w:rsidR="00B46479" w:rsidRPr="00524341">
              <w:rPr>
                <w:rStyle w:val="A8"/>
                <w:rFonts w:asciiTheme="minorHAnsi" w:hAnsiTheme="minorHAnsi" w:cstheme="minorHAnsi"/>
                <w:color w:val="auto"/>
              </w:rPr>
              <w:t xml:space="preserve"> </w:t>
            </w:r>
            <w:r w:rsidRPr="00524341">
              <w:rPr>
                <w:rStyle w:val="A8"/>
                <w:rFonts w:asciiTheme="minorHAnsi" w:hAnsiTheme="minorHAnsi" w:cstheme="minorHAnsi"/>
                <w:color w:val="auto"/>
              </w:rPr>
              <w:t>Counterterrorism Law,</w:t>
            </w:r>
            <w:r w:rsidR="00B46479" w:rsidRPr="00524341">
              <w:rPr>
                <w:rStyle w:val="A8"/>
                <w:rFonts w:asciiTheme="minorHAnsi" w:hAnsiTheme="minorHAnsi" w:cstheme="minorHAnsi"/>
                <w:color w:val="auto"/>
              </w:rPr>
              <w:t xml:space="preserve"> </w:t>
            </w:r>
            <w:r w:rsidRPr="00524341">
              <w:rPr>
                <w:rStyle w:val="A8"/>
                <w:rFonts w:asciiTheme="minorHAnsi" w:hAnsiTheme="minorHAnsi" w:cstheme="minorHAnsi"/>
                <w:color w:val="auto"/>
              </w:rPr>
              <w:t>Military Judiciary Law,</w:t>
            </w:r>
            <w:r w:rsidR="00B46479" w:rsidRPr="00524341">
              <w:rPr>
                <w:rStyle w:val="A8"/>
                <w:rFonts w:asciiTheme="minorHAnsi" w:hAnsiTheme="minorHAnsi" w:cstheme="minorHAnsi"/>
                <w:color w:val="auto"/>
              </w:rPr>
              <w:t xml:space="preserve"> </w:t>
            </w:r>
            <w:r w:rsidRPr="00524341">
              <w:rPr>
                <w:rStyle w:val="A8"/>
                <w:rFonts w:asciiTheme="minorHAnsi" w:hAnsiTheme="minorHAnsi" w:cstheme="minorHAnsi"/>
                <w:color w:val="auto"/>
              </w:rPr>
              <w:t xml:space="preserve">and Anti-Narcotics </w:t>
            </w:r>
            <w:r w:rsidR="00B46479" w:rsidRPr="00524341">
              <w:rPr>
                <w:rStyle w:val="A8"/>
                <w:rFonts w:asciiTheme="minorHAnsi" w:hAnsiTheme="minorHAnsi" w:cstheme="minorHAnsi"/>
                <w:color w:val="auto"/>
              </w:rPr>
              <w:t>Law, these</w:t>
            </w:r>
            <w:r w:rsidRPr="00524341">
              <w:rPr>
                <w:rStyle w:val="A8"/>
                <w:rFonts w:asciiTheme="minorHAnsi" w:hAnsiTheme="minorHAnsi" w:cstheme="minorHAnsi"/>
                <w:color w:val="auto"/>
              </w:rPr>
              <w:t xml:space="preserve"> crimes include a number of non-lethal offences, </w:t>
            </w:r>
            <w:r w:rsidR="00B46479" w:rsidRPr="00524341">
              <w:rPr>
                <w:rStyle w:val="A8"/>
                <w:rFonts w:asciiTheme="minorHAnsi" w:hAnsiTheme="minorHAnsi" w:cstheme="minorHAnsi"/>
                <w:color w:val="auto"/>
              </w:rPr>
              <w:t>a</w:t>
            </w:r>
            <w:r w:rsidR="00B46479" w:rsidRPr="00524341">
              <w:rPr>
                <w:rStyle w:val="A8"/>
              </w:rPr>
              <w:t>s well as</w:t>
            </w:r>
            <w:r w:rsidRPr="00524341">
              <w:rPr>
                <w:rStyle w:val="A8"/>
                <w:rFonts w:asciiTheme="minorHAnsi" w:hAnsiTheme="minorHAnsi" w:cstheme="minorHAnsi"/>
                <w:color w:val="auto"/>
              </w:rPr>
              <w:t xml:space="preserve"> a wide and vaguely defined range of terrorism-related offences that expose people to the death penalty for perceived opposition to the current regime.</w:t>
            </w:r>
            <w:r w:rsidR="00B46479" w:rsidRPr="00524341">
              <w:rPr>
                <w:rStyle w:val="FootnoteReference"/>
                <w:rFonts w:cstheme="minorHAnsi"/>
              </w:rPr>
              <w:footnoteReference w:id="6"/>
            </w:r>
          </w:p>
          <w:p w14:paraId="130E8798" w14:textId="2B18F21C" w:rsidR="00524341" w:rsidRPr="00524341" w:rsidRDefault="00524341" w:rsidP="008905A5">
            <w:pPr>
              <w:rPr>
                <w:rFonts w:cstheme="minorHAnsi"/>
              </w:rPr>
            </w:pPr>
          </w:p>
        </w:tc>
      </w:tr>
      <w:tr w:rsidR="00C85341" w:rsidRPr="00524341" w14:paraId="020CD389" w14:textId="77777777" w:rsidTr="00524341">
        <w:tc>
          <w:tcPr>
            <w:tcW w:w="3539" w:type="dxa"/>
          </w:tcPr>
          <w:p w14:paraId="54F74D98" w14:textId="662384AE" w:rsidR="00C85341" w:rsidRPr="00524341" w:rsidRDefault="00C85341" w:rsidP="00C85341">
            <w:pPr>
              <w:rPr>
                <w:rFonts w:cstheme="minorHAnsi"/>
                <w:b/>
                <w:bCs/>
              </w:rPr>
            </w:pPr>
            <w:r w:rsidRPr="00524341">
              <w:rPr>
                <w:rFonts w:cstheme="minorHAnsi"/>
                <w:b/>
                <w:bCs/>
              </w:rPr>
              <w:t>Preliminary death sentence</w:t>
            </w:r>
          </w:p>
        </w:tc>
        <w:tc>
          <w:tcPr>
            <w:tcW w:w="5477" w:type="dxa"/>
          </w:tcPr>
          <w:p w14:paraId="4FE31CD0" w14:textId="77777777" w:rsidR="00C85341" w:rsidRPr="00524341" w:rsidRDefault="00C85341" w:rsidP="00C85341">
            <w:pPr>
              <w:rPr>
                <w:rStyle w:val="A8"/>
                <w:rFonts w:asciiTheme="minorHAnsi" w:hAnsiTheme="minorHAnsi" w:cstheme="minorHAnsi"/>
                <w:color w:val="auto"/>
              </w:rPr>
            </w:pPr>
            <w:r w:rsidRPr="00524341">
              <w:rPr>
                <w:rStyle w:val="A8"/>
                <w:rFonts w:asciiTheme="minorHAnsi" w:hAnsiTheme="minorHAnsi" w:cstheme="minorHAnsi"/>
                <w:color w:val="auto"/>
              </w:rPr>
              <w:t>When a defendant is sentenced to death in Egypt, they are first given a preliminary death sentence, and their case is referred to the Grand Mufti.</w:t>
            </w:r>
            <w:r w:rsidR="002A092D" w:rsidRPr="00524341">
              <w:rPr>
                <w:rStyle w:val="FootnoteReference"/>
                <w:rFonts w:cstheme="minorHAnsi"/>
              </w:rPr>
              <w:footnoteReference w:id="7"/>
            </w:r>
            <w:r w:rsidRPr="00524341">
              <w:rPr>
                <w:rStyle w:val="A10"/>
                <w:rFonts w:asciiTheme="minorHAnsi" w:hAnsiTheme="minorHAnsi" w:cstheme="minorHAnsi"/>
                <w:color w:val="auto"/>
                <w:sz w:val="22"/>
                <w:szCs w:val="22"/>
              </w:rPr>
              <w:t xml:space="preserve"> </w:t>
            </w:r>
            <w:r w:rsidRPr="00524341">
              <w:rPr>
                <w:rStyle w:val="A8"/>
                <w:rFonts w:asciiTheme="minorHAnsi" w:hAnsiTheme="minorHAnsi" w:cstheme="minorHAnsi"/>
                <w:color w:val="auto"/>
              </w:rPr>
              <w:t>The Grand Mufti is Egypt’s highest Islamic religious authority. His religious opinions, issued on various matters, are non-binding but influential. The Grand Mufti issues an opinion on each preliminary death sentence handed down in Egypt, including sentences imposed on non-Muslims. The trial judge then takes the opinion into consideration before confirming or commuting the death sentence.</w:t>
            </w:r>
          </w:p>
          <w:p w14:paraId="2E68B5A2" w14:textId="53EE4FFF" w:rsidR="00524341" w:rsidRPr="00524341" w:rsidRDefault="00524341" w:rsidP="00C85341">
            <w:pPr>
              <w:rPr>
                <w:rFonts w:cstheme="minorHAnsi"/>
              </w:rPr>
            </w:pPr>
          </w:p>
        </w:tc>
      </w:tr>
      <w:tr w:rsidR="00C85341" w:rsidRPr="00524341" w14:paraId="6B1C385A" w14:textId="77777777" w:rsidTr="00524341">
        <w:tc>
          <w:tcPr>
            <w:tcW w:w="3539" w:type="dxa"/>
          </w:tcPr>
          <w:p w14:paraId="183CA7B3" w14:textId="23204293" w:rsidR="00C85341" w:rsidRPr="00524341" w:rsidRDefault="00C85341" w:rsidP="00C85341">
            <w:pPr>
              <w:rPr>
                <w:rFonts w:cstheme="minorHAnsi"/>
                <w:b/>
                <w:bCs/>
              </w:rPr>
            </w:pPr>
            <w:r w:rsidRPr="00524341">
              <w:rPr>
                <w:rFonts w:cstheme="minorHAnsi"/>
                <w:b/>
                <w:bCs/>
              </w:rPr>
              <w:t>Protest Law</w:t>
            </w:r>
          </w:p>
          <w:p w14:paraId="27C90657" w14:textId="77777777" w:rsidR="005A1452" w:rsidRPr="00524341" w:rsidRDefault="005A1452" w:rsidP="005A1452">
            <w:pPr>
              <w:rPr>
                <w:rFonts w:cstheme="minorHAnsi"/>
                <w:b/>
                <w:bCs/>
              </w:rPr>
            </w:pPr>
          </w:p>
        </w:tc>
        <w:tc>
          <w:tcPr>
            <w:tcW w:w="5477" w:type="dxa"/>
          </w:tcPr>
          <w:p w14:paraId="66050EF8" w14:textId="37E98888" w:rsidR="005A1452" w:rsidRPr="00524341" w:rsidRDefault="00C85341" w:rsidP="00C85341">
            <w:pPr>
              <w:rPr>
                <w:rFonts w:cstheme="minorHAnsi"/>
              </w:rPr>
            </w:pPr>
            <w:r w:rsidRPr="00524341">
              <w:rPr>
                <w:rFonts w:cstheme="minorHAnsi"/>
              </w:rPr>
              <w:t xml:space="preserve">A law originally passed in 1923 and then replaced by the government of interim President </w:t>
            </w:r>
            <w:proofErr w:type="spellStart"/>
            <w:r w:rsidRPr="00524341">
              <w:rPr>
                <w:rFonts w:cstheme="minorHAnsi"/>
              </w:rPr>
              <w:t>Adly</w:t>
            </w:r>
            <w:proofErr w:type="spellEnd"/>
            <w:r w:rsidRPr="00524341">
              <w:rPr>
                <w:rFonts w:cstheme="minorHAnsi"/>
              </w:rPr>
              <w:t xml:space="preserve"> Mansour.</w:t>
            </w:r>
            <w:r w:rsidR="002A092D" w:rsidRPr="00524341">
              <w:rPr>
                <w:rStyle w:val="FootnoteReference"/>
                <w:rFonts w:cstheme="minorHAnsi"/>
              </w:rPr>
              <w:footnoteReference w:id="8"/>
            </w:r>
            <w:r w:rsidRPr="00524341">
              <w:rPr>
                <w:rStyle w:val="A10"/>
                <w:rFonts w:asciiTheme="minorHAnsi" w:hAnsiTheme="minorHAnsi" w:cstheme="minorHAnsi"/>
                <w:color w:val="auto"/>
                <w:sz w:val="22"/>
                <w:szCs w:val="22"/>
              </w:rPr>
              <w:t xml:space="preserve"> </w:t>
            </w:r>
            <w:r w:rsidRPr="00524341">
              <w:rPr>
                <w:rFonts w:cstheme="minorHAnsi"/>
              </w:rPr>
              <w:t>It was intended to complement the Assembly Law by prohibiting unlicensed gatherings of ten or more people in “public meetings” without notifying security forces and giving them the opportunity to limit or prohibit the gathering.</w:t>
            </w:r>
          </w:p>
        </w:tc>
      </w:tr>
    </w:tbl>
    <w:p w14:paraId="72270D41" w14:textId="77777777" w:rsidR="005A1452" w:rsidRPr="005A1452" w:rsidRDefault="005A1452" w:rsidP="005A1452"/>
    <w:p w14:paraId="0A35FF26" w14:textId="6E1ED9C4" w:rsidR="00CE0F02" w:rsidRDefault="00444D91" w:rsidP="00444D91">
      <w:r>
        <w:tab/>
      </w:r>
    </w:p>
    <w:p w14:paraId="3095251F" w14:textId="77777777" w:rsidR="00CE0F02" w:rsidRDefault="00CE0F02">
      <w:r>
        <w:br w:type="page"/>
      </w:r>
    </w:p>
    <w:p w14:paraId="17C7FC18" w14:textId="77777777" w:rsidR="00444D91" w:rsidRPr="00444D91" w:rsidRDefault="00444D91" w:rsidP="00444D91">
      <w:pPr>
        <w:rPr>
          <w:rFonts w:eastAsiaTheme="majorEastAsia" w:cstheme="majorBidi"/>
          <w:b/>
          <w:sz w:val="28"/>
          <w:szCs w:val="32"/>
        </w:rPr>
      </w:pPr>
    </w:p>
    <w:p w14:paraId="37B11DB0" w14:textId="527D1B98" w:rsidR="00B028CD" w:rsidRPr="00A85451" w:rsidRDefault="00A85451" w:rsidP="00CE0F02">
      <w:pPr>
        <w:pStyle w:val="Heading1"/>
        <w:numPr>
          <w:ilvl w:val="0"/>
          <w:numId w:val="22"/>
        </w:numPr>
        <w:spacing w:line="276" w:lineRule="auto"/>
      </w:pPr>
      <w:bookmarkStart w:id="1" w:name="_Toc139285162"/>
      <w:r w:rsidRPr="00A85451">
        <w:t>INTRODUCTION</w:t>
      </w:r>
      <w:bookmarkEnd w:id="1"/>
    </w:p>
    <w:p w14:paraId="20CCC986" w14:textId="77777777" w:rsidR="008E7ECB" w:rsidRPr="008E7ECB" w:rsidRDefault="008E7ECB" w:rsidP="0089596E">
      <w:pPr>
        <w:spacing w:line="276" w:lineRule="auto"/>
      </w:pPr>
    </w:p>
    <w:p w14:paraId="6B5BD253" w14:textId="5EA331C8" w:rsidR="00361900" w:rsidRPr="00EA2D66" w:rsidRDefault="00A85451" w:rsidP="0089596E">
      <w:pPr>
        <w:pStyle w:val="ListParagraph"/>
        <w:numPr>
          <w:ilvl w:val="0"/>
          <w:numId w:val="3"/>
        </w:numPr>
        <w:spacing w:line="276" w:lineRule="auto"/>
        <w:jc w:val="both"/>
        <w:rPr>
          <w:sz w:val="24"/>
          <w:szCs w:val="24"/>
        </w:rPr>
      </w:pPr>
      <w:r>
        <w:rPr>
          <w:sz w:val="24"/>
          <w:szCs w:val="24"/>
        </w:rPr>
        <w:t>This joint submission considers the Arab Republic of Egypt</w:t>
      </w:r>
      <w:r w:rsidR="00C76A6C">
        <w:rPr>
          <w:sz w:val="24"/>
          <w:szCs w:val="24"/>
        </w:rPr>
        <w:t>’s</w:t>
      </w:r>
      <w:r>
        <w:rPr>
          <w:sz w:val="24"/>
          <w:szCs w:val="24"/>
        </w:rPr>
        <w:t xml:space="preserve"> (</w:t>
      </w:r>
      <w:r w:rsidRPr="00C76A6C">
        <w:rPr>
          <w:b/>
          <w:bCs/>
          <w:sz w:val="24"/>
          <w:szCs w:val="24"/>
        </w:rPr>
        <w:t>Egypt</w:t>
      </w:r>
      <w:r>
        <w:rPr>
          <w:sz w:val="24"/>
          <w:szCs w:val="24"/>
        </w:rPr>
        <w:t>)</w:t>
      </w:r>
      <w:r w:rsidR="00C76A6C">
        <w:rPr>
          <w:sz w:val="24"/>
          <w:szCs w:val="24"/>
        </w:rPr>
        <w:t xml:space="preserve"> failure to comply with the</w:t>
      </w:r>
      <w:r w:rsidR="005A1452">
        <w:rPr>
          <w:sz w:val="24"/>
          <w:szCs w:val="24"/>
        </w:rPr>
        <w:t xml:space="preserve"> prohibition against the death penalty for children under </w:t>
      </w:r>
      <w:r w:rsidR="007570A2">
        <w:rPr>
          <w:sz w:val="24"/>
          <w:szCs w:val="24"/>
        </w:rPr>
        <w:t xml:space="preserve">Article </w:t>
      </w:r>
      <w:r w:rsidR="005A1452">
        <w:rPr>
          <w:sz w:val="24"/>
          <w:szCs w:val="24"/>
        </w:rPr>
        <w:t>37</w:t>
      </w:r>
      <w:r w:rsidR="00B50EBC">
        <w:rPr>
          <w:sz w:val="24"/>
          <w:szCs w:val="24"/>
        </w:rPr>
        <w:t xml:space="preserve"> of the Convention on the Rights of the Child</w:t>
      </w:r>
      <w:r>
        <w:rPr>
          <w:sz w:val="24"/>
          <w:szCs w:val="24"/>
        </w:rPr>
        <w:t xml:space="preserve">. </w:t>
      </w:r>
      <w:proofErr w:type="gramStart"/>
      <w:r>
        <w:rPr>
          <w:sz w:val="24"/>
          <w:szCs w:val="24"/>
        </w:rPr>
        <w:t>For the purpose of</w:t>
      </w:r>
      <w:proofErr w:type="gramEnd"/>
      <w:r>
        <w:rPr>
          <w:sz w:val="24"/>
          <w:szCs w:val="24"/>
        </w:rPr>
        <w:t xml:space="preserve"> this submission, child or children refers to </w:t>
      </w:r>
      <w:r w:rsidR="00B314CA">
        <w:rPr>
          <w:sz w:val="24"/>
          <w:szCs w:val="24"/>
        </w:rPr>
        <w:t>persons sentenced to death when they were under 18 or who were under 18 at the time of the alleged offence.</w:t>
      </w:r>
    </w:p>
    <w:p w14:paraId="3CA0A048" w14:textId="77777777" w:rsidR="00FD792E" w:rsidRPr="00EA2D66" w:rsidRDefault="00FD792E" w:rsidP="0089596E">
      <w:pPr>
        <w:pStyle w:val="ListParagraph"/>
        <w:spacing w:line="276" w:lineRule="auto"/>
        <w:jc w:val="both"/>
        <w:rPr>
          <w:sz w:val="24"/>
          <w:szCs w:val="24"/>
        </w:rPr>
      </w:pPr>
    </w:p>
    <w:p w14:paraId="7931B3CF" w14:textId="66E05F9C" w:rsidR="00B028CD" w:rsidRDefault="008905A5" w:rsidP="0089596E">
      <w:pPr>
        <w:pStyle w:val="ListParagraph"/>
        <w:numPr>
          <w:ilvl w:val="0"/>
          <w:numId w:val="3"/>
        </w:numPr>
        <w:spacing w:line="276" w:lineRule="auto"/>
        <w:jc w:val="both"/>
        <w:rPr>
          <w:sz w:val="24"/>
          <w:szCs w:val="24"/>
        </w:rPr>
      </w:pPr>
      <w:r>
        <w:rPr>
          <w:sz w:val="24"/>
          <w:szCs w:val="24"/>
        </w:rPr>
        <w:t xml:space="preserve">Since </w:t>
      </w:r>
      <w:r w:rsidR="00B50EBC">
        <w:rPr>
          <w:sz w:val="24"/>
          <w:szCs w:val="24"/>
        </w:rPr>
        <w:t xml:space="preserve">Abdel Fattah el-Sisi’s regime took power in 2013, a record number of death sentences have been imposed, and executions carried out. Between 2018 and 2020, </w:t>
      </w:r>
      <w:r w:rsidR="00B50EBC" w:rsidRPr="00B50EBC">
        <w:rPr>
          <w:sz w:val="24"/>
          <w:szCs w:val="24"/>
        </w:rPr>
        <w:t>Egypt’s criminal courts imposed at least 1,019 preliminary death sentences</w:t>
      </w:r>
      <w:r w:rsidR="00B50EBC">
        <w:rPr>
          <w:sz w:val="24"/>
          <w:szCs w:val="24"/>
        </w:rPr>
        <w:t>.</w:t>
      </w:r>
      <w:r w:rsidR="00444D91">
        <w:rPr>
          <w:rStyle w:val="FootnoteReference"/>
          <w:sz w:val="24"/>
          <w:szCs w:val="24"/>
        </w:rPr>
        <w:footnoteReference w:id="9"/>
      </w:r>
      <w:r w:rsidR="00002BCF">
        <w:rPr>
          <w:sz w:val="24"/>
          <w:szCs w:val="24"/>
        </w:rPr>
        <w:t xml:space="preserve"> </w:t>
      </w:r>
      <w:r w:rsidR="002D2DC9">
        <w:rPr>
          <w:sz w:val="24"/>
          <w:szCs w:val="24"/>
        </w:rPr>
        <w:t>The deadliest year recorded for executions was 2020, with 152 executions</w:t>
      </w:r>
      <w:r w:rsidR="00444D91">
        <w:rPr>
          <w:sz w:val="24"/>
          <w:szCs w:val="24"/>
        </w:rPr>
        <w:t>,</w:t>
      </w:r>
      <w:r w:rsidR="00444D91">
        <w:rPr>
          <w:rStyle w:val="FootnoteReference"/>
          <w:sz w:val="24"/>
          <w:szCs w:val="24"/>
        </w:rPr>
        <w:footnoteReference w:id="10"/>
      </w:r>
      <w:r w:rsidR="00444D91">
        <w:rPr>
          <w:sz w:val="24"/>
          <w:szCs w:val="24"/>
        </w:rPr>
        <w:t xml:space="preserve"> followed by 2021 with at least 83 executions.</w:t>
      </w:r>
      <w:r w:rsidR="00444D91">
        <w:rPr>
          <w:rStyle w:val="FootnoteReference"/>
          <w:sz w:val="24"/>
          <w:szCs w:val="24"/>
        </w:rPr>
        <w:footnoteReference w:id="11"/>
      </w:r>
    </w:p>
    <w:p w14:paraId="4229B38B" w14:textId="77777777" w:rsidR="00B50EBC" w:rsidRPr="00B50EBC" w:rsidRDefault="00B50EBC" w:rsidP="0089596E">
      <w:pPr>
        <w:pStyle w:val="ListParagraph"/>
        <w:spacing w:line="276" w:lineRule="auto"/>
        <w:rPr>
          <w:sz w:val="24"/>
          <w:szCs w:val="24"/>
        </w:rPr>
      </w:pPr>
    </w:p>
    <w:p w14:paraId="3EE71552" w14:textId="26EDF50D" w:rsidR="00B50EBC" w:rsidRPr="00B314CA" w:rsidRDefault="00B50EBC" w:rsidP="0089596E">
      <w:pPr>
        <w:pStyle w:val="ListParagraph"/>
        <w:numPr>
          <w:ilvl w:val="0"/>
          <w:numId w:val="3"/>
        </w:numPr>
        <w:spacing w:line="276" w:lineRule="auto"/>
        <w:jc w:val="both"/>
        <w:rPr>
          <w:sz w:val="24"/>
          <w:szCs w:val="24"/>
        </w:rPr>
      </w:pPr>
      <w:r>
        <w:rPr>
          <w:sz w:val="24"/>
          <w:szCs w:val="24"/>
        </w:rPr>
        <w:t>The significant increase in death sentences</w:t>
      </w:r>
      <w:r w:rsidR="002D2DC9">
        <w:rPr>
          <w:sz w:val="24"/>
          <w:szCs w:val="24"/>
        </w:rPr>
        <w:t xml:space="preserve"> and executions</w:t>
      </w:r>
      <w:r>
        <w:rPr>
          <w:sz w:val="24"/>
          <w:szCs w:val="24"/>
        </w:rPr>
        <w:t xml:space="preserve"> stems from Egypt’s use of mass trials</w:t>
      </w:r>
      <w:r w:rsidR="007570A2">
        <w:rPr>
          <w:sz w:val="24"/>
          <w:szCs w:val="24"/>
        </w:rPr>
        <w:t xml:space="preserve"> in the years following 2013</w:t>
      </w:r>
      <w:r>
        <w:rPr>
          <w:sz w:val="24"/>
          <w:szCs w:val="24"/>
        </w:rPr>
        <w:t>,</w:t>
      </w:r>
      <w:r w:rsidR="00A17BC8">
        <w:rPr>
          <w:sz w:val="24"/>
          <w:szCs w:val="24"/>
        </w:rPr>
        <w:t xml:space="preserve"> facilitated by the Assembly Law and Protest Law</w:t>
      </w:r>
      <w:r w:rsidR="00B314CA">
        <w:rPr>
          <w:sz w:val="24"/>
          <w:szCs w:val="24"/>
        </w:rPr>
        <w:t xml:space="preserve">, </w:t>
      </w:r>
      <w:r w:rsidRPr="00B314CA">
        <w:rPr>
          <w:sz w:val="24"/>
          <w:szCs w:val="24"/>
        </w:rPr>
        <w:t>where</w:t>
      </w:r>
      <w:r w:rsidR="0002427B">
        <w:rPr>
          <w:sz w:val="24"/>
          <w:szCs w:val="24"/>
        </w:rPr>
        <w:t xml:space="preserve"> </w:t>
      </w:r>
      <w:r w:rsidR="002D2DC9">
        <w:rPr>
          <w:sz w:val="24"/>
          <w:szCs w:val="24"/>
        </w:rPr>
        <w:t xml:space="preserve">often </w:t>
      </w:r>
      <w:r w:rsidRPr="00B314CA">
        <w:rPr>
          <w:sz w:val="24"/>
          <w:szCs w:val="24"/>
        </w:rPr>
        <w:t>hundreds are tried</w:t>
      </w:r>
      <w:r w:rsidR="00C76A6C" w:rsidRPr="00B314CA">
        <w:rPr>
          <w:sz w:val="24"/>
          <w:szCs w:val="24"/>
        </w:rPr>
        <w:t xml:space="preserve"> at once </w:t>
      </w:r>
      <w:r w:rsidR="00A17BC8" w:rsidRPr="00B314CA">
        <w:rPr>
          <w:sz w:val="24"/>
          <w:szCs w:val="24"/>
        </w:rPr>
        <w:t>with</w:t>
      </w:r>
      <w:r w:rsidR="00C76A6C" w:rsidRPr="00B314CA">
        <w:rPr>
          <w:sz w:val="24"/>
          <w:szCs w:val="24"/>
        </w:rPr>
        <w:t xml:space="preserve"> complete disregard for due process, the right to a fair trial,</w:t>
      </w:r>
      <w:r w:rsidR="00A17BC8" w:rsidRPr="00B314CA">
        <w:rPr>
          <w:sz w:val="24"/>
          <w:szCs w:val="24"/>
        </w:rPr>
        <w:t xml:space="preserve"> and significantly, the right to mount an individual defence.</w:t>
      </w:r>
      <w:r w:rsidR="00A3078A">
        <w:rPr>
          <w:rStyle w:val="FootnoteReference"/>
          <w:sz w:val="24"/>
          <w:szCs w:val="24"/>
        </w:rPr>
        <w:footnoteReference w:id="12"/>
      </w:r>
      <w:r w:rsidR="00A17BC8" w:rsidRPr="00B314CA">
        <w:rPr>
          <w:sz w:val="24"/>
          <w:szCs w:val="24"/>
        </w:rPr>
        <w:t xml:space="preserve"> </w:t>
      </w:r>
    </w:p>
    <w:p w14:paraId="4B81B356" w14:textId="77777777" w:rsidR="00C76A6C" w:rsidRPr="00C76A6C" w:rsidRDefault="00C76A6C" w:rsidP="0089596E">
      <w:pPr>
        <w:pStyle w:val="ListParagraph"/>
        <w:spacing w:line="276" w:lineRule="auto"/>
        <w:rPr>
          <w:sz w:val="24"/>
          <w:szCs w:val="24"/>
        </w:rPr>
      </w:pPr>
    </w:p>
    <w:p w14:paraId="1A8F1532" w14:textId="24701A90" w:rsidR="00B314CA" w:rsidRDefault="00A17BC8" w:rsidP="0089596E">
      <w:pPr>
        <w:pStyle w:val="ListParagraph"/>
        <w:numPr>
          <w:ilvl w:val="0"/>
          <w:numId w:val="3"/>
        </w:numPr>
        <w:spacing w:line="276" w:lineRule="auto"/>
        <w:jc w:val="both"/>
        <w:rPr>
          <w:sz w:val="24"/>
          <w:szCs w:val="24"/>
        </w:rPr>
      </w:pPr>
      <w:r>
        <w:rPr>
          <w:sz w:val="24"/>
          <w:szCs w:val="24"/>
        </w:rPr>
        <w:t xml:space="preserve">It is within these mass trials that children are at particular risk of the death penalty. </w:t>
      </w:r>
      <w:r w:rsidR="00C76A6C">
        <w:rPr>
          <w:sz w:val="24"/>
          <w:szCs w:val="24"/>
        </w:rPr>
        <w:t>While the Child Law prohibits the death penalty for all persons under the age of 18 at the time of the offence, it also allows children</w:t>
      </w:r>
      <w:r>
        <w:rPr>
          <w:sz w:val="24"/>
          <w:szCs w:val="24"/>
        </w:rPr>
        <w:t xml:space="preserve"> aged between 16 and 17</w:t>
      </w:r>
      <w:r w:rsidR="00C76A6C">
        <w:rPr>
          <w:sz w:val="24"/>
          <w:szCs w:val="24"/>
        </w:rPr>
        <w:t xml:space="preserve"> alleged to have come into conflict with the law </w:t>
      </w:r>
      <w:r>
        <w:rPr>
          <w:sz w:val="24"/>
          <w:szCs w:val="24"/>
        </w:rPr>
        <w:t xml:space="preserve">alongside an adult co-defendant to be tried </w:t>
      </w:r>
      <w:r w:rsidR="0002427B">
        <w:rPr>
          <w:sz w:val="24"/>
          <w:szCs w:val="24"/>
        </w:rPr>
        <w:t>with them in</w:t>
      </w:r>
      <w:r>
        <w:rPr>
          <w:sz w:val="24"/>
          <w:szCs w:val="24"/>
        </w:rPr>
        <w:t xml:space="preserve"> adult courts.</w:t>
      </w:r>
      <w:r w:rsidR="00A3078A">
        <w:rPr>
          <w:rStyle w:val="FootnoteReference"/>
          <w:sz w:val="24"/>
          <w:szCs w:val="24"/>
        </w:rPr>
        <w:footnoteReference w:id="13"/>
      </w:r>
      <w:r>
        <w:rPr>
          <w:sz w:val="24"/>
          <w:szCs w:val="24"/>
        </w:rPr>
        <w:t xml:space="preserve"> </w:t>
      </w:r>
    </w:p>
    <w:p w14:paraId="7E2CDAF4" w14:textId="77777777" w:rsidR="00B314CA" w:rsidRPr="00B314CA" w:rsidRDefault="00B314CA" w:rsidP="0089596E">
      <w:pPr>
        <w:pStyle w:val="ListParagraph"/>
        <w:spacing w:line="276" w:lineRule="auto"/>
        <w:rPr>
          <w:rFonts w:cstheme="minorHAnsi"/>
          <w:sz w:val="24"/>
          <w:szCs w:val="24"/>
          <w:lang w:bidi="ar-EG"/>
        </w:rPr>
      </w:pPr>
    </w:p>
    <w:p w14:paraId="08BE0AEF" w14:textId="7EAA2AB2" w:rsidR="0002427B" w:rsidRPr="00A3078A" w:rsidRDefault="00A17BC8" w:rsidP="00A3078A">
      <w:pPr>
        <w:pStyle w:val="ListParagraph"/>
        <w:numPr>
          <w:ilvl w:val="0"/>
          <w:numId w:val="3"/>
        </w:numPr>
        <w:spacing w:after="0" w:line="276" w:lineRule="auto"/>
        <w:jc w:val="both"/>
        <w:rPr>
          <w:sz w:val="24"/>
          <w:szCs w:val="24"/>
        </w:rPr>
      </w:pPr>
      <w:r w:rsidRPr="00A3078A">
        <w:rPr>
          <w:rFonts w:cstheme="minorHAnsi"/>
          <w:sz w:val="24"/>
          <w:szCs w:val="24"/>
          <w:lang w:bidi="ar-EG"/>
        </w:rPr>
        <w:t>Th</w:t>
      </w:r>
      <w:r w:rsidR="00002BCF" w:rsidRPr="00A3078A">
        <w:rPr>
          <w:rFonts w:cstheme="minorHAnsi"/>
          <w:sz w:val="24"/>
          <w:szCs w:val="24"/>
          <w:lang w:bidi="ar-EG"/>
        </w:rPr>
        <w:t>is provision has</w:t>
      </w:r>
      <w:r w:rsidRPr="00A3078A">
        <w:rPr>
          <w:rFonts w:cstheme="minorHAnsi"/>
          <w:sz w:val="24"/>
          <w:szCs w:val="24"/>
          <w:lang w:bidi="ar-EG"/>
        </w:rPr>
        <w:t xml:space="preserve"> enabled Egyptian authorities to sweep </w:t>
      </w:r>
      <w:proofErr w:type="gramStart"/>
      <w:r w:rsidRPr="00A3078A">
        <w:rPr>
          <w:rFonts w:cstheme="minorHAnsi"/>
          <w:sz w:val="24"/>
          <w:szCs w:val="24"/>
          <w:lang w:bidi="ar-EG"/>
        </w:rPr>
        <w:t>a number of</w:t>
      </w:r>
      <w:proofErr w:type="gramEnd"/>
      <w:r w:rsidRPr="00A3078A">
        <w:rPr>
          <w:rFonts w:cstheme="minorHAnsi"/>
          <w:sz w:val="24"/>
          <w:szCs w:val="24"/>
          <w:lang w:bidi="ar-EG"/>
        </w:rPr>
        <w:t xml:space="preserve"> 16- and 17-year-olds into adult courts, where their status as children is seldom recognised</w:t>
      </w:r>
      <w:r w:rsidR="00B314CA" w:rsidRPr="00A3078A">
        <w:rPr>
          <w:rFonts w:cstheme="minorHAnsi"/>
          <w:sz w:val="24"/>
          <w:szCs w:val="24"/>
          <w:lang w:bidi="ar-EG"/>
        </w:rPr>
        <w:t>, even where official documents are provided to the court confirming their age</w:t>
      </w:r>
      <w:r w:rsidR="00A3078A">
        <w:rPr>
          <w:rFonts w:cstheme="minorHAnsi"/>
          <w:sz w:val="24"/>
          <w:szCs w:val="24"/>
          <w:lang w:bidi="ar-EG"/>
        </w:rPr>
        <w:t>, where they are not afforded special protection measures provided for in domestic or international law.</w:t>
      </w:r>
      <w:r w:rsidR="00A3078A">
        <w:rPr>
          <w:rStyle w:val="FootnoteReference"/>
          <w:rFonts w:cstheme="minorHAnsi"/>
          <w:sz w:val="24"/>
          <w:szCs w:val="24"/>
          <w:lang w:bidi="ar-EG"/>
        </w:rPr>
        <w:footnoteReference w:id="14"/>
      </w:r>
      <w:r w:rsidR="00A3078A">
        <w:rPr>
          <w:rFonts w:cstheme="minorHAnsi"/>
          <w:sz w:val="24"/>
          <w:szCs w:val="24"/>
          <w:lang w:bidi="ar-EG"/>
        </w:rPr>
        <w:t xml:space="preserve"> </w:t>
      </w:r>
    </w:p>
    <w:p w14:paraId="38E740E0" w14:textId="77777777" w:rsidR="00A3078A" w:rsidRPr="00A3078A" w:rsidRDefault="00A3078A" w:rsidP="00A3078A">
      <w:pPr>
        <w:pStyle w:val="ListParagraph"/>
        <w:spacing w:line="276" w:lineRule="auto"/>
        <w:rPr>
          <w:sz w:val="24"/>
          <w:szCs w:val="24"/>
        </w:rPr>
      </w:pPr>
    </w:p>
    <w:p w14:paraId="017E2D97" w14:textId="451D57B0" w:rsidR="00444D91" w:rsidRPr="00A3078A" w:rsidRDefault="00C76A6C" w:rsidP="00A3078A">
      <w:pPr>
        <w:pStyle w:val="ListParagraph"/>
        <w:numPr>
          <w:ilvl w:val="0"/>
          <w:numId w:val="3"/>
        </w:numPr>
        <w:spacing w:line="276" w:lineRule="auto"/>
        <w:jc w:val="both"/>
        <w:rPr>
          <w:sz w:val="24"/>
          <w:szCs w:val="24"/>
        </w:rPr>
      </w:pPr>
      <w:r w:rsidRPr="000D7683">
        <w:rPr>
          <w:rFonts w:cstheme="minorHAnsi"/>
          <w:sz w:val="24"/>
          <w:szCs w:val="24"/>
        </w:rPr>
        <w:t>Since 2011, Egypt</w:t>
      </w:r>
      <w:r w:rsidR="00A17BC8">
        <w:rPr>
          <w:rFonts w:cstheme="minorHAnsi"/>
          <w:sz w:val="24"/>
          <w:szCs w:val="24"/>
        </w:rPr>
        <w:t xml:space="preserve">ian courts have handed down </w:t>
      </w:r>
      <w:r w:rsidR="007570A2">
        <w:rPr>
          <w:rFonts w:cstheme="minorHAnsi"/>
          <w:sz w:val="24"/>
          <w:szCs w:val="24"/>
        </w:rPr>
        <w:t xml:space="preserve">at least </w:t>
      </w:r>
      <w:r w:rsidRPr="000D7683">
        <w:rPr>
          <w:rFonts w:cstheme="minorHAnsi"/>
          <w:sz w:val="24"/>
          <w:szCs w:val="24"/>
        </w:rPr>
        <w:t xml:space="preserve">17 preliminary death sentences </w:t>
      </w:r>
      <w:r w:rsidR="002D2DC9">
        <w:rPr>
          <w:rFonts w:cstheme="minorHAnsi"/>
          <w:sz w:val="24"/>
          <w:szCs w:val="24"/>
        </w:rPr>
        <w:t>to persons who were children at the time of the alleged offence</w:t>
      </w:r>
      <w:r w:rsidRPr="000D7683">
        <w:rPr>
          <w:rFonts w:cstheme="minorHAnsi"/>
          <w:sz w:val="24"/>
          <w:szCs w:val="24"/>
        </w:rPr>
        <w:t>.</w:t>
      </w:r>
      <w:r w:rsidR="00444D91">
        <w:rPr>
          <w:rStyle w:val="FootnoteReference"/>
          <w:rFonts w:cstheme="minorHAnsi"/>
          <w:sz w:val="24"/>
          <w:szCs w:val="24"/>
        </w:rPr>
        <w:footnoteReference w:id="15"/>
      </w:r>
      <w:r w:rsidRPr="000D7683">
        <w:rPr>
          <w:rFonts w:cstheme="minorHAnsi"/>
          <w:sz w:val="24"/>
          <w:szCs w:val="24"/>
        </w:rPr>
        <w:t xml:space="preserve"> </w:t>
      </w:r>
      <w:r w:rsidR="006A6058">
        <w:rPr>
          <w:rFonts w:cstheme="minorHAnsi"/>
          <w:sz w:val="24"/>
          <w:szCs w:val="24"/>
        </w:rPr>
        <w:t>Ten</w:t>
      </w:r>
      <w:r w:rsidRPr="000D7683">
        <w:rPr>
          <w:rFonts w:cstheme="minorHAnsi"/>
          <w:sz w:val="24"/>
          <w:szCs w:val="24"/>
        </w:rPr>
        <w:t xml:space="preserve"> remain on death row. </w:t>
      </w:r>
      <w:r w:rsidR="0002427B" w:rsidRPr="000D7683">
        <w:rPr>
          <w:rFonts w:cstheme="minorHAnsi"/>
          <w:sz w:val="24"/>
          <w:szCs w:val="24"/>
        </w:rPr>
        <w:t>Since the start of 2018, Egypt</w:t>
      </w:r>
      <w:r w:rsidR="00444D91">
        <w:rPr>
          <w:rFonts w:cstheme="minorHAnsi"/>
          <w:sz w:val="24"/>
          <w:szCs w:val="24"/>
        </w:rPr>
        <w:t>ian courts</w:t>
      </w:r>
      <w:r w:rsidR="0002427B" w:rsidRPr="000D7683">
        <w:rPr>
          <w:rFonts w:cstheme="minorHAnsi"/>
          <w:sz w:val="24"/>
          <w:szCs w:val="24"/>
        </w:rPr>
        <w:t xml:space="preserve"> </w:t>
      </w:r>
      <w:r w:rsidR="00444D91">
        <w:rPr>
          <w:rFonts w:cstheme="minorHAnsi"/>
          <w:sz w:val="24"/>
          <w:szCs w:val="24"/>
        </w:rPr>
        <w:t>have</w:t>
      </w:r>
      <w:r w:rsidR="0002427B" w:rsidRPr="000D7683">
        <w:rPr>
          <w:rFonts w:cstheme="minorHAnsi"/>
          <w:sz w:val="24"/>
          <w:szCs w:val="24"/>
        </w:rPr>
        <w:t xml:space="preserve"> handed down six death sentences to children.</w:t>
      </w:r>
      <w:r w:rsidR="00444D91">
        <w:rPr>
          <w:rStyle w:val="FootnoteReference"/>
          <w:rFonts w:cstheme="minorHAnsi"/>
          <w:sz w:val="24"/>
          <w:szCs w:val="24"/>
        </w:rPr>
        <w:footnoteReference w:id="16"/>
      </w:r>
      <w:r w:rsidR="0002427B">
        <w:rPr>
          <w:rFonts w:cstheme="minorHAnsi"/>
          <w:sz w:val="24"/>
          <w:szCs w:val="24"/>
        </w:rPr>
        <w:t xml:space="preserve"> These figures alone demonstrate that Egypt’s Child Law is not sufficiently robust to protect children from the death penalty.</w:t>
      </w:r>
    </w:p>
    <w:p w14:paraId="125530C2" w14:textId="77777777" w:rsidR="00A17BC8" w:rsidRPr="00A17BC8" w:rsidRDefault="00A17BC8" w:rsidP="0089596E">
      <w:pPr>
        <w:pStyle w:val="ListParagraph"/>
        <w:spacing w:line="276" w:lineRule="auto"/>
        <w:rPr>
          <w:rFonts w:cstheme="minorHAnsi"/>
          <w:sz w:val="24"/>
          <w:szCs w:val="24"/>
        </w:rPr>
      </w:pPr>
    </w:p>
    <w:p w14:paraId="14EFB865" w14:textId="5AADD8B9" w:rsidR="00C76A6C" w:rsidRPr="00C76A6C" w:rsidRDefault="0002427B" w:rsidP="0089596E">
      <w:pPr>
        <w:pStyle w:val="ListParagraph"/>
        <w:numPr>
          <w:ilvl w:val="0"/>
          <w:numId w:val="3"/>
        </w:numPr>
        <w:spacing w:line="276" w:lineRule="auto"/>
        <w:jc w:val="both"/>
        <w:rPr>
          <w:sz w:val="24"/>
          <w:szCs w:val="24"/>
        </w:rPr>
      </w:pPr>
      <w:r>
        <w:rPr>
          <w:rFonts w:cstheme="minorHAnsi"/>
          <w:sz w:val="24"/>
          <w:szCs w:val="24"/>
        </w:rPr>
        <w:t>While we</w:t>
      </w:r>
      <w:r w:rsidR="00C76A6C" w:rsidRPr="000D7683">
        <w:rPr>
          <w:rFonts w:cstheme="minorHAnsi"/>
          <w:sz w:val="24"/>
          <w:szCs w:val="24"/>
        </w:rPr>
        <w:t xml:space="preserve"> are not aware of Egypt carrying out the execution of a child to date</w:t>
      </w:r>
      <w:r w:rsidR="00002BCF">
        <w:rPr>
          <w:rFonts w:cstheme="minorHAnsi"/>
          <w:sz w:val="24"/>
          <w:szCs w:val="24"/>
        </w:rPr>
        <w:t>,</w:t>
      </w:r>
      <w:r w:rsidR="00B314CA">
        <w:rPr>
          <w:rFonts w:cstheme="minorHAnsi"/>
          <w:sz w:val="24"/>
          <w:szCs w:val="24"/>
        </w:rPr>
        <w:t xml:space="preserve"> the true scale of Egypt’s </w:t>
      </w:r>
      <w:r w:rsidR="00002BCF">
        <w:rPr>
          <w:rFonts w:cstheme="minorHAnsi"/>
          <w:sz w:val="24"/>
          <w:szCs w:val="24"/>
        </w:rPr>
        <w:t>application of the death penalty against children remains unknown</w:t>
      </w:r>
      <w:r w:rsidR="002D2DC9">
        <w:rPr>
          <w:rFonts w:cstheme="minorHAnsi"/>
          <w:sz w:val="24"/>
          <w:szCs w:val="24"/>
        </w:rPr>
        <w:t xml:space="preserve">; </w:t>
      </w:r>
      <w:r w:rsidR="00002BCF">
        <w:rPr>
          <w:rFonts w:cstheme="minorHAnsi"/>
          <w:sz w:val="24"/>
          <w:szCs w:val="24"/>
        </w:rPr>
        <w:t>Egypt has failed to provide disaggregated data of its death row</w:t>
      </w:r>
      <w:r w:rsidR="002D2DC9">
        <w:rPr>
          <w:rFonts w:cstheme="minorHAnsi"/>
          <w:sz w:val="24"/>
          <w:szCs w:val="24"/>
        </w:rPr>
        <w:t xml:space="preserve"> or persons executed, preventing public and international scrutiny of its use of the death penalty.</w:t>
      </w:r>
    </w:p>
    <w:p w14:paraId="02CBFB3F" w14:textId="77777777" w:rsidR="00B028CD" w:rsidRPr="00444D91" w:rsidRDefault="00B028CD" w:rsidP="0089596E">
      <w:pPr>
        <w:spacing w:line="276" w:lineRule="auto"/>
        <w:jc w:val="both"/>
        <w:rPr>
          <w:sz w:val="24"/>
          <w:szCs w:val="24"/>
        </w:rPr>
      </w:pPr>
    </w:p>
    <w:p w14:paraId="4C145B87" w14:textId="6C7A7E4C" w:rsidR="00C53FD8" w:rsidRPr="00A85451" w:rsidRDefault="00A85451" w:rsidP="00CE0F02">
      <w:pPr>
        <w:pStyle w:val="Heading1"/>
        <w:numPr>
          <w:ilvl w:val="0"/>
          <w:numId w:val="22"/>
        </w:numPr>
        <w:spacing w:line="276" w:lineRule="auto"/>
      </w:pPr>
      <w:bookmarkStart w:id="2" w:name="_Toc139285163"/>
      <w:r w:rsidRPr="00A85451">
        <w:t xml:space="preserve">THE RIGHT TO LIFE </w:t>
      </w:r>
      <w:r>
        <w:t xml:space="preserve">AND THE </w:t>
      </w:r>
      <w:r w:rsidR="00FC2337">
        <w:t>CHILD LAW</w:t>
      </w:r>
      <w:bookmarkEnd w:id="2"/>
    </w:p>
    <w:p w14:paraId="5A80C0B8" w14:textId="77777777" w:rsidR="00901F85" w:rsidRPr="00861311" w:rsidRDefault="00901F85" w:rsidP="00861311">
      <w:pPr>
        <w:spacing w:line="276" w:lineRule="auto"/>
        <w:jc w:val="both"/>
        <w:rPr>
          <w:sz w:val="24"/>
          <w:szCs w:val="24"/>
        </w:rPr>
      </w:pPr>
    </w:p>
    <w:p w14:paraId="752B9CC2" w14:textId="2AD186E0" w:rsidR="00F227BE" w:rsidRPr="00444D91" w:rsidRDefault="00363D12" w:rsidP="00F227BE">
      <w:pPr>
        <w:pStyle w:val="ListParagraph"/>
        <w:numPr>
          <w:ilvl w:val="0"/>
          <w:numId w:val="3"/>
        </w:numPr>
        <w:spacing w:after="0" w:line="276" w:lineRule="auto"/>
        <w:ind w:left="924" w:hanging="567"/>
        <w:jc w:val="both"/>
        <w:rPr>
          <w:sz w:val="24"/>
          <w:szCs w:val="24"/>
        </w:rPr>
      </w:pPr>
      <w:r>
        <w:rPr>
          <w:sz w:val="24"/>
          <w:szCs w:val="24"/>
        </w:rPr>
        <w:t xml:space="preserve">Article </w:t>
      </w:r>
      <w:r w:rsidR="00F07590">
        <w:rPr>
          <w:sz w:val="24"/>
          <w:szCs w:val="24"/>
        </w:rPr>
        <w:t xml:space="preserve">111 </w:t>
      </w:r>
      <w:r w:rsidR="00861311">
        <w:rPr>
          <w:sz w:val="24"/>
          <w:szCs w:val="24"/>
        </w:rPr>
        <w:t>of Egypt’s Child Law</w:t>
      </w:r>
      <w:r w:rsidR="00F105F3">
        <w:rPr>
          <w:sz w:val="24"/>
          <w:szCs w:val="24"/>
        </w:rPr>
        <w:t xml:space="preserve"> </w:t>
      </w:r>
      <w:r>
        <w:rPr>
          <w:sz w:val="24"/>
          <w:szCs w:val="24"/>
        </w:rPr>
        <w:t>prohibits</w:t>
      </w:r>
      <w:r w:rsidR="00F105F3">
        <w:rPr>
          <w:sz w:val="24"/>
          <w:szCs w:val="24"/>
        </w:rPr>
        <w:t xml:space="preserve"> the death penalty for all persons under the age of 18 at the time of the alleged offence</w:t>
      </w:r>
      <w:r>
        <w:rPr>
          <w:sz w:val="24"/>
          <w:szCs w:val="24"/>
        </w:rPr>
        <w:t>, life imprisonment and hard labour.</w:t>
      </w:r>
      <w:r w:rsidR="00FC2337">
        <w:rPr>
          <w:rStyle w:val="FootnoteReference"/>
          <w:sz w:val="24"/>
          <w:szCs w:val="24"/>
        </w:rPr>
        <w:footnoteReference w:id="17"/>
      </w:r>
      <w:r>
        <w:rPr>
          <w:sz w:val="24"/>
          <w:szCs w:val="24"/>
        </w:rPr>
        <w:t xml:space="preserve"> While this provision complies with Article 37(a) CRC by establishing that a child </w:t>
      </w:r>
      <w:r w:rsidR="0089596E">
        <w:rPr>
          <w:sz w:val="24"/>
          <w:szCs w:val="24"/>
        </w:rPr>
        <w:t>will be protected from the death penalty</w:t>
      </w:r>
      <w:r w:rsidR="006F4874">
        <w:rPr>
          <w:sz w:val="24"/>
          <w:szCs w:val="24"/>
        </w:rPr>
        <w:t xml:space="preserve"> based on their age at the time of the alleged offence, in practice, </w:t>
      </w:r>
      <w:r w:rsidR="00F227BE">
        <w:rPr>
          <w:rFonts w:cstheme="minorHAnsi"/>
          <w:sz w:val="24"/>
          <w:szCs w:val="24"/>
        </w:rPr>
        <w:t>data gathered by Reprieve demonstrates that Egypt’s Child Law is not sufficiently robust to protect children from the death penalty.</w:t>
      </w:r>
    </w:p>
    <w:p w14:paraId="230B1E12" w14:textId="77777777" w:rsidR="00F227BE" w:rsidRPr="00F227BE" w:rsidRDefault="00F227BE" w:rsidP="00F227BE">
      <w:pPr>
        <w:pStyle w:val="ListParagraph"/>
        <w:spacing w:line="276" w:lineRule="auto"/>
        <w:ind w:left="924"/>
        <w:jc w:val="both"/>
        <w:rPr>
          <w:sz w:val="24"/>
          <w:szCs w:val="24"/>
        </w:rPr>
      </w:pPr>
    </w:p>
    <w:p w14:paraId="660140F6" w14:textId="6C26A3EA" w:rsidR="00363D12" w:rsidRPr="00861311" w:rsidRDefault="00F227BE" w:rsidP="00861311">
      <w:pPr>
        <w:pStyle w:val="ListParagraph"/>
        <w:numPr>
          <w:ilvl w:val="0"/>
          <w:numId w:val="3"/>
        </w:numPr>
        <w:spacing w:line="276" w:lineRule="auto"/>
        <w:ind w:left="924" w:hanging="567"/>
        <w:jc w:val="both"/>
        <w:rPr>
          <w:sz w:val="24"/>
          <w:szCs w:val="24"/>
        </w:rPr>
      </w:pPr>
      <w:r w:rsidRPr="00F227BE">
        <w:rPr>
          <w:sz w:val="24"/>
          <w:szCs w:val="24"/>
        </w:rPr>
        <w:t>Since</w:t>
      </w:r>
      <w:r w:rsidRPr="000D7683">
        <w:rPr>
          <w:rFonts w:cstheme="minorHAnsi"/>
          <w:sz w:val="24"/>
          <w:szCs w:val="24"/>
        </w:rPr>
        <w:t xml:space="preserve"> 2011, Egypt</w:t>
      </w:r>
      <w:r>
        <w:rPr>
          <w:rFonts w:cstheme="minorHAnsi"/>
          <w:sz w:val="24"/>
          <w:szCs w:val="24"/>
        </w:rPr>
        <w:t xml:space="preserve">ian courts have handed down </w:t>
      </w:r>
      <w:r w:rsidR="007570A2">
        <w:rPr>
          <w:rFonts w:cstheme="minorHAnsi"/>
          <w:sz w:val="24"/>
          <w:szCs w:val="24"/>
        </w:rPr>
        <w:t xml:space="preserve">at least </w:t>
      </w:r>
      <w:r w:rsidR="005666AC">
        <w:rPr>
          <w:rFonts w:cstheme="minorHAnsi"/>
          <w:sz w:val="24"/>
          <w:szCs w:val="24"/>
        </w:rPr>
        <w:t xml:space="preserve">17 </w:t>
      </w:r>
      <w:r w:rsidRPr="000D7683">
        <w:rPr>
          <w:rFonts w:cstheme="minorHAnsi"/>
          <w:sz w:val="24"/>
          <w:szCs w:val="24"/>
        </w:rPr>
        <w:t xml:space="preserve">preliminary death sentences </w:t>
      </w:r>
      <w:r>
        <w:rPr>
          <w:rFonts w:cstheme="minorHAnsi"/>
          <w:sz w:val="24"/>
          <w:szCs w:val="24"/>
        </w:rPr>
        <w:t>to persons who were children at the time of the alleged offence</w:t>
      </w:r>
      <w:r w:rsidRPr="000D7683">
        <w:rPr>
          <w:rFonts w:cstheme="minorHAnsi"/>
          <w:sz w:val="24"/>
          <w:szCs w:val="24"/>
        </w:rPr>
        <w:t>.</w:t>
      </w:r>
      <w:r>
        <w:rPr>
          <w:rStyle w:val="FootnoteReference"/>
          <w:rFonts w:cstheme="minorHAnsi"/>
          <w:sz w:val="24"/>
          <w:szCs w:val="24"/>
        </w:rPr>
        <w:footnoteReference w:id="18"/>
      </w:r>
      <w:r w:rsidRPr="000D7683">
        <w:rPr>
          <w:rFonts w:cstheme="minorHAnsi"/>
          <w:sz w:val="24"/>
          <w:szCs w:val="24"/>
        </w:rPr>
        <w:t xml:space="preserve"> </w:t>
      </w:r>
      <w:r>
        <w:rPr>
          <w:rFonts w:cstheme="minorHAnsi"/>
          <w:sz w:val="24"/>
          <w:szCs w:val="24"/>
        </w:rPr>
        <w:t>Ten</w:t>
      </w:r>
      <w:r w:rsidRPr="000D7683">
        <w:rPr>
          <w:rFonts w:cstheme="minorHAnsi"/>
          <w:sz w:val="24"/>
          <w:szCs w:val="24"/>
        </w:rPr>
        <w:t xml:space="preserve"> remain on death row. Since the start of 2018, Egypt</w:t>
      </w:r>
      <w:r>
        <w:rPr>
          <w:rFonts w:cstheme="minorHAnsi"/>
          <w:sz w:val="24"/>
          <w:szCs w:val="24"/>
        </w:rPr>
        <w:t>ian courts</w:t>
      </w:r>
      <w:r w:rsidRPr="000D7683">
        <w:rPr>
          <w:rFonts w:cstheme="minorHAnsi"/>
          <w:sz w:val="24"/>
          <w:szCs w:val="24"/>
        </w:rPr>
        <w:t xml:space="preserve"> </w:t>
      </w:r>
      <w:r>
        <w:rPr>
          <w:rFonts w:cstheme="minorHAnsi"/>
          <w:sz w:val="24"/>
          <w:szCs w:val="24"/>
        </w:rPr>
        <w:t>have</w:t>
      </w:r>
      <w:r w:rsidRPr="000D7683">
        <w:rPr>
          <w:rFonts w:cstheme="minorHAnsi"/>
          <w:sz w:val="24"/>
          <w:szCs w:val="24"/>
        </w:rPr>
        <w:t xml:space="preserve"> handed down six death sentences to children.</w:t>
      </w:r>
      <w:r>
        <w:rPr>
          <w:rStyle w:val="FootnoteReference"/>
          <w:rFonts w:cstheme="minorHAnsi"/>
          <w:sz w:val="24"/>
          <w:szCs w:val="24"/>
        </w:rPr>
        <w:footnoteReference w:id="19"/>
      </w:r>
      <w:r>
        <w:rPr>
          <w:rFonts w:cstheme="minorHAnsi"/>
          <w:sz w:val="24"/>
          <w:szCs w:val="24"/>
        </w:rPr>
        <w:t xml:space="preserve"> </w:t>
      </w:r>
    </w:p>
    <w:p w14:paraId="403B09DE" w14:textId="77777777" w:rsidR="00861311" w:rsidRPr="00A3078A" w:rsidRDefault="00861311" w:rsidP="00A3078A">
      <w:pPr>
        <w:spacing w:line="276" w:lineRule="auto"/>
        <w:jc w:val="both"/>
        <w:rPr>
          <w:sz w:val="24"/>
          <w:szCs w:val="24"/>
        </w:rPr>
      </w:pPr>
    </w:p>
    <w:p w14:paraId="78346201" w14:textId="5C94CEF0" w:rsidR="00D10A44" w:rsidRDefault="00FC2337" w:rsidP="00861311">
      <w:pPr>
        <w:pStyle w:val="ListParagraph"/>
        <w:numPr>
          <w:ilvl w:val="0"/>
          <w:numId w:val="3"/>
        </w:numPr>
        <w:spacing w:line="276" w:lineRule="auto"/>
        <w:ind w:left="924" w:hanging="567"/>
        <w:jc w:val="both"/>
        <w:rPr>
          <w:sz w:val="24"/>
          <w:szCs w:val="24"/>
        </w:rPr>
      </w:pPr>
      <w:r>
        <w:rPr>
          <w:sz w:val="24"/>
          <w:szCs w:val="24"/>
        </w:rPr>
        <w:t xml:space="preserve">Egypt has stated that sufficient legal safeguards exist within the judicial system to </w:t>
      </w:r>
      <w:r w:rsidR="001A1245">
        <w:rPr>
          <w:sz w:val="24"/>
          <w:szCs w:val="24"/>
        </w:rPr>
        <w:t>protect children from the death penalty</w:t>
      </w:r>
      <w:r w:rsidR="00D10A44">
        <w:rPr>
          <w:sz w:val="24"/>
          <w:szCs w:val="24"/>
        </w:rPr>
        <w:t>,</w:t>
      </w:r>
      <w:r w:rsidR="001A1245">
        <w:rPr>
          <w:rStyle w:val="FootnoteReference"/>
          <w:sz w:val="24"/>
          <w:szCs w:val="24"/>
        </w:rPr>
        <w:footnoteReference w:id="20"/>
      </w:r>
      <w:r w:rsidR="00D10A44">
        <w:rPr>
          <w:sz w:val="24"/>
          <w:szCs w:val="24"/>
        </w:rPr>
        <w:t xml:space="preserve"> relying on Article 133 of the Child Law </w:t>
      </w:r>
      <w:r w:rsidR="00624C61">
        <w:rPr>
          <w:sz w:val="24"/>
          <w:szCs w:val="24"/>
        </w:rPr>
        <w:t>which provides:</w:t>
      </w:r>
    </w:p>
    <w:p w14:paraId="5520DFC0" w14:textId="77777777" w:rsidR="00624C61" w:rsidRDefault="00624C61" w:rsidP="00624C61">
      <w:pPr>
        <w:pStyle w:val="ListParagraph"/>
        <w:spacing w:line="276" w:lineRule="auto"/>
        <w:ind w:left="924"/>
        <w:jc w:val="both"/>
        <w:rPr>
          <w:sz w:val="24"/>
          <w:szCs w:val="24"/>
        </w:rPr>
      </w:pPr>
    </w:p>
    <w:p w14:paraId="34A0C369" w14:textId="64C1FFDD" w:rsidR="00B31B5E" w:rsidRDefault="00624C61" w:rsidP="00B31B5E">
      <w:pPr>
        <w:pStyle w:val="ListParagraph"/>
        <w:spacing w:line="276" w:lineRule="auto"/>
        <w:ind w:left="924"/>
        <w:jc w:val="both"/>
        <w:rPr>
          <w:rFonts w:cstheme="minorHAnsi"/>
          <w:sz w:val="24"/>
          <w:szCs w:val="24"/>
        </w:rPr>
      </w:pPr>
      <w:r w:rsidRPr="000D7683">
        <w:rPr>
          <w:rFonts w:cstheme="minorHAnsi"/>
          <w:sz w:val="24"/>
          <w:szCs w:val="24"/>
        </w:rPr>
        <w:t>“</w:t>
      </w:r>
      <w:r w:rsidRPr="000D7683">
        <w:rPr>
          <w:rFonts w:cstheme="minorHAnsi"/>
          <w:i/>
          <w:sz w:val="24"/>
          <w:szCs w:val="24"/>
        </w:rPr>
        <w:t xml:space="preserve">If a judgment is passed sentencing the accused, who was considered to be above the age of fifteen (15) years, then it was established through official documents that he has not reached that age, the lawyer shall raise the issue to the Court where the judgment was passed to reconsider its ruling according to the Law. If the sentence is pronounced against the accused, who </w:t>
      </w:r>
      <w:proofErr w:type="gramStart"/>
      <w:r w:rsidRPr="000D7683">
        <w:rPr>
          <w:rFonts w:cstheme="minorHAnsi"/>
          <w:i/>
          <w:sz w:val="24"/>
          <w:szCs w:val="24"/>
        </w:rPr>
        <w:t>was considered to be</w:t>
      </w:r>
      <w:proofErr w:type="gramEnd"/>
      <w:r w:rsidRPr="000D7683">
        <w:rPr>
          <w:rFonts w:cstheme="minorHAnsi"/>
          <w:i/>
          <w:sz w:val="24"/>
          <w:szCs w:val="24"/>
        </w:rPr>
        <w:t xml:space="preserve"> above the age of eighteen (18) years, then through official documents it is established that he has not reached that age, the Attorney General shall raise the matter to the Court where the ruling was passed to reconsider its judgment, and pronounce a ruling abolishing that judgment, along with referring the papers to the Public Prosecution for action</w:t>
      </w:r>
      <w:r w:rsidRPr="000D7683">
        <w:rPr>
          <w:rFonts w:cstheme="minorHAnsi"/>
          <w:sz w:val="24"/>
          <w:szCs w:val="24"/>
        </w:rPr>
        <w:t>.”</w:t>
      </w:r>
      <w:r w:rsidRPr="000D7683">
        <w:rPr>
          <w:rStyle w:val="FootnoteReference"/>
          <w:rFonts w:cstheme="minorHAnsi"/>
          <w:sz w:val="24"/>
          <w:szCs w:val="24"/>
        </w:rPr>
        <w:footnoteReference w:id="21"/>
      </w:r>
    </w:p>
    <w:p w14:paraId="66CC6DE7" w14:textId="77777777" w:rsidR="00B31B5E" w:rsidRPr="00B31B5E" w:rsidRDefault="00B31B5E" w:rsidP="00B31B5E">
      <w:pPr>
        <w:spacing w:line="276" w:lineRule="auto"/>
        <w:jc w:val="both"/>
        <w:rPr>
          <w:rFonts w:cstheme="minorHAnsi"/>
          <w:sz w:val="24"/>
          <w:szCs w:val="24"/>
        </w:rPr>
      </w:pPr>
    </w:p>
    <w:p w14:paraId="4B9B3F0A" w14:textId="7DAC926A" w:rsidR="001A1245" w:rsidRPr="000D7683" w:rsidRDefault="00861311" w:rsidP="008F3E11">
      <w:pPr>
        <w:pStyle w:val="ListParagraph"/>
        <w:numPr>
          <w:ilvl w:val="0"/>
          <w:numId w:val="3"/>
        </w:numPr>
        <w:spacing w:line="276" w:lineRule="auto"/>
        <w:jc w:val="both"/>
        <w:rPr>
          <w:rFonts w:cstheme="minorHAnsi"/>
          <w:sz w:val="24"/>
          <w:szCs w:val="24"/>
        </w:rPr>
      </w:pPr>
      <w:r>
        <w:rPr>
          <w:sz w:val="24"/>
          <w:szCs w:val="24"/>
        </w:rPr>
        <w:t xml:space="preserve">This provision is reactive </w:t>
      </w:r>
      <w:r w:rsidR="00A3078A">
        <w:rPr>
          <w:sz w:val="24"/>
          <w:szCs w:val="24"/>
        </w:rPr>
        <w:t>rather than protective; c</w:t>
      </w:r>
      <w:r w:rsidR="006F4874">
        <w:rPr>
          <w:sz w:val="24"/>
          <w:szCs w:val="24"/>
        </w:rPr>
        <w:t xml:space="preserve">hildren are seldom promptly recognised until after a death sentence is handed down, despite arresting authorities knowing their age or lawyers presenting official documents </w:t>
      </w:r>
      <w:r w:rsidR="001A1245">
        <w:rPr>
          <w:sz w:val="24"/>
          <w:szCs w:val="24"/>
        </w:rPr>
        <w:t>confirm their client is a child</w:t>
      </w:r>
      <w:r>
        <w:rPr>
          <w:rFonts w:cstheme="minorHAnsi"/>
          <w:sz w:val="24"/>
          <w:szCs w:val="24"/>
        </w:rPr>
        <w:t xml:space="preserve"> at the trial court</w:t>
      </w:r>
      <w:r w:rsidR="00A3078A">
        <w:rPr>
          <w:rFonts w:cstheme="minorHAnsi"/>
          <w:sz w:val="24"/>
          <w:szCs w:val="24"/>
        </w:rPr>
        <w:t>.</w:t>
      </w:r>
      <w:r w:rsidR="00A3078A">
        <w:rPr>
          <w:rStyle w:val="FootnoteReference"/>
          <w:rFonts w:cstheme="minorHAnsi"/>
          <w:sz w:val="24"/>
          <w:szCs w:val="24"/>
        </w:rPr>
        <w:footnoteReference w:id="22"/>
      </w:r>
    </w:p>
    <w:p w14:paraId="64592988" w14:textId="1DCE4D68" w:rsidR="001A1245" w:rsidRDefault="001A1245" w:rsidP="001A1245">
      <w:pPr>
        <w:pStyle w:val="ListParagraph"/>
        <w:spacing w:line="276" w:lineRule="auto"/>
        <w:ind w:left="924"/>
        <w:jc w:val="both"/>
        <w:rPr>
          <w:sz w:val="24"/>
          <w:szCs w:val="24"/>
        </w:rPr>
      </w:pPr>
    </w:p>
    <w:p w14:paraId="5E30FF81" w14:textId="4330079B" w:rsidR="000F0D0B" w:rsidRPr="00444D91" w:rsidRDefault="001A1245" w:rsidP="008F3E11">
      <w:pPr>
        <w:pStyle w:val="ListParagraph"/>
        <w:numPr>
          <w:ilvl w:val="0"/>
          <w:numId w:val="3"/>
        </w:numPr>
        <w:spacing w:line="276" w:lineRule="auto"/>
        <w:jc w:val="both"/>
        <w:rPr>
          <w:sz w:val="24"/>
          <w:szCs w:val="24"/>
        </w:rPr>
      </w:pPr>
      <w:r>
        <w:rPr>
          <w:sz w:val="24"/>
          <w:szCs w:val="24"/>
        </w:rPr>
        <w:t xml:space="preserve">Children </w:t>
      </w:r>
      <w:r w:rsidR="00861311">
        <w:rPr>
          <w:sz w:val="24"/>
          <w:szCs w:val="24"/>
        </w:rPr>
        <w:t xml:space="preserve">sentenced to death are then </w:t>
      </w:r>
      <w:r>
        <w:rPr>
          <w:sz w:val="24"/>
          <w:szCs w:val="24"/>
        </w:rPr>
        <w:t xml:space="preserve">subjected to lengthy appeals before their age is recognised and a death sentence is commuted. </w:t>
      </w:r>
      <w:r w:rsidR="000F0D0B">
        <w:rPr>
          <w:sz w:val="24"/>
          <w:szCs w:val="24"/>
        </w:rPr>
        <w:t xml:space="preserve">As a result, </w:t>
      </w:r>
      <w:r w:rsidR="000F0D0B">
        <w:rPr>
          <w:rFonts w:cstheme="minorHAnsi"/>
          <w:sz w:val="24"/>
          <w:szCs w:val="24"/>
        </w:rPr>
        <w:t>children</w:t>
      </w:r>
      <w:r w:rsidR="000F0D0B" w:rsidRPr="000D7683">
        <w:rPr>
          <w:rFonts w:cstheme="minorHAnsi"/>
          <w:sz w:val="24"/>
          <w:szCs w:val="24"/>
        </w:rPr>
        <w:t xml:space="preserve"> lose years of their lives on death row</w:t>
      </w:r>
      <w:r w:rsidR="000F0D0B">
        <w:rPr>
          <w:rFonts w:cstheme="minorHAnsi"/>
          <w:sz w:val="24"/>
          <w:szCs w:val="24"/>
        </w:rPr>
        <w:t xml:space="preserve"> waiting for a decision</w:t>
      </w:r>
      <w:r w:rsidR="000F0D0B" w:rsidRPr="000D7683">
        <w:rPr>
          <w:rFonts w:cstheme="minorHAnsi"/>
          <w:sz w:val="24"/>
          <w:szCs w:val="24"/>
        </w:rPr>
        <w:t>.</w:t>
      </w:r>
      <w:r w:rsidR="00A3078A">
        <w:rPr>
          <w:rStyle w:val="FootnoteReference"/>
          <w:rFonts w:cstheme="minorHAnsi"/>
          <w:sz w:val="24"/>
          <w:szCs w:val="24"/>
        </w:rPr>
        <w:footnoteReference w:id="23"/>
      </w:r>
      <w:r w:rsidR="000F0D0B" w:rsidRPr="000D7683">
        <w:rPr>
          <w:rFonts w:cstheme="minorHAnsi"/>
          <w:sz w:val="24"/>
          <w:szCs w:val="24"/>
        </w:rPr>
        <w:t xml:space="preserve"> </w:t>
      </w:r>
      <w:r w:rsidR="000F0D0B">
        <w:rPr>
          <w:rFonts w:cstheme="minorHAnsi"/>
          <w:sz w:val="24"/>
          <w:szCs w:val="24"/>
        </w:rPr>
        <w:t>T</w:t>
      </w:r>
      <w:r w:rsidR="000F0D0B" w:rsidRPr="000D7683">
        <w:rPr>
          <w:rFonts w:cstheme="minorHAnsi"/>
          <w:sz w:val="24"/>
          <w:szCs w:val="24"/>
        </w:rPr>
        <w:t>hey are separated from their families, are often</w:t>
      </w:r>
      <w:r w:rsidR="000F0D0B">
        <w:rPr>
          <w:rFonts w:cstheme="minorHAnsi"/>
          <w:sz w:val="24"/>
          <w:szCs w:val="24"/>
        </w:rPr>
        <w:t xml:space="preserve"> victims of</w:t>
      </w:r>
      <w:r w:rsidR="000F0D0B" w:rsidRPr="000D7683">
        <w:rPr>
          <w:rFonts w:cstheme="minorHAnsi"/>
          <w:sz w:val="24"/>
          <w:szCs w:val="24"/>
        </w:rPr>
        <w:t xml:space="preserve"> torture, and </w:t>
      </w:r>
      <w:r w:rsidR="00495C9C">
        <w:rPr>
          <w:rFonts w:cstheme="minorHAnsi"/>
          <w:sz w:val="24"/>
          <w:szCs w:val="24"/>
        </w:rPr>
        <w:t>remain</w:t>
      </w:r>
      <w:r w:rsidR="000F0D0B" w:rsidRPr="000D7683">
        <w:rPr>
          <w:rFonts w:cstheme="minorHAnsi"/>
          <w:sz w:val="24"/>
          <w:szCs w:val="24"/>
        </w:rPr>
        <w:t xml:space="preserve"> in prison</w:t>
      </w:r>
      <w:r w:rsidR="000F0D0B">
        <w:rPr>
          <w:rFonts w:cstheme="minorHAnsi"/>
          <w:sz w:val="24"/>
          <w:szCs w:val="24"/>
        </w:rPr>
        <w:t xml:space="preserve"> in the belief that they may be executed</w:t>
      </w:r>
      <w:r w:rsidR="000F0D0B" w:rsidRPr="000D7683">
        <w:rPr>
          <w:rFonts w:cstheme="minorHAnsi"/>
          <w:sz w:val="24"/>
          <w:szCs w:val="24"/>
        </w:rPr>
        <w:t>. Their age and levels of mental development can also mean that they are even more susceptible to the lasting effects of trauma experienced on death row</w:t>
      </w:r>
      <w:r w:rsidR="000F0D0B">
        <w:rPr>
          <w:rFonts w:cstheme="minorHAnsi"/>
          <w:sz w:val="24"/>
          <w:szCs w:val="24"/>
        </w:rPr>
        <w:t>.</w:t>
      </w:r>
      <w:r w:rsidR="000F0D0B">
        <w:rPr>
          <w:rStyle w:val="FootnoteReference"/>
          <w:rFonts w:cstheme="minorHAnsi"/>
          <w:sz w:val="24"/>
          <w:szCs w:val="24"/>
        </w:rPr>
        <w:footnoteReference w:id="24"/>
      </w:r>
    </w:p>
    <w:p w14:paraId="1423FBA3" w14:textId="18C6CEEF" w:rsidR="006F4874" w:rsidRDefault="006F4874" w:rsidP="000F0D0B">
      <w:pPr>
        <w:pStyle w:val="ListParagraph"/>
        <w:spacing w:line="276" w:lineRule="auto"/>
        <w:ind w:left="924"/>
        <w:jc w:val="both"/>
        <w:rPr>
          <w:sz w:val="24"/>
          <w:szCs w:val="24"/>
        </w:rPr>
      </w:pPr>
    </w:p>
    <w:p w14:paraId="53845282" w14:textId="419BBFC0" w:rsidR="00C91FFA" w:rsidRPr="00CE0F02" w:rsidRDefault="00C91FFA" w:rsidP="00CE0F02">
      <w:pPr>
        <w:pStyle w:val="Heading2"/>
        <w:ind w:firstLine="360"/>
        <w:rPr>
          <w:szCs w:val="24"/>
        </w:rPr>
      </w:pPr>
      <w:bookmarkStart w:id="3" w:name="_Toc139285164"/>
      <w:r w:rsidRPr="00CE0F02">
        <w:rPr>
          <w:szCs w:val="24"/>
        </w:rPr>
        <w:t xml:space="preserve">Case study: </w:t>
      </w:r>
      <w:r w:rsidR="006D2897">
        <w:rPr>
          <w:szCs w:val="24"/>
        </w:rPr>
        <w:t>Ismail*</w:t>
      </w:r>
      <w:bookmarkEnd w:id="3"/>
    </w:p>
    <w:p w14:paraId="6429F8B4" w14:textId="77777777" w:rsidR="00CE0F02" w:rsidRPr="00CE0F02" w:rsidRDefault="00CE0F02" w:rsidP="00CE0F02">
      <w:pPr>
        <w:rPr>
          <w:sz w:val="24"/>
          <w:szCs w:val="24"/>
        </w:rPr>
      </w:pPr>
    </w:p>
    <w:p w14:paraId="165E15ED" w14:textId="5523AB16" w:rsidR="00C91FFA" w:rsidRPr="00CE0F02" w:rsidRDefault="006D2897" w:rsidP="00CE0F02">
      <w:pPr>
        <w:ind w:left="360"/>
        <w:jc w:val="both"/>
        <w:rPr>
          <w:sz w:val="24"/>
          <w:szCs w:val="24"/>
        </w:rPr>
      </w:pPr>
      <w:r>
        <w:rPr>
          <w:sz w:val="24"/>
          <w:szCs w:val="24"/>
        </w:rPr>
        <w:t>Ismail is from the Minya Governorate</w:t>
      </w:r>
      <w:r w:rsidR="00C91FFA" w:rsidRPr="00CE0F02">
        <w:rPr>
          <w:sz w:val="24"/>
          <w:szCs w:val="24"/>
        </w:rPr>
        <w:t>.</w:t>
      </w:r>
      <w:r w:rsidR="00A3078A">
        <w:rPr>
          <w:rStyle w:val="FootnoteReference"/>
          <w:sz w:val="24"/>
          <w:szCs w:val="24"/>
        </w:rPr>
        <w:footnoteReference w:id="25"/>
      </w:r>
      <w:r w:rsidR="00C91FFA" w:rsidRPr="00CE0F02">
        <w:rPr>
          <w:sz w:val="24"/>
          <w:szCs w:val="24"/>
        </w:rPr>
        <w:t xml:space="preserve"> </w:t>
      </w:r>
      <w:r w:rsidR="00E268F2" w:rsidRPr="00CE0F02">
        <w:rPr>
          <w:sz w:val="24"/>
          <w:szCs w:val="24"/>
        </w:rPr>
        <w:t xml:space="preserve">Egyptian authorities accused him of being involved in the storming of the </w:t>
      </w:r>
      <w:proofErr w:type="spellStart"/>
      <w:r w:rsidR="00E268F2" w:rsidRPr="00CE0F02">
        <w:rPr>
          <w:sz w:val="24"/>
          <w:szCs w:val="24"/>
        </w:rPr>
        <w:t>Mattay</w:t>
      </w:r>
      <w:proofErr w:type="spellEnd"/>
      <w:r w:rsidR="00E268F2" w:rsidRPr="00CE0F02">
        <w:rPr>
          <w:sz w:val="24"/>
          <w:szCs w:val="24"/>
        </w:rPr>
        <w:t xml:space="preserve"> Police Station o</w:t>
      </w:r>
      <w:r w:rsidR="00C91FFA" w:rsidRPr="00CE0F02">
        <w:rPr>
          <w:sz w:val="24"/>
          <w:szCs w:val="24"/>
        </w:rPr>
        <w:t xml:space="preserve">n 14 August 2013, </w:t>
      </w:r>
      <w:r w:rsidR="00E268F2" w:rsidRPr="00CE0F02">
        <w:rPr>
          <w:sz w:val="24"/>
          <w:szCs w:val="24"/>
        </w:rPr>
        <w:t>resulting in</w:t>
      </w:r>
      <w:r w:rsidR="00C91FFA" w:rsidRPr="00CE0F02">
        <w:rPr>
          <w:sz w:val="24"/>
          <w:szCs w:val="24"/>
        </w:rPr>
        <w:t xml:space="preserve"> killing </w:t>
      </w:r>
      <w:r w:rsidR="00E268F2" w:rsidRPr="00CE0F02">
        <w:rPr>
          <w:sz w:val="24"/>
          <w:szCs w:val="24"/>
        </w:rPr>
        <w:t xml:space="preserve">of a police colonel and injury to a police </w:t>
      </w:r>
      <w:r w:rsidR="00B31B5E" w:rsidRPr="00CE0F02">
        <w:rPr>
          <w:sz w:val="24"/>
          <w:szCs w:val="24"/>
        </w:rPr>
        <w:t>lieutenant.</w:t>
      </w:r>
      <w:r w:rsidR="00C91FFA" w:rsidRPr="00CE0F02">
        <w:rPr>
          <w:sz w:val="24"/>
          <w:szCs w:val="24"/>
        </w:rPr>
        <w:t xml:space="preserve"> At the time</w:t>
      </w:r>
      <w:r w:rsidR="00E268F2" w:rsidRPr="00CE0F02">
        <w:rPr>
          <w:sz w:val="24"/>
          <w:szCs w:val="24"/>
        </w:rPr>
        <w:t xml:space="preserve"> of the storming</w:t>
      </w:r>
      <w:r w:rsidR="00C91FFA" w:rsidRPr="00CE0F02">
        <w:rPr>
          <w:sz w:val="24"/>
          <w:szCs w:val="24"/>
        </w:rPr>
        <w:t xml:space="preserve">, </w:t>
      </w:r>
      <w:r>
        <w:rPr>
          <w:sz w:val="24"/>
          <w:szCs w:val="24"/>
        </w:rPr>
        <w:t>Ismail</w:t>
      </w:r>
      <w:r w:rsidRPr="00CE0F02">
        <w:rPr>
          <w:sz w:val="24"/>
          <w:szCs w:val="24"/>
        </w:rPr>
        <w:t xml:space="preserve"> </w:t>
      </w:r>
      <w:r w:rsidR="00C91FFA" w:rsidRPr="00CE0F02">
        <w:rPr>
          <w:sz w:val="24"/>
          <w:szCs w:val="24"/>
        </w:rPr>
        <w:t>was celebrating his cousin’s henna ceremony at his aunt’s house</w:t>
      </w:r>
      <w:r w:rsidR="00B31B5E" w:rsidRPr="00CE0F02">
        <w:rPr>
          <w:sz w:val="24"/>
          <w:szCs w:val="24"/>
        </w:rPr>
        <w:t xml:space="preserve">. </w:t>
      </w:r>
      <w:r w:rsidR="00C91FFA" w:rsidRPr="00CE0F02">
        <w:rPr>
          <w:sz w:val="24"/>
          <w:szCs w:val="24"/>
        </w:rPr>
        <w:t xml:space="preserve">He had just turned 17 years old. </w:t>
      </w:r>
    </w:p>
    <w:p w14:paraId="327BF0A0" w14:textId="11FD1D45" w:rsidR="00C91FFA" w:rsidRPr="00CE0F02" w:rsidRDefault="00C91FFA" w:rsidP="00CE0F02">
      <w:pPr>
        <w:ind w:left="360"/>
        <w:jc w:val="both"/>
        <w:rPr>
          <w:sz w:val="24"/>
          <w:szCs w:val="24"/>
        </w:rPr>
      </w:pPr>
      <w:r w:rsidRPr="00CE0F02">
        <w:rPr>
          <w:sz w:val="24"/>
          <w:szCs w:val="24"/>
        </w:rPr>
        <w:t xml:space="preserve">Six months later, in the middle of the night on 2 February 2014, 25 police officers entered </w:t>
      </w:r>
      <w:r w:rsidR="006D2897">
        <w:rPr>
          <w:sz w:val="24"/>
          <w:szCs w:val="24"/>
        </w:rPr>
        <w:t>Ismail</w:t>
      </w:r>
      <w:r w:rsidRPr="00CE0F02">
        <w:rPr>
          <w:sz w:val="24"/>
          <w:szCs w:val="24"/>
        </w:rPr>
        <w:t>’s family</w:t>
      </w:r>
      <w:r w:rsidR="00F3500C">
        <w:rPr>
          <w:sz w:val="24"/>
          <w:szCs w:val="24"/>
        </w:rPr>
        <w:t xml:space="preserve"> home</w:t>
      </w:r>
      <w:r w:rsidRPr="00CE0F02">
        <w:rPr>
          <w:sz w:val="24"/>
          <w:szCs w:val="24"/>
        </w:rPr>
        <w:t xml:space="preserve"> and arrested him</w:t>
      </w:r>
      <w:r w:rsidR="00B31B5E" w:rsidRPr="00CE0F02">
        <w:rPr>
          <w:sz w:val="24"/>
          <w:szCs w:val="24"/>
        </w:rPr>
        <w:t xml:space="preserve"> without a</w:t>
      </w:r>
      <w:r w:rsidRPr="00CE0F02">
        <w:rPr>
          <w:sz w:val="24"/>
          <w:szCs w:val="24"/>
        </w:rPr>
        <w:t xml:space="preserve"> warrant</w:t>
      </w:r>
      <w:r w:rsidR="00B31B5E" w:rsidRPr="00CE0F02">
        <w:rPr>
          <w:sz w:val="24"/>
          <w:szCs w:val="24"/>
        </w:rPr>
        <w:t xml:space="preserve">. </w:t>
      </w:r>
      <w:r w:rsidR="006D2897">
        <w:rPr>
          <w:sz w:val="24"/>
          <w:szCs w:val="24"/>
        </w:rPr>
        <w:t>Ismail</w:t>
      </w:r>
      <w:r w:rsidR="006D2897" w:rsidRPr="00CE0F02">
        <w:rPr>
          <w:sz w:val="24"/>
          <w:szCs w:val="24"/>
        </w:rPr>
        <w:t xml:space="preserve"> </w:t>
      </w:r>
      <w:r w:rsidRPr="00CE0F02">
        <w:rPr>
          <w:sz w:val="24"/>
          <w:szCs w:val="24"/>
        </w:rPr>
        <w:t xml:space="preserve">was held at the Minya Police Station for five days, and was then sent to the Minya Transfer Prison, where he was held in solitary confinement for more than six months. Egyptian authorities were aware of </w:t>
      </w:r>
      <w:r w:rsidR="006D2897">
        <w:rPr>
          <w:sz w:val="24"/>
          <w:szCs w:val="24"/>
        </w:rPr>
        <w:t>Ismail</w:t>
      </w:r>
      <w:r w:rsidRPr="00CE0F02">
        <w:rPr>
          <w:sz w:val="24"/>
          <w:szCs w:val="24"/>
        </w:rPr>
        <w:t>’s age</w:t>
      </w:r>
      <w:r w:rsidR="00F27271">
        <w:rPr>
          <w:sz w:val="24"/>
          <w:szCs w:val="24"/>
        </w:rPr>
        <w:t xml:space="preserve"> as evidenced by their decision</w:t>
      </w:r>
      <w:r w:rsidRPr="00CE0F02">
        <w:rPr>
          <w:sz w:val="24"/>
          <w:szCs w:val="24"/>
        </w:rPr>
        <w:t xml:space="preserve"> to separate him from adult prisoners, but </w:t>
      </w:r>
      <w:r w:rsidR="00F27271">
        <w:rPr>
          <w:sz w:val="24"/>
          <w:szCs w:val="24"/>
        </w:rPr>
        <w:t>despite this, they did not</w:t>
      </w:r>
      <w:r w:rsidRPr="00CE0F02">
        <w:rPr>
          <w:sz w:val="24"/>
          <w:szCs w:val="24"/>
        </w:rPr>
        <w:t xml:space="preserve"> </w:t>
      </w:r>
      <w:r w:rsidR="00F27271">
        <w:rPr>
          <w:sz w:val="24"/>
          <w:szCs w:val="24"/>
        </w:rPr>
        <w:t>protect his right to be tried as a child</w:t>
      </w:r>
      <w:r w:rsidRPr="00CE0F02">
        <w:rPr>
          <w:sz w:val="24"/>
          <w:szCs w:val="24"/>
        </w:rPr>
        <w:t xml:space="preserve">. </w:t>
      </w:r>
    </w:p>
    <w:p w14:paraId="57CB078F" w14:textId="0248C8D5" w:rsidR="00C91FFA" w:rsidRPr="00CE0F02" w:rsidRDefault="00C91FFA" w:rsidP="00CE0F02">
      <w:pPr>
        <w:ind w:left="360"/>
        <w:jc w:val="both"/>
        <w:rPr>
          <w:sz w:val="24"/>
          <w:szCs w:val="24"/>
        </w:rPr>
      </w:pPr>
      <w:r w:rsidRPr="00CE0F02">
        <w:rPr>
          <w:sz w:val="24"/>
          <w:szCs w:val="24"/>
        </w:rPr>
        <w:t xml:space="preserve">From 22 to 24 March 2014, </w:t>
      </w:r>
      <w:r w:rsidR="006D2897">
        <w:rPr>
          <w:sz w:val="24"/>
          <w:szCs w:val="24"/>
        </w:rPr>
        <w:t>Ismail’s</w:t>
      </w:r>
      <w:r w:rsidR="006D2897" w:rsidRPr="00CE0F02">
        <w:rPr>
          <w:sz w:val="24"/>
          <w:szCs w:val="24"/>
        </w:rPr>
        <w:t xml:space="preserve"> </w:t>
      </w:r>
      <w:r w:rsidRPr="00CE0F02">
        <w:rPr>
          <w:sz w:val="24"/>
          <w:szCs w:val="24"/>
        </w:rPr>
        <w:t>case was heard by the Minya Criminal Court as part of a mass trial alongside 544 adult defendants. All were charged with offences relating to the alleged murder</w:t>
      </w:r>
      <w:r w:rsidR="00F3500C">
        <w:rPr>
          <w:sz w:val="24"/>
          <w:szCs w:val="24"/>
        </w:rPr>
        <w:t xml:space="preserve"> of</w:t>
      </w:r>
      <w:r w:rsidRPr="00CE0F02">
        <w:rPr>
          <w:sz w:val="24"/>
          <w:szCs w:val="24"/>
        </w:rPr>
        <w:t xml:space="preserve"> </w:t>
      </w:r>
      <w:r w:rsidR="00B31B5E" w:rsidRPr="00CE0F02">
        <w:rPr>
          <w:sz w:val="24"/>
          <w:szCs w:val="24"/>
        </w:rPr>
        <w:t>the colonel</w:t>
      </w:r>
      <w:r w:rsidRPr="00CE0F02">
        <w:rPr>
          <w:sz w:val="24"/>
          <w:szCs w:val="24"/>
        </w:rPr>
        <w:t>, the attempted murder</w:t>
      </w:r>
      <w:r w:rsidR="00B31B5E" w:rsidRPr="00CE0F02">
        <w:rPr>
          <w:sz w:val="24"/>
          <w:szCs w:val="24"/>
        </w:rPr>
        <w:t xml:space="preserve"> </w:t>
      </w:r>
      <w:r w:rsidR="00143594" w:rsidRPr="00CE0F02">
        <w:rPr>
          <w:sz w:val="24"/>
          <w:szCs w:val="24"/>
        </w:rPr>
        <w:t xml:space="preserve">of </w:t>
      </w:r>
      <w:r w:rsidR="00B31B5E" w:rsidRPr="00CE0F02">
        <w:rPr>
          <w:sz w:val="24"/>
          <w:szCs w:val="24"/>
        </w:rPr>
        <w:t>the lieutenant</w:t>
      </w:r>
      <w:r w:rsidRPr="00CE0F02">
        <w:rPr>
          <w:sz w:val="24"/>
          <w:szCs w:val="24"/>
        </w:rPr>
        <w:t xml:space="preserve">, and related offences. </w:t>
      </w:r>
      <w:r w:rsidR="006D2897">
        <w:rPr>
          <w:sz w:val="24"/>
          <w:szCs w:val="24"/>
        </w:rPr>
        <w:t xml:space="preserve">Ismail </w:t>
      </w:r>
      <w:r w:rsidR="00495C9C">
        <w:rPr>
          <w:sz w:val="24"/>
          <w:szCs w:val="24"/>
        </w:rPr>
        <w:t xml:space="preserve">was </w:t>
      </w:r>
      <w:r w:rsidR="006D2897" w:rsidRPr="00CE0F02">
        <w:rPr>
          <w:sz w:val="24"/>
          <w:szCs w:val="24"/>
        </w:rPr>
        <w:t>not</w:t>
      </w:r>
      <w:r w:rsidRPr="00CE0F02">
        <w:rPr>
          <w:sz w:val="24"/>
          <w:szCs w:val="24"/>
        </w:rPr>
        <w:t xml:space="preserve"> charged </w:t>
      </w:r>
      <w:r w:rsidR="00B31B5E" w:rsidRPr="00CE0F02">
        <w:rPr>
          <w:sz w:val="24"/>
          <w:szCs w:val="24"/>
        </w:rPr>
        <w:t>with</w:t>
      </w:r>
      <w:r w:rsidRPr="00CE0F02">
        <w:rPr>
          <w:sz w:val="24"/>
          <w:szCs w:val="24"/>
        </w:rPr>
        <w:t xml:space="preserve"> murder but was charged with the attempted murder</w:t>
      </w:r>
      <w:r w:rsidR="00B31B5E" w:rsidRPr="00CE0F02">
        <w:rPr>
          <w:sz w:val="24"/>
          <w:szCs w:val="24"/>
        </w:rPr>
        <w:t>.</w:t>
      </w:r>
    </w:p>
    <w:p w14:paraId="22EDE632" w14:textId="48E289B2" w:rsidR="00C91FFA" w:rsidRPr="00CE0F02" w:rsidRDefault="006D2897" w:rsidP="00CE0F02">
      <w:pPr>
        <w:ind w:left="360"/>
        <w:jc w:val="both"/>
        <w:rPr>
          <w:sz w:val="24"/>
          <w:szCs w:val="24"/>
        </w:rPr>
      </w:pPr>
      <w:r>
        <w:rPr>
          <w:sz w:val="24"/>
          <w:szCs w:val="24"/>
        </w:rPr>
        <w:t xml:space="preserve">Ismail </w:t>
      </w:r>
      <w:r w:rsidRPr="00CE0F02">
        <w:rPr>
          <w:sz w:val="24"/>
          <w:szCs w:val="24"/>
        </w:rPr>
        <w:t>was</w:t>
      </w:r>
      <w:r w:rsidR="00C91FFA" w:rsidRPr="00CE0F02">
        <w:rPr>
          <w:sz w:val="24"/>
          <w:szCs w:val="24"/>
        </w:rPr>
        <w:t xml:space="preserve"> linked to alleged violence via the Assembly Law. The trial was rife with procedural irregularities and breaches of both domestic and international law.  Many defence lawyers were denied access to the courtroom and those who were able to enter the courtroom were prevented from arguing individual cases. </w:t>
      </w:r>
      <w:r>
        <w:rPr>
          <w:sz w:val="24"/>
          <w:szCs w:val="24"/>
        </w:rPr>
        <w:t xml:space="preserve">Ismail </w:t>
      </w:r>
      <w:r w:rsidRPr="00CE0F02">
        <w:rPr>
          <w:sz w:val="24"/>
          <w:szCs w:val="24"/>
        </w:rPr>
        <w:t>had</w:t>
      </w:r>
      <w:r w:rsidR="00C91FFA" w:rsidRPr="00CE0F02">
        <w:rPr>
          <w:sz w:val="24"/>
          <w:szCs w:val="24"/>
        </w:rPr>
        <w:t xml:space="preserve"> no opportunity to properly present his defence before the court and was never allowed to meet with a lawyer before his trial. The judge also denied defence lawyers the opportunity to cross-examine the prosecution’s sole witness</w:t>
      </w:r>
      <w:r w:rsidR="00B31B5E" w:rsidRPr="00CE0F02">
        <w:rPr>
          <w:sz w:val="24"/>
          <w:szCs w:val="24"/>
        </w:rPr>
        <w:t xml:space="preserve">. </w:t>
      </w:r>
      <w:r w:rsidR="00C91FFA" w:rsidRPr="00CE0F02">
        <w:rPr>
          <w:sz w:val="24"/>
          <w:szCs w:val="24"/>
        </w:rPr>
        <w:t xml:space="preserve">Lawyers were also prevented from submitting witness testimony in support of the defendants. These witnesses included local police officers and neighbours of </w:t>
      </w:r>
      <w:r>
        <w:rPr>
          <w:sz w:val="24"/>
          <w:szCs w:val="24"/>
        </w:rPr>
        <w:t>Ismail</w:t>
      </w:r>
      <w:r w:rsidR="00C91FFA" w:rsidRPr="00CE0F02">
        <w:rPr>
          <w:sz w:val="24"/>
          <w:szCs w:val="24"/>
        </w:rPr>
        <w:t xml:space="preserve">’s aunt, who would have confirmed that </w:t>
      </w:r>
      <w:r>
        <w:rPr>
          <w:sz w:val="24"/>
          <w:szCs w:val="24"/>
        </w:rPr>
        <w:t xml:space="preserve">Ismail </w:t>
      </w:r>
      <w:r w:rsidRPr="00CE0F02">
        <w:rPr>
          <w:sz w:val="24"/>
          <w:szCs w:val="24"/>
        </w:rPr>
        <w:t>did</w:t>
      </w:r>
      <w:r w:rsidR="00C91FFA" w:rsidRPr="00CE0F02">
        <w:rPr>
          <w:sz w:val="24"/>
          <w:szCs w:val="24"/>
        </w:rPr>
        <w:t xml:space="preserve"> not participate in the alleged attack on the police station. </w:t>
      </w:r>
    </w:p>
    <w:p w14:paraId="1BA4DF90" w14:textId="296A5A51" w:rsidR="00C91FFA" w:rsidRPr="00CE0F02" w:rsidRDefault="00C91FFA" w:rsidP="00CE0F02">
      <w:pPr>
        <w:ind w:left="360"/>
        <w:jc w:val="both"/>
        <w:rPr>
          <w:sz w:val="24"/>
          <w:szCs w:val="24"/>
        </w:rPr>
      </w:pPr>
      <w:r w:rsidRPr="00CE0F02">
        <w:rPr>
          <w:sz w:val="24"/>
          <w:szCs w:val="24"/>
        </w:rPr>
        <w:t xml:space="preserve">Proceedings lasted for less than an hour on 22 March 2014 and, only two days later, on 24 March 2014, Judge Saeed Youssef found 529 of the 545 defendants guilty (including </w:t>
      </w:r>
      <w:r w:rsidR="006D2897">
        <w:rPr>
          <w:sz w:val="24"/>
          <w:szCs w:val="24"/>
        </w:rPr>
        <w:t xml:space="preserve">Ismail </w:t>
      </w:r>
      <w:r w:rsidRPr="00CE0F02">
        <w:rPr>
          <w:sz w:val="24"/>
          <w:szCs w:val="24"/>
        </w:rPr>
        <w:t xml:space="preserve">) and issued preliminary death sentences. A month later, following the opinion from Egypt’s Grand Mufti, 37 of the 529 received confirmed death sentences, including </w:t>
      </w:r>
      <w:r w:rsidR="006D2897">
        <w:rPr>
          <w:sz w:val="24"/>
          <w:szCs w:val="24"/>
        </w:rPr>
        <w:t>Ismail</w:t>
      </w:r>
      <w:r w:rsidRPr="00CE0F02">
        <w:rPr>
          <w:sz w:val="24"/>
          <w:szCs w:val="24"/>
        </w:rPr>
        <w:t>.</w:t>
      </w:r>
    </w:p>
    <w:p w14:paraId="1F215129" w14:textId="0AF175DA" w:rsidR="00C91FFA" w:rsidRPr="00CE0F02" w:rsidRDefault="00C91FFA" w:rsidP="00CE0F02">
      <w:pPr>
        <w:ind w:left="360"/>
        <w:jc w:val="both"/>
        <w:rPr>
          <w:sz w:val="24"/>
          <w:szCs w:val="24"/>
        </w:rPr>
      </w:pPr>
      <w:r w:rsidRPr="00CE0F02">
        <w:rPr>
          <w:sz w:val="24"/>
          <w:szCs w:val="24"/>
        </w:rPr>
        <w:t xml:space="preserve">On 21 August 2014, shortly after </w:t>
      </w:r>
      <w:r w:rsidR="006D2897">
        <w:rPr>
          <w:sz w:val="24"/>
          <w:szCs w:val="24"/>
        </w:rPr>
        <w:t>Ismail</w:t>
      </w:r>
      <w:r w:rsidRPr="00CE0F02">
        <w:rPr>
          <w:sz w:val="24"/>
          <w:szCs w:val="24"/>
        </w:rPr>
        <w:t xml:space="preserve">’s 18th birthday, he was transferred to the Minya General Prison, an adult detention facility more commonly used for convicted </w:t>
      </w:r>
      <w:r w:rsidR="00E478C1" w:rsidRPr="00CE0F02">
        <w:rPr>
          <w:sz w:val="24"/>
          <w:szCs w:val="24"/>
        </w:rPr>
        <w:t>high-risk</w:t>
      </w:r>
      <w:r w:rsidRPr="00CE0F02">
        <w:rPr>
          <w:sz w:val="24"/>
          <w:szCs w:val="24"/>
        </w:rPr>
        <w:t xml:space="preserve"> prisoners. In Minya General Prison, </w:t>
      </w:r>
      <w:r w:rsidR="006D2897">
        <w:rPr>
          <w:sz w:val="24"/>
          <w:szCs w:val="24"/>
        </w:rPr>
        <w:t xml:space="preserve">Ismail </w:t>
      </w:r>
      <w:r w:rsidR="006D2897" w:rsidRPr="00CE0F02">
        <w:rPr>
          <w:sz w:val="24"/>
          <w:szCs w:val="24"/>
        </w:rPr>
        <w:t>has</w:t>
      </w:r>
      <w:r w:rsidRPr="00CE0F02">
        <w:rPr>
          <w:sz w:val="24"/>
          <w:szCs w:val="24"/>
        </w:rPr>
        <w:t xml:space="preserve"> been beaten by guards and detained in overcrowded and unsanitary conditions—treatment that has resulted in or contributed to his hospitalization on at least one occasion. </w:t>
      </w:r>
    </w:p>
    <w:p w14:paraId="5C334E10" w14:textId="77777777" w:rsidR="00C91FFA" w:rsidRPr="00CE0F02" w:rsidRDefault="00C91FFA" w:rsidP="00CE0F02">
      <w:pPr>
        <w:ind w:left="360"/>
        <w:jc w:val="both"/>
        <w:rPr>
          <w:sz w:val="24"/>
          <w:szCs w:val="24"/>
        </w:rPr>
      </w:pPr>
      <w:r w:rsidRPr="00CE0F02">
        <w:rPr>
          <w:sz w:val="24"/>
          <w:szCs w:val="24"/>
        </w:rPr>
        <w:t xml:space="preserve">On 24 January 2015, the Court of Cassation overturned the Minya Criminal Court’s original convictions and ordered a retrial before the Minya Criminal Court. </w:t>
      </w:r>
    </w:p>
    <w:p w14:paraId="3746902F" w14:textId="39586E18" w:rsidR="00C91FFA" w:rsidRPr="00CE0F02" w:rsidRDefault="006D2897" w:rsidP="00CE0F02">
      <w:pPr>
        <w:ind w:left="360"/>
        <w:jc w:val="both"/>
        <w:rPr>
          <w:sz w:val="24"/>
          <w:szCs w:val="24"/>
        </w:rPr>
      </w:pPr>
      <w:r>
        <w:rPr>
          <w:sz w:val="24"/>
          <w:szCs w:val="24"/>
        </w:rPr>
        <w:t>Ismail</w:t>
      </w:r>
      <w:r w:rsidR="00C91FFA" w:rsidRPr="00CE0F02">
        <w:rPr>
          <w:sz w:val="24"/>
          <w:szCs w:val="24"/>
        </w:rPr>
        <w:t xml:space="preserve">’s retrial began in March 2015 and dragged on for more than two years, through dozens of postponements. Only a small number of hearings were procedural, and many were postponed because authorities failed to bring </w:t>
      </w:r>
      <w:proofErr w:type="gramStart"/>
      <w:r w:rsidR="00C91FFA" w:rsidRPr="00CE0F02">
        <w:rPr>
          <w:sz w:val="24"/>
          <w:szCs w:val="24"/>
        </w:rPr>
        <w:t>all of</w:t>
      </w:r>
      <w:proofErr w:type="gramEnd"/>
      <w:r w:rsidR="00C91FFA" w:rsidRPr="00CE0F02">
        <w:rPr>
          <w:sz w:val="24"/>
          <w:szCs w:val="24"/>
        </w:rPr>
        <w:t xml:space="preserve"> the defendants to court. On 7 August 2017, the trial concluded. </w:t>
      </w:r>
      <w:r>
        <w:rPr>
          <w:sz w:val="24"/>
          <w:szCs w:val="24"/>
        </w:rPr>
        <w:t xml:space="preserve">Ismail </w:t>
      </w:r>
      <w:r w:rsidRPr="00CE0F02">
        <w:rPr>
          <w:sz w:val="24"/>
          <w:szCs w:val="24"/>
        </w:rPr>
        <w:t>was</w:t>
      </w:r>
      <w:r w:rsidR="00C91FFA" w:rsidRPr="00CE0F02">
        <w:rPr>
          <w:sz w:val="24"/>
          <w:szCs w:val="24"/>
        </w:rPr>
        <w:t xml:space="preserve"> finally recognised as a child and received a 10-year sentence.  </w:t>
      </w:r>
    </w:p>
    <w:p w14:paraId="07114A93" w14:textId="77777777" w:rsidR="001500AF" w:rsidRPr="00B05D95" w:rsidRDefault="001500AF" w:rsidP="00B05D95">
      <w:pPr>
        <w:spacing w:line="276" w:lineRule="auto"/>
        <w:jc w:val="both"/>
        <w:rPr>
          <w:sz w:val="24"/>
          <w:szCs w:val="24"/>
        </w:rPr>
      </w:pPr>
    </w:p>
    <w:p w14:paraId="3AD23530" w14:textId="04689A50" w:rsidR="008E7ECB" w:rsidRPr="00A85451" w:rsidRDefault="00143594" w:rsidP="00AE4ED3">
      <w:pPr>
        <w:pStyle w:val="Heading1"/>
        <w:numPr>
          <w:ilvl w:val="0"/>
          <w:numId w:val="22"/>
        </w:numPr>
        <w:spacing w:line="276" w:lineRule="auto"/>
      </w:pPr>
      <w:bookmarkStart w:id="4" w:name="_Toc139285165"/>
      <w:r>
        <w:t>MASS TRIALS AND FAILURE TO GUARANTEE SPECIAL MEASURES OF PROTECTION</w:t>
      </w:r>
      <w:bookmarkEnd w:id="4"/>
    </w:p>
    <w:p w14:paraId="2D4F472F" w14:textId="77777777" w:rsidR="000021C2" w:rsidRDefault="000021C2" w:rsidP="0089596E">
      <w:pPr>
        <w:spacing w:line="276" w:lineRule="auto"/>
      </w:pPr>
    </w:p>
    <w:p w14:paraId="0E0D47BA" w14:textId="108465CA" w:rsidR="008F3E11" w:rsidRDefault="008F3E11" w:rsidP="008F3E11">
      <w:pPr>
        <w:pStyle w:val="ListParagraph"/>
        <w:numPr>
          <w:ilvl w:val="0"/>
          <w:numId w:val="3"/>
        </w:numPr>
        <w:spacing w:line="276" w:lineRule="auto"/>
        <w:jc w:val="both"/>
        <w:rPr>
          <w:sz w:val="24"/>
          <w:szCs w:val="24"/>
        </w:rPr>
      </w:pPr>
      <w:r>
        <w:rPr>
          <w:sz w:val="24"/>
          <w:szCs w:val="24"/>
        </w:rPr>
        <w:t>Article 122 provides that children alleged to have come into conflict with the law will be tried in specialist Child Courts.</w:t>
      </w:r>
      <w:r>
        <w:rPr>
          <w:rStyle w:val="FootnoteReference"/>
          <w:sz w:val="24"/>
          <w:szCs w:val="24"/>
        </w:rPr>
        <w:footnoteReference w:id="26"/>
      </w:r>
      <w:r>
        <w:rPr>
          <w:sz w:val="24"/>
          <w:szCs w:val="24"/>
        </w:rPr>
        <w:t xml:space="preserve"> However, it also contains an exception that allows children over 15 facing trial with an adult co-defendant to be tried alongside them in normal criminal courts:</w:t>
      </w:r>
    </w:p>
    <w:p w14:paraId="2E855176" w14:textId="77777777" w:rsidR="008F3E11" w:rsidRPr="00901F85" w:rsidRDefault="008F3E11" w:rsidP="008F3E11">
      <w:pPr>
        <w:pStyle w:val="ListParagraph"/>
        <w:rPr>
          <w:sz w:val="24"/>
          <w:szCs w:val="24"/>
        </w:rPr>
      </w:pPr>
    </w:p>
    <w:p w14:paraId="4B92D9C2" w14:textId="77777777" w:rsidR="008F3E11" w:rsidRPr="000D7683" w:rsidRDefault="008F3E11" w:rsidP="008F3E11">
      <w:pPr>
        <w:spacing w:line="276" w:lineRule="auto"/>
        <w:ind w:left="924"/>
        <w:contextualSpacing/>
        <w:rPr>
          <w:rStyle w:val="Heading1Char"/>
          <w:rFonts w:cstheme="minorHAnsi"/>
        </w:rPr>
      </w:pPr>
      <w:r w:rsidRPr="00901F85">
        <w:rPr>
          <w:rFonts w:cstheme="minorHAnsi"/>
          <w:i/>
          <w:sz w:val="24"/>
          <w:szCs w:val="24"/>
          <w:lang w:bidi="ar-EG"/>
        </w:rPr>
        <w:t>“the Criminal Court or the Supreme State Security Court, according to each case, shall have jurisdiction over criminal cases where the accused - at the time of committing the crime - is a child above fifteen (15) years of age while the accomplice is not a child and the case necessitated bringing the criminal action against the accomplice jointly with the child</w:t>
      </w:r>
      <w:r w:rsidRPr="000D7683">
        <w:rPr>
          <w:rFonts w:cstheme="minorHAnsi"/>
          <w:i/>
          <w:iCs/>
          <w:sz w:val="24"/>
          <w:szCs w:val="24"/>
        </w:rPr>
        <w:t>.”</w:t>
      </w:r>
      <w:r w:rsidRPr="000D7683">
        <w:rPr>
          <w:rStyle w:val="FootnoteReference"/>
          <w:rFonts w:cstheme="minorHAnsi"/>
          <w:sz w:val="24"/>
          <w:szCs w:val="24"/>
        </w:rPr>
        <w:t xml:space="preserve"> </w:t>
      </w:r>
      <w:r w:rsidRPr="000D7683">
        <w:rPr>
          <w:rStyle w:val="FootnoteReference"/>
          <w:rFonts w:cstheme="minorHAnsi"/>
          <w:sz w:val="24"/>
          <w:szCs w:val="24"/>
        </w:rPr>
        <w:footnoteReference w:id="27"/>
      </w:r>
      <w:r w:rsidRPr="000D7683" w:rsidDel="000E2625">
        <w:rPr>
          <w:rFonts w:cstheme="minorHAnsi"/>
          <w:i/>
          <w:iCs/>
          <w:sz w:val="24"/>
          <w:szCs w:val="24"/>
        </w:rPr>
        <w:t xml:space="preserve"> </w:t>
      </w:r>
      <w:r w:rsidRPr="000D7683">
        <w:rPr>
          <w:rFonts w:cstheme="minorHAnsi"/>
          <w:sz w:val="24"/>
          <w:szCs w:val="24"/>
        </w:rPr>
        <w:t xml:space="preserve"> </w:t>
      </w:r>
    </w:p>
    <w:p w14:paraId="2D3CBC37" w14:textId="77777777" w:rsidR="008F3E11" w:rsidRDefault="008F3E11" w:rsidP="008F3E11">
      <w:pPr>
        <w:pStyle w:val="ListParagraph"/>
        <w:spacing w:line="276" w:lineRule="auto"/>
        <w:jc w:val="both"/>
        <w:rPr>
          <w:sz w:val="24"/>
          <w:szCs w:val="24"/>
        </w:rPr>
      </w:pPr>
    </w:p>
    <w:p w14:paraId="3393366A" w14:textId="19A1403E" w:rsidR="008F3E11" w:rsidRPr="008F3E11" w:rsidRDefault="00B05D95" w:rsidP="008F3E11">
      <w:pPr>
        <w:pStyle w:val="ListParagraph"/>
        <w:numPr>
          <w:ilvl w:val="0"/>
          <w:numId w:val="3"/>
        </w:numPr>
        <w:spacing w:line="276" w:lineRule="auto"/>
        <w:jc w:val="both"/>
        <w:rPr>
          <w:sz w:val="24"/>
          <w:szCs w:val="24"/>
        </w:rPr>
      </w:pPr>
      <w:r w:rsidRPr="008F3E11">
        <w:rPr>
          <w:sz w:val="24"/>
          <w:szCs w:val="24"/>
        </w:rPr>
        <w:t xml:space="preserve">Egypt’s State Report has not addressed </w:t>
      </w:r>
      <w:r w:rsidR="001A1245" w:rsidRPr="008F3E11">
        <w:rPr>
          <w:sz w:val="24"/>
          <w:szCs w:val="24"/>
        </w:rPr>
        <w:t xml:space="preserve">the risk </w:t>
      </w:r>
      <w:r w:rsidR="008F3E11" w:rsidRPr="008F3E11">
        <w:rPr>
          <w:sz w:val="24"/>
          <w:szCs w:val="24"/>
        </w:rPr>
        <w:t>of the death penalty for these</w:t>
      </w:r>
      <w:r w:rsidR="001A1245" w:rsidRPr="008F3E11">
        <w:rPr>
          <w:sz w:val="24"/>
          <w:szCs w:val="24"/>
        </w:rPr>
        <w:t xml:space="preserve"> children </w:t>
      </w:r>
      <w:r w:rsidRPr="008F3E11">
        <w:rPr>
          <w:sz w:val="24"/>
          <w:szCs w:val="24"/>
        </w:rPr>
        <w:t>tried alongside adults</w:t>
      </w:r>
      <w:r w:rsidR="008F3E11" w:rsidRPr="008F3E11">
        <w:rPr>
          <w:sz w:val="24"/>
          <w:szCs w:val="24"/>
        </w:rPr>
        <w:t>, particularly in mass trials</w:t>
      </w:r>
      <w:r w:rsidR="000F0D0B" w:rsidRPr="008F3E11">
        <w:rPr>
          <w:sz w:val="24"/>
          <w:szCs w:val="24"/>
        </w:rPr>
        <w:t>.</w:t>
      </w:r>
      <w:r w:rsidR="006F4874">
        <w:rPr>
          <w:rStyle w:val="FootnoteReference"/>
          <w:sz w:val="24"/>
          <w:szCs w:val="24"/>
        </w:rPr>
        <w:footnoteReference w:id="28"/>
      </w:r>
      <w:r w:rsidR="006F4874" w:rsidRPr="008F3E11">
        <w:rPr>
          <w:sz w:val="24"/>
          <w:szCs w:val="24"/>
        </w:rPr>
        <w:t xml:space="preserve"> </w:t>
      </w:r>
      <w:r w:rsidR="008F3E11" w:rsidRPr="008F3E11">
        <w:rPr>
          <w:sz w:val="24"/>
          <w:szCs w:val="24"/>
        </w:rPr>
        <w:t xml:space="preserve">Egypt’s mass trials complex has been recognised internationally as failing to meet the required guarantees for due process and fairness. They are </w:t>
      </w:r>
      <w:r w:rsidR="00F03278" w:rsidRPr="008F3E11">
        <w:rPr>
          <w:sz w:val="24"/>
          <w:szCs w:val="24"/>
        </w:rPr>
        <w:t>underpinned</w:t>
      </w:r>
      <w:r w:rsidR="008F3E11" w:rsidRPr="008F3E11">
        <w:rPr>
          <w:sz w:val="24"/>
          <w:szCs w:val="24"/>
        </w:rPr>
        <w:t xml:space="preserve"> by the Assembly Law and Protest Law, where often hundreds are tried at once with complete disregard for due process, the right to a fair trial, and significantly, the right to mount an individual defence.</w:t>
      </w:r>
      <w:r w:rsidR="002D4817">
        <w:rPr>
          <w:rStyle w:val="FootnoteReference"/>
          <w:sz w:val="24"/>
          <w:szCs w:val="24"/>
        </w:rPr>
        <w:footnoteReference w:id="29"/>
      </w:r>
      <w:r w:rsidR="008F3E11" w:rsidRPr="008F3E11">
        <w:rPr>
          <w:sz w:val="24"/>
          <w:szCs w:val="24"/>
        </w:rPr>
        <w:t xml:space="preserve"> </w:t>
      </w:r>
    </w:p>
    <w:p w14:paraId="7896FD4D" w14:textId="77777777" w:rsidR="008F3E11" w:rsidRDefault="008F3E11" w:rsidP="008F3E11">
      <w:pPr>
        <w:pStyle w:val="ListParagraph"/>
        <w:spacing w:line="276" w:lineRule="auto"/>
        <w:jc w:val="both"/>
        <w:rPr>
          <w:sz w:val="24"/>
          <w:szCs w:val="24"/>
        </w:rPr>
      </w:pPr>
    </w:p>
    <w:p w14:paraId="3F74218E" w14:textId="0EF608A4" w:rsidR="008F3E11" w:rsidRPr="008F3E11" w:rsidRDefault="008F3E11" w:rsidP="008F3E11">
      <w:pPr>
        <w:pStyle w:val="ListParagraph"/>
        <w:numPr>
          <w:ilvl w:val="0"/>
          <w:numId w:val="3"/>
        </w:numPr>
        <w:spacing w:line="276" w:lineRule="auto"/>
        <w:jc w:val="both"/>
        <w:rPr>
          <w:sz w:val="24"/>
          <w:szCs w:val="24"/>
        </w:rPr>
      </w:pPr>
      <w:r w:rsidRPr="008F3E11">
        <w:rPr>
          <w:sz w:val="24"/>
          <w:szCs w:val="24"/>
        </w:rPr>
        <w:t>Nearly all cases where children have been sentenced to death followed mass trials, where they have been denied access to lawyers, the right to mount an adequate defence, the right to be heard and significantly, the right to be treated as a child alleged to have come into conflict with the law. Egypt’s mass trials are undoubtedly insufficient to protect these rights. Extremely short trials and hundreds of defendants make it impossible for a court to consider each defendant individually</w:t>
      </w:r>
      <w:r>
        <w:rPr>
          <w:sz w:val="24"/>
          <w:szCs w:val="24"/>
        </w:rPr>
        <w:t>.</w:t>
      </w:r>
    </w:p>
    <w:p w14:paraId="35FC4845" w14:textId="319B52C8" w:rsidR="008F3E11" w:rsidRDefault="008F3E11" w:rsidP="008F3E11">
      <w:pPr>
        <w:pStyle w:val="ListParagraph"/>
        <w:spacing w:line="276" w:lineRule="auto"/>
        <w:jc w:val="both"/>
        <w:rPr>
          <w:sz w:val="24"/>
          <w:szCs w:val="24"/>
        </w:rPr>
      </w:pPr>
    </w:p>
    <w:p w14:paraId="2A6D54DC" w14:textId="6546F82C" w:rsidR="008F3E11" w:rsidRPr="008F3E11" w:rsidRDefault="008F3E11" w:rsidP="008F3E11">
      <w:pPr>
        <w:pStyle w:val="ListParagraph"/>
        <w:numPr>
          <w:ilvl w:val="0"/>
          <w:numId w:val="3"/>
        </w:numPr>
        <w:rPr>
          <w:rFonts w:cstheme="minorHAnsi"/>
          <w:sz w:val="24"/>
          <w:szCs w:val="24"/>
        </w:rPr>
      </w:pPr>
      <w:r>
        <w:rPr>
          <w:rFonts w:cstheme="minorHAnsi"/>
          <w:sz w:val="24"/>
          <w:szCs w:val="24"/>
        </w:rPr>
        <w:t>For example, i</w:t>
      </w:r>
      <w:r w:rsidRPr="008F3E11">
        <w:rPr>
          <w:rFonts w:cstheme="minorHAnsi"/>
          <w:sz w:val="24"/>
          <w:szCs w:val="24"/>
        </w:rPr>
        <w:t>n a grim display of the carelessness with which these mass trials are run, in 2016 a court sentenced a four-year-old toddler to life in prison, an incident that was later called a “mistake”.</w:t>
      </w:r>
      <w:r w:rsidRPr="000D7683">
        <w:rPr>
          <w:rStyle w:val="FootnoteReference"/>
          <w:rFonts w:cstheme="minorHAnsi"/>
          <w:sz w:val="24"/>
          <w:szCs w:val="24"/>
        </w:rPr>
        <w:footnoteReference w:id="30"/>
      </w:r>
      <w:r w:rsidRPr="008F3E11">
        <w:rPr>
          <w:rFonts w:cstheme="minorHAnsi"/>
          <w:sz w:val="24"/>
          <w:szCs w:val="24"/>
        </w:rPr>
        <w:t xml:space="preserve"> A spokesman for the court said that it had meant to sentence a 16-year-old (who also ought not to have faced the death penalty</w:t>
      </w:r>
      <w:r>
        <w:rPr>
          <w:rFonts w:cstheme="minorHAnsi"/>
          <w:sz w:val="24"/>
          <w:szCs w:val="24"/>
        </w:rPr>
        <w:t xml:space="preserve"> or life imprisonment</w:t>
      </w:r>
      <w:r w:rsidRPr="008F3E11">
        <w:rPr>
          <w:rFonts w:cstheme="minorHAnsi"/>
          <w:sz w:val="24"/>
          <w:szCs w:val="24"/>
        </w:rPr>
        <w:t xml:space="preserve"> due to his age) with a similar name.</w:t>
      </w:r>
      <w:r w:rsidRPr="000D7683">
        <w:rPr>
          <w:rStyle w:val="FootnoteReference"/>
          <w:rFonts w:cstheme="minorHAnsi"/>
          <w:sz w:val="24"/>
          <w:szCs w:val="24"/>
        </w:rPr>
        <w:footnoteReference w:id="31"/>
      </w:r>
      <w:r w:rsidRPr="008F3E11">
        <w:rPr>
          <w:rFonts w:cstheme="minorHAnsi"/>
          <w:sz w:val="24"/>
          <w:szCs w:val="24"/>
        </w:rPr>
        <w:t xml:space="preserve"> </w:t>
      </w:r>
    </w:p>
    <w:p w14:paraId="66133E35" w14:textId="77777777" w:rsidR="001A1245" w:rsidRPr="001A1245" w:rsidRDefault="001A1245" w:rsidP="001A1245">
      <w:pPr>
        <w:spacing w:line="276" w:lineRule="auto"/>
        <w:jc w:val="both"/>
        <w:rPr>
          <w:sz w:val="24"/>
          <w:szCs w:val="24"/>
        </w:rPr>
      </w:pPr>
    </w:p>
    <w:p w14:paraId="45617127" w14:textId="45423A10" w:rsidR="00CE0F02" w:rsidRPr="00CE0F02" w:rsidRDefault="001500AF" w:rsidP="000C1B0C">
      <w:pPr>
        <w:pStyle w:val="Heading2"/>
        <w:ind w:firstLine="360"/>
        <w:jc w:val="both"/>
      </w:pPr>
      <w:bookmarkStart w:id="5" w:name="_Toc139285166"/>
      <w:r w:rsidRPr="001500AF">
        <w:t xml:space="preserve">Case study: the </w:t>
      </w:r>
      <w:proofErr w:type="spellStart"/>
      <w:r w:rsidRPr="001500AF">
        <w:t>Awda</w:t>
      </w:r>
      <w:proofErr w:type="spellEnd"/>
      <w:r w:rsidRPr="001500AF">
        <w:t xml:space="preserve"> incident</w:t>
      </w:r>
      <w:bookmarkEnd w:id="5"/>
    </w:p>
    <w:p w14:paraId="47682C18" w14:textId="4241B7DF" w:rsidR="00031F3E" w:rsidRPr="008F3E11" w:rsidRDefault="00B31B5E" w:rsidP="00CE0F02">
      <w:pPr>
        <w:spacing w:line="276" w:lineRule="auto"/>
        <w:ind w:left="360"/>
        <w:jc w:val="both"/>
        <w:rPr>
          <w:sz w:val="24"/>
          <w:szCs w:val="24"/>
        </w:rPr>
      </w:pPr>
      <w:r>
        <w:rPr>
          <w:sz w:val="24"/>
          <w:szCs w:val="24"/>
        </w:rPr>
        <w:t xml:space="preserve">In April 2014, a court in the Minya Criminal Court recommended 683 preliminary death sentences in one trial, including five children. All 683 </w:t>
      </w:r>
      <w:r w:rsidRPr="00C91FFA">
        <w:rPr>
          <w:sz w:val="24"/>
          <w:szCs w:val="24"/>
        </w:rPr>
        <w:t>were tried jointly under the Assembly Law</w:t>
      </w:r>
      <w:r>
        <w:rPr>
          <w:sz w:val="24"/>
          <w:szCs w:val="24"/>
        </w:rPr>
        <w:t>, although only 74</w:t>
      </w:r>
      <w:r w:rsidR="00031F3E">
        <w:rPr>
          <w:sz w:val="24"/>
          <w:szCs w:val="24"/>
        </w:rPr>
        <w:t xml:space="preserve"> of the defendants were in custody at the time. The trial was concluded only after two hearings. </w:t>
      </w:r>
    </w:p>
    <w:p w14:paraId="02707AC6" w14:textId="3753605F" w:rsidR="00031F3E" w:rsidRPr="000D7683" w:rsidRDefault="00031F3E" w:rsidP="00CE0F02">
      <w:pPr>
        <w:ind w:left="360"/>
        <w:jc w:val="both"/>
        <w:rPr>
          <w:rFonts w:cstheme="minorHAnsi"/>
          <w:sz w:val="24"/>
          <w:szCs w:val="24"/>
        </w:rPr>
      </w:pPr>
      <w:r w:rsidRPr="000D7683">
        <w:rPr>
          <w:rFonts w:cstheme="minorHAnsi"/>
          <w:sz w:val="24"/>
          <w:szCs w:val="24"/>
        </w:rPr>
        <w:t>One of children sentenced to death was Sultan Gomaa.</w:t>
      </w:r>
      <w:r w:rsidRPr="000D7683">
        <w:rPr>
          <w:rStyle w:val="FootnoteReference"/>
          <w:rFonts w:cstheme="minorHAnsi"/>
          <w:sz w:val="24"/>
          <w:szCs w:val="24"/>
        </w:rPr>
        <w:footnoteReference w:id="32"/>
      </w:r>
      <w:r w:rsidRPr="000D7683">
        <w:rPr>
          <w:rFonts w:cstheme="minorHAnsi"/>
          <w:sz w:val="24"/>
          <w:szCs w:val="24"/>
        </w:rPr>
        <w:t xml:space="preserve"> Sultan was 16 years old in 2014. Sultan’s lawyer stated that those sentenced to death included at least two other children, Ahmed Abdelfattah Abdelaziz el-</w:t>
      </w:r>
      <w:proofErr w:type="spellStart"/>
      <w:r w:rsidRPr="000D7683">
        <w:rPr>
          <w:rFonts w:cstheme="minorHAnsi"/>
          <w:sz w:val="24"/>
          <w:szCs w:val="24"/>
        </w:rPr>
        <w:t>Shaer</w:t>
      </w:r>
      <w:proofErr w:type="spellEnd"/>
      <w:r w:rsidRPr="000D7683">
        <w:rPr>
          <w:rFonts w:cstheme="minorHAnsi"/>
          <w:sz w:val="24"/>
          <w:szCs w:val="24"/>
        </w:rPr>
        <w:t xml:space="preserve"> and Islam Shaaban </w:t>
      </w:r>
      <w:proofErr w:type="spellStart"/>
      <w:r w:rsidRPr="000D7683">
        <w:rPr>
          <w:rFonts w:cstheme="minorHAnsi"/>
          <w:sz w:val="24"/>
          <w:szCs w:val="24"/>
        </w:rPr>
        <w:t>Abdelbasit</w:t>
      </w:r>
      <w:proofErr w:type="spellEnd"/>
      <w:r w:rsidRPr="000D7683">
        <w:rPr>
          <w:rFonts w:cstheme="minorHAnsi"/>
          <w:sz w:val="24"/>
          <w:szCs w:val="24"/>
        </w:rPr>
        <w:t xml:space="preserve"> Gad, who were convicted without the court ever knowing their age.</w:t>
      </w:r>
      <w:r w:rsidRPr="000D7683">
        <w:rPr>
          <w:rStyle w:val="FootnoteReference"/>
          <w:rFonts w:cstheme="minorHAnsi"/>
          <w:sz w:val="24"/>
          <w:szCs w:val="24"/>
        </w:rPr>
        <w:footnoteReference w:id="33"/>
      </w:r>
      <w:r w:rsidRPr="000D7683">
        <w:rPr>
          <w:rFonts w:cstheme="minorHAnsi"/>
          <w:sz w:val="24"/>
          <w:szCs w:val="24"/>
        </w:rPr>
        <w:t xml:space="preserve"> Further news reports indicate that at least two other children</w:t>
      </w:r>
      <w:r w:rsidR="002D4817">
        <w:rPr>
          <w:rFonts w:cstheme="minorHAnsi"/>
          <w:sz w:val="24"/>
          <w:szCs w:val="24"/>
        </w:rPr>
        <w:t xml:space="preserve">, </w:t>
      </w:r>
      <w:r w:rsidRPr="000D7683">
        <w:rPr>
          <w:rFonts w:cstheme="minorHAnsi"/>
          <w:sz w:val="24"/>
          <w:szCs w:val="24"/>
        </w:rPr>
        <w:t xml:space="preserve">Hamada Abdullah </w:t>
      </w:r>
      <w:proofErr w:type="spellStart"/>
      <w:r w:rsidRPr="000D7683">
        <w:rPr>
          <w:rFonts w:cstheme="minorHAnsi"/>
          <w:sz w:val="24"/>
          <w:szCs w:val="24"/>
        </w:rPr>
        <w:t>Aboul</w:t>
      </w:r>
      <w:proofErr w:type="spellEnd"/>
      <w:r w:rsidRPr="000D7683">
        <w:rPr>
          <w:rFonts w:cstheme="minorHAnsi"/>
          <w:sz w:val="24"/>
          <w:szCs w:val="24"/>
        </w:rPr>
        <w:t xml:space="preserve"> Hassan and Imam Mohamed el-Adwa Imam</w:t>
      </w:r>
      <w:r w:rsidR="002D4817">
        <w:rPr>
          <w:rFonts w:cstheme="minorHAnsi"/>
          <w:sz w:val="24"/>
          <w:szCs w:val="24"/>
        </w:rPr>
        <w:t xml:space="preserve">, </w:t>
      </w:r>
      <w:r w:rsidRPr="000D7683">
        <w:rPr>
          <w:rFonts w:cstheme="minorHAnsi"/>
          <w:sz w:val="24"/>
          <w:szCs w:val="24"/>
        </w:rPr>
        <w:t>were among the 683 initially sentenced to death.</w:t>
      </w:r>
      <w:r w:rsidRPr="000D7683">
        <w:rPr>
          <w:rStyle w:val="FootnoteReference"/>
          <w:rFonts w:cstheme="minorHAnsi"/>
          <w:sz w:val="24"/>
          <w:szCs w:val="24"/>
        </w:rPr>
        <w:footnoteReference w:id="34"/>
      </w:r>
      <w:r w:rsidRPr="000D7683">
        <w:rPr>
          <w:rFonts w:cstheme="minorHAnsi"/>
          <w:sz w:val="24"/>
          <w:szCs w:val="24"/>
        </w:rPr>
        <w:t> </w:t>
      </w:r>
    </w:p>
    <w:p w14:paraId="3022C08B" w14:textId="6E37B668" w:rsidR="00031F3E" w:rsidRPr="000D7683" w:rsidRDefault="00031F3E" w:rsidP="00CE0F02">
      <w:pPr>
        <w:ind w:left="360"/>
        <w:jc w:val="both"/>
        <w:rPr>
          <w:rFonts w:cstheme="minorHAnsi"/>
          <w:sz w:val="24"/>
          <w:szCs w:val="24"/>
        </w:rPr>
      </w:pPr>
      <w:r w:rsidRPr="000D7683">
        <w:rPr>
          <w:rFonts w:cstheme="minorHAnsi"/>
          <w:sz w:val="24"/>
          <w:szCs w:val="24"/>
        </w:rPr>
        <w:t xml:space="preserve">On 21 June 2014, Judge Youssef confirmed 183 of the original 683 death sentences, choosing to acquit 496 others and sentence four more to prison terms. One of those acquitted was child Sultan Gomaa. Judge Youssef apparently chanced upon an article about </w:t>
      </w:r>
      <w:r w:rsidR="00F27271">
        <w:rPr>
          <w:rFonts w:cstheme="minorHAnsi"/>
          <w:sz w:val="24"/>
          <w:szCs w:val="24"/>
        </w:rPr>
        <w:t>Sultan’s</w:t>
      </w:r>
      <w:r w:rsidR="00F27271" w:rsidRPr="000D7683">
        <w:rPr>
          <w:rFonts w:cstheme="minorHAnsi"/>
          <w:sz w:val="24"/>
          <w:szCs w:val="24"/>
        </w:rPr>
        <w:t xml:space="preserve"> </w:t>
      </w:r>
      <w:r w:rsidR="002D4817">
        <w:rPr>
          <w:rFonts w:cstheme="minorHAnsi"/>
          <w:sz w:val="24"/>
          <w:szCs w:val="24"/>
        </w:rPr>
        <w:t>age</w:t>
      </w:r>
      <w:r w:rsidRPr="000D7683">
        <w:rPr>
          <w:rFonts w:cstheme="minorHAnsi"/>
          <w:sz w:val="24"/>
          <w:szCs w:val="24"/>
        </w:rPr>
        <w:t xml:space="preserve"> published by Egyptian newspaper Al-</w:t>
      </w:r>
      <w:proofErr w:type="spellStart"/>
      <w:r w:rsidRPr="000D7683">
        <w:rPr>
          <w:rFonts w:cstheme="minorHAnsi"/>
          <w:sz w:val="24"/>
          <w:szCs w:val="24"/>
        </w:rPr>
        <w:t>Masry</w:t>
      </w:r>
      <w:proofErr w:type="spellEnd"/>
      <w:r w:rsidRPr="000D7683">
        <w:rPr>
          <w:rFonts w:cstheme="minorHAnsi"/>
          <w:sz w:val="24"/>
          <w:szCs w:val="24"/>
        </w:rPr>
        <w:t xml:space="preserve"> Al-</w:t>
      </w:r>
      <w:proofErr w:type="spellStart"/>
      <w:r w:rsidRPr="000D7683">
        <w:rPr>
          <w:rFonts w:cstheme="minorHAnsi"/>
          <w:sz w:val="24"/>
          <w:szCs w:val="24"/>
        </w:rPr>
        <w:t>Youm</w:t>
      </w:r>
      <w:proofErr w:type="spellEnd"/>
      <w:r w:rsidRPr="000D7683">
        <w:rPr>
          <w:rFonts w:cstheme="minorHAnsi"/>
          <w:sz w:val="24"/>
          <w:szCs w:val="24"/>
        </w:rPr>
        <w:t xml:space="preserve"> and acquitted him, specifically mentioning his age in the </w:t>
      </w:r>
      <w:r w:rsidR="002D4817">
        <w:rPr>
          <w:rFonts w:cstheme="minorHAnsi"/>
          <w:sz w:val="24"/>
          <w:szCs w:val="24"/>
        </w:rPr>
        <w:t>judgment</w:t>
      </w:r>
      <w:r w:rsidRPr="000D7683">
        <w:rPr>
          <w:rFonts w:cstheme="minorHAnsi"/>
          <w:sz w:val="24"/>
          <w:szCs w:val="24"/>
        </w:rPr>
        <w:t>. However, the death sentences for Ahmed, Imam, and Hamada were all upheld. In February 2015, the Court of Cassation</w:t>
      </w:r>
      <w:r w:rsidR="002D4817">
        <w:rPr>
          <w:rFonts w:cstheme="minorHAnsi"/>
          <w:sz w:val="24"/>
          <w:szCs w:val="24"/>
        </w:rPr>
        <w:t xml:space="preserve"> </w:t>
      </w:r>
      <w:r w:rsidRPr="000D7683">
        <w:rPr>
          <w:rFonts w:cstheme="minorHAnsi"/>
          <w:sz w:val="24"/>
          <w:szCs w:val="24"/>
        </w:rPr>
        <w:t xml:space="preserve">ordered that the entire case be sent back for a retrial. It was unclear whether Hamada, </w:t>
      </w:r>
      <w:r w:rsidR="002D4817">
        <w:rPr>
          <w:rFonts w:cstheme="minorHAnsi"/>
          <w:sz w:val="24"/>
          <w:szCs w:val="24"/>
        </w:rPr>
        <w:t>Ahmed</w:t>
      </w:r>
      <w:r w:rsidRPr="000D7683">
        <w:rPr>
          <w:rFonts w:cstheme="minorHAnsi"/>
          <w:sz w:val="24"/>
          <w:szCs w:val="24"/>
        </w:rPr>
        <w:t>, and Imam were retried on charges that carry the death penalty. News coverage is unreliable, and it is unclear whether children remained among the defendants. </w:t>
      </w:r>
    </w:p>
    <w:p w14:paraId="09EE008D" w14:textId="77777777" w:rsidR="000021C2" w:rsidRDefault="000021C2" w:rsidP="00330C2A">
      <w:pPr>
        <w:spacing w:line="276" w:lineRule="auto"/>
      </w:pPr>
    </w:p>
    <w:p w14:paraId="65F0B084" w14:textId="08003761" w:rsidR="00A85451" w:rsidRPr="00A85451" w:rsidRDefault="00A85451" w:rsidP="00CE0F02">
      <w:pPr>
        <w:pStyle w:val="Heading1"/>
        <w:numPr>
          <w:ilvl w:val="0"/>
          <w:numId w:val="22"/>
        </w:numPr>
        <w:spacing w:line="276" w:lineRule="auto"/>
      </w:pPr>
      <w:bookmarkStart w:id="6" w:name="_Toc139285167"/>
      <w:r w:rsidRPr="00A85451">
        <w:t>VIOLENCE AGAINST CHILDREN – TORTURE AND ILL-TREATMENT</w:t>
      </w:r>
      <w:bookmarkEnd w:id="6"/>
      <w:r w:rsidRPr="00A85451">
        <w:t xml:space="preserve"> </w:t>
      </w:r>
    </w:p>
    <w:p w14:paraId="2ECCA545" w14:textId="77777777" w:rsidR="00A85451" w:rsidRPr="00A85451" w:rsidRDefault="00A85451" w:rsidP="0089596E">
      <w:pPr>
        <w:spacing w:line="276" w:lineRule="auto"/>
      </w:pPr>
    </w:p>
    <w:p w14:paraId="5733C710" w14:textId="10B28B5A" w:rsidR="00A85451" w:rsidRPr="000021C2" w:rsidRDefault="00143594" w:rsidP="008F3E11">
      <w:pPr>
        <w:pStyle w:val="ListParagraph"/>
        <w:numPr>
          <w:ilvl w:val="0"/>
          <w:numId w:val="3"/>
        </w:numPr>
        <w:spacing w:line="276" w:lineRule="auto"/>
        <w:jc w:val="both"/>
        <w:rPr>
          <w:sz w:val="24"/>
          <w:szCs w:val="24"/>
        </w:rPr>
      </w:pPr>
      <w:r>
        <w:rPr>
          <w:sz w:val="24"/>
          <w:szCs w:val="24"/>
        </w:rPr>
        <w:t xml:space="preserve">Children at risk of the death penalty </w:t>
      </w:r>
      <w:r w:rsidR="00363D12">
        <w:rPr>
          <w:sz w:val="24"/>
          <w:szCs w:val="24"/>
        </w:rPr>
        <w:t xml:space="preserve">are not sufficiently protected from violence by state agents. </w:t>
      </w:r>
      <w:r w:rsidR="00900023">
        <w:rPr>
          <w:sz w:val="24"/>
          <w:szCs w:val="24"/>
        </w:rPr>
        <w:t xml:space="preserve">No substantive steps have been taken by Egypt since the UN Committee Against Torture </w:t>
      </w:r>
      <w:r w:rsidR="00FC2337" w:rsidRPr="00FC2337">
        <w:rPr>
          <w:sz w:val="24"/>
          <w:szCs w:val="24"/>
        </w:rPr>
        <w:t xml:space="preserve">found that “torture is a systematic practice in Egypt”, </w:t>
      </w:r>
      <w:r>
        <w:rPr>
          <w:sz w:val="24"/>
          <w:szCs w:val="24"/>
        </w:rPr>
        <w:t>who noted</w:t>
      </w:r>
      <w:r w:rsidR="00FC2337" w:rsidRPr="00FC2337">
        <w:rPr>
          <w:sz w:val="24"/>
          <w:szCs w:val="24"/>
        </w:rPr>
        <w:t xml:space="preserve"> that “[t]</w:t>
      </w:r>
      <w:proofErr w:type="spellStart"/>
      <w:r w:rsidR="00FC2337" w:rsidRPr="00FC2337">
        <w:rPr>
          <w:sz w:val="24"/>
          <w:szCs w:val="24"/>
        </w:rPr>
        <w:t>orture</w:t>
      </w:r>
      <w:proofErr w:type="spellEnd"/>
      <w:r w:rsidR="00FC2337" w:rsidRPr="00FC2337">
        <w:rPr>
          <w:sz w:val="24"/>
          <w:szCs w:val="24"/>
        </w:rPr>
        <w:t xml:space="preserve"> appears to occur particularly frequently following arbitrary arrests and is often carried out to obtain a confession</w:t>
      </w:r>
      <w:r w:rsidR="00FC2337">
        <w:rPr>
          <w:sz w:val="24"/>
          <w:szCs w:val="24"/>
        </w:rPr>
        <w:t>.”</w:t>
      </w:r>
      <w:r w:rsidR="00FC2337">
        <w:rPr>
          <w:rStyle w:val="FootnoteReference"/>
          <w:sz w:val="24"/>
          <w:szCs w:val="24"/>
        </w:rPr>
        <w:footnoteReference w:id="35"/>
      </w:r>
    </w:p>
    <w:p w14:paraId="78688ACC" w14:textId="77777777" w:rsidR="00A85451" w:rsidRPr="000021C2" w:rsidRDefault="00A85451" w:rsidP="0089596E">
      <w:pPr>
        <w:pStyle w:val="ListParagraph"/>
        <w:spacing w:line="276" w:lineRule="auto"/>
        <w:jc w:val="both"/>
        <w:rPr>
          <w:sz w:val="24"/>
          <w:szCs w:val="24"/>
        </w:rPr>
      </w:pPr>
    </w:p>
    <w:p w14:paraId="5DA1BA14" w14:textId="6539CE56" w:rsidR="00A85451" w:rsidRDefault="00143594" w:rsidP="008F3E11">
      <w:pPr>
        <w:pStyle w:val="ListParagraph"/>
        <w:numPr>
          <w:ilvl w:val="0"/>
          <w:numId w:val="3"/>
        </w:numPr>
        <w:spacing w:line="276" w:lineRule="auto"/>
        <w:jc w:val="both"/>
        <w:rPr>
          <w:sz w:val="24"/>
          <w:szCs w:val="24"/>
        </w:rPr>
      </w:pPr>
      <w:r>
        <w:rPr>
          <w:sz w:val="24"/>
          <w:szCs w:val="24"/>
        </w:rPr>
        <w:t xml:space="preserve">These confessions are subsequently relied upon by the judiciary to issue death sentences, including against children, </w:t>
      </w:r>
      <w:r w:rsidR="00CE0F02">
        <w:rPr>
          <w:sz w:val="24"/>
          <w:szCs w:val="24"/>
        </w:rPr>
        <w:t>without the courts initiating investigations or excluding such evidence in line with the Convention Against Torture.</w:t>
      </w:r>
      <w:r w:rsidR="00CE0F02">
        <w:rPr>
          <w:rStyle w:val="FootnoteReference"/>
          <w:sz w:val="24"/>
          <w:szCs w:val="24"/>
        </w:rPr>
        <w:footnoteReference w:id="36"/>
      </w:r>
    </w:p>
    <w:p w14:paraId="4C2DC0F0" w14:textId="77777777" w:rsidR="00CE0F02" w:rsidRPr="00CE0F02" w:rsidRDefault="00CE0F02" w:rsidP="00CE0F02">
      <w:pPr>
        <w:pStyle w:val="ListParagraph"/>
        <w:rPr>
          <w:sz w:val="24"/>
          <w:szCs w:val="24"/>
        </w:rPr>
      </w:pPr>
    </w:p>
    <w:p w14:paraId="391DED84" w14:textId="0225FB04" w:rsidR="00CE0F02" w:rsidRDefault="00CE0F02" w:rsidP="008F3E11">
      <w:pPr>
        <w:pStyle w:val="ListParagraph"/>
        <w:numPr>
          <w:ilvl w:val="0"/>
          <w:numId w:val="3"/>
        </w:numPr>
        <w:spacing w:line="276" w:lineRule="auto"/>
        <w:jc w:val="both"/>
        <w:rPr>
          <w:sz w:val="24"/>
          <w:szCs w:val="24"/>
        </w:rPr>
      </w:pPr>
      <w:r>
        <w:rPr>
          <w:sz w:val="24"/>
          <w:szCs w:val="24"/>
        </w:rPr>
        <w:t>We are not aware of any prosecution for state agents for acts of torture or ill-treatment alleged to have been committed to secure confessions in any capital case to date.</w:t>
      </w:r>
    </w:p>
    <w:p w14:paraId="04ED640F" w14:textId="77777777" w:rsidR="00AE4ED3" w:rsidRPr="00CE0F02" w:rsidRDefault="00AE4ED3" w:rsidP="00CE0F02">
      <w:pPr>
        <w:rPr>
          <w:sz w:val="24"/>
          <w:szCs w:val="24"/>
        </w:rPr>
      </w:pPr>
    </w:p>
    <w:p w14:paraId="3D8B0223" w14:textId="273C02D1" w:rsidR="00C91FFA" w:rsidRPr="00C91FFA" w:rsidRDefault="00C91FFA" w:rsidP="00733FFD">
      <w:pPr>
        <w:pStyle w:val="Heading2"/>
        <w:ind w:firstLine="357"/>
      </w:pPr>
      <w:bookmarkStart w:id="7" w:name="_Toc139285168"/>
      <w:r w:rsidRPr="0089596E">
        <w:t xml:space="preserve">Case study: Ahmad </w:t>
      </w:r>
      <w:proofErr w:type="spellStart"/>
      <w:r w:rsidRPr="0089596E">
        <w:t>Saddouma</w:t>
      </w:r>
      <w:bookmarkEnd w:id="7"/>
      <w:proofErr w:type="spellEnd"/>
    </w:p>
    <w:p w14:paraId="6F02BD53" w14:textId="1D65D740" w:rsidR="00C91FFA" w:rsidRPr="00C91FFA" w:rsidRDefault="00C91FFA" w:rsidP="00C91FFA">
      <w:pPr>
        <w:spacing w:line="276" w:lineRule="auto"/>
        <w:ind w:left="357"/>
        <w:jc w:val="both"/>
        <w:rPr>
          <w:sz w:val="24"/>
          <w:szCs w:val="24"/>
        </w:rPr>
      </w:pPr>
      <w:r w:rsidRPr="00200996">
        <w:rPr>
          <w:sz w:val="24"/>
          <w:szCs w:val="24"/>
        </w:rPr>
        <w:t xml:space="preserve">Ahmed </w:t>
      </w:r>
      <w:proofErr w:type="spellStart"/>
      <w:r w:rsidRPr="00200996">
        <w:rPr>
          <w:sz w:val="24"/>
          <w:szCs w:val="24"/>
        </w:rPr>
        <w:t>Saddouma</w:t>
      </w:r>
      <w:proofErr w:type="spellEnd"/>
      <w:r w:rsidRPr="00200996">
        <w:rPr>
          <w:sz w:val="24"/>
          <w:szCs w:val="24"/>
        </w:rPr>
        <w:t xml:space="preserve"> is an Egyptian national who received a confirmed death sentence for alleged offences committed when he was under 18.</w:t>
      </w:r>
      <w:r w:rsidR="009A4B99">
        <w:rPr>
          <w:rStyle w:val="FootnoteReference"/>
          <w:sz w:val="24"/>
          <w:szCs w:val="24"/>
        </w:rPr>
        <w:footnoteReference w:id="37"/>
      </w:r>
      <w:r w:rsidRPr="00200996">
        <w:rPr>
          <w:sz w:val="24"/>
          <w:szCs w:val="24"/>
        </w:rPr>
        <w:t xml:space="preserve">  On 2nd March 2015, Ahmed, a 17-year-old secondary school student, was arrested from his bed in his family’s home in the town of </w:t>
      </w:r>
      <w:proofErr w:type="spellStart"/>
      <w:r w:rsidRPr="00200996">
        <w:rPr>
          <w:sz w:val="24"/>
          <w:szCs w:val="24"/>
        </w:rPr>
        <w:t>Awsim</w:t>
      </w:r>
      <w:proofErr w:type="spellEnd"/>
      <w:r w:rsidRPr="00200996">
        <w:rPr>
          <w:sz w:val="24"/>
          <w:szCs w:val="24"/>
        </w:rPr>
        <w:t xml:space="preserve">, not far from Cairo. For the next 80 days, Egyptian authorities held Ahmed in incommunicado detention and tortured him, beating him with metal objects and forcing him to sign a false confession to crimes he did not commit. </w:t>
      </w:r>
    </w:p>
    <w:p w14:paraId="6C3A2348" w14:textId="2C98B22B" w:rsidR="00C91FFA" w:rsidRPr="002055A9" w:rsidRDefault="00C91FFA" w:rsidP="00143594">
      <w:pPr>
        <w:spacing w:line="276" w:lineRule="auto"/>
        <w:ind w:left="357"/>
        <w:jc w:val="both"/>
        <w:rPr>
          <w:sz w:val="24"/>
          <w:szCs w:val="24"/>
        </w:rPr>
      </w:pPr>
      <w:r w:rsidRPr="00200996">
        <w:rPr>
          <w:sz w:val="24"/>
          <w:szCs w:val="24"/>
        </w:rPr>
        <w:t xml:space="preserve">Ahmed was accused of involvement in alleged terrorist acts to which he had no connection. The most serious offence of which Ahmed was accused, the attempted assassination of Judge </w:t>
      </w:r>
      <w:proofErr w:type="spellStart"/>
      <w:r w:rsidRPr="00200996">
        <w:rPr>
          <w:sz w:val="24"/>
          <w:szCs w:val="24"/>
        </w:rPr>
        <w:t>Fathi</w:t>
      </w:r>
      <w:proofErr w:type="spellEnd"/>
      <w:r w:rsidRPr="00200996">
        <w:rPr>
          <w:sz w:val="24"/>
          <w:szCs w:val="24"/>
        </w:rPr>
        <w:t xml:space="preserve"> el- </w:t>
      </w:r>
      <w:proofErr w:type="spellStart"/>
      <w:r w:rsidRPr="00200996">
        <w:rPr>
          <w:sz w:val="24"/>
          <w:szCs w:val="24"/>
        </w:rPr>
        <w:t>Bayoumi</w:t>
      </w:r>
      <w:proofErr w:type="spellEnd"/>
      <w:r w:rsidRPr="00200996">
        <w:rPr>
          <w:sz w:val="24"/>
          <w:szCs w:val="24"/>
        </w:rPr>
        <w:t xml:space="preserve">, did not occur until three weeks after Ahmed’s arrest, at a time when he was in detention being tortured by police. </w:t>
      </w:r>
    </w:p>
    <w:p w14:paraId="0D687C7E" w14:textId="77777777" w:rsidR="00C91FFA" w:rsidRPr="002055A9" w:rsidRDefault="00C91FFA" w:rsidP="00C91FFA">
      <w:pPr>
        <w:spacing w:line="276" w:lineRule="auto"/>
        <w:ind w:left="357"/>
        <w:jc w:val="both"/>
        <w:rPr>
          <w:sz w:val="24"/>
          <w:szCs w:val="24"/>
        </w:rPr>
      </w:pPr>
      <w:r w:rsidRPr="00200996">
        <w:rPr>
          <w:sz w:val="24"/>
          <w:szCs w:val="24"/>
        </w:rPr>
        <w:t xml:space="preserve">Following his forced confession, Ahmed was tried as an adult in a mass trial of 30 people in contravention of domestic and international law. During the trial, Ahmed was never allowed to meet with his lawyer and his torture allegations were not investigated. At the first trial hearing, Ahmed’s lawyer made clear to the court that his client was a child who had been tortured into making a false confession. Despite this, the court never ordered an investigation into Ahmed’s torture, allowed his false confession to be admitted into evidence, and refused to acknowledge his juvenility. </w:t>
      </w:r>
    </w:p>
    <w:p w14:paraId="7C7CA0A5" w14:textId="77777777" w:rsidR="00C91FFA" w:rsidRPr="002055A9" w:rsidRDefault="00C91FFA" w:rsidP="00C91FFA">
      <w:pPr>
        <w:spacing w:line="276" w:lineRule="auto"/>
        <w:ind w:left="357"/>
        <w:jc w:val="both"/>
        <w:rPr>
          <w:sz w:val="24"/>
          <w:szCs w:val="24"/>
        </w:rPr>
      </w:pPr>
      <w:r w:rsidRPr="00200996">
        <w:rPr>
          <w:sz w:val="24"/>
          <w:szCs w:val="24"/>
        </w:rPr>
        <w:t xml:space="preserve">This trial concluded in February 2018 with confirmed death sentences for Ahmed and three of his co-defendants, even though the court was aware that Ahmed was a child when he was arrested. The written judgment relied almost entirely on Ahmed’s torture-tainted confession, despite his allegations that it was false and extracted through torture. </w:t>
      </w:r>
    </w:p>
    <w:p w14:paraId="542BE6F5" w14:textId="633810CD" w:rsidR="00C91FFA" w:rsidRPr="002055A9" w:rsidRDefault="00C91FFA" w:rsidP="00C91FFA">
      <w:pPr>
        <w:spacing w:line="276" w:lineRule="auto"/>
        <w:ind w:left="357"/>
        <w:jc w:val="both"/>
        <w:rPr>
          <w:sz w:val="24"/>
          <w:szCs w:val="24"/>
        </w:rPr>
      </w:pPr>
      <w:r w:rsidRPr="00200996">
        <w:rPr>
          <w:sz w:val="24"/>
          <w:szCs w:val="24"/>
        </w:rPr>
        <w:t>On 10 June 2019, the Court of Cassation finally recognised Ahmed</w:t>
      </w:r>
      <w:r>
        <w:rPr>
          <w:sz w:val="24"/>
          <w:szCs w:val="24"/>
        </w:rPr>
        <w:t xml:space="preserve"> as a child </w:t>
      </w:r>
      <w:r w:rsidRPr="00200996">
        <w:rPr>
          <w:sz w:val="24"/>
          <w:szCs w:val="24"/>
        </w:rPr>
        <w:t xml:space="preserve">and commuted his sentence to 15 years in prison, the maximum sentence possible under the </w:t>
      </w:r>
      <w:r>
        <w:rPr>
          <w:sz w:val="24"/>
          <w:szCs w:val="24"/>
        </w:rPr>
        <w:t>Child Law.</w:t>
      </w:r>
      <w:r w:rsidRPr="00200996">
        <w:rPr>
          <w:sz w:val="24"/>
          <w:szCs w:val="24"/>
        </w:rPr>
        <w:t xml:space="preserve"> </w:t>
      </w:r>
    </w:p>
    <w:p w14:paraId="41DBE4EB" w14:textId="77777777" w:rsidR="00C91FFA" w:rsidRPr="00C91FFA" w:rsidRDefault="00C91FFA" w:rsidP="00C91FFA">
      <w:pPr>
        <w:spacing w:line="276" w:lineRule="auto"/>
        <w:jc w:val="both"/>
        <w:rPr>
          <w:sz w:val="24"/>
          <w:szCs w:val="24"/>
        </w:rPr>
      </w:pPr>
    </w:p>
    <w:p w14:paraId="59663133" w14:textId="329529CF" w:rsidR="00A85451" w:rsidRPr="00A85451" w:rsidRDefault="00900023" w:rsidP="00CE0F02">
      <w:pPr>
        <w:pStyle w:val="Heading1"/>
        <w:numPr>
          <w:ilvl w:val="0"/>
          <w:numId w:val="22"/>
        </w:numPr>
        <w:spacing w:line="276" w:lineRule="auto"/>
      </w:pPr>
      <w:bookmarkStart w:id="8" w:name="_Toc139285169"/>
      <w:r>
        <w:t>CONCLUSIONS AND RECOMMENDATIONS</w:t>
      </w:r>
      <w:bookmarkEnd w:id="8"/>
    </w:p>
    <w:p w14:paraId="0A97D35A" w14:textId="77777777" w:rsidR="000021C2" w:rsidRPr="000021C2" w:rsidRDefault="000021C2" w:rsidP="0089596E">
      <w:pPr>
        <w:spacing w:line="276" w:lineRule="auto"/>
      </w:pPr>
    </w:p>
    <w:p w14:paraId="22F67932" w14:textId="1634CE77" w:rsidR="00A85451" w:rsidRPr="000021C2" w:rsidRDefault="00AE4ED3" w:rsidP="008F3E11">
      <w:pPr>
        <w:pStyle w:val="ListParagraph"/>
        <w:numPr>
          <w:ilvl w:val="0"/>
          <w:numId w:val="3"/>
        </w:numPr>
        <w:spacing w:line="276" w:lineRule="auto"/>
        <w:jc w:val="both"/>
        <w:rPr>
          <w:sz w:val="24"/>
          <w:szCs w:val="24"/>
        </w:rPr>
      </w:pPr>
      <w:r>
        <w:rPr>
          <w:sz w:val="24"/>
          <w:szCs w:val="24"/>
        </w:rPr>
        <w:t xml:space="preserve">Egypt’s Child Law does not sufficiently protect children from the death penalty. Children are sentenced to death in breach of domestic and international law.  Reactive provisions in the Child Law place children at risk of a death sentence before they are properly identified as children either by chance or on appeal. </w:t>
      </w:r>
    </w:p>
    <w:p w14:paraId="6494401D" w14:textId="77777777" w:rsidR="00A85451" w:rsidRPr="000021C2" w:rsidRDefault="00A85451" w:rsidP="0089596E">
      <w:pPr>
        <w:pStyle w:val="ListParagraph"/>
        <w:spacing w:line="276" w:lineRule="auto"/>
        <w:jc w:val="both"/>
        <w:rPr>
          <w:sz w:val="24"/>
          <w:szCs w:val="24"/>
        </w:rPr>
      </w:pPr>
    </w:p>
    <w:p w14:paraId="266C8748" w14:textId="6F163AF6" w:rsidR="00A85451" w:rsidRDefault="00AE4ED3" w:rsidP="008F3E11">
      <w:pPr>
        <w:pStyle w:val="ListParagraph"/>
        <w:numPr>
          <w:ilvl w:val="0"/>
          <w:numId w:val="3"/>
        </w:numPr>
        <w:spacing w:line="276" w:lineRule="auto"/>
        <w:jc w:val="both"/>
        <w:rPr>
          <w:sz w:val="24"/>
          <w:szCs w:val="24"/>
        </w:rPr>
      </w:pPr>
      <w:r>
        <w:rPr>
          <w:sz w:val="24"/>
          <w:szCs w:val="24"/>
        </w:rPr>
        <w:t>Children end up caught in the mass complex system and at risk of the death penalty because of provisions that enable them to be tried alongside adults, as well as insufficient legal safeguards to ensure they are identified as children early on in proceedings.</w:t>
      </w:r>
    </w:p>
    <w:p w14:paraId="2C8E9A77" w14:textId="77777777" w:rsidR="00A85451" w:rsidRPr="000A250A" w:rsidRDefault="00A85451" w:rsidP="0089596E">
      <w:pPr>
        <w:pStyle w:val="ListParagraph"/>
        <w:spacing w:line="276" w:lineRule="auto"/>
        <w:jc w:val="both"/>
        <w:rPr>
          <w:sz w:val="24"/>
          <w:szCs w:val="24"/>
        </w:rPr>
      </w:pPr>
    </w:p>
    <w:p w14:paraId="75C8A1BE" w14:textId="09A81F73" w:rsidR="00A85451" w:rsidRDefault="00AE4ED3" w:rsidP="008F3E11">
      <w:pPr>
        <w:pStyle w:val="ListParagraph"/>
        <w:numPr>
          <w:ilvl w:val="0"/>
          <w:numId w:val="3"/>
        </w:numPr>
        <w:spacing w:line="276" w:lineRule="auto"/>
        <w:jc w:val="both"/>
        <w:rPr>
          <w:sz w:val="24"/>
          <w:szCs w:val="24"/>
        </w:rPr>
      </w:pPr>
      <w:r>
        <w:rPr>
          <w:sz w:val="24"/>
          <w:szCs w:val="24"/>
        </w:rPr>
        <w:t>We therefore recommend the following for inclusion in the List of Issues for Egypt’s review before the Committee on the Rights of the Child:</w:t>
      </w:r>
    </w:p>
    <w:p w14:paraId="1E379F74" w14:textId="77777777" w:rsidR="0028064C" w:rsidRPr="0028064C" w:rsidRDefault="0028064C" w:rsidP="0028064C">
      <w:pPr>
        <w:pStyle w:val="ListParagraph"/>
        <w:rPr>
          <w:sz w:val="24"/>
          <w:szCs w:val="24"/>
        </w:rPr>
      </w:pPr>
    </w:p>
    <w:p w14:paraId="162ED896" w14:textId="77777777" w:rsidR="0028064C" w:rsidRDefault="0028064C" w:rsidP="0028064C">
      <w:pPr>
        <w:pStyle w:val="ListParagraph"/>
        <w:spacing w:line="276" w:lineRule="auto"/>
        <w:jc w:val="both"/>
        <w:rPr>
          <w:sz w:val="24"/>
          <w:szCs w:val="24"/>
        </w:rPr>
      </w:pPr>
    </w:p>
    <w:p w14:paraId="32648E71" w14:textId="33A4D80C" w:rsidR="0028064C" w:rsidRDefault="0028064C" w:rsidP="00F55FB0">
      <w:pPr>
        <w:pStyle w:val="Heading2"/>
      </w:pPr>
      <w:bookmarkStart w:id="9" w:name="_Toc139285170"/>
      <w:r w:rsidRPr="0028064C">
        <w:t>On the Right to Life</w:t>
      </w:r>
      <w:bookmarkEnd w:id="9"/>
    </w:p>
    <w:p w14:paraId="17E5CCF4" w14:textId="77777777" w:rsidR="0028064C" w:rsidRDefault="0028064C" w:rsidP="0028064C">
      <w:pPr>
        <w:pStyle w:val="ListParagraph"/>
        <w:spacing w:line="276" w:lineRule="auto"/>
        <w:jc w:val="both"/>
        <w:rPr>
          <w:b/>
          <w:bCs/>
          <w:i/>
          <w:iCs/>
          <w:sz w:val="24"/>
          <w:szCs w:val="24"/>
        </w:rPr>
      </w:pPr>
    </w:p>
    <w:p w14:paraId="00FB10D7" w14:textId="2638F563" w:rsidR="00F55FB0" w:rsidRDefault="00F55FB0" w:rsidP="000C1B0C">
      <w:pPr>
        <w:pStyle w:val="ListParagraph"/>
        <w:numPr>
          <w:ilvl w:val="0"/>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cstheme="minorHAnsi"/>
          <w:sz w:val="24"/>
          <w:szCs w:val="24"/>
        </w:rPr>
      </w:pPr>
      <w:r w:rsidRPr="000C1B0C">
        <w:rPr>
          <w:rFonts w:cstheme="minorHAnsi"/>
          <w:sz w:val="24"/>
          <w:szCs w:val="24"/>
        </w:rPr>
        <w:t>Please provide information on how</w:t>
      </w:r>
      <w:r w:rsidR="00FF124F" w:rsidRPr="000C1B0C">
        <w:rPr>
          <w:rFonts w:cstheme="minorHAnsi"/>
          <w:sz w:val="24"/>
          <w:szCs w:val="24"/>
        </w:rPr>
        <w:t xml:space="preserve"> many </w:t>
      </w:r>
      <w:r w:rsidRPr="000C1B0C">
        <w:rPr>
          <w:rFonts w:cstheme="minorHAnsi"/>
          <w:sz w:val="24"/>
          <w:szCs w:val="24"/>
        </w:rPr>
        <w:t xml:space="preserve">children have been identified as wrongly sentenced to death in line </w:t>
      </w:r>
      <w:r w:rsidR="00740736">
        <w:rPr>
          <w:rFonts w:cstheme="minorHAnsi"/>
          <w:sz w:val="24"/>
          <w:szCs w:val="24"/>
        </w:rPr>
        <w:t xml:space="preserve">with </w:t>
      </w:r>
      <w:r w:rsidRPr="000C1B0C">
        <w:rPr>
          <w:rFonts w:cstheme="minorHAnsi"/>
          <w:sz w:val="24"/>
          <w:szCs w:val="24"/>
        </w:rPr>
        <w:t>Article 133 of the Child Law, including</w:t>
      </w:r>
      <w:r w:rsidR="00FF124F" w:rsidRPr="000C1B0C">
        <w:rPr>
          <w:rFonts w:cstheme="minorHAnsi"/>
          <w:sz w:val="24"/>
          <w:szCs w:val="24"/>
        </w:rPr>
        <w:t>:</w:t>
      </w:r>
    </w:p>
    <w:p w14:paraId="3395E8C8" w14:textId="77777777" w:rsidR="000C1B0C" w:rsidRPr="000C1B0C" w:rsidRDefault="000C1B0C" w:rsidP="000C1B0C">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440"/>
        <w:jc w:val="both"/>
        <w:rPr>
          <w:rFonts w:cstheme="minorHAnsi"/>
          <w:sz w:val="24"/>
          <w:szCs w:val="24"/>
        </w:rPr>
      </w:pPr>
    </w:p>
    <w:p w14:paraId="73CEE634" w14:textId="7F50E418" w:rsidR="00FF124F" w:rsidRPr="000C1B0C" w:rsidRDefault="00FF124F" w:rsidP="000C1B0C">
      <w:pPr>
        <w:pStyle w:val="ListParagraph"/>
        <w:numPr>
          <w:ilvl w:val="1"/>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cstheme="minorHAnsi"/>
          <w:sz w:val="24"/>
          <w:szCs w:val="24"/>
        </w:rPr>
      </w:pPr>
      <w:r w:rsidRPr="000C1B0C">
        <w:rPr>
          <w:rFonts w:cstheme="minorHAnsi"/>
          <w:sz w:val="24"/>
          <w:szCs w:val="24"/>
        </w:rPr>
        <w:t>The number of recorded instances where sentences were reconsidered when official documents were provided to show that a child was under 15 at the time of the offence;</w:t>
      </w:r>
    </w:p>
    <w:p w14:paraId="3305BB3E" w14:textId="79528864" w:rsidR="00FF124F" w:rsidRPr="000C1B0C" w:rsidRDefault="00FF124F" w:rsidP="000C1B0C">
      <w:pPr>
        <w:pStyle w:val="ListParagraph"/>
        <w:numPr>
          <w:ilvl w:val="1"/>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cstheme="minorHAnsi"/>
          <w:sz w:val="24"/>
          <w:szCs w:val="24"/>
        </w:rPr>
      </w:pPr>
      <w:r w:rsidRPr="000C1B0C">
        <w:rPr>
          <w:rFonts w:cstheme="minorHAnsi"/>
          <w:sz w:val="24"/>
          <w:szCs w:val="24"/>
        </w:rPr>
        <w:t>The number of recorded instances where the Attorney General referred cases back to the trial court when official documents were provided to show that the person was under 18 at the time of the alleged offence for which they were sentenced to death;</w:t>
      </w:r>
    </w:p>
    <w:p w14:paraId="56472491" w14:textId="4970F74E" w:rsidR="00FF124F" w:rsidRDefault="00FF124F" w:rsidP="000C1B0C">
      <w:pPr>
        <w:pStyle w:val="ListParagraph"/>
        <w:numPr>
          <w:ilvl w:val="1"/>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cstheme="minorHAnsi"/>
          <w:sz w:val="24"/>
          <w:szCs w:val="24"/>
        </w:rPr>
      </w:pPr>
      <w:r w:rsidRPr="000C1B0C">
        <w:rPr>
          <w:rFonts w:cstheme="minorHAnsi"/>
          <w:sz w:val="24"/>
          <w:szCs w:val="24"/>
        </w:rPr>
        <w:t>Please clarify what is meant by ‘official documents’ for the purpose of proving age and whether mechanisms exist earlier in proceedings to identify children where there is a risk of the death penalty</w:t>
      </w:r>
      <w:r w:rsidR="000C1B0C">
        <w:rPr>
          <w:rFonts w:cstheme="minorHAnsi"/>
          <w:sz w:val="24"/>
          <w:szCs w:val="24"/>
        </w:rPr>
        <w:t>.</w:t>
      </w:r>
    </w:p>
    <w:p w14:paraId="3F6DFA46" w14:textId="77777777" w:rsidR="000C1B0C" w:rsidRPr="000C1B0C" w:rsidRDefault="000C1B0C" w:rsidP="000C1B0C">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2160"/>
        <w:jc w:val="both"/>
        <w:rPr>
          <w:rFonts w:cstheme="minorHAnsi"/>
          <w:sz w:val="24"/>
          <w:szCs w:val="24"/>
        </w:rPr>
      </w:pPr>
    </w:p>
    <w:p w14:paraId="63796F5E" w14:textId="6536C39B" w:rsidR="00F55FB0" w:rsidRDefault="0028064C" w:rsidP="000C1B0C">
      <w:pPr>
        <w:pStyle w:val="ListParagraph"/>
        <w:numPr>
          <w:ilvl w:val="0"/>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cstheme="minorHAnsi"/>
          <w:sz w:val="24"/>
          <w:szCs w:val="24"/>
        </w:rPr>
      </w:pPr>
      <w:r w:rsidRPr="0028064C">
        <w:rPr>
          <w:rFonts w:cstheme="minorHAnsi"/>
          <w:sz w:val="24"/>
          <w:szCs w:val="24"/>
        </w:rPr>
        <w:t xml:space="preserve">Please provide data on all persons sentenced to death </w:t>
      </w:r>
      <w:r>
        <w:rPr>
          <w:rFonts w:cstheme="minorHAnsi"/>
          <w:sz w:val="24"/>
          <w:szCs w:val="24"/>
        </w:rPr>
        <w:t>in</w:t>
      </w:r>
      <w:r w:rsidRPr="0028064C">
        <w:rPr>
          <w:rFonts w:cstheme="minorHAnsi"/>
          <w:sz w:val="24"/>
          <w:szCs w:val="24"/>
        </w:rPr>
        <w:t xml:space="preserve"> Egypt and all people executed since 2002, disaggregated by sex, age, ethnicity, nationality, offence, </w:t>
      </w:r>
      <w:r w:rsidRPr="0028064C">
        <w:rPr>
          <w:rFonts w:cstheme="minorHAnsi"/>
          <w:color w:val="000000"/>
          <w:sz w:val="24"/>
          <w:szCs w:val="24"/>
          <w:lang w:bidi="ar-EG"/>
        </w:rPr>
        <w:t>relationship</w:t>
      </w:r>
      <w:r w:rsidRPr="0028064C">
        <w:rPr>
          <w:rFonts w:cstheme="minorHAnsi"/>
          <w:sz w:val="24"/>
          <w:szCs w:val="24"/>
        </w:rPr>
        <w:t xml:space="preserve"> (if any) to the victim, status as a civilian or member of the armed forces, date the death sentence was pronounced, whether the sentence was pronounced in absentia, court pronouncing the death sentence, number of co-defendants at trial, status of any appeals </w:t>
      </w:r>
      <w:proofErr w:type="spellStart"/>
      <w:r w:rsidRPr="0028064C">
        <w:rPr>
          <w:rFonts w:cstheme="minorHAnsi"/>
          <w:sz w:val="24"/>
          <w:szCs w:val="24"/>
        </w:rPr>
        <w:t>or</w:t>
      </w:r>
      <w:proofErr w:type="spellEnd"/>
      <w:r w:rsidRPr="0028064C">
        <w:rPr>
          <w:rFonts w:cstheme="minorHAnsi"/>
          <w:sz w:val="24"/>
          <w:szCs w:val="24"/>
        </w:rPr>
        <w:t xml:space="preserve"> clemency petitions, and date of execution (if applicable);</w:t>
      </w:r>
    </w:p>
    <w:p w14:paraId="02DC30A1" w14:textId="77777777" w:rsidR="00251AA8" w:rsidRDefault="00251AA8" w:rsidP="00733FFD">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440"/>
        <w:jc w:val="both"/>
        <w:rPr>
          <w:rFonts w:cstheme="minorHAnsi"/>
          <w:sz w:val="24"/>
          <w:szCs w:val="24"/>
        </w:rPr>
      </w:pPr>
    </w:p>
    <w:p w14:paraId="1170CF2E" w14:textId="69793ED5" w:rsidR="0028064C" w:rsidRPr="00F55FB0" w:rsidRDefault="0028064C" w:rsidP="000C1B0C">
      <w:pPr>
        <w:pStyle w:val="ListParagraph"/>
        <w:numPr>
          <w:ilvl w:val="0"/>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cstheme="minorHAnsi"/>
          <w:sz w:val="24"/>
          <w:szCs w:val="24"/>
        </w:rPr>
      </w:pPr>
      <w:r w:rsidRPr="00F55FB0">
        <w:rPr>
          <w:rFonts w:cstheme="minorHAnsi"/>
          <w:sz w:val="24"/>
          <w:szCs w:val="24"/>
        </w:rPr>
        <w:t>Please</w:t>
      </w:r>
      <w:r w:rsidRPr="00F55FB0">
        <w:rPr>
          <w:rFonts w:cstheme="minorHAnsi"/>
          <w:sz w:val="24"/>
          <w:szCs w:val="24"/>
          <w:lang w:bidi="ar-EG"/>
        </w:rPr>
        <w:t xml:space="preserve"> clarify the number of mass trials that have included children and steps being taken to ensure that no child </w:t>
      </w:r>
      <w:r w:rsidR="00FF124F">
        <w:rPr>
          <w:rFonts w:cstheme="minorHAnsi"/>
          <w:sz w:val="24"/>
          <w:szCs w:val="24"/>
          <w:lang w:bidi="ar-EG"/>
        </w:rPr>
        <w:t xml:space="preserve">is </w:t>
      </w:r>
      <w:r w:rsidRPr="00F55FB0">
        <w:rPr>
          <w:rFonts w:cstheme="minorHAnsi"/>
          <w:sz w:val="24"/>
          <w:szCs w:val="24"/>
          <w:lang w:bidi="ar-EG"/>
        </w:rPr>
        <w:t>sentenced to death in a mass trial</w:t>
      </w:r>
      <w:r w:rsidR="00F55FB0">
        <w:rPr>
          <w:rFonts w:cstheme="minorHAnsi"/>
          <w:sz w:val="24"/>
          <w:szCs w:val="24"/>
          <w:lang w:bidi="ar-EG"/>
        </w:rPr>
        <w:t>.</w:t>
      </w:r>
    </w:p>
    <w:p w14:paraId="6E374C9D" w14:textId="77777777" w:rsidR="0028064C" w:rsidRDefault="0028064C" w:rsidP="0028064C">
      <w:pPr>
        <w:pStyle w:val="ListParagraph"/>
        <w:spacing w:line="276" w:lineRule="auto"/>
        <w:jc w:val="both"/>
        <w:rPr>
          <w:b/>
          <w:bCs/>
          <w:i/>
          <w:iCs/>
          <w:sz w:val="24"/>
          <w:szCs w:val="24"/>
        </w:rPr>
      </w:pPr>
    </w:p>
    <w:p w14:paraId="221D6C1A" w14:textId="32DECD1E" w:rsidR="00F55FB0" w:rsidRPr="00F55FB0" w:rsidRDefault="0028064C" w:rsidP="00F55FB0">
      <w:pPr>
        <w:pStyle w:val="Heading2"/>
        <w:rPr>
          <w:rFonts w:cstheme="minorBidi"/>
        </w:rPr>
      </w:pPr>
      <w:bookmarkStart w:id="10" w:name="_Toc139285171"/>
      <w:r>
        <w:t>On Special Protection Measures</w:t>
      </w:r>
      <w:bookmarkEnd w:id="10"/>
    </w:p>
    <w:p w14:paraId="1CAEF3F1" w14:textId="77777777" w:rsidR="00FF124F" w:rsidRDefault="00FF124F" w:rsidP="00F55F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jc w:val="both"/>
        <w:rPr>
          <w:rFonts w:cstheme="minorHAnsi"/>
          <w:sz w:val="24"/>
          <w:szCs w:val="24"/>
          <w:lang w:bidi="ar-EG"/>
        </w:rPr>
      </w:pPr>
    </w:p>
    <w:p w14:paraId="37C72861" w14:textId="1F1EA52F" w:rsidR="00FF124F" w:rsidRDefault="00FF124F" w:rsidP="000C1B0C">
      <w:pPr>
        <w:pStyle w:val="ListParagraph"/>
        <w:numPr>
          <w:ilvl w:val="0"/>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cstheme="minorHAnsi"/>
          <w:sz w:val="24"/>
          <w:szCs w:val="24"/>
          <w:lang w:bidi="ar-EG"/>
        </w:rPr>
      </w:pPr>
      <w:r w:rsidRPr="00F55FB0">
        <w:rPr>
          <w:rFonts w:cstheme="minorHAnsi"/>
          <w:sz w:val="24"/>
          <w:szCs w:val="24"/>
          <w:lang w:bidi="ar-EG"/>
        </w:rPr>
        <w:t xml:space="preserve">Please provide information on how children tried alongside adults receive the full gambit of special protection measures to ensure they are </w:t>
      </w:r>
      <w:r>
        <w:rPr>
          <w:rFonts w:cstheme="minorHAnsi"/>
          <w:sz w:val="24"/>
          <w:szCs w:val="24"/>
          <w:lang w:bidi="ar-EG"/>
        </w:rPr>
        <w:t>not at</w:t>
      </w:r>
      <w:r w:rsidRPr="00F55FB0">
        <w:rPr>
          <w:rFonts w:cstheme="minorHAnsi"/>
          <w:sz w:val="24"/>
          <w:szCs w:val="24"/>
          <w:lang w:bidi="ar-EG"/>
        </w:rPr>
        <w:t xml:space="preserve"> risk of the death penalty</w:t>
      </w:r>
      <w:r>
        <w:rPr>
          <w:rFonts w:cstheme="minorHAnsi"/>
          <w:sz w:val="24"/>
          <w:szCs w:val="24"/>
          <w:lang w:bidi="ar-EG"/>
        </w:rPr>
        <w:t>;</w:t>
      </w:r>
    </w:p>
    <w:p w14:paraId="6814E090" w14:textId="77777777" w:rsidR="000C1B0C" w:rsidRDefault="000C1B0C" w:rsidP="000C1B0C">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440"/>
        <w:jc w:val="both"/>
        <w:rPr>
          <w:rFonts w:cstheme="minorHAnsi"/>
          <w:sz w:val="24"/>
          <w:szCs w:val="24"/>
          <w:lang w:bidi="ar-EG"/>
        </w:rPr>
      </w:pPr>
    </w:p>
    <w:p w14:paraId="3CEB8875" w14:textId="50C3594E" w:rsidR="00F55FB0" w:rsidRDefault="00F55FB0" w:rsidP="000C1B0C">
      <w:pPr>
        <w:pStyle w:val="ListParagraph"/>
        <w:numPr>
          <w:ilvl w:val="0"/>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cstheme="minorHAnsi"/>
          <w:sz w:val="24"/>
          <w:szCs w:val="24"/>
          <w:lang w:bidi="ar-EG"/>
        </w:rPr>
      </w:pPr>
      <w:r w:rsidRPr="0028064C">
        <w:rPr>
          <w:rFonts w:cstheme="minorHAnsi"/>
          <w:sz w:val="24"/>
          <w:szCs w:val="24"/>
          <w:lang w:bidi="ar-EG"/>
        </w:rPr>
        <w:t xml:space="preserve">Please provide information on the steps taken by arresting authorities, the prosecution and the judiciary to formally identify children </w:t>
      </w:r>
      <w:r>
        <w:rPr>
          <w:rFonts w:cstheme="minorHAnsi"/>
          <w:sz w:val="24"/>
          <w:szCs w:val="24"/>
          <w:lang w:bidi="ar-EG"/>
        </w:rPr>
        <w:t>in mass trials to ensure they are not sentence</w:t>
      </w:r>
      <w:r w:rsidR="00740736">
        <w:rPr>
          <w:rFonts w:cstheme="minorHAnsi"/>
          <w:sz w:val="24"/>
          <w:szCs w:val="24"/>
          <w:lang w:bidi="ar-EG"/>
        </w:rPr>
        <w:t>d</w:t>
      </w:r>
      <w:r>
        <w:rPr>
          <w:rFonts w:cstheme="minorHAnsi"/>
          <w:sz w:val="24"/>
          <w:szCs w:val="24"/>
          <w:lang w:bidi="ar-EG"/>
        </w:rPr>
        <w:t xml:space="preserve"> to death;</w:t>
      </w:r>
    </w:p>
    <w:p w14:paraId="59F3830E" w14:textId="77777777" w:rsidR="000C1B0C" w:rsidRPr="000C1B0C" w:rsidRDefault="000C1B0C" w:rsidP="000C1B0C">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440"/>
        <w:jc w:val="both"/>
        <w:rPr>
          <w:rFonts w:cstheme="minorHAnsi"/>
          <w:sz w:val="24"/>
          <w:szCs w:val="24"/>
          <w:lang w:bidi="ar-EG"/>
        </w:rPr>
      </w:pPr>
    </w:p>
    <w:p w14:paraId="5B7D0F05" w14:textId="11F4D8A9" w:rsidR="00F55FB0" w:rsidRDefault="00F55FB0" w:rsidP="000C1B0C">
      <w:pPr>
        <w:pStyle w:val="ListParagraph"/>
        <w:numPr>
          <w:ilvl w:val="0"/>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cstheme="minorHAnsi"/>
          <w:sz w:val="24"/>
          <w:szCs w:val="24"/>
          <w:lang w:bidi="ar-EG"/>
        </w:rPr>
      </w:pPr>
      <w:r>
        <w:rPr>
          <w:rFonts w:cstheme="minorHAnsi"/>
          <w:sz w:val="24"/>
          <w:szCs w:val="24"/>
          <w:lang w:bidi="ar-EG"/>
        </w:rPr>
        <w:t>Please detail the steps taken to ensure that children alleged to have come into conflict with the law are provided prompt access to lawyers and that their family is notified of their arrest</w:t>
      </w:r>
      <w:r w:rsidR="00FF124F">
        <w:rPr>
          <w:rFonts w:cstheme="minorHAnsi"/>
          <w:sz w:val="24"/>
          <w:szCs w:val="24"/>
          <w:lang w:bidi="ar-EG"/>
        </w:rPr>
        <w:t>.</w:t>
      </w:r>
    </w:p>
    <w:p w14:paraId="60CD4042" w14:textId="77777777" w:rsidR="0028064C" w:rsidRDefault="0028064C" w:rsidP="0028064C">
      <w:pPr>
        <w:pStyle w:val="ListParagraph"/>
        <w:spacing w:line="276" w:lineRule="auto"/>
        <w:jc w:val="both"/>
        <w:rPr>
          <w:b/>
          <w:bCs/>
          <w:i/>
          <w:iCs/>
          <w:sz w:val="24"/>
          <w:szCs w:val="24"/>
        </w:rPr>
      </w:pPr>
    </w:p>
    <w:p w14:paraId="4BF70EC2" w14:textId="58BD7746" w:rsidR="00AE4ED3" w:rsidRDefault="0028064C" w:rsidP="00F55FB0">
      <w:pPr>
        <w:pStyle w:val="Heading2"/>
      </w:pPr>
      <w:bookmarkStart w:id="11" w:name="_Toc139285172"/>
      <w:r>
        <w:t>On Violence Against Children</w:t>
      </w:r>
      <w:bookmarkEnd w:id="11"/>
      <w:r>
        <w:t xml:space="preserve"> </w:t>
      </w:r>
    </w:p>
    <w:p w14:paraId="4480000B" w14:textId="77777777" w:rsidR="0028064C" w:rsidRPr="0028064C" w:rsidRDefault="0028064C" w:rsidP="0028064C">
      <w:pPr>
        <w:pStyle w:val="ListParagraph"/>
        <w:spacing w:line="276" w:lineRule="auto"/>
        <w:jc w:val="both"/>
        <w:rPr>
          <w:b/>
          <w:bCs/>
          <w:i/>
          <w:iCs/>
          <w:sz w:val="24"/>
          <w:szCs w:val="24"/>
        </w:rPr>
      </w:pPr>
    </w:p>
    <w:p w14:paraId="6CAF2536" w14:textId="3B831C34" w:rsidR="00FF124F" w:rsidRDefault="00AE4ED3" w:rsidP="000C1B0C">
      <w:pPr>
        <w:pStyle w:val="ListParagraph"/>
        <w:numPr>
          <w:ilvl w:val="0"/>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cstheme="minorHAnsi"/>
          <w:sz w:val="24"/>
          <w:szCs w:val="24"/>
          <w:lang w:bidi="ar-EG"/>
        </w:rPr>
      </w:pPr>
      <w:r w:rsidRPr="000D7683">
        <w:rPr>
          <w:rFonts w:cstheme="minorHAnsi"/>
          <w:sz w:val="24"/>
          <w:szCs w:val="24"/>
          <w:lang w:bidi="ar-EG"/>
        </w:rPr>
        <w:t xml:space="preserve">Please </w:t>
      </w:r>
      <w:r w:rsidR="00FF124F">
        <w:rPr>
          <w:rFonts w:cstheme="minorHAnsi"/>
          <w:sz w:val="24"/>
          <w:szCs w:val="24"/>
          <w:lang w:bidi="ar-EG"/>
        </w:rPr>
        <w:t>provide information on</w:t>
      </w:r>
      <w:r w:rsidRPr="000D7683">
        <w:rPr>
          <w:rFonts w:cstheme="minorHAnsi"/>
          <w:sz w:val="24"/>
          <w:szCs w:val="24"/>
          <w:lang w:bidi="ar-EG"/>
        </w:rPr>
        <w:t xml:space="preserve"> </w:t>
      </w:r>
      <w:r w:rsidR="00FF124F">
        <w:rPr>
          <w:rFonts w:cstheme="minorHAnsi"/>
          <w:sz w:val="24"/>
          <w:szCs w:val="24"/>
          <w:lang w:bidi="ar-EG"/>
        </w:rPr>
        <w:t>the number of children who have raised allegations of torture and ill-treatment when they are alleged to have come into conflict with the law;</w:t>
      </w:r>
    </w:p>
    <w:p w14:paraId="65CEA0FC" w14:textId="77777777" w:rsidR="00FF124F" w:rsidRDefault="00FF124F" w:rsidP="000C1B0C">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440"/>
        <w:jc w:val="both"/>
        <w:rPr>
          <w:rFonts w:cstheme="minorHAnsi"/>
          <w:sz w:val="24"/>
          <w:szCs w:val="24"/>
          <w:lang w:bidi="ar-EG"/>
        </w:rPr>
      </w:pPr>
    </w:p>
    <w:p w14:paraId="6C721E08" w14:textId="4ED96717" w:rsidR="00FF124F" w:rsidRDefault="00FF124F" w:rsidP="000C1B0C">
      <w:pPr>
        <w:pStyle w:val="ListParagraph"/>
        <w:numPr>
          <w:ilvl w:val="0"/>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cstheme="minorHAnsi"/>
          <w:sz w:val="24"/>
          <w:szCs w:val="24"/>
          <w:lang w:bidi="ar-EG"/>
        </w:rPr>
      </w:pPr>
      <w:r>
        <w:rPr>
          <w:rFonts w:cstheme="minorHAnsi"/>
          <w:sz w:val="24"/>
          <w:szCs w:val="24"/>
          <w:lang w:bidi="ar-EG"/>
        </w:rPr>
        <w:t>Please provide information on what steps are taken by Egyptian authorities to investigate allegations of torture and ill-treatment in line with international minimum standards;</w:t>
      </w:r>
    </w:p>
    <w:p w14:paraId="158E2077" w14:textId="77777777" w:rsidR="00FF124F" w:rsidRDefault="00FF124F" w:rsidP="000C1B0C">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440"/>
        <w:jc w:val="both"/>
        <w:rPr>
          <w:rFonts w:cstheme="minorHAnsi"/>
          <w:sz w:val="24"/>
          <w:szCs w:val="24"/>
          <w:lang w:bidi="ar-EG"/>
        </w:rPr>
      </w:pPr>
    </w:p>
    <w:p w14:paraId="7D93EB06" w14:textId="3F5B22B0" w:rsidR="00361900" w:rsidRPr="002D4817" w:rsidRDefault="00FF124F" w:rsidP="002D4817">
      <w:pPr>
        <w:pStyle w:val="ListParagraph"/>
        <w:numPr>
          <w:ilvl w:val="0"/>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cstheme="minorHAnsi"/>
          <w:sz w:val="24"/>
          <w:szCs w:val="24"/>
          <w:lang w:bidi="ar-EG"/>
        </w:rPr>
      </w:pPr>
      <w:r>
        <w:rPr>
          <w:rFonts w:cstheme="minorHAnsi"/>
          <w:sz w:val="24"/>
          <w:szCs w:val="24"/>
          <w:lang w:bidi="ar-EG"/>
        </w:rPr>
        <w:t>Please provide information on remedies available to children who have been the victims of state of violence and how they are provided access to such remedies.</w:t>
      </w:r>
    </w:p>
    <w:sectPr w:rsidR="00361900" w:rsidRPr="002D4817" w:rsidSect="0006565B">
      <w:headerReference w:type="default" r:id="rId8"/>
      <w:footerReference w:type="default" r:id="rId9"/>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82A3A3" w14:textId="77777777" w:rsidR="005B2F21" w:rsidRDefault="005B2F21" w:rsidP="00960207">
      <w:pPr>
        <w:spacing w:after="0" w:line="240" w:lineRule="auto"/>
      </w:pPr>
      <w:r>
        <w:separator/>
      </w:r>
    </w:p>
  </w:endnote>
  <w:endnote w:type="continuationSeparator" w:id="0">
    <w:p w14:paraId="00856B55" w14:textId="77777777" w:rsidR="005B2F21" w:rsidRDefault="005B2F21" w:rsidP="00960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ssistant ExtraLight">
    <w:charset w:val="B1"/>
    <w:family w:val="auto"/>
    <w:pitch w:val="variable"/>
    <w:sig w:usb0="A00008FF" w:usb1="4000204B" w:usb2="00000000" w:usb3="00000000" w:csb0="00000021" w:csb1="00000000"/>
  </w:font>
  <w:font w:name="Archivo">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D29E94" w14:textId="489A0A64" w:rsidR="009A4B99" w:rsidRPr="00733FFD" w:rsidRDefault="009A4B99">
    <w:pPr>
      <w:pStyle w:val="Footer"/>
      <w:jc w:val="center"/>
    </w:pPr>
    <w:r w:rsidRPr="00733FFD">
      <w:t xml:space="preserve">Page </w:t>
    </w:r>
    <w:r w:rsidRPr="00733FFD">
      <w:fldChar w:fldCharType="begin"/>
    </w:r>
    <w:r w:rsidRPr="00733FFD">
      <w:rPr>
        <w:color w:val="5B9BD5" w:themeColor="accent1"/>
      </w:rPr>
      <w:instrText xml:space="preserve"> PAGE  \* Arabic  \* MERGEFORMAT </w:instrText>
    </w:r>
    <w:r w:rsidRPr="00733FFD">
      <w:fldChar w:fldCharType="separate"/>
    </w:r>
    <w:r w:rsidR="002504E0" w:rsidRPr="002504E0">
      <w:rPr>
        <w:noProof/>
      </w:rPr>
      <w:t>2</w:t>
    </w:r>
    <w:r w:rsidRPr="00733FFD">
      <w:fldChar w:fldCharType="end"/>
    </w:r>
    <w:r w:rsidRPr="00733FFD">
      <w:t xml:space="preserve"> of </w:t>
    </w:r>
    <w:r w:rsidR="00F871F8">
      <w:fldChar w:fldCharType="begin"/>
    </w:r>
    <w:r w:rsidR="00F871F8">
      <w:instrText xml:space="preserve"> NUMPAGES  \* Arabic  \* MERGEFORMAT </w:instrText>
    </w:r>
    <w:r w:rsidR="00F871F8">
      <w:fldChar w:fldCharType="separate"/>
    </w:r>
    <w:r w:rsidR="002504E0">
      <w:rPr>
        <w:noProof/>
      </w:rPr>
      <w:t>14</w:t>
    </w:r>
    <w:r w:rsidR="00F871F8">
      <w:rPr>
        <w:noProof/>
      </w:rPr>
      <w:fldChar w:fldCharType="end"/>
    </w:r>
  </w:p>
  <w:p w14:paraId="2730D80D" w14:textId="77777777" w:rsidR="00ED37AE" w:rsidRDefault="00ED37A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EC31F8" w14:textId="77777777" w:rsidR="005B2F21" w:rsidRDefault="005B2F21" w:rsidP="00960207">
      <w:pPr>
        <w:spacing w:after="0" w:line="240" w:lineRule="auto"/>
      </w:pPr>
      <w:r>
        <w:separator/>
      </w:r>
    </w:p>
  </w:footnote>
  <w:footnote w:type="continuationSeparator" w:id="0">
    <w:p w14:paraId="3CAE6227" w14:textId="77777777" w:rsidR="005B2F21" w:rsidRDefault="005B2F21" w:rsidP="00960207">
      <w:pPr>
        <w:spacing w:after="0" w:line="240" w:lineRule="auto"/>
      </w:pPr>
      <w:r>
        <w:continuationSeparator/>
      </w:r>
    </w:p>
  </w:footnote>
  <w:footnote w:id="1">
    <w:p w14:paraId="4A46C8A6" w14:textId="728341FA" w:rsidR="00B46479" w:rsidRPr="009A4B99" w:rsidRDefault="00B46479" w:rsidP="00B46479">
      <w:pPr>
        <w:pStyle w:val="Pa16"/>
        <w:spacing w:line="240" w:lineRule="auto"/>
        <w:jc w:val="both"/>
        <w:rPr>
          <w:rFonts w:asciiTheme="minorHAnsi" w:hAnsiTheme="minorHAnsi" w:cstheme="minorHAnsi"/>
          <w:sz w:val="20"/>
          <w:szCs w:val="20"/>
        </w:rPr>
      </w:pPr>
      <w:r w:rsidRPr="009A4B99">
        <w:rPr>
          <w:rStyle w:val="FootnoteReference"/>
          <w:rFonts w:asciiTheme="minorHAnsi" w:hAnsiTheme="minorHAnsi" w:cstheme="minorHAnsi"/>
          <w:sz w:val="20"/>
          <w:szCs w:val="20"/>
        </w:rPr>
        <w:footnoteRef/>
      </w:r>
      <w:r w:rsidRPr="009A4B99">
        <w:rPr>
          <w:rFonts w:asciiTheme="minorHAnsi" w:hAnsiTheme="minorHAnsi" w:cstheme="minorHAnsi"/>
          <w:sz w:val="20"/>
          <w:szCs w:val="20"/>
        </w:rPr>
        <w:t xml:space="preserve"> </w:t>
      </w:r>
      <w:r w:rsidRPr="009A4B99">
        <w:rPr>
          <w:rStyle w:val="A14"/>
          <w:rFonts w:asciiTheme="minorHAnsi" w:hAnsiTheme="minorHAnsi" w:cstheme="minorHAnsi"/>
          <w:color w:val="auto"/>
          <w:sz w:val="20"/>
          <w:szCs w:val="20"/>
        </w:rPr>
        <w:t xml:space="preserve">Egypt: Law No. 10 of 1914; see also Cairo Institute for Human Rights Studies, </w:t>
      </w:r>
      <w:r w:rsidRPr="009A4B99">
        <w:rPr>
          <w:rStyle w:val="A14"/>
          <w:rFonts w:asciiTheme="minorHAnsi" w:hAnsiTheme="minorHAnsi" w:cstheme="minorHAnsi"/>
          <w:i/>
          <w:iCs/>
          <w:color w:val="auto"/>
          <w:sz w:val="20"/>
          <w:szCs w:val="20"/>
        </w:rPr>
        <w:t>Towards the Emancipation of Egypt: A Study on Assembly Law 10/1914,</w:t>
      </w:r>
      <w:r w:rsidRPr="009A4B99">
        <w:rPr>
          <w:rStyle w:val="A14"/>
          <w:rFonts w:asciiTheme="minorHAnsi" w:hAnsiTheme="minorHAnsi" w:cstheme="minorHAnsi"/>
          <w:color w:val="auto"/>
          <w:sz w:val="20"/>
          <w:szCs w:val="20"/>
        </w:rPr>
        <w:t xml:space="preserve"> January 2017, available at: </w:t>
      </w:r>
      <w:hyperlink r:id="rId1" w:history="1">
        <w:r w:rsidRPr="009A4B99">
          <w:rPr>
            <w:rStyle w:val="Hyperlink"/>
            <w:rFonts w:asciiTheme="minorHAnsi" w:hAnsiTheme="minorHAnsi" w:cstheme="minorHAnsi"/>
            <w:color w:val="auto"/>
            <w:sz w:val="20"/>
            <w:szCs w:val="20"/>
          </w:rPr>
          <w:t>https://www.cihrs.org/wp-content/uploads/2017/01/Towards_the_em_of_Eg_eng.pdf</w:t>
        </w:r>
      </w:hyperlink>
      <w:r w:rsidRPr="009A4B99">
        <w:rPr>
          <w:rStyle w:val="Hyperlink"/>
          <w:rFonts w:asciiTheme="minorHAnsi" w:hAnsiTheme="minorHAnsi" w:cstheme="minorHAnsi"/>
          <w:color w:val="auto"/>
          <w:sz w:val="20"/>
          <w:szCs w:val="20"/>
        </w:rPr>
        <w:t>.</w:t>
      </w:r>
      <w:r w:rsidRPr="009A4B99">
        <w:rPr>
          <w:rStyle w:val="A14"/>
          <w:rFonts w:asciiTheme="minorHAnsi" w:hAnsiTheme="minorHAnsi" w:cstheme="minorHAnsi"/>
          <w:color w:val="auto"/>
          <w:sz w:val="20"/>
          <w:szCs w:val="20"/>
        </w:rPr>
        <w:t xml:space="preserve"> </w:t>
      </w:r>
    </w:p>
  </w:footnote>
  <w:footnote w:id="2">
    <w:p w14:paraId="43292F25" w14:textId="77777777" w:rsidR="00A3078A" w:rsidRPr="009A4B99" w:rsidRDefault="00B46479" w:rsidP="00A3078A">
      <w:pPr>
        <w:pStyle w:val="FootnoteText"/>
        <w:jc w:val="both"/>
        <w:rPr>
          <w:rFonts w:cstheme="minorHAnsi"/>
        </w:rPr>
      </w:pPr>
      <w:r w:rsidRPr="009A4B99">
        <w:rPr>
          <w:rStyle w:val="FootnoteReference"/>
        </w:rPr>
        <w:footnoteRef/>
      </w:r>
      <w:r w:rsidRPr="009A4B99">
        <w:t xml:space="preserve"> </w:t>
      </w:r>
      <w:r w:rsidR="00A3078A" w:rsidRPr="009A4B99">
        <w:rPr>
          <w:rFonts w:cstheme="minorHAnsi"/>
        </w:rPr>
        <w:t xml:space="preserve">Egypt: Law no. 12 of 1996 Promulgating the Child Law amended by Law no.126 of 2008, article 133, unofficial English translation available at: </w:t>
      </w:r>
    </w:p>
    <w:p w14:paraId="0D5A9269" w14:textId="1E0282FF" w:rsidR="00B46479" w:rsidRPr="009A4B99" w:rsidRDefault="00F871F8" w:rsidP="00A3078A">
      <w:pPr>
        <w:pStyle w:val="FootnoteText"/>
      </w:pPr>
      <w:hyperlink r:id="rId2" w:history="1">
        <w:r w:rsidR="00A3078A" w:rsidRPr="009A4B99">
          <w:rPr>
            <w:rStyle w:val="Hyperlink"/>
            <w:rFonts w:cstheme="minorHAnsi"/>
            <w:color w:val="auto"/>
          </w:rPr>
          <w:t>https://sherloc.unodc.org/cld/uploads/res/document/egy/2002/egypt_child_act_english_html/Egypt_Child_Act_English.pdf</w:t>
        </w:r>
      </w:hyperlink>
      <w:r w:rsidR="00A3078A" w:rsidRPr="009A4B99">
        <w:rPr>
          <w:rFonts w:cstheme="minorHAnsi"/>
        </w:rPr>
        <w:t>.</w:t>
      </w:r>
    </w:p>
  </w:footnote>
  <w:footnote w:id="3">
    <w:p w14:paraId="28D9CCCA" w14:textId="5A6C0CA6" w:rsidR="00B46479" w:rsidRPr="009A4B99" w:rsidRDefault="00B46479">
      <w:pPr>
        <w:pStyle w:val="FootnoteText"/>
      </w:pPr>
      <w:r w:rsidRPr="009A4B99">
        <w:rPr>
          <w:rStyle w:val="FootnoteReference"/>
        </w:rPr>
        <w:footnoteRef/>
      </w:r>
      <w:r w:rsidRPr="009A4B99">
        <w:t xml:space="preserve"> Reprieve, </w:t>
      </w:r>
      <w:r w:rsidRPr="009A4B99">
        <w:rPr>
          <w:i/>
          <w:iCs/>
        </w:rPr>
        <w:t>‘The Death Penalty in Egypt – Ten Years after the Uprising’</w:t>
      </w:r>
      <w:r w:rsidRPr="009A4B99">
        <w:t xml:space="preserve"> (January 2022), p4, available at: </w:t>
      </w:r>
      <w:hyperlink r:id="rId3" w:history="1">
        <w:r w:rsidR="009A4B99" w:rsidRPr="00392FBF">
          <w:rPr>
            <w:rStyle w:val="Hyperlink"/>
            <w:color w:val="auto"/>
          </w:rPr>
          <w:t>https://reprieve.org/uk/2021/05/24/the-death-penalty-in-egypt-ten-year-after-the-uprising/</w:t>
        </w:r>
      </w:hyperlink>
      <w:r w:rsidR="009A4B99" w:rsidRPr="009A4B99">
        <w:t xml:space="preserve">. </w:t>
      </w:r>
    </w:p>
  </w:footnote>
  <w:footnote w:id="4">
    <w:p w14:paraId="2A658BCD" w14:textId="184FE34C" w:rsidR="00B46479" w:rsidRPr="009A4B99" w:rsidRDefault="00B46479">
      <w:pPr>
        <w:pStyle w:val="FootnoteText"/>
      </w:pPr>
      <w:r w:rsidRPr="009A4B99">
        <w:rPr>
          <w:rStyle w:val="FootnoteReference"/>
        </w:rPr>
        <w:footnoteRef/>
      </w:r>
      <w:r w:rsidRPr="009A4B99">
        <w:t xml:space="preserve"> Reprieve, </w:t>
      </w:r>
      <w:r w:rsidRPr="009A4B99">
        <w:rPr>
          <w:i/>
          <w:iCs/>
        </w:rPr>
        <w:t>‘The Death Penalty in Egypt – Ten Years after the Uprising’</w:t>
      </w:r>
      <w:r w:rsidRPr="009A4B99">
        <w:t xml:space="preserve"> (January 2022), p4, available at:</w:t>
      </w:r>
      <w:r w:rsidR="009A4B99" w:rsidRPr="009A4B99">
        <w:t xml:space="preserve"> </w:t>
      </w:r>
      <w:hyperlink r:id="rId4" w:history="1">
        <w:r w:rsidR="009A4B99" w:rsidRPr="00392FBF">
          <w:rPr>
            <w:rStyle w:val="Hyperlink"/>
            <w:color w:val="auto"/>
          </w:rPr>
          <w:t>https://reprieve.org/uk/2021/05/24/the-death-penalty-in-egypt-ten-year-after-the-uprising/</w:t>
        </w:r>
      </w:hyperlink>
      <w:r w:rsidR="009A4B99" w:rsidRPr="009A4B99">
        <w:t xml:space="preserve">. </w:t>
      </w:r>
    </w:p>
  </w:footnote>
  <w:footnote w:id="5">
    <w:p w14:paraId="770CE36D" w14:textId="1D83EFED" w:rsidR="00B46479" w:rsidRPr="009A4B99" w:rsidRDefault="00B46479">
      <w:pPr>
        <w:pStyle w:val="FootnoteText"/>
      </w:pPr>
      <w:r w:rsidRPr="009A4B99">
        <w:rPr>
          <w:rStyle w:val="FootnoteReference"/>
        </w:rPr>
        <w:footnoteRef/>
      </w:r>
      <w:r w:rsidRPr="009A4B99">
        <w:t xml:space="preserve"> Reprieve, </w:t>
      </w:r>
      <w:r w:rsidRPr="009A4B99">
        <w:rPr>
          <w:i/>
          <w:iCs/>
        </w:rPr>
        <w:t>‘The Death Penalty in Egypt – Ten Years after the Uprising’</w:t>
      </w:r>
      <w:r w:rsidRPr="009A4B99">
        <w:t xml:space="preserve"> (January 2022), p4, available at:</w:t>
      </w:r>
      <w:r w:rsidR="009A4B99" w:rsidRPr="009A4B99">
        <w:t xml:space="preserve"> </w:t>
      </w:r>
      <w:hyperlink r:id="rId5" w:history="1">
        <w:r w:rsidR="009A4B99" w:rsidRPr="00392FBF">
          <w:rPr>
            <w:rStyle w:val="Hyperlink"/>
            <w:color w:val="auto"/>
          </w:rPr>
          <w:t>https://reprieve.org/uk/2021/05/24/the-death-penalty-in-egypt-ten-year-after-the-uprising/</w:t>
        </w:r>
      </w:hyperlink>
      <w:r w:rsidR="009A4B99" w:rsidRPr="009A4B99">
        <w:t xml:space="preserve">. </w:t>
      </w:r>
    </w:p>
  </w:footnote>
  <w:footnote w:id="6">
    <w:p w14:paraId="28C6AB45" w14:textId="485EE6A3" w:rsidR="00B46479" w:rsidRPr="009A4B99" w:rsidRDefault="00B46479">
      <w:pPr>
        <w:pStyle w:val="FootnoteText"/>
      </w:pPr>
      <w:r w:rsidRPr="009A4B99">
        <w:rPr>
          <w:rStyle w:val="FootnoteReference"/>
        </w:rPr>
        <w:footnoteRef/>
      </w:r>
      <w:r w:rsidRPr="009A4B99">
        <w:t xml:space="preserve"> </w:t>
      </w:r>
      <w:r w:rsidR="00A3078A" w:rsidRPr="009A4B99">
        <w:t xml:space="preserve">Reprieve, </w:t>
      </w:r>
      <w:r w:rsidR="00A3078A" w:rsidRPr="009A4B99">
        <w:rPr>
          <w:i/>
          <w:iCs/>
        </w:rPr>
        <w:t>‘The Death Penalty in Egypt – Ten Years after the Uprising’</w:t>
      </w:r>
      <w:r w:rsidR="00A3078A" w:rsidRPr="009A4B99">
        <w:t xml:space="preserve"> (January 2022), p4, available at:</w:t>
      </w:r>
      <w:r w:rsidR="009A4B99" w:rsidRPr="009A4B99">
        <w:t xml:space="preserve"> </w:t>
      </w:r>
      <w:hyperlink r:id="rId6" w:history="1">
        <w:r w:rsidR="009A4B99" w:rsidRPr="00392FBF">
          <w:rPr>
            <w:rStyle w:val="Hyperlink"/>
            <w:color w:val="auto"/>
          </w:rPr>
          <w:t>https://reprieve.org/uk/2021/05/24/the-death-penalty-in-egypt-ten-year-after-the-uprising/</w:t>
        </w:r>
      </w:hyperlink>
      <w:r w:rsidR="009A4B99" w:rsidRPr="009A4B99">
        <w:t xml:space="preserve">. </w:t>
      </w:r>
    </w:p>
  </w:footnote>
  <w:footnote w:id="7">
    <w:p w14:paraId="787FBAA2" w14:textId="6FC1226B" w:rsidR="002A092D" w:rsidRPr="009A4B99" w:rsidRDefault="002A092D" w:rsidP="00B46479">
      <w:pPr>
        <w:pStyle w:val="FootnoteText"/>
        <w:jc w:val="both"/>
        <w:rPr>
          <w:rFonts w:cstheme="minorHAnsi"/>
        </w:rPr>
      </w:pPr>
      <w:r w:rsidRPr="009A4B99">
        <w:rPr>
          <w:rStyle w:val="FootnoteReference"/>
          <w:rFonts w:cstheme="minorHAnsi"/>
        </w:rPr>
        <w:footnoteRef/>
      </w:r>
      <w:r w:rsidRPr="009A4B99">
        <w:rPr>
          <w:rFonts w:cstheme="minorHAnsi"/>
        </w:rPr>
        <w:t xml:space="preserve"> </w:t>
      </w:r>
      <w:r w:rsidRPr="009A4B99">
        <w:rPr>
          <w:rStyle w:val="A14"/>
          <w:rFonts w:cstheme="minorHAnsi"/>
          <w:color w:val="auto"/>
          <w:sz w:val="20"/>
          <w:szCs w:val="20"/>
        </w:rPr>
        <w:t>Egypt: Law No. 150 of 1950 on the Code of Criminal Procedure, article 381.</w:t>
      </w:r>
    </w:p>
  </w:footnote>
  <w:footnote w:id="8">
    <w:p w14:paraId="1527983C" w14:textId="3D1C4C65" w:rsidR="002A092D" w:rsidRPr="009A4B99" w:rsidRDefault="002A092D" w:rsidP="00B46479">
      <w:pPr>
        <w:pStyle w:val="FootnoteText"/>
        <w:jc w:val="both"/>
        <w:rPr>
          <w:rFonts w:cstheme="minorHAnsi"/>
        </w:rPr>
      </w:pPr>
      <w:r w:rsidRPr="009A4B99">
        <w:rPr>
          <w:rStyle w:val="FootnoteReference"/>
          <w:rFonts w:cstheme="minorHAnsi"/>
        </w:rPr>
        <w:footnoteRef/>
      </w:r>
      <w:r w:rsidRPr="009A4B99">
        <w:rPr>
          <w:rFonts w:cstheme="minorHAnsi"/>
        </w:rPr>
        <w:t xml:space="preserve"> </w:t>
      </w:r>
      <w:r w:rsidRPr="009A4B99">
        <w:rPr>
          <w:rStyle w:val="A14"/>
          <w:rFonts w:cstheme="minorHAnsi"/>
          <w:color w:val="auto"/>
          <w:sz w:val="20"/>
          <w:szCs w:val="20"/>
        </w:rPr>
        <w:t xml:space="preserve">Egypt: Law No. 107 of 2013 on Organising the Right to Public Gatherings, Processions and Peaceful Protests, 24 November 2013. An unofficial English version is available here: </w:t>
      </w:r>
      <w:hyperlink r:id="rId7" w:history="1">
        <w:r w:rsidRPr="009A4B99">
          <w:rPr>
            <w:rStyle w:val="Hyperlink"/>
            <w:rFonts w:cstheme="minorHAnsi"/>
            <w:color w:val="auto"/>
          </w:rPr>
          <w:t>https://www.refworld.org/docid/551a5f2a4.html</w:t>
        </w:r>
      </w:hyperlink>
      <w:r w:rsidRPr="009A4B99">
        <w:rPr>
          <w:rStyle w:val="A23"/>
          <w:rFonts w:cstheme="minorHAnsi"/>
          <w:color w:val="auto"/>
          <w:sz w:val="20"/>
          <w:szCs w:val="20"/>
        </w:rPr>
        <w:t xml:space="preserve">. </w:t>
      </w:r>
    </w:p>
  </w:footnote>
  <w:footnote w:id="9">
    <w:p w14:paraId="6808B441" w14:textId="544D6444" w:rsidR="00444D91" w:rsidRPr="009A4B99" w:rsidRDefault="00444D91" w:rsidP="00A3078A">
      <w:pPr>
        <w:pStyle w:val="FootnoteText"/>
      </w:pPr>
      <w:r w:rsidRPr="009A4B99">
        <w:rPr>
          <w:rStyle w:val="FootnoteReference"/>
          <w:rFonts w:cstheme="minorHAnsi"/>
        </w:rPr>
        <w:footnoteRef/>
      </w:r>
      <w:r w:rsidRPr="009A4B99">
        <w:rPr>
          <w:rFonts w:cstheme="minorHAnsi"/>
        </w:rPr>
        <w:t xml:space="preserve"> </w:t>
      </w:r>
      <w:r w:rsidR="00A3078A" w:rsidRPr="009A4B99">
        <w:t xml:space="preserve">Reprieve, </w:t>
      </w:r>
      <w:r w:rsidR="00A3078A" w:rsidRPr="009A4B99">
        <w:rPr>
          <w:i/>
          <w:iCs/>
        </w:rPr>
        <w:t>‘The Death Penalty in Egypt – Ten Years after the Uprising’</w:t>
      </w:r>
      <w:r w:rsidR="00A3078A" w:rsidRPr="009A4B99">
        <w:t xml:space="preserve"> (January 2022), p</w:t>
      </w:r>
      <w:r w:rsidR="00F07590" w:rsidRPr="009A4B99">
        <w:t>6</w:t>
      </w:r>
      <w:r w:rsidR="00A3078A" w:rsidRPr="009A4B99">
        <w:t>, available at:</w:t>
      </w:r>
      <w:r w:rsidR="009A4B99" w:rsidRPr="009A4B99">
        <w:t xml:space="preserve"> </w:t>
      </w:r>
      <w:hyperlink r:id="rId8" w:history="1">
        <w:r w:rsidR="009A4B99" w:rsidRPr="00392FBF">
          <w:rPr>
            <w:rStyle w:val="Hyperlink"/>
            <w:color w:val="auto"/>
          </w:rPr>
          <w:t>https://reprieve.org/uk/2021/05/24/the-death-penalty-in-egypt-ten-year-after-the-uprising/</w:t>
        </w:r>
      </w:hyperlink>
      <w:r w:rsidR="009A4B99" w:rsidRPr="009A4B99">
        <w:t xml:space="preserve">. </w:t>
      </w:r>
    </w:p>
  </w:footnote>
  <w:footnote w:id="10">
    <w:p w14:paraId="36484EE2" w14:textId="380C5B65" w:rsidR="00444D91" w:rsidRPr="009A4B99" w:rsidRDefault="00444D91" w:rsidP="00A3078A">
      <w:pPr>
        <w:pStyle w:val="FootnoteText"/>
      </w:pPr>
      <w:r w:rsidRPr="009A4B99">
        <w:rPr>
          <w:rStyle w:val="FootnoteReference"/>
          <w:rFonts w:cstheme="minorHAnsi"/>
        </w:rPr>
        <w:footnoteRef/>
      </w:r>
      <w:r w:rsidRPr="009A4B99">
        <w:rPr>
          <w:rFonts w:cstheme="minorHAnsi"/>
        </w:rPr>
        <w:t xml:space="preserve"> </w:t>
      </w:r>
      <w:r w:rsidR="00A3078A" w:rsidRPr="009A4B99">
        <w:t xml:space="preserve">Reprieve, </w:t>
      </w:r>
      <w:r w:rsidR="00A3078A" w:rsidRPr="009A4B99">
        <w:rPr>
          <w:i/>
          <w:iCs/>
        </w:rPr>
        <w:t>‘The Death Penalty in Egypt – Ten Years after the Uprising’</w:t>
      </w:r>
      <w:r w:rsidR="00A3078A" w:rsidRPr="009A4B99">
        <w:t xml:space="preserve"> (January 2022), p</w:t>
      </w:r>
      <w:r w:rsidR="00F07590" w:rsidRPr="009A4B99">
        <w:t>6</w:t>
      </w:r>
      <w:r w:rsidR="00A3078A" w:rsidRPr="009A4B99">
        <w:t>, available at:</w:t>
      </w:r>
      <w:r w:rsidR="009A4B99" w:rsidRPr="009A4B99">
        <w:t xml:space="preserve"> </w:t>
      </w:r>
      <w:hyperlink r:id="rId9" w:history="1">
        <w:r w:rsidR="009A4B99" w:rsidRPr="00392FBF">
          <w:rPr>
            <w:rStyle w:val="Hyperlink"/>
            <w:color w:val="auto"/>
          </w:rPr>
          <w:t>https://reprieve.org/uk/2021/05/24/the-death-penalty-in-egypt-ten-year-after-the-uprising/</w:t>
        </w:r>
      </w:hyperlink>
      <w:r w:rsidR="009A4B99" w:rsidRPr="009A4B99">
        <w:t xml:space="preserve">. </w:t>
      </w:r>
    </w:p>
  </w:footnote>
  <w:footnote w:id="11">
    <w:p w14:paraId="6BCBE8EB" w14:textId="1FF0B32E" w:rsidR="00444D91" w:rsidRPr="009A4B99" w:rsidRDefault="00444D91" w:rsidP="00A3078A">
      <w:pPr>
        <w:pStyle w:val="FootnoteText"/>
      </w:pPr>
      <w:r w:rsidRPr="009A4B99">
        <w:rPr>
          <w:rStyle w:val="FootnoteReference"/>
          <w:rFonts w:cstheme="minorHAnsi"/>
        </w:rPr>
        <w:footnoteRef/>
      </w:r>
      <w:r w:rsidRPr="009A4B99">
        <w:rPr>
          <w:rFonts w:cstheme="minorHAnsi"/>
        </w:rPr>
        <w:t xml:space="preserve"> </w:t>
      </w:r>
      <w:r w:rsidR="00A3078A" w:rsidRPr="009A4B99">
        <w:t>Amnesty International,</w:t>
      </w:r>
      <w:r w:rsidR="00F07590" w:rsidRPr="009A4B99">
        <w:t xml:space="preserve"> ‘Death Penalty Global Report: Death Sentences and Executions in 2022’ (May 2023), p10, available at: </w:t>
      </w:r>
      <w:hyperlink r:id="rId10" w:history="1">
        <w:r w:rsidR="00F07590" w:rsidRPr="00392FBF">
          <w:rPr>
            <w:rStyle w:val="Hyperlink"/>
            <w:color w:val="auto"/>
          </w:rPr>
          <w:t>https://www.amnesty.org/en/documents/act50/6548/2023/en/</w:t>
        </w:r>
      </w:hyperlink>
      <w:r w:rsidR="00F07590" w:rsidRPr="009A4B99">
        <w:t xml:space="preserve">. </w:t>
      </w:r>
    </w:p>
  </w:footnote>
  <w:footnote w:id="12">
    <w:p w14:paraId="23F8AD85" w14:textId="4D1B1199" w:rsidR="00A3078A" w:rsidRPr="009A4B99" w:rsidRDefault="00A3078A" w:rsidP="00A3078A">
      <w:pPr>
        <w:pStyle w:val="FootnoteText"/>
      </w:pPr>
      <w:r w:rsidRPr="009A4B99">
        <w:rPr>
          <w:rStyle w:val="FootnoteReference"/>
        </w:rPr>
        <w:footnoteRef/>
      </w:r>
      <w:r w:rsidRPr="009A4B99">
        <w:t xml:space="preserve"> Reprieve, </w:t>
      </w:r>
      <w:r w:rsidRPr="009A4B99">
        <w:rPr>
          <w:i/>
          <w:iCs/>
        </w:rPr>
        <w:t>‘The Death Penalty in Egypt – Ten Years after the Uprising’</w:t>
      </w:r>
      <w:r w:rsidRPr="009A4B99">
        <w:t xml:space="preserve"> (January 2022), p</w:t>
      </w:r>
      <w:r w:rsidR="00F07590" w:rsidRPr="009A4B99">
        <w:t>10</w:t>
      </w:r>
      <w:r w:rsidRPr="009A4B99">
        <w:t>, available at:</w:t>
      </w:r>
    </w:p>
  </w:footnote>
  <w:footnote w:id="13">
    <w:p w14:paraId="4967F709" w14:textId="77777777" w:rsidR="00A3078A" w:rsidRPr="009A4B99" w:rsidRDefault="00A3078A" w:rsidP="00A3078A">
      <w:pPr>
        <w:pStyle w:val="FootnoteText"/>
        <w:jc w:val="both"/>
        <w:rPr>
          <w:rFonts w:cstheme="minorHAnsi"/>
        </w:rPr>
      </w:pPr>
      <w:r w:rsidRPr="009A4B99">
        <w:rPr>
          <w:rStyle w:val="FootnoteReference"/>
        </w:rPr>
        <w:footnoteRef/>
      </w:r>
      <w:r w:rsidRPr="009A4B99">
        <w:t xml:space="preserve"> </w:t>
      </w:r>
      <w:r w:rsidRPr="009A4B99">
        <w:rPr>
          <w:rFonts w:cstheme="minorHAnsi"/>
        </w:rPr>
        <w:t xml:space="preserve">Egypt: Law no. 12 of 1996 Promulgating the Child Law amended by Law no.126 of 2008, article 133, unofficial English translation available at: </w:t>
      </w:r>
    </w:p>
    <w:p w14:paraId="7BB7CFD0" w14:textId="347CFA3F" w:rsidR="00A3078A" w:rsidRPr="009A4B99" w:rsidRDefault="00F871F8" w:rsidP="00A3078A">
      <w:pPr>
        <w:pStyle w:val="FootnoteText"/>
      </w:pPr>
      <w:hyperlink r:id="rId11" w:history="1">
        <w:r w:rsidR="00A3078A" w:rsidRPr="009A4B99">
          <w:rPr>
            <w:rStyle w:val="Hyperlink"/>
            <w:rFonts w:cstheme="minorHAnsi"/>
            <w:color w:val="auto"/>
          </w:rPr>
          <w:t>https://sherloc.unodc.org/cld/uploads/res/document/egy/2002/egypt_child_act_english_html/Egypt_Child_Act_English.pdf</w:t>
        </w:r>
      </w:hyperlink>
      <w:r w:rsidR="00A3078A" w:rsidRPr="009A4B99">
        <w:rPr>
          <w:rFonts w:cstheme="minorHAnsi"/>
        </w:rPr>
        <w:t>.</w:t>
      </w:r>
    </w:p>
  </w:footnote>
  <w:footnote w:id="14">
    <w:p w14:paraId="6134F755" w14:textId="227F079B" w:rsidR="00A3078A" w:rsidRPr="009A4B99" w:rsidRDefault="00A3078A" w:rsidP="00A3078A">
      <w:pPr>
        <w:pStyle w:val="FootnoteText"/>
      </w:pPr>
      <w:r w:rsidRPr="009A4B99">
        <w:rPr>
          <w:rStyle w:val="FootnoteReference"/>
        </w:rPr>
        <w:footnoteRef/>
      </w:r>
      <w:r w:rsidRPr="009A4B99">
        <w:t xml:space="preserve"> Reprieve, </w:t>
      </w:r>
      <w:r w:rsidRPr="009A4B99">
        <w:rPr>
          <w:i/>
          <w:iCs/>
        </w:rPr>
        <w:t>‘The Death Penalty in Egypt – Ten Years after the Uprising’</w:t>
      </w:r>
      <w:r w:rsidRPr="009A4B99">
        <w:t xml:space="preserve"> (January 2022), p</w:t>
      </w:r>
      <w:r w:rsidR="00F07590" w:rsidRPr="009A4B99">
        <w:t>12</w:t>
      </w:r>
      <w:r w:rsidRPr="009A4B99">
        <w:t>, available at:</w:t>
      </w:r>
      <w:r w:rsidR="009A4B99" w:rsidRPr="009A4B99">
        <w:t xml:space="preserve"> </w:t>
      </w:r>
      <w:hyperlink r:id="rId12" w:history="1">
        <w:r w:rsidR="009A4B99" w:rsidRPr="00392FBF">
          <w:rPr>
            <w:rStyle w:val="Hyperlink"/>
            <w:color w:val="auto"/>
          </w:rPr>
          <w:t>https://reprieve.org/uk/2021/05/24/the-death-penalty-in-egypt-ten-year-after-the-uprising/</w:t>
        </w:r>
      </w:hyperlink>
      <w:r w:rsidR="009A4B99" w:rsidRPr="009A4B99">
        <w:t xml:space="preserve">. </w:t>
      </w:r>
    </w:p>
  </w:footnote>
  <w:footnote w:id="15">
    <w:p w14:paraId="7A013161" w14:textId="7E5383CC" w:rsidR="00444D91" w:rsidRPr="009A4B99" w:rsidRDefault="00444D91" w:rsidP="00A3078A">
      <w:pPr>
        <w:pStyle w:val="FootnoteText"/>
      </w:pPr>
      <w:r w:rsidRPr="009A4B99">
        <w:rPr>
          <w:rStyle w:val="FootnoteReference"/>
          <w:rFonts w:cstheme="minorHAnsi"/>
        </w:rPr>
        <w:footnoteRef/>
      </w:r>
      <w:r w:rsidRPr="009A4B99">
        <w:rPr>
          <w:rFonts w:cstheme="minorHAnsi"/>
        </w:rPr>
        <w:t xml:space="preserve"> </w:t>
      </w:r>
      <w:r w:rsidR="00A3078A" w:rsidRPr="009A4B99">
        <w:t xml:space="preserve">Reprieve, </w:t>
      </w:r>
      <w:r w:rsidR="00A3078A" w:rsidRPr="009A4B99">
        <w:rPr>
          <w:i/>
          <w:iCs/>
        </w:rPr>
        <w:t>‘The Death Penalty in Egypt – Ten Years after the Uprising’</w:t>
      </w:r>
      <w:r w:rsidR="00A3078A" w:rsidRPr="009A4B99">
        <w:t xml:space="preserve"> (January 2022), p</w:t>
      </w:r>
      <w:r w:rsidR="00F07590" w:rsidRPr="009A4B99">
        <w:t>12</w:t>
      </w:r>
      <w:r w:rsidR="00A3078A" w:rsidRPr="009A4B99">
        <w:t>, available at:</w:t>
      </w:r>
      <w:r w:rsidR="009A4B99" w:rsidRPr="009A4B99">
        <w:t xml:space="preserve"> </w:t>
      </w:r>
      <w:hyperlink r:id="rId13" w:history="1">
        <w:r w:rsidR="009A4B99" w:rsidRPr="00392FBF">
          <w:rPr>
            <w:rStyle w:val="Hyperlink"/>
            <w:color w:val="auto"/>
          </w:rPr>
          <w:t>https://reprieve.org/uk/2021/05/24/the-death-penalty-in-egypt-ten-year-after-the-uprising/</w:t>
        </w:r>
      </w:hyperlink>
      <w:r w:rsidR="009A4B99" w:rsidRPr="009A4B99">
        <w:t xml:space="preserve">. </w:t>
      </w:r>
    </w:p>
  </w:footnote>
  <w:footnote w:id="16">
    <w:p w14:paraId="7AD30D84" w14:textId="64F415AE" w:rsidR="00444D91" w:rsidRPr="009A4B99" w:rsidRDefault="00444D91" w:rsidP="00B46479">
      <w:pPr>
        <w:pStyle w:val="FootnoteText"/>
        <w:jc w:val="both"/>
        <w:rPr>
          <w:rFonts w:cstheme="minorHAnsi"/>
        </w:rPr>
      </w:pPr>
      <w:r w:rsidRPr="009A4B99">
        <w:rPr>
          <w:rStyle w:val="FootnoteReference"/>
          <w:rFonts w:cstheme="minorHAnsi"/>
        </w:rPr>
        <w:footnoteRef/>
      </w:r>
      <w:r w:rsidRPr="009A4B99">
        <w:rPr>
          <w:rFonts w:cstheme="minorHAnsi"/>
        </w:rPr>
        <w:t xml:space="preserve"> </w:t>
      </w:r>
      <w:r w:rsidR="00A3078A" w:rsidRPr="009A4B99">
        <w:t xml:space="preserve">Reprieve, </w:t>
      </w:r>
      <w:r w:rsidR="00A3078A" w:rsidRPr="009A4B99">
        <w:rPr>
          <w:i/>
          <w:iCs/>
        </w:rPr>
        <w:t>‘The Death Penalty in Egypt – Ten Years after the Uprising’</w:t>
      </w:r>
      <w:r w:rsidR="00A3078A" w:rsidRPr="009A4B99">
        <w:t xml:space="preserve"> (January 2022), p</w:t>
      </w:r>
      <w:r w:rsidR="00F07590" w:rsidRPr="009A4B99">
        <w:t>12</w:t>
      </w:r>
      <w:r w:rsidR="00A3078A" w:rsidRPr="009A4B99">
        <w:t>, available at:</w:t>
      </w:r>
      <w:r w:rsidR="009A4B99" w:rsidRPr="009A4B99">
        <w:t xml:space="preserve"> </w:t>
      </w:r>
      <w:hyperlink r:id="rId14" w:history="1">
        <w:r w:rsidR="009A4B99" w:rsidRPr="00392FBF">
          <w:rPr>
            <w:rStyle w:val="Hyperlink"/>
            <w:color w:val="auto"/>
          </w:rPr>
          <w:t>https://reprieve.org/uk/2021/05/24/the-death-penalty-in-egypt-ten-year-after-the-uprising/</w:t>
        </w:r>
      </w:hyperlink>
      <w:r w:rsidR="009A4B99" w:rsidRPr="009A4B99">
        <w:t xml:space="preserve">. </w:t>
      </w:r>
    </w:p>
  </w:footnote>
  <w:footnote w:id="17">
    <w:p w14:paraId="6E5F3821" w14:textId="77777777" w:rsidR="00A3078A" w:rsidRPr="009A4B99" w:rsidRDefault="00FC2337" w:rsidP="00A3078A">
      <w:pPr>
        <w:pStyle w:val="FootnoteText"/>
        <w:jc w:val="both"/>
        <w:rPr>
          <w:rFonts w:cstheme="minorHAnsi"/>
        </w:rPr>
      </w:pPr>
      <w:r w:rsidRPr="009A4B99">
        <w:rPr>
          <w:rStyle w:val="FootnoteReference"/>
          <w:rFonts w:cstheme="minorHAnsi"/>
        </w:rPr>
        <w:footnoteRef/>
      </w:r>
      <w:r w:rsidRPr="009A4B99">
        <w:rPr>
          <w:rFonts w:cstheme="minorHAnsi"/>
        </w:rPr>
        <w:t xml:space="preserve"> </w:t>
      </w:r>
      <w:r w:rsidR="00A3078A" w:rsidRPr="009A4B99">
        <w:rPr>
          <w:rFonts w:cstheme="minorHAnsi"/>
        </w:rPr>
        <w:t xml:space="preserve">Egypt: Law no. 12 of 1996 Promulgating the Child Law amended by Law no.126 of 2008, article 133, unofficial English translation available at: </w:t>
      </w:r>
    </w:p>
    <w:p w14:paraId="71829689" w14:textId="39FFDEE7" w:rsidR="00FC2337" w:rsidRPr="009A4B99" w:rsidRDefault="00F871F8" w:rsidP="00A3078A">
      <w:pPr>
        <w:pStyle w:val="FootnoteText"/>
      </w:pPr>
      <w:hyperlink r:id="rId15" w:history="1">
        <w:r w:rsidR="00A3078A" w:rsidRPr="009A4B99">
          <w:rPr>
            <w:rStyle w:val="Hyperlink"/>
            <w:rFonts w:cstheme="minorHAnsi"/>
            <w:color w:val="auto"/>
          </w:rPr>
          <w:t>https://sherloc.unodc.org/cld/uploads/res/document/egy/2002/egypt_child_act_english_html/Egypt_Child_Act_English.pdf</w:t>
        </w:r>
      </w:hyperlink>
      <w:r w:rsidR="00A3078A" w:rsidRPr="009A4B99">
        <w:rPr>
          <w:rFonts w:cstheme="minorHAnsi"/>
        </w:rPr>
        <w:t>.</w:t>
      </w:r>
    </w:p>
  </w:footnote>
  <w:footnote w:id="18">
    <w:p w14:paraId="4DFD3B20" w14:textId="02F095B2" w:rsidR="00F227BE" w:rsidRPr="009A4B99" w:rsidRDefault="00F227BE" w:rsidP="00B46479">
      <w:pPr>
        <w:pStyle w:val="FootnoteText"/>
        <w:jc w:val="both"/>
        <w:rPr>
          <w:rFonts w:cstheme="minorHAnsi"/>
        </w:rPr>
      </w:pPr>
      <w:r w:rsidRPr="009A4B99">
        <w:rPr>
          <w:rStyle w:val="FootnoteReference"/>
          <w:rFonts w:cstheme="minorHAnsi"/>
        </w:rPr>
        <w:footnoteRef/>
      </w:r>
      <w:r w:rsidRPr="009A4B99">
        <w:rPr>
          <w:rFonts w:cstheme="minorHAnsi"/>
        </w:rPr>
        <w:t xml:space="preserve"> </w:t>
      </w:r>
      <w:r w:rsidR="00A3078A" w:rsidRPr="009A4B99">
        <w:t xml:space="preserve">Reprieve, </w:t>
      </w:r>
      <w:r w:rsidR="00A3078A" w:rsidRPr="009A4B99">
        <w:rPr>
          <w:i/>
          <w:iCs/>
        </w:rPr>
        <w:t>‘The Death Penalty in Egypt – Ten Years after the Uprising’</w:t>
      </w:r>
      <w:r w:rsidR="00A3078A" w:rsidRPr="009A4B99">
        <w:t xml:space="preserve"> (January 2022), p</w:t>
      </w:r>
      <w:r w:rsidR="00F07590" w:rsidRPr="009A4B99">
        <w:t>12</w:t>
      </w:r>
      <w:r w:rsidR="00A3078A" w:rsidRPr="009A4B99">
        <w:t>, available at:</w:t>
      </w:r>
      <w:r w:rsidR="009A4B99" w:rsidRPr="009A4B99">
        <w:t xml:space="preserve"> </w:t>
      </w:r>
      <w:hyperlink r:id="rId16" w:history="1">
        <w:r w:rsidR="009A4B99" w:rsidRPr="00392FBF">
          <w:rPr>
            <w:rStyle w:val="Hyperlink"/>
            <w:color w:val="auto"/>
          </w:rPr>
          <w:t>https://reprieve.org/uk/2021/05/24/the-death-penalty-in-egypt-ten-year-after-the-uprising/</w:t>
        </w:r>
      </w:hyperlink>
      <w:r w:rsidR="009A4B99" w:rsidRPr="009A4B99">
        <w:t xml:space="preserve">. </w:t>
      </w:r>
    </w:p>
  </w:footnote>
  <w:footnote w:id="19">
    <w:p w14:paraId="06D21870" w14:textId="62AB8D34" w:rsidR="00F227BE" w:rsidRPr="009A4B99" w:rsidRDefault="00F227BE" w:rsidP="00B46479">
      <w:pPr>
        <w:pStyle w:val="FootnoteText"/>
        <w:jc w:val="both"/>
        <w:rPr>
          <w:rFonts w:cstheme="minorHAnsi"/>
        </w:rPr>
      </w:pPr>
      <w:r w:rsidRPr="009A4B99">
        <w:rPr>
          <w:rStyle w:val="FootnoteReference"/>
          <w:rFonts w:cstheme="minorHAnsi"/>
        </w:rPr>
        <w:footnoteRef/>
      </w:r>
      <w:r w:rsidRPr="009A4B99">
        <w:rPr>
          <w:rFonts w:cstheme="minorHAnsi"/>
        </w:rPr>
        <w:t xml:space="preserve"> </w:t>
      </w:r>
      <w:r w:rsidR="00A3078A" w:rsidRPr="009A4B99">
        <w:t xml:space="preserve">Reprieve, </w:t>
      </w:r>
      <w:r w:rsidR="00A3078A" w:rsidRPr="009A4B99">
        <w:rPr>
          <w:i/>
          <w:iCs/>
        </w:rPr>
        <w:t>‘The Death Penalty in Egypt – Ten Years after the Uprising’</w:t>
      </w:r>
      <w:r w:rsidR="00A3078A" w:rsidRPr="009A4B99">
        <w:t xml:space="preserve"> (January 2022), p</w:t>
      </w:r>
      <w:r w:rsidR="00F07590" w:rsidRPr="009A4B99">
        <w:t>12</w:t>
      </w:r>
      <w:r w:rsidR="00A3078A" w:rsidRPr="009A4B99">
        <w:t>, available at:</w:t>
      </w:r>
      <w:r w:rsidR="009A4B99" w:rsidRPr="009A4B99">
        <w:t xml:space="preserve"> </w:t>
      </w:r>
      <w:hyperlink r:id="rId17" w:history="1">
        <w:r w:rsidR="009A4B99" w:rsidRPr="00392FBF">
          <w:rPr>
            <w:rStyle w:val="Hyperlink"/>
            <w:color w:val="auto"/>
          </w:rPr>
          <w:t>https://reprieve.org/uk/2021/05/24/the-death-penalty-in-egypt-ten-year-after-the-uprising/</w:t>
        </w:r>
      </w:hyperlink>
      <w:r w:rsidR="009A4B99" w:rsidRPr="009A4B99">
        <w:t xml:space="preserve">. </w:t>
      </w:r>
    </w:p>
  </w:footnote>
  <w:footnote w:id="20">
    <w:p w14:paraId="53D3BD21" w14:textId="6A54DEEE" w:rsidR="001A1245" w:rsidRPr="009A4B99" w:rsidRDefault="001A1245" w:rsidP="00B46479">
      <w:pPr>
        <w:pStyle w:val="FootnoteText"/>
        <w:jc w:val="both"/>
        <w:rPr>
          <w:rFonts w:cstheme="minorHAnsi"/>
        </w:rPr>
      </w:pPr>
      <w:r w:rsidRPr="009A4B99">
        <w:rPr>
          <w:rStyle w:val="FootnoteReference"/>
          <w:rFonts w:cstheme="minorHAnsi"/>
        </w:rPr>
        <w:footnoteRef/>
      </w:r>
      <w:r w:rsidRPr="009A4B99">
        <w:rPr>
          <w:rFonts w:cstheme="minorHAnsi"/>
        </w:rPr>
        <w:t xml:space="preserve"> </w:t>
      </w:r>
      <w:r w:rsidR="00F07590" w:rsidRPr="009A4B99">
        <w:rPr>
          <w:rFonts w:cstheme="minorHAnsi"/>
        </w:rPr>
        <w:t xml:space="preserve">UN Committee on the Rights of the Child, </w:t>
      </w:r>
      <w:r w:rsidR="00F07590" w:rsidRPr="00392FBF">
        <w:rPr>
          <w:rFonts w:cstheme="minorHAnsi"/>
          <w:i/>
          <w:iCs/>
        </w:rPr>
        <w:t>Egypt: Combined 5</w:t>
      </w:r>
      <w:r w:rsidR="00F07590" w:rsidRPr="00392FBF">
        <w:rPr>
          <w:rFonts w:cstheme="minorHAnsi"/>
          <w:i/>
          <w:iCs/>
          <w:vertAlign w:val="superscript"/>
        </w:rPr>
        <w:t>th</w:t>
      </w:r>
      <w:r w:rsidR="00F07590" w:rsidRPr="00392FBF">
        <w:rPr>
          <w:rFonts w:cstheme="minorHAnsi"/>
          <w:i/>
          <w:iCs/>
        </w:rPr>
        <w:t xml:space="preserve"> and 6</w:t>
      </w:r>
      <w:r w:rsidR="00F07590" w:rsidRPr="00392FBF">
        <w:rPr>
          <w:rFonts w:cstheme="minorHAnsi"/>
          <w:i/>
          <w:iCs/>
          <w:vertAlign w:val="superscript"/>
        </w:rPr>
        <w:t>th</w:t>
      </w:r>
      <w:r w:rsidR="00F07590" w:rsidRPr="00392FBF">
        <w:rPr>
          <w:rFonts w:cstheme="minorHAnsi"/>
          <w:i/>
          <w:iCs/>
        </w:rPr>
        <w:t xml:space="preserve"> periodic report submitted under Article 44 of the Convention on the Rights of the Child, due in 2016</w:t>
      </w:r>
      <w:r w:rsidR="00F07590" w:rsidRPr="009A4B99">
        <w:rPr>
          <w:rFonts w:cstheme="minorHAnsi"/>
        </w:rPr>
        <w:t>, 09 February 2023, CRC/C/EGY/5-6, para 60.</w:t>
      </w:r>
    </w:p>
  </w:footnote>
  <w:footnote w:id="21">
    <w:p w14:paraId="5CBADBC1" w14:textId="09B7AC55" w:rsidR="00624C61" w:rsidRPr="009A4B99" w:rsidRDefault="00624C61" w:rsidP="00B46479">
      <w:pPr>
        <w:pStyle w:val="FootnoteText"/>
        <w:jc w:val="both"/>
        <w:rPr>
          <w:rFonts w:cstheme="minorHAnsi"/>
        </w:rPr>
      </w:pPr>
      <w:r w:rsidRPr="009A4B99">
        <w:rPr>
          <w:rStyle w:val="FootnoteReference"/>
          <w:rFonts w:cstheme="minorHAnsi"/>
        </w:rPr>
        <w:footnoteRef/>
      </w:r>
      <w:r w:rsidRPr="009A4B99">
        <w:rPr>
          <w:rFonts w:cstheme="minorHAnsi"/>
        </w:rPr>
        <w:t xml:space="preserve"> </w:t>
      </w:r>
      <w:r w:rsidR="00A3078A" w:rsidRPr="009A4B99">
        <w:rPr>
          <w:rFonts w:cstheme="minorHAnsi"/>
        </w:rPr>
        <w:t xml:space="preserve">Egypt: </w:t>
      </w:r>
      <w:r w:rsidRPr="009A4B99">
        <w:rPr>
          <w:rFonts w:cstheme="minorHAnsi"/>
        </w:rPr>
        <w:t>Law no. 12 of 1996 Promulgating the Child Law amended by Law no.126 of 2008,</w:t>
      </w:r>
      <w:r w:rsidR="000C1B0C" w:rsidRPr="009A4B99">
        <w:rPr>
          <w:rFonts w:cstheme="minorHAnsi"/>
        </w:rPr>
        <w:t xml:space="preserve"> </w:t>
      </w:r>
      <w:r w:rsidR="00A3078A" w:rsidRPr="009A4B99">
        <w:rPr>
          <w:rFonts w:cstheme="minorHAnsi"/>
        </w:rPr>
        <w:t>a</w:t>
      </w:r>
      <w:r w:rsidR="000C1B0C" w:rsidRPr="009A4B99">
        <w:rPr>
          <w:rFonts w:cstheme="minorHAnsi"/>
        </w:rPr>
        <w:t>rticle 133,</w:t>
      </w:r>
      <w:r w:rsidRPr="009A4B99">
        <w:rPr>
          <w:rFonts w:cstheme="minorHAnsi"/>
        </w:rPr>
        <w:t xml:space="preserve"> </w:t>
      </w:r>
      <w:r w:rsidR="000C1B0C" w:rsidRPr="009A4B99">
        <w:rPr>
          <w:rFonts w:cstheme="minorHAnsi"/>
        </w:rPr>
        <w:t>unofficial English translation available at:</w:t>
      </w:r>
      <w:r w:rsidRPr="009A4B99">
        <w:rPr>
          <w:rFonts w:cstheme="minorHAnsi"/>
        </w:rPr>
        <w:t xml:space="preserve"> </w:t>
      </w:r>
    </w:p>
    <w:p w14:paraId="078D74BA" w14:textId="348F8EFC" w:rsidR="00624C61" w:rsidRPr="009A4B99" w:rsidRDefault="00F871F8" w:rsidP="00B46479">
      <w:pPr>
        <w:pStyle w:val="FootnoteText"/>
        <w:jc w:val="both"/>
        <w:rPr>
          <w:rFonts w:cstheme="minorHAnsi"/>
        </w:rPr>
      </w:pPr>
      <w:hyperlink r:id="rId18" w:history="1">
        <w:r w:rsidR="00624C61" w:rsidRPr="009A4B99">
          <w:rPr>
            <w:rStyle w:val="Hyperlink"/>
            <w:rFonts w:cstheme="minorHAnsi"/>
            <w:color w:val="auto"/>
          </w:rPr>
          <w:t>https://sherloc.unodc.org/cld/uploads/res/document/egy/2002/egypt_child_act_english_html/Egypt_Child_Act_English.pdf</w:t>
        </w:r>
      </w:hyperlink>
      <w:r w:rsidR="000C1B0C" w:rsidRPr="009A4B99">
        <w:rPr>
          <w:rFonts w:cstheme="minorHAnsi"/>
        </w:rPr>
        <w:t>.</w:t>
      </w:r>
    </w:p>
  </w:footnote>
  <w:footnote w:id="22">
    <w:p w14:paraId="6079E0CB" w14:textId="7787CA3E" w:rsidR="00A3078A" w:rsidRPr="009A4B99" w:rsidRDefault="00A3078A">
      <w:pPr>
        <w:pStyle w:val="FootnoteText"/>
      </w:pPr>
      <w:r w:rsidRPr="009A4B99">
        <w:rPr>
          <w:rStyle w:val="FootnoteReference"/>
        </w:rPr>
        <w:footnoteRef/>
      </w:r>
      <w:r w:rsidRPr="009A4B99">
        <w:t xml:space="preserve"> See case study of </w:t>
      </w:r>
      <w:r w:rsidR="006D2897" w:rsidRPr="009A4B99">
        <w:t xml:space="preserve">Ismail </w:t>
      </w:r>
      <w:r w:rsidRPr="009A4B99">
        <w:t xml:space="preserve">and Ahmed </w:t>
      </w:r>
      <w:r w:rsidRPr="009A4B99">
        <w:t>Saddouma.</w:t>
      </w:r>
    </w:p>
  </w:footnote>
  <w:footnote w:id="23">
    <w:p w14:paraId="154C05CB" w14:textId="10453599" w:rsidR="00A3078A" w:rsidRPr="009A4B99" w:rsidRDefault="00A3078A">
      <w:pPr>
        <w:pStyle w:val="FootnoteText"/>
      </w:pPr>
      <w:r w:rsidRPr="009A4B99">
        <w:rPr>
          <w:rStyle w:val="FootnoteReference"/>
        </w:rPr>
        <w:footnoteRef/>
      </w:r>
      <w:r w:rsidRPr="009A4B99">
        <w:t xml:space="preserve"> See case study of </w:t>
      </w:r>
      <w:r w:rsidR="006D2897" w:rsidRPr="009A4B99">
        <w:t xml:space="preserve">Ismail </w:t>
      </w:r>
      <w:r w:rsidRPr="009A4B99">
        <w:t xml:space="preserve">and Ahmed </w:t>
      </w:r>
      <w:r w:rsidRPr="009A4B99">
        <w:t>Saddouma.</w:t>
      </w:r>
    </w:p>
  </w:footnote>
  <w:footnote w:id="24">
    <w:p w14:paraId="3CF8360B" w14:textId="14F8DE4D" w:rsidR="006D2897" w:rsidRPr="009A4B99" w:rsidRDefault="006D2897" w:rsidP="00B46479">
      <w:pPr>
        <w:pStyle w:val="FootnoteText"/>
        <w:jc w:val="both"/>
        <w:rPr>
          <w:rFonts w:cstheme="minorHAnsi"/>
        </w:rPr>
      </w:pPr>
      <w:r w:rsidRPr="009A4B99">
        <w:rPr>
          <w:rFonts w:cstheme="minorHAnsi"/>
        </w:rPr>
        <w:t>*Name anonymised.</w:t>
      </w:r>
    </w:p>
    <w:p w14:paraId="1DFD5CDA" w14:textId="6CB6D437" w:rsidR="000F0D0B" w:rsidRPr="009A4B99" w:rsidRDefault="000F0D0B" w:rsidP="00B46479">
      <w:pPr>
        <w:pStyle w:val="FootnoteText"/>
        <w:jc w:val="both"/>
        <w:rPr>
          <w:rFonts w:cstheme="minorHAnsi"/>
        </w:rPr>
      </w:pPr>
      <w:r w:rsidRPr="009A4B99">
        <w:rPr>
          <w:rStyle w:val="FootnoteReference"/>
          <w:rFonts w:cstheme="minorHAnsi"/>
        </w:rPr>
        <w:footnoteRef/>
      </w:r>
      <w:r w:rsidRPr="009A4B99">
        <w:rPr>
          <w:rFonts w:cstheme="minorHAnsi"/>
        </w:rPr>
        <w:t xml:space="preserve"> </w:t>
      </w:r>
      <w:r w:rsidR="002A092D" w:rsidRPr="009A4B99">
        <w:rPr>
          <w:rFonts w:cstheme="minorHAnsi"/>
        </w:rPr>
        <w:t xml:space="preserve">Child Welfare Information Gateway, ‘Understanding the effects of maltreatment on brain </w:t>
      </w:r>
      <w:r w:rsidR="002A092D" w:rsidRPr="009A4B99">
        <w:rPr>
          <w:rFonts w:cstheme="minorHAnsi"/>
        </w:rPr>
        <w:t xml:space="preserve">development’  (2015) Washington, DC: U.S. Department of Health and Human Services, Children’s Bureau, available at: </w:t>
      </w:r>
      <w:hyperlink r:id="rId19" w:history="1">
        <w:r w:rsidR="002A092D" w:rsidRPr="009A4B99">
          <w:rPr>
            <w:rStyle w:val="Hyperlink"/>
            <w:rFonts w:cstheme="minorHAnsi"/>
            <w:color w:val="auto"/>
          </w:rPr>
          <w:t>https://www.childwelfare.gov/pubPDFs/brain_development.pdf</w:t>
        </w:r>
      </w:hyperlink>
      <w:r w:rsidR="002A092D" w:rsidRPr="009A4B99">
        <w:rPr>
          <w:rFonts w:cstheme="minorHAnsi"/>
          <w:u w:val="single"/>
        </w:rPr>
        <w:t xml:space="preserve">. </w:t>
      </w:r>
    </w:p>
  </w:footnote>
  <w:footnote w:id="25">
    <w:p w14:paraId="2C64BC25" w14:textId="169F0BFB" w:rsidR="006D2897" w:rsidRPr="009A4B99" w:rsidRDefault="00A3078A" w:rsidP="006D2897">
      <w:pPr>
        <w:pStyle w:val="FootnoteText"/>
        <w:jc w:val="both"/>
        <w:rPr>
          <w:rFonts w:cstheme="minorHAnsi"/>
        </w:rPr>
      </w:pPr>
      <w:r w:rsidRPr="009A4B99">
        <w:rPr>
          <w:rStyle w:val="FootnoteReference"/>
        </w:rPr>
        <w:footnoteRef/>
      </w:r>
      <w:r w:rsidRPr="009A4B99">
        <w:t xml:space="preserve"> </w:t>
      </w:r>
      <w:r w:rsidR="006D2897" w:rsidRPr="009A4B99">
        <w:t xml:space="preserve">For more information on children and the death penalty in Egypt, please refer to Reprieve, </w:t>
      </w:r>
      <w:r w:rsidR="006D2897" w:rsidRPr="009A4B99">
        <w:rPr>
          <w:i/>
          <w:iCs/>
        </w:rPr>
        <w:t>‘The Death Penalty in Egypt – Ten Years after the Uprising’</w:t>
      </w:r>
      <w:r w:rsidR="006D2897" w:rsidRPr="009A4B99">
        <w:t xml:space="preserve"> (January 2022), available at: </w:t>
      </w:r>
      <w:hyperlink r:id="rId20" w:history="1">
        <w:r w:rsidR="009A4B99" w:rsidRPr="00392FBF">
          <w:rPr>
            <w:rStyle w:val="Hyperlink"/>
            <w:color w:val="auto"/>
          </w:rPr>
          <w:t>https://reprieve.org/uk/2021/05/24/the-death-penalty-in-egypt-ten-year-after-the-uprising/</w:t>
        </w:r>
      </w:hyperlink>
      <w:r w:rsidR="009A4B99" w:rsidRPr="009A4B99">
        <w:t xml:space="preserve">. </w:t>
      </w:r>
    </w:p>
    <w:p w14:paraId="55D6E2EA" w14:textId="327AFCF0" w:rsidR="00A3078A" w:rsidRPr="009A4B99" w:rsidRDefault="00A3078A">
      <w:pPr>
        <w:pStyle w:val="FootnoteText"/>
      </w:pPr>
    </w:p>
  </w:footnote>
  <w:footnote w:id="26">
    <w:p w14:paraId="0A7DB509" w14:textId="77777777" w:rsidR="002D4817" w:rsidRPr="009A4B99" w:rsidRDefault="008F3E11" w:rsidP="002D4817">
      <w:pPr>
        <w:pStyle w:val="FootnoteText"/>
        <w:jc w:val="both"/>
        <w:rPr>
          <w:rFonts w:cstheme="minorHAnsi"/>
        </w:rPr>
      </w:pPr>
      <w:r w:rsidRPr="009A4B99">
        <w:rPr>
          <w:rStyle w:val="FootnoteReference"/>
          <w:rFonts w:cstheme="minorHAnsi"/>
        </w:rPr>
        <w:footnoteRef/>
      </w:r>
      <w:r w:rsidRPr="009A4B99">
        <w:rPr>
          <w:rFonts w:cstheme="minorHAnsi"/>
        </w:rPr>
        <w:t xml:space="preserve"> </w:t>
      </w:r>
      <w:r w:rsidR="002D4817" w:rsidRPr="009A4B99">
        <w:rPr>
          <w:rFonts w:cstheme="minorHAnsi"/>
        </w:rPr>
        <w:t xml:space="preserve">Egypt: Law no. 12 of 1996 Promulgating the Child Law amended by Law no.126 of 2008, article 122, unofficial English translation available at: </w:t>
      </w:r>
    </w:p>
    <w:p w14:paraId="5BB8C2AA" w14:textId="1396C1E9" w:rsidR="008F3E11" w:rsidRPr="009A4B99" w:rsidRDefault="00F871F8" w:rsidP="002D4817">
      <w:pPr>
        <w:pStyle w:val="FootnoteText"/>
        <w:jc w:val="both"/>
        <w:rPr>
          <w:rFonts w:cstheme="minorHAnsi"/>
        </w:rPr>
      </w:pPr>
      <w:hyperlink r:id="rId21" w:history="1">
        <w:r w:rsidR="002D4817" w:rsidRPr="009A4B99">
          <w:rPr>
            <w:rStyle w:val="Hyperlink"/>
            <w:rFonts w:cstheme="minorHAnsi"/>
            <w:color w:val="auto"/>
          </w:rPr>
          <w:t>https://sherloc.unodc.org/cld/uploads/res/document/egy/2002/egypt_child_act_english_html/Egypt_Child_Act_English.pdf</w:t>
        </w:r>
      </w:hyperlink>
    </w:p>
  </w:footnote>
  <w:footnote w:id="27">
    <w:p w14:paraId="5A10CFC5" w14:textId="4C769A97" w:rsidR="008F3E11" w:rsidRPr="009A4B99" w:rsidRDefault="008F3E11" w:rsidP="00B46479">
      <w:pPr>
        <w:pStyle w:val="FootnoteText"/>
        <w:jc w:val="both"/>
        <w:rPr>
          <w:rFonts w:cstheme="minorHAnsi"/>
        </w:rPr>
      </w:pPr>
      <w:r w:rsidRPr="009A4B99">
        <w:rPr>
          <w:rStyle w:val="FootnoteReference"/>
          <w:rFonts w:cstheme="minorHAnsi"/>
        </w:rPr>
        <w:footnoteRef/>
      </w:r>
      <w:r w:rsidRPr="009A4B99">
        <w:rPr>
          <w:rFonts w:cstheme="minorHAnsi"/>
        </w:rPr>
        <w:t xml:space="preserve"> </w:t>
      </w:r>
      <w:r w:rsidR="002D4817" w:rsidRPr="009A4B99">
        <w:rPr>
          <w:rFonts w:cstheme="minorHAnsi"/>
        </w:rPr>
        <w:t>Egypt:</w:t>
      </w:r>
      <w:r w:rsidRPr="009A4B99">
        <w:rPr>
          <w:rFonts w:cstheme="minorHAnsi"/>
        </w:rPr>
        <w:t xml:space="preserve"> Law no. 12 of 1996 Promulgating the Child Law amended by Law no.126 of 2008, </w:t>
      </w:r>
      <w:r w:rsidR="002D4817" w:rsidRPr="009A4B99">
        <w:rPr>
          <w:rFonts w:cstheme="minorHAnsi"/>
        </w:rPr>
        <w:t xml:space="preserve">article 122, unofficial English translation </w:t>
      </w:r>
      <w:r w:rsidRPr="009A4B99">
        <w:rPr>
          <w:rFonts w:cstheme="minorHAnsi"/>
        </w:rPr>
        <w:t xml:space="preserve">available at: </w:t>
      </w:r>
    </w:p>
    <w:p w14:paraId="51FF9481" w14:textId="77777777" w:rsidR="008F3E11" w:rsidRPr="009A4B99" w:rsidRDefault="00F871F8" w:rsidP="00B46479">
      <w:pPr>
        <w:pStyle w:val="FootnoteText"/>
        <w:jc w:val="both"/>
        <w:rPr>
          <w:rFonts w:cstheme="minorHAnsi"/>
        </w:rPr>
      </w:pPr>
      <w:hyperlink r:id="rId22" w:history="1">
        <w:r w:rsidR="008F3E11" w:rsidRPr="009A4B99">
          <w:rPr>
            <w:rStyle w:val="Hyperlink"/>
            <w:rFonts w:cstheme="minorHAnsi"/>
            <w:color w:val="auto"/>
          </w:rPr>
          <w:t>https://sherloc.unodc.org/cld/uploads/res/document/egy/2002/egypt_child_act_english_html/Egypt_Child_Act_English.pdf</w:t>
        </w:r>
      </w:hyperlink>
      <w:r w:rsidR="008F3E11" w:rsidRPr="009A4B99">
        <w:rPr>
          <w:rFonts w:cstheme="minorHAnsi"/>
        </w:rPr>
        <w:t xml:space="preserve"> </w:t>
      </w:r>
    </w:p>
  </w:footnote>
  <w:footnote w:id="28">
    <w:p w14:paraId="6DFC86CC" w14:textId="28F0BAD1" w:rsidR="006F4874" w:rsidRPr="009A4B99" w:rsidRDefault="006F4874" w:rsidP="00B46479">
      <w:pPr>
        <w:pStyle w:val="FootnoteText"/>
        <w:jc w:val="both"/>
        <w:rPr>
          <w:rFonts w:cstheme="minorHAnsi"/>
        </w:rPr>
      </w:pPr>
      <w:r w:rsidRPr="009A4B99">
        <w:rPr>
          <w:rStyle w:val="FootnoteReference"/>
          <w:rFonts w:cstheme="minorHAnsi"/>
        </w:rPr>
        <w:footnoteRef/>
      </w:r>
      <w:r w:rsidRPr="009A4B99">
        <w:rPr>
          <w:rFonts w:cstheme="minorHAnsi"/>
        </w:rPr>
        <w:t xml:space="preserve"> </w:t>
      </w:r>
      <w:r w:rsidR="006D2897" w:rsidRPr="009A4B99">
        <w:rPr>
          <w:rFonts w:cstheme="minorHAnsi"/>
        </w:rPr>
        <w:t xml:space="preserve">UN Committee on the Rights of the Child, </w:t>
      </w:r>
      <w:r w:rsidR="006D2897" w:rsidRPr="009A4B99">
        <w:rPr>
          <w:rFonts w:cstheme="minorHAnsi"/>
          <w:i/>
          <w:iCs/>
        </w:rPr>
        <w:t xml:space="preserve">Egypt: Combined </w:t>
      </w:r>
      <w:r w:rsidR="006D2897" w:rsidRPr="009A4B99">
        <w:rPr>
          <w:rFonts w:cstheme="minorHAnsi"/>
          <w:i/>
          <w:iCs/>
        </w:rPr>
        <w:t>5</w:t>
      </w:r>
      <w:r w:rsidR="006D2897" w:rsidRPr="009A4B99">
        <w:rPr>
          <w:rFonts w:cstheme="minorHAnsi"/>
          <w:i/>
          <w:iCs/>
          <w:vertAlign w:val="superscript"/>
        </w:rPr>
        <w:t>th</w:t>
      </w:r>
      <w:r w:rsidR="006D2897" w:rsidRPr="009A4B99">
        <w:rPr>
          <w:rFonts w:cstheme="minorHAnsi"/>
          <w:i/>
          <w:iCs/>
        </w:rPr>
        <w:t xml:space="preserve"> and 6</w:t>
      </w:r>
      <w:r w:rsidR="006D2897" w:rsidRPr="009A4B99">
        <w:rPr>
          <w:rFonts w:cstheme="minorHAnsi"/>
          <w:i/>
          <w:iCs/>
          <w:vertAlign w:val="superscript"/>
        </w:rPr>
        <w:t>th</w:t>
      </w:r>
      <w:r w:rsidR="006D2897" w:rsidRPr="009A4B99">
        <w:rPr>
          <w:rFonts w:cstheme="minorHAnsi"/>
          <w:i/>
          <w:iCs/>
        </w:rPr>
        <w:t xml:space="preserve"> periodic report submitted under Article 44 of the Convention on the Rights of the Child, due in 2016</w:t>
      </w:r>
      <w:r w:rsidR="006D2897" w:rsidRPr="009A4B99">
        <w:rPr>
          <w:rFonts w:cstheme="minorHAnsi"/>
        </w:rPr>
        <w:t xml:space="preserve">, 09 February 2023, CRC/C/EGY/5-6, paras </w:t>
      </w:r>
      <w:r w:rsidRPr="00392FBF">
        <w:rPr>
          <w:rFonts w:cstheme="minorHAnsi"/>
        </w:rPr>
        <w:t xml:space="preserve">209 </w:t>
      </w:r>
      <w:r w:rsidR="006D2897" w:rsidRPr="00392FBF">
        <w:rPr>
          <w:rFonts w:cstheme="minorHAnsi"/>
        </w:rPr>
        <w:t xml:space="preserve">- </w:t>
      </w:r>
      <w:r w:rsidRPr="00392FBF">
        <w:rPr>
          <w:rFonts w:cstheme="minorHAnsi"/>
        </w:rPr>
        <w:t>219.</w:t>
      </w:r>
    </w:p>
  </w:footnote>
  <w:footnote w:id="29">
    <w:p w14:paraId="3A2DC01D" w14:textId="363BB7FF" w:rsidR="002D4817" w:rsidRPr="009A4B99" w:rsidRDefault="002D4817">
      <w:pPr>
        <w:pStyle w:val="FootnoteText"/>
      </w:pPr>
      <w:r w:rsidRPr="009A4B99">
        <w:rPr>
          <w:rStyle w:val="FootnoteReference"/>
        </w:rPr>
        <w:footnoteRef/>
      </w:r>
      <w:r w:rsidRPr="009A4B99">
        <w:t xml:space="preserve"> Reprieve, </w:t>
      </w:r>
      <w:r w:rsidRPr="009A4B99">
        <w:rPr>
          <w:i/>
          <w:iCs/>
        </w:rPr>
        <w:t>‘The Death Penalty in Egypt – Ten Years after the Uprising’</w:t>
      </w:r>
      <w:r w:rsidRPr="009A4B99">
        <w:t xml:space="preserve"> (January 2022), p</w:t>
      </w:r>
      <w:r w:rsidR="006D2897" w:rsidRPr="009A4B99">
        <w:t>10</w:t>
      </w:r>
      <w:r w:rsidRPr="009A4B99">
        <w:t>, available at:</w:t>
      </w:r>
      <w:r w:rsidR="009A4B99" w:rsidRPr="009A4B99">
        <w:t xml:space="preserve"> </w:t>
      </w:r>
      <w:hyperlink r:id="rId23" w:history="1">
        <w:r w:rsidR="009A4B99" w:rsidRPr="00392FBF">
          <w:rPr>
            <w:rStyle w:val="Hyperlink"/>
            <w:color w:val="auto"/>
          </w:rPr>
          <w:t>https://reprieve.org/uk/2021/05/24/the-death-penalty-in-egypt-ten-year-after-the-uprising/</w:t>
        </w:r>
      </w:hyperlink>
      <w:r w:rsidR="009A4B99" w:rsidRPr="009A4B99">
        <w:t xml:space="preserve">. </w:t>
      </w:r>
    </w:p>
  </w:footnote>
  <w:footnote w:id="30">
    <w:p w14:paraId="3F5D54F0" w14:textId="2C0E83D6" w:rsidR="008F3E11" w:rsidRPr="009A4B99" w:rsidRDefault="008F3E11" w:rsidP="00B46479">
      <w:pPr>
        <w:pStyle w:val="FootnoteText"/>
        <w:jc w:val="both"/>
        <w:rPr>
          <w:rFonts w:cstheme="minorHAnsi"/>
          <w:lang w:val="en-US"/>
        </w:rPr>
      </w:pPr>
      <w:r w:rsidRPr="009A4B99">
        <w:rPr>
          <w:rStyle w:val="FootnoteReference"/>
          <w:rFonts w:cstheme="minorHAnsi"/>
        </w:rPr>
        <w:footnoteRef/>
      </w:r>
      <w:r w:rsidRPr="009A4B99">
        <w:rPr>
          <w:rFonts w:cstheme="minorHAnsi"/>
        </w:rPr>
        <w:t xml:space="preserve"> Data gathered by Reprieve and partners on the mass trials known as “</w:t>
      </w:r>
      <w:r w:rsidRPr="009A4B99">
        <w:rPr>
          <w:rFonts w:cstheme="minorHAnsi"/>
        </w:rPr>
        <w:t>Rabaa Sit-in clashes”, available at: https:// egyptdeathpenaltyindex.com/index/trials/</w:t>
      </w:r>
      <w:r w:rsidR="006D2897" w:rsidRPr="009A4B99">
        <w:rPr>
          <w:rFonts w:cstheme="minorHAnsi"/>
        </w:rPr>
        <w:t>.</w:t>
      </w:r>
    </w:p>
  </w:footnote>
  <w:footnote w:id="31">
    <w:p w14:paraId="7A904CEE" w14:textId="27E3307F" w:rsidR="008F3E11" w:rsidRPr="009A4B99" w:rsidRDefault="008F3E11" w:rsidP="00B46479">
      <w:pPr>
        <w:pStyle w:val="FootnoteText"/>
        <w:jc w:val="both"/>
        <w:rPr>
          <w:rFonts w:cstheme="minorHAnsi"/>
          <w:lang w:val="en-US"/>
        </w:rPr>
      </w:pPr>
      <w:r w:rsidRPr="009A4B99">
        <w:rPr>
          <w:rStyle w:val="FootnoteReference"/>
          <w:rFonts w:cstheme="minorHAnsi"/>
        </w:rPr>
        <w:footnoteRef/>
      </w:r>
      <w:r w:rsidRPr="009A4B99">
        <w:rPr>
          <w:rFonts w:cstheme="minorHAnsi"/>
        </w:rPr>
        <w:t xml:space="preserve"> Child Welfare Information Gateway</w:t>
      </w:r>
      <w:r w:rsidR="00FF0075">
        <w:rPr>
          <w:rFonts w:cstheme="minorHAnsi"/>
        </w:rPr>
        <w:t>,</w:t>
      </w:r>
      <w:r w:rsidRPr="009A4B99">
        <w:rPr>
          <w:rFonts w:cstheme="minorHAnsi"/>
        </w:rPr>
        <w:t xml:space="preserve"> </w:t>
      </w:r>
      <w:r w:rsidR="006D2897" w:rsidRPr="009A4B99">
        <w:rPr>
          <w:rFonts w:cstheme="minorHAnsi"/>
        </w:rPr>
        <w:t>“</w:t>
      </w:r>
      <w:r w:rsidRPr="009A4B99">
        <w:rPr>
          <w:rFonts w:cstheme="minorHAnsi"/>
        </w:rPr>
        <w:t>Understanding the effects of maltreatment on brain development. Washington, DC: U.S. Department of Health and Human Services, Children’s Bureau,</w:t>
      </w:r>
      <w:r w:rsidR="006D2897" w:rsidRPr="009A4B99">
        <w:rPr>
          <w:rFonts w:cstheme="minorHAnsi"/>
        </w:rPr>
        <w:t>” (2015),</w:t>
      </w:r>
      <w:r w:rsidRPr="009A4B99">
        <w:rPr>
          <w:rFonts w:cstheme="minorHAnsi"/>
        </w:rPr>
        <w:t xml:space="preserve"> available at: https://www. childwelfare.gov/</w:t>
      </w:r>
      <w:r w:rsidRPr="009A4B99">
        <w:rPr>
          <w:rFonts w:cstheme="minorHAnsi"/>
        </w:rPr>
        <w:t>pubPDFs/brain_development.pdf</w:t>
      </w:r>
    </w:p>
  </w:footnote>
  <w:footnote w:id="32">
    <w:p w14:paraId="40415A55" w14:textId="6C93504C" w:rsidR="00031F3E" w:rsidRPr="009A4B99" w:rsidRDefault="00031F3E" w:rsidP="00392FBF">
      <w:pPr>
        <w:pStyle w:val="paragraph"/>
        <w:spacing w:before="0" w:beforeAutospacing="0" w:after="0" w:afterAutospacing="0"/>
        <w:contextualSpacing/>
        <w:rPr>
          <w:rFonts w:asciiTheme="minorHAnsi" w:hAnsiTheme="minorHAnsi" w:cstheme="minorHAnsi"/>
          <w:color w:val="auto"/>
          <w:sz w:val="20"/>
          <w:szCs w:val="20"/>
          <w:lang w:val="en-US"/>
        </w:rPr>
      </w:pPr>
      <w:r w:rsidRPr="009A4B99">
        <w:rPr>
          <w:rStyle w:val="FootnoteReference"/>
          <w:rFonts w:asciiTheme="minorHAnsi" w:hAnsiTheme="minorHAnsi" w:cstheme="minorHAnsi"/>
          <w:color w:val="auto"/>
          <w:sz w:val="20"/>
          <w:szCs w:val="20"/>
        </w:rPr>
        <w:footnoteRef/>
      </w:r>
      <w:r w:rsidRPr="009A4B99">
        <w:rPr>
          <w:rFonts w:asciiTheme="minorHAnsi" w:hAnsiTheme="minorHAnsi" w:cstheme="minorHAnsi"/>
          <w:color w:val="auto"/>
          <w:sz w:val="20"/>
          <w:szCs w:val="20"/>
        </w:rPr>
        <w:t xml:space="preserve"> </w:t>
      </w:r>
      <w:r w:rsidR="002D4817" w:rsidRPr="00392FBF">
        <w:rPr>
          <w:rFonts w:asciiTheme="minorHAnsi" w:eastAsiaTheme="minorHAnsi" w:hAnsiTheme="minorHAnsi" w:cstheme="minorHAnsi"/>
          <w:color w:val="auto"/>
          <w:sz w:val="20"/>
          <w:szCs w:val="20"/>
          <w:lang w:val="en-GB" w:eastAsia="en-US"/>
        </w:rPr>
        <w:t xml:space="preserve">Reprieve, ‘Stolen Youths: Juveniles, mass trials and the death penalty in Egypt’ (2018), available at: </w:t>
      </w:r>
      <w:hyperlink r:id="rId24" w:tgtFrame="_blank" w:history="1">
        <w:r w:rsidR="002D4817" w:rsidRPr="00392FBF">
          <w:rPr>
            <w:rFonts w:asciiTheme="minorHAnsi" w:eastAsiaTheme="minorHAnsi" w:hAnsiTheme="minorHAnsi" w:cstheme="minorHAnsi"/>
            <w:color w:val="auto"/>
            <w:sz w:val="20"/>
            <w:szCs w:val="20"/>
            <w:lang w:val="en-GB" w:eastAsia="en-US"/>
          </w:rPr>
          <w:t>https://reprieve.org/uk/2018/03/28/stolen-youths/</w:t>
        </w:r>
      </w:hyperlink>
      <w:r w:rsidR="002D4817" w:rsidRPr="00392FBF">
        <w:rPr>
          <w:rFonts w:asciiTheme="minorHAnsi" w:eastAsiaTheme="minorHAnsi" w:hAnsiTheme="minorHAnsi" w:cstheme="minorHAnsi"/>
          <w:color w:val="auto"/>
          <w:sz w:val="20"/>
          <w:szCs w:val="20"/>
          <w:u w:val="single"/>
          <w:lang w:val="en-GB" w:eastAsia="en-US"/>
        </w:rPr>
        <w:t>.</w:t>
      </w:r>
      <w:r w:rsidR="00251AA8" w:rsidRPr="009A4B99">
        <w:rPr>
          <w:rFonts w:asciiTheme="minorHAnsi" w:eastAsiaTheme="minorHAnsi" w:hAnsiTheme="minorHAnsi" w:cstheme="minorHAnsi"/>
          <w:color w:val="auto"/>
          <w:sz w:val="20"/>
          <w:szCs w:val="20"/>
          <w:lang w:val="en-GB" w:eastAsia="en-US"/>
        </w:rPr>
        <w:t xml:space="preserve"> </w:t>
      </w:r>
      <w:r w:rsidR="006D2897" w:rsidRPr="009A4B99">
        <w:rPr>
          <w:rFonts w:asciiTheme="minorHAnsi" w:eastAsiaTheme="minorHAnsi" w:hAnsiTheme="minorHAnsi" w:cstheme="minorHAnsi"/>
          <w:color w:val="auto"/>
          <w:sz w:val="20"/>
          <w:szCs w:val="20"/>
          <w:lang w:val="en-GB" w:eastAsia="en-US"/>
        </w:rPr>
        <w:t xml:space="preserve"> </w:t>
      </w:r>
    </w:p>
  </w:footnote>
  <w:footnote w:id="33">
    <w:p w14:paraId="26334473" w14:textId="4133C826" w:rsidR="00031F3E" w:rsidRPr="009A4B99" w:rsidRDefault="00031F3E" w:rsidP="002D4817">
      <w:pPr>
        <w:pStyle w:val="FootnoteText"/>
        <w:jc w:val="both"/>
        <w:rPr>
          <w:rFonts w:cstheme="minorHAnsi"/>
          <w:lang w:val="en-US"/>
        </w:rPr>
      </w:pPr>
      <w:r w:rsidRPr="009A4B99">
        <w:rPr>
          <w:rStyle w:val="FootnoteReference"/>
          <w:rFonts w:cstheme="minorHAnsi"/>
        </w:rPr>
        <w:footnoteRef/>
      </w:r>
      <w:r w:rsidRPr="009A4B99">
        <w:rPr>
          <w:rFonts w:cstheme="minorHAnsi"/>
        </w:rPr>
        <w:t xml:space="preserve"> ‘</w:t>
      </w:r>
      <w:r w:rsidRPr="009A4B99">
        <w:rPr>
          <w:rFonts w:cstheme="minorHAnsi"/>
        </w:rPr>
        <w:t xml:space="preserve">Minya judge reads newspaper, discovers he sentenced child to death’, </w:t>
      </w:r>
      <w:r w:rsidR="00251AA8" w:rsidRPr="009A4B99">
        <w:rPr>
          <w:rFonts w:cstheme="minorHAnsi"/>
        </w:rPr>
        <w:t>(</w:t>
      </w:r>
      <w:r w:rsidRPr="009A4B99">
        <w:rPr>
          <w:rFonts w:cstheme="minorHAnsi"/>
          <w:i/>
          <w:iCs/>
        </w:rPr>
        <w:t>Egypt Independent</w:t>
      </w:r>
      <w:r w:rsidRPr="009A4B99">
        <w:rPr>
          <w:rFonts w:cstheme="minorHAnsi"/>
        </w:rPr>
        <w:t>, 26 June 2014</w:t>
      </w:r>
      <w:r w:rsidR="00251AA8" w:rsidRPr="009A4B99">
        <w:rPr>
          <w:rFonts w:cstheme="minorHAnsi"/>
        </w:rPr>
        <w:t xml:space="preserve">), available at: </w:t>
      </w:r>
      <w:hyperlink r:id="rId25" w:history="1">
        <w:r w:rsidR="00251AA8" w:rsidRPr="00392FBF">
          <w:rPr>
            <w:rStyle w:val="Hyperlink"/>
            <w:rFonts w:cstheme="minorHAnsi"/>
            <w:color w:val="auto"/>
          </w:rPr>
          <w:t>http://www.egyptindependent.com/minya-judge-readsnewspaper-discovers-he-sentenced-child-death</w:t>
        </w:r>
      </w:hyperlink>
      <w:r w:rsidR="002D4817" w:rsidRPr="009A4B99">
        <w:rPr>
          <w:rFonts w:cstheme="minorHAnsi"/>
        </w:rPr>
        <w:t xml:space="preserve">; </w:t>
      </w:r>
      <w:r w:rsidRPr="009A4B99">
        <w:rPr>
          <w:rFonts w:cstheme="minorHAnsi"/>
        </w:rPr>
        <w:t>Hassan Abdul-Ghaffar, ‘</w:t>
      </w:r>
      <w:r w:rsidRPr="00392FBF">
        <w:rPr>
          <w:rFonts w:cstheme="minorHAnsi"/>
        </w:rPr>
        <w:t>Human rights centre’s demanding a moratorium for the execution of a child in the Adwa case’, (</w:t>
      </w:r>
      <w:r w:rsidRPr="00392FBF">
        <w:rPr>
          <w:rFonts w:cstheme="minorHAnsi"/>
          <w:i/>
          <w:iCs/>
        </w:rPr>
        <w:t>Youm7</w:t>
      </w:r>
      <w:r w:rsidRPr="00392FBF">
        <w:rPr>
          <w:rFonts w:cstheme="minorHAnsi"/>
        </w:rPr>
        <w:t>, 25 June 2014)</w:t>
      </w:r>
      <w:r w:rsidR="00251AA8" w:rsidRPr="00392FBF">
        <w:rPr>
          <w:rFonts w:cstheme="minorHAnsi"/>
        </w:rPr>
        <w:t xml:space="preserve">, available in Arabic only, </w:t>
      </w:r>
      <w:r w:rsidR="00251AA8" w:rsidRPr="00392FBF">
        <w:rPr>
          <w:rFonts w:cstheme="minorHAnsi"/>
          <w:u w:val="single"/>
        </w:rPr>
        <w:t xml:space="preserve">http://www.youm7. </w:t>
      </w:r>
      <w:r w:rsidR="00251AA8" w:rsidRPr="00392FBF">
        <w:rPr>
          <w:rFonts w:cstheme="minorHAnsi"/>
          <w:u w:val="single"/>
        </w:rPr>
        <w:t>com/story/2014/6/25/%D9%85%D8%B1%D8%A7%D9%83%D8%B2%D8%AD%D9%82%D9%88%D9%82%D9%8A%D8%A9%D8%AA%D8%B7%D8%A7%D9%84%D8%A8%D8%A8%D9%88%D9%82%D9%81%D8%AA%D9%86%D9%81%D9%8A%D8%B0%D8%AD%D9%83%D9%85%D8%A7%D9%84%D8%A5%D8%B9%D8%AF%D8%A7%D9%85-%D8%B9%D9%84%D9%89%D8%B7%D9%81%D9%84-%D9%81%D9%89/1744951.</w:t>
      </w:r>
      <w:r w:rsidR="00251AA8" w:rsidRPr="009A4B99">
        <w:rPr>
          <w:rFonts w:cstheme="minorHAnsi"/>
        </w:rPr>
        <w:t xml:space="preserve"> </w:t>
      </w:r>
    </w:p>
  </w:footnote>
  <w:footnote w:id="34">
    <w:p w14:paraId="7C62E992" w14:textId="76177EA2" w:rsidR="00031F3E" w:rsidRPr="009A4B99" w:rsidRDefault="00031F3E" w:rsidP="002D4817">
      <w:pPr>
        <w:pStyle w:val="FootnoteText"/>
        <w:jc w:val="both"/>
        <w:rPr>
          <w:rFonts w:cstheme="minorHAnsi"/>
        </w:rPr>
      </w:pPr>
      <w:r w:rsidRPr="009A4B99">
        <w:rPr>
          <w:rStyle w:val="FootnoteReference"/>
          <w:rFonts w:cstheme="minorHAnsi"/>
        </w:rPr>
        <w:footnoteRef/>
      </w:r>
      <w:r w:rsidRPr="009A4B99">
        <w:rPr>
          <w:rFonts w:cstheme="minorHAnsi"/>
        </w:rPr>
        <w:t xml:space="preserve"> </w:t>
      </w:r>
      <w:r w:rsidR="00251AA8" w:rsidRPr="009A4B99">
        <w:rPr>
          <w:rFonts w:cstheme="minorHAnsi"/>
        </w:rPr>
        <w:t xml:space="preserve">Islam </w:t>
      </w:r>
      <w:r w:rsidR="00251AA8" w:rsidRPr="009A4B99">
        <w:rPr>
          <w:rFonts w:cstheme="minorHAnsi"/>
        </w:rPr>
        <w:t>Fahmey, ‘Minya Criminal “abolish the death sentence of the accused child following the Adwa violence”’, (</w:t>
      </w:r>
      <w:r w:rsidR="00251AA8" w:rsidRPr="00392FBF">
        <w:rPr>
          <w:rFonts w:cstheme="minorHAnsi"/>
          <w:i/>
          <w:iCs/>
        </w:rPr>
        <w:t>El Watan,</w:t>
      </w:r>
      <w:r w:rsidR="00251AA8" w:rsidRPr="009A4B99">
        <w:rPr>
          <w:rFonts w:cstheme="minorHAnsi"/>
        </w:rPr>
        <w:t xml:space="preserve"> 26 August 2014), available in Arabic only, </w:t>
      </w:r>
      <w:r w:rsidR="00251AA8" w:rsidRPr="00392FBF">
        <w:rPr>
          <w:rFonts w:cstheme="minorHAnsi"/>
          <w:u w:val="single"/>
        </w:rPr>
        <w:t>https://www.elwatannews.com/news/ details/546690</w:t>
      </w:r>
      <w:r w:rsidR="00251AA8" w:rsidRPr="009A4B99">
        <w:rPr>
          <w:rFonts w:cstheme="minorHAnsi"/>
        </w:rPr>
        <w:t>; and; Ahmed Saad, ‘Merits of appeal for the events in Adwa: the execution of Badi and his brothers invalid for these reasons’, (</w:t>
      </w:r>
      <w:r w:rsidR="00251AA8" w:rsidRPr="00392FBF">
        <w:rPr>
          <w:rFonts w:cstheme="minorHAnsi"/>
          <w:i/>
          <w:iCs/>
        </w:rPr>
        <w:t>Shorouk News</w:t>
      </w:r>
      <w:r w:rsidR="00251AA8" w:rsidRPr="009A4B99">
        <w:rPr>
          <w:rFonts w:cstheme="minorHAnsi"/>
        </w:rPr>
        <w:t xml:space="preserve">, 12 March 2015), available in Arabic only, </w:t>
      </w:r>
      <w:hyperlink r:id="rId26" w:history="1">
        <w:r w:rsidR="00251AA8" w:rsidRPr="00392FBF">
          <w:rPr>
            <w:rStyle w:val="Hyperlink"/>
            <w:color w:val="auto"/>
          </w:rPr>
          <w:t>http://www.shorouknews.com/news/view.aspx?cdate=12032015&amp;id=e490091d-2448-47a49233a62b36cb5b0b</w:t>
        </w:r>
      </w:hyperlink>
      <w:r w:rsidR="00251AA8" w:rsidRPr="00392FBF">
        <w:rPr>
          <w:rFonts w:cstheme="minorHAnsi"/>
          <w:u w:val="single"/>
        </w:rPr>
        <w:t xml:space="preserve">. </w:t>
      </w:r>
    </w:p>
  </w:footnote>
  <w:footnote w:id="35">
    <w:p w14:paraId="2255DD2F" w14:textId="6C7FAA6D" w:rsidR="00FC2337" w:rsidRPr="009A4B99" w:rsidRDefault="00FC2337" w:rsidP="00B46479">
      <w:pPr>
        <w:pStyle w:val="FootnoteText"/>
        <w:jc w:val="both"/>
        <w:rPr>
          <w:rFonts w:cstheme="minorHAnsi"/>
        </w:rPr>
      </w:pPr>
      <w:r w:rsidRPr="009A4B99">
        <w:rPr>
          <w:rStyle w:val="FootnoteReference"/>
          <w:rFonts w:cstheme="minorHAnsi"/>
        </w:rPr>
        <w:footnoteRef/>
      </w:r>
      <w:r w:rsidRPr="009A4B99">
        <w:rPr>
          <w:rFonts w:cstheme="minorHAnsi"/>
        </w:rPr>
        <w:t xml:space="preserve"> </w:t>
      </w:r>
      <w:r w:rsidR="006D2897" w:rsidRPr="00392FBF">
        <w:rPr>
          <w:rFonts w:cstheme="minorHAnsi"/>
        </w:rPr>
        <w:t xml:space="preserve">UN General Assembly, Report of the Committee against Torture, 2017 </w:t>
      </w:r>
      <w:hyperlink r:id="rId27" w:history="1">
        <w:r w:rsidR="00251AA8" w:rsidRPr="00392FBF">
          <w:rPr>
            <w:rStyle w:val="Hyperlink"/>
            <w:rFonts w:cstheme="minorHAnsi"/>
            <w:color w:val="auto"/>
          </w:rPr>
          <w:t>https://tbinternet.ohchr.org/_layouts/15/treatybodyexternal/Download.aspx?symbolno=A%2f72%2f44&amp;Lang=en</w:t>
        </w:r>
      </w:hyperlink>
      <w:r w:rsidR="00251AA8" w:rsidRPr="009A4B99">
        <w:rPr>
          <w:rFonts w:cstheme="minorHAnsi"/>
        </w:rPr>
        <w:t xml:space="preserve">. </w:t>
      </w:r>
    </w:p>
  </w:footnote>
  <w:footnote w:id="36">
    <w:p w14:paraId="75AD9A92" w14:textId="78BA0AD6" w:rsidR="00CE0F02" w:rsidRPr="009A4B99" w:rsidRDefault="00CE0F02" w:rsidP="00B46479">
      <w:pPr>
        <w:pStyle w:val="FootnoteText"/>
        <w:jc w:val="both"/>
        <w:rPr>
          <w:rFonts w:cstheme="minorHAnsi"/>
        </w:rPr>
      </w:pPr>
      <w:r w:rsidRPr="009A4B99">
        <w:rPr>
          <w:rStyle w:val="FootnoteReference"/>
          <w:rFonts w:cstheme="minorHAnsi"/>
        </w:rPr>
        <w:footnoteRef/>
      </w:r>
      <w:r w:rsidRPr="009A4B99">
        <w:rPr>
          <w:rFonts w:cstheme="minorHAnsi"/>
        </w:rPr>
        <w:t xml:space="preserve"> </w:t>
      </w:r>
      <w:r w:rsidR="006D2897" w:rsidRPr="009A4B99">
        <w:rPr>
          <w:rFonts w:cstheme="minorHAnsi"/>
        </w:rPr>
        <w:t xml:space="preserve">Egypt acceded to the UN Convention </w:t>
      </w:r>
      <w:r w:rsidR="006D2897" w:rsidRPr="009A4B99">
        <w:rPr>
          <w:rFonts w:cstheme="minorHAnsi"/>
        </w:rPr>
        <w:t xml:space="preserve">Against Torture on </w:t>
      </w:r>
      <w:r w:rsidR="00251AA8" w:rsidRPr="009A4B99">
        <w:rPr>
          <w:rFonts w:cstheme="minorHAnsi"/>
        </w:rPr>
        <w:t>25 June 1986. Article 12 of UNCAT requires each state to ensure there is an independent, prompt and impartial investigation into allegations of torture; article 15 requires the judiciary to exclude evidence extracted through torture.</w:t>
      </w:r>
    </w:p>
  </w:footnote>
  <w:footnote w:id="37">
    <w:p w14:paraId="0F3F2121" w14:textId="3DCAA23E" w:rsidR="009A4B99" w:rsidRPr="009A4B99" w:rsidRDefault="009A4B99" w:rsidP="009A4B99">
      <w:pPr>
        <w:pStyle w:val="FootnoteText"/>
      </w:pPr>
      <w:r w:rsidRPr="009A4B99">
        <w:rPr>
          <w:rStyle w:val="FootnoteReference"/>
        </w:rPr>
        <w:footnoteRef/>
      </w:r>
      <w:r w:rsidRPr="009A4B99">
        <w:t xml:space="preserve"> Reprieve, </w:t>
      </w:r>
      <w:r w:rsidRPr="009A4B99">
        <w:rPr>
          <w:i/>
          <w:iCs/>
        </w:rPr>
        <w:t>‘The Death Penalty in Egypt – Ten Years after the Uprising’</w:t>
      </w:r>
      <w:r w:rsidRPr="009A4B99">
        <w:t xml:space="preserve"> (January 2022), p11, available at: </w:t>
      </w:r>
      <w:hyperlink r:id="rId28" w:history="1">
        <w:r w:rsidRPr="00392FBF">
          <w:rPr>
            <w:rStyle w:val="Hyperlink"/>
            <w:color w:val="auto"/>
          </w:rPr>
          <w:t>https://reprieve.org/uk/2021/05/24/the-death-penalty-in-egypt-ten-year-after-the-uprising/</w:t>
        </w:r>
      </w:hyperlink>
      <w:r w:rsidRPr="009A4B99">
        <w:t xml:space="preserve">. </w:t>
      </w:r>
    </w:p>
    <w:p w14:paraId="66FF70F7" w14:textId="03E6B8CC" w:rsidR="009A4B99" w:rsidRPr="009A4B99" w:rsidRDefault="009A4B99">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161CA5" w14:textId="6198FB64" w:rsidR="009A4B99" w:rsidRPr="00733FFD" w:rsidRDefault="009A4B99" w:rsidP="009A4B99">
    <w:pPr>
      <w:pStyle w:val="Footer"/>
      <w:ind w:right="110"/>
      <w:rPr>
        <w:i/>
        <w:iCs/>
        <w:sz w:val="20"/>
        <w:szCs w:val="20"/>
      </w:rPr>
    </w:pPr>
    <w:r w:rsidRPr="00733FFD">
      <w:rPr>
        <w:i/>
        <w:iCs/>
        <w:sz w:val="20"/>
        <w:szCs w:val="20"/>
      </w:rPr>
      <w:t>Alternative Report to the Committee on the Rights of the Child: Egypt (96</w:t>
    </w:r>
    <w:r w:rsidRPr="00733FFD">
      <w:rPr>
        <w:i/>
        <w:iCs/>
        <w:sz w:val="20"/>
        <w:szCs w:val="20"/>
        <w:vertAlign w:val="superscript"/>
      </w:rPr>
      <w:t>th</w:t>
    </w:r>
    <w:r w:rsidRPr="00733FFD">
      <w:rPr>
        <w:i/>
        <w:iCs/>
        <w:sz w:val="20"/>
        <w:szCs w:val="20"/>
      </w:rPr>
      <w:t xml:space="preserve"> Session)</w:t>
    </w:r>
  </w:p>
  <w:p w14:paraId="451DA41B" w14:textId="377D44E0" w:rsidR="009A4B99" w:rsidRPr="00733FFD" w:rsidRDefault="009A4B99" w:rsidP="009A4B99">
    <w:pPr>
      <w:pStyle w:val="Footer"/>
      <w:ind w:right="110"/>
      <w:rPr>
        <w:sz w:val="20"/>
        <w:szCs w:val="20"/>
      </w:rPr>
    </w:pPr>
    <w:r w:rsidRPr="00733FFD">
      <w:rPr>
        <w:sz w:val="20"/>
        <w:szCs w:val="20"/>
      </w:rPr>
      <w:t>Reprieve and the Advocates for Human Rights</w:t>
    </w:r>
  </w:p>
  <w:p w14:paraId="57331184" w14:textId="6C6A7638" w:rsidR="009A4B99" w:rsidRPr="00733FFD" w:rsidRDefault="009A4B99" w:rsidP="009A4B99">
    <w:pPr>
      <w:pStyle w:val="Footer"/>
      <w:ind w:right="110"/>
      <w:rPr>
        <w:sz w:val="20"/>
        <w:szCs w:val="20"/>
      </w:rPr>
    </w:pPr>
    <w:r w:rsidRPr="00733FFD">
      <w:rPr>
        <w:sz w:val="20"/>
        <w:szCs w:val="20"/>
      </w:rPr>
      <w:t>July 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94B63" w14:textId="20B89F07" w:rsidR="00ED37AE" w:rsidRDefault="000C1B0C" w:rsidP="000C1B0C">
    <w:pPr>
      <w:pStyle w:val="Header"/>
      <w:jc w:val="center"/>
    </w:pPr>
    <w:r>
      <w:rPr>
        <w:noProof/>
        <w:lang w:eastAsia="en-GB"/>
      </w:rPr>
      <w:drawing>
        <wp:anchor distT="0" distB="0" distL="114300" distR="114300" simplePos="0" relativeHeight="251660288" behindDoc="1" locked="0" layoutInCell="1" allowOverlap="1" wp14:anchorId="600F31E6" wp14:editId="2661A9F9">
          <wp:simplePos x="0" y="0"/>
          <wp:positionH relativeFrom="column">
            <wp:posOffset>904240</wp:posOffset>
          </wp:positionH>
          <wp:positionV relativeFrom="paragraph">
            <wp:posOffset>-159331</wp:posOffset>
          </wp:positionV>
          <wp:extent cx="1546698" cy="574162"/>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6698" cy="574162"/>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4E0BA8B5" wp14:editId="23E9F768">
          <wp:simplePos x="0" y="0"/>
          <wp:positionH relativeFrom="column">
            <wp:posOffset>3404235</wp:posOffset>
          </wp:positionH>
          <wp:positionV relativeFrom="paragraph">
            <wp:posOffset>-207010</wp:posOffset>
          </wp:positionV>
          <wp:extent cx="1927225" cy="738505"/>
          <wp:effectExtent l="0" t="0" r="3175" b="0"/>
          <wp:wrapTight wrapText="bothSides">
            <wp:wrapPolygon edited="0">
              <wp:start x="0" y="0"/>
              <wp:lineTo x="0" y="21173"/>
              <wp:lineTo x="21493" y="21173"/>
              <wp:lineTo x="21493" y="0"/>
              <wp:lineTo x="0" y="0"/>
            </wp:wrapPolygon>
          </wp:wrapTight>
          <wp:docPr id="19" name="Picture 19" descr="A blue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blue and white logo&#10;&#10;Description automatically generated with low confidenc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27225" cy="738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52CF10" w14:textId="77777777" w:rsidR="00ED37AE" w:rsidRDefault="00ED37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10665"/>
    <w:multiLevelType w:val="hybridMultilevel"/>
    <w:tmpl w:val="164805A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9537A7"/>
    <w:multiLevelType w:val="hybridMultilevel"/>
    <w:tmpl w:val="4C560E80"/>
    <w:lvl w:ilvl="0" w:tplc="BF1E8C10">
      <w:start w:val="3"/>
      <w:numFmt w:val="upperRoman"/>
      <w:lvlText w:val="%1."/>
      <w:lvlJc w:val="righ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B05C79"/>
    <w:multiLevelType w:val="hybridMultilevel"/>
    <w:tmpl w:val="9F10B10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7EB51C6"/>
    <w:multiLevelType w:val="hybridMultilevel"/>
    <w:tmpl w:val="CCEE7DB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D324CC7"/>
    <w:multiLevelType w:val="hybridMultilevel"/>
    <w:tmpl w:val="79D45780"/>
    <w:lvl w:ilvl="0" w:tplc="80A23A78">
      <w:start w:val="1"/>
      <w:numFmt w:val="lowerRoman"/>
      <w:lvlText w:val="(%1)"/>
      <w:lvlJc w:val="left"/>
      <w:pPr>
        <w:ind w:left="1644" w:hanging="360"/>
      </w:pPr>
      <w:rPr>
        <w:rFonts w:hint="default"/>
      </w:rPr>
    </w:lvl>
    <w:lvl w:ilvl="1" w:tplc="08090019" w:tentative="1">
      <w:start w:val="1"/>
      <w:numFmt w:val="lowerLetter"/>
      <w:lvlText w:val="%2."/>
      <w:lvlJc w:val="left"/>
      <w:pPr>
        <w:ind w:left="2364" w:hanging="360"/>
      </w:pPr>
    </w:lvl>
    <w:lvl w:ilvl="2" w:tplc="0809001B" w:tentative="1">
      <w:start w:val="1"/>
      <w:numFmt w:val="lowerRoman"/>
      <w:lvlText w:val="%3."/>
      <w:lvlJc w:val="right"/>
      <w:pPr>
        <w:ind w:left="3084" w:hanging="180"/>
      </w:pPr>
    </w:lvl>
    <w:lvl w:ilvl="3" w:tplc="0809000F" w:tentative="1">
      <w:start w:val="1"/>
      <w:numFmt w:val="decimal"/>
      <w:lvlText w:val="%4."/>
      <w:lvlJc w:val="left"/>
      <w:pPr>
        <w:ind w:left="3804" w:hanging="360"/>
      </w:pPr>
    </w:lvl>
    <w:lvl w:ilvl="4" w:tplc="08090019" w:tentative="1">
      <w:start w:val="1"/>
      <w:numFmt w:val="lowerLetter"/>
      <w:lvlText w:val="%5."/>
      <w:lvlJc w:val="left"/>
      <w:pPr>
        <w:ind w:left="4524" w:hanging="360"/>
      </w:pPr>
    </w:lvl>
    <w:lvl w:ilvl="5" w:tplc="0809001B" w:tentative="1">
      <w:start w:val="1"/>
      <w:numFmt w:val="lowerRoman"/>
      <w:lvlText w:val="%6."/>
      <w:lvlJc w:val="right"/>
      <w:pPr>
        <w:ind w:left="5244" w:hanging="180"/>
      </w:pPr>
    </w:lvl>
    <w:lvl w:ilvl="6" w:tplc="0809000F" w:tentative="1">
      <w:start w:val="1"/>
      <w:numFmt w:val="decimal"/>
      <w:lvlText w:val="%7."/>
      <w:lvlJc w:val="left"/>
      <w:pPr>
        <w:ind w:left="5964" w:hanging="360"/>
      </w:pPr>
    </w:lvl>
    <w:lvl w:ilvl="7" w:tplc="08090019" w:tentative="1">
      <w:start w:val="1"/>
      <w:numFmt w:val="lowerLetter"/>
      <w:lvlText w:val="%8."/>
      <w:lvlJc w:val="left"/>
      <w:pPr>
        <w:ind w:left="6684" w:hanging="360"/>
      </w:pPr>
    </w:lvl>
    <w:lvl w:ilvl="8" w:tplc="0809001B" w:tentative="1">
      <w:start w:val="1"/>
      <w:numFmt w:val="lowerRoman"/>
      <w:lvlText w:val="%9."/>
      <w:lvlJc w:val="right"/>
      <w:pPr>
        <w:ind w:left="7404" w:hanging="180"/>
      </w:pPr>
    </w:lvl>
  </w:abstractNum>
  <w:abstractNum w:abstractNumId="5" w15:restartNumberingAfterBreak="0">
    <w:nsid w:val="2336772D"/>
    <w:multiLevelType w:val="hybridMultilevel"/>
    <w:tmpl w:val="339C4A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1B15B0"/>
    <w:multiLevelType w:val="hybridMultilevel"/>
    <w:tmpl w:val="FFBA34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95445C"/>
    <w:multiLevelType w:val="hybridMultilevel"/>
    <w:tmpl w:val="CA4EC2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302097B"/>
    <w:multiLevelType w:val="hybridMultilevel"/>
    <w:tmpl w:val="E492669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03244F"/>
    <w:multiLevelType w:val="hybridMultilevel"/>
    <w:tmpl w:val="287451A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C23590E"/>
    <w:multiLevelType w:val="hybridMultilevel"/>
    <w:tmpl w:val="56C4F9EE"/>
    <w:lvl w:ilvl="0" w:tplc="4F04B4F8">
      <w:start w:val="1"/>
      <w:numFmt w:val="upperRoman"/>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C979A0"/>
    <w:multiLevelType w:val="hybridMultilevel"/>
    <w:tmpl w:val="CE8C7698"/>
    <w:lvl w:ilvl="0" w:tplc="08090001">
      <w:start w:val="1"/>
      <w:numFmt w:val="bullet"/>
      <w:lvlText w:val=""/>
      <w:lvlJc w:val="left"/>
      <w:pPr>
        <w:ind w:left="916" w:hanging="360"/>
      </w:pPr>
      <w:rPr>
        <w:rFonts w:ascii="Symbol" w:hAnsi="Symbol" w:hint="default"/>
      </w:rPr>
    </w:lvl>
    <w:lvl w:ilvl="1" w:tplc="FFFFFFFF">
      <w:start w:val="1"/>
      <w:numFmt w:val="lowerLetter"/>
      <w:lvlText w:val="%2."/>
      <w:lvlJc w:val="left"/>
      <w:pPr>
        <w:ind w:left="1636" w:hanging="360"/>
      </w:pPr>
    </w:lvl>
    <w:lvl w:ilvl="2" w:tplc="FFFFFFFF" w:tentative="1">
      <w:start w:val="1"/>
      <w:numFmt w:val="lowerRoman"/>
      <w:lvlText w:val="%3."/>
      <w:lvlJc w:val="right"/>
      <w:pPr>
        <w:ind w:left="2356" w:hanging="180"/>
      </w:pPr>
    </w:lvl>
    <w:lvl w:ilvl="3" w:tplc="FFFFFFFF" w:tentative="1">
      <w:start w:val="1"/>
      <w:numFmt w:val="decimal"/>
      <w:lvlText w:val="%4."/>
      <w:lvlJc w:val="left"/>
      <w:pPr>
        <w:ind w:left="3076" w:hanging="360"/>
      </w:pPr>
    </w:lvl>
    <w:lvl w:ilvl="4" w:tplc="FFFFFFFF" w:tentative="1">
      <w:start w:val="1"/>
      <w:numFmt w:val="lowerLetter"/>
      <w:lvlText w:val="%5."/>
      <w:lvlJc w:val="left"/>
      <w:pPr>
        <w:ind w:left="3796" w:hanging="360"/>
      </w:pPr>
    </w:lvl>
    <w:lvl w:ilvl="5" w:tplc="FFFFFFFF" w:tentative="1">
      <w:start w:val="1"/>
      <w:numFmt w:val="lowerRoman"/>
      <w:lvlText w:val="%6."/>
      <w:lvlJc w:val="right"/>
      <w:pPr>
        <w:ind w:left="4516" w:hanging="180"/>
      </w:pPr>
    </w:lvl>
    <w:lvl w:ilvl="6" w:tplc="FFFFFFFF" w:tentative="1">
      <w:start w:val="1"/>
      <w:numFmt w:val="decimal"/>
      <w:lvlText w:val="%7."/>
      <w:lvlJc w:val="left"/>
      <w:pPr>
        <w:ind w:left="5236" w:hanging="360"/>
      </w:pPr>
    </w:lvl>
    <w:lvl w:ilvl="7" w:tplc="FFFFFFFF" w:tentative="1">
      <w:start w:val="1"/>
      <w:numFmt w:val="lowerLetter"/>
      <w:lvlText w:val="%8."/>
      <w:lvlJc w:val="left"/>
      <w:pPr>
        <w:ind w:left="5956" w:hanging="360"/>
      </w:pPr>
    </w:lvl>
    <w:lvl w:ilvl="8" w:tplc="FFFFFFFF" w:tentative="1">
      <w:start w:val="1"/>
      <w:numFmt w:val="lowerRoman"/>
      <w:lvlText w:val="%9."/>
      <w:lvlJc w:val="right"/>
      <w:pPr>
        <w:ind w:left="6676" w:hanging="180"/>
      </w:pPr>
    </w:lvl>
  </w:abstractNum>
  <w:abstractNum w:abstractNumId="12" w15:restartNumberingAfterBreak="0">
    <w:nsid w:val="4C5F262A"/>
    <w:multiLevelType w:val="hybridMultilevel"/>
    <w:tmpl w:val="B01C9C7A"/>
    <w:lvl w:ilvl="0" w:tplc="18A610F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3B014E"/>
    <w:multiLevelType w:val="hybridMultilevel"/>
    <w:tmpl w:val="786EACD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C879D8"/>
    <w:multiLevelType w:val="hybridMultilevel"/>
    <w:tmpl w:val="899C94E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B4A6A7F"/>
    <w:multiLevelType w:val="hybridMultilevel"/>
    <w:tmpl w:val="A0BCDED4"/>
    <w:lvl w:ilvl="0" w:tplc="FA228514">
      <w:start w:val="3"/>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2D5EFA"/>
    <w:multiLevelType w:val="hybridMultilevel"/>
    <w:tmpl w:val="BFAA959E"/>
    <w:lvl w:ilvl="0" w:tplc="7220BCDC">
      <w:start w:val="2"/>
      <w:numFmt w:val="upperRoman"/>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EB74C79"/>
    <w:multiLevelType w:val="hybridMultilevel"/>
    <w:tmpl w:val="04488004"/>
    <w:lvl w:ilvl="0" w:tplc="4F04B4F8">
      <w:start w:val="1"/>
      <w:numFmt w:val="upperRoman"/>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BF4ECA"/>
    <w:multiLevelType w:val="hybridMultilevel"/>
    <w:tmpl w:val="AD02B1F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5D7FFD"/>
    <w:multiLevelType w:val="hybridMultilevel"/>
    <w:tmpl w:val="E1A031E0"/>
    <w:lvl w:ilvl="0" w:tplc="50B6BEFE">
      <w:start w:val="3"/>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464EF0"/>
    <w:multiLevelType w:val="hybridMultilevel"/>
    <w:tmpl w:val="1F8A5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C5420EB"/>
    <w:multiLevelType w:val="hybridMultilevel"/>
    <w:tmpl w:val="DB165D90"/>
    <w:lvl w:ilvl="0" w:tplc="E0EA0358">
      <w:start w:val="1"/>
      <w:numFmt w:val="upperRoman"/>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011C78"/>
    <w:multiLevelType w:val="hybridMultilevel"/>
    <w:tmpl w:val="F0D83D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BC61C02"/>
    <w:multiLevelType w:val="hybridMultilevel"/>
    <w:tmpl w:val="4ACAA118"/>
    <w:lvl w:ilvl="0" w:tplc="08090001">
      <w:start w:val="1"/>
      <w:numFmt w:val="bullet"/>
      <w:lvlText w:val=""/>
      <w:lvlJc w:val="left"/>
      <w:pPr>
        <w:ind w:left="1644" w:hanging="360"/>
      </w:pPr>
      <w:rPr>
        <w:rFonts w:ascii="Symbol" w:hAnsi="Symbol" w:hint="default"/>
      </w:rPr>
    </w:lvl>
    <w:lvl w:ilvl="1" w:tplc="08090003" w:tentative="1">
      <w:start w:val="1"/>
      <w:numFmt w:val="bullet"/>
      <w:lvlText w:val="o"/>
      <w:lvlJc w:val="left"/>
      <w:pPr>
        <w:ind w:left="2364" w:hanging="360"/>
      </w:pPr>
      <w:rPr>
        <w:rFonts w:ascii="Courier New" w:hAnsi="Courier New" w:cs="Courier New" w:hint="default"/>
      </w:rPr>
    </w:lvl>
    <w:lvl w:ilvl="2" w:tplc="08090005" w:tentative="1">
      <w:start w:val="1"/>
      <w:numFmt w:val="bullet"/>
      <w:lvlText w:val=""/>
      <w:lvlJc w:val="left"/>
      <w:pPr>
        <w:ind w:left="3084" w:hanging="360"/>
      </w:pPr>
      <w:rPr>
        <w:rFonts w:ascii="Wingdings" w:hAnsi="Wingdings" w:hint="default"/>
      </w:rPr>
    </w:lvl>
    <w:lvl w:ilvl="3" w:tplc="08090001" w:tentative="1">
      <w:start w:val="1"/>
      <w:numFmt w:val="bullet"/>
      <w:lvlText w:val=""/>
      <w:lvlJc w:val="left"/>
      <w:pPr>
        <w:ind w:left="3804" w:hanging="360"/>
      </w:pPr>
      <w:rPr>
        <w:rFonts w:ascii="Symbol" w:hAnsi="Symbol" w:hint="default"/>
      </w:rPr>
    </w:lvl>
    <w:lvl w:ilvl="4" w:tplc="08090003" w:tentative="1">
      <w:start w:val="1"/>
      <w:numFmt w:val="bullet"/>
      <w:lvlText w:val="o"/>
      <w:lvlJc w:val="left"/>
      <w:pPr>
        <w:ind w:left="4524" w:hanging="360"/>
      </w:pPr>
      <w:rPr>
        <w:rFonts w:ascii="Courier New" w:hAnsi="Courier New" w:cs="Courier New" w:hint="default"/>
      </w:rPr>
    </w:lvl>
    <w:lvl w:ilvl="5" w:tplc="08090005" w:tentative="1">
      <w:start w:val="1"/>
      <w:numFmt w:val="bullet"/>
      <w:lvlText w:val=""/>
      <w:lvlJc w:val="left"/>
      <w:pPr>
        <w:ind w:left="5244" w:hanging="360"/>
      </w:pPr>
      <w:rPr>
        <w:rFonts w:ascii="Wingdings" w:hAnsi="Wingdings" w:hint="default"/>
      </w:rPr>
    </w:lvl>
    <w:lvl w:ilvl="6" w:tplc="08090001" w:tentative="1">
      <w:start w:val="1"/>
      <w:numFmt w:val="bullet"/>
      <w:lvlText w:val=""/>
      <w:lvlJc w:val="left"/>
      <w:pPr>
        <w:ind w:left="5964" w:hanging="360"/>
      </w:pPr>
      <w:rPr>
        <w:rFonts w:ascii="Symbol" w:hAnsi="Symbol" w:hint="default"/>
      </w:rPr>
    </w:lvl>
    <w:lvl w:ilvl="7" w:tplc="08090003" w:tentative="1">
      <w:start w:val="1"/>
      <w:numFmt w:val="bullet"/>
      <w:lvlText w:val="o"/>
      <w:lvlJc w:val="left"/>
      <w:pPr>
        <w:ind w:left="6684" w:hanging="360"/>
      </w:pPr>
      <w:rPr>
        <w:rFonts w:ascii="Courier New" w:hAnsi="Courier New" w:cs="Courier New" w:hint="default"/>
      </w:rPr>
    </w:lvl>
    <w:lvl w:ilvl="8" w:tplc="08090005" w:tentative="1">
      <w:start w:val="1"/>
      <w:numFmt w:val="bullet"/>
      <w:lvlText w:val=""/>
      <w:lvlJc w:val="left"/>
      <w:pPr>
        <w:ind w:left="7404" w:hanging="360"/>
      </w:pPr>
      <w:rPr>
        <w:rFonts w:ascii="Wingdings" w:hAnsi="Wingdings" w:hint="default"/>
      </w:rPr>
    </w:lvl>
  </w:abstractNum>
  <w:abstractNum w:abstractNumId="24" w15:restartNumberingAfterBreak="0">
    <w:nsid w:val="7FD27C88"/>
    <w:multiLevelType w:val="hybridMultilevel"/>
    <w:tmpl w:val="63EE2ADC"/>
    <w:lvl w:ilvl="0" w:tplc="4F04B4F8">
      <w:start w:val="1"/>
      <w:numFmt w:val="upperRoman"/>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1"/>
  </w:num>
  <w:num w:numId="3">
    <w:abstractNumId w:val="6"/>
  </w:num>
  <w:num w:numId="4">
    <w:abstractNumId w:val="10"/>
  </w:num>
  <w:num w:numId="5">
    <w:abstractNumId w:val="17"/>
  </w:num>
  <w:num w:numId="6">
    <w:abstractNumId w:val="16"/>
  </w:num>
  <w:num w:numId="7">
    <w:abstractNumId w:val="20"/>
  </w:num>
  <w:num w:numId="8">
    <w:abstractNumId w:val="4"/>
  </w:num>
  <w:num w:numId="9">
    <w:abstractNumId w:val="23"/>
  </w:num>
  <w:num w:numId="10">
    <w:abstractNumId w:val="0"/>
  </w:num>
  <w:num w:numId="11">
    <w:abstractNumId w:val="1"/>
  </w:num>
  <w:num w:numId="12">
    <w:abstractNumId w:val="13"/>
  </w:num>
  <w:num w:numId="13">
    <w:abstractNumId w:val="15"/>
  </w:num>
  <w:num w:numId="14">
    <w:abstractNumId w:val="8"/>
  </w:num>
  <w:num w:numId="15">
    <w:abstractNumId w:val="19"/>
  </w:num>
  <w:num w:numId="16">
    <w:abstractNumId w:val="5"/>
  </w:num>
  <w:num w:numId="17">
    <w:abstractNumId w:val="22"/>
  </w:num>
  <w:num w:numId="18">
    <w:abstractNumId w:val="9"/>
  </w:num>
  <w:num w:numId="19">
    <w:abstractNumId w:val="2"/>
  </w:num>
  <w:num w:numId="20">
    <w:abstractNumId w:val="7"/>
  </w:num>
  <w:num w:numId="21">
    <w:abstractNumId w:val="14"/>
  </w:num>
  <w:num w:numId="22">
    <w:abstractNumId w:val="12"/>
  </w:num>
  <w:num w:numId="23">
    <w:abstractNumId w:val="18"/>
  </w:num>
  <w:num w:numId="24">
    <w:abstractNumId w:val="11"/>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207"/>
    <w:rsid w:val="000021C2"/>
    <w:rsid w:val="00002BCF"/>
    <w:rsid w:val="0002427B"/>
    <w:rsid w:val="00031F3E"/>
    <w:rsid w:val="00043E19"/>
    <w:rsid w:val="0006565B"/>
    <w:rsid w:val="00092B7F"/>
    <w:rsid w:val="000973AA"/>
    <w:rsid w:val="000A250A"/>
    <w:rsid w:val="000C1B0C"/>
    <w:rsid w:val="000F0D0B"/>
    <w:rsid w:val="0013558E"/>
    <w:rsid w:val="00143594"/>
    <w:rsid w:val="001500AF"/>
    <w:rsid w:val="00197A04"/>
    <w:rsid w:val="001A1245"/>
    <w:rsid w:val="001C26CB"/>
    <w:rsid w:val="001D7A69"/>
    <w:rsid w:val="00200996"/>
    <w:rsid w:val="002055A9"/>
    <w:rsid w:val="00246094"/>
    <w:rsid w:val="002504E0"/>
    <w:rsid w:val="00251AA8"/>
    <w:rsid w:val="002521FA"/>
    <w:rsid w:val="00267E14"/>
    <w:rsid w:val="0028064C"/>
    <w:rsid w:val="00295A3E"/>
    <w:rsid w:val="002A092D"/>
    <w:rsid w:val="002D2DC9"/>
    <w:rsid w:val="002D4817"/>
    <w:rsid w:val="00305A13"/>
    <w:rsid w:val="00317392"/>
    <w:rsid w:val="00330C2A"/>
    <w:rsid w:val="00333E49"/>
    <w:rsid w:val="00334577"/>
    <w:rsid w:val="00337759"/>
    <w:rsid w:val="00361900"/>
    <w:rsid w:val="00363D12"/>
    <w:rsid w:val="00392FBF"/>
    <w:rsid w:val="00394C90"/>
    <w:rsid w:val="003F4069"/>
    <w:rsid w:val="00444D91"/>
    <w:rsid w:val="0045148E"/>
    <w:rsid w:val="00454492"/>
    <w:rsid w:val="00495C9C"/>
    <w:rsid w:val="004C1605"/>
    <w:rsid w:val="004E3818"/>
    <w:rsid w:val="004F4816"/>
    <w:rsid w:val="00524341"/>
    <w:rsid w:val="005666AC"/>
    <w:rsid w:val="00597598"/>
    <w:rsid w:val="005A1452"/>
    <w:rsid w:val="005A5C0A"/>
    <w:rsid w:val="005B2375"/>
    <w:rsid w:val="005B2F21"/>
    <w:rsid w:val="005E5108"/>
    <w:rsid w:val="00624C61"/>
    <w:rsid w:val="00671494"/>
    <w:rsid w:val="00677BB2"/>
    <w:rsid w:val="006A6058"/>
    <w:rsid w:val="006D2897"/>
    <w:rsid w:val="006F4874"/>
    <w:rsid w:val="007105C1"/>
    <w:rsid w:val="00733FFD"/>
    <w:rsid w:val="00740736"/>
    <w:rsid w:val="007442B6"/>
    <w:rsid w:val="007570A2"/>
    <w:rsid w:val="007C566E"/>
    <w:rsid w:val="007D371B"/>
    <w:rsid w:val="007D60CD"/>
    <w:rsid w:val="007F211C"/>
    <w:rsid w:val="00823EC8"/>
    <w:rsid w:val="00857E49"/>
    <w:rsid w:val="00861311"/>
    <w:rsid w:val="008710A3"/>
    <w:rsid w:val="008905A5"/>
    <w:rsid w:val="0089596E"/>
    <w:rsid w:val="00897F25"/>
    <w:rsid w:val="008D4ED3"/>
    <w:rsid w:val="008D5C69"/>
    <w:rsid w:val="008E7ECB"/>
    <w:rsid w:val="008F3E11"/>
    <w:rsid w:val="008F4F87"/>
    <w:rsid w:val="00900023"/>
    <w:rsid w:val="00901F85"/>
    <w:rsid w:val="009158B4"/>
    <w:rsid w:val="009547C8"/>
    <w:rsid w:val="00960207"/>
    <w:rsid w:val="009A4B99"/>
    <w:rsid w:val="009B509B"/>
    <w:rsid w:val="00A02B5A"/>
    <w:rsid w:val="00A0408C"/>
    <w:rsid w:val="00A17AAC"/>
    <w:rsid w:val="00A17BC8"/>
    <w:rsid w:val="00A3078A"/>
    <w:rsid w:val="00A3275C"/>
    <w:rsid w:val="00A85451"/>
    <w:rsid w:val="00AE2829"/>
    <w:rsid w:val="00AE4ED3"/>
    <w:rsid w:val="00AF4C0B"/>
    <w:rsid w:val="00AF68FE"/>
    <w:rsid w:val="00B028CD"/>
    <w:rsid w:val="00B05D95"/>
    <w:rsid w:val="00B314CA"/>
    <w:rsid w:val="00B31B5E"/>
    <w:rsid w:val="00B32EAA"/>
    <w:rsid w:val="00B46479"/>
    <w:rsid w:val="00B50EBC"/>
    <w:rsid w:val="00BB4B1D"/>
    <w:rsid w:val="00C53FD8"/>
    <w:rsid w:val="00C55092"/>
    <w:rsid w:val="00C73B42"/>
    <w:rsid w:val="00C7408D"/>
    <w:rsid w:val="00C76A6C"/>
    <w:rsid w:val="00C85341"/>
    <w:rsid w:val="00C91FFA"/>
    <w:rsid w:val="00CC146D"/>
    <w:rsid w:val="00CE0F02"/>
    <w:rsid w:val="00CE771B"/>
    <w:rsid w:val="00D10A44"/>
    <w:rsid w:val="00DD62BF"/>
    <w:rsid w:val="00E01AAD"/>
    <w:rsid w:val="00E268F2"/>
    <w:rsid w:val="00E33CE4"/>
    <w:rsid w:val="00E478C1"/>
    <w:rsid w:val="00E66D1B"/>
    <w:rsid w:val="00EA2D66"/>
    <w:rsid w:val="00ED15F4"/>
    <w:rsid w:val="00ED20C1"/>
    <w:rsid w:val="00ED37AE"/>
    <w:rsid w:val="00EF391B"/>
    <w:rsid w:val="00F03278"/>
    <w:rsid w:val="00F07590"/>
    <w:rsid w:val="00F105F3"/>
    <w:rsid w:val="00F11ED8"/>
    <w:rsid w:val="00F227BE"/>
    <w:rsid w:val="00F27271"/>
    <w:rsid w:val="00F3500C"/>
    <w:rsid w:val="00F52357"/>
    <w:rsid w:val="00F55FB0"/>
    <w:rsid w:val="00F871F8"/>
    <w:rsid w:val="00FB2E26"/>
    <w:rsid w:val="00FC2337"/>
    <w:rsid w:val="00FD0993"/>
    <w:rsid w:val="00FD44B1"/>
    <w:rsid w:val="00FD792E"/>
    <w:rsid w:val="00FE43B3"/>
    <w:rsid w:val="00FF0075"/>
    <w:rsid w:val="00FF124F"/>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27A75C"/>
  <w15:chartTrackingRefBased/>
  <w15:docId w15:val="{CCB87928-74A7-43AE-A169-EB8E08066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45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200996"/>
    <w:pPr>
      <w:keepNext/>
      <w:keepLines/>
      <w:spacing w:before="40" w:after="0"/>
      <w:outlineLvl w:val="1"/>
    </w:pPr>
    <w:rPr>
      <w:rFonts w:eastAsiaTheme="majorEastAsia" w:cstheme="majorBidi"/>
      <w:b/>
      <w: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6020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207"/>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9602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0207"/>
  </w:style>
  <w:style w:type="paragraph" w:styleId="Footer">
    <w:name w:val="footer"/>
    <w:basedOn w:val="Normal"/>
    <w:link w:val="FooterChar"/>
    <w:uiPriority w:val="99"/>
    <w:unhideWhenUsed/>
    <w:rsid w:val="009602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0207"/>
  </w:style>
  <w:style w:type="paragraph" w:styleId="FootnoteText">
    <w:name w:val="footnote text"/>
    <w:basedOn w:val="Normal"/>
    <w:link w:val="FootnoteTextChar"/>
    <w:uiPriority w:val="99"/>
    <w:unhideWhenUsed/>
    <w:rsid w:val="009158B4"/>
    <w:pPr>
      <w:spacing w:after="0" w:line="240" w:lineRule="auto"/>
    </w:pPr>
    <w:rPr>
      <w:sz w:val="20"/>
      <w:szCs w:val="20"/>
    </w:rPr>
  </w:style>
  <w:style w:type="character" w:customStyle="1" w:styleId="FootnoteTextChar">
    <w:name w:val="Footnote Text Char"/>
    <w:basedOn w:val="DefaultParagraphFont"/>
    <w:link w:val="FootnoteText"/>
    <w:uiPriority w:val="99"/>
    <w:rsid w:val="009158B4"/>
    <w:rPr>
      <w:sz w:val="20"/>
      <w:szCs w:val="20"/>
    </w:rPr>
  </w:style>
  <w:style w:type="character" w:styleId="FootnoteReference">
    <w:name w:val="footnote reference"/>
    <w:basedOn w:val="DefaultParagraphFont"/>
    <w:uiPriority w:val="99"/>
    <w:unhideWhenUsed/>
    <w:rsid w:val="009158B4"/>
    <w:rPr>
      <w:vertAlign w:val="superscript"/>
    </w:rPr>
  </w:style>
  <w:style w:type="paragraph" w:styleId="ListParagraph">
    <w:name w:val="List Paragraph"/>
    <w:basedOn w:val="Normal"/>
    <w:uiPriority w:val="34"/>
    <w:qFormat/>
    <w:rsid w:val="00F11ED8"/>
    <w:pPr>
      <w:ind w:left="720"/>
      <w:contextualSpacing/>
    </w:pPr>
  </w:style>
  <w:style w:type="character" w:customStyle="1" w:styleId="Heading1Char">
    <w:name w:val="Heading 1 Char"/>
    <w:basedOn w:val="DefaultParagraphFont"/>
    <w:link w:val="Heading1"/>
    <w:uiPriority w:val="9"/>
    <w:rsid w:val="00A85451"/>
    <w:rPr>
      <w:rFonts w:eastAsiaTheme="majorEastAsia" w:cstheme="majorBidi"/>
      <w:b/>
      <w:sz w:val="28"/>
      <w:szCs w:val="32"/>
    </w:rPr>
  </w:style>
  <w:style w:type="character" w:styleId="Hyperlink">
    <w:name w:val="Hyperlink"/>
    <w:basedOn w:val="DefaultParagraphFont"/>
    <w:uiPriority w:val="99"/>
    <w:unhideWhenUsed/>
    <w:rsid w:val="003F4069"/>
    <w:rPr>
      <w:color w:val="0563C1" w:themeColor="hyperlink"/>
      <w:u w:val="single"/>
    </w:rPr>
  </w:style>
  <w:style w:type="character" w:styleId="CommentReference">
    <w:name w:val="annotation reference"/>
    <w:basedOn w:val="DefaultParagraphFont"/>
    <w:uiPriority w:val="99"/>
    <w:semiHidden/>
    <w:unhideWhenUsed/>
    <w:rsid w:val="00B32EAA"/>
    <w:rPr>
      <w:sz w:val="16"/>
      <w:szCs w:val="16"/>
    </w:rPr>
  </w:style>
  <w:style w:type="paragraph" w:styleId="CommentText">
    <w:name w:val="annotation text"/>
    <w:basedOn w:val="Normal"/>
    <w:link w:val="CommentTextChar"/>
    <w:uiPriority w:val="99"/>
    <w:semiHidden/>
    <w:unhideWhenUsed/>
    <w:rsid w:val="00B32EAA"/>
    <w:pPr>
      <w:spacing w:line="240" w:lineRule="auto"/>
    </w:pPr>
    <w:rPr>
      <w:sz w:val="20"/>
      <w:szCs w:val="20"/>
    </w:rPr>
  </w:style>
  <w:style w:type="character" w:customStyle="1" w:styleId="CommentTextChar">
    <w:name w:val="Comment Text Char"/>
    <w:basedOn w:val="DefaultParagraphFont"/>
    <w:link w:val="CommentText"/>
    <w:uiPriority w:val="99"/>
    <w:semiHidden/>
    <w:rsid w:val="00B32EAA"/>
    <w:rPr>
      <w:sz w:val="20"/>
      <w:szCs w:val="20"/>
    </w:rPr>
  </w:style>
  <w:style w:type="paragraph" w:styleId="CommentSubject">
    <w:name w:val="annotation subject"/>
    <w:basedOn w:val="CommentText"/>
    <w:next w:val="CommentText"/>
    <w:link w:val="CommentSubjectChar"/>
    <w:uiPriority w:val="99"/>
    <w:semiHidden/>
    <w:unhideWhenUsed/>
    <w:rsid w:val="00B32EAA"/>
    <w:rPr>
      <w:b/>
      <w:bCs/>
    </w:rPr>
  </w:style>
  <w:style w:type="character" w:customStyle="1" w:styleId="CommentSubjectChar">
    <w:name w:val="Comment Subject Char"/>
    <w:basedOn w:val="CommentTextChar"/>
    <w:link w:val="CommentSubject"/>
    <w:uiPriority w:val="99"/>
    <w:semiHidden/>
    <w:rsid w:val="00B32EAA"/>
    <w:rPr>
      <w:b/>
      <w:bCs/>
      <w:sz w:val="20"/>
      <w:szCs w:val="20"/>
    </w:rPr>
  </w:style>
  <w:style w:type="character" w:customStyle="1" w:styleId="A8">
    <w:name w:val="A8"/>
    <w:uiPriority w:val="99"/>
    <w:rsid w:val="005A1452"/>
    <w:rPr>
      <w:rFonts w:ascii="Assistant ExtraLight" w:hAnsi="Assistant ExtraLight" w:cs="Assistant ExtraLight"/>
      <w:color w:val="5C5D5F"/>
      <w:sz w:val="22"/>
      <w:szCs w:val="22"/>
    </w:rPr>
  </w:style>
  <w:style w:type="character" w:customStyle="1" w:styleId="A10">
    <w:name w:val="A10"/>
    <w:uiPriority w:val="99"/>
    <w:rsid w:val="005A1452"/>
    <w:rPr>
      <w:rFonts w:ascii="Assistant ExtraLight" w:hAnsi="Assistant ExtraLight" w:cs="Assistant ExtraLight"/>
      <w:color w:val="5C5D5F"/>
      <w:sz w:val="12"/>
      <w:szCs w:val="12"/>
    </w:rPr>
  </w:style>
  <w:style w:type="table" w:styleId="TableGrid">
    <w:name w:val="Table Grid"/>
    <w:basedOn w:val="TableNormal"/>
    <w:uiPriority w:val="39"/>
    <w:rsid w:val="005A14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8">
    <w:name w:val="Pa8"/>
    <w:basedOn w:val="Normal"/>
    <w:next w:val="Normal"/>
    <w:uiPriority w:val="99"/>
    <w:rsid w:val="005A1452"/>
    <w:pPr>
      <w:autoSpaceDE w:val="0"/>
      <w:autoSpaceDN w:val="0"/>
      <w:adjustRightInd w:val="0"/>
      <w:spacing w:after="0" w:line="301" w:lineRule="atLeast"/>
    </w:pPr>
    <w:rPr>
      <w:rFonts w:ascii="Archivo" w:hAnsi="Archivo"/>
      <w:sz w:val="24"/>
      <w:szCs w:val="24"/>
    </w:rPr>
  </w:style>
  <w:style w:type="character" w:customStyle="1" w:styleId="A12">
    <w:name w:val="A12"/>
    <w:uiPriority w:val="99"/>
    <w:rsid w:val="005A1452"/>
    <w:rPr>
      <w:rFonts w:cs="Archivo"/>
      <w:b/>
      <w:bCs/>
      <w:color w:val="F15931"/>
      <w:sz w:val="12"/>
      <w:szCs w:val="12"/>
    </w:rPr>
  </w:style>
  <w:style w:type="character" w:customStyle="1" w:styleId="Heading2Char">
    <w:name w:val="Heading 2 Char"/>
    <w:basedOn w:val="DefaultParagraphFont"/>
    <w:link w:val="Heading2"/>
    <w:uiPriority w:val="9"/>
    <w:rsid w:val="00200996"/>
    <w:rPr>
      <w:rFonts w:eastAsiaTheme="majorEastAsia" w:cstheme="majorBidi"/>
      <w:b/>
      <w:i/>
      <w:sz w:val="24"/>
      <w:szCs w:val="26"/>
    </w:rPr>
  </w:style>
  <w:style w:type="paragraph" w:customStyle="1" w:styleId="paragraph">
    <w:name w:val="paragraph"/>
    <w:basedOn w:val="Normal"/>
    <w:rsid w:val="00031F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both"/>
    </w:pPr>
    <w:rPr>
      <w:rFonts w:ascii="Times New Roman" w:eastAsia="Times New Roman" w:hAnsi="Times New Roman" w:cs="Times New Roman"/>
      <w:color w:val="000000"/>
      <w:sz w:val="24"/>
      <w:szCs w:val="24"/>
      <w:lang w:val="en" w:eastAsia="en-GB"/>
    </w:rPr>
  </w:style>
  <w:style w:type="character" w:customStyle="1" w:styleId="UnresolvedMention1">
    <w:name w:val="Unresolved Mention1"/>
    <w:basedOn w:val="DefaultParagraphFont"/>
    <w:uiPriority w:val="99"/>
    <w:semiHidden/>
    <w:unhideWhenUsed/>
    <w:rsid w:val="002A092D"/>
    <w:rPr>
      <w:color w:val="605E5C"/>
      <w:shd w:val="clear" w:color="auto" w:fill="E1DFDD"/>
    </w:rPr>
  </w:style>
  <w:style w:type="character" w:customStyle="1" w:styleId="A14">
    <w:name w:val="A14"/>
    <w:uiPriority w:val="99"/>
    <w:rsid w:val="002A092D"/>
    <w:rPr>
      <w:color w:val="5C5D5F"/>
      <w:sz w:val="18"/>
      <w:szCs w:val="18"/>
    </w:rPr>
  </w:style>
  <w:style w:type="character" w:customStyle="1" w:styleId="A23">
    <w:name w:val="A23"/>
    <w:uiPriority w:val="99"/>
    <w:rsid w:val="002A092D"/>
    <w:rPr>
      <w:color w:val="5C5D5F"/>
      <w:sz w:val="18"/>
      <w:szCs w:val="18"/>
      <w:u w:val="single"/>
    </w:rPr>
  </w:style>
  <w:style w:type="paragraph" w:customStyle="1" w:styleId="Pa16">
    <w:name w:val="Pa16"/>
    <w:basedOn w:val="Normal"/>
    <w:next w:val="Normal"/>
    <w:uiPriority w:val="99"/>
    <w:rsid w:val="00B46479"/>
    <w:pPr>
      <w:autoSpaceDE w:val="0"/>
      <w:autoSpaceDN w:val="0"/>
      <w:adjustRightInd w:val="0"/>
      <w:spacing w:after="0" w:line="241" w:lineRule="atLeast"/>
    </w:pPr>
    <w:rPr>
      <w:rFonts w:ascii="Assistant ExtraLight" w:hAnsi="Assistant ExtraLight" w:cs="Assistant ExtraLight"/>
      <w:sz w:val="24"/>
      <w:szCs w:val="24"/>
    </w:rPr>
  </w:style>
  <w:style w:type="paragraph" w:styleId="TOCHeading">
    <w:name w:val="TOC Heading"/>
    <w:basedOn w:val="Heading1"/>
    <w:next w:val="Normal"/>
    <w:uiPriority w:val="39"/>
    <w:unhideWhenUsed/>
    <w:qFormat/>
    <w:rsid w:val="002D4817"/>
    <w:pPr>
      <w:spacing w:before="480" w:line="276" w:lineRule="auto"/>
      <w:outlineLvl w:val="9"/>
    </w:pPr>
    <w:rPr>
      <w:rFonts w:asciiTheme="majorHAnsi" w:hAnsiTheme="majorHAnsi"/>
      <w:bCs/>
      <w:color w:val="2E74B5" w:themeColor="accent1" w:themeShade="BF"/>
      <w:szCs w:val="28"/>
      <w:lang w:val="en-US"/>
    </w:rPr>
  </w:style>
  <w:style w:type="paragraph" w:styleId="TOC1">
    <w:name w:val="toc 1"/>
    <w:basedOn w:val="Normal"/>
    <w:next w:val="Normal"/>
    <w:autoRedefine/>
    <w:uiPriority w:val="39"/>
    <w:unhideWhenUsed/>
    <w:rsid w:val="002D4817"/>
    <w:pPr>
      <w:spacing w:before="120" w:after="0"/>
    </w:pPr>
    <w:rPr>
      <w:rFonts w:cstheme="minorHAnsi"/>
      <w:b/>
      <w:bCs/>
      <w:i/>
      <w:iCs/>
      <w:sz w:val="24"/>
      <w:szCs w:val="28"/>
    </w:rPr>
  </w:style>
  <w:style w:type="paragraph" w:styleId="TOC2">
    <w:name w:val="toc 2"/>
    <w:basedOn w:val="Normal"/>
    <w:next w:val="Normal"/>
    <w:autoRedefine/>
    <w:uiPriority w:val="39"/>
    <w:unhideWhenUsed/>
    <w:rsid w:val="002D4817"/>
    <w:pPr>
      <w:spacing w:before="120" w:after="0"/>
      <w:ind w:left="220"/>
    </w:pPr>
    <w:rPr>
      <w:rFonts w:cstheme="minorHAnsi"/>
      <w:b/>
      <w:bCs/>
      <w:szCs w:val="26"/>
    </w:rPr>
  </w:style>
  <w:style w:type="paragraph" w:styleId="TOC3">
    <w:name w:val="toc 3"/>
    <w:basedOn w:val="Normal"/>
    <w:next w:val="Normal"/>
    <w:autoRedefine/>
    <w:uiPriority w:val="39"/>
    <w:semiHidden/>
    <w:unhideWhenUsed/>
    <w:rsid w:val="002D4817"/>
    <w:pPr>
      <w:spacing w:after="0"/>
      <w:ind w:left="440"/>
    </w:pPr>
    <w:rPr>
      <w:rFonts w:cstheme="minorHAnsi"/>
      <w:sz w:val="20"/>
      <w:szCs w:val="24"/>
    </w:rPr>
  </w:style>
  <w:style w:type="paragraph" w:styleId="TOC4">
    <w:name w:val="toc 4"/>
    <w:basedOn w:val="Normal"/>
    <w:next w:val="Normal"/>
    <w:autoRedefine/>
    <w:uiPriority w:val="39"/>
    <w:semiHidden/>
    <w:unhideWhenUsed/>
    <w:rsid w:val="002D4817"/>
    <w:pPr>
      <w:spacing w:after="0"/>
      <w:ind w:left="660"/>
    </w:pPr>
    <w:rPr>
      <w:rFonts w:cstheme="minorHAnsi"/>
      <w:sz w:val="20"/>
      <w:szCs w:val="24"/>
    </w:rPr>
  </w:style>
  <w:style w:type="paragraph" w:styleId="TOC5">
    <w:name w:val="toc 5"/>
    <w:basedOn w:val="Normal"/>
    <w:next w:val="Normal"/>
    <w:autoRedefine/>
    <w:uiPriority w:val="39"/>
    <w:semiHidden/>
    <w:unhideWhenUsed/>
    <w:rsid w:val="002D4817"/>
    <w:pPr>
      <w:spacing w:after="0"/>
      <w:ind w:left="880"/>
    </w:pPr>
    <w:rPr>
      <w:rFonts w:cstheme="minorHAnsi"/>
      <w:sz w:val="20"/>
      <w:szCs w:val="24"/>
    </w:rPr>
  </w:style>
  <w:style w:type="paragraph" w:styleId="TOC6">
    <w:name w:val="toc 6"/>
    <w:basedOn w:val="Normal"/>
    <w:next w:val="Normal"/>
    <w:autoRedefine/>
    <w:uiPriority w:val="39"/>
    <w:semiHidden/>
    <w:unhideWhenUsed/>
    <w:rsid w:val="002D4817"/>
    <w:pPr>
      <w:spacing w:after="0"/>
      <w:ind w:left="1100"/>
    </w:pPr>
    <w:rPr>
      <w:rFonts w:cstheme="minorHAnsi"/>
      <w:sz w:val="20"/>
      <w:szCs w:val="24"/>
    </w:rPr>
  </w:style>
  <w:style w:type="paragraph" w:styleId="TOC7">
    <w:name w:val="toc 7"/>
    <w:basedOn w:val="Normal"/>
    <w:next w:val="Normal"/>
    <w:autoRedefine/>
    <w:uiPriority w:val="39"/>
    <w:semiHidden/>
    <w:unhideWhenUsed/>
    <w:rsid w:val="002D4817"/>
    <w:pPr>
      <w:spacing w:after="0"/>
      <w:ind w:left="1320"/>
    </w:pPr>
    <w:rPr>
      <w:rFonts w:cstheme="minorHAnsi"/>
      <w:sz w:val="20"/>
      <w:szCs w:val="24"/>
    </w:rPr>
  </w:style>
  <w:style w:type="paragraph" w:styleId="TOC8">
    <w:name w:val="toc 8"/>
    <w:basedOn w:val="Normal"/>
    <w:next w:val="Normal"/>
    <w:autoRedefine/>
    <w:uiPriority w:val="39"/>
    <w:semiHidden/>
    <w:unhideWhenUsed/>
    <w:rsid w:val="002D4817"/>
    <w:pPr>
      <w:spacing w:after="0"/>
      <w:ind w:left="1540"/>
    </w:pPr>
    <w:rPr>
      <w:rFonts w:cstheme="minorHAnsi"/>
      <w:sz w:val="20"/>
      <w:szCs w:val="24"/>
    </w:rPr>
  </w:style>
  <w:style w:type="paragraph" w:styleId="TOC9">
    <w:name w:val="toc 9"/>
    <w:basedOn w:val="Normal"/>
    <w:next w:val="Normal"/>
    <w:autoRedefine/>
    <w:uiPriority w:val="39"/>
    <w:semiHidden/>
    <w:unhideWhenUsed/>
    <w:rsid w:val="002D4817"/>
    <w:pPr>
      <w:spacing w:after="0"/>
      <w:ind w:left="1760"/>
    </w:pPr>
    <w:rPr>
      <w:rFonts w:cstheme="minorHAnsi"/>
      <w:sz w:val="20"/>
      <w:szCs w:val="24"/>
    </w:rPr>
  </w:style>
  <w:style w:type="paragraph" w:styleId="BalloonText">
    <w:name w:val="Balloon Text"/>
    <w:basedOn w:val="Normal"/>
    <w:link w:val="BalloonTextChar"/>
    <w:uiPriority w:val="99"/>
    <w:semiHidden/>
    <w:unhideWhenUsed/>
    <w:rsid w:val="007570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70A2"/>
    <w:rPr>
      <w:rFonts w:ascii="Segoe UI" w:hAnsi="Segoe UI" w:cs="Segoe UI"/>
      <w:sz w:val="18"/>
      <w:szCs w:val="18"/>
    </w:rPr>
  </w:style>
  <w:style w:type="paragraph" w:styleId="Revision">
    <w:name w:val="Revision"/>
    <w:hidden/>
    <w:uiPriority w:val="99"/>
    <w:semiHidden/>
    <w:rsid w:val="00F07590"/>
    <w:pPr>
      <w:spacing w:after="0" w:line="240" w:lineRule="auto"/>
    </w:pPr>
  </w:style>
  <w:style w:type="character" w:customStyle="1" w:styleId="UnresolvedMention2">
    <w:name w:val="Unresolved Mention2"/>
    <w:basedOn w:val="DefaultParagraphFont"/>
    <w:uiPriority w:val="99"/>
    <w:semiHidden/>
    <w:unhideWhenUsed/>
    <w:rsid w:val="00F075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reprieve.org/uk/2021/05/24/the-death-penalty-in-egypt-ten-year-after-the-uprising/" TargetMode="External"/><Relationship Id="rId13" Type="http://schemas.openxmlformats.org/officeDocument/2006/relationships/hyperlink" Target="https://reprieve.org/uk/2021/05/24/the-death-penalty-in-egypt-ten-year-after-the-uprising/" TargetMode="External"/><Relationship Id="rId18" Type="http://schemas.openxmlformats.org/officeDocument/2006/relationships/hyperlink" Target="https://sherloc.unodc.org/cld/uploads/res/document/egy/2002/egypt_child_act_english_html/Egypt_Child_Act_English.pdf" TargetMode="External"/><Relationship Id="rId26" Type="http://schemas.openxmlformats.org/officeDocument/2006/relationships/hyperlink" Target="http://www.shorouknews.com/news/view.aspx?cdate=12032015&amp;id=e490091d-2448-47a49233a62b36cb5b0b" TargetMode="External"/><Relationship Id="rId3" Type="http://schemas.openxmlformats.org/officeDocument/2006/relationships/hyperlink" Target="https://reprieve.org/uk/2021/05/24/the-death-penalty-in-egypt-ten-year-after-the-uprising/" TargetMode="External"/><Relationship Id="rId21" Type="http://schemas.openxmlformats.org/officeDocument/2006/relationships/hyperlink" Target="https://sherloc.unodc.org/cld/uploads/res/document/egy/2002/egypt_child_act_english_html/Egypt_Child_Act_English.pdf" TargetMode="External"/><Relationship Id="rId7" Type="http://schemas.openxmlformats.org/officeDocument/2006/relationships/hyperlink" Target="https://www.refworld.org/docid/551a5f2a4.html" TargetMode="External"/><Relationship Id="rId12" Type="http://schemas.openxmlformats.org/officeDocument/2006/relationships/hyperlink" Target="https://reprieve.org/uk/2021/05/24/the-death-penalty-in-egypt-ten-year-after-the-uprising/" TargetMode="External"/><Relationship Id="rId17" Type="http://schemas.openxmlformats.org/officeDocument/2006/relationships/hyperlink" Target="https://reprieve.org/uk/2021/05/24/the-death-penalty-in-egypt-ten-year-after-the-uprising/" TargetMode="External"/><Relationship Id="rId25" Type="http://schemas.openxmlformats.org/officeDocument/2006/relationships/hyperlink" Target="http://www.egyptindependent.com/minya-judge-readsnewspaper-discovers-he-sentenced-child-death" TargetMode="External"/><Relationship Id="rId2" Type="http://schemas.openxmlformats.org/officeDocument/2006/relationships/hyperlink" Target="https://sherloc.unodc.org/cld/uploads/res/document/egy/2002/egypt_child_act_english_html/Egypt_Child_Act_English.pdf" TargetMode="External"/><Relationship Id="rId16" Type="http://schemas.openxmlformats.org/officeDocument/2006/relationships/hyperlink" Target="https://reprieve.org/uk/2021/05/24/the-death-penalty-in-egypt-ten-year-after-the-uprising/" TargetMode="External"/><Relationship Id="rId20" Type="http://schemas.openxmlformats.org/officeDocument/2006/relationships/hyperlink" Target="https://reprieve.org/uk/2021/05/24/the-death-penalty-in-egypt-ten-year-after-the-uprising/" TargetMode="External"/><Relationship Id="rId1" Type="http://schemas.openxmlformats.org/officeDocument/2006/relationships/hyperlink" Target="https://www.cihrs.org/wp-content/uploads/2017/01/Towards_the_em_of_Eg_eng.pdf" TargetMode="External"/><Relationship Id="rId6" Type="http://schemas.openxmlformats.org/officeDocument/2006/relationships/hyperlink" Target="https://reprieve.org/uk/2021/05/24/the-death-penalty-in-egypt-ten-year-after-the-uprising/" TargetMode="External"/><Relationship Id="rId11" Type="http://schemas.openxmlformats.org/officeDocument/2006/relationships/hyperlink" Target="https://sherloc.unodc.org/cld/uploads/res/document/egy/2002/egypt_child_act_english_html/Egypt_Child_Act_English.pdf" TargetMode="External"/><Relationship Id="rId24" Type="http://schemas.openxmlformats.org/officeDocument/2006/relationships/hyperlink" Target="https://reprieve.org/uk/2018/03/28/stolen-youths/" TargetMode="External"/><Relationship Id="rId5" Type="http://schemas.openxmlformats.org/officeDocument/2006/relationships/hyperlink" Target="https://reprieve.org/uk/2021/05/24/the-death-penalty-in-egypt-ten-year-after-the-uprising/" TargetMode="External"/><Relationship Id="rId15" Type="http://schemas.openxmlformats.org/officeDocument/2006/relationships/hyperlink" Target="https://sherloc.unodc.org/cld/uploads/res/document/egy/2002/egypt_child_act_english_html/Egypt_Child_Act_English.pdf" TargetMode="External"/><Relationship Id="rId23" Type="http://schemas.openxmlformats.org/officeDocument/2006/relationships/hyperlink" Target="https://reprieve.org/uk/2021/05/24/the-death-penalty-in-egypt-ten-year-after-the-uprising/" TargetMode="External"/><Relationship Id="rId28" Type="http://schemas.openxmlformats.org/officeDocument/2006/relationships/hyperlink" Target="https://reprieve.org/uk/2021/05/24/the-death-penalty-in-egypt-ten-year-after-the-uprising/" TargetMode="External"/><Relationship Id="rId10" Type="http://schemas.openxmlformats.org/officeDocument/2006/relationships/hyperlink" Target="https://www.amnesty.org/en/documents/act50/6548/2023/en/" TargetMode="External"/><Relationship Id="rId19" Type="http://schemas.openxmlformats.org/officeDocument/2006/relationships/hyperlink" Target="https://www.childwelfare.gov/pubPDFs/brain_development.pdf" TargetMode="External"/><Relationship Id="rId4" Type="http://schemas.openxmlformats.org/officeDocument/2006/relationships/hyperlink" Target="https://reprieve.org/uk/2021/05/24/the-death-penalty-in-egypt-ten-year-after-the-uprising/" TargetMode="External"/><Relationship Id="rId9" Type="http://schemas.openxmlformats.org/officeDocument/2006/relationships/hyperlink" Target="https://reprieve.org/uk/2021/05/24/the-death-penalty-in-egypt-ten-year-after-the-uprising/" TargetMode="External"/><Relationship Id="rId14" Type="http://schemas.openxmlformats.org/officeDocument/2006/relationships/hyperlink" Target="https://reprieve.org/uk/2021/05/24/the-death-penalty-in-egypt-ten-year-after-the-uprising/" TargetMode="External"/><Relationship Id="rId22" Type="http://schemas.openxmlformats.org/officeDocument/2006/relationships/hyperlink" Target="https://sherloc.unodc.org/cld/uploads/res/document/egy/2002/egypt_child_act_english_html/Egypt_Child_Act_English.pdf" TargetMode="External"/><Relationship Id="rId27" Type="http://schemas.openxmlformats.org/officeDocument/2006/relationships/hyperlink" Target="https://tbinternet.ohchr.org/_layouts/15/treatybodyexternal/Download.aspx?symbolno=A%2f72%2f44&amp;Lang=en"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C7475-3FA4-4555-935A-F051C67BC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3678</Words>
  <Characters>20970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Ethical IT</Company>
  <LinksUpToDate>false</LinksUpToDate>
  <CharactersWithSpaces>24599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Eloise Prendergast</dc:creator>
  <cp:keywords/>
  <dc:description/>
  <cp:lastModifiedBy>FLECHE Isabelle</cp:lastModifiedBy>
  <cp:revision>2</cp:revision>
  <dcterms:created xsi:type="dcterms:W3CDTF">2023-07-19T14:44:00Z</dcterms:created>
  <dcterms:modified xsi:type="dcterms:W3CDTF">2023-07-19T14:44:00Z</dcterms:modified>
</cp:coreProperties>
</file>