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8DDEB" w14:textId="77777777" w:rsidR="0046775D" w:rsidRDefault="00D15DE6">
      <w:pPr>
        <w:spacing w:before="240" w:after="240"/>
        <w:jc w:val="center"/>
        <w:rPr>
          <w:rFonts w:ascii="Georgia" w:eastAsia="Georgia" w:hAnsi="Georgia" w:cs="Georgia"/>
          <w:b/>
          <w:bCs/>
          <w:color w:val="980000"/>
        </w:rPr>
      </w:pPr>
      <w:r>
        <w:rPr>
          <w:rFonts w:ascii="Georgia" w:eastAsia="Georgia" w:hAnsi="Georgia" w:cs="Georgia"/>
          <w:b/>
          <w:bCs/>
          <w:color w:val="980000"/>
        </w:rPr>
        <w:t>LISTA DE TEMAS PRIORITARIOS PARA EL DIÁLOGO DEL COMITÉ CONTRA LA DESAPARICIÓN FORZADA CON CUBA</w:t>
      </w:r>
    </w:p>
    <w:p w14:paraId="78167076" w14:textId="77777777" w:rsidR="0046775D" w:rsidRDefault="00D15DE6">
      <w:pPr>
        <w:spacing w:before="240" w:after="240"/>
        <w:jc w:val="center"/>
        <w:rPr>
          <w:rFonts w:ascii="Georgia" w:eastAsia="Georgia" w:hAnsi="Georgia" w:cs="Georgia"/>
          <w:i/>
          <w:iCs/>
        </w:rPr>
      </w:pPr>
      <w:r>
        <w:rPr>
          <w:rFonts w:ascii="Georgia" w:eastAsia="Georgia" w:hAnsi="Georgia" w:cs="Georgia"/>
          <w:i/>
          <w:iCs/>
        </w:rPr>
        <w:t xml:space="preserve">Contribución de la asociación civil Iniciativa para la Investigación y la Incidencia, </w:t>
      </w:r>
      <w:r>
        <w:rPr>
          <w:rFonts w:ascii="Georgia" w:eastAsia="Georgia" w:hAnsi="Georgia" w:cs="Georgia"/>
          <w:i/>
          <w:iCs/>
        </w:rPr>
        <w:br/>
        <w:t xml:space="preserve">a través de su programa </w:t>
      </w:r>
      <w:r>
        <w:rPr>
          <w:rFonts w:ascii="Georgia" w:eastAsia="Georgia" w:hAnsi="Georgia" w:cs="Georgia"/>
          <w:i/>
          <w:iCs/>
        </w:rPr>
        <w:t>Centro de Documentación de Prisiones Cubanas</w:t>
      </w:r>
    </w:p>
    <w:p w14:paraId="0FE554E2" w14:textId="77777777" w:rsidR="0046775D" w:rsidRDefault="00D15DE6">
      <w:pPr>
        <w:spacing w:before="240" w:after="240"/>
        <w:jc w:val="both"/>
        <w:rPr>
          <w:rFonts w:ascii="Georgia" w:eastAsia="Georgia" w:hAnsi="Georgia" w:cs="Georgia"/>
          <w:b/>
          <w:bCs/>
        </w:rPr>
      </w:pPr>
      <w:r>
        <w:rPr>
          <w:rFonts w:ascii="Georgia" w:eastAsia="Georgia" w:hAnsi="Georgia" w:cs="Georgia"/>
          <w:b/>
          <w:bCs/>
        </w:rPr>
        <w:t>I. Introducción</w:t>
      </w:r>
    </w:p>
    <w:p w14:paraId="6BF618DF" w14:textId="77777777" w:rsidR="0046775D" w:rsidRDefault="00D15DE6">
      <w:pPr>
        <w:spacing w:before="360" w:after="120" w:line="240" w:lineRule="auto"/>
        <w:jc w:val="both"/>
        <w:rPr>
          <w:rFonts w:ascii="Georgia" w:eastAsia="Georgia" w:hAnsi="Georgia" w:cs="Georgia"/>
        </w:rPr>
      </w:pPr>
      <w:hyperlink r:id="rId7">
        <w:r>
          <w:rPr>
            <w:rFonts w:ascii="Georgia" w:eastAsia="Georgia" w:hAnsi="Georgia" w:cs="Georgia"/>
            <w:color w:val="980000"/>
            <w:u w:val="single"/>
          </w:rPr>
          <w:t>Iniciativa para la Investigación y la Incidencia</w:t>
        </w:r>
      </w:hyperlink>
      <w:r>
        <w:rPr>
          <w:rFonts w:ascii="Georgia" w:eastAsia="Georgia" w:hAnsi="Georgia" w:cs="Georgia"/>
        </w:rPr>
        <w:t xml:space="preserve"> es una asociación civil mexicana que documenta, verifica y divulga información sobre derechos humanos en Cuba, a través de sus programas Justicia 11J y el Centro de Documentación de Prisiones Cubanas (CDPC). </w:t>
      </w:r>
      <w:r>
        <w:rPr>
          <w:rFonts w:ascii="Georgia" w:eastAsia="Georgia" w:hAnsi="Georgia" w:cs="Georgia"/>
          <w:highlight w:val="yellow"/>
        </w:rPr>
        <w:br/>
      </w:r>
      <w:r>
        <w:rPr>
          <w:rFonts w:ascii="Georgia" w:eastAsia="Georgia" w:hAnsi="Georgia" w:cs="Georgia"/>
          <w:highlight w:val="yellow"/>
        </w:rPr>
        <w:br/>
      </w:r>
      <w:r>
        <w:rPr>
          <w:rFonts w:ascii="Georgia" w:eastAsia="Georgia" w:hAnsi="Georgia" w:cs="Georgia"/>
        </w:rPr>
        <w:t>El CDPC nació como plataforma digital en agosto de 2023 con el propósito de monitorear incidentes de violaciones de derechos humanos dentro de los centros de detención y reclusión en Cuba, y de sistematizar información sobre el sistema penitenciario posterior a 1959. Busca evidenciar mediante datos y</w:t>
      </w:r>
      <w:r>
        <w:rPr>
          <w:rFonts w:ascii="Georgia" w:eastAsia="Georgia" w:hAnsi="Georgia" w:cs="Georgia"/>
        </w:rPr>
        <w:t xml:space="preserve"> testimonios la extrema vulnerabilidad que enfrentan las personas privadas de libertad en la Isla, y contrarrestar la narrativa oficial que proyecta una imagen positiva y poco realista del sistema penitenciario cubano.</w:t>
      </w:r>
    </w:p>
    <w:p w14:paraId="5B251ABF" w14:textId="77777777" w:rsidR="0046775D" w:rsidRDefault="00D15DE6">
      <w:pPr>
        <w:spacing w:before="360" w:after="120" w:line="240" w:lineRule="auto"/>
        <w:jc w:val="both"/>
        <w:rPr>
          <w:rFonts w:ascii="Georgia" w:eastAsia="Georgia" w:hAnsi="Georgia" w:cs="Georgia"/>
        </w:rPr>
      </w:pPr>
      <w:r>
        <w:rPr>
          <w:rFonts w:ascii="Georgia" w:eastAsia="Georgia" w:hAnsi="Georgia" w:cs="Georgia"/>
        </w:rPr>
        <w:t>Esta contribución tiene el propósito de apoyar al Comité contra la Desaparición Forzada en la elaboración de la Lista de Temas Prioritarios relativa a Cuba, en el marco del artículo 29(4) de la Convención Internacional para la Protección de Todas las Personas contra las Desapariciones Forzadas.</w:t>
      </w:r>
    </w:p>
    <w:p w14:paraId="397FF56B" w14:textId="77777777" w:rsidR="0046775D" w:rsidRDefault="00D15DE6">
      <w:pPr>
        <w:spacing w:before="240" w:after="240"/>
        <w:jc w:val="both"/>
        <w:rPr>
          <w:rFonts w:ascii="Georgia" w:eastAsia="Georgia" w:hAnsi="Georgia" w:cs="Georgia"/>
        </w:rPr>
      </w:pPr>
      <w:r>
        <w:rPr>
          <w:rFonts w:ascii="Georgia" w:eastAsia="Georgia" w:hAnsi="Georgia" w:cs="Georgia"/>
        </w:rPr>
        <w:t>La contribución se centra en situaciones documentadas por el CDPC que podrían constituir factores de riesgo para la comisión de desapariciones forzadas en contextos de privación de libertad, particularmente en relación con traslados penitenciarios sin notificación previa, incomunicación prolongada, ocultamiento temporal del paradero de personas privadas de libertad y restricciones al acceso de familiares a información sobre su ubicación y situación.</w:t>
      </w:r>
    </w:p>
    <w:p w14:paraId="7CF6D027" w14:textId="77777777" w:rsidR="0046775D" w:rsidRDefault="00D15DE6">
      <w:pPr>
        <w:spacing w:before="240" w:after="240"/>
        <w:jc w:val="both"/>
        <w:rPr>
          <w:rFonts w:ascii="Georgia" w:eastAsia="Georgia" w:hAnsi="Georgia" w:cs="Georgia"/>
        </w:rPr>
      </w:pPr>
      <w:r>
        <w:rPr>
          <w:rFonts w:ascii="Georgia" w:eastAsia="Georgia" w:hAnsi="Georgia" w:cs="Georgia"/>
        </w:rPr>
        <w:t xml:space="preserve">El documento pretende aportar elementos que permitan al Comité profundizar su evaluación sobre la compatibilidad de estas prácticas con las obligaciones asumidas por Cuba en virtud de la Convención. </w:t>
      </w:r>
    </w:p>
    <w:p w14:paraId="239C508C" w14:textId="77777777" w:rsidR="0046775D" w:rsidRDefault="00D15DE6">
      <w:pPr>
        <w:spacing w:before="120" w:after="120" w:line="240" w:lineRule="auto"/>
        <w:jc w:val="both"/>
        <w:rPr>
          <w:rFonts w:ascii="Georgia" w:eastAsia="Georgia" w:hAnsi="Georgia" w:cs="Georgia"/>
        </w:rPr>
      </w:pPr>
      <w:r>
        <w:rPr>
          <w:rFonts w:ascii="Georgia" w:eastAsia="Georgia" w:hAnsi="Georgia" w:cs="Georgia"/>
        </w:rPr>
        <w:t>Iniciativa para la Investigación y la Incidencia autorizan al Comité a publicar el presente informe en su página web. Toda la información sobre personas víctimas mencionadas es de dominio público y se encuentra disponible en la web del CDPC.</w:t>
      </w:r>
    </w:p>
    <w:p w14:paraId="3ECABF62" w14:textId="77777777" w:rsidR="0046775D" w:rsidRDefault="00D15DE6">
      <w:pPr>
        <w:spacing w:before="240" w:after="240"/>
        <w:jc w:val="both"/>
        <w:rPr>
          <w:rFonts w:ascii="Georgia" w:eastAsia="Georgia" w:hAnsi="Georgia" w:cs="Georgia"/>
          <w:b/>
          <w:bCs/>
        </w:rPr>
      </w:pPr>
      <w:r>
        <w:rPr>
          <w:rFonts w:ascii="Georgia" w:eastAsia="Georgia" w:hAnsi="Georgia" w:cs="Georgia"/>
          <w:b/>
          <w:bCs/>
        </w:rPr>
        <w:t>II. Incomunicación y ocultamiento de paradero dentro del sistema penitenciario</w:t>
      </w:r>
    </w:p>
    <w:p w14:paraId="031CF91C" w14:textId="77777777" w:rsidR="0046775D" w:rsidRDefault="00D15DE6">
      <w:pPr>
        <w:spacing w:before="240" w:after="240"/>
        <w:jc w:val="both"/>
        <w:rPr>
          <w:rFonts w:ascii="Georgia" w:eastAsia="Georgia" w:hAnsi="Georgia" w:cs="Georgia"/>
        </w:rPr>
      </w:pPr>
      <w:r>
        <w:rPr>
          <w:rFonts w:ascii="Georgia" w:eastAsia="Georgia" w:hAnsi="Georgia" w:cs="Georgia"/>
        </w:rPr>
        <w:t xml:space="preserve">La incomunicación de personas privadas de libertad y la falta de información oportuna sobre su paradero, condiciones de reclusión constituyen factores de riesgo especialmente relevantes para la desaparición forzada, incluidas sus modalidades de corta duración. En sus observaciones finales de 2017, el Comité contra la Desaparición Forzada expresó preocupación por el acceso tardío a la defensa y recomendó a Cuba garantizar, en la ley y en la práctica, que </w:t>
      </w:r>
      <w:r>
        <w:rPr>
          <w:rFonts w:ascii="Georgia" w:eastAsia="Georgia" w:hAnsi="Georgia" w:cs="Georgia"/>
        </w:rPr>
        <w:lastRenderedPageBreak/>
        <w:t>toda persona privada de libertad pudiera acceder a un abogado desde el inicio de la privación de libertad.</w:t>
      </w:r>
      <w:r>
        <w:rPr>
          <w:rFonts w:ascii="Georgia" w:eastAsia="Georgia" w:hAnsi="Georgia" w:cs="Georgia"/>
          <w:vertAlign w:val="superscript"/>
        </w:rPr>
        <w:footnoteReference w:id="1"/>
      </w:r>
      <w:r>
        <w:rPr>
          <w:rFonts w:ascii="Georgia" w:eastAsia="Georgia" w:hAnsi="Georgia" w:cs="Georgia"/>
        </w:rPr>
        <w:t xml:space="preserve"> </w:t>
      </w:r>
    </w:p>
    <w:p w14:paraId="098D46DF" w14:textId="77777777" w:rsidR="0046775D" w:rsidRDefault="00D15DE6">
      <w:pPr>
        <w:spacing w:before="240" w:after="240"/>
        <w:jc w:val="both"/>
        <w:rPr>
          <w:rFonts w:ascii="Georgia" w:eastAsia="Georgia" w:hAnsi="Georgia" w:cs="Georgia"/>
        </w:rPr>
      </w:pPr>
      <w:r>
        <w:rPr>
          <w:rFonts w:ascii="Georgia" w:eastAsia="Georgia" w:hAnsi="Georgia" w:cs="Georgia"/>
        </w:rPr>
        <w:t>En sus respuestas al Comité, el Estado cubano ha sostenido que toda persona detenida tiene derecho a informar inmediatamente su detención a familiares o a cualquier otra persona de su elección y que las autoridades actuantes deben facilitar la comunicación con familiares y abogados.</w:t>
      </w:r>
      <w:r>
        <w:rPr>
          <w:rFonts w:ascii="Georgia" w:eastAsia="Georgia" w:hAnsi="Georgia" w:cs="Georgia"/>
          <w:vertAlign w:val="superscript"/>
        </w:rPr>
        <w:footnoteReference w:id="2"/>
      </w:r>
      <w:r>
        <w:rPr>
          <w:rFonts w:ascii="Georgia" w:eastAsia="Georgia" w:hAnsi="Georgia" w:cs="Georgia"/>
        </w:rPr>
        <w:t xml:space="preserve"> Asimismo, en la información complementaria presentada en 2024, el Estado indicó que la legislación procesal reconoce el derecho del imputado o acusado a comunicarse privadamente con su defensor durante el proceso penal y que la Fiscalía y los tribunales pueden tramitar e investigar quejas y denuncias formuladas por personas privadas de libertad o sus familiares.</w:t>
      </w:r>
      <w:r>
        <w:rPr>
          <w:rFonts w:ascii="Georgia" w:eastAsia="Georgia" w:hAnsi="Georgia" w:cs="Georgia"/>
          <w:vertAlign w:val="superscript"/>
        </w:rPr>
        <w:footnoteReference w:id="3"/>
      </w:r>
    </w:p>
    <w:p w14:paraId="0BE48620" w14:textId="77777777" w:rsidR="0046775D" w:rsidRDefault="00D15DE6">
      <w:pPr>
        <w:spacing w:before="240" w:after="240"/>
        <w:jc w:val="both"/>
        <w:rPr>
          <w:rFonts w:ascii="Georgia" w:eastAsia="Georgia" w:hAnsi="Georgia" w:cs="Georgia"/>
        </w:rPr>
      </w:pPr>
      <w:r>
        <w:rPr>
          <w:rFonts w:ascii="Georgia" w:eastAsia="Georgia" w:hAnsi="Georgia" w:cs="Georgia"/>
        </w:rPr>
        <w:t>No obstante, la información sistematizada por el CDPC muestra que, en el contexto del sistema penitenciario cubano, la comunicación con familiares y representantes legales puede verse limitada por la imposición de medidas de aislamiento, permanencia en celdas de castigo, suspensión de llamadas y otras restricciones de contacto con el exterior. En determinados casos, estas medidas han dificultado o impedido el acceso a información oportuna sobre el paradero, estado de salud o condiciones de reclusión de pers</w:t>
      </w:r>
      <w:r>
        <w:rPr>
          <w:rFonts w:ascii="Georgia" w:eastAsia="Georgia" w:hAnsi="Georgia" w:cs="Georgia"/>
        </w:rPr>
        <w:t>onas privadas de libertad, ha generado períodos de incertidumbre respecto de su situación bajo custodia estatal.</w:t>
      </w:r>
      <w:r>
        <w:rPr>
          <w:rFonts w:ascii="Georgia" w:eastAsia="Georgia" w:hAnsi="Georgia" w:cs="Georgia"/>
          <w:vertAlign w:val="superscript"/>
        </w:rPr>
        <w:footnoteReference w:id="4"/>
      </w:r>
      <w:r>
        <w:rPr>
          <w:rFonts w:ascii="Georgia" w:eastAsia="Georgia" w:hAnsi="Georgia" w:cs="Georgia"/>
        </w:rPr>
        <w:t xml:space="preserve"> </w:t>
      </w:r>
    </w:p>
    <w:p w14:paraId="58FA2B11" w14:textId="77777777" w:rsidR="0046775D" w:rsidRDefault="00D15DE6">
      <w:pPr>
        <w:spacing w:before="240" w:after="240"/>
        <w:jc w:val="both"/>
        <w:rPr>
          <w:rFonts w:ascii="Georgia" w:eastAsia="Georgia" w:hAnsi="Georgia" w:cs="Georgia"/>
        </w:rPr>
      </w:pPr>
      <w:r>
        <w:rPr>
          <w:rFonts w:ascii="Georgia" w:eastAsia="Georgia" w:hAnsi="Georgia" w:cs="Georgia"/>
        </w:rPr>
        <w:t>Estas situaciones constituyen factores de riesgo desde la perspectiva de la prevención de la desaparición forzada cuando se combinan con la negativa a proporcionar información sobre el paradero o destino de la persona afectada, impidiendo la verificación de su situación bajo custodia estatal.</w:t>
      </w:r>
      <w:r>
        <w:rPr>
          <w:rFonts w:ascii="Georgia" w:eastAsia="Georgia" w:hAnsi="Georgia" w:cs="Georgia"/>
          <w:vertAlign w:val="superscript"/>
        </w:rPr>
        <w:footnoteReference w:id="5"/>
      </w:r>
      <w:r>
        <w:rPr>
          <w:rFonts w:ascii="Georgia" w:eastAsia="Georgia" w:hAnsi="Georgia" w:cs="Georgia"/>
        </w:rPr>
        <w:t xml:space="preserve"> La información sistematizada por el CDPC indica que este tipo de escenarios </w:t>
      </w:r>
      <w:r>
        <w:rPr>
          <w:rFonts w:ascii="Georgia" w:eastAsia="Georgia" w:hAnsi="Georgia" w:cs="Georgia"/>
        </w:rPr>
        <w:lastRenderedPageBreak/>
        <w:t>puede presentarse en contextos de denuncias sobre condiciones de reclusión, reclamos por atención médica, protestas dentro de los establecimientos penitenciarios o situaciones de represión interna.</w:t>
      </w:r>
      <w:r>
        <w:rPr>
          <w:rFonts w:ascii="Georgia" w:eastAsia="Georgia" w:hAnsi="Georgia" w:cs="Georgia"/>
          <w:vertAlign w:val="superscript"/>
        </w:rPr>
        <w:footnoteReference w:id="6"/>
      </w:r>
    </w:p>
    <w:p w14:paraId="105317A1" w14:textId="77777777" w:rsidR="0046775D" w:rsidRDefault="00D15DE6">
      <w:pPr>
        <w:spacing w:before="240" w:after="240"/>
        <w:jc w:val="both"/>
        <w:rPr>
          <w:rFonts w:ascii="Georgia" w:eastAsia="Georgia" w:hAnsi="Georgia" w:cs="Georgia"/>
        </w:rPr>
      </w:pPr>
      <w:r>
        <w:rPr>
          <w:rFonts w:ascii="Georgia" w:eastAsia="Georgia" w:hAnsi="Georgia" w:cs="Georgia"/>
        </w:rPr>
        <w:t>La preocupación se acentúa respecto de personas privadas de libertad por motivos políticos o por hechos vinculados al ejercicio de derechos fundamentales, respecto de las cuales el CDPC ha documentado restricciones de comunicación, aislamiento y dificultades de acceso a información por parte de familiares y redes de apoyo.</w:t>
      </w:r>
      <w:r>
        <w:rPr>
          <w:rFonts w:ascii="Georgia" w:eastAsia="Georgia" w:hAnsi="Georgia" w:cs="Georgia"/>
          <w:vertAlign w:val="superscript"/>
        </w:rPr>
        <w:footnoteReference w:id="7"/>
      </w:r>
      <w:r>
        <w:rPr>
          <w:rFonts w:ascii="Georgia" w:eastAsia="Georgia" w:hAnsi="Georgia" w:cs="Georgia"/>
        </w:rPr>
        <w:t xml:space="preserve"> Esta situación justifica que el Comité solicite al Estado información diferenciada sobre las salvaguardias aplicables a personas privadas de libertad por hechos relacionados con protestas, expresión crítica, activismo o defensa de derechos humanos.</w:t>
      </w:r>
    </w:p>
    <w:p w14:paraId="5EBE3003" w14:textId="77777777" w:rsidR="0046775D" w:rsidRDefault="00D15DE6">
      <w:pPr>
        <w:spacing w:before="240" w:after="240"/>
        <w:jc w:val="both"/>
        <w:rPr>
          <w:rFonts w:ascii="Georgia" w:eastAsia="Georgia" w:hAnsi="Georgia" w:cs="Georgia"/>
        </w:rPr>
      </w:pPr>
      <w:r>
        <w:rPr>
          <w:rFonts w:ascii="Georgia" w:eastAsia="Georgia" w:hAnsi="Georgia" w:cs="Georgia"/>
        </w:rPr>
        <w:t>Del mismo modo, resulta necesario solicitar al Estado cubano información sobre las garantías existentes frente a medidas de aislamiento, celdas de castigo, suspensión de llamadas o restricciones de visitas que generen situaciones de incomunicación prolongada o impidan conocer el paradero o situación efectiva de personas privadas de libertad. En particular, debe precisarse de qué manera y en qué tiempo la adopción de estas medidas resulta comunicada a familiares o representantes legales, y a través de qué ví</w:t>
      </w:r>
      <w:r>
        <w:rPr>
          <w:rFonts w:ascii="Georgia" w:eastAsia="Georgia" w:hAnsi="Georgia" w:cs="Georgia"/>
        </w:rPr>
        <w:t xml:space="preserve">as estas pueden ser revisadas o impugnadas ante autoridades judiciales u otros órganos independientes de la administración penitenciaria. </w:t>
      </w:r>
    </w:p>
    <w:p w14:paraId="4144C998" w14:textId="77777777" w:rsidR="0046775D" w:rsidRDefault="00D15DE6">
      <w:pPr>
        <w:spacing w:before="240" w:after="240"/>
        <w:jc w:val="both"/>
        <w:rPr>
          <w:rFonts w:ascii="Georgia" w:eastAsia="Georgia" w:hAnsi="Georgia" w:cs="Georgia"/>
        </w:rPr>
      </w:pPr>
      <w:r>
        <w:rPr>
          <w:rFonts w:ascii="Georgia" w:eastAsia="Georgia" w:hAnsi="Georgia" w:cs="Georgia"/>
        </w:rPr>
        <w:t>Específicamente, se solicita al Comité considerar la inclusión de las siguientes cuestiones:</w:t>
      </w:r>
    </w:p>
    <w:p w14:paraId="06F69248" w14:textId="77777777" w:rsidR="0046775D" w:rsidRDefault="00D15DE6">
      <w:pPr>
        <w:numPr>
          <w:ilvl w:val="0"/>
          <w:numId w:val="1"/>
        </w:numPr>
        <w:spacing w:before="240"/>
        <w:jc w:val="both"/>
        <w:rPr>
          <w:rFonts w:ascii="Georgia" w:eastAsia="Georgia" w:hAnsi="Georgia" w:cs="Georgia"/>
        </w:rPr>
      </w:pPr>
      <w:r>
        <w:rPr>
          <w:rFonts w:ascii="Georgia" w:eastAsia="Georgia" w:hAnsi="Georgia" w:cs="Georgia"/>
        </w:rPr>
        <w:t xml:space="preserve">Sírvase informar si toda decisión de aislamiento, permanencia en celda de castigo, suspensión de comunicaciones o cualquier otra medida que limite el contacto con el </w:t>
      </w:r>
      <w:r>
        <w:rPr>
          <w:rFonts w:ascii="Georgia" w:eastAsia="Georgia" w:hAnsi="Georgia" w:cs="Georgia"/>
        </w:rPr>
        <w:lastRenderedPageBreak/>
        <w:t>exterior debe constar por escrito y ser comunicada a familiares o representantes legales de la persona afectada, indicando los plazos y procedimientos aplicables.</w:t>
      </w:r>
    </w:p>
    <w:p w14:paraId="3C568143" w14:textId="77777777" w:rsidR="0046775D" w:rsidRDefault="00D15DE6">
      <w:pPr>
        <w:numPr>
          <w:ilvl w:val="0"/>
          <w:numId w:val="1"/>
        </w:numPr>
        <w:jc w:val="both"/>
        <w:rPr>
          <w:rFonts w:ascii="Georgia" w:eastAsia="Georgia" w:hAnsi="Georgia" w:cs="Georgia"/>
        </w:rPr>
      </w:pPr>
      <w:r>
        <w:rPr>
          <w:rFonts w:ascii="Georgia" w:eastAsia="Georgia" w:hAnsi="Georgia" w:cs="Georgia"/>
        </w:rPr>
        <w:t>Indique qué recursos judiciales o administrativos pueden interponerse por familiares o representantes legales frente a medidas que restrinjan el contacto con el exterior o generen situaciones de incomunicación prolongada, precisando si dichos recursos pueden ser conocidos por autoridades independientes de la administración penitenciaria.</w:t>
      </w:r>
    </w:p>
    <w:p w14:paraId="5DA9CE84" w14:textId="77777777" w:rsidR="0046775D" w:rsidRDefault="00D15DE6">
      <w:pPr>
        <w:numPr>
          <w:ilvl w:val="0"/>
          <w:numId w:val="1"/>
        </w:numPr>
        <w:jc w:val="both"/>
        <w:rPr>
          <w:rFonts w:ascii="Georgia" w:eastAsia="Georgia" w:hAnsi="Georgia" w:cs="Georgia"/>
        </w:rPr>
      </w:pPr>
      <w:r>
        <w:rPr>
          <w:rFonts w:ascii="Georgia" w:eastAsia="Georgia" w:hAnsi="Georgia" w:cs="Georgia"/>
        </w:rPr>
        <w:t>Explique qué medidas existen para prevenir que el aislamiento, las celdas de castigo u otras medidas disciplinarias generen situaciones de incomunicación prolongada o impidan la verificación externa de la situación de personas bajo custodia estatal.</w:t>
      </w:r>
    </w:p>
    <w:p w14:paraId="56647C5D" w14:textId="77777777" w:rsidR="0046775D" w:rsidRDefault="00D15DE6">
      <w:pPr>
        <w:numPr>
          <w:ilvl w:val="0"/>
          <w:numId w:val="1"/>
        </w:numPr>
        <w:jc w:val="both"/>
        <w:rPr>
          <w:rFonts w:ascii="Georgia" w:eastAsia="Georgia" w:hAnsi="Georgia" w:cs="Georgia"/>
        </w:rPr>
      </w:pPr>
      <w:r>
        <w:rPr>
          <w:rFonts w:ascii="Georgia" w:eastAsia="Georgia" w:hAnsi="Georgia" w:cs="Georgia"/>
        </w:rPr>
        <w:t>Indique si las autoridades penitenciarias mantienen registros específicos sobre personas sometidas a aislamiento, celdas de castigo o restricciones de comunicación, y si dicha información puede ser consultada por familiares, representantes legales, fiscales o autoridades judiciales.</w:t>
      </w:r>
    </w:p>
    <w:p w14:paraId="6803D087" w14:textId="77777777" w:rsidR="0046775D" w:rsidRDefault="00D15DE6">
      <w:pPr>
        <w:numPr>
          <w:ilvl w:val="0"/>
          <w:numId w:val="1"/>
        </w:numPr>
        <w:jc w:val="both"/>
        <w:rPr>
          <w:rFonts w:ascii="Georgia" w:eastAsia="Georgia" w:hAnsi="Georgia" w:cs="Georgia"/>
        </w:rPr>
      </w:pPr>
      <w:r>
        <w:rPr>
          <w:rFonts w:ascii="Georgia" w:eastAsia="Georgia" w:hAnsi="Georgia" w:cs="Georgia"/>
        </w:rPr>
        <w:t>Indique si existen registros diferenciados, protocolos específicos o salvaguardias adicionales para prevenir situaciones de incomunicación u ocultamiento de paradero respecto de personas privadas de libertad por hechos relacionados con protestas, expresión crítica, activismo o defensa de derechos humanos.</w:t>
      </w:r>
    </w:p>
    <w:p w14:paraId="7563B597" w14:textId="77777777" w:rsidR="0046775D" w:rsidRDefault="00D15DE6">
      <w:pPr>
        <w:numPr>
          <w:ilvl w:val="0"/>
          <w:numId w:val="1"/>
        </w:numPr>
        <w:spacing w:after="240"/>
        <w:jc w:val="both"/>
        <w:rPr>
          <w:rFonts w:ascii="Georgia" w:eastAsia="Georgia" w:hAnsi="Georgia" w:cs="Georgia"/>
        </w:rPr>
      </w:pPr>
      <w:r>
        <w:rPr>
          <w:rFonts w:ascii="Georgia" w:eastAsia="Georgia" w:hAnsi="Georgia" w:cs="Georgia"/>
        </w:rPr>
        <w:t>Explique qué mecanismos existen para garantizar que las personas privadas de libertad y sus familiares puedan denunciar represalias asociadas a reclamos sobre condiciones de reclusión, atención médica, violencia institucional u otras vulneraciones de derechos humanos, sin riesgo de nuevas restricciones de comunicación o aislamiento.</w:t>
      </w:r>
    </w:p>
    <w:p w14:paraId="0D3A46F0" w14:textId="77777777" w:rsidR="0046775D" w:rsidRDefault="00D15DE6">
      <w:pPr>
        <w:spacing w:before="240" w:after="240"/>
        <w:jc w:val="both"/>
        <w:rPr>
          <w:rFonts w:ascii="Georgia" w:eastAsia="Georgia" w:hAnsi="Georgia" w:cs="Georgia"/>
          <w:b/>
          <w:bCs/>
        </w:rPr>
      </w:pPr>
      <w:r>
        <w:rPr>
          <w:rFonts w:ascii="Georgia" w:eastAsia="Georgia" w:hAnsi="Georgia" w:cs="Georgia"/>
          <w:b/>
          <w:bCs/>
        </w:rPr>
        <w:t>III. Registro, localización y acceso a información sobre el paradero de personas privadas de libertad bajo custodia estatal</w:t>
      </w:r>
    </w:p>
    <w:p w14:paraId="0FC01A04" w14:textId="77777777" w:rsidR="0046775D" w:rsidRDefault="00D15DE6">
      <w:pPr>
        <w:spacing w:before="240" w:after="240"/>
        <w:jc w:val="both"/>
        <w:rPr>
          <w:rFonts w:ascii="Georgia" w:eastAsia="Georgia" w:hAnsi="Georgia" w:cs="Georgia"/>
        </w:rPr>
      </w:pPr>
      <w:r>
        <w:rPr>
          <w:rFonts w:ascii="Georgia" w:eastAsia="Georgia" w:hAnsi="Georgia" w:cs="Georgia"/>
        </w:rPr>
        <w:t>La existencia de registros completos, actualizados y accesibles sobre toda persona privada de libertad constituye una salvaguardia esencial frente a la desaparición forzada, incluidas sus modalidades de corta duración. En el caso cubano, el propio Estado ha informado al Comité que el Código Penal vigente, aprobado en 2022, incorporó la desaparición forzada como delito autónomo, incluyendo entre sus elementos la negativa a reconocer la detención o a proporcionar información sobre el paradero de la persona pr</w:t>
      </w:r>
      <w:r>
        <w:rPr>
          <w:rFonts w:ascii="Georgia" w:eastAsia="Georgia" w:hAnsi="Georgia" w:cs="Georgia"/>
        </w:rPr>
        <w:t>ivada de libertad.</w:t>
      </w:r>
      <w:r>
        <w:rPr>
          <w:rFonts w:ascii="Georgia" w:eastAsia="Georgia" w:hAnsi="Georgia" w:cs="Georgia"/>
          <w:vertAlign w:val="superscript"/>
        </w:rPr>
        <w:footnoteReference w:id="8"/>
      </w:r>
      <w:r>
        <w:rPr>
          <w:rFonts w:ascii="Georgia" w:eastAsia="Georgia" w:hAnsi="Georgia" w:cs="Georgia"/>
        </w:rPr>
        <w:t xml:space="preserve"> Sin embargo, permanece sin esclarecer cómo se actualiza la información de una persona durante su permanencia en centros de detención o penitenciarios, qué autoridades custodian esos registros ni qué mecanismos tienen los familiares para verificar de forma rápida y efectiva su paradero. </w:t>
      </w:r>
    </w:p>
    <w:p w14:paraId="57B2C11A" w14:textId="77777777" w:rsidR="0046775D" w:rsidRDefault="00D15DE6">
      <w:pPr>
        <w:spacing w:before="240" w:after="240"/>
        <w:jc w:val="both"/>
        <w:rPr>
          <w:rFonts w:ascii="Georgia" w:eastAsia="Georgia" w:hAnsi="Georgia" w:cs="Georgia"/>
        </w:rPr>
      </w:pPr>
      <w:r>
        <w:rPr>
          <w:rFonts w:ascii="Georgia" w:eastAsia="Georgia" w:hAnsi="Georgia" w:cs="Georgia"/>
        </w:rPr>
        <w:t xml:space="preserve">Esta preocupación se refuerza a partir de la información complementaria presentada por Cuba en 2024, en la que el Estado reconoció que, desde la entrada en vigor del nuevo Código Penal </w:t>
      </w:r>
      <w:r>
        <w:rPr>
          <w:rFonts w:ascii="Georgia" w:eastAsia="Georgia" w:hAnsi="Georgia" w:cs="Georgia"/>
        </w:rPr>
        <w:lastRenderedPageBreak/>
        <w:t>y hasta julio de 2024, la Fiscalía General recibió 37.177 quejas, cuatro de las cuales se referían a personas promoventes que alegaban desconocer el lugar de detención o la ubicación de un recluso tras su traslado a otro establecimiento penitenciario.</w:t>
      </w:r>
      <w:r>
        <w:rPr>
          <w:rFonts w:ascii="Georgia" w:eastAsia="Georgia" w:hAnsi="Georgia" w:cs="Georgia"/>
          <w:vertAlign w:val="superscript"/>
        </w:rPr>
        <w:footnoteReference w:id="9"/>
      </w:r>
      <w:r>
        <w:rPr>
          <w:rFonts w:ascii="Georgia" w:eastAsia="Georgia" w:hAnsi="Georgia" w:cs="Georgia"/>
        </w:rPr>
        <w:t xml:space="preserve">  Aunque el Estado afirma que esas reclamaciones fueron investigadas sin que se comprobaran violaciones a la legalidad, no ofrece información sobre el procedimiento seguido, los criterios de verificación utilizados, los plazos de respuesta, las autoridades responsables ni las medidas adoptadas para prevenir situaciones similares. </w:t>
      </w:r>
    </w:p>
    <w:p w14:paraId="7FA6DE61" w14:textId="77777777" w:rsidR="0046775D" w:rsidRDefault="00D15DE6">
      <w:pPr>
        <w:spacing w:before="240" w:after="240"/>
        <w:jc w:val="both"/>
        <w:rPr>
          <w:rFonts w:ascii="Georgia" w:eastAsia="Georgia" w:hAnsi="Georgia" w:cs="Georgia"/>
        </w:rPr>
      </w:pPr>
      <w:r>
        <w:rPr>
          <w:rFonts w:ascii="Georgia" w:eastAsia="Georgia" w:hAnsi="Georgia" w:cs="Georgia"/>
        </w:rPr>
        <w:t>El CDPC ha identificado situaciones en las que familiares y representantes legales no reciben información oportuna sobre el paradero o destino de personas privadas de libertad, especialmente durante traslados entre establecimientos penitenciarios.</w:t>
      </w:r>
      <w:r>
        <w:rPr>
          <w:rFonts w:ascii="Georgia" w:eastAsia="Georgia" w:hAnsi="Georgia" w:cs="Georgia"/>
          <w:vertAlign w:val="superscript"/>
        </w:rPr>
        <w:footnoteReference w:id="10"/>
      </w:r>
      <w:r>
        <w:rPr>
          <w:rFonts w:ascii="Georgia" w:eastAsia="Georgia" w:hAnsi="Georgia" w:cs="Georgia"/>
        </w:rPr>
        <w:t xml:space="preserve"> En varios de estos casos, la falta de información oportuna sobre la ubicación de la persona afectada ha generado períodos de incertidumbre respecto de su situación bajo custodia estatal.</w:t>
      </w:r>
      <w:r>
        <w:rPr>
          <w:rFonts w:ascii="Georgia" w:eastAsia="Georgia" w:hAnsi="Georgia" w:cs="Georgia"/>
          <w:vertAlign w:val="superscript"/>
        </w:rPr>
        <w:footnoteReference w:id="11"/>
      </w:r>
      <w:r>
        <w:rPr>
          <w:rFonts w:ascii="Georgia" w:eastAsia="Georgia" w:hAnsi="Georgia" w:cs="Georgia"/>
        </w:rPr>
        <w:t xml:space="preserve"> </w:t>
      </w:r>
    </w:p>
    <w:p w14:paraId="3FAE2A92" w14:textId="77777777" w:rsidR="0046775D" w:rsidRDefault="00D15DE6">
      <w:pPr>
        <w:spacing w:before="240" w:after="240"/>
        <w:jc w:val="both"/>
        <w:rPr>
          <w:rFonts w:ascii="Georgia" w:eastAsia="Georgia" w:hAnsi="Georgia" w:cs="Georgia"/>
        </w:rPr>
      </w:pPr>
      <w:r>
        <w:rPr>
          <w:rFonts w:ascii="Georgia" w:eastAsia="Georgia" w:hAnsi="Georgia" w:cs="Georgia"/>
        </w:rPr>
        <w:t>La información sistematizada por el CDPC confirma que los traslados de personas privadas de libertad en el contexto cubano operan también como mecanismos de castigo, aislamiento o represalia frente a denuncias públicas, reclamos por condiciones de reclusión o conflictos dentro de los establecimientos penitenciarios.</w:t>
      </w:r>
      <w:r>
        <w:rPr>
          <w:rFonts w:ascii="Georgia" w:eastAsia="Georgia" w:hAnsi="Georgia" w:cs="Georgia"/>
          <w:vertAlign w:val="superscript"/>
        </w:rPr>
        <w:footnoteReference w:id="12"/>
      </w:r>
      <w:r>
        <w:rPr>
          <w:rFonts w:ascii="Georgia" w:eastAsia="Georgia" w:hAnsi="Georgia" w:cs="Georgia"/>
        </w:rPr>
        <w:t xml:space="preserve"> Conforme a la metodología del Centro, estos eventos se clasifican como desaparición forzada cuando las autoridades niegan informar sobre </w:t>
      </w:r>
      <w:r>
        <w:rPr>
          <w:rFonts w:ascii="Georgia" w:eastAsia="Georgia" w:hAnsi="Georgia" w:cs="Georgia"/>
        </w:rPr>
        <w:lastRenderedPageBreak/>
        <w:t>el paradero o destino de la persona privada de libertad e impiden el contacto con familiares o representantes legales, principalmente con fines punitivos.</w:t>
      </w:r>
      <w:r>
        <w:rPr>
          <w:rFonts w:ascii="Georgia" w:eastAsia="Georgia" w:hAnsi="Georgia" w:cs="Georgia"/>
          <w:vertAlign w:val="superscript"/>
        </w:rPr>
        <w:footnoteReference w:id="13"/>
      </w:r>
    </w:p>
    <w:p w14:paraId="17A3FC48" w14:textId="77777777" w:rsidR="0046775D" w:rsidRDefault="00D15DE6">
      <w:pPr>
        <w:spacing w:before="240" w:after="240"/>
        <w:jc w:val="both"/>
        <w:rPr>
          <w:rFonts w:ascii="Georgia" w:eastAsia="Georgia" w:hAnsi="Georgia" w:cs="Georgia"/>
        </w:rPr>
      </w:pPr>
      <w:r>
        <w:rPr>
          <w:rFonts w:ascii="Georgia" w:eastAsia="Georgia" w:hAnsi="Georgia" w:cs="Georgia"/>
        </w:rPr>
        <w:t xml:space="preserve">En este contexto, resulta pertinente que el Comité solicite al Estado información específica sobre la existencia de un registro centralizado y actualizado de personas privadas de libertad; los datos que se consignan y actualizan cuando una persona es trasladada; la obligación de informar de manera inmediata su paradero a familiares y representantes legales; los plazos máximos para proporcionar esa información; y los recursos judiciales o administrativos disponibles cuando las autoridades niegan, retrasan o </w:t>
      </w:r>
      <w:r>
        <w:rPr>
          <w:rFonts w:ascii="Georgia" w:eastAsia="Georgia" w:hAnsi="Georgia" w:cs="Georgia"/>
        </w:rPr>
        <w:t xml:space="preserve">entregan información insuficiente sobre el lugar donde se encuentra una persona bajo custodia estatal. </w:t>
      </w:r>
    </w:p>
    <w:p w14:paraId="09121673" w14:textId="77777777" w:rsidR="0046775D" w:rsidRDefault="00D15DE6">
      <w:pPr>
        <w:spacing w:before="240" w:after="240"/>
        <w:jc w:val="both"/>
        <w:rPr>
          <w:rFonts w:ascii="Georgia" w:eastAsia="Georgia" w:hAnsi="Georgia" w:cs="Georgia"/>
        </w:rPr>
      </w:pPr>
      <w:r>
        <w:rPr>
          <w:rFonts w:ascii="Georgia" w:eastAsia="Georgia" w:hAnsi="Georgia" w:cs="Georgia"/>
        </w:rPr>
        <w:t>Específicamente, se solicita al Comité considerar la inclusión de las siguientes cuestiones:</w:t>
      </w:r>
    </w:p>
    <w:p w14:paraId="15F3E769" w14:textId="77777777" w:rsidR="0046775D" w:rsidRDefault="00D15DE6">
      <w:pPr>
        <w:numPr>
          <w:ilvl w:val="0"/>
          <w:numId w:val="2"/>
        </w:numPr>
        <w:spacing w:before="240"/>
        <w:jc w:val="both"/>
        <w:rPr>
          <w:rFonts w:ascii="Georgia" w:eastAsia="Georgia" w:hAnsi="Georgia" w:cs="Georgia"/>
        </w:rPr>
      </w:pPr>
      <w:r>
        <w:rPr>
          <w:rFonts w:ascii="Georgia" w:eastAsia="Georgia" w:hAnsi="Georgia" w:cs="Georgia"/>
        </w:rPr>
        <w:t>Sírvase informar qué mecanismos existen para garantizar que toda persona privada de libertad sea registrada desde el primer momento y que la información sobre su ubicación se mantenga actualizada y accesible durante todo el período de custodia estatal.</w:t>
      </w:r>
    </w:p>
    <w:p w14:paraId="4901725F" w14:textId="77777777" w:rsidR="0046775D" w:rsidRDefault="00D15DE6">
      <w:pPr>
        <w:numPr>
          <w:ilvl w:val="0"/>
          <w:numId w:val="2"/>
        </w:numPr>
        <w:jc w:val="both"/>
        <w:rPr>
          <w:rFonts w:ascii="Georgia" w:eastAsia="Georgia" w:hAnsi="Georgia" w:cs="Georgia"/>
        </w:rPr>
      </w:pPr>
      <w:r>
        <w:rPr>
          <w:rFonts w:ascii="Georgia" w:eastAsia="Georgia" w:hAnsi="Georgia" w:cs="Georgia"/>
        </w:rPr>
        <w:t xml:space="preserve">Indique si existe un sistema nacional o centralizado que permita conocer el lugar exacto donde se encuentra cada persona detenida, procesada o sancionada dentro del sistema penal o penitenciario. </w:t>
      </w:r>
    </w:p>
    <w:p w14:paraId="578D8E70" w14:textId="77777777" w:rsidR="0046775D" w:rsidRDefault="00D15DE6">
      <w:pPr>
        <w:numPr>
          <w:ilvl w:val="0"/>
          <w:numId w:val="2"/>
        </w:numPr>
        <w:jc w:val="both"/>
        <w:rPr>
          <w:rFonts w:ascii="Georgia" w:eastAsia="Georgia" w:hAnsi="Georgia" w:cs="Georgia"/>
        </w:rPr>
      </w:pPr>
      <w:r>
        <w:rPr>
          <w:rFonts w:ascii="Georgia" w:eastAsia="Georgia" w:hAnsi="Georgia" w:cs="Georgia"/>
        </w:rPr>
        <w:t xml:space="preserve">Explique qué información debe consignarse obligatoriamente en caso de traslado entre centros de detención o establecimientos penitenciarios, incluyendo fecha, hora, autoridad que lo ordena, motivo, centro de origen y destino. </w:t>
      </w:r>
    </w:p>
    <w:p w14:paraId="6C9E360D" w14:textId="77777777" w:rsidR="0046775D" w:rsidRDefault="00D15DE6">
      <w:pPr>
        <w:numPr>
          <w:ilvl w:val="0"/>
          <w:numId w:val="2"/>
        </w:numPr>
        <w:jc w:val="both"/>
        <w:rPr>
          <w:rFonts w:ascii="Georgia" w:eastAsia="Georgia" w:hAnsi="Georgia" w:cs="Georgia"/>
        </w:rPr>
      </w:pPr>
      <w:r>
        <w:rPr>
          <w:rFonts w:ascii="Georgia" w:eastAsia="Georgia" w:hAnsi="Georgia" w:cs="Georgia"/>
        </w:rPr>
        <w:t xml:space="preserve">Indique si la legislación o los protocolos internos establecen la obligación de informar de manera inmediata a familiares y representantes legales sobre el paradero de una persona privada de libertad, especialmente cuando haya sido trasladada a otro establecimiento. </w:t>
      </w:r>
    </w:p>
    <w:p w14:paraId="0C8C88FC" w14:textId="77777777" w:rsidR="0046775D" w:rsidRDefault="00D15DE6">
      <w:pPr>
        <w:numPr>
          <w:ilvl w:val="0"/>
          <w:numId w:val="2"/>
        </w:numPr>
        <w:jc w:val="both"/>
        <w:rPr>
          <w:rFonts w:ascii="Georgia" w:eastAsia="Georgia" w:hAnsi="Georgia" w:cs="Georgia"/>
        </w:rPr>
      </w:pPr>
      <w:r>
        <w:rPr>
          <w:rFonts w:ascii="Georgia" w:eastAsia="Georgia" w:hAnsi="Georgia" w:cs="Georgia"/>
        </w:rPr>
        <w:t xml:space="preserve">Informe cuántos traslados penitenciarios se realizaron durante los últimos cinco años y cuántos fueron comunicados formalmente a familiares o representantes legales. </w:t>
      </w:r>
    </w:p>
    <w:p w14:paraId="066FF38F" w14:textId="77777777" w:rsidR="0046775D" w:rsidRDefault="00D15DE6">
      <w:pPr>
        <w:numPr>
          <w:ilvl w:val="0"/>
          <w:numId w:val="2"/>
        </w:numPr>
        <w:jc w:val="both"/>
        <w:rPr>
          <w:rFonts w:ascii="Georgia" w:eastAsia="Georgia" w:hAnsi="Georgia" w:cs="Georgia"/>
        </w:rPr>
      </w:pPr>
      <w:r>
        <w:rPr>
          <w:rFonts w:ascii="Georgia" w:eastAsia="Georgia" w:hAnsi="Georgia" w:cs="Georgia"/>
        </w:rPr>
        <w:t xml:space="preserve">Sírvase ampliar la información sobre las cuatro reclamaciones reconocidas por el Estado en su información complementaria de 2024, en las que los promoventes alegaron desconocer el lugar de detención o la ubicación de un recluso tras su traslado a otro establecimiento penitenciario, indicando el procedimiento seguido, la autoridad competente, el tiempo de respuesta y los criterios utilizados para concluir que no existieron violaciones a la legalidad. </w:t>
      </w:r>
    </w:p>
    <w:p w14:paraId="0FDF576B" w14:textId="77777777" w:rsidR="0046775D" w:rsidRDefault="00D15DE6">
      <w:pPr>
        <w:numPr>
          <w:ilvl w:val="0"/>
          <w:numId w:val="2"/>
        </w:numPr>
        <w:jc w:val="both"/>
        <w:rPr>
          <w:rFonts w:ascii="Georgia" w:eastAsia="Georgia" w:hAnsi="Georgia" w:cs="Georgia"/>
        </w:rPr>
      </w:pPr>
      <w:r>
        <w:rPr>
          <w:rFonts w:ascii="Georgia" w:eastAsia="Georgia" w:hAnsi="Georgia" w:cs="Georgia"/>
        </w:rPr>
        <w:t>Indique qué recursos judiciales o administrativos están disponibles cuando las autoridades niegan, retrasan o proporcionan información insuficiente sobre el lugar donde se encuentra una persona bajo custodia estatal.</w:t>
      </w:r>
    </w:p>
    <w:p w14:paraId="06296CA1" w14:textId="77777777" w:rsidR="0046775D" w:rsidRDefault="00D15DE6">
      <w:pPr>
        <w:numPr>
          <w:ilvl w:val="0"/>
          <w:numId w:val="2"/>
        </w:numPr>
        <w:spacing w:after="240"/>
        <w:jc w:val="both"/>
        <w:rPr>
          <w:rFonts w:ascii="Georgia" w:eastAsia="Georgia" w:hAnsi="Georgia" w:cs="Georgia"/>
        </w:rPr>
      </w:pPr>
      <w:r>
        <w:rPr>
          <w:rFonts w:ascii="Georgia" w:eastAsia="Georgia" w:hAnsi="Georgia" w:cs="Georgia"/>
        </w:rPr>
        <w:lastRenderedPageBreak/>
        <w:t>Explique si existen medidas disciplinarias, administrativas o penales aplicables a funcionarios que omitan registrar, actualicen tardíamente, oculten o nieguen información sobre el paradero de una persona privada de libertad.</w:t>
      </w:r>
    </w:p>
    <w:p w14:paraId="7E391E46" w14:textId="77777777" w:rsidR="0046775D" w:rsidRDefault="00D15DE6">
      <w:pPr>
        <w:spacing w:before="240" w:after="240"/>
        <w:jc w:val="both"/>
        <w:rPr>
          <w:rFonts w:ascii="Georgia" w:eastAsia="Georgia" w:hAnsi="Georgia" w:cs="Georgia"/>
          <w:b/>
          <w:bCs/>
        </w:rPr>
      </w:pPr>
      <w:r>
        <w:rPr>
          <w:rFonts w:ascii="Georgia" w:eastAsia="Georgia" w:hAnsi="Georgia" w:cs="Georgia"/>
          <w:b/>
          <w:bCs/>
        </w:rPr>
        <w:t>IV. Solicitud final al Comité</w:t>
      </w:r>
    </w:p>
    <w:p w14:paraId="704B4FB3" w14:textId="77777777" w:rsidR="0046775D" w:rsidRDefault="00D15DE6">
      <w:pPr>
        <w:spacing w:before="240" w:after="240"/>
        <w:jc w:val="both"/>
        <w:rPr>
          <w:rFonts w:ascii="Georgia" w:eastAsia="Georgia" w:hAnsi="Georgia" w:cs="Georgia"/>
        </w:rPr>
      </w:pPr>
      <w:r>
        <w:rPr>
          <w:rFonts w:ascii="Georgia" w:eastAsia="Georgia" w:hAnsi="Georgia" w:cs="Georgia"/>
        </w:rPr>
        <w:t xml:space="preserve">El CDPC considera que las prácticas de incomunicación, ocultamiento de paradero y falta de información sobre la ubicación o situación de personas privadas de libertad merecen especial atención en el próximo proceso de evaluación de Cuba. </w:t>
      </w:r>
    </w:p>
    <w:p w14:paraId="143D7201" w14:textId="77777777" w:rsidR="0046775D" w:rsidRDefault="00D15DE6">
      <w:pPr>
        <w:spacing w:before="240" w:after="240"/>
        <w:jc w:val="both"/>
        <w:rPr>
          <w:rFonts w:ascii="Georgia" w:eastAsia="Georgia" w:hAnsi="Georgia" w:cs="Georgia"/>
        </w:rPr>
      </w:pPr>
      <w:r>
        <w:rPr>
          <w:rFonts w:ascii="Georgia" w:eastAsia="Georgia" w:hAnsi="Georgia" w:cs="Georgia"/>
        </w:rPr>
        <w:t>En consecuencia, solicita respetuosamente al Comité que incorpore preguntas específicas sobre estos temas en la Lista de Temas Prioritarios y requiera al Estado información estadística, normativa e institucional que permita evaluar la existencia y efectividad de las salvaguardias destinadas a prevenir desapariciones forzadas en contextos de privación de libertad.</w:t>
      </w:r>
    </w:p>
    <w:p w14:paraId="144B3A1A" w14:textId="77777777" w:rsidR="0046775D" w:rsidRDefault="0046775D">
      <w:pPr>
        <w:jc w:val="both"/>
        <w:rPr>
          <w:rFonts w:ascii="Georgia" w:eastAsia="Georgia" w:hAnsi="Georgia" w:cs="Georgia"/>
        </w:rPr>
      </w:pPr>
    </w:p>
    <w:p w14:paraId="2500B197" w14:textId="77777777" w:rsidR="0046775D" w:rsidRDefault="00D15DE6">
      <w:pPr>
        <w:jc w:val="right"/>
        <w:rPr>
          <w:rFonts w:ascii="Georgia" w:eastAsia="Georgia" w:hAnsi="Georgia" w:cs="Georgia"/>
        </w:rPr>
      </w:pPr>
      <w:r>
        <w:rPr>
          <w:rFonts w:ascii="Georgia" w:eastAsia="Georgia" w:hAnsi="Georgia" w:cs="Georgia"/>
        </w:rPr>
        <w:t xml:space="preserve"> Ciudad de México, a 24 de junio de 2026</w:t>
      </w:r>
    </w:p>
    <w:sectPr w:rsidR="0046775D">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7169" w14:textId="77777777" w:rsidR="00D15DE6" w:rsidRDefault="00D15DE6">
      <w:pPr>
        <w:spacing w:line="240" w:lineRule="auto"/>
      </w:pPr>
      <w:r>
        <w:separator/>
      </w:r>
    </w:p>
  </w:endnote>
  <w:endnote w:type="continuationSeparator" w:id="0">
    <w:p w14:paraId="4AB5778D" w14:textId="77777777" w:rsidR="00D15DE6" w:rsidRDefault="00D15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BDD4EB29-F7F1-48CC-9DFD-B833B9E25933}"/>
    <w:embedBold r:id="rId2" w:fontKey="{99C60C34-1E84-40C9-A0AF-7685988B9A3E}"/>
    <w:embedItalic r:id="rId3" w:fontKey="{32427ADB-725C-48B1-8EC0-14BA8F6C9F7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2C16503B-4268-49F5-899D-5AC3057D5184}"/>
  </w:font>
  <w:font w:name="Cambria">
    <w:panose1 w:val="02040503050406030204"/>
    <w:charset w:val="00"/>
    <w:family w:val="roman"/>
    <w:pitch w:val="variable"/>
    <w:sig w:usb0="E00006FF" w:usb1="420024FF" w:usb2="02000000" w:usb3="00000000" w:csb0="0000019F" w:csb1="00000000"/>
    <w:embedRegular r:id="rId5" w:fontKey="{C82B204F-E097-4F5B-910F-9F7983B189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C6337" w14:textId="77777777" w:rsidR="0046775D" w:rsidRDefault="00D15DE6">
    <w:pPr>
      <w:jc w:val="center"/>
      <w:rPr>
        <w:rFonts w:ascii="Georgia" w:eastAsia="Georgia" w:hAnsi="Georgia" w:cs="Georgia"/>
        <w:color w:val="980000"/>
        <w:sz w:val="20"/>
        <w:szCs w:val="20"/>
      </w:rPr>
    </w:pPr>
    <w:r>
      <w:rPr>
        <w:rFonts w:ascii="Georgia" w:eastAsia="Georgia" w:hAnsi="Georgia" w:cs="Georgia"/>
        <w:color w:val="980000"/>
        <w:sz w:val="20"/>
        <w:szCs w:val="20"/>
      </w:rPr>
      <w:t xml:space="preserve">Pág. </w:t>
    </w:r>
    <w:r>
      <w:rPr>
        <w:rFonts w:ascii="Georgia" w:eastAsia="Georgia" w:hAnsi="Georgia" w:cs="Georgia"/>
        <w:color w:val="980000"/>
        <w:sz w:val="20"/>
        <w:szCs w:val="20"/>
      </w:rPr>
      <w:fldChar w:fldCharType="begin"/>
    </w:r>
    <w:r>
      <w:rPr>
        <w:rFonts w:ascii="Georgia" w:eastAsia="Georgia" w:hAnsi="Georgia" w:cs="Georgia"/>
        <w:color w:val="980000"/>
        <w:sz w:val="20"/>
        <w:szCs w:val="20"/>
      </w:rPr>
      <w:instrText>PAGE</w:instrText>
    </w:r>
    <w:r>
      <w:rPr>
        <w:rFonts w:ascii="Georgia" w:eastAsia="Georgia" w:hAnsi="Georgia" w:cs="Georgia"/>
        <w:color w:val="980000"/>
        <w:sz w:val="20"/>
        <w:szCs w:val="20"/>
      </w:rPr>
      <w:fldChar w:fldCharType="separate"/>
    </w:r>
    <w:r w:rsidR="00B33CAC">
      <w:rPr>
        <w:rFonts w:ascii="Georgia" w:eastAsia="Georgia" w:hAnsi="Georgia" w:cs="Georgia"/>
        <w:noProof/>
        <w:color w:val="980000"/>
        <w:sz w:val="20"/>
        <w:szCs w:val="20"/>
      </w:rPr>
      <w:t>1</w:t>
    </w:r>
    <w:r>
      <w:rPr>
        <w:rFonts w:ascii="Georgia" w:eastAsia="Georgia" w:hAnsi="Georgia" w:cs="Georgia"/>
        <w:color w:val="98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19D32" w14:textId="77777777" w:rsidR="00D15DE6" w:rsidRDefault="00D15DE6">
      <w:pPr>
        <w:spacing w:line="240" w:lineRule="auto"/>
      </w:pPr>
      <w:r>
        <w:separator/>
      </w:r>
    </w:p>
  </w:footnote>
  <w:footnote w:type="continuationSeparator" w:id="0">
    <w:p w14:paraId="38C716DD" w14:textId="77777777" w:rsidR="00D15DE6" w:rsidRDefault="00D15DE6">
      <w:pPr>
        <w:spacing w:line="240" w:lineRule="auto"/>
      </w:pPr>
      <w:r>
        <w:continuationSeparator/>
      </w:r>
    </w:p>
  </w:footnote>
  <w:footnote w:id="1">
    <w:p w14:paraId="20453EBE" w14:textId="77777777" w:rsidR="0046775D" w:rsidRDefault="00D15DE6">
      <w:pPr>
        <w:spacing w:line="240" w:lineRule="auto"/>
        <w:rPr>
          <w:rFonts w:ascii="Georgia" w:eastAsia="Georgia" w:hAnsi="Georgia" w:cs="Georgia"/>
          <w:color w:val="980000"/>
          <w:sz w:val="20"/>
          <w:szCs w:val="20"/>
        </w:rPr>
      </w:pPr>
      <w:r>
        <w:rPr>
          <w:vertAlign w:val="superscript"/>
        </w:rPr>
        <w:footnoteRef/>
      </w:r>
      <w:r>
        <w:rPr>
          <w:rFonts w:ascii="Georgia" w:eastAsia="Georgia" w:hAnsi="Georgia" w:cs="Georgia"/>
          <w:sz w:val="20"/>
          <w:szCs w:val="20"/>
        </w:rPr>
        <w:t xml:space="preserve"> </w:t>
      </w:r>
      <w:r>
        <w:rPr>
          <w:rFonts w:ascii="Georgia" w:eastAsia="Georgia" w:hAnsi="Georgia" w:cs="Georgia"/>
          <w:sz w:val="19"/>
          <w:szCs w:val="19"/>
        </w:rPr>
        <w:t>Naciones Unidas, Comité contra la Desaparición Forzada, “Observaciones finales sobre el informe presentado por Cuba en virtud del artículo 29, párrafo 1, de la Convención”, CED/C/CUB/CO/1, 19 de abril de 2017, párrs. 25-26. Acceso:</w:t>
      </w:r>
      <w:hyperlink r:id="rId1">
        <w:r>
          <w:rPr>
            <w:rFonts w:ascii="Georgia" w:eastAsia="Georgia" w:hAnsi="Georgia" w:cs="Georgia"/>
            <w:sz w:val="19"/>
            <w:szCs w:val="19"/>
          </w:rPr>
          <w:t xml:space="preserve"> </w:t>
        </w:r>
      </w:hyperlink>
      <w:hyperlink r:id="rId2">
        <w:r>
          <w:rPr>
            <w:rFonts w:ascii="Georgia" w:eastAsia="Georgia" w:hAnsi="Georgia" w:cs="Georgia"/>
            <w:color w:val="980000"/>
            <w:sz w:val="19"/>
            <w:szCs w:val="19"/>
            <w:u w:val="single"/>
          </w:rPr>
          <w:t>https://tbinternet.ohchr.org/_layouts/15/treatybodyexternal/Download.aspx?symbolno=CED%2FC%2FCUB%2FCO%2F1&amp;Lang=en</w:t>
        </w:r>
      </w:hyperlink>
    </w:p>
  </w:footnote>
  <w:footnote w:id="2">
    <w:p w14:paraId="1B84B6C6" w14:textId="77777777" w:rsidR="0046775D" w:rsidRDefault="00D15DE6">
      <w:pPr>
        <w:spacing w:line="240" w:lineRule="auto"/>
        <w:rPr>
          <w:rFonts w:ascii="Georgia" w:eastAsia="Georgia" w:hAnsi="Georgia" w:cs="Georgia"/>
          <w:color w:val="980000"/>
          <w:sz w:val="19"/>
          <w:szCs w:val="19"/>
        </w:rPr>
      </w:pPr>
      <w:r>
        <w:rPr>
          <w:vertAlign w:val="superscript"/>
        </w:rPr>
        <w:footnoteRef/>
      </w:r>
      <w:r>
        <w:rPr>
          <w:sz w:val="20"/>
          <w:szCs w:val="20"/>
        </w:rPr>
        <w:t xml:space="preserve"> </w:t>
      </w:r>
      <w:r>
        <w:rPr>
          <w:rFonts w:ascii="Georgia" w:eastAsia="Georgia" w:hAnsi="Georgia" w:cs="Georgia"/>
          <w:sz w:val="19"/>
          <w:szCs w:val="19"/>
        </w:rPr>
        <w:t>Naciones Unidas, Comité contra la Desaparición Forzada, “Observaciones finales sobre el informe presentado por Cuba en virtud del artículo 29, párrafo 1, de la Convención. Adición: Información recibida de Cuba sobre el seguimiento de las observaciones finales”, CED/C/CUB/CO/1/Add.1, 30 de abril de 2018, párrs. 1, 6 y 8. Acceso:</w:t>
      </w:r>
      <w:hyperlink r:id="rId3">
        <w:r>
          <w:rPr>
            <w:rFonts w:ascii="Georgia" w:eastAsia="Georgia" w:hAnsi="Georgia" w:cs="Georgia"/>
            <w:sz w:val="19"/>
            <w:szCs w:val="19"/>
          </w:rPr>
          <w:t xml:space="preserve"> </w:t>
        </w:r>
      </w:hyperlink>
      <w:hyperlink r:id="rId4">
        <w:r>
          <w:rPr>
            <w:rFonts w:ascii="Georgia" w:eastAsia="Georgia" w:hAnsi="Georgia" w:cs="Georgia"/>
            <w:color w:val="980000"/>
            <w:sz w:val="19"/>
            <w:szCs w:val="19"/>
            <w:u w:val="single"/>
          </w:rPr>
          <w:t>https://tbinternet.ohchr.org/_layouts/15/treatybodyexternal/Download.aspx?symbolno=CED%2FC%2FCUB%2FCO%2F1%2FAdd.1&amp;Lang=en</w:t>
        </w:r>
      </w:hyperlink>
      <w:r>
        <w:rPr>
          <w:rFonts w:ascii="Georgia" w:eastAsia="Georgia" w:hAnsi="Georgia" w:cs="Georgia"/>
          <w:color w:val="980000"/>
          <w:sz w:val="19"/>
          <w:szCs w:val="19"/>
        </w:rPr>
        <w:t xml:space="preserve"> </w:t>
      </w:r>
    </w:p>
  </w:footnote>
  <w:footnote w:id="3">
    <w:p w14:paraId="4D6482CD" w14:textId="77777777" w:rsidR="0046775D" w:rsidRDefault="00D15DE6">
      <w:pPr>
        <w:spacing w:line="240" w:lineRule="auto"/>
        <w:rPr>
          <w:rFonts w:ascii="Georgia" w:eastAsia="Georgia" w:hAnsi="Georgia" w:cs="Georgia"/>
          <w:color w:val="980000"/>
          <w:sz w:val="19"/>
          <w:szCs w:val="19"/>
        </w:rPr>
      </w:pPr>
      <w:r>
        <w:rPr>
          <w:vertAlign w:val="superscript"/>
        </w:rPr>
        <w:footnoteRef/>
      </w:r>
      <w:r>
        <w:rPr>
          <w:sz w:val="20"/>
          <w:szCs w:val="20"/>
        </w:rPr>
        <w:t xml:space="preserve"> </w:t>
      </w:r>
      <w:r>
        <w:rPr>
          <w:rFonts w:ascii="Georgia" w:eastAsia="Georgia" w:hAnsi="Georgia" w:cs="Georgia"/>
          <w:sz w:val="19"/>
          <w:szCs w:val="19"/>
        </w:rPr>
        <w:t>Naciones Unidas, Comité contra la Desaparición Forzada, “Información complementaria presentada por Cuba con arreglo al artículo 29, párrafo 4, de la Convención”, CED/C/CUB/AI/1, 18 de septiembre de 2024, párrs. 91-98 y 114-118. Acceso:</w:t>
      </w:r>
      <w:hyperlink r:id="rId5">
        <w:r>
          <w:rPr>
            <w:rFonts w:ascii="Georgia" w:eastAsia="Georgia" w:hAnsi="Georgia" w:cs="Georgia"/>
            <w:sz w:val="19"/>
            <w:szCs w:val="19"/>
          </w:rPr>
          <w:t xml:space="preserve"> </w:t>
        </w:r>
      </w:hyperlink>
      <w:hyperlink r:id="rId6">
        <w:r>
          <w:rPr>
            <w:rFonts w:ascii="Georgia" w:eastAsia="Georgia" w:hAnsi="Georgia" w:cs="Georgia"/>
            <w:color w:val="980000"/>
            <w:sz w:val="19"/>
            <w:szCs w:val="19"/>
            <w:u w:val="single"/>
          </w:rPr>
          <w:t>https://tbinternet.ohchr.org/_layouts/15/treatybodyexternal/Download.aspx?symbolno=CED%2FC%2FCUB%2FAI%2F1&amp;Lang=en</w:t>
        </w:r>
      </w:hyperlink>
      <w:r>
        <w:rPr>
          <w:rFonts w:ascii="Georgia" w:eastAsia="Georgia" w:hAnsi="Georgia" w:cs="Georgia"/>
          <w:color w:val="980000"/>
          <w:sz w:val="19"/>
          <w:szCs w:val="19"/>
        </w:rPr>
        <w:t xml:space="preserve"> </w:t>
      </w:r>
    </w:p>
  </w:footnote>
  <w:footnote w:id="4">
    <w:p w14:paraId="23FAC725" w14:textId="77777777" w:rsidR="0046775D" w:rsidRDefault="00D15DE6">
      <w:pPr>
        <w:spacing w:line="240" w:lineRule="auto"/>
        <w:rPr>
          <w:rFonts w:ascii="Georgia" w:eastAsia="Georgia" w:hAnsi="Georgia" w:cs="Georgia"/>
          <w:color w:val="980000"/>
          <w:sz w:val="19"/>
          <w:szCs w:val="19"/>
        </w:rPr>
      </w:pPr>
      <w:r>
        <w:rPr>
          <w:vertAlign w:val="superscript"/>
        </w:rPr>
        <w:footnoteRef/>
      </w:r>
      <w:r>
        <w:rPr>
          <w:sz w:val="20"/>
          <w:szCs w:val="20"/>
        </w:rPr>
        <w:t xml:space="preserve"> </w:t>
      </w:r>
      <w:r>
        <w:rPr>
          <w:rFonts w:ascii="Georgia" w:eastAsia="Georgia" w:hAnsi="Georgia" w:cs="Georgia"/>
          <w:sz w:val="19"/>
          <w:szCs w:val="19"/>
        </w:rPr>
        <w:t xml:space="preserve">El CDPC identifica las restricciones a la comunicación como una práctica relevante dentro del sistema penitenciario cubano. De conformidad con su metodología, estas restricciones comprenden acciones arbitrarias orientadas a prohibir o entorpecer la comunicación de la persona privada de libertad con el exterior, incluidas la suspensión total o temporal de llamadas, la reducción del tiempo de comunicación, la vigilancia de llamadas o la revisión de correspondencia. Véase Centro de Documentación de Prisiones </w:t>
      </w:r>
      <w:r>
        <w:rPr>
          <w:rFonts w:ascii="Georgia" w:eastAsia="Georgia" w:hAnsi="Georgia" w:cs="Georgia"/>
          <w:sz w:val="19"/>
          <w:szCs w:val="19"/>
        </w:rPr>
        <w:t>Cubanas, “Metodología de clasificación de eventos relacionados con personas privadas de libertad”, 8 de noviembre de 2024. Acceso:</w:t>
      </w:r>
      <w:hyperlink r:id="rId7">
        <w:r>
          <w:rPr>
            <w:rFonts w:ascii="Georgia" w:eastAsia="Georgia" w:hAnsi="Georgia" w:cs="Georgia"/>
            <w:sz w:val="19"/>
            <w:szCs w:val="19"/>
          </w:rPr>
          <w:t xml:space="preserve"> </w:t>
        </w:r>
      </w:hyperlink>
      <w:hyperlink r:id="rId8">
        <w:r>
          <w:rPr>
            <w:rFonts w:ascii="Georgia" w:eastAsia="Georgia" w:hAnsi="Georgia" w:cs="Georgia"/>
            <w:color w:val="980000"/>
            <w:sz w:val="19"/>
            <w:szCs w:val="19"/>
            <w:u w:val="single"/>
          </w:rPr>
          <w:t>https://docubprisiones.org/metodologia-eventos-personas-privadas-libertad/</w:t>
        </w:r>
      </w:hyperlink>
    </w:p>
  </w:footnote>
  <w:footnote w:id="5">
    <w:p w14:paraId="66B693A8" w14:textId="77777777" w:rsidR="0046775D" w:rsidRDefault="00D15DE6">
      <w:pPr>
        <w:spacing w:line="240" w:lineRule="auto"/>
        <w:rPr>
          <w:color w:val="980000"/>
          <w:sz w:val="19"/>
          <w:szCs w:val="19"/>
        </w:rPr>
      </w:pPr>
      <w:r>
        <w:rPr>
          <w:vertAlign w:val="superscript"/>
        </w:rPr>
        <w:footnoteRef/>
      </w:r>
      <w:r>
        <w:rPr>
          <w:sz w:val="20"/>
          <w:szCs w:val="20"/>
        </w:rPr>
        <w:t xml:space="preserve"> </w:t>
      </w:r>
      <w:r>
        <w:rPr>
          <w:rFonts w:ascii="Georgia" w:eastAsia="Georgia" w:hAnsi="Georgia" w:cs="Georgia"/>
          <w:sz w:val="19"/>
          <w:szCs w:val="19"/>
        </w:rPr>
        <w:t>Un ejemplo documentado por el CDPC es el caso del opositor Mario Alberto Hernández Leyva. Tras cumplir íntegramente una condena de prisión y salir del Penal 1580, en La Habana, el 14 de agosto de 2025, fue interceptado por agentes del Ministerio del Interior y conducido a un destino desconocido. Durante varios días, sus familiares y allegados carecieron de información sobre su paradero, hasta que pudo confirmarse que se encontraba recluido en el establecimiento penitenciario Combinado del Este. Véase Centr</w:t>
      </w:r>
      <w:r>
        <w:rPr>
          <w:rFonts w:ascii="Georgia" w:eastAsia="Georgia" w:hAnsi="Georgia" w:cs="Georgia"/>
          <w:sz w:val="19"/>
          <w:szCs w:val="19"/>
        </w:rPr>
        <w:t>o de Documentación de Prisiones Cubanas, “La impunidad del silencio: desapariciones forzadas en prisiones de Cuba”, 25 de octubre de 2025. Acceso:</w:t>
      </w:r>
      <w:hyperlink r:id="rId9">
        <w:r>
          <w:rPr>
            <w:rFonts w:ascii="Georgia" w:eastAsia="Georgia" w:hAnsi="Georgia" w:cs="Georgia"/>
            <w:sz w:val="19"/>
            <w:szCs w:val="19"/>
          </w:rPr>
          <w:t xml:space="preserve"> </w:t>
        </w:r>
      </w:hyperlink>
      <w:hyperlink r:id="rId10">
        <w:r>
          <w:rPr>
            <w:rFonts w:ascii="Georgia" w:eastAsia="Georgia" w:hAnsi="Georgia" w:cs="Georgia"/>
            <w:color w:val="980000"/>
            <w:sz w:val="19"/>
            <w:szCs w:val="19"/>
            <w:u w:val="single"/>
          </w:rPr>
          <w:t>https://docubprisiones.org/la-impunidad-del-silencio-desapariciones-forzadas-en-prisiones-de-cuba/</w:t>
        </w:r>
      </w:hyperlink>
    </w:p>
  </w:footnote>
  <w:footnote w:id="6">
    <w:p w14:paraId="054B7D3C" w14:textId="77777777" w:rsidR="0046775D" w:rsidRDefault="00D15DE6">
      <w:pPr>
        <w:spacing w:line="240" w:lineRule="auto"/>
        <w:rPr>
          <w:rFonts w:ascii="Georgia" w:eastAsia="Georgia" w:hAnsi="Georgia" w:cs="Georgia"/>
          <w:color w:val="980000"/>
          <w:sz w:val="19"/>
          <w:szCs w:val="19"/>
        </w:rPr>
      </w:pPr>
      <w:r>
        <w:rPr>
          <w:vertAlign w:val="superscript"/>
        </w:rPr>
        <w:footnoteRef/>
      </w:r>
      <w:r>
        <w:rPr>
          <w:sz w:val="20"/>
          <w:szCs w:val="20"/>
        </w:rPr>
        <w:t xml:space="preserve"> </w:t>
      </w:r>
      <w:r>
        <w:rPr>
          <w:rFonts w:ascii="Georgia" w:eastAsia="Georgia" w:hAnsi="Georgia" w:cs="Georgia"/>
          <w:sz w:val="19"/>
          <w:szCs w:val="19"/>
        </w:rPr>
        <w:t>Un ejemplo reciente fue documentado por el CDPC en febrero de 2026, tras los reportes sobre un motín en la prisión Canaleta, en Ciego de Ávila. Según la información recibida por la organización, varias personas privadas de libertad habrían sido trasladadas a hospitales o a áreas de aislamiento y castigo después de la intervención de fuerzas especiales. En ese contexto, familiares y organizaciones independientes carecieron de información oficial sobre el paradero, estado de salud y situación de las personas</w:t>
      </w:r>
      <w:r>
        <w:rPr>
          <w:rFonts w:ascii="Georgia" w:eastAsia="Georgia" w:hAnsi="Georgia" w:cs="Georgia"/>
          <w:sz w:val="19"/>
          <w:szCs w:val="19"/>
        </w:rPr>
        <w:t xml:space="preserve"> afectadas, mientras permanecían interrumpidas las comunicaciones con el establecimiento penitenciario. Ante la ausencia de información verificable, el CDPC solicitó públicamente a las autoridades cubanas esclarecer de manera inmediata el estado y ubicación de las personas involucradas. Véase Centro de Documentación de Prisiones Cubanas, “CDPC expresa preocupación ante reportes de motín en la prisión Canaleta”, 19 febrero de 2026. Acceso: </w:t>
      </w:r>
      <w:hyperlink r:id="rId11">
        <w:r>
          <w:rPr>
            <w:rFonts w:ascii="Georgia" w:eastAsia="Georgia" w:hAnsi="Georgia" w:cs="Georgia"/>
            <w:color w:val="980000"/>
            <w:sz w:val="19"/>
            <w:szCs w:val="19"/>
            <w:u w:val="single"/>
          </w:rPr>
          <w:t>https://www.facebook.com/docubprisiones/posts/762259433606733?ref=embed_post</w:t>
        </w:r>
      </w:hyperlink>
      <w:r>
        <w:rPr>
          <w:rFonts w:ascii="Georgia" w:eastAsia="Georgia" w:hAnsi="Georgia" w:cs="Georgia"/>
          <w:color w:val="980000"/>
          <w:sz w:val="19"/>
          <w:szCs w:val="19"/>
        </w:rPr>
        <w:t xml:space="preserve"> </w:t>
      </w:r>
    </w:p>
  </w:footnote>
  <w:footnote w:id="7">
    <w:p w14:paraId="3C101B2C" w14:textId="77777777" w:rsidR="0046775D" w:rsidRDefault="00D15DE6">
      <w:pPr>
        <w:spacing w:line="240" w:lineRule="auto"/>
        <w:rPr>
          <w:rFonts w:ascii="Georgia" w:eastAsia="Georgia" w:hAnsi="Georgia" w:cs="Georgia"/>
          <w:color w:val="980000"/>
          <w:sz w:val="19"/>
          <w:szCs w:val="19"/>
        </w:rPr>
      </w:pPr>
      <w:r>
        <w:rPr>
          <w:vertAlign w:val="superscript"/>
        </w:rPr>
        <w:footnoteRef/>
      </w:r>
      <w:r>
        <w:rPr>
          <w:sz w:val="20"/>
          <w:szCs w:val="20"/>
        </w:rPr>
        <w:t xml:space="preserve"> </w:t>
      </w:r>
      <w:r>
        <w:rPr>
          <w:rFonts w:ascii="Georgia" w:eastAsia="Georgia" w:hAnsi="Georgia" w:cs="Georgia"/>
          <w:sz w:val="19"/>
          <w:szCs w:val="19"/>
        </w:rPr>
        <w:t>La preocupación es particularmente relevante respecto de personas privadas de libertad por hechos vinculados al ejercicio de derechos fundamentales. Justicia 11J documentó que, en el contexto de la Marcha Cívica por el Cambio del 15 de noviembre de 2021 (15N), al menos once personas permanecieron durante varios días en condición de desaparición forzada, mientras familiares y allegados desconocían su paradero o situación jurídica. Estos antecedentes sugieren la existencia de riesgos particulares de incomuni</w:t>
      </w:r>
      <w:r>
        <w:rPr>
          <w:rFonts w:ascii="Georgia" w:eastAsia="Georgia" w:hAnsi="Georgia" w:cs="Georgia"/>
          <w:sz w:val="19"/>
          <w:szCs w:val="19"/>
        </w:rPr>
        <w:t xml:space="preserve">cación y ocultamiento del paradero respecto de personas privadas de libertad por motivos políticos o por hechos relacionados con el ejercicio de derechos civiles y políticos. </w:t>
      </w:r>
      <w:r>
        <w:rPr>
          <w:rFonts w:ascii="Georgia" w:eastAsia="Georgia" w:hAnsi="Georgia" w:cs="Georgia"/>
          <w:color w:val="1F1F1F"/>
          <w:sz w:val="19"/>
          <w:szCs w:val="19"/>
        </w:rPr>
        <w:t xml:space="preserve">Yolanda Huerga, “Más de 20 personas continúan bajo arresto después del 15N, según informe de Justicia 11J,” Martí Noticias, 18 de noviembre de 2021. </w:t>
      </w:r>
      <w:hyperlink r:id="rId12">
        <w:r>
          <w:rPr>
            <w:rFonts w:ascii="Georgia" w:eastAsia="Georgia" w:hAnsi="Georgia" w:cs="Georgia"/>
            <w:color w:val="1F1F1F"/>
            <w:sz w:val="19"/>
            <w:szCs w:val="19"/>
          </w:rPr>
          <w:t xml:space="preserve"> Acceso: </w:t>
        </w:r>
      </w:hyperlink>
      <w:hyperlink r:id="rId13">
        <w:r>
          <w:rPr>
            <w:rFonts w:ascii="Georgia" w:eastAsia="Georgia" w:hAnsi="Georgia" w:cs="Georgia"/>
            <w:color w:val="980000"/>
            <w:sz w:val="19"/>
            <w:szCs w:val="19"/>
            <w:u w:val="single"/>
          </w:rPr>
          <w:t>https://www.martinoticias.com/a/m%C3%A1s-de-20-personas-contin%C3%BAan-bajo-arresto-despu%C3%A9s-del-15n-seg%C3%BAn-justicia-11j/307577.html</w:t>
        </w:r>
      </w:hyperlink>
      <w:hyperlink r:id="rId14">
        <w:r>
          <w:rPr>
            <w:rFonts w:ascii="Georgia" w:eastAsia="Georgia" w:hAnsi="Georgia" w:cs="Georgia"/>
            <w:color w:val="980000"/>
            <w:sz w:val="19"/>
            <w:szCs w:val="19"/>
          </w:rPr>
          <w:t xml:space="preserve"> </w:t>
        </w:r>
      </w:hyperlink>
    </w:p>
  </w:footnote>
  <w:footnote w:id="8">
    <w:p w14:paraId="50EF3F8D" w14:textId="77777777" w:rsidR="0046775D" w:rsidRDefault="00D15DE6">
      <w:pPr>
        <w:spacing w:line="240" w:lineRule="auto"/>
        <w:rPr>
          <w:rFonts w:ascii="Georgia" w:eastAsia="Georgia" w:hAnsi="Georgia" w:cs="Georgia"/>
          <w:color w:val="980000"/>
          <w:sz w:val="19"/>
          <w:szCs w:val="19"/>
          <w:u w:val="single"/>
        </w:rPr>
      </w:pPr>
      <w:r>
        <w:rPr>
          <w:vertAlign w:val="superscript"/>
        </w:rPr>
        <w:footnoteRef/>
      </w:r>
      <w:r>
        <w:rPr>
          <w:sz w:val="20"/>
          <w:szCs w:val="20"/>
        </w:rPr>
        <w:t xml:space="preserve"> </w:t>
      </w:r>
      <w:r>
        <w:rPr>
          <w:rFonts w:ascii="Georgia" w:eastAsia="Georgia" w:hAnsi="Georgia" w:cs="Georgia"/>
          <w:sz w:val="19"/>
          <w:szCs w:val="19"/>
        </w:rPr>
        <w:t>Naciones Unidas, Comité contra la Desaparición Forzada. “Información complementaria presentada por Cuba con arreglo al artículo 29, párrafo 4, de la Convención.” CED/C/CUB/AI/1, 18 de septiembre de 2024, párr. 17, Acceso:</w:t>
      </w:r>
      <w:hyperlink r:id="rId15">
        <w:r>
          <w:rPr>
            <w:rFonts w:ascii="Georgia" w:eastAsia="Georgia" w:hAnsi="Georgia" w:cs="Georgia"/>
            <w:sz w:val="19"/>
            <w:szCs w:val="19"/>
          </w:rPr>
          <w:t xml:space="preserve"> </w:t>
        </w:r>
      </w:hyperlink>
      <w:hyperlink r:id="rId16">
        <w:r>
          <w:rPr>
            <w:rFonts w:ascii="Georgia" w:eastAsia="Georgia" w:hAnsi="Georgia" w:cs="Georgia"/>
            <w:color w:val="980000"/>
            <w:sz w:val="19"/>
            <w:szCs w:val="19"/>
            <w:u w:val="single"/>
          </w:rPr>
          <w:t>https://tbinternet.ohchr.org/_layouts/15/treatybodyexternal/Download.aspx?symbolno=CED%2FC%2FCUB%2FAI%2F1&amp;Lang=en</w:t>
        </w:r>
      </w:hyperlink>
    </w:p>
    <w:p w14:paraId="0565D287" w14:textId="77777777" w:rsidR="0046775D" w:rsidRDefault="0046775D">
      <w:pPr>
        <w:spacing w:line="240" w:lineRule="auto"/>
        <w:rPr>
          <w:sz w:val="20"/>
          <w:szCs w:val="20"/>
        </w:rPr>
      </w:pPr>
    </w:p>
  </w:footnote>
  <w:footnote w:id="9">
    <w:p w14:paraId="2E4A3167" w14:textId="77777777" w:rsidR="0046775D" w:rsidRDefault="00D15DE6">
      <w:pPr>
        <w:spacing w:line="240" w:lineRule="auto"/>
        <w:rPr>
          <w:color w:val="980000"/>
          <w:sz w:val="19"/>
          <w:szCs w:val="19"/>
        </w:rPr>
      </w:pPr>
      <w:r>
        <w:rPr>
          <w:vertAlign w:val="superscript"/>
        </w:rPr>
        <w:footnoteRef/>
      </w:r>
      <w:r>
        <w:rPr>
          <w:sz w:val="20"/>
          <w:szCs w:val="20"/>
        </w:rPr>
        <w:t xml:space="preserve"> </w:t>
      </w:r>
      <w:r>
        <w:rPr>
          <w:rFonts w:ascii="Georgia" w:eastAsia="Georgia" w:hAnsi="Georgia" w:cs="Georgia"/>
          <w:sz w:val="19"/>
          <w:szCs w:val="19"/>
        </w:rPr>
        <w:t>Naciones Unidas, Comité contra la Desaparición Forzada. “Información complementaria presentada por Cuba con arreglo al artículo 29, párrafo 4, de la Convención.” CED/C/CUB/AI/1, 18 de septiembre de 2024, párr. 6, Acceso:</w:t>
      </w:r>
      <w:hyperlink r:id="rId17">
        <w:r>
          <w:rPr>
            <w:rFonts w:ascii="Georgia" w:eastAsia="Georgia" w:hAnsi="Georgia" w:cs="Georgia"/>
            <w:sz w:val="19"/>
            <w:szCs w:val="19"/>
          </w:rPr>
          <w:t xml:space="preserve"> </w:t>
        </w:r>
      </w:hyperlink>
      <w:hyperlink r:id="rId18">
        <w:r>
          <w:rPr>
            <w:rFonts w:ascii="Georgia" w:eastAsia="Georgia" w:hAnsi="Georgia" w:cs="Georgia"/>
            <w:color w:val="980000"/>
            <w:sz w:val="19"/>
            <w:szCs w:val="19"/>
            <w:u w:val="single"/>
          </w:rPr>
          <w:t>https://tbinternet.ohchr.org/_layouts/15/treatybodyexternal/Download.aspx?symbolno=CED%2FC%2FCUB%2FAI%2F1&amp;Lang=en</w:t>
        </w:r>
      </w:hyperlink>
    </w:p>
  </w:footnote>
  <w:footnote w:id="10">
    <w:p w14:paraId="6F560446" w14:textId="77777777" w:rsidR="0046775D" w:rsidRDefault="00D15DE6">
      <w:pPr>
        <w:spacing w:line="240" w:lineRule="auto"/>
        <w:rPr>
          <w:color w:val="980000"/>
          <w:sz w:val="19"/>
          <w:szCs w:val="19"/>
        </w:rPr>
      </w:pPr>
      <w:r>
        <w:rPr>
          <w:vertAlign w:val="superscript"/>
        </w:rPr>
        <w:footnoteRef/>
      </w:r>
      <w:r>
        <w:rPr>
          <w:sz w:val="20"/>
          <w:szCs w:val="20"/>
        </w:rPr>
        <w:t xml:space="preserve"> </w:t>
      </w:r>
      <w:r>
        <w:rPr>
          <w:rFonts w:ascii="Georgia" w:eastAsia="Georgia" w:hAnsi="Georgia" w:cs="Georgia"/>
          <w:sz w:val="19"/>
          <w:szCs w:val="19"/>
        </w:rPr>
        <w:t>En enero de 2026, el CDPC documentó la continuidad de traslados arbitrarios hacia centros alejados del lugar de residencia familiar, sin notificación previa ni explicación oficial, acompañados en algunos casos de confiscación de pertenencias básicas, vigilancia reforzada, amenazas y negación de medicamentos esenciales. Véase Centro de Documentación de Prisiones Cubanas, “Actualización sobre condiciones en prisiones cubanas (enero de 2026)”, 27 de febrero de 2026. Acceso:</w:t>
      </w:r>
      <w:hyperlink r:id="rId19">
        <w:r>
          <w:rPr>
            <w:rFonts w:ascii="Georgia" w:eastAsia="Georgia" w:hAnsi="Georgia" w:cs="Georgia"/>
            <w:sz w:val="19"/>
            <w:szCs w:val="19"/>
          </w:rPr>
          <w:t xml:space="preserve"> </w:t>
        </w:r>
      </w:hyperlink>
      <w:hyperlink r:id="rId20">
        <w:r>
          <w:rPr>
            <w:rFonts w:ascii="Georgia" w:eastAsia="Georgia" w:hAnsi="Georgia" w:cs="Georgia"/>
            <w:color w:val="980000"/>
            <w:sz w:val="19"/>
            <w:szCs w:val="19"/>
            <w:u w:val="single"/>
          </w:rPr>
          <w:t>https://docubprisiones.org/prisiones-enero-2026/</w:t>
        </w:r>
      </w:hyperlink>
    </w:p>
  </w:footnote>
  <w:footnote w:id="11">
    <w:p w14:paraId="51EED2B0" w14:textId="77777777" w:rsidR="0046775D" w:rsidRDefault="00D15DE6">
      <w:pPr>
        <w:spacing w:line="240" w:lineRule="auto"/>
        <w:rPr>
          <w:color w:val="980000"/>
          <w:sz w:val="19"/>
          <w:szCs w:val="19"/>
        </w:rPr>
      </w:pPr>
      <w:r>
        <w:rPr>
          <w:vertAlign w:val="superscript"/>
        </w:rPr>
        <w:footnoteRef/>
      </w:r>
      <w:r>
        <w:rPr>
          <w:sz w:val="20"/>
          <w:szCs w:val="20"/>
        </w:rPr>
        <w:t xml:space="preserve"> </w:t>
      </w:r>
      <w:r>
        <w:rPr>
          <w:rFonts w:ascii="Georgia" w:eastAsia="Georgia" w:hAnsi="Georgia" w:cs="Georgia"/>
          <w:sz w:val="19"/>
          <w:szCs w:val="19"/>
        </w:rPr>
        <w:t>Véase el caso de Manuel Velázquez Licea, cuya madre fue informada por otro recluso de que había sido sacado de la prisión de Melena del Sur sin que las autoridades comunicaran su destino ni proporcionaran información sobre su paradero, situación que generó incertidumbre respecto de su ubicación y estado. Véase Centro de Documentación de Prisiones Cubanas, “La impunidad del silencio: desapariciones forzadas en prisiones de Cuba”, 25 de octubre de 2025. Acceso:</w:t>
      </w:r>
      <w:hyperlink r:id="rId21">
        <w:r>
          <w:rPr>
            <w:rFonts w:ascii="Georgia" w:eastAsia="Georgia" w:hAnsi="Georgia" w:cs="Georgia"/>
            <w:sz w:val="19"/>
            <w:szCs w:val="19"/>
          </w:rPr>
          <w:t xml:space="preserve"> </w:t>
        </w:r>
      </w:hyperlink>
      <w:hyperlink r:id="rId22">
        <w:r>
          <w:rPr>
            <w:rFonts w:ascii="Georgia" w:eastAsia="Georgia" w:hAnsi="Georgia" w:cs="Georgia"/>
            <w:color w:val="980000"/>
            <w:sz w:val="19"/>
            <w:szCs w:val="19"/>
            <w:u w:val="single"/>
          </w:rPr>
          <w:t>https://docubprisiones.org/la-impunidad-del-silencio-desapariciones-forzadas-en-prisiones-de-cuba/</w:t>
        </w:r>
      </w:hyperlink>
    </w:p>
  </w:footnote>
  <w:footnote w:id="12">
    <w:p w14:paraId="52157B16" w14:textId="77777777" w:rsidR="0046775D" w:rsidRDefault="00D15DE6">
      <w:pPr>
        <w:spacing w:line="240" w:lineRule="auto"/>
        <w:rPr>
          <w:color w:val="980000"/>
          <w:sz w:val="19"/>
          <w:szCs w:val="19"/>
        </w:rPr>
      </w:pPr>
      <w:r>
        <w:rPr>
          <w:vertAlign w:val="superscript"/>
        </w:rPr>
        <w:footnoteRef/>
      </w:r>
      <w:r>
        <w:rPr>
          <w:sz w:val="20"/>
          <w:szCs w:val="20"/>
        </w:rPr>
        <w:t xml:space="preserve"> </w:t>
      </w:r>
      <w:r>
        <w:rPr>
          <w:rFonts w:ascii="Georgia" w:eastAsia="Georgia" w:hAnsi="Georgia" w:cs="Georgia"/>
          <w:sz w:val="19"/>
          <w:szCs w:val="19"/>
        </w:rPr>
        <w:t xml:space="preserve">Entre los casos documentados se encuentra el de Rolando Yusef Pérez Morera, preso político de las protestas de julio de 2021 recluido en Quivicán, cuya familia denunció en marzo de 2025 que las autoridades penitenciarias se negaron a esclarecer su ubicación cuando acudieron a visitarlo. El traslado habría ocurrido después de denuncias públicas sobre su estado de desnutrición. Una actualización de marzo de 2025 también reportó que Pérez Morera y Roberto Pérez Fonseca fueron trasladados desde Quivicán hacia </w:t>
      </w:r>
      <w:r>
        <w:rPr>
          <w:rFonts w:ascii="Georgia" w:eastAsia="Georgia" w:hAnsi="Georgia" w:cs="Georgia"/>
          <w:sz w:val="19"/>
          <w:szCs w:val="19"/>
        </w:rPr>
        <w:t>Melena del Sur y confinados en celdas de castigo, en un contexto en el que las autoridades buscaban impedir protestas durante una visita del Ministerio del Interior (MININT). Véanse Centro de Documentación de Prisiones Cubanas, “La impunidad del silencio: desapariciones forzadas en prisiones de Cuba”, 25 de octubre de 2025. Acceso:</w:t>
      </w:r>
      <w:hyperlink r:id="rId23">
        <w:r>
          <w:rPr>
            <w:rFonts w:ascii="Georgia" w:eastAsia="Georgia" w:hAnsi="Georgia" w:cs="Georgia"/>
            <w:sz w:val="19"/>
            <w:szCs w:val="19"/>
          </w:rPr>
          <w:t xml:space="preserve"> </w:t>
        </w:r>
      </w:hyperlink>
      <w:hyperlink r:id="rId24">
        <w:r>
          <w:rPr>
            <w:rFonts w:ascii="Georgia" w:eastAsia="Georgia" w:hAnsi="Georgia" w:cs="Georgia"/>
            <w:color w:val="980000"/>
            <w:sz w:val="19"/>
            <w:szCs w:val="19"/>
            <w:u w:val="single"/>
          </w:rPr>
          <w:t>https://docubprisiones.org/la-impunidad-del-silencio-desapariciones-forzadas-en-prisiones-de-cuba/</w:t>
        </w:r>
      </w:hyperlink>
      <w:r>
        <w:rPr>
          <w:rFonts w:ascii="Georgia" w:eastAsia="Georgia" w:hAnsi="Georgia" w:cs="Georgia"/>
          <w:sz w:val="19"/>
          <w:szCs w:val="19"/>
        </w:rPr>
        <w:t>; y Centro de Documentación de Prisiones Cubanas, “Actualización sobre condiciones en prisiones cubanas (marzo de 2025)”, 8 de abril de 2025. Acceso:</w:t>
      </w:r>
      <w:hyperlink r:id="rId25">
        <w:r>
          <w:rPr>
            <w:rFonts w:ascii="Georgia" w:eastAsia="Georgia" w:hAnsi="Georgia" w:cs="Georgia"/>
            <w:sz w:val="19"/>
            <w:szCs w:val="19"/>
          </w:rPr>
          <w:t xml:space="preserve"> </w:t>
        </w:r>
      </w:hyperlink>
      <w:hyperlink r:id="rId26">
        <w:r>
          <w:rPr>
            <w:rFonts w:ascii="Georgia" w:eastAsia="Georgia" w:hAnsi="Georgia" w:cs="Georgia"/>
            <w:color w:val="980000"/>
            <w:sz w:val="19"/>
            <w:szCs w:val="19"/>
            <w:u w:val="single"/>
          </w:rPr>
          <w:t>https://docubprisiones.org/prisiones-marzo-2025/</w:t>
        </w:r>
      </w:hyperlink>
    </w:p>
  </w:footnote>
  <w:footnote w:id="13">
    <w:p w14:paraId="1D1FC9F8" w14:textId="77777777" w:rsidR="0046775D" w:rsidRDefault="00D15DE6">
      <w:pPr>
        <w:spacing w:line="240" w:lineRule="auto"/>
        <w:rPr>
          <w:rFonts w:ascii="Georgia" w:eastAsia="Georgia" w:hAnsi="Georgia" w:cs="Georgia"/>
          <w:color w:val="980000"/>
          <w:sz w:val="19"/>
          <w:szCs w:val="19"/>
          <w:u w:val="single"/>
        </w:rPr>
      </w:pPr>
      <w:r>
        <w:rPr>
          <w:vertAlign w:val="superscript"/>
        </w:rPr>
        <w:footnoteRef/>
      </w:r>
      <w:r>
        <w:rPr>
          <w:sz w:val="20"/>
          <w:szCs w:val="20"/>
        </w:rPr>
        <w:t xml:space="preserve"> </w:t>
      </w:r>
      <w:r>
        <w:rPr>
          <w:rFonts w:ascii="Georgia" w:eastAsia="Georgia" w:hAnsi="Georgia" w:cs="Georgia"/>
          <w:sz w:val="19"/>
          <w:szCs w:val="19"/>
        </w:rPr>
        <w:t>Centro de Documentación de Prisiones Cubanas, “Metodología de clasificación de eventos relacionados con personas privadas de libertad”, 2024. Acceso:</w:t>
      </w:r>
      <w:hyperlink r:id="rId27">
        <w:r>
          <w:rPr>
            <w:rFonts w:ascii="Georgia" w:eastAsia="Georgia" w:hAnsi="Georgia" w:cs="Georgia"/>
            <w:sz w:val="19"/>
            <w:szCs w:val="19"/>
          </w:rPr>
          <w:t xml:space="preserve"> </w:t>
        </w:r>
      </w:hyperlink>
      <w:hyperlink r:id="rId28">
        <w:r>
          <w:rPr>
            <w:rFonts w:ascii="Georgia" w:eastAsia="Georgia" w:hAnsi="Georgia" w:cs="Georgia"/>
            <w:color w:val="980000"/>
            <w:sz w:val="19"/>
            <w:szCs w:val="19"/>
            <w:u w:val="single"/>
          </w:rPr>
          <w:t>https://docubprisiones.org/metodologia-eventos-personas-privadas-libertad/</w:t>
        </w:r>
      </w:hyperlink>
    </w:p>
    <w:p w14:paraId="6793F3CD" w14:textId="77777777" w:rsidR="0046775D" w:rsidRDefault="0046775D">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A4F0" w14:textId="77777777" w:rsidR="0046775D" w:rsidRDefault="00D15DE6">
    <w:pPr>
      <w:pStyle w:val="Heading2"/>
      <w:jc w:val="right"/>
      <w:rPr>
        <w:rFonts w:ascii="Times New Roman" w:eastAsia="Times New Roman" w:hAnsi="Times New Roman" w:cs="Times New Roman"/>
        <w:sz w:val="24"/>
        <w:szCs w:val="24"/>
      </w:rPr>
    </w:pPr>
    <w:bookmarkStart w:id="0" w:name="_dea1fjr7pib" w:colFirst="0" w:colLast="0"/>
    <w:bookmarkEnd w:id="0"/>
    <w:r>
      <w:rPr>
        <w:rFonts w:ascii="Times New Roman" w:eastAsia="Times New Roman" w:hAnsi="Times New Roman" w:cs="Times New Roman"/>
        <w:noProof/>
        <w:sz w:val="24"/>
        <w:szCs w:val="24"/>
      </w:rPr>
      <w:drawing>
        <wp:inline distT="114300" distB="114300" distL="114300" distR="114300" wp14:anchorId="26BB8C68" wp14:editId="04063A3E">
          <wp:extent cx="1352550" cy="6057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52550" cy="605743"/>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DF5026F" wp14:editId="3B6B5915">
          <wp:extent cx="961247" cy="5476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1247" cy="547688"/>
                  </a:xfrm>
                  <a:prstGeom prst="rect">
                    <a:avLst/>
                  </a:prstGeom>
                  <a:ln/>
                </pic:spPr>
              </pic:pic>
            </a:graphicData>
          </a:graphic>
        </wp:inline>
      </w:drawing>
    </w:r>
  </w:p>
  <w:p w14:paraId="75468ACA" w14:textId="77777777" w:rsidR="0046775D" w:rsidRDefault="004677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93D2A"/>
    <w:multiLevelType w:val="multilevel"/>
    <w:tmpl w:val="4372ED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86B433B"/>
    <w:multiLevelType w:val="multilevel"/>
    <w:tmpl w:val="F39ADD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774932908">
    <w:abstractNumId w:val="0"/>
  </w:num>
  <w:num w:numId="2" w16cid:durableId="1127430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75D"/>
    <w:rsid w:val="002D042D"/>
    <w:rsid w:val="0046775D"/>
    <w:rsid w:val="00B33CAC"/>
    <w:rsid w:val="00D15DE6"/>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C716"/>
  <w15:docId w15:val="{166BE669-B01E-49E7-AD19-B1F0567F9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iniciativaac.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docubprisiones.org/metodologia-eventos-personas-privadas-libertad/" TargetMode="External"/><Relationship Id="rId13" Type="http://schemas.openxmlformats.org/officeDocument/2006/relationships/hyperlink" Target="https://www.martinoticias.com/a/m%C3%A1s-de-20-personas-contin%C3%BAan-bajo-arresto-despu%C3%A9s-del-15n-seg%C3%BAn-justicia-11j/307577.html" TargetMode="External"/><Relationship Id="rId18" Type="http://schemas.openxmlformats.org/officeDocument/2006/relationships/hyperlink" Target="https://tbinternet.ohchr.org/_layouts/15/treatybodyexternal/Download.aspx?symbolno=CED%2FC%2FCUB%2FAI%2F1&amp;Lang=en" TargetMode="External"/><Relationship Id="rId26" Type="http://schemas.openxmlformats.org/officeDocument/2006/relationships/hyperlink" Target="https://docubprisiones.org/prisiones-marzo-2025/" TargetMode="External"/><Relationship Id="rId3" Type="http://schemas.openxmlformats.org/officeDocument/2006/relationships/hyperlink" Target="https://tbinternet.ohchr.org/_layouts/15/treatybodyexternal/Download.aspx?symbolno=CED%2FC%2FCUB%2FCO%2F1%2FAdd.1&amp;Lang=en" TargetMode="External"/><Relationship Id="rId21" Type="http://schemas.openxmlformats.org/officeDocument/2006/relationships/hyperlink" Target="https://docubprisiones.org/la-impunidad-del-silencio-desapariciones-forzadas-en-prisiones-de-cuba/" TargetMode="External"/><Relationship Id="rId7" Type="http://schemas.openxmlformats.org/officeDocument/2006/relationships/hyperlink" Target="https://docubprisiones.org/metodologia-eventos-personas-privadas-libertad/" TargetMode="External"/><Relationship Id="rId12" Type="http://schemas.openxmlformats.org/officeDocument/2006/relationships/hyperlink" Target="https://www.martinoticias.com/a/m%C3%A1s-de-20-personas-contin%C3%BAan-bajo-arresto-despu%C3%A9s-del-15n-seg%C3%BAn-justicia-11j/307577.html" TargetMode="External"/><Relationship Id="rId17" Type="http://schemas.openxmlformats.org/officeDocument/2006/relationships/hyperlink" Target="https://tbinternet.ohchr.org/_layouts/15/treatybodyexternal/Download.aspx?symbolno=CED%2FC%2FCUB%2FAI%2F1&amp;Lang=en" TargetMode="External"/><Relationship Id="rId25" Type="http://schemas.openxmlformats.org/officeDocument/2006/relationships/hyperlink" Target="https://docubprisiones.org/prisiones-marzo-2025/" TargetMode="External"/><Relationship Id="rId2" Type="http://schemas.openxmlformats.org/officeDocument/2006/relationships/hyperlink" Target="https://tbinternet.ohchr.org/_layouts/15/treatybodyexternal/Download.aspx?symbolno=CED%2FC%2FCUB%2FCO%2F1&amp;Lang=en" TargetMode="External"/><Relationship Id="rId16" Type="http://schemas.openxmlformats.org/officeDocument/2006/relationships/hyperlink" Target="https://tbinternet.ohchr.org/_layouts/15/treatybodyexternal/Download.aspx?symbolno=CED%2FC%2FCUB%2FAI%2F1&amp;Lang=en" TargetMode="External"/><Relationship Id="rId20" Type="http://schemas.openxmlformats.org/officeDocument/2006/relationships/hyperlink" Target="https://docubprisiones.org/prisiones-enero-2026/" TargetMode="External"/><Relationship Id="rId1" Type="http://schemas.openxmlformats.org/officeDocument/2006/relationships/hyperlink" Target="https://tbinternet.ohchr.org/_layouts/15/treatybodyexternal/Download.aspx?symbolno=CED%2FC%2FCUB%2FCO%2F1&amp;Lang=en" TargetMode="External"/><Relationship Id="rId6" Type="http://schemas.openxmlformats.org/officeDocument/2006/relationships/hyperlink" Target="https://tbinternet.ohchr.org/_layouts/15/treatybodyexternal/Download.aspx?symbolno=CED%2FC%2FCUB%2FAI%2F1&amp;Lang=en" TargetMode="External"/><Relationship Id="rId11" Type="http://schemas.openxmlformats.org/officeDocument/2006/relationships/hyperlink" Target="https://www.facebook.com/docubprisiones/posts/762259433606733?ref=embed_post" TargetMode="External"/><Relationship Id="rId24" Type="http://schemas.openxmlformats.org/officeDocument/2006/relationships/hyperlink" Target="https://docubprisiones.org/la-impunidad-del-silencio-desapariciones-forzadas-en-prisiones-de-cuba/" TargetMode="External"/><Relationship Id="rId5" Type="http://schemas.openxmlformats.org/officeDocument/2006/relationships/hyperlink" Target="https://tbinternet.ohchr.org/_layouts/15/treatybodyexternal/Download.aspx?symbolno=CED%2FC%2FCUB%2FAI%2F1&amp;Lang=en" TargetMode="External"/><Relationship Id="rId15" Type="http://schemas.openxmlformats.org/officeDocument/2006/relationships/hyperlink" Target="https://tbinternet.ohchr.org/_layouts/15/treatybodyexternal/Download.aspx?symbolno=CED%2FC%2FCUB%2FAI%2F1&amp;Lang=en" TargetMode="External"/><Relationship Id="rId23" Type="http://schemas.openxmlformats.org/officeDocument/2006/relationships/hyperlink" Target="https://docubprisiones.org/la-impunidad-del-silencio-desapariciones-forzadas-en-prisiones-de-cuba/" TargetMode="External"/><Relationship Id="rId28" Type="http://schemas.openxmlformats.org/officeDocument/2006/relationships/hyperlink" Target="https://docubprisiones.org/metodologia-eventos-personas-privadas-libertad/" TargetMode="External"/><Relationship Id="rId10" Type="http://schemas.openxmlformats.org/officeDocument/2006/relationships/hyperlink" Target="https://docubprisiones.org/la-impunidad-del-silencio-desapariciones-forzadas-en-prisiones-de-cuba/" TargetMode="External"/><Relationship Id="rId19" Type="http://schemas.openxmlformats.org/officeDocument/2006/relationships/hyperlink" Target="https://docubprisiones.org/prisiones-enero-2026/" TargetMode="External"/><Relationship Id="rId4" Type="http://schemas.openxmlformats.org/officeDocument/2006/relationships/hyperlink" Target="https://tbinternet.ohchr.org/_layouts/15/treatybodyexternal/Download.aspx?symbolno=CED%2FC%2FCUB%2FCO%2F1%2FAdd.1&amp;Lang=en" TargetMode="External"/><Relationship Id="rId9" Type="http://schemas.openxmlformats.org/officeDocument/2006/relationships/hyperlink" Target="https://docubprisiones.org/la-impunidad-del-silencio-desapariciones-forzadas-en-prisiones-de-cuba/" TargetMode="External"/><Relationship Id="rId14" Type="http://schemas.openxmlformats.org/officeDocument/2006/relationships/hyperlink" Target="https://www.martinoticias.com/a/m%C3%A1s-de-20-personas-contin%C3%BAan-bajo-arresto-despu%C3%A9s-del-15n-seg%C3%BAn-justicia-11j/307577.html" TargetMode="External"/><Relationship Id="rId22" Type="http://schemas.openxmlformats.org/officeDocument/2006/relationships/hyperlink" Target="https://docubprisiones.org/la-impunidad-del-silencio-desapariciones-forzadas-en-prisiones-de-cuba/" TargetMode="External"/><Relationship Id="rId27" Type="http://schemas.openxmlformats.org/officeDocument/2006/relationships/hyperlink" Target="https://docubprisiones.org/metodologia-eventos-personas-privadas-liberta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2026-07-06T13:07:56+00:00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BE3DF9A-91FF-4912-B081-5532A71DBF79}"/>
</file>

<file path=customXml/itemProps2.xml><?xml version="1.0" encoding="utf-8"?>
<ds:datastoreItem xmlns:ds="http://schemas.openxmlformats.org/officeDocument/2006/customXml" ds:itemID="{239E5E82-478A-477A-847B-7A4972782E24}"/>
</file>

<file path=customXml/itemProps3.xml><?xml version="1.0" encoding="utf-8"?>
<ds:datastoreItem xmlns:ds="http://schemas.openxmlformats.org/officeDocument/2006/customXml" ds:itemID="{C158125B-1300-4453-B561-F1CDCE603E95}"/>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2104</Words>
  <Characters>11996</Characters>
  <Application>Microsoft Office Word</Application>
  <DocSecurity>0</DocSecurity>
  <Lines>99</Lines>
  <Paragraphs>28</Paragraphs>
  <ScaleCrop>false</ScaleCrop>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2026-07-06T13:07:00Z</dcterms:created>
  <dcterms:modified xsi:type="dcterms:W3CDTF">2026-07-06T13:07:00Z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