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A5CE8" w14:textId="77777777" w:rsidR="00507637" w:rsidRPr="005443B2" w:rsidRDefault="00C214C0">
      <w:pPr>
        <w:spacing w:line="240" w:lineRule="auto"/>
        <w:jc w:val="center"/>
        <w:rPr>
          <w:b/>
          <w:sz w:val="24"/>
          <w:szCs w:val="24"/>
        </w:rPr>
      </w:pPr>
      <w:r w:rsidRPr="005443B2">
        <w:rPr>
          <w:b/>
          <w:sz w:val="24"/>
          <w:szCs w:val="24"/>
        </w:rPr>
        <w:t xml:space="preserve">Report for the List of Issues Prior to Reporting </w:t>
      </w:r>
    </w:p>
    <w:p w14:paraId="74FB2205" w14:textId="77777777" w:rsidR="00507637" w:rsidRPr="005443B2" w:rsidRDefault="00C214C0">
      <w:pPr>
        <w:spacing w:line="240" w:lineRule="auto"/>
        <w:jc w:val="center"/>
        <w:rPr>
          <w:b/>
          <w:sz w:val="24"/>
          <w:szCs w:val="24"/>
        </w:rPr>
      </w:pPr>
      <w:r w:rsidRPr="005443B2">
        <w:rPr>
          <w:b/>
          <w:sz w:val="24"/>
          <w:szCs w:val="24"/>
        </w:rPr>
        <w:t xml:space="preserve">to the Human Rights Committee concerning the review of </w:t>
      </w:r>
    </w:p>
    <w:p w14:paraId="61550FD4" w14:textId="77777777" w:rsidR="00507637" w:rsidRPr="005443B2" w:rsidRDefault="00C214C0">
      <w:pPr>
        <w:spacing w:line="240" w:lineRule="auto"/>
        <w:jc w:val="center"/>
        <w:rPr>
          <w:b/>
          <w:sz w:val="24"/>
          <w:szCs w:val="24"/>
        </w:rPr>
      </w:pPr>
      <w:r w:rsidRPr="005443B2">
        <w:rPr>
          <w:b/>
          <w:sz w:val="24"/>
          <w:szCs w:val="24"/>
        </w:rPr>
        <w:t>the Periodic Report of Moldova</w:t>
      </w:r>
    </w:p>
    <w:p w14:paraId="174D1528" w14:textId="77777777" w:rsidR="00507637" w:rsidRPr="005443B2" w:rsidRDefault="00C214C0">
      <w:pPr>
        <w:spacing w:line="240" w:lineRule="auto"/>
        <w:jc w:val="center"/>
        <w:rPr>
          <w:b/>
          <w:sz w:val="24"/>
          <w:szCs w:val="24"/>
        </w:rPr>
      </w:pPr>
      <w:r w:rsidRPr="005443B2">
        <w:rPr>
          <w:b/>
          <w:sz w:val="24"/>
          <w:szCs w:val="24"/>
        </w:rPr>
        <w:t>_____________________</w:t>
      </w:r>
    </w:p>
    <w:p w14:paraId="03314A8B" w14:textId="77777777" w:rsidR="00507637" w:rsidRPr="005443B2" w:rsidRDefault="00507637">
      <w:pPr>
        <w:spacing w:line="240" w:lineRule="auto"/>
        <w:jc w:val="center"/>
        <w:rPr>
          <w:b/>
          <w:sz w:val="24"/>
          <w:szCs w:val="24"/>
        </w:rPr>
      </w:pPr>
    </w:p>
    <w:p w14:paraId="15057404" w14:textId="77777777" w:rsidR="00507637" w:rsidRPr="005443B2" w:rsidRDefault="00C214C0">
      <w:pPr>
        <w:spacing w:line="240" w:lineRule="auto"/>
        <w:jc w:val="center"/>
        <w:rPr>
          <w:sz w:val="24"/>
          <w:szCs w:val="24"/>
        </w:rPr>
      </w:pPr>
      <w:r w:rsidRPr="005443B2">
        <w:rPr>
          <w:sz w:val="24"/>
          <w:szCs w:val="24"/>
        </w:rPr>
        <w:t>from</w:t>
      </w:r>
    </w:p>
    <w:p w14:paraId="0D4075CE" w14:textId="77777777" w:rsidR="00507637" w:rsidRPr="005443B2" w:rsidRDefault="00507637">
      <w:pPr>
        <w:spacing w:line="240" w:lineRule="auto"/>
        <w:jc w:val="center"/>
        <w:rPr>
          <w:sz w:val="24"/>
          <w:szCs w:val="24"/>
        </w:rPr>
      </w:pPr>
    </w:p>
    <w:p w14:paraId="7CF41ABA" w14:textId="77777777" w:rsidR="00507637" w:rsidRPr="005443B2" w:rsidRDefault="00C214C0">
      <w:pPr>
        <w:spacing w:line="240" w:lineRule="auto"/>
        <w:jc w:val="center"/>
        <w:rPr>
          <w:sz w:val="24"/>
          <w:szCs w:val="24"/>
        </w:rPr>
      </w:pPr>
      <w:r w:rsidRPr="005443B2">
        <w:rPr>
          <w:sz w:val="24"/>
          <w:szCs w:val="24"/>
        </w:rPr>
        <w:t>Eurasian Harm Reduction Association and HIV Legal Network.</w:t>
      </w:r>
      <w:r w:rsidRPr="005443B2">
        <w:rPr>
          <w:sz w:val="24"/>
          <w:szCs w:val="24"/>
          <w:vertAlign w:val="superscript"/>
        </w:rPr>
        <w:footnoteReference w:id="1"/>
      </w:r>
    </w:p>
    <w:p w14:paraId="3BB248EF" w14:textId="77777777" w:rsidR="00507637" w:rsidRPr="005443B2" w:rsidRDefault="00507637">
      <w:pPr>
        <w:spacing w:line="240" w:lineRule="auto"/>
        <w:jc w:val="center"/>
        <w:rPr>
          <w:sz w:val="24"/>
          <w:szCs w:val="24"/>
        </w:rPr>
      </w:pPr>
    </w:p>
    <w:p w14:paraId="41A4B9F0" w14:textId="55E6DD6F" w:rsidR="00507637" w:rsidRPr="005443B2" w:rsidRDefault="001548D3">
      <w:pPr>
        <w:pBdr>
          <w:bottom w:val="single" w:sz="12" w:space="1" w:color="000000"/>
        </w:pBdr>
        <w:spacing w:line="240" w:lineRule="auto"/>
        <w:jc w:val="center"/>
        <w:rPr>
          <w:sz w:val="24"/>
          <w:szCs w:val="24"/>
        </w:rPr>
      </w:pPr>
      <w:r>
        <w:rPr>
          <w:sz w:val="24"/>
          <w:szCs w:val="24"/>
        </w:rPr>
        <w:t>April</w:t>
      </w:r>
      <w:r w:rsidR="00C214C0" w:rsidRPr="005443B2">
        <w:rPr>
          <w:sz w:val="24"/>
          <w:szCs w:val="24"/>
        </w:rPr>
        <w:t xml:space="preserve"> 2023</w:t>
      </w:r>
    </w:p>
    <w:p w14:paraId="677E001B" w14:textId="77777777" w:rsidR="00507637" w:rsidRDefault="00507637">
      <w:pPr>
        <w:spacing w:line="360" w:lineRule="auto"/>
        <w:ind w:left="297" w:right="426"/>
        <w:rPr>
          <w:b/>
        </w:rPr>
      </w:pPr>
    </w:p>
    <w:p w14:paraId="67D6F66E" w14:textId="77777777" w:rsidR="00507637" w:rsidRDefault="00507637">
      <w:pPr>
        <w:pBdr>
          <w:top w:val="nil"/>
          <w:left w:val="nil"/>
          <w:bottom w:val="nil"/>
          <w:right w:val="nil"/>
          <w:between w:val="nil"/>
        </w:pBdr>
        <w:spacing w:after="120" w:line="360" w:lineRule="auto"/>
        <w:ind w:left="1134" w:right="1134"/>
        <w:jc w:val="both"/>
        <w:rPr>
          <w:color w:val="000000"/>
          <w:sz w:val="24"/>
          <w:szCs w:val="24"/>
        </w:rPr>
      </w:pPr>
    </w:p>
    <w:p w14:paraId="3CB8C602" w14:textId="77777777" w:rsidR="00507637" w:rsidRDefault="00C214C0">
      <w:pPr>
        <w:pBdr>
          <w:top w:val="nil"/>
          <w:left w:val="nil"/>
          <w:bottom w:val="nil"/>
          <w:right w:val="nil"/>
          <w:between w:val="nil"/>
        </w:pBdr>
        <w:spacing w:after="120" w:line="360" w:lineRule="auto"/>
        <w:ind w:right="1134"/>
        <w:jc w:val="both"/>
        <w:rPr>
          <w:sz w:val="24"/>
          <w:szCs w:val="24"/>
        </w:rPr>
      </w:pPr>
      <w:r>
        <w:rPr>
          <w:sz w:val="24"/>
          <w:szCs w:val="24"/>
        </w:rPr>
        <w:t>INDEX</w:t>
      </w:r>
    </w:p>
    <w:sdt>
      <w:sdtPr>
        <w:id w:val="-290362218"/>
        <w:docPartObj>
          <w:docPartGallery w:val="Table of Contents"/>
          <w:docPartUnique/>
        </w:docPartObj>
      </w:sdtPr>
      <w:sdtEndPr/>
      <w:sdtContent>
        <w:p w14:paraId="179111B9" w14:textId="77777777" w:rsidR="005443B2" w:rsidRPr="005443B2" w:rsidRDefault="00C214C0" w:rsidP="005443B2">
          <w:pPr>
            <w:pStyle w:val="TOC1"/>
            <w:rPr>
              <w:noProof/>
              <w:sz w:val="24"/>
              <w:szCs w:val="24"/>
            </w:rPr>
          </w:pPr>
          <w:r>
            <w:fldChar w:fldCharType="begin"/>
          </w:r>
          <w:r>
            <w:instrText xml:space="preserve"> TOC \h \u \z </w:instrText>
          </w:r>
          <w:r>
            <w:fldChar w:fldCharType="separate"/>
          </w:r>
          <w:hyperlink w:anchor="_Toc125100105" w:history="1">
            <w:r w:rsidR="005443B2" w:rsidRPr="005443B2">
              <w:rPr>
                <w:rStyle w:val="Hyperlink"/>
                <w:b/>
                <w:noProof/>
                <w:sz w:val="24"/>
                <w:szCs w:val="24"/>
              </w:rPr>
              <w:t>Summary</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_Toc125100105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1</w:t>
            </w:r>
            <w:r w:rsidR="005443B2" w:rsidRPr="005443B2">
              <w:rPr>
                <w:noProof/>
                <w:webHidden/>
                <w:sz w:val="24"/>
                <w:szCs w:val="24"/>
              </w:rPr>
              <w:fldChar w:fldCharType="end"/>
            </w:r>
          </w:hyperlink>
        </w:p>
        <w:p w14:paraId="33619543" w14:textId="77777777" w:rsidR="005443B2" w:rsidRPr="005443B2" w:rsidRDefault="00784B8D" w:rsidP="005443B2">
          <w:pPr>
            <w:pStyle w:val="TOC1"/>
            <w:rPr>
              <w:noProof/>
              <w:sz w:val="24"/>
              <w:szCs w:val="24"/>
            </w:rPr>
          </w:pPr>
          <w:hyperlink w:anchor="_Toc125100106" w:history="1">
            <w:r w:rsidR="005443B2" w:rsidRPr="005443B2">
              <w:rPr>
                <w:rStyle w:val="Hyperlink"/>
                <w:b/>
                <w:noProof/>
                <w:sz w:val="24"/>
                <w:szCs w:val="24"/>
              </w:rPr>
              <w:t>Introduction</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_Toc125100106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2</w:t>
            </w:r>
            <w:r w:rsidR="005443B2" w:rsidRPr="005443B2">
              <w:rPr>
                <w:noProof/>
                <w:webHidden/>
                <w:sz w:val="24"/>
                <w:szCs w:val="24"/>
              </w:rPr>
              <w:fldChar w:fldCharType="end"/>
            </w:r>
          </w:hyperlink>
        </w:p>
        <w:p w14:paraId="41A807E0" w14:textId="77777777" w:rsidR="005443B2" w:rsidRPr="005443B2" w:rsidRDefault="00784B8D" w:rsidP="005443B2">
          <w:pPr>
            <w:pStyle w:val="TOC1"/>
            <w:rPr>
              <w:noProof/>
              <w:sz w:val="24"/>
              <w:szCs w:val="24"/>
            </w:rPr>
          </w:pPr>
          <w:hyperlink w:anchor="_Toc125100107" w:history="1">
            <w:r w:rsidR="005443B2" w:rsidRPr="005443B2">
              <w:rPr>
                <w:rStyle w:val="Hyperlink"/>
                <w:b/>
                <w:noProof/>
                <w:sz w:val="24"/>
                <w:szCs w:val="24"/>
              </w:rPr>
              <w:t>Violation of Article 3, gender equality in the context of violence against women who use drugs and access to shelters</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_Toc125100107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4</w:t>
            </w:r>
            <w:r w:rsidR="005443B2" w:rsidRPr="005443B2">
              <w:rPr>
                <w:noProof/>
                <w:webHidden/>
                <w:sz w:val="24"/>
                <w:szCs w:val="24"/>
              </w:rPr>
              <w:fldChar w:fldCharType="end"/>
            </w:r>
          </w:hyperlink>
        </w:p>
        <w:p w14:paraId="664302BA" w14:textId="77777777" w:rsidR="005443B2" w:rsidRPr="005443B2" w:rsidRDefault="00784B8D" w:rsidP="005443B2">
          <w:pPr>
            <w:pStyle w:val="TOC1"/>
            <w:rPr>
              <w:noProof/>
              <w:sz w:val="24"/>
              <w:szCs w:val="24"/>
            </w:rPr>
          </w:pPr>
          <w:hyperlink w:anchor="_Toc125100108" w:history="1">
            <w:r w:rsidR="005443B2" w:rsidRPr="005443B2">
              <w:rPr>
                <w:rStyle w:val="Hyperlink"/>
                <w:b/>
                <w:noProof/>
                <w:sz w:val="24"/>
                <w:szCs w:val="24"/>
              </w:rPr>
              <w:t>Violation of Article 7, the right to be free from ill-treatment, in the context of drug enforcement.</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_Toc125100108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5</w:t>
            </w:r>
            <w:r w:rsidR="005443B2" w:rsidRPr="005443B2">
              <w:rPr>
                <w:noProof/>
                <w:webHidden/>
                <w:sz w:val="24"/>
                <w:szCs w:val="24"/>
              </w:rPr>
              <w:fldChar w:fldCharType="end"/>
            </w:r>
          </w:hyperlink>
        </w:p>
        <w:p w14:paraId="33CC780E" w14:textId="77777777" w:rsidR="005443B2" w:rsidRPr="005443B2" w:rsidRDefault="00784B8D" w:rsidP="005443B2">
          <w:pPr>
            <w:pStyle w:val="TOC1"/>
            <w:rPr>
              <w:noProof/>
              <w:sz w:val="24"/>
              <w:szCs w:val="24"/>
            </w:rPr>
          </w:pPr>
          <w:hyperlink w:anchor="_Toc125100109" w:history="1">
            <w:r w:rsidR="005443B2" w:rsidRPr="005443B2">
              <w:rPr>
                <w:rStyle w:val="Hyperlink"/>
                <w:b/>
                <w:noProof/>
                <w:sz w:val="24"/>
                <w:szCs w:val="24"/>
              </w:rPr>
              <w:t>Violation of Article 9, the right to liberty and security of person. No one shall be subjected to arbitrary arrest or detention.</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_Toc125100109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7</w:t>
            </w:r>
            <w:r w:rsidR="005443B2" w:rsidRPr="005443B2">
              <w:rPr>
                <w:noProof/>
                <w:webHidden/>
                <w:sz w:val="24"/>
                <w:szCs w:val="24"/>
              </w:rPr>
              <w:fldChar w:fldCharType="end"/>
            </w:r>
          </w:hyperlink>
        </w:p>
        <w:p w14:paraId="46268CCC" w14:textId="77777777" w:rsidR="005443B2" w:rsidRPr="005443B2" w:rsidRDefault="00784B8D" w:rsidP="005443B2">
          <w:pPr>
            <w:pStyle w:val="TOC1"/>
            <w:rPr>
              <w:noProof/>
              <w:sz w:val="24"/>
              <w:szCs w:val="24"/>
            </w:rPr>
          </w:pPr>
          <w:hyperlink w:anchor="_Toc125100110" w:history="1">
            <w:r w:rsidR="005443B2" w:rsidRPr="005443B2">
              <w:rPr>
                <w:rStyle w:val="Hyperlink"/>
                <w:b/>
                <w:noProof/>
                <w:sz w:val="24"/>
                <w:szCs w:val="24"/>
              </w:rPr>
              <w:t>Violation of Article 14 by failing to ensure the principle of equality of arms at drug trials.</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_Toc125100110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8</w:t>
            </w:r>
            <w:r w:rsidR="005443B2" w:rsidRPr="005443B2">
              <w:rPr>
                <w:noProof/>
                <w:webHidden/>
                <w:sz w:val="24"/>
                <w:szCs w:val="24"/>
              </w:rPr>
              <w:fldChar w:fldCharType="end"/>
            </w:r>
          </w:hyperlink>
        </w:p>
        <w:p w14:paraId="4FF45489" w14:textId="77777777" w:rsidR="005443B2" w:rsidRPr="005443B2" w:rsidRDefault="00784B8D" w:rsidP="005443B2">
          <w:pPr>
            <w:pStyle w:val="TOC1"/>
            <w:rPr>
              <w:noProof/>
              <w:sz w:val="24"/>
              <w:szCs w:val="24"/>
            </w:rPr>
          </w:pPr>
          <w:hyperlink w:anchor="_Toc125100111" w:history="1">
            <w:r w:rsidR="005443B2" w:rsidRPr="005443B2">
              <w:rPr>
                <w:rStyle w:val="Hyperlink"/>
                <w:b/>
                <w:noProof/>
                <w:sz w:val="24"/>
                <w:szCs w:val="24"/>
              </w:rPr>
              <w:t>Annex I. Information about the applicants</w:t>
            </w:r>
            <w:r w:rsidR="005443B2" w:rsidRPr="005443B2">
              <w:rPr>
                <w:noProof/>
                <w:webHidden/>
                <w:sz w:val="24"/>
                <w:szCs w:val="24"/>
              </w:rPr>
              <w:tab/>
            </w:r>
            <w:r w:rsidR="005443B2" w:rsidRPr="005443B2">
              <w:rPr>
                <w:noProof/>
                <w:webHidden/>
                <w:sz w:val="24"/>
                <w:szCs w:val="24"/>
              </w:rPr>
              <w:fldChar w:fldCharType="begin"/>
            </w:r>
            <w:r w:rsidR="005443B2" w:rsidRPr="005443B2">
              <w:rPr>
                <w:noProof/>
                <w:webHidden/>
                <w:sz w:val="24"/>
                <w:szCs w:val="24"/>
              </w:rPr>
              <w:instrText xml:space="preserve"> PAGEREF _Toc125100111 \h </w:instrText>
            </w:r>
            <w:r w:rsidR="005443B2" w:rsidRPr="005443B2">
              <w:rPr>
                <w:noProof/>
                <w:webHidden/>
                <w:sz w:val="24"/>
                <w:szCs w:val="24"/>
              </w:rPr>
            </w:r>
            <w:r w:rsidR="005443B2" w:rsidRPr="005443B2">
              <w:rPr>
                <w:noProof/>
                <w:webHidden/>
                <w:sz w:val="24"/>
                <w:szCs w:val="24"/>
              </w:rPr>
              <w:fldChar w:fldCharType="separate"/>
            </w:r>
            <w:r w:rsidR="005443B2">
              <w:rPr>
                <w:noProof/>
                <w:webHidden/>
                <w:sz w:val="24"/>
                <w:szCs w:val="24"/>
              </w:rPr>
              <w:t>10</w:t>
            </w:r>
            <w:r w:rsidR="005443B2" w:rsidRPr="005443B2">
              <w:rPr>
                <w:noProof/>
                <w:webHidden/>
                <w:sz w:val="24"/>
                <w:szCs w:val="24"/>
              </w:rPr>
              <w:fldChar w:fldCharType="end"/>
            </w:r>
          </w:hyperlink>
        </w:p>
        <w:p w14:paraId="6B5BF138" w14:textId="77777777" w:rsidR="00507637" w:rsidRDefault="00C214C0">
          <w:pPr>
            <w:tabs>
              <w:tab w:val="right" w:pos="9637"/>
            </w:tabs>
            <w:spacing w:before="200" w:after="80" w:line="240" w:lineRule="auto"/>
            <w:rPr>
              <w:b/>
              <w:color w:val="000000"/>
              <w:sz w:val="24"/>
              <w:szCs w:val="24"/>
            </w:rPr>
          </w:pPr>
          <w:r>
            <w:fldChar w:fldCharType="end"/>
          </w:r>
        </w:p>
      </w:sdtContent>
    </w:sdt>
    <w:p w14:paraId="4141EF4C" w14:textId="77777777" w:rsidR="00507637" w:rsidRDefault="00507637">
      <w:pPr>
        <w:rPr>
          <w:sz w:val="24"/>
          <w:szCs w:val="24"/>
        </w:rPr>
      </w:pPr>
    </w:p>
    <w:p w14:paraId="19861D7D" w14:textId="77777777" w:rsidR="00507637" w:rsidRDefault="00507637">
      <w:pPr>
        <w:pBdr>
          <w:top w:val="nil"/>
          <w:left w:val="nil"/>
          <w:bottom w:val="nil"/>
          <w:right w:val="nil"/>
          <w:between w:val="nil"/>
        </w:pBdr>
        <w:spacing w:after="120" w:line="360" w:lineRule="auto"/>
        <w:ind w:left="1134" w:right="1134"/>
        <w:jc w:val="both"/>
        <w:rPr>
          <w:sz w:val="24"/>
          <w:szCs w:val="24"/>
        </w:rPr>
      </w:pPr>
    </w:p>
    <w:p w14:paraId="492606F2" w14:textId="77777777" w:rsidR="00507637" w:rsidRDefault="00C214C0">
      <w:pPr>
        <w:pStyle w:val="Heading1"/>
        <w:spacing w:after="120" w:line="360" w:lineRule="auto"/>
        <w:ind w:right="1134"/>
        <w:jc w:val="both"/>
        <w:rPr>
          <w:b/>
          <w:sz w:val="24"/>
          <w:szCs w:val="24"/>
        </w:rPr>
      </w:pPr>
      <w:bookmarkStart w:id="0" w:name="_Toc125100105"/>
      <w:r>
        <w:rPr>
          <w:b/>
          <w:sz w:val="24"/>
          <w:szCs w:val="24"/>
        </w:rPr>
        <w:t>Summary</w:t>
      </w:r>
      <w:bookmarkEnd w:id="0"/>
    </w:p>
    <w:p w14:paraId="52E55724" w14:textId="77777777" w:rsidR="00507637" w:rsidRDefault="00C214C0">
      <w:pPr>
        <w:pBdr>
          <w:top w:val="nil"/>
          <w:left w:val="nil"/>
          <w:bottom w:val="nil"/>
          <w:right w:val="nil"/>
          <w:between w:val="nil"/>
        </w:pBdr>
        <w:spacing w:after="120" w:line="360" w:lineRule="auto"/>
        <w:ind w:left="1134"/>
        <w:jc w:val="both"/>
        <w:rPr>
          <w:color w:val="000000"/>
          <w:sz w:val="24"/>
          <w:szCs w:val="24"/>
        </w:rPr>
      </w:pPr>
      <w:r>
        <w:rPr>
          <w:color w:val="000000"/>
          <w:sz w:val="24"/>
          <w:szCs w:val="24"/>
        </w:rPr>
        <w:t>In 2016 the Committee considered the third periodic report of the Republic of Moldova (CCPR/C/MDA/3) and, among its concluding observations, issued recommendations concerning non-discrimination (paragraphs 11-12), domestic violence (paragraphs 15-</w:t>
      </w:r>
      <w:r>
        <w:rPr>
          <w:color w:val="000000"/>
          <w:sz w:val="24"/>
          <w:szCs w:val="24"/>
        </w:rPr>
        <w:lastRenderedPageBreak/>
        <w:t>16), torture and ill-treatment (paragraphs 21-22), the right to a fair trial (paragraphs 29-30)</w:t>
      </w:r>
    </w:p>
    <w:p w14:paraId="434CE921" w14:textId="77777777" w:rsidR="00507637" w:rsidRDefault="00C214C0">
      <w:pPr>
        <w:pBdr>
          <w:top w:val="nil"/>
          <w:left w:val="nil"/>
          <w:bottom w:val="nil"/>
          <w:right w:val="nil"/>
          <w:between w:val="nil"/>
        </w:pBdr>
        <w:spacing w:after="120" w:line="360" w:lineRule="auto"/>
        <w:ind w:left="1134"/>
        <w:jc w:val="both"/>
        <w:rPr>
          <w:color w:val="000000"/>
          <w:sz w:val="24"/>
          <w:szCs w:val="24"/>
        </w:rPr>
      </w:pPr>
      <w:r>
        <w:rPr>
          <w:color w:val="000000"/>
          <w:sz w:val="24"/>
          <w:szCs w:val="24"/>
        </w:rPr>
        <w:t>This report provides brief information about the state party's performance on issues outlined in the above recommendations, focusing on vulnerable populations such as people with drug dependence, including women.</w:t>
      </w:r>
    </w:p>
    <w:p w14:paraId="789863C9" w14:textId="45982930" w:rsidR="00507637" w:rsidRDefault="0056095D">
      <w:pPr>
        <w:pBdr>
          <w:top w:val="nil"/>
          <w:left w:val="nil"/>
          <w:bottom w:val="nil"/>
          <w:right w:val="nil"/>
          <w:between w:val="nil"/>
        </w:pBdr>
        <w:spacing w:after="120" w:line="360" w:lineRule="auto"/>
        <w:ind w:left="1134"/>
        <w:jc w:val="both"/>
        <w:rPr>
          <w:color w:val="000000"/>
          <w:sz w:val="24"/>
          <w:szCs w:val="24"/>
        </w:rPr>
      </w:pPr>
      <w:r>
        <w:rPr>
          <w:color w:val="000000"/>
          <w:sz w:val="24"/>
          <w:szCs w:val="24"/>
        </w:rPr>
        <w:t>The</w:t>
      </w:r>
      <w:r w:rsidR="00C214C0">
        <w:rPr>
          <w:color w:val="000000"/>
          <w:sz w:val="24"/>
          <w:szCs w:val="24"/>
        </w:rPr>
        <w:t xml:space="preserve"> report is based on information from community-based organizations that provide health and social support services for people who use drugs. The report consists of</w:t>
      </w:r>
      <w:r>
        <w:rPr>
          <w:color w:val="000000"/>
          <w:sz w:val="24"/>
          <w:szCs w:val="24"/>
        </w:rPr>
        <w:t xml:space="preserve"> introduction and</w:t>
      </w:r>
      <w:bookmarkStart w:id="1" w:name="_GoBack"/>
      <w:bookmarkEnd w:id="1"/>
      <w:r w:rsidR="00C214C0">
        <w:rPr>
          <w:color w:val="000000"/>
          <w:sz w:val="24"/>
          <w:szCs w:val="24"/>
        </w:rPr>
        <w:t xml:space="preserve"> three sections. Each section ends with the proposed question for List of Issues Prior to Reporting.</w:t>
      </w:r>
    </w:p>
    <w:p w14:paraId="09391D32" w14:textId="77777777" w:rsidR="00507637" w:rsidRDefault="00507637">
      <w:pPr>
        <w:pBdr>
          <w:top w:val="nil"/>
          <w:left w:val="nil"/>
          <w:bottom w:val="nil"/>
          <w:right w:val="nil"/>
          <w:between w:val="nil"/>
        </w:pBdr>
        <w:spacing w:after="120" w:line="360" w:lineRule="auto"/>
        <w:ind w:left="1134" w:right="1134"/>
        <w:jc w:val="both"/>
        <w:rPr>
          <w:b/>
          <w:color w:val="000000"/>
          <w:sz w:val="24"/>
          <w:szCs w:val="24"/>
        </w:rPr>
      </w:pPr>
    </w:p>
    <w:p w14:paraId="6F21AE59" w14:textId="77777777" w:rsidR="00507637" w:rsidRDefault="00C214C0">
      <w:pPr>
        <w:pStyle w:val="Heading1"/>
        <w:spacing w:line="360" w:lineRule="auto"/>
        <w:rPr>
          <w:b/>
          <w:sz w:val="24"/>
          <w:szCs w:val="24"/>
        </w:rPr>
      </w:pPr>
      <w:bookmarkStart w:id="2" w:name="_Toc125100106"/>
      <w:r>
        <w:rPr>
          <w:b/>
          <w:sz w:val="24"/>
          <w:szCs w:val="24"/>
        </w:rPr>
        <w:t>Introduction</w:t>
      </w:r>
      <w:bookmarkEnd w:id="2"/>
      <w:r>
        <w:rPr>
          <w:b/>
          <w:sz w:val="24"/>
          <w:szCs w:val="24"/>
        </w:rPr>
        <w:t xml:space="preserve"> </w:t>
      </w:r>
    </w:p>
    <w:p w14:paraId="7A2A8C75" w14:textId="77777777" w:rsidR="00507637" w:rsidRDefault="00507637">
      <w:pPr>
        <w:spacing w:line="360" w:lineRule="auto"/>
        <w:ind w:left="1134"/>
        <w:rPr>
          <w:b/>
          <w:color w:val="222222"/>
          <w:sz w:val="24"/>
          <w:szCs w:val="24"/>
        </w:rPr>
      </w:pPr>
    </w:p>
    <w:p w14:paraId="4D5B55B8" w14:textId="77777777" w:rsidR="00507637" w:rsidRDefault="00C214C0">
      <w:pPr>
        <w:spacing w:line="360" w:lineRule="auto"/>
        <w:ind w:left="1134"/>
        <w:jc w:val="both"/>
        <w:rPr>
          <w:sz w:val="24"/>
          <w:szCs w:val="24"/>
        </w:rPr>
      </w:pPr>
      <w:r>
        <w:rPr>
          <w:color w:val="000000"/>
          <w:sz w:val="24"/>
          <w:szCs w:val="24"/>
        </w:rPr>
        <w:t>National Drug Strategy aims at achieving a balance between punitive measures to stop drug supply and actions of social and medical support to people with drug dependence.</w:t>
      </w:r>
      <w:r>
        <w:rPr>
          <w:color w:val="000000"/>
          <w:sz w:val="24"/>
          <w:szCs w:val="24"/>
          <w:vertAlign w:val="superscript"/>
        </w:rPr>
        <w:footnoteReference w:id="2"/>
      </w:r>
      <w:r>
        <w:rPr>
          <w:color w:val="000000"/>
          <w:sz w:val="24"/>
          <w:szCs w:val="24"/>
          <w:vertAlign w:val="superscript"/>
        </w:rPr>
        <w:t xml:space="preserve"> </w:t>
      </w:r>
      <w:r>
        <w:rPr>
          <w:sz w:val="24"/>
          <w:szCs w:val="24"/>
        </w:rPr>
        <w:t>P</w:t>
      </w:r>
      <w:r>
        <w:rPr>
          <w:color w:val="000000"/>
          <w:sz w:val="24"/>
          <w:szCs w:val="24"/>
        </w:rPr>
        <w:t>olice instruction</w:t>
      </w:r>
      <w:r>
        <w:rPr>
          <w:sz w:val="24"/>
          <w:szCs w:val="24"/>
        </w:rPr>
        <w:t>s</w:t>
      </w:r>
      <w:r>
        <w:rPr>
          <w:color w:val="000000"/>
          <w:sz w:val="24"/>
          <w:szCs w:val="24"/>
        </w:rPr>
        <w:t xml:space="preserve"> provides police officers with the power to refer people who use drugs to social and medical services</w:t>
      </w:r>
      <w:r>
        <w:rPr>
          <w:sz w:val="24"/>
          <w:szCs w:val="24"/>
          <w:vertAlign w:val="superscript"/>
        </w:rPr>
        <w:footnoteReference w:id="3"/>
      </w:r>
      <w:r>
        <w:rPr>
          <w:sz w:val="24"/>
          <w:szCs w:val="24"/>
        </w:rPr>
        <w:t xml:space="preserve">. </w:t>
      </w:r>
    </w:p>
    <w:p w14:paraId="43F45F5E" w14:textId="77777777" w:rsidR="00507637" w:rsidRDefault="00507637">
      <w:pPr>
        <w:spacing w:line="360" w:lineRule="auto"/>
        <w:ind w:left="1134"/>
        <w:jc w:val="both"/>
        <w:rPr>
          <w:color w:val="000000"/>
          <w:sz w:val="24"/>
          <w:szCs w:val="24"/>
        </w:rPr>
      </w:pPr>
    </w:p>
    <w:p w14:paraId="10FB65BA" w14:textId="77777777" w:rsidR="00507637" w:rsidRDefault="00C214C0">
      <w:pPr>
        <w:spacing w:line="360" w:lineRule="auto"/>
        <w:ind w:left="1134"/>
        <w:jc w:val="both"/>
        <w:rPr>
          <w:color w:val="000000"/>
          <w:sz w:val="24"/>
          <w:szCs w:val="24"/>
        </w:rPr>
      </w:pPr>
      <w:r>
        <w:rPr>
          <w:color w:val="000000"/>
          <w:sz w:val="24"/>
          <w:szCs w:val="24"/>
        </w:rPr>
        <w:t xml:space="preserve">Despite these progressive documents, national drug policy remains inherently archaic, especially when it comes to drug enforcement. Because of outdated drug laws and police performance indicators, drug enforcement focuses on people who use drugs rather than commercial drug traffickers. </w:t>
      </w:r>
      <w:r>
        <w:rPr>
          <w:color w:val="222222"/>
          <w:sz w:val="24"/>
          <w:szCs w:val="24"/>
        </w:rPr>
        <w:t xml:space="preserve">According to General Prosecutor's Office, in 2021, courts in Moldova convicted </w:t>
      </w:r>
      <w:r>
        <w:rPr>
          <w:color w:val="000000"/>
          <w:sz w:val="24"/>
          <w:szCs w:val="24"/>
        </w:rPr>
        <w:t>777 persons for drug crimes.</w:t>
      </w:r>
      <w:r>
        <w:rPr>
          <w:color w:val="000000"/>
          <w:sz w:val="24"/>
          <w:szCs w:val="24"/>
          <w:vertAlign w:val="superscript"/>
        </w:rPr>
        <w:t xml:space="preserve"> </w:t>
      </w:r>
      <w:r>
        <w:rPr>
          <w:color w:val="000000"/>
          <w:sz w:val="24"/>
          <w:szCs w:val="24"/>
          <w:vertAlign w:val="superscript"/>
        </w:rPr>
        <w:footnoteReference w:id="4"/>
      </w:r>
      <w:r>
        <w:rPr>
          <w:color w:val="000000"/>
          <w:sz w:val="24"/>
          <w:szCs w:val="24"/>
        </w:rPr>
        <w:t xml:space="preserve"> The same office reports that of all registered criminal cases on drug charges in 2021, </w:t>
      </w:r>
      <w:r>
        <w:rPr>
          <w:sz w:val="24"/>
          <w:szCs w:val="24"/>
        </w:rPr>
        <w:t>66.3%</w:t>
      </w:r>
      <w:r>
        <w:rPr>
          <w:color w:val="000000"/>
          <w:sz w:val="24"/>
          <w:szCs w:val="24"/>
        </w:rPr>
        <w:t xml:space="preserve"> (613 cases) concerned drug possession with no intent to distribute.</w:t>
      </w:r>
      <w:r>
        <w:rPr>
          <w:color w:val="000000"/>
          <w:sz w:val="24"/>
          <w:szCs w:val="24"/>
          <w:vertAlign w:val="superscript"/>
        </w:rPr>
        <w:footnoteReference w:id="5"/>
      </w:r>
    </w:p>
    <w:p w14:paraId="177A5C7A" w14:textId="77777777" w:rsidR="00507637" w:rsidRDefault="00507637">
      <w:pPr>
        <w:spacing w:line="360" w:lineRule="auto"/>
        <w:ind w:left="1134"/>
        <w:jc w:val="both"/>
        <w:rPr>
          <w:color w:val="000000"/>
          <w:sz w:val="24"/>
          <w:szCs w:val="24"/>
        </w:rPr>
      </w:pPr>
    </w:p>
    <w:p w14:paraId="4C3A67DF" w14:textId="77777777" w:rsidR="00507637" w:rsidRDefault="00C214C0">
      <w:pPr>
        <w:spacing w:line="360" w:lineRule="auto"/>
        <w:ind w:left="1134"/>
        <w:jc w:val="both"/>
        <w:rPr>
          <w:sz w:val="24"/>
          <w:szCs w:val="24"/>
        </w:rPr>
      </w:pPr>
      <w:r>
        <w:rPr>
          <w:color w:val="000000"/>
          <w:sz w:val="24"/>
          <w:szCs w:val="24"/>
        </w:rPr>
        <w:lastRenderedPageBreak/>
        <w:t xml:space="preserve">As of October 2022, </w:t>
      </w:r>
      <w:r>
        <w:rPr>
          <w:sz w:val="24"/>
          <w:szCs w:val="24"/>
        </w:rPr>
        <w:t>874 persons, or 16.6% of all 5248 prisoners in Moldova (285 women, 4985 men, 36 minors), were in prison for drug crimes (36 women and 839 men).</w:t>
      </w:r>
      <w:r>
        <w:rPr>
          <w:sz w:val="24"/>
          <w:szCs w:val="24"/>
          <w:vertAlign w:val="superscript"/>
        </w:rPr>
        <w:footnoteReference w:id="6"/>
      </w:r>
      <w:r>
        <w:rPr>
          <w:sz w:val="24"/>
          <w:szCs w:val="24"/>
        </w:rPr>
        <w:t xml:space="preserve"> </w:t>
      </w:r>
    </w:p>
    <w:p w14:paraId="77AFAEA6" w14:textId="77777777" w:rsidR="00507637" w:rsidRDefault="00507637">
      <w:pPr>
        <w:spacing w:line="360" w:lineRule="auto"/>
        <w:ind w:left="1134"/>
        <w:jc w:val="both"/>
        <w:rPr>
          <w:color w:val="000000"/>
          <w:sz w:val="24"/>
          <w:szCs w:val="24"/>
        </w:rPr>
      </w:pPr>
    </w:p>
    <w:p w14:paraId="29CC11F0" w14:textId="77777777" w:rsidR="00507637" w:rsidRDefault="00C214C0">
      <w:pPr>
        <w:spacing w:line="360" w:lineRule="auto"/>
        <w:ind w:left="1134"/>
        <w:jc w:val="both"/>
        <w:rPr>
          <w:color w:val="222222"/>
          <w:sz w:val="24"/>
          <w:szCs w:val="24"/>
        </w:rPr>
      </w:pPr>
      <w:r>
        <w:rPr>
          <w:color w:val="000000"/>
          <w:sz w:val="24"/>
          <w:szCs w:val="24"/>
        </w:rPr>
        <w:t>People who use drugs, especially those with drug dependence, are very vulnerable to the misuse of police power. Punitive measures against people who use drugs have a disproportionate impact on the right to be free from ill-treatment, the right to be free from arbitrary arrests on the street due to appearance or previous convictions, and the right to a fair trial.</w:t>
      </w:r>
    </w:p>
    <w:p w14:paraId="14D8F2F1" w14:textId="77777777" w:rsidR="00507637" w:rsidRDefault="00507637">
      <w:pPr>
        <w:spacing w:line="360" w:lineRule="auto"/>
        <w:ind w:left="1134"/>
        <w:jc w:val="both"/>
        <w:rPr>
          <w:color w:val="222222"/>
          <w:sz w:val="24"/>
          <w:szCs w:val="24"/>
        </w:rPr>
      </w:pPr>
    </w:p>
    <w:p w14:paraId="61ECB75A" w14:textId="77777777" w:rsidR="00507637" w:rsidRDefault="00C214C0">
      <w:pPr>
        <w:spacing w:line="360" w:lineRule="auto"/>
        <w:ind w:left="1134"/>
        <w:jc w:val="both"/>
        <w:rPr>
          <w:color w:val="222222"/>
          <w:sz w:val="24"/>
          <w:szCs w:val="24"/>
        </w:rPr>
      </w:pPr>
      <w:r>
        <w:rPr>
          <w:color w:val="222222"/>
          <w:sz w:val="24"/>
          <w:szCs w:val="24"/>
        </w:rPr>
        <w:t>We want to refer to the drug policy-related recommendation this Committee gave to the Russian Federation in 2015. This recommendation fits the Republic of Moldova's drug enforcement and drug policy context squarely because of the similarity of the drug enforcement systems of the two countries.</w:t>
      </w:r>
    </w:p>
    <w:p w14:paraId="5142F38D" w14:textId="77777777" w:rsidR="00507637" w:rsidRDefault="00507637">
      <w:pPr>
        <w:spacing w:line="360" w:lineRule="auto"/>
        <w:ind w:left="1134"/>
        <w:jc w:val="both"/>
        <w:rPr>
          <w:color w:val="222222"/>
          <w:sz w:val="24"/>
          <w:szCs w:val="24"/>
        </w:rPr>
      </w:pPr>
    </w:p>
    <w:p w14:paraId="10864BBB" w14:textId="77777777" w:rsidR="00507637" w:rsidRDefault="00C214C0">
      <w:pPr>
        <w:shd w:val="clear" w:color="auto" w:fill="FFFFFF"/>
        <w:spacing w:line="360" w:lineRule="auto"/>
        <w:ind w:left="1134"/>
        <w:jc w:val="both"/>
        <w:rPr>
          <w:sz w:val="24"/>
          <w:szCs w:val="24"/>
        </w:rPr>
      </w:pPr>
      <w:r>
        <w:rPr>
          <w:sz w:val="24"/>
          <w:szCs w:val="24"/>
        </w:rPr>
        <w:t xml:space="preserve">In its Concluding Observations of March 2015, the Committee recommended the Russian Federation </w:t>
      </w:r>
    </w:p>
    <w:p w14:paraId="0B1400CE" w14:textId="77777777" w:rsidR="00507637" w:rsidRDefault="00507637">
      <w:pPr>
        <w:shd w:val="clear" w:color="auto" w:fill="FFFFFF"/>
        <w:spacing w:line="360" w:lineRule="auto"/>
        <w:ind w:left="1134"/>
        <w:jc w:val="both"/>
        <w:rPr>
          <w:i/>
          <w:sz w:val="24"/>
          <w:szCs w:val="24"/>
        </w:rPr>
      </w:pPr>
    </w:p>
    <w:p w14:paraId="196F9756" w14:textId="77777777" w:rsidR="00507637" w:rsidRDefault="00C214C0">
      <w:pPr>
        <w:shd w:val="clear" w:color="auto" w:fill="FFFFFF"/>
        <w:spacing w:line="360" w:lineRule="auto"/>
        <w:ind w:left="1134"/>
        <w:jc w:val="both"/>
        <w:rPr>
          <w:sz w:val="24"/>
          <w:szCs w:val="24"/>
        </w:rPr>
      </w:pPr>
      <w:r>
        <w:rPr>
          <w:i/>
          <w:sz w:val="24"/>
          <w:szCs w:val="24"/>
        </w:rPr>
        <w:t>Take all the measures necessary to ensure that: (a) its policies vis-à-vis drug users deprived of their liberty fully conform to its obligation to effectively protect them against the pain and suffering associated with the withdrawal syndrome and that timely, adequate and scientifically based medical assistance to counter withdrawal symptoms is available in practice; (b) adequate legal safeguards are in place to prevent interrogations or any other procedural actions being conducted while the person is suffering from the withdrawal syndrome; and (c) due process rights of drug users deprived of their liberty, including not to be compelled to testify against themselves, are effectively respected in practice</w:t>
      </w:r>
      <w:r>
        <w:rPr>
          <w:sz w:val="24"/>
          <w:szCs w:val="24"/>
        </w:rPr>
        <w:t>.</w:t>
      </w:r>
      <w:r>
        <w:rPr>
          <w:sz w:val="24"/>
          <w:szCs w:val="24"/>
          <w:vertAlign w:val="superscript"/>
        </w:rPr>
        <w:footnoteReference w:id="7"/>
      </w:r>
    </w:p>
    <w:p w14:paraId="690D7011" w14:textId="77777777" w:rsidR="00507637" w:rsidRDefault="00507637">
      <w:pPr>
        <w:spacing w:line="360" w:lineRule="auto"/>
        <w:ind w:left="1134"/>
        <w:jc w:val="both"/>
        <w:rPr>
          <w:color w:val="222222"/>
          <w:sz w:val="24"/>
          <w:szCs w:val="24"/>
        </w:rPr>
      </w:pPr>
    </w:p>
    <w:p w14:paraId="4391345C" w14:textId="77777777" w:rsidR="00507637" w:rsidRDefault="00C214C0">
      <w:pPr>
        <w:pStyle w:val="Heading1"/>
        <w:spacing w:line="360" w:lineRule="auto"/>
        <w:rPr>
          <w:b/>
          <w:sz w:val="24"/>
          <w:szCs w:val="24"/>
        </w:rPr>
      </w:pPr>
      <w:bookmarkStart w:id="3" w:name="_Toc125100107"/>
      <w:r>
        <w:rPr>
          <w:b/>
          <w:sz w:val="24"/>
          <w:szCs w:val="24"/>
        </w:rPr>
        <w:lastRenderedPageBreak/>
        <w:t>Violation of Article 3, gender equality in the context of violence against women who use drugs and access to shelters</w:t>
      </w:r>
      <w:bookmarkEnd w:id="3"/>
      <w:r>
        <w:rPr>
          <w:b/>
          <w:sz w:val="24"/>
          <w:szCs w:val="24"/>
        </w:rPr>
        <w:t xml:space="preserve"> </w:t>
      </w:r>
    </w:p>
    <w:p w14:paraId="349294C0" w14:textId="77777777" w:rsidR="00507637" w:rsidRDefault="00507637">
      <w:pPr>
        <w:spacing w:line="360" w:lineRule="auto"/>
        <w:ind w:left="1134"/>
        <w:jc w:val="both"/>
        <w:rPr>
          <w:color w:val="222222"/>
          <w:sz w:val="24"/>
          <w:szCs w:val="24"/>
        </w:rPr>
      </w:pPr>
    </w:p>
    <w:p w14:paraId="76614FBB" w14:textId="77777777" w:rsidR="00507637" w:rsidRDefault="00C214C0">
      <w:pPr>
        <w:pBdr>
          <w:top w:val="nil"/>
          <w:left w:val="nil"/>
          <w:bottom w:val="nil"/>
          <w:right w:val="nil"/>
          <w:between w:val="nil"/>
        </w:pBdr>
        <w:spacing w:line="360" w:lineRule="auto"/>
        <w:ind w:left="1134"/>
        <w:jc w:val="both"/>
        <w:rPr>
          <w:color w:val="222222"/>
          <w:sz w:val="24"/>
          <w:szCs w:val="24"/>
        </w:rPr>
      </w:pPr>
      <w:r>
        <w:rPr>
          <w:color w:val="222222"/>
          <w:sz w:val="24"/>
          <w:szCs w:val="24"/>
        </w:rPr>
        <w:t>Violence against women is still an endemic problem in Moldova, deeply rooted in cultural norms and gender stereotypes. According to the study "Violence against Women in the Family" by the National Bureau of Statistics, 63% of women experienced some form of violence (psychological, physical, sexual, and economic) from their husbands /partners during their lifetime.</w:t>
      </w:r>
      <w:r>
        <w:rPr>
          <w:color w:val="222222"/>
          <w:sz w:val="24"/>
          <w:szCs w:val="24"/>
          <w:vertAlign w:val="superscript"/>
        </w:rPr>
        <w:footnoteReference w:id="8"/>
      </w:r>
    </w:p>
    <w:p w14:paraId="0E3CABCD" w14:textId="77777777" w:rsidR="00507637" w:rsidRDefault="00C214C0">
      <w:pPr>
        <w:pBdr>
          <w:top w:val="nil"/>
          <w:left w:val="nil"/>
          <w:bottom w:val="nil"/>
          <w:right w:val="nil"/>
          <w:between w:val="nil"/>
        </w:pBdr>
        <w:spacing w:line="360" w:lineRule="auto"/>
        <w:ind w:left="1134"/>
        <w:jc w:val="both"/>
        <w:rPr>
          <w:color w:val="000000"/>
          <w:sz w:val="24"/>
          <w:szCs w:val="24"/>
        </w:rPr>
      </w:pPr>
      <w:r>
        <w:rPr>
          <w:color w:val="222222"/>
          <w:sz w:val="24"/>
          <w:szCs w:val="24"/>
        </w:rPr>
        <w:t xml:space="preserve">Women who use drugs have particular needs because many have experienced or are experiencing trauma and violence, </w:t>
      </w:r>
      <w:r>
        <w:rPr>
          <w:color w:val="000000"/>
          <w:sz w:val="24"/>
          <w:szCs w:val="24"/>
        </w:rPr>
        <w:t>such as sexual and physical assault and abuse, as children and adults.</w:t>
      </w:r>
      <w:r>
        <w:rPr>
          <w:color w:val="000000"/>
          <w:sz w:val="24"/>
          <w:szCs w:val="24"/>
          <w:vertAlign w:val="superscript"/>
        </w:rPr>
        <w:footnoteReference w:id="9"/>
      </w:r>
      <w:r>
        <w:rPr>
          <w:color w:val="000000"/>
          <w:sz w:val="24"/>
          <w:szCs w:val="24"/>
        </w:rPr>
        <w:t xml:space="preserve"> They continue being exposed to intimate partner violence</w:t>
      </w:r>
      <w:r>
        <w:rPr>
          <w:color w:val="222222"/>
          <w:sz w:val="24"/>
          <w:szCs w:val="24"/>
        </w:rPr>
        <w:t xml:space="preserve">. </w:t>
      </w:r>
      <w:r>
        <w:rPr>
          <w:color w:val="000000"/>
          <w:sz w:val="24"/>
          <w:szCs w:val="24"/>
        </w:rPr>
        <w:t>The experience of trauma can lead to the development of post-traumatic stress disorder or other mental health problems and also can increase the risk of substance use</w:t>
      </w:r>
      <w:r>
        <w:rPr>
          <w:color w:val="000000"/>
          <w:sz w:val="24"/>
          <w:szCs w:val="24"/>
          <w:vertAlign w:val="superscript"/>
        </w:rPr>
        <w:footnoteReference w:id="10"/>
      </w:r>
      <w:r>
        <w:rPr>
          <w:color w:val="000000"/>
          <w:sz w:val="24"/>
          <w:szCs w:val="24"/>
        </w:rPr>
        <w:t>.</w:t>
      </w:r>
    </w:p>
    <w:p w14:paraId="48979C7B" w14:textId="77777777" w:rsidR="00507637" w:rsidRDefault="00C214C0">
      <w:pPr>
        <w:spacing w:line="360" w:lineRule="auto"/>
        <w:ind w:left="1134"/>
        <w:jc w:val="both"/>
        <w:rPr>
          <w:sz w:val="24"/>
          <w:szCs w:val="24"/>
        </w:rPr>
      </w:pPr>
      <w:r>
        <w:rPr>
          <w:sz w:val="24"/>
          <w:szCs w:val="24"/>
        </w:rPr>
        <w:t>This group of women requires interventions delivered in physically and emotionally safe environments and other trauma-informed treatment approaches. Ongoing violence requires a multi-agency, multi-sector approach with collaborations between the health and social services and the justice sector. Female-only services may be needed for women whose male aggressors also use drug services to reduce women's risk of encountering the perpetrator. Such specific services are not developed in the Republic of Moldova</w:t>
      </w:r>
      <w:r>
        <w:rPr>
          <w:sz w:val="24"/>
          <w:szCs w:val="24"/>
          <w:vertAlign w:val="superscript"/>
        </w:rPr>
        <w:footnoteReference w:id="11"/>
      </w:r>
      <w:r>
        <w:rPr>
          <w:sz w:val="24"/>
          <w:szCs w:val="24"/>
        </w:rPr>
        <w:t xml:space="preserve">. </w:t>
      </w:r>
    </w:p>
    <w:p w14:paraId="7B5AFFAF" w14:textId="77777777" w:rsidR="00507637" w:rsidRDefault="00507637">
      <w:pPr>
        <w:spacing w:line="360" w:lineRule="auto"/>
        <w:ind w:left="1134"/>
        <w:jc w:val="both"/>
        <w:rPr>
          <w:sz w:val="24"/>
          <w:szCs w:val="24"/>
        </w:rPr>
      </w:pPr>
    </w:p>
    <w:p w14:paraId="6D0FD714" w14:textId="77777777" w:rsidR="00507637" w:rsidRDefault="00C214C0">
      <w:pPr>
        <w:pBdr>
          <w:top w:val="nil"/>
          <w:left w:val="nil"/>
          <w:bottom w:val="nil"/>
          <w:right w:val="nil"/>
          <w:between w:val="nil"/>
        </w:pBdr>
        <w:spacing w:line="360" w:lineRule="auto"/>
        <w:ind w:left="1134"/>
        <w:jc w:val="both"/>
        <w:rPr>
          <w:color w:val="222222"/>
          <w:sz w:val="24"/>
          <w:szCs w:val="24"/>
        </w:rPr>
      </w:pPr>
      <w:r>
        <w:rPr>
          <w:color w:val="222222"/>
          <w:sz w:val="24"/>
          <w:szCs w:val="24"/>
        </w:rPr>
        <w:t xml:space="preserve">According to the Government Decision no.1200 from 23.12.2010 for the approval of the Minimum Quality Standards on social services provided to victims of domestic violence: section 2, art 28), people intoxicated with alcohol or drugs are not admitted to </w:t>
      </w:r>
      <w:r>
        <w:rPr>
          <w:color w:val="222222"/>
          <w:sz w:val="24"/>
          <w:szCs w:val="24"/>
        </w:rPr>
        <w:lastRenderedPageBreak/>
        <w:t xml:space="preserve">the Center. People who use alcohol or drugs within the Center will not receive assistance.  </w:t>
      </w:r>
    </w:p>
    <w:p w14:paraId="13BB19DF" w14:textId="77777777" w:rsidR="00507637" w:rsidRDefault="00507637">
      <w:pPr>
        <w:pBdr>
          <w:top w:val="nil"/>
          <w:left w:val="nil"/>
          <w:bottom w:val="nil"/>
          <w:right w:val="nil"/>
          <w:between w:val="nil"/>
        </w:pBdr>
        <w:spacing w:line="360" w:lineRule="auto"/>
        <w:ind w:left="1134"/>
        <w:jc w:val="both"/>
        <w:rPr>
          <w:color w:val="222222"/>
          <w:sz w:val="24"/>
          <w:szCs w:val="24"/>
        </w:rPr>
      </w:pPr>
    </w:p>
    <w:p w14:paraId="0BDC4061" w14:textId="77777777" w:rsidR="00507637" w:rsidRDefault="00C214C0">
      <w:pPr>
        <w:pBdr>
          <w:top w:val="nil"/>
          <w:left w:val="nil"/>
          <w:bottom w:val="nil"/>
          <w:right w:val="nil"/>
          <w:between w:val="nil"/>
        </w:pBdr>
        <w:spacing w:line="360" w:lineRule="auto"/>
        <w:ind w:left="1134"/>
        <w:jc w:val="both"/>
        <w:rPr>
          <w:color w:val="222222"/>
          <w:sz w:val="24"/>
          <w:szCs w:val="24"/>
        </w:rPr>
      </w:pPr>
      <w:r>
        <w:rPr>
          <w:color w:val="222222"/>
          <w:sz w:val="24"/>
          <w:szCs w:val="24"/>
        </w:rPr>
        <w:t>Also, according to art.6 p.5) the Regulation on the organization and functioning of the Pro-Femina maternal Center, coordinated with the Ministry of Social Protection and Family of the Republic of Moldova, the mothers/youths who are addicted to drugs are not admitted to the Center.</w:t>
      </w:r>
    </w:p>
    <w:p w14:paraId="1B9E7DD7" w14:textId="77777777" w:rsidR="00507637" w:rsidRDefault="00507637">
      <w:pPr>
        <w:pBdr>
          <w:top w:val="nil"/>
          <w:left w:val="nil"/>
          <w:bottom w:val="nil"/>
          <w:right w:val="nil"/>
          <w:between w:val="nil"/>
        </w:pBdr>
        <w:spacing w:line="360" w:lineRule="auto"/>
        <w:ind w:left="1134"/>
        <w:jc w:val="both"/>
        <w:rPr>
          <w:color w:val="222222"/>
          <w:sz w:val="24"/>
          <w:szCs w:val="24"/>
        </w:rPr>
      </w:pPr>
    </w:p>
    <w:p w14:paraId="2A4E6837" w14:textId="77777777" w:rsidR="00507637" w:rsidRDefault="00C214C0" w:rsidP="00BC65DB">
      <w:pPr>
        <w:pBdr>
          <w:top w:val="nil"/>
          <w:left w:val="nil"/>
          <w:bottom w:val="nil"/>
          <w:right w:val="nil"/>
          <w:between w:val="nil"/>
        </w:pBdr>
        <w:spacing w:line="360" w:lineRule="auto"/>
        <w:ind w:left="1134"/>
        <w:jc w:val="both"/>
        <w:rPr>
          <w:color w:val="222222"/>
          <w:sz w:val="24"/>
          <w:szCs w:val="24"/>
        </w:rPr>
      </w:pPr>
      <w:r>
        <w:rPr>
          <w:color w:val="222222"/>
          <w:sz w:val="24"/>
          <w:szCs w:val="24"/>
        </w:rPr>
        <w:t xml:space="preserve">At the same time, </w:t>
      </w:r>
      <w:r w:rsidR="00BC65DB">
        <w:rPr>
          <w:color w:val="222222"/>
          <w:sz w:val="24"/>
          <w:szCs w:val="24"/>
        </w:rPr>
        <w:t xml:space="preserve">the State Party did not create </w:t>
      </w:r>
      <w:r>
        <w:rPr>
          <w:color w:val="222222"/>
          <w:sz w:val="24"/>
          <w:szCs w:val="24"/>
        </w:rPr>
        <w:t xml:space="preserve">specially targeted centers for women drug users, victims of domestic violence, or those in other challenging situations. </w:t>
      </w:r>
      <w:r w:rsidR="00BC65DB">
        <w:rPr>
          <w:color w:val="222222"/>
          <w:sz w:val="24"/>
          <w:szCs w:val="24"/>
        </w:rPr>
        <w:t xml:space="preserve">A few of crisis centers for women can accommodate women who use drugs. Such centers exist due to efforts of civil society organizations with very limited financial and in-kind support of the local authorities. </w:t>
      </w:r>
    </w:p>
    <w:p w14:paraId="1D00C7EB" w14:textId="77777777" w:rsidR="00507637" w:rsidRDefault="00507637">
      <w:pPr>
        <w:spacing w:line="360" w:lineRule="auto"/>
        <w:ind w:left="1134"/>
        <w:jc w:val="both"/>
        <w:rPr>
          <w:color w:val="222222"/>
          <w:sz w:val="24"/>
          <w:szCs w:val="24"/>
        </w:rPr>
      </w:pPr>
    </w:p>
    <w:p w14:paraId="42025637" w14:textId="77777777" w:rsidR="00507637" w:rsidRDefault="00C214C0">
      <w:pPr>
        <w:spacing w:line="360" w:lineRule="auto"/>
        <w:ind w:left="1134"/>
        <w:rPr>
          <w:i/>
          <w:color w:val="222222"/>
          <w:sz w:val="24"/>
          <w:szCs w:val="24"/>
          <w:u w:val="single"/>
        </w:rPr>
      </w:pPr>
      <w:r>
        <w:rPr>
          <w:color w:val="222222"/>
          <w:sz w:val="24"/>
          <w:szCs w:val="24"/>
          <w:u w:val="single"/>
        </w:rPr>
        <w:t>Case of Svetlana, a 39-year-old woman with drug dependence from Moldova</w:t>
      </w:r>
    </w:p>
    <w:p w14:paraId="6EB25FA2" w14:textId="77777777" w:rsidR="00507637" w:rsidRDefault="00C214C0">
      <w:pPr>
        <w:spacing w:line="360" w:lineRule="auto"/>
        <w:ind w:left="1134"/>
        <w:jc w:val="both"/>
        <w:rPr>
          <w:i/>
          <w:color w:val="222222"/>
          <w:sz w:val="24"/>
          <w:szCs w:val="24"/>
        </w:rPr>
      </w:pPr>
      <w:r>
        <w:rPr>
          <w:i/>
          <w:color w:val="222222"/>
          <w:sz w:val="24"/>
          <w:szCs w:val="24"/>
        </w:rPr>
        <w:t xml:space="preserve">During the summer of 2022 was repeatedly beaten by her intimate partner. She found refuge at one of the shelters for victims of gender-based violence. However, she was using drugs the workers of the shelter reprimanded her three times and asked her to leave the shelter. Svetlana had to return to her abuser.  </w:t>
      </w:r>
    </w:p>
    <w:p w14:paraId="4C0BBA05" w14:textId="77777777" w:rsidR="00507637" w:rsidRDefault="00507637">
      <w:pPr>
        <w:spacing w:line="360" w:lineRule="auto"/>
        <w:ind w:left="1134"/>
        <w:jc w:val="both"/>
        <w:rPr>
          <w:i/>
          <w:color w:val="222222"/>
          <w:sz w:val="24"/>
          <w:szCs w:val="24"/>
        </w:rPr>
      </w:pPr>
    </w:p>
    <w:p w14:paraId="78EC2881" w14:textId="77777777" w:rsidR="00507637" w:rsidRDefault="00C214C0">
      <w:pPr>
        <w:pBdr>
          <w:top w:val="nil"/>
          <w:left w:val="nil"/>
          <w:bottom w:val="nil"/>
          <w:right w:val="nil"/>
          <w:between w:val="nil"/>
        </w:pBdr>
        <w:spacing w:line="360" w:lineRule="auto"/>
        <w:ind w:left="1134"/>
        <w:jc w:val="both"/>
        <w:rPr>
          <w:color w:val="222222"/>
          <w:sz w:val="24"/>
          <w:szCs w:val="24"/>
        </w:rPr>
      </w:pPr>
      <w:r>
        <w:rPr>
          <w:color w:val="000000"/>
          <w:sz w:val="24"/>
          <w:szCs w:val="24"/>
          <w:u w:val="single"/>
        </w:rPr>
        <w:t>Question for the List of Issues</w:t>
      </w:r>
      <w:r>
        <w:rPr>
          <w:b/>
          <w:color w:val="000000"/>
          <w:sz w:val="24"/>
          <w:szCs w:val="24"/>
        </w:rPr>
        <w:t>:</w:t>
      </w:r>
      <w:r>
        <w:rPr>
          <w:color w:val="222222"/>
          <w:sz w:val="24"/>
          <w:szCs w:val="24"/>
        </w:rPr>
        <w:t xml:space="preserve"> What mechanisms are available in Moldova to report safely and receive protection in cases of domestic violence or other forms of gender-based violence against women who use drugs?</w:t>
      </w:r>
    </w:p>
    <w:p w14:paraId="16DAE323" w14:textId="77777777" w:rsidR="00507637" w:rsidRDefault="00507637">
      <w:pPr>
        <w:spacing w:line="360" w:lineRule="auto"/>
        <w:ind w:left="1134"/>
        <w:jc w:val="both"/>
        <w:rPr>
          <w:color w:val="222222"/>
          <w:sz w:val="24"/>
          <w:szCs w:val="24"/>
        </w:rPr>
      </w:pPr>
    </w:p>
    <w:p w14:paraId="66487C5F" w14:textId="77777777" w:rsidR="00507637" w:rsidRDefault="00507637">
      <w:pPr>
        <w:spacing w:line="360" w:lineRule="auto"/>
        <w:ind w:left="1134"/>
        <w:jc w:val="both"/>
        <w:rPr>
          <w:color w:val="222222"/>
          <w:sz w:val="24"/>
          <w:szCs w:val="24"/>
        </w:rPr>
      </w:pPr>
    </w:p>
    <w:p w14:paraId="05D82D5E" w14:textId="77777777" w:rsidR="00507637" w:rsidRDefault="00C214C0">
      <w:pPr>
        <w:pStyle w:val="Heading1"/>
        <w:spacing w:line="360" w:lineRule="auto"/>
        <w:jc w:val="both"/>
        <w:rPr>
          <w:b/>
          <w:sz w:val="24"/>
          <w:szCs w:val="24"/>
        </w:rPr>
      </w:pPr>
      <w:bookmarkStart w:id="4" w:name="_Toc125100108"/>
      <w:r>
        <w:rPr>
          <w:b/>
          <w:sz w:val="24"/>
          <w:szCs w:val="24"/>
        </w:rPr>
        <w:t>Violation of Article 7, the right to be free from ill-treatment, in the context of drug enforcement.</w:t>
      </w:r>
      <w:bookmarkEnd w:id="4"/>
    </w:p>
    <w:p w14:paraId="5151355B" w14:textId="77777777" w:rsidR="00507637" w:rsidRDefault="00507637">
      <w:pPr>
        <w:spacing w:line="360" w:lineRule="auto"/>
        <w:ind w:left="1134"/>
        <w:jc w:val="both"/>
        <w:rPr>
          <w:color w:val="222222"/>
          <w:sz w:val="24"/>
          <w:szCs w:val="24"/>
        </w:rPr>
      </w:pPr>
    </w:p>
    <w:p w14:paraId="3378C577" w14:textId="77777777" w:rsidR="00507637" w:rsidRDefault="00C214C0">
      <w:pPr>
        <w:spacing w:line="360" w:lineRule="auto"/>
        <w:ind w:left="1134"/>
        <w:jc w:val="both"/>
        <w:rPr>
          <w:sz w:val="24"/>
          <w:szCs w:val="24"/>
        </w:rPr>
      </w:pPr>
      <w:r>
        <w:rPr>
          <w:color w:val="222222"/>
          <w:sz w:val="24"/>
          <w:szCs w:val="24"/>
        </w:rPr>
        <w:t xml:space="preserve">Moldova is one of the regional leaders in ensuring access for people who use drugs to harm reduction interventions, including opioid maintenance therapy in places of detention. However, there are documented cases that suggest that police officers misuse </w:t>
      </w:r>
      <w:r>
        <w:rPr>
          <w:color w:val="222222"/>
          <w:sz w:val="24"/>
          <w:szCs w:val="24"/>
        </w:rPr>
        <w:lastRenderedPageBreak/>
        <w:t>the condition of drug withdrawal or acute psychosis after the use of synthetic drugs to manipulate suspects with drug dependence and force them into confession or cooperation with the police. A study with expert interviews and interviews of people who use drugs points to such practices, including cases where the lack of police officers' attention to the health needs of an arrested person with drug dependence resulted in death. Respondents pointed to cases of interruption of opioid maintenance therapy due to police arrest and detention</w:t>
      </w:r>
      <w:r>
        <w:rPr>
          <w:sz w:val="24"/>
          <w:szCs w:val="24"/>
        </w:rPr>
        <w:t>.</w:t>
      </w:r>
      <w:r>
        <w:rPr>
          <w:sz w:val="24"/>
          <w:szCs w:val="24"/>
          <w:vertAlign w:val="superscript"/>
        </w:rPr>
        <w:footnoteReference w:id="12"/>
      </w:r>
      <w:r>
        <w:rPr>
          <w:sz w:val="24"/>
          <w:szCs w:val="24"/>
        </w:rPr>
        <w:t xml:space="preserve"> In some cases, patients of opioid maintenance therapy are so scared of opioid withdrawal after the arrest that they are very vulnerable to police misuse of power, including offers by police officers to make self-incriminating statements in exchange for release from a police station. Former prisoners – clients of opioid maintenance therapy are especially vulnerable to a misuse of power.</w:t>
      </w:r>
    </w:p>
    <w:p w14:paraId="3B3C452A" w14:textId="77777777" w:rsidR="00507637" w:rsidRDefault="00507637">
      <w:pPr>
        <w:spacing w:line="360" w:lineRule="auto"/>
        <w:ind w:left="1134"/>
        <w:jc w:val="both"/>
        <w:rPr>
          <w:color w:val="222222"/>
          <w:sz w:val="24"/>
          <w:szCs w:val="24"/>
        </w:rPr>
      </w:pPr>
    </w:p>
    <w:p w14:paraId="12363B6B" w14:textId="77777777" w:rsidR="00507637" w:rsidRDefault="00507637">
      <w:pPr>
        <w:spacing w:line="360" w:lineRule="auto"/>
        <w:ind w:left="1134"/>
        <w:jc w:val="both"/>
        <w:rPr>
          <w:color w:val="222222"/>
          <w:sz w:val="24"/>
          <w:szCs w:val="24"/>
        </w:rPr>
      </w:pPr>
    </w:p>
    <w:p w14:paraId="45924592" w14:textId="77777777" w:rsidR="00507637" w:rsidRDefault="00C214C0">
      <w:pPr>
        <w:spacing w:line="360" w:lineRule="auto"/>
        <w:ind w:left="1134"/>
        <w:rPr>
          <w:color w:val="222222"/>
          <w:sz w:val="24"/>
          <w:szCs w:val="24"/>
          <w:u w:val="single"/>
        </w:rPr>
      </w:pPr>
      <w:r>
        <w:rPr>
          <w:color w:val="222222"/>
          <w:sz w:val="24"/>
          <w:szCs w:val="24"/>
          <w:u w:val="single"/>
        </w:rPr>
        <w:t>Case of a 41-year-old woman with more than 20 years of drug dependence, a client of the opioid maintenance program, Moldova</w:t>
      </w:r>
    </w:p>
    <w:p w14:paraId="1783D9BE" w14:textId="77777777" w:rsidR="00507637" w:rsidRDefault="00C214C0">
      <w:pPr>
        <w:spacing w:line="360" w:lineRule="auto"/>
        <w:ind w:left="1134"/>
        <w:jc w:val="both"/>
        <w:rPr>
          <w:color w:val="222222"/>
          <w:sz w:val="24"/>
          <w:szCs w:val="24"/>
        </w:rPr>
      </w:pPr>
      <w:r>
        <w:rPr>
          <w:i/>
          <w:color w:val="222222"/>
          <w:sz w:val="24"/>
          <w:szCs w:val="24"/>
        </w:rPr>
        <w:t>The woman was released from prison in 2017 after serving a long sentence for drug trafficking. She started using drugs soon after release but, in 2018, joined OMT program and stopped using illicit drugs afterwards. Police regularly harass her, demanding she must provide them with information about fellow drug users. She always refused, and officers did not arrest her. In November 2022, police visited an OMT site and met the woman. They said that, according to some anonymous witness, she sells methadone. She was scared that if they arrested her, she would experience severe withdrawal without access to opioid maintenance medication. Being in such a condition, she did not have the power to say anything in her defence. No lawyer was present. She does not remember what she told the police, but they said they wanted to initiate a criminal case.</w:t>
      </w:r>
    </w:p>
    <w:p w14:paraId="3845107C" w14:textId="77777777" w:rsidR="00507637" w:rsidRDefault="00507637">
      <w:pPr>
        <w:spacing w:line="360" w:lineRule="auto"/>
        <w:ind w:left="1134"/>
        <w:jc w:val="both"/>
        <w:rPr>
          <w:color w:val="222222"/>
          <w:sz w:val="24"/>
          <w:szCs w:val="24"/>
        </w:rPr>
      </w:pPr>
    </w:p>
    <w:p w14:paraId="4C96434E" w14:textId="77777777" w:rsidR="00507637" w:rsidRDefault="00C214C0">
      <w:pPr>
        <w:spacing w:line="360" w:lineRule="auto"/>
        <w:ind w:left="1134"/>
        <w:jc w:val="both"/>
        <w:rPr>
          <w:sz w:val="24"/>
          <w:szCs w:val="24"/>
        </w:rPr>
      </w:pPr>
      <w:r>
        <w:rPr>
          <w:sz w:val="24"/>
          <w:szCs w:val="24"/>
          <w:u w:val="single"/>
        </w:rPr>
        <w:lastRenderedPageBreak/>
        <w:t>Question for the List of Issues:</w:t>
      </w:r>
      <w:r>
        <w:rPr>
          <w:sz w:val="24"/>
          <w:szCs w:val="24"/>
        </w:rPr>
        <w:t xml:space="preserve"> What legal and policy safeguards are in place to prevent interrogations or any other procedural actions from being conducted while the person is suffering from withdrawal syndrome?</w:t>
      </w:r>
    </w:p>
    <w:p w14:paraId="3BA0F482" w14:textId="77777777" w:rsidR="00507637" w:rsidRDefault="00507637">
      <w:pPr>
        <w:spacing w:line="360" w:lineRule="auto"/>
        <w:ind w:left="1134"/>
        <w:jc w:val="both"/>
        <w:rPr>
          <w:color w:val="222222"/>
          <w:sz w:val="24"/>
          <w:szCs w:val="24"/>
        </w:rPr>
      </w:pPr>
    </w:p>
    <w:p w14:paraId="28D0EBA8" w14:textId="77777777" w:rsidR="00507637" w:rsidRDefault="00C214C0">
      <w:pPr>
        <w:pStyle w:val="Heading1"/>
        <w:spacing w:line="360" w:lineRule="auto"/>
        <w:jc w:val="both"/>
        <w:rPr>
          <w:b/>
          <w:sz w:val="24"/>
          <w:szCs w:val="24"/>
        </w:rPr>
      </w:pPr>
      <w:bookmarkStart w:id="5" w:name="_Toc125100109"/>
      <w:r>
        <w:rPr>
          <w:b/>
          <w:sz w:val="24"/>
          <w:szCs w:val="24"/>
        </w:rPr>
        <w:t>Violation of Article 9, the right to liberty and security of person. No one shall be subjected to arbitrary arrest or detention.</w:t>
      </w:r>
      <w:bookmarkEnd w:id="5"/>
    </w:p>
    <w:p w14:paraId="71ED49FF" w14:textId="77777777" w:rsidR="00507637" w:rsidRDefault="00507637">
      <w:pPr>
        <w:spacing w:line="360" w:lineRule="auto"/>
        <w:ind w:left="1134"/>
        <w:jc w:val="both"/>
        <w:rPr>
          <w:sz w:val="24"/>
          <w:szCs w:val="24"/>
        </w:rPr>
      </w:pPr>
    </w:p>
    <w:p w14:paraId="373C9DCB" w14:textId="77777777" w:rsidR="00507637" w:rsidRDefault="00C214C0">
      <w:pPr>
        <w:spacing w:line="360" w:lineRule="auto"/>
        <w:ind w:left="1134"/>
        <w:jc w:val="both"/>
        <w:rPr>
          <w:sz w:val="24"/>
          <w:szCs w:val="24"/>
        </w:rPr>
      </w:pPr>
      <w:r>
        <w:rPr>
          <w:sz w:val="24"/>
          <w:szCs w:val="24"/>
        </w:rPr>
        <w:t>In Moldova, police may stop and frisk people, including harm reduction service providers, on the street based on their appearance because they "do look like drug users." Such stop-and-frisk tactics are especially prevalent during the police special operation "MAK" (ENG. Poppy), which is conducted annually as a showcase for the public.</w:t>
      </w:r>
      <w:r>
        <w:rPr>
          <w:sz w:val="24"/>
          <w:szCs w:val="24"/>
          <w:vertAlign w:val="superscript"/>
        </w:rPr>
        <w:footnoteReference w:id="13"/>
      </w:r>
      <w:r>
        <w:rPr>
          <w:sz w:val="24"/>
          <w:szCs w:val="24"/>
        </w:rPr>
        <w:t xml:space="preserve"> Unlawful arrests, based on a person's appearance and previous criminal history, rise at times of quarterly police reporting as an attempt by police officers to improve their performance indicators. Arbitrary arrests of people who use drugs based on a person's appearance are especially harmful to people who use synthetic stimulants.</w:t>
      </w:r>
      <w:r>
        <w:rPr>
          <w:sz w:val="24"/>
          <w:szCs w:val="24"/>
          <w:vertAlign w:val="superscript"/>
        </w:rPr>
        <w:footnoteReference w:id="14"/>
      </w:r>
      <w:r>
        <w:rPr>
          <w:sz w:val="24"/>
          <w:szCs w:val="24"/>
        </w:rPr>
        <w:t xml:space="preserve"> The use of stimulants may provoke psychosis and panic attacks. Police officers are often unaware of how to deal with people who use synthetic stimulants. They arrest and detain them, thus unnecessarily augmenting the adverse consequences of stimulant use. </w:t>
      </w:r>
    </w:p>
    <w:p w14:paraId="2B7E4CCA" w14:textId="77777777" w:rsidR="00507637" w:rsidRDefault="00507637">
      <w:pPr>
        <w:spacing w:line="360" w:lineRule="auto"/>
        <w:ind w:left="1134"/>
        <w:jc w:val="both"/>
        <w:rPr>
          <w:sz w:val="24"/>
          <w:szCs w:val="24"/>
        </w:rPr>
      </w:pPr>
    </w:p>
    <w:p w14:paraId="2754A545" w14:textId="77777777" w:rsidR="00507637" w:rsidRDefault="00C214C0">
      <w:pPr>
        <w:spacing w:line="360" w:lineRule="auto"/>
        <w:ind w:left="1134"/>
        <w:rPr>
          <w:i/>
          <w:color w:val="222222"/>
          <w:sz w:val="24"/>
          <w:szCs w:val="24"/>
          <w:u w:val="single"/>
        </w:rPr>
      </w:pPr>
      <w:r>
        <w:rPr>
          <w:color w:val="222222"/>
          <w:sz w:val="24"/>
          <w:szCs w:val="24"/>
          <w:u w:val="single"/>
        </w:rPr>
        <w:t>Case of a 40-year-old woman with drug dependence, former prisoner, Moldova</w:t>
      </w:r>
    </w:p>
    <w:p w14:paraId="75551145" w14:textId="77777777" w:rsidR="00507637" w:rsidRDefault="00C214C0">
      <w:pPr>
        <w:spacing w:line="360" w:lineRule="auto"/>
        <w:ind w:left="1134"/>
        <w:rPr>
          <w:i/>
          <w:color w:val="222222"/>
          <w:sz w:val="24"/>
          <w:szCs w:val="24"/>
        </w:rPr>
      </w:pPr>
      <w:r>
        <w:rPr>
          <w:i/>
          <w:color w:val="222222"/>
          <w:sz w:val="24"/>
          <w:szCs w:val="24"/>
        </w:rPr>
        <w:t xml:space="preserve">10th of June 2022, police officers arrested her at the park after having smoked synthetic drugs. When she saw the police, she panicked and tried to run away, but the police arrested her. On the way to a police station, the woman called a social worker from the local non-governmental organization.   She turned on the speakerphone, and the social worker heard everything and talked with one of the police officers. The social worker </w:t>
      </w:r>
      <w:r>
        <w:rPr>
          <w:i/>
          <w:color w:val="222222"/>
          <w:sz w:val="24"/>
          <w:szCs w:val="24"/>
        </w:rPr>
        <w:lastRenderedPageBreak/>
        <w:t>asked why the arrest and detention - to which the policeman said that the suspect tried to run away when she saw them, so they decided to detain and search her. The woman was in a panic state, constantly screaming and demanding to let her go. She asked several times to go to the toilet - to which she was repeatedly refused several times; because of severe panic and fear, she could not restrain herself and soiled her pants. She was repeating that she felt bad, terrible. At that moment, the social worker arrived at the place of detention and called for an emergency. The doctors gave her a sedative due to tachycardia and high blood pressure. After she calmed down, the social worker informed the two police officers that she would call other law enforcement officers to document the misuse of power and unnecessary, disproportionate use of force during the detention. The police immediately offered to disperse peacefully. The woman did not want to report these human rights violations further.</w:t>
      </w:r>
    </w:p>
    <w:p w14:paraId="5B846FA9" w14:textId="77777777" w:rsidR="00507637" w:rsidRDefault="00507637">
      <w:pPr>
        <w:spacing w:line="360" w:lineRule="auto"/>
        <w:ind w:left="1134"/>
        <w:jc w:val="both"/>
        <w:rPr>
          <w:sz w:val="24"/>
          <w:szCs w:val="24"/>
        </w:rPr>
      </w:pPr>
    </w:p>
    <w:p w14:paraId="02BCA04F" w14:textId="77777777" w:rsidR="00507637" w:rsidRDefault="00507637">
      <w:pPr>
        <w:spacing w:line="360" w:lineRule="auto"/>
        <w:ind w:left="1134"/>
        <w:jc w:val="both"/>
        <w:rPr>
          <w:sz w:val="24"/>
          <w:szCs w:val="24"/>
        </w:rPr>
      </w:pPr>
    </w:p>
    <w:p w14:paraId="195E981F" w14:textId="77777777" w:rsidR="00507637" w:rsidRDefault="00C214C0">
      <w:pPr>
        <w:spacing w:line="360" w:lineRule="auto"/>
        <w:ind w:left="1134"/>
        <w:jc w:val="both"/>
        <w:rPr>
          <w:sz w:val="24"/>
          <w:szCs w:val="24"/>
        </w:rPr>
      </w:pPr>
      <w:r>
        <w:rPr>
          <w:sz w:val="24"/>
          <w:szCs w:val="24"/>
          <w:u w:val="single"/>
        </w:rPr>
        <w:t>Question for the List of Issues:</w:t>
      </w:r>
      <w:r>
        <w:rPr>
          <w:sz w:val="24"/>
          <w:szCs w:val="24"/>
        </w:rPr>
        <w:t xml:space="preserve"> What measures does the state party plan to undertake to raise awareness of police officers to prevent the arbitrary arrest of people who use drugs based on their appearance, especially in synthetic stimulant use?</w:t>
      </w:r>
    </w:p>
    <w:p w14:paraId="5CFE9130" w14:textId="77777777" w:rsidR="00507637" w:rsidRDefault="00507637">
      <w:pPr>
        <w:pBdr>
          <w:top w:val="nil"/>
          <w:left w:val="nil"/>
          <w:bottom w:val="nil"/>
          <w:right w:val="nil"/>
          <w:between w:val="nil"/>
        </w:pBdr>
        <w:spacing w:after="120" w:line="360" w:lineRule="auto"/>
        <w:ind w:left="1134" w:right="1134"/>
        <w:jc w:val="both"/>
        <w:rPr>
          <w:color w:val="000000"/>
          <w:sz w:val="24"/>
          <w:szCs w:val="24"/>
        </w:rPr>
      </w:pPr>
    </w:p>
    <w:p w14:paraId="2D14CA8F" w14:textId="77777777" w:rsidR="00507637" w:rsidRDefault="00C214C0">
      <w:pPr>
        <w:pStyle w:val="Heading1"/>
        <w:spacing w:line="360" w:lineRule="auto"/>
        <w:jc w:val="both"/>
        <w:rPr>
          <w:b/>
          <w:sz w:val="24"/>
          <w:szCs w:val="24"/>
        </w:rPr>
      </w:pPr>
      <w:bookmarkStart w:id="6" w:name="_Toc125100110"/>
      <w:r>
        <w:rPr>
          <w:b/>
          <w:sz w:val="24"/>
          <w:szCs w:val="24"/>
        </w:rPr>
        <w:t>Violation of Article 14 by failing to ensure the principle of equality of arms at drug trials.</w:t>
      </w:r>
      <w:bookmarkEnd w:id="6"/>
    </w:p>
    <w:p w14:paraId="11ABADEA" w14:textId="77777777" w:rsidR="00507637" w:rsidRDefault="00507637">
      <w:pPr>
        <w:spacing w:line="360" w:lineRule="auto"/>
        <w:ind w:left="1134"/>
        <w:jc w:val="both"/>
        <w:rPr>
          <w:b/>
          <w:sz w:val="24"/>
          <w:szCs w:val="24"/>
        </w:rPr>
      </w:pPr>
    </w:p>
    <w:p w14:paraId="023B94F2" w14:textId="77777777" w:rsidR="00507637" w:rsidRDefault="00C214C0">
      <w:pPr>
        <w:spacing w:line="360" w:lineRule="auto"/>
        <w:ind w:left="1134"/>
        <w:jc w:val="both"/>
        <w:rPr>
          <w:sz w:val="24"/>
          <w:szCs w:val="24"/>
        </w:rPr>
      </w:pPr>
      <w:r>
        <w:rPr>
          <w:sz w:val="24"/>
          <w:szCs w:val="24"/>
        </w:rPr>
        <w:t xml:space="preserve">A part of the right to a fair hearing is the principle of equality of arms. This principle requires that there must be a fair balance between the opportunities afforded to the parties involved in a criminal trial – the defence and the prosecutor. </w:t>
      </w:r>
    </w:p>
    <w:p w14:paraId="42CDBE76" w14:textId="77777777" w:rsidR="00507637" w:rsidRDefault="00507637">
      <w:pPr>
        <w:spacing w:line="360" w:lineRule="auto"/>
        <w:ind w:left="1134"/>
        <w:jc w:val="both"/>
        <w:rPr>
          <w:sz w:val="24"/>
          <w:szCs w:val="24"/>
        </w:rPr>
      </w:pPr>
    </w:p>
    <w:p w14:paraId="6A1097B3" w14:textId="77777777" w:rsidR="00507637" w:rsidRDefault="00C214C0">
      <w:pPr>
        <w:spacing w:line="360" w:lineRule="auto"/>
        <w:ind w:left="1134"/>
        <w:jc w:val="both"/>
        <w:rPr>
          <w:sz w:val="24"/>
          <w:szCs w:val="24"/>
        </w:rPr>
      </w:pPr>
      <w:r>
        <w:rPr>
          <w:sz w:val="24"/>
          <w:szCs w:val="24"/>
        </w:rPr>
        <w:t xml:space="preserve">Establishing the quantity and quality of the street substance is critical in categorizing the offence as possession in small amounts (an administrative offense) and in large or extra-large amounts (criminal offenses). For drug crimes, especially those with the intent to distribute, the difference in punishment for large and extra-large amounts could mean many years of imprisonment. Drug possession without intent to sell, in amounts exceeding 2.5 grams of heroin, for instance, is punishable by up to 6 years in prison </w:t>
      </w:r>
      <w:r>
        <w:rPr>
          <w:sz w:val="24"/>
          <w:szCs w:val="24"/>
        </w:rPr>
        <w:lastRenderedPageBreak/>
        <w:t>(Article 217(4b) of the Criminal Code of the Republic of Moldova). Possession with the intent to sell in any amount is a criminal offence. Possession with the intent to sell extra-large amounts is punishable with up to 15 years imprisonment. The extra-large amount for heroin is the amount exceeding 2.5 grams (Article 2171(4) of the Criminal Code).</w:t>
      </w:r>
    </w:p>
    <w:p w14:paraId="19988EEA" w14:textId="77777777" w:rsidR="00507637" w:rsidRDefault="00507637">
      <w:pPr>
        <w:spacing w:line="360" w:lineRule="auto"/>
        <w:ind w:left="1134"/>
        <w:jc w:val="both"/>
        <w:rPr>
          <w:sz w:val="24"/>
          <w:szCs w:val="24"/>
        </w:rPr>
      </w:pPr>
    </w:p>
    <w:p w14:paraId="0CAF552B" w14:textId="77777777" w:rsidR="00507637" w:rsidRDefault="00C214C0">
      <w:pPr>
        <w:spacing w:line="360" w:lineRule="auto"/>
        <w:ind w:left="1134"/>
        <w:jc w:val="both"/>
        <w:rPr>
          <w:sz w:val="24"/>
          <w:szCs w:val="24"/>
        </w:rPr>
      </w:pPr>
      <w:r>
        <w:rPr>
          <w:sz w:val="24"/>
          <w:szCs w:val="24"/>
        </w:rPr>
        <w:t xml:space="preserve">According to the established practice in Moldova, the purity of the seized narcotic mixtures (street drugs) is rarely established. Most drug possession and drug supply cases concern tiny amounts of drugs, barely exceeding the threshold set by criminal laws to distinguish crimes from administrative offences. When the purity of the seized amount isn't established, police can manipulate the amount of narcotics in the seized mixture with no chance of control by the defence. The purity of street drugs, especially heroin, is very weak in many countries, and Moldova is no exception. Because of their high tolerance to opioids, people with drug dependence must purchase more significant amounts of street drugs, thus exposing them to harsher penalties — up to 6 years in prison or even more. </w:t>
      </w:r>
    </w:p>
    <w:p w14:paraId="3D6301E7" w14:textId="77777777" w:rsidR="00507637" w:rsidRDefault="00507637">
      <w:pPr>
        <w:spacing w:line="360" w:lineRule="auto"/>
        <w:ind w:left="1134"/>
        <w:jc w:val="both"/>
        <w:rPr>
          <w:sz w:val="24"/>
          <w:szCs w:val="24"/>
        </w:rPr>
      </w:pPr>
    </w:p>
    <w:p w14:paraId="1A4CC600" w14:textId="77777777" w:rsidR="00507637" w:rsidRDefault="00C214C0">
      <w:pPr>
        <w:spacing w:line="360" w:lineRule="auto"/>
        <w:ind w:left="1134"/>
        <w:jc w:val="both"/>
        <w:rPr>
          <w:sz w:val="24"/>
          <w:szCs w:val="24"/>
        </w:rPr>
      </w:pPr>
      <w:r>
        <w:rPr>
          <w:sz w:val="24"/>
          <w:szCs w:val="24"/>
        </w:rPr>
        <w:t xml:space="preserve">When purity is not taken into account, the criminal justice system subjects people with drug dependence to a stricter standard and de-facto punishes them for their dependence, clearly violating fundamental notions of fairness and potentially amounting to an arbitrary, disproportionate, and discriminatory deprivation of liberty. </w:t>
      </w:r>
    </w:p>
    <w:p w14:paraId="0E54A1A1" w14:textId="77777777" w:rsidR="00507637" w:rsidRDefault="00507637">
      <w:pPr>
        <w:spacing w:line="360" w:lineRule="auto"/>
        <w:ind w:left="1134"/>
        <w:jc w:val="both"/>
        <w:rPr>
          <w:sz w:val="24"/>
          <w:szCs w:val="24"/>
        </w:rPr>
      </w:pPr>
    </w:p>
    <w:p w14:paraId="5FC956BB" w14:textId="77777777" w:rsidR="00507637" w:rsidRDefault="00C214C0">
      <w:pPr>
        <w:spacing w:line="360" w:lineRule="auto"/>
        <w:ind w:left="1134"/>
        <w:jc w:val="both"/>
        <w:rPr>
          <w:sz w:val="24"/>
          <w:szCs w:val="24"/>
        </w:rPr>
      </w:pPr>
      <w:r>
        <w:rPr>
          <w:sz w:val="24"/>
          <w:szCs w:val="24"/>
        </w:rPr>
        <w:t>When purity is not established, the defence is deprived of an opportunity to rely on Article 14(2) of the Criminal Code that provides for acquittal for minor offences — e.g., in cases where the purity is less than 1%. The defence simply cannot argue the case because the purity is unknown. In theory, the defence can order an alternative forensic examination of the seized substance, but such examination is costly, and courts may reject the results of such examination.</w:t>
      </w:r>
    </w:p>
    <w:p w14:paraId="4A113B72" w14:textId="77777777" w:rsidR="00507637" w:rsidRDefault="00507637">
      <w:pPr>
        <w:spacing w:line="360" w:lineRule="auto"/>
        <w:ind w:left="1134"/>
        <w:jc w:val="both"/>
        <w:rPr>
          <w:sz w:val="24"/>
          <w:szCs w:val="24"/>
        </w:rPr>
      </w:pPr>
    </w:p>
    <w:p w14:paraId="12225364" w14:textId="77777777" w:rsidR="00507637" w:rsidRDefault="00C214C0">
      <w:pPr>
        <w:spacing w:line="360" w:lineRule="auto"/>
        <w:ind w:left="1134"/>
        <w:jc w:val="both"/>
        <w:rPr>
          <w:sz w:val="24"/>
          <w:szCs w:val="24"/>
        </w:rPr>
      </w:pPr>
      <w:r>
        <w:rPr>
          <w:sz w:val="24"/>
          <w:szCs w:val="24"/>
        </w:rPr>
        <w:t xml:space="preserve">Thus, when the purity of the substance is not established, the defence is placed in an unequal position in violation of the principle of equality of arms. In addition, the </w:t>
      </w:r>
      <w:r>
        <w:rPr>
          <w:sz w:val="24"/>
          <w:szCs w:val="24"/>
        </w:rPr>
        <w:lastRenderedPageBreak/>
        <w:t xml:space="preserve">principle that criminal law must not be extensively construed to an accused's detriment is also violated. </w:t>
      </w:r>
    </w:p>
    <w:p w14:paraId="49E5E809" w14:textId="77777777" w:rsidR="00507637" w:rsidRDefault="00507637">
      <w:pPr>
        <w:spacing w:line="360" w:lineRule="auto"/>
        <w:ind w:left="1134"/>
        <w:jc w:val="both"/>
        <w:rPr>
          <w:sz w:val="24"/>
          <w:szCs w:val="24"/>
        </w:rPr>
      </w:pPr>
    </w:p>
    <w:p w14:paraId="140390C4" w14:textId="77777777" w:rsidR="00507637" w:rsidRDefault="00C214C0">
      <w:pPr>
        <w:spacing w:line="360" w:lineRule="auto"/>
        <w:ind w:left="1134"/>
        <w:jc w:val="both"/>
        <w:rPr>
          <w:sz w:val="24"/>
          <w:szCs w:val="24"/>
        </w:rPr>
      </w:pPr>
      <w:r>
        <w:rPr>
          <w:sz w:val="24"/>
          <w:szCs w:val="24"/>
          <w:u w:val="single"/>
        </w:rPr>
        <w:t>Question for the List of Issues:</w:t>
      </w:r>
      <w:r>
        <w:rPr>
          <w:sz w:val="24"/>
          <w:szCs w:val="24"/>
        </w:rPr>
        <w:t xml:space="preserve">  Does the state party plan to introduce into practice establishing the purity of narcotic drugs or psychotropic substances, the possession or distribution of which is incriminated to an accused?</w:t>
      </w:r>
    </w:p>
    <w:p w14:paraId="67D56D77" w14:textId="77777777" w:rsidR="00507637" w:rsidRDefault="00507637">
      <w:pPr>
        <w:spacing w:line="360" w:lineRule="auto"/>
        <w:ind w:left="1134"/>
        <w:jc w:val="both"/>
        <w:rPr>
          <w:sz w:val="24"/>
          <w:szCs w:val="24"/>
        </w:rPr>
      </w:pPr>
    </w:p>
    <w:p w14:paraId="01D56C44" w14:textId="77777777" w:rsidR="00507637" w:rsidRDefault="00507637">
      <w:pPr>
        <w:pStyle w:val="Heading1"/>
        <w:ind w:firstLine="1134"/>
        <w:rPr>
          <w:b/>
          <w:sz w:val="24"/>
          <w:szCs w:val="24"/>
        </w:rPr>
      </w:pPr>
    </w:p>
    <w:p w14:paraId="73A70DBE" w14:textId="77777777" w:rsidR="00507637" w:rsidRDefault="00C214C0">
      <w:pPr>
        <w:pStyle w:val="Heading1"/>
        <w:ind w:firstLine="1134"/>
        <w:rPr>
          <w:b/>
          <w:sz w:val="24"/>
          <w:szCs w:val="24"/>
        </w:rPr>
      </w:pPr>
      <w:bookmarkStart w:id="7" w:name="_heading=h.x8szpavy7ctp" w:colFirst="0" w:colLast="0"/>
      <w:bookmarkStart w:id="8" w:name="_Toc125100111"/>
      <w:bookmarkEnd w:id="7"/>
      <w:r>
        <w:rPr>
          <w:b/>
          <w:sz w:val="24"/>
          <w:szCs w:val="24"/>
        </w:rPr>
        <w:t>Annex I. Information about the applicants</w:t>
      </w:r>
      <w:bookmarkEnd w:id="8"/>
    </w:p>
    <w:p w14:paraId="6AC73632" w14:textId="77777777" w:rsidR="00507637" w:rsidRDefault="00507637"/>
    <w:p w14:paraId="77771CF6" w14:textId="77777777" w:rsidR="00507637" w:rsidRDefault="00C214C0" w:rsidP="006D4352">
      <w:pPr>
        <w:spacing w:line="276" w:lineRule="auto"/>
        <w:ind w:left="3261"/>
      </w:pPr>
      <w:r>
        <w:t xml:space="preserve">The HIV Legal Network (www.hivlegalnetwork.ca) promotes the human rights of people living with, at risk of, or affected by HIV or AIDS, in Canada and internationally through research and analysis, litigation and other advocacy, public education, and community mobilization. </w:t>
      </w:r>
      <w:r>
        <w:rPr>
          <w:noProof/>
          <w:lang w:eastAsia="en-CA" w:bidi="he-IL"/>
        </w:rPr>
        <w:drawing>
          <wp:anchor distT="0" distB="0" distL="114300" distR="114300" simplePos="0" relativeHeight="251658240" behindDoc="0" locked="0" layoutInCell="1" hidden="0" allowOverlap="1" wp14:anchorId="349DA7F3" wp14:editId="1F40F20A">
            <wp:simplePos x="0" y="0"/>
            <wp:positionH relativeFrom="column">
              <wp:posOffset>389890</wp:posOffset>
            </wp:positionH>
            <wp:positionV relativeFrom="paragraph">
              <wp:posOffset>33655</wp:posOffset>
            </wp:positionV>
            <wp:extent cx="1515745" cy="851535"/>
            <wp:effectExtent l="0" t="0" r="0" b="0"/>
            <wp:wrapSquare wrapText="bothSides" distT="0" distB="0" distL="114300" distR="114300"/>
            <wp:docPr id="7" name="image2.jpg" descr="page1image2069635120"/>
            <wp:cNvGraphicFramePr/>
            <a:graphic xmlns:a="http://schemas.openxmlformats.org/drawingml/2006/main">
              <a:graphicData uri="http://schemas.openxmlformats.org/drawingml/2006/picture">
                <pic:pic xmlns:pic="http://schemas.openxmlformats.org/drawingml/2006/picture">
                  <pic:nvPicPr>
                    <pic:cNvPr id="0" name="image2.jpg" descr="page1image2069635120"/>
                    <pic:cNvPicPr preferRelativeResize="0"/>
                  </pic:nvPicPr>
                  <pic:blipFill>
                    <a:blip r:embed="rId9"/>
                    <a:srcRect/>
                    <a:stretch>
                      <a:fillRect/>
                    </a:stretch>
                  </pic:blipFill>
                  <pic:spPr>
                    <a:xfrm>
                      <a:off x="0" y="0"/>
                      <a:ext cx="1515745" cy="851535"/>
                    </a:xfrm>
                    <a:prstGeom prst="rect">
                      <a:avLst/>
                    </a:prstGeom>
                    <a:ln/>
                  </pic:spPr>
                </pic:pic>
              </a:graphicData>
            </a:graphic>
          </wp:anchor>
        </w:drawing>
      </w:r>
    </w:p>
    <w:p w14:paraId="2F9F12DD" w14:textId="77777777" w:rsidR="006D4352" w:rsidRDefault="00C214C0" w:rsidP="006D4352">
      <w:pPr>
        <w:spacing w:line="276" w:lineRule="auto"/>
        <w:ind w:left="3261"/>
        <w:rPr>
          <w:i/>
        </w:rPr>
      </w:pPr>
      <w:r>
        <w:rPr>
          <w:i/>
        </w:rPr>
        <w:t>Address: 1240 Bay Street, Suite 600, Toronto, Ontario, Canada, M5R 2A7 Tel: 1(416)595 1666; Fax: 1 (416) 595 0094</w:t>
      </w:r>
    </w:p>
    <w:p w14:paraId="04A367C1" w14:textId="77777777" w:rsidR="00507637" w:rsidRDefault="00C214C0" w:rsidP="006D4352">
      <w:pPr>
        <w:spacing w:line="276" w:lineRule="auto"/>
        <w:ind w:left="3261"/>
        <w:rPr>
          <w:i/>
        </w:rPr>
      </w:pPr>
      <w:r>
        <w:rPr>
          <w:i/>
        </w:rPr>
        <w:t xml:space="preserve"> Person to contact: Mikhail Golichenko, email: </w:t>
      </w:r>
      <w:hyperlink r:id="rId10">
        <w:r>
          <w:rPr>
            <w:i/>
            <w:color w:val="0000FF"/>
            <w:u w:val="single"/>
          </w:rPr>
          <w:t>mgolichenko@gmail.com</w:t>
        </w:r>
      </w:hyperlink>
    </w:p>
    <w:p w14:paraId="0BD004D3" w14:textId="77777777" w:rsidR="00507637" w:rsidRDefault="00507637">
      <w:pPr>
        <w:spacing w:line="276" w:lineRule="auto"/>
        <w:ind w:left="1134" w:right="-357"/>
        <w:rPr>
          <w:i/>
        </w:rPr>
      </w:pPr>
      <w:bookmarkStart w:id="9" w:name="_heading=h.30j0zll" w:colFirst="0" w:colLast="0"/>
      <w:bookmarkEnd w:id="9"/>
    </w:p>
    <w:p w14:paraId="4655BE7C" w14:textId="77777777" w:rsidR="00507637" w:rsidRDefault="00C214C0">
      <w:pPr>
        <w:spacing w:line="276" w:lineRule="auto"/>
        <w:ind w:left="3261"/>
      </w:pPr>
      <w:r>
        <w:t>Eurasian Harm Reduction Association (EHRA) (</w:t>
      </w:r>
      <w:hyperlink r:id="rId11">
        <w:r>
          <w:rPr>
            <w:color w:val="0000FF"/>
            <w:u w:val="single"/>
          </w:rPr>
          <w:t>http://harmreductioneurasia.org</w:t>
        </w:r>
      </w:hyperlink>
      <w:r>
        <w:t xml:space="preserve">) is a non-profit public organization, uniting </w:t>
      </w:r>
      <w:r w:rsidR="004033B4">
        <w:t>277</w:t>
      </w:r>
      <w:r>
        <w:t xml:space="preserve"> organizational and individual members from 29 countries of the Central and Eastern Europe and Central Asia region (CEECA) with a mission to support communities and civil societies to ensure the rights and freedoms, health, and well-being of people who use psychoactive substances. </w:t>
      </w:r>
      <w:r>
        <w:rPr>
          <w:noProof/>
          <w:lang w:eastAsia="en-CA" w:bidi="he-IL"/>
        </w:rPr>
        <w:drawing>
          <wp:anchor distT="0" distB="0" distL="114300" distR="114300" simplePos="0" relativeHeight="251659264" behindDoc="0" locked="0" layoutInCell="1" hidden="0" allowOverlap="1" wp14:anchorId="19923E87" wp14:editId="1A75932B">
            <wp:simplePos x="0" y="0"/>
            <wp:positionH relativeFrom="column">
              <wp:posOffset>568325</wp:posOffset>
            </wp:positionH>
            <wp:positionV relativeFrom="paragraph">
              <wp:posOffset>1270</wp:posOffset>
            </wp:positionV>
            <wp:extent cx="1341120" cy="523875"/>
            <wp:effectExtent l="0" t="0" r="0" b="0"/>
            <wp:wrapSquare wrapText="bothSides" distT="0" distB="0" distL="114300" distR="114300"/>
            <wp:docPr id="6" name="image1.png" descr="Изображение выглядит как рисуно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1.png" descr="Изображение выглядит как рисунок&#10;&#10;Автоматически созданное описание"/>
                    <pic:cNvPicPr preferRelativeResize="0"/>
                  </pic:nvPicPr>
                  <pic:blipFill>
                    <a:blip r:embed="rId12"/>
                    <a:srcRect/>
                    <a:stretch>
                      <a:fillRect/>
                    </a:stretch>
                  </pic:blipFill>
                  <pic:spPr>
                    <a:xfrm>
                      <a:off x="0" y="0"/>
                      <a:ext cx="1341120" cy="523875"/>
                    </a:xfrm>
                    <a:prstGeom prst="rect">
                      <a:avLst/>
                    </a:prstGeom>
                    <a:ln/>
                  </pic:spPr>
                </pic:pic>
              </a:graphicData>
            </a:graphic>
          </wp:anchor>
        </w:drawing>
      </w:r>
    </w:p>
    <w:p w14:paraId="62797ED9" w14:textId="77777777" w:rsidR="00507637" w:rsidRDefault="00C214C0">
      <w:pPr>
        <w:spacing w:line="276" w:lineRule="auto"/>
        <w:ind w:left="3261"/>
        <w:rPr>
          <w:i/>
        </w:rPr>
      </w:pPr>
      <w:r>
        <w:rPr>
          <w:i/>
          <w:color w:val="000000"/>
        </w:rPr>
        <w:t xml:space="preserve">Address: </w:t>
      </w:r>
      <w:proofErr w:type="spellStart"/>
      <w:r>
        <w:rPr>
          <w:i/>
          <w:color w:val="000000"/>
        </w:rPr>
        <w:t>Verkių</w:t>
      </w:r>
      <w:proofErr w:type="spellEnd"/>
      <w:r>
        <w:rPr>
          <w:i/>
          <w:color w:val="000000"/>
        </w:rPr>
        <w:t xml:space="preserve"> g. 34B, office 701 LT – 04111, Vilnius, Lithuania</w:t>
      </w:r>
      <w:r>
        <w:rPr>
          <w:i/>
        </w:rPr>
        <w:t xml:space="preserve">             Person to contact: Eliza Kurcevic, email: </w:t>
      </w:r>
      <w:hyperlink r:id="rId13" w:history="1">
        <w:r w:rsidR="004033B4" w:rsidRPr="00E276D3">
          <w:rPr>
            <w:rStyle w:val="Hyperlink"/>
            <w:i/>
          </w:rPr>
          <w:t>eliza@harmreductioneurasia.org</w:t>
        </w:r>
      </w:hyperlink>
      <w:r w:rsidR="004033B4">
        <w:rPr>
          <w:i/>
        </w:rPr>
        <w:t xml:space="preserve"> </w:t>
      </w:r>
    </w:p>
    <w:p w14:paraId="6A0448EF" w14:textId="77777777" w:rsidR="00F82FA1" w:rsidRDefault="00491B9E" w:rsidP="00F82FA1">
      <w:r>
        <w:rPr>
          <w:noProof/>
          <w:sz w:val="24"/>
          <w:szCs w:val="24"/>
          <w:lang w:eastAsia="en-CA" w:bidi="he-IL"/>
        </w:rPr>
        <w:drawing>
          <wp:anchor distT="0" distB="0" distL="114300" distR="114300" simplePos="0" relativeHeight="251662336" behindDoc="0" locked="0" layoutInCell="1" allowOverlap="1" wp14:anchorId="2B9B8F18" wp14:editId="09CD6796">
            <wp:simplePos x="0" y="0"/>
            <wp:positionH relativeFrom="column">
              <wp:posOffset>557530</wp:posOffset>
            </wp:positionH>
            <wp:positionV relativeFrom="paragraph">
              <wp:posOffset>78740</wp:posOffset>
            </wp:positionV>
            <wp:extent cx="1310640" cy="763905"/>
            <wp:effectExtent l="0" t="0" r="0" b="0"/>
            <wp:wrapSquare wrapText="right"/>
            <wp:docPr id="2" name="Рисунок 2" descr="C:\Users\Oxana\AppData\Local\Microsoft\Windows\INetCache\Content.Word\FB Logo UES_fina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xana\AppData\Local\Microsoft\Windows\INetCache\Content.Word\FB Logo UES_final 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0640" cy="763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6EED90" w14:textId="77777777" w:rsidR="00F82FA1" w:rsidRPr="00A44CB9" w:rsidRDefault="00F82FA1" w:rsidP="00F82FA1">
      <w:pPr>
        <w:spacing w:line="276" w:lineRule="auto"/>
        <w:ind w:left="3261"/>
        <w:rPr>
          <w:lang w:val="en-US"/>
        </w:rPr>
      </w:pPr>
      <w:r>
        <w:rPr>
          <w:lang w:val="en-US"/>
        </w:rPr>
        <w:t xml:space="preserve">Union for Equity and Health </w:t>
      </w:r>
      <w:r w:rsidRPr="00A44CB9">
        <w:rPr>
          <w:lang w:val="en-US"/>
        </w:rPr>
        <w:t xml:space="preserve"> </w:t>
      </w:r>
    </w:p>
    <w:p w14:paraId="579C8700" w14:textId="77777777" w:rsidR="00F82FA1" w:rsidRDefault="00F82FA1" w:rsidP="00491B9E">
      <w:pPr>
        <w:spacing w:line="276" w:lineRule="auto"/>
        <w:ind w:left="3261"/>
      </w:pPr>
      <w:r>
        <w:t>(</w:t>
      </w:r>
      <w:hyperlink r:id="rId15" w:history="1">
        <w:r w:rsidRPr="00DD4082">
          <w:rPr>
            <w:rStyle w:val="Hyperlink"/>
          </w:rPr>
          <w:t>http://uorn.md/</w:t>
        </w:r>
      </w:hyperlink>
      <w:r>
        <w:t xml:space="preserve">) is a non-profit public organization </w:t>
      </w:r>
      <w:r w:rsidRPr="00A65FAC">
        <w:t>promoting new health and public security policies</w:t>
      </w:r>
      <w:r>
        <w:t>, with a mission to</w:t>
      </w:r>
      <w:r w:rsidRPr="000050CF">
        <w:t xml:space="preserve"> create a favorable social environment and improve the quality of people's lives by ensuring respect for human rights in the field of health and public security in the Republic of Moldova.</w:t>
      </w:r>
    </w:p>
    <w:p w14:paraId="2AF3F51A" w14:textId="77777777" w:rsidR="0073352C" w:rsidRDefault="00787B82">
      <w:pPr>
        <w:spacing w:line="276" w:lineRule="auto"/>
        <w:ind w:left="3261"/>
        <w:rPr>
          <w:i/>
          <w:color w:val="000000"/>
        </w:rPr>
      </w:pPr>
      <w:r>
        <w:rPr>
          <w:i/>
          <w:color w:val="000000"/>
        </w:rPr>
        <w:t xml:space="preserve">Address: </w:t>
      </w:r>
      <w:r w:rsidR="0073352C">
        <w:rPr>
          <w:i/>
          <w:color w:val="000000"/>
        </w:rPr>
        <w:t>7A</w:t>
      </w:r>
      <w:r>
        <w:rPr>
          <w:i/>
          <w:color w:val="000000"/>
        </w:rPr>
        <w:t xml:space="preserve">, </w:t>
      </w:r>
      <w:r w:rsidR="0073352C">
        <w:rPr>
          <w:i/>
          <w:color w:val="000000"/>
        </w:rPr>
        <w:t>Victoria</w:t>
      </w:r>
      <w:r w:rsidRPr="00787B82">
        <w:rPr>
          <w:i/>
          <w:color w:val="000000"/>
        </w:rPr>
        <w:t xml:space="preserve"> </w:t>
      </w:r>
      <w:r>
        <w:rPr>
          <w:i/>
          <w:color w:val="000000"/>
        </w:rPr>
        <w:t>S</w:t>
      </w:r>
      <w:r w:rsidRPr="00787B82">
        <w:rPr>
          <w:i/>
          <w:color w:val="000000"/>
        </w:rPr>
        <w:t>treet</w:t>
      </w:r>
      <w:r>
        <w:rPr>
          <w:i/>
          <w:color w:val="000000"/>
        </w:rPr>
        <w:t xml:space="preserve">, </w:t>
      </w:r>
      <w:r w:rsidR="0073352C">
        <w:rPr>
          <w:i/>
          <w:color w:val="000000"/>
        </w:rPr>
        <w:t>Balti, MD-3100, Republic of Moldova</w:t>
      </w:r>
    </w:p>
    <w:p w14:paraId="6C0EA1B6" w14:textId="77777777" w:rsidR="00F82FA1" w:rsidRPr="002000D5" w:rsidRDefault="0073352C">
      <w:pPr>
        <w:spacing w:line="276" w:lineRule="auto"/>
        <w:ind w:left="3261"/>
        <w:rPr>
          <w:i/>
          <w:color w:val="000000"/>
        </w:rPr>
      </w:pPr>
      <w:r>
        <w:rPr>
          <w:i/>
          <w:color w:val="000000"/>
        </w:rPr>
        <w:t>Tel</w:t>
      </w:r>
      <w:r w:rsidR="00733CCD">
        <w:rPr>
          <w:i/>
          <w:color w:val="000000"/>
        </w:rPr>
        <w:t>./Fax</w:t>
      </w:r>
      <w:r>
        <w:rPr>
          <w:i/>
          <w:color w:val="000000"/>
        </w:rPr>
        <w:t>: +373</w:t>
      </w:r>
      <w:r w:rsidR="00733CCD">
        <w:rPr>
          <w:i/>
          <w:color w:val="000000"/>
        </w:rPr>
        <w:t>23139332</w:t>
      </w:r>
    </w:p>
    <w:p w14:paraId="085EB6F6" w14:textId="77777777" w:rsidR="00F82FA1" w:rsidRDefault="002000D5">
      <w:pPr>
        <w:spacing w:line="276" w:lineRule="auto"/>
        <w:ind w:left="3261"/>
        <w:rPr>
          <w:i/>
          <w:color w:val="000000"/>
        </w:rPr>
      </w:pPr>
      <w:r w:rsidRPr="002000D5">
        <w:rPr>
          <w:i/>
          <w:color w:val="000000"/>
        </w:rPr>
        <w:t>Person to contact:</w:t>
      </w:r>
      <w:r>
        <w:rPr>
          <w:i/>
          <w:color w:val="000000"/>
        </w:rPr>
        <w:t xml:space="preserve"> Ala Iatco, email: </w:t>
      </w:r>
      <w:hyperlink r:id="rId16" w:history="1">
        <w:r w:rsidRPr="00DD4082">
          <w:rPr>
            <w:rStyle w:val="Hyperlink"/>
            <w:i/>
          </w:rPr>
          <w:t>protineret@yahoo.com</w:t>
        </w:r>
      </w:hyperlink>
      <w:r>
        <w:rPr>
          <w:i/>
          <w:color w:val="000000"/>
        </w:rPr>
        <w:t xml:space="preserve"> </w:t>
      </w:r>
    </w:p>
    <w:p w14:paraId="048CCD45" w14:textId="77777777" w:rsidR="0096575B" w:rsidRDefault="0096575B">
      <w:pPr>
        <w:spacing w:line="276" w:lineRule="auto"/>
        <w:ind w:left="3261"/>
      </w:pPr>
    </w:p>
    <w:p w14:paraId="01DB90DE" w14:textId="56988630" w:rsidR="0096575B" w:rsidRPr="0096575B" w:rsidRDefault="0096575B" w:rsidP="0096575B">
      <w:pPr>
        <w:spacing w:line="276" w:lineRule="auto"/>
        <w:ind w:left="3261"/>
        <w:rPr>
          <w:iCs/>
          <w:color w:val="000000"/>
          <w:lang w:val="en-US"/>
        </w:rPr>
      </w:pPr>
      <w:proofErr w:type="gramStart"/>
      <w:r w:rsidRPr="0096575B">
        <w:rPr>
          <w:iCs/>
          <w:color w:val="000000"/>
          <w:lang w:val="en-US"/>
        </w:rPr>
        <w:t xml:space="preserve">Public Association “PULS </w:t>
      </w:r>
      <w:proofErr w:type="spellStart"/>
      <w:r w:rsidRPr="0096575B">
        <w:rPr>
          <w:iCs/>
          <w:color w:val="000000"/>
          <w:lang w:val="en-US"/>
        </w:rPr>
        <w:t>Comunitar</w:t>
      </w:r>
      <w:proofErr w:type="spellEnd"/>
      <w:r w:rsidRPr="0096575B">
        <w:rPr>
          <w:iCs/>
          <w:color w:val="000000"/>
          <w:lang w:val="en-US"/>
        </w:rPr>
        <w:t>” (</w:t>
      </w:r>
      <w:hyperlink r:id="rId17" w:history="1">
        <w:r w:rsidRPr="00D922F2">
          <w:rPr>
            <w:rStyle w:val="Hyperlink"/>
            <w:iCs/>
            <w:lang w:val="en-US"/>
          </w:rPr>
          <w:t>http://pulscomunitar.md/</w:t>
        </w:r>
      </w:hyperlink>
      <w:r w:rsidRPr="0096575B">
        <w:rPr>
          <w:iCs/>
          <w:color w:val="000000"/>
          <w:lang w:val="en-US"/>
        </w:rPr>
        <w:t>)</w:t>
      </w:r>
      <w:r>
        <w:rPr>
          <w:iCs/>
          <w:color w:val="000000"/>
          <w:lang w:val="en-US"/>
        </w:rPr>
        <w:t xml:space="preserve"> </w:t>
      </w:r>
      <w:r w:rsidRPr="0096575B">
        <w:rPr>
          <w:iCs/>
          <w:color w:val="000000"/>
          <w:lang w:val="en-US"/>
        </w:rPr>
        <w:t xml:space="preserve">Mission: </w:t>
      </w:r>
      <w:r>
        <w:rPr>
          <w:iCs/>
          <w:color w:val="000000"/>
          <w:lang w:val="en-US"/>
        </w:rPr>
        <w:t>p</w:t>
      </w:r>
      <w:r w:rsidRPr="0096575B">
        <w:rPr>
          <w:iCs/>
          <w:color w:val="000000"/>
          <w:lang w:val="en-US"/>
        </w:rPr>
        <w:t>roviding access to equal rights, creating a safe environment, changing and implementing policies towards people who use drugs.</w:t>
      </w:r>
      <w:proofErr w:type="gramEnd"/>
    </w:p>
    <w:p w14:paraId="5F5146A0" w14:textId="19AF97D7" w:rsidR="0096575B" w:rsidRPr="0096575B" w:rsidRDefault="0096575B" w:rsidP="0096575B">
      <w:pPr>
        <w:spacing w:line="276" w:lineRule="auto"/>
        <w:ind w:left="3261"/>
        <w:rPr>
          <w:i/>
          <w:color w:val="000000"/>
          <w:lang w:val="en-US"/>
        </w:rPr>
      </w:pPr>
      <w:r w:rsidRPr="0096575B">
        <w:rPr>
          <w:i/>
          <w:color w:val="000000"/>
          <w:lang w:val="en-US"/>
        </w:rPr>
        <w:t xml:space="preserve">Address: </w:t>
      </w:r>
      <w:proofErr w:type="spellStart"/>
      <w:r w:rsidRPr="0096575B">
        <w:rPr>
          <w:i/>
          <w:color w:val="000000"/>
          <w:lang w:val="en-US"/>
        </w:rPr>
        <w:t>Kievskaya</w:t>
      </w:r>
      <w:proofErr w:type="spellEnd"/>
      <w:r w:rsidRPr="0096575B">
        <w:rPr>
          <w:i/>
          <w:color w:val="000000"/>
          <w:lang w:val="en-US"/>
        </w:rPr>
        <w:t xml:space="preserve"> street 1/32, Balti, </w:t>
      </w:r>
      <w:r>
        <w:rPr>
          <w:i/>
          <w:color w:val="000000"/>
          <w:lang w:val="en-US"/>
        </w:rPr>
        <w:t>MD-</w:t>
      </w:r>
      <w:r w:rsidRPr="0096575B">
        <w:rPr>
          <w:i/>
          <w:color w:val="000000"/>
          <w:lang w:val="en-US"/>
        </w:rPr>
        <w:t>3100</w:t>
      </w:r>
      <w:r>
        <w:rPr>
          <w:i/>
          <w:color w:val="000000"/>
          <w:lang w:val="en-US"/>
        </w:rPr>
        <w:t>,</w:t>
      </w:r>
      <w:r w:rsidRPr="0096575B">
        <w:rPr>
          <w:i/>
          <w:color w:val="000000"/>
          <w:lang w:val="en-US"/>
        </w:rPr>
        <w:t xml:space="preserve"> Republic of Moldova</w:t>
      </w:r>
    </w:p>
    <w:p w14:paraId="562485B4" w14:textId="76A7D8B9" w:rsidR="0096575B" w:rsidRPr="0096575B" w:rsidRDefault="0096575B" w:rsidP="0096575B">
      <w:pPr>
        <w:spacing w:line="276" w:lineRule="auto"/>
        <w:ind w:left="3261"/>
        <w:rPr>
          <w:i/>
          <w:color w:val="000000"/>
          <w:lang w:val="en-US"/>
        </w:rPr>
      </w:pPr>
      <w:r>
        <w:rPr>
          <w:i/>
          <w:color w:val="000000"/>
          <w:lang w:val="en-US"/>
        </w:rPr>
        <w:t>Person to c</w:t>
      </w:r>
      <w:r w:rsidRPr="0096575B">
        <w:rPr>
          <w:i/>
          <w:color w:val="000000"/>
          <w:lang w:val="en-US"/>
        </w:rPr>
        <w:t xml:space="preserve">ontact: </w:t>
      </w:r>
      <w:proofErr w:type="spellStart"/>
      <w:r w:rsidRPr="0096575B">
        <w:rPr>
          <w:i/>
          <w:color w:val="000000"/>
          <w:lang w:val="en-US"/>
        </w:rPr>
        <w:t>Vitaly</w:t>
      </w:r>
      <w:proofErr w:type="spellEnd"/>
      <w:r w:rsidRPr="0096575B">
        <w:rPr>
          <w:i/>
          <w:color w:val="000000"/>
          <w:lang w:val="en-US"/>
        </w:rPr>
        <w:t xml:space="preserve"> </w:t>
      </w:r>
      <w:proofErr w:type="spellStart"/>
      <w:r w:rsidRPr="0096575B">
        <w:rPr>
          <w:i/>
          <w:color w:val="000000"/>
          <w:lang w:val="en-US"/>
        </w:rPr>
        <w:t>Rabinchuk</w:t>
      </w:r>
      <w:proofErr w:type="spellEnd"/>
      <w:r w:rsidRPr="0096575B">
        <w:rPr>
          <w:i/>
          <w:color w:val="000000"/>
          <w:lang w:val="en-US"/>
        </w:rPr>
        <w:t>, email</w:t>
      </w:r>
      <w:r>
        <w:rPr>
          <w:i/>
          <w:color w:val="000000"/>
          <w:lang w:val="en-US"/>
        </w:rPr>
        <w:t>:</w:t>
      </w:r>
      <w:r w:rsidRPr="0096575B">
        <w:rPr>
          <w:i/>
          <w:color w:val="000000"/>
          <w:lang w:val="en-US"/>
        </w:rPr>
        <w:t xml:space="preserve"> </w:t>
      </w:r>
      <w:hyperlink r:id="rId18" w:history="1">
        <w:r w:rsidRPr="00D922F2">
          <w:rPr>
            <w:rStyle w:val="Hyperlink"/>
            <w:i/>
            <w:lang w:val="en-US"/>
          </w:rPr>
          <w:t>puls.centre@gmail.com</w:t>
        </w:r>
      </w:hyperlink>
      <w:r>
        <w:rPr>
          <w:i/>
          <w:color w:val="000000"/>
          <w:lang w:val="en-US"/>
        </w:rPr>
        <w:t xml:space="preserve"> </w:t>
      </w:r>
    </w:p>
    <w:sectPr w:rsidR="0096575B" w:rsidRPr="0096575B">
      <w:footerReference w:type="even" r:id="rId19"/>
      <w:footerReference w:type="default" r:id="rId20"/>
      <w:pgSz w:w="11907" w:h="16840"/>
      <w:pgMar w:top="1701" w:right="1134" w:bottom="2268" w:left="1134" w:header="1134" w:footer="170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A450C" w14:textId="77777777" w:rsidR="00784B8D" w:rsidRDefault="00784B8D">
      <w:pPr>
        <w:spacing w:line="240" w:lineRule="auto"/>
      </w:pPr>
      <w:r>
        <w:separator/>
      </w:r>
    </w:p>
  </w:endnote>
  <w:endnote w:type="continuationSeparator" w:id="0">
    <w:p w14:paraId="05F2B601" w14:textId="77777777" w:rsidR="00784B8D" w:rsidRDefault="00784B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96457" w14:textId="77777777" w:rsidR="00507637" w:rsidRDefault="00C214C0">
    <w:pPr>
      <w:pBdr>
        <w:top w:val="nil"/>
        <w:left w:val="nil"/>
        <w:bottom w:val="nil"/>
        <w:right w:val="nil"/>
        <w:between w:val="nil"/>
      </w:pBdr>
      <w:tabs>
        <w:tab w:val="right" w:pos="9598"/>
      </w:tabs>
      <w:spacing w:line="240" w:lineRule="auto"/>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sidR="0056095D">
      <w:rPr>
        <w:b/>
        <w:noProof/>
        <w:color w:val="000000"/>
        <w:sz w:val="18"/>
        <w:szCs w:val="18"/>
      </w:rPr>
      <w:t>10</w:t>
    </w:r>
    <w:r>
      <w:rPr>
        <w:b/>
        <w:color w:val="000000"/>
        <w:sz w:val="18"/>
        <w:szCs w:val="18"/>
      </w:rPr>
      <w:fldChar w:fldCharType="end"/>
    </w:r>
    <w:r>
      <w:rPr>
        <w:color w:val="000000"/>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78196" w14:textId="77777777" w:rsidR="00507637" w:rsidRDefault="00C214C0">
    <w:pPr>
      <w:pBdr>
        <w:top w:val="nil"/>
        <w:left w:val="nil"/>
        <w:bottom w:val="nil"/>
        <w:right w:val="nil"/>
        <w:between w:val="nil"/>
      </w:pBdr>
      <w:tabs>
        <w:tab w:val="right" w:pos="9598"/>
      </w:tabs>
      <w:spacing w:line="240" w:lineRule="auto"/>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56095D">
      <w:rPr>
        <w:b/>
        <w:noProof/>
        <w:color w:val="000000"/>
        <w:sz w:val="18"/>
        <w:szCs w:val="18"/>
      </w:rPr>
      <w:t>9</w:t>
    </w:r>
    <w:r>
      <w:rPr>
        <w:b/>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10EDA" w14:textId="77777777" w:rsidR="00784B8D" w:rsidRDefault="00784B8D">
      <w:pPr>
        <w:spacing w:line="240" w:lineRule="auto"/>
      </w:pPr>
      <w:r>
        <w:separator/>
      </w:r>
    </w:p>
  </w:footnote>
  <w:footnote w:type="continuationSeparator" w:id="0">
    <w:p w14:paraId="1085BC37" w14:textId="77777777" w:rsidR="00784B8D" w:rsidRDefault="00784B8D">
      <w:pPr>
        <w:spacing w:line="240" w:lineRule="auto"/>
      </w:pPr>
      <w:r>
        <w:continuationSeparator/>
      </w:r>
    </w:p>
  </w:footnote>
  <w:footnote w:id="1">
    <w:p w14:paraId="05D79AC8" w14:textId="77777777" w:rsidR="00507637" w:rsidRDefault="00C214C0">
      <w:pPr>
        <w:pBdr>
          <w:top w:val="nil"/>
          <w:left w:val="nil"/>
          <w:bottom w:val="nil"/>
          <w:right w:val="nil"/>
          <w:between w:val="nil"/>
        </w:pBdr>
        <w:tabs>
          <w:tab w:val="right" w:pos="1021"/>
        </w:tabs>
        <w:spacing w:line="220" w:lineRule="auto"/>
        <w:ind w:left="1134" w:right="1134"/>
        <w:rPr>
          <w:color w:val="000000"/>
        </w:rPr>
      </w:pPr>
      <w:r>
        <w:rPr>
          <w:rStyle w:val="FootnoteReference"/>
        </w:rPr>
        <w:footnoteRef/>
      </w:r>
      <w:r>
        <w:rPr>
          <w:color w:val="000000"/>
        </w:rPr>
        <w:t xml:space="preserve"> Information about organizations is in Annex I. Contact person: Eliza Kurcevič, Eurasian Harm Reduction Association, Vilnius, Lithuania Email: </w:t>
      </w:r>
      <w:hyperlink r:id="rId1">
        <w:r>
          <w:rPr>
            <w:color w:val="0000FF"/>
            <w:u w:val="single"/>
          </w:rPr>
          <w:t>eliza@harmreductioneurasia.org</w:t>
        </w:r>
      </w:hyperlink>
      <w:r>
        <w:rPr>
          <w:color w:val="000000"/>
        </w:rPr>
        <w:t xml:space="preserve"> Special thanks to Oxana Buzovici  for drafting the country report</w:t>
      </w:r>
    </w:p>
  </w:footnote>
  <w:footnote w:id="2">
    <w:p w14:paraId="3B599CA2"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The document is available online: </w:t>
      </w:r>
      <w:hyperlink r:id="rId2">
        <w:r>
          <w:rPr>
            <w:color w:val="0000FF"/>
            <w:sz w:val="18"/>
            <w:szCs w:val="18"/>
            <w:u w:val="single"/>
          </w:rPr>
          <w:t>https://www.legis.md/cautare/getResults?doc_id=121214&amp;lang=ru</w:t>
        </w:r>
      </w:hyperlink>
      <w:r>
        <w:rPr>
          <w:color w:val="000000"/>
          <w:sz w:val="18"/>
          <w:szCs w:val="18"/>
        </w:rPr>
        <w:t xml:space="preserve"> </w:t>
      </w:r>
    </w:p>
  </w:footnote>
  <w:footnote w:id="3">
    <w:p w14:paraId="77DAD29B"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This document is available online:  </w:t>
      </w:r>
      <w:hyperlink r:id="rId3">
        <w:r>
          <w:rPr>
            <w:color w:val="0000FF"/>
            <w:sz w:val="18"/>
            <w:szCs w:val="18"/>
            <w:u w:val="single"/>
          </w:rPr>
          <w:t>http://www.leahn.org/wp-content/uploads/2014/05/Manual-on-police-and-HIV.pdf</w:t>
        </w:r>
      </w:hyperlink>
    </w:p>
  </w:footnote>
  <w:footnote w:id="4">
    <w:p w14:paraId="20CE89C2" w14:textId="77777777" w:rsidR="00507637" w:rsidRPr="00903712" w:rsidRDefault="00C214C0">
      <w:pPr>
        <w:pBdr>
          <w:top w:val="nil"/>
          <w:left w:val="nil"/>
          <w:bottom w:val="nil"/>
          <w:right w:val="nil"/>
          <w:between w:val="nil"/>
        </w:pBdr>
        <w:tabs>
          <w:tab w:val="right" w:pos="1021"/>
        </w:tabs>
        <w:spacing w:line="220" w:lineRule="auto"/>
        <w:ind w:left="1134" w:right="1134"/>
        <w:rPr>
          <w:color w:val="000000"/>
          <w:sz w:val="18"/>
          <w:szCs w:val="18"/>
          <w:lang w:val="nl-NL"/>
        </w:rPr>
      </w:pPr>
      <w:r>
        <w:rPr>
          <w:rStyle w:val="FootnoteReference"/>
        </w:rPr>
        <w:footnoteRef/>
      </w:r>
      <w:r>
        <w:rPr>
          <w:color w:val="000000"/>
          <w:sz w:val="18"/>
          <w:szCs w:val="18"/>
        </w:rPr>
        <w:t xml:space="preserve">General Prosecutor Office. Report for 2021, page 43. </w:t>
      </w:r>
      <w:r w:rsidRPr="00903712">
        <w:rPr>
          <w:color w:val="000000"/>
          <w:sz w:val="18"/>
          <w:szCs w:val="18"/>
          <w:lang w:val="nl-NL"/>
        </w:rPr>
        <w:t xml:space="preserve">Online: </w:t>
      </w:r>
      <w:r w:rsidRPr="00903712">
        <w:rPr>
          <w:color w:val="0000FF"/>
          <w:sz w:val="18"/>
          <w:szCs w:val="18"/>
          <w:u w:val="single"/>
          <w:lang w:val="nl-NL"/>
        </w:rPr>
        <w:t>http://procuratura.md/file/2022-03-21_RAPORT%20de%20activitate%20FINAL.pdf</w:t>
      </w:r>
    </w:p>
  </w:footnote>
  <w:footnote w:id="5">
    <w:p w14:paraId="2E879E49"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hyperlink r:id="rId4">
        <w:r>
          <w:rPr>
            <w:color w:val="0000FF"/>
            <w:sz w:val="18"/>
            <w:szCs w:val="18"/>
            <w:u w:val="single"/>
          </w:rPr>
          <w:t xml:space="preserve"> Ibid, page 39</w:t>
        </w:r>
      </w:hyperlink>
    </w:p>
  </w:footnote>
  <w:footnote w:id="6">
    <w:p w14:paraId="23D022F3" w14:textId="4A20F49F"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w:t>
      </w:r>
      <w:r w:rsidR="00711BCD">
        <w:rPr>
          <w:color w:val="000000"/>
          <w:sz w:val="18"/>
          <w:szCs w:val="18"/>
        </w:rPr>
        <w:t>Ibid, page 40.</w:t>
      </w:r>
    </w:p>
  </w:footnote>
  <w:footnote w:id="7">
    <w:p w14:paraId="02D9823F" w14:textId="77777777" w:rsidR="00507637" w:rsidRDefault="00C214C0">
      <w:pPr>
        <w:pBdr>
          <w:top w:val="nil"/>
          <w:left w:val="nil"/>
          <w:bottom w:val="nil"/>
          <w:right w:val="nil"/>
          <w:between w:val="nil"/>
        </w:pBdr>
        <w:spacing w:line="240" w:lineRule="auto"/>
        <w:ind w:left="1134"/>
        <w:rPr>
          <w:color w:val="000000"/>
        </w:rPr>
      </w:pPr>
      <w:r>
        <w:rPr>
          <w:rStyle w:val="FootnoteReference"/>
        </w:rPr>
        <w:footnoteRef/>
      </w:r>
      <w:r>
        <w:rPr>
          <w:color w:val="000000"/>
        </w:rPr>
        <w:t xml:space="preserve"> Human Rights Committee. Concluding observations on the seventh periodic report of the Russian Federation. CCPR/C/RUS/CO/7. April 2015. Para 16.</w:t>
      </w:r>
    </w:p>
  </w:footnote>
  <w:footnote w:id="8">
    <w:p w14:paraId="6D6666AD"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Violence against women in the family in the Republic of Moldova, edition 2011. National Bureau of Statistics. Online: </w:t>
      </w:r>
      <w:hyperlink r:id="rId5">
        <w:r>
          <w:rPr>
            <w:color w:val="0000FF"/>
            <w:sz w:val="18"/>
            <w:szCs w:val="18"/>
            <w:u w:val="single"/>
          </w:rPr>
          <w:t>https://statistica.gov.md/en/violenta-fata-de-femei-in-familie-in-republica-moldova-editia-2011-9679_59496.html</w:t>
        </w:r>
      </w:hyperlink>
      <w:r>
        <w:rPr>
          <w:color w:val="000000"/>
          <w:sz w:val="18"/>
          <w:szCs w:val="18"/>
        </w:rPr>
        <w:t xml:space="preserve"> </w:t>
      </w:r>
    </w:p>
  </w:footnote>
  <w:footnote w:id="9">
    <w:p w14:paraId="0C7DF91C" w14:textId="77777777" w:rsidR="00507637" w:rsidRPr="00903712" w:rsidRDefault="00C214C0">
      <w:pPr>
        <w:pBdr>
          <w:top w:val="nil"/>
          <w:left w:val="nil"/>
          <w:bottom w:val="nil"/>
          <w:right w:val="nil"/>
          <w:between w:val="nil"/>
        </w:pBdr>
        <w:tabs>
          <w:tab w:val="right" w:pos="1021"/>
        </w:tabs>
        <w:spacing w:line="220" w:lineRule="auto"/>
        <w:ind w:left="1134" w:right="1134"/>
        <w:rPr>
          <w:color w:val="000000"/>
          <w:sz w:val="18"/>
          <w:szCs w:val="18"/>
          <w:lang w:val="nl-NL"/>
        </w:rPr>
      </w:pPr>
      <w:r>
        <w:rPr>
          <w:rStyle w:val="FootnoteReference"/>
        </w:rPr>
        <w:footnoteRef/>
      </w:r>
      <w:r>
        <w:rPr>
          <w:color w:val="000000"/>
          <w:sz w:val="18"/>
          <w:szCs w:val="18"/>
        </w:rPr>
        <w:t xml:space="preserve"> Women and Drugs. World Drug Report 2018 (United Nations publication, Sales No. E.18.XI.9). </w:t>
      </w:r>
      <w:r w:rsidRPr="00903712">
        <w:rPr>
          <w:color w:val="000000"/>
          <w:sz w:val="18"/>
          <w:szCs w:val="18"/>
          <w:lang w:val="nl-NL"/>
        </w:rPr>
        <w:t xml:space="preserve">Online: </w:t>
      </w:r>
      <w:hyperlink r:id="rId6">
        <w:r w:rsidRPr="00903712">
          <w:rPr>
            <w:color w:val="0000FF"/>
            <w:sz w:val="18"/>
            <w:szCs w:val="18"/>
            <w:u w:val="single"/>
            <w:lang w:val="nl-NL"/>
          </w:rPr>
          <w:t>https://www.unodc.org/wdr2018/prelaunch/WDR18_Booklet_5_WOMEN.pdf</w:t>
        </w:r>
      </w:hyperlink>
    </w:p>
  </w:footnote>
  <w:footnote w:id="10">
    <w:p w14:paraId="57CA4DC2"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Brady KT, Back SE. Childhood trauma, posttraumatic stress disorder, and alcohol dependence. Alcohol Res. 2012;34(4):408-13. PMID: 23584107; PMCID: PMC3860395. Online: </w:t>
      </w:r>
      <w:hyperlink r:id="rId7">
        <w:r>
          <w:rPr>
            <w:color w:val="0000FF"/>
            <w:sz w:val="18"/>
            <w:szCs w:val="18"/>
            <w:u w:val="single"/>
          </w:rPr>
          <w:t>https://www.ncbi.nlm.nih.gov/pmc/articles/PMC3860395/</w:t>
        </w:r>
      </w:hyperlink>
    </w:p>
  </w:footnote>
  <w:footnote w:id="11">
    <w:p w14:paraId="0715FA39"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Pr>
          <w:color w:val="000000"/>
          <w:sz w:val="18"/>
          <w:szCs w:val="18"/>
        </w:rPr>
        <w:t xml:space="preserve"> Joint NGO Submission for the 3rd cycle of Universal Periodic Review of the Republic of Moldova </w:t>
      </w:r>
      <w:hyperlink r:id="rId8">
        <w:r>
          <w:rPr>
            <w:color w:val="0000FF"/>
            <w:sz w:val="18"/>
            <w:szCs w:val="18"/>
            <w:u w:val="single"/>
          </w:rPr>
          <w:t>http://uorn.md/joint-ngo-submission-upr-alternative-report-aspecte-ce-tin-de-situatia-femeilor-care-consuma-droguri-a-femeilor-lucratoare-sexuale-si-disponibilitatea-tratamentului-dependentei-de-droguri-in-republica/</w:t>
        </w:r>
      </w:hyperlink>
      <w:r>
        <w:rPr>
          <w:color w:val="000000"/>
          <w:sz w:val="18"/>
          <w:szCs w:val="18"/>
        </w:rPr>
        <w:t xml:space="preserve"> </w:t>
      </w:r>
    </w:p>
  </w:footnote>
  <w:footnote w:id="12">
    <w:p w14:paraId="712D2203" w14:textId="77777777" w:rsidR="00507637" w:rsidRDefault="00C214C0">
      <w:pPr>
        <w:pBdr>
          <w:top w:val="nil"/>
          <w:left w:val="nil"/>
          <w:bottom w:val="nil"/>
          <w:right w:val="nil"/>
          <w:between w:val="nil"/>
        </w:pBdr>
        <w:tabs>
          <w:tab w:val="right" w:pos="1021"/>
        </w:tabs>
        <w:spacing w:line="220" w:lineRule="auto"/>
        <w:ind w:left="1134" w:right="1134"/>
        <w:rPr>
          <w:color w:val="000000"/>
          <w:sz w:val="18"/>
          <w:szCs w:val="18"/>
        </w:rPr>
      </w:pPr>
      <w:r>
        <w:rPr>
          <w:rStyle w:val="FootnoteReference"/>
        </w:rPr>
        <w:footnoteRef/>
      </w:r>
      <w:r w:rsidRPr="005443B2">
        <w:rPr>
          <w:color w:val="000000"/>
          <w:sz w:val="18"/>
          <w:szCs w:val="18"/>
          <w:lang w:val="ru-RU"/>
        </w:rPr>
        <w:t xml:space="preserve"> Оценка влияния наркополитики на общественное здоровье и эпидемию </w:t>
      </w:r>
      <w:r w:rsidRPr="00903712">
        <w:rPr>
          <w:color w:val="000000"/>
          <w:sz w:val="18"/>
          <w:szCs w:val="18"/>
          <w:lang w:val="ru-RU"/>
        </w:rPr>
        <w:t>ВИЧ</w:t>
      </w:r>
      <w:r w:rsidRPr="00302CAB">
        <w:rPr>
          <w:color w:val="000000"/>
          <w:sz w:val="18"/>
          <w:szCs w:val="18"/>
          <w:lang w:val="en-US"/>
        </w:rPr>
        <w:t xml:space="preserve"> </w:t>
      </w:r>
      <w:r w:rsidRPr="00903712">
        <w:rPr>
          <w:color w:val="000000"/>
          <w:sz w:val="18"/>
          <w:szCs w:val="18"/>
          <w:lang w:val="ru-RU"/>
        </w:rPr>
        <w:t>в</w:t>
      </w:r>
      <w:r w:rsidRPr="00302CAB">
        <w:rPr>
          <w:color w:val="000000"/>
          <w:sz w:val="18"/>
          <w:szCs w:val="18"/>
          <w:lang w:val="en-US"/>
        </w:rPr>
        <w:t xml:space="preserve"> </w:t>
      </w:r>
      <w:r w:rsidRPr="00903712">
        <w:rPr>
          <w:color w:val="000000"/>
          <w:sz w:val="18"/>
          <w:szCs w:val="18"/>
          <w:lang w:val="ru-RU"/>
        </w:rPr>
        <w:t>Республике</w:t>
      </w:r>
      <w:r w:rsidRPr="00302CAB">
        <w:rPr>
          <w:color w:val="000000"/>
          <w:sz w:val="18"/>
          <w:szCs w:val="18"/>
          <w:lang w:val="en-US"/>
        </w:rPr>
        <w:t xml:space="preserve"> </w:t>
      </w:r>
      <w:r w:rsidRPr="00903712">
        <w:rPr>
          <w:color w:val="000000"/>
          <w:sz w:val="18"/>
          <w:szCs w:val="18"/>
          <w:lang w:val="ru-RU"/>
        </w:rPr>
        <w:t>Молдова</w:t>
      </w:r>
      <w:r w:rsidRPr="00302CAB">
        <w:rPr>
          <w:color w:val="000000"/>
          <w:sz w:val="18"/>
          <w:szCs w:val="18"/>
          <w:lang w:val="en-US"/>
        </w:rPr>
        <w:t xml:space="preserve">. </w:t>
      </w:r>
      <w:proofErr w:type="spellStart"/>
      <w:r>
        <w:rPr>
          <w:color w:val="000000"/>
          <w:sz w:val="18"/>
          <w:szCs w:val="18"/>
        </w:rPr>
        <w:t>Uniunea</w:t>
      </w:r>
      <w:proofErr w:type="spellEnd"/>
      <w:r w:rsidRPr="00302CAB">
        <w:rPr>
          <w:color w:val="000000"/>
          <w:sz w:val="18"/>
          <w:szCs w:val="18"/>
          <w:lang w:val="en-US"/>
        </w:rPr>
        <w:t xml:space="preserve"> </w:t>
      </w:r>
      <w:proofErr w:type="spellStart"/>
      <w:r>
        <w:rPr>
          <w:color w:val="000000"/>
          <w:sz w:val="18"/>
          <w:szCs w:val="18"/>
        </w:rPr>
        <w:t>pentru</w:t>
      </w:r>
      <w:proofErr w:type="spellEnd"/>
      <w:r w:rsidRPr="00302CAB">
        <w:rPr>
          <w:color w:val="000000"/>
          <w:sz w:val="18"/>
          <w:szCs w:val="18"/>
          <w:lang w:val="en-US"/>
        </w:rPr>
        <w:t xml:space="preserve"> </w:t>
      </w:r>
      <w:proofErr w:type="spellStart"/>
      <w:r>
        <w:rPr>
          <w:color w:val="000000"/>
          <w:sz w:val="18"/>
          <w:szCs w:val="18"/>
        </w:rPr>
        <w:t>Echitate</w:t>
      </w:r>
      <w:proofErr w:type="spellEnd"/>
      <w:r w:rsidRPr="00302CAB">
        <w:rPr>
          <w:color w:val="000000"/>
          <w:sz w:val="18"/>
          <w:szCs w:val="18"/>
          <w:lang w:val="en-US"/>
        </w:rPr>
        <w:t xml:space="preserve"> </w:t>
      </w:r>
      <w:r>
        <w:rPr>
          <w:color w:val="000000"/>
          <w:sz w:val="18"/>
          <w:szCs w:val="18"/>
        </w:rPr>
        <w:t>in</w:t>
      </w:r>
      <w:r w:rsidRPr="00302CAB">
        <w:rPr>
          <w:color w:val="000000"/>
          <w:sz w:val="18"/>
          <w:szCs w:val="18"/>
          <w:lang w:val="en-US"/>
        </w:rPr>
        <w:t xml:space="preserve"> </w:t>
      </w:r>
      <w:proofErr w:type="spellStart"/>
      <w:r>
        <w:rPr>
          <w:color w:val="000000"/>
          <w:sz w:val="18"/>
          <w:szCs w:val="18"/>
        </w:rPr>
        <w:t>Sanatate</w:t>
      </w:r>
      <w:proofErr w:type="spellEnd"/>
      <w:r w:rsidRPr="00302CAB">
        <w:rPr>
          <w:color w:val="000000"/>
          <w:sz w:val="18"/>
          <w:szCs w:val="18"/>
          <w:lang w:val="en-US"/>
        </w:rPr>
        <w:t xml:space="preserve"> (</w:t>
      </w:r>
      <w:r>
        <w:rPr>
          <w:color w:val="000000"/>
          <w:sz w:val="18"/>
          <w:szCs w:val="18"/>
        </w:rPr>
        <w:t>UES</w:t>
      </w:r>
      <w:r w:rsidRPr="00302CAB">
        <w:rPr>
          <w:color w:val="000000"/>
          <w:sz w:val="18"/>
          <w:szCs w:val="18"/>
          <w:lang w:val="en-US"/>
        </w:rPr>
        <w:t xml:space="preserve">). 2023. </w:t>
      </w:r>
      <w:r>
        <w:rPr>
          <w:color w:val="000000"/>
          <w:sz w:val="18"/>
          <w:szCs w:val="18"/>
        </w:rPr>
        <w:t>In print.</w:t>
      </w:r>
    </w:p>
  </w:footnote>
  <w:footnote w:id="13">
    <w:p w14:paraId="6B7ECDF7" w14:textId="77777777" w:rsidR="00507637" w:rsidRDefault="00C214C0">
      <w:pPr>
        <w:pBdr>
          <w:top w:val="nil"/>
          <w:left w:val="nil"/>
          <w:bottom w:val="nil"/>
          <w:right w:val="nil"/>
          <w:between w:val="nil"/>
        </w:pBdr>
        <w:tabs>
          <w:tab w:val="right" w:pos="1021"/>
          <w:tab w:val="right" w:pos="1134"/>
        </w:tabs>
        <w:spacing w:line="220" w:lineRule="auto"/>
        <w:ind w:left="1134" w:right="1134"/>
        <w:rPr>
          <w:color w:val="000000"/>
          <w:sz w:val="18"/>
          <w:szCs w:val="18"/>
        </w:rPr>
      </w:pPr>
      <w:r>
        <w:rPr>
          <w:rStyle w:val="FootnoteReference"/>
        </w:rPr>
        <w:footnoteRef/>
      </w:r>
      <w:r>
        <w:rPr>
          <w:color w:val="000000"/>
          <w:sz w:val="18"/>
          <w:szCs w:val="18"/>
        </w:rPr>
        <w:t xml:space="preserve"> Issues with respect to Lithuania, Belarus, and Moldova (In reference to HRC resolution 42/22 requesting a study on arbitrary detention relating to drug policies). Eurasian Harm Reduction Association.2020. Online: https://www.ohchr.org/Documents/Issues/Detention/Call/CSOs/Eurasian_Harm_Reduction.pdf</w:t>
      </w:r>
    </w:p>
  </w:footnote>
  <w:footnote w:id="14">
    <w:p w14:paraId="568C87D6" w14:textId="0E9552B1" w:rsidR="00507637" w:rsidRDefault="00C214C0" w:rsidP="00711BCD">
      <w:pPr>
        <w:pBdr>
          <w:top w:val="nil"/>
          <w:left w:val="nil"/>
          <w:bottom w:val="nil"/>
          <w:right w:val="nil"/>
          <w:between w:val="nil"/>
        </w:pBdr>
        <w:tabs>
          <w:tab w:val="right" w:pos="1021"/>
          <w:tab w:val="right" w:pos="1134"/>
        </w:tabs>
        <w:spacing w:line="220" w:lineRule="auto"/>
        <w:ind w:left="1134" w:right="1134"/>
        <w:rPr>
          <w:color w:val="000000"/>
          <w:sz w:val="18"/>
          <w:szCs w:val="18"/>
        </w:rPr>
      </w:pPr>
      <w:r>
        <w:rPr>
          <w:rStyle w:val="FootnoteReference"/>
        </w:rPr>
        <w:footnoteRef/>
      </w:r>
      <w:r>
        <w:rPr>
          <w:color w:val="000000"/>
          <w:sz w:val="18"/>
          <w:szCs w:val="18"/>
        </w:rPr>
        <w:t xml:space="preserve"> The use of synthetic stimulants is on rise in Moldova as in other countries of Central and Eastern Europe. For more information </w:t>
      </w:r>
      <w:proofErr w:type="gramStart"/>
      <w:r>
        <w:rPr>
          <w:color w:val="000000"/>
          <w:sz w:val="18"/>
          <w:szCs w:val="18"/>
        </w:rPr>
        <w:t>see  Iatco</w:t>
      </w:r>
      <w:proofErr w:type="gramEnd"/>
      <w:r>
        <w:rPr>
          <w:color w:val="000000"/>
          <w:sz w:val="18"/>
          <w:szCs w:val="18"/>
        </w:rPr>
        <w:t>, Ala. New psychoactive substance use in Moldova and Belarus: results from</w:t>
      </w:r>
      <w:r w:rsidR="00711BCD">
        <w:rPr>
          <w:color w:val="000000"/>
          <w:sz w:val="18"/>
          <w:szCs w:val="18"/>
        </w:rPr>
        <w:t xml:space="preserve"> </w:t>
      </w:r>
      <w:r>
        <w:rPr>
          <w:color w:val="000000"/>
          <w:sz w:val="18"/>
          <w:szCs w:val="18"/>
        </w:rPr>
        <w:t>the Republic of Moldova. Vilnius: Swansea University, Eurasian Harm Reduction</w:t>
      </w:r>
      <w:r w:rsidR="00711BCD">
        <w:rPr>
          <w:color w:val="000000"/>
          <w:sz w:val="18"/>
          <w:szCs w:val="18"/>
        </w:rPr>
        <w:t xml:space="preserve"> </w:t>
      </w:r>
      <w:r>
        <w:rPr>
          <w:color w:val="000000"/>
          <w:sz w:val="18"/>
          <w:szCs w:val="18"/>
        </w:rPr>
        <w:t xml:space="preserve">Association; 2019. Online: </w:t>
      </w:r>
      <w:hyperlink r:id="rId9">
        <w:r>
          <w:rPr>
            <w:color w:val="0000FF"/>
            <w:sz w:val="18"/>
            <w:szCs w:val="18"/>
            <w:u w:val="single"/>
          </w:rPr>
          <w:t>https://harmreductioneurasia.org/wp-content/uploads/2019/12/Moldova-NPS-Research_ENG.pdf</w:t>
        </w:r>
      </w:hyperlink>
      <w:r>
        <w:rPr>
          <w:color w:val="000000"/>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7B64DB"/>
    <w:multiLevelType w:val="multilevel"/>
    <w:tmpl w:val="FB34B02A"/>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396"/>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tDCztDQyNzAwMDYxMDNV0lEKTi0uzszPAykwqgUAFB9rAiwAAAA="/>
  </w:docVars>
  <w:rsids>
    <w:rsidRoot w:val="00507637"/>
    <w:rsid w:val="000054C5"/>
    <w:rsid w:val="0008500A"/>
    <w:rsid w:val="000F30F7"/>
    <w:rsid w:val="001548D3"/>
    <w:rsid w:val="002000D5"/>
    <w:rsid w:val="00236624"/>
    <w:rsid w:val="00302CAB"/>
    <w:rsid w:val="003F7E08"/>
    <w:rsid w:val="004033B4"/>
    <w:rsid w:val="00491B9E"/>
    <w:rsid w:val="00507637"/>
    <w:rsid w:val="005443B2"/>
    <w:rsid w:val="0056095D"/>
    <w:rsid w:val="006D4352"/>
    <w:rsid w:val="00711BCD"/>
    <w:rsid w:val="0073352C"/>
    <w:rsid w:val="00733CCD"/>
    <w:rsid w:val="00784B8D"/>
    <w:rsid w:val="00787B82"/>
    <w:rsid w:val="007E0A4D"/>
    <w:rsid w:val="00903712"/>
    <w:rsid w:val="00944E0B"/>
    <w:rsid w:val="0096575B"/>
    <w:rsid w:val="00A72E33"/>
    <w:rsid w:val="00BB4461"/>
    <w:rsid w:val="00BC65DB"/>
    <w:rsid w:val="00C214C0"/>
    <w:rsid w:val="00C62950"/>
    <w:rsid w:val="00D65B86"/>
    <w:rsid w:val="00D81007"/>
    <w:rsid w:val="00F82B61"/>
    <w:rsid w:val="00F82FA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C15"/>
    <w:pPr>
      <w:suppressAutoHyphens/>
      <w:spacing w:line="240" w:lineRule="atLeast"/>
    </w:pPr>
    <w:rPr>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tabs>
        <w:tab w:val="num" w:pos="720"/>
      </w:tabs>
      <w:spacing w:after="120"/>
      <w:ind w:left="720" w:right="1134" w:hanging="720"/>
      <w:jc w:val="both"/>
    </w:pPr>
  </w:style>
  <w:style w:type="paragraph" w:customStyle="1" w:styleId="ParaNoG">
    <w:name w:val="_ParaNo._G"/>
    <w:basedOn w:val="SingleTxtG"/>
    <w:rsid w:val="007268F9"/>
    <w:pPr>
      <w:tabs>
        <w:tab w:val="num" w:pos="720"/>
      </w:tabs>
      <w:ind w:left="720" w:hanging="720"/>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ußnote,Geneva 9,Font: Geneva 9,f,ft"/>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ftref"/>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B02BC"/>
    <w:pPr>
      <w:suppressAutoHyphens w:val="0"/>
      <w:spacing w:after="160" w:line="240" w:lineRule="exact"/>
    </w:pPr>
    <w:rPr>
      <w:rFonts w:eastAsia="SimSun" w:cstheme="minorBidi"/>
      <w:sz w:val="18"/>
      <w:szCs w:val="22"/>
      <w:vertAlign w:val="superscript"/>
      <w:lang w:eastAsia="zh-CN"/>
    </w:rPr>
  </w:style>
  <w:style w:type="character" w:styleId="Hyperlink">
    <w:name w:val="Hyperlink"/>
    <w:basedOn w:val="DefaultParagraphFont"/>
    <w:uiPriority w:val="99"/>
    <w:unhideWhenUsed/>
    <w:rsid w:val="00047604"/>
    <w:rPr>
      <w:color w:val="0000FF" w:themeColor="hyperlink"/>
      <w:u w:val="single"/>
    </w:rPr>
  </w:style>
  <w:style w:type="paragraph" w:customStyle="1" w:styleId="Char2">
    <w:name w:val="Char2"/>
    <w:basedOn w:val="Normal"/>
    <w:rsid w:val="00047604"/>
    <w:pPr>
      <w:suppressAutoHyphens w:val="0"/>
      <w:spacing w:before="120" w:after="160" w:line="240" w:lineRule="exact"/>
      <w:ind w:left="547"/>
    </w:pPr>
    <w:rPr>
      <w:rFonts w:asciiTheme="minorHAnsi" w:eastAsiaTheme="minorHAnsi" w:hAnsiTheme="minorHAnsi" w:cstheme="minorBidi"/>
      <w:sz w:val="22"/>
      <w:szCs w:val="22"/>
      <w:vertAlign w:val="superscript"/>
      <w:lang w:val="ru-RU"/>
    </w:rPr>
  </w:style>
  <w:style w:type="paragraph" w:styleId="NoSpacing">
    <w:name w:val="No Spacing"/>
    <w:link w:val="NoSpacingChar"/>
    <w:uiPriority w:val="1"/>
    <w:qFormat/>
    <w:rsid w:val="00EA1A61"/>
    <w:pPr>
      <w:spacing w:line="240" w:lineRule="auto"/>
    </w:pPr>
    <w:rPr>
      <w:rFonts w:eastAsiaTheme="minorHAnsi"/>
      <w:lang w:val="uk-UA" w:eastAsia="en-US"/>
    </w:rPr>
  </w:style>
  <w:style w:type="character" w:customStyle="1" w:styleId="NoSpacingChar">
    <w:name w:val="No Spacing Char"/>
    <w:basedOn w:val="DefaultParagraphFont"/>
    <w:link w:val="NoSpacing"/>
    <w:uiPriority w:val="1"/>
    <w:rsid w:val="00EA1A61"/>
    <w:rPr>
      <w:rFonts w:eastAsiaTheme="minorHAnsi"/>
      <w:lang w:val="uk-UA" w:eastAsia="en-US"/>
    </w:rPr>
  </w:style>
  <w:style w:type="character" w:styleId="FollowedHyperlink">
    <w:name w:val="FollowedHyperlink"/>
    <w:basedOn w:val="DefaultParagraphFont"/>
    <w:uiPriority w:val="99"/>
    <w:semiHidden/>
    <w:unhideWhenUsed/>
    <w:rsid w:val="00EA1A61"/>
    <w:rPr>
      <w:color w:val="800080" w:themeColor="followedHyperlink"/>
      <w:u w:val="single"/>
    </w:rPr>
  </w:style>
  <w:style w:type="paragraph" w:styleId="ListParagraph">
    <w:name w:val="List Paragraph"/>
    <w:basedOn w:val="Normal"/>
    <w:link w:val="ListParagraphChar"/>
    <w:uiPriority w:val="34"/>
    <w:qFormat/>
    <w:rsid w:val="00775F2F"/>
    <w:pPr>
      <w:suppressAutoHyphens w:val="0"/>
      <w:spacing w:line="276" w:lineRule="auto"/>
      <w:ind w:left="720"/>
      <w:contextualSpacing/>
    </w:pPr>
    <w:rPr>
      <w:rFonts w:ascii="Arial" w:eastAsia="Arial" w:hAnsi="Arial" w:cs="Arial"/>
      <w:sz w:val="22"/>
      <w:szCs w:val="22"/>
      <w:lang w:val="ru-RU" w:eastAsia="en-CA"/>
    </w:rPr>
  </w:style>
  <w:style w:type="character" w:customStyle="1" w:styleId="ListParagraphChar">
    <w:name w:val="List Paragraph Char"/>
    <w:link w:val="ListParagraph"/>
    <w:uiPriority w:val="34"/>
    <w:locked/>
    <w:rsid w:val="00775F2F"/>
    <w:rPr>
      <w:rFonts w:ascii="Arial" w:eastAsia="Arial" w:hAnsi="Arial" w:cs="Arial"/>
      <w:lang w:val="ru-RU" w:eastAsia="en-CA"/>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uiPriority w:val="99"/>
    <w:rsid w:val="00E9771D"/>
    <w:pPr>
      <w:suppressAutoHyphens w:val="0"/>
      <w:autoSpaceDE w:val="0"/>
      <w:autoSpaceDN w:val="0"/>
      <w:spacing w:after="160" w:line="240" w:lineRule="exact"/>
      <w:jc w:val="both"/>
    </w:pPr>
    <w:rPr>
      <w:rFonts w:asciiTheme="minorHAnsi" w:eastAsiaTheme="minorHAnsi" w:hAnsiTheme="minorHAnsi" w:cstheme="minorBidi"/>
      <w:kern w:val="2"/>
      <w:sz w:val="24"/>
      <w:szCs w:val="24"/>
      <w:vertAlign w:val="superscript"/>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5443B2"/>
    <w:pPr>
      <w:tabs>
        <w:tab w:val="right" w:pos="9629"/>
      </w:tabs>
      <w:spacing w:after="100" w:line="360" w:lineRule="auto"/>
    </w:pPr>
  </w:style>
  <w:style w:type="character" w:styleId="CommentReference">
    <w:name w:val="annotation reference"/>
    <w:basedOn w:val="DefaultParagraphFont"/>
    <w:uiPriority w:val="99"/>
    <w:semiHidden/>
    <w:unhideWhenUsed/>
    <w:rsid w:val="00903712"/>
    <w:rPr>
      <w:sz w:val="16"/>
      <w:szCs w:val="16"/>
    </w:rPr>
  </w:style>
  <w:style w:type="paragraph" w:styleId="CommentText">
    <w:name w:val="annotation text"/>
    <w:basedOn w:val="Normal"/>
    <w:link w:val="CommentTextChar"/>
    <w:uiPriority w:val="99"/>
    <w:unhideWhenUsed/>
    <w:rsid w:val="00903712"/>
    <w:pPr>
      <w:spacing w:line="240" w:lineRule="auto"/>
    </w:pPr>
  </w:style>
  <w:style w:type="character" w:customStyle="1" w:styleId="CommentTextChar">
    <w:name w:val="Comment Text Char"/>
    <w:basedOn w:val="DefaultParagraphFont"/>
    <w:link w:val="CommentText"/>
    <w:uiPriority w:val="99"/>
    <w:rsid w:val="00903712"/>
    <w:rPr>
      <w:lang w:eastAsia="en-US"/>
    </w:rPr>
  </w:style>
  <w:style w:type="paragraph" w:styleId="CommentSubject">
    <w:name w:val="annotation subject"/>
    <w:basedOn w:val="CommentText"/>
    <w:next w:val="CommentText"/>
    <w:link w:val="CommentSubjectChar"/>
    <w:uiPriority w:val="99"/>
    <w:semiHidden/>
    <w:unhideWhenUsed/>
    <w:rsid w:val="00903712"/>
    <w:rPr>
      <w:b/>
      <w:bCs/>
    </w:rPr>
  </w:style>
  <w:style w:type="character" w:customStyle="1" w:styleId="CommentSubjectChar">
    <w:name w:val="Comment Subject Char"/>
    <w:basedOn w:val="CommentTextChar"/>
    <w:link w:val="CommentSubject"/>
    <w:uiPriority w:val="99"/>
    <w:semiHidden/>
    <w:rsid w:val="00903712"/>
    <w:rPr>
      <w:b/>
      <w:bCs/>
      <w:lang w:eastAsia="en-US"/>
    </w:rPr>
  </w:style>
  <w:style w:type="character" w:customStyle="1" w:styleId="UnresolvedMention1">
    <w:name w:val="Unresolved Mention1"/>
    <w:basedOn w:val="DefaultParagraphFont"/>
    <w:uiPriority w:val="99"/>
    <w:semiHidden/>
    <w:unhideWhenUsed/>
    <w:rsid w:val="00903712"/>
    <w:rPr>
      <w:color w:val="605E5C"/>
      <w:shd w:val="clear" w:color="auto" w:fill="E1DFDD"/>
    </w:rPr>
  </w:style>
  <w:style w:type="paragraph" w:styleId="Revision">
    <w:name w:val="Revision"/>
    <w:hidden/>
    <w:uiPriority w:val="99"/>
    <w:semiHidden/>
    <w:rsid w:val="004033B4"/>
    <w:pPr>
      <w:spacing w:line="240" w:lineRule="auto"/>
    </w:pPr>
    <w:rPr>
      <w:lang w:eastAsia="en-US"/>
    </w:rPr>
  </w:style>
  <w:style w:type="character" w:customStyle="1" w:styleId="UnresolvedMention">
    <w:name w:val="Unresolved Mention"/>
    <w:basedOn w:val="DefaultParagraphFont"/>
    <w:uiPriority w:val="99"/>
    <w:semiHidden/>
    <w:unhideWhenUsed/>
    <w:rsid w:val="0096575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C15"/>
    <w:pPr>
      <w:suppressAutoHyphens/>
      <w:spacing w:line="240" w:lineRule="atLeast"/>
    </w:pPr>
    <w:rPr>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tabs>
        <w:tab w:val="num" w:pos="720"/>
      </w:tabs>
      <w:spacing w:after="120"/>
      <w:ind w:left="720" w:right="1134" w:hanging="720"/>
      <w:jc w:val="both"/>
    </w:pPr>
  </w:style>
  <w:style w:type="paragraph" w:customStyle="1" w:styleId="ParaNoG">
    <w:name w:val="_ParaNo._G"/>
    <w:basedOn w:val="SingleTxtG"/>
    <w:rsid w:val="007268F9"/>
    <w:pPr>
      <w:tabs>
        <w:tab w:val="num" w:pos="720"/>
      </w:tabs>
      <w:ind w:left="720" w:hanging="720"/>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ußnote,Geneva 9,Font: Geneva 9,f,ft"/>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ftref"/>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B02BC"/>
    <w:pPr>
      <w:suppressAutoHyphens w:val="0"/>
      <w:spacing w:after="160" w:line="240" w:lineRule="exact"/>
    </w:pPr>
    <w:rPr>
      <w:rFonts w:eastAsia="SimSun" w:cstheme="minorBidi"/>
      <w:sz w:val="18"/>
      <w:szCs w:val="22"/>
      <w:vertAlign w:val="superscript"/>
      <w:lang w:eastAsia="zh-CN"/>
    </w:rPr>
  </w:style>
  <w:style w:type="character" w:styleId="Hyperlink">
    <w:name w:val="Hyperlink"/>
    <w:basedOn w:val="DefaultParagraphFont"/>
    <w:uiPriority w:val="99"/>
    <w:unhideWhenUsed/>
    <w:rsid w:val="00047604"/>
    <w:rPr>
      <w:color w:val="0000FF" w:themeColor="hyperlink"/>
      <w:u w:val="single"/>
    </w:rPr>
  </w:style>
  <w:style w:type="paragraph" w:customStyle="1" w:styleId="Char2">
    <w:name w:val="Char2"/>
    <w:basedOn w:val="Normal"/>
    <w:rsid w:val="00047604"/>
    <w:pPr>
      <w:suppressAutoHyphens w:val="0"/>
      <w:spacing w:before="120" w:after="160" w:line="240" w:lineRule="exact"/>
      <w:ind w:left="547"/>
    </w:pPr>
    <w:rPr>
      <w:rFonts w:asciiTheme="minorHAnsi" w:eastAsiaTheme="minorHAnsi" w:hAnsiTheme="minorHAnsi" w:cstheme="minorBidi"/>
      <w:sz w:val="22"/>
      <w:szCs w:val="22"/>
      <w:vertAlign w:val="superscript"/>
      <w:lang w:val="ru-RU"/>
    </w:rPr>
  </w:style>
  <w:style w:type="paragraph" w:styleId="NoSpacing">
    <w:name w:val="No Spacing"/>
    <w:link w:val="NoSpacingChar"/>
    <w:uiPriority w:val="1"/>
    <w:qFormat/>
    <w:rsid w:val="00EA1A61"/>
    <w:pPr>
      <w:spacing w:line="240" w:lineRule="auto"/>
    </w:pPr>
    <w:rPr>
      <w:rFonts w:eastAsiaTheme="minorHAnsi"/>
      <w:lang w:val="uk-UA" w:eastAsia="en-US"/>
    </w:rPr>
  </w:style>
  <w:style w:type="character" w:customStyle="1" w:styleId="NoSpacingChar">
    <w:name w:val="No Spacing Char"/>
    <w:basedOn w:val="DefaultParagraphFont"/>
    <w:link w:val="NoSpacing"/>
    <w:uiPriority w:val="1"/>
    <w:rsid w:val="00EA1A61"/>
    <w:rPr>
      <w:rFonts w:eastAsiaTheme="minorHAnsi"/>
      <w:lang w:val="uk-UA" w:eastAsia="en-US"/>
    </w:rPr>
  </w:style>
  <w:style w:type="character" w:styleId="FollowedHyperlink">
    <w:name w:val="FollowedHyperlink"/>
    <w:basedOn w:val="DefaultParagraphFont"/>
    <w:uiPriority w:val="99"/>
    <w:semiHidden/>
    <w:unhideWhenUsed/>
    <w:rsid w:val="00EA1A61"/>
    <w:rPr>
      <w:color w:val="800080" w:themeColor="followedHyperlink"/>
      <w:u w:val="single"/>
    </w:rPr>
  </w:style>
  <w:style w:type="paragraph" w:styleId="ListParagraph">
    <w:name w:val="List Paragraph"/>
    <w:basedOn w:val="Normal"/>
    <w:link w:val="ListParagraphChar"/>
    <w:uiPriority w:val="34"/>
    <w:qFormat/>
    <w:rsid w:val="00775F2F"/>
    <w:pPr>
      <w:suppressAutoHyphens w:val="0"/>
      <w:spacing w:line="276" w:lineRule="auto"/>
      <w:ind w:left="720"/>
      <w:contextualSpacing/>
    </w:pPr>
    <w:rPr>
      <w:rFonts w:ascii="Arial" w:eastAsia="Arial" w:hAnsi="Arial" w:cs="Arial"/>
      <w:sz w:val="22"/>
      <w:szCs w:val="22"/>
      <w:lang w:val="ru-RU" w:eastAsia="en-CA"/>
    </w:rPr>
  </w:style>
  <w:style w:type="character" w:customStyle="1" w:styleId="ListParagraphChar">
    <w:name w:val="List Paragraph Char"/>
    <w:link w:val="ListParagraph"/>
    <w:uiPriority w:val="34"/>
    <w:locked/>
    <w:rsid w:val="00775F2F"/>
    <w:rPr>
      <w:rFonts w:ascii="Arial" w:eastAsia="Arial" w:hAnsi="Arial" w:cs="Arial"/>
      <w:lang w:val="ru-RU" w:eastAsia="en-CA"/>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uiPriority w:val="99"/>
    <w:rsid w:val="00E9771D"/>
    <w:pPr>
      <w:suppressAutoHyphens w:val="0"/>
      <w:autoSpaceDE w:val="0"/>
      <w:autoSpaceDN w:val="0"/>
      <w:spacing w:after="160" w:line="240" w:lineRule="exact"/>
      <w:jc w:val="both"/>
    </w:pPr>
    <w:rPr>
      <w:rFonts w:asciiTheme="minorHAnsi" w:eastAsiaTheme="minorHAnsi" w:hAnsiTheme="minorHAnsi" w:cstheme="minorBidi"/>
      <w:kern w:val="2"/>
      <w:sz w:val="24"/>
      <w:szCs w:val="24"/>
      <w:vertAlign w:val="superscript"/>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5443B2"/>
    <w:pPr>
      <w:tabs>
        <w:tab w:val="right" w:pos="9629"/>
      </w:tabs>
      <w:spacing w:after="100" w:line="360" w:lineRule="auto"/>
    </w:pPr>
  </w:style>
  <w:style w:type="character" w:styleId="CommentReference">
    <w:name w:val="annotation reference"/>
    <w:basedOn w:val="DefaultParagraphFont"/>
    <w:uiPriority w:val="99"/>
    <w:semiHidden/>
    <w:unhideWhenUsed/>
    <w:rsid w:val="00903712"/>
    <w:rPr>
      <w:sz w:val="16"/>
      <w:szCs w:val="16"/>
    </w:rPr>
  </w:style>
  <w:style w:type="paragraph" w:styleId="CommentText">
    <w:name w:val="annotation text"/>
    <w:basedOn w:val="Normal"/>
    <w:link w:val="CommentTextChar"/>
    <w:uiPriority w:val="99"/>
    <w:unhideWhenUsed/>
    <w:rsid w:val="00903712"/>
    <w:pPr>
      <w:spacing w:line="240" w:lineRule="auto"/>
    </w:pPr>
  </w:style>
  <w:style w:type="character" w:customStyle="1" w:styleId="CommentTextChar">
    <w:name w:val="Comment Text Char"/>
    <w:basedOn w:val="DefaultParagraphFont"/>
    <w:link w:val="CommentText"/>
    <w:uiPriority w:val="99"/>
    <w:rsid w:val="00903712"/>
    <w:rPr>
      <w:lang w:eastAsia="en-US"/>
    </w:rPr>
  </w:style>
  <w:style w:type="paragraph" w:styleId="CommentSubject">
    <w:name w:val="annotation subject"/>
    <w:basedOn w:val="CommentText"/>
    <w:next w:val="CommentText"/>
    <w:link w:val="CommentSubjectChar"/>
    <w:uiPriority w:val="99"/>
    <w:semiHidden/>
    <w:unhideWhenUsed/>
    <w:rsid w:val="00903712"/>
    <w:rPr>
      <w:b/>
      <w:bCs/>
    </w:rPr>
  </w:style>
  <w:style w:type="character" w:customStyle="1" w:styleId="CommentSubjectChar">
    <w:name w:val="Comment Subject Char"/>
    <w:basedOn w:val="CommentTextChar"/>
    <w:link w:val="CommentSubject"/>
    <w:uiPriority w:val="99"/>
    <w:semiHidden/>
    <w:rsid w:val="00903712"/>
    <w:rPr>
      <w:b/>
      <w:bCs/>
      <w:lang w:eastAsia="en-US"/>
    </w:rPr>
  </w:style>
  <w:style w:type="character" w:customStyle="1" w:styleId="UnresolvedMention1">
    <w:name w:val="Unresolved Mention1"/>
    <w:basedOn w:val="DefaultParagraphFont"/>
    <w:uiPriority w:val="99"/>
    <w:semiHidden/>
    <w:unhideWhenUsed/>
    <w:rsid w:val="00903712"/>
    <w:rPr>
      <w:color w:val="605E5C"/>
      <w:shd w:val="clear" w:color="auto" w:fill="E1DFDD"/>
    </w:rPr>
  </w:style>
  <w:style w:type="paragraph" w:styleId="Revision">
    <w:name w:val="Revision"/>
    <w:hidden/>
    <w:uiPriority w:val="99"/>
    <w:semiHidden/>
    <w:rsid w:val="004033B4"/>
    <w:pPr>
      <w:spacing w:line="240" w:lineRule="auto"/>
    </w:pPr>
    <w:rPr>
      <w:lang w:eastAsia="en-US"/>
    </w:rPr>
  </w:style>
  <w:style w:type="character" w:customStyle="1" w:styleId="UnresolvedMention">
    <w:name w:val="Unresolved Mention"/>
    <w:basedOn w:val="DefaultParagraphFont"/>
    <w:uiPriority w:val="99"/>
    <w:semiHidden/>
    <w:unhideWhenUsed/>
    <w:rsid w:val="009657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liza@harmreductioneurasia.org" TargetMode="External"/><Relationship Id="rId18" Type="http://schemas.openxmlformats.org/officeDocument/2006/relationships/hyperlink" Target="mailto:puls.centre@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pulscomunitar.md/" TargetMode="External"/><Relationship Id="rId2" Type="http://schemas.openxmlformats.org/officeDocument/2006/relationships/numbering" Target="numbering.xml"/><Relationship Id="rId16" Type="http://schemas.openxmlformats.org/officeDocument/2006/relationships/hyperlink" Target="mailto:protineret@yahoo.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armreductioneurasia.org" TargetMode="External"/><Relationship Id="rId5" Type="http://schemas.openxmlformats.org/officeDocument/2006/relationships/settings" Target="settings.xml"/><Relationship Id="rId15" Type="http://schemas.openxmlformats.org/officeDocument/2006/relationships/hyperlink" Target="http://uorn.md/" TargetMode="External"/><Relationship Id="rId10" Type="http://schemas.openxmlformats.org/officeDocument/2006/relationships/hyperlink" Target="mailto:mgolichenko@gmail.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uorn.md/joint-ngo-submission-upr-alternative-report-aspecte-ce-tin-de-situatia-femeilor-care-consuma-droguri-a-femeilor-lucratoare-sexuale-si-disponibilitatea-tratamentului-dependentei-de-droguri-in-republica/" TargetMode="External"/><Relationship Id="rId3" Type="http://schemas.openxmlformats.org/officeDocument/2006/relationships/hyperlink" Target="http://www.leahn.org/wp-content/uploads/2014/05/Manual-on-police-and-HIV.pdf" TargetMode="External"/><Relationship Id="rId7" Type="http://schemas.openxmlformats.org/officeDocument/2006/relationships/hyperlink" Target="https://www.ncbi.nlm.nih.gov/pmc/articles/PMC3860395/" TargetMode="External"/><Relationship Id="rId2" Type="http://schemas.openxmlformats.org/officeDocument/2006/relationships/hyperlink" Target="https://www.legis.md/cautare/getResults?doc_id=121214&amp;lang=ru" TargetMode="External"/><Relationship Id="rId1" Type="http://schemas.openxmlformats.org/officeDocument/2006/relationships/hyperlink" Target="mailto:eliza@harmreductioneurasia.org" TargetMode="External"/><Relationship Id="rId6" Type="http://schemas.openxmlformats.org/officeDocument/2006/relationships/hyperlink" Target="https://www.unodc.org/wdr2018/prelaunch/WDR18_Booklet_5_WOMEN.pdf" TargetMode="External"/><Relationship Id="rId5" Type="http://schemas.openxmlformats.org/officeDocument/2006/relationships/hyperlink" Target="https://statistica.gov.md/en/violenta-fata-de-femei-in-familie-in-republica-moldova-editia-2011-9679_59496.html" TargetMode="External"/><Relationship Id="rId4" Type="http://schemas.openxmlformats.org/officeDocument/2006/relationships/hyperlink" Target="http://procuratura.md/file/2022-03-21_RAPORT%20de%20activitate%20FINAL.pdf" TargetMode="External"/><Relationship Id="rId9" Type="http://schemas.openxmlformats.org/officeDocument/2006/relationships/hyperlink" Target="https://harmreductioneurasia.org/wp-content/uploads/2019/12/Moldova-NPS-Research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BPe77CzGFwQvxVQGe1RsO4a/I/g==">AMUW2mXbuCoRwoX1fLAuBBS3oPGQ2lGkiiKKNFO6WMhbqrOc0nqJ7JgghPFJtfik4LAbNQ8yhGwqepdDzoc9IvrAl5XfVDUPdVnwHcsoYQDxC7xBfI+Kq3Sw58DsZNn3+M9zq3qBJH5Us+EJpWXoCHVER3nRLFj+cWlkMBmlel7WG/x00h3O/vbNFfTq0GT0b74ZX3vVX9NSxlpxHfkdJrxf+IGBabjgtcyzBJzbrUrjR+dxb9+GzWBlVDaZvXg6r86MGc3qLIWUbwspoRqkYFLq/7TwlYrm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2791</Words>
  <Characters>15660</Characters>
  <Application>Microsoft Office Word</Application>
  <DocSecurity>0</DocSecurity>
  <Lines>1957</Lines>
  <Paragraphs>1419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Moses Okello</dc:creator>
  <cp:lastModifiedBy>TEST</cp:lastModifiedBy>
  <cp:revision>2</cp:revision>
  <dcterms:created xsi:type="dcterms:W3CDTF">2023-04-05T23:51:00Z</dcterms:created>
  <dcterms:modified xsi:type="dcterms:W3CDTF">2023-04-05T23:51:00Z</dcterms:modified>
</cp:coreProperties>
</file>