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before="0" w:line="276" w:lineRule="auto"/>
        <w:ind w:left="0" w:firstLine="0"/>
        <w:jc w:val="center"/>
        <w:rPr>
          <w:b w:val="1"/>
        </w:rPr>
      </w:pPr>
      <w:r w:rsidDel="00000000" w:rsidR="00000000" w:rsidRPr="00000000">
        <w:rPr>
          <w:b w:val="1"/>
        </w:rPr>
        <w:drawing>
          <wp:inline distB="114300" distT="114300" distL="114300" distR="114300">
            <wp:extent cx="1528763" cy="1528763"/>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528763" cy="152876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0" w:before="0" w:line="276" w:lineRule="auto"/>
        <w:ind w:left="0" w:firstLine="0"/>
        <w:jc w:val="both"/>
        <w:rPr>
          <w:b w:val="1"/>
        </w:rPr>
      </w:pPr>
      <w:r w:rsidDel="00000000" w:rsidR="00000000" w:rsidRPr="00000000">
        <w:rPr>
          <w:rtl w:val="0"/>
        </w:rPr>
      </w:r>
    </w:p>
    <w:p w:rsidR="00000000" w:rsidDel="00000000" w:rsidP="00000000" w:rsidRDefault="00000000" w:rsidRPr="00000000" w14:paraId="00000003">
      <w:pPr>
        <w:spacing w:after="0" w:before="0" w:line="276" w:lineRule="auto"/>
        <w:ind w:left="0" w:firstLine="0"/>
        <w:jc w:val="both"/>
        <w:rPr>
          <w:b w:val="1"/>
        </w:rPr>
      </w:pPr>
      <w:r w:rsidDel="00000000" w:rsidR="00000000" w:rsidRPr="00000000">
        <w:rPr>
          <w:b w:val="1"/>
          <w:rtl w:val="0"/>
        </w:rPr>
        <w:t xml:space="preserve">Submission to the UN Committee on the Elimination of Racial Discrimination on Singapore’s Compliance with the International Convention on the Elimination of All Forms of Racial Discrimination (2021)</w:t>
      </w:r>
    </w:p>
    <w:p w:rsidR="00000000" w:rsidDel="00000000" w:rsidP="00000000" w:rsidRDefault="00000000" w:rsidRPr="00000000" w14:paraId="00000004">
      <w:pPr>
        <w:spacing w:after="0" w:before="0" w:line="276" w:lineRule="auto"/>
        <w:ind w:left="0" w:firstLine="0"/>
        <w:jc w:val="both"/>
        <w:rPr/>
      </w:pPr>
      <w:r w:rsidDel="00000000" w:rsidR="00000000" w:rsidRPr="00000000">
        <w:rPr>
          <w:rtl w:val="0"/>
        </w:rPr>
      </w:r>
    </w:p>
    <w:p w:rsidR="00000000" w:rsidDel="00000000" w:rsidP="00000000" w:rsidRDefault="00000000" w:rsidRPr="00000000" w14:paraId="00000005">
      <w:pPr>
        <w:spacing w:after="0" w:before="0" w:line="276" w:lineRule="auto"/>
        <w:ind w:left="0" w:firstLine="0"/>
        <w:jc w:val="both"/>
        <w:rPr/>
      </w:pPr>
      <w:r w:rsidDel="00000000" w:rsidR="00000000" w:rsidRPr="00000000">
        <w:rPr>
          <w:rtl w:val="0"/>
        </w:rPr>
        <w:t xml:space="preserve">The Transformative Justice Collective is an organisation that seeks to reform Singapore’s criminal punishment system. At present, our work includes:</w:t>
      </w:r>
    </w:p>
    <w:p w:rsidR="00000000" w:rsidDel="00000000" w:rsidP="00000000" w:rsidRDefault="00000000" w:rsidRPr="00000000" w14:paraId="00000006">
      <w:pPr>
        <w:numPr>
          <w:ilvl w:val="0"/>
          <w:numId w:val="3"/>
        </w:numPr>
        <w:spacing w:after="0" w:afterAutospacing="0" w:before="380" w:lineRule="auto"/>
        <w:ind w:left="720" w:right="380" w:hanging="360"/>
        <w:jc w:val="both"/>
        <w:rPr>
          <w:u w:val="none"/>
        </w:rPr>
      </w:pPr>
      <w:r w:rsidDel="00000000" w:rsidR="00000000" w:rsidRPr="00000000">
        <w:rPr>
          <w:rtl w:val="0"/>
        </w:rPr>
        <w:t xml:space="preserve">Consolidating and sharing information pertaining to death row and the death penalty in Singapore;</w:t>
      </w:r>
    </w:p>
    <w:p w:rsidR="00000000" w:rsidDel="00000000" w:rsidP="00000000" w:rsidRDefault="00000000" w:rsidRPr="00000000" w14:paraId="0000000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720" w:right="380" w:hanging="360"/>
        <w:jc w:val="both"/>
      </w:pPr>
      <w:r w:rsidDel="00000000" w:rsidR="00000000" w:rsidRPr="00000000">
        <w:rPr>
          <w:rtl w:val="0"/>
        </w:rPr>
        <w:t xml:space="preserve">Assisting individuals and families in conflict with the law;</w:t>
      </w:r>
    </w:p>
    <w:p w:rsidR="00000000" w:rsidDel="00000000" w:rsidP="00000000" w:rsidRDefault="00000000" w:rsidRPr="00000000" w14:paraId="0000000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720" w:right="380" w:hanging="360"/>
        <w:jc w:val="both"/>
      </w:pPr>
      <w:r w:rsidDel="00000000" w:rsidR="00000000" w:rsidRPr="00000000">
        <w:rPr>
          <w:rtl w:val="0"/>
        </w:rPr>
        <w:t xml:space="preserve">Deepening public understanding and discourse around the death penalty, drug control regime, and the criminal punishment system in Singapore;</w:t>
      </w:r>
    </w:p>
    <w:p w:rsidR="00000000" w:rsidDel="00000000" w:rsidP="00000000" w:rsidRDefault="00000000" w:rsidRPr="00000000" w14:paraId="0000000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720" w:right="380" w:hanging="360"/>
        <w:jc w:val="both"/>
      </w:pPr>
      <w:r w:rsidDel="00000000" w:rsidR="00000000" w:rsidRPr="00000000">
        <w:rPr>
          <w:rtl w:val="0"/>
        </w:rPr>
        <w:t xml:space="preserve">Building a movement of people calling for the abolition of the death penalty, and a public health approach to drugs in Singapore; and</w:t>
      </w:r>
    </w:p>
    <w:p w:rsidR="00000000" w:rsidDel="00000000" w:rsidP="00000000" w:rsidRDefault="00000000" w:rsidRPr="00000000" w14:paraId="0000000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beforeAutospacing="0" w:line="276" w:lineRule="auto"/>
        <w:ind w:left="720" w:right="380" w:hanging="360"/>
        <w:jc w:val="both"/>
      </w:pPr>
      <w:r w:rsidDel="00000000" w:rsidR="00000000" w:rsidRPr="00000000">
        <w:rPr>
          <w:rtl w:val="0"/>
        </w:rPr>
        <w:t xml:space="preserve">Advocating for the rights of prisoners.</w:t>
      </w:r>
    </w:p>
    <w:p w:rsidR="00000000" w:rsidDel="00000000" w:rsidP="00000000" w:rsidRDefault="00000000" w:rsidRPr="00000000" w14:paraId="0000000B">
      <w:pPr>
        <w:spacing w:after="0" w:before="0" w:line="276" w:lineRule="auto"/>
        <w:ind w:left="0" w:firstLine="0"/>
        <w:jc w:val="both"/>
        <w:rPr/>
      </w:pPr>
      <w:r w:rsidDel="00000000" w:rsidR="00000000" w:rsidRPr="00000000">
        <w:rPr>
          <w:rtl w:val="0"/>
        </w:rPr>
      </w:r>
    </w:p>
    <w:p w:rsidR="00000000" w:rsidDel="00000000" w:rsidP="00000000" w:rsidRDefault="00000000" w:rsidRPr="00000000" w14:paraId="0000000C">
      <w:pPr>
        <w:spacing w:after="0" w:before="0" w:line="276" w:lineRule="auto"/>
        <w:ind w:left="0" w:firstLine="0"/>
        <w:jc w:val="both"/>
        <w:rPr>
          <w:b w:val="1"/>
        </w:rPr>
      </w:pPr>
      <w:r w:rsidDel="00000000" w:rsidR="00000000" w:rsidRPr="00000000">
        <w:rPr>
          <w:b w:val="1"/>
          <w:rtl w:val="0"/>
        </w:rPr>
        <w:t xml:space="preserve">Introduction</w:t>
      </w:r>
    </w:p>
    <w:p w:rsidR="00000000" w:rsidDel="00000000" w:rsidP="00000000" w:rsidRDefault="00000000" w:rsidRPr="00000000" w14:paraId="0000000D">
      <w:pPr>
        <w:spacing w:after="0" w:before="0" w:line="276" w:lineRule="auto"/>
        <w:ind w:left="0" w:firstLine="0"/>
        <w:jc w:val="both"/>
        <w:rPr>
          <w:b w:val="1"/>
        </w:rPr>
      </w:pPr>
      <w:r w:rsidDel="00000000" w:rsidR="00000000" w:rsidRPr="00000000">
        <w:rPr>
          <w:rtl w:val="0"/>
        </w:rPr>
      </w:r>
    </w:p>
    <w:p w:rsidR="00000000" w:rsidDel="00000000" w:rsidP="00000000" w:rsidRDefault="00000000" w:rsidRPr="00000000" w14:paraId="0000000E">
      <w:pPr>
        <w:numPr>
          <w:ilvl w:val="0"/>
          <w:numId w:val="2"/>
        </w:numPr>
        <w:spacing w:after="0" w:before="0" w:line="276" w:lineRule="auto"/>
        <w:ind w:left="720" w:hanging="630"/>
        <w:jc w:val="both"/>
        <w:rPr/>
      </w:pPr>
      <w:r w:rsidDel="00000000" w:rsidR="00000000" w:rsidRPr="00000000">
        <w:rPr>
          <w:rtl w:val="0"/>
        </w:rPr>
        <w:t xml:space="preserve">This report by the Transformative Justice Collective (TJC) addresses 7 issues within the criminal punishment system in relation to Singapore’s obligations under CERD. The </w:t>
      </w:r>
      <w:r w:rsidDel="00000000" w:rsidR="00000000" w:rsidRPr="00000000">
        <w:rPr>
          <w:rtl w:val="0"/>
        </w:rPr>
        <w:t xml:space="preserve">issues</w:t>
      </w:r>
      <w:r w:rsidDel="00000000" w:rsidR="00000000" w:rsidRPr="00000000">
        <w:rPr>
          <w:rtl w:val="0"/>
        </w:rPr>
        <w:t xml:space="preserve"> are:</w:t>
        <w:br w:type="textWrapping"/>
      </w:r>
    </w:p>
    <w:p w:rsidR="00000000" w:rsidDel="00000000" w:rsidP="00000000" w:rsidRDefault="00000000" w:rsidRPr="00000000" w14:paraId="0000000F">
      <w:pPr>
        <w:numPr>
          <w:ilvl w:val="1"/>
          <w:numId w:val="2"/>
        </w:numPr>
        <w:spacing w:after="0" w:before="0" w:line="276" w:lineRule="auto"/>
        <w:ind w:left="1440" w:hanging="360"/>
        <w:jc w:val="both"/>
        <w:rPr/>
      </w:pPr>
      <w:r w:rsidDel="00000000" w:rsidR="00000000" w:rsidRPr="00000000">
        <w:rPr>
          <w:rtl w:val="0"/>
        </w:rPr>
        <w:t xml:space="preserve">The Relationship between Policing and Racial Discrimination</w:t>
      </w:r>
    </w:p>
    <w:p w:rsidR="00000000" w:rsidDel="00000000" w:rsidP="00000000" w:rsidRDefault="00000000" w:rsidRPr="00000000" w14:paraId="00000010">
      <w:pPr>
        <w:numPr>
          <w:ilvl w:val="1"/>
          <w:numId w:val="2"/>
        </w:numPr>
        <w:spacing w:after="0" w:before="0" w:line="276" w:lineRule="auto"/>
        <w:ind w:left="1440" w:hanging="360"/>
        <w:jc w:val="both"/>
        <w:rPr/>
      </w:pPr>
      <w:r w:rsidDel="00000000" w:rsidR="00000000" w:rsidRPr="00000000">
        <w:rPr>
          <w:rtl w:val="0"/>
        </w:rPr>
        <w:t xml:space="preserve">The Drug Regime in Singapore</w:t>
      </w:r>
    </w:p>
    <w:p w:rsidR="00000000" w:rsidDel="00000000" w:rsidP="00000000" w:rsidRDefault="00000000" w:rsidRPr="00000000" w14:paraId="00000011">
      <w:pPr>
        <w:numPr>
          <w:ilvl w:val="1"/>
          <w:numId w:val="2"/>
        </w:numPr>
        <w:spacing w:after="0" w:before="0" w:line="276" w:lineRule="auto"/>
        <w:ind w:left="1440" w:hanging="360"/>
        <w:jc w:val="both"/>
        <w:rPr/>
      </w:pPr>
      <w:r w:rsidDel="00000000" w:rsidR="00000000" w:rsidRPr="00000000">
        <w:rPr>
          <w:rtl w:val="0"/>
        </w:rPr>
        <w:t xml:space="preserve">Use of the Death Penalty for Drug Offences</w:t>
      </w:r>
    </w:p>
    <w:p w:rsidR="00000000" w:rsidDel="00000000" w:rsidP="00000000" w:rsidRDefault="00000000" w:rsidRPr="00000000" w14:paraId="00000012">
      <w:pPr>
        <w:numPr>
          <w:ilvl w:val="1"/>
          <w:numId w:val="2"/>
        </w:numPr>
        <w:spacing w:after="0" w:before="0" w:line="276" w:lineRule="auto"/>
        <w:ind w:left="1440" w:hanging="360"/>
        <w:jc w:val="both"/>
        <w:rPr/>
      </w:pPr>
      <w:r w:rsidDel="00000000" w:rsidR="00000000" w:rsidRPr="00000000">
        <w:rPr>
          <w:rtl w:val="0"/>
        </w:rPr>
        <w:t xml:space="preserve">The Prison System</w:t>
      </w:r>
    </w:p>
    <w:p w:rsidR="00000000" w:rsidDel="00000000" w:rsidP="00000000" w:rsidRDefault="00000000" w:rsidRPr="00000000" w14:paraId="00000013">
      <w:pPr>
        <w:numPr>
          <w:ilvl w:val="1"/>
          <w:numId w:val="2"/>
        </w:numPr>
        <w:spacing w:after="0" w:before="0" w:line="276" w:lineRule="auto"/>
        <w:ind w:left="1440" w:hanging="360"/>
        <w:jc w:val="both"/>
        <w:rPr/>
      </w:pPr>
      <w:r w:rsidDel="00000000" w:rsidR="00000000" w:rsidRPr="00000000">
        <w:rPr>
          <w:rtl w:val="0"/>
        </w:rPr>
        <w:t xml:space="preserve">Use of the Internal Security Act</w:t>
      </w:r>
    </w:p>
    <w:p w:rsidR="00000000" w:rsidDel="00000000" w:rsidP="00000000" w:rsidRDefault="00000000" w:rsidRPr="00000000" w14:paraId="00000014">
      <w:pPr>
        <w:numPr>
          <w:ilvl w:val="1"/>
          <w:numId w:val="2"/>
        </w:numPr>
        <w:spacing w:after="0" w:before="0" w:line="276" w:lineRule="auto"/>
        <w:ind w:left="1440" w:hanging="360"/>
        <w:jc w:val="both"/>
        <w:rPr/>
      </w:pPr>
      <w:r w:rsidDel="00000000" w:rsidR="00000000" w:rsidRPr="00000000">
        <w:rPr>
          <w:rtl w:val="0"/>
        </w:rPr>
        <w:t xml:space="preserve">Judicial Caning</w:t>
      </w:r>
    </w:p>
    <w:p w:rsidR="00000000" w:rsidDel="00000000" w:rsidP="00000000" w:rsidRDefault="00000000" w:rsidRPr="00000000" w14:paraId="00000015">
      <w:pPr>
        <w:numPr>
          <w:ilvl w:val="1"/>
          <w:numId w:val="2"/>
        </w:numPr>
        <w:spacing w:after="0" w:before="0" w:line="276" w:lineRule="auto"/>
        <w:ind w:left="1440" w:hanging="360"/>
        <w:jc w:val="both"/>
        <w:rPr/>
      </w:pPr>
      <w:r w:rsidDel="00000000" w:rsidR="00000000" w:rsidRPr="00000000">
        <w:rPr>
          <w:rtl w:val="0"/>
        </w:rPr>
        <w:t xml:space="preserve">Preventive Detention</w:t>
      </w:r>
    </w:p>
    <w:p w:rsidR="00000000" w:rsidDel="00000000" w:rsidP="00000000" w:rsidRDefault="00000000" w:rsidRPr="00000000" w14:paraId="00000016">
      <w:pPr>
        <w:spacing w:after="0" w:before="0" w:line="276" w:lineRule="auto"/>
        <w:ind w:left="1440" w:firstLine="0"/>
        <w:jc w:val="both"/>
        <w:rPr/>
      </w:pPr>
      <w:r w:rsidDel="00000000" w:rsidR="00000000" w:rsidRPr="00000000">
        <w:rPr>
          <w:rtl w:val="0"/>
        </w:rPr>
      </w:r>
    </w:p>
    <w:p w:rsidR="00000000" w:rsidDel="00000000" w:rsidP="00000000" w:rsidRDefault="00000000" w:rsidRPr="00000000" w14:paraId="00000017">
      <w:pPr>
        <w:spacing w:after="0" w:before="0" w:line="276" w:lineRule="auto"/>
        <w:ind w:left="0" w:firstLine="0"/>
        <w:jc w:val="both"/>
        <w:rPr>
          <w:b w:val="1"/>
        </w:rPr>
      </w:pPr>
      <w:r w:rsidDel="00000000" w:rsidR="00000000" w:rsidRPr="00000000">
        <w:rPr>
          <w:b w:val="1"/>
          <w:rtl w:val="0"/>
        </w:rPr>
        <w:t xml:space="preserve">Overarching Considerations</w:t>
      </w:r>
    </w:p>
    <w:p w:rsidR="00000000" w:rsidDel="00000000" w:rsidP="00000000" w:rsidRDefault="00000000" w:rsidRPr="00000000" w14:paraId="00000018">
      <w:pPr>
        <w:spacing w:after="0" w:before="0" w:line="276" w:lineRule="auto"/>
        <w:ind w:left="0" w:firstLine="0"/>
        <w:jc w:val="both"/>
        <w:rPr>
          <w:b w:val="1"/>
        </w:rPr>
      </w:pP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pPr>
      <w:r w:rsidDel="00000000" w:rsidR="00000000" w:rsidRPr="00000000">
        <w:rPr>
          <w:rtl w:val="0"/>
        </w:rPr>
        <w:t xml:space="preserve">In highlighting these issues, we wish to highlight that legislation and practices that vest broad powers in the government does not translate to the prevention and curtailment of racial discrimination; rather, TJC is concerned that the present laws tied to the criminal justice system entrenches racial discrimination under the guise of protecting Singapore’s safety and security interests.   </w:t>
      </w:r>
    </w:p>
    <w:p w:rsidR="00000000" w:rsidDel="00000000" w:rsidP="00000000" w:rsidRDefault="00000000" w:rsidRPr="00000000" w14:paraId="0000001A">
      <w:pPr>
        <w:spacing w:after="0" w:before="0" w:line="276" w:lineRule="auto"/>
        <w:jc w:val="both"/>
        <w:rPr/>
      </w:pP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pPr>
      <w:r w:rsidDel="00000000" w:rsidR="00000000" w:rsidRPr="00000000">
        <w:rPr>
          <w:rtl w:val="0"/>
        </w:rPr>
        <w:t xml:space="preserve">TJC also wishes to highlight that work in these areas is also hampered by an absence of transparency in data provided by the government. Calls for increased transparency in providing disaggregated data have not been heeded, and recommendations for a Freedom of Information Act have not been successful. </w:t>
      </w:r>
    </w:p>
    <w:p w:rsidR="00000000" w:rsidDel="00000000" w:rsidP="00000000" w:rsidRDefault="00000000" w:rsidRPr="00000000" w14:paraId="0000001C">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pPr>
      <w:r w:rsidDel="00000000" w:rsidR="00000000" w:rsidRPr="00000000">
        <w:rPr>
          <w:rtl w:val="0"/>
        </w:rPr>
        <w:t xml:space="preserve">Limited access to information is particularly pertinent to matters in relation to the criminal punishment system and  administrative detention, including the use of the Death Penalty and the Internal Security Act, where the absence of public disclosures is a norm enshrined both in legislation, and rhetorically justified by appeals to the sensitivity of information and national security. The government rarely responds to enquiries from NGOs and independent journalists for more data when it comes to addressing complaints of mistreatment or problems with the criminal legal process. </w:t>
      </w:r>
    </w:p>
    <w:p w:rsidR="00000000" w:rsidDel="00000000" w:rsidP="00000000" w:rsidRDefault="00000000" w:rsidRPr="00000000" w14:paraId="0000001E">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pPr>
      <w:r w:rsidDel="00000000" w:rsidR="00000000" w:rsidRPr="00000000">
        <w:rPr>
          <w:rtl w:val="0"/>
        </w:rPr>
        <w:t xml:space="preserve">Matters of penal public policy are often justified with reference to concepts such as the ‘deterrent effect’ of punitive measures, but there is a lack of available statistical information provided by the state to study these claims. In response to basic requests for data via parliamentary questions, the state sometimes claims that they are unable to share the information,  even if they seem crucial to effectively debating public policy in the arena of criminal punishment.  </w:t>
      </w:r>
    </w:p>
    <w:p w:rsidR="00000000" w:rsidDel="00000000" w:rsidP="00000000" w:rsidRDefault="00000000" w:rsidRPr="00000000" w14:paraId="00000020">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pPr>
      <w:r w:rsidDel="00000000" w:rsidR="00000000" w:rsidRPr="00000000">
        <w:br w:type="page"/>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b w:val="1"/>
        </w:rPr>
      </w:pPr>
      <w:r w:rsidDel="00000000" w:rsidR="00000000" w:rsidRPr="00000000">
        <w:rPr>
          <w:b w:val="1"/>
          <w:rtl w:val="0"/>
        </w:rPr>
        <w:t xml:space="preserve">Policing and Racial Discrimination</w:t>
      </w:r>
    </w:p>
    <w:p w:rsidR="00000000" w:rsidDel="00000000" w:rsidP="00000000" w:rsidRDefault="00000000" w:rsidRPr="00000000" w14:paraId="00000023">
      <w:pPr>
        <w:spacing w:after="0" w:before="0" w:line="276" w:lineRule="auto"/>
        <w:ind w:left="0" w:firstLine="0"/>
        <w:jc w:val="both"/>
        <w:rPr>
          <w:highlight w:val="green"/>
          <w:u w:val="single"/>
        </w:rPr>
      </w:pPr>
      <w:r w:rsidDel="00000000" w:rsidR="00000000" w:rsidRPr="00000000">
        <w:rPr>
          <w:rtl w:val="0"/>
        </w:rPr>
      </w:r>
    </w:p>
    <w:p w:rsidR="00000000" w:rsidDel="00000000" w:rsidP="00000000" w:rsidRDefault="00000000" w:rsidRPr="00000000" w14:paraId="00000024">
      <w:pPr>
        <w:spacing w:after="0" w:before="0" w:line="276" w:lineRule="auto"/>
        <w:ind w:left="0" w:firstLine="0"/>
        <w:jc w:val="both"/>
        <w:rPr>
          <w:u w:val="single"/>
        </w:rPr>
      </w:pPr>
      <w:r w:rsidDel="00000000" w:rsidR="00000000" w:rsidRPr="00000000">
        <w:rPr>
          <w:u w:val="single"/>
          <w:rtl w:val="0"/>
        </w:rPr>
        <w:t xml:space="preserve">Introduction</w:t>
      </w:r>
    </w:p>
    <w:p w:rsidR="00000000" w:rsidDel="00000000" w:rsidP="00000000" w:rsidRDefault="00000000" w:rsidRPr="00000000" w14:paraId="00000025">
      <w:pPr>
        <w:spacing w:after="0" w:before="0" w:line="276" w:lineRule="auto"/>
        <w:ind w:left="0" w:firstLine="0"/>
        <w:jc w:val="both"/>
        <w:rPr>
          <w:highlight w:val="green"/>
          <w:u w:val="singl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pPr>
      <w:r w:rsidDel="00000000" w:rsidR="00000000" w:rsidRPr="00000000">
        <w:rPr>
          <w:rtl w:val="0"/>
        </w:rPr>
        <w:t xml:space="preserve">This section explores the ways in which surveillance and policing systems in Singapore contribute to the disenfranchisement of ethnic minorities in Singapore, especially those who are socioeconomically disadvantaged. Crime control strategies employed by the state - such as hyper-policing of racialised spaces and events, and stop-and-search practices at MRT (Mass Rapid Transit) stations - lead to the stigmatisation and criminalisation of ethnic minority communities.</w:t>
      </w:r>
      <w:r w:rsidDel="00000000" w:rsidR="00000000" w:rsidRPr="00000000">
        <w:rPr>
          <w:vertAlign w:val="superscript"/>
        </w:rPr>
        <w:footnoteReference w:customMarkFollows="0" w:id="0"/>
      </w:r>
      <w:r w:rsidDel="00000000" w:rsidR="00000000" w:rsidRPr="00000000">
        <w:rPr>
          <w:rtl w:val="0"/>
        </w:rPr>
        <w:t xml:space="preserve">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pP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pPr>
      <w:r w:rsidDel="00000000" w:rsidR="00000000" w:rsidRPr="00000000">
        <w:rPr>
          <w:rtl w:val="0"/>
        </w:rPr>
        <w:t xml:space="preserve">There is heightened police patrolling and narcotics raids in public rental housing neighbourhoods (low-income neighbourhoods), where ethnic minorities are heavily overrepresented.</w:t>
      </w:r>
      <w:r w:rsidDel="00000000" w:rsidR="00000000" w:rsidRPr="00000000">
        <w:rPr>
          <w:vertAlign w:val="superscript"/>
        </w:rPr>
        <w:footnoteReference w:customMarkFollows="0" w:id="1"/>
      </w:r>
      <w:r w:rsidDel="00000000" w:rsidR="00000000" w:rsidRPr="00000000">
        <w:rPr>
          <w:rtl w:val="0"/>
        </w:rPr>
        <w:t xml:space="preserve"> These neighbourhoods also see  a greater presence of police signs that warn against crime, compared to other residential estates.</w:t>
      </w:r>
      <w:r w:rsidDel="00000000" w:rsidR="00000000" w:rsidRPr="00000000">
        <w:rPr>
          <w:vertAlign w:val="superscript"/>
        </w:rPr>
        <w:footnoteReference w:customMarkFollows="0" w:id="2"/>
      </w:r>
      <w:r w:rsidDel="00000000" w:rsidR="00000000" w:rsidRPr="00000000">
        <w:rPr>
          <w:rtl w:val="0"/>
        </w:rPr>
        <w:t xml:space="preserve"> Dark-skinned men, especially those with beards or who carry backpacks, consistently complain about being frequently singled out for security screenings at MRT stations. These experiences - where racialized minorities feel targeted by the police - are complicated by a high number of street-level cops being Malay or Indian as well, which reinforces state discourse and approaches to social problems - framing them as cultural deficits of minority communities, and then expecting minority communities to police or “reform” themselves.</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29">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pPr>
      <w:r w:rsidDel="00000000" w:rsidR="00000000" w:rsidRPr="00000000">
        <w:rPr>
          <w:rtl w:val="0"/>
        </w:rPr>
        <w:t xml:space="preserve">Attempts to critique or make legitimate enquiries about racism, including racism in policing, are shut down through criminal laws, such as Sections 298 (uttering words, etc to wound religious or racial feelings) and 298A (</w:t>
      </w:r>
      <w:r w:rsidDel="00000000" w:rsidR="00000000" w:rsidRPr="00000000">
        <w:rPr>
          <w:highlight w:val="white"/>
          <w:rtl w:val="0"/>
        </w:rPr>
        <w:t xml:space="preserve">promoting enmity between different groups on </w:t>
      </w:r>
      <w:r w:rsidDel="00000000" w:rsidR="00000000" w:rsidRPr="00000000">
        <w:rPr>
          <w:rtl w:val="0"/>
        </w:rPr>
        <w:t xml:space="preserve">grounds</w:t>
      </w:r>
      <w:r w:rsidDel="00000000" w:rsidR="00000000" w:rsidRPr="00000000">
        <w:rPr>
          <w:highlight w:val="white"/>
          <w:rtl w:val="0"/>
        </w:rPr>
        <w:t xml:space="preserve"> of religion or race or doing acts prejudicial to maintenance of harmony) </w:t>
      </w:r>
      <w:r w:rsidDel="00000000" w:rsidR="00000000" w:rsidRPr="00000000">
        <w:rPr>
          <w:rtl w:val="0"/>
        </w:rPr>
        <w:t xml:space="preserve"> of the penal code. These are the same laws the government claims (in their report to CERD) are intended as legislative safeguards against racism, but in fact, they have been used prominently against anti-racist activists and opposition party members from ethnic minority communities, who have shared their observations and asked questions about racism in the media, and racial bias in policing, respectively. The government has consistently warned that they would “take action” against those who make such claims online too.</w:t>
      </w:r>
      <w:r w:rsidDel="00000000" w:rsidR="00000000" w:rsidRPr="00000000">
        <w:rPr>
          <w:vertAlign w:val="superscript"/>
        </w:rPr>
        <w:footnoteReference w:customMarkFollows="0" w:id="4"/>
      </w:r>
      <w:r w:rsidDel="00000000" w:rsidR="00000000" w:rsidRPr="00000000">
        <w:rPr>
          <w:rtl w:val="0"/>
        </w:rPr>
        <w:t xml:space="preserve">  The government is also proposing new legislation - called the Maintenance of Racial Harmony Act - that they claim will take a “soft” approach to mending racism, but anti-racist activists fear it will be used to further censor and silence critique of structural and interpersonal racism in Singapore.</w:t>
      </w:r>
      <w:r w:rsidDel="00000000" w:rsidR="00000000" w:rsidRPr="00000000">
        <w:rPr>
          <w:vertAlign w:val="superscript"/>
        </w:rPr>
        <w:footnoteReference w:customMarkFollows="0" w:id="5"/>
      </w:r>
      <w:r w:rsidDel="00000000" w:rsidR="00000000" w:rsidRPr="00000000">
        <w:rPr>
          <w:rtl w:val="0"/>
        </w:rPr>
        <w:t xml:space="preserve"> </w:t>
        <w:br w:type="textWrapping"/>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pPr>
      <w:r w:rsidDel="00000000" w:rsidR="00000000" w:rsidRPr="00000000">
        <w:rPr>
          <w:rtl w:val="0"/>
        </w:rPr>
        <w:t xml:space="preserve">In making the above arguments, this section draws from existing research and literature on policing and race in Singapore, as well as from our own interviews with 23 members of ethnic minority communities in Singapore on their experiences of racism in Singapore. </w:t>
      </w:r>
    </w:p>
    <w:p w:rsidR="00000000" w:rsidDel="00000000" w:rsidP="00000000" w:rsidRDefault="00000000" w:rsidRPr="00000000" w14:paraId="0000002C">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2D">
      <w:pPr>
        <w:spacing w:after="0" w:before="0" w:line="276" w:lineRule="auto"/>
        <w:ind w:left="0" w:firstLine="0"/>
        <w:jc w:val="both"/>
        <w:rPr>
          <w:u w:val="single"/>
        </w:rPr>
      </w:pPr>
      <w:r w:rsidDel="00000000" w:rsidR="00000000" w:rsidRPr="00000000">
        <w:rPr>
          <w:u w:val="single"/>
          <w:rtl w:val="0"/>
        </w:rPr>
        <w:t xml:space="preserve">Racialised surveillance and policing</w:t>
      </w:r>
    </w:p>
    <w:p w:rsidR="00000000" w:rsidDel="00000000" w:rsidP="00000000" w:rsidRDefault="00000000" w:rsidRPr="00000000" w14:paraId="0000002E">
      <w:pPr>
        <w:spacing w:after="0" w:before="0" w:line="276" w:lineRule="auto"/>
        <w:ind w:left="0" w:firstLine="0"/>
        <w:jc w:val="both"/>
        <w:rPr>
          <w:u w:val="singl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pPr>
      <w:r w:rsidDel="00000000" w:rsidR="00000000" w:rsidRPr="00000000">
        <w:rPr>
          <w:rtl w:val="0"/>
        </w:rPr>
        <w:t xml:space="preserve">Of the 23 individuals we interviewed from Malay and Indian communities in Singapore, most, especially men, shared accounts of feeling targeted by the police in their day-to-day lives. These experiences range from being stopped at train stations and roadblocks to being questioned because of their appearance. </w:t>
        <w:br w:type="textWrapping"/>
      </w:r>
    </w:p>
    <w:p w:rsidR="00000000" w:rsidDel="00000000" w:rsidP="00000000" w:rsidRDefault="00000000" w:rsidRPr="00000000" w14:paraId="000000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pPr>
      <w:r w:rsidDel="00000000" w:rsidR="00000000" w:rsidRPr="00000000">
        <w:rPr>
          <w:rtl w:val="0"/>
        </w:rPr>
        <w:t xml:space="preserve">One Indian respondent with a beard shared how he was regularly stopped at the train station for security screenings:</w:t>
        <w:br w:type="textWrapping"/>
        <w:br w:type="textWrapping"/>
      </w:r>
      <w:r w:rsidDel="00000000" w:rsidR="00000000" w:rsidRPr="00000000">
        <w:rPr>
          <w:i w:val="1"/>
          <w:color w:val="262626"/>
          <w:rtl w:val="0"/>
        </w:rPr>
        <w:t xml:space="preserve">“It's quite frustrating. That's why I tell you ah, the BEST thing was to stop using the public transport. Every time..it was a lot of times. You know now they have this new thing about checking the bags, which they started sometime back. So yesterday, you check me, then today I come in, again you want to check! Once I asked, is this because I'm Indian? Why you don't check the rest, why you only check me?”</w:t>
        <w:br w:type="textWrapping"/>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pPr>
      <w:r w:rsidDel="00000000" w:rsidR="00000000" w:rsidRPr="00000000">
        <w:rPr>
          <w:rtl w:val="0"/>
        </w:rPr>
        <w:t xml:space="preserve">The same respondent told us how he is regularly stopped by the police checking for drivers who consume above the legal limit for alcohol:</w:t>
      </w:r>
    </w:p>
    <w:p w:rsidR="00000000" w:rsidDel="00000000" w:rsidP="00000000" w:rsidRDefault="00000000" w:rsidRPr="00000000" w14:paraId="00000032">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33">
      <w:pPr>
        <w:spacing w:after="0" w:before="0" w:line="276" w:lineRule="auto"/>
        <w:ind w:left="720" w:firstLine="0"/>
        <w:jc w:val="both"/>
        <w:rPr>
          <w:i w:val="1"/>
          <w:color w:val="262626"/>
        </w:rPr>
      </w:pPr>
      <w:r w:rsidDel="00000000" w:rsidR="00000000" w:rsidRPr="00000000">
        <w:rPr>
          <w:i w:val="1"/>
          <w:color w:val="262626"/>
          <w:rtl w:val="0"/>
        </w:rPr>
        <w:t xml:space="preserve">“Always! It’s very rare I go past a traffic roadblock, police roadblock without being stopped by the traffic police. There was once, it was so rude. The guy stopped, I wound down the window to say hi, the guy just took the breathalyzer and stuck it to my face and said "name and IC number". That's all he said, you know. Just "name and IC number". Then I looked at him, what the hell..I said like..in my mind, it's like dude, that's damn rude. I'm not..I've not committed any crime...but the police in Singapore are actually very..they're gangsters..their own gangsters and their own law.”</w:t>
      </w:r>
    </w:p>
    <w:p w:rsidR="00000000" w:rsidDel="00000000" w:rsidP="00000000" w:rsidRDefault="00000000" w:rsidRPr="00000000" w14:paraId="00000034">
      <w:pPr>
        <w:spacing w:after="0" w:before="0" w:line="276" w:lineRule="auto"/>
        <w:ind w:left="720" w:firstLine="0"/>
        <w:jc w:val="both"/>
        <w:rPr>
          <w:color w:val="262626"/>
        </w:rPr>
      </w:pP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pPr>
      <w:r w:rsidDel="00000000" w:rsidR="00000000" w:rsidRPr="00000000">
        <w:rPr>
          <w:rtl w:val="0"/>
        </w:rPr>
        <w:t xml:space="preserve">Ethnic minorities have also reported disproportionate policing for “loitering” in public spaces, including within their own neighbourhoods. Police officers often question why they are there, demand to see their identification cards, and order them to leave. In the case of ethnic minority youth, the police have also written letters to their parents to say that they have been “loitering”.  The construction of “loitering” as an offence already targets socioeconomically disenfranchised ethnic minority individuals and communities who are more likely to have cramped homes and spend more time outdoors.</w:t>
      </w:r>
    </w:p>
    <w:p w:rsidR="00000000" w:rsidDel="00000000" w:rsidP="00000000" w:rsidRDefault="00000000" w:rsidRPr="00000000" w14:paraId="00000036">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37">
      <w:pPr>
        <w:spacing w:after="0" w:before="0" w:line="276" w:lineRule="auto"/>
        <w:ind w:left="720" w:firstLine="0"/>
        <w:jc w:val="both"/>
        <w:rPr>
          <w:i w:val="1"/>
          <w:color w:val="262626"/>
        </w:rPr>
      </w:pPr>
      <w:r w:rsidDel="00000000" w:rsidR="00000000" w:rsidRPr="00000000">
        <w:rPr>
          <w:i w:val="1"/>
          <w:color w:val="262626"/>
          <w:rtl w:val="0"/>
        </w:rPr>
        <w:t xml:space="preserve">“But all being said, I would think that a group of Chinese guys sitting together, and a group of Indian brothers sitting together, if the police have to go and check one group, they will check the Indian group. That I'm sure of based on things I've seen and heard.”</w:t>
      </w:r>
    </w:p>
    <w:p w:rsidR="00000000" w:rsidDel="00000000" w:rsidP="00000000" w:rsidRDefault="00000000" w:rsidRPr="00000000" w14:paraId="00000038">
      <w:pPr>
        <w:spacing w:after="0" w:before="0" w:line="276" w:lineRule="auto"/>
        <w:ind w:left="720" w:firstLine="0"/>
        <w:jc w:val="both"/>
        <w:rPr>
          <w:i w:val="1"/>
          <w:color w:val="262626"/>
        </w:rPr>
      </w:pP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pPr>
      <w:r w:rsidDel="00000000" w:rsidR="00000000" w:rsidRPr="00000000">
        <w:rPr>
          <w:color w:val="262626"/>
          <w:rtl w:val="0"/>
        </w:rPr>
        <w:t xml:space="preserve">Most respondents believed that the police racially profile civilians for stop-checks based on stereotypes about Indians and Malays, and that this is exacerbated by class markers and </w:t>
      </w:r>
      <w:r w:rsidDel="00000000" w:rsidR="00000000" w:rsidRPr="00000000">
        <w:rPr>
          <w:rtl w:val="0"/>
        </w:rPr>
        <w:t xml:space="preserve">other</w:t>
      </w:r>
      <w:r w:rsidDel="00000000" w:rsidR="00000000" w:rsidRPr="00000000">
        <w:rPr>
          <w:color w:val="262626"/>
          <w:rtl w:val="0"/>
        </w:rPr>
        <w:t xml:space="preserve"> markers of nonconformity, such as how one is dressed, whether one is tattooed, etc. </w:t>
      </w:r>
    </w:p>
    <w:p w:rsidR="00000000" w:rsidDel="00000000" w:rsidP="00000000" w:rsidRDefault="00000000" w:rsidRPr="00000000" w14:paraId="0000003A">
      <w:pPr>
        <w:spacing w:after="0" w:before="0" w:line="276" w:lineRule="auto"/>
        <w:ind w:left="720" w:firstLine="0"/>
        <w:jc w:val="both"/>
        <w:rPr>
          <w:i w:val="1"/>
          <w:color w:val="262626"/>
        </w:rPr>
      </w:pPr>
      <w:r w:rsidDel="00000000" w:rsidR="00000000" w:rsidRPr="00000000">
        <w:rPr>
          <w:i w:val="1"/>
          <w:color w:val="262626"/>
          <w:rtl w:val="0"/>
        </w:rPr>
        <w:br w:type="textWrapping"/>
        <w:t xml:space="preserve">“Indian stigma, you want the best stereotypes, you go and talk to the police. They will give you..because my friends (who are cops) also say "eh you all ‘mama’ (derogatory term for an Indian man) ah, always get into gang fight lah, drink, then whack the wife lah". You can see there is a thing going on. (Indian men are see as) wifebeater, alcohol abuser...you know...drunk and disorderly.”</w:t>
      </w:r>
    </w:p>
    <w:p w:rsidR="00000000" w:rsidDel="00000000" w:rsidP="00000000" w:rsidRDefault="00000000" w:rsidRPr="00000000" w14:paraId="0000003B">
      <w:pPr>
        <w:spacing w:after="0" w:before="0" w:line="276" w:lineRule="auto"/>
        <w:ind w:left="720" w:firstLine="0"/>
        <w:jc w:val="both"/>
        <w:rPr>
          <w:color w:val="262626"/>
        </w:rPr>
      </w:pP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pPr>
      <w:r w:rsidDel="00000000" w:rsidR="00000000" w:rsidRPr="00000000">
        <w:rPr>
          <w:color w:val="262626"/>
          <w:rtl w:val="0"/>
        </w:rPr>
        <w:t xml:space="preserve">Respondents who live in these low income neighbourhoods also told us that they are often stopped based on how they look, dress and whether they have tattoos. Some are brought back to the police station for questioning even though they have not committed any offences. Those who look ethnically Malay or Indian bear the brunt of such harassment. The same respondents also reported that those who have gone to prison or were previously in gangs also feel targeted even though they are no longer involved in gang </w:t>
      </w:r>
      <w:r w:rsidDel="00000000" w:rsidR="00000000" w:rsidRPr="00000000">
        <w:rPr>
          <w:rtl w:val="0"/>
        </w:rPr>
        <w:t xml:space="preserve">activities</w:t>
      </w:r>
      <w:r w:rsidDel="00000000" w:rsidR="00000000" w:rsidRPr="00000000">
        <w:rPr>
          <w:color w:val="262626"/>
          <w:rtl w:val="0"/>
        </w:rPr>
        <w:t xml:space="preserve">. They complained about how police visiting their homes led to stigmatisation by their neighbours, and internalised shame. They observed how, to onlookers, the police interacting with someone already paints them as suspicious or dangerous, regardless of whether they have committed an offence or not. </w:t>
      </w:r>
    </w:p>
    <w:p w:rsidR="00000000" w:rsidDel="00000000" w:rsidP="00000000" w:rsidRDefault="00000000" w:rsidRPr="00000000" w14:paraId="0000003D">
      <w:pPr>
        <w:spacing w:after="0" w:before="0" w:line="276" w:lineRule="auto"/>
        <w:ind w:left="720" w:firstLine="0"/>
        <w:jc w:val="both"/>
        <w:rPr>
          <w:color w:val="262626"/>
        </w:rPr>
      </w:pP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pPr>
      <w:r w:rsidDel="00000000" w:rsidR="00000000" w:rsidRPr="00000000">
        <w:rPr>
          <w:color w:val="262626"/>
          <w:rtl w:val="0"/>
        </w:rPr>
        <w:t xml:space="preserve">Youth from rental flat neighbourhoods also reported regularly having encounters with the police in and around their neighbourhoods. One youth shared how the first time she realised this </w:t>
      </w:r>
      <w:r w:rsidDel="00000000" w:rsidR="00000000" w:rsidRPr="00000000">
        <w:rPr>
          <w:rtl w:val="0"/>
        </w:rPr>
        <w:t xml:space="preserve">was</w:t>
      </w:r>
      <w:r w:rsidDel="00000000" w:rsidR="00000000" w:rsidRPr="00000000">
        <w:rPr>
          <w:color w:val="262626"/>
          <w:rtl w:val="0"/>
        </w:rPr>
        <w:t xml:space="preserve"> not everyone’s experience was when she talked to a school friend who lived in a purchased flat. Some youth recounted experiences of the police using physical force against them for minor misdemeanours like spitting, and talking to them like they were guilty of an offence when they were just sitting and talking to their friends within their neighbourhood. These youth shared how their repeated encounters with the police left a deep impact on their sense of their place in Singapore. They talked about how it alienated them, reinforcing that they are “bad” or “troublemakers”, and made them turn to gangs,  both for belonging and protection. </w:t>
      </w:r>
    </w:p>
    <w:p w:rsidR="00000000" w:rsidDel="00000000" w:rsidP="00000000" w:rsidRDefault="00000000" w:rsidRPr="00000000" w14:paraId="0000003F">
      <w:pPr>
        <w:spacing w:after="0" w:before="0" w:line="276" w:lineRule="auto"/>
        <w:ind w:left="720" w:firstLine="0"/>
        <w:jc w:val="both"/>
        <w:rPr>
          <w:color w:val="262626"/>
        </w:rPr>
      </w:pP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pPr>
      <w:r w:rsidDel="00000000" w:rsidR="00000000" w:rsidRPr="00000000">
        <w:rPr>
          <w:color w:val="262626"/>
          <w:rtl w:val="0"/>
        </w:rPr>
        <w:t xml:space="preserve">It was observed by one respondent that she and her peers often get questioned by the police when ethnic Chinese who were around the vicinity were not harassed in the same way. Notably, multiple respondents talked about confronting police officers about whether they were being racially profiled, which points to heightened frustrations among some members of Malay and Indian communities about police behaviour.</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color w:val="262626"/>
        </w:rPr>
      </w:pPr>
      <w:r w:rsidDel="00000000" w:rsidR="00000000" w:rsidRPr="00000000">
        <w:rPr>
          <w:rtl w:val="0"/>
        </w:rPr>
      </w:r>
    </w:p>
    <w:p w:rsidR="00000000" w:rsidDel="00000000" w:rsidP="00000000" w:rsidRDefault="00000000" w:rsidRPr="00000000" w14:paraId="00000042">
      <w:pPr>
        <w:spacing w:after="0" w:before="0" w:line="276" w:lineRule="auto"/>
        <w:ind w:left="720" w:firstLine="0"/>
        <w:jc w:val="both"/>
        <w:rPr>
          <w:color w:val="262626"/>
        </w:rPr>
      </w:pPr>
      <w:r w:rsidDel="00000000" w:rsidR="00000000" w:rsidRPr="00000000">
        <w:rPr>
          <w:rtl w:val="0"/>
        </w:rPr>
      </w:r>
    </w:p>
    <w:p w:rsidR="00000000" w:rsidDel="00000000" w:rsidP="00000000" w:rsidRDefault="00000000" w:rsidRPr="00000000" w14:paraId="00000043">
      <w:pPr>
        <w:spacing w:after="0" w:before="0" w:line="276" w:lineRule="auto"/>
        <w:ind w:left="0" w:firstLine="0"/>
        <w:jc w:val="both"/>
        <w:rPr>
          <w:color w:val="262626"/>
          <w:u w:val="single"/>
        </w:rPr>
      </w:pPr>
      <w:r w:rsidDel="00000000" w:rsidR="00000000" w:rsidRPr="00000000">
        <w:rPr>
          <w:color w:val="262626"/>
          <w:u w:val="single"/>
          <w:rtl w:val="0"/>
        </w:rPr>
        <w:t xml:space="preserve">Racialised legislation and punishment </w:t>
      </w:r>
    </w:p>
    <w:p w:rsidR="00000000" w:rsidDel="00000000" w:rsidP="00000000" w:rsidRDefault="00000000" w:rsidRPr="00000000" w14:paraId="00000044">
      <w:pPr>
        <w:spacing w:after="0" w:before="0" w:line="276" w:lineRule="auto"/>
        <w:ind w:left="720" w:firstLine="0"/>
        <w:jc w:val="both"/>
        <w:rPr>
          <w:b w:val="1"/>
          <w:color w:val="262626"/>
        </w:rPr>
      </w:pP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pPr>
      <w:r w:rsidDel="00000000" w:rsidR="00000000" w:rsidRPr="00000000">
        <w:rPr>
          <w:color w:val="262626"/>
          <w:rtl w:val="0"/>
        </w:rPr>
        <w:t xml:space="preserve">Following an accident that occured at Little India in December 2013, where a South Asian migrant worker was killed by a bus that ran over him, some workers became agitated and chaos broke out, leading to some property damage. The authorities dubbed this incident a riot, which paved the way for draconian measures and increasingly oppressive treatment of South Asian workers henceforth. </w:t>
      </w:r>
    </w:p>
    <w:p w:rsidR="00000000" w:rsidDel="00000000" w:rsidP="00000000" w:rsidRDefault="00000000" w:rsidRPr="00000000" w14:paraId="00000046">
      <w:pPr>
        <w:spacing w:after="0" w:before="0" w:line="276" w:lineRule="auto"/>
        <w:ind w:left="720" w:firstLine="0"/>
        <w:jc w:val="both"/>
        <w:rPr>
          <w:color w:val="262626"/>
        </w:rPr>
      </w:pP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pPr>
      <w:r w:rsidDel="00000000" w:rsidR="00000000" w:rsidRPr="00000000">
        <w:rPr>
          <w:color w:val="262626"/>
          <w:rtl w:val="0"/>
        </w:rPr>
        <w:t xml:space="preserve">In the aftermath of the incident, there were many accounts of migrant workers alleging they were rounded up from locations near the incident, mistreated by the police, beaten, humiliated and forced to sign false statements of confession – notably, confessions saying that they had consumed alcohol and participated in mob violence. Some were sentenced to prison and caning, many were deported without trial. Their allegations were never investigated, and the media didn’t give them a voice either. The worker who died that day became a footnote in State and media accounts of the incident.</w:t>
      </w:r>
    </w:p>
    <w:p w:rsidR="00000000" w:rsidDel="00000000" w:rsidP="00000000" w:rsidRDefault="00000000" w:rsidRPr="00000000" w14:paraId="00000048">
      <w:pPr>
        <w:spacing w:after="0" w:before="0" w:line="276" w:lineRule="auto"/>
        <w:ind w:left="720" w:firstLine="0"/>
        <w:jc w:val="both"/>
        <w:rPr>
          <w:color w:val="262626"/>
        </w:rPr>
      </w:pP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pPr>
      <w:r w:rsidDel="00000000" w:rsidR="00000000" w:rsidRPr="00000000">
        <w:rPr>
          <w:color w:val="262626"/>
          <w:rtl w:val="0"/>
        </w:rPr>
        <w:t xml:space="preserve">Claiming that alcohol was a major contributing factor to the incident, they introduced new liquor control legislation that imposed special restrictions on liquor sale, supply and consumption in Little India and Geylang, which are cultural areas for ethnic minorities, frequented by South Asian migrant worker populations. The </w:t>
      </w:r>
      <w:r w:rsidDel="00000000" w:rsidR="00000000" w:rsidRPr="00000000">
        <w:rPr>
          <w:color w:val="262626"/>
          <w:highlight w:val="white"/>
          <w:rtl w:val="0"/>
        </w:rPr>
        <w:t xml:space="preserve">Public Order (Additional Temporary Measures) Bill was introduced, allowing police officers to conduct strip-search and raids without a warrant, among other excessive powers. </w:t>
      </w:r>
      <w:r w:rsidDel="00000000" w:rsidR="00000000" w:rsidRPr="00000000">
        <w:rPr>
          <w:color w:val="262626"/>
          <w:rtl w:val="0"/>
        </w:rPr>
        <w:t xml:space="preserve">To this day, Little India and Geylang suffer harsher liquor restrictions and Little India continues to be heavily patrolled by auxiliary police. This threatening presence has radically altered the sense of community in  what has been a place of great cultural significance to the South Asian community. </w:t>
      </w:r>
    </w:p>
    <w:p w:rsidR="00000000" w:rsidDel="00000000" w:rsidP="00000000" w:rsidRDefault="00000000" w:rsidRPr="00000000" w14:paraId="0000004A">
      <w:pPr>
        <w:spacing w:after="0" w:before="0" w:line="276" w:lineRule="auto"/>
        <w:ind w:left="0" w:firstLine="0"/>
        <w:jc w:val="both"/>
        <w:rPr>
          <w:color w:val="262626"/>
        </w:rPr>
      </w:pPr>
      <w:r w:rsidDel="00000000" w:rsidR="00000000" w:rsidRPr="00000000">
        <w:rPr>
          <w:rtl w:val="0"/>
        </w:rPr>
      </w:r>
    </w:p>
    <w:p w:rsidR="00000000" w:rsidDel="00000000" w:rsidP="00000000" w:rsidRDefault="00000000" w:rsidRPr="00000000" w14:paraId="0000004B">
      <w:pPr>
        <w:spacing w:after="0" w:before="0" w:line="276" w:lineRule="auto"/>
        <w:ind w:left="0" w:firstLine="0"/>
        <w:jc w:val="both"/>
        <w:rPr>
          <w:color w:val="262626"/>
          <w:u w:val="single"/>
        </w:rPr>
      </w:pPr>
      <w:r w:rsidDel="00000000" w:rsidR="00000000" w:rsidRPr="00000000">
        <w:rPr>
          <w:color w:val="262626"/>
          <w:u w:val="single"/>
          <w:rtl w:val="0"/>
        </w:rPr>
        <w:t xml:space="preserve">Mistrust between police and ethnic minority communities</w:t>
      </w:r>
    </w:p>
    <w:p w:rsidR="00000000" w:rsidDel="00000000" w:rsidP="00000000" w:rsidRDefault="00000000" w:rsidRPr="00000000" w14:paraId="0000004C">
      <w:pPr>
        <w:spacing w:after="0" w:before="0" w:line="276" w:lineRule="auto"/>
        <w:ind w:left="720" w:firstLine="0"/>
        <w:jc w:val="both"/>
        <w:rPr>
          <w:color w:val="262626"/>
        </w:rPr>
      </w:pPr>
      <w:r w:rsidDel="00000000" w:rsidR="00000000" w:rsidRPr="00000000">
        <w:rPr>
          <w:rtl w:val="0"/>
        </w:rPr>
      </w:r>
    </w:p>
    <w:p w:rsidR="00000000" w:rsidDel="00000000" w:rsidP="00000000" w:rsidRDefault="00000000" w:rsidRPr="00000000" w14:paraId="0000004D">
      <w:pPr>
        <w:numPr>
          <w:ilvl w:val="0"/>
          <w:numId w:val="2"/>
        </w:numPr>
        <w:spacing w:after="0" w:before="0" w:line="276" w:lineRule="auto"/>
        <w:ind w:left="720" w:hanging="720"/>
        <w:jc w:val="both"/>
        <w:rPr>
          <w:i w:val="1"/>
        </w:rPr>
      </w:pPr>
      <w:r w:rsidDel="00000000" w:rsidR="00000000" w:rsidRPr="00000000">
        <w:rPr>
          <w:i w:val="1"/>
          <w:rtl w:val="0"/>
        </w:rPr>
        <w:t xml:space="preserve">“I started hating the police when I was 11. I found a bicycle in this dumpster. So I took the bicycle. Me and my brother were cycling. So the guy who actually saw us (an ethnic Chinese), he called the police. The police came to me and my brother. My brother was seven years old. The police didn’t talk much.  Straight away, they stopped us and said, “Squat down, squat down, face the wall!” It’s still fresh in my head la. “Ah you want to steal bicycle is it? Come, I show you, ” the officer said. Wah. I tell him, “No, no I didn’t steal the bicycle, I found in a dumpster, you know, somebody throw the bicycle away. So that’s why I took and cycle.” Then the police officer told me, “Even though people throw how can you take? How can you, it’s not yours!” And I was standing there – “No, it was thrown away, that’s why I took!” I was trying to explain myself and he said, ‘You come, you want to talk so much, you come.” Then they directly brought me inside the car. You know, they brought me inside the car, and they actually handcuffed me. So I was shocked you know. Yeah, they handcuffed me. Then they put me inside the cell.”</w:t>
      </w:r>
    </w:p>
    <w:p w:rsidR="00000000" w:rsidDel="00000000" w:rsidP="00000000" w:rsidRDefault="00000000" w:rsidRPr="00000000" w14:paraId="0000004E">
      <w:pPr>
        <w:spacing w:after="0" w:before="0" w:line="276" w:lineRule="auto"/>
        <w:ind w:left="720" w:firstLine="0"/>
        <w:jc w:val="both"/>
        <w:rPr>
          <w:i w:val="1"/>
        </w:rPr>
      </w:pP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pPr>
      <w:r w:rsidDel="00000000" w:rsidR="00000000" w:rsidRPr="00000000">
        <w:rPr>
          <w:color w:val="262626"/>
          <w:rtl w:val="0"/>
        </w:rPr>
        <w:t xml:space="preserve">Multiple</w:t>
      </w:r>
      <w:r w:rsidDel="00000000" w:rsidR="00000000" w:rsidRPr="00000000">
        <w:rPr>
          <w:rtl w:val="0"/>
        </w:rPr>
        <w:t xml:space="preserve"> respondents we spoke to said they felt nervous when they saw the police, and felt traumatised by repeated, hostile encounters with the police. This was the case even when they were seeking help from the police. One Malay woman talked about accompanying a friend, another Malay woman, to the police to report loan-shark harassment, and she recalled how, instead of helping her, they apprehended her for some unpaid fines. Malay and Indian women who face domestic violence  have recounted in different settings how the police have been unhelpful in de-escalating situations or making them feel supported and heard. </w:t>
      </w:r>
    </w:p>
    <w:p w:rsidR="00000000" w:rsidDel="00000000" w:rsidP="00000000" w:rsidRDefault="00000000" w:rsidRPr="00000000" w14:paraId="00000050">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pPr>
      <w:r w:rsidDel="00000000" w:rsidR="00000000" w:rsidRPr="00000000">
        <w:rPr>
          <w:rtl w:val="0"/>
        </w:rPr>
        <w:t xml:space="preserve">The fact that low-income Malay and Indian communities perceive or believe that there is racial discrimination in the legal system is significant, as it deepens their sense of disenfranchisedment. There was a sense of resignation and disempowerment in respondents’ comments about the legal system’s relationship with them, the sense that getting into trouble with the law was almost inevitable. Many said that while they had no hard evidence to prove it, they believed that Malays and Indians were  treated differently by different parts of the legal system, compared to ethnic Chinese. When asked about racial profiling, one Malay respondent said, </w:t>
      </w:r>
    </w:p>
    <w:p w:rsidR="00000000" w:rsidDel="00000000" w:rsidP="00000000" w:rsidRDefault="00000000" w:rsidRPr="00000000" w14:paraId="00000052">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53">
      <w:pPr>
        <w:spacing w:after="0" w:before="0" w:line="276" w:lineRule="auto"/>
        <w:ind w:left="720" w:firstLine="0"/>
        <w:jc w:val="both"/>
        <w:rPr>
          <w:b w:val="1"/>
          <w:i w:val="1"/>
        </w:rPr>
      </w:pPr>
      <w:r w:rsidDel="00000000" w:rsidR="00000000" w:rsidRPr="00000000">
        <w:rPr>
          <w:i w:val="1"/>
          <w:rtl w:val="0"/>
        </w:rPr>
        <w:t xml:space="preserve">“What's more critical to me is that the Malays themselves feel that they are already profiled, or they are already not receiving justice, you know? You know, the sense that if anyone gets into legal problem then, that's it. You're just going to end up there (in prison), you're not going to get fair and just treatment. You just go to traffic court and see. There are a lot of Malays in traffic court. Because Malays, they drive lorries, they're motorbikers and all that...so I accompanied one of the women to traffic court. There were many Malays and, you know, many cannot pay the fines, so they will have to spend time in jail. Which they were willing to do...they think it’s better to spend time in jail than find the five..seven thousand dollars to pay for it. It is beyond their capability to...to stay out of trouble, because they cannot pay the fines that are required in Singapore. And a lot of them are Grab drivers and you know, all that. So they do get into trouble often about parking fines and all that.”</w:t>
      </w:r>
      <w:r w:rsidDel="00000000" w:rsidR="00000000" w:rsidRPr="00000000">
        <w:rPr>
          <w:rtl w:val="0"/>
        </w:rPr>
      </w:r>
    </w:p>
    <w:p w:rsidR="00000000" w:rsidDel="00000000" w:rsidP="00000000" w:rsidRDefault="00000000" w:rsidRPr="00000000" w14:paraId="00000054">
      <w:pPr>
        <w:spacing w:after="0" w:before="0" w:line="276" w:lineRule="auto"/>
        <w:ind w:left="720" w:firstLine="0"/>
        <w:jc w:val="both"/>
        <w:rPr>
          <w:b w:val="1"/>
          <w:i w:val="1"/>
        </w:rPr>
      </w:pP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pPr>
      <w:r w:rsidDel="00000000" w:rsidR="00000000" w:rsidRPr="00000000">
        <w:rPr>
          <w:rtl w:val="0"/>
        </w:rPr>
        <w:t xml:space="preserve">Some respondents also talked about their observation that people received different treatment from law enforcement officers based on whether they had social capital, and family members/community who would advocate fiercely for them. They shared that Chinese people who got into trouble with the law were more likely to have advocates who could affect their outcomes positively, compared to Indian and Malay individuals, partly because, from respondents’ points of view, the authorities’ assessments of who has a “bright future”, a strong support system, who it is easier to “rehabilitate”, and who is likely to reoffend are racially fraught. </w:t>
      </w:r>
    </w:p>
    <w:p w:rsidR="00000000" w:rsidDel="00000000" w:rsidP="00000000" w:rsidRDefault="00000000" w:rsidRPr="00000000" w14:paraId="00000056">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57">
      <w:pPr>
        <w:spacing w:after="0" w:before="0" w:line="276" w:lineRule="auto"/>
        <w:ind w:left="720" w:firstLine="0"/>
        <w:jc w:val="both"/>
        <w:rPr>
          <w:i w:val="1"/>
        </w:rPr>
      </w:pPr>
      <w:r w:rsidDel="00000000" w:rsidR="00000000" w:rsidRPr="00000000">
        <w:rPr>
          <w:i w:val="1"/>
          <w:rtl w:val="0"/>
        </w:rPr>
        <w:t xml:space="preserve">“Because the parents keep on writing in...you know these people, they get probation. You know the moment you see the background check, you know, his mother doing this, oh the boy doing that, so he said, he is studying, studying, they support him more. You know, these are the people who actually get better chances.”</w:t>
      </w:r>
    </w:p>
    <w:p w:rsidR="00000000" w:rsidDel="00000000" w:rsidP="00000000" w:rsidRDefault="00000000" w:rsidRPr="00000000" w14:paraId="00000058">
      <w:pPr>
        <w:spacing w:after="0" w:before="0" w:line="276" w:lineRule="auto"/>
        <w:ind w:left="0" w:firstLine="0"/>
        <w:jc w:val="both"/>
        <w:rPr>
          <w:color w:val="262626"/>
          <w:u w:val="single"/>
        </w:rPr>
      </w:pPr>
      <w:r w:rsidDel="00000000" w:rsidR="00000000" w:rsidRPr="00000000">
        <w:rPr>
          <w:color w:val="262626"/>
          <w:u w:val="single"/>
          <w:rtl w:val="0"/>
        </w:rPr>
        <w:t xml:space="preserve">Policing minority culture and events </w:t>
        <w:br w:type="textWrapping"/>
      </w:r>
    </w:p>
    <w:p w:rsidR="00000000" w:rsidDel="00000000" w:rsidP="00000000" w:rsidRDefault="00000000" w:rsidRPr="00000000" w14:paraId="00000059">
      <w:pPr>
        <w:numPr>
          <w:ilvl w:val="0"/>
          <w:numId w:val="2"/>
        </w:numPr>
        <w:spacing w:after="0" w:before="0" w:line="276" w:lineRule="auto"/>
        <w:ind w:left="720" w:hanging="630"/>
        <w:jc w:val="both"/>
        <w:rPr>
          <w:i w:val="1"/>
          <w:color w:val="262626"/>
        </w:rPr>
      </w:pPr>
      <w:r w:rsidDel="00000000" w:rsidR="00000000" w:rsidRPr="00000000">
        <w:rPr>
          <w:i w:val="1"/>
          <w:color w:val="262626"/>
          <w:rtl w:val="0"/>
        </w:rPr>
        <w:t xml:space="preserve">“Four years ago, Thaipusam, that's when it started. We were playing the tambourine and walking down. So when they saw me playing the tambourine, some..one guy came and said "brother, don't play, police are here". Then I said "I'm only playing the tambourine, what's the problem?" Then...two minutes later..suddenly someone catch me from behind and drags me out...and..they started questioning me and they were really interrogating me. "Who gave you this drum to play? How can you play? Do you know it's not allowed?" It was the police...in civilian clothes.”</w:t>
      </w:r>
    </w:p>
    <w:p w:rsidR="00000000" w:rsidDel="00000000" w:rsidP="00000000" w:rsidRDefault="00000000" w:rsidRPr="00000000" w14:paraId="0000005A">
      <w:pPr>
        <w:spacing w:after="0" w:before="0" w:line="276" w:lineRule="auto"/>
        <w:ind w:left="720" w:firstLine="0"/>
        <w:jc w:val="both"/>
        <w:rPr>
          <w:i w:val="1"/>
          <w:color w:val="262626"/>
        </w:rPr>
      </w:pPr>
      <w:r w:rsidDel="00000000" w:rsidR="00000000" w:rsidRPr="00000000">
        <w:rPr>
          <w:rtl w:val="0"/>
        </w:rPr>
      </w:r>
    </w:p>
    <w:p w:rsidR="00000000" w:rsidDel="00000000" w:rsidP="00000000" w:rsidRDefault="00000000" w:rsidRPr="00000000" w14:paraId="0000005B">
      <w:pPr>
        <w:numPr>
          <w:ilvl w:val="0"/>
          <w:numId w:val="2"/>
        </w:numPr>
        <w:spacing w:after="0" w:before="0" w:line="276" w:lineRule="auto"/>
        <w:ind w:left="720" w:hanging="630"/>
        <w:jc w:val="both"/>
        <w:rPr>
          <w:color w:val="262626"/>
        </w:rPr>
      </w:pPr>
      <w:r w:rsidDel="00000000" w:rsidR="00000000" w:rsidRPr="00000000">
        <w:rPr>
          <w:color w:val="262626"/>
          <w:rtl w:val="0"/>
        </w:rPr>
        <w:t xml:space="preserve">Restrictions on the playing of musical instruments during Thaipusam, an important annual Hindu festival that involves a procession by foot, has long been a pain point for the Hindu community - made up largely of ethnic Indians - with scuffles between police and devotees ensuing on multiple occasions. The government considers the playing of musical instruments as part of the procession to be a higher public order risk than the playing of musical instruments at a wide range of other cultural events and festivals celebrated by different communities in Singapore. Heavy police presence during the Thaipusam festival heightens tensions, undermines the sanctity of the event, and reinforces stereotypes about disorderly Indians. Restrictions have been adjusted in dribs and drabs over the years, but it remains an uneasy compromise between the state and Hindu devotees. </w:t>
      </w:r>
    </w:p>
    <w:p w:rsidR="00000000" w:rsidDel="00000000" w:rsidP="00000000" w:rsidRDefault="00000000" w:rsidRPr="00000000" w14:paraId="0000005C">
      <w:pPr>
        <w:spacing w:after="0" w:before="0" w:line="276" w:lineRule="auto"/>
        <w:ind w:left="720" w:firstLine="0"/>
        <w:jc w:val="both"/>
        <w:rPr>
          <w:color w:val="262626"/>
        </w:rPr>
      </w:pP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color w:val="262626"/>
          <w:rtl w:val="0"/>
        </w:rPr>
        <w:t xml:space="preserve">An Indian musician we interviewed cited multiple times where the police were called when he and his drumming troupe performed at various venues. Sometimes, he said, they are not allowed to perform because Indian drums are considered “too loud”. </w:t>
        <w:br w:type="textWrapping"/>
      </w:r>
    </w:p>
    <w:p w:rsidR="00000000" w:rsidDel="00000000" w:rsidP="00000000" w:rsidRDefault="00000000" w:rsidRPr="00000000" w14:paraId="0000005E">
      <w:pPr>
        <w:spacing w:after="0" w:before="0" w:line="276" w:lineRule="auto"/>
        <w:ind w:left="0" w:firstLine="0"/>
        <w:jc w:val="both"/>
        <w:rPr>
          <w:color w:val="262626"/>
          <w:u w:val="single"/>
        </w:rPr>
      </w:pPr>
      <w:r w:rsidDel="00000000" w:rsidR="00000000" w:rsidRPr="00000000">
        <w:rPr>
          <w:color w:val="262626"/>
          <w:u w:val="single"/>
          <w:rtl w:val="0"/>
        </w:rPr>
        <w:t xml:space="preserve">Conclusion</w:t>
      </w:r>
    </w:p>
    <w:p w:rsidR="00000000" w:rsidDel="00000000" w:rsidP="00000000" w:rsidRDefault="00000000" w:rsidRPr="00000000" w14:paraId="0000005F">
      <w:pPr>
        <w:spacing w:after="0" w:before="0" w:line="276" w:lineRule="auto"/>
        <w:ind w:left="0" w:firstLine="0"/>
        <w:jc w:val="both"/>
        <w:rPr>
          <w:color w:val="262626"/>
          <w:u w:val="singl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color w:val="262626"/>
          <w:rtl w:val="0"/>
        </w:rPr>
        <w:t xml:space="preserve">The spaces where race intersects with poverty and immigration are heavily surveilled, policed and criminalised spaces in Singapore, both literally and metaphorically. The poor, racialised body is construed as a deviant body that needs to be subject to regulations, scrutiny and penalties that control both how it expresses (music, presence, visibility) and what it internalises (alcohol). Attempts to discuss these lived experiences are shut down through swift sanctions in the form of police investigations, public censure and censorship.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color w:val="262626"/>
        </w:rPr>
      </w:pP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u w:val="none"/>
        </w:rPr>
      </w:pPr>
      <w:r w:rsidDel="00000000" w:rsidR="00000000" w:rsidRPr="00000000">
        <w:rPr>
          <w:color w:val="262626"/>
          <w:rtl w:val="0"/>
        </w:rPr>
        <w:t xml:space="preserve">TJC is concerned that police practices and legislation in this chapter violate Singapore’s obligation under Article 2(a) of CERD to not “engage in no act or practice of racial discrimination against persons, groups of persons or institutions and to en ure that all public authorities and public institutions, national and local, shall act in conformity with this obligation”.</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color w:val="262626"/>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color w:val="262626"/>
          <w:u w:val="singl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color w:val="262626"/>
        </w:rPr>
      </w:pPr>
      <w:r w:rsidDel="00000000" w:rsidR="00000000" w:rsidRPr="00000000">
        <w:rPr>
          <w:color w:val="262626"/>
          <w:u w:val="single"/>
          <w:rtl w:val="0"/>
        </w:rPr>
        <w:t xml:space="preserve">Recommendations</w:t>
      </w:r>
      <w:r w:rsidDel="00000000" w:rsidR="00000000" w:rsidRPr="00000000">
        <w:rPr>
          <w:color w:val="262626"/>
          <w:rtl w:val="0"/>
        </w:rPr>
        <w:br w:type="textWrapping"/>
      </w:r>
    </w:p>
    <w:p w:rsidR="00000000" w:rsidDel="00000000" w:rsidP="00000000" w:rsidRDefault="00000000" w:rsidRPr="00000000" w14:paraId="0000006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color w:val="262626"/>
          <w:rtl w:val="0"/>
        </w:rPr>
        <w:t xml:space="preserve">That the Singapore government provides statistical data on police practices such as stop-and-search, and patrolling of rental housing neighbourhoods. </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color w:val="262626"/>
        </w:rPr>
      </w:pP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color w:val="262626"/>
          <w:rtl w:val="0"/>
        </w:rPr>
        <w:t xml:space="preserve">To appoint an independent committee to review the sufficiency of safeguards against racial discrimination in police processes and practices. </w:t>
        <w:br w:type="textWrapping"/>
      </w:r>
    </w:p>
    <w:p w:rsidR="00000000" w:rsidDel="00000000" w:rsidP="00000000" w:rsidRDefault="00000000" w:rsidRPr="00000000" w14:paraId="0000006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u w:val="none"/>
        </w:rPr>
      </w:pPr>
      <w:r w:rsidDel="00000000" w:rsidR="00000000" w:rsidRPr="00000000">
        <w:rPr>
          <w:color w:val="262626"/>
          <w:rtl w:val="0"/>
        </w:rPr>
        <w:t xml:space="preserve">To appoint an independent ombudsman to review complaints against the police.</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color w:val="262626"/>
        </w:rPr>
      </w:pP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color w:val="262626"/>
          <w:rtl w:val="0"/>
        </w:rPr>
        <w:t xml:space="preserve">To repeal S298 and S298A of the Penal Code that are used to criminalise legitimate discourse around race.</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color w:val="262626"/>
        </w:rPr>
      </w:pP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b w:val="1"/>
        </w:rPr>
      </w:pPr>
      <w:r w:rsidDel="00000000" w:rsidR="00000000" w:rsidRPr="00000000">
        <w:rPr>
          <w:b w:val="1"/>
          <w:color w:val="262626"/>
          <w:rtl w:val="0"/>
        </w:rPr>
        <w:t xml:space="preserve">Drug </w:t>
      </w:r>
      <w:r w:rsidDel="00000000" w:rsidR="00000000" w:rsidRPr="00000000">
        <w:rPr>
          <w:b w:val="1"/>
          <w:rtl w:val="0"/>
        </w:rPr>
        <w:t xml:space="preserve">Regimes</w:t>
      </w:r>
      <w:r w:rsidDel="00000000" w:rsidR="00000000" w:rsidRPr="00000000">
        <w:rPr>
          <w:rtl w:val="0"/>
        </w:rPr>
      </w:r>
    </w:p>
    <w:p w:rsidR="00000000" w:rsidDel="00000000" w:rsidP="00000000" w:rsidRDefault="00000000" w:rsidRPr="00000000" w14:paraId="0000006E">
      <w:pPr>
        <w:spacing w:after="0" w:before="0" w:line="276" w:lineRule="auto"/>
        <w:ind w:left="0" w:firstLine="0"/>
        <w:jc w:val="both"/>
        <w:rPr>
          <w:b w:val="1"/>
          <w:color w:val="262626"/>
        </w:rPr>
      </w:pPr>
      <w:r w:rsidDel="00000000" w:rsidR="00000000" w:rsidRPr="00000000">
        <w:rPr>
          <w:rtl w:val="0"/>
        </w:rPr>
      </w:r>
    </w:p>
    <w:p w:rsidR="00000000" w:rsidDel="00000000" w:rsidP="00000000" w:rsidRDefault="00000000" w:rsidRPr="00000000" w14:paraId="0000006F">
      <w:pPr>
        <w:spacing w:after="0" w:before="0" w:line="276" w:lineRule="auto"/>
        <w:ind w:left="0" w:firstLine="0"/>
        <w:jc w:val="both"/>
        <w:rPr>
          <w:color w:val="262626"/>
          <w:u w:val="single"/>
        </w:rPr>
      </w:pPr>
      <w:r w:rsidDel="00000000" w:rsidR="00000000" w:rsidRPr="00000000">
        <w:rPr>
          <w:color w:val="262626"/>
          <w:u w:val="single"/>
          <w:rtl w:val="0"/>
        </w:rPr>
        <w:t xml:space="preserve">Introduction</w:t>
      </w:r>
    </w:p>
    <w:p w:rsidR="00000000" w:rsidDel="00000000" w:rsidP="00000000" w:rsidRDefault="00000000" w:rsidRPr="00000000" w14:paraId="00000070">
      <w:pPr>
        <w:spacing w:after="0" w:before="0" w:line="276" w:lineRule="auto"/>
        <w:ind w:left="0" w:firstLine="0"/>
        <w:jc w:val="both"/>
        <w:rPr>
          <w:b w:val="1"/>
          <w:color w:val="262626"/>
        </w:rPr>
      </w:pPr>
      <w:r w:rsidDel="00000000" w:rsidR="00000000" w:rsidRPr="00000000">
        <w:rPr>
          <w:rtl w:val="0"/>
        </w:rPr>
      </w:r>
    </w:p>
    <w:p w:rsidR="00000000" w:rsidDel="00000000" w:rsidP="00000000" w:rsidRDefault="00000000" w:rsidRPr="00000000" w14:paraId="0000007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Contemporary drug laws in Singapore was introduced in 1973 with the Misuse of Drugs Act. The policy regime emphasised the threat that drugs posed towards nation-building, taking a ‘zero-tolerance approach’ towarsd drug use. Central to the drug regime in Singapore is the the death penalty for drug traffickers (addressed in a separate section of this report), and the use of long term incarceration and mandatory detentive rehabilitation to address drug consumption. </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color w:val="262626"/>
        </w:rPr>
      </w:pPr>
      <w:r w:rsidDel="00000000" w:rsidR="00000000" w:rsidRPr="00000000">
        <w:rPr>
          <w:rtl w:val="0"/>
        </w:rPr>
      </w:r>
    </w:p>
    <w:p w:rsidR="00000000" w:rsidDel="00000000" w:rsidP="00000000" w:rsidRDefault="00000000" w:rsidRPr="00000000" w14:paraId="0000007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Another key approach towards controlling drug use are community-based programmes after the </w:t>
      </w:r>
      <w:r w:rsidDel="00000000" w:rsidR="00000000" w:rsidRPr="00000000">
        <w:rPr>
          <w:color w:val="262626"/>
          <w:rtl w:val="0"/>
        </w:rPr>
        <w:t xml:space="preserve">prison</w:t>
      </w:r>
      <w:r w:rsidDel="00000000" w:rsidR="00000000" w:rsidRPr="00000000">
        <w:rPr>
          <w:rtl w:val="0"/>
        </w:rPr>
        <w:t xml:space="preserve"> sentence or mandatory rehabilitation is completed - this often involves some kind of day release programme to work, or home supervision with electronic tagging. Amendments to the Misuse of Drug Act in 2019 would have repeat offenders who admit to drug consumption sent to mandatory rehabilitation instead of imprisonment, it also introduced more options for in-community supervision.</w:t>
      </w:r>
    </w:p>
    <w:p w:rsidR="00000000" w:rsidDel="00000000" w:rsidP="00000000" w:rsidRDefault="00000000" w:rsidRPr="00000000" w14:paraId="00000074">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Singapore’s war on drugs also led to significant increases in the incarcerated population. Over half</w:t>
      </w:r>
      <w:r w:rsidDel="00000000" w:rsidR="00000000" w:rsidRPr="00000000">
        <w:rPr>
          <w:color w:val="262626"/>
          <w:rtl w:val="0"/>
        </w:rPr>
        <w:t xml:space="preserve"> </w:t>
      </w:r>
      <w:r w:rsidDel="00000000" w:rsidR="00000000" w:rsidRPr="00000000">
        <w:rPr>
          <w:rtl w:val="0"/>
        </w:rPr>
        <w:t xml:space="preserve">of Singapore’s current prison population are incarcerated for drug offences. </w:t>
      </w:r>
    </w:p>
    <w:p w:rsidR="00000000" w:rsidDel="00000000" w:rsidP="00000000" w:rsidRDefault="00000000" w:rsidRPr="00000000" w14:paraId="00000076">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Significant numbers of individuals also undergo mandatory rehabilitation in Drug Rehabilitation </w:t>
      </w:r>
      <w:r w:rsidDel="00000000" w:rsidR="00000000" w:rsidRPr="00000000">
        <w:rPr>
          <w:color w:val="262626"/>
          <w:rtl w:val="0"/>
        </w:rPr>
        <w:t xml:space="preserve">Centres</w:t>
      </w:r>
      <w:r w:rsidDel="00000000" w:rsidR="00000000" w:rsidRPr="00000000">
        <w:rPr>
          <w:rtl w:val="0"/>
        </w:rPr>
        <w:t xml:space="preserve"> (DRC). While only 432 individuals were in Drug Rehabilitation Centres in 2006, 2984 individuals were in DRC in 2020.</w:t>
      </w:r>
      <w:r w:rsidDel="00000000" w:rsidR="00000000" w:rsidRPr="00000000">
        <w:rPr>
          <w:vertAlign w:val="superscript"/>
        </w:rPr>
        <w:footnoteReference w:customMarkFollows="0" w:id="6"/>
      </w:r>
      <w:r w:rsidDel="00000000" w:rsidR="00000000" w:rsidRPr="00000000">
        <w:rPr>
          <w:rtl w:val="0"/>
        </w:rPr>
        <w:t xml:space="preserve"> This marked increase over the last decade reflects a shift in the state’s preference towards admitting offenders to mandatory rehabilitation instead of incarceration.</w:t>
      </w:r>
    </w:p>
    <w:p w:rsidR="00000000" w:rsidDel="00000000" w:rsidP="00000000" w:rsidRDefault="00000000" w:rsidRPr="00000000" w14:paraId="00000078">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7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The </w:t>
      </w:r>
      <w:r w:rsidDel="00000000" w:rsidR="00000000" w:rsidRPr="00000000">
        <w:rPr>
          <w:color w:val="262626"/>
          <w:rtl w:val="0"/>
        </w:rPr>
        <w:t xml:space="preserve">government</w:t>
      </w:r>
      <w:r w:rsidDel="00000000" w:rsidR="00000000" w:rsidRPr="00000000">
        <w:rPr>
          <w:rtl w:val="0"/>
        </w:rPr>
        <w:t xml:space="preserve"> also reports statistics on inmates admitted to DRC by education level - in 2020, just over 71% had received secondary school levels of education or less.</w:t>
      </w:r>
      <w:r w:rsidDel="00000000" w:rsidR="00000000" w:rsidRPr="00000000">
        <w:rPr>
          <w:vertAlign w:val="superscript"/>
        </w:rPr>
        <w:footnoteReference w:customMarkFollows="0" w:id="7"/>
      </w:r>
      <w:r w:rsidDel="00000000" w:rsidR="00000000" w:rsidRPr="00000000">
        <w:rPr>
          <w:rtl w:val="0"/>
        </w:rPr>
        <w:t xml:space="preserve"> This is more or less consistent over the years, and proxies the socio-economic marginality of drug users.</w:t>
        <w:br w:type="textWrapping"/>
      </w:r>
    </w:p>
    <w:p w:rsidR="00000000" w:rsidDel="00000000" w:rsidP="00000000" w:rsidRDefault="00000000" w:rsidRPr="00000000" w14:paraId="0000007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Based </w:t>
      </w:r>
      <w:r w:rsidDel="00000000" w:rsidR="00000000" w:rsidRPr="00000000">
        <w:rPr>
          <w:color w:val="262626"/>
          <w:rtl w:val="0"/>
        </w:rPr>
        <w:t xml:space="preserve">on</w:t>
      </w:r>
      <w:r w:rsidDel="00000000" w:rsidR="00000000" w:rsidRPr="00000000">
        <w:rPr>
          <w:rtl w:val="0"/>
        </w:rPr>
        <w:t xml:space="preserve"> available government statistics for 2020, Chinese make up 32% of drug users, Malays make up 49% of drug users, Indians 17%. </w:t>
      </w:r>
      <w:r w:rsidDel="00000000" w:rsidR="00000000" w:rsidRPr="00000000">
        <w:rPr>
          <w:vertAlign w:val="superscript"/>
        </w:rPr>
        <w:footnoteReference w:customMarkFollows="0" w:id="8"/>
      </w:r>
      <w:r w:rsidDel="00000000" w:rsidR="00000000" w:rsidRPr="00000000">
        <w:rPr>
          <w:rtl w:val="0"/>
        </w:rPr>
        <w:t xml:space="preserve"> </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pPr>
      <w:r w:rsidDel="00000000" w:rsidR="00000000" w:rsidRPr="00000000">
        <w:rPr>
          <w:rtl w:val="0"/>
        </w:rPr>
      </w:r>
    </w:p>
    <w:p w:rsidR="00000000" w:rsidDel="00000000" w:rsidP="00000000" w:rsidRDefault="00000000" w:rsidRPr="00000000" w14:paraId="0000007C">
      <w:pPr>
        <w:spacing w:after="0" w:before="0" w:line="276" w:lineRule="auto"/>
        <w:jc w:val="both"/>
        <w:rPr/>
      </w:pPr>
      <w:r w:rsidDel="00000000" w:rsidR="00000000" w:rsidRPr="00000000">
        <w:rPr>
          <w:rtl w:val="0"/>
        </w:rPr>
      </w:r>
    </w:p>
    <w:p w:rsidR="00000000" w:rsidDel="00000000" w:rsidP="00000000" w:rsidRDefault="00000000" w:rsidRPr="00000000" w14:paraId="0000007D">
      <w:pPr>
        <w:spacing w:after="0" w:before="0" w:line="276" w:lineRule="auto"/>
        <w:jc w:val="both"/>
        <w:rPr>
          <w:u w:val="single"/>
        </w:rPr>
      </w:pPr>
      <w:r w:rsidDel="00000000" w:rsidR="00000000" w:rsidRPr="00000000">
        <w:rPr>
          <w:u w:val="single"/>
          <w:rtl w:val="0"/>
        </w:rPr>
        <w:t xml:space="preserve">A Punitive Approach to Drug Use</w:t>
      </w:r>
    </w:p>
    <w:p w:rsidR="00000000" w:rsidDel="00000000" w:rsidP="00000000" w:rsidRDefault="00000000" w:rsidRPr="00000000" w14:paraId="0000007E">
      <w:pPr>
        <w:spacing w:after="0" w:before="0" w:line="276" w:lineRule="auto"/>
        <w:jc w:val="both"/>
        <w:rPr>
          <w:b w:val="1"/>
        </w:rPr>
      </w:pP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color w:val="262626"/>
          <w:rtl w:val="0"/>
        </w:rPr>
        <w:t xml:space="preserve">Singapore</w:t>
      </w:r>
      <w:r w:rsidDel="00000000" w:rsidR="00000000" w:rsidRPr="00000000">
        <w:rPr>
          <w:rtl w:val="0"/>
        </w:rPr>
        <w:t xml:space="preserve"> continues to take on a punitive approach to addressing drugs, via the hyper-criminalisation of minor drug possession, use, and low-level peddling. Drug couriers face long periods of incarceration with mandatory caning. </w:t>
        <w:br w:type="textWrapping"/>
      </w:r>
    </w:p>
    <w:p w:rsidR="00000000" w:rsidDel="00000000" w:rsidP="00000000" w:rsidRDefault="00000000" w:rsidRPr="00000000" w14:paraId="0000008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For consumption of drugs, the Misuse of Drugs Act allows the Director of the Central Narcotics </w:t>
      </w:r>
      <w:r w:rsidDel="00000000" w:rsidR="00000000" w:rsidRPr="00000000">
        <w:rPr>
          <w:color w:val="262626"/>
          <w:rtl w:val="0"/>
        </w:rPr>
        <w:t xml:space="preserve">Bureau</w:t>
      </w:r>
      <w:r w:rsidDel="00000000" w:rsidR="00000000" w:rsidRPr="00000000">
        <w:rPr>
          <w:rtl w:val="0"/>
        </w:rPr>
        <w:t xml:space="preserve"> (the main investigative body for drug offences in Singapore) to require a person whom he reasonably suspects to be a drug addict, to undergo tests and to undergo rehabilitation or treatment at an approved institution</w:t>
      </w:r>
      <w:r w:rsidDel="00000000" w:rsidR="00000000" w:rsidRPr="00000000">
        <w:rPr>
          <w:vertAlign w:val="superscript"/>
        </w:rPr>
        <w:footnoteReference w:customMarkFollows="0" w:id="9"/>
      </w:r>
      <w:r w:rsidDel="00000000" w:rsidR="00000000" w:rsidRPr="00000000">
        <w:rPr>
          <w:rtl w:val="0"/>
        </w:rPr>
        <w:t xml:space="preserve"> (known as the Drug Rehabilitation Centre (DRC)).</w:t>
        <w:br w:type="textWrapping"/>
      </w:r>
    </w:p>
    <w:p w:rsidR="00000000" w:rsidDel="00000000" w:rsidP="00000000" w:rsidRDefault="00000000" w:rsidRPr="00000000" w14:paraId="0000008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color w:val="262626"/>
          <w:rtl w:val="0"/>
        </w:rPr>
        <w:t xml:space="preserve">TJC’s</w:t>
      </w:r>
      <w:r w:rsidDel="00000000" w:rsidR="00000000" w:rsidRPr="00000000">
        <w:rPr>
          <w:rtl w:val="0"/>
        </w:rPr>
        <w:t xml:space="preserve"> interview work with formerly incarcerated individuals, including those who have undergone DRC,  highlights that individuals who are housed within the DRC are subject to the same prison conditions as other inmates, only going through different rehabilitative programmes.</w:t>
        <w:br w:type="textWrapping"/>
        <w:t xml:space="preserve">.</w:t>
      </w:r>
    </w:p>
    <w:p w:rsidR="00000000" w:rsidDel="00000000" w:rsidP="00000000" w:rsidRDefault="00000000" w:rsidRPr="00000000" w14:paraId="0000008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Our respondents tell us that their experience of available counselling and rehabilitation programmes were often humiliating and condescending. One respondent labelled DRC as more destructive than rehabilitative, another said that their experience in DRC was more like punishment than care.</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Even after the amendments to the Misuse of Drugs Act in 2019, those who do not plead guilty to consumption offences continue to face long-term incarceration and caning. </w:t>
      </w:r>
      <w:r w:rsidDel="00000000" w:rsidR="00000000" w:rsidRPr="00000000">
        <w:rPr>
          <w:color w:val="262626"/>
          <w:rtl w:val="0"/>
        </w:rPr>
        <w:t xml:space="preserve">The</w:t>
      </w:r>
      <w:r w:rsidDel="00000000" w:rsidR="00000000" w:rsidRPr="00000000">
        <w:rPr>
          <w:rtl w:val="0"/>
        </w:rPr>
        <w:t xml:space="preserve"> amendments to the Act also introduced fresh criminal offences, covering adults who leave drug paraphernalia lying around knowing that a child may have access to it, and covering adults who do not take all reasonable steps to prevent children consuming drugs in their possession.</w:t>
      </w:r>
      <w:r w:rsidDel="00000000" w:rsidR="00000000" w:rsidRPr="00000000">
        <w:rPr>
          <w:vertAlign w:val="superscript"/>
        </w:rPr>
        <w:footnoteReference w:customMarkFollows="0" w:id="10"/>
      </w:r>
      <w:r w:rsidDel="00000000" w:rsidR="00000000" w:rsidRPr="00000000">
        <w:rPr>
          <w:rtl w:val="0"/>
        </w:rPr>
        <w:t xml:space="preserve"> The prison term for these offences run up to 10 years.</w:t>
        <w:tab/>
      </w:r>
    </w:p>
    <w:p w:rsidR="00000000" w:rsidDel="00000000" w:rsidP="00000000" w:rsidRDefault="00000000" w:rsidRPr="00000000" w14:paraId="00000085">
      <w:pPr>
        <w:spacing w:after="0" w:before="0" w:line="276" w:lineRule="auto"/>
        <w:ind w:left="0" w:firstLine="0"/>
        <w:jc w:val="both"/>
        <w:rPr/>
      </w:pP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The use of mandatory rehabilitative detention and incarceration to address drug use is a punitive approach that further disadvantages already marginalised communities. Experts have highlighted that compulsory incarceration increases the chance of relapse as compared to community-based approach. Punitive approaches taken in-community, such as the use of electronic tagging, can also increase the stigma towards drug users that impact them when they search for employment.</w:t>
        <w:br w:type="textWrapping"/>
      </w:r>
    </w:p>
    <w:p w:rsidR="00000000" w:rsidDel="00000000" w:rsidP="00000000" w:rsidRDefault="00000000" w:rsidRPr="00000000" w14:paraId="00000087">
      <w:pPr>
        <w:spacing w:after="0" w:before="0" w:line="276" w:lineRule="auto"/>
        <w:jc w:val="both"/>
        <w:rPr>
          <w:u w:val="single"/>
        </w:rPr>
      </w:pPr>
      <w:r w:rsidDel="00000000" w:rsidR="00000000" w:rsidRPr="00000000">
        <w:rPr>
          <w:u w:val="single"/>
          <w:rtl w:val="0"/>
        </w:rPr>
        <w:t xml:space="preserve">Socio-economic Marginality in relation to Drug Use and Treatment</w:t>
        <w:br w:type="textWrapping"/>
      </w:r>
    </w:p>
    <w:p w:rsidR="00000000" w:rsidDel="00000000" w:rsidP="00000000" w:rsidRDefault="00000000" w:rsidRPr="00000000" w14:paraId="0000008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Some of our </w:t>
      </w:r>
      <w:r w:rsidDel="00000000" w:rsidR="00000000" w:rsidRPr="00000000">
        <w:rPr>
          <w:rtl w:val="0"/>
        </w:rPr>
        <w:t xml:space="preserve">respondents shared that they sometimes took drugs for reasons such as coping with the stress of taking on multiple low-paying jobs, and keeping up energy levels to work these multiple jobs. Socio-psychological understandings of substance use highlight how mental health and other economic stressors can push a person towards addiction. A punitive approach that emphasises the drug users’ moral failing and bad behaviour does not address these structural stressors leading individuals to drug use.</w:t>
      </w:r>
    </w:p>
    <w:p w:rsidR="00000000" w:rsidDel="00000000" w:rsidP="00000000" w:rsidRDefault="00000000" w:rsidRPr="00000000" w14:paraId="00000089">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8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However, options for treatment for socio-economically disadvantage drug users that do not lead them into the criminal punishment system are limited. Medical and mental health professionals in Singapore have mandatory reporting obligations that take precedence over patient confidentiality if they are in possession of information about a crime. In contrast, those who are socio-economically privileged have more options to address the stressors they face, such as private doctors and psychologists, or voluntary options such as overseas drug rehabilitation.</w:t>
      </w:r>
    </w:p>
    <w:p w:rsidR="00000000" w:rsidDel="00000000" w:rsidP="00000000" w:rsidRDefault="00000000" w:rsidRPr="00000000" w14:paraId="0000008B">
      <w:pPr>
        <w:spacing w:after="0" w:before="0" w:line="276" w:lineRule="auto"/>
        <w:ind w:left="0" w:firstLine="0"/>
        <w:jc w:val="both"/>
        <w:rPr/>
      </w:pPr>
      <w:r w:rsidDel="00000000" w:rsidR="00000000" w:rsidRPr="00000000">
        <w:rPr>
          <w:rtl w:val="0"/>
        </w:rPr>
      </w:r>
    </w:p>
    <w:p w:rsidR="00000000" w:rsidDel="00000000" w:rsidP="00000000" w:rsidRDefault="00000000" w:rsidRPr="00000000" w14:paraId="0000008C">
      <w:pPr>
        <w:spacing w:after="0" w:before="0" w:line="276" w:lineRule="auto"/>
        <w:jc w:val="both"/>
        <w:rPr>
          <w:u w:val="single"/>
        </w:rPr>
      </w:pPr>
      <w:r w:rsidDel="00000000" w:rsidR="00000000" w:rsidRPr="00000000">
        <w:rPr>
          <w:u w:val="single"/>
          <w:rtl w:val="0"/>
        </w:rPr>
        <w:t xml:space="preserve">A racialised approach to tackling drug use</w:t>
      </w:r>
    </w:p>
    <w:p w:rsidR="00000000" w:rsidDel="00000000" w:rsidP="00000000" w:rsidRDefault="00000000" w:rsidRPr="00000000" w14:paraId="0000008D">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Drug use is framed as a Malay problem. In 2017,  Minister of Law and Home Affairs K. Shanmugan gave a speech highlighting that the Malay Muslim community needed to face the key challenge of “significant over-representation of Malays in crime and drug statistics as well as the prison population.” </w:t>
      </w:r>
      <w:r w:rsidDel="00000000" w:rsidR="00000000" w:rsidRPr="00000000">
        <w:rPr>
          <w:vertAlign w:val="superscript"/>
        </w:rPr>
        <w:footnoteReference w:customMarkFollows="0" w:id="11"/>
      </w:r>
      <w:r w:rsidDel="00000000" w:rsidR="00000000" w:rsidRPr="00000000">
        <w:rPr>
          <w:rtl w:val="0"/>
        </w:rPr>
        <w:t xml:space="preserve">  The labelling of drug use as a Malay-Muslim problem is also seen in the presence of  preventive drug education campaigns such as ‘Dadah Itu Haram’, which engages organisations such as the Islamic Religious Council of Singapore (MUIS) and Mendaki</w:t>
      </w:r>
      <w:r w:rsidDel="00000000" w:rsidR="00000000" w:rsidRPr="00000000">
        <w:rPr>
          <w:vertAlign w:val="superscript"/>
        </w:rPr>
        <w:footnoteReference w:customMarkFollows="0" w:id="12"/>
      </w:r>
      <w:r w:rsidDel="00000000" w:rsidR="00000000" w:rsidRPr="00000000">
        <w:rPr>
          <w:rtl w:val="0"/>
        </w:rPr>
        <w:t xml:space="preserve"> to ‘tackle the problem’ within the community. This campaign had the buy-in of all 71 mosques in Singapore,</w:t>
      </w:r>
      <w:r w:rsidDel="00000000" w:rsidR="00000000" w:rsidRPr="00000000">
        <w:rPr>
          <w:vertAlign w:val="superscript"/>
        </w:rPr>
        <w:footnoteReference w:customMarkFollows="0" w:id="13"/>
      </w:r>
      <w:r w:rsidDel="00000000" w:rsidR="00000000" w:rsidRPr="00000000">
        <w:rPr>
          <w:rtl w:val="0"/>
        </w:rPr>
        <w:t xml:space="preserve"> thereby framing drug abuse issue as a Malay-Muslim problem, which needs to be addressed and solved by that community</w:t>
        <w:br w:type="textWrapping"/>
      </w:r>
    </w:p>
    <w:p w:rsidR="00000000" w:rsidDel="00000000" w:rsidP="00000000" w:rsidRDefault="00000000" w:rsidRPr="00000000" w14:paraId="0000008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Painting it as a Malay-Muslim problem invites, as some researchers have pointed out, invites a self-responsibilising narrative without the government actually tackling the structural social and economic conditions that marginalised communities face.</w:t>
      </w:r>
      <w:r w:rsidDel="00000000" w:rsidR="00000000" w:rsidRPr="00000000">
        <w:rPr>
          <w:vertAlign w:val="superscript"/>
        </w:rPr>
        <w:footnoteReference w:customMarkFollows="0" w:id="14"/>
      </w:r>
      <w:r w:rsidDel="00000000" w:rsidR="00000000" w:rsidRPr="00000000">
        <w:rPr>
          <w:rtl w:val="0"/>
        </w:rPr>
        <w:t xml:space="preserve"> All this ignores the negative impact long term imprisonment or even rehabilitative detention has, which experts have highlighted as reproducing the systemic disadvantages that those from marginalised racial and socio-economic background already face, and increasing stigma towards them. </w:t>
      </w:r>
    </w:p>
    <w:p w:rsidR="00000000" w:rsidDel="00000000" w:rsidP="00000000" w:rsidRDefault="00000000" w:rsidRPr="00000000" w14:paraId="00000090">
      <w:pPr>
        <w:jc w:val="both"/>
        <w:rPr>
          <w:u w:val="single"/>
        </w:rPr>
      </w:pPr>
      <w:r w:rsidDel="00000000" w:rsidR="00000000" w:rsidRPr="00000000">
        <w:rPr>
          <w:rtl w:val="0"/>
        </w:rPr>
      </w:r>
    </w:p>
    <w:p w:rsidR="00000000" w:rsidDel="00000000" w:rsidP="00000000" w:rsidRDefault="00000000" w:rsidRPr="00000000" w14:paraId="00000091">
      <w:pPr>
        <w:numPr>
          <w:ilvl w:val="0"/>
          <w:numId w:val="2"/>
        </w:numPr>
        <w:ind w:left="720" w:hanging="630"/>
        <w:jc w:val="both"/>
      </w:pPr>
      <w:r w:rsidDel="00000000" w:rsidR="00000000" w:rsidRPr="00000000">
        <w:rPr>
          <w:rtl w:val="0"/>
        </w:rPr>
        <w:t xml:space="preserve">The punitive nature of the drug regime disproportionately affects minorities, and </w:t>
      </w:r>
      <w:r w:rsidDel="00000000" w:rsidR="00000000" w:rsidRPr="00000000">
        <w:rPr>
          <w:rtl w:val="0"/>
        </w:rPr>
        <w:t xml:space="preserve">this is not in accordance with Singapore’s obligation under Article 2(c) of CERD to “amend, rescind or nullify any laws and regulations which have the effect of creating or perpetuating racial discrimination”. The punitive drug regime affects racial minorities enjoyment of the right to public health and social services as categorised in Art 5(e)iv of CERD.</w:t>
      </w:r>
    </w:p>
    <w:p w:rsidR="00000000" w:rsidDel="00000000" w:rsidP="00000000" w:rsidRDefault="00000000" w:rsidRPr="00000000" w14:paraId="00000092">
      <w:pPr>
        <w:jc w:val="both"/>
        <w:rPr/>
      </w:pPr>
      <w:r w:rsidDel="00000000" w:rsidR="00000000" w:rsidRPr="00000000">
        <w:rPr>
          <w:rtl w:val="0"/>
        </w:rPr>
      </w:r>
    </w:p>
    <w:p w:rsidR="00000000" w:rsidDel="00000000" w:rsidP="00000000" w:rsidRDefault="00000000" w:rsidRPr="00000000" w14:paraId="00000093">
      <w:pPr>
        <w:jc w:val="both"/>
        <w:rPr>
          <w:u w:val="single"/>
        </w:rPr>
      </w:pPr>
      <w:r w:rsidDel="00000000" w:rsidR="00000000" w:rsidRPr="00000000">
        <w:rPr>
          <w:u w:val="single"/>
          <w:rtl w:val="0"/>
        </w:rPr>
        <w:t xml:space="preserve">Recommendations</w:t>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09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u w:val="none"/>
        </w:rPr>
      </w:pPr>
      <w:r w:rsidDel="00000000" w:rsidR="00000000" w:rsidRPr="00000000">
        <w:rPr>
          <w:rtl w:val="0"/>
        </w:rPr>
        <w:t xml:space="preserve">That the government takes an </w:t>
      </w:r>
      <w:r w:rsidDel="00000000" w:rsidR="00000000" w:rsidRPr="00000000">
        <w:rPr>
          <w:rtl w:val="0"/>
        </w:rPr>
        <w:t xml:space="preserve">evidence-based</w:t>
      </w:r>
      <w:r w:rsidDel="00000000" w:rsidR="00000000" w:rsidRPr="00000000">
        <w:rPr>
          <w:rtl w:val="0"/>
        </w:rPr>
        <w:t xml:space="preserve"> approach towards addressing drug use.</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pP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u w:val="none"/>
        </w:rPr>
      </w:pPr>
      <w:r w:rsidDel="00000000" w:rsidR="00000000" w:rsidRPr="00000000">
        <w:rPr>
          <w:rtl w:val="0"/>
        </w:rPr>
        <w:t xml:space="preserve">That the government takes a health-based and right-based approach to delivering rehabilitative support and care to drug users.</w:t>
        <w:br w:type="textWrapping"/>
      </w:r>
    </w:p>
    <w:p w:rsidR="00000000" w:rsidDel="00000000" w:rsidP="00000000" w:rsidRDefault="00000000" w:rsidRPr="00000000" w14:paraId="0000009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u w:val="none"/>
        </w:rPr>
      </w:pPr>
      <w:r w:rsidDel="00000000" w:rsidR="00000000" w:rsidRPr="00000000">
        <w:rPr>
          <w:rtl w:val="0"/>
        </w:rPr>
        <w:t xml:space="preserve">That the government take steps towards decriminalising drug consumption and low-level peddling of drugs.</w:t>
      </w:r>
    </w:p>
    <w:p w:rsidR="00000000" w:rsidDel="00000000" w:rsidP="00000000" w:rsidRDefault="00000000" w:rsidRPr="00000000" w14:paraId="00000099">
      <w:pPr>
        <w:spacing w:after="0" w:before="0" w:line="276" w:lineRule="auto"/>
        <w:jc w:val="both"/>
        <w:rPr/>
      </w:pPr>
      <w:r w:rsidDel="00000000" w:rsidR="00000000" w:rsidRPr="00000000">
        <w:rPr>
          <w:rtl w:val="0"/>
        </w:rPr>
      </w:r>
    </w:p>
    <w:p w:rsidR="00000000" w:rsidDel="00000000" w:rsidP="00000000" w:rsidRDefault="00000000" w:rsidRPr="00000000" w14:paraId="0000009A">
      <w:pPr>
        <w:spacing w:after="0" w:before="0" w:line="276" w:lineRule="auto"/>
        <w:ind w:left="0" w:firstLine="0"/>
        <w:jc w:val="both"/>
        <w:rPr>
          <w:color w:val="262626"/>
        </w:rPr>
      </w:pP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1"/>
        </w:rPr>
      </w:pPr>
      <w:r w:rsidDel="00000000" w:rsidR="00000000" w:rsidRPr="00000000">
        <w:rPr>
          <w:b w:val="1"/>
          <w:rtl w:val="0"/>
        </w:rPr>
        <w:t xml:space="preserve">Abuse, Ill-treatment and Marginalisation of Prisoners</w:t>
      </w:r>
    </w:p>
    <w:p w:rsidR="00000000" w:rsidDel="00000000" w:rsidP="00000000" w:rsidRDefault="00000000" w:rsidRPr="00000000" w14:paraId="0000009C">
      <w:pPr>
        <w:spacing w:after="0" w:before="0" w:line="276" w:lineRule="auto"/>
        <w:ind w:left="720" w:firstLine="0"/>
        <w:jc w:val="both"/>
        <w:rPr>
          <w:b w:val="1"/>
        </w:rPr>
      </w:pPr>
      <w:r w:rsidDel="00000000" w:rsidR="00000000" w:rsidRPr="00000000">
        <w:rPr>
          <w:rtl w:val="0"/>
        </w:rPr>
      </w:r>
    </w:p>
    <w:p w:rsidR="00000000" w:rsidDel="00000000" w:rsidP="00000000" w:rsidRDefault="00000000" w:rsidRPr="00000000" w14:paraId="0000009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Singapore has the third highest prisoner-to-population ratio in the world at 213 per 100,000 people.</w:t>
      </w:r>
      <w:r w:rsidDel="00000000" w:rsidR="00000000" w:rsidRPr="00000000">
        <w:rPr>
          <w:vertAlign w:val="superscript"/>
        </w:rPr>
        <w:footnoteReference w:customMarkFollows="0" w:id="15"/>
      </w:r>
      <w:r w:rsidDel="00000000" w:rsidR="00000000" w:rsidRPr="00000000">
        <w:rPr>
          <w:rtl w:val="0"/>
        </w:rPr>
        <w:t xml:space="preserve"> </w:t>
      </w:r>
    </w:p>
    <w:p w:rsidR="00000000" w:rsidDel="00000000" w:rsidP="00000000" w:rsidRDefault="00000000" w:rsidRPr="00000000" w14:paraId="0000009E">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More than 80 percent of prisoners currently incarcerated at Changi Prison are repeat offenders, out of which 55% were Malay</w:t>
      </w:r>
      <w:r w:rsidDel="00000000" w:rsidR="00000000" w:rsidRPr="00000000">
        <w:rPr>
          <w:rtl w:val="0"/>
        </w:rPr>
        <w:t xml:space="preserve"> in 2017.</w:t>
      </w:r>
      <w:r w:rsidDel="00000000" w:rsidR="00000000" w:rsidRPr="00000000">
        <w:rPr>
          <w:vertAlign w:val="superscript"/>
        </w:rPr>
        <w:footnoteReference w:customMarkFollows="0" w:id="16"/>
      </w:r>
      <w:r w:rsidDel="00000000" w:rsidR="00000000" w:rsidRPr="00000000">
        <w:rPr>
          <w:rtl w:val="0"/>
        </w:rPr>
        <w:t xml:space="preserve"> No further data on the racial composition of the prison population has been made available by the government, who previously claimed they were unable to share the statistics.</w:t>
      </w:r>
      <w:r w:rsidDel="00000000" w:rsidR="00000000" w:rsidRPr="00000000">
        <w:rPr>
          <w:vertAlign w:val="superscript"/>
        </w:rPr>
        <w:footnoteReference w:customMarkFollows="0" w:id="17"/>
      </w:r>
      <w:r w:rsidDel="00000000" w:rsidR="00000000" w:rsidRPr="00000000">
        <w:rPr>
          <w:rtl w:val="0"/>
        </w:rPr>
        <w:t xml:space="preserve"> </w:t>
      </w:r>
    </w:p>
    <w:p w:rsidR="00000000" w:rsidDel="00000000" w:rsidP="00000000" w:rsidRDefault="00000000" w:rsidRPr="00000000" w14:paraId="000000A0">
      <w:pPr>
        <w:spacing w:after="0" w:before="0" w:line="276" w:lineRule="auto"/>
        <w:ind w:left="0" w:firstLine="0"/>
        <w:jc w:val="both"/>
        <w:rPr/>
      </w:pP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More than 40% of prisoners are imprisoned again after 5 years upon their release.</w:t>
      </w:r>
      <w:r w:rsidDel="00000000" w:rsidR="00000000" w:rsidRPr="00000000">
        <w:rPr>
          <w:vertAlign w:val="superscript"/>
        </w:rPr>
        <w:footnoteReference w:customMarkFollows="0" w:id="18"/>
      </w:r>
      <w:r w:rsidDel="00000000" w:rsidR="00000000" w:rsidRPr="00000000">
        <w:rPr>
          <w:rtl w:val="0"/>
        </w:rPr>
        <w:t xml:space="preserve"> </w:t>
      </w:r>
    </w:p>
    <w:p w:rsidR="00000000" w:rsidDel="00000000" w:rsidP="00000000" w:rsidRDefault="00000000" w:rsidRPr="00000000" w14:paraId="000000A2">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The administration and governance of the prisons are set out in the Prisons Act, but very few provisions set out standards on the rights and welfare of prisoners. Singapore does not comply with international norms in this regard, such as the UN Standard Minimum Rules for the Treatment of Prisoners (Mandela Rules) and recommendations by the International Committee of the Red Cross. </w:t>
      </w:r>
    </w:p>
    <w:p w:rsidR="00000000" w:rsidDel="00000000" w:rsidP="00000000" w:rsidRDefault="00000000" w:rsidRPr="00000000" w14:paraId="000000A4">
      <w:pPr>
        <w:spacing w:after="0" w:before="0" w:line="276" w:lineRule="auto"/>
        <w:ind w:left="0" w:firstLine="0"/>
        <w:jc w:val="both"/>
        <w:rPr>
          <w:u w:val="single"/>
        </w:rPr>
      </w:pPr>
      <w:r w:rsidDel="00000000" w:rsidR="00000000" w:rsidRPr="00000000">
        <w:rPr>
          <w:rtl w:val="0"/>
        </w:rPr>
      </w:r>
    </w:p>
    <w:p w:rsidR="00000000" w:rsidDel="00000000" w:rsidP="00000000" w:rsidRDefault="00000000" w:rsidRPr="00000000" w14:paraId="000000A5">
      <w:pPr>
        <w:spacing w:after="0" w:before="0" w:line="276" w:lineRule="auto"/>
        <w:ind w:left="0" w:firstLine="0"/>
        <w:jc w:val="both"/>
        <w:rPr>
          <w:u w:val="single"/>
        </w:rPr>
      </w:pPr>
      <w:r w:rsidDel="00000000" w:rsidR="00000000" w:rsidRPr="00000000">
        <w:rPr>
          <w:u w:val="single"/>
          <w:rtl w:val="0"/>
        </w:rPr>
        <w:t xml:space="preserve">Solitary Confinement</w:t>
      </w:r>
    </w:p>
    <w:p w:rsidR="00000000" w:rsidDel="00000000" w:rsidP="00000000" w:rsidRDefault="00000000" w:rsidRPr="00000000" w14:paraId="000000A6">
      <w:pPr>
        <w:spacing w:after="0" w:before="0" w:line="276" w:lineRule="auto"/>
        <w:ind w:left="0" w:firstLine="0"/>
        <w:jc w:val="both"/>
        <w:rPr>
          <w:u w:val="singl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Solitary confinement is discouraged in the Mandela Rules.</w:t>
      </w:r>
      <w:r w:rsidDel="00000000" w:rsidR="00000000" w:rsidRPr="00000000">
        <w:rPr>
          <w:vertAlign w:val="superscript"/>
        </w:rPr>
        <w:footnoteReference w:customMarkFollows="0" w:id="19"/>
      </w:r>
      <w:r w:rsidDel="00000000" w:rsidR="00000000" w:rsidRPr="00000000">
        <w:rPr>
          <w:rtl w:val="0"/>
        </w:rPr>
        <w:t xml:space="preserve"> In particular, indefinite solitary confinement, prolonged solitary confinement, placement of a prisoner in a dark or constantly lit cell, corporal punishment or the reduction of a prisoner’s diet or drinking water, collective punishment, are to be prohibited.</w:t>
      </w:r>
      <w:r w:rsidDel="00000000" w:rsidR="00000000" w:rsidRPr="00000000">
        <w:rPr>
          <w:vertAlign w:val="superscript"/>
        </w:rPr>
        <w:footnoteReference w:customMarkFollows="0" w:id="20"/>
      </w:r>
      <w:r w:rsidDel="00000000" w:rsidR="00000000" w:rsidRPr="00000000">
        <w:rPr>
          <w:rtl w:val="0"/>
        </w:rPr>
        <w:t xml:space="preserve"> </w:t>
      </w:r>
    </w:p>
    <w:p w:rsidR="00000000" w:rsidDel="00000000" w:rsidP="00000000" w:rsidRDefault="00000000" w:rsidRPr="00000000" w14:paraId="000000A8">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The Mandela Rules define solitary confinement shall refer to the confinement of prisoners for 22 hours or more a day without meaningful human contact. Prolonged solitary confinement shall refer to solitary confinement for a time period in excess of 15 consecutive days.</w:t>
      </w:r>
      <w:r w:rsidDel="00000000" w:rsidR="00000000" w:rsidRPr="00000000">
        <w:rPr>
          <w:vertAlign w:val="superscript"/>
        </w:rPr>
        <w:footnoteReference w:customMarkFollows="0" w:id="21"/>
      </w:r>
      <w:r w:rsidDel="00000000" w:rsidR="00000000" w:rsidRPr="00000000">
        <w:rPr>
          <w:rtl w:val="0"/>
        </w:rPr>
        <w:t xml:space="preserve">  </w:t>
      </w:r>
    </w:p>
    <w:p w:rsidR="00000000" w:rsidDel="00000000" w:rsidP="00000000" w:rsidRDefault="00000000" w:rsidRPr="00000000" w14:paraId="000000AA">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The Rules also state that solitary confinement shall be used only in exceptional cases as a last resort, for as short a time as possible and subject to independent review, and only pursuant to the authorization by a competent authority. It shall not be imposed by virtue of a prisoner’s sentence.</w:t>
      </w:r>
      <w:r w:rsidDel="00000000" w:rsidR="00000000" w:rsidRPr="00000000">
        <w:rPr>
          <w:vertAlign w:val="superscript"/>
        </w:rPr>
        <w:footnoteReference w:customMarkFollows="0" w:id="22"/>
      </w:r>
      <w:r w:rsidDel="00000000" w:rsidR="00000000" w:rsidRPr="00000000">
        <w:rPr>
          <w:rtl w:val="0"/>
        </w:rPr>
        <w:t xml:space="preserve">  </w:t>
      </w:r>
    </w:p>
    <w:p w:rsidR="00000000" w:rsidDel="00000000" w:rsidP="00000000" w:rsidRDefault="00000000" w:rsidRPr="00000000" w14:paraId="000000AC">
      <w:pPr>
        <w:spacing w:after="0" w:before="0" w:line="276" w:lineRule="auto"/>
        <w:ind w:left="720" w:firstLine="0"/>
        <w:jc w:val="both"/>
        <w:rPr>
          <w:u w:val="singl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In Singapore, solitary confinement is allowed. However, it is not allowed for more than 90 days in a year for one prisoner, and each aggravated offence committed by the prisoner may earn him confinement in the solitary cell for a term not exceeding 7 days. We have heard accounts of prisoners being held in solitary confinement for punishment for up to a year, which violates Singapore’s own Prisons Act. However, where a prisoner is accused of an aggravated offence and the Superintendent is of the opinion that his power of punishment as allowed by law is inadequate, he may forward the matter to a Visiting Justice. The Visiting Justice may impose </w:t>
      </w:r>
      <w:r w:rsidDel="00000000" w:rsidR="00000000" w:rsidRPr="00000000">
        <w:rPr>
          <w:highlight w:val="white"/>
          <w:rtl w:val="0"/>
        </w:rPr>
        <w:t xml:space="preserve">confinement in a punishment cell for a term not exceeding 30 days on such prescribed diet as he or they may think fit</w:t>
      </w:r>
      <w:r w:rsidDel="00000000" w:rsidR="00000000" w:rsidRPr="00000000">
        <w:rPr>
          <w:rtl w:val="0"/>
        </w:rPr>
        <w:t xml:space="preserve">.</w:t>
      </w:r>
      <w:r w:rsidDel="00000000" w:rsidR="00000000" w:rsidRPr="00000000">
        <w:rPr>
          <w:vertAlign w:val="superscript"/>
        </w:rPr>
        <w:footnoteReference w:customMarkFollows="0" w:id="23"/>
      </w:r>
      <w:r w:rsidDel="00000000" w:rsidR="00000000" w:rsidRPr="00000000">
        <w:rPr>
          <w:rtl w:val="0"/>
        </w:rPr>
        <w:t xml:space="preserve"> </w:t>
      </w:r>
    </w:p>
    <w:p w:rsidR="00000000" w:rsidDel="00000000" w:rsidP="00000000" w:rsidRDefault="00000000" w:rsidRPr="00000000" w14:paraId="000000AE">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Solitary confinement for the purpose Covid-19 isolation measures is currently being implemented, as are punishment for offences committed inside prison, or for being convicted of specific crimes. We understand that prisoners who have commited serious offences which carry the death penalty, which are violent in nature, or which involves drug trafficking, are usually placed in solitary confinement throughout their sentence, which can be up to several years. They are placed in maximum security cells and are usually isolated from the rest of the prison population. Such prisoners are only allowed out for one hour each day on weekdays. </w:t>
      </w:r>
      <w:r w:rsidDel="00000000" w:rsidR="00000000" w:rsidRPr="00000000">
        <w:rPr>
          <w:rtl w:val="0"/>
        </w:rPr>
      </w:r>
    </w:p>
    <w:p w:rsidR="00000000" w:rsidDel="00000000" w:rsidP="00000000" w:rsidRDefault="00000000" w:rsidRPr="00000000" w14:paraId="000000B0">
      <w:pPr>
        <w:spacing w:after="0" w:before="0" w:line="276" w:lineRule="auto"/>
        <w:ind w:left="720" w:firstLine="0"/>
        <w:jc w:val="both"/>
        <w:rPr>
          <w:b w:val="1"/>
        </w:rPr>
      </w:pP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Solitary confinement as punishment is also widely used in both the men’s and women’s prison. Colloquially, it is known as going into PC (Punishment Cell). The offences being punished can range from serious infringements such as fighting, to minor infractions such as losing the tip of a pen, or flushing a bar of soap down the toilet by mistake. We spoke to respondents who experienced solitary confinement from between a few days to one year. In addition to being denied yard time and day room throughout their confinement, they were denied visits, letters and other benefits the other inmates received. The lights are on throughout the period of their confinement and not even dimmed at night so that the inmates can sleep. Some punishment cells did not have windows, while others did. Those which had a window were sealed up with very little natural light coming in. </w:t>
      </w:r>
    </w:p>
    <w:p w:rsidR="00000000" w:rsidDel="00000000" w:rsidP="00000000" w:rsidRDefault="00000000" w:rsidRPr="00000000" w14:paraId="000000B2">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B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Inmates in punishment cells usually receive food which is different from the rest of the prison population. One inmate told us they only had bread for their three meals. Another one said that they were only given a liquid diet. Punishment cells in the men’s prison are located near the area where the inmates get caned, according to one respondent, and sometimes he could hear the punishment being meted out by the caners. </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both"/>
        <w:rPr/>
      </w:pPr>
      <w:r w:rsidDel="00000000" w:rsidR="00000000" w:rsidRPr="00000000">
        <w:rPr>
          <w:rtl w:val="0"/>
        </w:rPr>
      </w:r>
    </w:p>
    <w:p w:rsidR="00000000" w:rsidDel="00000000" w:rsidP="00000000" w:rsidRDefault="00000000" w:rsidRPr="00000000" w14:paraId="000000B5">
      <w:pPr>
        <w:spacing w:after="0" w:before="0" w:line="276" w:lineRule="auto"/>
        <w:ind w:left="720" w:firstLine="0"/>
        <w:jc w:val="both"/>
        <w:rPr>
          <w:u w:val="single"/>
        </w:rPr>
      </w:pP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single"/>
        </w:rPr>
      </w:pPr>
      <w:r w:rsidDel="00000000" w:rsidR="00000000" w:rsidRPr="00000000">
        <w:rPr>
          <w:u w:val="single"/>
          <w:rtl w:val="0"/>
        </w:rPr>
        <w:t xml:space="preserve">Corporal punishment </w:t>
      </w:r>
    </w:p>
    <w:p w:rsidR="00000000" w:rsidDel="00000000" w:rsidP="00000000" w:rsidRDefault="00000000" w:rsidRPr="00000000" w14:paraId="000000B7">
      <w:pPr>
        <w:spacing w:after="0" w:before="0" w:line="276" w:lineRule="auto"/>
        <w:ind w:left="720" w:firstLine="0"/>
        <w:jc w:val="both"/>
        <w:rPr>
          <w:u w:val="singl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Corporal punishment is prohibited under the Mandela Rules. </w:t>
      </w:r>
    </w:p>
    <w:p w:rsidR="00000000" w:rsidDel="00000000" w:rsidP="00000000" w:rsidRDefault="00000000" w:rsidRPr="00000000" w14:paraId="000000B9">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B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In Singapore, the Superintendent may sentence a prisoner who has committed an aggravated prison offence to not more than 12 strokes with a rattan. However, where a prisoner is accused of an aggravated offence and the Superintendent is of the opinion that his power of punishment as allowed by law is inadequate, may forward the matter to a Visiting Justice. The Visiting Justice may impose corporal punishment of not more than 24 strokes with the rattan.</w:t>
      </w:r>
      <w:r w:rsidDel="00000000" w:rsidR="00000000" w:rsidRPr="00000000">
        <w:rPr>
          <w:vertAlign w:val="superscript"/>
        </w:rPr>
        <w:footnoteReference w:customMarkFollows="0" w:id="24"/>
      </w:r>
      <w:r w:rsidDel="00000000" w:rsidR="00000000" w:rsidRPr="00000000">
        <w:rPr>
          <w:rtl w:val="0"/>
        </w:rPr>
        <w:t xml:space="preserve"> </w:t>
      </w:r>
    </w:p>
    <w:p w:rsidR="00000000" w:rsidDel="00000000" w:rsidP="00000000" w:rsidRDefault="00000000" w:rsidRPr="00000000" w14:paraId="000000BB">
      <w:pPr>
        <w:spacing w:after="0" w:before="0" w:line="276" w:lineRule="auto"/>
        <w:ind w:left="720" w:firstLine="0"/>
        <w:jc w:val="both"/>
        <w:rPr>
          <w:u w:val="singl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single"/>
        </w:rPr>
      </w:pPr>
      <w:r w:rsidDel="00000000" w:rsidR="00000000" w:rsidRPr="00000000">
        <w:rPr>
          <w:u w:val="single"/>
          <w:rtl w:val="0"/>
        </w:rPr>
        <w:t xml:space="preserve">Strip searches </w:t>
      </w:r>
    </w:p>
    <w:p w:rsidR="00000000" w:rsidDel="00000000" w:rsidP="00000000" w:rsidRDefault="00000000" w:rsidRPr="00000000" w14:paraId="000000BD">
      <w:pPr>
        <w:spacing w:after="0" w:before="0" w:line="276" w:lineRule="auto"/>
        <w:ind w:left="720" w:firstLine="0"/>
        <w:jc w:val="both"/>
        <w:rPr>
          <w:u w:val="singl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The Mandela Rules state that strip searches and body cavity searches should be undertaken only when strictly necessary, and prisons are encouraged to use alternatives to these intrusive searches.</w:t>
      </w:r>
      <w:r w:rsidDel="00000000" w:rsidR="00000000" w:rsidRPr="00000000">
        <w:rPr>
          <w:vertAlign w:val="superscript"/>
        </w:rPr>
        <w:footnoteReference w:customMarkFollows="0" w:id="25"/>
      </w:r>
      <w:r w:rsidDel="00000000" w:rsidR="00000000" w:rsidRPr="00000000">
        <w:rPr>
          <w:rtl w:val="0"/>
        </w:rPr>
        <w:t xml:space="preserve"> All forms of searches also should not be intended to intrude upon a prisoner’s privacy. The ICRC Handbook states that points where searches are required should be staffed to ensure that searches of women are only carried out by female officers and out of sight of male officers.</w:t>
      </w:r>
      <w:r w:rsidDel="00000000" w:rsidR="00000000" w:rsidRPr="00000000">
        <w:rPr>
          <w:vertAlign w:val="superscript"/>
        </w:rPr>
        <w:footnoteReference w:customMarkFollows="0" w:id="26"/>
      </w:r>
      <w:r w:rsidDel="00000000" w:rsidR="00000000" w:rsidRPr="00000000">
        <w:rPr>
          <w:rtl w:val="0"/>
        </w:rPr>
        <w:t xml:space="preserve"> </w:t>
      </w:r>
    </w:p>
    <w:p w:rsidR="00000000" w:rsidDel="00000000" w:rsidP="00000000" w:rsidRDefault="00000000" w:rsidRPr="00000000" w14:paraId="000000BF">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C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Body searches in Chang Prison often involve the removal of all clothing before a prison official or several officials. Even though inmates would have been strip searched at the Court or police station lock up before entering the prison complex, they will still be subjected to full body strip searches upon registration at the prison complex. In the men’s prison, all inmates will form a horizontal line and will be instructed to remove all their clothing. They will be ordered to turn around, squat down and to lift up their legs in succession, before being allowed to put their clothes back on again. </w:t>
      </w:r>
    </w:p>
    <w:p w:rsidR="00000000" w:rsidDel="00000000" w:rsidP="00000000" w:rsidRDefault="00000000" w:rsidRPr="00000000" w14:paraId="000000C1">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The entire process can take up to half a minute. Strip searches are also performed before an inmate goes for their yard time and day room, and before they return to their cells. It will also be performed before they meet their lawyers and family members, go for classes, go to work in the prison complex, and when they return from their activities.  Women who are menstruating have described the ordeal of being strip searched as humiliating. </w:t>
      </w:r>
    </w:p>
    <w:p w:rsidR="00000000" w:rsidDel="00000000" w:rsidP="00000000" w:rsidRDefault="00000000" w:rsidRPr="00000000" w14:paraId="000000C3">
      <w:pPr>
        <w:spacing w:after="0" w:before="0" w:line="276" w:lineRule="auto"/>
        <w:ind w:left="720" w:firstLine="0"/>
        <w:jc w:val="both"/>
        <w:rPr>
          <w:u w:val="singl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single"/>
        </w:rPr>
      </w:pPr>
      <w:r w:rsidDel="00000000" w:rsidR="00000000" w:rsidRPr="00000000">
        <w:rPr>
          <w:u w:val="single"/>
          <w:rtl w:val="0"/>
        </w:rPr>
        <w:t xml:space="preserve">Exercise and yard time </w:t>
      </w:r>
    </w:p>
    <w:p w:rsidR="00000000" w:rsidDel="00000000" w:rsidP="00000000" w:rsidRDefault="00000000" w:rsidRPr="00000000" w14:paraId="000000C5">
      <w:pPr>
        <w:spacing w:after="0" w:before="0" w:line="276" w:lineRule="auto"/>
        <w:ind w:left="720" w:firstLine="0"/>
        <w:jc w:val="both"/>
        <w:rPr>
          <w:u w:val="singl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In the Mandela Rules, every prisoner who is not employed in outdoor work shall have at least one hour of suitable exercise in the open air daily if the weather permits.</w:t>
      </w:r>
      <w:r w:rsidDel="00000000" w:rsidR="00000000" w:rsidRPr="00000000">
        <w:rPr>
          <w:vertAlign w:val="superscript"/>
        </w:rPr>
        <w:footnoteReference w:customMarkFollows="0" w:id="27"/>
      </w:r>
      <w:r w:rsidDel="00000000" w:rsidR="00000000" w:rsidRPr="00000000">
        <w:rPr>
          <w:rtl w:val="0"/>
        </w:rPr>
        <w:t xml:space="preserve"> In the words of the ICRC, “The more hours a detainee spends engaged in positive activities in a safe, secure environment outside the accommodation area each day, the greater the possibility of mitigating the negative effects of close confinement for both the detainee and staff. “Positive activities” include work and education, meeting visitors, engaging in organized exercise or sport, spending extended periods of unstructured time in outdoor exercise areas, and participating in hobbies and recreation programmes”. </w:t>
      </w:r>
    </w:p>
    <w:p w:rsidR="00000000" w:rsidDel="00000000" w:rsidP="00000000" w:rsidRDefault="00000000" w:rsidRPr="00000000" w14:paraId="000000C7">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C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NARCO standards also specify that detainees should be allowed to </w:t>
      </w:r>
      <w:r w:rsidDel="00000000" w:rsidR="00000000" w:rsidRPr="00000000">
        <w:rPr>
          <w:i w:val="1"/>
          <w:rtl w:val="0"/>
        </w:rPr>
        <w:t xml:space="preserve">spend at least 10 hours out of 24 outside their cells or dormitories</w:t>
      </w:r>
      <w:r w:rsidDel="00000000" w:rsidR="00000000" w:rsidRPr="00000000">
        <w:rPr>
          <w:rtl w:val="0"/>
        </w:rPr>
        <w:t xml:space="preserve">, not counting the time needed to use the sanitary facilities (when these are not in the cell) or the period set aside for physical exercise.</w:t>
      </w:r>
      <w:r w:rsidDel="00000000" w:rsidR="00000000" w:rsidRPr="00000000">
        <w:rPr>
          <w:vertAlign w:val="superscript"/>
        </w:rPr>
        <w:footnoteReference w:customMarkFollows="0" w:id="28"/>
      </w:r>
      <w:r w:rsidDel="00000000" w:rsidR="00000000" w:rsidRPr="00000000">
        <w:rPr>
          <w:rtl w:val="0"/>
        </w:rPr>
        <w:t xml:space="preserve"> </w:t>
      </w:r>
    </w:p>
    <w:p w:rsidR="00000000" w:rsidDel="00000000" w:rsidP="00000000" w:rsidRDefault="00000000" w:rsidRPr="00000000" w14:paraId="000000C9">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In contrast, Singapore’s prisons offer horrifyingly little opportunity for yard time. Since the onset of the pandemic, all prisoners are isolated in their cells for 24 hours upon entry, some having to endure solitary confinement due to segregation rules, for a period of up to 3 weeks as a result of COVID-19.</w:t>
      </w:r>
      <w:r w:rsidDel="00000000" w:rsidR="00000000" w:rsidRPr="00000000">
        <w:rPr>
          <w:vertAlign w:val="superscript"/>
        </w:rPr>
        <w:footnoteReference w:customMarkFollows="0" w:id="29"/>
      </w:r>
      <w:r w:rsidDel="00000000" w:rsidR="00000000" w:rsidRPr="00000000">
        <w:rPr>
          <w:rtl w:val="0"/>
        </w:rPr>
        <w:t xml:space="preserve">  Alternatives to prolonged confinement, such as staggering yard times, sanitising, and ensuring social distancing are not implemented. Where yard time is provided, it is only available on weekdays and not in the open air but in an enclosed space within the prison complex.     </w:t>
      </w:r>
    </w:p>
    <w:p w:rsidR="00000000" w:rsidDel="00000000" w:rsidP="00000000" w:rsidRDefault="00000000" w:rsidRPr="00000000" w14:paraId="000000CB">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single"/>
        </w:rPr>
      </w:pPr>
      <w:r w:rsidDel="00000000" w:rsidR="00000000" w:rsidRPr="00000000">
        <w:rPr>
          <w:u w:val="single"/>
          <w:rtl w:val="0"/>
        </w:rPr>
        <w:t xml:space="preserve">Visitation rights and communication</w:t>
      </w:r>
    </w:p>
    <w:p w:rsidR="00000000" w:rsidDel="00000000" w:rsidP="00000000" w:rsidRDefault="00000000" w:rsidRPr="00000000" w14:paraId="000000CD">
      <w:pPr>
        <w:spacing w:after="0" w:before="0" w:line="276" w:lineRule="auto"/>
        <w:ind w:left="720" w:firstLine="0"/>
        <w:jc w:val="both"/>
        <w:rPr>
          <w:u w:val="single"/>
        </w:rPr>
      </w:pPr>
      <w:r w:rsidDel="00000000" w:rsidR="00000000" w:rsidRPr="00000000">
        <w:rPr>
          <w:rtl w:val="0"/>
        </w:rPr>
      </w:r>
    </w:p>
    <w:p w:rsidR="00000000" w:rsidDel="00000000" w:rsidP="00000000" w:rsidRDefault="00000000" w:rsidRPr="00000000" w14:paraId="000000C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The Mandela Rules state that prisoners have a right to receive visits, and correspond with the outside world by way of letter, or through other electronic means.</w:t>
      </w:r>
      <w:r w:rsidDel="00000000" w:rsidR="00000000" w:rsidRPr="00000000">
        <w:rPr>
          <w:vertAlign w:val="superscript"/>
        </w:rPr>
        <w:footnoteReference w:customMarkFollows="0" w:id="30"/>
      </w:r>
      <w:r w:rsidDel="00000000" w:rsidR="00000000" w:rsidRPr="00000000">
        <w:rPr>
          <w:rtl w:val="0"/>
        </w:rPr>
        <w:t xml:space="preserve"> </w:t>
      </w:r>
    </w:p>
    <w:p w:rsidR="00000000" w:rsidDel="00000000" w:rsidP="00000000" w:rsidRDefault="00000000" w:rsidRPr="00000000" w14:paraId="000000CF">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On the other hand, the Prison Regulations state that visits and letters are a “privilege” for inmates, the frequency of which is to be determined by the Prison Standing Orders.</w:t>
      </w:r>
      <w:r w:rsidDel="00000000" w:rsidR="00000000" w:rsidRPr="00000000">
        <w:rPr>
          <w:vertAlign w:val="superscript"/>
        </w:rPr>
        <w:footnoteReference w:customMarkFollows="0" w:id="31"/>
      </w:r>
      <w:r w:rsidDel="00000000" w:rsidR="00000000" w:rsidRPr="00000000">
        <w:rPr>
          <w:rtl w:val="0"/>
        </w:rPr>
        <w:t xml:space="preserve"> The privilege of writing and receiving letters and of receiving visits may be postponed or forfeited at any time for misconduct at the discretion of the Superintendent</w:t>
      </w:r>
      <w:r w:rsidDel="00000000" w:rsidR="00000000" w:rsidRPr="00000000">
        <w:rPr>
          <w:highlight w:val="white"/>
          <w:rtl w:val="0"/>
        </w:rPr>
        <w:t xml:space="preserve">.</w:t>
      </w:r>
      <w:r w:rsidDel="00000000" w:rsidR="00000000" w:rsidRPr="00000000">
        <w:rPr>
          <w:highlight w:val="white"/>
          <w:vertAlign w:val="superscript"/>
        </w:rPr>
        <w:footnoteReference w:customMarkFollows="0" w:id="32"/>
      </w:r>
      <w:r w:rsidDel="00000000" w:rsidR="00000000" w:rsidRPr="00000000">
        <w:rPr>
          <w:rtl w:val="0"/>
        </w:rPr>
      </w:r>
    </w:p>
    <w:p w:rsidR="00000000" w:rsidDel="00000000" w:rsidP="00000000" w:rsidRDefault="00000000" w:rsidRPr="00000000" w14:paraId="000000D1">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For prisoners “whose conduct and industry has been excellent”, they may receive visitors in a visiting room, and not within the normal visiting cubicles, supervised by a prison officer.</w:t>
      </w:r>
      <w:r w:rsidDel="00000000" w:rsidR="00000000" w:rsidRPr="00000000">
        <w:rPr>
          <w:vertAlign w:val="superscript"/>
        </w:rPr>
        <w:footnoteReference w:customMarkFollows="0" w:id="33"/>
      </w:r>
      <w:r w:rsidDel="00000000" w:rsidR="00000000" w:rsidRPr="00000000">
        <w:rPr>
          <w:rtl w:val="0"/>
        </w:rPr>
        <w:t xml:space="preserve"> </w:t>
      </w:r>
    </w:p>
    <w:p w:rsidR="00000000" w:rsidDel="00000000" w:rsidP="00000000" w:rsidRDefault="00000000" w:rsidRPr="00000000" w14:paraId="000000D3">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D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All letters sent to and by a prisoner can be opened and read by a prison officer, with the exception of communication with a </w:t>
      </w:r>
      <w:r w:rsidDel="00000000" w:rsidR="00000000" w:rsidRPr="00000000">
        <w:rPr>
          <w:rtl w:val="0"/>
        </w:rPr>
        <w:t xml:space="preserve">prisoner’s</w:t>
      </w:r>
      <w:r w:rsidDel="00000000" w:rsidR="00000000" w:rsidRPr="00000000">
        <w:rPr>
          <w:rtl w:val="0"/>
        </w:rPr>
        <w:t xml:space="preserve"> legal adviser.</w:t>
      </w:r>
      <w:r w:rsidDel="00000000" w:rsidR="00000000" w:rsidRPr="00000000">
        <w:rPr>
          <w:vertAlign w:val="superscript"/>
        </w:rPr>
        <w:footnoteReference w:customMarkFollows="0" w:id="34"/>
      </w:r>
      <w:r w:rsidDel="00000000" w:rsidR="00000000" w:rsidRPr="00000000">
        <w:rPr>
          <w:rtl w:val="0"/>
        </w:rPr>
        <w:t xml:space="preserve"> </w:t>
      </w:r>
    </w:p>
    <w:p w:rsidR="00000000" w:rsidDel="00000000" w:rsidP="00000000" w:rsidRDefault="00000000" w:rsidRPr="00000000" w14:paraId="000000D5">
      <w:pPr>
        <w:spacing w:after="0" w:before="0" w:line="276" w:lineRule="auto"/>
        <w:ind w:left="0" w:firstLine="0"/>
        <w:jc w:val="both"/>
        <w:rPr>
          <w:b w:val="1"/>
        </w:rPr>
      </w:pP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single"/>
        </w:rPr>
      </w:pPr>
      <w:r w:rsidDel="00000000" w:rsidR="00000000" w:rsidRPr="00000000">
        <w:rPr>
          <w:u w:val="single"/>
          <w:rtl w:val="0"/>
        </w:rPr>
        <w:t xml:space="preserve">Overcrowded and Poorly Ventilated Cells</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single"/>
        </w:rPr>
      </w:pPr>
      <w:r w:rsidDel="00000000" w:rsidR="00000000" w:rsidRPr="00000000">
        <w:rPr>
          <w:rtl w:val="0"/>
        </w:rPr>
      </w:r>
    </w:p>
    <w:p w:rsidR="00000000" w:rsidDel="00000000" w:rsidP="00000000" w:rsidRDefault="00000000" w:rsidRPr="00000000" w14:paraId="000000D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Prison cells in Singapore are often overcrowded. A cell that is 3m by 3m in size, which includes the toilet, is usually inhabited by 3 to 4 people. Other cells can accommodate up to 8 people and ex prisoners have said that at night when everyone lies down to sleep, there is barely enough space among themselves. Prisoners sleep on a hard cement floor and are only issued straw mats to lie on. There are no beds and they are only issued t-shirts and shorts, a plastic mug, soap, toothbrush, a face towel, toothpaste and a small plastic spoon.</w:t>
      </w:r>
    </w:p>
    <w:p w:rsidR="00000000" w:rsidDel="00000000" w:rsidP="00000000" w:rsidRDefault="00000000" w:rsidRPr="00000000" w14:paraId="000000D9">
      <w:pPr>
        <w:spacing w:after="0" w:before="0" w:line="276" w:lineRule="auto"/>
        <w:ind w:left="0" w:firstLine="0"/>
        <w:jc w:val="both"/>
        <w:rPr/>
      </w:pP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Ventilation is also very poor as there are no fans. Inmates cannot see outside of their cells because the only window in the cell is sealed. Very little natural light comes into the cell. There is also no way of telling the time because of the absence of clocks and electronic devices. Inmates spend 23 hours of their time in the cell, with only one hour of yard time and day room each day. Inmates are not allowed out of their cells on Saturdays and Sundays at all. </w:t>
      </w:r>
    </w:p>
    <w:p w:rsidR="00000000" w:rsidDel="00000000" w:rsidP="00000000" w:rsidRDefault="00000000" w:rsidRPr="00000000" w14:paraId="000000DB">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single"/>
        </w:rPr>
      </w:pPr>
      <w:r w:rsidDel="00000000" w:rsidR="00000000" w:rsidRPr="00000000">
        <w:rPr>
          <w:u w:val="single"/>
          <w:rtl w:val="0"/>
        </w:rPr>
        <w:t xml:space="preserve">Surveillance And Psychological Impact</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singl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Prisoners are also constantly under surveillance as CCTV cameras are installed in every cell above the toilet. It is not clear what happens to the footage recorded by the cameras, and what safeguards exist to ensure that they are not leaked, abused, or how long they are kept for. Enquiries with the prison authorities on this matter have not yielded any meaningful replies. </w:t>
      </w:r>
    </w:p>
    <w:p w:rsidR="00000000" w:rsidDel="00000000" w:rsidP="00000000" w:rsidRDefault="00000000" w:rsidRPr="00000000" w14:paraId="000000DF">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E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Prisoners have described living under such conditions as frustrating, boring, and stressful. The lack of space, absence of mental stimulation, and interrupted sleep causes profound psychological distress for prisoners. Even physical exercise is not allowed in the cell as it could lead to punishment by the prison officers. </w:t>
        <w:br w:type="textWrapping"/>
      </w: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single"/>
        </w:rPr>
      </w:pPr>
      <w:r w:rsidDel="00000000" w:rsidR="00000000" w:rsidRPr="00000000">
        <w:rPr>
          <w:u w:val="single"/>
          <w:rtl w:val="0"/>
        </w:rPr>
        <w:t xml:space="preserve">Ill Treatment of Prisoners with Poor Mental Health</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singl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We spoke to four ex-prisoners who were admitted into the prison’s psychiatric ward during the period of their incarceration. Prisoners with mental health problems, especially if they are feeling suicidal are confined in this ward. They are restrained to a bed by hand and leg cuffs with only a plastic plank as a mattress. They are not allowed to leave the bed to shower or clean themselves and have to defecate and urinate in a container placed next to the bed. The ward is poorly ventilated as there are insufficient ventilators and fans. The lights are on for 24 hours, which makes it impossible for the prisoners to get adequate rest. There is minimal counselling and there are reports that prison psychiatrists who visit the prisoners do little to address the prisoner’s concerns. Prisoners can be kept in these conditions for several weeks and in some cases, even months.     </w:t>
      </w:r>
    </w:p>
    <w:p w:rsidR="00000000" w:rsidDel="00000000" w:rsidP="00000000" w:rsidRDefault="00000000" w:rsidRPr="00000000" w14:paraId="000000E4">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single"/>
        </w:rPr>
      </w:pPr>
      <w:r w:rsidDel="00000000" w:rsidR="00000000" w:rsidRPr="00000000">
        <w:rPr>
          <w:u w:val="single"/>
          <w:rtl w:val="0"/>
        </w:rPr>
        <w:t xml:space="preserve">Rehabilitation and Incarceration of Drug Users</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single"/>
        </w:rPr>
      </w:pPr>
      <w:r w:rsidDel="00000000" w:rsidR="00000000" w:rsidRPr="00000000">
        <w:rPr>
          <w:rtl w:val="0"/>
        </w:rPr>
      </w:r>
    </w:p>
    <w:p w:rsidR="00000000" w:rsidDel="00000000" w:rsidP="00000000" w:rsidRDefault="00000000" w:rsidRPr="00000000" w14:paraId="000000E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Ex prisoners we spoke to who were caught for drug consumption can be imprisoned without being formally charged and convicted in court. Incarceration periods range from a few months to over a year and they will not be told upon admission by the prison authorities how long the period of incarceration is. </w:t>
      </w:r>
      <w:r w:rsidDel="00000000" w:rsidR="00000000" w:rsidRPr="00000000">
        <w:rPr>
          <w:i w:val="1"/>
          <w:rtl w:val="0"/>
        </w:rPr>
        <w:t xml:space="preserve">The Misuse of Drugs Act allows indefinite imprisonment of drug users for up to 4 years.</w:t>
      </w:r>
      <w:r w:rsidDel="00000000" w:rsidR="00000000" w:rsidRPr="00000000">
        <w:rPr>
          <w:i w:val="1"/>
          <w:vertAlign w:val="superscript"/>
        </w:rPr>
        <w:footnoteReference w:customMarkFollows="0" w:id="35"/>
      </w:r>
      <w:r w:rsidDel="00000000" w:rsidR="00000000" w:rsidRPr="00000000">
        <w:rPr>
          <w:rtl w:val="0"/>
        </w:rPr>
        <w:t xml:space="preserve"> Such prisoners are often arrested and incarcerated without warning and permitted only one short phone call to a family member upon arrest and detention. This is a traumatising experience for many, especially those who are caught for the first time. Family visits are only allowed after a few weeks. The period of incarceration is dependent upon the prisoner’s behaviour, level of social support upon release, the severity of their drug consumption/addiction, history of drug taking, and potential for rehabilitation. How the criteria is decided is not clear and decisions are arbitrarily made.     </w:t>
      </w:r>
    </w:p>
    <w:p w:rsidR="00000000" w:rsidDel="00000000" w:rsidP="00000000" w:rsidRDefault="00000000" w:rsidRPr="00000000" w14:paraId="000000E8">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E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Upon admission, an inmate is placed in a medical cell for observation of between 5 to 7 days. Ex-prisoners we spoke to describe it as a torturous experience. Apart from having to deal with the shock of being incarcerated without any warning, inmates are confined without any yard time or day room throughout the entire period. Books and other recreational activities are not provided. The lights are also not switched off. The experience is described as disorienting, and traumatic. Upon release from the observation medical cell, they are placed in a normal, overcrowded, and poorly ventilated prison cell. </w:t>
      </w:r>
    </w:p>
    <w:p w:rsidR="00000000" w:rsidDel="00000000" w:rsidP="00000000" w:rsidRDefault="00000000" w:rsidRPr="00000000" w14:paraId="000000EA">
      <w:pPr>
        <w:spacing w:after="0" w:before="0" w:line="276" w:lineRule="auto"/>
        <w:ind w:left="720" w:firstLine="0"/>
        <w:jc w:val="both"/>
        <w:rPr/>
      </w:pPr>
      <w:r w:rsidDel="00000000" w:rsidR="00000000" w:rsidRPr="00000000">
        <w:rPr>
          <w:rtl w:val="0"/>
        </w:rPr>
        <w:t xml:space="preserve"> </w:t>
      </w:r>
    </w:p>
    <w:p w:rsidR="00000000" w:rsidDel="00000000" w:rsidP="00000000" w:rsidRDefault="00000000" w:rsidRPr="00000000" w14:paraId="000000E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Upon release, prisoners are placed in a halfway house where they have to go for compulsory urine tests, work in jobs assigned to them by the prison authorities, and have their movements restricted. Anyone who violates regulations or behaves inappropriately by prison standards will be incarcerated again. </w:t>
      </w:r>
    </w:p>
    <w:p w:rsidR="00000000" w:rsidDel="00000000" w:rsidP="00000000" w:rsidRDefault="00000000" w:rsidRPr="00000000" w14:paraId="000000EC">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E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Ex prisoners have told us that counselling programmes are rudimentary at best, and do not take in consideration the circumstances of the individual, who are often poor and marginalised racial minorities. There appears to be a one size fits all approach in intervention programmes. </w:t>
      </w:r>
    </w:p>
    <w:p w:rsidR="00000000" w:rsidDel="00000000" w:rsidP="00000000" w:rsidRDefault="00000000" w:rsidRPr="00000000" w14:paraId="000000EE">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single"/>
        </w:rPr>
      </w:pPr>
      <w:r w:rsidDel="00000000" w:rsidR="00000000" w:rsidRPr="00000000">
        <w:rPr>
          <w:u w:val="single"/>
          <w:rtl w:val="0"/>
        </w:rPr>
        <w:t xml:space="preserve">Rehabilitation of Penal Offenders</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single"/>
        </w:rPr>
      </w:pPr>
      <w:r w:rsidDel="00000000" w:rsidR="00000000" w:rsidRPr="00000000">
        <w:rPr>
          <w:rtl w:val="0"/>
        </w:rPr>
      </w:r>
    </w:p>
    <w:p w:rsidR="00000000" w:rsidDel="00000000" w:rsidP="00000000" w:rsidRDefault="00000000" w:rsidRPr="00000000" w14:paraId="000000F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Rehabilitation programmes for those who are not drug users usually only happens after an inmate has served one third of their sentence. It is also reserved for those who are sentenced for the mid to long term, though it is not clear how this is defined. The first third of a sentence is known as the ‘deterrence phase’, and inmates are not allowed out of their cells, except for their hourly weekday yard time. Whether an inmate can participate in rehabilitation programmes also depends on whether they are ‘well-behaved’ and have ‘potential’ for rehabilitation. This is determined by an assessment tool known as Level of Service Inventory—Revised (LSI-R).42 Under the LSI-R framework, inmates could be categorized Class A, B, C or D, which has been in use since 2000</w:t>
      </w:r>
      <w:r w:rsidDel="00000000" w:rsidR="00000000" w:rsidRPr="00000000">
        <w:rPr>
          <w:vertAlign w:val="superscript"/>
        </w:rPr>
        <w:footnoteReference w:customMarkFollows="0" w:id="36"/>
      </w:r>
      <w:r w:rsidDel="00000000" w:rsidR="00000000" w:rsidRPr="00000000">
        <w:rPr>
          <w:rtl w:val="0"/>
        </w:rPr>
        <w:t xml:space="preserve">:</w:t>
      </w:r>
    </w:p>
    <w:p w:rsidR="00000000" w:rsidDel="00000000" w:rsidP="00000000" w:rsidRDefault="00000000" w:rsidRPr="00000000" w14:paraId="000000F2">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F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Class A was for “offenders who will change regardless whether rehabilitation treatment is given”;43 they were considered inmates of “low risk and needs” that were “unlikely to reoffend”</w:t>
      </w:r>
    </w:p>
    <w:p w:rsidR="00000000" w:rsidDel="00000000" w:rsidP="00000000" w:rsidRDefault="00000000" w:rsidRPr="00000000" w14:paraId="000000F4">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Class B was for inmates who “will likely change if appropriate treatment or rehabilitation is given”;45 they were inmates with “moderate risk and needs”, who were “less likely to reoffend if rehabilitation is given”;</w:t>
      </w:r>
    </w:p>
    <w:p w:rsidR="00000000" w:rsidDel="00000000" w:rsidP="00000000" w:rsidRDefault="00000000" w:rsidRPr="00000000" w14:paraId="000000F6">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Class C was for “high risk and needs” inmates;47 in 1999, they were viewed as those “not likely to change regardless whether rehabilitation or treatment is given”;48 in 2010, such prisoners were determined “likely to reoffend unless intensive rehabilitation is given”;</w:t>
      </w:r>
    </w:p>
    <w:p w:rsidR="00000000" w:rsidDel="00000000" w:rsidP="00000000" w:rsidRDefault="00000000" w:rsidRPr="00000000" w14:paraId="000000F8">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F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rtl w:val="0"/>
        </w:rPr>
        <w:t xml:space="preserve">Class D was for “foreigners and the mentally ill whose ‘rehabilitation was not a concern’”.</w:t>
      </w:r>
    </w:p>
    <w:p w:rsidR="00000000" w:rsidDel="00000000" w:rsidP="00000000" w:rsidRDefault="00000000" w:rsidRPr="00000000" w14:paraId="000000FA">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0F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Such a rehabilitation framework is discriminatory and affects ethnic minorities and low income migrants disproportionately as they have fewer resources than the majority Chinese population. (see the section below Marginalisation of Ethnic Minorities in Prison and in Rehabilitation Programmes)      </w:t>
      </w:r>
    </w:p>
    <w:p w:rsidR="00000000" w:rsidDel="00000000" w:rsidP="00000000" w:rsidRDefault="00000000" w:rsidRPr="00000000" w14:paraId="000000FC">
      <w:pPr>
        <w:spacing w:after="0" w:before="0" w:line="276" w:lineRule="auto"/>
        <w:ind w:left="720" w:firstLine="0"/>
        <w:jc w:val="both"/>
        <w:rPr>
          <w:b w:val="1"/>
        </w:rPr>
      </w:pP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single"/>
        </w:rPr>
      </w:pPr>
      <w:r w:rsidDel="00000000" w:rsidR="00000000" w:rsidRPr="00000000">
        <w:rPr>
          <w:u w:val="single"/>
          <w:rtl w:val="0"/>
        </w:rPr>
        <w:t xml:space="preserve">Post-release challenges</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single"/>
        </w:rPr>
      </w:pPr>
      <w:r w:rsidDel="00000000" w:rsidR="00000000" w:rsidRPr="00000000">
        <w:rPr>
          <w:rtl w:val="0"/>
        </w:rPr>
      </w:r>
    </w:p>
    <w:p w:rsidR="00000000" w:rsidDel="00000000" w:rsidP="00000000" w:rsidRDefault="00000000" w:rsidRPr="00000000" w14:paraId="000000F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Whether an inmate who has been incarcerated for consuming drugs is eligible for release or not depends a lot on whether their family members are contactable and willing to support them in the rehabilitation process. One respondent told us that the prison officers often told the inmates that if they did not get enough family visits, emails, and letters, it would delay their release. Another respondent who was imprisoned for consuming cannabis told us that because his biological parents are no longer around and he only had an adoptive family, he was told he may have to stay the maximum period of 12 months. </w:t>
      </w:r>
      <w:r w:rsidDel="00000000" w:rsidR="00000000" w:rsidRPr="00000000">
        <w:rPr>
          <w:rtl w:val="0"/>
        </w:rPr>
      </w:r>
    </w:p>
    <w:p w:rsidR="00000000" w:rsidDel="00000000" w:rsidP="00000000" w:rsidRDefault="00000000" w:rsidRPr="00000000" w14:paraId="00000100">
      <w:pPr>
        <w:spacing w:after="0" w:before="0" w:line="276" w:lineRule="auto"/>
        <w:ind w:left="720" w:firstLine="0"/>
        <w:jc w:val="both"/>
        <w:rPr>
          <w:b w:val="1"/>
        </w:rPr>
      </w:pPr>
      <w:r w:rsidDel="00000000" w:rsidR="00000000" w:rsidRPr="00000000">
        <w:rPr>
          <w:rtl w:val="0"/>
        </w:rPr>
      </w:r>
    </w:p>
    <w:p w:rsidR="00000000" w:rsidDel="00000000" w:rsidP="00000000" w:rsidRDefault="00000000" w:rsidRPr="00000000" w14:paraId="0000010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Family and community support upon release is crucial. Research has shown that previously incarcerated persons are usually only able to cope and not fall back into a cycle of drugs and re-offending if they had supportive family members, partners, friends and a decent job which can provide for them and their families financially. However, many ex-prisoners we spoke to battle insecurity, the stigma of having been incarcerated, and the psychological trauma of harsh prison conditions on their lives upon their release.</w:t>
      </w:r>
    </w:p>
    <w:p w:rsidR="00000000" w:rsidDel="00000000" w:rsidP="00000000" w:rsidRDefault="00000000" w:rsidRPr="00000000" w14:paraId="00000102">
      <w:pPr>
        <w:spacing w:after="0" w:before="0" w:line="276" w:lineRule="auto"/>
        <w:ind w:left="0" w:firstLine="0"/>
        <w:jc w:val="both"/>
        <w:rPr>
          <w:b w:val="1"/>
        </w:rPr>
      </w:pPr>
      <w:r w:rsidDel="00000000" w:rsidR="00000000" w:rsidRPr="00000000">
        <w:rPr>
          <w:rtl w:val="0"/>
        </w:rPr>
      </w:r>
    </w:p>
    <w:p w:rsidR="00000000" w:rsidDel="00000000" w:rsidP="00000000" w:rsidRDefault="00000000" w:rsidRPr="00000000" w14:paraId="0000010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Stable and secure employment has been identified as one of the key factors in the successful rehabilitation of ex-prisoners to society. The ex-prisoners we spoke to said that the jobs offered to them by government initiatives such as Singapore Corporation of Rehabilitative Enterprises (SCORE) and the Yellow Ribbon project made it difficult to support themselves and their families. These were often menial jobs in the services, logistics and process industries which paid basic salaries of between $1000 to $1500. This was barely enough to support themselves and their families. Singapore does not have a minimum wage law to ensure low wage workers earn a decent salary to support themselves and their families amidst the rising costs of living.  </w:t>
      </w:r>
    </w:p>
    <w:p w:rsidR="00000000" w:rsidDel="00000000" w:rsidP="00000000" w:rsidRDefault="00000000" w:rsidRPr="00000000" w14:paraId="00000104">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single"/>
        </w:rPr>
      </w:pPr>
      <w:r w:rsidDel="00000000" w:rsidR="00000000" w:rsidRPr="00000000">
        <w:rPr>
          <w:u w:val="single"/>
          <w:rtl w:val="0"/>
        </w:rPr>
        <w:t xml:space="preserve">Marginalisation of Ethnic Minorities in Prison and in Rehabilitation Programmes </w:t>
      </w:r>
    </w:p>
    <w:p w:rsidR="00000000" w:rsidDel="00000000" w:rsidP="00000000" w:rsidRDefault="00000000" w:rsidRPr="00000000" w14:paraId="00000106">
      <w:pPr>
        <w:spacing w:after="0" w:before="0" w:line="276" w:lineRule="auto"/>
        <w:ind w:left="720" w:firstLine="0"/>
        <w:jc w:val="both"/>
        <w:rPr>
          <w:color w:val="ff0000"/>
        </w:rPr>
      </w:pPr>
      <w:r w:rsidDel="00000000" w:rsidR="00000000" w:rsidRPr="00000000">
        <w:rPr>
          <w:rtl w:val="0"/>
        </w:rPr>
      </w:r>
    </w:p>
    <w:p w:rsidR="00000000" w:rsidDel="00000000" w:rsidP="00000000" w:rsidRDefault="00000000" w:rsidRPr="00000000" w14:paraId="0000010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The following section contains information from the academic report </w:t>
      </w:r>
      <w:r w:rsidDel="00000000" w:rsidR="00000000" w:rsidRPr="00000000">
        <w:rPr>
          <w:i w:val="1"/>
          <w:rtl w:val="0"/>
        </w:rPr>
        <w:t xml:space="preserve">Ganapathy Narayanan &amp; Lian Kwen Fee (2016) Race, reintegration, and social capital in Singapore, International Journal of Comparative and Applied Criminal Justice, 40:1, 1-23.</w:t>
      </w:r>
      <w:r w:rsidDel="00000000" w:rsidR="00000000" w:rsidRPr="00000000">
        <w:rPr>
          <w:vertAlign w:val="superscript"/>
        </w:rPr>
        <w:footnoteReference w:customMarkFollows="0" w:id="37"/>
      </w:r>
      <w:r w:rsidDel="00000000" w:rsidR="00000000" w:rsidRPr="00000000">
        <w:rPr>
          <w:rtl w:val="0"/>
        </w:rPr>
      </w:r>
    </w:p>
    <w:p w:rsidR="00000000" w:rsidDel="00000000" w:rsidP="00000000" w:rsidRDefault="00000000" w:rsidRPr="00000000" w14:paraId="00000108">
      <w:pPr>
        <w:spacing w:after="0" w:before="0" w:line="276" w:lineRule="auto"/>
        <w:ind w:left="0" w:firstLine="0"/>
        <w:jc w:val="both"/>
        <w:rPr/>
      </w:pPr>
      <w:r w:rsidDel="00000000" w:rsidR="00000000" w:rsidRPr="00000000">
        <w:rPr>
          <w:rtl w:val="0"/>
        </w:rPr>
      </w:r>
    </w:p>
    <w:p w:rsidR="00000000" w:rsidDel="00000000" w:rsidP="00000000" w:rsidRDefault="00000000" w:rsidRPr="00000000" w14:paraId="0000010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In a study in which involved interviewing 61 ex-prisoners, Narayanan and Lien have argued that ethnic minority inmates are systematically marginalised by the Singapore Prisons system:</w:t>
      </w:r>
    </w:p>
    <w:p w:rsidR="00000000" w:rsidDel="00000000" w:rsidP="00000000" w:rsidRDefault="00000000" w:rsidRPr="00000000" w14:paraId="0000010A">
      <w:pPr>
        <w:spacing w:after="0" w:before="0" w:line="276" w:lineRule="auto"/>
        <w:ind w:left="0" w:firstLine="0"/>
        <w:jc w:val="both"/>
        <w:rPr/>
      </w:pPr>
      <w:r w:rsidDel="00000000" w:rsidR="00000000" w:rsidRPr="00000000">
        <w:rPr>
          <w:rtl w:val="0"/>
        </w:rPr>
      </w:r>
    </w:p>
    <w:p w:rsidR="00000000" w:rsidDel="00000000" w:rsidP="00000000" w:rsidRDefault="00000000" w:rsidRPr="00000000" w14:paraId="0000010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Academic research has found that Indians and Malays, as racial minorities in Singapore and disproportionately represented in the prison and reoffending population, are significantly less likely to achieve reintegration than those who belong to the Chinese majority. </w:t>
      </w:r>
    </w:p>
    <w:p w:rsidR="00000000" w:rsidDel="00000000" w:rsidP="00000000" w:rsidRDefault="00000000" w:rsidRPr="00000000" w14:paraId="0000010C">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It is crucial in this regard to note Singapore’s adoption of “ethnicized welfare”, and that each cultural group is responsible for its own survival, as an extension of its other existing social policy measures. </w:t>
      </w:r>
    </w:p>
    <w:p w:rsidR="00000000" w:rsidDel="00000000" w:rsidP="00000000" w:rsidRDefault="00000000" w:rsidRPr="00000000" w14:paraId="0000010E">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It has been noted that the Chinese are the majority and dominate the middle and upper classes in Singapore society. They therefore command better economic resources in general, which ethnic and faith-based rehabilitation agencies and other voluntary associations are able to access to effectively fund their programs. The minority Malay and Indian population, however, occupy the lower economic strata, which reduces the capacity of their voluntary agencies because community support is structurally less forthcoming. In a racialized society such as Singapore, the Chinese are predominant. Any attempt to account for the differential outcome of reintegration must take this into consideration. Hence, understanding racial structuration requires us to focus on “the networks of (interactional) relationships among actors as well as the distributions of socially meaningful characteristics of actors and aggregates of actors” (Whitmeyer cited in Bonilla-Silva, 1996, p. 469). It is the network of relationships that each ethnic group possesses and how it is mobilized, activated, and utilized that is critical to the outcome of reintegration. </w:t>
      </w:r>
    </w:p>
    <w:p w:rsidR="00000000" w:rsidDel="00000000" w:rsidP="00000000" w:rsidRDefault="00000000" w:rsidRPr="00000000" w14:paraId="00000110">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According to Ganapathy and Lien, the higher recidivism rate among the Malay and Indian offenders relative to the Chinese has led to the exclusion of minority inmates from participation in rehabilitative programs. While there is no explicit discrimination based on race per se, prison authorities are reluctant to extend rehabilitative opportunities to ethnic minorities who are perceived to be recalcitrant offenders. They quote a prison officer who said: </w:t>
      </w:r>
      <w:r w:rsidDel="00000000" w:rsidR="00000000" w:rsidRPr="00000000">
        <w:rPr>
          <w:i w:val="1"/>
          <w:rtl w:val="0"/>
        </w:rPr>
        <w:t xml:space="preserve">I mean given our limited resources and based on the risk of relapse prediction by our psychologists, we have to make sure that we put our resources where we get our returns back. . . I mean you put in your money in investment schemes where you get the best out of it. . .We have to show results too.</w:t>
      </w:r>
      <w:r w:rsidDel="00000000" w:rsidR="00000000" w:rsidRPr="00000000">
        <w:rPr>
          <w:rtl w:val="0"/>
        </w:rPr>
        <w:t xml:space="preserve"> </w:t>
      </w:r>
    </w:p>
    <w:p w:rsidR="00000000" w:rsidDel="00000000" w:rsidP="00000000" w:rsidRDefault="00000000" w:rsidRPr="00000000" w14:paraId="00000112">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It has also been noted that as a matter of prison policy, inmates, at the start of each prison sentence, are classified according to the likelihood of re-offending based on the “risk-needs-responsivity” model before rehabilitation or “treatment” is given, limiting each class of prisoners to different programs. Thus, minority inmates' exclusion from rehabilitative programs because of their criminal histories is also one of the contributing causes of their re-offending.  Given the heightened racial consciousness and systemic racialization in prisons, such exclusion from rehabilitative programs may be interpreted as a form of institutional discrimination against minorities. </w:t>
      </w:r>
    </w:p>
    <w:p w:rsidR="00000000" w:rsidDel="00000000" w:rsidP="00000000" w:rsidRDefault="00000000" w:rsidRPr="00000000" w14:paraId="00000114">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One ex inmate in their study shared his experience: </w:t>
      </w:r>
    </w:p>
    <w:p w:rsidR="00000000" w:rsidDel="00000000" w:rsidP="00000000" w:rsidRDefault="00000000" w:rsidRPr="00000000" w14:paraId="00000116">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i w:val="1"/>
        </w:rPr>
      </w:pPr>
      <w:r w:rsidDel="00000000" w:rsidR="00000000" w:rsidRPr="00000000">
        <w:rPr>
          <w:i w:val="1"/>
          <w:rtl w:val="0"/>
        </w:rPr>
        <w:t xml:space="preserve">I went to</w:t>
      </w:r>
      <w:r w:rsidDel="00000000" w:rsidR="00000000" w:rsidRPr="00000000">
        <w:rPr>
          <w:rtl w:val="0"/>
        </w:rPr>
        <w:t xml:space="preserve"> </w:t>
      </w:r>
      <w:r w:rsidDel="00000000" w:rsidR="00000000" w:rsidRPr="00000000">
        <w:rPr>
          <w:i w:val="1"/>
          <w:rtl w:val="0"/>
        </w:rPr>
        <w:t xml:space="preserve">see the superintendent officer for the multimedia course which is a two two-year course. Even without going through me, he told me, “Just look at your record. You’re an eight timer”. “Why don’t you give me a chance”, I asked. Then he told me, “One class can only take 30 people so first and second timers will get their choice first”.</w:t>
      </w:r>
    </w:p>
    <w:p w:rsidR="00000000" w:rsidDel="00000000" w:rsidP="00000000" w:rsidRDefault="00000000" w:rsidRPr="00000000" w14:paraId="00000118">
      <w:pPr>
        <w:spacing w:after="0" w:before="0" w:line="276" w:lineRule="auto"/>
        <w:ind w:left="720" w:firstLine="0"/>
        <w:jc w:val="both"/>
        <w:rPr>
          <w:i w:val="1"/>
        </w:rPr>
      </w:pPr>
      <w:r w:rsidDel="00000000" w:rsidR="00000000" w:rsidRPr="00000000">
        <w:rPr>
          <w:rtl w:val="0"/>
        </w:rPr>
      </w:r>
    </w:p>
    <w:p w:rsidR="00000000" w:rsidDel="00000000" w:rsidP="00000000" w:rsidRDefault="00000000" w:rsidRPr="00000000" w14:paraId="000001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They cite the experience of a Malay-Muslim informant who had been convicted five times for drug and penal offences:</w:t>
      </w:r>
    </w:p>
    <w:p w:rsidR="00000000" w:rsidDel="00000000" w:rsidP="00000000" w:rsidRDefault="00000000" w:rsidRPr="00000000" w14:paraId="0000011A">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1B">
      <w:pPr>
        <w:spacing w:after="0" w:before="0" w:line="276" w:lineRule="auto"/>
        <w:ind w:left="720" w:firstLine="0"/>
        <w:jc w:val="both"/>
        <w:rPr>
          <w:i w:val="1"/>
        </w:rPr>
      </w:pPr>
      <w:r w:rsidDel="00000000" w:rsidR="00000000" w:rsidRPr="00000000">
        <w:rPr>
          <w:i w:val="1"/>
          <w:rtl w:val="0"/>
        </w:rPr>
        <w:t xml:space="preserve">There is really no way to break from this. It is a chicken and egg thing. They say you cannot change and so don’t put me on program. I am not prepared to go out (out of prison) but have to. No choice. Outside cannot survive, commit crime again and then come inside (prison).</w:t>
      </w:r>
    </w:p>
    <w:p w:rsidR="00000000" w:rsidDel="00000000" w:rsidP="00000000" w:rsidRDefault="00000000" w:rsidRPr="00000000" w14:paraId="0000011C">
      <w:pPr>
        <w:spacing w:after="0" w:before="0" w:line="276" w:lineRule="auto"/>
        <w:ind w:left="720" w:firstLine="0"/>
        <w:jc w:val="both"/>
        <w:rPr>
          <w:i w:val="1"/>
        </w:rPr>
      </w:pP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Narayanan and Lien cite a 2010 Report of the Committee on the Prevention of Reoffending, which states that a significant number of minority inmates are released annually into the community without undergoing any form of rehabilitation programs in prisons. Both researchers conclude that “given the heightened racial consciousness and systemic racialization in prisons, such exclusion from rehabilitative programs may be interpreted as a form of institutional discrimination against minorities.” One Malay respondent of their study said:</w:t>
      </w:r>
    </w:p>
    <w:p w:rsidR="00000000" w:rsidDel="00000000" w:rsidP="00000000" w:rsidRDefault="00000000" w:rsidRPr="00000000" w14:paraId="0000011E">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1F">
      <w:pPr>
        <w:spacing w:after="0" w:before="0" w:line="276" w:lineRule="auto"/>
        <w:ind w:left="720" w:firstLine="0"/>
        <w:jc w:val="both"/>
        <w:rPr>
          <w:i w:val="1"/>
        </w:rPr>
      </w:pPr>
      <w:r w:rsidDel="00000000" w:rsidR="00000000" w:rsidRPr="00000000">
        <w:rPr>
          <w:i w:val="1"/>
          <w:rtl w:val="0"/>
        </w:rPr>
        <w:t xml:space="preserve">I wanted to go for this trade course, I told my RO (Rehabilitation Officer) about it. He said that I cannot go because of my record and also no vacancy. Then two weeks later, I find out that one Chinese guy has applied for it. He also same like me, third timer, but how come he got it? Last time when my brothers all say that “Yellow Ribbon” is really for “Yellow” people only (meaning the Chinese), I didn’t believe. Now I do.</w:t>
      </w:r>
    </w:p>
    <w:p w:rsidR="00000000" w:rsidDel="00000000" w:rsidP="00000000" w:rsidRDefault="00000000" w:rsidRPr="00000000" w14:paraId="00000120">
      <w:pPr>
        <w:spacing w:after="0" w:before="0" w:line="276" w:lineRule="auto"/>
        <w:ind w:left="720" w:firstLine="0"/>
        <w:jc w:val="both"/>
        <w:rPr>
          <w:i w:val="1"/>
        </w:rPr>
      </w:pPr>
      <w:r w:rsidDel="00000000" w:rsidR="00000000" w:rsidRPr="00000000">
        <w:rPr>
          <w:rtl w:val="0"/>
        </w:rPr>
      </w:r>
    </w:p>
    <w:p w:rsidR="00000000" w:rsidDel="00000000" w:rsidP="00000000" w:rsidRDefault="00000000" w:rsidRPr="00000000" w14:paraId="000001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Within prisons, Chinese inmates also have stronger social capital which translates to better ties, as a racial group, with forms of rehabilitation outside the prison system. Their religious identity as Christians and Buddhists have given them access to networks of “weak ties” that are maintained by priests, monks, and religious leaders. Since these religious representatives maintain relations with the “outside” society, then all members of the Chinese inmate community are able to access and use these “weak ties.” The role played by the religious representatives is clearly vital for they constitute an important link between the prisoner and his “outside world.” Apart from being sanctioned by the prison authorities to do religious counseling in prisons, these representatives also explore reintegration options with the inmates. It is here that the effects of “bridging social capital” of the Chinese are most realized. </w:t>
      </w:r>
    </w:p>
    <w:p w:rsidR="00000000" w:rsidDel="00000000" w:rsidP="00000000" w:rsidRDefault="00000000" w:rsidRPr="00000000" w14:paraId="00000122">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Particularly, halfway houses for minority religious groups tend to lack a more complete network of “bridging” organizations and individuals compared to the Christian or Buddhist halfway houses, which predominantly assist the Chinese population. Many Christian HWHs through their Church Ministries are able to mobilize capital and professional volunteers to set up social enterprises within their HWHs, and offer opportunities for the residents to learn vocational skills. The programs are conducted by volunteers from the congregation or the clan associations in the case of the Buddhist HWHs. The ethnic minority operators do have similar a vision for their own HWHs but conceded that they lacked both the capital and resources. Many of the ethnic minority HWHs thus rely on employment provided by the Singapore Corporation of Rehabilitative Enterprises (SCORE),4 which, however, is perceived to be less attractive in terms of type of jobs available, and prone to exploitation by employers, among others. Unlike the minority HWHs, the Christian and Buddhist HWHs have a thorough aftercare process where opportunities are created for the residents to stay on at the HWHs, or to continue to work in their social enterprises even after the residents had completed their prison sentence. The social capital accrued to a Christian or Buddhist interfaced with their Chinese ethnicity are certain enablers for a successful reintegration and resettlement. </w:t>
      </w:r>
    </w:p>
    <w:p w:rsidR="00000000" w:rsidDel="00000000" w:rsidP="00000000" w:rsidRDefault="00000000" w:rsidRPr="00000000" w14:paraId="00000124">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Publicly accessible information about recent recidivism rates disaggregated by ethnicity are limited. However, Narayanan and Lien, in their study cited a report in 2002, which said that Malay and Indian recidivists stood at 30.2% and19.2% although they constituted only 13.9% and 7.9% of the national population, respectively (Census of Population of Singapore, 2000). For that same year, the Chinese recidivist rate was 46.5% even though they comprised around 78% of the national population (Subordinate Courts Research Bulletin Issue No.30, 2003). In 2010, the Chinese reoffending rate stood at 18% that was far below the recidivism rate for the Malays and Indians, which was 28.8% and 30.8%, respectively (Task Force Report on the Community-based Aftercare Services for Indian Prisoners, 2014). Overall, the Chinese recidivism rate for the year 2010 was below the national recidivism rate of 23.6% (Mohamad Salleh, 2014) even though they comprised 76.8% of the national population (Census of Population of Singapore, 2010). Additionally, 86% of the total Indian inmate population had been incarcerated more than once and a significant 78% three or more times (Task Force Report on the Community-based Aftercare Services for Indian Prisoners, 2014).</w:t>
      </w:r>
    </w:p>
    <w:p w:rsidR="00000000" w:rsidDel="00000000" w:rsidP="00000000" w:rsidRDefault="00000000" w:rsidRPr="00000000" w14:paraId="00000126">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single"/>
        </w:rPr>
      </w:pPr>
      <w:r w:rsidDel="00000000" w:rsidR="00000000" w:rsidRPr="00000000">
        <w:rPr>
          <w:u w:val="single"/>
          <w:rtl w:val="0"/>
        </w:rPr>
        <w:t xml:space="preserve">Access to Justice Where Offences Are Committed In Prison</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single"/>
        </w:rPr>
      </w:pPr>
      <w:r w:rsidDel="00000000" w:rsidR="00000000" w:rsidRPr="00000000">
        <w:rPr>
          <w:rtl w:val="0"/>
        </w:rPr>
      </w:r>
    </w:p>
    <w:p w:rsidR="00000000" w:rsidDel="00000000" w:rsidP="00000000" w:rsidRDefault="00000000" w:rsidRPr="00000000" w14:paraId="000001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The prison disciplinary process is often arbitrary, unclear and untransparent. Punishments can be meted out for offences ranging from the more serious ones such as fighting among inmates, assaulting a prison officer, and insubordination, to raising one’s voice, losing a pen, exercising in the cell, not walking in line, and even intervening to stop a fight that happens in a cell. Punishment is often solitary confinement in a punishment cell. This can range from 1 day to several weeks, several months to even a year, depending on the severity of the offence. Denial of yard time is also another common punishment. Prisoners can be confined to their cells for months as punishment.</w:t>
      </w:r>
    </w:p>
    <w:p w:rsidR="00000000" w:rsidDel="00000000" w:rsidP="00000000" w:rsidRDefault="00000000" w:rsidRPr="00000000" w14:paraId="0000012A">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single"/>
        </w:rPr>
      </w:pPr>
      <w:r w:rsidDel="00000000" w:rsidR="00000000" w:rsidRPr="00000000">
        <w:rPr>
          <w:u w:val="single"/>
          <w:rtl w:val="0"/>
        </w:rPr>
        <w:t xml:space="preserve">Recommendations</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singl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Ensure that the Prisons Act and all associated practices by the Singapore Prisons Service are in compliance with the UN Minimum Standards for the Treatment of Prisoners.</w:t>
      </w:r>
    </w:p>
    <w:p w:rsidR="00000000" w:rsidDel="00000000" w:rsidP="00000000" w:rsidRDefault="00000000" w:rsidRPr="00000000" w14:paraId="0000012E">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Take steps to reduce overcrowding in prison cells and ensure that prison cells have adequate ventilation, and proper beds to sleep in.   </w:t>
      </w:r>
    </w:p>
    <w:p w:rsidR="00000000" w:rsidDel="00000000" w:rsidP="00000000" w:rsidRDefault="00000000" w:rsidRPr="00000000" w14:paraId="00000130">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Abolish practices which degrade and torture prisoners, including the practice of prolonged solitary confinement, caning, and humiliating strip searches.</w:t>
      </w:r>
    </w:p>
    <w:p w:rsidR="00000000" w:rsidDel="00000000" w:rsidP="00000000" w:rsidRDefault="00000000" w:rsidRPr="00000000" w14:paraId="00000132">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Increase the duration for yard time beyond the current one hour, and allow all prisoners to have yard time on weekends as the current practice only allows them out of their cells on weekdays.. Ensure that all prisoners, regardless of how long they have been incarcerated have the same amount of time out of the cell for exercise and recreation.     </w:t>
      </w:r>
    </w:p>
    <w:p w:rsidR="00000000" w:rsidDel="00000000" w:rsidP="00000000" w:rsidRDefault="00000000" w:rsidRPr="00000000" w14:paraId="00000134">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Ensure that all prisoners regardless of ethnicity and nationality have full and equal access to rehabilitation, vocational opportunities and jobs which pay a decent wage, while serving their sentences and after they are released. </w:t>
      </w:r>
    </w:p>
    <w:p w:rsidR="00000000" w:rsidDel="00000000" w:rsidP="00000000" w:rsidRDefault="00000000" w:rsidRPr="00000000" w14:paraId="00000136">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Raise the standards of mental health treatment and intervention, in particular reforming the treatment of prisoners in the psychiatric ward  </w:t>
      </w:r>
    </w:p>
    <w:p w:rsidR="00000000" w:rsidDel="00000000" w:rsidP="00000000" w:rsidRDefault="00000000" w:rsidRPr="00000000" w14:paraId="00000138">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Reform the Misuse of Drugs Act and end the incarceration of those arrested for consuming drugs, and devote resources spent on imprisonment to develop more in depth rehabilitation, integration and economic empowerment initiatives. </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pPr>
      <w:r w:rsidDel="00000000" w:rsidR="00000000" w:rsidRPr="00000000">
        <w:rPr>
          <w:rtl w:val="0"/>
        </w:rPr>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pPr>
      <w:r w:rsidDel="00000000" w:rsidR="00000000" w:rsidRPr="00000000">
        <w:br w:type="page"/>
      </w: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pPr>
      <w:r w:rsidDel="00000000" w:rsidR="00000000" w:rsidRPr="00000000">
        <w:rPr>
          <w:rtl w:val="0"/>
        </w:rPr>
      </w:r>
    </w:p>
    <w:p w:rsidR="00000000" w:rsidDel="00000000" w:rsidP="00000000" w:rsidRDefault="00000000" w:rsidRPr="00000000" w14:paraId="000001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1"/>
        </w:rPr>
      </w:pPr>
      <w:r w:rsidDel="00000000" w:rsidR="00000000" w:rsidRPr="00000000">
        <w:rPr>
          <w:b w:val="1"/>
          <w:rtl w:val="0"/>
        </w:rPr>
        <w:t xml:space="preserve">Judicial Caning</w:t>
      </w:r>
    </w:p>
    <w:p w:rsidR="00000000" w:rsidDel="00000000" w:rsidP="00000000" w:rsidRDefault="00000000" w:rsidRPr="00000000" w14:paraId="0000013E">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3F">
      <w:pPr>
        <w:spacing w:after="0" w:before="0" w:line="276" w:lineRule="auto"/>
        <w:ind w:left="0" w:firstLine="0"/>
        <w:jc w:val="both"/>
        <w:rPr>
          <w:color w:val="202122"/>
          <w:highlight w:val="white"/>
          <w:u w:val="single"/>
        </w:rPr>
      </w:pPr>
      <w:r w:rsidDel="00000000" w:rsidR="00000000" w:rsidRPr="00000000">
        <w:rPr>
          <w:color w:val="202122"/>
          <w:highlight w:val="white"/>
          <w:u w:val="single"/>
          <w:rtl w:val="0"/>
        </w:rPr>
        <w:t xml:space="preserve">Introduction</w:t>
      </w:r>
    </w:p>
    <w:p w:rsidR="00000000" w:rsidDel="00000000" w:rsidP="00000000" w:rsidRDefault="00000000" w:rsidRPr="00000000" w14:paraId="00000140">
      <w:pPr>
        <w:spacing w:after="0" w:before="0" w:line="276" w:lineRule="auto"/>
        <w:ind w:left="720" w:firstLine="0"/>
        <w:jc w:val="both"/>
        <w:rPr>
          <w:color w:val="202122"/>
          <w:highlight w:val="white"/>
        </w:rPr>
      </w:pPr>
      <w:r w:rsidDel="00000000" w:rsidR="00000000" w:rsidRPr="00000000">
        <w:rPr>
          <w:rtl w:val="0"/>
        </w:rPr>
      </w:r>
    </w:p>
    <w:p w:rsidR="00000000" w:rsidDel="00000000" w:rsidP="00000000" w:rsidRDefault="00000000" w:rsidRPr="00000000" w14:paraId="0000014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color w:val="202122"/>
          <w:highlight w:val="white"/>
          <w:rtl w:val="0"/>
        </w:rPr>
        <w:t xml:space="preserve">Judicial caning is meted out for a wide range of offences under Singapore’s laws, both violent and non-violent. These include sexual offences, immigration offenses, vandalism, and drug-related offenses. Caning is always ordered by the courts in addition to a </w:t>
      </w:r>
      <w:r w:rsidDel="00000000" w:rsidR="00000000" w:rsidRPr="00000000">
        <w:rPr>
          <w:rtl w:val="0"/>
        </w:rPr>
        <w:t xml:space="preserve">prison</w:t>
      </w:r>
      <w:r w:rsidDel="00000000" w:rsidR="00000000" w:rsidRPr="00000000">
        <w:rPr>
          <w:color w:val="202122"/>
          <w:highlight w:val="white"/>
          <w:rtl w:val="0"/>
        </w:rPr>
        <w:t xml:space="preserve"> sentence, meted out only to men below the age of fifty who are certified medically fit. Some offences allow for up to a maximum of 24 strokes of the cane.</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pPr>
      <w:r w:rsidDel="00000000" w:rsidR="00000000" w:rsidRPr="00000000">
        <w:rPr>
          <w:rtl w:val="0"/>
        </w:rPr>
      </w:r>
    </w:p>
    <w:p w:rsidR="00000000" w:rsidDel="00000000" w:rsidP="00000000" w:rsidRDefault="00000000" w:rsidRPr="00000000" w14:paraId="0000014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color w:val="202122"/>
          <w:highlight w:val="white"/>
          <w:rtl w:val="0"/>
        </w:rPr>
        <w:t xml:space="preserve">Caning as punishment is also mandatory in the case of certain offences, such as drug trafficking, which for quantities of drugs below the mandatory death penalty threshold, would attract 15 strokes of the cane in addition to the prison term.</w:t>
        <w:br w:type="textWrapping"/>
      </w:r>
    </w:p>
    <w:p w:rsidR="00000000" w:rsidDel="00000000" w:rsidP="00000000" w:rsidRDefault="00000000" w:rsidRPr="00000000" w14:paraId="0000014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color w:val="202122"/>
          <w:highlight w:val="white"/>
          <w:rtl w:val="0"/>
        </w:rPr>
        <w:t xml:space="preserve">Caning can also be administered to inmates who commit offences within the prison facility. From the period of 2011 to 2020, the prisons administered 2,875 instances of institutional caning, to 2,149 inmates (i.e. some inmates were found guilty of multiple aggravated or major offences).</w:t>
      </w:r>
      <w:r w:rsidDel="00000000" w:rsidR="00000000" w:rsidRPr="00000000">
        <w:rPr>
          <w:color w:val="202122"/>
          <w:highlight w:val="white"/>
          <w:vertAlign w:val="superscript"/>
        </w:rPr>
        <w:footnoteReference w:customMarkFollows="0" w:id="38"/>
      </w:r>
      <w:r w:rsidDel="00000000" w:rsidR="00000000" w:rsidRPr="00000000">
        <w:rPr>
          <w:color w:val="202122"/>
          <w:highlight w:val="white"/>
          <w:rtl w:val="0"/>
        </w:rPr>
        <w:t xml:space="preserve"> The median number of strokes imposed to an inmate between 2011 and 2020 was three. The most common offences for which caning was imposed involved aggravated violence against other inmates and violence against staff.  </w:t>
      </w:r>
    </w:p>
    <w:p w:rsidR="00000000" w:rsidDel="00000000" w:rsidP="00000000" w:rsidRDefault="00000000" w:rsidRPr="00000000" w14:paraId="00000145">
      <w:pPr>
        <w:spacing w:after="0" w:before="0" w:line="276" w:lineRule="auto"/>
        <w:ind w:left="720" w:firstLine="0"/>
        <w:jc w:val="both"/>
        <w:rPr>
          <w:color w:val="202122"/>
          <w:highlight w:val="white"/>
        </w:rPr>
      </w:pP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color w:val="202122"/>
          <w:highlight w:val="white"/>
          <w:u w:val="single"/>
        </w:rPr>
      </w:pPr>
      <w:r w:rsidDel="00000000" w:rsidR="00000000" w:rsidRPr="00000000">
        <w:rPr>
          <w:color w:val="202122"/>
          <w:highlight w:val="white"/>
          <w:u w:val="single"/>
          <w:rtl w:val="0"/>
        </w:rPr>
        <w:t xml:space="preserve">The Practice of Caning</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color w:val="202122"/>
          <w:highlight w:val="white"/>
          <w:u w:val="single"/>
        </w:rPr>
      </w:pPr>
      <w:r w:rsidDel="00000000" w:rsidR="00000000" w:rsidRPr="00000000">
        <w:rPr>
          <w:rtl w:val="0"/>
        </w:rPr>
      </w:r>
    </w:p>
    <w:p w:rsidR="00000000" w:rsidDel="00000000" w:rsidP="00000000" w:rsidRDefault="00000000" w:rsidRPr="00000000" w14:paraId="0000014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color w:val="202122"/>
          <w:highlight w:val="white"/>
          <w:rtl w:val="0"/>
        </w:rPr>
        <w:t xml:space="preserve">Caning is done by prison staff, known colloquially as ‘commandos’ by the inmates. A long and thick rattan cane is used on the inmate's bare buttocks as he is tied to a frame. </w:t>
      </w:r>
    </w:p>
    <w:p w:rsidR="00000000" w:rsidDel="00000000" w:rsidP="00000000" w:rsidRDefault="00000000" w:rsidRPr="00000000" w14:paraId="00000149">
      <w:pPr>
        <w:spacing w:after="0" w:before="0" w:line="276" w:lineRule="auto"/>
        <w:ind w:left="720" w:firstLine="0"/>
        <w:jc w:val="both"/>
        <w:rPr>
          <w:color w:val="333333"/>
        </w:rPr>
      </w:pPr>
      <w:r w:rsidDel="00000000" w:rsidR="00000000" w:rsidRPr="00000000">
        <w:rPr>
          <w:rtl w:val="0"/>
        </w:rPr>
      </w:r>
    </w:p>
    <w:p w:rsidR="00000000" w:rsidDel="00000000" w:rsidP="00000000" w:rsidRDefault="00000000" w:rsidRPr="00000000" w14:paraId="000001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One </w:t>
      </w:r>
      <w:r w:rsidDel="00000000" w:rsidR="00000000" w:rsidRPr="00000000">
        <w:rPr>
          <w:color w:val="202122"/>
          <w:highlight w:val="white"/>
          <w:rtl w:val="0"/>
        </w:rPr>
        <w:t xml:space="preserve">victim</w:t>
      </w:r>
      <w:r w:rsidDel="00000000" w:rsidR="00000000" w:rsidRPr="00000000">
        <w:rPr>
          <w:rtl w:val="0"/>
        </w:rPr>
        <w:t xml:space="preserve"> told Amnesty International, which we reproduce here:</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pPr>
      <w:r w:rsidDel="00000000" w:rsidR="00000000" w:rsidRPr="00000000">
        <w:rPr>
          <w:rtl w:val="0"/>
        </w:rPr>
      </w:r>
    </w:p>
    <w:p w:rsidR="00000000" w:rsidDel="00000000" w:rsidP="00000000" w:rsidRDefault="00000000" w:rsidRPr="00000000" w14:paraId="0000014C">
      <w:pPr>
        <w:pBdr>
          <w:top w:color="auto" w:space="0" w:sz="0" w:val="none"/>
          <w:left w:color="auto" w:space="0" w:sz="0" w:val="none"/>
          <w:bottom w:color="auto" w:space="0" w:sz="0" w:val="none"/>
          <w:right w:color="auto" w:space="0" w:sz="0" w:val="none"/>
          <w:between w:color="auto" w:space="0" w:sz="0" w:val="none"/>
        </w:pBdr>
        <w:shd w:fill="ffffff" w:val="clear"/>
        <w:spacing w:after="0" w:before="0" w:line="276" w:lineRule="auto"/>
        <w:ind w:left="720" w:firstLine="0"/>
        <w:jc w:val="both"/>
        <w:rPr>
          <w:i w:val="1"/>
        </w:rPr>
      </w:pPr>
      <w:r w:rsidDel="00000000" w:rsidR="00000000" w:rsidRPr="00000000">
        <w:rPr>
          <w:i w:val="1"/>
          <w:rtl w:val="0"/>
        </w:rPr>
        <w:t xml:space="preserve">“I heard the cane. It sounded like a plank hitting the wall. A split second later I felt it was tearing across my buttocks. I screamed and struggled like a mad animal. All I thought was that I want to run away. If I’m not tied up, one stroke could keep me running for a mile.</w:t>
      </w:r>
    </w:p>
    <w:p w:rsidR="00000000" w:rsidDel="00000000" w:rsidP="00000000" w:rsidRDefault="00000000" w:rsidRPr="00000000" w14:paraId="0000014D">
      <w:pPr>
        <w:pBdr>
          <w:top w:color="auto" w:space="0" w:sz="0" w:val="none"/>
          <w:left w:color="auto" w:space="0" w:sz="0" w:val="none"/>
          <w:bottom w:color="auto" w:space="0" w:sz="0" w:val="none"/>
          <w:right w:color="auto" w:space="0" w:sz="0" w:val="none"/>
          <w:between w:color="auto" w:space="0" w:sz="0" w:val="none"/>
        </w:pBdr>
        <w:shd w:fill="ffffff" w:val="clear"/>
        <w:spacing w:after="0" w:before="0" w:line="276" w:lineRule="auto"/>
        <w:ind w:left="720" w:firstLine="0"/>
        <w:jc w:val="both"/>
        <w:rPr>
          <w:i w:val="1"/>
        </w:rPr>
      </w:pPr>
      <w:r w:rsidDel="00000000" w:rsidR="00000000" w:rsidRPr="00000000">
        <w:rPr>
          <w:rtl w:val="0"/>
        </w:rPr>
      </w:r>
    </w:p>
    <w:p w:rsidR="00000000" w:rsidDel="00000000" w:rsidP="00000000" w:rsidRDefault="00000000" w:rsidRPr="00000000" w14:paraId="0000014E">
      <w:pPr>
        <w:pBdr>
          <w:top w:color="auto" w:space="0" w:sz="0" w:val="none"/>
          <w:left w:color="auto" w:space="0" w:sz="0" w:val="none"/>
          <w:bottom w:color="auto" w:space="0" w:sz="0" w:val="none"/>
          <w:right w:color="auto" w:space="0" w:sz="0" w:val="none"/>
          <w:between w:color="auto" w:space="0" w:sz="0" w:val="none"/>
        </w:pBdr>
        <w:shd w:fill="ffffff" w:val="clear"/>
        <w:spacing w:after="0" w:before="0" w:line="276" w:lineRule="auto"/>
        <w:ind w:left="720" w:firstLine="0"/>
        <w:jc w:val="both"/>
        <w:rPr>
          <w:i w:val="1"/>
        </w:rPr>
      </w:pPr>
      <w:r w:rsidDel="00000000" w:rsidR="00000000" w:rsidRPr="00000000">
        <w:rPr>
          <w:i w:val="1"/>
          <w:rtl w:val="0"/>
        </w:rPr>
        <w:t xml:space="preserve">And I just could not control my screams. It went on and on, one stroke, one minute. Some lashes fall on the same spot, splitting open the skin even more. Some prisoners urinate and even faint because of the pain. I felt giddy and went limp on the trestle at the last stroke. My bleeding buttocks throbbed with pain and felt like they were on fire. A few prisoners pretend to faint to escape more strokes but the warder will go on flogging to see if you cry out. That’s because if you’re conscious, you will scream. After we were flogged, a medical officer applied some antiseptic on the wounds. My buttocks then swelled to twice their normal size. My thighs went blue-black. I had to go without shorts for more than two weeks so that my wounds could heal. I couldn’t sit or sleep on my back or bathe all this time either. The pain burns in your mind long after it is over. Until now I have nightmares about it.”</w:t>
      </w:r>
      <w:r w:rsidDel="00000000" w:rsidR="00000000" w:rsidRPr="00000000">
        <w:rPr>
          <w:i w:val="1"/>
          <w:vertAlign w:val="superscript"/>
        </w:rPr>
        <w:footnoteReference w:customMarkFollows="0" w:id="39"/>
      </w:r>
      <w:r w:rsidDel="00000000" w:rsidR="00000000" w:rsidRPr="00000000">
        <w:rPr>
          <w:rtl w:val="0"/>
        </w:rPr>
      </w:r>
    </w:p>
    <w:p w:rsidR="00000000" w:rsidDel="00000000" w:rsidP="00000000" w:rsidRDefault="00000000" w:rsidRPr="00000000" w14:paraId="0000014F">
      <w:pPr>
        <w:pBdr>
          <w:top w:color="auto" w:space="0" w:sz="0" w:val="none"/>
          <w:left w:color="auto" w:space="0" w:sz="0" w:val="none"/>
          <w:bottom w:color="auto" w:space="0" w:sz="0" w:val="none"/>
          <w:right w:color="auto" w:space="0" w:sz="0" w:val="none"/>
          <w:between w:color="auto" w:space="0" w:sz="0" w:val="none"/>
        </w:pBdr>
        <w:shd w:fill="ffffff" w:val="clear"/>
        <w:spacing w:after="0" w:before="0" w:line="276" w:lineRule="auto"/>
        <w:ind w:left="720" w:firstLine="0"/>
        <w:jc w:val="both"/>
        <w:rPr>
          <w:i w:val="1"/>
        </w:rPr>
      </w:pPr>
      <w:r w:rsidDel="00000000" w:rsidR="00000000" w:rsidRPr="00000000">
        <w:rPr>
          <w:rtl w:val="0"/>
        </w:rPr>
      </w:r>
    </w:p>
    <w:p w:rsidR="00000000" w:rsidDel="00000000" w:rsidP="00000000" w:rsidRDefault="00000000" w:rsidRPr="00000000" w14:paraId="0000015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TJC’s own interview work with ex-incarcerated individuals highlighted their experiences of caning as both degrading and dehumanising, with one respondent hearing laughter after caning was administered to him, and felt that they were not treated as humans. Respondents we spoke to said it took their wounds several weeks to heal and during this period it was impossible to sleep properly on the hard floor. They were not given more medication apart from what was applied on their buttocks immediately after the caning, nor were their wounds checked by a doctor in the days and weeks after they were caned.  </w:t>
      </w:r>
      <w:r w:rsidDel="00000000" w:rsidR="00000000" w:rsidRPr="00000000">
        <w:rPr>
          <w:i w:val="1"/>
          <w:rtl w:val="0"/>
        </w:rPr>
        <w:t xml:space="preserve"> </w:t>
      </w:r>
    </w:p>
    <w:p w:rsidR="00000000" w:rsidDel="00000000" w:rsidP="00000000" w:rsidRDefault="00000000" w:rsidRPr="00000000" w14:paraId="00000151">
      <w:pPr>
        <w:keepNext w:val="0"/>
        <w:keepLines w:val="0"/>
        <w:pageBreakBefore w:val="0"/>
        <w:widowControl w:val="1"/>
        <w:pBdr>
          <w:top w:color="auto" w:space="0" w:sz="0" w:val="none"/>
          <w:left w:color="auto" w:space="0" w:sz="0" w:val="none"/>
          <w:bottom w:color="auto" w:space="0" w:sz="0" w:val="none"/>
          <w:right w:color="auto" w:space="0" w:sz="0" w:val="none"/>
          <w:between w:color="auto" w:space="0" w:sz="0" w:val="none"/>
        </w:pBdr>
        <w:shd w:fill="ffffff" w:val="clear"/>
        <w:spacing w:after="0" w:before="0" w:line="276" w:lineRule="auto"/>
        <w:ind w:left="720" w:right="0" w:firstLine="0"/>
        <w:jc w:val="both"/>
        <w:rPr>
          <w:i w:val="1"/>
        </w:rPr>
      </w:pP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color w:val="202122"/>
          <w:highlight w:val="white"/>
          <w:u w:val="single"/>
        </w:rPr>
      </w:pPr>
      <w:r w:rsidDel="00000000" w:rsidR="00000000" w:rsidRPr="00000000">
        <w:rPr>
          <w:color w:val="202122"/>
          <w:highlight w:val="white"/>
          <w:u w:val="single"/>
          <w:rtl w:val="0"/>
        </w:rPr>
        <w:t xml:space="preserve">Recommendations</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color w:val="202122"/>
          <w:highlight w:val="white"/>
          <w:u w:val="singl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color w:val="202122"/>
          <w:highlight w:val="white"/>
          <w:rtl w:val="0"/>
        </w:rPr>
        <w:t xml:space="preserve">Caning as a form of punishment violates the international law prohibition of torture and other </w:t>
      </w:r>
      <w:r w:rsidDel="00000000" w:rsidR="00000000" w:rsidRPr="00000000">
        <w:rPr>
          <w:rtl w:val="0"/>
        </w:rPr>
        <w:t xml:space="preserve">cruel</w:t>
      </w:r>
      <w:r w:rsidDel="00000000" w:rsidR="00000000" w:rsidRPr="00000000">
        <w:rPr>
          <w:color w:val="202122"/>
          <w:highlight w:val="white"/>
          <w:rtl w:val="0"/>
        </w:rPr>
        <w:t xml:space="preserve">, inhuman or degrading treatment set out in the International Covenant on Civil and Political Rights (ICCPR) and the UN Convention against Torture and Other Cruel, Inhuman or Degrading Treatment (CAT). It is alarming that caning is routinely administered as a form of punishment within the prison system.</w:t>
      </w:r>
    </w:p>
    <w:p w:rsidR="00000000" w:rsidDel="00000000" w:rsidP="00000000" w:rsidRDefault="00000000" w:rsidRPr="00000000" w14:paraId="00000155">
      <w:pPr>
        <w:spacing w:after="0" w:before="0" w:line="276" w:lineRule="auto"/>
        <w:ind w:left="720" w:firstLine="0"/>
        <w:jc w:val="both"/>
        <w:rPr>
          <w:color w:val="202122"/>
          <w:highlight w:val="white"/>
        </w:rPr>
      </w:pPr>
      <w:r w:rsidDel="00000000" w:rsidR="00000000" w:rsidRPr="00000000">
        <w:rPr>
          <w:rtl w:val="0"/>
        </w:rPr>
      </w:r>
    </w:p>
    <w:p w:rsidR="00000000" w:rsidDel="00000000" w:rsidP="00000000" w:rsidRDefault="00000000" w:rsidRPr="00000000" w14:paraId="0000015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color w:val="202122"/>
          <w:highlight w:val="white"/>
          <w:rtl w:val="0"/>
        </w:rPr>
        <w:t xml:space="preserve">Given the high rates of incarceration of racial minorities, they are disproportionately affected by both judicial caning and caning administered within the prison system. Hence, TJC is of the view that there indirect discrimination in relation to the right in Article 5(b) of CERD, “The right to security of person and protection by the State against violence or bodily harm, whether inflicted by government officials or by any individual group or institution;”</w:t>
      </w:r>
    </w:p>
    <w:p w:rsidR="00000000" w:rsidDel="00000000" w:rsidP="00000000" w:rsidRDefault="00000000" w:rsidRPr="00000000" w14:paraId="00000157">
      <w:pPr>
        <w:spacing w:after="0" w:before="0" w:line="276" w:lineRule="auto"/>
        <w:ind w:left="720" w:firstLine="0"/>
        <w:jc w:val="both"/>
        <w:rPr>
          <w:color w:val="202122"/>
          <w:highlight w:val="white"/>
        </w:rPr>
      </w:pPr>
      <w:r w:rsidDel="00000000" w:rsidR="00000000" w:rsidRPr="00000000">
        <w:rPr>
          <w:rtl w:val="0"/>
        </w:rPr>
      </w:r>
    </w:p>
    <w:p w:rsidR="00000000" w:rsidDel="00000000" w:rsidP="00000000" w:rsidRDefault="00000000" w:rsidRPr="00000000" w14:paraId="0000015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color w:val="202122"/>
          <w:highlight w:val="white"/>
          <w:rtl w:val="0"/>
        </w:rPr>
        <w:t xml:space="preserve">TJC recommends that the practice of caning be abolished in line with international human rights standards.</w:t>
      </w:r>
    </w:p>
    <w:p w:rsidR="00000000" w:rsidDel="00000000" w:rsidP="00000000" w:rsidRDefault="00000000" w:rsidRPr="00000000" w14:paraId="00000159">
      <w:pPr>
        <w:spacing w:after="0" w:before="0" w:line="276" w:lineRule="auto"/>
        <w:ind w:left="0" w:firstLine="0"/>
        <w:jc w:val="both"/>
        <w:rPr>
          <w:highlight w:val="yellow"/>
        </w:rPr>
      </w:pPr>
      <w:r w:rsidDel="00000000" w:rsidR="00000000" w:rsidRPr="00000000">
        <w:rPr>
          <w:rtl w:val="0"/>
        </w:rPr>
      </w:r>
    </w:p>
    <w:p w:rsidR="00000000" w:rsidDel="00000000" w:rsidP="00000000" w:rsidRDefault="00000000" w:rsidRPr="00000000" w14:paraId="0000015A">
      <w:pPr>
        <w:spacing w:after="0" w:before="0" w:line="276" w:lineRule="auto"/>
        <w:ind w:left="0" w:firstLine="0"/>
        <w:jc w:val="both"/>
        <w:rPr>
          <w:highlight w:val="yellow"/>
        </w:rPr>
      </w:pPr>
      <w:r w:rsidDel="00000000" w:rsidR="00000000" w:rsidRPr="00000000">
        <w:rPr>
          <w:rtl w:val="0"/>
        </w:rPr>
      </w:r>
    </w:p>
    <w:p w:rsidR="00000000" w:rsidDel="00000000" w:rsidP="00000000" w:rsidRDefault="00000000" w:rsidRPr="00000000" w14:paraId="0000015B">
      <w:pPr>
        <w:spacing w:after="0" w:before="0" w:line="276" w:lineRule="auto"/>
        <w:ind w:left="0" w:firstLine="0"/>
        <w:jc w:val="both"/>
        <w:rPr>
          <w:highlight w:val="yellow"/>
        </w:rPr>
      </w:pPr>
      <w:r w:rsidDel="00000000" w:rsidR="00000000" w:rsidRPr="00000000">
        <w:rPr>
          <w:rtl w:val="0"/>
        </w:rPr>
      </w:r>
    </w:p>
    <w:p w:rsidR="00000000" w:rsidDel="00000000" w:rsidP="00000000" w:rsidRDefault="00000000" w:rsidRPr="00000000" w14:paraId="0000015C">
      <w:pPr>
        <w:spacing w:after="0" w:before="0" w:line="276" w:lineRule="auto"/>
        <w:ind w:left="0" w:firstLine="0"/>
        <w:jc w:val="both"/>
        <w:rPr>
          <w:highlight w:val="yellow"/>
        </w:rPr>
      </w:pPr>
      <w:r w:rsidDel="00000000" w:rsidR="00000000" w:rsidRPr="00000000">
        <w:rPr>
          <w:rtl w:val="0"/>
        </w:rPr>
      </w:r>
    </w:p>
    <w:p w:rsidR="00000000" w:rsidDel="00000000" w:rsidP="00000000" w:rsidRDefault="00000000" w:rsidRPr="00000000" w14:paraId="0000015D">
      <w:pPr>
        <w:spacing w:after="0" w:before="0" w:line="276" w:lineRule="auto"/>
        <w:ind w:left="0" w:firstLine="0"/>
        <w:jc w:val="both"/>
        <w:rPr>
          <w:highlight w:val="yellow"/>
        </w:rPr>
      </w:pPr>
      <w:r w:rsidDel="00000000" w:rsidR="00000000" w:rsidRPr="00000000">
        <w:rPr>
          <w:rtl w:val="0"/>
        </w:rPr>
      </w:r>
    </w:p>
    <w:p w:rsidR="00000000" w:rsidDel="00000000" w:rsidP="00000000" w:rsidRDefault="00000000" w:rsidRPr="00000000" w14:paraId="0000015E">
      <w:pPr>
        <w:spacing w:after="0" w:before="0" w:line="276" w:lineRule="auto"/>
        <w:ind w:left="0" w:firstLine="0"/>
        <w:jc w:val="both"/>
        <w:rPr>
          <w:highlight w:val="yellow"/>
        </w:rPr>
      </w:pPr>
      <w:r w:rsidDel="00000000" w:rsidR="00000000" w:rsidRPr="00000000">
        <w:rPr>
          <w:rtl w:val="0"/>
        </w:rPr>
      </w:r>
    </w:p>
    <w:p w:rsidR="00000000" w:rsidDel="00000000" w:rsidP="00000000" w:rsidRDefault="00000000" w:rsidRPr="00000000" w14:paraId="0000015F">
      <w:pPr>
        <w:spacing w:after="0" w:before="0" w:line="276" w:lineRule="auto"/>
        <w:ind w:left="0" w:firstLine="0"/>
        <w:jc w:val="both"/>
        <w:rPr>
          <w:highlight w:val="yellow"/>
        </w:rPr>
      </w:pPr>
      <w:r w:rsidDel="00000000" w:rsidR="00000000" w:rsidRPr="00000000">
        <w:rPr>
          <w:rtl w:val="0"/>
        </w:rPr>
      </w:r>
    </w:p>
    <w:p w:rsidR="00000000" w:rsidDel="00000000" w:rsidP="00000000" w:rsidRDefault="00000000" w:rsidRPr="00000000" w14:paraId="00000160">
      <w:pPr>
        <w:spacing w:after="0" w:before="0" w:line="276" w:lineRule="auto"/>
        <w:ind w:left="0" w:firstLine="0"/>
        <w:jc w:val="both"/>
        <w:rPr>
          <w:highlight w:val="yellow"/>
        </w:rPr>
      </w:pPr>
      <w:r w:rsidDel="00000000" w:rsidR="00000000" w:rsidRPr="00000000">
        <w:rPr>
          <w:rtl w:val="0"/>
        </w:rPr>
      </w:r>
    </w:p>
    <w:p w:rsidR="00000000" w:rsidDel="00000000" w:rsidP="00000000" w:rsidRDefault="00000000" w:rsidRPr="00000000" w14:paraId="00000161">
      <w:pPr>
        <w:spacing w:after="0" w:before="0" w:line="276" w:lineRule="auto"/>
        <w:ind w:left="0" w:firstLine="0"/>
        <w:jc w:val="both"/>
        <w:rPr>
          <w:highlight w:val="yellow"/>
        </w:rPr>
      </w:pPr>
      <w:r w:rsidDel="00000000" w:rsidR="00000000" w:rsidRPr="00000000">
        <w:rPr>
          <w:rtl w:val="0"/>
        </w:rPr>
      </w:r>
    </w:p>
    <w:p w:rsidR="00000000" w:rsidDel="00000000" w:rsidP="00000000" w:rsidRDefault="00000000" w:rsidRPr="00000000" w14:paraId="00000162">
      <w:pPr>
        <w:spacing w:after="0" w:before="0" w:line="276" w:lineRule="auto"/>
        <w:ind w:left="0" w:firstLine="0"/>
        <w:jc w:val="both"/>
        <w:rPr>
          <w:highlight w:val="yellow"/>
        </w:rPr>
      </w:pPr>
      <w:r w:rsidDel="00000000" w:rsidR="00000000" w:rsidRPr="00000000">
        <w:rPr>
          <w:rtl w:val="0"/>
        </w:rPr>
      </w:r>
    </w:p>
    <w:p w:rsidR="00000000" w:rsidDel="00000000" w:rsidP="00000000" w:rsidRDefault="00000000" w:rsidRPr="00000000" w14:paraId="00000163">
      <w:pPr>
        <w:spacing w:after="0" w:before="0" w:line="276" w:lineRule="auto"/>
        <w:ind w:left="0" w:firstLine="0"/>
        <w:jc w:val="both"/>
        <w:rPr>
          <w:highlight w:val="yellow"/>
        </w:rPr>
      </w:pPr>
      <w:r w:rsidDel="00000000" w:rsidR="00000000" w:rsidRPr="00000000">
        <w:rPr>
          <w:rtl w:val="0"/>
        </w:rPr>
      </w:r>
    </w:p>
    <w:p w:rsidR="00000000" w:rsidDel="00000000" w:rsidP="00000000" w:rsidRDefault="00000000" w:rsidRPr="00000000" w14:paraId="00000164">
      <w:pPr>
        <w:spacing w:after="0" w:before="0" w:line="276" w:lineRule="auto"/>
        <w:ind w:left="0" w:firstLine="0"/>
        <w:jc w:val="both"/>
        <w:rPr>
          <w:highlight w:val="yellow"/>
        </w:rPr>
      </w:pPr>
      <w:r w:rsidDel="00000000" w:rsidR="00000000" w:rsidRPr="00000000">
        <w:rPr>
          <w:rtl w:val="0"/>
        </w:rPr>
      </w:r>
    </w:p>
    <w:p w:rsidR="00000000" w:rsidDel="00000000" w:rsidP="00000000" w:rsidRDefault="00000000" w:rsidRPr="00000000" w14:paraId="00000165">
      <w:pPr>
        <w:spacing w:after="0" w:before="0" w:line="276" w:lineRule="auto"/>
        <w:ind w:left="0" w:firstLine="0"/>
        <w:jc w:val="both"/>
        <w:rPr>
          <w:highlight w:val="yellow"/>
        </w:rPr>
      </w:pPr>
      <w:r w:rsidDel="00000000" w:rsidR="00000000" w:rsidRPr="00000000">
        <w:rPr>
          <w:rtl w:val="0"/>
        </w:rPr>
      </w:r>
    </w:p>
    <w:p w:rsidR="00000000" w:rsidDel="00000000" w:rsidP="00000000" w:rsidRDefault="00000000" w:rsidRPr="00000000" w14:paraId="00000166">
      <w:pPr>
        <w:spacing w:after="0" w:before="0" w:line="276" w:lineRule="auto"/>
        <w:ind w:left="0" w:firstLine="0"/>
        <w:jc w:val="both"/>
        <w:rPr>
          <w:highlight w:val="yellow"/>
        </w:rPr>
      </w:pPr>
      <w:r w:rsidDel="00000000" w:rsidR="00000000" w:rsidRPr="00000000">
        <w:rPr>
          <w:rtl w:val="0"/>
        </w:rPr>
      </w:r>
    </w:p>
    <w:p w:rsidR="00000000" w:rsidDel="00000000" w:rsidP="00000000" w:rsidRDefault="00000000" w:rsidRPr="00000000" w14:paraId="00000167">
      <w:pPr>
        <w:spacing w:after="0" w:before="0" w:line="276" w:lineRule="auto"/>
        <w:ind w:left="0" w:firstLine="0"/>
        <w:jc w:val="both"/>
        <w:rPr>
          <w:highlight w:val="yellow"/>
        </w:rPr>
      </w:pPr>
      <w:r w:rsidDel="00000000" w:rsidR="00000000" w:rsidRPr="00000000">
        <w:rPr>
          <w:rtl w:val="0"/>
        </w:rPr>
      </w:r>
    </w:p>
    <w:p w:rsidR="00000000" w:rsidDel="00000000" w:rsidP="00000000" w:rsidRDefault="00000000" w:rsidRPr="00000000" w14:paraId="00000168">
      <w:pPr>
        <w:spacing w:after="0" w:before="0" w:line="276" w:lineRule="auto"/>
        <w:ind w:left="0" w:firstLine="0"/>
        <w:jc w:val="both"/>
        <w:rPr>
          <w:highlight w:val="yellow"/>
        </w:rPr>
      </w:pPr>
      <w:r w:rsidDel="00000000" w:rsidR="00000000" w:rsidRPr="00000000">
        <w:rPr>
          <w:rtl w:val="0"/>
        </w:rPr>
      </w:r>
    </w:p>
    <w:p w:rsidR="00000000" w:rsidDel="00000000" w:rsidP="00000000" w:rsidRDefault="00000000" w:rsidRPr="00000000" w14:paraId="000001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1"/>
        </w:rPr>
      </w:pPr>
      <w:r w:rsidDel="00000000" w:rsidR="00000000" w:rsidRPr="00000000">
        <w:rPr>
          <w:b w:val="1"/>
          <w:color w:val="000000"/>
          <w:sz w:val="22"/>
          <w:szCs w:val="22"/>
          <w:rtl w:val="0"/>
        </w:rPr>
        <w:t xml:space="preserve">Use of the Death Penalty in Singapore</w:t>
      </w:r>
    </w:p>
    <w:p w:rsidR="00000000" w:rsidDel="00000000" w:rsidP="00000000" w:rsidRDefault="00000000" w:rsidRPr="00000000" w14:paraId="0000016A">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6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This section discusses the use of the Death Penalty in Singapore, in particular the use of </w:t>
      </w:r>
      <w:r w:rsidDel="00000000" w:rsidR="00000000" w:rsidRPr="00000000">
        <w:rPr>
          <w:color w:val="202122"/>
          <w:highlight w:val="white"/>
          <w:rtl w:val="0"/>
        </w:rPr>
        <w:t xml:space="preserve">Death</w:t>
      </w:r>
      <w:r w:rsidDel="00000000" w:rsidR="00000000" w:rsidRPr="00000000">
        <w:rPr>
          <w:rtl w:val="0"/>
        </w:rPr>
        <w:t xml:space="preserve"> Penalty in relation to drug offenses. It raises concerns of both direct and indirect discrimination against ethnic minorities.</w:t>
      </w:r>
    </w:p>
    <w:p w:rsidR="00000000" w:rsidDel="00000000" w:rsidP="00000000" w:rsidRDefault="00000000" w:rsidRPr="00000000" w14:paraId="0000016C">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6D">
      <w:pPr>
        <w:spacing w:after="0" w:before="0" w:line="276" w:lineRule="auto"/>
        <w:ind w:left="0" w:firstLine="0"/>
        <w:jc w:val="both"/>
        <w:rPr>
          <w:u w:val="single"/>
        </w:rPr>
      </w:pPr>
      <w:r w:rsidDel="00000000" w:rsidR="00000000" w:rsidRPr="00000000">
        <w:rPr>
          <w:u w:val="single"/>
          <w:rtl w:val="0"/>
        </w:rPr>
        <w:t xml:space="preserve">Introduction</w:t>
      </w:r>
    </w:p>
    <w:p w:rsidR="00000000" w:rsidDel="00000000" w:rsidP="00000000" w:rsidRDefault="00000000" w:rsidRPr="00000000" w14:paraId="0000016E">
      <w:pPr>
        <w:spacing w:after="0" w:before="0" w:line="276" w:lineRule="auto"/>
        <w:ind w:left="720" w:firstLine="0"/>
        <w:jc w:val="both"/>
        <w:rPr>
          <w:u w:val="single"/>
        </w:rPr>
      </w:pPr>
      <w:r w:rsidDel="00000000" w:rsidR="00000000" w:rsidRPr="00000000">
        <w:rPr>
          <w:rtl w:val="0"/>
        </w:rPr>
      </w:r>
    </w:p>
    <w:p w:rsidR="00000000" w:rsidDel="00000000" w:rsidP="00000000" w:rsidRDefault="00000000" w:rsidRPr="00000000" w14:paraId="0000016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The Penal Code primarily governs criminal acts in Singapore, which was first institutionalised under British Rule and inherited together with the federal statutes of Malaysia when Singapore became independent in 1965. </w:t>
        <w:br w:type="textWrapping"/>
      </w:r>
    </w:p>
    <w:p w:rsidR="00000000" w:rsidDel="00000000" w:rsidP="00000000" w:rsidRDefault="00000000" w:rsidRPr="00000000" w14:paraId="0000017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 In recent decades, three offence groups account for the vast majority of Singapore’s death sentences- murder, drug offences and firearms. The death penalty for drug offenses was first introduced in the Misuse of Drugs (Amendment) Act 1973.  </w:t>
      </w:r>
    </w:p>
    <w:p w:rsidR="00000000" w:rsidDel="00000000" w:rsidP="00000000" w:rsidRDefault="00000000" w:rsidRPr="00000000" w14:paraId="00000171">
      <w:pPr>
        <w:spacing w:after="0" w:before="0" w:line="276" w:lineRule="auto"/>
        <w:ind w:left="1440" w:firstLine="0"/>
        <w:jc w:val="both"/>
        <w:rPr/>
      </w:pPr>
      <w:r w:rsidDel="00000000" w:rsidR="00000000" w:rsidRPr="00000000">
        <w:rPr>
          <w:rtl w:val="0"/>
        </w:rPr>
      </w:r>
    </w:p>
    <w:p w:rsidR="00000000" w:rsidDel="00000000" w:rsidP="00000000" w:rsidRDefault="00000000" w:rsidRPr="00000000" w14:paraId="000001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Under the ICCPR, the lawful application of the Death Penalty requires that it only be applied to ‘most serious offences’. It is widely agreed that drug offenses do not constitute ‘most serious crimes’. There is also a view that customary international norms are shifting towards the abolition of the death penalty.</w:t>
        <w:br w:type="textWrapping"/>
      </w:r>
    </w:p>
    <w:p w:rsidR="00000000" w:rsidDel="00000000" w:rsidP="00000000" w:rsidRDefault="00000000" w:rsidRPr="00000000" w14:paraId="0000017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Singapore is one of few countries that have not ratified the ICCPR. It has also explicitly rejected the existence of a customary norm for the abolition of the death penalty. Nevertheless, it is important to compare Singapore’s death penalty regime to extant international human rights standards, and in light of positive progress towards abolition, to understand the potential for indirect discrimination toward minorities</w:t>
        <w:br w:type="textWrapping"/>
      </w:r>
    </w:p>
    <w:p w:rsidR="00000000" w:rsidDel="00000000" w:rsidP="00000000" w:rsidRDefault="00000000" w:rsidRPr="00000000" w14:paraId="0000017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In Singapore, executions are exclusively carried out by long drop hanging, as stated in s 316 of the Criminal Procedure Code.</w:t>
      </w:r>
      <w:r w:rsidDel="00000000" w:rsidR="00000000" w:rsidRPr="00000000">
        <w:rPr>
          <w:vertAlign w:val="superscript"/>
        </w:rPr>
        <w:footnoteReference w:customMarkFollows="0" w:id="40"/>
      </w:r>
      <w:r w:rsidDel="00000000" w:rsidR="00000000" w:rsidRPr="00000000">
        <w:rPr>
          <w:rtl w:val="0"/>
        </w:rPr>
        <w:t xml:space="preserve"> This method of execution is a legacy of British colonial rule.</w:t>
        <w:br w:type="textWrapping"/>
      </w:r>
    </w:p>
    <w:p w:rsidR="00000000" w:rsidDel="00000000" w:rsidP="00000000" w:rsidRDefault="00000000" w:rsidRPr="00000000" w14:paraId="00000175">
      <w:pPr>
        <w:spacing w:after="0" w:before="0" w:line="276" w:lineRule="auto"/>
        <w:ind w:left="0" w:firstLine="0"/>
        <w:jc w:val="both"/>
        <w:rPr>
          <w:u w:val="single"/>
        </w:rPr>
      </w:pPr>
      <w:r w:rsidDel="00000000" w:rsidR="00000000" w:rsidRPr="00000000">
        <w:rPr>
          <w:u w:val="single"/>
          <w:rtl w:val="0"/>
        </w:rPr>
        <w:t xml:space="preserve">Statistics on the Use of the Death Penalty for Drug Offenses </w:t>
      </w:r>
    </w:p>
    <w:p w:rsidR="00000000" w:rsidDel="00000000" w:rsidP="00000000" w:rsidRDefault="00000000" w:rsidRPr="00000000" w14:paraId="00000176">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7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Between 1991 and 2021, </w:t>
      </w:r>
      <w:r w:rsidDel="00000000" w:rsidR="00000000" w:rsidRPr="00000000">
        <w:rPr>
          <w:b w:val="1"/>
          <w:rtl w:val="0"/>
        </w:rPr>
        <w:t xml:space="preserve">358 </w:t>
      </w:r>
      <w:r w:rsidDel="00000000" w:rsidR="00000000" w:rsidRPr="00000000">
        <w:rPr>
          <w:rtl w:val="0"/>
        </w:rPr>
        <w:t xml:space="preserve">individuals were executed for drugs offences, </w:t>
      </w:r>
      <w:r w:rsidDel="00000000" w:rsidR="00000000" w:rsidRPr="00000000">
        <w:rPr>
          <w:b w:val="1"/>
          <w:rtl w:val="0"/>
        </w:rPr>
        <w:t xml:space="preserve">128 </w:t>
      </w:r>
      <w:r w:rsidDel="00000000" w:rsidR="00000000" w:rsidRPr="00000000">
        <w:rPr>
          <w:rtl w:val="0"/>
        </w:rPr>
        <w:t xml:space="preserve">individuals for murder, and </w:t>
      </w:r>
      <w:r w:rsidDel="00000000" w:rsidR="00000000" w:rsidRPr="00000000">
        <w:rPr>
          <w:b w:val="1"/>
          <w:rtl w:val="0"/>
        </w:rPr>
        <w:t xml:space="preserve">9 </w:t>
      </w:r>
      <w:r w:rsidDel="00000000" w:rsidR="00000000" w:rsidRPr="00000000">
        <w:rPr>
          <w:rtl w:val="0"/>
        </w:rPr>
        <w:t xml:space="preserve">individuals for firearm offences. This is </w:t>
      </w:r>
      <w:r w:rsidDel="00000000" w:rsidR="00000000" w:rsidRPr="00000000">
        <w:rPr>
          <w:b w:val="1"/>
          <w:rtl w:val="0"/>
        </w:rPr>
        <w:t xml:space="preserve">72%</w:t>
      </w:r>
      <w:r w:rsidDel="00000000" w:rsidR="00000000" w:rsidRPr="00000000">
        <w:rPr>
          <w:rtl w:val="0"/>
        </w:rPr>
        <w:t xml:space="preserve">, </w:t>
      </w:r>
      <w:r w:rsidDel="00000000" w:rsidR="00000000" w:rsidRPr="00000000">
        <w:rPr>
          <w:b w:val="1"/>
          <w:rtl w:val="0"/>
        </w:rPr>
        <w:t xml:space="preserve">26%</w:t>
      </w:r>
      <w:r w:rsidDel="00000000" w:rsidR="00000000" w:rsidRPr="00000000">
        <w:rPr>
          <w:rtl w:val="0"/>
        </w:rPr>
        <w:t xml:space="preserve">, and </w:t>
      </w:r>
      <w:r w:rsidDel="00000000" w:rsidR="00000000" w:rsidRPr="00000000">
        <w:rPr>
          <w:b w:val="1"/>
          <w:rtl w:val="0"/>
        </w:rPr>
        <w:t xml:space="preserve">2%</w:t>
      </w:r>
      <w:r w:rsidDel="00000000" w:rsidR="00000000" w:rsidRPr="00000000">
        <w:rPr>
          <w:rtl w:val="0"/>
        </w:rPr>
        <w:t xml:space="preserve"> of the total executions respectively. For drug offences, there were </w:t>
      </w:r>
      <w:r w:rsidDel="00000000" w:rsidR="00000000" w:rsidRPr="00000000">
        <w:rPr>
          <w:b w:val="1"/>
          <w:rtl w:val="0"/>
        </w:rPr>
        <w:t xml:space="preserve">8 </w:t>
      </w:r>
      <w:r w:rsidDel="00000000" w:rsidR="00000000" w:rsidRPr="00000000">
        <w:rPr>
          <w:rtl w:val="0"/>
        </w:rPr>
        <w:t xml:space="preserve">executions in 2017, </w:t>
      </w:r>
      <w:r w:rsidDel="00000000" w:rsidR="00000000" w:rsidRPr="00000000">
        <w:rPr>
          <w:b w:val="1"/>
          <w:rtl w:val="0"/>
        </w:rPr>
        <w:t xml:space="preserve">11 </w:t>
      </w:r>
      <w:r w:rsidDel="00000000" w:rsidR="00000000" w:rsidRPr="00000000">
        <w:rPr>
          <w:rtl w:val="0"/>
        </w:rPr>
        <w:t xml:space="preserve">in 2018, and </w:t>
      </w:r>
      <w:r w:rsidDel="00000000" w:rsidR="00000000" w:rsidRPr="00000000">
        <w:rPr>
          <w:b w:val="1"/>
          <w:rtl w:val="0"/>
        </w:rPr>
        <w:t xml:space="preserve">2 </w:t>
      </w:r>
      <w:r w:rsidDel="00000000" w:rsidR="00000000" w:rsidRPr="00000000">
        <w:rPr>
          <w:rtl w:val="0"/>
        </w:rPr>
        <w:t xml:space="preserve">in 2019. There have been no executions since the end of 2019.</w:t>
        <w:br w:type="textWrapping"/>
      </w:r>
    </w:p>
    <w:p w:rsidR="00000000" w:rsidDel="00000000" w:rsidP="00000000" w:rsidRDefault="00000000" w:rsidRPr="00000000" w14:paraId="0000017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While we have a decline in the rate of executions over the last decade (with the exception of 2017 and 2018), the Death Penalty Worldwide database estimates that there are still over 50 individuals on death row in 2020.</w:t>
      </w:r>
      <w:r w:rsidDel="00000000" w:rsidR="00000000" w:rsidRPr="00000000">
        <w:rPr>
          <w:vertAlign w:val="superscript"/>
        </w:rPr>
        <w:footnoteReference w:customMarkFollows="0" w:id="41"/>
      </w:r>
      <w:r w:rsidDel="00000000" w:rsidR="00000000" w:rsidRPr="00000000">
        <w:rPr>
          <w:rtl w:val="0"/>
        </w:rPr>
        <w:t xml:space="preserve"> The Singapore Government does not publish official statistics of the number of individuals on death row. </w:t>
        <w:br w:type="textWrapping"/>
      </w:r>
    </w:p>
    <w:p w:rsidR="00000000" w:rsidDel="00000000" w:rsidP="00000000" w:rsidRDefault="00000000" w:rsidRPr="00000000" w14:paraId="0000017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In its 2020 report, Harm Reduction International (HRI) also lists Singapore as a country of ‘high application’ with regards to the Death Penalty for Drug Offenses.</w:t>
      </w:r>
      <w:r w:rsidDel="00000000" w:rsidR="00000000" w:rsidRPr="00000000">
        <w:rPr>
          <w:vertAlign w:val="superscript"/>
        </w:rPr>
        <w:footnoteReference w:customMarkFollows="0" w:id="42"/>
      </w:r>
      <w:r w:rsidDel="00000000" w:rsidR="00000000" w:rsidRPr="00000000">
        <w:rPr>
          <w:rtl w:val="0"/>
        </w:rPr>
        <w:t xml:space="preserve"> </w:t>
      </w:r>
    </w:p>
    <w:p w:rsidR="00000000" w:rsidDel="00000000" w:rsidP="00000000" w:rsidRDefault="00000000" w:rsidRPr="00000000" w14:paraId="0000017A">
      <w:pPr>
        <w:spacing w:after="0" w:before="0" w:line="276" w:lineRule="auto"/>
        <w:ind w:left="1440" w:firstLine="0"/>
        <w:jc w:val="both"/>
        <w:rPr/>
      </w:pPr>
      <w:r w:rsidDel="00000000" w:rsidR="00000000" w:rsidRPr="00000000">
        <w:rPr>
          <w:rtl w:val="0"/>
        </w:rPr>
      </w:r>
    </w:p>
    <w:p w:rsidR="00000000" w:rsidDel="00000000" w:rsidP="00000000" w:rsidRDefault="00000000" w:rsidRPr="00000000" w14:paraId="0000017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Based on TJC’s own research, between 2015 and 2020 there were 44 individuals sentenced to the death penalty for drug offences by the High Court. Of these individuals, 4 were Chinese, 3 were Indian, and 37 were Malay. Racial minorities are disproportionately represented in the use of the death sentence in Singapore.</w:t>
        <w:br w:type="textWrapping"/>
      </w:r>
    </w:p>
    <w:p w:rsidR="00000000" w:rsidDel="00000000" w:rsidP="00000000" w:rsidRDefault="00000000" w:rsidRPr="00000000" w14:paraId="0000017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An Amnesty report in 2017 analysed information and judgments of drug trafficking cases, highlighting that not only were a number foreign nationals (23% up to 2017), many were from economically marginalised groups. Most were unemployed, followed by unskilled workers. Some men appeared to have part-time, irregular employment. A handful worked in café or shops, and only one person appeared to have a regular and relatively high income, as a Senior Sales Consultant. Several cited financial troubles and said they had agreed to carry drugs as a way to overcome these struggles. Most resorted to state-appointed counsel for all or parts of the proceedings in their cases.”</w:t>
      </w:r>
      <w:r w:rsidDel="00000000" w:rsidR="00000000" w:rsidRPr="00000000">
        <w:rPr>
          <w:vertAlign w:val="superscript"/>
        </w:rPr>
        <w:footnoteReference w:customMarkFollows="0" w:id="43"/>
      </w:r>
      <w:r w:rsidDel="00000000" w:rsidR="00000000" w:rsidRPr="00000000">
        <w:rPr>
          <w:rtl w:val="0"/>
        </w:rPr>
        <w:br w:type="textWrapping"/>
      </w:r>
    </w:p>
    <w:p w:rsidR="00000000" w:rsidDel="00000000" w:rsidP="00000000" w:rsidRDefault="00000000" w:rsidRPr="00000000" w14:paraId="0000017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Recently, judicial review of the constitutionality of death penalty on the basis of ethnic discrimination has been brought forward in Singapore. The criminal motion is pending trial dates. In parliament, however, the Minister of Law and Home Affairs K. Shanmugan has repeated the Attorney General Chambers’ view attacking this action as “completely scurrilous and without basis, being made to simply throw mud and stir.” </w:t>
      </w:r>
      <w:r w:rsidDel="00000000" w:rsidR="00000000" w:rsidRPr="00000000">
        <w:rPr>
          <w:vertAlign w:val="superscript"/>
        </w:rPr>
        <w:footnoteReference w:customMarkFollows="0" w:id="44"/>
      </w:r>
      <w:r w:rsidDel="00000000" w:rsidR="00000000" w:rsidRPr="00000000">
        <w:rPr>
          <w:rtl w:val="0"/>
        </w:rPr>
      </w:r>
    </w:p>
    <w:p w:rsidR="00000000" w:rsidDel="00000000" w:rsidP="00000000" w:rsidRDefault="00000000" w:rsidRPr="00000000" w14:paraId="0000017E">
      <w:pPr>
        <w:spacing w:after="0" w:before="0" w:line="276" w:lineRule="auto"/>
        <w:ind w:left="0" w:firstLine="0"/>
        <w:jc w:val="both"/>
        <w:rPr/>
      </w:pPr>
      <w:r w:rsidDel="00000000" w:rsidR="00000000" w:rsidRPr="00000000">
        <w:rPr>
          <w:rtl w:val="0"/>
        </w:rPr>
      </w:r>
    </w:p>
    <w:p w:rsidR="00000000" w:rsidDel="00000000" w:rsidP="00000000" w:rsidRDefault="00000000" w:rsidRPr="00000000" w14:paraId="0000017F">
      <w:pPr>
        <w:spacing w:after="0" w:before="0" w:line="276" w:lineRule="auto"/>
        <w:ind w:left="0" w:firstLine="0"/>
        <w:jc w:val="both"/>
        <w:rPr/>
      </w:pPr>
      <w:r w:rsidDel="00000000" w:rsidR="00000000" w:rsidRPr="00000000">
        <w:rPr>
          <w:u w:val="single"/>
          <w:rtl w:val="0"/>
        </w:rPr>
        <w:t xml:space="preserve">The Mandatory Nature of the Death Penalty</w:t>
      </w:r>
      <w:r w:rsidDel="00000000" w:rsidR="00000000" w:rsidRPr="00000000">
        <w:rPr>
          <w:rtl w:val="0"/>
        </w:rPr>
      </w:r>
    </w:p>
    <w:p w:rsidR="00000000" w:rsidDel="00000000" w:rsidP="00000000" w:rsidRDefault="00000000" w:rsidRPr="00000000" w14:paraId="00000180">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8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Under the Misuse of Drugs Act, trafficking or the import or export of drugs above the amount set out in the Act carries the mandatory death penalty.</w:t>
      </w:r>
      <w:r w:rsidDel="00000000" w:rsidR="00000000" w:rsidRPr="00000000">
        <w:rPr>
          <w:vertAlign w:val="superscript"/>
        </w:rPr>
        <w:footnoteReference w:customMarkFollows="0" w:id="45"/>
      </w:r>
      <w:r w:rsidDel="00000000" w:rsidR="00000000" w:rsidRPr="00000000">
        <w:rPr>
          <w:rtl w:val="0"/>
        </w:rPr>
        <w:t xml:space="preserve"> In other words, as long as these charges are made out against the accused, the judge has no discretion with regards to sentencing. </w:t>
        <w:br w:type="textWrapping"/>
      </w:r>
    </w:p>
    <w:p w:rsidR="00000000" w:rsidDel="00000000" w:rsidP="00000000" w:rsidRDefault="00000000" w:rsidRPr="00000000" w14:paraId="0000018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rPr>
          <w:color w:val="262626"/>
        </w:rPr>
      </w:pPr>
      <w:r w:rsidDel="00000000" w:rsidR="00000000" w:rsidRPr="00000000">
        <w:rPr>
          <w:color w:val="262626"/>
          <w:rtl w:val="0"/>
        </w:rPr>
        <w:t xml:space="preserve">The mandatory death penalty is not in accordance with due process rights, as it prevents the court from exercising judicial discretion in assessing the culpability of the accused. As highlighted earlier, individuals caught trafficking drugs often come from marginalised socio-economic circumstances that lead them into trafficking, and ordinarily a court would consider such factors in mitigation.</w:t>
      </w:r>
      <w:r w:rsidDel="00000000" w:rsidR="00000000" w:rsidRPr="00000000">
        <w:rPr>
          <w:rtl w:val="0"/>
        </w:rPr>
      </w:r>
    </w:p>
    <w:p w:rsidR="00000000" w:rsidDel="00000000" w:rsidP="00000000" w:rsidRDefault="00000000" w:rsidRPr="00000000" w14:paraId="00000183">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single"/>
        </w:rPr>
      </w:pP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u w:val="single"/>
        </w:rPr>
      </w:pPr>
      <w:r w:rsidDel="00000000" w:rsidR="00000000" w:rsidRPr="00000000">
        <w:rPr>
          <w:u w:val="single"/>
          <w:rtl w:val="0"/>
        </w:rPr>
        <w:t xml:space="preserve">Certificate of Substantive Assistance</w:t>
      </w:r>
    </w:p>
    <w:p w:rsidR="00000000" w:rsidDel="00000000" w:rsidP="00000000" w:rsidRDefault="00000000" w:rsidRPr="00000000" w14:paraId="00000186">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8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In 2012, the Singapore government introduced the Certificate of Substantive Assistance system. This certificate issued by the Public Prosecutor certifies that the accused has substantively assisted the Central Narcotics Bureau in disrupting drug trafficking activities within and/or outside Singapore. </w:t>
        <w:br w:type="textWrapping"/>
      </w:r>
    </w:p>
    <w:p w:rsidR="00000000" w:rsidDel="00000000" w:rsidP="00000000" w:rsidRDefault="00000000" w:rsidRPr="00000000" w14:paraId="0000018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If such a Certificate is granted to an accused person, and the accused is also found by the court to have merely been a courier, the court can then exercise its discretion to impose life imprisonment and caning,  instead of the mandatory death penalty. </w:t>
        <w:br w:type="textWrapping"/>
      </w:r>
    </w:p>
    <w:p w:rsidR="00000000" w:rsidDel="00000000" w:rsidP="00000000" w:rsidRDefault="00000000" w:rsidRPr="00000000" w14:paraId="0000018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The certificate system does not change the fundamentally mandatory nature of the death penalty. As the Singapore government maintained that the death penalty remains an “effective deterrent and an appropriate punishment for very serious offences”, then Deputy Prime Minister Teo Chee Hean, cited changes in the operations of drug trafficking syndicates as a reason to bring about the reforms - to ensure greater efficiency in the crime control operations, and not reduce the severity of punishment for drug crimes.</w:t>
        <w:br w:type="textWrapping"/>
      </w:r>
    </w:p>
    <w:p w:rsidR="00000000" w:rsidDel="00000000" w:rsidP="00000000" w:rsidRDefault="00000000" w:rsidRPr="00000000" w14:paraId="0000018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The Certificate system, however, introduces a range of new issues. The MDA itself is deliberately unclear on what counts as ‘substantive assistance’, only defining it as the provision of information leading to the arrest or detention or prosecution of any person involved in any drug activity. In the parliamentary discussion leading up to enactment of the Certificate system, the Minister of Law argued that a clear definition would weaken the deterrent effect of the death penalty. The argument was also put forth by the Minister of Law given that the goal of the system was to incentivise drug couriers to provide information, rather than as a means for couriers to avoid the death penalty.</w:t>
        <w:br w:type="textWrapping"/>
      </w:r>
    </w:p>
    <w:p w:rsidR="00000000" w:rsidDel="00000000" w:rsidP="00000000" w:rsidRDefault="00000000" w:rsidRPr="00000000" w14:paraId="0000018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As the court in </w:t>
      </w:r>
      <w:r w:rsidDel="00000000" w:rsidR="00000000" w:rsidRPr="00000000">
        <w:rPr>
          <w:i w:val="1"/>
          <w:rtl w:val="0"/>
        </w:rPr>
        <w:t xml:space="preserve">Prabagaran a/l Srivijayan v PP</w:t>
      </w:r>
      <w:r w:rsidDel="00000000" w:rsidR="00000000" w:rsidRPr="00000000">
        <w:rPr>
          <w:rtl w:val="0"/>
        </w:rPr>
        <w:t xml:space="preserve"> points out, the matter of substantive assistance is a ‘multi-faceted inquiry’: “taking into account a multitude of factors such as the upstream and downstream effects of any information provided, the operational value of any information provided to existing intelligence, and the veracity of any information provided when counterchecked against other intelligence sources.” </w:t>
        <w:br w:type="textWrapping"/>
      </w:r>
    </w:p>
    <w:p w:rsidR="00000000" w:rsidDel="00000000" w:rsidP="00000000" w:rsidRDefault="00000000" w:rsidRPr="00000000" w14:paraId="0000018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But precisely because of its multifaceted nature, most of these factors are not within the control of the drug courier. A fully cooperative accused may indeed provide information to the CNB, but the accused has no control over where or how CNB uses or chooses not to use the information provided. In making Certification decisions, the Public Prosecutor does not consider the truthfulness of the accused or whether the accused has provided information in good faith. From the point of view of the accused, whether or not they receive a certificate might as well be a lottery. </w:t>
      </w:r>
    </w:p>
    <w:p w:rsidR="00000000" w:rsidDel="00000000" w:rsidP="00000000" w:rsidRDefault="00000000" w:rsidRPr="00000000" w14:paraId="0000018D">
      <w:pPr>
        <w:spacing w:after="0" w:before="0" w:line="276" w:lineRule="auto"/>
        <w:ind w:left="0" w:firstLine="0"/>
        <w:jc w:val="both"/>
        <w:rPr/>
      </w:pPr>
      <w:r w:rsidDel="00000000" w:rsidR="00000000" w:rsidRPr="00000000">
        <w:rPr>
          <w:rtl w:val="0"/>
        </w:rPr>
      </w:r>
    </w:p>
    <w:p w:rsidR="00000000" w:rsidDel="00000000" w:rsidP="00000000" w:rsidRDefault="00000000" w:rsidRPr="00000000" w14:paraId="0000018E">
      <w:pPr>
        <w:spacing w:after="0" w:before="0" w:line="276" w:lineRule="auto"/>
        <w:ind w:left="0" w:firstLine="0"/>
        <w:jc w:val="both"/>
        <w:rPr>
          <w:u w:val="single"/>
        </w:rPr>
      </w:pPr>
      <w:r w:rsidDel="00000000" w:rsidR="00000000" w:rsidRPr="00000000">
        <w:rPr>
          <w:rtl w:val="0"/>
        </w:rPr>
      </w:r>
    </w:p>
    <w:p w:rsidR="00000000" w:rsidDel="00000000" w:rsidP="00000000" w:rsidRDefault="00000000" w:rsidRPr="00000000" w14:paraId="0000018F">
      <w:pPr>
        <w:spacing w:after="0" w:before="0" w:line="276" w:lineRule="auto"/>
        <w:ind w:left="0" w:firstLine="0"/>
        <w:jc w:val="both"/>
        <w:rPr>
          <w:u w:val="single"/>
        </w:rPr>
      </w:pPr>
      <w:r w:rsidDel="00000000" w:rsidR="00000000" w:rsidRPr="00000000">
        <w:rPr>
          <w:rtl w:val="0"/>
        </w:rPr>
      </w:r>
    </w:p>
    <w:p w:rsidR="00000000" w:rsidDel="00000000" w:rsidP="00000000" w:rsidRDefault="00000000" w:rsidRPr="00000000" w14:paraId="00000190">
      <w:pPr>
        <w:spacing w:after="0" w:before="0" w:line="276" w:lineRule="auto"/>
        <w:ind w:left="0" w:firstLine="0"/>
        <w:jc w:val="both"/>
        <w:rPr>
          <w:u w:val="single"/>
        </w:rPr>
      </w:pPr>
      <w:r w:rsidDel="00000000" w:rsidR="00000000" w:rsidRPr="00000000">
        <w:rPr>
          <w:rtl w:val="0"/>
        </w:rPr>
      </w:r>
    </w:p>
    <w:p w:rsidR="00000000" w:rsidDel="00000000" w:rsidP="00000000" w:rsidRDefault="00000000" w:rsidRPr="00000000" w14:paraId="00000191">
      <w:pPr>
        <w:spacing w:after="0" w:before="0" w:line="276" w:lineRule="auto"/>
        <w:ind w:left="0" w:firstLine="0"/>
        <w:jc w:val="both"/>
        <w:rPr>
          <w:u w:val="single"/>
        </w:rPr>
      </w:pPr>
      <w:r w:rsidDel="00000000" w:rsidR="00000000" w:rsidRPr="00000000">
        <w:rPr>
          <w:u w:val="single"/>
          <w:rtl w:val="0"/>
        </w:rPr>
        <w:t xml:space="preserve">Extensive Prosecutorial Powers with limited judicial recourse</w:t>
      </w:r>
    </w:p>
    <w:p w:rsidR="00000000" w:rsidDel="00000000" w:rsidP="00000000" w:rsidRDefault="00000000" w:rsidRPr="00000000" w14:paraId="00000192">
      <w:pPr>
        <w:spacing w:after="0" w:before="0" w:line="276" w:lineRule="auto"/>
        <w:ind w:left="1440" w:firstLine="0"/>
        <w:jc w:val="both"/>
        <w:rPr/>
      </w:pPr>
      <w:r w:rsidDel="00000000" w:rsidR="00000000" w:rsidRPr="00000000">
        <w:rPr>
          <w:rtl w:val="0"/>
        </w:rPr>
      </w:r>
    </w:p>
    <w:p w:rsidR="00000000" w:rsidDel="00000000" w:rsidP="00000000" w:rsidRDefault="00000000" w:rsidRPr="00000000" w14:paraId="0000019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The public prosecutor has </w:t>
      </w:r>
      <w:r w:rsidDel="00000000" w:rsidR="00000000" w:rsidRPr="00000000">
        <w:rPr>
          <w:i w:val="1"/>
          <w:rtl w:val="0"/>
        </w:rPr>
        <w:t xml:space="preserve">de facto </w:t>
      </w:r>
      <w:r w:rsidDel="00000000" w:rsidR="00000000" w:rsidRPr="00000000">
        <w:rPr>
          <w:rtl w:val="0"/>
        </w:rPr>
        <w:t xml:space="preserve">control over the sentencing of the accused in drug trials, via two mechanisms. First, the public prosecutor determines the amount of drugs that an accused is charged for. It is common practice to the public prosecutor to charge accused with just under the required amount for death penalty, even if they were in possession of more drugs. In the cases of joint trials of two or more co-accused, the public prosecutor has on occasion charged them differently such that one individual faces the MDP whilst the other doesn’t.  </w:t>
      </w:r>
    </w:p>
    <w:p w:rsidR="00000000" w:rsidDel="00000000" w:rsidP="00000000" w:rsidRDefault="00000000" w:rsidRPr="00000000" w14:paraId="00000194">
      <w:pPr>
        <w:spacing w:after="0" w:before="0" w:line="276" w:lineRule="auto"/>
        <w:ind w:left="1440" w:firstLine="0"/>
        <w:jc w:val="both"/>
        <w:rPr/>
      </w:pPr>
      <w:r w:rsidDel="00000000" w:rsidR="00000000" w:rsidRPr="00000000">
        <w:rPr>
          <w:rtl w:val="0"/>
        </w:rPr>
      </w:r>
    </w:p>
    <w:p w:rsidR="00000000" w:rsidDel="00000000" w:rsidP="00000000" w:rsidRDefault="00000000" w:rsidRPr="00000000" w14:paraId="0000019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However, guidelines as to how these decisions are made remain undisclosed, and there is no obligation on the Public Prosecutor to disclose the reasons behind such decisions. As the court highlighted in </w:t>
      </w:r>
      <w:r w:rsidDel="00000000" w:rsidR="00000000" w:rsidRPr="00000000">
        <w:rPr>
          <w:i w:val="1"/>
          <w:rtl w:val="0"/>
        </w:rPr>
        <w:t xml:space="preserve">Ramalingam</w:t>
      </w:r>
      <w:r w:rsidDel="00000000" w:rsidR="00000000" w:rsidRPr="00000000">
        <w:rPr>
          <w:rtl w:val="0"/>
        </w:rPr>
        <w:t xml:space="preserve">, a review of prosecutorial discretion is limited to abuse of power or unconstitutionality, however the burden of proof rests on the accused to show that there was bad faith or unconstitutionality.</w:t>
      </w:r>
      <w:r w:rsidDel="00000000" w:rsidR="00000000" w:rsidRPr="00000000">
        <w:rPr>
          <w:vertAlign w:val="superscript"/>
        </w:rPr>
        <w:footnoteReference w:customMarkFollows="0" w:id="46"/>
      </w:r>
      <w:r w:rsidDel="00000000" w:rsidR="00000000" w:rsidRPr="00000000">
        <w:rPr>
          <w:rtl w:val="0"/>
        </w:rPr>
        <w:br w:type="textWrapping"/>
      </w:r>
    </w:p>
    <w:p w:rsidR="00000000" w:rsidDel="00000000" w:rsidP="00000000" w:rsidRDefault="00000000" w:rsidRPr="00000000" w14:paraId="0000019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Under s. 33B(4) of the Act, the issuance of the certificate is by the “sole discretion” of the Public Prosecutor, and the law immunises the Public Prosecutor from any action or proceeding “unless it is proved to the court that the determination was done in bad faith or with malice.”</w:t>
      </w:r>
      <w:r w:rsidDel="00000000" w:rsidR="00000000" w:rsidRPr="00000000">
        <w:rPr>
          <w:vertAlign w:val="superscript"/>
        </w:rPr>
        <w:footnoteReference w:customMarkFollows="0" w:id="47"/>
      </w:r>
      <w:r w:rsidDel="00000000" w:rsidR="00000000" w:rsidRPr="00000000">
        <w:rPr>
          <w:rtl w:val="0"/>
        </w:rPr>
      </w:r>
    </w:p>
    <w:p w:rsidR="00000000" w:rsidDel="00000000" w:rsidP="00000000" w:rsidRDefault="00000000" w:rsidRPr="00000000" w14:paraId="00000197">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9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Similar to the issue of discretion over charging, the Public Prosecutor has no legal obligation to disclose the reasons for not issuing a Certificate (and no legal obligation to disclose reasons for determining or discontinuing a charge), and has indeed chosen not to do so in many cases. This means that in practice, an accused has limited information with which to raise their challenge over the appropriateness of the exercise of prosecutorial powers. A common theme in cases where such applications are filed is that the reasons provided by the applicant are dismissed as “speculative”, or lacking in </w:t>
      </w:r>
      <w:r w:rsidDel="00000000" w:rsidR="00000000" w:rsidRPr="00000000">
        <w:rPr>
          <w:rtl w:val="0"/>
        </w:rPr>
        <w:t xml:space="preserve">evidence.</w:t>
      </w:r>
      <w:r w:rsidDel="00000000" w:rsidR="00000000" w:rsidRPr="00000000">
        <w:rPr>
          <w:vertAlign w:val="superscript"/>
        </w:rPr>
        <w:footnoteReference w:customMarkFollows="0" w:id="48"/>
      </w:r>
      <w:r w:rsidDel="00000000" w:rsidR="00000000" w:rsidRPr="00000000">
        <w:rPr>
          <w:rtl w:val="0"/>
        </w:rPr>
      </w:r>
    </w:p>
    <w:p w:rsidR="00000000" w:rsidDel="00000000" w:rsidP="00000000" w:rsidRDefault="00000000" w:rsidRPr="00000000" w14:paraId="00000199">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9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One consequence of the </w:t>
      </w:r>
      <w:r w:rsidDel="00000000" w:rsidR="00000000" w:rsidRPr="00000000">
        <w:rPr>
          <w:i w:val="1"/>
          <w:rtl w:val="0"/>
        </w:rPr>
        <w:t xml:space="preserve">de facto </w:t>
      </w:r>
      <w:r w:rsidDel="00000000" w:rsidR="00000000" w:rsidRPr="00000000">
        <w:rPr>
          <w:rtl w:val="0"/>
        </w:rPr>
        <w:t xml:space="preserve">control that the public prosecutor has over sentencing is in the implications for guilty pleas. While Singapore lacks a formal plea bargaining system, the public prosecutor often engages in charge bargaining in drug trials - where an accused will have their charges reduced to a non mandatory death penalty charge in exchange for pleading guilty.</w:t>
      </w:r>
      <w:r w:rsidDel="00000000" w:rsidR="00000000" w:rsidRPr="00000000">
        <w:rPr>
          <w:vertAlign w:val="superscript"/>
        </w:rPr>
        <w:footnoteReference w:customMarkFollows="0" w:id="49"/>
      </w:r>
      <w:r w:rsidDel="00000000" w:rsidR="00000000" w:rsidRPr="00000000">
        <w:rPr>
          <w:rtl w:val="0"/>
        </w:rPr>
        <w:t xml:space="preserve"> This raises concerns of unfairness as the prosecutors’ de facto control over the accused’s sentence means that the bargaining heavily favours the prosecutor, and ultimately undermines the right to fair trial - when faced with the possibility of death, an individual may feel compelled to accept any charge of lesser severity – even if the only recourse is pleading guilty.</w:t>
        <w:br w:type="textWrapping"/>
      </w:r>
    </w:p>
    <w:p w:rsidR="00000000" w:rsidDel="00000000" w:rsidP="00000000" w:rsidRDefault="00000000" w:rsidRPr="00000000" w14:paraId="0000019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Notably, Amnesty International tabulated the sentences of the individuals between 2013 and 2017 who did receive the Certificate of Substantive Assistance from the Public Prosecutor. Of the 32 individuals, none were sentenced to death penalty.</w:t>
      </w:r>
      <w:r w:rsidDel="00000000" w:rsidR="00000000" w:rsidRPr="00000000">
        <w:rPr>
          <w:vertAlign w:val="superscript"/>
        </w:rPr>
        <w:footnoteReference w:customMarkFollows="0" w:id="50"/>
      </w: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pPr>
      <w:r w:rsidDel="00000000" w:rsidR="00000000" w:rsidRPr="00000000">
        <w:rPr>
          <w:rtl w:val="0"/>
        </w:rPr>
      </w:r>
    </w:p>
    <w:p w:rsidR="00000000" w:rsidDel="00000000" w:rsidP="00000000" w:rsidRDefault="00000000" w:rsidRPr="00000000" w14:paraId="0000019D">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u w:val="single"/>
          <w:rtl w:val="0"/>
        </w:rPr>
        <w:t xml:space="preserve">Low Threshold for Conviction for Trafficking: Statutory Presumptions Under s17 &amp; s18 of MDA</w:t>
      </w:r>
      <w:r w:rsidDel="00000000" w:rsidR="00000000" w:rsidRPr="00000000">
        <w:rPr>
          <w:rtl w:val="0"/>
        </w:rPr>
      </w:r>
    </w:p>
    <w:p w:rsidR="00000000" w:rsidDel="00000000" w:rsidP="00000000" w:rsidRDefault="00000000" w:rsidRPr="00000000" w14:paraId="0000019F">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A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At the heart of the Misuse of Drugs Act are statutory presumptions under s17 and s18. Any individual found in possession of the controlled drugs above the stated amount in s17 is presumed to have had the drug in possession for the purpose of trafficking. </w:t>
      </w:r>
    </w:p>
    <w:p w:rsidR="00000000" w:rsidDel="00000000" w:rsidP="00000000" w:rsidRDefault="00000000" w:rsidRPr="00000000" w14:paraId="000001A1">
      <w:pPr>
        <w:ind w:left="720" w:firstLine="0"/>
        <w:jc w:val="both"/>
        <w:rPr/>
      </w:pPr>
      <w:r w:rsidDel="00000000" w:rsidR="00000000" w:rsidRPr="00000000">
        <w:rPr>
          <w:rtl w:val="0"/>
        </w:rPr>
      </w:r>
    </w:p>
    <w:p w:rsidR="00000000" w:rsidDel="00000000" w:rsidP="00000000" w:rsidRDefault="00000000" w:rsidRPr="00000000" w14:paraId="000001A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Under s18, any person proven to have had in possession of drug, whether in direct possession or indirectly (for e.g holding the keys to a premises containing controlled drugs) shall be presumed to have had that drug in possession and had knowledge for its nature.</w:t>
      </w:r>
      <w:r w:rsidDel="00000000" w:rsidR="00000000" w:rsidRPr="00000000">
        <w:rPr>
          <w:vertAlign w:val="superscript"/>
        </w:rPr>
        <w:footnoteReference w:customMarkFollows="0" w:id="51"/>
      </w:r>
      <w:r w:rsidDel="00000000" w:rsidR="00000000" w:rsidRPr="00000000">
        <w:rPr>
          <w:rtl w:val="0"/>
        </w:rPr>
      </w:r>
    </w:p>
    <w:p w:rsidR="00000000" w:rsidDel="00000000" w:rsidP="00000000" w:rsidRDefault="00000000" w:rsidRPr="00000000" w14:paraId="000001A3">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A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The introduction of these statutory presumptions in the Misuse of Drugs Act were primarily justified on policy grounds, framed as a necessary tool against a serious threat to society. They effectively reverse the burden of proof onto the accused.</w:t>
      </w:r>
    </w:p>
    <w:p w:rsidR="00000000" w:rsidDel="00000000" w:rsidP="00000000" w:rsidRDefault="00000000" w:rsidRPr="00000000" w14:paraId="000001A5">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A6">
      <w:pPr>
        <w:spacing w:after="0" w:before="0" w:line="276" w:lineRule="auto"/>
        <w:ind w:left="0" w:firstLine="0"/>
        <w:jc w:val="both"/>
        <w:rPr>
          <w:u w:val="single"/>
        </w:rPr>
      </w:pPr>
      <w:r w:rsidDel="00000000" w:rsidR="00000000" w:rsidRPr="00000000">
        <w:rPr>
          <w:u w:val="single"/>
          <w:rtl w:val="0"/>
        </w:rPr>
        <w:t xml:space="preserve">Low Threshold for Conviction: Conviction on confession alone or testimony of a co-accused</w:t>
      </w:r>
    </w:p>
    <w:p w:rsidR="00000000" w:rsidDel="00000000" w:rsidP="00000000" w:rsidRDefault="00000000" w:rsidRPr="00000000" w14:paraId="000001A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Section 258(5) of the Criminal Procedure Code provides that the court can consider the confession of an accused as evidence against themselves and against someone who is jointly tried with them.</w:t>
      </w:r>
      <w:r w:rsidDel="00000000" w:rsidR="00000000" w:rsidRPr="00000000">
        <w:rPr>
          <w:vertAlign w:val="superscript"/>
        </w:rPr>
        <w:footnoteReference w:customMarkFollows="0" w:id="52"/>
      </w:r>
      <w:r w:rsidDel="00000000" w:rsidR="00000000" w:rsidRPr="00000000">
        <w:rPr>
          <w:rtl w:val="0"/>
        </w:rPr>
        <w:t xml:space="preserve"> It was also reaffirmed in a recent case that ‘the court may convict X solely on Y’s confession’ if the confession is found to be very compelling.</w:t>
      </w:r>
      <w:r w:rsidDel="00000000" w:rsidR="00000000" w:rsidRPr="00000000">
        <w:rPr>
          <w:vertAlign w:val="superscript"/>
        </w:rPr>
        <w:footnoteReference w:customMarkFollows="0" w:id="53"/>
      </w:r>
      <w:r w:rsidDel="00000000" w:rsidR="00000000" w:rsidRPr="00000000">
        <w:rPr>
          <w:rtl w:val="0"/>
        </w:rPr>
        <w:t xml:space="preserve"> </w:t>
        <w:br w:type="textWrapping"/>
      </w:r>
    </w:p>
    <w:p w:rsidR="00000000" w:rsidDel="00000000" w:rsidP="00000000" w:rsidRDefault="00000000" w:rsidRPr="00000000" w14:paraId="000001A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It is common in drug-related trials that multiple individuals are tried jointly. The implication of the current position in law is that the court focuses its analysis on the reliability of a confession using corroborative evidence of the confession, instead of the presence or absence of independent evidence connecting the accused with the crime. </w:t>
        <w:br w:type="textWrapping"/>
      </w:r>
    </w:p>
    <w:p w:rsidR="00000000" w:rsidDel="00000000" w:rsidP="00000000" w:rsidRDefault="00000000" w:rsidRPr="00000000" w14:paraId="000001A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While the court did highlight that any evidence provided by X against Y should be seen in light of whether X has any incentive to falsely implicate Y,  the accused person alleges a motive to frame him/her, it must be proven as fact. Fundamentally, the risk of false incrimination is  amplified by the Certificate system, since a person who has provided substantive assistance to CNB would have a chance to avoid the mandatory death penalty under the Certificate system.</w:t>
      </w:r>
    </w:p>
    <w:p w:rsidR="00000000" w:rsidDel="00000000" w:rsidP="00000000" w:rsidRDefault="00000000" w:rsidRPr="00000000" w14:paraId="000001AA">
      <w:pPr>
        <w:spacing w:after="0" w:before="0" w:line="276" w:lineRule="auto"/>
        <w:ind w:left="1440" w:firstLine="0"/>
        <w:jc w:val="both"/>
        <w:rPr/>
      </w:pPr>
      <w:r w:rsidDel="00000000" w:rsidR="00000000" w:rsidRPr="00000000">
        <w:rPr>
          <w:rtl w:val="0"/>
        </w:rPr>
      </w:r>
    </w:p>
    <w:p w:rsidR="00000000" w:rsidDel="00000000" w:rsidP="00000000" w:rsidRDefault="00000000" w:rsidRPr="00000000" w14:paraId="000001A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Accused persons also routinely allege that their confessions are involuntary (which would make them inadmissible), but proof of any threat, inducement or pressure is near-impossible in the absence of any independent verification.</w:t>
      </w:r>
    </w:p>
    <w:p w:rsidR="00000000" w:rsidDel="00000000" w:rsidP="00000000" w:rsidRDefault="00000000" w:rsidRPr="00000000" w14:paraId="000001AC">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AD">
      <w:pPr>
        <w:spacing w:after="0" w:before="0" w:line="276" w:lineRule="auto"/>
        <w:ind w:left="0" w:firstLine="0"/>
        <w:jc w:val="both"/>
        <w:rPr>
          <w:u w:val="single"/>
        </w:rPr>
      </w:pPr>
      <w:r w:rsidDel="00000000" w:rsidR="00000000" w:rsidRPr="00000000">
        <w:rPr>
          <w:u w:val="single"/>
          <w:rtl w:val="0"/>
        </w:rPr>
        <w:t xml:space="preserve">Limited rights of an accused under investigation</w:t>
      </w:r>
    </w:p>
    <w:p w:rsidR="00000000" w:rsidDel="00000000" w:rsidP="00000000" w:rsidRDefault="00000000" w:rsidRPr="00000000" w14:paraId="000001AE">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A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Despite a constitutional right to counsel, accused persons can be denied access to counsel for a period of time after arrest.</w:t>
      </w:r>
      <w:r w:rsidDel="00000000" w:rsidR="00000000" w:rsidRPr="00000000">
        <w:rPr>
          <w:vertAlign w:val="superscript"/>
        </w:rPr>
        <w:footnoteReference w:customMarkFollows="0" w:id="54"/>
      </w:r>
      <w:r w:rsidDel="00000000" w:rsidR="00000000" w:rsidRPr="00000000">
        <w:rPr>
          <w:rtl w:val="0"/>
        </w:rPr>
        <w:t xml:space="preserve"> One court ruling held it would still be within a “reasonable time”, if the accused was not able to access a lawyer in the first two weeks of arrest.</w:t>
      </w:r>
      <w:r w:rsidDel="00000000" w:rsidR="00000000" w:rsidRPr="00000000">
        <w:rPr>
          <w:vertAlign w:val="superscript"/>
        </w:rPr>
        <w:footnoteReference w:customMarkFollows="0" w:id="55"/>
      </w:r>
      <w:r w:rsidDel="00000000" w:rsidR="00000000" w:rsidRPr="00000000">
        <w:rPr>
          <w:rtl w:val="0"/>
        </w:rPr>
        <w:t xml:space="preserve"> This is on the basis that the police need to be enabled to conduct investigations without undue interference. Further, it has been held that there is also no right to be informed of the right to counsel.</w:t>
      </w:r>
      <w:r w:rsidDel="00000000" w:rsidR="00000000" w:rsidRPr="00000000">
        <w:rPr>
          <w:vertAlign w:val="superscript"/>
        </w:rPr>
        <w:footnoteReference w:customMarkFollows="0" w:id="56"/>
      </w:r>
      <w:r w:rsidDel="00000000" w:rsidR="00000000" w:rsidRPr="00000000">
        <w:rPr>
          <w:rtl w:val="0"/>
        </w:rPr>
        <w:t xml:space="preserve"> This is not in line with international human rights standards on the right to custodial legal advice. </w:t>
        <w:br w:type="textWrapping"/>
      </w:r>
    </w:p>
    <w:p w:rsidR="00000000" w:rsidDel="00000000" w:rsidP="00000000" w:rsidRDefault="00000000" w:rsidRPr="00000000" w14:paraId="000001B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There is also a limited right to silence in Singapore, as set out in Article 22(2) of the Criminal Procedure Code.</w:t>
      </w:r>
      <w:r w:rsidDel="00000000" w:rsidR="00000000" w:rsidRPr="00000000">
        <w:rPr>
          <w:vertAlign w:val="superscript"/>
        </w:rPr>
        <w:footnoteReference w:customMarkFollows="0" w:id="57"/>
      </w:r>
      <w:r w:rsidDel="00000000" w:rsidR="00000000" w:rsidRPr="00000000">
        <w:rPr>
          <w:rtl w:val="0"/>
        </w:rPr>
        <w:t xml:space="preserve">  However, there is no legal requirement to inform a suspect of the privilege against self-incrimination, and not informing them on this privilege does not render the statement inadmissible in court. </w:t>
      </w:r>
      <w:r w:rsidDel="00000000" w:rsidR="00000000" w:rsidRPr="00000000">
        <w:rPr>
          <w:rtl w:val="0"/>
        </w:rPr>
      </w:r>
    </w:p>
    <w:p w:rsidR="00000000" w:rsidDel="00000000" w:rsidP="00000000" w:rsidRDefault="00000000" w:rsidRPr="00000000" w14:paraId="000001B1">
      <w:pPr>
        <w:spacing w:after="0" w:before="0" w:line="276" w:lineRule="auto"/>
        <w:ind w:left="1440" w:firstLine="0"/>
        <w:jc w:val="both"/>
        <w:rPr>
          <w:color w:val="ff0000"/>
        </w:rPr>
      </w:pPr>
      <w:r w:rsidDel="00000000" w:rsidR="00000000" w:rsidRPr="00000000">
        <w:rPr>
          <w:rtl w:val="0"/>
        </w:rPr>
      </w:r>
    </w:p>
    <w:p w:rsidR="00000000" w:rsidDel="00000000" w:rsidP="00000000" w:rsidRDefault="00000000" w:rsidRPr="00000000" w14:paraId="000001B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Further, amendments to Criminal Procedure Code in 1976, a couple of years after the introduction of the death penalty for drugs, introduced the principle that the court may draw an adverse inference from an accused exercising the right to silence, even for a statement taken before the charge is brought.</w:t>
      </w:r>
      <w:r w:rsidDel="00000000" w:rsidR="00000000" w:rsidRPr="00000000">
        <w:rPr>
          <w:vertAlign w:val="superscript"/>
        </w:rPr>
        <w:footnoteReference w:customMarkFollows="0" w:id="58"/>
      </w:r>
      <w:r w:rsidDel="00000000" w:rsidR="00000000" w:rsidRPr="00000000">
        <w:rPr>
          <w:rtl w:val="0"/>
        </w:rPr>
        <w:t xml:space="preserve"> Hence a failure to mention an exculpatory fact during police investigation could adversely affect the defense of an accused. Academics  have highlighted the propensity of the court in practice to draw such adverse inferences.</w:t>
      </w:r>
      <w:r w:rsidDel="00000000" w:rsidR="00000000" w:rsidRPr="00000000">
        <w:rPr>
          <w:vertAlign w:val="superscript"/>
        </w:rPr>
        <w:footnoteReference w:customMarkFollows="0" w:id="59"/>
      </w:r>
      <w:r w:rsidDel="00000000" w:rsidR="00000000" w:rsidRPr="00000000">
        <w:rPr>
          <w:rtl w:val="0"/>
        </w:rPr>
        <w:t xml:space="preserve"> </w:t>
        <w:br w:type="textWrapping"/>
      </w:r>
    </w:p>
    <w:p w:rsidR="00000000" w:rsidDel="00000000" w:rsidP="00000000" w:rsidRDefault="00000000" w:rsidRPr="00000000" w14:paraId="000001B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The Certificate system described earlier also poses practical problems in relation to the privilege against self-incrimination, since the precondition to receiving a certificate is to self-incriminate and provide information to the Central Narcotics Bureau.</w:t>
      </w:r>
    </w:p>
    <w:p w:rsidR="00000000" w:rsidDel="00000000" w:rsidP="00000000" w:rsidRDefault="00000000" w:rsidRPr="00000000" w14:paraId="000001B4">
      <w:pPr>
        <w:spacing w:after="0" w:before="0" w:line="276" w:lineRule="auto"/>
        <w:ind w:left="1440" w:firstLine="0"/>
        <w:jc w:val="both"/>
        <w:rPr/>
      </w:pPr>
      <w:r w:rsidDel="00000000" w:rsidR="00000000" w:rsidRPr="00000000">
        <w:rPr>
          <w:rtl w:val="0"/>
        </w:rPr>
      </w:r>
    </w:p>
    <w:p w:rsidR="00000000" w:rsidDel="00000000" w:rsidP="00000000" w:rsidRDefault="00000000" w:rsidRPr="00000000" w14:paraId="000001B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With a limited right to counsel and limited right to access to lawyers, an accused would have had to prepare their defence even before they can access a lawyer. This would be prejudicial to their defence during trial. </w:t>
      </w:r>
    </w:p>
    <w:p w:rsidR="00000000" w:rsidDel="00000000" w:rsidP="00000000" w:rsidRDefault="00000000" w:rsidRPr="00000000" w14:paraId="000001B6">
      <w:pPr>
        <w:spacing w:after="0" w:before="0" w:line="276" w:lineRule="auto"/>
        <w:ind w:left="1440" w:firstLine="0"/>
        <w:jc w:val="both"/>
        <w:rPr/>
      </w:pPr>
      <w:r w:rsidDel="00000000" w:rsidR="00000000" w:rsidRPr="00000000">
        <w:rPr>
          <w:rtl w:val="0"/>
        </w:rPr>
      </w:r>
    </w:p>
    <w:p w:rsidR="00000000" w:rsidDel="00000000" w:rsidP="00000000" w:rsidRDefault="00000000" w:rsidRPr="00000000" w14:paraId="000001B7">
      <w:pPr>
        <w:spacing w:after="0" w:before="0" w:line="276" w:lineRule="auto"/>
        <w:ind w:left="0" w:firstLine="0"/>
        <w:jc w:val="both"/>
        <w:rPr>
          <w:u w:val="single"/>
        </w:rPr>
      </w:pPr>
      <w:r w:rsidDel="00000000" w:rsidR="00000000" w:rsidRPr="00000000">
        <w:rPr>
          <w:u w:val="single"/>
          <w:rtl w:val="0"/>
        </w:rPr>
        <w:t xml:space="preserve">Treatment of individuals in Death Row</w:t>
      </w:r>
    </w:p>
    <w:p w:rsidR="00000000" w:rsidDel="00000000" w:rsidP="00000000" w:rsidRDefault="00000000" w:rsidRPr="00000000" w14:paraId="000001B8">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B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Limited public information is made available with regards to the treatment of individuals on death sentence. TJC understands from speaking to families of death row inmates that they are imprisoned in single cells, and only allowed an hour out of the cell every day. They are allowed weekly visits of about 20 minutes each time; but visits can only be made by immediate family members, or individuals screened and approved by prison authorities. </w:t>
        <w:br w:type="textWrapping"/>
      </w:r>
    </w:p>
    <w:p w:rsidR="00000000" w:rsidDel="00000000" w:rsidP="00000000" w:rsidRDefault="00000000" w:rsidRPr="00000000" w14:paraId="000001B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Allowances are made for longer daily visits in the week of execution, which usually takes place at 6am on Fridays. In this week, the inmate will be allowed to have visitors in morning and afternoon blocks everyday, from Monday to Thursday. It is our understanding that inmate’s families are only given a week’s notice of the execution, which makes visiting for families overseas difficult.</w:t>
      </w:r>
    </w:p>
    <w:p w:rsidR="00000000" w:rsidDel="00000000" w:rsidP="00000000" w:rsidRDefault="00000000" w:rsidRPr="00000000" w14:paraId="000001BB">
      <w:pPr>
        <w:spacing w:after="0" w:before="0" w:line="276" w:lineRule="auto"/>
        <w:ind w:left="1440" w:firstLine="0"/>
        <w:jc w:val="both"/>
        <w:rPr/>
      </w:pPr>
      <w:r w:rsidDel="00000000" w:rsidR="00000000" w:rsidRPr="00000000">
        <w:rPr>
          <w:rtl w:val="0"/>
        </w:rPr>
      </w:r>
    </w:p>
    <w:p w:rsidR="00000000" w:rsidDel="00000000" w:rsidP="00000000" w:rsidRDefault="00000000" w:rsidRPr="00000000" w14:paraId="000001B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It is also TJC’s understanding that rules applying to the treatment of inmates are unclear, and might be perceived as arbitrary. For example, one family shared with us that their family member on death could not write letters, whilst another did not face the same issue. When TJC conducted a letter-writing campaign to one individual on death row, a number of letters were returned without reaching the person - there was no official explanation as to the reason. </w:t>
      </w:r>
      <w:r w:rsidDel="00000000" w:rsidR="00000000" w:rsidRPr="00000000">
        <w:rPr>
          <w:rtl w:val="0"/>
        </w:rPr>
      </w:r>
    </w:p>
    <w:p w:rsidR="00000000" w:rsidDel="00000000" w:rsidP="00000000" w:rsidRDefault="00000000" w:rsidRPr="00000000" w14:paraId="000001BD">
      <w:pPr>
        <w:spacing w:after="0" w:before="0" w:line="276" w:lineRule="auto"/>
        <w:ind w:left="1440" w:firstLine="0"/>
        <w:jc w:val="both"/>
        <w:rPr>
          <w:color w:val="ff0000"/>
        </w:rPr>
      </w:pPr>
      <w:r w:rsidDel="00000000" w:rsidR="00000000" w:rsidRPr="00000000">
        <w:rPr>
          <w:rtl w:val="0"/>
        </w:rPr>
      </w:r>
    </w:p>
    <w:p w:rsidR="00000000" w:rsidDel="00000000" w:rsidP="00000000" w:rsidRDefault="00000000" w:rsidRPr="00000000" w14:paraId="000001B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The lack of transparency and independent verification around the treatment of death row inmates and the procedures for death penalty should be of grave concern. Some prisoners on death row have spent long periods under incarceration pending execution, or further appeals. It is unclear to us how their basic rights, including their physical and mental health, are protected. Death row inmates are vulnerable prisoners, and transparency on their treatment along with adequate respects for their rights is a priority</w:t>
        <w:br w:type="textWrapping"/>
        <w:t xml:space="preserve"> </w:t>
      </w:r>
    </w:p>
    <w:p w:rsidR="00000000" w:rsidDel="00000000" w:rsidP="00000000" w:rsidRDefault="00000000" w:rsidRPr="00000000" w14:paraId="000001B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The few areas highlighted above are a non-comprehensive overview of practices in the implementation of death penalty which in combination can creates the potential unfairness within the legal process, and heightens the risk of a miscarriage in justice. Overly broad prosecutorial discretion with a lack of transparency and accountability, furthered with a degree of immunity against lawsuits can result in the potentially arbitrary use of the death penalty.</w:t>
        <w:br w:type="textWrapping"/>
      </w:r>
    </w:p>
    <w:p w:rsidR="00000000" w:rsidDel="00000000" w:rsidP="00000000" w:rsidRDefault="00000000" w:rsidRPr="00000000" w14:paraId="000001C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As we have also sought to highlight in this section following the figures, the death penalty for drug offenses has a disproportionate impact on racial minorities, since it is usually minorities that are policed for drugs use, and minorities that are subject to the death penalty for drugs in recent years. </w:t>
      </w:r>
    </w:p>
    <w:p w:rsidR="00000000" w:rsidDel="00000000" w:rsidP="00000000" w:rsidRDefault="00000000" w:rsidRPr="00000000" w14:paraId="000001C1">
      <w:pPr>
        <w:spacing w:after="0" w:before="0" w:line="276" w:lineRule="auto"/>
        <w:ind w:left="1440" w:firstLine="0"/>
        <w:jc w:val="both"/>
        <w:rPr/>
      </w:pPr>
      <w:r w:rsidDel="00000000" w:rsidR="00000000" w:rsidRPr="00000000">
        <w:rPr>
          <w:rtl w:val="0"/>
        </w:rPr>
      </w:r>
    </w:p>
    <w:p w:rsidR="00000000" w:rsidDel="00000000" w:rsidP="00000000" w:rsidRDefault="00000000" w:rsidRPr="00000000" w14:paraId="000001C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Racial minorities are overrepresented in a deeply problematic death penalty system. This   affects their right to equal treatment before the tribunals and all other organs administering justice, as found in Art 5(a) of CERD.</w:t>
      </w:r>
    </w:p>
    <w:p w:rsidR="00000000" w:rsidDel="00000000" w:rsidP="00000000" w:rsidRDefault="00000000" w:rsidRPr="00000000" w14:paraId="000001C3">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C4">
      <w:pPr>
        <w:spacing w:after="0" w:before="0" w:line="276" w:lineRule="auto"/>
        <w:ind w:left="0" w:firstLine="0"/>
        <w:jc w:val="both"/>
        <w:rPr/>
      </w:pPr>
      <w:r w:rsidDel="00000000" w:rsidR="00000000" w:rsidRPr="00000000">
        <w:rPr>
          <w:u w:val="single"/>
          <w:rtl w:val="0"/>
        </w:rPr>
        <w:t xml:space="preserve">Recommendations</w:t>
      </w:r>
      <w:r w:rsidDel="00000000" w:rsidR="00000000" w:rsidRPr="00000000">
        <w:rPr>
          <w:rtl w:val="0"/>
        </w:rPr>
        <w:br w:type="textWrapping"/>
      </w:r>
    </w:p>
    <w:p w:rsidR="00000000" w:rsidDel="00000000" w:rsidP="00000000" w:rsidRDefault="00000000" w:rsidRPr="00000000" w14:paraId="000001C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An immediate moratorium on the use of the Death Penalty in Singapore.</w:t>
      </w:r>
    </w:p>
    <w:p w:rsidR="00000000" w:rsidDel="00000000" w:rsidP="00000000" w:rsidRDefault="00000000" w:rsidRPr="00000000" w14:paraId="000001C6">
      <w:pPr>
        <w:spacing w:after="0" w:before="0" w:line="276" w:lineRule="auto"/>
        <w:ind w:left="2160" w:firstLine="0"/>
        <w:jc w:val="both"/>
        <w:rPr/>
      </w:pPr>
      <w:r w:rsidDel="00000000" w:rsidR="00000000" w:rsidRPr="00000000">
        <w:rPr>
          <w:rtl w:val="0"/>
        </w:rPr>
      </w:r>
    </w:p>
    <w:p w:rsidR="00000000" w:rsidDel="00000000" w:rsidP="00000000" w:rsidRDefault="00000000" w:rsidRPr="00000000" w14:paraId="000001C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The repeal of the mandatory death penalty for full judicial discretion over sentencing.</w:t>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jc w:val="both"/>
        <w:rPr/>
      </w:pPr>
      <w:r w:rsidDel="00000000" w:rsidR="00000000" w:rsidRPr="00000000">
        <w:rPr>
          <w:rtl w:val="0"/>
        </w:rPr>
      </w:r>
    </w:p>
    <w:p w:rsidR="00000000" w:rsidDel="00000000" w:rsidP="00000000" w:rsidRDefault="00000000" w:rsidRPr="00000000" w14:paraId="000001C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Full disclosure of prosecutorial guidelines with regard to the exercise of the Certificate system and the charges. </w:t>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jc w:val="both"/>
        <w:rPr/>
      </w:pPr>
      <w:r w:rsidDel="00000000" w:rsidR="00000000" w:rsidRPr="00000000">
        <w:rPr>
          <w:rtl w:val="0"/>
        </w:rPr>
      </w:r>
    </w:p>
    <w:p w:rsidR="00000000" w:rsidDel="00000000" w:rsidP="00000000" w:rsidRDefault="00000000" w:rsidRPr="00000000" w14:paraId="000001C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Review of the rights of the accused under criminal investigation </w:t>
        <w:br w:type="textWrapping"/>
      </w:r>
    </w:p>
    <w:p w:rsidR="00000000" w:rsidDel="00000000" w:rsidP="00000000" w:rsidRDefault="00000000" w:rsidRPr="00000000" w14:paraId="000001C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To take steps to work towards the abolition of the Death Penalty.</w:t>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jc w:val="both"/>
        <w:rPr/>
      </w:pPr>
      <w:r w:rsidDel="00000000" w:rsidR="00000000" w:rsidRPr="00000000">
        <w:br w:type="page"/>
      </w:r>
      <w:r w:rsidDel="00000000" w:rsidR="00000000" w:rsidRPr="00000000">
        <w:rPr>
          <w:rtl w:val="0"/>
        </w:rPr>
      </w:r>
    </w:p>
    <w:p w:rsidR="00000000" w:rsidDel="00000000" w:rsidP="00000000" w:rsidRDefault="00000000" w:rsidRPr="00000000" w14:paraId="000001C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1"/>
        </w:rPr>
      </w:pPr>
      <w:r w:rsidDel="00000000" w:rsidR="00000000" w:rsidRPr="00000000">
        <w:rPr>
          <w:b w:val="1"/>
          <w:rtl w:val="0"/>
        </w:rPr>
        <w:t xml:space="preserve">Indefinite Detention (Internal Security Act)</w:t>
      </w:r>
    </w:p>
    <w:p w:rsidR="00000000" w:rsidDel="00000000" w:rsidP="00000000" w:rsidRDefault="00000000" w:rsidRPr="00000000" w14:paraId="000001CF">
      <w:pPr>
        <w:spacing w:after="0" w:before="0" w:line="276" w:lineRule="auto"/>
        <w:ind w:left="0" w:firstLine="0"/>
        <w:jc w:val="both"/>
        <w:rPr>
          <w:u w:val="single"/>
        </w:rPr>
      </w:pPr>
      <w:r w:rsidDel="00000000" w:rsidR="00000000" w:rsidRPr="00000000">
        <w:rPr>
          <w:rtl w:val="0"/>
        </w:rPr>
      </w:r>
    </w:p>
    <w:p w:rsidR="00000000" w:rsidDel="00000000" w:rsidP="00000000" w:rsidRDefault="00000000" w:rsidRPr="00000000" w14:paraId="000001D0">
      <w:pPr>
        <w:spacing w:after="0" w:before="0" w:line="276" w:lineRule="auto"/>
        <w:ind w:left="0" w:firstLine="0"/>
        <w:jc w:val="both"/>
        <w:rPr>
          <w:u w:val="single"/>
        </w:rPr>
      </w:pPr>
      <w:r w:rsidDel="00000000" w:rsidR="00000000" w:rsidRPr="00000000">
        <w:rPr>
          <w:u w:val="single"/>
          <w:rtl w:val="0"/>
        </w:rPr>
        <w:t xml:space="preserve">Introduction</w:t>
      </w:r>
    </w:p>
    <w:p w:rsidR="00000000" w:rsidDel="00000000" w:rsidP="00000000" w:rsidRDefault="00000000" w:rsidRPr="00000000" w14:paraId="000001D1">
      <w:pPr>
        <w:spacing w:after="0" w:before="0" w:line="276" w:lineRule="auto"/>
        <w:ind w:left="720" w:firstLine="0"/>
        <w:jc w:val="both"/>
        <w:rPr>
          <w:u w:val="single"/>
        </w:rPr>
      </w:pPr>
      <w:r w:rsidDel="00000000" w:rsidR="00000000" w:rsidRPr="00000000">
        <w:rPr>
          <w:rtl w:val="0"/>
        </w:rPr>
      </w:r>
    </w:p>
    <w:p w:rsidR="00000000" w:rsidDel="00000000" w:rsidP="00000000" w:rsidRDefault="00000000" w:rsidRPr="00000000" w14:paraId="000001D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Indefinite detention without trial is a key feature in several of Singapore’s laws, such as the Misuse of Drugs Act, Maintenance of Religious Harmony Act, the Criminal Law (Temporary Provisions) Act and the Internal Security Act. These laws disproportionately impact ethnic minorities. The government has often justified indefinite detention as a means to preserve order, harmony, security, and to keep crime rates low.   </w:t>
        <w:br w:type="textWrapping"/>
      </w:r>
    </w:p>
    <w:p w:rsidR="00000000" w:rsidDel="00000000" w:rsidP="00000000" w:rsidRDefault="00000000" w:rsidRPr="00000000" w14:paraId="000001D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This section is concerned with the use of the Internal Security Act in Singapore. The ISA in force today originated from Malaysia when Singapore was part of the Federation in 1963, during which the Malaysian ISA was made available for use in Singapore.[2] Following Singapore’s separation from the Federation in 1965, the applicability of the Act was retained, and then subsequently expanded in 1985.[3] The adoption of ISA, Singapore’s foremost national security legislation since independence, signified two principle concerns – (i) to avert subversion, and (ii) to eliminate organized violence.[4]</w:t>
        <w:br w:type="textWrapping"/>
      </w:r>
    </w:p>
    <w:p w:rsidR="00000000" w:rsidDel="00000000" w:rsidP="00000000" w:rsidRDefault="00000000" w:rsidRPr="00000000" w14:paraId="000001D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The last recorded use of the ISA for political detentions was in 1987. Since 2001, the use ISA has been deployed principally in the fight against terror, with most cases of detention having a relation to radicalisation and terrorism. This has largely been a consequence of the securitization turn globally following the attacks of September 11. </w:t>
        <w:br w:type="textWrapping"/>
      </w:r>
    </w:p>
    <w:p w:rsidR="00000000" w:rsidDel="00000000" w:rsidP="00000000" w:rsidRDefault="00000000" w:rsidRPr="00000000" w14:paraId="000001D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Authorities have used ISA related to cases including the support for ideology of armed jihadists, being in the process of being radicalized, support for extremist preachers, and terrorist financing.[5] Recently, the state authorities have also invoked the ISA against agents working for foreign states.[6]</w:t>
        <w:br w:type="textWrapping"/>
      </w:r>
    </w:p>
    <w:p w:rsidR="00000000" w:rsidDel="00000000" w:rsidP="00000000" w:rsidRDefault="00000000" w:rsidRPr="00000000" w14:paraId="000001D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In the Singapore Government’s initial report to the CERD committee, the government listed the Internal Security Act (ISA) as part of the “legislative safeguards” that serve “against the incitement of racial hatred.” The government’s position with regards to the ISA that it contains powers prevents publications that are likely to lead to the breach of the peace, or to promote feelings of hostility between different races or classes of the population.</w:t>
      </w:r>
      <w:r w:rsidDel="00000000" w:rsidR="00000000" w:rsidRPr="00000000">
        <w:rPr>
          <w:vertAlign w:val="superscript"/>
        </w:rPr>
        <w:footnoteReference w:customMarkFollows="0" w:id="60"/>
      </w:r>
      <w:r w:rsidDel="00000000" w:rsidR="00000000" w:rsidRPr="00000000">
        <w:rPr>
          <w:color w:val="ff0000"/>
          <w:rtl w:val="0"/>
        </w:rPr>
        <w:t xml:space="preserve"> </w:t>
      </w:r>
      <w:r w:rsidDel="00000000" w:rsidR="00000000" w:rsidRPr="00000000">
        <w:rPr>
          <w:rtl w:val="0"/>
        </w:rPr>
        <w:br w:type="textWrapping"/>
      </w:r>
    </w:p>
    <w:p w:rsidR="00000000" w:rsidDel="00000000" w:rsidP="00000000" w:rsidRDefault="00000000" w:rsidRPr="00000000" w14:paraId="000001D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Our principal concern, however, is that other powers under the ISA of arbitrary detention are a derogation from Art 5 of CERD. It is also worth noting that the powers over publications contained within the ISA are already available under other laws.</w:t>
      </w:r>
    </w:p>
    <w:p w:rsidR="00000000" w:rsidDel="00000000" w:rsidP="00000000" w:rsidRDefault="00000000" w:rsidRPr="00000000" w14:paraId="000001D8">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D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Another key concern of the ISA concerns the absence of a clear definition of national security threat. Apart from terrorism, as defined in the United Nations Anti-Terrorism Measures Regulations of 2001, other forms of national security threats have not been explicitly defined within the ISA or in accompanying regulations and legislation.[7] Consequently, responsibility for defining threats falls upon the executive arm of the state. This opens up questions of abuse for the Act, including the designation of political dissent or activism as national security threats, entailing the detention of those critical of the state.[8]  </w:t>
      </w:r>
    </w:p>
    <w:p w:rsidR="00000000" w:rsidDel="00000000" w:rsidP="00000000" w:rsidRDefault="00000000" w:rsidRPr="00000000" w14:paraId="000001DA">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DB">
      <w:pPr>
        <w:spacing w:after="0" w:before="0" w:line="276" w:lineRule="auto"/>
        <w:ind w:left="0" w:firstLine="0"/>
        <w:jc w:val="both"/>
        <w:rPr>
          <w:u w:val="single"/>
        </w:rPr>
      </w:pPr>
      <w:r w:rsidDel="00000000" w:rsidR="00000000" w:rsidRPr="00000000">
        <w:rPr>
          <w:u w:val="single"/>
          <w:rtl w:val="0"/>
        </w:rPr>
        <w:t xml:space="preserve">Statistics on the Use of the Internal Security Act</w:t>
      </w:r>
    </w:p>
    <w:p w:rsidR="00000000" w:rsidDel="00000000" w:rsidP="00000000" w:rsidRDefault="00000000" w:rsidRPr="00000000" w14:paraId="000001DC">
      <w:pPr>
        <w:spacing w:after="0" w:before="0" w:line="276" w:lineRule="auto"/>
        <w:ind w:left="0" w:firstLine="0"/>
        <w:jc w:val="both"/>
        <w:rPr>
          <w:u w:val="single"/>
        </w:rPr>
      </w:pPr>
      <w:r w:rsidDel="00000000" w:rsidR="00000000" w:rsidRPr="00000000">
        <w:rPr>
          <w:rtl w:val="0"/>
        </w:rPr>
      </w:r>
    </w:p>
    <w:p w:rsidR="00000000" w:rsidDel="00000000" w:rsidP="00000000" w:rsidRDefault="00000000" w:rsidRPr="00000000" w14:paraId="000001D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Between August 2001 to June 2021, 163 individuals were detained under ISA.</w:t>
        <w:br w:type="textWrapping"/>
      </w:r>
    </w:p>
    <w:p w:rsidR="00000000" w:rsidDel="00000000" w:rsidP="00000000" w:rsidRDefault="00000000" w:rsidRPr="00000000" w14:paraId="000001D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Of these, 161 were Muslims. These include both Singaporeans and significant numbers of migrant workers of Bangladeshi and Indonesian origins.[9] All of these cases concerned radicalization and terrorism. The remaining two cases had to do with foreign spy and a protestant christian youth intending to attack a mosque.</w:t>
        <w:br w:type="textWrapping"/>
      </w:r>
    </w:p>
    <w:p w:rsidR="00000000" w:rsidDel="00000000" w:rsidP="00000000" w:rsidRDefault="00000000" w:rsidRPr="00000000" w14:paraId="000001DF">
      <w:pPr>
        <w:spacing w:after="0" w:before="0" w:line="276" w:lineRule="auto"/>
        <w:ind w:left="0" w:firstLine="0"/>
        <w:jc w:val="both"/>
        <w:rPr>
          <w:color w:val="262626"/>
          <w:u w:val="single"/>
        </w:rPr>
      </w:pPr>
      <w:r w:rsidDel="00000000" w:rsidR="00000000" w:rsidRPr="00000000">
        <w:rPr>
          <w:color w:val="262626"/>
          <w:u w:val="single"/>
          <w:rtl w:val="0"/>
        </w:rPr>
        <w:t xml:space="preserve">Arbitrary Detention and Violation of Right to Trial</w:t>
      </w:r>
    </w:p>
    <w:p w:rsidR="00000000" w:rsidDel="00000000" w:rsidP="00000000" w:rsidRDefault="00000000" w:rsidRPr="00000000" w14:paraId="000001E0">
      <w:pPr>
        <w:spacing w:after="0" w:before="0" w:line="276" w:lineRule="auto"/>
        <w:ind w:left="0" w:firstLine="0"/>
        <w:jc w:val="both"/>
        <w:rPr>
          <w:color w:val="262626"/>
          <w:u w:val="single"/>
        </w:rPr>
      </w:pPr>
      <w:r w:rsidDel="00000000" w:rsidR="00000000" w:rsidRPr="00000000">
        <w:rPr>
          <w:rtl w:val="0"/>
        </w:rPr>
      </w:r>
    </w:p>
    <w:p w:rsidR="00000000" w:rsidDel="00000000" w:rsidP="00000000" w:rsidRDefault="00000000" w:rsidRPr="00000000" w14:paraId="000001E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Under the Internal Security Act (ISA), suspects can be arrested without a warrant, detained for 48 hours for investigation, and another 28 days for further investigation. Following this 30-day period, a detention order may be issued under Section 8(1) of the Act to prolong detention of suspects.</w:t>
        <w:br w:type="textWrapping"/>
      </w:r>
    </w:p>
    <w:p w:rsidR="00000000" w:rsidDel="00000000" w:rsidP="00000000" w:rsidRDefault="00000000" w:rsidRPr="00000000" w14:paraId="000001E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Detention orders have a maximum period of two year.</w:t>
      </w:r>
      <w:r w:rsidDel="00000000" w:rsidR="00000000" w:rsidRPr="00000000">
        <w:rPr>
          <w:vertAlign w:val="superscript"/>
        </w:rPr>
        <w:footnoteReference w:customMarkFollows="0" w:id="61"/>
      </w:r>
      <w:r w:rsidDel="00000000" w:rsidR="00000000" w:rsidRPr="00000000">
        <w:rPr>
          <w:rtl w:val="0"/>
        </w:rPr>
        <w:t xml:space="preserve"> However, releasing and re-arresting a detainee under a fresh detention order has historically been a common feature in the use of Internal Security Act.</w:t>
      </w:r>
      <w:r w:rsidDel="00000000" w:rsidR="00000000" w:rsidRPr="00000000">
        <w:rPr>
          <w:vertAlign w:val="superscript"/>
        </w:rPr>
        <w:footnoteReference w:customMarkFollows="0" w:id="62"/>
      </w:r>
      <w:r w:rsidDel="00000000" w:rsidR="00000000" w:rsidRPr="00000000">
        <w:rPr>
          <w:rtl w:val="0"/>
        </w:rPr>
        <w:t xml:space="preserve"> </w:t>
        <w:br w:type="textWrapping"/>
      </w:r>
    </w:p>
    <w:p w:rsidR="00000000" w:rsidDel="00000000" w:rsidP="00000000" w:rsidRDefault="00000000" w:rsidRPr="00000000" w14:paraId="000001E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Judicial review of detentions under the ISA are narrowly limited to issues of procedural compliance.</w:t>
      </w:r>
      <w:r w:rsidDel="00000000" w:rsidR="00000000" w:rsidRPr="00000000">
        <w:rPr>
          <w:vertAlign w:val="superscript"/>
        </w:rPr>
        <w:footnoteReference w:customMarkFollows="0" w:id="63"/>
      </w:r>
      <w:r w:rsidDel="00000000" w:rsidR="00000000" w:rsidRPr="00000000">
        <w:rPr>
          <w:rtl w:val="0"/>
        </w:rPr>
        <w:t xml:space="preserve"> Further, there is limited information available on the procedures for detention. </w:t>
        <w:br w:type="textWrapping"/>
      </w:r>
    </w:p>
    <w:p w:rsidR="00000000" w:rsidDel="00000000" w:rsidP="00000000" w:rsidRDefault="00000000" w:rsidRPr="00000000" w14:paraId="000001E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The ISA requires proceedings before an advisory body which usually includes a sitting judge, and two other members who do not need to be judges. All members of the advisory board are, however, receive the same protections and privileges as a Judge in the case of any action brought against them. </w:t>
      </w:r>
      <w:r w:rsidDel="00000000" w:rsidR="00000000" w:rsidRPr="00000000">
        <w:rPr>
          <w:vertAlign w:val="superscript"/>
        </w:rPr>
        <w:footnoteReference w:customMarkFollows="0" w:id="64"/>
      </w:r>
      <w:r w:rsidDel="00000000" w:rsidR="00000000" w:rsidRPr="00000000">
        <w:rPr>
          <w:rtl w:val="0"/>
        </w:rPr>
        <w:br w:type="textWrapping"/>
      </w:r>
    </w:p>
    <w:p w:rsidR="00000000" w:rsidDel="00000000" w:rsidP="00000000" w:rsidRDefault="00000000" w:rsidRPr="00000000" w14:paraId="000001E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The detainee is entitled to present their case to the  advisory body. The findings of the advisory body, however, can be overridden by the President. The President’s findings cannot be questioned in court.</w:t>
      </w:r>
      <w:r w:rsidDel="00000000" w:rsidR="00000000" w:rsidRPr="00000000">
        <w:rPr>
          <w:vertAlign w:val="superscript"/>
        </w:rPr>
        <w:footnoteReference w:customMarkFollows="0" w:id="65"/>
      </w:r>
      <w:r w:rsidDel="00000000" w:rsidR="00000000" w:rsidRPr="00000000">
        <w:rPr>
          <w:rtl w:val="0"/>
        </w:rPr>
        <w:br w:type="textWrapping"/>
      </w:r>
    </w:p>
    <w:p w:rsidR="00000000" w:rsidDel="00000000" w:rsidP="00000000" w:rsidRDefault="00000000" w:rsidRPr="00000000" w14:paraId="000001E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The method and rules for the proceedings under the advisory body are to be determined by the President.</w:t>
      </w:r>
      <w:r w:rsidDel="00000000" w:rsidR="00000000" w:rsidRPr="00000000">
        <w:rPr>
          <w:vertAlign w:val="superscript"/>
        </w:rPr>
        <w:footnoteReference w:customMarkFollows="0" w:id="66"/>
      </w:r>
      <w:r w:rsidDel="00000000" w:rsidR="00000000" w:rsidRPr="00000000">
        <w:rPr>
          <w:rtl w:val="0"/>
        </w:rPr>
        <w:t xml:space="preserve"> For example, the detainee, and his or her counsel, do not have the right to see all material presented against him or her, and the detainee does not have the right to challenge adverse witnesses.</w:t>
        <w:br w:type="textWrapping"/>
      </w:r>
    </w:p>
    <w:p w:rsidR="00000000" w:rsidDel="00000000" w:rsidP="00000000" w:rsidRDefault="00000000" w:rsidRPr="00000000" w14:paraId="000001E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There is no requirement to disclose what happens during these proceedings or the findings of the advisory body to the public.</w:t>
      </w:r>
      <w:r w:rsidDel="00000000" w:rsidR="00000000" w:rsidRPr="00000000">
        <w:rPr>
          <w:vertAlign w:val="superscript"/>
        </w:rPr>
        <w:footnoteReference w:customMarkFollows="0" w:id="67"/>
      </w:r>
      <w:r w:rsidDel="00000000" w:rsidR="00000000" w:rsidRPr="00000000">
        <w:rPr>
          <w:rtl w:val="0"/>
        </w:rPr>
        <w:br w:type="textWrapping"/>
      </w:r>
    </w:p>
    <w:p w:rsidR="00000000" w:rsidDel="00000000" w:rsidP="00000000" w:rsidRDefault="00000000" w:rsidRPr="00000000" w14:paraId="000001E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Article 9 and Article 10 of the Universal Declaration of Human Rights establish the fundamental right of the freedom from arbitrary detention and the right to a fair trial. The use of the Internal Security Act threatens these fundamental rights by providing a highly restricted system by which these detentions can be challenged, and a system in which </w:t>
        <w:br w:type="textWrapping"/>
      </w:r>
    </w:p>
    <w:p w:rsidR="00000000" w:rsidDel="00000000" w:rsidP="00000000" w:rsidRDefault="00000000" w:rsidRPr="00000000" w14:paraId="000001E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Further, the practice of release and re-arrest of detainees when their detention term expires falls into the category of arbitrary detention, since the detainees would not know the extent of their punishment.</w:t>
      </w:r>
    </w:p>
    <w:p w:rsidR="00000000" w:rsidDel="00000000" w:rsidP="00000000" w:rsidRDefault="00000000" w:rsidRPr="00000000" w14:paraId="000001EA">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EB">
      <w:pPr>
        <w:spacing w:after="0" w:before="0" w:line="276" w:lineRule="auto"/>
        <w:ind w:left="0" w:firstLine="0"/>
        <w:jc w:val="both"/>
        <w:rPr>
          <w:u w:val="single"/>
        </w:rPr>
      </w:pPr>
      <w:r w:rsidDel="00000000" w:rsidR="00000000" w:rsidRPr="00000000">
        <w:rPr>
          <w:u w:val="single"/>
          <w:rtl w:val="0"/>
        </w:rPr>
        <w:t xml:space="preserve">Detention of Children under the ISA</w:t>
      </w:r>
    </w:p>
    <w:p w:rsidR="00000000" w:rsidDel="00000000" w:rsidP="00000000" w:rsidRDefault="00000000" w:rsidRPr="00000000" w14:paraId="000001EC">
      <w:pPr>
        <w:spacing w:after="0" w:before="0" w:line="276" w:lineRule="auto"/>
        <w:ind w:left="720" w:firstLine="0"/>
        <w:jc w:val="both"/>
        <w:rPr>
          <w:u w:val="single"/>
        </w:rPr>
      </w:pPr>
      <w:r w:rsidDel="00000000" w:rsidR="00000000" w:rsidRPr="00000000">
        <w:rPr>
          <w:rtl w:val="0"/>
        </w:rPr>
      </w:r>
    </w:p>
    <w:p w:rsidR="00000000" w:rsidDel="00000000" w:rsidP="00000000" w:rsidRDefault="00000000" w:rsidRPr="00000000" w14:paraId="000001E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Children have been detained under the Internal Security Act, including one child of 17 years old and another aged 16 years old in 2021. This is in breach of Singapore’s human rights obligations under Article 37 of the Convention on the Rights of the Child (CRC), to which it is a state party. Article 37 stipulates that the arrest, detention or imprisonment of a child “shall be used only as a measure of last resort and for the shortest appropriate period of time.”</w:t>
      </w:r>
    </w:p>
    <w:p w:rsidR="00000000" w:rsidDel="00000000" w:rsidP="00000000" w:rsidRDefault="00000000" w:rsidRPr="00000000" w14:paraId="000001EE">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EF">
      <w:pPr>
        <w:spacing w:after="0" w:before="0" w:line="276" w:lineRule="auto"/>
        <w:ind w:left="0" w:firstLine="0"/>
        <w:jc w:val="both"/>
        <w:rPr>
          <w:u w:val="single"/>
        </w:rPr>
      </w:pPr>
      <w:r w:rsidDel="00000000" w:rsidR="00000000" w:rsidRPr="00000000">
        <w:rPr>
          <w:u w:val="single"/>
          <w:rtl w:val="0"/>
        </w:rPr>
        <w:t xml:space="preserve">Conditions of Detention</w:t>
      </w:r>
    </w:p>
    <w:p w:rsidR="00000000" w:rsidDel="00000000" w:rsidP="00000000" w:rsidRDefault="00000000" w:rsidRPr="00000000" w14:paraId="000001F0">
      <w:pPr>
        <w:spacing w:after="0" w:before="0" w:line="276" w:lineRule="auto"/>
        <w:ind w:left="0" w:firstLine="0"/>
        <w:jc w:val="both"/>
        <w:rPr>
          <w:u w:val="single"/>
        </w:rPr>
      </w:pPr>
      <w:r w:rsidDel="00000000" w:rsidR="00000000" w:rsidRPr="00000000">
        <w:rPr>
          <w:rtl w:val="0"/>
        </w:rPr>
      </w:r>
    </w:p>
    <w:p w:rsidR="00000000" w:rsidDel="00000000" w:rsidP="00000000" w:rsidRDefault="00000000" w:rsidRPr="00000000" w14:paraId="000001F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Accounts of detainees under the ISA have highlighted use of long periods of solitary confinement. Ex-detainees have also highlighted the psychological mistreatment and even physical violence during detentions.</w:t>
        <w:br w:type="textWrapping"/>
      </w:r>
    </w:p>
    <w:p w:rsidR="00000000" w:rsidDel="00000000" w:rsidP="00000000" w:rsidRDefault="00000000" w:rsidRPr="00000000" w14:paraId="000001F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Article 5 of the UDHR provides that the right not to be tortured or subject to inhuman or degrading treatment under UDHR Article 5 is a fundamental and inalienable right.</w:t>
        <w:br w:type="textWrapping"/>
      </w:r>
    </w:p>
    <w:p w:rsidR="00000000" w:rsidDel="00000000" w:rsidP="00000000" w:rsidRDefault="00000000" w:rsidRPr="00000000" w14:paraId="000001F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As a consequence, the deployment of ISA not only negates the presumption of innocence but prevents detainees enjoying their basic right to trial, a contravention of article 9 of the Universal Declaration of Human Rights. </w:t>
        <w:br w:type="textWrapping"/>
      </w:r>
      <w:r w:rsidDel="00000000" w:rsidR="00000000" w:rsidRPr="00000000">
        <w:rPr>
          <w:rtl w:val="0"/>
        </w:rPr>
      </w:r>
    </w:p>
    <w:p w:rsidR="00000000" w:rsidDel="00000000" w:rsidP="00000000" w:rsidRDefault="00000000" w:rsidRPr="00000000" w14:paraId="000001F4">
      <w:pPr>
        <w:spacing w:after="0" w:before="0" w:line="276" w:lineRule="auto"/>
        <w:ind w:left="0" w:firstLine="0"/>
        <w:jc w:val="both"/>
        <w:rPr>
          <w:u w:val="single"/>
        </w:rPr>
      </w:pPr>
      <w:r w:rsidDel="00000000" w:rsidR="00000000" w:rsidRPr="00000000">
        <w:rPr>
          <w:u w:val="single"/>
          <w:rtl w:val="0"/>
        </w:rPr>
        <w:t xml:space="preserve">Internal Security Act and the Impact of Singapore’s Approach to Counterterrorism </w:t>
      </w:r>
    </w:p>
    <w:p w:rsidR="00000000" w:rsidDel="00000000" w:rsidP="00000000" w:rsidRDefault="00000000" w:rsidRPr="00000000" w14:paraId="000001F5">
      <w:pPr>
        <w:spacing w:after="0" w:before="0" w:line="276" w:lineRule="auto"/>
        <w:ind w:left="0" w:firstLine="0"/>
        <w:jc w:val="both"/>
        <w:rPr>
          <w:u w:val="single"/>
        </w:rPr>
      </w:pPr>
      <w:r w:rsidDel="00000000" w:rsidR="00000000" w:rsidRPr="00000000">
        <w:rPr>
          <w:rtl w:val="0"/>
        </w:rPr>
      </w:r>
    </w:p>
    <w:p w:rsidR="00000000" w:rsidDel="00000000" w:rsidP="00000000" w:rsidRDefault="00000000" w:rsidRPr="00000000" w14:paraId="000001F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The Singapore government continues to insist that the ISA is the cornerstone of Singapore’s counterterror policy, with the Minister for Law and Home Affairs K Shanmugan going as far as to comment after terrorist incidents in New Zealand, that such incidents would not have happened in Singapore because of it has the ISA.</w:t>
      </w:r>
      <w:r w:rsidDel="00000000" w:rsidR="00000000" w:rsidRPr="00000000">
        <w:rPr>
          <w:vertAlign w:val="superscript"/>
        </w:rPr>
        <w:footnoteReference w:customMarkFollows="0" w:id="68"/>
      </w:r>
      <w:r w:rsidDel="00000000" w:rsidR="00000000" w:rsidRPr="00000000">
        <w:rPr>
          <w:rtl w:val="0"/>
        </w:rPr>
        <w:t xml:space="preserve"> </w:t>
      </w:r>
    </w:p>
    <w:p w:rsidR="00000000" w:rsidDel="00000000" w:rsidP="00000000" w:rsidRDefault="00000000" w:rsidRPr="00000000" w14:paraId="000001F7">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F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In recent parliamentary debate over newly introduced anti-foreign interference legislation, the Minister too also referenced the Internal Security Act to ask opposition parliamentarians raising concerns over the absence of judicial recourse in criminal legislation, if the government should remove legislation that "offen[d] the principles of separation of powers and the rule of law" that “works well” for Singapore.</w:t>
      </w:r>
      <w:r w:rsidDel="00000000" w:rsidR="00000000" w:rsidRPr="00000000">
        <w:rPr>
          <w:vertAlign w:val="superscript"/>
        </w:rPr>
        <w:footnoteReference w:customMarkFollows="0" w:id="69"/>
      </w:r>
      <w:r w:rsidDel="00000000" w:rsidR="00000000" w:rsidRPr="00000000">
        <w:rPr>
          <w:rtl w:val="0"/>
        </w:rPr>
      </w:r>
    </w:p>
    <w:p w:rsidR="00000000" w:rsidDel="00000000" w:rsidP="00000000" w:rsidRDefault="00000000" w:rsidRPr="00000000" w14:paraId="000001F9">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F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Research in criminology highlights that laws and policies undermining or excluding a terror suspects’ ability to challenge the lawfulness of detention should be understood as forms of ‘punitive segregation’.</w:t>
      </w:r>
      <w:r w:rsidDel="00000000" w:rsidR="00000000" w:rsidRPr="00000000">
        <w:rPr>
          <w:vertAlign w:val="superscript"/>
        </w:rPr>
        <w:footnoteReference w:customMarkFollows="0" w:id="70"/>
      </w:r>
      <w:r w:rsidDel="00000000" w:rsidR="00000000" w:rsidRPr="00000000">
        <w:rPr>
          <w:rtl w:val="0"/>
        </w:rPr>
        <w:t xml:space="preserve"> The power to punish and exclude serves to tangibly attract public and social support, meeting the public demand for increased security, regardless of its actual impact. In turn, however, the state discourse of necessity in the war on terror normalises a ‘whatever it takes’ approach to counterterror measures and manufactures public panic.</w:t>
      </w:r>
      <w:r w:rsidDel="00000000" w:rsidR="00000000" w:rsidRPr="00000000">
        <w:rPr>
          <w:vertAlign w:val="superscript"/>
        </w:rPr>
        <w:footnoteReference w:customMarkFollows="0" w:id="71"/>
      </w:r>
      <w:r w:rsidDel="00000000" w:rsidR="00000000" w:rsidRPr="00000000">
        <w:rPr>
          <w:rtl w:val="0"/>
        </w:rPr>
      </w:r>
    </w:p>
    <w:p w:rsidR="00000000" w:rsidDel="00000000" w:rsidP="00000000" w:rsidRDefault="00000000" w:rsidRPr="00000000" w14:paraId="000001FB">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F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This framework of understanding is equally useful in the Singapore context. The state discourse about the national security and the threat of terrorism continuously emphasises the need to guard against Islamic fundamentalism in Singapore. It draws on the government’s worry that religiosity is the reason for the Malay-Muslim community’s failure to integrate with the </w:t>
      </w:r>
      <w:r w:rsidDel="00000000" w:rsidR="00000000" w:rsidRPr="00000000">
        <w:rPr>
          <w:rtl w:val="0"/>
        </w:rPr>
        <w:t xml:space="preserve">society</w:t>
      </w:r>
      <w:r w:rsidDel="00000000" w:rsidR="00000000" w:rsidRPr="00000000">
        <w:rPr>
          <w:vertAlign w:val="superscript"/>
        </w:rPr>
        <w:footnoteReference w:customMarkFollows="0" w:id="72"/>
      </w:r>
      <w:r w:rsidDel="00000000" w:rsidR="00000000" w:rsidRPr="00000000">
        <w:rPr>
          <w:rtl w:val="0"/>
        </w:rPr>
        <w:t xml:space="preserve">, and also frames the consequence of the potential terror attack as a threat to Singapore’s already fragile racial and religious harmony. </w:t>
      </w:r>
    </w:p>
    <w:p w:rsidR="00000000" w:rsidDel="00000000" w:rsidP="00000000" w:rsidRDefault="00000000" w:rsidRPr="00000000" w14:paraId="000001FD">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1F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In recent years, the Religious Rehabilitation Group, a state-endorsed organisation working to dispel the extremist and terrorist ideologies that concern Islam, have rolled out several programs to this end</w:t>
      </w:r>
      <w:r w:rsidDel="00000000" w:rsidR="00000000" w:rsidRPr="00000000">
        <w:rPr>
          <w:vertAlign w:val="superscript"/>
        </w:rPr>
        <w:footnoteReference w:customMarkFollows="0" w:id="73"/>
      </w:r>
      <w:r w:rsidDel="00000000" w:rsidR="00000000" w:rsidRPr="00000000">
        <w:rPr>
          <w:rtl w:val="0"/>
        </w:rPr>
        <w:t xml:space="preserve"> These include publications, online outreach efforts, as well as the appointment of Muslim youth ambassadors against Islamist-inspired violence. Notably, the Group, of which situates its main office and gallery on mosque grounds, fixates principally on Islamist forms of extremism, but not others. The securitisation of Islam, may perpetuate social perceptions in Singapore that extremism remains an issue that solely concerns Islam and Muslims.</w:t>
      </w:r>
    </w:p>
    <w:p w:rsidR="00000000" w:rsidDel="00000000" w:rsidP="00000000" w:rsidRDefault="00000000" w:rsidRPr="00000000" w14:paraId="000001FF">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20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A study published in 2018 finds that Singaporeans display stronger negative reactions following an attack by overseas groups claiming to be Muslims, compared to claims by Buddhists, Christians, or Hindus.</w:t>
      </w:r>
      <w:r w:rsidDel="00000000" w:rsidR="00000000" w:rsidRPr="00000000">
        <w:rPr>
          <w:vertAlign w:val="superscript"/>
        </w:rPr>
        <w:footnoteReference w:customMarkFollows="0" w:id="74"/>
      </w:r>
      <w:r w:rsidDel="00000000" w:rsidR="00000000" w:rsidRPr="00000000">
        <w:rPr>
          <w:rtl w:val="0"/>
        </w:rPr>
        <w:t xml:space="preserve"> In particular, non-Malay and non-Muslim respondents were more likely to display stronger negative reaction to Muslims in the event of an attack by overseas Muslims. This is in comparison to possible attacks by groups claiming other faith-based affiliation. The study also found that better-educated Malay and Muslim respondents were less optimistic of Singapore unity in the aftermath of a terrorist attack. These sentiments of distrust, if left unchecked, may lead to social fractures in Singapore. </w:t>
      </w:r>
    </w:p>
    <w:p w:rsidR="00000000" w:rsidDel="00000000" w:rsidP="00000000" w:rsidRDefault="00000000" w:rsidRPr="00000000" w14:paraId="00000201">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20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For avoidance of doubt, this is not say that there are no legitimate threats of terrorism Singapore faces, but that counterterror policy by the State must also be weighed against its potential for itself creating or perpetuating discrimination - particularly by generating Islamophobia and shaping prejudicial attitudes in Singapore towards Muslims, especially the Malay community of whom the vast majority are Muslim . TJC is also concerned as to whether Singapore undertakes sufficient measures to combat prejudices and discriminatory attitudes, as with its obligation under Article 7 of CERD.</w:t>
      </w:r>
    </w:p>
    <w:p w:rsidR="00000000" w:rsidDel="00000000" w:rsidP="00000000" w:rsidRDefault="00000000" w:rsidRPr="00000000" w14:paraId="00000203">
      <w:pPr>
        <w:spacing w:after="0" w:before="0" w:line="276" w:lineRule="auto"/>
        <w:ind w:left="720" w:firstLine="0"/>
        <w:jc w:val="both"/>
        <w:rPr/>
      </w:pPr>
      <w:r w:rsidDel="00000000" w:rsidR="00000000" w:rsidRPr="00000000">
        <w:rPr>
          <w:rtl w:val="0"/>
        </w:rPr>
      </w:r>
    </w:p>
    <w:p w:rsidR="00000000" w:rsidDel="00000000" w:rsidP="00000000" w:rsidRDefault="00000000" w:rsidRPr="00000000" w14:paraId="00000204">
      <w:pPr>
        <w:spacing w:after="0" w:before="0" w:line="276" w:lineRule="auto"/>
        <w:ind w:left="0" w:firstLine="0"/>
        <w:jc w:val="both"/>
        <w:rPr>
          <w:u w:val="single"/>
        </w:rPr>
      </w:pPr>
      <w:r w:rsidDel="00000000" w:rsidR="00000000" w:rsidRPr="00000000">
        <w:rPr>
          <w:u w:val="single"/>
          <w:rtl w:val="0"/>
        </w:rPr>
        <w:t xml:space="preserve">Recommendations</w:t>
      </w:r>
    </w:p>
    <w:p w:rsidR="00000000" w:rsidDel="00000000" w:rsidP="00000000" w:rsidRDefault="00000000" w:rsidRPr="00000000" w14:paraId="00000205">
      <w:pPr>
        <w:spacing w:after="0" w:before="0" w:line="276" w:lineRule="auto"/>
        <w:ind w:left="0" w:firstLine="0"/>
        <w:jc w:val="both"/>
        <w:rPr>
          <w:u w:val="single"/>
        </w:rPr>
      </w:pPr>
      <w:r w:rsidDel="00000000" w:rsidR="00000000" w:rsidRPr="00000000">
        <w:rPr>
          <w:rtl w:val="0"/>
        </w:rPr>
      </w:r>
    </w:p>
    <w:p w:rsidR="00000000" w:rsidDel="00000000" w:rsidP="00000000" w:rsidRDefault="00000000" w:rsidRPr="00000000" w14:paraId="0000020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pPr>
      <w:r w:rsidDel="00000000" w:rsidR="00000000" w:rsidRPr="00000000">
        <w:rPr>
          <w:rtl w:val="0"/>
        </w:rPr>
        <w:t xml:space="preserve">Repeal the Internal Security Act, which in its current use affects minorities right to equal treatment under the law, and replace it with specific counterterror legislation with judicial safeguards that are in line with international human rights law.</w:t>
        <w:br w:type="textWrapping"/>
      </w:r>
    </w:p>
    <w:p w:rsidR="00000000" w:rsidDel="00000000" w:rsidP="00000000" w:rsidRDefault="00000000" w:rsidRPr="00000000" w14:paraId="0000020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rPr>
          <w:u w:val="none"/>
        </w:rPr>
      </w:pPr>
      <w:r w:rsidDel="00000000" w:rsidR="00000000" w:rsidRPr="00000000">
        <w:rPr>
          <w:color w:val="212529"/>
          <w:highlight w:val="white"/>
          <w:rtl w:val="0"/>
        </w:rPr>
        <w:t xml:space="preserve">Singapore should adopt a rights based approach to dealing with individuals suspected of terrorist activities and seek technical assistance from the UNODC’s terrorism prevention branch where necessary in implemeting its anti-terrorism policies.Upholding human rights and ensuring national security are complementary and mutually reinforcing objectives which must be pursued together as part of the State’s counter-</w:t>
      </w:r>
      <w:r w:rsidDel="00000000" w:rsidR="00000000" w:rsidRPr="00000000">
        <w:rPr>
          <w:rtl w:val="0"/>
        </w:rPr>
        <w:t xml:space="preserve">terrorism</w:t>
      </w:r>
      <w:r w:rsidDel="00000000" w:rsidR="00000000" w:rsidRPr="00000000">
        <w:rPr>
          <w:color w:val="212529"/>
          <w:highlight w:val="white"/>
          <w:rtl w:val="0"/>
        </w:rPr>
        <w:t xml:space="preserve"> measures.</w:t>
      </w:r>
      <w:r w:rsidDel="00000000" w:rsidR="00000000" w:rsidRPr="00000000">
        <w:rPr>
          <w:rtl w:val="0"/>
        </w:rPr>
        <w:br w:type="textWrapping"/>
      </w:r>
      <w:r w:rsidDel="00000000" w:rsidR="00000000" w:rsidRPr="00000000">
        <w:br w:type="page"/>
      </w:r>
      <w:r w:rsidDel="00000000" w:rsidR="00000000" w:rsidRPr="00000000">
        <w:rPr>
          <w:rtl w:val="0"/>
        </w:rPr>
      </w:r>
    </w:p>
    <w:p w:rsidR="00000000" w:rsidDel="00000000" w:rsidP="00000000" w:rsidRDefault="00000000" w:rsidRPr="00000000" w14:paraId="000002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1"/>
        </w:rPr>
      </w:pPr>
      <w:r w:rsidDel="00000000" w:rsidR="00000000" w:rsidRPr="00000000">
        <w:rPr>
          <w:b w:val="1"/>
          <w:rtl w:val="0"/>
        </w:rPr>
        <w:t xml:space="preserve">Detention</w:t>
      </w:r>
      <w:r w:rsidDel="00000000" w:rsidR="00000000" w:rsidRPr="00000000">
        <w:rPr>
          <w:b w:val="1"/>
          <w:color w:val="262626"/>
          <w:rtl w:val="0"/>
        </w:rPr>
        <w:t xml:space="preserve"> for Public Protection and Enhanced Detention for Public Protection</w:t>
      </w:r>
      <w:r w:rsidDel="00000000" w:rsidR="00000000" w:rsidRPr="00000000">
        <w:rPr>
          <w:b w:val="1"/>
          <w:color w:val="262626"/>
          <w:vertAlign w:val="superscript"/>
        </w:rPr>
        <w:footnoteReference w:customMarkFollows="0" w:id="75"/>
      </w:r>
      <w:r w:rsidDel="00000000" w:rsidR="00000000" w:rsidRPr="00000000">
        <w:rPr>
          <w:rtl w:val="0"/>
        </w:rPr>
      </w:r>
    </w:p>
    <w:p w:rsidR="00000000" w:rsidDel="00000000" w:rsidP="00000000" w:rsidRDefault="00000000" w:rsidRPr="00000000" w14:paraId="00000209">
      <w:pPr>
        <w:shd w:fill="ffffff" w:val="clear"/>
        <w:spacing w:after="0" w:before="0" w:line="276" w:lineRule="auto"/>
        <w:ind w:left="0" w:firstLine="0"/>
        <w:jc w:val="both"/>
        <w:rPr>
          <w:b w:val="1"/>
          <w:color w:val="262626"/>
        </w:rPr>
      </w:pPr>
      <w:r w:rsidDel="00000000" w:rsidR="00000000" w:rsidRPr="00000000">
        <w:rPr>
          <w:rtl w:val="0"/>
        </w:rPr>
      </w:r>
    </w:p>
    <w:p w:rsidR="00000000" w:rsidDel="00000000" w:rsidP="00000000" w:rsidRDefault="00000000" w:rsidRPr="00000000" w14:paraId="0000020A">
      <w:pPr>
        <w:numPr>
          <w:ilvl w:val="0"/>
          <w:numId w:val="2"/>
        </w:numPr>
        <w:spacing w:after="0" w:before="0" w:line="276" w:lineRule="auto"/>
        <w:ind w:left="720" w:hanging="630"/>
        <w:jc w:val="both"/>
        <w:rPr>
          <w:color w:val="262626"/>
        </w:rPr>
      </w:pPr>
      <w:r w:rsidDel="00000000" w:rsidR="00000000" w:rsidRPr="00000000">
        <w:rPr>
          <w:color w:val="262626"/>
          <w:rtl w:val="0"/>
        </w:rPr>
        <w:t xml:space="preserve">Since 1954, the government has had programmes, known as Corrective Training (CT) and Preventive Detention (PD), which allow it to detain offenders beyond what they have been sentenced in the courts. </w:t>
      </w:r>
      <w:r w:rsidDel="00000000" w:rsidR="00000000" w:rsidRPr="00000000">
        <w:rPr>
          <w:color w:val="262626"/>
          <w:highlight w:val="white"/>
          <w:rtl w:val="0"/>
        </w:rPr>
        <w:t xml:space="preserve">Under the CT and PD regimes, offenders can potentially be detained for periods longer than the maximum imprisonment term prescribed for the offence. According to the government, only inmates who have committed serious crime, which involves violence and hurt will be subjected to this regime. </w:t>
      </w:r>
      <w:r w:rsidDel="00000000" w:rsidR="00000000" w:rsidRPr="00000000">
        <w:rPr>
          <w:rtl w:val="0"/>
        </w:rPr>
      </w:r>
    </w:p>
    <w:p w:rsidR="00000000" w:rsidDel="00000000" w:rsidP="00000000" w:rsidRDefault="00000000" w:rsidRPr="00000000" w14:paraId="0000020B">
      <w:pPr>
        <w:spacing w:after="0" w:before="0" w:line="276" w:lineRule="auto"/>
        <w:ind w:left="720" w:firstLine="0"/>
        <w:jc w:val="both"/>
        <w:rPr>
          <w:color w:val="262626"/>
        </w:rPr>
      </w:pPr>
      <w:r w:rsidDel="00000000" w:rsidR="00000000" w:rsidRPr="00000000">
        <w:rPr>
          <w:rtl w:val="0"/>
        </w:rPr>
      </w:r>
    </w:p>
    <w:p w:rsidR="00000000" w:rsidDel="00000000" w:rsidP="00000000" w:rsidRDefault="00000000" w:rsidRPr="00000000" w14:paraId="000002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color w:val="262626"/>
          <w:rtl w:val="0"/>
        </w:rPr>
        <w:t xml:space="preserve">The government is planning to consolidate and reform these 2 regimes under a new scheme called the Enhanced Detention for Public Protection. </w:t>
      </w:r>
      <w:r w:rsidDel="00000000" w:rsidR="00000000" w:rsidRPr="00000000">
        <w:rPr>
          <w:color w:val="262626"/>
          <w:highlight w:val="white"/>
          <w:rtl w:val="0"/>
        </w:rPr>
        <w:t xml:space="preserve">According to them, recent years have seen “</w:t>
      </w:r>
      <w:r w:rsidDel="00000000" w:rsidR="00000000" w:rsidRPr="00000000">
        <w:rPr>
          <w:color w:val="262626"/>
          <w:rtl w:val="0"/>
        </w:rPr>
        <w:t xml:space="preserve">egregious</w:t>
      </w:r>
      <w:r w:rsidDel="00000000" w:rsidR="00000000" w:rsidRPr="00000000">
        <w:rPr>
          <w:color w:val="262626"/>
          <w:highlight w:val="white"/>
          <w:rtl w:val="0"/>
        </w:rPr>
        <w:t xml:space="preserve">” cases in which offenders committed serious violent or sexual offences after their release from prison. Therefore, more should be done to “protect the public” from dangerous offenders who might “continue to pose a serious public safety risk” upon their release from prison. The proposed changes seek to “ensure that an offender’s risk to public safety is duly assessed before release, and that the offender’s re-integration into the community is closely supervised and assessed, before he is permanently released without supervision”. </w:t>
      </w:r>
    </w:p>
    <w:p w:rsidR="00000000" w:rsidDel="00000000" w:rsidP="00000000" w:rsidRDefault="00000000" w:rsidRPr="00000000" w14:paraId="0000020D">
      <w:pPr>
        <w:spacing w:after="0" w:before="0" w:line="276" w:lineRule="auto"/>
        <w:ind w:left="720" w:firstLine="0"/>
        <w:jc w:val="both"/>
        <w:rPr>
          <w:color w:val="262626"/>
          <w:highlight w:val="white"/>
        </w:rPr>
      </w:pPr>
      <w:r w:rsidDel="00000000" w:rsidR="00000000" w:rsidRPr="00000000">
        <w:rPr>
          <w:rtl w:val="0"/>
        </w:rPr>
      </w:r>
    </w:p>
    <w:p w:rsidR="00000000" w:rsidDel="00000000" w:rsidP="00000000" w:rsidRDefault="00000000" w:rsidRPr="00000000" w14:paraId="000002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color w:val="262626"/>
          <w:rtl w:val="0"/>
        </w:rPr>
        <w:t xml:space="preserve">Under this scheme, </w:t>
      </w:r>
      <w:r w:rsidDel="00000000" w:rsidR="00000000" w:rsidRPr="00000000">
        <w:rPr>
          <w:color w:val="262626"/>
          <w:highlight w:val="white"/>
          <w:rtl w:val="0"/>
        </w:rPr>
        <w:t xml:space="preserve">for example, a charge for voluntarily causing hurt under section 323 of the Penal Code which carries a maximum 3-year jail term, can be extended for an </w:t>
      </w:r>
      <w:r w:rsidDel="00000000" w:rsidR="00000000" w:rsidRPr="00000000">
        <w:rPr>
          <w:b w:val="1"/>
          <w:color w:val="262626"/>
          <w:highlight w:val="white"/>
          <w:rtl w:val="0"/>
        </w:rPr>
        <w:t xml:space="preserve">indeterminate period</w:t>
      </w:r>
      <w:r w:rsidDel="00000000" w:rsidR="00000000" w:rsidRPr="00000000">
        <w:rPr>
          <w:color w:val="262626"/>
          <w:highlight w:val="white"/>
          <w:rtl w:val="0"/>
        </w:rPr>
        <w:t xml:space="preserve"> of between 5 and </w:t>
      </w:r>
      <w:r w:rsidDel="00000000" w:rsidR="00000000" w:rsidRPr="00000000">
        <w:rPr>
          <w:color w:val="262626"/>
          <w:rtl w:val="0"/>
        </w:rPr>
        <w:t xml:space="preserve">20</w:t>
      </w:r>
      <w:r w:rsidDel="00000000" w:rsidR="00000000" w:rsidRPr="00000000">
        <w:rPr>
          <w:color w:val="262626"/>
          <w:highlight w:val="white"/>
          <w:rtl w:val="0"/>
        </w:rPr>
        <w:t xml:space="preserve"> years. The proposed detention is being done in the name of ‘public protection’, and also that the prisoner can undergo ‘rehabilitation programmes.’ A proposed ‘Detention Review Board’ will be convened on a yearly basis to determine if the prisoner is fit for release.</w:t>
      </w:r>
    </w:p>
    <w:p w:rsidR="00000000" w:rsidDel="00000000" w:rsidP="00000000" w:rsidRDefault="00000000" w:rsidRPr="00000000" w14:paraId="0000020F">
      <w:pPr>
        <w:spacing w:after="0" w:before="0" w:line="276" w:lineRule="auto"/>
        <w:ind w:left="720" w:firstLine="0"/>
        <w:jc w:val="both"/>
        <w:rPr>
          <w:color w:val="262626"/>
          <w:highlight w:val="white"/>
        </w:rPr>
      </w:pPr>
      <w:r w:rsidDel="00000000" w:rsidR="00000000" w:rsidRPr="00000000">
        <w:rPr>
          <w:rtl w:val="0"/>
        </w:rPr>
      </w:r>
    </w:p>
    <w:p w:rsidR="00000000" w:rsidDel="00000000" w:rsidP="00000000" w:rsidRDefault="00000000" w:rsidRPr="00000000" w14:paraId="00000210">
      <w:pPr>
        <w:spacing w:after="0" w:before="0" w:line="276" w:lineRule="auto"/>
        <w:ind w:left="0" w:firstLine="0"/>
        <w:jc w:val="both"/>
        <w:rPr>
          <w:color w:val="262626"/>
          <w:highlight w:val="white"/>
        </w:rPr>
      </w:pPr>
      <w:r w:rsidDel="00000000" w:rsidR="00000000" w:rsidRPr="00000000">
        <w:rPr>
          <w:color w:val="262626"/>
          <w:highlight w:val="white"/>
          <w:u w:val="single"/>
          <w:rtl w:val="0"/>
        </w:rPr>
        <w:t xml:space="preserve">Indeterminate sentencing prejudicial to rule-of-law</w:t>
      </w:r>
      <w:r w:rsidDel="00000000" w:rsidR="00000000" w:rsidRPr="00000000">
        <w:rPr>
          <w:color w:val="262626"/>
          <w:highlight w:val="white"/>
          <w:rtl w:val="0"/>
        </w:rPr>
        <w:br w:type="textWrapping"/>
      </w:r>
    </w:p>
    <w:p w:rsidR="00000000" w:rsidDel="00000000" w:rsidP="00000000" w:rsidRDefault="00000000" w:rsidRPr="00000000" w14:paraId="000002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color w:val="262626"/>
          <w:rtl w:val="0"/>
        </w:rPr>
        <w:t xml:space="preserve">Indeterminate sentencing of between 5 and 20 years is prejudicial to the separation </w:t>
      </w:r>
      <w:r w:rsidDel="00000000" w:rsidR="00000000" w:rsidRPr="00000000">
        <w:rPr>
          <w:color w:val="262626"/>
          <w:highlight w:val="white"/>
          <w:rtl w:val="0"/>
        </w:rPr>
        <w:t xml:space="preserve">between</w:t>
      </w:r>
      <w:r w:rsidDel="00000000" w:rsidR="00000000" w:rsidRPr="00000000">
        <w:rPr>
          <w:color w:val="262626"/>
          <w:rtl w:val="0"/>
        </w:rPr>
        <w:t xml:space="preserve"> executive and judicial decision-making. It effectively allows the Minister to substitute the judge’s decision-making with their own, and places too much power in the hands of the Minister to decide how long an offender should be imprisoned. </w:t>
      </w:r>
    </w:p>
    <w:p w:rsidR="00000000" w:rsidDel="00000000" w:rsidP="00000000" w:rsidRDefault="00000000" w:rsidRPr="00000000" w14:paraId="00000212">
      <w:pPr>
        <w:spacing w:after="0" w:before="0" w:line="276" w:lineRule="auto"/>
        <w:ind w:left="720" w:firstLine="0"/>
        <w:jc w:val="both"/>
        <w:rPr>
          <w:color w:val="262626"/>
        </w:rPr>
      </w:pPr>
      <w:r w:rsidDel="00000000" w:rsidR="00000000" w:rsidRPr="00000000">
        <w:rPr>
          <w:rtl w:val="0"/>
        </w:rPr>
      </w:r>
    </w:p>
    <w:p w:rsidR="00000000" w:rsidDel="00000000" w:rsidP="00000000" w:rsidRDefault="00000000" w:rsidRPr="00000000" w14:paraId="000002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color w:val="262626"/>
          <w:rtl w:val="0"/>
        </w:rPr>
        <w:t xml:space="preserve">Many details are also unclear in the proposed annual review by a Detention Review Board (DRB) to assess an offender’s suitability for release before the 20-year maximum period, many details are unclear: Who will be the members of the board? What criteria will they use </w:t>
      </w:r>
      <w:r w:rsidDel="00000000" w:rsidR="00000000" w:rsidRPr="00000000">
        <w:rPr>
          <w:color w:val="262626"/>
          <w:highlight w:val="white"/>
          <w:rtl w:val="0"/>
        </w:rPr>
        <w:t xml:space="preserve">to</w:t>
      </w:r>
      <w:r w:rsidDel="00000000" w:rsidR="00000000" w:rsidRPr="00000000">
        <w:rPr>
          <w:color w:val="262626"/>
          <w:rtl w:val="0"/>
        </w:rPr>
        <w:t xml:space="preserve"> determine whether an inmate is fit for release? Will the board be an independent body? There has to be more transparency on this.</w:t>
        <w:br w:type="textWrapping"/>
      </w:r>
      <w:r w:rsidDel="00000000" w:rsidR="00000000" w:rsidRPr="00000000">
        <w:rPr>
          <w:color w:val="505252"/>
          <w:highlight w:val="white"/>
          <w:rtl w:val="0"/>
        </w:rPr>
        <w:t xml:space="preserve"> </w:t>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color w:val="505252"/>
          <w:highlight w:val="white"/>
        </w:rPr>
      </w:pPr>
      <w:r w:rsidDel="00000000" w:rsidR="00000000" w:rsidRPr="00000000">
        <w:rPr>
          <w:rtl w:val="0"/>
        </w:rPr>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highlight w:val="white"/>
          <w:u w:val="single"/>
        </w:rPr>
      </w:pPr>
      <w:r w:rsidDel="00000000" w:rsidR="00000000" w:rsidRPr="00000000">
        <w:rPr>
          <w:color w:val="262626"/>
          <w:highlight w:val="white"/>
          <w:u w:val="single"/>
          <w:rtl w:val="0"/>
        </w:rPr>
        <w:t xml:space="preserve">Defining</w:t>
      </w:r>
      <w:r w:rsidDel="00000000" w:rsidR="00000000" w:rsidRPr="00000000">
        <w:rPr>
          <w:highlight w:val="white"/>
          <w:u w:val="single"/>
          <w:rtl w:val="0"/>
        </w:rPr>
        <w:t xml:space="preserve"> ‘egregious cases’</w:t>
        <w:br w:type="textWrapping"/>
      </w:r>
    </w:p>
    <w:p w:rsidR="00000000" w:rsidDel="00000000" w:rsidP="00000000" w:rsidRDefault="00000000" w:rsidRPr="00000000" w14:paraId="000002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highlight w:val="white"/>
          <w:rtl w:val="0"/>
        </w:rPr>
        <w:t xml:space="preserve">The </w:t>
      </w:r>
      <w:r w:rsidDel="00000000" w:rsidR="00000000" w:rsidRPr="00000000">
        <w:rPr>
          <w:color w:val="262626"/>
          <w:highlight w:val="white"/>
          <w:rtl w:val="0"/>
        </w:rPr>
        <w:t xml:space="preserve">government</w:t>
      </w:r>
      <w:r w:rsidDel="00000000" w:rsidR="00000000" w:rsidRPr="00000000">
        <w:rPr>
          <w:highlight w:val="white"/>
          <w:rtl w:val="0"/>
        </w:rPr>
        <w:t xml:space="preserve"> has said that they have seen ‘egregious cases’ from repeat offenders after they were released from prison that the scheme is intended to address. However, justifying the need for the DPP and</w:t>
      </w:r>
      <w:r w:rsidDel="00000000" w:rsidR="00000000" w:rsidRPr="00000000">
        <w:rPr>
          <w:color w:val="262626"/>
          <w:rtl w:val="0"/>
        </w:rPr>
        <w:t xml:space="preserve"> </w:t>
      </w:r>
      <w:r w:rsidDel="00000000" w:rsidR="00000000" w:rsidRPr="00000000">
        <w:rPr>
          <w:highlight w:val="white"/>
          <w:rtl w:val="0"/>
        </w:rPr>
        <w:t xml:space="preserve">the EPD scheme on this basis requires clearer empirical data that should be provided to the public by the government.</w:t>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highlight w:val="white"/>
        </w:rPr>
      </w:pPr>
      <w:r w:rsidDel="00000000" w:rsidR="00000000" w:rsidRPr="00000000">
        <w:rPr>
          <w:rtl w:val="0"/>
        </w:rPr>
      </w:r>
    </w:p>
    <w:p w:rsidR="00000000" w:rsidDel="00000000" w:rsidP="00000000" w:rsidRDefault="00000000" w:rsidRPr="00000000" w14:paraId="00000218">
      <w:pPr>
        <w:numPr>
          <w:ilvl w:val="1"/>
          <w:numId w:val="2"/>
        </w:numPr>
        <w:shd w:fill="ffffff" w:val="clear"/>
        <w:spacing w:after="0" w:before="0" w:line="276" w:lineRule="auto"/>
        <w:ind w:left="1440" w:hanging="360"/>
        <w:jc w:val="both"/>
        <w:rPr>
          <w:highlight w:val="white"/>
        </w:rPr>
      </w:pPr>
      <w:r w:rsidDel="00000000" w:rsidR="00000000" w:rsidRPr="00000000">
        <w:rPr>
          <w:highlight w:val="white"/>
          <w:rtl w:val="0"/>
        </w:rPr>
        <w:t xml:space="preserve">How is egregious defined? For such cases, what is the percentage of repeat offenders? </w:t>
      </w:r>
    </w:p>
    <w:p w:rsidR="00000000" w:rsidDel="00000000" w:rsidP="00000000" w:rsidRDefault="00000000" w:rsidRPr="00000000" w14:paraId="00000219">
      <w:pPr>
        <w:numPr>
          <w:ilvl w:val="1"/>
          <w:numId w:val="2"/>
        </w:numPr>
        <w:shd w:fill="ffffff" w:val="clear"/>
        <w:spacing w:after="0" w:before="0" w:line="276" w:lineRule="auto"/>
        <w:ind w:left="1440" w:hanging="360"/>
        <w:jc w:val="both"/>
        <w:rPr>
          <w:highlight w:val="white"/>
        </w:rPr>
      </w:pPr>
      <w:r w:rsidDel="00000000" w:rsidR="00000000" w:rsidRPr="00000000">
        <w:rPr>
          <w:highlight w:val="white"/>
          <w:rtl w:val="0"/>
        </w:rPr>
        <w:t xml:space="preserve">What were the economic or social circumstances of these individuals between the time they were released and when </w:t>
      </w:r>
      <w:r w:rsidDel="00000000" w:rsidR="00000000" w:rsidRPr="00000000">
        <w:rPr>
          <w:highlight w:val="white"/>
          <w:rtl w:val="0"/>
        </w:rPr>
        <w:t xml:space="preserve">they re-offended</w:t>
      </w:r>
      <w:r w:rsidDel="00000000" w:rsidR="00000000" w:rsidRPr="00000000">
        <w:rPr>
          <w:highlight w:val="white"/>
          <w:rtl w:val="0"/>
        </w:rPr>
        <w:t xml:space="preserve">? </w:t>
      </w:r>
    </w:p>
    <w:p w:rsidR="00000000" w:rsidDel="00000000" w:rsidP="00000000" w:rsidRDefault="00000000" w:rsidRPr="00000000" w14:paraId="0000021A">
      <w:pPr>
        <w:numPr>
          <w:ilvl w:val="1"/>
          <w:numId w:val="2"/>
        </w:numPr>
        <w:shd w:fill="ffffff" w:val="clear"/>
        <w:spacing w:after="0" w:before="0" w:line="276" w:lineRule="auto"/>
        <w:ind w:left="1440" w:hanging="360"/>
        <w:jc w:val="both"/>
        <w:rPr>
          <w:highlight w:val="white"/>
        </w:rPr>
      </w:pPr>
      <w:r w:rsidDel="00000000" w:rsidR="00000000" w:rsidRPr="00000000">
        <w:rPr>
          <w:highlight w:val="white"/>
          <w:rtl w:val="0"/>
        </w:rPr>
        <w:t xml:space="preserve">Were they diagnosed with mental health problems before? </w:t>
      </w:r>
    </w:p>
    <w:p w:rsidR="00000000" w:rsidDel="00000000" w:rsidP="00000000" w:rsidRDefault="00000000" w:rsidRPr="00000000" w14:paraId="0000021B">
      <w:pPr>
        <w:numPr>
          <w:ilvl w:val="1"/>
          <w:numId w:val="2"/>
        </w:numPr>
        <w:shd w:fill="ffffff" w:val="clear"/>
        <w:spacing w:after="0" w:before="0" w:line="276" w:lineRule="auto"/>
        <w:ind w:left="1440" w:hanging="360"/>
        <w:jc w:val="both"/>
        <w:rPr>
          <w:highlight w:val="white"/>
        </w:rPr>
      </w:pPr>
      <w:r w:rsidDel="00000000" w:rsidR="00000000" w:rsidRPr="00000000">
        <w:rPr>
          <w:highlight w:val="white"/>
          <w:rtl w:val="0"/>
        </w:rPr>
        <w:t xml:space="preserve">What types of rehabilitation programmes did they participate in while they were in prison and when they were released? </w:t>
      </w:r>
    </w:p>
    <w:p w:rsidR="00000000" w:rsidDel="00000000" w:rsidP="00000000" w:rsidRDefault="00000000" w:rsidRPr="00000000" w14:paraId="0000021C">
      <w:pPr>
        <w:numPr>
          <w:ilvl w:val="1"/>
          <w:numId w:val="2"/>
        </w:numPr>
        <w:shd w:fill="ffffff" w:val="clear"/>
        <w:spacing w:after="0" w:before="0" w:line="276" w:lineRule="auto"/>
        <w:ind w:left="1440" w:hanging="360"/>
        <w:jc w:val="both"/>
        <w:rPr>
          <w:highlight w:val="white"/>
        </w:rPr>
      </w:pPr>
      <w:r w:rsidDel="00000000" w:rsidR="00000000" w:rsidRPr="00000000">
        <w:rPr>
          <w:highlight w:val="white"/>
          <w:rtl w:val="0"/>
        </w:rPr>
        <w:t xml:space="preserve">What post-incarceration support aimed at reducing the risk of reoffending and promoting reintegration has been provided to individuals who have been under the PD scheme? Is this support adequate?</w:t>
        <w:br w:type="textWrapping"/>
      </w:r>
      <w:r w:rsidDel="00000000" w:rsidR="00000000" w:rsidRPr="00000000">
        <w:rPr>
          <w:rtl w:val="0"/>
        </w:rPr>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highlight w:val="white"/>
        </w:rPr>
      </w:pPr>
      <w:r w:rsidDel="00000000" w:rsidR="00000000" w:rsidRPr="00000000">
        <w:rPr>
          <w:highlight w:val="white"/>
          <w:u w:val="single"/>
          <w:rtl w:val="0"/>
        </w:rPr>
        <w:t xml:space="preserve">Impact of indeterminate sentences</w:t>
      </w:r>
      <w:r w:rsidDel="00000000" w:rsidR="00000000" w:rsidRPr="00000000">
        <w:rPr>
          <w:highlight w:val="white"/>
          <w:rtl w:val="0"/>
        </w:rPr>
        <w:br w:type="textWrapping"/>
        <w:tab/>
      </w:r>
    </w:p>
    <w:p w:rsidR="00000000" w:rsidDel="00000000" w:rsidP="00000000" w:rsidRDefault="00000000" w:rsidRPr="00000000" w14:paraId="000002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highlight w:val="white"/>
          <w:rtl w:val="0"/>
        </w:rPr>
        <w:t xml:space="preserve">In the UK, it has been found that inmates serving indeterminate sentences have a significantly higher incidence of mental health problems than the rest of the prison population, and makes it harder for families to support them in their reintegration to society. They also say that the mental disorders of these individuals may be pre-existing conditions and contributed to their offending behaviours. (Straub, Annison). Are similar assessments being done in Singapore? Some criminological research has also shown that prolonged incarceration inhibits efforts for integration and rehabilitation.  We are concerned that the government may be conflating ‘dangerousness’ with mental illness. </w:t>
        <w:br w:type="textWrapping"/>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highlight w:val="white"/>
          <w:u w:val="single"/>
        </w:rPr>
      </w:pPr>
      <w:r w:rsidDel="00000000" w:rsidR="00000000" w:rsidRPr="00000000">
        <w:rPr>
          <w:highlight w:val="white"/>
          <w:u w:val="single"/>
          <w:rtl w:val="0"/>
        </w:rPr>
        <w:t xml:space="preserve">Defining ‘dangerous’ individuals:</w:t>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highlight w:val="white"/>
          <w:u w:val="single"/>
        </w:rPr>
      </w:pPr>
      <w:r w:rsidDel="00000000" w:rsidR="00000000" w:rsidRPr="00000000">
        <w:rPr>
          <w:rtl w:val="0"/>
        </w:rPr>
      </w:r>
    </w:p>
    <w:p w:rsidR="00000000" w:rsidDel="00000000" w:rsidP="00000000" w:rsidRDefault="00000000" w:rsidRPr="00000000" w14:paraId="00000221">
      <w:pPr>
        <w:numPr>
          <w:ilvl w:val="1"/>
          <w:numId w:val="2"/>
        </w:numPr>
        <w:shd w:fill="ffffff" w:val="clear"/>
        <w:spacing w:after="0" w:before="0" w:line="276" w:lineRule="auto"/>
        <w:ind w:left="1440" w:hanging="360"/>
        <w:jc w:val="both"/>
        <w:rPr>
          <w:highlight w:val="white"/>
        </w:rPr>
      </w:pPr>
      <w:r w:rsidDel="00000000" w:rsidR="00000000" w:rsidRPr="00000000">
        <w:rPr>
          <w:highlight w:val="white"/>
          <w:rtl w:val="0"/>
        </w:rPr>
        <w:t xml:space="preserve">How is ‘dangerous’ defined beyond reference to their previous offence?</w:t>
      </w:r>
    </w:p>
    <w:p w:rsidR="00000000" w:rsidDel="00000000" w:rsidP="00000000" w:rsidRDefault="00000000" w:rsidRPr="00000000" w14:paraId="00000222">
      <w:pPr>
        <w:numPr>
          <w:ilvl w:val="1"/>
          <w:numId w:val="2"/>
        </w:numPr>
        <w:shd w:fill="ffffff" w:val="clear"/>
        <w:spacing w:after="0" w:before="0" w:line="276" w:lineRule="auto"/>
        <w:ind w:left="1440" w:hanging="360"/>
        <w:jc w:val="both"/>
        <w:rPr>
          <w:highlight w:val="white"/>
        </w:rPr>
      </w:pPr>
      <w:r w:rsidDel="00000000" w:rsidR="00000000" w:rsidRPr="00000000">
        <w:rPr>
          <w:highlight w:val="white"/>
          <w:rtl w:val="0"/>
        </w:rPr>
        <w:t xml:space="preserve">At what level of ‘dangerous’, should an offender be incarcerated indeterminately, rather than receive a fixed sentence? </w:t>
      </w:r>
    </w:p>
    <w:p w:rsidR="00000000" w:rsidDel="00000000" w:rsidP="00000000" w:rsidRDefault="00000000" w:rsidRPr="00000000" w14:paraId="00000223">
      <w:pPr>
        <w:numPr>
          <w:ilvl w:val="1"/>
          <w:numId w:val="2"/>
        </w:numPr>
        <w:shd w:fill="ffffff" w:val="clear"/>
        <w:spacing w:after="0" w:before="0" w:line="276" w:lineRule="auto"/>
        <w:ind w:left="1440" w:hanging="360"/>
        <w:jc w:val="both"/>
        <w:rPr>
          <w:highlight w:val="white"/>
        </w:rPr>
      </w:pPr>
      <w:r w:rsidDel="00000000" w:rsidR="00000000" w:rsidRPr="00000000">
        <w:rPr>
          <w:highlight w:val="white"/>
          <w:rtl w:val="0"/>
        </w:rPr>
        <w:t xml:space="preserve">What criteria will be used to determine if someone is ‘safe’ for release? What risk assessment tools are being used to determine ‘dangerousness’? If risk assessment tools are used, have their efficacy been reviewed or studied? </w:t>
      </w:r>
    </w:p>
    <w:p w:rsidR="00000000" w:rsidDel="00000000" w:rsidP="00000000" w:rsidRDefault="00000000" w:rsidRPr="00000000" w14:paraId="00000224">
      <w:pPr>
        <w:numPr>
          <w:ilvl w:val="1"/>
          <w:numId w:val="2"/>
        </w:numPr>
        <w:shd w:fill="ffffff" w:val="clear"/>
        <w:spacing w:after="0" w:before="0" w:line="276" w:lineRule="auto"/>
        <w:ind w:left="1440" w:hanging="360"/>
        <w:jc w:val="both"/>
        <w:rPr>
          <w:highlight w:val="white"/>
        </w:rPr>
      </w:pPr>
      <w:r w:rsidDel="00000000" w:rsidR="00000000" w:rsidRPr="00000000">
        <w:rPr>
          <w:highlight w:val="white"/>
          <w:rtl w:val="0"/>
        </w:rPr>
        <w:t xml:space="preserve">Does this risk assessment account for the impact of incarceration itself on the likelihood to reoffend? Does this risk assessment account for support that can be provided to the offender that make them less ‘dangerous’?</w:t>
        <w:br w:type="textWrapping"/>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highlight w:val="white"/>
          <w:u w:val="single"/>
        </w:rPr>
      </w:pPr>
      <w:r w:rsidDel="00000000" w:rsidR="00000000" w:rsidRPr="00000000">
        <w:rPr>
          <w:rtl w:val="0"/>
        </w:rPr>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highlight w:val="white"/>
          <w:u w:val="single"/>
        </w:rPr>
      </w:pPr>
      <w:r w:rsidDel="00000000" w:rsidR="00000000" w:rsidRPr="00000000">
        <w:rPr>
          <w:rtl w:val="0"/>
        </w:rPr>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highlight w:val="white"/>
          <w:u w:val="single"/>
        </w:rPr>
      </w:pPr>
      <w:r w:rsidDel="00000000" w:rsidR="00000000" w:rsidRPr="00000000">
        <w:rPr>
          <w:rtl w:val="0"/>
        </w:rPr>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highlight w:val="white"/>
          <w:u w:val="single"/>
        </w:rPr>
      </w:pPr>
      <w:r w:rsidDel="00000000" w:rsidR="00000000" w:rsidRPr="00000000">
        <w:rPr>
          <w:highlight w:val="white"/>
          <w:u w:val="single"/>
          <w:rtl w:val="0"/>
        </w:rPr>
        <w:t xml:space="preserve">Recommendation</w:t>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highlight w:val="white"/>
          <w:u w:val="single"/>
        </w:rPr>
      </w:pPr>
      <w:r w:rsidDel="00000000" w:rsidR="00000000" w:rsidRPr="00000000">
        <w:rPr>
          <w:rtl w:val="0"/>
        </w:rPr>
      </w:r>
    </w:p>
    <w:p w:rsidR="00000000" w:rsidDel="00000000" w:rsidP="00000000" w:rsidRDefault="00000000" w:rsidRPr="00000000" w14:paraId="000002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630"/>
        <w:jc w:val="both"/>
        <w:rPr>
          <w:color w:val="262626"/>
        </w:rPr>
      </w:pPr>
      <w:r w:rsidDel="00000000" w:rsidR="00000000" w:rsidRPr="00000000">
        <w:rPr>
          <w:color w:val="262626"/>
          <w:rtl w:val="0"/>
        </w:rPr>
        <w:t xml:space="preserve">Undertake a review of the detention for public protection regime with the view of </w:t>
      </w:r>
      <w:r w:rsidDel="00000000" w:rsidR="00000000" w:rsidRPr="00000000">
        <w:rPr>
          <w:color w:val="262626"/>
          <w:highlight w:val="white"/>
          <w:rtl w:val="0"/>
        </w:rPr>
        <w:t xml:space="preserve">abolishing</w:t>
      </w:r>
      <w:r w:rsidDel="00000000" w:rsidR="00000000" w:rsidRPr="00000000">
        <w:rPr>
          <w:color w:val="262626"/>
          <w:rtl w:val="0"/>
        </w:rPr>
        <w:t xml:space="preserve"> it in future, and instead devote resources towards programmes aimed at rehabilitation, integration and sustainable livelihoods for persons in conflict with the law. </w:t>
      </w:r>
    </w:p>
    <w:p w:rsidR="00000000" w:rsidDel="00000000" w:rsidP="00000000" w:rsidRDefault="00000000" w:rsidRPr="00000000" w14:paraId="0000022B">
      <w:pPr>
        <w:spacing w:after="0" w:before="0" w:line="276" w:lineRule="auto"/>
        <w:ind w:left="720" w:firstLine="0"/>
        <w:jc w:val="both"/>
        <w:rPr>
          <w:color w:val="262626"/>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9">
    <w:p w:rsidR="00000000" w:rsidDel="00000000" w:rsidP="00000000" w:rsidRDefault="00000000" w:rsidRPr="00000000" w14:paraId="000002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Rules 45(1), Mandela Rules</w:t>
      </w:r>
    </w:p>
  </w:footnote>
  <w:footnote w:id="20">
    <w:p w:rsidR="00000000" w:rsidDel="00000000" w:rsidP="00000000" w:rsidRDefault="00000000" w:rsidRPr="00000000" w14:paraId="000002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Rule 43, Mandela Rules </w:t>
      </w:r>
    </w:p>
  </w:footnote>
  <w:footnote w:id="21">
    <w:p w:rsidR="00000000" w:rsidDel="00000000" w:rsidP="00000000" w:rsidRDefault="00000000" w:rsidRPr="00000000" w14:paraId="000002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Rule 44, Mandela Rules </w:t>
      </w:r>
    </w:p>
  </w:footnote>
  <w:footnote w:id="22">
    <w:p w:rsidR="00000000" w:rsidDel="00000000" w:rsidP="00000000" w:rsidRDefault="00000000" w:rsidRPr="00000000" w14:paraId="000002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Rule 45(1), Mandela Rules</w:t>
      </w:r>
    </w:p>
  </w:footnote>
  <w:footnote w:id="23">
    <w:p w:rsidR="00000000" w:rsidDel="00000000" w:rsidP="00000000" w:rsidRDefault="00000000" w:rsidRPr="00000000" w14:paraId="0000023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Section 74, Prisons Act </w:t>
      </w:r>
    </w:p>
  </w:footnote>
  <w:footnote w:id="24">
    <w:p w:rsidR="00000000" w:rsidDel="00000000" w:rsidP="00000000" w:rsidRDefault="00000000" w:rsidRPr="00000000" w14:paraId="000002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Section 74, Prisons Act </w:t>
      </w:r>
    </w:p>
  </w:footnote>
  <w:footnote w:id="25">
    <w:p w:rsidR="00000000" w:rsidDel="00000000" w:rsidP="00000000" w:rsidRDefault="00000000" w:rsidRPr="00000000" w14:paraId="000002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Rules 51 and 52, Mandela Rules</w:t>
      </w:r>
    </w:p>
  </w:footnote>
  <w:footnote w:id="26">
    <w:p w:rsidR="00000000" w:rsidDel="00000000" w:rsidP="00000000" w:rsidRDefault="00000000" w:rsidRPr="00000000" w14:paraId="000002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ICRC Handbook, page 60</w:t>
      </w:r>
    </w:p>
  </w:footnote>
  <w:footnote w:id="27">
    <w:p w:rsidR="00000000" w:rsidDel="00000000" w:rsidP="00000000" w:rsidRDefault="00000000" w:rsidRPr="00000000" w14:paraId="0000023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Mandela Rules 23</w:t>
      </w:r>
    </w:p>
  </w:footnote>
  <w:footnote w:id="28">
    <w:p w:rsidR="00000000" w:rsidDel="00000000" w:rsidP="00000000" w:rsidRDefault="00000000" w:rsidRPr="00000000" w14:paraId="0000023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ICRC, page 18 </w:t>
      </w:r>
    </w:p>
  </w:footnote>
  <w:footnote w:id="29">
    <w:p w:rsidR="00000000" w:rsidDel="00000000" w:rsidP="00000000" w:rsidRDefault="00000000" w:rsidRPr="00000000" w14:paraId="0000023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The Straits TImes, ‘5000 inmates, staff volunteers to be tested for Covid-19 at Changi Prison</w:t>
      </w:r>
      <w:r w:rsidDel="00000000" w:rsidR="00000000" w:rsidRPr="00000000">
        <w:rPr>
          <w:sz w:val="20"/>
          <w:szCs w:val="20"/>
          <w:rtl w:val="0"/>
        </w:rPr>
        <w:t xml:space="preserve">’, accessed here: </w:t>
      </w:r>
      <w:hyperlink r:id="rId1">
        <w:r w:rsidDel="00000000" w:rsidR="00000000" w:rsidRPr="00000000">
          <w:rPr>
            <w:color w:val="1155cc"/>
            <w:sz w:val="20"/>
            <w:szCs w:val="20"/>
            <w:u w:val="single"/>
            <w:rtl w:val="0"/>
          </w:rPr>
          <w:t xml:space="preserve">https://www.straitstimes.com/singapore/5000-inmates-staff-vendors-and-volunteers-to-be-tested-for-covid-19-at-changi-prison</w:t>
        </w:r>
      </w:hyperlink>
      <w:r w:rsidDel="00000000" w:rsidR="00000000" w:rsidRPr="00000000">
        <w:rPr>
          <w:sz w:val="20"/>
          <w:szCs w:val="20"/>
          <w:rtl w:val="0"/>
        </w:rPr>
        <w:t xml:space="preserve"> </w:t>
      </w:r>
    </w:p>
  </w:footnote>
  <w:footnote w:id="30">
    <w:p w:rsidR="00000000" w:rsidDel="00000000" w:rsidP="00000000" w:rsidRDefault="00000000" w:rsidRPr="00000000" w14:paraId="0000023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Rule 58, Mandela Rules </w:t>
      </w:r>
    </w:p>
  </w:footnote>
  <w:footnote w:id="31">
    <w:p w:rsidR="00000000" w:rsidDel="00000000" w:rsidP="00000000" w:rsidRDefault="00000000" w:rsidRPr="00000000" w14:paraId="0000023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Section 127, Prison Regulations </w:t>
      </w:r>
    </w:p>
  </w:footnote>
  <w:footnote w:id="32">
    <w:p w:rsidR="00000000" w:rsidDel="00000000" w:rsidP="00000000" w:rsidRDefault="00000000" w:rsidRPr="00000000" w14:paraId="0000023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Section 132, Prison Regulations </w:t>
      </w:r>
    </w:p>
  </w:footnote>
  <w:footnote w:id="33">
    <w:p w:rsidR="00000000" w:rsidDel="00000000" w:rsidP="00000000" w:rsidRDefault="00000000" w:rsidRPr="00000000" w14:paraId="000002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Section 127(4), Prison Regulations </w:t>
      </w:r>
    </w:p>
  </w:footnote>
  <w:footnote w:id="34">
    <w:p w:rsidR="00000000" w:rsidDel="00000000" w:rsidP="00000000" w:rsidRDefault="00000000" w:rsidRPr="00000000" w14:paraId="000002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Section 127A, Prison Regulations </w:t>
      </w:r>
    </w:p>
  </w:footnote>
  <w:footnote w:id="36">
    <w:p w:rsidR="00000000" w:rsidDel="00000000" w:rsidP="00000000" w:rsidRDefault="00000000" w:rsidRPr="00000000" w14:paraId="000002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Chok, Stephanie (2018): Rehabilitation, Recidivism, and Reintegration: An Examination of Singapore’s Penal System for Drug Offenders</w:t>
      </w:r>
    </w:p>
    <w:p w:rsidR="00000000" w:rsidDel="00000000" w:rsidP="00000000" w:rsidRDefault="00000000" w:rsidRPr="00000000" w14:paraId="0000023D">
      <w:pPr>
        <w:spacing w:line="240" w:lineRule="auto"/>
        <w:rPr>
          <w:sz w:val="20"/>
          <w:szCs w:val="20"/>
        </w:rPr>
      </w:pPr>
      <w:r w:rsidDel="00000000" w:rsidR="00000000" w:rsidRPr="00000000">
        <w:rPr>
          <w:rtl w:val="0"/>
        </w:rPr>
      </w:r>
    </w:p>
  </w:footnote>
  <w:footnote w:id="37">
    <w:p w:rsidR="00000000" w:rsidDel="00000000" w:rsidP="00000000" w:rsidRDefault="00000000" w:rsidRPr="00000000" w14:paraId="0000023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To link to this article: </w:t>
      </w:r>
      <w:hyperlink r:id="rId2">
        <w:r w:rsidDel="00000000" w:rsidR="00000000" w:rsidRPr="00000000">
          <w:rPr>
            <w:color w:val="1155cc"/>
            <w:sz w:val="20"/>
            <w:szCs w:val="20"/>
            <w:u w:val="single"/>
            <w:rtl w:val="0"/>
          </w:rPr>
          <w:t xml:space="preserve">https://doi.org/10.1080/01924036.2015.1054113</w:t>
        </w:r>
      </w:hyperlink>
      <w:r w:rsidDel="00000000" w:rsidR="00000000" w:rsidRPr="00000000">
        <w:rPr>
          <w:sz w:val="20"/>
          <w:szCs w:val="20"/>
          <w:rtl w:val="0"/>
        </w:rPr>
        <w:t xml:space="preserve"> </w:t>
      </w:r>
    </w:p>
  </w:footnote>
  <w:footnote w:id="38">
    <w:p w:rsidR="00000000" w:rsidDel="00000000" w:rsidP="00000000" w:rsidRDefault="00000000" w:rsidRPr="00000000" w14:paraId="000002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w:t>
      </w:r>
      <w:hyperlink r:id="rId3">
        <w:r w:rsidDel="00000000" w:rsidR="00000000" w:rsidRPr="00000000">
          <w:rPr>
            <w:color w:val="1155cc"/>
            <w:sz w:val="20"/>
            <w:szCs w:val="20"/>
            <w:u w:val="single"/>
            <w:rtl w:val="0"/>
          </w:rPr>
          <w:t xml:space="preserve">ttps://www.mha.gov.sg/mediaroom/parliamentary/written-reply-to-pq-on-cases-of-canings-administered-by-the-singapore-prison-service-without-judicial-sentencing-over-the-past-10-years</w:t>
        </w:r>
      </w:hyperlink>
      <w:r w:rsidDel="00000000" w:rsidR="00000000" w:rsidRPr="00000000">
        <w:rPr>
          <w:sz w:val="20"/>
          <w:szCs w:val="20"/>
          <w:rtl w:val="0"/>
        </w:rPr>
        <w:t xml:space="preserve"> </w:t>
      </w:r>
    </w:p>
  </w:footnote>
  <w:footnote w:id="40">
    <w:p w:rsidR="00000000" w:rsidDel="00000000" w:rsidP="00000000" w:rsidRDefault="00000000" w:rsidRPr="00000000" w14:paraId="000002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color w:val="1155cc"/>
            <w:sz w:val="20"/>
            <w:szCs w:val="20"/>
            <w:u w:val="single"/>
            <w:rtl w:val="0"/>
          </w:rPr>
          <w:t xml:space="preserve">https://sso.agc.gov.sg/Act/CPC2010</w:t>
        </w:r>
      </w:hyperlink>
      <w:r w:rsidDel="00000000" w:rsidR="00000000" w:rsidRPr="00000000">
        <w:rPr>
          <w:sz w:val="20"/>
          <w:szCs w:val="20"/>
          <w:rtl w:val="0"/>
        </w:rPr>
        <w:t xml:space="preserve"> </w:t>
      </w:r>
    </w:p>
  </w:footnote>
  <w:footnote w:id="41">
    <w:p w:rsidR="00000000" w:rsidDel="00000000" w:rsidP="00000000" w:rsidRDefault="00000000" w:rsidRPr="00000000" w14:paraId="0000024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5">
        <w:r w:rsidDel="00000000" w:rsidR="00000000" w:rsidRPr="00000000">
          <w:rPr>
            <w:color w:val="1155cc"/>
            <w:sz w:val="20"/>
            <w:szCs w:val="20"/>
            <w:u w:val="single"/>
            <w:rtl w:val="0"/>
          </w:rPr>
          <w:t xml:space="preserve">https://deathpenalty.org/death-penalty-worldwide/</w:t>
        </w:r>
      </w:hyperlink>
      <w:r w:rsidDel="00000000" w:rsidR="00000000" w:rsidRPr="00000000">
        <w:rPr>
          <w:sz w:val="20"/>
          <w:szCs w:val="20"/>
          <w:rtl w:val="0"/>
        </w:rPr>
        <w:t xml:space="preserve"> </w:t>
      </w:r>
    </w:p>
  </w:footnote>
  <w:footnote w:id="42">
    <w:p w:rsidR="00000000" w:rsidDel="00000000" w:rsidP="00000000" w:rsidRDefault="00000000" w:rsidRPr="00000000" w14:paraId="000002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color w:val="1155cc"/>
            <w:sz w:val="20"/>
            <w:szCs w:val="20"/>
            <w:u w:val="single"/>
            <w:rtl w:val="0"/>
          </w:rPr>
          <w:t xml:space="preserve">https://www.hri.global/death-penalty-2020</w:t>
        </w:r>
      </w:hyperlink>
      <w:r w:rsidDel="00000000" w:rsidR="00000000" w:rsidRPr="00000000">
        <w:rPr>
          <w:sz w:val="20"/>
          <w:szCs w:val="20"/>
          <w:rtl w:val="0"/>
        </w:rPr>
        <w:t xml:space="preserve"> </w:t>
      </w:r>
    </w:p>
  </w:footnote>
  <w:footnote w:id="43">
    <w:p w:rsidR="00000000" w:rsidDel="00000000" w:rsidP="00000000" w:rsidRDefault="00000000" w:rsidRPr="00000000" w14:paraId="000002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Amnesty International (2017) Cooperate or Die: Singapore’s Flawed Reforms to the Mandatory Death Penalty. </w:t>
      </w:r>
    </w:p>
  </w:footnote>
  <w:footnote w:id="44">
    <w:p w:rsidR="00000000" w:rsidDel="00000000" w:rsidP="00000000" w:rsidRDefault="00000000" w:rsidRPr="00000000" w14:paraId="00000244">
      <w:pPr>
        <w:spacing w:line="240" w:lineRule="auto"/>
        <w:rPr>
          <w:sz w:val="20"/>
          <w:szCs w:val="20"/>
        </w:rPr>
      </w:pPr>
      <w:r w:rsidDel="00000000" w:rsidR="00000000" w:rsidRPr="00000000">
        <w:rPr>
          <w:rStyle w:val="FootnoteReference"/>
          <w:vertAlign w:val="superscript"/>
        </w:rPr>
        <w:footnoteRef/>
      </w:r>
      <w:hyperlink r:id="rId7">
        <w:r w:rsidDel="00000000" w:rsidR="00000000" w:rsidRPr="00000000">
          <w:rPr>
            <w:color w:val="1155cc"/>
            <w:sz w:val="20"/>
            <w:szCs w:val="20"/>
            <w:u w:val="single"/>
            <w:rtl w:val="0"/>
          </w:rPr>
          <w:t xml:space="preserve">https://www.mha.gov.sg/mediaroom/parliamentary/second-reading-of-foreign-interference-countermeasures-bill-speech-by-mr-k-shanmugam</w:t>
        </w:r>
      </w:hyperlink>
      <w:r w:rsidDel="00000000" w:rsidR="00000000" w:rsidRPr="00000000">
        <w:rPr>
          <w:sz w:val="20"/>
          <w:szCs w:val="20"/>
          <w:rtl w:val="0"/>
        </w:rPr>
        <w:t xml:space="preserve"> </w:t>
      </w:r>
    </w:p>
  </w:footnote>
  <w:footnote w:id="45">
    <w:p w:rsidR="00000000" w:rsidDel="00000000" w:rsidP="00000000" w:rsidRDefault="00000000" w:rsidRPr="00000000" w14:paraId="000002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Misuse of Drugs Act, s5(1), s7, s33, Sched. 2</w:t>
      </w:r>
    </w:p>
  </w:footnote>
  <w:footnote w:id="46">
    <w:p w:rsidR="00000000" w:rsidDel="00000000" w:rsidP="00000000" w:rsidRDefault="00000000" w:rsidRPr="00000000" w14:paraId="000002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Ramalingam Ravinthran v Attorney-General [2012] SGCA 2</w:t>
      </w:r>
      <w:r w:rsidDel="00000000" w:rsidR="00000000" w:rsidRPr="00000000">
        <w:rPr>
          <w:sz w:val="40"/>
          <w:szCs w:val="40"/>
          <w:rtl w:val="0"/>
        </w:rPr>
        <w:t xml:space="preserve"> </w:t>
      </w:r>
      <w:r w:rsidDel="00000000" w:rsidR="00000000" w:rsidRPr="00000000">
        <w:rPr>
          <w:rtl w:val="0"/>
        </w:rPr>
      </w:r>
    </w:p>
  </w:footnote>
  <w:footnote w:id="47">
    <w:p w:rsidR="00000000" w:rsidDel="00000000" w:rsidP="00000000" w:rsidRDefault="00000000" w:rsidRPr="00000000" w14:paraId="000002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Nagaenthran a/l K Dharmalingam v Public Prosecutor [2019] SGCA 37</w:t>
      </w:r>
    </w:p>
  </w:footnote>
  <w:footnote w:id="48">
    <w:p w:rsidR="00000000" w:rsidDel="00000000" w:rsidP="00000000" w:rsidRDefault="00000000" w:rsidRPr="00000000" w14:paraId="000002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Muhammad Ridzuan bin Mohd Ali v Attorney-General [2015] SGCA 53</w:t>
      </w:r>
    </w:p>
  </w:footnote>
  <w:footnote w:id="49">
    <w:p w:rsidR="00000000" w:rsidDel="00000000" w:rsidP="00000000" w:rsidRDefault="00000000" w:rsidRPr="00000000" w14:paraId="0000024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 one case this year, three individuals were  scheduled to be jointly tried in the High Court, each facing capital punishment for drug-related charges involving cannabis. Two individuals pleaded guilty and received prison sentences with caning, while the last individual was sentenced to death.</w:t>
      </w:r>
    </w:p>
  </w:footnote>
  <w:footnote w:id="51">
    <w:p w:rsidR="00000000" w:rsidDel="00000000" w:rsidP="00000000" w:rsidRDefault="00000000" w:rsidRPr="00000000" w14:paraId="000002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presumption is not rebuttable by proof that the accused never had physical possession of the controlled drug.</w:t>
      </w:r>
    </w:p>
  </w:footnote>
  <w:footnote w:id="52">
    <w:p w:rsidR="00000000" w:rsidDel="00000000" w:rsidP="00000000" w:rsidRDefault="00000000" w:rsidRPr="00000000" w14:paraId="0000024B">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20"/>
          <w:szCs w:val="20"/>
          <w:rtl w:val="0"/>
        </w:rPr>
        <w:t xml:space="preserve">“</w:t>
      </w:r>
      <w:r w:rsidDel="00000000" w:rsidR="00000000" w:rsidRPr="00000000">
        <w:rPr>
          <w:i w:val="1"/>
          <w:sz w:val="20"/>
          <w:szCs w:val="20"/>
          <w:rtl w:val="0"/>
        </w:rPr>
        <w:t xml:space="preserve">When 2 or more persons are tried jointly in any of the following circumstances, and a confession made by one such person affecting that person and any other such person is proved, the court may take into consideration the confession as against the other person as well as against the person who made the confession.</w:t>
      </w:r>
      <w:r w:rsidDel="00000000" w:rsidR="00000000" w:rsidRPr="00000000">
        <w:rPr>
          <w:sz w:val="20"/>
          <w:szCs w:val="20"/>
          <w:rtl w:val="0"/>
        </w:rPr>
        <w:t xml:space="preserve">”</w:t>
      </w:r>
      <w:r w:rsidDel="00000000" w:rsidR="00000000" w:rsidRPr="00000000">
        <w:rPr>
          <w:rtl w:val="0"/>
        </w:rPr>
      </w:r>
    </w:p>
  </w:footnote>
  <w:footnote w:id="53">
    <w:p w:rsidR="00000000" w:rsidDel="00000000" w:rsidP="00000000" w:rsidRDefault="00000000" w:rsidRPr="00000000" w14:paraId="0000024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Norasharee bin Gous v PP [2021] SGCA 17</w:t>
      </w:r>
    </w:p>
  </w:footnote>
  <w:footnote w:id="54">
    <w:p w:rsidR="00000000" w:rsidDel="00000000" w:rsidP="00000000" w:rsidRDefault="00000000" w:rsidRPr="00000000" w14:paraId="000002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Article (9)3 of the Singapore Constitution</w:t>
      </w:r>
    </w:p>
  </w:footnote>
  <w:footnote w:id="55">
    <w:p w:rsidR="00000000" w:rsidDel="00000000" w:rsidP="00000000" w:rsidRDefault="00000000" w:rsidRPr="00000000" w14:paraId="000002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Jasbir Singh v Public Prosecutor [1994] 1 SLR(R) 782</w:t>
      </w:r>
    </w:p>
  </w:footnote>
  <w:footnote w:id="56">
    <w:p w:rsidR="00000000" w:rsidDel="00000000" w:rsidP="00000000" w:rsidRDefault="00000000" w:rsidRPr="00000000" w14:paraId="0000024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Rajeevan Edakavalan [1998] 1 SLR(R) 10 </w:t>
      </w:r>
    </w:p>
  </w:footnote>
  <w:footnote w:id="57">
    <w:p w:rsidR="00000000" w:rsidDel="00000000" w:rsidP="00000000" w:rsidRDefault="00000000" w:rsidRPr="00000000" w14:paraId="000002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person examined shall be bound to state truly what he knows of the facts and circumstances of the case, except that he need not say anything that might expose him to a criminal charge, penalty or forfeiture.</w:t>
      </w:r>
    </w:p>
  </w:footnote>
  <w:footnote w:id="58">
    <w:p w:rsidR="00000000" w:rsidDel="00000000" w:rsidP="00000000" w:rsidRDefault="00000000" w:rsidRPr="00000000" w14:paraId="0000025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Criminal Procedure Code, s261</w:t>
      </w:r>
    </w:p>
  </w:footnote>
  <w:footnote w:id="59">
    <w:p w:rsidR="00000000" w:rsidDel="00000000" w:rsidP="00000000" w:rsidRDefault="00000000" w:rsidRPr="00000000" w14:paraId="000002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Ho Hock Lai (2013) The Privilege Against Self-Incrimination and RIght of Access to a Lawyer 25 SAcLJ 826</w:t>
      </w:r>
    </w:p>
  </w:footnote>
  <w:footnote w:id="60">
    <w:p w:rsidR="00000000" w:rsidDel="00000000" w:rsidP="00000000" w:rsidRDefault="00000000" w:rsidRPr="00000000" w14:paraId="000002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CERD (2018) Initial Report submitted by Singapore under article 9 of the Convention. Para 7.30</w:t>
      </w:r>
    </w:p>
  </w:footnote>
  <w:footnote w:id="61">
    <w:p w:rsidR="00000000" w:rsidDel="00000000" w:rsidP="00000000" w:rsidRDefault="00000000" w:rsidRPr="00000000" w14:paraId="0000025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ISA, s8(1)A</w:t>
      </w:r>
    </w:p>
  </w:footnote>
  <w:footnote w:id="62">
    <w:p w:rsidR="00000000" w:rsidDel="00000000" w:rsidP="00000000" w:rsidRDefault="00000000" w:rsidRPr="00000000" w14:paraId="0000025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Teo (2008) Beyond the Blue Gate</w:t>
      </w:r>
    </w:p>
  </w:footnote>
  <w:footnote w:id="63">
    <w:p w:rsidR="00000000" w:rsidDel="00000000" w:rsidP="00000000" w:rsidRDefault="00000000" w:rsidRPr="00000000" w14:paraId="0000025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Internal Security Act, Section 8B(2)</w:t>
      </w:r>
    </w:p>
  </w:footnote>
  <w:footnote w:id="64">
    <w:p w:rsidR="00000000" w:rsidDel="00000000" w:rsidP="00000000" w:rsidRDefault="00000000" w:rsidRPr="00000000" w14:paraId="0000025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ISA, s15</w:t>
      </w:r>
    </w:p>
  </w:footnote>
  <w:footnote w:id="65">
    <w:p w:rsidR="00000000" w:rsidDel="00000000" w:rsidP="00000000" w:rsidRDefault="00000000" w:rsidRPr="00000000" w14:paraId="0000025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ISA, s12(2)</w:t>
      </w:r>
    </w:p>
  </w:footnote>
  <w:footnote w:id="66">
    <w:p w:rsidR="00000000" w:rsidDel="00000000" w:rsidP="00000000" w:rsidRDefault="00000000" w:rsidRPr="00000000" w14:paraId="0000025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ISA, s11(3)</w:t>
      </w:r>
    </w:p>
  </w:footnote>
  <w:footnote w:id="67">
    <w:p w:rsidR="00000000" w:rsidDel="00000000" w:rsidP="00000000" w:rsidRDefault="00000000" w:rsidRPr="00000000" w14:paraId="0000025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ISA, s16</w:t>
      </w:r>
    </w:p>
  </w:footnote>
  <w:footnote w:id="68">
    <w:p w:rsidR="00000000" w:rsidDel="00000000" w:rsidP="00000000" w:rsidRDefault="00000000" w:rsidRPr="00000000" w14:paraId="0000025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Strait Times, Sep 10 2021, Laws like Internal Security Act have helped Singapore prevent terror attacks: Shanmugam</w:t>
      </w:r>
    </w:p>
    <w:p w:rsidR="00000000" w:rsidDel="00000000" w:rsidP="00000000" w:rsidRDefault="00000000" w:rsidRPr="00000000" w14:paraId="0000025C">
      <w:pPr>
        <w:spacing w:line="240" w:lineRule="auto"/>
        <w:rPr>
          <w:sz w:val="14"/>
          <w:szCs w:val="14"/>
        </w:rPr>
      </w:pPr>
      <w:hyperlink r:id="rId8">
        <w:r w:rsidDel="00000000" w:rsidR="00000000" w:rsidRPr="00000000">
          <w:rPr>
            <w:color w:val="1155cc"/>
            <w:sz w:val="20"/>
            <w:szCs w:val="20"/>
            <w:u w:val="single"/>
            <w:rtl w:val="0"/>
          </w:rPr>
          <w:t xml:space="preserve">https://www.straitstimes.com/singapore/politics/spores-laws-help-prevent-terror-attacks-like-supermarket-stabbing-in-new-zealand</w:t>
        </w:r>
      </w:hyperlink>
      <w:r w:rsidDel="00000000" w:rsidR="00000000" w:rsidRPr="00000000">
        <w:rPr>
          <w:sz w:val="20"/>
          <w:szCs w:val="20"/>
          <w:rtl w:val="0"/>
        </w:rPr>
        <w:t xml:space="preserve">   </w:t>
      </w:r>
      <w:r w:rsidDel="00000000" w:rsidR="00000000" w:rsidRPr="00000000">
        <w:rPr>
          <w:rtl w:val="0"/>
        </w:rPr>
      </w:r>
    </w:p>
  </w:footnote>
  <w:footnote w:id="69">
    <w:p w:rsidR="00000000" w:rsidDel="00000000" w:rsidP="00000000" w:rsidRDefault="00000000" w:rsidRPr="00000000" w14:paraId="0000025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Mothership, Oct 05 2021, Parliament's not a place to resort to rhetoric without offering real suggestions: Shanmugam on FICA debate</w:t>
      </w:r>
    </w:p>
    <w:p w:rsidR="00000000" w:rsidDel="00000000" w:rsidP="00000000" w:rsidRDefault="00000000" w:rsidRPr="00000000" w14:paraId="0000025E">
      <w:pPr>
        <w:spacing w:line="240" w:lineRule="auto"/>
        <w:rPr>
          <w:sz w:val="20"/>
          <w:szCs w:val="20"/>
        </w:rPr>
      </w:pPr>
      <w:hyperlink r:id="rId9">
        <w:r w:rsidDel="00000000" w:rsidR="00000000" w:rsidRPr="00000000">
          <w:rPr>
            <w:color w:val="1155cc"/>
            <w:sz w:val="20"/>
            <w:szCs w:val="20"/>
            <w:u w:val="single"/>
            <w:rtl w:val="0"/>
          </w:rPr>
          <w:t xml:space="preserve">https://mothership.sg/2021/10/shanmugam-fica-debate-closing-worker</w:t>
        </w:r>
      </w:hyperlink>
      <w:hyperlink r:id="rId10">
        <w:r w:rsidDel="00000000" w:rsidR="00000000" w:rsidRPr="00000000">
          <w:rPr>
            <w:color w:val="1155cc"/>
            <w:sz w:val="20"/>
            <w:szCs w:val="20"/>
            <w:u w:val="single"/>
            <w:rtl w:val="0"/>
          </w:rPr>
          <w:t xml:space="preserve">s-party/</w:t>
        </w:r>
      </w:hyperlink>
      <w:r w:rsidDel="00000000" w:rsidR="00000000" w:rsidRPr="00000000">
        <w:rPr>
          <w:sz w:val="20"/>
          <w:szCs w:val="20"/>
          <w:rtl w:val="0"/>
        </w:rPr>
        <w:t xml:space="preserve"> </w:t>
      </w:r>
      <w:r w:rsidDel="00000000" w:rsidR="00000000" w:rsidRPr="00000000">
        <w:rPr>
          <w:rtl w:val="0"/>
        </w:rPr>
      </w:r>
    </w:p>
  </w:footnote>
  <w:footnote w:id="70">
    <w:p w:rsidR="00000000" w:rsidDel="00000000" w:rsidP="00000000" w:rsidRDefault="00000000" w:rsidRPr="00000000" w14:paraId="0000025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David Garland (2001) The Culture of Control: Crime and Social Order in Contemporary Society. University of Chicago Press.</w:t>
      </w:r>
    </w:p>
  </w:footnote>
  <w:footnote w:id="71">
    <w:p w:rsidR="00000000" w:rsidDel="00000000" w:rsidP="00000000" w:rsidRDefault="00000000" w:rsidRPr="00000000" w14:paraId="0000026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Fiona de Londras (2011) Detention in the ‘War on Terror’ Can Human Rights Fight Back? Cambridge University Press</w:t>
      </w:r>
    </w:p>
  </w:footnote>
  <w:footnote w:id="72">
    <w:p w:rsidR="00000000" w:rsidDel="00000000" w:rsidP="00000000" w:rsidRDefault="00000000" w:rsidRPr="00000000" w14:paraId="0000026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Nasir K.M. et al. (2010) Muslims in Singapore: Piety, politics and policies. Routledge.</w:t>
      </w:r>
    </w:p>
  </w:footnote>
  <w:footnote w:id="73">
    <w:p w:rsidR="00000000" w:rsidDel="00000000" w:rsidP="00000000" w:rsidRDefault="00000000" w:rsidRPr="00000000" w14:paraId="00000262">
      <w:pPr>
        <w:spacing w:line="240" w:lineRule="auto"/>
        <w:rPr>
          <w:color w:val="262626"/>
          <w:sz w:val="20"/>
          <w:szCs w:val="20"/>
        </w:rPr>
      </w:pPr>
      <w:r w:rsidDel="00000000" w:rsidR="00000000" w:rsidRPr="00000000">
        <w:rPr>
          <w:rStyle w:val="FootnoteReference"/>
          <w:vertAlign w:val="superscript"/>
        </w:rPr>
        <w:footnoteRef/>
      </w:r>
      <w:r w:rsidDel="00000000" w:rsidR="00000000" w:rsidRPr="00000000">
        <w:rPr>
          <w:color w:val="262626"/>
          <w:sz w:val="20"/>
          <w:szCs w:val="20"/>
          <w:rtl w:val="0"/>
        </w:rPr>
        <w:t xml:space="preserve"> https://www.rrg.sg/about-rrg/</w:t>
      </w:r>
    </w:p>
  </w:footnote>
  <w:footnote w:id="6">
    <w:p w:rsidR="00000000" w:rsidDel="00000000" w:rsidP="00000000" w:rsidRDefault="00000000" w:rsidRPr="00000000" w14:paraId="00000263">
      <w:pPr>
        <w:spacing w:line="240" w:lineRule="auto"/>
        <w:rPr>
          <w:sz w:val="20"/>
          <w:szCs w:val="20"/>
        </w:rPr>
      </w:pPr>
      <w:r w:rsidDel="00000000" w:rsidR="00000000" w:rsidRPr="00000000">
        <w:rPr>
          <w:rStyle w:val="FootnoteReference"/>
          <w:vertAlign w:val="superscript"/>
        </w:rPr>
        <w:footnoteRef/>
      </w:r>
      <w:hyperlink r:id="rId11">
        <w:r w:rsidDel="00000000" w:rsidR="00000000" w:rsidRPr="00000000">
          <w:rPr>
            <w:color w:val="1155cc"/>
            <w:sz w:val="20"/>
            <w:szCs w:val="20"/>
            <w:u w:val="single"/>
            <w:rtl w:val="0"/>
          </w:rPr>
          <w:t xml:space="preserve">https://data.gov.sg/dataset/population-of-inmates-in-drc?resource_id=4ea75397-7617-4826-8ffe-f7c4e98aecd5</w:t>
        </w:r>
      </w:hyperlink>
      <w:r w:rsidDel="00000000" w:rsidR="00000000" w:rsidRPr="00000000">
        <w:rPr>
          <w:sz w:val="20"/>
          <w:szCs w:val="20"/>
          <w:rtl w:val="0"/>
        </w:rPr>
        <w:t xml:space="preserve"> </w:t>
      </w:r>
    </w:p>
  </w:footnote>
  <w:footnote w:id="7">
    <w:p w:rsidR="00000000" w:rsidDel="00000000" w:rsidP="00000000" w:rsidRDefault="00000000" w:rsidRPr="00000000" w14:paraId="00000264">
      <w:pPr>
        <w:spacing w:line="240" w:lineRule="auto"/>
        <w:rPr>
          <w:sz w:val="20"/>
          <w:szCs w:val="20"/>
        </w:rPr>
      </w:pPr>
      <w:r w:rsidDel="00000000" w:rsidR="00000000" w:rsidRPr="00000000">
        <w:rPr>
          <w:rStyle w:val="FootnoteReference"/>
          <w:vertAlign w:val="superscript"/>
        </w:rPr>
        <w:footnoteRef/>
      </w:r>
      <w:hyperlink r:id="rId12">
        <w:r w:rsidDel="00000000" w:rsidR="00000000" w:rsidRPr="00000000">
          <w:rPr>
            <w:color w:val="1155cc"/>
            <w:sz w:val="20"/>
            <w:szCs w:val="20"/>
            <w:u w:val="single"/>
            <w:rtl w:val="0"/>
          </w:rPr>
          <w:t xml:space="preserve">https://data.gov.sg/dataset/population-of-inmates-in-drc?resource_id=369aec60-09a2-46e9-9002-36db5b5a85d9</w:t>
        </w:r>
      </w:hyperlink>
      <w:r w:rsidDel="00000000" w:rsidR="00000000" w:rsidRPr="00000000">
        <w:rPr>
          <w:sz w:val="20"/>
          <w:szCs w:val="20"/>
          <w:rtl w:val="0"/>
        </w:rPr>
        <w:t xml:space="preserve"> </w:t>
      </w:r>
    </w:p>
  </w:footnote>
  <w:footnote w:id="8">
    <w:p w:rsidR="00000000" w:rsidDel="00000000" w:rsidP="00000000" w:rsidRDefault="00000000" w:rsidRPr="00000000" w14:paraId="0000026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3">
        <w:r w:rsidDel="00000000" w:rsidR="00000000" w:rsidRPr="00000000">
          <w:rPr>
            <w:color w:val="1155cc"/>
            <w:sz w:val="20"/>
            <w:szCs w:val="20"/>
            <w:u w:val="single"/>
            <w:rtl w:val="0"/>
          </w:rPr>
          <w:t xml:space="preserve">https://data.gov.sg/dataset/demographic-profile-of-drug-abusers</w:t>
        </w:r>
      </w:hyperlink>
      <w:r w:rsidDel="00000000" w:rsidR="00000000" w:rsidRPr="00000000">
        <w:rPr>
          <w:sz w:val="20"/>
          <w:szCs w:val="20"/>
          <w:rtl w:val="0"/>
        </w:rPr>
        <w:t xml:space="preserve"> </w:t>
      </w:r>
    </w:p>
  </w:footnote>
  <w:footnote w:id="9">
    <w:p w:rsidR="00000000" w:rsidDel="00000000" w:rsidP="00000000" w:rsidRDefault="00000000" w:rsidRPr="00000000" w14:paraId="0000026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Section 34, Misuse of Drugs Act </w:t>
      </w:r>
    </w:p>
  </w:footnote>
  <w:footnote w:id="11">
    <w:p w:rsidR="00000000" w:rsidDel="00000000" w:rsidP="00000000" w:rsidRDefault="00000000" w:rsidRPr="00000000" w14:paraId="0000026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Straits Times, April 2 2017, Malay-Muslim groups urged to tackle challenges</w:t>
      </w:r>
    </w:p>
    <w:p w:rsidR="00000000" w:rsidDel="00000000" w:rsidP="00000000" w:rsidRDefault="00000000" w:rsidRPr="00000000" w14:paraId="00000268">
      <w:pPr>
        <w:spacing w:line="240" w:lineRule="auto"/>
        <w:rPr>
          <w:sz w:val="20"/>
          <w:szCs w:val="20"/>
        </w:rPr>
      </w:pPr>
      <w:hyperlink r:id="rId14">
        <w:r w:rsidDel="00000000" w:rsidR="00000000" w:rsidRPr="00000000">
          <w:rPr>
            <w:color w:val="1155cc"/>
            <w:sz w:val="20"/>
            <w:szCs w:val="20"/>
            <w:u w:val="single"/>
            <w:rtl w:val="0"/>
          </w:rPr>
          <w:t xml:space="preserve">https://www.straitstimes.com/singapore/malay-muslim-groups-urged-to-tackle-challenges</w:t>
        </w:r>
      </w:hyperlink>
      <w:r w:rsidDel="00000000" w:rsidR="00000000" w:rsidRPr="00000000">
        <w:rPr>
          <w:sz w:val="20"/>
          <w:szCs w:val="20"/>
          <w:rtl w:val="0"/>
        </w:rPr>
        <w:t xml:space="preserve"> </w:t>
      </w:r>
    </w:p>
  </w:footnote>
  <w:footnote w:id="39">
    <w:p w:rsidR="00000000" w:rsidDel="00000000" w:rsidP="00000000" w:rsidRDefault="00000000" w:rsidRPr="00000000" w14:paraId="0000026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5">
        <w:r w:rsidDel="00000000" w:rsidR="00000000" w:rsidRPr="00000000">
          <w:rPr>
            <w:rFonts w:ascii="Calibri" w:cs="Calibri" w:eastAsia="Calibri" w:hAnsi="Calibri"/>
            <w:color w:val="1155cc"/>
            <w:sz w:val="20"/>
            <w:szCs w:val="20"/>
            <w:u w:val="single"/>
            <w:rtl w:val="0"/>
          </w:rPr>
          <w:t xml:space="preserve">https://apnews.com/2d6330da21b0334b7d8daac2126ccd7d</w:t>
        </w:r>
      </w:hyperlink>
      <w:r w:rsidDel="00000000" w:rsidR="00000000" w:rsidRPr="00000000">
        <w:rPr>
          <w:rtl w:val="0"/>
        </w:rPr>
      </w:r>
    </w:p>
  </w:footnote>
  <w:footnote w:id="10">
    <w:p w:rsidR="00000000" w:rsidDel="00000000" w:rsidP="00000000" w:rsidRDefault="00000000" w:rsidRPr="00000000" w14:paraId="0000026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S11B, MDA</w:t>
      </w:r>
    </w:p>
  </w:footnote>
  <w:footnote w:id="2">
    <w:p w:rsidR="00000000" w:rsidDel="00000000" w:rsidP="00000000" w:rsidRDefault="00000000" w:rsidRPr="00000000" w14:paraId="0000026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Teo You Yenn (2018) This is What Inequality Looks Like, Singapore: Ethos Books. </w:t>
      </w:r>
    </w:p>
  </w:footnote>
  <w:footnote w:id="18">
    <w:p w:rsidR="00000000" w:rsidDel="00000000" w:rsidP="00000000" w:rsidRDefault="00000000" w:rsidRPr="00000000" w14:paraId="0000026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Written Reply to Parliamentary Question on the Five Year Recidivism Rate </w:t>
      </w:r>
      <w:hyperlink r:id="rId16">
        <w:r w:rsidDel="00000000" w:rsidR="00000000" w:rsidRPr="00000000">
          <w:rPr>
            <w:color w:val="1155cc"/>
            <w:sz w:val="20"/>
            <w:szCs w:val="20"/>
            <w:u w:val="single"/>
            <w:rtl w:val="0"/>
          </w:rPr>
          <w:t xml:space="preserve">https://www.mha.gov.sg/mediaroom/parliamentary/written-reply-to-pq-on-the-five-year-recidivism-rate-for-each-of-the-years-from-2011-to-2015/</w:t>
        </w:r>
      </w:hyperlink>
      <w:r w:rsidDel="00000000" w:rsidR="00000000" w:rsidRPr="00000000">
        <w:rPr>
          <w:sz w:val="20"/>
          <w:szCs w:val="20"/>
          <w:rtl w:val="0"/>
        </w:rPr>
        <w:t xml:space="preserve"> </w:t>
      </w:r>
    </w:p>
  </w:footnote>
  <w:footnote w:id="35">
    <w:p w:rsidR="00000000" w:rsidDel="00000000" w:rsidP="00000000" w:rsidRDefault="00000000" w:rsidRPr="00000000" w14:paraId="0000026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Section 34(5), Misuse of Drugs Act </w:t>
      </w:r>
    </w:p>
  </w:footnote>
  <w:footnote w:id="3">
    <w:p w:rsidR="00000000" w:rsidDel="00000000" w:rsidP="00000000" w:rsidRDefault="00000000" w:rsidRPr="00000000" w14:paraId="0000026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Kamaludeen M. N. (2018): ‘Policing the poor’ and ‘poor policing’ in a global city, Journal of Poverty</w:t>
      </w:r>
    </w:p>
  </w:footnote>
  <w:footnote w:id="1">
    <w:p w:rsidR="00000000" w:rsidDel="00000000" w:rsidP="00000000" w:rsidRDefault="00000000" w:rsidRPr="00000000" w14:paraId="0000026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Malay households make up about 37.2% of all 50,000 public rental flat units in Singapore, even though they comprise only 13.5% of the national population.</w:t>
      </w:r>
    </w:p>
  </w:footnote>
  <w:footnote w:id="4">
    <w:p w:rsidR="00000000" w:rsidDel="00000000" w:rsidP="00000000" w:rsidRDefault="00000000" w:rsidRPr="00000000" w14:paraId="0000027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Goh Yan Han, The Straits Times, “Allegations of racial profiling during spot checks at MRT stations ‘untrue’ </w:t>
      </w:r>
      <w:hyperlink r:id="rId17">
        <w:r w:rsidDel="00000000" w:rsidR="00000000" w:rsidRPr="00000000">
          <w:rPr>
            <w:color w:val="1155cc"/>
            <w:sz w:val="20"/>
            <w:szCs w:val="20"/>
            <w:u w:val="single"/>
            <w:rtl w:val="0"/>
          </w:rPr>
          <w:t xml:space="preserve">https://www.straitstimes.com/singapore/allegations-of-racial-profiling-during-spot-checks-untrue</w:t>
        </w:r>
      </w:hyperlink>
      <w:r w:rsidDel="00000000" w:rsidR="00000000" w:rsidRPr="00000000">
        <w:rPr>
          <w:sz w:val="20"/>
          <w:szCs w:val="20"/>
          <w:rtl w:val="0"/>
        </w:rPr>
        <w:t xml:space="preserve"> </w:t>
      </w:r>
    </w:p>
  </w:footnote>
  <w:footnote w:id="5">
    <w:p w:rsidR="00000000" w:rsidDel="00000000" w:rsidP="00000000" w:rsidRDefault="00000000" w:rsidRPr="00000000" w14:paraId="00000271">
      <w:pPr>
        <w:spacing w:line="240" w:lineRule="auto"/>
        <w:rPr>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20"/>
          <w:szCs w:val="20"/>
          <w:rtl w:val="0"/>
        </w:rPr>
        <w:t xml:space="preserve">Yahoo News, 29 Aug 2021, </w:t>
      </w:r>
      <w:r w:rsidDel="00000000" w:rsidR="00000000" w:rsidRPr="00000000">
        <w:rPr>
          <w:sz w:val="20"/>
          <w:szCs w:val="20"/>
          <w:rtl w:val="0"/>
        </w:rPr>
        <w:t xml:space="preserve">Singapore to pass law to maintain racial harmony: PM Lee Hsien Loong</w:t>
      </w:r>
    </w:p>
    <w:p w:rsidR="00000000" w:rsidDel="00000000" w:rsidP="00000000" w:rsidRDefault="00000000" w:rsidRPr="00000000" w14:paraId="00000272">
      <w:pPr>
        <w:spacing w:line="240" w:lineRule="auto"/>
        <w:rPr>
          <w:sz w:val="20"/>
          <w:szCs w:val="20"/>
        </w:rPr>
      </w:pPr>
      <w:hyperlink r:id="rId18">
        <w:r w:rsidDel="00000000" w:rsidR="00000000" w:rsidRPr="00000000">
          <w:rPr>
            <w:color w:val="1155cc"/>
            <w:sz w:val="20"/>
            <w:szCs w:val="20"/>
            <w:u w:val="single"/>
            <w:rtl w:val="0"/>
          </w:rPr>
          <w:t xml:space="preserve">https://sg.news.yahoo.com/singapore-pass-law-maintain-racial-harmony-pm-lee-hsien-loong-125350674.html</w:t>
        </w:r>
      </w:hyperlink>
      <w:r w:rsidDel="00000000" w:rsidR="00000000" w:rsidRPr="00000000">
        <w:rPr>
          <w:sz w:val="20"/>
          <w:szCs w:val="20"/>
          <w:rtl w:val="0"/>
        </w:rPr>
        <w:t xml:space="preserve"> </w:t>
      </w:r>
    </w:p>
  </w:footnote>
  <w:footnote w:id="15">
    <w:p w:rsidR="00000000" w:rsidDel="00000000" w:rsidP="00000000" w:rsidRDefault="00000000" w:rsidRPr="00000000" w14:paraId="00000273">
      <w:pPr>
        <w:spacing w:line="240" w:lineRule="auto"/>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333333"/>
          <w:sz w:val="20"/>
          <w:szCs w:val="20"/>
          <w:highlight w:val="white"/>
          <w:rtl w:val="0"/>
        </w:rPr>
        <w:t xml:space="preserve">Narayanan Ganapathy (2018) Rehabilitation, reintegration and recidivism: a theoretical and methodological reflection, Asia Pacific Journal of Social Work and Development, 28:3, 154-167, DOI: </w:t>
      </w:r>
      <w:hyperlink r:id="rId19">
        <w:r w:rsidDel="00000000" w:rsidR="00000000" w:rsidRPr="00000000">
          <w:rPr>
            <w:color w:val="333333"/>
            <w:sz w:val="20"/>
            <w:szCs w:val="20"/>
            <w:highlight w:val="white"/>
            <w:u w:val="single"/>
            <w:rtl w:val="0"/>
          </w:rPr>
          <w:t xml:space="preserve">10.1080/02185385.2018.1501416</w:t>
        </w:r>
      </w:hyperlink>
      <w:r w:rsidDel="00000000" w:rsidR="00000000" w:rsidRPr="00000000">
        <w:rPr>
          <w:rtl w:val="0"/>
        </w:rPr>
      </w:r>
    </w:p>
  </w:footnote>
  <w:footnote w:id="0">
    <w:p w:rsidR="00000000" w:rsidDel="00000000" w:rsidP="00000000" w:rsidRDefault="00000000" w:rsidRPr="00000000" w14:paraId="0000027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Greener and Naegler (2021) </w:t>
      </w:r>
      <w:r w:rsidDel="00000000" w:rsidR="00000000" w:rsidRPr="00000000">
        <w:rPr>
          <w:sz w:val="20"/>
          <w:szCs w:val="20"/>
          <w:rtl w:val="0"/>
        </w:rPr>
        <w:t xml:space="preserve">Between containment and crackdown in Geylang, Singapore: Urban crime control as the statecrafting of migrant exclusion. Urban Studies.</w:t>
      </w:r>
      <w:r w:rsidDel="00000000" w:rsidR="00000000" w:rsidRPr="00000000">
        <w:rPr>
          <w:rtl w:val="0"/>
        </w:rPr>
      </w:r>
    </w:p>
  </w:footnote>
  <w:footnote w:id="16">
    <w:p w:rsidR="00000000" w:rsidDel="00000000" w:rsidP="00000000" w:rsidRDefault="00000000" w:rsidRPr="00000000" w14:paraId="0000027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Straits Times, April 2 2017, </w:t>
      </w:r>
      <w:r w:rsidDel="00000000" w:rsidR="00000000" w:rsidRPr="00000000">
        <w:rPr>
          <w:sz w:val="20"/>
          <w:szCs w:val="20"/>
          <w:rtl w:val="0"/>
        </w:rPr>
        <w:t xml:space="preserve">Malay-Muslim groups urged to tackle challenges</w:t>
      </w:r>
    </w:p>
    <w:p w:rsidR="00000000" w:rsidDel="00000000" w:rsidP="00000000" w:rsidRDefault="00000000" w:rsidRPr="00000000" w14:paraId="00000276">
      <w:pPr>
        <w:spacing w:line="240" w:lineRule="auto"/>
        <w:rPr>
          <w:sz w:val="20"/>
          <w:szCs w:val="20"/>
        </w:rPr>
      </w:pPr>
      <w:hyperlink r:id="rId20">
        <w:r w:rsidDel="00000000" w:rsidR="00000000" w:rsidRPr="00000000">
          <w:rPr>
            <w:color w:val="1155cc"/>
            <w:sz w:val="20"/>
            <w:szCs w:val="20"/>
            <w:u w:val="single"/>
            <w:rtl w:val="0"/>
          </w:rPr>
          <w:t xml:space="preserve">https://www.straitstimes.com/singapore/malay-muslim-groups-urged-to-tackle-challenges</w:t>
        </w:r>
      </w:hyperlink>
      <w:r w:rsidDel="00000000" w:rsidR="00000000" w:rsidRPr="00000000">
        <w:rPr>
          <w:sz w:val="20"/>
          <w:szCs w:val="20"/>
          <w:rtl w:val="0"/>
        </w:rPr>
        <w:t xml:space="preserve"> </w:t>
      </w:r>
    </w:p>
  </w:footnote>
  <w:footnote w:id="17">
    <w:p w:rsidR="00000000" w:rsidDel="00000000" w:rsidP="00000000" w:rsidRDefault="00000000" w:rsidRPr="00000000" w14:paraId="0000027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1">
        <w:r w:rsidDel="00000000" w:rsidR="00000000" w:rsidRPr="00000000">
          <w:rPr>
            <w:color w:val="1155cc"/>
            <w:sz w:val="20"/>
            <w:szCs w:val="20"/>
            <w:u w:val="single"/>
            <w:rtl w:val="0"/>
          </w:rPr>
          <w:t xml:space="preserve">https://www.straitstimes.com/politics/sylvia-lim-calls-for-open-review-of-race-based-policies</w:t>
        </w:r>
      </w:hyperlink>
      <w:r w:rsidDel="00000000" w:rsidR="00000000" w:rsidRPr="00000000">
        <w:rPr>
          <w:sz w:val="20"/>
          <w:szCs w:val="20"/>
          <w:rtl w:val="0"/>
        </w:rPr>
        <w:t xml:space="preserve"> </w:t>
      </w:r>
    </w:p>
  </w:footnote>
  <w:footnote w:id="74">
    <w:p w:rsidR="00000000" w:rsidDel="00000000" w:rsidP="00000000" w:rsidRDefault="00000000" w:rsidRPr="00000000" w14:paraId="0000027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Mathew Mathews et al. (2018) Community Relations Amidst the Threat of Terror. IPS Working Papers No. 30 </w:t>
      </w:r>
    </w:p>
  </w:footnote>
  <w:footnote w:id="75">
    <w:p w:rsidR="00000000" w:rsidDel="00000000" w:rsidP="00000000" w:rsidRDefault="00000000" w:rsidRPr="00000000" w14:paraId="00000279">
      <w:pPr>
        <w:spacing w:line="240" w:lineRule="auto"/>
        <w:rPr>
          <w:color w:val="262626"/>
          <w:sz w:val="20"/>
          <w:szCs w:val="20"/>
          <w:highlight w:val="white"/>
        </w:rPr>
      </w:pPr>
      <w:r w:rsidDel="00000000" w:rsidR="00000000" w:rsidRPr="00000000">
        <w:rPr>
          <w:rStyle w:val="FootnoteReference"/>
          <w:vertAlign w:val="superscript"/>
        </w:rPr>
        <w:footnoteRef/>
      </w:r>
      <w:r w:rsidDel="00000000" w:rsidR="00000000" w:rsidRPr="00000000">
        <w:rPr>
          <w:color w:val="262626"/>
          <w:sz w:val="20"/>
          <w:szCs w:val="20"/>
          <w:highlight w:val="white"/>
          <w:rtl w:val="0"/>
        </w:rPr>
        <w:t xml:space="preserve">https://www.reach.gov.sg/Participate/Public-Consultation/Ministry-of-Home-Affairs/public-</w:t>
      </w:r>
      <w:r w:rsidDel="00000000" w:rsidR="00000000" w:rsidRPr="00000000">
        <w:rPr>
          <w:color w:val="262626"/>
          <w:sz w:val="20"/>
          <w:szCs w:val="20"/>
          <w:rtl w:val="0"/>
        </w:rPr>
        <w:t xml:space="preserve">consultation</w:t>
      </w:r>
      <w:r w:rsidDel="00000000" w:rsidR="00000000" w:rsidRPr="00000000">
        <w:rPr>
          <w:color w:val="262626"/>
          <w:sz w:val="20"/>
          <w:szCs w:val="20"/>
          <w:highlight w:val="white"/>
          <w:rtl w:val="0"/>
        </w:rPr>
        <w:t xml:space="preserve">-on-the-introduction-of-detention-for-public-protection-and-enhanced-detention-for-public-protection</w:t>
      </w:r>
      <w:r w:rsidDel="00000000" w:rsidR="00000000" w:rsidRPr="00000000">
        <w:rPr>
          <w:rtl w:val="0"/>
        </w:rPr>
      </w:r>
    </w:p>
    <w:p w:rsidR="00000000" w:rsidDel="00000000" w:rsidP="00000000" w:rsidRDefault="00000000" w:rsidRPr="00000000" w14:paraId="0000027A">
      <w:pPr>
        <w:spacing w:line="240" w:lineRule="auto"/>
        <w:rPr>
          <w:sz w:val="20"/>
          <w:szCs w:val="20"/>
        </w:rPr>
      </w:pPr>
      <w:r w:rsidDel="00000000" w:rsidR="00000000" w:rsidRPr="00000000">
        <w:rPr>
          <w:rtl w:val="0"/>
        </w:rPr>
      </w:r>
    </w:p>
  </w:footnote>
  <w:footnote w:id="14">
    <w:p w:rsidR="00000000" w:rsidDel="00000000" w:rsidP="00000000" w:rsidRDefault="00000000" w:rsidRPr="00000000" w14:paraId="0000027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Chok S (2018) Singapore’s War on Drugs: A Historical Overview. LKYSPP.</w:t>
      </w:r>
    </w:p>
  </w:footnote>
  <w:footnote w:id="50">
    <w:p w:rsidR="00000000" w:rsidDel="00000000" w:rsidP="00000000" w:rsidRDefault="00000000" w:rsidRPr="00000000" w14:paraId="0000027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Amnesty International (2017) Cooperate or Die: Singapore’s Flawed Reforms to the Mandatory Death Penalty</w:t>
      </w:r>
    </w:p>
  </w:footnote>
  <w:footnote w:id="13">
    <w:p w:rsidR="00000000" w:rsidDel="00000000" w:rsidP="00000000" w:rsidRDefault="00000000" w:rsidRPr="00000000" w14:paraId="0000027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Straits Times, June 25 202</w:t>
      </w:r>
      <w:r w:rsidDel="00000000" w:rsidR="00000000" w:rsidRPr="00000000">
        <w:rPr>
          <w:sz w:val="20"/>
          <w:szCs w:val="20"/>
          <w:rtl w:val="0"/>
        </w:rPr>
        <w:t xml:space="preserve">1, All 71 Singapore mosques will support anti-drug fight by CNB and Muis</w:t>
      </w:r>
    </w:p>
    <w:p w:rsidR="00000000" w:rsidDel="00000000" w:rsidP="00000000" w:rsidRDefault="00000000" w:rsidRPr="00000000" w14:paraId="0000027E">
      <w:pPr>
        <w:spacing w:line="240" w:lineRule="auto"/>
        <w:rPr>
          <w:sz w:val="20"/>
          <w:szCs w:val="20"/>
        </w:rPr>
      </w:pPr>
      <w:hyperlink r:id="rId22">
        <w:r w:rsidDel="00000000" w:rsidR="00000000" w:rsidRPr="00000000">
          <w:rPr>
            <w:color w:val="1155cc"/>
            <w:sz w:val="20"/>
            <w:szCs w:val="20"/>
            <w:u w:val="single"/>
            <w:rtl w:val="0"/>
          </w:rPr>
          <w:t xml:space="preserve">https://www.straitstimes.com/singapore/anti-drug-campaign-by-cnb-muis-supported-by-all-spore-mosques-this-year</w:t>
        </w:r>
      </w:hyperlink>
      <w:r w:rsidDel="00000000" w:rsidR="00000000" w:rsidRPr="00000000">
        <w:rPr>
          <w:sz w:val="20"/>
          <w:szCs w:val="20"/>
          <w:rtl w:val="0"/>
        </w:rPr>
        <w:t xml:space="preserve"> </w:t>
      </w:r>
    </w:p>
  </w:footnote>
  <w:footnote w:id="12">
    <w:p w:rsidR="00000000" w:rsidDel="00000000" w:rsidP="00000000" w:rsidRDefault="00000000" w:rsidRPr="00000000" w14:paraId="0000027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Council for the Development of Singapor</w:t>
      </w:r>
      <w:r w:rsidDel="00000000" w:rsidR="00000000" w:rsidRPr="00000000">
        <w:rPr>
          <w:b w:val="1"/>
          <w:sz w:val="20"/>
          <w:szCs w:val="20"/>
          <w:rtl w:val="0"/>
        </w:rPr>
        <w:t xml:space="preserve">e </w:t>
      </w:r>
      <w:r w:rsidDel="00000000" w:rsidR="00000000" w:rsidRPr="00000000">
        <w:rPr>
          <w:sz w:val="20"/>
          <w:szCs w:val="20"/>
          <w:rtl w:val="0"/>
        </w:rPr>
        <w:t xml:space="preserve">Malay/Muslim Community) is a state supported Self-Help Group for the Malay community.</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0" Type="http://schemas.openxmlformats.org/officeDocument/2006/relationships/hyperlink" Target="https://www.straitstimes.com/singapore/malay-muslim-groups-urged-to-tackle-challenges" TargetMode="External"/><Relationship Id="rId11" Type="http://schemas.openxmlformats.org/officeDocument/2006/relationships/hyperlink" Target="https://data.gov.sg/dataset/population-of-inmates-in-drc?resource_id=4ea75397-7617-4826-8ffe-f7c4e98aecd5" TargetMode="External"/><Relationship Id="rId22" Type="http://schemas.openxmlformats.org/officeDocument/2006/relationships/hyperlink" Target="https://www.straitstimes.com/singapore/anti-drug-campaign-by-cnb-muis-supported-by-all-spore-mosques-this-year" TargetMode="External"/><Relationship Id="rId10" Type="http://schemas.openxmlformats.org/officeDocument/2006/relationships/hyperlink" Target="https://mothership.sg/2021/10/shanmugam-fica-debate-closing-workers-party/" TargetMode="External"/><Relationship Id="rId21" Type="http://schemas.openxmlformats.org/officeDocument/2006/relationships/hyperlink" Target="https://www.straitstimes.com/politics/sylvia-lim-calls-for-open-review-of-race-based-policies" TargetMode="External"/><Relationship Id="rId13" Type="http://schemas.openxmlformats.org/officeDocument/2006/relationships/hyperlink" Target="https://data.gov.sg/dataset/demographic-profile-of-drug-abusers" TargetMode="External"/><Relationship Id="rId12" Type="http://schemas.openxmlformats.org/officeDocument/2006/relationships/hyperlink" Target="https://data.gov.sg/dataset/population-of-inmates-in-drc?resource_id=369aec60-09a2-46e9-9002-36db5b5a85d9" TargetMode="External"/><Relationship Id="rId1" Type="http://schemas.openxmlformats.org/officeDocument/2006/relationships/hyperlink" Target="https://www.straitstimes.com/singapore/5000-inmates-staff-vendors-and-volunteers-to-be-tested-for-covid-19-at-changi-prison" TargetMode="External"/><Relationship Id="rId2" Type="http://schemas.openxmlformats.org/officeDocument/2006/relationships/hyperlink" Target="https://doi.org/10.1080/01924036.2015.1054113" TargetMode="External"/><Relationship Id="rId3" Type="http://schemas.openxmlformats.org/officeDocument/2006/relationships/hyperlink" Target="https://www.mha.gov.sg/mediaroom/parliamentary/written-reply-to-pq-on-cases-of-canings-administered-by-the-singapore-prison-service-without-judicial-sentencing-over-the-past-10-years" TargetMode="External"/><Relationship Id="rId4" Type="http://schemas.openxmlformats.org/officeDocument/2006/relationships/hyperlink" Target="https://sso.agc.gov.sg/Act/CPC2010" TargetMode="External"/><Relationship Id="rId9" Type="http://schemas.openxmlformats.org/officeDocument/2006/relationships/hyperlink" Target="https://mothership.sg/2021/10/shanmugam-fica-debate-closing-workers-party/" TargetMode="External"/><Relationship Id="rId15" Type="http://schemas.openxmlformats.org/officeDocument/2006/relationships/hyperlink" Target="https://apnews.com/2d6330da21b0334b7d8daac2126ccd7d" TargetMode="External"/><Relationship Id="rId14" Type="http://schemas.openxmlformats.org/officeDocument/2006/relationships/hyperlink" Target="https://www.straitstimes.com/singapore/malay-muslim-groups-urged-to-tackle-challenges" TargetMode="External"/><Relationship Id="rId17" Type="http://schemas.openxmlformats.org/officeDocument/2006/relationships/hyperlink" Target="https://www.straitstimes.com/singapore/allegations-of-racial-profiling-during-spot-checks-untrue" TargetMode="External"/><Relationship Id="rId16" Type="http://schemas.openxmlformats.org/officeDocument/2006/relationships/hyperlink" Target="https://www.mha.gov.sg/mediaroom/parliamentary/written-reply-to-pq-on-the-five-year-recidivism-rate-for-each-of-the-years-from-2011-to-2015/" TargetMode="External"/><Relationship Id="rId5" Type="http://schemas.openxmlformats.org/officeDocument/2006/relationships/hyperlink" Target="https://deathpenalty.org/death-penalty-worldwide/" TargetMode="External"/><Relationship Id="rId19" Type="http://schemas.openxmlformats.org/officeDocument/2006/relationships/hyperlink" Target="https://doi.org/10.1080/02185385.2018.1501416" TargetMode="External"/><Relationship Id="rId6" Type="http://schemas.openxmlformats.org/officeDocument/2006/relationships/hyperlink" Target="https://www.hri.global/death-penalty-2020" TargetMode="External"/><Relationship Id="rId18" Type="http://schemas.openxmlformats.org/officeDocument/2006/relationships/hyperlink" Target="https://sg.news.yahoo.com/singapore-pass-law-maintain-racial-harmony-pm-lee-hsien-loong-125350674.html" TargetMode="External"/><Relationship Id="rId7" Type="http://schemas.openxmlformats.org/officeDocument/2006/relationships/hyperlink" Target="https://www.mha.gov.sg/mediaroom/parliamentary/second-reading-of-foreign-interference-countermeasures-bill-speech-by-mr-k-shanmugam" TargetMode="External"/><Relationship Id="rId8" Type="http://schemas.openxmlformats.org/officeDocument/2006/relationships/hyperlink" Target="https://www.straitstimes.com/singapore/politics/spores-laws-help-prevent-terror-attacks-like-supermarket-stabbing-in-new-zea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E54CCF-B712-47DF-A35F-ACD9BD558833}"/>
</file>

<file path=customXml/itemProps2.xml><?xml version="1.0" encoding="utf-8"?>
<ds:datastoreItem xmlns:ds="http://schemas.openxmlformats.org/officeDocument/2006/customXml" ds:itemID="{C7BA5E0B-20B6-47C9-8E90-3865D1D8C170}"/>
</file>

<file path=customXml/itemProps3.xml><?xml version="1.0" encoding="utf-8"?>
<ds:datastoreItem xmlns:ds="http://schemas.openxmlformats.org/officeDocument/2006/customXml" ds:itemID="{E2849B47-5BC5-4ED0-8C9D-5411F32EC8FA}"/>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