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810"/>
        <w:gridCol w:w="5899"/>
        <w:gridCol w:w="2930"/>
      </w:tblGrid>
      <w:tr w:rsidR="003A7CEF" w:rsidRPr="007C32D7" w:rsidTr="00594606">
        <w:trPr>
          <w:trHeight w:val="2119"/>
        </w:trPr>
        <w:tc>
          <w:tcPr>
            <w:tcW w:w="810" w:type="dxa"/>
            <w:tcBorders>
              <w:top w:val="single" w:sz="4" w:space="0" w:color="auto"/>
              <w:left w:val="nil"/>
              <w:bottom w:val="single" w:sz="12" w:space="0" w:color="auto"/>
              <w:right w:val="nil"/>
            </w:tcBorders>
          </w:tcPr>
          <w:p w:rsidR="003A7CEF" w:rsidRPr="007C32D7" w:rsidRDefault="003A7CEF" w:rsidP="007C32D7">
            <w:pPr>
              <w:bidi/>
              <w:spacing w:before="120" w:line="480" w:lineRule="auto"/>
              <w:jc w:val="both"/>
              <w:rPr>
                <w:rFonts w:ascii="Times New Roman" w:hAnsi="Times New Roman" w:cs="Times New Roman"/>
                <w:sz w:val="24"/>
                <w:szCs w:val="24"/>
              </w:rPr>
            </w:pPr>
          </w:p>
        </w:tc>
        <w:tc>
          <w:tcPr>
            <w:tcW w:w="5899" w:type="dxa"/>
            <w:tcBorders>
              <w:top w:val="single" w:sz="4" w:space="0" w:color="auto"/>
              <w:left w:val="nil"/>
              <w:bottom w:val="single" w:sz="12" w:space="0" w:color="auto"/>
              <w:right w:val="nil"/>
            </w:tcBorders>
          </w:tcPr>
          <w:p w:rsidR="003A7CEF" w:rsidRPr="007C32D7" w:rsidRDefault="003A7CEF" w:rsidP="007C32D7">
            <w:pPr>
              <w:spacing w:line="480" w:lineRule="auto"/>
              <w:rPr>
                <w:rFonts w:ascii="Times New Roman" w:hAnsi="Times New Roman" w:cs="Times New Roman"/>
                <w:b/>
                <w:bCs/>
                <w:sz w:val="24"/>
                <w:szCs w:val="24"/>
              </w:rPr>
            </w:pPr>
          </w:p>
          <w:p w:rsidR="003A7CEF" w:rsidRPr="007C32D7" w:rsidRDefault="003A7CEF" w:rsidP="007C32D7">
            <w:pPr>
              <w:spacing w:line="480" w:lineRule="auto"/>
              <w:jc w:val="both"/>
              <w:rPr>
                <w:rFonts w:ascii="Times New Roman" w:hAnsi="Times New Roman" w:cs="Times New Roman"/>
                <w:b/>
                <w:bCs/>
                <w:sz w:val="24"/>
                <w:szCs w:val="24"/>
              </w:rPr>
            </w:pPr>
            <w:r w:rsidRPr="007C32D7">
              <w:rPr>
                <w:rFonts w:ascii="Times New Roman" w:hAnsi="Times New Roman" w:cs="Times New Roman"/>
                <w:b/>
                <w:bCs/>
                <w:sz w:val="24"/>
                <w:szCs w:val="24"/>
              </w:rPr>
              <w:t xml:space="preserve">The Supplementary Response of  the National Body on </w:t>
            </w:r>
            <w:r>
              <w:rPr>
                <w:rFonts w:ascii="Times New Roman" w:hAnsi="Times New Roman" w:cs="Times New Roman"/>
                <w:b/>
                <w:bCs/>
                <w:sz w:val="24"/>
                <w:szCs w:val="24"/>
              </w:rPr>
              <w:t xml:space="preserve">the </w:t>
            </w:r>
            <w:r w:rsidRPr="007C32D7">
              <w:rPr>
                <w:rFonts w:ascii="Times New Roman" w:hAnsi="Times New Roman" w:cs="Times New Roman"/>
                <w:b/>
                <w:bCs/>
                <w:sz w:val="24"/>
                <w:szCs w:val="24"/>
              </w:rPr>
              <w:t>Convention on t</w:t>
            </w:r>
            <w:r>
              <w:rPr>
                <w:rFonts w:ascii="Times New Roman" w:hAnsi="Times New Roman" w:cs="Times New Roman"/>
                <w:b/>
                <w:bCs/>
                <w:sz w:val="24"/>
                <w:szCs w:val="24"/>
              </w:rPr>
              <w:t>he Rights of the Child (NBCRC) r</w:t>
            </w:r>
            <w:r w:rsidRPr="007C32D7">
              <w:rPr>
                <w:rFonts w:ascii="Times New Roman" w:hAnsi="Times New Roman" w:cs="Times New Roman"/>
                <w:b/>
                <w:bCs/>
                <w:sz w:val="24"/>
                <w:szCs w:val="24"/>
              </w:rPr>
              <w:t>egarding the Concluding Observation</w:t>
            </w:r>
            <w:r>
              <w:rPr>
                <w:rFonts w:ascii="Times New Roman" w:hAnsi="Times New Roman" w:cs="Times New Roman"/>
                <w:b/>
                <w:bCs/>
                <w:sz w:val="24"/>
                <w:szCs w:val="24"/>
              </w:rPr>
              <w:t xml:space="preserve"> on the Combined third and fourth periodic reports</w:t>
            </w:r>
            <w:r w:rsidRPr="007C32D7">
              <w:rPr>
                <w:rFonts w:ascii="Times New Roman" w:hAnsi="Times New Roman" w:cs="Times New Roman"/>
                <w:b/>
                <w:bCs/>
                <w:sz w:val="24"/>
                <w:szCs w:val="24"/>
              </w:rPr>
              <w:t xml:space="preserve"> of the Committee on the Rights of the Child</w:t>
            </w:r>
            <w:r>
              <w:rPr>
                <w:rFonts w:ascii="Times New Roman" w:hAnsi="Times New Roman" w:cs="Times New Roman"/>
                <w:b/>
                <w:bCs/>
                <w:sz w:val="24"/>
                <w:szCs w:val="24"/>
              </w:rPr>
              <w:t xml:space="preserve"> for the Islamic Republic of Iran</w:t>
            </w:r>
          </w:p>
        </w:tc>
        <w:tc>
          <w:tcPr>
            <w:tcW w:w="2930" w:type="dxa"/>
            <w:tcBorders>
              <w:top w:val="single" w:sz="4" w:space="0" w:color="auto"/>
              <w:left w:val="nil"/>
              <w:bottom w:val="single" w:sz="12" w:space="0" w:color="auto"/>
              <w:right w:val="nil"/>
            </w:tcBorders>
          </w:tcPr>
          <w:p w:rsidR="003A7CEF" w:rsidRPr="007C32D7" w:rsidRDefault="003A7CEF" w:rsidP="007C32D7">
            <w:pPr>
              <w:spacing w:line="480" w:lineRule="auto"/>
              <w:jc w:val="center"/>
              <w:rPr>
                <w:rFonts w:ascii="Times New Roman" w:hAnsi="Times New Roman" w:cs="Times New Roman"/>
                <w:b/>
                <w:bCs/>
                <w:sz w:val="24"/>
                <w:szCs w:val="24"/>
              </w:rPr>
            </w:pPr>
          </w:p>
        </w:tc>
      </w:tr>
    </w:tbl>
    <w:p w:rsidR="003A7CEF" w:rsidRPr="007C32D7" w:rsidRDefault="003A7CEF" w:rsidP="007C32D7">
      <w:pPr>
        <w:spacing w:line="480" w:lineRule="auto"/>
        <w:jc w:val="center"/>
        <w:rPr>
          <w:rFonts w:ascii="Times New Roman" w:hAnsi="Times New Roman" w:cs="Times New Roman"/>
          <w:b/>
          <w:bCs/>
          <w:sz w:val="24"/>
          <w:szCs w:val="24"/>
        </w:rPr>
      </w:pPr>
    </w:p>
    <w:p w:rsidR="003A7CEF" w:rsidRPr="007C32D7" w:rsidRDefault="003A7CEF" w:rsidP="0055007F">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 9</w:t>
      </w:r>
      <w:r w:rsidRPr="007C32D7">
        <w:rPr>
          <w:rFonts w:ascii="Times New Roman" w:hAnsi="Times New Roman" w:cs="Times New Roman"/>
          <w:sz w:val="24"/>
          <w:szCs w:val="24"/>
        </w:rPr>
        <w:t xml:space="preserve">, it should be noted that despite the stipulation of the Single Act of Accession of the Islamic Republic of Iran to the Convention on the Rights of the Child, adopted on </w:t>
      </w:r>
      <w:r>
        <w:rPr>
          <w:rFonts w:ascii="Times New Roman" w:hAnsi="Times New Roman" w:cs="Times New Roman"/>
          <w:sz w:val="24"/>
          <w:szCs w:val="24"/>
        </w:rPr>
        <w:t>25 June 2014</w:t>
      </w:r>
      <w:r w:rsidRPr="007C32D7">
        <w:rPr>
          <w:rFonts w:ascii="Times New Roman" w:hAnsi="Times New Roman" w:cs="Times New Roman"/>
          <w:sz w:val="24"/>
          <w:szCs w:val="24"/>
        </w:rPr>
        <w:t xml:space="preserve">, that whenever there are contradictions between the provisions of the Convention and the domestic rules of the Islamic Republic of Iran and the Islamic norms, implementation of the Convention will be stopped, up to </w:t>
      </w:r>
      <w:r>
        <w:rPr>
          <w:rFonts w:ascii="Times New Roman" w:hAnsi="Times New Roman" w:cs="Times New Roman"/>
          <w:sz w:val="24"/>
          <w:szCs w:val="24"/>
        </w:rPr>
        <w:t>now</w:t>
      </w:r>
      <w:r w:rsidRPr="007C32D7">
        <w:rPr>
          <w:rFonts w:ascii="Times New Roman" w:hAnsi="Times New Roman" w:cs="Times New Roman"/>
          <w:sz w:val="24"/>
          <w:szCs w:val="24"/>
        </w:rPr>
        <w:t>, according to this Single Act, no cases of contradiction have been officially identified or reported. Thus, the provisions of the Convention are legally binding in the country and mentioning it in Paragraph 9 that “</w:t>
      </w:r>
      <w:smartTag w:uri="urn:schemas-microsoft-com:office:smarttags" w:element="country-region">
        <w:smartTag w:uri="urn:schemas-microsoft-com:office:smarttags" w:element="place">
          <w:r w:rsidRPr="007C32D7">
            <w:rPr>
              <w:rFonts w:ascii="Times New Roman" w:hAnsi="Times New Roman" w:cs="Times New Roman"/>
              <w:sz w:val="24"/>
              <w:szCs w:val="24"/>
            </w:rPr>
            <w:t>Iran</w:t>
          </w:r>
        </w:smartTag>
      </w:smartTag>
      <w:r w:rsidRPr="007C32D7">
        <w:rPr>
          <w:rFonts w:ascii="Times New Roman" w:hAnsi="Times New Roman" w:cs="Times New Roman"/>
          <w:sz w:val="24"/>
          <w:szCs w:val="24"/>
        </w:rPr>
        <w:t xml:space="preserve">’s reservation prevents implementation of many parts of the provisions of the Convention” is not consistent with the reality. NBCRC,with the cooperation of </w:t>
      </w:r>
      <w:smartTag w:uri="urn:schemas-microsoft-com:office:smarttags" w:element="PlaceName">
        <w:r w:rsidRPr="007C32D7">
          <w:rPr>
            <w:rFonts w:ascii="Times New Roman" w:hAnsi="Times New Roman" w:cs="Times New Roman"/>
            <w:sz w:val="24"/>
            <w:szCs w:val="24"/>
          </w:rPr>
          <w:t>Mofid</w:t>
        </w:r>
      </w:smartTag>
      <w:r w:rsidRPr="007C32D7">
        <w:rPr>
          <w:rFonts w:ascii="Times New Roman" w:hAnsi="Times New Roman" w:cs="Times New Roman"/>
          <w:sz w:val="24"/>
          <w:szCs w:val="24"/>
        </w:rPr>
        <w:t xml:space="preserve"> </w:t>
      </w:r>
      <w:smartTag w:uri="urn:schemas-microsoft-com:office:smarttags" w:element="PlaceType">
        <w:r w:rsidRPr="007C32D7">
          <w:rPr>
            <w:rFonts w:ascii="Times New Roman" w:hAnsi="Times New Roman" w:cs="Times New Roman"/>
            <w:sz w:val="24"/>
            <w:szCs w:val="24"/>
          </w:rPr>
          <w:t>University</w:t>
        </w:r>
      </w:smartTag>
      <w:r w:rsidRPr="007C32D7">
        <w:rPr>
          <w:rFonts w:ascii="Times New Roman" w:hAnsi="Times New Roman" w:cs="Times New Roman"/>
          <w:sz w:val="24"/>
          <w:szCs w:val="24"/>
        </w:rPr>
        <w:t xml:space="preserve"> in </w:t>
      </w:r>
      <w:smartTag w:uri="urn:schemas-microsoft-com:office:smarttags" w:element="place">
        <w:smartTag w:uri="urn:schemas-microsoft-com:office:smarttags" w:element="PlaceName">
          <w:r w:rsidRPr="007C32D7">
            <w:rPr>
              <w:rFonts w:ascii="Times New Roman" w:hAnsi="Times New Roman" w:cs="Times New Roman"/>
              <w:sz w:val="24"/>
              <w:szCs w:val="24"/>
            </w:rPr>
            <w:t>Qom</w:t>
          </w:r>
        </w:smartTag>
        <w:r w:rsidRPr="007C32D7">
          <w:rPr>
            <w:rFonts w:ascii="Times New Roman" w:hAnsi="Times New Roman" w:cs="Times New Roman"/>
            <w:sz w:val="24"/>
            <w:szCs w:val="24"/>
          </w:rPr>
          <w:t xml:space="preserve"> </w:t>
        </w:r>
        <w:smartTag w:uri="urn:schemas-microsoft-com:office:smarttags" w:element="place">
          <w:r w:rsidRPr="007C32D7">
            <w:rPr>
              <w:rFonts w:ascii="Times New Roman" w:hAnsi="Times New Roman" w:cs="Times New Roman"/>
              <w:sz w:val="24"/>
              <w:szCs w:val="24"/>
            </w:rPr>
            <w:t>City</w:t>
          </w:r>
        </w:smartTag>
      </w:smartTag>
      <w:r w:rsidRPr="007C32D7">
        <w:rPr>
          <w:rFonts w:ascii="Times New Roman" w:hAnsi="Times New Roman" w:cs="Times New Roman"/>
          <w:sz w:val="24"/>
          <w:szCs w:val="24"/>
        </w:rPr>
        <w:t xml:space="preserve">, UNICEF and the Judiciary of the Islamic Republic of Iran, held a conference on the rights of the child from the Islamic perspective in order to outline comparatively the provisions of the Convention with the Islamic Sharia. The proceedings of the conference were compiled as a book on comparative comparison of the provisions of the Convention with the Islamic Sharia. </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EA099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Paragraphs 13 and 14</w:t>
      </w:r>
      <w:r w:rsidRPr="007C32D7">
        <w:rPr>
          <w:rFonts w:ascii="Times New Roman" w:hAnsi="Times New Roman" w:cs="Times New Roman"/>
          <w:sz w:val="24"/>
          <w:szCs w:val="24"/>
        </w:rPr>
        <w:t xml:space="preserve">, it should be noted that the generalities of the “National Document on Rights of the Child and Adolescents in the Islamic Republic of </w:t>
      </w:r>
      <w:r w:rsidRPr="007C32D7">
        <w:rPr>
          <w:rFonts w:ascii="Times New Roman" w:hAnsi="Times New Roman" w:cs="Times New Roman"/>
          <w:sz w:val="24"/>
          <w:szCs w:val="24"/>
        </w:rPr>
        <w:lastRenderedPageBreak/>
        <w:t>Iran: Strategi</w:t>
      </w:r>
      <w:r>
        <w:rPr>
          <w:rFonts w:ascii="Times New Roman" w:hAnsi="Times New Roman" w:cs="Times New Roman"/>
          <w:sz w:val="24"/>
          <w:szCs w:val="24"/>
        </w:rPr>
        <w:t>es, Objectives and Plans of Action”</w:t>
      </w:r>
      <w:r w:rsidRPr="007C32D7">
        <w:rPr>
          <w:rFonts w:ascii="Times New Roman" w:hAnsi="Times New Roman" w:cs="Times New Roman"/>
          <w:sz w:val="24"/>
          <w:szCs w:val="24"/>
        </w:rPr>
        <w:t xml:space="preserve"> comprehensive plan of action in 1404 Vision includes the provisions of the Convention and it has been adopted with the aim of operating Paragraph A of Article 2</w:t>
      </w:r>
      <w:r w:rsidRPr="007C32D7">
        <w:rPr>
          <w:rStyle w:val="FootnoteReference"/>
          <w:rFonts w:ascii="Times New Roman" w:hAnsi="Times New Roman"/>
          <w:sz w:val="24"/>
          <w:szCs w:val="24"/>
        </w:rPr>
        <w:footnoteReference w:id="2"/>
      </w:r>
      <w:r w:rsidRPr="007C32D7">
        <w:rPr>
          <w:rFonts w:ascii="Times New Roman" w:hAnsi="Times New Roman" w:cs="Times New Roman"/>
          <w:sz w:val="24"/>
          <w:szCs w:val="24"/>
        </w:rPr>
        <w:t xml:space="preserve"> and Paragraphs A and B of Article 6</w:t>
      </w:r>
      <w:r w:rsidRPr="007C32D7">
        <w:rPr>
          <w:rStyle w:val="FootnoteReference"/>
          <w:rFonts w:ascii="Times New Roman" w:hAnsi="Times New Roman"/>
          <w:sz w:val="24"/>
          <w:szCs w:val="24"/>
        </w:rPr>
        <w:footnoteReference w:id="3"/>
      </w:r>
      <w:r w:rsidRPr="007C32D7">
        <w:rPr>
          <w:rFonts w:ascii="Times New Roman" w:hAnsi="Times New Roman" w:cs="Times New Roman"/>
          <w:sz w:val="24"/>
          <w:szCs w:val="24"/>
        </w:rPr>
        <w:t xml:space="preserve"> of the NBCRC Bylaws which are composed of 11 strategies, 38 specialized objectives, 223 programs and 836 activities. In each of these plans</w:t>
      </w:r>
      <w:r>
        <w:rPr>
          <w:rFonts w:ascii="Times New Roman" w:hAnsi="Times New Roman" w:cs="Times New Roman"/>
          <w:sz w:val="24"/>
          <w:szCs w:val="24"/>
        </w:rPr>
        <w:t xml:space="preserve"> of </w:t>
      </w:r>
      <w:r w:rsidRPr="007C32D7">
        <w:rPr>
          <w:rFonts w:ascii="Times New Roman" w:hAnsi="Times New Roman" w:cs="Times New Roman"/>
          <w:sz w:val="24"/>
          <w:szCs w:val="24"/>
        </w:rPr>
        <w:t>action, vulnerable children are particularly supported and within the frameworks of such a support all children have access to equal opportunities. Among these children are children exposed to risk, children at risk, non-Iranian children (refugees, asylum seekers, migrants and illegal migrants), unregistered children, children in conflict with law, children in rehabilitation centers of the State Welfare Organization, disabled children d</w:t>
      </w:r>
      <w:r>
        <w:rPr>
          <w:rFonts w:ascii="Times New Roman" w:hAnsi="Times New Roman" w:cs="Times New Roman"/>
          <w:sz w:val="24"/>
          <w:szCs w:val="24"/>
        </w:rPr>
        <w:t>ivided by their disability, ill-</w:t>
      </w:r>
      <w:r w:rsidRPr="007C32D7">
        <w:rPr>
          <w:rFonts w:ascii="Times New Roman" w:hAnsi="Times New Roman" w:cs="Times New Roman"/>
          <w:sz w:val="24"/>
          <w:szCs w:val="24"/>
        </w:rPr>
        <w:t xml:space="preserve">supervised children, unsupervised children, children belonging to temporary weak families, children resident in rural and </w:t>
      </w:r>
      <w:r>
        <w:rPr>
          <w:rFonts w:ascii="Times New Roman" w:hAnsi="Times New Roman" w:cs="Times New Roman"/>
          <w:sz w:val="24"/>
          <w:szCs w:val="24"/>
        </w:rPr>
        <w:t>marginal</w:t>
      </w:r>
      <w:r w:rsidRPr="007C32D7">
        <w:rPr>
          <w:rFonts w:ascii="Times New Roman" w:hAnsi="Times New Roman" w:cs="Times New Roman"/>
          <w:sz w:val="24"/>
          <w:szCs w:val="24"/>
        </w:rPr>
        <w:t xml:space="preserve"> areas, children accompanying the women prisoners and children who are under 6 years of age. For example, “to Promote the Fundamental Rights of Children” and “to Ensure Children’s  Right to Identity” for non-Iranian children, unregistered children and stateless children are particularly supported in Strategy A and the specialized objective A/3, respectively. In the specialized objective A/5 “to Ensure Right to Information”, non-Iranian children, disabled children based on their disabilities, children resident in the boarding correction and rehabilitation centers </w:t>
      </w:r>
      <w:r w:rsidRPr="007E4680">
        <w:rPr>
          <w:rFonts w:ascii="Times New Roman" w:hAnsi="Times New Roman" w:cs="Times New Roman"/>
          <w:sz w:val="24"/>
          <w:szCs w:val="24"/>
        </w:rPr>
        <w:t>of the State Welfare Organization enjoy particular supports regarding the plans of action.</w:t>
      </w:r>
      <w:r w:rsidRPr="007C32D7">
        <w:rPr>
          <w:rFonts w:ascii="Times New Roman" w:hAnsi="Times New Roman" w:cs="Times New Roman"/>
          <w:sz w:val="24"/>
          <w:szCs w:val="24"/>
        </w:rPr>
        <w:t xml:space="preserve"> Implementing the action plan of “the National Document” on the rights of the child and adolescents in the Islamic Republic of Iran will be started from 2016 (1395 the Iranian calendar Year) and </w:t>
      </w:r>
      <w:r w:rsidRPr="007C32D7">
        <w:rPr>
          <w:rFonts w:ascii="Times New Roman" w:hAnsi="Times New Roman" w:cs="Times New Roman"/>
          <w:sz w:val="24"/>
          <w:szCs w:val="24"/>
        </w:rPr>
        <w:lastRenderedPageBreak/>
        <w:t xml:space="preserve">the enforcement date will be notified by the Minister of Justice to the relevant bodies, the necessary measures will be included in their annual budgets in order to implement the announced programs to the NBCRC which have been included in the document. NBCRC is setting up and constructing a child and adolescents databank management system in order to control and monitor these eleven strategies by the relevant apparatus. Along with the implementation of the document, monitoring and control will begin as well. </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 15</w:t>
      </w:r>
      <w:r w:rsidRPr="007C32D7">
        <w:rPr>
          <w:rFonts w:ascii="Times New Roman" w:hAnsi="Times New Roman" w:cs="Times New Roman"/>
          <w:sz w:val="24"/>
          <w:szCs w:val="24"/>
        </w:rPr>
        <w:t>, it should be noted that the NBCRC was established by the cabinet approval in December 2009- January 2010; its Bylaws were approved in 2012 in the cabinet and then the four specialized workgroups of Monitoring and Assessment, Legal and Judiciary, Education, Public Enlightening and Support and Coordination were established under Article 9 of the Instruction. The main achievements of the NBCRC and its specialized workgroups are as follow:</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3-1 NBCRC Achievements</w:t>
      </w:r>
      <w:r w:rsidRPr="007C32D7">
        <w:rPr>
          <w:rFonts w:ascii="Times New Roman" w:hAnsi="Times New Roman" w:cs="Times New Roman"/>
          <w:sz w:val="24"/>
          <w:szCs w:val="24"/>
        </w:rPr>
        <w:t>:</w:t>
      </w:r>
    </w:p>
    <w:p w:rsidR="003A7CEF" w:rsidRPr="007C32D7" w:rsidRDefault="003A7CEF" w:rsidP="0023222B">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Adoption of the comprehensive plan of action of “National Document on Rights of the Child and Adolescents in the Islamic Republic of Iran: Strategies, Objectives and Plans</w:t>
      </w:r>
      <w:r>
        <w:rPr>
          <w:rFonts w:ascii="Times New Roman" w:hAnsi="Times New Roman" w:cs="Times New Roman"/>
          <w:sz w:val="24"/>
          <w:szCs w:val="24"/>
        </w:rPr>
        <w:t xml:space="preserve"> of </w:t>
      </w:r>
      <w:r w:rsidRPr="007C32D7">
        <w:rPr>
          <w:rFonts w:ascii="Times New Roman" w:hAnsi="Times New Roman" w:cs="Times New Roman"/>
          <w:sz w:val="24"/>
          <w:szCs w:val="24"/>
        </w:rPr>
        <w:t>Action”;</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Planning and implementation of the child and adolescents databank;</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Holding scientific meetings with the cooperation of UNICEF, including series of specialized meetings on the role of religious leaders in preventing violence against children in four areas of prohibition of discrimination, negligence and indifference to children, early and forced marriage and sexual harassment;</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lastRenderedPageBreak/>
        <w:t>Training judges under Article 91 of the Islamic Penal Code, adopted in 2013;</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Holding occasional meetings;</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Interaction with Non-Governmental Organizations (NGOs);</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Publication of the proceedings of the first meeting;</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Establishment of the Child Rights Department in </w:t>
      </w:r>
      <w:smartTag w:uri="urn:schemas-microsoft-com:office:smarttags" w:element="place">
        <w:smartTag w:uri="urn:schemas-microsoft-com:office:smarttags" w:element="place">
          <w:r w:rsidRPr="007C32D7">
            <w:rPr>
              <w:rFonts w:ascii="Times New Roman" w:hAnsi="Times New Roman" w:cs="Times New Roman"/>
              <w:sz w:val="24"/>
              <w:szCs w:val="24"/>
            </w:rPr>
            <w:t>Shahid</w:t>
          </w:r>
        </w:smartTag>
        <w:r>
          <w:rPr>
            <w:rFonts w:ascii="Times New Roman" w:hAnsi="Times New Roman" w:cs="Times New Roman"/>
            <w:sz w:val="24"/>
            <w:szCs w:val="24"/>
          </w:rPr>
          <w:t xml:space="preserve"> </w:t>
        </w:r>
        <w:smartTag w:uri="urn:schemas-microsoft-com:office:smarttags" w:element="place">
          <w:r w:rsidRPr="007C32D7">
            <w:rPr>
              <w:rFonts w:ascii="Times New Roman" w:hAnsi="Times New Roman" w:cs="Times New Roman"/>
              <w:sz w:val="24"/>
              <w:szCs w:val="24"/>
            </w:rPr>
            <w:t>Beheshty</w:t>
          </w:r>
        </w:smartTag>
        <w:r w:rsidRPr="007C32D7">
          <w:rPr>
            <w:rFonts w:ascii="Times New Roman" w:hAnsi="Times New Roman" w:cs="Times New Roman"/>
            <w:sz w:val="24"/>
            <w:szCs w:val="24"/>
          </w:rPr>
          <w:t xml:space="preserve"> </w:t>
        </w:r>
        <w:smartTag w:uri="urn:schemas-microsoft-com:office:smarttags" w:element="place">
          <w:r w:rsidRPr="007C32D7">
            <w:rPr>
              <w:rFonts w:ascii="Times New Roman" w:hAnsi="Times New Roman" w:cs="Times New Roman"/>
              <w:sz w:val="24"/>
              <w:szCs w:val="24"/>
            </w:rPr>
            <w:t>University</w:t>
          </w:r>
        </w:smartTag>
      </w:smartTag>
      <w:r w:rsidRPr="007C32D7">
        <w:rPr>
          <w:rFonts w:ascii="Times New Roman" w:hAnsi="Times New Roman" w:cs="Times New Roman"/>
          <w:sz w:val="24"/>
          <w:szCs w:val="24"/>
        </w:rPr>
        <w:t>;</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Establishment of the Child Rights Fraction in the Islamic Consultative Assembly;</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Holding M.A. courses on the Child and Adolescent Criminal Law in a number of universities;</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Adoption of the research priorities plan in </w:t>
      </w:r>
      <w:smartTag w:uri="urn:schemas-microsoft-com:office:smarttags" w:element="place">
        <w:r w:rsidRPr="007C32D7">
          <w:rPr>
            <w:rFonts w:ascii="Times New Roman" w:hAnsi="Times New Roman" w:cs="Times New Roman"/>
            <w:sz w:val="24"/>
            <w:szCs w:val="24"/>
          </w:rPr>
          <w:t>Iran</w:t>
        </w:r>
      </w:smartTag>
      <w:r w:rsidRPr="007C32D7">
        <w:rPr>
          <w:rFonts w:ascii="Times New Roman" w:hAnsi="Times New Roman" w:cs="Times New Roman"/>
          <w:sz w:val="24"/>
          <w:szCs w:val="24"/>
        </w:rPr>
        <w:t xml:space="preserve"> with the cooperation of the UNICEF;</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Setting up the comprehensive portal of Ganje</w:t>
      </w:r>
      <w:r>
        <w:rPr>
          <w:rFonts w:ascii="Times New Roman" w:hAnsi="Times New Roman" w:cs="Times New Roman"/>
          <w:sz w:val="24"/>
          <w:szCs w:val="24"/>
        </w:rPr>
        <w:t xml:space="preserve"> </w:t>
      </w:r>
      <w:r w:rsidRPr="007C32D7">
        <w:rPr>
          <w:rFonts w:ascii="Times New Roman" w:hAnsi="Times New Roman" w:cs="Times New Roman"/>
          <w:sz w:val="24"/>
          <w:szCs w:val="24"/>
        </w:rPr>
        <w:t>Ensan;</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Holding a workshop on reporting for the Committee on the Rights of the Child with the cooperation of the UNICEF;</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 Codification of the Foreign Nationals Training Amendment Bylaw, adopted in 2004, and submitting it to the cabinet;</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 Signing a Memorandum of Understanding with the Islamic Republic of Iran Broadcasting (IRIB), Iran Drug Control Headquarters and President’s Deputy Office for Women and Family Affairs;</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Determining Working Priorities of the NBCRC based on “Education for All Children” motto in 2015;</w:t>
      </w:r>
    </w:p>
    <w:p w:rsidR="003A7CEF" w:rsidRPr="007C32D7" w:rsidRDefault="003A7CEF" w:rsidP="007C32D7">
      <w:pPr>
        <w:pStyle w:val="ListParagraph"/>
        <w:numPr>
          <w:ilvl w:val="0"/>
          <w:numId w:val="2"/>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 Expansion of the activities of the NBCRC at the level of provinces by virtue of the coordination between the Ministry of Interior and the Ministry of Justice in letter No. 94/01/11946, dated 25/08/2015:</w:t>
      </w:r>
    </w:p>
    <w:p w:rsidR="003A7CEF" w:rsidRPr="007C32D7" w:rsidRDefault="003A7CEF" w:rsidP="00EA0997">
      <w:pPr>
        <w:pStyle w:val="ListParagraph"/>
        <w:numPr>
          <w:ilvl w:val="4"/>
          <w:numId w:val="3"/>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lastRenderedPageBreak/>
        <w:t xml:space="preserve">Since ensuring the required coordination up to </w:t>
      </w:r>
      <w:r>
        <w:rPr>
          <w:rFonts w:ascii="Times New Roman" w:hAnsi="Times New Roman" w:cs="Times New Roman"/>
          <w:sz w:val="24"/>
          <w:szCs w:val="24"/>
        </w:rPr>
        <w:t>now</w:t>
      </w:r>
      <w:r w:rsidRPr="007C32D7">
        <w:rPr>
          <w:rFonts w:ascii="Times New Roman" w:hAnsi="Times New Roman" w:cs="Times New Roman"/>
          <w:sz w:val="24"/>
          <w:szCs w:val="24"/>
        </w:rPr>
        <w:t xml:space="preserve">, among the 5 provinces of Khorasan Razavi, Sistan and Baluchistan, Esfahan, Qazvin and Khuzestan, some visits have been paid at the level of NBCRC secretaries and experts. These visits were paid to women’s prisons (children accompanying the women prisoners), correction and rehabilitation centers, specialized public and private </w:t>
      </w:r>
      <w:r>
        <w:rPr>
          <w:rFonts w:ascii="Times New Roman" w:hAnsi="Times New Roman" w:cs="Times New Roman"/>
          <w:sz w:val="24"/>
          <w:szCs w:val="24"/>
        </w:rPr>
        <w:t>organizations on supporting ill-</w:t>
      </w:r>
      <w:r w:rsidRPr="007C32D7">
        <w:rPr>
          <w:rFonts w:ascii="Times New Roman" w:hAnsi="Times New Roman" w:cs="Times New Roman"/>
          <w:sz w:val="24"/>
          <w:szCs w:val="24"/>
        </w:rPr>
        <w:t>supervised and unsupervised children, including infants, mentally and physically retarded children, street and working children and addicted children. In the above-mentioned provinces, field pathologies were carried out which led to the identification of the support priorities of the provinces on the child rights and the forthcoming obstacles and challenges to the promotion of the child rights were identified.</w:t>
      </w:r>
    </w:p>
    <w:p w:rsidR="003A7CEF" w:rsidRPr="007C32D7" w:rsidRDefault="003A7CEF" w:rsidP="007C32D7">
      <w:pPr>
        <w:pStyle w:val="ListParagraph"/>
        <w:numPr>
          <w:ilvl w:val="4"/>
          <w:numId w:val="3"/>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Participating in the Family and Women Workgroup of the Ministry of Interior, composed of provincial directors and Family and Women Affairs Director General, chaired by the Deputy Governors General in the Governor General offices;</w:t>
      </w:r>
    </w:p>
    <w:p w:rsidR="003A7CEF" w:rsidRPr="007C32D7" w:rsidRDefault="003A7CEF" w:rsidP="007C32D7">
      <w:pPr>
        <w:pStyle w:val="ListParagraph"/>
        <w:spacing w:line="480" w:lineRule="auto"/>
        <w:ind w:left="1800"/>
        <w:jc w:val="both"/>
        <w:rPr>
          <w:rFonts w:ascii="Times New Roman" w:hAnsi="Times New Roman" w:cs="Times New Roman"/>
          <w:sz w:val="24"/>
          <w:szCs w:val="24"/>
        </w:rPr>
      </w:pPr>
    </w:p>
    <w:p w:rsidR="003A7CEF" w:rsidRPr="007C32D7" w:rsidRDefault="003A7CEF" w:rsidP="007C32D7">
      <w:pPr>
        <w:spacing w:line="480" w:lineRule="auto"/>
        <w:ind w:left="851"/>
        <w:jc w:val="both"/>
        <w:rPr>
          <w:rFonts w:ascii="Times New Roman" w:hAnsi="Times New Roman" w:cs="Times New Roman"/>
          <w:b/>
          <w:bCs/>
          <w:sz w:val="24"/>
          <w:szCs w:val="24"/>
        </w:rPr>
      </w:pPr>
      <w:r w:rsidRPr="007C32D7">
        <w:rPr>
          <w:rFonts w:ascii="Times New Roman" w:hAnsi="Times New Roman" w:cs="Times New Roman"/>
          <w:b/>
          <w:bCs/>
          <w:sz w:val="24"/>
          <w:szCs w:val="24"/>
        </w:rPr>
        <w:t>3-2 Achievements of the NBCRC Workgroups:</w:t>
      </w:r>
    </w:p>
    <w:p w:rsidR="003A7CEF" w:rsidRPr="007C32D7" w:rsidRDefault="003A7CEF" w:rsidP="007C32D7">
      <w:pPr>
        <w:pStyle w:val="ListParagraph"/>
        <w:numPr>
          <w:ilvl w:val="0"/>
          <w:numId w:val="5"/>
        </w:numPr>
        <w:spacing w:line="480" w:lineRule="auto"/>
        <w:ind w:left="1843" w:hanging="425"/>
        <w:jc w:val="both"/>
        <w:rPr>
          <w:rFonts w:ascii="Times New Roman" w:hAnsi="Times New Roman" w:cs="Times New Roman"/>
          <w:sz w:val="24"/>
          <w:szCs w:val="24"/>
        </w:rPr>
      </w:pPr>
      <w:r w:rsidRPr="007C32D7">
        <w:rPr>
          <w:rFonts w:ascii="Times New Roman" w:hAnsi="Times New Roman" w:cs="Times New Roman"/>
          <w:sz w:val="24"/>
          <w:szCs w:val="24"/>
        </w:rPr>
        <w:t>The main achievements of the Legal and Judiciary Workgroup: analysis of the reservation; analysis of the ways to end early marriages; analysis of the unregistered children status; and analysis of removing legal challenges to the education of foreign nationals;</w:t>
      </w:r>
    </w:p>
    <w:p w:rsidR="003A7CEF" w:rsidRPr="007C32D7" w:rsidRDefault="003A7CEF" w:rsidP="007C32D7">
      <w:pPr>
        <w:pStyle w:val="ListParagraph"/>
        <w:numPr>
          <w:ilvl w:val="0"/>
          <w:numId w:val="5"/>
        </w:numPr>
        <w:spacing w:line="480" w:lineRule="auto"/>
        <w:ind w:left="1843" w:hanging="425"/>
        <w:jc w:val="both"/>
        <w:rPr>
          <w:rFonts w:ascii="Times New Roman" w:hAnsi="Times New Roman" w:cs="Times New Roman"/>
          <w:sz w:val="24"/>
          <w:szCs w:val="24"/>
        </w:rPr>
      </w:pPr>
      <w:r w:rsidRPr="007C32D7">
        <w:rPr>
          <w:rFonts w:ascii="Times New Roman" w:hAnsi="Times New Roman" w:cs="Times New Roman"/>
          <w:sz w:val="24"/>
          <w:szCs w:val="24"/>
        </w:rPr>
        <w:t xml:space="preserve">The main achievements of the Education Workgroup: setting up educational programs and disseminating them; analysis of the educational issues of the </w:t>
      </w:r>
      <w:r w:rsidRPr="007C32D7">
        <w:rPr>
          <w:rFonts w:ascii="Times New Roman" w:hAnsi="Times New Roman" w:cs="Times New Roman"/>
          <w:sz w:val="24"/>
          <w:szCs w:val="24"/>
        </w:rPr>
        <w:lastRenderedPageBreak/>
        <w:t>educationally deprived children; participation in holding particular ceremonies on the occasion of the national week of the rights of the child; creating educational messages;</w:t>
      </w:r>
    </w:p>
    <w:p w:rsidR="003A7CEF" w:rsidRPr="007C32D7" w:rsidRDefault="003A7CEF" w:rsidP="007C32D7">
      <w:pPr>
        <w:pStyle w:val="ListParagraph"/>
        <w:numPr>
          <w:ilvl w:val="0"/>
          <w:numId w:val="5"/>
        </w:numPr>
        <w:spacing w:line="480" w:lineRule="auto"/>
        <w:ind w:left="1843" w:hanging="425"/>
        <w:jc w:val="both"/>
        <w:rPr>
          <w:rFonts w:ascii="Times New Roman" w:hAnsi="Times New Roman" w:cs="Times New Roman"/>
          <w:sz w:val="24"/>
          <w:szCs w:val="24"/>
        </w:rPr>
      </w:pPr>
      <w:r w:rsidRPr="007C32D7">
        <w:rPr>
          <w:rFonts w:ascii="Times New Roman" w:hAnsi="Times New Roman" w:cs="Times New Roman"/>
          <w:sz w:val="24"/>
          <w:szCs w:val="24"/>
        </w:rPr>
        <w:t>The main achievements of the Support and Coordination Workgroup: analysis of ways to support street and working children with the cooperation of the Ministry of Cooperatives, Labor and Social Welfare; analysis of different dimensions of supporting children who are deprived of education and are victims of early marriage; identification of the existing gaps in the Bylaws on how to educate foreign nationals, adopted in 2004;</w:t>
      </w:r>
    </w:p>
    <w:p w:rsidR="003A7CEF" w:rsidRPr="007C32D7" w:rsidRDefault="003A7CEF" w:rsidP="007C32D7">
      <w:pPr>
        <w:pStyle w:val="ListParagraph"/>
        <w:numPr>
          <w:ilvl w:val="0"/>
          <w:numId w:val="5"/>
        </w:numPr>
        <w:spacing w:line="480" w:lineRule="auto"/>
        <w:ind w:left="1843" w:hanging="425"/>
        <w:jc w:val="both"/>
        <w:rPr>
          <w:rFonts w:ascii="Times New Roman" w:hAnsi="Times New Roman" w:cs="Times New Roman"/>
          <w:sz w:val="24"/>
          <w:szCs w:val="24"/>
        </w:rPr>
      </w:pPr>
      <w:r w:rsidRPr="007C32D7">
        <w:rPr>
          <w:rFonts w:ascii="Times New Roman" w:hAnsi="Times New Roman" w:cs="Times New Roman"/>
          <w:sz w:val="24"/>
          <w:szCs w:val="24"/>
        </w:rPr>
        <w:t>The main achievements of the Monitoring and Assessment Workgroup: field visit paid to NGOs active in the area of supporting children, especially street, working and educationally deprived children; activation of street and working children organizing committee, adopted in 2003;</w:t>
      </w:r>
    </w:p>
    <w:p w:rsidR="003A7CEF" w:rsidRPr="007C32D7" w:rsidRDefault="003A7CEF" w:rsidP="007C32D7">
      <w:pPr>
        <w:pStyle w:val="ListParagraph"/>
        <w:spacing w:line="480" w:lineRule="auto"/>
        <w:ind w:left="1843"/>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On Paragraph 16</w:t>
      </w:r>
      <w:r w:rsidRPr="007C32D7">
        <w:rPr>
          <w:rFonts w:ascii="Times New Roman" w:hAnsi="Times New Roman" w:cs="Times New Roman"/>
          <w:sz w:val="24"/>
          <w:szCs w:val="24"/>
        </w:rPr>
        <w:t>, it should be noted that by virtue of Article 4 of the NBCRC Bylaws, plenipotentiary representatives of the relevant organizations and bodies are members of the coordinating council and as a result approvals of the coordinating council passed by its members are binding. According to Article 2 of the Bylaws, powers and duties of the NBCRC is determined, defined and codified transparently and since they have been approved in the cabinet, they are binding. Regarding the implementation of the Convention in provincial levels, the required information has been provided in this Paragraph.</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lastRenderedPageBreak/>
        <w:t>Regarding Paragraphs 19 and 20</w:t>
      </w:r>
      <w:r w:rsidRPr="007C32D7">
        <w:rPr>
          <w:rFonts w:ascii="Times New Roman" w:hAnsi="Times New Roman" w:cs="Times New Roman"/>
          <w:sz w:val="24"/>
          <w:szCs w:val="24"/>
        </w:rPr>
        <w:t xml:space="preserve">, it should be noted that by virtue of Paragraph I of Article 8 of the NBCRC Bylaws on data collection, as raised in the meetings and reports, NBCRC has planned and set up a databank which includes data on children in different circumstances, including studying children, educationally deprived children, street children, disabled children, law contracting children, children accompanying the women prisoners, their marriage status, etc. and has subdivided these data based on National ID numbers, postal addresses and phone numbers of the place of residence, supervisor’s specifications, etc. All these data are accessible and continuously available to the public and private organizations to use them in planning, implementing, monitoring and assessing their related programs. </w:t>
      </w: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 21</w:t>
      </w:r>
      <w:r w:rsidRPr="007C32D7">
        <w:rPr>
          <w:rFonts w:ascii="Times New Roman" w:hAnsi="Times New Roman" w:cs="Times New Roman"/>
          <w:sz w:val="24"/>
          <w:szCs w:val="24"/>
        </w:rPr>
        <w:t xml:space="preserve">, it should be noted that by virtue of Paragraph B of Article 2, monitoring and assessment of respect for the child rights is among the powers and duties of the NBCRC. Thus, according to Paragraph A of Article 9, one of the specialized workgroups of the NBCRC is called Monitoring and Assessment. </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Paragraphs 41 and 42</w:t>
      </w:r>
      <w:r w:rsidRPr="007C32D7">
        <w:rPr>
          <w:rFonts w:ascii="Times New Roman" w:hAnsi="Times New Roman" w:cs="Times New Roman"/>
          <w:sz w:val="24"/>
          <w:szCs w:val="24"/>
        </w:rPr>
        <w:t>, it should be noted that on respect to the child views and viewpoints, in addition to the previous explanations, the NBCRC, with the cooperation of the Judiciary of the Islamic Republic of Iran (High Council for Human Rights and Faculty of Judicial Sciences), has held two conferences on the child rights vision in the country in order to promote respect for the best interests of children, take into consideration children’s viewpoints and develop the child friendly approaches among the judges in the country. In these conferences, a section was dedicated to judicial innovative ideas based upon the following criteria:</w:t>
      </w:r>
    </w:p>
    <w:p w:rsidR="003A7CEF" w:rsidRPr="007C32D7" w:rsidRDefault="003A7CEF" w:rsidP="007C32D7">
      <w:pPr>
        <w:pStyle w:val="ListParagraph"/>
        <w:numPr>
          <w:ilvl w:val="0"/>
          <w:numId w:val="6"/>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lastRenderedPageBreak/>
        <w:t>Rulings that have been innovatively drawn from the capacities of the New Islamic Penal Code, adopted on 21/04/2013, especially Article 91 of the code;</w:t>
      </w:r>
    </w:p>
    <w:p w:rsidR="003A7CEF" w:rsidRPr="007C32D7" w:rsidRDefault="003A7CEF" w:rsidP="007C32D7">
      <w:pPr>
        <w:pStyle w:val="ListParagraph"/>
        <w:numPr>
          <w:ilvl w:val="0"/>
          <w:numId w:val="6"/>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Rulings derived from the new judicial facilities, including suspension of prosecution, postponement, suspension and conversion of a penalty, sentencing, applying the Rule of Dara</w:t>
      </w:r>
      <w:r w:rsidRPr="007C32D7">
        <w:rPr>
          <w:rStyle w:val="FootnoteReference"/>
          <w:rFonts w:ascii="Times New Roman" w:hAnsi="Times New Roman"/>
          <w:sz w:val="24"/>
          <w:szCs w:val="24"/>
        </w:rPr>
        <w:footnoteReference w:id="4"/>
      </w:r>
      <w:r w:rsidRPr="007C32D7">
        <w:rPr>
          <w:rFonts w:ascii="Times New Roman" w:hAnsi="Times New Roman" w:cs="Times New Roman"/>
          <w:sz w:val="24"/>
          <w:szCs w:val="24"/>
        </w:rPr>
        <w:t xml:space="preserve"> (having misgiving in the criminal responsibility) and similar concepts;</w:t>
      </w:r>
    </w:p>
    <w:p w:rsidR="003A7CEF" w:rsidRPr="007C32D7" w:rsidRDefault="003A7CEF" w:rsidP="007C32D7">
      <w:pPr>
        <w:pStyle w:val="ListParagraph"/>
        <w:numPr>
          <w:ilvl w:val="0"/>
          <w:numId w:val="6"/>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Death penalty sentences of children under 18 years of age overruled in the Supreme Court by virtue of Article 91 of the Islamic Penal Code and its Note;</w:t>
      </w:r>
    </w:p>
    <w:p w:rsidR="003A7CEF" w:rsidRPr="007C32D7" w:rsidRDefault="003A7CEF" w:rsidP="00EA0997">
      <w:pPr>
        <w:pStyle w:val="ListParagraph"/>
        <w:numPr>
          <w:ilvl w:val="0"/>
          <w:numId w:val="6"/>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Rulings issued based on legal reasoning in order to safeguard and respect the best rights of the child (stipulated in Respecting the Child Supreme Rights text);</w:t>
      </w:r>
    </w:p>
    <w:p w:rsidR="003A7CEF" w:rsidRPr="007C32D7" w:rsidRDefault="003A7CEF" w:rsidP="007C32D7">
      <w:pPr>
        <w:pStyle w:val="ListParagraph"/>
        <w:numPr>
          <w:ilvl w:val="0"/>
          <w:numId w:val="6"/>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Rulings in which, beside the legal articles, judge cites the Convention of the Rights of the Child articles as well.  </w:t>
      </w:r>
    </w:p>
    <w:p w:rsidR="003A7CEF" w:rsidRPr="007C32D7" w:rsidRDefault="003A7CEF" w:rsidP="007C32D7">
      <w:pPr>
        <w:pStyle w:val="ListParagraph"/>
        <w:spacing w:line="480" w:lineRule="auto"/>
        <w:ind w:left="1440"/>
        <w:jc w:val="both"/>
        <w:rPr>
          <w:rFonts w:ascii="Times New Roman" w:hAnsi="Times New Roman" w:cs="Times New Roman"/>
          <w:sz w:val="24"/>
          <w:szCs w:val="24"/>
        </w:rPr>
      </w:pPr>
    </w:p>
    <w:p w:rsidR="003A7CEF" w:rsidRPr="007C32D7" w:rsidRDefault="003A7CEF" w:rsidP="007E4680">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Paragraphs 53, 54 and 71</w:t>
      </w:r>
      <w:r w:rsidRPr="007C32D7">
        <w:rPr>
          <w:rFonts w:ascii="Times New Roman" w:hAnsi="Times New Roman" w:cs="Times New Roman"/>
          <w:sz w:val="24"/>
          <w:szCs w:val="24"/>
        </w:rPr>
        <w:t>, it should be noted that no psychoactive substances and electroconvulsive therapy are used against LGBTI at all.</w:t>
      </w:r>
      <w:r>
        <w:rPr>
          <w:rFonts w:ascii="Times New Roman" w:hAnsi="Times New Roman" w:cs="Times New Roman"/>
          <w:sz w:val="24"/>
          <w:szCs w:val="24"/>
        </w:rPr>
        <w:t xml:space="preserve"> </w:t>
      </w:r>
      <w:r w:rsidRPr="007C32D7">
        <w:rPr>
          <w:rFonts w:ascii="Times New Roman" w:hAnsi="Times New Roman" w:cs="Times New Roman"/>
          <w:sz w:val="24"/>
          <w:szCs w:val="24"/>
        </w:rPr>
        <w:t xml:space="preserve">Regarding the electroconvulsive therapy, the main criterion for decision-making is DSM5, which is a global criterion. Thus, regarding the LGBTI, there are no indications. </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b/>
          <w:bCs/>
          <w:sz w:val="24"/>
          <w:szCs w:val="24"/>
        </w:rPr>
        <w:t>Regarding Paragraphs 55 and 56</w:t>
      </w:r>
      <w:r w:rsidRPr="007C32D7">
        <w:rPr>
          <w:rFonts w:ascii="Times New Roman" w:hAnsi="Times New Roman" w:cs="Times New Roman"/>
          <w:sz w:val="24"/>
          <w:szCs w:val="24"/>
        </w:rPr>
        <w:t>, it should be noted that according to Article 77 of Schools Operational Bylaw,</w:t>
      </w:r>
      <w:r>
        <w:rPr>
          <w:rFonts w:ascii="Times New Roman" w:hAnsi="Times New Roman" w:cs="Times New Roman"/>
          <w:sz w:val="24"/>
          <w:szCs w:val="24"/>
        </w:rPr>
        <w:t xml:space="preserve"> </w:t>
      </w:r>
      <w:r w:rsidRPr="007C32D7">
        <w:rPr>
          <w:rFonts w:ascii="Times New Roman" w:hAnsi="Times New Roman" w:cs="Times New Roman"/>
          <w:sz w:val="24"/>
          <w:szCs w:val="24"/>
        </w:rPr>
        <w:t>adopted in the 652</w:t>
      </w:r>
      <w:r w:rsidRPr="007C32D7">
        <w:rPr>
          <w:rFonts w:ascii="Times New Roman" w:hAnsi="Times New Roman" w:cs="Times New Roman"/>
          <w:sz w:val="24"/>
          <w:szCs w:val="24"/>
          <w:vertAlign w:val="superscript"/>
        </w:rPr>
        <w:t>nd</w:t>
      </w:r>
      <w:r w:rsidRPr="007C32D7">
        <w:rPr>
          <w:rFonts w:ascii="Times New Roman" w:hAnsi="Times New Roman" w:cs="Times New Roman"/>
          <w:sz w:val="24"/>
          <w:szCs w:val="24"/>
        </w:rPr>
        <w:t xml:space="preserve"> session, dated 10/08/2000, notified in </w:t>
      </w:r>
      <w:r w:rsidRPr="007C32D7">
        <w:rPr>
          <w:rFonts w:ascii="Times New Roman" w:hAnsi="Times New Roman" w:cs="Times New Roman"/>
          <w:sz w:val="24"/>
          <w:szCs w:val="24"/>
        </w:rPr>
        <w:lastRenderedPageBreak/>
        <w:t xml:space="preserve">letter No. 120/1077/8, “applying any corporal punishment is forbidden and there should not be any discrimination among students”. </w:t>
      </w:r>
    </w:p>
    <w:p w:rsidR="003A7CEF" w:rsidRPr="007C32D7" w:rsidRDefault="003A7CEF" w:rsidP="007C32D7">
      <w:pPr>
        <w:pStyle w:val="ListParagraph"/>
        <w:spacing w:line="480" w:lineRule="auto"/>
        <w:jc w:val="both"/>
        <w:rPr>
          <w:rFonts w:ascii="Times New Roman" w:hAnsi="Times New Roman" w:cs="Times New Roman"/>
          <w:sz w:val="24"/>
          <w:szCs w:val="24"/>
        </w:rPr>
      </w:pPr>
    </w:p>
    <w:p w:rsidR="003A7CEF" w:rsidRPr="007C32D7" w:rsidRDefault="003A7CEF" w:rsidP="007C32D7">
      <w:pPr>
        <w:pStyle w:val="ListParagraph"/>
        <w:numPr>
          <w:ilvl w:val="0"/>
          <w:numId w:val="1"/>
        </w:numPr>
        <w:spacing w:line="480" w:lineRule="auto"/>
        <w:jc w:val="both"/>
        <w:rPr>
          <w:rFonts w:ascii="Times New Roman" w:hAnsi="Times New Roman" w:cs="Times New Roman"/>
          <w:sz w:val="24"/>
          <w:szCs w:val="24"/>
        </w:rPr>
      </w:pPr>
      <w:r w:rsidRPr="007C32D7">
        <w:rPr>
          <w:rFonts w:ascii="Times New Roman" w:hAnsi="Times New Roman" w:cs="Times New Roman"/>
          <w:sz w:val="24"/>
          <w:szCs w:val="24"/>
        </w:rPr>
        <w:t xml:space="preserve"> </w:t>
      </w:r>
      <w:r w:rsidRPr="007C32D7">
        <w:rPr>
          <w:rFonts w:ascii="Times New Roman" w:hAnsi="Times New Roman" w:cs="Times New Roman"/>
          <w:b/>
          <w:bCs/>
          <w:sz w:val="24"/>
          <w:szCs w:val="24"/>
        </w:rPr>
        <w:t>On Paragraphs 82 and 83</w:t>
      </w:r>
      <w:r w:rsidRPr="007C32D7">
        <w:rPr>
          <w:rFonts w:ascii="Times New Roman" w:hAnsi="Times New Roman" w:cs="Times New Roman"/>
          <w:sz w:val="24"/>
          <w:szCs w:val="24"/>
        </w:rPr>
        <w:t>, it should be noted that</w:t>
      </w:r>
      <w:r>
        <w:rPr>
          <w:rFonts w:ascii="Times New Roman" w:hAnsi="Times New Roman" w:cs="Times New Roman"/>
          <w:sz w:val="24"/>
          <w:szCs w:val="24"/>
        </w:rPr>
        <w:t xml:space="preserve"> </w:t>
      </w:r>
      <w:r w:rsidRPr="007C32D7">
        <w:rPr>
          <w:rFonts w:ascii="Times New Roman" w:hAnsi="Times New Roman" w:cs="Times New Roman"/>
          <w:sz w:val="24"/>
          <w:szCs w:val="24"/>
        </w:rPr>
        <w:t xml:space="preserve">it is not appropriate to use the term “ethnic minorities” instead of Iran, because a </w:t>
      </w:r>
      <w:r w:rsidRPr="007E4680">
        <w:rPr>
          <w:rFonts w:ascii="Times New Roman" w:hAnsi="Times New Roman" w:cs="Times New Roman"/>
          <w:sz w:val="24"/>
          <w:szCs w:val="24"/>
        </w:rPr>
        <w:t>diversity of tribes are living in Iran and they have different populations, as a result no ethnic group holds the majority of population of the country. As a result, using the terms “ethnic minorities” or “ethnic majorities”, including Kurds, Lors, Balucies, Turks, Arabs, Persians, etc., is not proper and the term “ethnic diversity” should be replaced for. In addition, all these</w:t>
      </w:r>
      <w:r w:rsidRPr="007C32D7">
        <w:rPr>
          <w:rFonts w:ascii="Times New Roman" w:hAnsi="Times New Roman" w:cs="Times New Roman"/>
          <w:sz w:val="24"/>
          <w:szCs w:val="24"/>
        </w:rPr>
        <w:t xml:space="preserve"> </w:t>
      </w:r>
      <w:r w:rsidRPr="007E4680">
        <w:rPr>
          <w:rFonts w:ascii="Times New Roman" w:hAnsi="Times New Roman" w:cs="Times New Roman"/>
          <w:sz w:val="24"/>
          <w:szCs w:val="24"/>
        </w:rPr>
        <w:t>tribes enjoy</w:t>
      </w:r>
      <w:r w:rsidRPr="007C32D7">
        <w:rPr>
          <w:rFonts w:ascii="Times New Roman" w:hAnsi="Times New Roman" w:cs="Times New Roman"/>
          <w:sz w:val="24"/>
          <w:szCs w:val="24"/>
        </w:rPr>
        <w:t xml:space="preserve"> the same right to freedom of expression, rituals and traditions, language, cover and other cultural components as well as right to education in their mother tongue (except for the main educational courses) etc. and there are no limitations for publishing magazines, books and newspapers in their mother tongues. There are no considerations or other legal issues at the stage of obtaining licenses for the publication of such magazines in comparis</w:t>
      </w:r>
      <w:bookmarkStart w:id="0" w:name="_GoBack"/>
      <w:bookmarkEnd w:id="0"/>
      <w:r w:rsidRPr="007C32D7">
        <w:rPr>
          <w:rFonts w:ascii="Times New Roman" w:hAnsi="Times New Roman" w:cs="Times New Roman"/>
          <w:sz w:val="24"/>
          <w:szCs w:val="24"/>
        </w:rPr>
        <w:t xml:space="preserve">on with Persian language magazines and books. </w:t>
      </w:r>
    </w:p>
    <w:p w:rsidR="003A7CEF" w:rsidRPr="007C32D7" w:rsidRDefault="003A7CEF">
      <w:pPr>
        <w:rPr>
          <w:rFonts w:ascii="Times New Roman" w:hAnsi="Times New Roman" w:cs="Times New Roman"/>
          <w:sz w:val="24"/>
          <w:szCs w:val="24"/>
        </w:rPr>
      </w:pPr>
    </w:p>
    <w:sectPr w:rsidR="003A7CEF" w:rsidRPr="007C32D7" w:rsidSect="00EA5452">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BE0" w:rsidRDefault="00377BE0" w:rsidP="00F924BB">
      <w:pPr>
        <w:spacing w:after="0" w:line="240" w:lineRule="auto"/>
      </w:pPr>
      <w:r>
        <w:separator/>
      </w:r>
    </w:p>
  </w:endnote>
  <w:endnote w:type="continuationSeparator" w:id="1">
    <w:p w:rsidR="00377BE0" w:rsidRDefault="00377BE0" w:rsidP="00F924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B Zar">
    <w:altName w:val="Segoe U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CEF" w:rsidRDefault="00261E02">
    <w:pPr>
      <w:pStyle w:val="Footer"/>
      <w:jc w:val="center"/>
    </w:pPr>
    <w:fldSimple w:instr=" PAGE   \* MERGEFORMAT ">
      <w:r w:rsidR="001E2349">
        <w:rPr>
          <w:noProof/>
        </w:rPr>
        <w:t>2</w:t>
      </w:r>
    </w:fldSimple>
  </w:p>
  <w:p w:rsidR="003A7CEF" w:rsidRDefault="003A7C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BE0" w:rsidRDefault="00377BE0" w:rsidP="00F924BB">
      <w:pPr>
        <w:spacing w:after="0" w:line="240" w:lineRule="auto"/>
      </w:pPr>
      <w:r>
        <w:separator/>
      </w:r>
    </w:p>
  </w:footnote>
  <w:footnote w:type="continuationSeparator" w:id="1">
    <w:p w:rsidR="00377BE0" w:rsidRDefault="00377BE0" w:rsidP="00F924BB">
      <w:pPr>
        <w:spacing w:after="0" w:line="240" w:lineRule="auto"/>
      </w:pPr>
      <w:r>
        <w:continuationSeparator/>
      </w:r>
    </w:p>
  </w:footnote>
  <w:footnote w:id="2">
    <w:p w:rsidR="003A7CEF" w:rsidRDefault="003A7CEF" w:rsidP="00C92D26">
      <w:pPr>
        <w:pStyle w:val="FootnoteText"/>
      </w:pPr>
      <w:r w:rsidRPr="00C92D26">
        <w:rPr>
          <w:rStyle w:val="FootnoteReference"/>
          <w:rFonts w:ascii="Times New Roman" w:hAnsi="Times New Roman"/>
        </w:rPr>
        <w:footnoteRef/>
      </w:r>
      <w:r w:rsidRPr="00C92D26">
        <w:rPr>
          <w:rFonts w:ascii="Times New Roman" w:hAnsi="Times New Roman" w:cs="Times New Roman"/>
        </w:rPr>
        <w:t xml:space="preserve"> Article 2: Powers and duties of the NBCRC are as follow: a. to set up plans and programs to promote the child rights and respect to their character</w:t>
      </w:r>
    </w:p>
  </w:footnote>
  <w:footnote w:id="3">
    <w:p w:rsidR="003A7CEF" w:rsidRDefault="003A7CEF" w:rsidP="00C92D26">
      <w:pPr>
        <w:pStyle w:val="FootnoteText"/>
      </w:pPr>
      <w:r w:rsidRPr="00C92D26">
        <w:rPr>
          <w:rStyle w:val="FootnoteReference"/>
          <w:rFonts w:ascii="Times New Roman" w:hAnsi="Times New Roman"/>
        </w:rPr>
        <w:footnoteRef/>
      </w:r>
      <w:r w:rsidRPr="00C92D26">
        <w:rPr>
          <w:rFonts w:ascii="Times New Roman" w:hAnsi="Times New Roman" w:cs="Times New Roman"/>
        </w:rPr>
        <w:t xml:space="preserve"> Article 6: The following are among the powers and duties of the Coordinating Council: a. to set up strategies to support the child rights and annual priorities of the NBCRC; b. to adopt visions, policies and action plans to promote the child rights</w:t>
      </w:r>
      <w:r>
        <w:t>.</w:t>
      </w:r>
    </w:p>
  </w:footnote>
  <w:footnote w:id="4">
    <w:p w:rsidR="003A7CEF" w:rsidRDefault="003A7CEF" w:rsidP="00E37A5F">
      <w:pPr>
        <w:pStyle w:val="FootnoteText"/>
      </w:pPr>
      <w:r>
        <w:rPr>
          <w:rStyle w:val="FootnoteReference"/>
          <w:rFonts w:cs="XB Zar"/>
        </w:rPr>
        <w:footnoteRef/>
      </w:r>
      <w:r>
        <w:t xml:space="preserve"> Article 119 of the Islamic Penal Code, adopted in 2013, stipulates that whenever there are misgivings regarding the commission of a crime, some conditions of commission of a crime or each condition of the criminal responsibility and there are no reasons to reject them, in such a case commission of the crime will be rejected.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83463"/>
    <w:multiLevelType w:val="hybridMultilevel"/>
    <w:tmpl w:val="5B50A98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F2D75E2"/>
    <w:multiLevelType w:val="hybridMultilevel"/>
    <w:tmpl w:val="DF3A494A"/>
    <w:lvl w:ilvl="0" w:tplc="7A2A33A6">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3F264A36"/>
    <w:multiLevelType w:val="hybridMultilevel"/>
    <w:tmpl w:val="E5CEA29A"/>
    <w:lvl w:ilvl="0" w:tplc="F1F00ED8">
      <w:start w:val="1"/>
      <w:numFmt w:val="upperLetter"/>
      <w:lvlText w:val="%1."/>
      <w:lvlJc w:val="left"/>
      <w:pPr>
        <w:ind w:left="1211" w:hanging="360"/>
      </w:pPr>
      <w:rPr>
        <w:rFonts w:cs="Times New Roman" w:hint="default"/>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3">
    <w:nsid w:val="53593EED"/>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6B974901"/>
    <w:multiLevelType w:val="hybridMultilevel"/>
    <w:tmpl w:val="BF7C6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D1E45D8"/>
    <w:multiLevelType w:val="hybridMultilevel"/>
    <w:tmpl w:val="B5565992"/>
    <w:lvl w:ilvl="0" w:tplc="D88AC562">
      <w:start w:val="1"/>
      <w:numFmt w:val="upperLetter"/>
      <w:lvlText w:val="(%1)"/>
      <w:lvlJc w:val="left"/>
      <w:pPr>
        <w:ind w:left="1200" w:hanging="360"/>
      </w:pPr>
      <w:rPr>
        <w:rFonts w:cs="Times New Roman" w:hint="default"/>
      </w:rPr>
    </w:lvl>
    <w:lvl w:ilvl="1" w:tplc="04090019" w:tentative="1">
      <w:start w:val="1"/>
      <w:numFmt w:val="lowerLetter"/>
      <w:lvlText w:val="%2."/>
      <w:lvlJc w:val="left"/>
      <w:pPr>
        <w:ind w:left="1920" w:hanging="360"/>
      </w:pPr>
      <w:rPr>
        <w:rFonts w:cs="Times New Roman"/>
      </w:rPr>
    </w:lvl>
    <w:lvl w:ilvl="2" w:tplc="0409001B" w:tentative="1">
      <w:start w:val="1"/>
      <w:numFmt w:val="lowerRoman"/>
      <w:lvlText w:val="%3."/>
      <w:lvlJc w:val="right"/>
      <w:pPr>
        <w:ind w:left="2640" w:hanging="180"/>
      </w:pPr>
      <w:rPr>
        <w:rFonts w:cs="Times New Roman"/>
      </w:rPr>
    </w:lvl>
    <w:lvl w:ilvl="3" w:tplc="0409000F" w:tentative="1">
      <w:start w:val="1"/>
      <w:numFmt w:val="decimal"/>
      <w:lvlText w:val="%4."/>
      <w:lvlJc w:val="left"/>
      <w:pPr>
        <w:ind w:left="3360" w:hanging="360"/>
      </w:pPr>
      <w:rPr>
        <w:rFonts w:cs="Times New Roman"/>
      </w:rPr>
    </w:lvl>
    <w:lvl w:ilvl="4" w:tplc="04090019" w:tentative="1">
      <w:start w:val="1"/>
      <w:numFmt w:val="lowerLetter"/>
      <w:lvlText w:val="%5."/>
      <w:lvlJc w:val="left"/>
      <w:pPr>
        <w:ind w:left="4080" w:hanging="360"/>
      </w:pPr>
      <w:rPr>
        <w:rFonts w:cs="Times New Roman"/>
      </w:rPr>
    </w:lvl>
    <w:lvl w:ilvl="5" w:tplc="0409001B" w:tentative="1">
      <w:start w:val="1"/>
      <w:numFmt w:val="lowerRoman"/>
      <w:lvlText w:val="%6."/>
      <w:lvlJc w:val="right"/>
      <w:pPr>
        <w:ind w:left="4800" w:hanging="180"/>
      </w:pPr>
      <w:rPr>
        <w:rFonts w:cs="Times New Roman"/>
      </w:rPr>
    </w:lvl>
    <w:lvl w:ilvl="6" w:tplc="0409000F" w:tentative="1">
      <w:start w:val="1"/>
      <w:numFmt w:val="decimal"/>
      <w:lvlText w:val="%7."/>
      <w:lvlJc w:val="left"/>
      <w:pPr>
        <w:ind w:left="5520" w:hanging="360"/>
      </w:pPr>
      <w:rPr>
        <w:rFonts w:cs="Times New Roman"/>
      </w:rPr>
    </w:lvl>
    <w:lvl w:ilvl="7" w:tplc="04090019" w:tentative="1">
      <w:start w:val="1"/>
      <w:numFmt w:val="lowerLetter"/>
      <w:lvlText w:val="%8."/>
      <w:lvlJc w:val="left"/>
      <w:pPr>
        <w:ind w:left="6240" w:hanging="360"/>
      </w:pPr>
      <w:rPr>
        <w:rFonts w:cs="Times New Roman"/>
      </w:rPr>
    </w:lvl>
    <w:lvl w:ilvl="8" w:tplc="0409001B" w:tentative="1">
      <w:start w:val="1"/>
      <w:numFmt w:val="lowerRoman"/>
      <w:lvlText w:val="%9."/>
      <w:lvlJc w:val="right"/>
      <w:pPr>
        <w:ind w:left="6960" w:hanging="180"/>
      </w:pPr>
      <w:rPr>
        <w:rFonts w:cs="Times New Roman"/>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202345"/>
    <w:rsid w:val="00025562"/>
    <w:rsid w:val="000A3626"/>
    <w:rsid w:val="000A5FCE"/>
    <w:rsid w:val="000B2739"/>
    <w:rsid w:val="000D4145"/>
    <w:rsid w:val="000E0E7C"/>
    <w:rsid w:val="00101ADF"/>
    <w:rsid w:val="00102688"/>
    <w:rsid w:val="00120580"/>
    <w:rsid w:val="00123640"/>
    <w:rsid w:val="00156970"/>
    <w:rsid w:val="00162780"/>
    <w:rsid w:val="001A4D5D"/>
    <w:rsid w:val="001C7046"/>
    <w:rsid w:val="001E2349"/>
    <w:rsid w:val="00202345"/>
    <w:rsid w:val="0023222B"/>
    <w:rsid w:val="0023589E"/>
    <w:rsid w:val="002520D1"/>
    <w:rsid w:val="00261E02"/>
    <w:rsid w:val="002B1900"/>
    <w:rsid w:val="002B438E"/>
    <w:rsid w:val="002C618B"/>
    <w:rsid w:val="002D0438"/>
    <w:rsid w:val="002F05D8"/>
    <w:rsid w:val="002F78DA"/>
    <w:rsid w:val="00335488"/>
    <w:rsid w:val="00343587"/>
    <w:rsid w:val="0035685A"/>
    <w:rsid w:val="00362C19"/>
    <w:rsid w:val="00377BE0"/>
    <w:rsid w:val="003A2A9F"/>
    <w:rsid w:val="003A7CEF"/>
    <w:rsid w:val="00446BBB"/>
    <w:rsid w:val="004A5D79"/>
    <w:rsid w:val="004B7091"/>
    <w:rsid w:val="004C4C3E"/>
    <w:rsid w:val="0055007F"/>
    <w:rsid w:val="005737BB"/>
    <w:rsid w:val="00594606"/>
    <w:rsid w:val="005B1EF6"/>
    <w:rsid w:val="005C0521"/>
    <w:rsid w:val="005C20E7"/>
    <w:rsid w:val="005D3489"/>
    <w:rsid w:val="00600D68"/>
    <w:rsid w:val="006A764F"/>
    <w:rsid w:val="006B5BFD"/>
    <w:rsid w:val="006F6920"/>
    <w:rsid w:val="007436B6"/>
    <w:rsid w:val="00743921"/>
    <w:rsid w:val="00754071"/>
    <w:rsid w:val="007C32D7"/>
    <w:rsid w:val="007E4680"/>
    <w:rsid w:val="007E7006"/>
    <w:rsid w:val="00802B29"/>
    <w:rsid w:val="00802EF6"/>
    <w:rsid w:val="00807AB2"/>
    <w:rsid w:val="008A5BB4"/>
    <w:rsid w:val="008E1C7E"/>
    <w:rsid w:val="008F6D84"/>
    <w:rsid w:val="00932F09"/>
    <w:rsid w:val="00934785"/>
    <w:rsid w:val="00943E4C"/>
    <w:rsid w:val="00944096"/>
    <w:rsid w:val="00966389"/>
    <w:rsid w:val="00976E10"/>
    <w:rsid w:val="00983F71"/>
    <w:rsid w:val="00987906"/>
    <w:rsid w:val="009B064D"/>
    <w:rsid w:val="00A46936"/>
    <w:rsid w:val="00A52C33"/>
    <w:rsid w:val="00A66B50"/>
    <w:rsid w:val="00AA2838"/>
    <w:rsid w:val="00AA71F5"/>
    <w:rsid w:val="00AB407B"/>
    <w:rsid w:val="00AD3C8B"/>
    <w:rsid w:val="00B71887"/>
    <w:rsid w:val="00B80C8E"/>
    <w:rsid w:val="00B83357"/>
    <w:rsid w:val="00B913DC"/>
    <w:rsid w:val="00BC2125"/>
    <w:rsid w:val="00BC5AE3"/>
    <w:rsid w:val="00BF004B"/>
    <w:rsid w:val="00C323EB"/>
    <w:rsid w:val="00C54FC0"/>
    <w:rsid w:val="00C75EEB"/>
    <w:rsid w:val="00C92D26"/>
    <w:rsid w:val="00C952BB"/>
    <w:rsid w:val="00CB2311"/>
    <w:rsid w:val="00CC57C9"/>
    <w:rsid w:val="00CD6BBE"/>
    <w:rsid w:val="00DF4E18"/>
    <w:rsid w:val="00E37A5F"/>
    <w:rsid w:val="00E76098"/>
    <w:rsid w:val="00EA0997"/>
    <w:rsid w:val="00EA5452"/>
    <w:rsid w:val="00EB6B26"/>
    <w:rsid w:val="00F16A05"/>
    <w:rsid w:val="00F36540"/>
    <w:rsid w:val="00F77CBD"/>
    <w:rsid w:val="00F82510"/>
    <w:rsid w:val="00F9096F"/>
    <w:rsid w:val="00F924BB"/>
    <w:rsid w:val="00F950D0"/>
    <w:rsid w:val="00FA75D3"/>
    <w:rsid w:val="00FB4DFD"/>
    <w:rsid w:val="00FD21D1"/>
    <w:rsid w:val="00FF3F73"/>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B Zar" w:eastAsia="Calibri" w:hAnsi="XB Zar" w:cs="XB Zar"/>
        <w:sz w:val="22"/>
        <w:szCs w:val="22"/>
        <w:lang w:val="fr-CH" w:eastAsia="fr-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52"/>
    <w:pPr>
      <w:spacing w:after="200" w:line="276" w:lineRule="auto"/>
    </w:pPr>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2EF6"/>
    <w:pPr>
      <w:ind w:left="720"/>
      <w:contextualSpacing/>
    </w:pPr>
  </w:style>
  <w:style w:type="paragraph" w:styleId="Header">
    <w:name w:val="header"/>
    <w:basedOn w:val="Normal"/>
    <w:link w:val="HeaderChar"/>
    <w:uiPriority w:val="99"/>
    <w:rsid w:val="00F924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924BB"/>
    <w:rPr>
      <w:rFonts w:cs="Times New Roman"/>
    </w:rPr>
  </w:style>
  <w:style w:type="paragraph" w:styleId="Footer">
    <w:name w:val="footer"/>
    <w:basedOn w:val="Normal"/>
    <w:link w:val="FooterChar"/>
    <w:uiPriority w:val="99"/>
    <w:rsid w:val="00F924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924BB"/>
    <w:rPr>
      <w:rFonts w:cs="Times New Roman"/>
    </w:rPr>
  </w:style>
  <w:style w:type="paragraph" w:styleId="FootnoteText">
    <w:name w:val="footnote text"/>
    <w:basedOn w:val="Normal"/>
    <w:link w:val="FootnoteTextChar"/>
    <w:uiPriority w:val="99"/>
    <w:semiHidden/>
    <w:rsid w:val="006A764F"/>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6A764F"/>
    <w:rPr>
      <w:rFonts w:cs="Times New Roman"/>
      <w:sz w:val="20"/>
      <w:szCs w:val="20"/>
    </w:rPr>
  </w:style>
  <w:style w:type="character" w:styleId="FootnoteReference">
    <w:name w:val="footnote reference"/>
    <w:basedOn w:val="DefaultParagraphFont"/>
    <w:uiPriority w:val="99"/>
    <w:semiHidden/>
    <w:rsid w:val="006A764F"/>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FAC015-EB55-4ECE-A5BB-71F5693BB93C}"/>
</file>

<file path=customXml/itemProps2.xml><?xml version="1.0" encoding="utf-8"?>
<ds:datastoreItem xmlns:ds="http://schemas.openxmlformats.org/officeDocument/2006/customXml" ds:itemID="{C8BE82CF-7AA7-4322-859F-97A340974921}"/>
</file>

<file path=customXml/itemProps3.xml><?xml version="1.0" encoding="utf-8"?>
<ds:datastoreItem xmlns:ds="http://schemas.openxmlformats.org/officeDocument/2006/customXml" ds:itemID="{6B522511-928C-4CEB-A54F-C3011E1A185C}"/>
</file>

<file path=docProps/app.xml><?xml version="1.0" encoding="utf-8"?>
<Properties xmlns="http://schemas.openxmlformats.org/officeDocument/2006/extended-properties" xmlns:vt="http://schemas.openxmlformats.org/officeDocument/2006/docPropsVTypes">
  <Template>Normal</Template>
  <TotalTime>1</TotalTime>
  <Pages>9</Pages>
  <Words>2034</Words>
  <Characters>11596</Characters>
  <Application>Microsoft Office Word</Application>
  <DocSecurity>0</DocSecurity>
  <Lines>96</Lines>
  <Paragraphs>27</Paragraphs>
  <ScaleCrop>false</ScaleCrop>
  <Company>Office07</Company>
  <LinksUpToDate>false</LinksUpToDate>
  <CharactersWithSpaces>13603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Supplementary Response of  the National Body on Convention on the Rights of the Child (NBCRC) Regarding the Concluding Observation of the Committee on the Rights of the Child</dc:title>
  <dc:creator>ADEL</dc:creator>
  <cp:lastModifiedBy>113</cp:lastModifiedBy>
  <cp:revision>2</cp:revision>
  <cp:lastPrinted>2016-03-24T16:26:00Z</cp:lastPrinted>
  <dcterms:created xsi:type="dcterms:W3CDTF">2016-03-30T14:13:00Z</dcterms:created>
  <dcterms:modified xsi:type="dcterms:W3CDTF">2016-03-30T14:13:00Z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