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714D31" w14:textId="77777777" w:rsidR="008F7CF2" w:rsidRDefault="008F7CF2">
      <w:pPr>
        <w:rPr>
          <w:lang w:val="es-CO"/>
        </w:rPr>
      </w:pPr>
    </w:p>
    <w:p w14:paraId="47077EE7" w14:textId="77777777" w:rsidR="00883205" w:rsidRDefault="00883205">
      <w:pPr>
        <w:rPr>
          <w:lang w:val="es-CO"/>
        </w:rPr>
      </w:pPr>
    </w:p>
    <w:p w14:paraId="7B87E888" w14:textId="77777777" w:rsidR="00883205" w:rsidRDefault="00883205">
      <w:pPr>
        <w:rPr>
          <w:lang w:val="es-CO"/>
        </w:rPr>
      </w:pPr>
    </w:p>
    <w:p w14:paraId="598C27B2" w14:textId="736BEDB2" w:rsidR="008F7CF2" w:rsidRPr="007F232A" w:rsidRDefault="008F7CF2" w:rsidP="008F7CF2">
      <w:pPr>
        <w:spacing w:line="240" w:lineRule="auto"/>
        <w:jc w:val="center"/>
        <w:rPr>
          <w:rFonts w:ascii="Quattrocento Sans" w:eastAsia="Quattrocento Sans" w:hAnsi="Quattrocento Sans" w:cs="Quattrocento Sans"/>
          <w:b/>
          <w:sz w:val="28"/>
          <w:szCs w:val="28"/>
        </w:rPr>
      </w:pPr>
      <w:r w:rsidRPr="007F232A">
        <w:rPr>
          <w:rFonts w:ascii="Quattrocento Sans" w:eastAsia="Quattrocento Sans" w:hAnsi="Quattrocento Sans" w:cs="Quattrocento Sans"/>
          <w:b/>
          <w:sz w:val="28"/>
          <w:szCs w:val="28"/>
        </w:rPr>
        <w:t xml:space="preserve">Informe alternativo sobre la aplicación de la </w:t>
      </w:r>
      <w:r w:rsidR="001D31FA" w:rsidRPr="007F232A">
        <w:rPr>
          <w:rFonts w:ascii="Quattrocento Sans" w:hAnsi="Quattrocento Sans" w:cs="Arial"/>
          <w:b/>
          <w:bCs/>
          <w:sz w:val="28"/>
          <w:szCs w:val="28"/>
        </w:rPr>
        <w:t>Convención Internacional sobre la Eliminación de Todas las Formas de Discriminación Racial</w:t>
      </w:r>
    </w:p>
    <w:p w14:paraId="70DBB360" w14:textId="77777777" w:rsidR="008F7CF2" w:rsidRPr="007F232A" w:rsidRDefault="008F7CF2" w:rsidP="008F7CF2">
      <w:pPr>
        <w:spacing w:line="240" w:lineRule="auto"/>
        <w:jc w:val="center"/>
        <w:rPr>
          <w:rFonts w:ascii="Quattrocento Sans" w:eastAsia="Quattrocento Sans" w:hAnsi="Quattrocento Sans" w:cs="Quattrocento Sans"/>
          <w:b/>
          <w:sz w:val="28"/>
          <w:szCs w:val="28"/>
        </w:rPr>
      </w:pPr>
      <w:r w:rsidRPr="007F232A">
        <w:rPr>
          <w:rFonts w:ascii="Quattrocento Sans" w:eastAsia="Quattrocento Sans" w:hAnsi="Quattrocento Sans" w:cs="Quattrocento Sans"/>
          <w:b/>
          <w:sz w:val="28"/>
          <w:szCs w:val="28"/>
        </w:rPr>
        <w:t>Venezuela</w:t>
      </w:r>
    </w:p>
    <w:p w14:paraId="5FF87C2B" w14:textId="77777777" w:rsidR="00054B23" w:rsidRDefault="00054B23" w:rsidP="008F7CF2">
      <w:pPr>
        <w:spacing w:line="240" w:lineRule="auto"/>
        <w:jc w:val="center"/>
        <w:rPr>
          <w:rFonts w:ascii="Quattrocento Sans" w:eastAsia="Quattrocento Sans" w:hAnsi="Quattrocento Sans" w:cs="Quattrocento Sans"/>
          <w:b/>
          <w:sz w:val="26"/>
          <w:szCs w:val="26"/>
        </w:rPr>
      </w:pPr>
    </w:p>
    <w:p w14:paraId="20D990AE" w14:textId="77777777" w:rsidR="00054B23" w:rsidRDefault="00054B23" w:rsidP="008F7CF2">
      <w:pPr>
        <w:spacing w:line="240" w:lineRule="auto"/>
        <w:jc w:val="center"/>
        <w:rPr>
          <w:rFonts w:ascii="Quattrocento Sans" w:eastAsia="Quattrocento Sans" w:hAnsi="Quattrocento Sans" w:cs="Quattrocento Sans"/>
          <w:b/>
          <w:sz w:val="26"/>
          <w:szCs w:val="26"/>
        </w:rPr>
      </w:pPr>
    </w:p>
    <w:tbl>
      <w:tblPr>
        <w:tblStyle w:val="Tablaconcuadrcula"/>
        <w:tblW w:w="83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0"/>
        <w:gridCol w:w="5444"/>
      </w:tblGrid>
      <w:tr w:rsidR="005670B1" w14:paraId="61242632" w14:textId="77777777" w:rsidTr="005670B1">
        <w:trPr>
          <w:jc w:val="center"/>
        </w:trPr>
        <w:tc>
          <w:tcPr>
            <w:tcW w:w="2920" w:type="dxa"/>
            <w:vAlign w:val="center"/>
          </w:tcPr>
          <w:p w14:paraId="294993E8" w14:textId="1F8B4946" w:rsidR="005670B1" w:rsidRDefault="005670B1" w:rsidP="00F20C26">
            <w:pPr>
              <w:jc w:val="center"/>
              <w:rPr>
                <w:rFonts w:ascii="Quattrocento Sans" w:eastAsia="Quattrocento Sans" w:hAnsi="Quattrocento Sans" w:cs="Quattrocento Sans"/>
                <w:b/>
                <w:sz w:val="26"/>
                <w:szCs w:val="26"/>
              </w:rPr>
            </w:pPr>
            <w:r>
              <w:rPr>
                <w:rFonts w:ascii="Quattrocento Sans" w:eastAsia="Quattrocento Sans" w:hAnsi="Quattrocento Sans" w:cs="Quattrocento Sans"/>
                <w:b/>
                <w:noProof/>
                <w:sz w:val="26"/>
                <w:szCs w:val="26"/>
              </w:rPr>
              <w:drawing>
                <wp:inline distT="0" distB="0" distL="0" distR="0" wp14:anchorId="3D86BA1A" wp14:editId="0A564275">
                  <wp:extent cx="1597313" cy="899910"/>
                  <wp:effectExtent l="0" t="0" r="3175" b="0"/>
                  <wp:docPr id="2142577540"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77540" name="Imagen 3" descr="Logotipo, nombre de la empresa&#10;&#10;Descripción generada automáticament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2716" cy="908588"/>
                          </a:xfrm>
                          <a:prstGeom prst="rect">
                            <a:avLst/>
                          </a:prstGeom>
                        </pic:spPr>
                      </pic:pic>
                    </a:graphicData>
                  </a:graphic>
                </wp:inline>
              </w:drawing>
            </w:r>
          </w:p>
        </w:tc>
        <w:tc>
          <w:tcPr>
            <w:tcW w:w="5444" w:type="dxa"/>
            <w:vAlign w:val="center"/>
          </w:tcPr>
          <w:p w14:paraId="06BBE38E" w14:textId="657E37A9" w:rsidR="005670B1" w:rsidRDefault="005670B1" w:rsidP="00F20C26">
            <w:pPr>
              <w:jc w:val="center"/>
              <w:rPr>
                <w:rFonts w:ascii="Quattrocento Sans" w:eastAsia="Quattrocento Sans" w:hAnsi="Quattrocento Sans" w:cs="Quattrocento Sans"/>
                <w:b/>
                <w:sz w:val="26"/>
                <w:szCs w:val="26"/>
              </w:rPr>
            </w:pPr>
            <w:r>
              <w:rPr>
                <w:rFonts w:ascii="Quattrocento Sans" w:eastAsia="Quattrocento Sans" w:hAnsi="Quattrocento Sans" w:cs="Quattrocento Sans"/>
                <w:b/>
                <w:noProof/>
                <w:sz w:val="26"/>
                <w:szCs w:val="26"/>
              </w:rPr>
              <w:drawing>
                <wp:inline distT="0" distB="0" distL="0" distR="0" wp14:anchorId="362A35B9" wp14:editId="12A610F9">
                  <wp:extent cx="3132814" cy="770890"/>
                  <wp:effectExtent l="0" t="0" r="0" b="0"/>
                  <wp:docPr id="404587025" name="Imagen 2"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87025" name="Imagen 2" descr="Imagen en blanco y negro&#10;&#10;Descripción generada automáticamente con confianza media"/>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1777" cy="785399"/>
                          </a:xfrm>
                          <a:prstGeom prst="rect">
                            <a:avLst/>
                          </a:prstGeom>
                        </pic:spPr>
                      </pic:pic>
                    </a:graphicData>
                  </a:graphic>
                </wp:inline>
              </w:drawing>
            </w:r>
          </w:p>
        </w:tc>
      </w:tr>
    </w:tbl>
    <w:p w14:paraId="138F71F1" w14:textId="538CDE30" w:rsidR="00054B23" w:rsidRDefault="00054B23" w:rsidP="008F7CF2">
      <w:pPr>
        <w:spacing w:line="240" w:lineRule="auto"/>
        <w:jc w:val="center"/>
        <w:rPr>
          <w:rFonts w:ascii="Quattrocento Sans" w:eastAsia="Quattrocento Sans" w:hAnsi="Quattrocento Sans" w:cs="Quattrocento Sans"/>
          <w:b/>
          <w:sz w:val="26"/>
          <w:szCs w:val="26"/>
        </w:rPr>
      </w:pPr>
    </w:p>
    <w:p w14:paraId="3A1A444B" w14:textId="2F5BA1B6" w:rsidR="00CA1065" w:rsidRDefault="00CA1065" w:rsidP="008F7CF2">
      <w:pPr>
        <w:spacing w:line="240" w:lineRule="auto"/>
        <w:jc w:val="center"/>
        <w:rPr>
          <w:rFonts w:ascii="Quattrocento Sans" w:eastAsia="Quattrocento Sans" w:hAnsi="Quattrocento Sans" w:cs="Quattrocento Sans"/>
          <w:b/>
          <w:sz w:val="26"/>
          <w:szCs w:val="26"/>
        </w:rPr>
      </w:pPr>
    </w:p>
    <w:p w14:paraId="0837999C" w14:textId="77777777" w:rsidR="00883205" w:rsidRDefault="00883205" w:rsidP="008F7CF2">
      <w:pPr>
        <w:spacing w:line="240" w:lineRule="auto"/>
        <w:jc w:val="center"/>
        <w:rPr>
          <w:rFonts w:ascii="Quattrocento Sans" w:eastAsia="Quattrocento Sans" w:hAnsi="Quattrocento Sans" w:cs="Quattrocento Sans"/>
          <w:b/>
          <w:sz w:val="26"/>
          <w:szCs w:val="26"/>
        </w:rPr>
      </w:pPr>
    </w:p>
    <w:p w14:paraId="4527BB80" w14:textId="77777777" w:rsidR="00CA1065" w:rsidRDefault="00CA1065" w:rsidP="008F7CF2">
      <w:pPr>
        <w:spacing w:line="240" w:lineRule="auto"/>
        <w:jc w:val="center"/>
        <w:rPr>
          <w:rFonts w:ascii="Quattrocento Sans" w:eastAsia="Quattrocento Sans" w:hAnsi="Quattrocento Sans" w:cs="Quattrocento Sans"/>
          <w:b/>
          <w:sz w:val="26"/>
          <w:szCs w:val="26"/>
        </w:rPr>
      </w:pPr>
    </w:p>
    <w:p w14:paraId="5D4D34DA" w14:textId="32C4B9C9" w:rsidR="00CA1065" w:rsidRDefault="00CA1065" w:rsidP="008F7CF2">
      <w:pPr>
        <w:spacing w:line="240" w:lineRule="auto"/>
        <w:jc w:val="center"/>
        <w:rPr>
          <w:rFonts w:ascii="Quattrocento Sans" w:eastAsia="Quattrocento Sans" w:hAnsi="Quattrocento Sans" w:cs="Quattrocento Sans"/>
          <w:b/>
          <w:sz w:val="26"/>
          <w:szCs w:val="26"/>
        </w:rPr>
      </w:pPr>
      <w:r>
        <w:rPr>
          <w:rFonts w:ascii="Quattrocento Sans" w:eastAsia="Quattrocento Sans" w:hAnsi="Quattrocento Sans" w:cs="Quattrocento Sans"/>
        </w:rPr>
        <w:t xml:space="preserve">Elaborado por </w:t>
      </w:r>
      <w:r w:rsidR="001F41E8">
        <w:rPr>
          <w:rFonts w:ascii="Quattrocento Sans" w:eastAsia="Quattrocento Sans" w:hAnsi="Quattrocento Sans" w:cs="Quattrocento Sans"/>
        </w:rPr>
        <w:t>AlertaVenezuela</w:t>
      </w:r>
      <w:r w:rsidR="005670B1">
        <w:rPr>
          <w:rFonts w:ascii="Quattrocento Sans" w:eastAsia="Quattrocento Sans" w:hAnsi="Quattrocento Sans" w:cs="Quattrocento Sans"/>
        </w:rPr>
        <w:t xml:space="preserve"> y</w:t>
      </w:r>
      <w:r w:rsidR="001F41E8">
        <w:rPr>
          <w:rFonts w:ascii="Quattrocento Sans" w:eastAsia="Quattrocento Sans" w:hAnsi="Quattrocento Sans" w:cs="Quattrocento Sans"/>
        </w:rPr>
        <w:t xml:space="preserve"> </w:t>
      </w:r>
      <w:r>
        <w:rPr>
          <w:rFonts w:ascii="Quattrocento Sans" w:eastAsia="Quattrocento Sans" w:hAnsi="Quattrocento Sans" w:cs="Quattrocento Sans"/>
        </w:rPr>
        <w:t xml:space="preserve">el Centro de Derechos Humanos de la </w:t>
      </w:r>
      <w:r w:rsidR="00FE1BBA">
        <w:rPr>
          <w:rFonts w:ascii="Quattrocento Sans" w:eastAsia="Quattrocento Sans" w:hAnsi="Quattrocento Sans" w:cs="Quattrocento Sans"/>
        </w:rPr>
        <w:br/>
      </w:r>
      <w:r>
        <w:rPr>
          <w:rFonts w:ascii="Quattrocento Sans" w:eastAsia="Quattrocento Sans" w:hAnsi="Quattrocento Sans" w:cs="Quattrocento Sans"/>
        </w:rPr>
        <w:t>Universidad Católica Andrés Bello</w:t>
      </w:r>
      <w:r>
        <w:rPr>
          <w:rFonts w:ascii="Quattrocento Sans" w:eastAsia="Quattrocento Sans" w:hAnsi="Quattrocento Sans" w:cs="Quattrocento Sans"/>
          <w:vertAlign w:val="superscript"/>
        </w:rPr>
        <w:footnoteReference w:id="1"/>
      </w:r>
    </w:p>
    <w:p w14:paraId="0C7AAEAF" w14:textId="77777777" w:rsidR="008F7CF2" w:rsidRDefault="008F7CF2">
      <w:pPr>
        <w:rPr>
          <w:lang w:val="es-CO"/>
        </w:rPr>
      </w:pPr>
    </w:p>
    <w:p w14:paraId="55FA0D26" w14:textId="77777777" w:rsidR="00883205" w:rsidRDefault="00883205">
      <w:pPr>
        <w:rPr>
          <w:lang w:val="es-CO"/>
        </w:rPr>
      </w:pPr>
    </w:p>
    <w:p w14:paraId="01600065" w14:textId="77777777" w:rsidR="00883205" w:rsidRDefault="00883205">
      <w:pPr>
        <w:rPr>
          <w:lang w:val="es-CO"/>
        </w:rPr>
      </w:pPr>
    </w:p>
    <w:p w14:paraId="4E113A2A" w14:textId="77777777" w:rsidR="00FA4184" w:rsidRDefault="00FA4184">
      <w:pPr>
        <w:rPr>
          <w:lang w:val="es-CO"/>
        </w:rPr>
      </w:pPr>
      <w:r>
        <w:rPr>
          <w:lang w:val="es-CO"/>
        </w:rPr>
        <w:br w:type="page"/>
      </w:r>
    </w:p>
    <w:p w14:paraId="10036099" w14:textId="77777777" w:rsidR="00FA4184" w:rsidRPr="004B2679" w:rsidRDefault="00FA4184" w:rsidP="004B2679">
      <w:pPr>
        <w:numPr>
          <w:ilvl w:val="0"/>
          <w:numId w:val="2"/>
        </w:numPr>
        <w:pBdr>
          <w:top w:val="nil"/>
          <w:left w:val="nil"/>
          <w:bottom w:val="nil"/>
          <w:right w:val="nil"/>
          <w:between w:val="nil"/>
        </w:pBdr>
        <w:spacing w:before="120" w:after="120" w:line="276" w:lineRule="auto"/>
        <w:jc w:val="both"/>
        <w:rPr>
          <w:rFonts w:ascii="Times New Roman" w:eastAsia="Times New Roman" w:hAnsi="Times New Roman" w:cs="Times New Roman"/>
          <w:b/>
          <w:color w:val="000000"/>
          <w:sz w:val="24"/>
          <w:szCs w:val="24"/>
        </w:rPr>
      </w:pPr>
      <w:r w:rsidRPr="004B2679">
        <w:rPr>
          <w:rFonts w:ascii="Times New Roman" w:eastAsia="Times New Roman" w:hAnsi="Times New Roman" w:cs="Times New Roman"/>
          <w:b/>
          <w:color w:val="000000"/>
          <w:sz w:val="24"/>
          <w:szCs w:val="24"/>
        </w:rPr>
        <w:lastRenderedPageBreak/>
        <w:t>Información general</w:t>
      </w:r>
    </w:p>
    <w:p w14:paraId="22674001" w14:textId="77777777" w:rsidR="00F5706D" w:rsidRPr="004B2679" w:rsidRDefault="00F5706D" w:rsidP="004B2679">
      <w:pPr>
        <w:numPr>
          <w:ilvl w:val="0"/>
          <w:numId w:val="3"/>
        </w:numPr>
        <w:pBdr>
          <w:top w:val="nil"/>
          <w:left w:val="nil"/>
          <w:bottom w:val="nil"/>
          <w:right w:val="nil"/>
          <w:between w:val="nil"/>
        </w:pBdr>
        <w:spacing w:before="120" w:after="120" w:line="276" w:lineRule="auto"/>
        <w:ind w:hanging="360"/>
        <w:jc w:val="both"/>
        <w:rPr>
          <w:rFonts w:ascii="Times New Roman" w:eastAsia="Times New Roman" w:hAnsi="Times New Roman" w:cs="Times New Roman"/>
          <w:b/>
          <w:i/>
          <w:color w:val="000000"/>
          <w:sz w:val="24"/>
          <w:szCs w:val="24"/>
        </w:rPr>
      </w:pPr>
      <w:r w:rsidRPr="004B2679">
        <w:rPr>
          <w:rFonts w:ascii="Times New Roman" w:eastAsia="Times New Roman" w:hAnsi="Times New Roman" w:cs="Times New Roman"/>
          <w:b/>
          <w:i/>
          <w:color w:val="000000"/>
          <w:sz w:val="24"/>
          <w:szCs w:val="24"/>
        </w:rPr>
        <w:t>Papel de la Defensoría del Pueblo</w:t>
      </w:r>
    </w:p>
    <w:p w14:paraId="7FCA66AA" w14:textId="0317C779" w:rsidR="00D46134" w:rsidRPr="004B2679" w:rsidRDefault="00F5706D" w:rsidP="004B2679">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lang w:val="es-CO"/>
        </w:rPr>
      </w:pPr>
      <w:r w:rsidRPr="004B2679">
        <w:rPr>
          <w:rFonts w:ascii="Times New Roman" w:eastAsia="Times New Roman" w:hAnsi="Times New Roman" w:cs="Times New Roman"/>
          <w:color w:val="000000"/>
          <w:sz w:val="24"/>
          <w:szCs w:val="24"/>
          <w:lang w:val="es-CO"/>
        </w:rPr>
        <w:t xml:space="preserve">En mayo de 2016 </w:t>
      </w:r>
      <w:r w:rsidRPr="004B2679">
        <w:rPr>
          <w:rFonts w:ascii="Times New Roman" w:eastAsia="Times New Roman" w:hAnsi="Times New Roman" w:cs="Times New Roman"/>
          <w:color w:val="202124"/>
          <w:sz w:val="24"/>
          <w:szCs w:val="24"/>
          <w:highlight w:val="white"/>
          <w:lang w:val="es-CO"/>
        </w:rPr>
        <w:t>la Alianza Global de las Instituciones Nacionales de Derechos Humanos (siglas en inglés GANHRI) decidió degradar a categoría B a la Defensoría del Pueblo de Venezuela</w:t>
      </w:r>
      <w:r w:rsidRPr="004B2679">
        <w:rPr>
          <w:rFonts w:ascii="Times New Roman" w:eastAsia="Times New Roman" w:hAnsi="Times New Roman" w:cs="Times New Roman"/>
          <w:color w:val="000000"/>
          <w:sz w:val="24"/>
          <w:szCs w:val="24"/>
          <w:lang w:val="es-CO"/>
        </w:rPr>
        <w:t>, alegando que “</w:t>
      </w:r>
      <w:r w:rsidRPr="003F7946">
        <w:rPr>
          <w:rFonts w:ascii="Times New Roman" w:eastAsia="Times New Roman" w:hAnsi="Times New Roman" w:cs="Times New Roman"/>
          <w:i/>
          <w:iCs/>
          <w:color w:val="000000"/>
          <w:sz w:val="24"/>
          <w:szCs w:val="24"/>
          <w:lang w:val="es-CO"/>
        </w:rPr>
        <w:t>no está preparada para hablar con contundencia y promover el respeto de los derechos humanos en respuesta a denuncias creíbles de graves abusos de los derechos humanos cometidos por las autoridades gubernamentales</w:t>
      </w:r>
      <w:r w:rsidRPr="004B2679">
        <w:rPr>
          <w:rFonts w:ascii="Times New Roman" w:eastAsia="Times New Roman" w:hAnsi="Times New Roman" w:cs="Times New Roman"/>
          <w:color w:val="000000"/>
          <w:sz w:val="24"/>
          <w:szCs w:val="24"/>
          <w:lang w:val="es-CO"/>
        </w:rPr>
        <w:t>”</w:t>
      </w:r>
      <w:r w:rsidRPr="004B2679">
        <w:rPr>
          <w:rFonts w:ascii="Times New Roman" w:hAnsi="Times New Roman" w:cs="Times New Roman"/>
          <w:color w:val="000000"/>
          <w:sz w:val="24"/>
          <w:szCs w:val="24"/>
          <w:vertAlign w:val="superscript"/>
        </w:rPr>
        <w:footnoteReference w:id="2"/>
      </w:r>
      <w:r w:rsidRPr="004B2679">
        <w:rPr>
          <w:rFonts w:ascii="Times New Roman" w:eastAsia="Times New Roman" w:hAnsi="Times New Roman" w:cs="Times New Roman"/>
          <w:color w:val="000000"/>
          <w:sz w:val="24"/>
          <w:szCs w:val="24"/>
          <w:lang w:val="es-CO"/>
        </w:rPr>
        <w:t>.</w:t>
      </w:r>
    </w:p>
    <w:p w14:paraId="64487797" w14:textId="6B2A657B" w:rsidR="00FE1BBA" w:rsidRPr="004B2679" w:rsidRDefault="001D232C" w:rsidP="004B2679">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lang w:val="es-CO"/>
        </w:rPr>
      </w:pPr>
      <w:r w:rsidRPr="004B2679">
        <w:rPr>
          <w:rFonts w:ascii="Times New Roman" w:eastAsia="Times New Roman" w:hAnsi="Times New Roman" w:cs="Times New Roman"/>
          <w:color w:val="000000"/>
          <w:sz w:val="24"/>
          <w:szCs w:val="24"/>
          <w:lang w:val="es-CO"/>
        </w:rPr>
        <w:t xml:space="preserve">De las </w:t>
      </w:r>
      <w:r w:rsidR="00426C6F" w:rsidRPr="004B2679">
        <w:rPr>
          <w:rFonts w:ascii="Times New Roman" w:eastAsia="Times New Roman" w:hAnsi="Times New Roman" w:cs="Times New Roman"/>
          <w:color w:val="000000"/>
          <w:sz w:val="24"/>
          <w:szCs w:val="24"/>
          <w:lang w:val="es-CO"/>
        </w:rPr>
        <w:t>13 defensorías especiales creadas por la Defensoría del Pueblo en Venezuela, ninguna de ellas tiene</w:t>
      </w:r>
      <w:r w:rsidR="001D3503" w:rsidRPr="004B2679">
        <w:rPr>
          <w:rFonts w:ascii="Times New Roman" w:eastAsia="Times New Roman" w:hAnsi="Times New Roman" w:cs="Times New Roman"/>
          <w:color w:val="000000"/>
          <w:sz w:val="24"/>
          <w:szCs w:val="24"/>
          <w:lang w:val="es-CO"/>
        </w:rPr>
        <w:t xml:space="preserve"> competencia en materia de discriminación racial. Además, en la página web de la institución</w:t>
      </w:r>
      <w:r w:rsidR="005959D8" w:rsidRPr="004B2679">
        <w:rPr>
          <w:rFonts w:ascii="Times New Roman" w:eastAsia="Times New Roman" w:hAnsi="Times New Roman" w:cs="Times New Roman"/>
          <w:color w:val="000000"/>
          <w:sz w:val="24"/>
          <w:szCs w:val="24"/>
          <w:lang w:val="es-CO"/>
        </w:rPr>
        <w:t xml:space="preserve"> </w:t>
      </w:r>
      <w:r w:rsidR="00D71BCC" w:rsidRPr="004B2679">
        <w:rPr>
          <w:rFonts w:ascii="Times New Roman" w:eastAsia="Times New Roman" w:hAnsi="Times New Roman" w:cs="Times New Roman"/>
          <w:color w:val="000000"/>
          <w:sz w:val="24"/>
          <w:szCs w:val="24"/>
          <w:lang w:val="es-CO"/>
        </w:rPr>
        <w:t>hay un vacío de información</w:t>
      </w:r>
      <w:r w:rsidR="00874EC9" w:rsidRPr="004B2679">
        <w:rPr>
          <w:rFonts w:ascii="Times New Roman" w:eastAsia="Times New Roman" w:hAnsi="Times New Roman" w:cs="Times New Roman"/>
          <w:color w:val="000000"/>
          <w:sz w:val="24"/>
          <w:szCs w:val="24"/>
          <w:lang w:val="es-CO"/>
        </w:rPr>
        <w:t xml:space="preserve"> </w:t>
      </w:r>
      <w:r w:rsidR="00EA1B3B" w:rsidRPr="004B2679">
        <w:rPr>
          <w:rFonts w:ascii="Times New Roman" w:eastAsia="Times New Roman" w:hAnsi="Times New Roman" w:cs="Times New Roman"/>
          <w:color w:val="000000"/>
          <w:sz w:val="24"/>
          <w:szCs w:val="24"/>
          <w:lang w:val="es-CO"/>
        </w:rPr>
        <w:t>pues solo se encuentran publicados los</w:t>
      </w:r>
      <w:r w:rsidR="00874EC9" w:rsidRPr="004B2679">
        <w:rPr>
          <w:rFonts w:ascii="Times New Roman" w:eastAsia="Times New Roman" w:hAnsi="Times New Roman" w:cs="Times New Roman"/>
          <w:color w:val="000000"/>
          <w:sz w:val="24"/>
          <w:szCs w:val="24"/>
          <w:lang w:val="es-CO"/>
        </w:rPr>
        <w:t xml:space="preserve"> informes anuales correspo</w:t>
      </w:r>
      <w:r w:rsidR="00EA1B3B" w:rsidRPr="004B2679">
        <w:rPr>
          <w:rFonts w:ascii="Times New Roman" w:eastAsia="Times New Roman" w:hAnsi="Times New Roman" w:cs="Times New Roman"/>
          <w:color w:val="000000"/>
          <w:sz w:val="24"/>
          <w:szCs w:val="24"/>
          <w:lang w:val="es-CO"/>
        </w:rPr>
        <w:t xml:space="preserve">ndientes a los años </w:t>
      </w:r>
      <w:r w:rsidR="000C0F13" w:rsidRPr="004B2679">
        <w:rPr>
          <w:rFonts w:ascii="Times New Roman" w:eastAsia="Times New Roman" w:hAnsi="Times New Roman" w:cs="Times New Roman"/>
          <w:color w:val="000000"/>
          <w:sz w:val="24"/>
          <w:szCs w:val="24"/>
          <w:lang w:val="es-CO"/>
        </w:rPr>
        <w:t>2001 a 2016 y después 2021 y 2022</w:t>
      </w:r>
      <w:r w:rsidR="00C61E5C" w:rsidRPr="004B2679">
        <w:rPr>
          <w:rStyle w:val="Refdenotaalpie"/>
          <w:rFonts w:ascii="Times New Roman" w:eastAsia="Times New Roman" w:hAnsi="Times New Roman" w:cs="Times New Roman"/>
          <w:color w:val="000000"/>
          <w:sz w:val="24"/>
          <w:szCs w:val="24"/>
          <w:lang w:val="es-CO"/>
        </w:rPr>
        <w:footnoteReference w:id="3"/>
      </w:r>
      <w:r w:rsidR="00EF267C" w:rsidRPr="004B2679">
        <w:rPr>
          <w:rFonts w:ascii="Times New Roman" w:eastAsia="Times New Roman" w:hAnsi="Times New Roman" w:cs="Times New Roman"/>
          <w:color w:val="000000"/>
          <w:sz w:val="24"/>
          <w:szCs w:val="24"/>
          <w:lang w:val="es-CO"/>
        </w:rPr>
        <w:t xml:space="preserve">, por lo que no es posible confirmar la veracidad de la información aportada por la institución sobre actividades desarrolladas para prevenir y combatir la </w:t>
      </w:r>
      <w:r w:rsidR="00122B6A" w:rsidRPr="004B2679">
        <w:rPr>
          <w:rFonts w:ascii="Times New Roman" w:eastAsia="Times New Roman" w:hAnsi="Times New Roman" w:cs="Times New Roman"/>
          <w:color w:val="000000"/>
          <w:sz w:val="24"/>
          <w:szCs w:val="24"/>
          <w:lang w:val="es-CO"/>
        </w:rPr>
        <w:t>discriminación racial</w:t>
      </w:r>
      <w:r w:rsidR="000C0F13" w:rsidRPr="004B2679">
        <w:rPr>
          <w:rFonts w:ascii="Times New Roman" w:eastAsia="Times New Roman" w:hAnsi="Times New Roman" w:cs="Times New Roman"/>
          <w:color w:val="000000"/>
          <w:sz w:val="24"/>
          <w:szCs w:val="24"/>
          <w:lang w:val="es-CO"/>
        </w:rPr>
        <w:t>.</w:t>
      </w:r>
      <w:r w:rsidR="00122B6A" w:rsidRPr="004B2679">
        <w:rPr>
          <w:rFonts w:ascii="Times New Roman" w:eastAsia="Times New Roman" w:hAnsi="Times New Roman" w:cs="Times New Roman"/>
          <w:color w:val="000000"/>
          <w:sz w:val="24"/>
          <w:szCs w:val="24"/>
          <w:lang w:val="es-CO"/>
        </w:rPr>
        <w:t xml:space="preserve"> Cabe </w:t>
      </w:r>
      <w:r w:rsidR="007E55B6" w:rsidRPr="004B2679">
        <w:rPr>
          <w:rFonts w:ascii="Times New Roman" w:eastAsia="Times New Roman" w:hAnsi="Times New Roman" w:cs="Times New Roman"/>
          <w:color w:val="000000"/>
          <w:sz w:val="24"/>
          <w:szCs w:val="24"/>
          <w:lang w:val="es-CO"/>
        </w:rPr>
        <w:t>señalar que la presentación de estos informes es de obligatorio cumplimiento y que el vacío entre 2016 y 2021 coincide con el período en que el gobierno</w:t>
      </w:r>
      <w:r w:rsidR="006C024F" w:rsidRPr="004B2679">
        <w:rPr>
          <w:rFonts w:ascii="Times New Roman" w:eastAsia="Times New Roman" w:hAnsi="Times New Roman" w:cs="Times New Roman"/>
          <w:color w:val="000000"/>
          <w:sz w:val="24"/>
          <w:szCs w:val="24"/>
          <w:lang w:val="es-CO"/>
        </w:rPr>
        <w:t xml:space="preserve"> </w:t>
      </w:r>
      <w:r w:rsidR="00317DED" w:rsidRPr="004B2679">
        <w:rPr>
          <w:rFonts w:ascii="Times New Roman" w:eastAsia="Times New Roman" w:hAnsi="Times New Roman" w:cs="Times New Roman"/>
          <w:color w:val="000000"/>
          <w:sz w:val="24"/>
          <w:szCs w:val="24"/>
          <w:lang w:val="es-CO"/>
        </w:rPr>
        <w:t>desconoció</w:t>
      </w:r>
      <w:r w:rsidR="006C024F" w:rsidRPr="004B2679">
        <w:rPr>
          <w:rFonts w:ascii="Times New Roman" w:eastAsia="Times New Roman" w:hAnsi="Times New Roman" w:cs="Times New Roman"/>
          <w:color w:val="000000"/>
          <w:sz w:val="24"/>
          <w:szCs w:val="24"/>
          <w:lang w:val="es-CO"/>
        </w:rPr>
        <w:t xml:space="preserve"> a la Asamblea Nacional de mayoría opositora, por lo que los diferentes órganos del poder público</w:t>
      </w:r>
      <w:r w:rsidR="00317DED" w:rsidRPr="004B2679">
        <w:rPr>
          <w:rFonts w:ascii="Times New Roman" w:eastAsia="Times New Roman" w:hAnsi="Times New Roman" w:cs="Times New Roman"/>
          <w:color w:val="000000"/>
          <w:sz w:val="24"/>
          <w:szCs w:val="24"/>
          <w:lang w:val="es-CO"/>
        </w:rPr>
        <w:t xml:space="preserve">, incluyendo la Defensoría del </w:t>
      </w:r>
      <w:r w:rsidR="00EF4275" w:rsidRPr="004B2679">
        <w:rPr>
          <w:rFonts w:ascii="Times New Roman" w:eastAsia="Times New Roman" w:hAnsi="Times New Roman" w:cs="Times New Roman"/>
          <w:color w:val="000000"/>
          <w:sz w:val="24"/>
          <w:szCs w:val="24"/>
          <w:lang w:val="es-CO"/>
        </w:rPr>
        <w:t xml:space="preserve">Pueblo, </w:t>
      </w:r>
      <w:r w:rsidR="006C024F" w:rsidRPr="004B2679">
        <w:rPr>
          <w:rFonts w:ascii="Times New Roman" w:eastAsia="Times New Roman" w:hAnsi="Times New Roman" w:cs="Times New Roman"/>
          <w:color w:val="000000"/>
          <w:sz w:val="24"/>
          <w:szCs w:val="24"/>
          <w:lang w:val="es-CO"/>
        </w:rPr>
        <w:t xml:space="preserve">se abstuvieron de rendir cuentas al </w:t>
      </w:r>
      <w:r w:rsidR="00317DED" w:rsidRPr="004B2679">
        <w:rPr>
          <w:rFonts w:ascii="Times New Roman" w:eastAsia="Times New Roman" w:hAnsi="Times New Roman" w:cs="Times New Roman"/>
          <w:color w:val="000000"/>
          <w:sz w:val="24"/>
          <w:szCs w:val="24"/>
          <w:lang w:val="es-CO"/>
        </w:rPr>
        <w:t>poder legislativo.</w:t>
      </w:r>
    </w:p>
    <w:p w14:paraId="5B47BB75" w14:textId="47FBBEB2" w:rsidR="002E7124" w:rsidRPr="004B2679" w:rsidRDefault="002E7124" w:rsidP="004B2679">
      <w:pPr>
        <w:pStyle w:val="Prrafodelista"/>
        <w:numPr>
          <w:ilvl w:val="0"/>
          <w:numId w:val="3"/>
        </w:numPr>
        <w:pBdr>
          <w:top w:val="nil"/>
          <w:left w:val="nil"/>
          <w:bottom w:val="nil"/>
          <w:right w:val="nil"/>
          <w:between w:val="nil"/>
        </w:pBdr>
        <w:spacing w:before="120" w:after="120" w:line="276" w:lineRule="auto"/>
        <w:contextualSpacing w:val="0"/>
        <w:jc w:val="both"/>
        <w:rPr>
          <w:rFonts w:ascii="Times New Roman" w:eastAsia="Times New Roman" w:hAnsi="Times New Roman" w:cs="Times New Roman"/>
          <w:b/>
          <w:i/>
          <w:color w:val="000000"/>
          <w:sz w:val="24"/>
          <w:szCs w:val="24"/>
        </w:rPr>
      </w:pPr>
      <w:r w:rsidRPr="004B2679">
        <w:rPr>
          <w:rFonts w:ascii="Times New Roman" w:eastAsia="Times New Roman" w:hAnsi="Times New Roman" w:cs="Times New Roman"/>
          <w:b/>
          <w:i/>
          <w:color w:val="000000"/>
          <w:sz w:val="24"/>
          <w:szCs w:val="24"/>
        </w:rPr>
        <w:t>Participación de la sociedad civil</w:t>
      </w:r>
    </w:p>
    <w:p w14:paraId="69EF6A97" w14:textId="397777A3" w:rsidR="002E7124" w:rsidRPr="004B2679" w:rsidRDefault="002E7124" w:rsidP="004B2679">
      <w:pPr>
        <w:pStyle w:val="Prrafodelista"/>
        <w:numPr>
          <w:ilvl w:val="0"/>
          <w:numId w:val="4"/>
        </w:numPr>
        <w:pBdr>
          <w:top w:val="nil"/>
          <w:left w:val="nil"/>
          <w:bottom w:val="nil"/>
          <w:right w:val="nil"/>
          <w:between w:val="nil"/>
        </w:pBdr>
        <w:spacing w:before="120" w:after="120" w:line="276" w:lineRule="auto"/>
        <w:ind w:left="0" w:firstLine="0"/>
        <w:contextualSpacing w:val="0"/>
        <w:jc w:val="both"/>
        <w:rPr>
          <w:rFonts w:ascii="Times New Roman" w:eastAsia="Times New Roman" w:hAnsi="Times New Roman" w:cs="Times New Roman"/>
          <w:color w:val="000000"/>
          <w:sz w:val="24"/>
          <w:szCs w:val="24"/>
        </w:rPr>
      </w:pPr>
      <w:r w:rsidRPr="004B2679">
        <w:rPr>
          <w:rFonts w:ascii="Times New Roman" w:eastAsia="Times New Roman" w:hAnsi="Times New Roman" w:cs="Times New Roman"/>
          <w:color w:val="000000"/>
          <w:sz w:val="24"/>
          <w:szCs w:val="24"/>
        </w:rPr>
        <w:t xml:space="preserve">Contrariamente a lo que afirma el Estado en el párrafo </w:t>
      </w:r>
      <w:r w:rsidR="001A2C20" w:rsidRPr="004B2679">
        <w:rPr>
          <w:rFonts w:ascii="Times New Roman" w:eastAsia="Times New Roman" w:hAnsi="Times New Roman" w:cs="Times New Roman"/>
          <w:color w:val="000000"/>
          <w:sz w:val="24"/>
          <w:szCs w:val="24"/>
        </w:rPr>
        <w:t>5</w:t>
      </w:r>
      <w:r w:rsidRPr="004B2679">
        <w:rPr>
          <w:rFonts w:ascii="Times New Roman" w:eastAsia="Times New Roman" w:hAnsi="Times New Roman" w:cs="Times New Roman"/>
          <w:color w:val="000000"/>
          <w:sz w:val="24"/>
          <w:szCs w:val="24"/>
        </w:rPr>
        <w:t xml:space="preserve"> de su informe al Comité, existe por parte de las autoridades venezolanas una práctica recurrente de exclusión de las organizaciones independientes de la sociedad civil de los espacios de consulta, coordinación y toma de decisiones para la formulación de políticas públicas y para la elaboración de respuestas coordinadas de informes ante los órganos de tratados del sistema de derechos humanos de la ONU, así como del proceso del Examen Periódico Universal. El proceso de elaboración de la respuesta a la lista de cuestiones y el informe para el </w:t>
      </w:r>
      <w:r w:rsidR="00C04DEB" w:rsidRPr="004B2679">
        <w:rPr>
          <w:rFonts w:ascii="Times New Roman" w:eastAsia="Times New Roman" w:hAnsi="Times New Roman" w:cs="Times New Roman"/>
          <w:color w:val="000000"/>
          <w:sz w:val="24"/>
          <w:szCs w:val="24"/>
        </w:rPr>
        <w:t>CERD</w:t>
      </w:r>
      <w:r w:rsidRPr="004B2679">
        <w:rPr>
          <w:rFonts w:ascii="Times New Roman" w:eastAsia="Times New Roman" w:hAnsi="Times New Roman" w:cs="Times New Roman"/>
          <w:color w:val="000000"/>
          <w:sz w:val="24"/>
          <w:szCs w:val="24"/>
        </w:rPr>
        <w:t xml:space="preserve"> no ha sido la excepción.</w:t>
      </w:r>
    </w:p>
    <w:p w14:paraId="100420F7" w14:textId="3848467D" w:rsidR="00FA4184" w:rsidRPr="004B2679" w:rsidRDefault="002F1301" w:rsidP="004B2679">
      <w:pPr>
        <w:pStyle w:val="Prrafodelista"/>
        <w:numPr>
          <w:ilvl w:val="0"/>
          <w:numId w:val="3"/>
        </w:numPr>
        <w:spacing w:before="120" w:after="120" w:line="276" w:lineRule="auto"/>
        <w:contextualSpacing w:val="0"/>
        <w:jc w:val="both"/>
        <w:rPr>
          <w:rFonts w:ascii="Times New Roman" w:hAnsi="Times New Roman" w:cs="Times New Roman"/>
          <w:b/>
          <w:bCs/>
          <w:i/>
          <w:iCs/>
          <w:sz w:val="24"/>
          <w:szCs w:val="24"/>
        </w:rPr>
      </w:pPr>
      <w:r w:rsidRPr="004B2679">
        <w:rPr>
          <w:rFonts w:ascii="Times New Roman" w:hAnsi="Times New Roman" w:cs="Times New Roman"/>
          <w:b/>
          <w:bCs/>
          <w:i/>
          <w:iCs/>
          <w:sz w:val="24"/>
          <w:szCs w:val="24"/>
        </w:rPr>
        <w:t>Acceso a información para políticas públicas</w:t>
      </w:r>
    </w:p>
    <w:p w14:paraId="054B99B7" w14:textId="18D4548D" w:rsidR="00C6700E" w:rsidRPr="004B2679" w:rsidRDefault="002C0A6B"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rPr>
      </w:pPr>
      <w:r w:rsidRPr="004B2679">
        <w:rPr>
          <w:rFonts w:ascii="Times New Roman" w:hAnsi="Times New Roman" w:cs="Times New Roman"/>
          <w:sz w:val="24"/>
          <w:szCs w:val="24"/>
        </w:rPr>
        <w:t>En el párrafo 12 de</w:t>
      </w:r>
      <w:r w:rsidR="00805148" w:rsidRPr="004B2679">
        <w:rPr>
          <w:rFonts w:ascii="Times New Roman" w:hAnsi="Times New Roman" w:cs="Times New Roman"/>
          <w:sz w:val="24"/>
          <w:szCs w:val="24"/>
        </w:rPr>
        <w:t xml:space="preserve"> su informe y en otros posteriores, el Estado hace referencia al censo se 2011</w:t>
      </w:r>
      <w:r w:rsidR="000928B8" w:rsidRPr="004B2679">
        <w:rPr>
          <w:rFonts w:ascii="Times New Roman" w:hAnsi="Times New Roman" w:cs="Times New Roman"/>
          <w:sz w:val="24"/>
          <w:szCs w:val="24"/>
        </w:rPr>
        <w:t>, es decir</w:t>
      </w:r>
      <w:r w:rsidR="00EE4EC9" w:rsidRPr="004B2679">
        <w:rPr>
          <w:rFonts w:ascii="Times New Roman" w:hAnsi="Times New Roman" w:cs="Times New Roman"/>
          <w:sz w:val="24"/>
          <w:szCs w:val="24"/>
        </w:rPr>
        <w:t xml:space="preserve">, el último levantamiento de datos sobre la población que vive en Venezuela </w:t>
      </w:r>
      <w:r w:rsidR="000928B8" w:rsidRPr="004B2679">
        <w:rPr>
          <w:rFonts w:ascii="Times New Roman" w:hAnsi="Times New Roman" w:cs="Times New Roman"/>
          <w:sz w:val="24"/>
          <w:szCs w:val="24"/>
        </w:rPr>
        <w:t>fue realizado hace 14 años.</w:t>
      </w:r>
      <w:r w:rsidR="0037658F" w:rsidRPr="004B2679">
        <w:rPr>
          <w:rFonts w:ascii="Times New Roman" w:hAnsi="Times New Roman" w:cs="Times New Roman"/>
          <w:sz w:val="24"/>
          <w:szCs w:val="24"/>
        </w:rPr>
        <w:t xml:space="preserve"> La opacidad en las cifras es un rasgo distintivo del gobierno venezolano, que impide </w:t>
      </w:r>
      <w:r w:rsidR="00FB4351" w:rsidRPr="004B2679">
        <w:rPr>
          <w:rFonts w:ascii="Times New Roman" w:hAnsi="Times New Roman" w:cs="Times New Roman"/>
          <w:sz w:val="24"/>
          <w:szCs w:val="24"/>
        </w:rPr>
        <w:t>conocer la realidad de los habitantes para el diseño de políticas públicas acordes a sus necesidades.</w:t>
      </w:r>
      <w:r w:rsidR="00B914FD" w:rsidRPr="004B2679">
        <w:rPr>
          <w:rFonts w:ascii="Times New Roman" w:hAnsi="Times New Roman" w:cs="Times New Roman"/>
          <w:sz w:val="24"/>
          <w:szCs w:val="24"/>
        </w:rPr>
        <w:t xml:space="preserve"> Es una consideración relevante para entender las contradicciones y vacíos que se presentan en otras secciones del informe del Estado.</w:t>
      </w:r>
    </w:p>
    <w:p w14:paraId="3831D89A" w14:textId="65F7AF92" w:rsidR="005C7347" w:rsidRPr="004B2679" w:rsidRDefault="005C7347" w:rsidP="004B2679">
      <w:pPr>
        <w:pStyle w:val="Prrafodelista"/>
        <w:numPr>
          <w:ilvl w:val="0"/>
          <w:numId w:val="2"/>
        </w:numPr>
        <w:spacing w:before="120" w:after="120" w:line="276" w:lineRule="auto"/>
        <w:contextualSpacing w:val="0"/>
        <w:jc w:val="both"/>
        <w:rPr>
          <w:rFonts w:ascii="Times New Roman" w:hAnsi="Times New Roman" w:cs="Times New Roman"/>
          <w:b/>
          <w:bCs/>
          <w:i/>
          <w:iCs/>
          <w:sz w:val="24"/>
          <w:szCs w:val="24"/>
          <w:lang w:val="es-CO"/>
        </w:rPr>
      </w:pPr>
      <w:r w:rsidRPr="004B2679">
        <w:rPr>
          <w:rFonts w:ascii="Times New Roman" w:hAnsi="Times New Roman" w:cs="Times New Roman"/>
          <w:b/>
          <w:bCs/>
          <w:i/>
          <w:iCs/>
          <w:sz w:val="24"/>
          <w:szCs w:val="24"/>
          <w:lang w:val="es-CO"/>
        </w:rPr>
        <w:lastRenderedPageBreak/>
        <w:t>INFORMACIÓN RELATI</w:t>
      </w:r>
      <w:r w:rsidR="00F0373D">
        <w:rPr>
          <w:rFonts w:ascii="Times New Roman" w:hAnsi="Times New Roman" w:cs="Times New Roman"/>
          <w:b/>
          <w:bCs/>
          <w:i/>
          <w:iCs/>
          <w:sz w:val="24"/>
          <w:szCs w:val="24"/>
          <w:lang w:val="es-CO"/>
        </w:rPr>
        <w:t>V</w:t>
      </w:r>
      <w:r w:rsidRPr="004B2679">
        <w:rPr>
          <w:rFonts w:ascii="Times New Roman" w:hAnsi="Times New Roman" w:cs="Times New Roman"/>
          <w:b/>
          <w:bCs/>
          <w:i/>
          <w:iCs/>
          <w:sz w:val="24"/>
          <w:szCs w:val="24"/>
          <w:lang w:val="es-CO"/>
        </w:rPr>
        <w:t>A A LOS ARTÍCULOS DE LA CONVENCIÓN</w:t>
      </w:r>
    </w:p>
    <w:p w14:paraId="5AB890EC" w14:textId="30CDCF6A" w:rsidR="00B914FD" w:rsidRPr="004B2679" w:rsidRDefault="00B81D43" w:rsidP="004B2679">
      <w:pPr>
        <w:pStyle w:val="Prrafodelista"/>
        <w:numPr>
          <w:ilvl w:val="1"/>
          <w:numId w:val="4"/>
        </w:numPr>
        <w:spacing w:before="120" w:after="120" w:line="276" w:lineRule="auto"/>
        <w:ind w:left="567" w:hanging="283"/>
        <w:contextualSpacing w:val="0"/>
        <w:jc w:val="both"/>
        <w:rPr>
          <w:rFonts w:ascii="Times New Roman" w:hAnsi="Times New Roman" w:cs="Times New Roman"/>
          <w:b/>
          <w:bCs/>
          <w:i/>
          <w:iCs/>
          <w:sz w:val="24"/>
          <w:szCs w:val="24"/>
          <w:lang w:val="es-CO"/>
        </w:rPr>
      </w:pPr>
      <w:r>
        <w:rPr>
          <w:rFonts w:ascii="Times New Roman" w:hAnsi="Times New Roman" w:cs="Times New Roman"/>
          <w:b/>
          <w:bCs/>
          <w:i/>
          <w:iCs/>
          <w:sz w:val="24"/>
          <w:szCs w:val="24"/>
          <w:lang w:val="es-CO"/>
        </w:rPr>
        <w:t>Discriminación racial como base de la a</w:t>
      </w:r>
      <w:r w:rsidR="00473F3A" w:rsidRPr="004B2679">
        <w:rPr>
          <w:rFonts w:ascii="Times New Roman" w:hAnsi="Times New Roman" w:cs="Times New Roman"/>
          <w:b/>
          <w:bCs/>
          <w:i/>
          <w:iCs/>
          <w:sz w:val="24"/>
          <w:szCs w:val="24"/>
          <w:lang w:val="es-CO"/>
        </w:rPr>
        <w:t>usencia de avances legislativos</w:t>
      </w:r>
    </w:p>
    <w:p w14:paraId="462B757E" w14:textId="307C0C61" w:rsidR="00473F3A" w:rsidRPr="004B2679" w:rsidRDefault="00190A30"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 xml:space="preserve">El Estado afirma que la </w:t>
      </w:r>
      <w:r w:rsidR="00B25412" w:rsidRPr="004B2679">
        <w:rPr>
          <w:rFonts w:ascii="Times New Roman" w:hAnsi="Times New Roman" w:cs="Times New Roman"/>
          <w:sz w:val="24"/>
          <w:szCs w:val="24"/>
          <w:lang w:val="es-CO"/>
        </w:rPr>
        <w:t>falta de avances legislativos para adecuar la normativa nacional a los compromisos derivados de la Convención, obedecen a un supuesto desacato de la Asamblea Nacional</w:t>
      </w:r>
      <w:r w:rsidR="00F16DC0" w:rsidRPr="004B2679">
        <w:rPr>
          <w:rFonts w:ascii="Times New Roman" w:hAnsi="Times New Roman" w:cs="Times New Roman"/>
          <w:sz w:val="24"/>
          <w:szCs w:val="24"/>
          <w:lang w:val="es-CO"/>
        </w:rPr>
        <w:t xml:space="preserve"> en el período 2016 – 2020.</w:t>
      </w:r>
      <w:r w:rsidR="00EE131D" w:rsidRPr="004B2679">
        <w:rPr>
          <w:rFonts w:ascii="Times New Roman" w:hAnsi="Times New Roman" w:cs="Times New Roman"/>
          <w:sz w:val="24"/>
          <w:szCs w:val="24"/>
          <w:lang w:val="es-CO"/>
        </w:rPr>
        <w:t xml:space="preserve"> El Estado alega que “</w:t>
      </w:r>
      <w:r w:rsidR="00EE131D" w:rsidRPr="001276A9">
        <w:rPr>
          <w:rFonts w:ascii="Times New Roman" w:hAnsi="Times New Roman" w:cs="Times New Roman"/>
          <w:i/>
          <w:iCs/>
          <w:sz w:val="24"/>
          <w:szCs w:val="24"/>
        </w:rPr>
        <w:t>la AN se instaló con la incorporación de tres diputados cuya proclamación había sido suspendida por el TSJ</w:t>
      </w:r>
      <w:r w:rsidR="00832688" w:rsidRPr="004B2679">
        <w:rPr>
          <w:rFonts w:ascii="Times New Roman" w:hAnsi="Times New Roman" w:cs="Times New Roman"/>
          <w:sz w:val="24"/>
          <w:szCs w:val="24"/>
        </w:rPr>
        <w:t xml:space="preserve"> [Tribunal Supremo de Justicia]</w:t>
      </w:r>
      <w:r w:rsidR="00EE131D" w:rsidRPr="004B2679">
        <w:rPr>
          <w:rFonts w:ascii="Times New Roman" w:hAnsi="Times New Roman" w:cs="Times New Roman"/>
          <w:sz w:val="24"/>
          <w:szCs w:val="24"/>
        </w:rPr>
        <w:t xml:space="preserve">”. </w:t>
      </w:r>
      <w:r w:rsidR="00AC7204" w:rsidRPr="004B2679">
        <w:rPr>
          <w:rFonts w:ascii="Times New Roman" w:hAnsi="Times New Roman" w:cs="Times New Roman"/>
          <w:sz w:val="24"/>
          <w:szCs w:val="24"/>
        </w:rPr>
        <w:t xml:space="preserve">Resulta particularmente relevante para </w:t>
      </w:r>
      <w:r w:rsidR="00832688" w:rsidRPr="004B2679">
        <w:rPr>
          <w:rFonts w:ascii="Times New Roman" w:hAnsi="Times New Roman" w:cs="Times New Roman"/>
          <w:sz w:val="24"/>
          <w:szCs w:val="24"/>
        </w:rPr>
        <w:t>los</w:t>
      </w:r>
      <w:r w:rsidR="00AC7204" w:rsidRPr="004B2679">
        <w:rPr>
          <w:rFonts w:ascii="Times New Roman" w:hAnsi="Times New Roman" w:cs="Times New Roman"/>
          <w:sz w:val="24"/>
          <w:szCs w:val="24"/>
        </w:rPr>
        <w:t xml:space="preserve"> propósitos del CERD conocer el detalle del supuesto desacato, ya que detrás de esta decisión del TSJ</w:t>
      </w:r>
      <w:r w:rsidR="00832688" w:rsidRPr="004B2679">
        <w:rPr>
          <w:rFonts w:ascii="Times New Roman" w:hAnsi="Times New Roman" w:cs="Times New Roman"/>
          <w:sz w:val="24"/>
          <w:szCs w:val="24"/>
        </w:rPr>
        <w:t xml:space="preserve"> subyace un acto de discriminación racial</w:t>
      </w:r>
      <w:r w:rsidR="00C9178C" w:rsidRPr="004B2679">
        <w:rPr>
          <w:rFonts w:ascii="Times New Roman" w:hAnsi="Times New Roman" w:cs="Times New Roman"/>
          <w:sz w:val="24"/>
          <w:szCs w:val="24"/>
        </w:rPr>
        <w:t xml:space="preserve"> de enorme preocupación.</w:t>
      </w:r>
    </w:p>
    <w:p w14:paraId="1ADFE304" w14:textId="47363D81" w:rsidR="00C9178C" w:rsidRPr="004B2679" w:rsidRDefault="000055FC"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 xml:space="preserve">Los tres diputados </w:t>
      </w:r>
      <w:r w:rsidR="00B73E48" w:rsidRPr="004B2679">
        <w:rPr>
          <w:rFonts w:ascii="Times New Roman" w:hAnsi="Times New Roman" w:cs="Times New Roman"/>
          <w:sz w:val="24"/>
          <w:szCs w:val="24"/>
          <w:lang w:val="es-CO"/>
        </w:rPr>
        <w:t xml:space="preserve">del estado Amazonas </w:t>
      </w:r>
      <w:r w:rsidRPr="004B2679">
        <w:rPr>
          <w:rFonts w:ascii="Times New Roman" w:hAnsi="Times New Roman" w:cs="Times New Roman"/>
          <w:sz w:val="24"/>
          <w:szCs w:val="24"/>
          <w:lang w:val="es-CO"/>
        </w:rPr>
        <w:t>suspendidos son</w:t>
      </w:r>
      <w:r w:rsidR="00B73E48" w:rsidRPr="004B2679">
        <w:rPr>
          <w:rFonts w:ascii="Times New Roman" w:hAnsi="Times New Roman" w:cs="Times New Roman"/>
          <w:sz w:val="24"/>
          <w:szCs w:val="24"/>
          <w:lang w:val="es-CO"/>
        </w:rPr>
        <w:t xml:space="preserve"> </w:t>
      </w:r>
      <w:r w:rsidR="00B73E48" w:rsidRPr="004B2679">
        <w:rPr>
          <w:rFonts w:ascii="Times New Roman" w:hAnsi="Times New Roman" w:cs="Times New Roman"/>
          <w:sz w:val="24"/>
          <w:szCs w:val="24"/>
        </w:rPr>
        <w:t xml:space="preserve">de la etnia indígena Baniva. Con </w:t>
      </w:r>
      <w:r w:rsidR="00003BEE" w:rsidRPr="004B2679">
        <w:rPr>
          <w:rFonts w:ascii="Times New Roman" w:hAnsi="Times New Roman" w:cs="Times New Roman"/>
          <w:sz w:val="24"/>
          <w:szCs w:val="24"/>
        </w:rPr>
        <w:t>motivo</w:t>
      </w:r>
      <w:r w:rsidR="00B73E48" w:rsidRPr="004B2679">
        <w:rPr>
          <w:rFonts w:ascii="Times New Roman" w:hAnsi="Times New Roman" w:cs="Times New Roman"/>
          <w:sz w:val="24"/>
          <w:szCs w:val="24"/>
        </w:rPr>
        <w:t xml:space="preserve"> de su suspensión, </w:t>
      </w:r>
      <w:r w:rsidR="00222AD0" w:rsidRPr="004B2679">
        <w:rPr>
          <w:rFonts w:ascii="Times New Roman" w:hAnsi="Times New Roman" w:cs="Times New Roman"/>
          <w:sz w:val="24"/>
          <w:szCs w:val="24"/>
        </w:rPr>
        <w:t>el ex goberna</w:t>
      </w:r>
      <w:r w:rsidR="00DC229A" w:rsidRPr="004B2679">
        <w:rPr>
          <w:rFonts w:ascii="Times New Roman" w:hAnsi="Times New Roman" w:cs="Times New Roman"/>
          <w:sz w:val="24"/>
          <w:szCs w:val="24"/>
        </w:rPr>
        <w:t>dor de Amazonas</w:t>
      </w:r>
      <w:r w:rsidR="00222AD0" w:rsidRPr="004B2679">
        <w:rPr>
          <w:rFonts w:ascii="Times New Roman" w:hAnsi="Times New Roman" w:cs="Times New Roman"/>
          <w:sz w:val="24"/>
          <w:szCs w:val="24"/>
        </w:rPr>
        <w:t xml:space="preserve"> y también indígena</w:t>
      </w:r>
      <w:r w:rsidR="00DC229A" w:rsidRPr="004B2679">
        <w:rPr>
          <w:rFonts w:ascii="Times New Roman" w:hAnsi="Times New Roman" w:cs="Times New Roman"/>
          <w:sz w:val="24"/>
          <w:szCs w:val="24"/>
        </w:rPr>
        <w:t xml:space="preserve"> </w:t>
      </w:r>
      <w:r w:rsidR="009D51D6">
        <w:rPr>
          <w:rFonts w:ascii="Times New Roman" w:hAnsi="Times New Roman" w:cs="Times New Roman"/>
          <w:sz w:val="24"/>
          <w:szCs w:val="24"/>
        </w:rPr>
        <w:t>Baniva</w:t>
      </w:r>
      <w:r w:rsidR="00DC229A" w:rsidRPr="004B2679">
        <w:rPr>
          <w:rFonts w:ascii="Times New Roman" w:hAnsi="Times New Roman" w:cs="Times New Roman"/>
          <w:sz w:val="24"/>
          <w:szCs w:val="24"/>
        </w:rPr>
        <w:t xml:space="preserve"> afirmó: “</w:t>
      </w:r>
      <w:r w:rsidR="00DC229A" w:rsidRPr="00003BEE">
        <w:rPr>
          <w:rFonts w:ascii="Times New Roman" w:hAnsi="Times New Roman" w:cs="Times New Roman"/>
          <w:i/>
          <w:iCs/>
          <w:color w:val="222222"/>
          <w:sz w:val="24"/>
          <w:szCs w:val="24"/>
          <w:shd w:val="clear" w:color="auto" w:fill="FFFFFF"/>
        </w:rPr>
        <w:t xml:space="preserve">aquí impera el racismo. La decisión de desincorporar a los diputados de </w:t>
      </w:r>
      <w:r w:rsidR="00DC229A" w:rsidRPr="00003BEE">
        <w:rPr>
          <w:rStyle w:val="Textoennegrita"/>
          <w:rFonts w:ascii="Times New Roman" w:hAnsi="Times New Roman" w:cs="Times New Roman"/>
          <w:b w:val="0"/>
          <w:bCs w:val="0"/>
          <w:i/>
          <w:iCs/>
          <w:color w:val="222222"/>
          <w:sz w:val="24"/>
          <w:szCs w:val="24"/>
          <w:shd w:val="clear" w:color="auto" w:fill="FFFFFF"/>
        </w:rPr>
        <w:t>Amazonas</w:t>
      </w:r>
      <w:r w:rsidR="00DC229A" w:rsidRPr="00003BEE">
        <w:rPr>
          <w:rStyle w:val="Textoennegrita"/>
          <w:rFonts w:ascii="Times New Roman" w:hAnsi="Times New Roman" w:cs="Times New Roman"/>
          <w:i/>
          <w:iCs/>
          <w:color w:val="222222"/>
          <w:sz w:val="24"/>
          <w:szCs w:val="24"/>
          <w:shd w:val="clear" w:color="auto" w:fill="FFFFFF"/>
        </w:rPr>
        <w:t xml:space="preserve"> </w:t>
      </w:r>
      <w:r w:rsidR="00DC229A" w:rsidRPr="00003BEE">
        <w:rPr>
          <w:rFonts w:ascii="Times New Roman" w:hAnsi="Times New Roman" w:cs="Times New Roman"/>
          <w:i/>
          <w:iCs/>
          <w:color w:val="222222"/>
          <w:sz w:val="24"/>
          <w:szCs w:val="24"/>
          <w:shd w:val="clear" w:color="auto" w:fill="FFFFFF"/>
        </w:rPr>
        <w:t xml:space="preserve">después de haber sido proclamados por el Consejo Nacional </w:t>
      </w:r>
      <w:r w:rsidR="009A4E5E" w:rsidRPr="00003BEE">
        <w:rPr>
          <w:rFonts w:ascii="Times New Roman" w:hAnsi="Times New Roman" w:cs="Times New Roman"/>
          <w:i/>
          <w:iCs/>
          <w:color w:val="222222"/>
          <w:sz w:val="24"/>
          <w:szCs w:val="24"/>
          <w:shd w:val="clear" w:color="auto" w:fill="FFFFFF"/>
        </w:rPr>
        <w:t>Electoral</w:t>
      </w:r>
      <w:r w:rsidR="00DC229A" w:rsidRPr="00003BEE">
        <w:rPr>
          <w:rFonts w:ascii="Times New Roman" w:hAnsi="Times New Roman" w:cs="Times New Roman"/>
          <w:i/>
          <w:iCs/>
          <w:color w:val="222222"/>
          <w:sz w:val="24"/>
          <w:szCs w:val="24"/>
          <w:shd w:val="clear" w:color="auto" w:fill="FFFFFF"/>
        </w:rPr>
        <w:t xml:space="preserve"> forma parte de ese pensamiento y se confirma que los que están al frente de esta mal llamada revolución, son racistas y aplican el apartheid a los indígenas del Amazonas</w:t>
      </w:r>
      <w:r w:rsidR="00DC229A" w:rsidRPr="004B2679">
        <w:rPr>
          <w:rFonts w:ascii="Times New Roman" w:hAnsi="Times New Roman" w:cs="Times New Roman"/>
          <w:color w:val="222222"/>
          <w:sz w:val="24"/>
          <w:szCs w:val="24"/>
          <w:shd w:val="clear" w:color="auto" w:fill="FFFFFF"/>
        </w:rPr>
        <w:t>”</w:t>
      </w:r>
      <w:r w:rsidR="00DC229A" w:rsidRPr="004B2679">
        <w:rPr>
          <w:rStyle w:val="Refdenotaalpie"/>
          <w:rFonts w:ascii="Times New Roman" w:hAnsi="Times New Roman" w:cs="Times New Roman"/>
          <w:color w:val="222222"/>
          <w:sz w:val="24"/>
          <w:szCs w:val="24"/>
          <w:shd w:val="clear" w:color="auto" w:fill="FFFFFF"/>
        </w:rPr>
        <w:footnoteReference w:id="4"/>
      </w:r>
      <w:r w:rsidR="00DC229A" w:rsidRPr="004B2679">
        <w:rPr>
          <w:rFonts w:ascii="Times New Roman" w:hAnsi="Times New Roman" w:cs="Times New Roman"/>
          <w:color w:val="222222"/>
          <w:sz w:val="24"/>
          <w:szCs w:val="24"/>
          <w:shd w:val="clear" w:color="auto" w:fill="FFFFFF"/>
        </w:rPr>
        <w:t>.</w:t>
      </w:r>
      <w:r w:rsidR="009A4E5E" w:rsidRPr="004B2679">
        <w:rPr>
          <w:rFonts w:ascii="Times New Roman" w:hAnsi="Times New Roman" w:cs="Times New Roman"/>
          <w:color w:val="222222"/>
          <w:sz w:val="24"/>
          <w:szCs w:val="24"/>
          <w:shd w:val="clear" w:color="auto" w:fill="FFFFFF"/>
        </w:rPr>
        <w:t xml:space="preserve"> </w:t>
      </w:r>
      <w:r w:rsidR="00DA59F5" w:rsidRPr="004B2679">
        <w:rPr>
          <w:rFonts w:ascii="Times New Roman" w:hAnsi="Times New Roman" w:cs="Times New Roman"/>
          <w:color w:val="222222"/>
          <w:sz w:val="24"/>
          <w:szCs w:val="24"/>
          <w:shd w:val="clear" w:color="auto" w:fill="FFFFFF"/>
        </w:rPr>
        <w:t xml:space="preserve">Hasta el momento de preparar esta contribución, no se había concluido el </w:t>
      </w:r>
      <w:r w:rsidR="00DA59F5" w:rsidRPr="004B2679">
        <w:rPr>
          <w:rFonts w:ascii="Times New Roman" w:hAnsi="Times New Roman" w:cs="Times New Roman"/>
          <w:sz w:val="24"/>
          <w:szCs w:val="24"/>
        </w:rPr>
        <w:t>proceso contencioso electoral seguido por la Sala Electoral del TSJ. El período parlamentario para el que fueron electos los diputados indígenas terminó en 2020.</w:t>
      </w:r>
      <w:r w:rsidR="00DA59F5">
        <w:rPr>
          <w:rFonts w:ascii="Times New Roman" w:hAnsi="Times New Roman" w:cs="Times New Roman"/>
          <w:sz w:val="24"/>
          <w:szCs w:val="24"/>
        </w:rPr>
        <w:t xml:space="preserve"> </w:t>
      </w:r>
      <w:r w:rsidR="0077174C" w:rsidRPr="004B2679">
        <w:rPr>
          <w:rFonts w:ascii="Times New Roman" w:hAnsi="Times New Roman" w:cs="Times New Roman"/>
          <w:color w:val="222222"/>
          <w:sz w:val="24"/>
          <w:szCs w:val="24"/>
          <w:shd w:val="clear" w:color="auto" w:fill="FFFFFF"/>
        </w:rPr>
        <w:t xml:space="preserve">El caso de los diputados fue conocido por la Comisión Interamericana de Derechos </w:t>
      </w:r>
      <w:r w:rsidR="0077569D" w:rsidRPr="004B2679">
        <w:rPr>
          <w:rFonts w:ascii="Times New Roman" w:hAnsi="Times New Roman" w:cs="Times New Roman"/>
          <w:color w:val="222222"/>
          <w:sz w:val="24"/>
          <w:szCs w:val="24"/>
          <w:shd w:val="clear" w:color="auto" w:fill="FFFFFF"/>
        </w:rPr>
        <w:t>Humanos</w:t>
      </w:r>
      <w:r w:rsidR="0077174C" w:rsidRPr="004B2679">
        <w:rPr>
          <w:rFonts w:ascii="Times New Roman" w:hAnsi="Times New Roman" w:cs="Times New Roman"/>
          <w:color w:val="222222"/>
          <w:sz w:val="24"/>
          <w:szCs w:val="24"/>
          <w:shd w:val="clear" w:color="auto" w:fill="FFFFFF"/>
        </w:rPr>
        <w:t>, in</w:t>
      </w:r>
      <w:r w:rsidR="004A0F07" w:rsidRPr="004B2679">
        <w:rPr>
          <w:rFonts w:ascii="Times New Roman" w:hAnsi="Times New Roman" w:cs="Times New Roman"/>
          <w:color w:val="222222"/>
          <w:sz w:val="24"/>
          <w:szCs w:val="24"/>
          <w:shd w:val="clear" w:color="auto" w:fill="FFFFFF"/>
        </w:rPr>
        <w:t>stancia que decidió, en mayo de 2024, elevar la demanda ante la Corte Interamericana de Derechos Humanos</w:t>
      </w:r>
      <w:r w:rsidR="0034336E" w:rsidRPr="004B2679">
        <w:rPr>
          <w:rStyle w:val="Refdenotaalpie"/>
          <w:rFonts w:ascii="Times New Roman" w:hAnsi="Times New Roman" w:cs="Times New Roman"/>
          <w:color w:val="222222"/>
          <w:sz w:val="24"/>
          <w:szCs w:val="24"/>
          <w:shd w:val="clear" w:color="auto" w:fill="FFFFFF"/>
        </w:rPr>
        <w:footnoteReference w:id="5"/>
      </w:r>
      <w:r w:rsidR="004A0F07" w:rsidRPr="004B2679">
        <w:rPr>
          <w:rFonts w:ascii="Times New Roman" w:hAnsi="Times New Roman" w:cs="Times New Roman"/>
          <w:color w:val="222222"/>
          <w:sz w:val="24"/>
          <w:szCs w:val="24"/>
          <w:shd w:val="clear" w:color="auto" w:fill="FFFFFF"/>
        </w:rPr>
        <w:t>.</w:t>
      </w:r>
    </w:p>
    <w:p w14:paraId="16AA9C2C" w14:textId="1450EBAD" w:rsidR="005C7347" w:rsidRPr="004B2679" w:rsidRDefault="00C03F58" w:rsidP="004B2679">
      <w:pPr>
        <w:spacing w:before="120" w:after="120" w:line="276" w:lineRule="auto"/>
        <w:ind w:left="567" w:hanging="283"/>
        <w:jc w:val="both"/>
        <w:rPr>
          <w:rFonts w:ascii="Times New Roman" w:hAnsi="Times New Roman" w:cs="Times New Roman"/>
          <w:b/>
          <w:bCs/>
          <w:i/>
          <w:iCs/>
          <w:sz w:val="24"/>
          <w:szCs w:val="24"/>
          <w:lang w:val="es-CO"/>
        </w:rPr>
      </w:pPr>
      <w:r w:rsidRPr="004B2679">
        <w:rPr>
          <w:rFonts w:ascii="Times New Roman" w:hAnsi="Times New Roman" w:cs="Times New Roman"/>
          <w:b/>
          <w:bCs/>
          <w:i/>
          <w:iCs/>
          <w:sz w:val="24"/>
          <w:szCs w:val="24"/>
          <w:lang w:val="es-CO"/>
        </w:rPr>
        <w:t xml:space="preserve">b. </w:t>
      </w:r>
      <w:r w:rsidRPr="004B2679">
        <w:rPr>
          <w:rFonts w:ascii="Times New Roman" w:hAnsi="Times New Roman" w:cs="Times New Roman"/>
          <w:b/>
          <w:bCs/>
          <w:i/>
          <w:iCs/>
          <w:sz w:val="24"/>
          <w:szCs w:val="24"/>
        </w:rPr>
        <w:t>Políticas encaminadas a eliminar la discriminación racial en todas sus formas</w:t>
      </w:r>
      <w:r w:rsidR="001472F9" w:rsidRPr="004B2679">
        <w:rPr>
          <w:rFonts w:ascii="Times New Roman" w:hAnsi="Times New Roman" w:cs="Times New Roman"/>
          <w:b/>
          <w:bCs/>
          <w:i/>
          <w:iCs/>
          <w:sz w:val="24"/>
          <w:szCs w:val="24"/>
        </w:rPr>
        <w:t xml:space="preserve"> (artículo 2)</w:t>
      </w:r>
    </w:p>
    <w:p w14:paraId="104091C5" w14:textId="77777777" w:rsidR="00976D6E" w:rsidRDefault="001472F9" w:rsidP="00976D6E">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rPr>
      </w:pPr>
      <w:r w:rsidRPr="00976D6E">
        <w:rPr>
          <w:rFonts w:ascii="Times New Roman" w:hAnsi="Times New Roman" w:cs="Times New Roman"/>
          <w:sz w:val="24"/>
          <w:szCs w:val="24"/>
        </w:rPr>
        <w:t xml:space="preserve">El Estado hace referencia al Plan Nacional de Derechos Humanos </w:t>
      </w:r>
      <w:r w:rsidR="00EB5C42" w:rsidRPr="00976D6E">
        <w:rPr>
          <w:rFonts w:ascii="Times New Roman" w:hAnsi="Times New Roman" w:cs="Times New Roman"/>
          <w:sz w:val="24"/>
          <w:szCs w:val="24"/>
        </w:rPr>
        <w:t xml:space="preserve">(PNDH) 2016 – 2019, como una iniciativa de amplia consulta de la sociedad civil. </w:t>
      </w:r>
      <w:r w:rsidR="008725A2" w:rsidRPr="00976D6E">
        <w:rPr>
          <w:rFonts w:ascii="Times New Roman" w:hAnsi="Times New Roman" w:cs="Times New Roman"/>
          <w:sz w:val="24"/>
          <w:szCs w:val="24"/>
        </w:rPr>
        <w:t xml:space="preserve">Sin embargo, defensores de derechos humanos independientes consultados por AlertaVenezuela, afirmaron no haber sido convocados a participar en ninguna de estas iniciativas. AlertaVenezuela insistió en diversas ocasiones con el equipo de la OACNUDH en Venezuela sobre la necesidad de incorporar el componente de participación amplia de las </w:t>
      </w:r>
      <w:r w:rsidR="00611AF7" w:rsidRPr="00976D6E">
        <w:rPr>
          <w:rFonts w:ascii="Times New Roman" w:hAnsi="Times New Roman" w:cs="Times New Roman"/>
          <w:sz w:val="24"/>
          <w:szCs w:val="24"/>
        </w:rPr>
        <w:t>organizaciones de la sociedad civil (</w:t>
      </w:r>
      <w:r w:rsidR="008725A2" w:rsidRPr="00976D6E">
        <w:rPr>
          <w:rFonts w:ascii="Times New Roman" w:hAnsi="Times New Roman" w:cs="Times New Roman"/>
          <w:sz w:val="24"/>
          <w:szCs w:val="24"/>
        </w:rPr>
        <w:t>OSC</w:t>
      </w:r>
      <w:r w:rsidR="00611AF7" w:rsidRPr="00976D6E">
        <w:rPr>
          <w:rFonts w:ascii="Times New Roman" w:hAnsi="Times New Roman" w:cs="Times New Roman"/>
          <w:sz w:val="24"/>
          <w:szCs w:val="24"/>
        </w:rPr>
        <w:t>)</w:t>
      </w:r>
      <w:r w:rsidR="008725A2" w:rsidRPr="00976D6E">
        <w:rPr>
          <w:rFonts w:ascii="Times New Roman" w:hAnsi="Times New Roman" w:cs="Times New Roman"/>
          <w:sz w:val="24"/>
          <w:szCs w:val="24"/>
        </w:rPr>
        <w:t xml:space="preserve"> en los procesos de elaboración, ejecución y evaluación del Plan Nacional de Derechos Humanos y en el mecanismo de seguimiento.</w:t>
      </w:r>
    </w:p>
    <w:p w14:paraId="03595AB8" w14:textId="52BBF8B1" w:rsidR="008725A2" w:rsidRPr="00976D6E" w:rsidRDefault="008725A2" w:rsidP="00976D6E">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rPr>
      </w:pPr>
      <w:r w:rsidRPr="00976D6E">
        <w:rPr>
          <w:rFonts w:ascii="Times New Roman" w:hAnsi="Times New Roman" w:cs="Times New Roman"/>
          <w:sz w:val="24"/>
          <w:szCs w:val="24"/>
        </w:rPr>
        <w:t>Aunque el equipo de OACNUDH brindó asistencia técnica al Estado sobre estas materias, no existe información pública sobre los resultados concretos o de los progresos realizados por el Estado ni evidencia de que las autoridades hayan acogido favorablemente las recomendaciones sobre participación de las OSC independientes.</w:t>
      </w:r>
      <w:r w:rsidR="00A177F6" w:rsidRPr="00976D6E">
        <w:rPr>
          <w:rFonts w:ascii="Times New Roman" w:hAnsi="Times New Roman" w:cs="Times New Roman"/>
          <w:sz w:val="24"/>
          <w:szCs w:val="24"/>
        </w:rPr>
        <w:t xml:space="preserve"> La falta de referencias </w:t>
      </w:r>
      <w:r w:rsidR="00A177F6" w:rsidRPr="00976D6E">
        <w:rPr>
          <w:rFonts w:ascii="Times New Roman" w:hAnsi="Times New Roman" w:cs="Times New Roman"/>
          <w:sz w:val="24"/>
          <w:szCs w:val="24"/>
        </w:rPr>
        <w:lastRenderedPageBreak/>
        <w:t xml:space="preserve">por parte del Estado a un nuevo PNDH posterior a 2019, evidencia la </w:t>
      </w:r>
      <w:r w:rsidR="0092534D" w:rsidRPr="00976D6E">
        <w:rPr>
          <w:rFonts w:ascii="Times New Roman" w:hAnsi="Times New Roman" w:cs="Times New Roman"/>
          <w:sz w:val="24"/>
          <w:szCs w:val="24"/>
        </w:rPr>
        <w:t>poca prioridad que se le otorga al tema.</w:t>
      </w:r>
    </w:p>
    <w:p w14:paraId="0FCC2150" w14:textId="5C1F39C5" w:rsidR="009A5BFD" w:rsidRPr="004B2679" w:rsidRDefault="009A5BFD" w:rsidP="004B2679">
      <w:pPr>
        <w:pStyle w:val="Prrafodelista"/>
        <w:numPr>
          <w:ilvl w:val="0"/>
          <w:numId w:val="3"/>
        </w:numPr>
        <w:spacing w:before="120" w:after="120" w:line="276" w:lineRule="auto"/>
        <w:contextualSpacing w:val="0"/>
        <w:jc w:val="both"/>
        <w:rPr>
          <w:rFonts w:ascii="Times New Roman" w:hAnsi="Times New Roman" w:cs="Times New Roman"/>
          <w:i/>
          <w:iCs/>
          <w:sz w:val="24"/>
          <w:szCs w:val="24"/>
        </w:rPr>
      </w:pPr>
      <w:r w:rsidRPr="004B2679">
        <w:rPr>
          <w:rFonts w:ascii="Times New Roman" w:hAnsi="Times New Roman" w:cs="Times New Roman"/>
          <w:b/>
          <w:bCs/>
          <w:i/>
          <w:iCs/>
          <w:sz w:val="24"/>
          <w:szCs w:val="24"/>
        </w:rPr>
        <w:t>Medidas inmediatas y positivas destinadas a erradicar la difusión de ideas basadas en la superioridad, el odio, la discriminación racial, así como todo acto de violencia (artículo 4)</w:t>
      </w:r>
    </w:p>
    <w:p w14:paraId="20F89BD6" w14:textId="5EEA3910" w:rsidR="006F46E0" w:rsidRPr="00366B58" w:rsidRDefault="009A5BFD"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 xml:space="preserve">El Estado </w:t>
      </w:r>
      <w:r w:rsidR="002E4D8C" w:rsidRPr="004B2679">
        <w:rPr>
          <w:rFonts w:ascii="Times New Roman" w:hAnsi="Times New Roman" w:cs="Times New Roman"/>
          <w:sz w:val="24"/>
          <w:szCs w:val="24"/>
          <w:lang w:val="es-CO"/>
        </w:rPr>
        <w:t xml:space="preserve">se refiere a la </w:t>
      </w:r>
      <w:r w:rsidR="006F03E1" w:rsidRPr="004B2679">
        <w:rPr>
          <w:rFonts w:ascii="Times New Roman" w:hAnsi="Times New Roman" w:cs="Times New Roman"/>
          <w:sz w:val="24"/>
          <w:szCs w:val="24"/>
          <w:lang w:val="es-CO"/>
        </w:rPr>
        <w:t xml:space="preserve">llamada </w:t>
      </w:r>
      <w:r w:rsidR="006F03E1" w:rsidRPr="004B2679">
        <w:rPr>
          <w:rFonts w:ascii="Times New Roman" w:hAnsi="Times New Roman" w:cs="Times New Roman"/>
          <w:sz w:val="24"/>
          <w:szCs w:val="24"/>
        </w:rPr>
        <w:t xml:space="preserve">Ley Constitucional Contra el Odio, por la </w:t>
      </w:r>
      <w:r w:rsidR="006F03E1" w:rsidRPr="00366B58">
        <w:rPr>
          <w:rFonts w:ascii="Times New Roman" w:hAnsi="Times New Roman" w:cs="Times New Roman"/>
          <w:sz w:val="24"/>
          <w:szCs w:val="24"/>
        </w:rPr>
        <w:t>Convivencia Pacífica y la Tolerancia</w:t>
      </w:r>
      <w:r w:rsidR="008320F5" w:rsidRPr="00366B58">
        <w:rPr>
          <w:rFonts w:ascii="Times New Roman" w:hAnsi="Times New Roman" w:cs="Times New Roman"/>
          <w:sz w:val="24"/>
          <w:szCs w:val="24"/>
        </w:rPr>
        <w:t>.</w:t>
      </w:r>
      <w:r w:rsidR="00EA60AF" w:rsidRPr="00366B58">
        <w:rPr>
          <w:rFonts w:ascii="Times New Roman" w:hAnsi="Times New Roman" w:cs="Times New Roman"/>
          <w:sz w:val="24"/>
          <w:szCs w:val="24"/>
        </w:rPr>
        <w:t xml:space="preserve"> </w:t>
      </w:r>
      <w:r w:rsidR="00EA60AF" w:rsidRPr="00366B58">
        <w:rPr>
          <w:rFonts w:ascii="Times New Roman" w:hAnsi="Times New Roman" w:cs="Times New Roman"/>
          <w:sz w:val="24"/>
          <w:szCs w:val="24"/>
          <w:shd w:val="clear" w:color="auto" w:fill="FFFFFF"/>
        </w:rPr>
        <w:t xml:space="preserve">Se trata de una ley inconstitucional por su origen, </w:t>
      </w:r>
      <w:r w:rsidR="00D23185" w:rsidRPr="00366B58">
        <w:rPr>
          <w:rFonts w:ascii="Times New Roman" w:hAnsi="Times New Roman" w:cs="Times New Roman"/>
          <w:sz w:val="24"/>
          <w:szCs w:val="24"/>
          <w:shd w:val="clear" w:color="auto" w:fill="FFFFFF"/>
        </w:rPr>
        <w:t>debido a</w:t>
      </w:r>
      <w:r w:rsidR="00EA60AF" w:rsidRPr="00366B58">
        <w:rPr>
          <w:rFonts w:ascii="Times New Roman" w:hAnsi="Times New Roman" w:cs="Times New Roman"/>
          <w:sz w:val="24"/>
          <w:szCs w:val="24"/>
          <w:shd w:val="clear" w:color="auto" w:fill="FFFFFF"/>
        </w:rPr>
        <w:t xml:space="preserve"> que fue promulgada por la Asamblea Nacional Constituyente, órgano creado sin las garantías adecuadas para un proceso electoral. Asimismo, la competencia de legislar, especialmente en materia penal, es exclusiva del Poder Legislativo Nacional</w:t>
      </w:r>
      <w:r w:rsidR="00C21FEC" w:rsidRPr="00366B58">
        <w:rPr>
          <w:rFonts w:ascii="Times New Roman" w:hAnsi="Times New Roman" w:cs="Times New Roman"/>
          <w:sz w:val="24"/>
          <w:szCs w:val="24"/>
          <w:shd w:val="clear" w:color="auto" w:fill="FFFFFF"/>
        </w:rPr>
        <w:t>.</w:t>
      </w:r>
    </w:p>
    <w:p w14:paraId="562D4BEF" w14:textId="2EA050A4" w:rsidR="002C6ED3" w:rsidRPr="004B2679" w:rsidRDefault="002C6ED3" w:rsidP="003F6322">
      <w:pPr>
        <w:pStyle w:val="NormalWeb"/>
        <w:numPr>
          <w:ilvl w:val="0"/>
          <w:numId w:val="4"/>
        </w:numPr>
        <w:shd w:val="clear" w:color="auto" w:fill="FFFFFF"/>
        <w:spacing w:before="120" w:beforeAutospacing="0" w:after="120" w:afterAutospacing="0" w:line="276" w:lineRule="auto"/>
        <w:ind w:left="0" w:firstLine="0"/>
        <w:jc w:val="both"/>
        <w:rPr>
          <w:color w:val="353535"/>
        </w:rPr>
      </w:pPr>
      <w:r w:rsidRPr="004B2679">
        <w:rPr>
          <w:color w:val="353535"/>
        </w:rPr>
        <w:t>Por otro lado, el contenido contraviene estándares internacionales de la libertad de expresión. En su artículo 20, se sanciona el delito de instigación al odio. Asimismo, se establece una sanción administrativa, en el artículo 22, a los medios de comunicación de radio y televisión que difundan “mensajes a favor del odio y la guerra”. Estas disposiciones prohíben el “odio” de tal manera, con conceptos tan amplios y vagos, que</w:t>
      </w:r>
      <w:r w:rsidR="003F6322">
        <w:rPr>
          <w:color w:val="353535"/>
        </w:rPr>
        <w:t xml:space="preserve"> </w:t>
      </w:r>
      <w:r w:rsidRPr="003F6322">
        <w:rPr>
          <w:rStyle w:val="Textoennegrita"/>
          <w:rFonts w:eastAsiaTheme="majorEastAsia"/>
          <w:b w:val="0"/>
          <w:bCs w:val="0"/>
          <w:color w:val="353535"/>
        </w:rPr>
        <w:t>cualquier expresión puede ser enmarcada dentro de esta figura</w:t>
      </w:r>
      <w:r w:rsidRPr="004B2679">
        <w:rPr>
          <w:color w:val="353535"/>
        </w:rPr>
        <w:t>, lo que otorga una discreción amplia para interpretar la norma</w:t>
      </w:r>
      <w:r w:rsidR="00274F4D">
        <w:rPr>
          <w:color w:val="353535"/>
        </w:rPr>
        <w:t>,</w:t>
      </w:r>
      <w:r w:rsidRPr="004B2679">
        <w:rPr>
          <w:color w:val="353535"/>
        </w:rPr>
        <w:t xml:space="preserve"> que facilita la aplicación de censura previa. A esto se suma la utilización de sanciones desproporcionadas como “prisión de diez a veinte años”, la revocatoria de permisos de transmisión para radio y televisión, la imposición de la autocensura a través del retiro de contenidos prohibidos en las redes sociales “dentro de las seis horas siguientes a su publicación” bajo la amenaza de multa, con sumas elevadas que superan los $10.000,00 USD</w:t>
      </w:r>
      <w:hyperlink r:id="rId10" w:anchor="_ftn27" w:history="1"/>
      <w:r w:rsidRPr="004B2679">
        <w:rPr>
          <w:color w:val="353535"/>
        </w:rPr>
        <w:t>, así como el bloqueo de portales.</w:t>
      </w:r>
    </w:p>
    <w:p w14:paraId="1E9971A4" w14:textId="3DDAE6F0" w:rsidR="00C21FEC" w:rsidRPr="000F7BE0" w:rsidRDefault="009C2969"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 xml:space="preserve">Se trata de una ley que ha sido usada para </w:t>
      </w:r>
      <w:r w:rsidRPr="004B2679">
        <w:rPr>
          <w:rFonts w:ascii="Times New Roman" w:hAnsi="Times New Roman" w:cs="Times New Roman"/>
          <w:color w:val="353535"/>
          <w:sz w:val="24"/>
          <w:szCs w:val="24"/>
          <w:shd w:val="clear" w:color="auto" w:fill="FFFFFF"/>
        </w:rPr>
        <w:t xml:space="preserve">criminalizar a la disidencia, real o percibida, </w:t>
      </w:r>
      <w:r w:rsidRPr="00AA3270">
        <w:rPr>
          <w:rFonts w:ascii="Times New Roman" w:hAnsi="Times New Roman" w:cs="Times New Roman"/>
          <w:color w:val="353535"/>
          <w:sz w:val="24"/>
          <w:szCs w:val="24"/>
          <w:shd w:val="clear" w:color="auto" w:fill="FFFFFF"/>
        </w:rPr>
        <w:t>y que no protege a las minorías víctimas de discriminación estructural.</w:t>
      </w:r>
      <w:r w:rsidR="001B4EA7" w:rsidRPr="00AA3270">
        <w:rPr>
          <w:rFonts w:ascii="Times New Roman" w:hAnsi="Times New Roman" w:cs="Times New Roman"/>
          <w:color w:val="353535"/>
          <w:sz w:val="24"/>
          <w:szCs w:val="24"/>
          <w:shd w:val="clear" w:color="auto" w:fill="FFFFFF"/>
        </w:rPr>
        <w:t xml:space="preserve"> </w:t>
      </w:r>
      <w:r w:rsidR="00AA3270" w:rsidRPr="00AA3270">
        <w:rPr>
          <w:rFonts w:ascii="Times New Roman" w:hAnsi="Times New Roman" w:cs="Times New Roman"/>
          <w:color w:val="353535"/>
          <w:sz w:val="24"/>
          <w:szCs w:val="24"/>
          <w:shd w:val="clear" w:color="auto" w:fill="FFFFFF"/>
        </w:rPr>
        <w:t>Según datos de la organización Espacio Público, d</w:t>
      </w:r>
      <w:r w:rsidR="001B4EA7" w:rsidRPr="00AA3270">
        <w:rPr>
          <w:rFonts w:ascii="Times New Roman" w:hAnsi="Times New Roman" w:cs="Times New Roman"/>
          <w:color w:val="353535"/>
          <w:sz w:val="24"/>
          <w:szCs w:val="24"/>
          <w:shd w:val="clear" w:color="auto" w:fill="FFFFFF"/>
        </w:rPr>
        <w:t>esde la promulgación de esta normativa en el 2017 hasta</w:t>
      </w:r>
      <w:r w:rsidR="001B4EA7" w:rsidRPr="004B2679">
        <w:rPr>
          <w:rFonts w:ascii="Times New Roman" w:hAnsi="Times New Roman" w:cs="Times New Roman"/>
          <w:color w:val="353535"/>
          <w:sz w:val="24"/>
          <w:szCs w:val="24"/>
          <w:shd w:val="clear" w:color="auto" w:fill="FFFFFF"/>
        </w:rPr>
        <w:t xml:space="preserve"> diciembre de 2023, se registraron 162 denuncias de violaciones a la libertad de expresión, derivadas de 63 casos. Los tipos de denuncias que se repiten con mayor frecuencia son: 73 hostigamientos judiciales, 62 intimidaciones que se materializan en detenciones arbitrarias y 15 </w:t>
      </w:r>
      <w:r w:rsidR="001B4EA7" w:rsidRPr="000F7BE0">
        <w:rPr>
          <w:rFonts w:ascii="Times New Roman" w:hAnsi="Times New Roman" w:cs="Times New Roman"/>
          <w:color w:val="353535"/>
          <w:sz w:val="24"/>
          <w:szCs w:val="24"/>
          <w:shd w:val="clear" w:color="auto" w:fill="FFFFFF"/>
        </w:rPr>
        <w:t>violaciones a través de la censura</w:t>
      </w:r>
      <w:r w:rsidR="00890C99" w:rsidRPr="000F7BE0">
        <w:rPr>
          <w:rStyle w:val="Refdenotaalpie"/>
          <w:rFonts w:ascii="Times New Roman" w:hAnsi="Times New Roman" w:cs="Times New Roman"/>
          <w:color w:val="353535"/>
          <w:sz w:val="24"/>
          <w:szCs w:val="24"/>
          <w:shd w:val="clear" w:color="auto" w:fill="FFFFFF"/>
        </w:rPr>
        <w:footnoteReference w:id="6"/>
      </w:r>
      <w:r w:rsidR="001B4EA7" w:rsidRPr="000F7BE0">
        <w:rPr>
          <w:rFonts w:ascii="Times New Roman" w:hAnsi="Times New Roman" w:cs="Times New Roman"/>
          <w:color w:val="353535"/>
          <w:sz w:val="24"/>
          <w:szCs w:val="24"/>
          <w:shd w:val="clear" w:color="auto" w:fill="FFFFFF"/>
        </w:rPr>
        <w:t>.</w:t>
      </w:r>
    </w:p>
    <w:p w14:paraId="4894F3F1" w14:textId="40E9E669" w:rsidR="00BD214A" w:rsidRPr="004B2679" w:rsidRDefault="00BD214A"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0F7BE0">
        <w:rPr>
          <w:rFonts w:ascii="Times New Roman" w:hAnsi="Times New Roman" w:cs="Times New Roman"/>
          <w:sz w:val="24"/>
          <w:szCs w:val="24"/>
          <w:lang w:val="es-CO"/>
        </w:rPr>
        <w:t xml:space="preserve">Por otra parte, se encuentra en discusión ante la AN el proyecto de ley </w:t>
      </w:r>
      <w:r w:rsidR="00561A28" w:rsidRPr="000F7BE0">
        <w:rPr>
          <w:rStyle w:val="nfasis"/>
          <w:rFonts w:ascii="Times New Roman" w:hAnsi="Times New Roman" w:cs="Times New Roman"/>
          <w:i w:val="0"/>
          <w:iCs w:val="0"/>
          <w:sz w:val="24"/>
          <w:szCs w:val="24"/>
          <w:bdr w:val="none" w:sz="0" w:space="0" w:color="auto" w:frame="1"/>
          <w:shd w:val="clear" w:color="auto" w:fill="FFFFFF"/>
        </w:rPr>
        <w:t>contra el fascismo, neofascismo y expresiones similares</w:t>
      </w:r>
      <w:r w:rsidR="004D454B" w:rsidRPr="000F7BE0">
        <w:rPr>
          <w:rStyle w:val="Refdenotaalpie"/>
          <w:rFonts w:ascii="Times New Roman" w:hAnsi="Times New Roman" w:cs="Times New Roman"/>
          <w:sz w:val="24"/>
          <w:szCs w:val="24"/>
          <w:bdr w:val="none" w:sz="0" w:space="0" w:color="auto" w:frame="1"/>
          <w:shd w:val="clear" w:color="auto" w:fill="FFFFFF"/>
        </w:rPr>
        <w:footnoteReference w:id="7"/>
      </w:r>
      <w:r w:rsidR="00561A28" w:rsidRPr="000F7BE0">
        <w:rPr>
          <w:rStyle w:val="nfasis"/>
          <w:rFonts w:ascii="Times New Roman" w:hAnsi="Times New Roman" w:cs="Times New Roman"/>
          <w:i w:val="0"/>
          <w:iCs w:val="0"/>
          <w:sz w:val="24"/>
          <w:szCs w:val="24"/>
          <w:bdr w:val="none" w:sz="0" w:space="0" w:color="auto" w:frame="1"/>
          <w:shd w:val="clear" w:color="auto" w:fill="FFFFFF"/>
        </w:rPr>
        <w:t>,</w:t>
      </w:r>
      <w:r w:rsidR="00561A28" w:rsidRPr="00D23185">
        <w:rPr>
          <w:rStyle w:val="nfasis"/>
          <w:rFonts w:ascii="Times New Roman" w:hAnsi="Times New Roman" w:cs="Times New Roman"/>
          <w:i w:val="0"/>
          <w:iCs w:val="0"/>
          <w:sz w:val="24"/>
          <w:szCs w:val="24"/>
          <w:bdr w:val="none" w:sz="0" w:space="0" w:color="auto" w:frame="1"/>
          <w:shd w:val="clear" w:color="auto" w:fill="FFFFFF"/>
        </w:rPr>
        <w:t xml:space="preserve"> que</w:t>
      </w:r>
      <w:r w:rsidR="0063734E" w:rsidRPr="00D23185">
        <w:rPr>
          <w:rStyle w:val="nfasis"/>
          <w:rFonts w:ascii="Times New Roman" w:hAnsi="Times New Roman" w:cs="Times New Roman"/>
          <w:i w:val="0"/>
          <w:iCs w:val="0"/>
          <w:sz w:val="24"/>
          <w:szCs w:val="24"/>
          <w:bdr w:val="none" w:sz="0" w:space="0" w:color="auto" w:frame="1"/>
          <w:shd w:val="clear" w:color="auto" w:fill="FFFFFF"/>
        </w:rPr>
        <w:t xml:space="preserve"> en la práctica sería</w:t>
      </w:r>
      <w:r w:rsidRPr="00D23185">
        <w:rPr>
          <w:rFonts w:ascii="Times New Roman" w:hAnsi="Times New Roman" w:cs="Times New Roman"/>
          <w:sz w:val="24"/>
          <w:szCs w:val="24"/>
          <w:lang w:val="es-CO"/>
        </w:rPr>
        <w:t xml:space="preserve"> una continuación de </w:t>
      </w:r>
      <w:r w:rsidRPr="00D23185">
        <w:rPr>
          <w:rFonts w:ascii="Times New Roman" w:hAnsi="Times New Roman" w:cs="Times New Roman"/>
          <w:sz w:val="24"/>
          <w:szCs w:val="24"/>
          <w:lang w:val="es-CO"/>
        </w:rPr>
        <w:lastRenderedPageBreak/>
        <w:t xml:space="preserve">la ley contra el odio. Ambas normativas emplean conceptos vagos y definiciones imprecisas </w:t>
      </w:r>
      <w:r w:rsidRPr="004B2679">
        <w:rPr>
          <w:rFonts w:ascii="Times New Roman" w:hAnsi="Times New Roman" w:cs="Times New Roman"/>
          <w:sz w:val="24"/>
          <w:szCs w:val="24"/>
          <w:lang w:val="es-CO"/>
        </w:rPr>
        <w:t xml:space="preserve">que permiten sanciones administrativas y penales desproporcionadas, dejando amplio margen a la discrecionalidad estatal. El Estado puede castigar con </w:t>
      </w:r>
      <w:r w:rsidR="00B0577A">
        <w:rPr>
          <w:rFonts w:ascii="Times New Roman" w:hAnsi="Times New Roman" w:cs="Times New Roman"/>
          <w:sz w:val="24"/>
          <w:szCs w:val="24"/>
          <w:lang w:val="es-CO"/>
        </w:rPr>
        <w:t xml:space="preserve">medida </w:t>
      </w:r>
      <w:r w:rsidRPr="004B2679">
        <w:rPr>
          <w:rFonts w:ascii="Times New Roman" w:hAnsi="Times New Roman" w:cs="Times New Roman"/>
          <w:sz w:val="24"/>
          <w:szCs w:val="24"/>
          <w:lang w:val="es-CO"/>
        </w:rPr>
        <w:t xml:space="preserve">privativa de libertad, revocatoria de licencias, censura de medios de comunicación y redes sociales, disolución y prohibición de constituir organizaciones civiles y políticas, e incluso inhabilitaciones políticas, a quienes se expresen, manifiesten o se asocien con el fin de </w:t>
      </w:r>
      <w:r w:rsidRPr="000F7BE0">
        <w:rPr>
          <w:rFonts w:ascii="Times New Roman" w:hAnsi="Times New Roman" w:cs="Times New Roman"/>
          <w:sz w:val="24"/>
          <w:szCs w:val="24"/>
          <w:lang w:val="es-CO"/>
        </w:rPr>
        <w:t>“promover el fascismo”</w:t>
      </w:r>
      <w:r w:rsidR="00B62C62" w:rsidRPr="000F7BE0">
        <w:rPr>
          <w:rStyle w:val="Refdenotaalpie"/>
          <w:rFonts w:ascii="Times New Roman" w:hAnsi="Times New Roman" w:cs="Times New Roman"/>
          <w:sz w:val="24"/>
          <w:szCs w:val="24"/>
          <w:lang w:val="es-CO"/>
        </w:rPr>
        <w:t xml:space="preserve"> </w:t>
      </w:r>
      <w:r w:rsidR="00B62C62" w:rsidRPr="000F7BE0">
        <w:rPr>
          <w:rStyle w:val="Refdenotaalpie"/>
          <w:rFonts w:ascii="Times New Roman" w:hAnsi="Times New Roman" w:cs="Times New Roman"/>
          <w:sz w:val="24"/>
          <w:szCs w:val="24"/>
          <w:lang w:val="es-CO"/>
        </w:rPr>
        <w:footnoteReference w:id="8"/>
      </w:r>
      <w:r w:rsidRPr="000F7BE0">
        <w:rPr>
          <w:rFonts w:ascii="Times New Roman" w:hAnsi="Times New Roman" w:cs="Times New Roman"/>
          <w:sz w:val="24"/>
          <w:szCs w:val="24"/>
          <w:lang w:val="es-CO"/>
        </w:rPr>
        <w:t>. La ley contra el odio usa disposiciones con una redacción similar,</w:t>
      </w:r>
      <w:r w:rsidRPr="004B2679">
        <w:rPr>
          <w:rFonts w:ascii="Times New Roman" w:hAnsi="Times New Roman" w:cs="Times New Roman"/>
          <w:sz w:val="24"/>
          <w:szCs w:val="24"/>
          <w:lang w:val="es-CO"/>
        </w:rPr>
        <w:t xml:space="preserve"> por lo que se considera su antecesora, bajo una lógica de apuntalar la represión contra el espacio cívico.</w:t>
      </w:r>
    </w:p>
    <w:p w14:paraId="7C962EA2" w14:textId="35E54994" w:rsidR="009A0116" w:rsidRPr="004B2679" w:rsidRDefault="009A0116" w:rsidP="004B2679">
      <w:pPr>
        <w:pStyle w:val="Prrafodelista"/>
        <w:numPr>
          <w:ilvl w:val="0"/>
          <w:numId w:val="3"/>
        </w:numPr>
        <w:spacing w:before="120" w:after="120" w:line="276" w:lineRule="auto"/>
        <w:contextualSpacing w:val="0"/>
        <w:jc w:val="both"/>
        <w:rPr>
          <w:rFonts w:ascii="Times New Roman" w:hAnsi="Times New Roman" w:cs="Times New Roman"/>
          <w:i/>
          <w:iCs/>
          <w:sz w:val="24"/>
          <w:szCs w:val="24"/>
          <w:lang w:val="es-CO"/>
        </w:rPr>
      </w:pPr>
      <w:r w:rsidRPr="004B2679">
        <w:rPr>
          <w:rFonts w:ascii="Times New Roman" w:hAnsi="Times New Roman" w:cs="Times New Roman"/>
          <w:b/>
          <w:bCs/>
          <w:i/>
          <w:iCs/>
          <w:sz w:val="24"/>
          <w:szCs w:val="24"/>
        </w:rPr>
        <w:t>Compromiso de prohibir y eliminar la discriminación racial en todas sus formas y a garantizar los derechos de todas las personas, así como la igualdad ante la ley (Artículo 5</w:t>
      </w:r>
      <w:r w:rsidR="004339E0" w:rsidRPr="004B2679">
        <w:rPr>
          <w:rFonts w:ascii="Times New Roman" w:hAnsi="Times New Roman" w:cs="Times New Roman"/>
          <w:b/>
          <w:bCs/>
          <w:i/>
          <w:iCs/>
          <w:sz w:val="24"/>
          <w:szCs w:val="24"/>
        </w:rPr>
        <w:t>).</w:t>
      </w:r>
    </w:p>
    <w:p w14:paraId="34F61478" w14:textId="1BE7AAB6" w:rsidR="004339E0" w:rsidRPr="004B2679" w:rsidRDefault="004339E0" w:rsidP="004B2679">
      <w:pPr>
        <w:spacing w:before="120" w:after="120" w:line="276" w:lineRule="auto"/>
        <w:jc w:val="both"/>
        <w:rPr>
          <w:rFonts w:ascii="Times New Roman" w:hAnsi="Times New Roman" w:cs="Times New Roman"/>
          <w:i/>
          <w:iCs/>
          <w:sz w:val="24"/>
          <w:szCs w:val="24"/>
          <w:lang w:val="es-CO"/>
        </w:rPr>
      </w:pPr>
      <w:r w:rsidRPr="004B2679">
        <w:rPr>
          <w:rFonts w:ascii="Times New Roman" w:hAnsi="Times New Roman" w:cs="Times New Roman"/>
          <w:i/>
          <w:iCs/>
          <w:sz w:val="24"/>
          <w:szCs w:val="24"/>
        </w:rPr>
        <w:t>Derechos políticos, en particular el de tomar parte en elecciones, elegir y ser elegido</w:t>
      </w:r>
    </w:p>
    <w:p w14:paraId="262F2160" w14:textId="596DFEDC" w:rsidR="0064116F" w:rsidRPr="00BE27C7" w:rsidRDefault="0011211C"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El Estado hace referencia al Registro Electoral como parte de</w:t>
      </w:r>
      <w:r w:rsidR="004F3819" w:rsidRPr="004B2679">
        <w:rPr>
          <w:rFonts w:ascii="Times New Roman" w:hAnsi="Times New Roman" w:cs="Times New Roman"/>
          <w:sz w:val="24"/>
          <w:szCs w:val="24"/>
          <w:lang w:val="es-CO"/>
        </w:rPr>
        <w:t xml:space="preserve"> un sistema electoral transparente. </w:t>
      </w:r>
      <w:r w:rsidR="00C852E1" w:rsidRPr="004B2679">
        <w:rPr>
          <w:rFonts w:ascii="Times New Roman" w:hAnsi="Times New Roman" w:cs="Times New Roman"/>
          <w:sz w:val="24"/>
          <w:szCs w:val="24"/>
          <w:lang w:val="es-CO"/>
        </w:rPr>
        <w:t xml:space="preserve">Sin embargo, para la elección presidencial prevista para el 28 de </w:t>
      </w:r>
      <w:r w:rsidR="005A18B3" w:rsidRPr="004B2679">
        <w:rPr>
          <w:rFonts w:ascii="Times New Roman" w:hAnsi="Times New Roman" w:cs="Times New Roman"/>
          <w:sz w:val="24"/>
          <w:szCs w:val="24"/>
          <w:lang w:val="es-CO"/>
        </w:rPr>
        <w:t>julio</w:t>
      </w:r>
      <w:r w:rsidR="00C852E1" w:rsidRPr="004B2679">
        <w:rPr>
          <w:rFonts w:ascii="Times New Roman" w:hAnsi="Times New Roman" w:cs="Times New Roman"/>
          <w:sz w:val="24"/>
          <w:szCs w:val="24"/>
          <w:lang w:val="es-CO"/>
        </w:rPr>
        <w:t xml:space="preserve"> de 2024, el Consejo Nacional Electoral tomó decisiones que obstaculizaron la inscripción y actualización de datos en el RE para más de 5 millones de votantes en el exterior, lo que constituye un</w:t>
      </w:r>
      <w:r w:rsidR="005A18B3" w:rsidRPr="004B2679">
        <w:rPr>
          <w:rFonts w:ascii="Times New Roman" w:hAnsi="Times New Roman" w:cs="Times New Roman"/>
          <w:sz w:val="24"/>
          <w:szCs w:val="24"/>
          <w:lang w:val="es-CO"/>
        </w:rPr>
        <w:t xml:space="preserve">a denegación masiva del derecho al voto, con base en una decisión arbitraria, </w:t>
      </w:r>
      <w:r w:rsidR="005A18B3" w:rsidRPr="00BE27C7">
        <w:rPr>
          <w:rFonts w:ascii="Times New Roman" w:hAnsi="Times New Roman" w:cs="Times New Roman"/>
          <w:sz w:val="24"/>
          <w:szCs w:val="24"/>
          <w:lang w:val="es-CO"/>
        </w:rPr>
        <w:t>ilegal</w:t>
      </w:r>
      <w:r w:rsidR="003F2429" w:rsidRPr="00BE27C7">
        <w:rPr>
          <w:rFonts w:ascii="Times New Roman" w:hAnsi="Times New Roman" w:cs="Times New Roman"/>
          <w:sz w:val="24"/>
          <w:szCs w:val="24"/>
          <w:lang w:val="es-CO"/>
        </w:rPr>
        <w:t xml:space="preserve"> y discriminatoria</w:t>
      </w:r>
      <w:r w:rsidR="009C3395" w:rsidRPr="00BE27C7">
        <w:rPr>
          <w:rStyle w:val="Refdenotaalpie"/>
          <w:rFonts w:ascii="Times New Roman" w:hAnsi="Times New Roman" w:cs="Times New Roman"/>
          <w:sz w:val="24"/>
          <w:szCs w:val="24"/>
          <w:lang w:val="es-CO"/>
        </w:rPr>
        <w:footnoteReference w:id="9"/>
      </w:r>
      <w:r w:rsidR="003F2429" w:rsidRPr="00BE27C7">
        <w:rPr>
          <w:rFonts w:ascii="Times New Roman" w:hAnsi="Times New Roman" w:cs="Times New Roman"/>
          <w:sz w:val="24"/>
          <w:szCs w:val="24"/>
          <w:lang w:val="es-CO"/>
        </w:rPr>
        <w:t>.</w:t>
      </w:r>
    </w:p>
    <w:p w14:paraId="04432639" w14:textId="1C6B9D8A" w:rsidR="003F2429" w:rsidRPr="004B2679" w:rsidRDefault="0064116F" w:rsidP="004B2679">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 xml:space="preserve">La norma que regula los procesos electorales en Venezuela es la </w:t>
      </w:r>
      <w:r w:rsidRPr="006151DA">
        <w:rPr>
          <w:rFonts w:ascii="Times New Roman" w:hAnsi="Times New Roman" w:cs="Times New Roman"/>
          <w:sz w:val="24"/>
          <w:szCs w:val="24"/>
          <w:lang w:val="es-AR"/>
        </w:rPr>
        <w:t>Ley Orgánica de Procesos Electorales</w:t>
      </w:r>
      <w:r w:rsidR="006151DA">
        <w:rPr>
          <w:rStyle w:val="Refdenotaalpie"/>
          <w:rFonts w:ascii="Times New Roman" w:hAnsi="Times New Roman" w:cs="Times New Roman"/>
          <w:sz w:val="24"/>
          <w:szCs w:val="24"/>
          <w:lang w:val="es-AR"/>
        </w:rPr>
        <w:footnoteReference w:id="10"/>
      </w:r>
      <w:r w:rsidRPr="004B2679">
        <w:rPr>
          <w:rFonts w:ascii="Times New Roman" w:hAnsi="Times New Roman" w:cs="Times New Roman"/>
          <w:sz w:val="24"/>
          <w:szCs w:val="24"/>
          <w:lang w:val="es-AR"/>
        </w:rPr>
        <w:t xml:space="preserve"> (en adelante LOPRE). En su </w:t>
      </w:r>
      <w:r w:rsidRPr="006151DA">
        <w:rPr>
          <w:rFonts w:ascii="Times New Roman" w:hAnsi="Times New Roman" w:cs="Times New Roman"/>
          <w:sz w:val="24"/>
          <w:szCs w:val="24"/>
          <w:lang w:val="es-AR"/>
        </w:rPr>
        <w:t>artículo 29</w:t>
      </w:r>
      <w:r w:rsidRPr="004B2679">
        <w:rPr>
          <w:rFonts w:ascii="Times New Roman" w:hAnsi="Times New Roman" w:cs="Times New Roman"/>
          <w:sz w:val="24"/>
          <w:szCs w:val="24"/>
          <w:lang w:val="es-AR"/>
        </w:rPr>
        <w:t xml:space="preserve">, la LOPRE establece que “A </w:t>
      </w:r>
      <w:r w:rsidRPr="004B2679">
        <w:rPr>
          <w:rFonts w:ascii="Times New Roman" w:eastAsia="Times New Roman" w:hAnsi="Times New Roman" w:cs="Times New Roman"/>
          <w:kern w:val="0"/>
          <w:sz w:val="24"/>
          <w:szCs w:val="24"/>
          <w:lang w:val="es-CO" w:eastAsia="es-CO"/>
          <w14:ligatures w14:val="none"/>
        </w:rPr>
        <w:t>efectos de la inscripción en el Registro Electoral, el único documento requerido y válido es la cédula de identidad”.</w:t>
      </w:r>
      <w:r w:rsidRPr="004B2679">
        <w:rPr>
          <w:rFonts w:ascii="Times New Roman" w:hAnsi="Times New Roman" w:cs="Times New Roman"/>
          <w:sz w:val="24"/>
          <w:szCs w:val="24"/>
          <w:lang w:val="es-CO"/>
        </w:rPr>
        <w:t xml:space="preserve"> </w:t>
      </w:r>
      <w:r w:rsidRPr="004B2679">
        <w:rPr>
          <w:rFonts w:ascii="Times New Roman" w:eastAsia="Times New Roman" w:hAnsi="Times New Roman" w:cs="Times New Roman"/>
          <w:kern w:val="0"/>
          <w:sz w:val="24"/>
          <w:szCs w:val="24"/>
          <w:lang w:val="es-CO" w:eastAsia="es-CO"/>
          <w14:ligatures w14:val="none"/>
        </w:rPr>
        <w:t xml:space="preserve">No obstante, el </w:t>
      </w:r>
      <w:r w:rsidRPr="006151DA">
        <w:rPr>
          <w:rFonts w:ascii="Times New Roman" w:eastAsia="Times New Roman" w:hAnsi="Times New Roman" w:cs="Times New Roman"/>
          <w:kern w:val="0"/>
          <w:sz w:val="24"/>
          <w:szCs w:val="24"/>
          <w:lang w:val="es-CO" w:eastAsia="es-CO"/>
          <w14:ligatures w14:val="none"/>
        </w:rPr>
        <w:t>artículo 124</w:t>
      </w:r>
      <w:r w:rsidRPr="004B2679">
        <w:rPr>
          <w:rFonts w:ascii="Times New Roman" w:eastAsia="Times New Roman" w:hAnsi="Times New Roman" w:cs="Times New Roman"/>
          <w:kern w:val="0"/>
          <w:sz w:val="24"/>
          <w:szCs w:val="24"/>
          <w:lang w:val="es-CO" w:eastAsia="es-CO"/>
          <w14:ligatures w14:val="none"/>
        </w:rPr>
        <w:t xml:space="preserve"> de la LOPRE regula el voto en el exterior en los siguientes términos: “</w:t>
      </w:r>
      <w:r w:rsidRPr="006151DA">
        <w:rPr>
          <w:rFonts w:ascii="Times New Roman" w:eastAsia="Times New Roman" w:hAnsi="Times New Roman" w:cs="Times New Roman"/>
          <w:i/>
          <w:iCs/>
          <w:kern w:val="0"/>
          <w:sz w:val="24"/>
          <w:szCs w:val="24"/>
          <w:lang w:val="es-CO" w:eastAsia="es-CO"/>
          <w14:ligatures w14:val="none"/>
        </w:rPr>
        <w:t xml:space="preserve">Sólo podrán sufragar en el exterior los electores y las electoras que posean residencia o cualquier otro régimen </w:t>
      </w:r>
      <w:r w:rsidRPr="006151DA">
        <w:rPr>
          <w:rFonts w:ascii="Times New Roman" w:eastAsia="Times New Roman" w:hAnsi="Times New Roman" w:cs="Times New Roman"/>
          <w:i/>
          <w:iCs/>
          <w:kern w:val="0"/>
          <w:sz w:val="24"/>
          <w:szCs w:val="24"/>
          <w:u w:val="single"/>
          <w:lang w:val="es-CO" w:eastAsia="es-CO"/>
          <w14:ligatures w14:val="none"/>
        </w:rPr>
        <w:t>que denote legalidad de permanencia fuera de Venezuela</w:t>
      </w:r>
      <w:r w:rsidRPr="004B2679">
        <w:rPr>
          <w:rFonts w:ascii="Times New Roman" w:eastAsia="Times New Roman" w:hAnsi="Times New Roman" w:cs="Times New Roman"/>
          <w:kern w:val="0"/>
          <w:sz w:val="24"/>
          <w:szCs w:val="24"/>
          <w:lang w:val="es-CO" w:eastAsia="es-CO"/>
          <w14:ligatures w14:val="none"/>
        </w:rPr>
        <w:t xml:space="preserve">” (subrayado añadido). De esta manera, se establece una condición discriminatoria </w:t>
      </w:r>
      <w:r w:rsidRPr="004B2679">
        <w:rPr>
          <w:rFonts w:ascii="Times New Roman" w:hAnsi="Times New Roman" w:cs="Times New Roman"/>
          <w:sz w:val="24"/>
          <w:szCs w:val="24"/>
          <w:lang w:val="es-AR"/>
        </w:rPr>
        <w:t>en la medida en que se subordina el ejercicio de un derecho político fundamental al estatus migratorio de la persona.</w:t>
      </w:r>
    </w:p>
    <w:p w14:paraId="36C3040B" w14:textId="0B925A76" w:rsidR="00562B81" w:rsidRPr="004B2679" w:rsidRDefault="00562B81" w:rsidP="006F09E4">
      <w:pPr>
        <w:pStyle w:val="Prrafodelista"/>
        <w:numPr>
          <w:ilvl w:val="0"/>
          <w:numId w:val="4"/>
        </w:numPr>
        <w:spacing w:before="120" w:after="120" w:line="276" w:lineRule="auto"/>
        <w:ind w:left="-142" w:firstLine="142"/>
        <w:contextualSpacing w:val="0"/>
        <w:jc w:val="both"/>
        <w:rPr>
          <w:rFonts w:ascii="Times New Roman" w:hAnsi="Times New Roman" w:cs="Times New Roman"/>
          <w:spacing w:val="-4"/>
          <w:sz w:val="24"/>
          <w:szCs w:val="24"/>
        </w:rPr>
      </w:pPr>
      <w:r w:rsidRPr="004B2679">
        <w:rPr>
          <w:rFonts w:ascii="Times New Roman" w:eastAsia="Times New Roman" w:hAnsi="Times New Roman" w:cs="Times New Roman"/>
          <w:kern w:val="0"/>
          <w:sz w:val="24"/>
          <w:szCs w:val="24"/>
          <w:lang w:val="es-CO" w:eastAsia="es-CO"/>
          <w14:ligatures w14:val="none"/>
        </w:rPr>
        <w:t>Los requisitos solicitados se basaron en la primera parte del artículo 124: “</w:t>
      </w:r>
      <w:r w:rsidRPr="000C0882">
        <w:rPr>
          <w:rFonts w:ascii="Times New Roman" w:eastAsia="Times New Roman" w:hAnsi="Times New Roman" w:cs="Times New Roman"/>
          <w:i/>
          <w:iCs/>
          <w:kern w:val="0"/>
          <w:sz w:val="24"/>
          <w:szCs w:val="24"/>
          <w:lang w:val="es-CO" w:eastAsia="es-CO"/>
          <w14:ligatures w14:val="none"/>
        </w:rPr>
        <w:t>Sólo podrán sufragar en el exterior los electores y las electoras que posean residencia</w:t>
      </w:r>
      <w:r w:rsidRPr="004B2679">
        <w:rPr>
          <w:rFonts w:ascii="Times New Roman" w:eastAsia="Times New Roman" w:hAnsi="Times New Roman" w:cs="Times New Roman"/>
          <w:kern w:val="0"/>
          <w:sz w:val="24"/>
          <w:szCs w:val="24"/>
          <w:lang w:val="es-CO" w:eastAsia="es-CO"/>
          <w14:ligatures w14:val="none"/>
        </w:rPr>
        <w:t xml:space="preserve">”, </w:t>
      </w:r>
      <w:r w:rsidRPr="004B2679">
        <w:rPr>
          <w:rFonts w:ascii="Times New Roman" w:hAnsi="Times New Roman" w:cs="Times New Roman"/>
          <w:sz w:val="24"/>
          <w:szCs w:val="24"/>
        </w:rPr>
        <w:t>por lo que se exige la presentación del pasaporte vigente y una visa de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residente. Adicionalmente se filtra más el universo de venezolanos votantes al omitirse la</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segunda</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parte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del</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artículo</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que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se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refiere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w:t>
      </w:r>
      <w:r w:rsidRPr="004B2679">
        <w:rPr>
          <w:rFonts w:ascii="Times New Roman" w:hAnsi="Times New Roman" w:cs="Times New Roman"/>
          <w:i/>
          <w:sz w:val="24"/>
          <w:szCs w:val="24"/>
        </w:rPr>
        <w:t>a</w:t>
      </w:r>
      <w:r w:rsidRPr="004B2679">
        <w:rPr>
          <w:rFonts w:ascii="Times New Roman" w:hAnsi="Times New Roman" w:cs="Times New Roman"/>
          <w:i/>
          <w:spacing w:val="1"/>
          <w:sz w:val="24"/>
          <w:szCs w:val="24"/>
        </w:rPr>
        <w:t xml:space="preserve"> </w:t>
      </w:r>
      <w:r w:rsidRPr="004B2679">
        <w:rPr>
          <w:rFonts w:ascii="Times New Roman" w:hAnsi="Times New Roman" w:cs="Times New Roman"/>
          <w:i/>
          <w:sz w:val="24"/>
          <w:szCs w:val="24"/>
        </w:rPr>
        <w:t>otro</w:t>
      </w:r>
      <w:r w:rsidRPr="004B2679">
        <w:rPr>
          <w:rFonts w:ascii="Times New Roman" w:hAnsi="Times New Roman" w:cs="Times New Roman"/>
          <w:i/>
          <w:spacing w:val="1"/>
          <w:sz w:val="24"/>
          <w:szCs w:val="24"/>
        </w:rPr>
        <w:t xml:space="preserve"> </w:t>
      </w:r>
      <w:r w:rsidRPr="004B2679">
        <w:rPr>
          <w:rFonts w:ascii="Times New Roman" w:hAnsi="Times New Roman" w:cs="Times New Roman"/>
          <w:i/>
          <w:sz w:val="24"/>
          <w:szCs w:val="24"/>
        </w:rPr>
        <w:t>régimen</w:t>
      </w:r>
      <w:r w:rsidRPr="004B2679">
        <w:rPr>
          <w:rFonts w:ascii="Times New Roman" w:hAnsi="Times New Roman" w:cs="Times New Roman"/>
          <w:i/>
          <w:spacing w:val="1"/>
          <w:sz w:val="24"/>
          <w:szCs w:val="24"/>
        </w:rPr>
        <w:t xml:space="preserve"> </w:t>
      </w:r>
      <w:r w:rsidRPr="004B2679">
        <w:rPr>
          <w:rFonts w:ascii="Times New Roman" w:hAnsi="Times New Roman" w:cs="Times New Roman"/>
          <w:i/>
          <w:sz w:val="24"/>
          <w:szCs w:val="24"/>
        </w:rPr>
        <w:t>que denote legalidad de</w:t>
      </w:r>
      <w:r w:rsidRPr="004B2679">
        <w:rPr>
          <w:rFonts w:ascii="Times New Roman" w:hAnsi="Times New Roman" w:cs="Times New Roman"/>
          <w:i/>
          <w:spacing w:val="1"/>
          <w:sz w:val="24"/>
          <w:szCs w:val="24"/>
        </w:rPr>
        <w:t xml:space="preserve"> </w:t>
      </w:r>
      <w:r w:rsidRPr="004B2679">
        <w:rPr>
          <w:rFonts w:ascii="Times New Roman" w:hAnsi="Times New Roman" w:cs="Times New Roman"/>
          <w:i/>
          <w:sz w:val="24"/>
          <w:szCs w:val="24"/>
        </w:rPr>
        <w:t>permanencia</w:t>
      </w:r>
      <w:r w:rsidRPr="004B2679">
        <w:rPr>
          <w:rFonts w:ascii="Times New Roman" w:hAnsi="Times New Roman" w:cs="Times New Roman"/>
          <w:i/>
          <w:spacing w:val="5"/>
          <w:sz w:val="24"/>
          <w:szCs w:val="24"/>
        </w:rPr>
        <w:t xml:space="preserve"> </w:t>
      </w:r>
      <w:r w:rsidRPr="004B2679">
        <w:rPr>
          <w:rFonts w:ascii="Times New Roman" w:hAnsi="Times New Roman" w:cs="Times New Roman"/>
          <w:i/>
          <w:sz w:val="24"/>
          <w:szCs w:val="24"/>
        </w:rPr>
        <w:t>fuera</w:t>
      </w:r>
      <w:r w:rsidRPr="004B2679">
        <w:rPr>
          <w:rFonts w:ascii="Times New Roman" w:hAnsi="Times New Roman" w:cs="Times New Roman"/>
          <w:i/>
          <w:spacing w:val="5"/>
          <w:sz w:val="24"/>
          <w:szCs w:val="24"/>
        </w:rPr>
        <w:t xml:space="preserve"> </w:t>
      </w:r>
      <w:r w:rsidRPr="004B2679">
        <w:rPr>
          <w:rFonts w:ascii="Times New Roman" w:hAnsi="Times New Roman" w:cs="Times New Roman"/>
          <w:i/>
          <w:sz w:val="24"/>
          <w:szCs w:val="24"/>
        </w:rPr>
        <w:t>de</w:t>
      </w:r>
      <w:r w:rsidRPr="004B2679">
        <w:rPr>
          <w:rFonts w:ascii="Times New Roman" w:hAnsi="Times New Roman" w:cs="Times New Roman"/>
          <w:i/>
          <w:spacing w:val="-8"/>
          <w:sz w:val="24"/>
          <w:szCs w:val="24"/>
        </w:rPr>
        <w:t xml:space="preserve"> </w:t>
      </w:r>
      <w:r w:rsidRPr="004B2679">
        <w:rPr>
          <w:rFonts w:ascii="Times New Roman" w:hAnsi="Times New Roman" w:cs="Times New Roman"/>
          <w:i/>
          <w:sz w:val="24"/>
          <w:szCs w:val="24"/>
        </w:rPr>
        <w:t>Venezuela</w:t>
      </w:r>
      <w:r w:rsidRPr="004B2679">
        <w:rPr>
          <w:rFonts w:ascii="Times New Roman" w:hAnsi="Times New Roman" w:cs="Times New Roman"/>
          <w:sz w:val="24"/>
          <w:szCs w:val="24"/>
        </w:rPr>
        <w:t>”.</w:t>
      </w:r>
      <w:r w:rsidRPr="004B2679">
        <w:rPr>
          <w:rFonts w:ascii="Times New Roman" w:hAnsi="Times New Roman" w:cs="Times New Roman"/>
          <w:spacing w:val="-8"/>
          <w:sz w:val="24"/>
          <w:szCs w:val="24"/>
        </w:rPr>
        <w:t xml:space="preserve"> </w:t>
      </w:r>
      <w:r w:rsidRPr="004B2679">
        <w:rPr>
          <w:rFonts w:ascii="Times New Roman" w:hAnsi="Times New Roman" w:cs="Times New Roman"/>
          <w:sz w:val="24"/>
          <w:szCs w:val="24"/>
        </w:rPr>
        <w:t>Es</w:t>
      </w:r>
      <w:r w:rsidRPr="004B2679">
        <w:rPr>
          <w:rFonts w:ascii="Times New Roman" w:hAnsi="Times New Roman" w:cs="Times New Roman"/>
          <w:spacing w:val="-7"/>
          <w:sz w:val="24"/>
          <w:szCs w:val="24"/>
        </w:rPr>
        <w:t xml:space="preserve"> </w:t>
      </w:r>
      <w:r w:rsidRPr="004B2679">
        <w:rPr>
          <w:rFonts w:ascii="Times New Roman" w:hAnsi="Times New Roman" w:cs="Times New Roman"/>
          <w:sz w:val="24"/>
          <w:szCs w:val="24"/>
        </w:rPr>
        <w:t>decir,</w:t>
      </w:r>
      <w:r w:rsidRPr="004B2679">
        <w:rPr>
          <w:rFonts w:ascii="Times New Roman" w:hAnsi="Times New Roman" w:cs="Times New Roman"/>
          <w:spacing w:val="-8"/>
          <w:sz w:val="24"/>
          <w:szCs w:val="24"/>
        </w:rPr>
        <w:t xml:space="preserve"> </w:t>
      </w:r>
      <w:r w:rsidRPr="006F09E4">
        <w:rPr>
          <w:rFonts w:ascii="Times New Roman" w:hAnsi="Times New Roman" w:cs="Times New Roman"/>
          <w:sz w:val="24"/>
          <w:szCs w:val="24"/>
        </w:rPr>
        <w:t>Venezuela</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violó</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su</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propia</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norma</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(artículo</w:t>
      </w:r>
      <w:r w:rsidRPr="006F09E4">
        <w:rPr>
          <w:rFonts w:ascii="Times New Roman" w:hAnsi="Times New Roman" w:cs="Times New Roman"/>
          <w:spacing w:val="-8"/>
          <w:sz w:val="24"/>
          <w:szCs w:val="24"/>
        </w:rPr>
        <w:t xml:space="preserve"> </w:t>
      </w:r>
      <w:r w:rsidRPr="006F09E4">
        <w:rPr>
          <w:rFonts w:ascii="Times New Roman" w:hAnsi="Times New Roman" w:cs="Times New Roman"/>
          <w:sz w:val="24"/>
          <w:szCs w:val="24"/>
        </w:rPr>
        <w:t>124</w:t>
      </w:r>
      <w:r w:rsidRPr="006F09E4">
        <w:rPr>
          <w:rFonts w:ascii="Times New Roman" w:hAnsi="Times New Roman" w:cs="Times New Roman"/>
          <w:spacing w:val="1"/>
          <w:sz w:val="24"/>
          <w:szCs w:val="24"/>
        </w:rPr>
        <w:t xml:space="preserve"> </w:t>
      </w:r>
      <w:r w:rsidRPr="006F09E4">
        <w:rPr>
          <w:rFonts w:ascii="Times New Roman" w:hAnsi="Times New Roman" w:cs="Times New Roman"/>
          <w:sz w:val="24"/>
          <w:szCs w:val="24"/>
        </w:rPr>
        <w:t>de</w:t>
      </w:r>
      <w:r w:rsidRPr="006F09E4">
        <w:rPr>
          <w:rFonts w:ascii="Times New Roman" w:hAnsi="Times New Roman" w:cs="Times New Roman"/>
          <w:spacing w:val="9"/>
          <w:sz w:val="24"/>
          <w:szCs w:val="24"/>
        </w:rPr>
        <w:t xml:space="preserve"> </w:t>
      </w:r>
      <w:r w:rsidRPr="006F09E4">
        <w:rPr>
          <w:rFonts w:ascii="Times New Roman" w:hAnsi="Times New Roman" w:cs="Times New Roman"/>
          <w:sz w:val="24"/>
          <w:szCs w:val="24"/>
        </w:rPr>
        <w:t>la</w:t>
      </w:r>
      <w:r w:rsidRPr="006F09E4">
        <w:rPr>
          <w:rFonts w:ascii="Times New Roman" w:hAnsi="Times New Roman" w:cs="Times New Roman"/>
          <w:spacing w:val="10"/>
          <w:sz w:val="24"/>
          <w:szCs w:val="24"/>
        </w:rPr>
        <w:t xml:space="preserve"> </w:t>
      </w:r>
      <w:r w:rsidRPr="006F09E4">
        <w:rPr>
          <w:rFonts w:ascii="Times New Roman" w:hAnsi="Times New Roman" w:cs="Times New Roman"/>
          <w:sz w:val="24"/>
          <w:szCs w:val="24"/>
        </w:rPr>
        <w:t>LOPRE)</w:t>
      </w:r>
      <w:r w:rsidRPr="006F09E4">
        <w:rPr>
          <w:rFonts w:ascii="Times New Roman" w:hAnsi="Times New Roman" w:cs="Times New Roman"/>
          <w:spacing w:val="10"/>
          <w:sz w:val="24"/>
          <w:szCs w:val="24"/>
        </w:rPr>
        <w:t xml:space="preserve"> </w:t>
      </w:r>
      <w:r w:rsidRPr="006F09E4">
        <w:rPr>
          <w:rFonts w:ascii="Times New Roman" w:hAnsi="Times New Roman" w:cs="Times New Roman"/>
          <w:sz w:val="24"/>
          <w:szCs w:val="24"/>
        </w:rPr>
        <w:t>-de</w:t>
      </w:r>
      <w:r w:rsidRPr="006F09E4">
        <w:rPr>
          <w:rFonts w:ascii="Times New Roman" w:hAnsi="Times New Roman" w:cs="Times New Roman"/>
          <w:spacing w:val="9"/>
          <w:sz w:val="24"/>
          <w:szCs w:val="24"/>
        </w:rPr>
        <w:t xml:space="preserve"> </w:t>
      </w:r>
      <w:r w:rsidRPr="006F09E4">
        <w:rPr>
          <w:rFonts w:ascii="Times New Roman" w:hAnsi="Times New Roman" w:cs="Times New Roman"/>
          <w:sz w:val="24"/>
          <w:szCs w:val="24"/>
        </w:rPr>
        <w:t>por</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sí</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inconstitucional</w:t>
      </w:r>
      <w:r w:rsidRPr="006F09E4">
        <w:rPr>
          <w:rFonts w:ascii="Times New Roman" w:hAnsi="Times New Roman" w:cs="Times New Roman"/>
          <w:spacing w:val="-5"/>
          <w:sz w:val="24"/>
          <w:szCs w:val="24"/>
        </w:rPr>
        <w:t xml:space="preserve"> </w:t>
      </w:r>
      <w:r w:rsidRPr="006F09E4">
        <w:rPr>
          <w:rFonts w:ascii="Times New Roman" w:hAnsi="Times New Roman" w:cs="Times New Roman"/>
          <w:sz w:val="24"/>
          <w:szCs w:val="24"/>
        </w:rPr>
        <w:t>y</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contraria</w:t>
      </w:r>
      <w:r w:rsidRPr="006F09E4">
        <w:rPr>
          <w:rFonts w:ascii="Times New Roman" w:hAnsi="Times New Roman" w:cs="Times New Roman"/>
          <w:spacing w:val="-5"/>
          <w:sz w:val="24"/>
          <w:szCs w:val="24"/>
        </w:rPr>
        <w:t xml:space="preserve"> </w:t>
      </w:r>
      <w:r w:rsidRPr="006F09E4">
        <w:rPr>
          <w:rFonts w:ascii="Times New Roman" w:hAnsi="Times New Roman" w:cs="Times New Roman"/>
          <w:sz w:val="24"/>
          <w:szCs w:val="24"/>
        </w:rPr>
        <w:t>a</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los</w:t>
      </w:r>
      <w:r w:rsidRPr="006F09E4">
        <w:rPr>
          <w:rFonts w:ascii="Times New Roman" w:hAnsi="Times New Roman" w:cs="Times New Roman"/>
          <w:spacing w:val="-5"/>
          <w:sz w:val="24"/>
          <w:szCs w:val="24"/>
        </w:rPr>
        <w:t xml:space="preserve"> </w:t>
      </w:r>
      <w:r w:rsidRPr="006F09E4">
        <w:rPr>
          <w:rFonts w:ascii="Times New Roman" w:hAnsi="Times New Roman" w:cs="Times New Roman"/>
          <w:sz w:val="24"/>
          <w:szCs w:val="24"/>
        </w:rPr>
        <w:lastRenderedPageBreak/>
        <w:t>derechos</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humanos-</w:t>
      </w:r>
      <w:r w:rsidRPr="006F09E4">
        <w:rPr>
          <w:rFonts w:ascii="Times New Roman" w:hAnsi="Times New Roman" w:cs="Times New Roman"/>
          <w:spacing w:val="-4"/>
          <w:sz w:val="24"/>
          <w:szCs w:val="24"/>
        </w:rPr>
        <w:t xml:space="preserve"> </w:t>
      </w:r>
      <w:r w:rsidRPr="006F09E4">
        <w:rPr>
          <w:rFonts w:ascii="Times New Roman" w:hAnsi="Times New Roman" w:cs="Times New Roman"/>
          <w:sz w:val="24"/>
          <w:szCs w:val="24"/>
        </w:rPr>
        <w:t>al</w:t>
      </w:r>
      <w:r w:rsidRPr="006F09E4">
        <w:rPr>
          <w:rFonts w:ascii="Times New Roman" w:hAnsi="Times New Roman" w:cs="Times New Roman"/>
          <w:spacing w:val="-5"/>
          <w:sz w:val="24"/>
          <w:szCs w:val="24"/>
        </w:rPr>
        <w:t xml:space="preserve"> </w:t>
      </w:r>
      <w:r w:rsidRPr="006F09E4">
        <w:rPr>
          <w:rFonts w:ascii="Times New Roman" w:hAnsi="Times New Roman" w:cs="Times New Roman"/>
          <w:sz w:val="24"/>
          <w:szCs w:val="24"/>
        </w:rPr>
        <w:t>aplicar</w:t>
      </w:r>
      <w:r w:rsidRPr="006F09E4">
        <w:rPr>
          <w:rFonts w:ascii="Times New Roman" w:hAnsi="Times New Roman" w:cs="Times New Roman"/>
          <w:spacing w:val="-4"/>
          <w:sz w:val="24"/>
          <w:szCs w:val="24"/>
        </w:rPr>
        <w:t xml:space="preserve"> un </w:t>
      </w:r>
      <w:r w:rsidRPr="006F09E4">
        <w:rPr>
          <w:rFonts w:ascii="Times New Roman" w:hAnsi="Times New Roman" w:cs="Times New Roman"/>
          <w:sz w:val="24"/>
          <w:szCs w:val="24"/>
        </w:rPr>
        <w:t>instructivo que sólo reconoce e implementa la primera parte de la norma electoral citada.</w:t>
      </w:r>
      <w:r w:rsidRPr="006F09E4">
        <w:rPr>
          <w:rFonts w:ascii="Times New Roman" w:hAnsi="Times New Roman" w:cs="Times New Roman"/>
          <w:spacing w:val="1"/>
          <w:sz w:val="24"/>
          <w:szCs w:val="24"/>
        </w:rPr>
        <w:t xml:space="preserve"> </w:t>
      </w:r>
      <w:r w:rsidRPr="006F09E4">
        <w:rPr>
          <w:rFonts w:ascii="Times New Roman" w:hAnsi="Times New Roman" w:cs="Times New Roman"/>
          <w:sz w:val="24"/>
          <w:szCs w:val="24"/>
        </w:rPr>
        <w:t>El efecto logrado fue la</w:t>
      </w:r>
      <w:r w:rsidRPr="004B2679">
        <w:rPr>
          <w:rFonts w:ascii="Times New Roman" w:hAnsi="Times New Roman" w:cs="Times New Roman"/>
          <w:sz w:val="24"/>
          <w:szCs w:val="24"/>
        </w:rPr>
        <w:t xml:space="preserve"> exclusión de todas las personas que no tenían “visa de residente”,</w:t>
      </w:r>
      <w:r w:rsidRPr="004B2679">
        <w:rPr>
          <w:rFonts w:ascii="Times New Roman" w:hAnsi="Times New Roman" w:cs="Times New Roman"/>
          <w:spacing w:val="1"/>
          <w:sz w:val="24"/>
          <w:szCs w:val="24"/>
        </w:rPr>
        <w:t xml:space="preserve"> </w:t>
      </w:r>
      <w:r w:rsidRPr="004B2679">
        <w:rPr>
          <w:rFonts w:ascii="Times New Roman" w:hAnsi="Times New Roman" w:cs="Times New Roman"/>
          <w:sz w:val="24"/>
          <w:szCs w:val="24"/>
        </w:rPr>
        <w:t>a</w:t>
      </w:r>
      <w:r w:rsidRPr="004B2679">
        <w:rPr>
          <w:rFonts w:ascii="Times New Roman" w:hAnsi="Times New Roman" w:cs="Times New Roman"/>
          <w:spacing w:val="-5"/>
          <w:sz w:val="24"/>
          <w:szCs w:val="24"/>
        </w:rPr>
        <w:t xml:space="preserve"> </w:t>
      </w:r>
      <w:r w:rsidRPr="004B2679">
        <w:rPr>
          <w:rFonts w:ascii="Times New Roman" w:hAnsi="Times New Roman" w:cs="Times New Roman"/>
          <w:sz w:val="24"/>
          <w:szCs w:val="24"/>
        </w:rPr>
        <w:t>pesar</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de</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vivir</w:t>
      </w:r>
      <w:r w:rsidRPr="004B2679">
        <w:rPr>
          <w:rFonts w:ascii="Times New Roman" w:hAnsi="Times New Roman" w:cs="Times New Roman"/>
          <w:spacing w:val="-5"/>
          <w:sz w:val="24"/>
          <w:szCs w:val="24"/>
        </w:rPr>
        <w:t xml:space="preserve"> </w:t>
      </w:r>
      <w:r w:rsidRPr="004B2679">
        <w:rPr>
          <w:rFonts w:ascii="Times New Roman" w:hAnsi="Times New Roman" w:cs="Times New Roman"/>
          <w:sz w:val="24"/>
          <w:szCs w:val="24"/>
        </w:rPr>
        <w:t>por</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años,</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incluso</w:t>
      </w:r>
      <w:r w:rsidRPr="004B2679">
        <w:rPr>
          <w:rFonts w:ascii="Times New Roman" w:hAnsi="Times New Roman" w:cs="Times New Roman"/>
          <w:spacing w:val="-5"/>
          <w:sz w:val="24"/>
          <w:szCs w:val="24"/>
        </w:rPr>
        <w:t xml:space="preserve"> </w:t>
      </w:r>
      <w:r w:rsidRPr="004B2679">
        <w:rPr>
          <w:rFonts w:ascii="Times New Roman" w:hAnsi="Times New Roman" w:cs="Times New Roman"/>
          <w:sz w:val="24"/>
          <w:szCs w:val="24"/>
        </w:rPr>
        <w:t>de</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manera</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regular,</w:t>
      </w:r>
      <w:r w:rsidRPr="004B2679">
        <w:rPr>
          <w:rFonts w:ascii="Times New Roman" w:hAnsi="Times New Roman" w:cs="Times New Roman"/>
          <w:spacing w:val="-5"/>
          <w:sz w:val="24"/>
          <w:szCs w:val="24"/>
        </w:rPr>
        <w:t xml:space="preserve"> </w:t>
      </w:r>
      <w:r w:rsidRPr="004B2679">
        <w:rPr>
          <w:rFonts w:ascii="Times New Roman" w:hAnsi="Times New Roman" w:cs="Times New Roman"/>
          <w:sz w:val="24"/>
          <w:szCs w:val="24"/>
        </w:rPr>
        <w:t>en</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cualquier</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país</w:t>
      </w:r>
      <w:r w:rsidRPr="004B2679">
        <w:rPr>
          <w:rFonts w:ascii="Times New Roman" w:hAnsi="Times New Roman" w:cs="Times New Roman"/>
          <w:spacing w:val="-5"/>
          <w:sz w:val="24"/>
          <w:szCs w:val="24"/>
        </w:rPr>
        <w:t xml:space="preserve"> </w:t>
      </w:r>
      <w:r w:rsidRPr="004B2679">
        <w:rPr>
          <w:rFonts w:ascii="Times New Roman" w:hAnsi="Times New Roman" w:cs="Times New Roman"/>
          <w:sz w:val="24"/>
          <w:szCs w:val="24"/>
        </w:rPr>
        <w:t>del</w:t>
      </w:r>
      <w:r w:rsidRPr="004B2679">
        <w:rPr>
          <w:rFonts w:ascii="Times New Roman" w:hAnsi="Times New Roman" w:cs="Times New Roman"/>
          <w:spacing w:val="-4"/>
          <w:sz w:val="24"/>
          <w:szCs w:val="24"/>
        </w:rPr>
        <w:t xml:space="preserve"> </w:t>
      </w:r>
      <w:r w:rsidRPr="004B2679">
        <w:rPr>
          <w:rFonts w:ascii="Times New Roman" w:hAnsi="Times New Roman" w:cs="Times New Roman"/>
          <w:sz w:val="24"/>
          <w:szCs w:val="24"/>
        </w:rPr>
        <w:t>exterior.</w:t>
      </w:r>
      <w:r w:rsidR="00476A3F" w:rsidRPr="004B2679">
        <w:rPr>
          <w:rFonts w:ascii="Times New Roman" w:hAnsi="Times New Roman" w:cs="Times New Roman"/>
          <w:sz w:val="24"/>
          <w:szCs w:val="24"/>
        </w:rPr>
        <w:t xml:space="preserve"> De esta manera, la población que pudo </w:t>
      </w:r>
      <w:r w:rsidR="004B3317" w:rsidRPr="004B2679">
        <w:rPr>
          <w:rFonts w:ascii="Times New Roman" w:hAnsi="Times New Roman" w:cs="Times New Roman"/>
          <w:sz w:val="24"/>
          <w:szCs w:val="24"/>
        </w:rPr>
        <w:t>inscribirse o actualizar datos en el RE es inferior al 1% de los electores aptos para votar en el exterior</w:t>
      </w:r>
      <w:r w:rsidR="00F71A3D">
        <w:rPr>
          <w:rFonts w:ascii="Times New Roman" w:hAnsi="Times New Roman" w:cs="Times New Roman"/>
          <w:sz w:val="24"/>
          <w:szCs w:val="24"/>
        </w:rPr>
        <w:t>.</w:t>
      </w:r>
      <w:r w:rsidR="000B0635">
        <w:rPr>
          <w:rFonts w:ascii="Times New Roman" w:hAnsi="Times New Roman" w:cs="Times New Roman"/>
          <w:sz w:val="24"/>
          <w:szCs w:val="24"/>
        </w:rPr>
        <w:t xml:space="preserve"> Esta situación fue denunciada públicamente por la Comisión Interamericana de Derechos Humanos, a través de Comunicado de Prensa del 18 de junio de 2024.</w:t>
      </w:r>
      <w:r w:rsidR="000B0635">
        <w:rPr>
          <w:rStyle w:val="Refdenotaalpie"/>
          <w:rFonts w:ascii="Times New Roman" w:hAnsi="Times New Roman" w:cs="Times New Roman"/>
          <w:sz w:val="24"/>
          <w:szCs w:val="24"/>
        </w:rPr>
        <w:footnoteReference w:id="11"/>
      </w:r>
    </w:p>
    <w:p w14:paraId="762554F3" w14:textId="68BCBAF7" w:rsidR="00C04C45" w:rsidRPr="004B2679" w:rsidRDefault="00C04C45" w:rsidP="004B2679">
      <w:pPr>
        <w:spacing w:before="120" w:after="120" w:line="276" w:lineRule="auto"/>
        <w:jc w:val="both"/>
        <w:rPr>
          <w:rFonts w:ascii="Times New Roman" w:hAnsi="Times New Roman" w:cs="Times New Roman"/>
          <w:i/>
          <w:iCs/>
          <w:spacing w:val="-4"/>
          <w:sz w:val="24"/>
          <w:szCs w:val="24"/>
        </w:rPr>
      </w:pPr>
      <w:r w:rsidRPr="004B2679">
        <w:rPr>
          <w:rFonts w:ascii="Times New Roman" w:hAnsi="Times New Roman" w:cs="Times New Roman"/>
          <w:i/>
          <w:iCs/>
          <w:spacing w:val="-4"/>
          <w:sz w:val="24"/>
          <w:szCs w:val="24"/>
        </w:rPr>
        <w:t>Derechos políticos de los pueblos indígenas</w:t>
      </w:r>
    </w:p>
    <w:p w14:paraId="3A36FE4B" w14:textId="77777777" w:rsidR="00052C63" w:rsidRPr="00052C63" w:rsidRDefault="00D66BEA" w:rsidP="00052C63">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4B2679">
        <w:rPr>
          <w:rFonts w:ascii="Times New Roman" w:hAnsi="Times New Roman" w:cs="Times New Roman"/>
          <w:sz w:val="24"/>
          <w:szCs w:val="24"/>
          <w:lang w:val="es-CO"/>
        </w:rPr>
        <w:t>E</w:t>
      </w:r>
      <w:r w:rsidR="006F09E4">
        <w:rPr>
          <w:rFonts w:ascii="Times New Roman" w:hAnsi="Times New Roman" w:cs="Times New Roman"/>
          <w:sz w:val="24"/>
          <w:szCs w:val="24"/>
          <w:lang w:val="es-CO"/>
        </w:rPr>
        <w:t>l</w:t>
      </w:r>
      <w:r w:rsidRPr="004B2679">
        <w:rPr>
          <w:rFonts w:ascii="Times New Roman" w:hAnsi="Times New Roman" w:cs="Times New Roman"/>
          <w:sz w:val="24"/>
          <w:szCs w:val="24"/>
          <w:lang w:val="es-CO"/>
        </w:rPr>
        <w:t xml:space="preserve"> Estado </w:t>
      </w:r>
      <w:r w:rsidR="00DF39F1" w:rsidRPr="004B2679">
        <w:rPr>
          <w:rFonts w:ascii="Times New Roman" w:hAnsi="Times New Roman" w:cs="Times New Roman"/>
          <w:sz w:val="24"/>
          <w:szCs w:val="24"/>
          <w:lang w:val="es-CO"/>
        </w:rPr>
        <w:t xml:space="preserve">presenta en su informe el </w:t>
      </w:r>
      <w:r w:rsidR="00DF39F1" w:rsidRPr="004B2679">
        <w:rPr>
          <w:rFonts w:ascii="Times New Roman" w:hAnsi="Times New Roman" w:cs="Times New Roman"/>
          <w:sz w:val="24"/>
          <w:szCs w:val="24"/>
        </w:rPr>
        <w:t>“Reglamento Especial que regirá la elección de la Representación Indígena a la Asamblea Nacional 2020</w:t>
      </w:r>
      <w:r w:rsidR="0070021C" w:rsidRPr="004B2679">
        <w:rPr>
          <w:rFonts w:ascii="Times New Roman" w:hAnsi="Times New Roman" w:cs="Times New Roman"/>
          <w:sz w:val="24"/>
          <w:szCs w:val="24"/>
        </w:rPr>
        <w:t>”</w:t>
      </w:r>
      <w:r w:rsidR="00C45FD0" w:rsidRPr="004B2679">
        <w:rPr>
          <w:rStyle w:val="Refdenotaalpie"/>
          <w:rFonts w:ascii="Times New Roman" w:hAnsi="Times New Roman" w:cs="Times New Roman"/>
          <w:sz w:val="24"/>
          <w:szCs w:val="24"/>
        </w:rPr>
        <w:footnoteReference w:id="12"/>
      </w:r>
      <w:r w:rsidR="0070021C" w:rsidRPr="004B2679">
        <w:rPr>
          <w:rFonts w:ascii="Times New Roman" w:hAnsi="Times New Roman" w:cs="Times New Roman"/>
          <w:sz w:val="24"/>
          <w:szCs w:val="24"/>
        </w:rPr>
        <w:t xml:space="preserve"> como una norma favorable a los intereses de los pueblos indígenas de Venezuela. Sin embargo, dicha norma reduce </w:t>
      </w:r>
      <w:r w:rsidR="008A1F1E" w:rsidRPr="004B2679">
        <w:rPr>
          <w:rFonts w:ascii="Times New Roman" w:hAnsi="Times New Roman" w:cs="Times New Roman"/>
          <w:sz w:val="24"/>
          <w:szCs w:val="24"/>
        </w:rPr>
        <w:t>la participación política de los pueblos indígenas a una elección de segundo grado</w:t>
      </w:r>
      <w:r w:rsidR="0045316B" w:rsidRPr="004B2679">
        <w:rPr>
          <w:rFonts w:ascii="Times New Roman" w:hAnsi="Times New Roman" w:cs="Times New Roman"/>
          <w:sz w:val="24"/>
          <w:szCs w:val="24"/>
        </w:rPr>
        <w:t>. Como explicó un experto en el tema: “</w:t>
      </w:r>
      <w:r w:rsidR="0045316B" w:rsidRPr="004B2679">
        <w:rPr>
          <w:rFonts w:ascii="Times New Roman" w:hAnsi="Times New Roman" w:cs="Times New Roman"/>
          <w:color w:val="222222"/>
          <w:sz w:val="24"/>
          <w:szCs w:val="24"/>
          <w:shd w:val="clear" w:color="auto" w:fill="FFFFFF"/>
        </w:rPr>
        <w:t>La elección a mano alzada o de segundo grado para los indígenas contiene dos teorías deslindadas de la realidad y de su propia cosmovisión. En la praxis, una asamblea tradicional en las comunidades originarias es distinta a una elección a cargos políticos o cargos de representación popular”</w:t>
      </w:r>
      <w:r w:rsidR="0045316B" w:rsidRPr="004B2679">
        <w:rPr>
          <w:rStyle w:val="Refdenotaalpie"/>
          <w:rFonts w:ascii="Times New Roman" w:hAnsi="Times New Roman" w:cs="Times New Roman"/>
          <w:color w:val="222222"/>
          <w:sz w:val="24"/>
          <w:szCs w:val="24"/>
          <w:shd w:val="clear" w:color="auto" w:fill="FFFFFF"/>
        </w:rPr>
        <w:footnoteReference w:id="13"/>
      </w:r>
      <w:r w:rsidR="0045316B" w:rsidRPr="004B2679">
        <w:rPr>
          <w:rFonts w:ascii="Times New Roman" w:hAnsi="Times New Roman" w:cs="Times New Roman"/>
          <w:color w:val="222222"/>
          <w:sz w:val="24"/>
          <w:szCs w:val="24"/>
          <w:shd w:val="clear" w:color="auto" w:fill="FFFFFF"/>
        </w:rPr>
        <w:t>.</w:t>
      </w:r>
    </w:p>
    <w:p w14:paraId="6BF410B4" w14:textId="2C3CB749" w:rsidR="0088574A" w:rsidRPr="001F2B2D" w:rsidRDefault="0088574A" w:rsidP="00052C63">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052C63">
        <w:rPr>
          <w:rFonts w:ascii="Times New Roman" w:hAnsi="Times New Roman" w:cs="Times New Roman"/>
          <w:sz w:val="24"/>
          <w:szCs w:val="24"/>
          <w:lang w:val="es-CO"/>
        </w:rPr>
        <w:t xml:space="preserve">Por su parte, </w:t>
      </w:r>
      <w:r w:rsidRPr="00052C63">
        <w:rPr>
          <w:rFonts w:ascii="Times New Roman" w:hAnsi="Times New Roman" w:cs="Times New Roman"/>
          <w:color w:val="222222"/>
          <w:sz w:val="24"/>
          <w:szCs w:val="24"/>
        </w:rPr>
        <w:t>la coordinadora regional de asuntos indígenas del partido Un Nuevo Tiempo en el estado Zulia, rechazó la resolución 0027</w:t>
      </w:r>
      <w:r w:rsidR="00F60EFB" w:rsidRPr="00052C63">
        <w:rPr>
          <w:rFonts w:ascii="Times New Roman" w:hAnsi="Times New Roman" w:cs="Times New Roman"/>
          <w:color w:val="222222"/>
          <w:sz w:val="24"/>
          <w:szCs w:val="24"/>
        </w:rPr>
        <w:t xml:space="preserve">, afirmando: </w:t>
      </w:r>
      <w:r w:rsidRPr="00052C63">
        <w:rPr>
          <w:rFonts w:ascii="Times New Roman" w:hAnsi="Times New Roman" w:cs="Times New Roman"/>
          <w:color w:val="222222"/>
          <w:sz w:val="24"/>
          <w:szCs w:val="24"/>
        </w:rPr>
        <w:t>“</w:t>
      </w:r>
      <w:r w:rsidRPr="006E2426">
        <w:rPr>
          <w:rFonts w:ascii="Times New Roman" w:hAnsi="Times New Roman" w:cs="Times New Roman"/>
          <w:i/>
          <w:iCs/>
          <w:color w:val="222222"/>
          <w:sz w:val="24"/>
          <w:szCs w:val="24"/>
        </w:rPr>
        <w:t>Es un método racista</w:t>
      </w:r>
      <w:r w:rsidR="00F60EFB" w:rsidRPr="006E2426">
        <w:rPr>
          <w:rFonts w:ascii="Times New Roman" w:hAnsi="Times New Roman" w:cs="Times New Roman"/>
          <w:i/>
          <w:iCs/>
          <w:color w:val="222222"/>
          <w:sz w:val="24"/>
          <w:szCs w:val="24"/>
        </w:rPr>
        <w:t xml:space="preserve"> </w:t>
      </w:r>
      <w:r w:rsidRPr="006E2426">
        <w:rPr>
          <w:rFonts w:ascii="Times New Roman" w:hAnsi="Times New Roman" w:cs="Times New Roman"/>
          <w:i/>
          <w:iCs/>
          <w:color w:val="222222"/>
          <w:sz w:val="24"/>
          <w:szCs w:val="24"/>
        </w:rPr>
        <w:t>porque nos aleja de la sociedad y amplía la brecha social</w:t>
      </w:r>
      <w:r w:rsidR="00F60EFB" w:rsidRPr="00052C63">
        <w:rPr>
          <w:rFonts w:ascii="Times New Roman" w:hAnsi="Times New Roman" w:cs="Times New Roman"/>
          <w:color w:val="222222"/>
          <w:sz w:val="24"/>
          <w:szCs w:val="24"/>
        </w:rPr>
        <w:t>”</w:t>
      </w:r>
      <w:r w:rsidR="00F60EFB" w:rsidRPr="00052C63">
        <w:rPr>
          <w:rStyle w:val="Refdenotaalpie"/>
          <w:rFonts w:ascii="Times New Roman" w:hAnsi="Times New Roman" w:cs="Times New Roman"/>
          <w:color w:val="222222"/>
          <w:sz w:val="24"/>
          <w:szCs w:val="24"/>
        </w:rPr>
        <w:footnoteReference w:id="14"/>
      </w:r>
      <w:r w:rsidR="00F60EFB" w:rsidRPr="00052C63">
        <w:rPr>
          <w:rFonts w:ascii="Times New Roman" w:hAnsi="Times New Roman" w:cs="Times New Roman"/>
          <w:color w:val="222222"/>
          <w:sz w:val="24"/>
          <w:szCs w:val="24"/>
        </w:rPr>
        <w:t>.</w:t>
      </w:r>
    </w:p>
    <w:p w14:paraId="67A58FB8" w14:textId="04FC5870" w:rsidR="001F2B2D" w:rsidRPr="001F2B2D" w:rsidRDefault="001F2B2D" w:rsidP="001F2B2D">
      <w:pPr>
        <w:pStyle w:val="Prrafodelista"/>
        <w:spacing w:before="120" w:after="120" w:line="276" w:lineRule="auto"/>
        <w:ind w:left="0"/>
        <w:contextualSpacing w:val="0"/>
        <w:jc w:val="both"/>
        <w:rPr>
          <w:rFonts w:ascii="Times New Roman" w:hAnsi="Times New Roman" w:cs="Times New Roman"/>
          <w:i/>
          <w:iCs/>
          <w:sz w:val="24"/>
          <w:szCs w:val="24"/>
          <w:lang w:val="es-CO"/>
        </w:rPr>
      </w:pPr>
      <w:r w:rsidRPr="001F2B2D">
        <w:rPr>
          <w:rFonts w:ascii="Times New Roman" w:hAnsi="Times New Roman" w:cs="Times New Roman"/>
          <w:i/>
          <w:iCs/>
          <w:color w:val="222222"/>
          <w:sz w:val="24"/>
          <w:szCs w:val="24"/>
        </w:rPr>
        <w:t>Derechos civiles</w:t>
      </w:r>
    </w:p>
    <w:p w14:paraId="2FD6EA65" w14:textId="652235B1" w:rsidR="00817F39" w:rsidRPr="00304E57" w:rsidRDefault="005252C1" w:rsidP="00052C63">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sidRPr="00306A09">
        <w:rPr>
          <w:rFonts w:ascii="Times New Roman" w:hAnsi="Times New Roman" w:cs="Times New Roman"/>
          <w:color w:val="222222"/>
          <w:sz w:val="24"/>
          <w:szCs w:val="24"/>
        </w:rPr>
        <w:t>Con respecto a la opacidad de las cifras a la que se hizo referencia (párrafo 4 de este</w:t>
      </w:r>
      <w:r w:rsidR="0091533A" w:rsidRPr="00306A09">
        <w:rPr>
          <w:rFonts w:ascii="Times New Roman" w:hAnsi="Times New Roman" w:cs="Times New Roman"/>
          <w:color w:val="222222"/>
          <w:sz w:val="24"/>
          <w:szCs w:val="24"/>
        </w:rPr>
        <w:t xml:space="preserve"> informe alternativo)</w:t>
      </w:r>
      <w:r w:rsidR="00205E12" w:rsidRPr="00306A09">
        <w:rPr>
          <w:rFonts w:ascii="Times New Roman" w:hAnsi="Times New Roman" w:cs="Times New Roman"/>
          <w:color w:val="222222"/>
          <w:sz w:val="24"/>
          <w:szCs w:val="24"/>
        </w:rPr>
        <w:t>,</w:t>
      </w:r>
      <w:r w:rsidR="00C0745F" w:rsidRPr="00306A09">
        <w:rPr>
          <w:rFonts w:ascii="Times New Roman" w:hAnsi="Times New Roman" w:cs="Times New Roman"/>
          <w:color w:val="222222"/>
          <w:sz w:val="24"/>
          <w:szCs w:val="24"/>
        </w:rPr>
        <w:t xml:space="preserve"> </w:t>
      </w:r>
      <w:r w:rsidR="00205E12" w:rsidRPr="00306A09">
        <w:rPr>
          <w:rFonts w:ascii="Times New Roman" w:hAnsi="Times New Roman" w:cs="Times New Roman"/>
          <w:color w:val="222222"/>
          <w:sz w:val="24"/>
          <w:szCs w:val="24"/>
        </w:rPr>
        <w:t>destaca</w:t>
      </w:r>
      <w:r w:rsidR="00100B41" w:rsidRPr="00306A09">
        <w:rPr>
          <w:rFonts w:ascii="Times New Roman" w:hAnsi="Times New Roman" w:cs="Times New Roman"/>
          <w:color w:val="222222"/>
          <w:sz w:val="24"/>
          <w:szCs w:val="24"/>
        </w:rPr>
        <w:t xml:space="preserve"> la información brindada por el Estado con respecto al llamado Plan Vuelta a la Patria</w:t>
      </w:r>
      <w:r w:rsidR="00C0745F" w:rsidRPr="00306A09">
        <w:rPr>
          <w:rFonts w:ascii="Times New Roman" w:hAnsi="Times New Roman" w:cs="Times New Roman"/>
          <w:color w:val="222222"/>
          <w:sz w:val="24"/>
          <w:szCs w:val="24"/>
        </w:rPr>
        <w:t xml:space="preserve">, según la cual </w:t>
      </w:r>
      <w:r w:rsidR="00446A34" w:rsidRPr="00306A09">
        <w:rPr>
          <w:rFonts w:ascii="Times New Roman" w:hAnsi="Times New Roman" w:cs="Times New Roman"/>
          <w:sz w:val="24"/>
          <w:szCs w:val="24"/>
        </w:rPr>
        <w:t>17.785 venezolanos migrantes habrían vuelto al país desde 2018 al 202</w:t>
      </w:r>
      <w:r w:rsidR="0037238D" w:rsidRPr="00306A09">
        <w:rPr>
          <w:rFonts w:ascii="Times New Roman" w:hAnsi="Times New Roman" w:cs="Times New Roman"/>
          <w:sz w:val="24"/>
          <w:szCs w:val="24"/>
        </w:rPr>
        <w:t xml:space="preserve">0 gracias a este plan. </w:t>
      </w:r>
      <w:r w:rsidR="00755BFE" w:rsidRPr="00306A09">
        <w:rPr>
          <w:rFonts w:ascii="Times New Roman" w:hAnsi="Times New Roman" w:cs="Times New Roman"/>
          <w:sz w:val="24"/>
          <w:szCs w:val="24"/>
        </w:rPr>
        <w:t xml:space="preserve">Lo anterior significa que, </w:t>
      </w:r>
      <w:r w:rsidR="00755BFE" w:rsidRPr="00306A09">
        <w:rPr>
          <w:rFonts w:ascii="Times New Roman" w:eastAsia="Times New Roman" w:hAnsi="Times New Roman" w:cs="Times New Roman"/>
          <w:color w:val="000000"/>
          <w:sz w:val="24"/>
          <w:szCs w:val="24"/>
        </w:rPr>
        <w:t>después de 16 meses de ejecución, previa al inicio de la pandemia, los beneficiarios equivaldrían al 0,35% de la población que ha salido del país</w:t>
      </w:r>
      <w:r w:rsidR="005535B3" w:rsidRPr="00306A09">
        <w:rPr>
          <w:rFonts w:ascii="Times New Roman" w:eastAsia="Times New Roman" w:hAnsi="Times New Roman" w:cs="Times New Roman"/>
          <w:color w:val="000000"/>
          <w:sz w:val="24"/>
          <w:szCs w:val="24"/>
        </w:rPr>
        <w:t xml:space="preserve">. Según el gobierno, </w:t>
      </w:r>
      <w:r w:rsidR="008E6172" w:rsidRPr="00306A09">
        <w:rPr>
          <w:rFonts w:ascii="Times New Roman" w:eastAsia="Times New Roman" w:hAnsi="Times New Roman" w:cs="Times New Roman"/>
          <w:color w:val="000000"/>
          <w:sz w:val="24"/>
          <w:szCs w:val="24"/>
        </w:rPr>
        <w:t xml:space="preserve">la imposición de medidas coercitivas unilaterales habría impedido una cobertura mayor de este plan. Sin embargo, en su intervención </w:t>
      </w:r>
      <w:r w:rsidR="00BE0C06" w:rsidRPr="00306A09">
        <w:rPr>
          <w:rFonts w:ascii="Times New Roman" w:eastAsia="Times New Roman" w:hAnsi="Times New Roman" w:cs="Times New Roman"/>
          <w:color w:val="000000"/>
          <w:sz w:val="24"/>
          <w:szCs w:val="24"/>
        </w:rPr>
        <w:t xml:space="preserve">durante el </w:t>
      </w:r>
      <w:r w:rsidR="00BE0C06" w:rsidRPr="00306A09">
        <w:rPr>
          <w:rFonts w:ascii="Times New Roman" w:hAnsi="Times New Roman" w:cs="Times New Roman"/>
          <w:sz w:val="24"/>
          <w:szCs w:val="24"/>
          <w:lang w:val="es-MX"/>
        </w:rPr>
        <w:t>Diálogo interactivo con el Relator Especial sobre los derechos humanos de los migrantes</w:t>
      </w:r>
      <w:r w:rsidR="00BE0C06" w:rsidRPr="00306A09">
        <w:rPr>
          <w:rFonts w:ascii="Times New Roman" w:eastAsia="Times New Roman" w:hAnsi="Times New Roman" w:cs="Times New Roman"/>
          <w:color w:val="000000"/>
          <w:sz w:val="24"/>
          <w:szCs w:val="24"/>
        </w:rPr>
        <w:t xml:space="preserve"> el 2</w:t>
      </w:r>
      <w:r w:rsidR="00B65344" w:rsidRPr="00306A09">
        <w:rPr>
          <w:rFonts w:ascii="Times New Roman" w:eastAsia="Times New Roman" w:hAnsi="Times New Roman" w:cs="Times New Roman"/>
          <w:color w:val="000000"/>
          <w:sz w:val="24"/>
          <w:szCs w:val="24"/>
        </w:rPr>
        <w:t xml:space="preserve">5 de junio de 2024, el representante de Venezuela afirmó que </w:t>
      </w:r>
      <w:r w:rsidR="00947C69" w:rsidRPr="00306A09">
        <w:rPr>
          <w:rFonts w:ascii="Times New Roman" w:eastAsia="Times New Roman" w:hAnsi="Times New Roman" w:cs="Times New Roman"/>
          <w:color w:val="000000"/>
          <w:sz w:val="24"/>
          <w:szCs w:val="24"/>
        </w:rPr>
        <w:lastRenderedPageBreak/>
        <w:t>“</w:t>
      </w:r>
      <w:r w:rsidR="00947C69" w:rsidRPr="00306A09">
        <w:rPr>
          <w:rFonts w:ascii="Times New Roman" w:hAnsi="Times New Roman" w:cs="Times New Roman"/>
          <w:i/>
          <w:iCs/>
          <w:spacing w:val="-2"/>
          <w:sz w:val="24"/>
          <w:szCs w:val="24"/>
          <w:shd w:val="clear" w:color="auto" w:fill="FFFFFF"/>
          <w:lang w:val="es-MX"/>
        </w:rPr>
        <w:t>cerca de un millón de venezolanos han sido reinsertados a la actividad económica y social del país</w:t>
      </w:r>
      <w:r w:rsidR="002C5BC5">
        <w:rPr>
          <w:rFonts w:ascii="Times New Roman" w:hAnsi="Times New Roman" w:cs="Times New Roman"/>
          <w:i/>
          <w:iCs/>
          <w:spacing w:val="-2"/>
          <w:sz w:val="24"/>
          <w:szCs w:val="24"/>
          <w:shd w:val="clear" w:color="auto" w:fill="FFFFFF"/>
          <w:lang w:val="es-MX"/>
        </w:rPr>
        <w:t xml:space="preserve"> a través del Plan Vuelta a la Patria</w:t>
      </w:r>
      <w:r w:rsidR="00947C69" w:rsidRPr="00306A09">
        <w:rPr>
          <w:rFonts w:ascii="Times New Roman" w:hAnsi="Times New Roman" w:cs="Times New Roman"/>
          <w:spacing w:val="-2"/>
          <w:sz w:val="24"/>
          <w:szCs w:val="24"/>
          <w:shd w:val="clear" w:color="auto" w:fill="FFFFFF"/>
          <w:lang w:val="es-MX"/>
        </w:rPr>
        <w:t>”</w:t>
      </w:r>
      <w:r w:rsidR="002939D8">
        <w:rPr>
          <w:rFonts w:ascii="Times New Roman" w:hAnsi="Times New Roman" w:cs="Times New Roman"/>
          <w:spacing w:val="-2"/>
          <w:sz w:val="24"/>
          <w:szCs w:val="24"/>
          <w:shd w:val="clear" w:color="auto" w:fill="FFFFFF"/>
          <w:lang w:val="es-MX"/>
        </w:rPr>
        <w:t>;</w:t>
      </w:r>
      <w:r w:rsidR="006F7E66">
        <w:rPr>
          <w:rFonts w:ascii="Times New Roman" w:hAnsi="Times New Roman" w:cs="Times New Roman"/>
          <w:spacing w:val="-2"/>
          <w:sz w:val="24"/>
          <w:szCs w:val="24"/>
          <w:shd w:val="clear" w:color="auto" w:fill="FFFFFF"/>
          <w:lang w:val="es-MX"/>
        </w:rPr>
        <w:t xml:space="preserve"> </w:t>
      </w:r>
      <w:r w:rsidR="00304E57">
        <w:rPr>
          <w:rFonts w:ascii="Times New Roman" w:hAnsi="Times New Roman" w:cs="Times New Roman"/>
          <w:spacing w:val="-2"/>
          <w:sz w:val="24"/>
          <w:szCs w:val="24"/>
          <w:shd w:val="clear" w:color="auto" w:fill="FFFFFF"/>
          <w:lang w:val="es-MX"/>
        </w:rPr>
        <w:t>n</w:t>
      </w:r>
      <w:r w:rsidR="006F7E66">
        <w:rPr>
          <w:rFonts w:ascii="Times New Roman" w:hAnsi="Times New Roman" w:cs="Times New Roman"/>
          <w:spacing w:val="-2"/>
          <w:sz w:val="24"/>
          <w:szCs w:val="24"/>
          <w:shd w:val="clear" w:color="auto" w:fill="FFFFFF"/>
          <w:lang w:val="es-MX"/>
        </w:rPr>
        <w:t xml:space="preserve">o hay explicación sobre cómo </w:t>
      </w:r>
      <w:r w:rsidR="002939D8">
        <w:rPr>
          <w:rFonts w:ascii="Times New Roman" w:hAnsi="Times New Roman" w:cs="Times New Roman"/>
          <w:spacing w:val="-2"/>
          <w:sz w:val="24"/>
          <w:szCs w:val="24"/>
          <w:shd w:val="clear" w:color="auto" w:fill="FFFFFF"/>
          <w:lang w:val="es-MX"/>
        </w:rPr>
        <w:t>se llegó supuestamente a esta cifra</w:t>
      </w:r>
      <w:r w:rsidR="00304E57">
        <w:rPr>
          <w:rFonts w:ascii="Times New Roman" w:hAnsi="Times New Roman" w:cs="Times New Roman"/>
          <w:spacing w:val="-2"/>
          <w:sz w:val="24"/>
          <w:szCs w:val="24"/>
          <w:shd w:val="clear" w:color="auto" w:fill="FFFFFF"/>
          <w:lang w:val="es-MX"/>
        </w:rPr>
        <w:t>.</w:t>
      </w:r>
    </w:p>
    <w:p w14:paraId="0970BC25" w14:textId="24E35EBF" w:rsidR="00304E57" w:rsidRPr="00306A09" w:rsidRDefault="005877B4" w:rsidP="00052C63">
      <w:pPr>
        <w:pStyle w:val="Prrafodelista"/>
        <w:numPr>
          <w:ilvl w:val="0"/>
          <w:numId w:val="4"/>
        </w:numPr>
        <w:spacing w:before="120" w:after="120" w:line="276" w:lineRule="auto"/>
        <w:ind w:left="0" w:firstLine="0"/>
        <w:contextualSpacing w:val="0"/>
        <w:jc w:val="both"/>
        <w:rPr>
          <w:rFonts w:ascii="Times New Roman" w:hAnsi="Times New Roman" w:cs="Times New Roman"/>
          <w:sz w:val="24"/>
          <w:szCs w:val="24"/>
          <w:lang w:val="es-CO"/>
        </w:rPr>
      </w:pPr>
      <w:r>
        <w:rPr>
          <w:rFonts w:ascii="Times New Roman" w:hAnsi="Times New Roman" w:cs="Times New Roman"/>
          <w:color w:val="222222"/>
          <w:sz w:val="24"/>
          <w:szCs w:val="24"/>
        </w:rPr>
        <w:t xml:space="preserve">La manipulación </w:t>
      </w:r>
      <w:r w:rsidR="00E14C57">
        <w:rPr>
          <w:rFonts w:ascii="Times New Roman" w:hAnsi="Times New Roman" w:cs="Times New Roman"/>
          <w:color w:val="222222"/>
          <w:sz w:val="24"/>
          <w:szCs w:val="24"/>
        </w:rPr>
        <w:t>política del tema migratorio</w:t>
      </w:r>
      <w:r>
        <w:rPr>
          <w:rFonts w:ascii="Times New Roman" w:hAnsi="Times New Roman" w:cs="Times New Roman"/>
          <w:color w:val="222222"/>
          <w:sz w:val="24"/>
          <w:szCs w:val="24"/>
        </w:rPr>
        <w:t xml:space="preserve"> ha sido una constante por parte del Estado. Primero, negando la existencia del fenómeno</w:t>
      </w:r>
      <w:r w:rsidR="00225D86">
        <w:rPr>
          <w:rStyle w:val="Refdenotaalpie"/>
          <w:rFonts w:ascii="Times New Roman" w:hAnsi="Times New Roman" w:cs="Times New Roman"/>
          <w:color w:val="222222"/>
          <w:sz w:val="24"/>
          <w:szCs w:val="24"/>
        </w:rPr>
        <w:footnoteReference w:id="15"/>
      </w:r>
      <w:r>
        <w:rPr>
          <w:rFonts w:ascii="Times New Roman" w:hAnsi="Times New Roman" w:cs="Times New Roman"/>
          <w:color w:val="222222"/>
          <w:sz w:val="24"/>
          <w:szCs w:val="24"/>
        </w:rPr>
        <w:t xml:space="preserve">, </w:t>
      </w:r>
      <w:r w:rsidR="001C4E5A">
        <w:rPr>
          <w:rFonts w:ascii="Times New Roman" w:hAnsi="Times New Roman" w:cs="Times New Roman"/>
          <w:color w:val="222222"/>
          <w:sz w:val="24"/>
          <w:szCs w:val="24"/>
        </w:rPr>
        <w:t>más tarde acusando a los retornados de ser “arma</w:t>
      </w:r>
      <w:r w:rsidR="000A619E">
        <w:rPr>
          <w:rFonts w:ascii="Times New Roman" w:hAnsi="Times New Roman" w:cs="Times New Roman"/>
          <w:color w:val="222222"/>
          <w:sz w:val="24"/>
          <w:szCs w:val="24"/>
        </w:rPr>
        <w:t>s</w:t>
      </w:r>
      <w:r w:rsidR="001C4E5A">
        <w:rPr>
          <w:rFonts w:ascii="Times New Roman" w:hAnsi="Times New Roman" w:cs="Times New Roman"/>
          <w:color w:val="222222"/>
          <w:sz w:val="24"/>
          <w:szCs w:val="24"/>
        </w:rPr>
        <w:t xml:space="preserve"> </w:t>
      </w:r>
      <w:r w:rsidR="000A619E">
        <w:rPr>
          <w:rFonts w:ascii="Times New Roman" w:hAnsi="Times New Roman" w:cs="Times New Roman"/>
          <w:color w:val="222222"/>
          <w:sz w:val="24"/>
          <w:szCs w:val="24"/>
        </w:rPr>
        <w:t>biológicas</w:t>
      </w:r>
      <w:r w:rsidR="001C4E5A">
        <w:rPr>
          <w:rFonts w:ascii="Times New Roman" w:hAnsi="Times New Roman" w:cs="Times New Roman"/>
          <w:color w:val="222222"/>
          <w:sz w:val="24"/>
          <w:szCs w:val="24"/>
        </w:rPr>
        <w:t>”</w:t>
      </w:r>
      <w:r w:rsidR="000A619E">
        <w:rPr>
          <w:rFonts w:ascii="Times New Roman" w:hAnsi="Times New Roman" w:cs="Times New Roman"/>
          <w:color w:val="222222"/>
          <w:sz w:val="24"/>
          <w:szCs w:val="24"/>
        </w:rPr>
        <w:t xml:space="preserve"> y “bioterroristas” durante la pandemia de COVID-19</w:t>
      </w:r>
      <w:r w:rsidR="004A33D8">
        <w:rPr>
          <w:rStyle w:val="Refdenotaalpie"/>
          <w:rFonts w:ascii="Times New Roman" w:hAnsi="Times New Roman" w:cs="Times New Roman"/>
          <w:color w:val="222222"/>
          <w:sz w:val="24"/>
          <w:szCs w:val="24"/>
        </w:rPr>
        <w:footnoteReference w:id="16"/>
      </w:r>
      <w:r w:rsidR="000A619E">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después </w:t>
      </w:r>
      <w:r w:rsidR="006757E4">
        <w:rPr>
          <w:rFonts w:ascii="Times New Roman" w:hAnsi="Times New Roman" w:cs="Times New Roman"/>
          <w:color w:val="222222"/>
          <w:sz w:val="24"/>
          <w:szCs w:val="24"/>
        </w:rPr>
        <w:t>afirmando</w:t>
      </w:r>
      <w:r w:rsidR="00C41A4E">
        <w:rPr>
          <w:rFonts w:ascii="Times New Roman" w:hAnsi="Times New Roman" w:cs="Times New Roman"/>
          <w:color w:val="222222"/>
          <w:sz w:val="24"/>
          <w:szCs w:val="24"/>
        </w:rPr>
        <w:t xml:space="preserve"> que se trataba de una migración inducida</w:t>
      </w:r>
      <w:r w:rsidR="00D94DDD">
        <w:rPr>
          <w:rStyle w:val="Refdenotaalpie"/>
          <w:rFonts w:ascii="Times New Roman" w:hAnsi="Times New Roman" w:cs="Times New Roman"/>
          <w:color w:val="222222"/>
          <w:sz w:val="24"/>
          <w:szCs w:val="24"/>
        </w:rPr>
        <w:footnoteReference w:id="17"/>
      </w:r>
      <w:r w:rsidR="00C41A4E">
        <w:rPr>
          <w:rFonts w:ascii="Times New Roman" w:hAnsi="Times New Roman" w:cs="Times New Roman"/>
          <w:color w:val="222222"/>
          <w:sz w:val="24"/>
          <w:szCs w:val="24"/>
        </w:rPr>
        <w:t>, posteriormente, negándose a recibir nuevos deportados desde los Estados Unidos</w:t>
      </w:r>
      <w:r w:rsidR="00A45C24">
        <w:rPr>
          <w:rStyle w:val="Refdenotaalpie"/>
          <w:rFonts w:ascii="Times New Roman" w:hAnsi="Times New Roman" w:cs="Times New Roman"/>
          <w:color w:val="222222"/>
          <w:sz w:val="24"/>
          <w:szCs w:val="24"/>
        </w:rPr>
        <w:footnoteReference w:id="18"/>
      </w:r>
      <w:r w:rsidR="00C41A4E">
        <w:rPr>
          <w:rFonts w:ascii="Times New Roman" w:hAnsi="Times New Roman" w:cs="Times New Roman"/>
          <w:color w:val="222222"/>
          <w:sz w:val="24"/>
          <w:szCs w:val="24"/>
        </w:rPr>
        <w:t xml:space="preserve">, en reacción a la </w:t>
      </w:r>
      <w:r w:rsidR="006757E4">
        <w:rPr>
          <w:rFonts w:ascii="Times New Roman" w:hAnsi="Times New Roman" w:cs="Times New Roman"/>
          <w:color w:val="222222"/>
          <w:sz w:val="24"/>
          <w:szCs w:val="24"/>
        </w:rPr>
        <w:t>reimposición</w:t>
      </w:r>
      <w:r w:rsidR="00C41A4E">
        <w:rPr>
          <w:rFonts w:ascii="Times New Roman" w:hAnsi="Times New Roman" w:cs="Times New Roman"/>
          <w:color w:val="222222"/>
          <w:sz w:val="24"/>
          <w:szCs w:val="24"/>
        </w:rPr>
        <w:t xml:space="preserve"> de sanciones por ese país y, más recientemente, inflando cifras sobre </w:t>
      </w:r>
      <w:r w:rsidR="006757E4">
        <w:rPr>
          <w:rFonts w:ascii="Times New Roman" w:hAnsi="Times New Roman" w:cs="Times New Roman"/>
          <w:color w:val="222222"/>
          <w:sz w:val="24"/>
          <w:szCs w:val="24"/>
        </w:rPr>
        <w:t>el supuesto retorno de</w:t>
      </w:r>
      <w:r w:rsidR="00576D4A">
        <w:rPr>
          <w:rFonts w:ascii="Times New Roman" w:hAnsi="Times New Roman" w:cs="Times New Roman"/>
          <w:color w:val="222222"/>
          <w:sz w:val="24"/>
          <w:szCs w:val="24"/>
        </w:rPr>
        <w:t xml:space="preserve"> cerca de un</w:t>
      </w:r>
      <w:r w:rsidR="006757E4">
        <w:rPr>
          <w:rFonts w:ascii="Times New Roman" w:hAnsi="Times New Roman" w:cs="Times New Roman"/>
          <w:color w:val="222222"/>
          <w:sz w:val="24"/>
          <w:szCs w:val="24"/>
        </w:rPr>
        <w:t xml:space="preserve"> mill</w:t>
      </w:r>
      <w:r w:rsidR="00576D4A">
        <w:rPr>
          <w:rFonts w:ascii="Times New Roman" w:hAnsi="Times New Roman" w:cs="Times New Roman"/>
          <w:color w:val="222222"/>
          <w:sz w:val="24"/>
          <w:szCs w:val="24"/>
        </w:rPr>
        <w:t>ó</w:t>
      </w:r>
      <w:r w:rsidR="006757E4">
        <w:rPr>
          <w:rFonts w:ascii="Times New Roman" w:hAnsi="Times New Roman" w:cs="Times New Roman"/>
          <w:color w:val="222222"/>
          <w:sz w:val="24"/>
          <w:szCs w:val="24"/>
        </w:rPr>
        <w:t>n de venezolanos</w:t>
      </w:r>
      <w:r w:rsidR="00576D4A">
        <w:rPr>
          <w:rStyle w:val="Refdenotaalpie"/>
          <w:rFonts w:ascii="Times New Roman" w:hAnsi="Times New Roman" w:cs="Times New Roman"/>
          <w:color w:val="222222"/>
          <w:sz w:val="24"/>
          <w:szCs w:val="24"/>
        </w:rPr>
        <w:footnoteReference w:id="19"/>
      </w:r>
      <w:r w:rsidR="006757E4">
        <w:rPr>
          <w:rFonts w:ascii="Times New Roman" w:hAnsi="Times New Roman" w:cs="Times New Roman"/>
          <w:color w:val="222222"/>
          <w:sz w:val="24"/>
          <w:szCs w:val="24"/>
        </w:rPr>
        <w:t>.</w:t>
      </w:r>
    </w:p>
    <w:p w14:paraId="23A527E9" w14:textId="77777777" w:rsidR="00C7787D" w:rsidRPr="004B2679" w:rsidRDefault="00C7787D" w:rsidP="004B2679">
      <w:pPr>
        <w:numPr>
          <w:ilvl w:val="0"/>
          <w:numId w:val="2"/>
        </w:numPr>
        <w:pBdr>
          <w:top w:val="nil"/>
          <w:left w:val="nil"/>
          <w:bottom w:val="nil"/>
          <w:right w:val="nil"/>
          <w:between w:val="nil"/>
        </w:pBdr>
        <w:spacing w:before="120" w:after="120" w:line="276" w:lineRule="auto"/>
        <w:jc w:val="both"/>
        <w:rPr>
          <w:rFonts w:ascii="Times New Roman" w:eastAsia="Times New Roman" w:hAnsi="Times New Roman" w:cs="Times New Roman"/>
          <w:b/>
          <w:color w:val="000000"/>
          <w:sz w:val="24"/>
          <w:szCs w:val="24"/>
          <w:highlight w:val="white"/>
        </w:rPr>
      </w:pPr>
      <w:r w:rsidRPr="004B2679">
        <w:rPr>
          <w:rFonts w:ascii="Times New Roman" w:eastAsia="Times New Roman" w:hAnsi="Times New Roman" w:cs="Times New Roman"/>
          <w:b/>
          <w:color w:val="000000"/>
          <w:sz w:val="24"/>
          <w:szCs w:val="24"/>
          <w:highlight w:val="white"/>
        </w:rPr>
        <w:t>Recomendaciones</w:t>
      </w:r>
    </w:p>
    <w:p w14:paraId="11F8D32A" w14:textId="77777777" w:rsidR="00C7787D" w:rsidRPr="004B2679" w:rsidRDefault="00C7787D" w:rsidP="006E2426">
      <w:pPr>
        <w:numPr>
          <w:ilvl w:val="0"/>
          <w:numId w:val="4"/>
        </w:numPr>
        <w:pBdr>
          <w:top w:val="nil"/>
          <w:left w:val="nil"/>
          <w:bottom w:val="nil"/>
          <w:right w:val="nil"/>
          <w:between w:val="nil"/>
        </w:pBdr>
        <w:spacing w:before="120" w:after="120" w:line="276" w:lineRule="auto"/>
        <w:ind w:left="0" w:firstLine="0"/>
        <w:jc w:val="both"/>
        <w:rPr>
          <w:rFonts w:ascii="Times New Roman" w:eastAsia="Times New Roman" w:hAnsi="Times New Roman" w:cs="Times New Roman"/>
          <w:color w:val="000000"/>
          <w:sz w:val="24"/>
          <w:szCs w:val="24"/>
          <w:highlight w:val="white"/>
        </w:rPr>
      </w:pPr>
      <w:r w:rsidRPr="004B2679">
        <w:rPr>
          <w:rFonts w:ascii="Times New Roman" w:eastAsia="Times New Roman" w:hAnsi="Times New Roman" w:cs="Times New Roman"/>
          <w:color w:val="000000"/>
          <w:sz w:val="24"/>
          <w:szCs w:val="24"/>
        </w:rPr>
        <w:t>En atención a lo anterior, se solicita al Comité que evalúe recomendar al Estado:</w:t>
      </w:r>
    </w:p>
    <w:p w14:paraId="2E547200" w14:textId="6FE90E57" w:rsidR="0031196B" w:rsidRDefault="0031196B" w:rsidP="00C57B5E">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Asegurar la genuina participación, sin </w:t>
      </w:r>
      <w:r w:rsidR="00FE4771">
        <w:rPr>
          <w:rFonts w:ascii="Times New Roman" w:eastAsia="Times New Roman" w:hAnsi="Times New Roman" w:cs="Times New Roman"/>
          <w:color w:val="000000"/>
          <w:sz w:val="24"/>
          <w:szCs w:val="24"/>
        </w:rPr>
        <w:t>discriminación</w:t>
      </w:r>
      <w:r>
        <w:rPr>
          <w:rFonts w:ascii="Times New Roman" w:eastAsia="Times New Roman" w:hAnsi="Times New Roman" w:cs="Times New Roman"/>
          <w:color w:val="000000"/>
          <w:sz w:val="24"/>
          <w:szCs w:val="24"/>
        </w:rPr>
        <w:t xml:space="preserve"> alguna, de todos los sectores de la sociedad en los procesos de </w:t>
      </w:r>
      <w:r w:rsidR="00FE4771">
        <w:rPr>
          <w:rFonts w:ascii="Times New Roman" w:eastAsia="Times New Roman" w:hAnsi="Times New Roman" w:cs="Times New Roman"/>
          <w:color w:val="000000"/>
          <w:sz w:val="24"/>
          <w:szCs w:val="24"/>
        </w:rPr>
        <w:t>consulta sobre asuntos de derechos humanos asociados al cumplimiento de l</w:t>
      </w:r>
      <w:r w:rsidR="00D84C63">
        <w:rPr>
          <w:rFonts w:ascii="Times New Roman" w:eastAsia="Times New Roman" w:hAnsi="Times New Roman" w:cs="Times New Roman"/>
          <w:color w:val="000000"/>
          <w:sz w:val="24"/>
          <w:szCs w:val="24"/>
        </w:rPr>
        <w:t>o</w:t>
      </w:r>
      <w:r w:rsidR="00FE4771">
        <w:rPr>
          <w:rFonts w:ascii="Times New Roman" w:eastAsia="Times New Roman" w:hAnsi="Times New Roman" w:cs="Times New Roman"/>
          <w:color w:val="000000"/>
          <w:sz w:val="24"/>
          <w:szCs w:val="24"/>
        </w:rPr>
        <w:t xml:space="preserve">s </w:t>
      </w:r>
      <w:r w:rsidR="00D84C63">
        <w:rPr>
          <w:rFonts w:ascii="Times New Roman" w:eastAsia="Times New Roman" w:hAnsi="Times New Roman" w:cs="Times New Roman"/>
          <w:color w:val="000000"/>
          <w:sz w:val="24"/>
          <w:szCs w:val="24"/>
        </w:rPr>
        <w:t>compromisos</w:t>
      </w:r>
      <w:r w:rsidR="00FE4771">
        <w:rPr>
          <w:rFonts w:ascii="Times New Roman" w:eastAsia="Times New Roman" w:hAnsi="Times New Roman" w:cs="Times New Roman"/>
          <w:color w:val="000000"/>
          <w:sz w:val="24"/>
          <w:szCs w:val="24"/>
        </w:rPr>
        <w:t xml:space="preserve"> </w:t>
      </w:r>
      <w:r w:rsidR="00D84C63">
        <w:rPr>
          <w:rFonts w:ascii="Times New Roman" w:eastAsia="Times New Roman" w:hAnsi="Times New Roman" w:cs="Times New Roman"/>
          <w:color w:val="000000"/>
          <w:sz w:val="24"/>
          <w:szCs w:val="24"/>
        </w:rPr>
        <w:t>internacionales del Estado.</w:t>
      </w:r>
    </w:p>
    <w:p w14:paraId="3B59A6BB" w14:textId="37A7D756" w:rsidR="000B0599" w:rsidRDefault="008F4CB7" w:rsidP="00C57B5E">
      <w:pPr>
        <w:pBdr>
          <w:top w:val="nil"/>
          <w:left w:val="nil"/>
          <w:bottom w:val="nil"/>
          <w:right w:val="nil"/>
          <w:between w:val="nil"/>
        </w:pBdr>
        <w:spacing w:before="120" w:after="120" w:line="276"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Derogar la </w:t>
      </w:r>
      <w:r w:rsidRPr="004B2679">
        <w:rPr>
          <w:rFonts w:ascii="Times New Roman" w:hAnsi="Times New Roman" w:cs="Times New Roman"/>
          <w:sz w:val="24"/>
          <w:szCs w:val="24"/>
          <w:lang w:val="es-CO"/>
        </w:rPr>
        <w:t xml:space="preserve">llamada </w:t>
      </w:r>
      <w:r w:rsidRPr="004B2679">
        <w:rPr>
          <w:rFonts w:ascii="Times New Roman" w:hAnsi="Times New Roman" w:cs="Times New Roman"/>
          <w:sz w:val="24"/>
          <w:szCs w:val="24"/>
        </w:rPr>
        <w:t xml:space="preserve">Ley Constitucional Contra el Odio, por la </w:t>
      </w:r>
      <w:r w:rsidRPr="00366B58">
        <w:rPr>
          <w:rFonts w:ascii="Times New Roman" w:hAnsi="Times New Roman" w:cs="Times New Roman"/>
          <w:sz w:val="24"/>
          <w:szCs w:val="24"/>
        </w:rPr>
        <w:t>Convivencia Pacífica y la Tolerancia.</w:t>
      </w:r>
    </w:p>
    <w:p w14:paraId="4AA1534F" w14:textId="21EA805B" w:rsidR="008F4CB7" w:rsidRDefault="008F4CB7" w:rsidP="00C57B5E">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Abstenerse de aprobar el proyecto de ley </w:t>
      </w:r>
      <w:r w:rsidRPr="00D23185">
        <w:rPr>
          <w:rStyle w:val="nfasis"/>
          <w:rFonts w:ascii="Times New Roman" w:hAnsi="Times New Roman" w:cs="Times New Roman"/>
          <w:i w:val="0"/>
          <w:iCs w:val="0"/>
          <w:sz w:val="24"/>
          <w:szCs w:val="24"/>
          <w:bdr w:val="none" w:sz="0" w:space="0" w:color="auto" w:frame="1"/>
          <w:shd w:val="clear" w:color="auto" w:fill="FFFFFF"/>
        </w:rPr>
        <w:t>contra el fascismo, neofascismo y expresiones similares</w:t>
      </w:r>
      <w:r w:rsidR="007D0597">
        <w:rPr>
          <w:rStyle w:val="nfasis"/>
          <w:rFonts w:ascii="Times New Roman" w:hAnsi="Times New Roman" w:cs="Times New Roman"/>
          <w:i w:val="0"/>
          <w:iCs w:val="0"/>
          <w:sz w:val="24"/>
          <w:szCs w:val="24"/>
          <w:bdr w:val="none" w:sz="0" w:space="0" w:color="auto" w:frame="1"/>
          <w:shd w:val="clear" w:color="auto" w:fill="FFFFFF"/>
        </w:rPr>
        <w:t>.</w:t>
      </w:r>
    </w:p>
    <w:p w14:paraId="78ECB573" w14:textId="45DF990D" w:rsidR="00C7787D" w:rsidRPr="004B2679" w:rsidRDefault="00C7787D" w:rsidP="00C57B5E">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highlight w:val="white"/>
        </w:rPr>
      </w:pPr>
      <w:r w:rsidRPr="004B2679">
        <w:rPr>
          <w:rFonts w:ascii="Times New Roman" w:eastAsia="Times New Roman" w:hAnsi="Times New Roman" w:cs="Times New Roman"/>
          <w:color w:val="000000"/>
          <w:sz w:val="24"/>
          <w:szCs w:val="24"/>
        </w:rPr>
        <w:t xml:space="preserve">Adoptar medidas </w:t>
      </w:r>
      <w:r w:rsidR="00F5625C">
        <w:rPr>
          <w:rFonts w:ascii="Times New Roman" w:eastAsia="Times New Roman" w:hAnsi="Times New Roman" w:cs="Times New Roman"/>
          <w:color w:val="000000"/>
          <w:sz w:val="24"/>
          <w:szCs w:val="24"/>
        </w:rPr>
        <w:t xml:space="preserve">que aseguren el registro y actualización de </w:t>
      </w:r>
      <w:r w:rsidR="006323B8">
        <w:rPr>
          <w:rFonts w:ascii="Times New Roman" w:eastAsia="Times New Roman" w:hAnsi="Times New Roman" w:cs="Times New Roman"/>
          <w:color w:val="000000"/>
          <w:sz w:val="24"/>
          <w:szCs w:val="24"/>
        </w:rPr>
        <w:t>datos</w:t>
      </w:r>
      <w:r w:rsidR="00F5625C">
        <w:rPr>
          <w:rFonts w:ascii="Times New Roman" w:eastAsia="Times New Roman" w:hAnsi="Times New Roman" w:cs="Times New Roman"/>
          <w:color w:val="000000"/>
          <w:sz w:val="24"/>
          <w:szCs w:val="24"/>
        </w:rPr>
        <w:t xml:space="preserve"> de los electores en el exterior</w:t>
      </w:r>
      <w:r w:rsidR="006323B8">
        <w:rPr>
          <w:rFonts w:ascii="Times New Roman" w:eastAsia="Times New Roman" w:hAnsi="Times New Roman" w:cs="Times New Roman"/>
          <w:color w:val="000000"/>
          <w:sz w:val="24"/>
          <w:szCs w:val="24"/>
        </w:rPr>
        <w:t>, en igualdad de condiciones y requisitos con los electores dentro del país.</w:t>
      </w:r>
    </w:p>
    <w:p w14:paraId="5DEBF4ED" w14:textId="2D41ED2B" w:rsidR="005C1D09" w:rsidRPr="004B2679" w:rsidRDefault="001D3EC9" w:rsidP="00C57B5E">
      <w:pPr>
        <w:pBdr>
          <w:top w:val="nil"/>
          <w:left w:val="nil"/>
          <w:bottom w:val="nil"/>
          <w:right w:val="nil"/>
          <w:between w:val="nil"/>
        </w:pBdr>
        <w:spacing w:before="120" w:after="120" w:line="276"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Desaplicar</w:t>
      </w:r>
      <w:r w:rsidR="005C1D09">
        <w:rPr>
          <w:rFonts w:ascii="Times New Roman" w:eastAsia="Times New Roman" w:hAnsi="Times New Roman" w:cs="Times New Roman"/>
          <w:bCs/>
          <w:color w:val="000000"/>
          <w:sz w:val="24"/>
          <w:szCs w:val="24"/>
        </w:rPr>
        <w:t xml:space="preserve"> el </w:t>
      </w:r>
      <w:r w:rsidR="005C1D09" w:rsidRPr="004B2679">
        <w:rPr>
          <w:rFonts w:ascii="Times New Roman" w:hAnsi="Times New Roman" w:cs="Times New Roman"/>
          <w:sz w:val="24"/>
          <w:szCs w:val="24"/>
        </w:rPr>
        <w:t>Reglamento Especial que regirá la elección de la Representación Indígena a la Asamblea Nacional 2020</w:t>
      </w:r>
      <w:r>
        <w:rPr>
          <w:rFonts w:ascii="Times New Roman" w:hAnsi="Times New Roman" w:cs="Times New Roman"/>
          <w:sz w:val="24"/>
          <w:szCs w:val="24"/>
        </w:rPr>
        <w:t xml:space="preserve"> en futuros procesos electorales y asegurar la consulta previa de los pueblos indígenas en cualquier </w:t>
      </w:r>
      <w:r w:rsidR="000C0882">
        <w:rPr>
          <w:rFonts w:ascii="Times New Roman" w:hAnsi="Times New Roman" w:cs="Times New Roman"/>
          <w:sz w:val="24"/>
          <w:szCs w:val="24"/>
        </w:rPr>
        <w:t>normativa relativa a su derecho a la participación política.</w:t>
      </w:r>
    </w:p>
    <w:p w14:paraId="4265D4A6" w14:textId="309CDB25" w:rsidR="00CF343C" w:rsidRDefault="00CF343C" w:rsidP="00C57B5E">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Abstenerse de estigmatizar y criminalizar a los venezolanos que retornan a su país, aún si su ingreso se produce por pasos no controlados.</w:t>
      </w:r>
    </w:p>
    <w:p w14:paraId="452061B1" w14:textId="0650920E" w:rsidR="00C24E3B" w:rsidRDefault="00C24E3B">
      <w:pP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br w:type="page"/>
      </w:r>
    </w:p>
    <w:p w14:paraId="1E49FAD5" w14:textId="3E253261" w:rsidR="00C7787D" w:rsidRPr="00C57B5E" w:rsidRDefault="00C7787D" w:rsidP="00C57B5E">
      <w:pPr>
        <w:pStyle w:val="Prrafodelista"/>
        <w:numPr>
          <w:ilvl w:val="0"/>
          <w:numId w:val="4"/>
        </w:num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C57B5E">
        <w:rPr>
          <w:rFonts w:ascii="Times New Roman" w:eastAsia="Times New Roman" w:hAnsi="Times New Roman" w:cs="Times New Roman"/>
          <w:color w:val="000000"/>
          <w:sz w:val="24"/>
          <w:szCs w:val="24"/>
        </w:rPr>
        <w:lastRenderedPageBreak/>
        <w:t xml:space="preserve">El </w:t>
      </w:r>
      <w:r w:rsidR="00614AA2" w:rsidRPr="00C57B5E">
        <w:rPr>
          <w:rFonts w:ascii="Times New Roman" w:eastAsia="Times New Roman" w:hAnsi="Times New Roman" w:cs="Times New Roman"/>
          <w:color w:val="000000"/>
          <w:sz w:val="24"/>
          <w:szCs w:val="24"/>
        </w:rPr>
        <w:t>CERD</w:t>
      </w:r>
      <w:r w:rsidRPr="00C57B5E">
        <w:rPr>
          <w:rFonts w:ascii="Times New Roman" w:eastAsia="Times New Roman" w:hAnsi="Times New Roman" w:cs="Times New Roman"/>
          <w:color w:val="000000"/>
          <w:sz w:val="24"/>
          <w:szCs w:val="24"/>
        </w:rPr>
        <w:t xml:space="preserve"> podría preguntarle al gobierno de Venezuela sobre:</w:t>
      </w:r>
    </w:p>
    <w:p w14:paraId="17287CD9" w14:textId="4B7D565B" w:rsidR="00C7787D" w:rsidRDefault="00C7787D" w:rsidP="004B2679">
      <w:pPr>
        <w:pBdr>
          <w:top w:val="nil"/>
          <w:left w:val="nil"/>
          <w:bottom w:val="nil"/>
          <w:right w:val="nil"/>
          <w:between w:val="nil"/>
        </w:pBdr>
        <w:spacing w:before="120" w:after="120" w:line="276" w:lineRule="auto"/>
        <w:jc w:val="both"/>
        <w:rPr>
          <w:rFonts w:ascii="Times New Roman" w:eastAsia="Times New Roman" w:hAnsi="Times New Roman" w:cs="Times New Roman"/>
          <w:color w:val="000000"/>
          <w:sz w:val="24"/>
          <w:szCs w:val="24"/>
        </w:rPr>
      </w:pPr>
      <w:r w:rsidRPr="005C3338">
        <w:rPr>
          <w:rFonts w:ascii="Times New Roman" w:eastAsia="Times New Roman" w:hAnsi="Times New Roman" w:cs="Times New Roman"/>
          <w:bCs/>
          <w:color w:val="000000"/>
          <w:sz w:val="24"/>
          <w:szCs w:val="24"/>
          <w:highlight w:val="white"/>
        </w:rPr>
        <w:t>Medidas tomadas</w:t>
      </w:r>
      <w:r w:rsidR="003B42DD" w:rsidRPr="005C3338">
        <w:rPr>
          <w:rFonts w:ascii="Times New Roman" w:eastAsia="Times New Roman" w:hAnsi="Times New Roman" w:cs="Times New Roman"/>
          <w:bCs/>
          <w:color w:val="000000"/>
          <w:sz w:val="24"/>
          <w:szCs w:val="24"/>
          <w:highlight w:val="white"/>
        </w:rPr>
        <w:t xml:space="preserve"> para asegurar </w:t>
      </w:r>
      <w:r w:rsidR="004C20CE" w:rsidRPr="005C3338">
        <w:rPr>
          <w:rFonts w:ascii="Times New Roman" w:eastAsia="Times New Roman" w:hAnsi="Times New Roman" w:cs="Times New Roman"/>
          <w:bCs/>
          <w:color w:val="000000"/>
          <w:sz w:val="24"/>
          <w:szCs w:val="24"/>
        </w:rPr>
        <w:t>la genuina participación, sin discriminación alguna, de</w:t>
      </w:r>
      <w:r w:rsidR="004C20CE">
        <w:rPr>
          <w:rFonts w:ascii="Times New Roman" w:eastAsia="Times New Roman" w:hAnsi="Times New Roman" w:cs="Times New Roman"/>
          <w:color w:val="000000"/>
          <w:sz w:val="24"/>
          <w:szCs w:val="24"/>
        </w:rPr>
        <w:t xml:space="preserve"> todos los sectores de la sociedad en los procesos de consulta sobre asuntos de derechos humanos asociados al cumplimiento de los compromisos internacionales del Estado.</w:t>
      </w:r>
    </w:p>
    <w:p w14:paraId="5B30CECF" w14:textId="266508AD" w:rsidR="004C20CE" w:rsidRPr="004B2679" w:rsidRDefault="00750F01" w:rsidP="004B2679">
      <w:pPr>
        <w:pBdr>
          <w:top w:val="nil"/>
          <w:left w:val="nil"/>
          <w:bottom w:val="nil"/>
          <w:right w:val="nil"/>
          <w:between w:val="nil"/>
        </w:pBdr>
        <w:spacing w:before="120" w:after="120" w:line="276" w:lineRule="auto"/>
        <w:jc w:val="both"/>
        <w:rPr>
          <w:rFonts w:ascii="Times New Roman" w:eastAsia="Times New Roman" w:hAnsi="Times New Roman" w:cs="Times New Roman"/>
          <w:b/>
          <w:i/>
          <w:iCs/>
          <w:color w:val="000000"/>
          <w:sz w:val="24"/>
          <w:szCs w:val="24"/>
          <w:highlight w:val="white"/>
        </w:rPr>
      </w:pPr>
      <w:r>
        <w:rPr>
          <w:rFonts w:ascii="Times New Roman" w:eastAsia="Times New Roman" w:hAnsi="Times New Roman" w:cs="Times New Roman"/>
          <w:color w:val="000000"/>
          <w:sz w:val="24"/>
          <w:szCs w:val="24"/>
        </w:rPr>
        <w:t xml:space="preserve">Informar sobre la cantidad de personas procesadas y sentenciadas </w:t>
      </w:r>
      <w:r w:rsidR="00050C91">
        <w:rPr>
          <w:rFonts w:ascii="Times New Roman" w:eastAsia="Times New Roman" w:hAnsi="Times New Roman" w:cs="Times New Roman"/>
          <w:color w:val="000000"/>
          <w:sz w:val="24"/>
          <w:szCs w:val="24"/>
        </w:rPr>
        <w:t xml:space="preserve">por la </w:t>
      </w:r>
      <w:r w:rsidR="00050C91" w:rsidRPr="004B2679">
        <w:rPr>
          <w:rFonts w:ascii="Times New Roman" w:hAnsi="Times New Roman" w:cs="Times New Roman"/>
          <w:sz w:val="24"/>
          <w:szCs w:val="24"/>
          <w:lang w:val="es-CO"/>
        </w:rPr>
        <w:t xml:space="preserve">llamada </w:t>
      </w:r>
      <w:r w:rsidR="00050C91" w:rsidRPr="004B2679">
        <w:rPr>
          <w:rFonts w:ascii="Times New Roman" w:hAnsi="Times New Roman" w:cs="Times New Roman"/>
          <w:sz w:val="24"/>
          <w:szCs w:val="24"/>
        </w:rPr>
        <w:t xml:space="preserve">Ley Constitucional Contra el Odio, por la </w:t>
      </w:r>
      <w:r w:rsidR="00050C91" w:rsidRPr="00366B58">
        <w:rPr>
          <w:rFonts w:ascii="Times New Roman" w:hAnsi="Times New Roman" w:cs="Times New Roman"/>
          <w:sz w:val="24"/>
          <w:szCs w:val="24"/>
        </w:rPr>
        <w:t>Convivencia Pacífica y la Tolerancia</w:t>
      </w:r>
      <w:r w:rsidR="00050C91">
        <w:rPr>
          <w:rFonts w:ascii="Times New Roman" w:hAnsi="Times New Roman" w:cs="Times New Roman"/>
          <w:sz w:val="24"/>
          <w:szCs w:val="24"/>
        </w:rPr>
        <w:t xml:space="preserve">, duración de los procesos, </w:t>
      </w:r>
      <w:r w:rsidR="00CA2C67">
        <w:rPr>
          <w:rFonts w:ascii="Times New Roman" w:hAnsi="Times New Roman" w:cs="Times New Roman"/>
          <w:sz w:val="24"/>
          <w:szCs w:val="24"/>
        </w:rPr>
        <w:t>medidas</w:t>
      </w:r>
      <w:r w:rsidR="00AB4887">
        <w:rPr>
          <w:rFonts w:ascii="Times New Roman" w:hAnsi="Times New Roman" w:cs="Times New Roman"/>
          <w:sz w:val="24"/>
          <w:szCs w:val="24"/>
        </w:rPr>
        <w:t xml:space="preserve"> cautelares no privativas de libertas de los procesados y </w:t>
      </w:r>
      <w:r w:rsidR="00CA2C67">
        <w:rPr>
          <w:rFonts w:ascii="Times New Roman" w:hAnsi="Times New Roman" w:cs="Times New Roman"/>
          <w:sz w:val="24"/>
          <w:szCs w:val="24"/>
        </w:rPr>
        <w:t>sentencias emitidas, incluyendo el tipo de condena.</w:t>
      </w:r>
    </w:p>
    <w:p w14:paraId="35E8161D" w14:textId="4DB09D18" w:rsidR="00C7787D" w:rsidRDefault="00BA20DA" w:rsidP="004B2679">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Razones para eliminar parte del artículo 24 de la Ley Orgánica de Procesos Electorales que impidió la actualización y registro de electores en el exterior.</w:t>
      </w:r>
    </w:p>
    <w:p w14:paraId="763E3B78" w14:textId="2F3BB37C" w:rsidR="00C86FFF" w:rsidRDefault="00DC1448" w:rsidP="004B2679">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Aplicación efectiva de m</w:t>
      </w:r>
      <w:r w:rsidR="00C86FFF">
        <w:rPr>
          <w:rFonts w:ascii="Times New Roman" w:hAnsi="Times New Roman" w:cs="Times New Roman"/>
          <w:sz w:val="24"/>
          <w:szCs w:val="24"/>
        </w:rPr>
        <w:t xml:space="preserve">ecanismos de consulta para asegurar la participación de los pueblos indígenas en </w:t>
      </w:r>
      <w:r w:rsidR="00AF06B5">
        <w:rPr>
          <w:rFonts w:ascii="Times New Roman" w:hAnsi="Times New Roman" w:cs="Times New Roman"/>
          <w:sz w:val="24"/>
          <w:szCs w:val="24"/>
        </w:rPr>
        <w:t>la formulación de normas que afectan directamente sus derechos.</w:t>
      </w:r>
    </w:p>
    <w:p w14:paraId="1BB80B4D" w14:textId="36DD67A3" w:rsidR="00AF06B5" w:rsidRPr="004B2679" w:rsidRDefault="00442A92" w:rsidP="004B2679">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Cantidad efectiva de migrantes retornados a Venezuela con fuentes y metodología de recolección de </w:t>
      </w:r>
      <w:r w:rsidR="002E24ED">
        <w:rPr>
          <w:rFonts w:ascii="Times New Roman" w:hAnsi="Times New Roman" w:cs="Times New Roman"/>
          <w:sz w:val="24"/>
          <w:szCs w:val="24"/>
        </w:rPr>
        <w:t>información.</w:t>
      </w:r>
    </w:p>
    <w:sectPr w:rsidR="00AF06B5" w:rsidRPr="004B2679" w:rsidSect="001E5F2E">
      <w:headerReference w:type="default" r:id="rId11"/>
      <w:footerReference w:type="defaul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EF775" w14:textId="77777777" w:rsidR="0004587E" w:rsidRDefault="0004587E" w:rsidP="00CA1065">
      <w:pPr>
        <w:spacing w:after="0" w:line="240" w:lineRule="auto"/>
      </w:pPr>
      <w:r>
        <w:separator/>
      </w:r>
    </w:p>
  </w:endnote>
  <w:endnote w:type="continuationSeparator" w:id="0">
    <w:p w14:paraId="260C2537" w14:textId="77777777" w:rsidR="0004587E" w:rsidRDefault="0004587E" w:rsidP="00CA1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Quattrocento Sans">
    <w:charset w:val="00"/>
    <w:family w:val="swiss"/>
    <w:pitch w:val="variable"/>
    <w:sig w:usb0="800000BF" w:usb1="4000005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38804498"/>
      <w:docPartObj>
        <w:docPartGallery w:val="Page Numbers (Bottom of Page)"/>
        <w:docPartUnique/>
      </w:docPartObj>
    </w:sdtPr>
    <w:sdtEndPr/>
    <w:sdtContent>
      <w:p w14:paraId="517CAF68" w14:textId="0CA4C354" w:rsidR="001E5F2E" w:rsidRDefault="001E5F2E">
        <w:pPr>
          <w:pStyle w:val="Piedepgina"/>
          <w:jc w:val="center"/>
        </w:pPr>
        <w:r>
          <w:fldChar w:fldCharType="begin"/>
        </w:r>
        <w:r>
          <w:instrText>PAGE   \* MERGEFORMAT</w:instrText>
        </w:r>
        <w:r>
          <w:fldChar w:fldCharType="separate"/>
        </w:r>
        <w:r>
          <w:rPr>
            <w:lang w:val="es-ES"/>
          </w:rPr>
          <w:t>2</w:t>
        </w:r>
        <w:r>
          <w:fldChar w:fldCharType="end"/>
        </w:r>
      </w:p>
    </w:sdtContent>
  </w:sdt>
  <w:p w14:paraId="66A3B9BF" w14:textId="77777777" w:rsidR="001E5F2E" w:rsidRDefault="001E5F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2B57F" w14:textId="77777777" w:rsidR="0004587E" w:rsidRDefault="0004587E" w:rsidP="00CA1065">
      <w:pPr>
        <w:spacing w:after="0" w:line="240" w:lineRule="auto"/>
      </w:pPr>
      <w:r>
        <w:separator/>
      </w:r>
    </w:p>
  </w:footnote>
  <w:footnote w:type="continuationSeparator" w:id="0">
    <w:p w14:paraId="050CA2F5" w14:textId="77777777" w:rsidR="0004587E" w:rsidRDefault="0004587E" w:rsidP="00CA1065">
      <w:pPr>
        <w:spacing w:after="0" w:line="240" w:lineRule="auto"/>
      </w:pPr>
      <w:r>
        <w:continuationSeparator/>
      </w:r>
    </w:p>
  </w:footnote>
  <w:footnote w:id="1">
    <w:p w14:paraId="1CB9B659" w14:textId="5EE26D70" w:rsidR="00037F71" w:rsidRPr="00C24E3B" w:rsidRDefault="00CA1065" w:rsidP="00C24E3B">
      <w:pPr>
        <w:pBdr>
          <w:top w:val="nil"/>
          <w:left w:val="nil"/>
          <w:bottom w:val="nil"/>
          <w:right w:val="nil"/>
          <w:between w:val="nil"/>
        </w:pBdr>
        <w:spacing w:after="0" w:line="240" w:lineRule="auto"/>
        <w:rPr>
          <w:rFonts w:ascii="Times New Roman" w:eastAsia="Quattrocento Sans" w:hAnsi="Times New Roman" w:cs="Times New Roman"/>
          <w:color w:val="7F7F7F" w:themeColor="text1" w:themeTint="80"/>
          <w:sz w:val="20"/>
          <w:szCs w:val="20"/>
        </w:rPr>
      </w:pPr>
      <w:r w:rsidRPr="00C24E3B">
        <w:rPr>
          <w:rFonts w:ascii="Times New Roman" w:hAnsi="Times New Roman" w:cs="Times New Roman"/>
          <w:color w:val="7F7F7F" w:themeColor="text1" w:themeTint="80"/>
          <w:sz w:val="20"/>
          <w:szCs w:val="20"/>
          <w:vertAlign w:val="superscript"/>
        </w:rPr>
        <w:footnoteRef/>
      </w:r>
      <w:r w:rsidR="009A1B84" w:rsidRPr="00C24E3B">
        <w:rPr>
          <w:rFonts w:ascii="Times New Roman" w:eastAsia="Quattrocento Sans" w:hAnsi="Times New Roman" w:cs="Times New Roman"/>
          <w:color w:val="7F7F7F" w:themeColor="text1" w:themeTint="80"/>
          <w:sz w:val="20"/>
          <w:szCs w:val="20"/>
        </w:rPr>
        <w:t xml:space="preserve"> </w:t>
      </w:r>
      <w:r w:rsidR="009A1B84" w:rsidRPr="00C24E3B">
        <w:rPr>
          <w:rFonts w:ascii="Times New Roman" w:eastAsia="Quattrocento Sans" w:hAnsi="Times New Roman" w:cs="Times New Roman"/>
          <w:b/>
          <w:bCs/>
          <w:color w:val="7F7F7F" w:themeColor="text1" w:themeTint="80"/>
          <w:sz w:val="20"/>
          <w:szCs w:val="20"/>
        </w:rPr>
        <w:t xml:space="preserve">AlertaVenezuela </w:t>
      </w:r>
      <w:r w:rsidR="008146E9" w:rsidRPr="00C24E3B">
        <w:rPr>
          <w:rFonts w:ascii="Times New Roman" w:hAnsi="Times New Roman" w:cs="Times New Roman"/>
          <w:color w:val="7F7F7F" w:themeColor="text1" w:themeTint="80"/>
          <w:sz w:val="20"/>
          <w:szCs w:val="20"/>
        </w:rPr>
        <w:t>fue fundada en septiembre de 2019, como una iniciativa de información y análisis que alimenta de manera regular y estratégica a las instancias internacionales de decisión política, desde una perspectiva de derechos, a partir de la información generada por las organizaciones aliadas en Venezuela y otras de producción propia.</w:t>
      </w:r>
    </w:p>
    <w:p w14:paraId="351F1C05" w14:textId="02FC778A" w:rsidR="00A46E20" w:rsidRPr="00C24E3B" w:rsidRDefault="00CA1065" w:rsidP="00C24E3B">
      <w:pPr>
        <w:pBdr>
          <w:top w:val="nil"/>
          <w:left w:val="nil"/>
          <w:bottom w:val="nil"/>
          <w:right w:val="nil"/>
          <w:between w:val="nil"/>
        </w:pBdr>
        <w:spacing w:after="0" w:line="240" w:lineRule="auto"/>
        <w:rPr>
          <w:rFonts w:ascii="Times New Roman" w:eastAsia="Quattrocento Sans" w:hAnsi="Times New Roman" w:cs="Times New Roman"/>
          <w:color w:val="7F7F7F" w:themeColor="text1" w:themeTint="80"/>
          <w:sz w:val="20"/>
          <w:szCs w:val="20"/>
        </w:rPr>
      </w:pPr>
      <w:r w:rsidRPr="00C24E3B">
        <w:rPr>
          <w:rFonts w:ascii="Times New Roman" w:eastAsia="Quattrocento Sans" w:hAnsi="Times New Roman" w:cs="Times New Roman"/>
          <w:color w:val="7F7F7F" w:themeColor="text1" w:themeTint="80"/>
          <w:sz w:val="20"/>
          <w:szCs w:val="20"/>
        </w:rPr>
        <w:t xml:space="preserve">El </w:t>
      </w:r>
      <w:r w:rsidRPr="00C24E3B">
        <w:rPr>
          <w:rFonts w:ascii="Times New Roman" w:eastAsia="Quattrocento Sans" w:hAnsi="Times New Roman" w:cs="Times New Roman"/>
          <w:b/>
          <w:bCs/>
          <w:color w:val="7F7F7F" w:themeColor="text1" w:themeTint="80"/>
          <w:sz w:val="20"/>
          <w:szCs w:val="20"/>
        </w:rPr>
        <w:t>CDH UCAB</w:t>
      </w:r>
      <w:r w:rsidRPr="00C24E3B">
        <w:rPr>
          <w:rFonts w:ascii="Times New Roman" w:eastAsia="Quattrocento Sans" w:hAnsi="Times New Roman" w:cs="Times New Roman"/>
          <w:color w:val="7F7F7F" w:themeColor="text1" w:themeTint="80"/>
          <w:sz w:val="20"/>
          <w:szCs w:val="20"/>
        </w:rPr>
        <w:t xml:space="preserve"> fue fundado en noviembre de 1999, como un centro universitario que combina la labor de investigación, docencia, extensión y defensa de casos emblemáticos. Sus líneas de acción son: derecho a la participación política, libertad de expresión, derechos de refugiados, solicitantes de refugio y migrantes, sistemas internacionales de protección de derechos humanos</w:t>
      </w:r>
      <w:r w:rsidR="00A46E20" w:rsidRPr="00C24E3B">
        <w:rPr>
          <w:rFonts w:ascii="Times New Roman" w:hAnsi="Times New Roman" w:cs="Times New Roman"/>
          <w:color w:val="7F7F7F" w:themeColor="text1" w:themeTint="80"/>
          <w:sz w:val="20"/>
          <w:szCs w:val="20"/>
          <w:shd w:val="clear" w:color="auto" w:fill="FFFFFF"/>
        </w:rPr>
        <w:t>.</w:t>
      </w:r>
    </w:p>
  </w:footnote>
  <w:footnote w:id="2">
    <w:p w14:paraId="7169B370" w14:textId="77777777" w:rsidR="00F5706D" w:rsidRPr="00C24E3B" w:rsidRDefault="00F5706D" w:rsidP="00C24E3B">
      <w:pPr>
        <w:pBdr>
          <w:top w:val="nil"/>
          <w:left w:val="nil"/>
          <w:bottom w:val="nil"/>
          <w:right w:val="nil"/>
          <w:between w:val="nil"/>
        </w:pBdr>
        <w:spacing w:after="0" w:line="240" w:lineRule="auto"/>
        <w:rPr>
          <w:rFonts w:ascii="Times New Roman" w:eastAsia="Times New Roman" w:hAnsi="Times New Roman" w:cs="Times New Roman"/>
          <w:color w:val="7F7F7F" w:themeColor="text1" w:themeTint="80"/>
          <w:sz w:val="20"/>
          <w:szCs w:val="20"/>
        </w:rPr>
      </w:pPr>
      <w:r w:rsidRPr="00C24E3B">
        <w:rPr>
          <w:rFonts w:ascii="Times New Roman" w:hAnsi="Times New Roman" w:cs="Times New Roman"/>
          <w:color w:val="7F7F7F" w:themeColor="text1" w:themeTint="80"/>
          <w:sz w:val="20"/>
          <w:szCs w:val="20"/>
          <w:vertAlign w:val="superscript"/>
        </w:rPr>
        <w:footnoteRef/>
      </w:r>
      <w:r w:rsidRPr="00C24E3B">
        <w:rPr>
          <w:rFonts w:ascii="Times New Roman" w:eastAsia="Times New Roman" w:hAnsi="Times New Roman" w:cs="Times New Roman"/>
          <w:color w:val="7F7F7F" w:themeColor="text1" w:themeTint="80"/>
          <w:sz w:val="20"/>
          <w:szCs w:val="20"/>
        </w:rPr>
        <w:t xml:space="preserve"> CDH UCAB y otros: Hoja Informativa. Segundo ciclo EPU Venezuela. Disponible en: </w:t>
      </w:r>
      <w:hyperlink r:id="rId1">
        <w:r w:rsidRPr="00C24E3B">
          <w:rPr>
            <w:rFonts w:ascii="Times New Roman" w:eastAsia="Times New Roman" w:hAnsi="Times New Roman" w:cs="Times New Roman"/>
            <w:color w:val="7F7F7F" w:themeColor="text1" w:themeTint="80"/>
            <w:sz w:val="20"/>
            <w:szCs w:val="20"/>
            <w:u w:val="single"/>
          </w:rPr>
          <w:t>http://w2.ucab.edu.ve/tl_files/CDH/imagenes/Epu%20Vzla%202016/Defensoria%20del%20Pueblo%20EPU%20VEN%20Resumen.pdf</w:t>
        </w:r>
      </w:hyperlink>
      <w:r w:rsidRPr="00C24E3B">
        <w:rPr>
          <w:rFonts w:ascii="Times New Roman" w:eastAsia="Times New Roman" w:hAnsi="Times New Roman" w:cs="Times New Roman"/>
          <w:color w:val="7F7F7F" w:themeColor="text1" w:themeTint="80"/>
          <w:sz w:val="20"/>
          <w:szCs w:val="20"/>
        </w:rPr>
        <w:t xml:space="preserve"> </w:t>
      </w:r>
    </w:p>
  </w:footnote>
  <w:footnote w:id="3">
    <w:p w14:paraId="548412EC" w14:textId="3858A2B6" w:rsidR="00C61E5C" w:rsidRPr="00C24E3B" w:rsidRDefault="00C61E5C"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2" w:history="1">
        <w:r w:rsidRPr="00C24E3B">
          <w:rPr>
            <w:rStyle w:val="Hipervnculo"/>
            <w:rFonts w:ascii="Times New Roman" w:hAnsi="Times New Roman" w:cs="Times New Roman"/>
            <w:color w:val="7F7F7F" w:themeColor="text1" w:themeTint="80"/>
          </w:rPr>
          <w:t>http://www.defensoria.gob.ve/index.php/zona-informativa/informes/anuales/</w:t>
        </w:r>
      </w:hyperlink>
      <w:r w:rsidRPr="00C24E3B">
        <w:rPr>
          <w:rFonts w:ascii="Times New Roman" w:hAnsi="Times New Roman" w:cs="Times New Roman"/>
          <w:color w:val="7F7F7F" w:themeColor="text1" w:themeTint="80"/>
        </w:rPr>
        <w:t xml:space="preserve"> </w:t>
      </w:r>
    </w:p>
  </w:footnote>
  <w:footnote w:id="4">
    <w:p w14:paraId="37B818B9" w14:textId="0DA1F826" w:rsidR="00DC229A" w:rsidRPr="00C24E3B" w:rsidRDefault="00DC229A"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3" w:history="1">
        <w:r w:rsidRPr="00C24E3B">
          <w:rPr>
            <w:rStyle w:val="Hipervnculo"/>
            <w:rFonts w:ascii="Times New Roman" w:hAnsi="Times New Roman" w:cs="Times New Roman"/>
            <w:color w:val="7F7F7F" w:themeColor="text1" w:themeTint="80"/>
            <w:shd w:val="clear" w:color="auto" w:fill="FFFFFF"/>
          </w:rPr>
          <w:t>https://www.elimpulso.com/2023/02/19/entrevistadominical-afirma-liborio-guarulla-todos-los-procesos-de-primarias-han-terminado-en-desastre-19feb/</w:t>
        </w:r>
      </w:hyperlink>
    </w:p>
  </w:footnote>
  <w:footnote w:id="5">
    <w:p w14:paraId="2ABD15A9" w14:textId="52C8B835" w:rsidR="0034336E" w:rsidRPr="00C24E3B" w:rsidRDefault="0034336E"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Comisión </w:t>
      </w:r>
      <w:r w:rsidR="0092534D" w:rsidRPr="00C24E3B">
        <w:rPr>
          <w:rFonts w:ascii="Times New Roman" w:hAnsi="Times New Roman" w:cs="Times New Roman"/>
          <w:color w:val="7F7F7F" w:themeColor="text1" w:themeTint="80"/>
        </w:rPr>
        <w:t>Interamericana</w:t>
      </w:r>
      <w:r w:rsidRPr="00C24E3B">
        <w:rPr>
          <w:rFonts w:ascii="Times New Roman" w:hAnsi="Times New Roman" w:cs="Times New Roman"/>
          <w:color w:val="7F7F7F" w:themeColor="text1" w:themeTint="80"/>
        </w:rPr>
        <w:t xml:space="preserve"> de Derechos Humanos. </w:t>
      </w:r>
      <w:hyperlink r:id="rId4" w:history="1">
        <w:r w:rsidRPr="00C24E3B">
          <w:rPr>
            <w:rStyle w:val="Hipervnculo"/>
            <w:rFonts w:ascii="Times New Roman" w:hAnsi="Times New Roman" w:cs="Times New Roman"/>
            <w:color w:val="7F7F7F" w:themeColor="text1" w:themeTint="80"/>
          </w:rPr>
          <w:t>https://www.oas.org/es/cidh/decisiones/Corte/2024/VE_14.142_NdeREs.PDF</w:t>
        </w:r>
      </w:hyperlink>
    </w:p>
  </w:footnote>
  <w:footnote w:id="6">
    <w:p w14:paraId="11DA5776" w14:textId="77777777" w:rsidR="00890C99" w:rsidRPr="00C24E3B" w:rsidRDefault="00890C99"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Espacio Público. Incitación al odio: balance de una ley de criminalización y los desafíos del problema real. Disponible: </w:t>
      </w:r>
      <w:hyperlink r:id="rId5" w:anchor="_ftn28" w:history="1">
        <w:r w:rsidRPr="00C24E3B">
          <w:rPr>
            <w:rStyle w:val="Hipervnculo"/>
            <w:rFonts w:ascii="Times New Roman" w:hAnsi="Times New Roman" w:cs="Times New Roman"/>
            <w:color w:val="7F7F7F" w:themeColor="text1" w:themeTint="80"/>
          </w:rPr>
          <w:t>Incitación al odio: balance de una ley criminalizante y los desafíos del problema real - Espacio Público (espaciopublico.ong)</w:t>
        </w:r>
      </w:hyperlink>
      <w:r w:rsidRPr="00C24E3B">
        <w:rPr>
          <w:rFonts w:ascii="Times New Roman" w:hAnsi="Times New Roman" w:cs="Times New Roman"/>
          <w:color w:val="7F7F7F" w:themeColor="text1" w:themeTint="80"/>
        </w:rPr>
        <w:t xml:space="preserve">; A tres años de la “ley contra el odio”. Disponible: </w:t>
      </w:r>
      <w:hyperlink r:id="rId6" w:history="1">
        <w:r w:rsidRPr="00C24E3B">
          <w:rPr>
            <w:rStyle w:val="Hipervnculo"/>
            <w:rFonts w:ascii="Times New Roman" w:hAnsi="Times New Roman" w:cs="Times New Roman"/>
            <w:color w:val="7F7F7F" w:themeColor="text1" w:themeTint="80"/>
          </w:rPr>
          <w:t>A tres años de la “ley contra el odio” - Espacio Público (espaciopublico.ong)</w:t>
        </w:r>
      </w:hyperlink>
    </w:p>
  </w:footnote>
  <w:footnote w:id="7">
    <w:p w14:paraId="3E28ECE5" w14:textId="77777777" w:rsidR="004D454B" w:rsidRPr="00C24E3B" w:rsidRDefault="004D454B" w:rsidP="00C24E3B">
      <w:pPr>
        <w:pStyle w:val="Textonotapie"/>
        <w:rPr>
          <w:rFonts w:ascii="Times New Roman" w:hAnsi="Times New Roman" w:cs="Times New Roman"/>
          <w:color w:val="7F7F7F" w:themeColor="text1" w:themeTint="80"/>
          <w:lang w:val="es-ES"/>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La versión disponible fue publicada en medios de comunicación y redes sociales. A la fecha, no se encuentra disponible de manera formal en la página web de la Asamblea Nacional. </w:t>
      </w:r>
      <w:r w:rsidRPr="00C24E3B">
        <w:rPr>
          <w:rFonts w:ascii="Times New Roman" w:hAnsi="Times New Roman" w:cs="Times New Roman"/>
          <w:color w:val="7F7F7F" w:themeColor="text1" w:themeTint="80"/>
          <w:lang w:val="es-ES"/>
        </w:rPr>
        <w:t>Disponible: </w:t>
      </w:r>
      <w:hyperlink r:id="rId7" w:history="1">
        <w:r w:rsidRPr="00C24E3B">
          <w:rPr>
            <w:rFonts w:ascii="Times New Roman" w:hAnsi="Times New Roman" w:cs="Times New Roman"/>
            <w:color w:val="7F7F7F" w:themeColor="text1" w:themeTint="80"/>
            <w:lang w:val="es-ES"/>
          </w:rPr>
          <w:t>https://www.laiguana.tv/wp-content/uploads/2024/04/Proyecto-de-Ley-contra-el-Fascismo-020424.pdf</w:t>
        </w:r>
      </w:hyperlink>
      <w:r w:rsidRPr="00C24E3B">
        <w:rPr>
          <w:rFonts w:ascii="Times New Roman" w:hAnsi="Times New Roman" w:cs="Times New Roman"/>
          <w:color w:val="7F7F7F" w:themeColor="text1" w:themeTint="80"/>
          <w:lang w:val="es-ES"/>
        </w:rPr>
        <w:t xml:space="preserve">; para más información, </w:t>
      </w:r>
      <w:r w:rsidRPr="00C24E3B">
        <w:rPr>
          <w:rFonts w:ascii="Times New Roman" w:hAnsi="Times New Roman" w:cs="Times New Roman"/>
          <w:color w:val="7F7F7F" w:themeColor="text1" w:themeTint="80"/>
        </w:rPr>
        <w:t xml:space="preserve">Espacio Público. Ley contra el odio y el fascismo, dos caras de una misma moneda. Disponible: </w:t>
      </w:r>
      <w:hyperlink r:id="rId8" w:history="1">
        <w:r w:rsidRPr="00C24E3B">
          <w:rPr>
            <w:rStyle w:val="Hipervnculo"/>
            <w:rFonts w:ascii="Times New Roman" w:hAnsi="Times New Roman" w:cs="Times New Roman"/>
            <w:color w:val="7F7F7F" w:themeColor="text1" w:themeTint="80"/>
          </w:rPr>
          <w:t>Ley contra el odio y el fascismo, dos caras de una misma moneda (espaciopublico.ong)</w:t>
        </w:r>
      </w:hyperlink>
    </w:p>
  </w:footnote>
  <w:footnote w:id="8">
    <w:p w14:paraId="3B943CB6" w14:textId="77777777" w:rsidR="00B62C62" w:rsidRPr="00C24E3B" w:rsidRDefault="00B62C62"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Espacio Público. Ley contra el odio y el fascismo, dos caras de una misma moneda. Disponible: </w:t>
      </w:r>
      <w:hyperlink r:id="rId9" w:history="1">
        <w:r w:rsidRPr="00C24E3B">
          <w:rPr>
            <w:rStyle w:val="Hipervnculo"/>
            <w:rFonts w:ascii="Times New Roman" w:hAnsi="Times New Roman" w:cs="Times New Roman"/>
            <w:color w:val="7F7F7F" w:themeColor="text1" w:themeTint="80"/>
          </w:rPr>
          <w:t>Ley contra el odio y el fascismo, dos caras de una misma moneda (espaciopublico.ong)</w:t>
        </w:r>
      </w:hyperlink>
    </w:p>
  </w:footnote>
  <w:footnote w:id="9">
    <w:p w14:paraId="6BD71489" w14:textId="77777777" w:rsidR="009C3395" w:rsidRPr="00C24E3B" w:rsidRDefault="009C3395"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AlertaVenezuela, Espacio Público y Voto Joven. Barreras al registro electoral en el exterior. Disponible: </w:t>
      </w:r>
      <w:hyperlink r:id="rId10" w:history="1">
        <w:r w:rsidRPr="00C24E3B">
          <w:rPr>
            <w:rStyle w:val="Hipervnculo"/>
            <w:rFonts w:ascii="Times New Roman" w:hAnsi="Times New Roman" w:cs="Times New Roman"/>
            <w:color w:val="7F7F7F" w:themeColor="text1" w:themeTint="80"/>
          </w:rPr>
          <w:t>BARERAS-AL-REGISTRO-ELECTORAL-EN-EL-EXTERIOR.pdf (alertavenezuela.org)</w:t>
        </w:r>
      </w:hyperlink>
    </w:p>
  </w:footnote>
  <w:footnote w:id="10">
    <w:p w14:paraId="429AC46F" w14:textId="3A224BBB" w:rsidR="006151DA" w:rsidRPr="00C24E3B" w:rsidRDefault="006151DA"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1" w:history="1">
        <w:r w:rsidRPr="00C24E3B">
          <w:rPr>
            <w:rStyle w:val="Hipervnculo"/>
            <w:rFonts w:ascii="Times New Roman" w:hAnsi="Times New Roman" w:cs="Times New Roman"/>
            <w:color w:val="7F7F7F" w:themeColor="text1" w:themeTint="80"/>
          </w:rPr>
          <w:t>http://www.cne.gob.ve/web/normativa_electoral/ley_organica_procesos_electorales/indice.php</w:t>
        </w:r>
      </w:hyperlink>
      <w:r w:rsidRPr="00C24E3B">
        <w:rPr>
          <w:rFonts w:ascii="Times New Roman" w:hAnsi="Times New Roman" w:cs="Times New Roman"/>
          <w:color w:val="7F7F7F" w:themeColor="text1" w:themeTint="80"/>
        </w:rPr>
        <w:t xml:space="preserve"> </w:t>
      </w:r>
    </w:p>
  </w:footnote>
  <w:footnote w:id="11">
    <w:p w14:paraId="51646BB7" w14:textId="77777777" w:rsidR="000B0635" w:rsidRPr="00C24E3B" w:rsidRDefault="000B0635"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Comisión Interamericana de Derechos Humanos. CIDH: Venezuela debe garantizar el derecho al voto de connacionales que residen en el extranjero, sin distinción de su estatus migratorio. Disponible: </w:t>
      </w:r>
      <w:hyperlink r:id="rId12" w:history="1">
        <w:r w:rsidRPr="00C24E3B">
          <w:rPr>
            <w:rStyle w:val="Hipervnculo"/>
            <w:rFonts w:ascii="Times New Roman" w:hAnsi="Times New Roman" w:cs="Times New Roman"/>
            <w:color w:val="7F7F7F" w:themeColor="text1" w:themeTint="80"/>
          </w:rPr>
          <w:t>CIDH: Venezuela debe garantizar el derecho al voto de connacionales que residen en el extranjero, sin distinción de su estatus migratorio (oas.org)</w:t>
        </w:r>
      </w:hyperlink>
    </w:p>
  </w:footnote>
  <w:footnote w:id="12">
    <w:p w14:paraId="44F99747" w14:textId="3E94C43C" w:rsidR="00C45FD0" w:rsidRPr="00C24E3B" w:rsidRDefault="00C45FD0"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3" w:history="1">
        <w:r w:rsidRPr="00C24E3B">
          <w:rPr>
            <w:rStyle w:val="Hipervnculo"/>
            <w:rFonts w:ascii="Times New Roman" w:hAnsi="Times New Roman" w:cs="Times New Roman"/>
            <w:color w:val="7F7F7F" w:themeColor="text1" w:themeTint="80"/>
          </w:rPr>
          <w:t>http://www.cne.gob.ve/web/normativa_electoral/elecciones/2020/asamblea_nacional/documentos/reglamento_especial_para_regular_la_elecci%C3%B3n_de_la_representaci%C3%B3n_ind%C3%ADgena_en_la_asamblea_nacional_2020.pdf</w:t>
        </w:r>
      </w:hyperlink>
      <w:r w:rsidRPr="00C24E3B">
        <w:rPr>
          <w:rFonts w:ascii="Times New Roman" w:hAnsi="Times New Roman" w:cs="Times New Roman"/>
          <w:color w:val="7F7F7F" w:themeColor="text1" w:themeTint="80"/>
        </w:rPr>
        <w:t xml:space="preserve"> </w:t>
      </w:r>
    </w:p>
  </w:footnote>
  <w:footnote w:id="13">
    <w:p w14:paraId="551B931B" w14:textId="7AA9871A" w:rsidR="0045316B" w:rsidRPr="00C24E3B" w:rsidRDefault="0045316B"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4" w:history="1">
        <w:r w:rsidRPr="00C24E3B">
          <w:rPr>
            <w:rStyle w:val="Hipervnculo"/>
            <w:rFonts w:ascii="Times New Roman" w:hAnsi="Times New Roman" w:cs="Times New Roman"/>
            <w:color w:val="7F7F7F" w:themeColor="text1" w:themeTint="80"/>
          </w:rPr>
          <w:t>https://www.radiofeyalegrianoticias.com/eleccion-de-segundo-grado-para-los-indigenas-dos-enfoque-errados/</w:t>
        </w:r>
      </w:hyperlink>
      <w:r w:rsidRPr="00C24E3B">
        <w:rPr>
          <w:rFonts w:ascii="Times New Roman" w:hAnsi="Times New Roman" w:cs="Times New Roman"/>
          <w:color w:val="7F7F7F" w:themeColor="text1" w:themeTint="80"/>
        </w:rPr>
        <w:t xml:space="preserve"> </w:t>
      </w:r>
    </w:p>
  </w:footnote>
  <w:footnote w:id="14">
    <w:p w14:paraId="097C5300" w14:textId="7E828AA0" w:rsidR="00F60EFB" w:rsidRPr="00C24E3B" w:rsidRDefault="00F60EFB"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5" w:history="1">
        <w:r w:rsidR="00D94686" w:rsidRPr="00C24E3B">
          <w:rPr>
            <w:rStyle w:val="Hipervnculo"/>
            <w:rFonts w:ascii="Times New Roman" w:hAnsi="Times New Roman" w:cs="Times New Roman"/>
            <w:color w:val="7F7F7F" w:themeColor="text1" w:themeTint="80"/>
          </w:rPr>
          <w:t>https://www.radiofeyalegrianoticias.com/exigen-al-cne-derogar-elecciones-de-segundo-grado-para-los-indigenas/</w:t>
        </w:r>
      </w:hyperlink>
      <w:r w:rsidR="00D94686" w:rsidRPr="00C24E3B">
        <w:rPr>
          <w:rFonts w:ascii="Times New Roman" w:hAnsi="Times New Roman" w:cs="Times New Roman"/>
          <w:color w:val="7F7F7F" w:themeColor="text1" w:themeTint="80"/>
        </w:rPr>
        <w:t xml:space="preserve"> </w:t>
      </w:r>
    </w:p>
  </w:footnote>
  <w:footnote w:id="15">
    <w:p w14:paraId="68C572EE" w14:textId="4646285B" w:rsidR="00225D86" w:rsidRPr="00C24E3B" w:rsidRDefault="00225D86"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6" w:history="1">
        <w:r w:rsidRPr="00C24E3B">
          <w:rPr>
            <w:rStyle w:val="Hipervnculo"/>
            <w:rFonts w:ascii="Times New Roman" w:hAnsi="Times New Roman" w:cs="Times New Roman"/>
            <w:color w:val="7F7F7F" w:themeColor="text1" w:themeTint="80"/>
          </w:rPr>
          <w:t>https://www.france24.com/es/20180829-venezuela-niega-la-crisis-migratoria-que-desborda-america-latina</w:t>
        </w:r>
      </w:hyperlink>
      <w:r w:rsidRPr="00C24E3B">
        <w:rPr>
          <w:rFonts w:ascii="Times New Roman" w:hAnsi="Times New Roman" w:cs="Times New Roman"/>
          <w:color w:val="7F7F7F" w:themeColor="text1" w:themeTint="80"/>
        </w:rPr>
        <w:t xml:space="preserve"> </w:t>
      </w:r>
    </w:p>
  </w:footnote>
  <w:footnote w:id="16">
    <w:p w14:paraId="41B69530" w14:textId="017931B3" w:rsidR="004A33D8" w:rsidRPr="00C24E3B" w:rsidRDefault="004A33D8" w:rsidP="00C24E3B">
      <w:pPr>
        <w:pStyle w:val="Textonotapie"/>
        <w:rPr>
          <w:rFonts w:ascii="Times New Roman" w:hAnsi="Times New Roman" w:cs="Times New Roman"/>
          <w:color w:val="7F7F7F" w:themeColor="text1" w:themeTint="80"/>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7" w:history="1">
        <w:r w:rsidRPr="00C24E3B">
          <w:rPr>
            <w:rStyle w:val="Hipervnculo"/>
            <w:rFonts w:ascii="Times New Roman" w:hAnsi="Times New Roman" w:cs="Times New Roman"/>
            <w:color w:val="7F7F7F" w:themeColor="text1" w:themeTint="80"/>
          </w:rPr>
          <w:t>https://ln5.sync.com/dl/488d9d360/uqapd6ar-3f57w2k8-mxx3tywn-8e7wqkj5/view/doc/7901655340014</w:t>
        </w:r>
      </w:hyperlink>
      <w:r w:rsidRPr="00C24E3B">
        <w:rPr>
          <w:rFonts w:ascii="Times New Roman" w:hAnsi="Times New Roman" w:cs="Times New Roman"/>
          <w:color w:val="7F7F7F" w:themeColor="text1" w:themeTint="80"/>
        </w:rPr>
        <w:t xml:space="preserve"> </w:t>
      </w:r>
    </w:p>
  </w:footnote>
  <w:footnote w:id="17">
    <w:p w14:paraId="00D174A7" w14:textId="0605BC2C" w:rsidR="00D94DDD" w:rsidRPr="00C24E3B" w:rsidRDefault="00D94DDD"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8" w:history="1">
        <w:r w:rsidRPr="00C24E3B">
          <w:rPr>
            <w:rStyle w:val="Hipervnculo"/>
            <w:rFonts w:ascii="Times New Roman" w:hAnsi="Times New Roman" w:cs="Times New Roman"/>
            <w:color w:val="7F7F7F" w:themeColor="text1" w:themeTint="80"/>
          </w:rPr>
          <w:t>https://news.un.org/es/story/2022/09/1515221</w:t>
        </w:r>
      </w:hyperlink>
      <w:r w:rsidRPr="00C24E3B">
        <w:rPr>
          <w:rFonts w:ascii="Times New Roman" w:hAnsi="Times New Roman" w:cs="Times New Roman"/>
          <w:color w:val="7F7F7F" w:themeColor="text1" w:themeTint="80"/>
        </w:rPr>
        <w:t xml:space="preserve"> </w:t>
      </w:r>
    </w:p>
  </w:footnote>
  <w:footnote w:id="18">
    <w:p w14:paraId="3FADE233" w14:textId="413D4740" w:rsidR="00A45C24" w:rsidRPr="00C24E3B" w:rsidRDefault="00A45C24"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19" w:history="1">
        <w:r w:rsidR="0002205C" w:rsidRPr="00C24E3B">
          <w:rPr>
            <w:rStyle w:val="Hipervnculo"/>
            <w:rFonts w:ascii="Times New Roman" w:hAnsi="Times New Roman" w:cs="Times New Roman"/>
            <w:color w:val="7F7F7F" w:themeColor="text1" w:themeTint="80"/>
          </w:rPr>
          <w:t>https://www.vozdeamerica.com/a/venezuela-vuelos-deportados-eeuu-mexico-/7502980.html</w:t>
        </w:r>
      </w:hyperlink>
      <w:r w:rsidR="0002205C" w:rsidRPr="00C24E3B">
        <w:rPr>
          <w:rFonts w:ascii="Times New Roman" w:hAnsi="Times New Roman" w:cs="Times New Roman"/>
          <w:color w:val="7F7F7F" w:themeColor="text1" w:themeTint="80"/>
        </w:rPr>
        <w:t xml:space="preserve"> </w:t>
      </w:r>
    </w:p>
  </w:footnote>
  <w:footnote w:id="19">
    <w:p w14:paraId="6987A854" w14:textId="34308644" w:rsidR="00576D4A" w:rsidRPr="00C24E3B" w:rsidRDefault="00576D4A" w:rsidP="00C24E3B">
      <w:pPr>
        <w:pStyle w:val="Textonotapie"/>
        <w:rPr>
          <w:rFonts w:ascii="Times New Roman" w:hAnsi="Times New Roman" w:cs="Times New Roman"/>
          <w:color w:val="7F7F7F" w:themeColor="text1" w:themeTint="80"/>
          <w:lang w:val="es-CO"/>
        </w:rPr>
      </w:pPr>
      <w:r w:rsidRPr="00C24E3B">
        <w:rPr>
          <w:rStyle w:val="Refdenotaalpie"/>
          <w:rFonts w:ascii="Times New Roman" w:hAnsi="Times New Roman" w:cs="Times New Roman"/>
          <w:color w:val="7F7F7F" w:themeColor="text1" w:themeTint="80"/>
        </w:rPr>
        <w:footnoteRef/>
      </w:r>
      <w:r w:rsidRPr="00C24E3B">
        <w:rPr>
          <w:rFonts w:ascii="Times New Roman" w:hAnsi="Times New Roman" w:cs="Times New Roman"/>
          <w:color w:val="7F7F7F" w:themeColor="text1" w:themeTint="80"/>
        </w:rPr>
        <w:t xml:space="preserve"> </w:t>
      </w:r>
      <w:hyperlink r:id="rId20" w:anchor=":~:text=%2D%20El%20presidente%20de%20Venezuela%2C%20Nicol%C3%A1s,sanciones%20internacionales%2C%20a%20juicio%20del" w:history="1">
        <w:r w:rsidRPr="00C24E3B">
          <w:rPr>
            <w:rStyle w:val="Hipervnculo"/>
            <w:rFonts w:ascii="Times New Roman" w:hAnsi="Times New Roman" w:cs="Times New Roman"/>
            <w:color w:val="7F7F7F" w:themeColor="text1" w:themeTint="80"/>
          </w:rPr>
          <w:t>https://www.swissinfo.ch/spa/maduro-afirma-que-casi-un-mill%C3%B3n-de-migrantes-venezolanos-han-retornado-a-su-pa%C3%ADs/48875874#:~:text=%2D%20El%20presidente%20de%20Venezuela%2C%20Nicol%C3%A1s,sanciones%20internacionales%2C%20a%20juicio%20del</w:t>
        </w:r>
      </w:hyperlink>
      <w:r w:rsidRPr="00C24E3B">
        <w:rPr>
          <w:rFonts w:ascii="Times New Roman" w:hAnsi="Times New Roman" w:cs="Times New Roman"/>
          <w:color w:val="7F7F7F" w:themeColor="text1" w:themeTint="8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D59D2" w14:textId="68351999" w:rsidR="00AB39DA" w:rsidRPr="000616B9" w:rsidRDefault="00AB39DA" w:rsidP="000616B9">
    <w:pPr>
      <w:pStyle w:val="Encabezado"/>
      <w:jc w:val="center"/>
      <w:rPr>
        <w:rFonts w:ascii="Quattrocento Sans" w:hAnsi="Quattrocento Sans"/>
        <w:color w:val="595959" w:themeColor="text1" w:themeTint="A6"/>
        <w:sz w:val="18"/>
        <w:szCs w:val="18"/>
      </w:rPr>
    </w:pPr>
    <w:r w:rsidRPr="000616B9">
      <w:rPr>
        <w:rFonts w:ascii="Quattrocento Sans" w:eastAsia="Times New Roman" w:hAnsi="Quattrocento Sans" w:cs="Times New Roman"/>
        <w:color w:val="595959" w:themeColor="text1" w:themeTint="A6"/>
        <w:sz w:val="18"/>
        <w:szCs w:val="18"/>
      </w:rPr>
      <w:t xml:space="preserve">Informe alternativo sobre la aplicación de la Convención </w:t>
    </w:r>
    <w:r w:rsidR="007F232A" w:rsidRPr="000616B9">
      <w:rPr>
        <w:rFonts w:ascii="Quattrocento Sans" w:hAnsi="Quattrocento Sans" w:cs="Arial"/>
        <w:color w:val="595959" w:themeColor="text1" w:themeTint="A6"/>
        <w:sz w:val="18"/>
        <w:szCs w:val="18"/>
      </w:rPr>
      <w:t>Internacional sobre la Eliminación de Todas las Formas de Discriminación Racial</w:t>
    </w:r>
    <w:r w:rsidR="007F232A" w:rsidRPr="000616B9">
      <w:rPr>
        <w:rFonts w:ascii="Quattrocento Sans" w:eastAsia="Times New Roman" w:hAnsi="Quattrocento Sans" w:cs="Times New Roman"/>
        <w:color w:val="595959" w:themeColor="text1" w:themeTint="A6"/>
        <w:sz w:val="18"/>
        <w:szCs w:val="18"/>
      </w:rPr>
      <w:t xml:space="preserve"> </w:t>
    </w:r>
    <w:r w:rsidRPr="000616B9">
      <w:rPr>
        <w:rFonts w:ascii="Quattrocento Sans" w:eastAsia="Times New Roman" w:hAnsi="Quattrocento Sans" w:cs="Times New Roman"/>
        <w:color w:val="595959" w:themeColor="text1" w:themeTint="A6"/>
        <w:sz w:val="18"/>
        <w:szCs w:val="18"/>
      </w:rPr>
      <w:t xml:space="preserve">– Venezuela – </w:t>
    </w:r>
    <w:r w:rsidR="007F232A" w:rsidRPr="000616B9">
      <w:rPr>
        <w:rFonts w:ascii="Quattrocento Sans" w:eastAsia="Times New Roman" w:hAnsi="Quattrocento Sans" w:cs="Times New Roman"/>
        <w:color w:val="595959" w:themeColor="text1" w:themeTint="A6"/>
        <w:sz w:val="18"/>
        <w:szCs w:val="18"/>
      </w:rPr>
      <w:t xml:space="preserve">AlertaVenezuela, </w:t>
    </w:r>
    <w:r w:rsidRPr="000616B9">
      <w:rPr>
        <w:rFonts w:ascii="Quattrocento Sans" w:eastAsia="Times New Roman" w:hAnsi="Quattrocento Sans" w:cs="Times New Roman"/>
        <w:color w:val="595959" w:themeColor="text1" w:themeTint="A6"/>
        <w:sz w:val="18"/>
        <w:szCs w:val="18"/>
      </w:rPr>
      <w:t>CDH UCAB</w:t>
    </w:r>
    <w:r w:rsidR="00C24E3B">
      <w:rPr>
        <w:rFonts w:ascii="Quattrocento Sans" w:eastAsia="Times New Roman" w:hAnsi="Quattrocento Sans" w:cs="Times New Roman"/>
        <w:color w:val="595959" w:themeColor="text1" w:themeTint="A6"/>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4C0512"/>
    <w:multiLevelType w:val="multilevel"/>
    <w:tmpl w:val="5DEED23E"/>
    <w:lvl w:ilvl="0">
      <w:start w:val="1"/>
      <w:numFmt w:val="lowerLetter"/>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954A3D"/>
    <w:multiLevelType w:val="multilevel"/>
    <w:tmpl w:val="A6FA55AE"/>
    <w:lvl w:ilvl="0">
      <w:start w:val="1"/>
      <w:numFmt w:val="upperRoman"/>
      <w:lvlText w:val="%1."/>
      <w:lvlJc w:val="left"/>
      <w:pPr>
        <w:ind w:left="1004" w:hanging="72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16102B64"/>
    <w:multiLevelType w:val="hybridMultilevel"/>
    <w:tmpl w:val="5386C65E"/>
    <w:lvl w:ilvl="0" w:tplc="B7EEB3DA">
      <w:start w:val="1"/>
      <w:numFmt w:val="upperLetter"/>
      <w:lvlText w:val="%1."/>
      <w:lvlJc w:val="left"/>
      <w:pPr>
        <w:ind w:left="1006" w:hanging="360"/>
      </w:pPr>
      <w:rPr>
        <w:rFonts w:hint="default"/>
      </w:rPr>
    </w:lvl>
    <w:lvl w:ilvl="1" w:tplc="240A0019" w:tentative="1">
      <w:start w:val="1"/>
      <w:numFmt w:val="lowerLetter"/>
      <w:lvlText w:val="%2."/>
      <w:lvlJc w:val="left"/>
      <w:pPr>
        <w:ind w:left="1726" w:hanging="360"/>
      </w:pPr>
    </w:lvl>
    <w:lvl w:ilvl="2" w:tplc="240A001B" w:tentative="1">
      <w:start w:val="1"/>
      <w:numFmt w:val="lowerRoman"/>
      <w:lvlText w:val="%3."/>
      <w:lvlJc w:val="right"/>
      <w:pPr>
        <w:ind w:left="2446" w:hanging="180"/>
      </w:pPr>
    </w:lvl>
    <w:lvl w:ilvl="3" w:tplc="240A000F" w:tentative="1">
      <w:start w:val="1"/>
      <w:numFmt w:val="decimal"/>
      <w:lvlText w:val="%4."/>
      <w:lvlJc w:val="left"/>
      <w:pPr>
        <w:ind w:left="3166" w:hanging="360"/>
      </w:pPr>
    </w:lvl>
    <w:lvl w:ilvl="4" w:tplc="240A0019" w:tentative="1">
      <w:start w:val="1"/>
      <w:numFmt w:val="lowerLetter"/>
      <w:lvlText w:val="%5."/>
      <w:lvlJc w:val="left"/>
      <w:pPr>
        <w:ind w:left="3886" w:hanging="360"/>
      </w:pPr>
    </w:lvl>
    <w:lvl w:ilvl="5" w:tplc="240A001B" w:tentative="1">
      <w:start w:val="1"/>
      <w:numFmt w:val="lowerRoman"/>
      <w:lvlText w:val="%6."/>
      <w:lvlJc w:val="right"/>
      <w:pPr>
        <w:ind w:left="4606" w:hanging="180"/>
      </w:pPr>
    </w:lvl>
    <w:lvl w:ilvl="6" w:tplc="240A000F" w:tentative="1">
      <w:start w:val="1"/>
      <w:numFmt w:val="decimal"/>
      <w:lvlText w:val="%7."/>
      <w:lvlJc w:val="left"/>
      <w:pPr>
        <w:ind w:left="5326" w:hanging="360"/>
      </w:pPr>
    </w:lvl>
    <w:lvl w:ilvl="7" w:tplc="240A0019" w:tentative="1">
      <w:start w:val="1"/>
      <w:numFmt w:val="lowerLetter"/>
      <w:lvlText w:val="%8."/>
      <w:lvlJc w:val="left"/>
      <w:pPr>
        <w:ind w:left="6046" w:hanging="360"/>
      </w:pPr>
    </w:lvl>
    <w:lvl w:ilvl="8" w:tplc="240A001B" w:tentative="1">
      <w:start w:val="1"/>
      <w:numFmt w:val="lowerRoman"/>
      <w:lvlText w:val="%9."/>
      <w:lvlJc w:val="right"/>
      <w:pPr>
        <w:ind w:left="6766" w:hanging="180"/>
      </w:pPr>
    </w:lvl>
  </w:abstractNum>
  <w:abstractNum w:abstractNumId="3" w15:restartNumberingAfterBreak="0">
    <w:nsid w:val="28B15BB0"/>
    <w:multiLevelType w:val="hybridMultilevel"/>
    <w:tmpl w:val="586CB41A"/>
    <w:lvl w:ilvl="0" w:tplc="B0A2EE58">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B246A6"/>
    <w:multiLevelType w:val="multilevel"/>
    <w:tmpl w:val="2BE8B4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EB000EB"/>
    <w:multiLevelType w:val="hybridMultilevel"/>
    <w:tmpl w:val="A9C809D6"/>
    <w:lvl w:ilvl="0" w:tplc="116EE4EE">
      <w:start w:val="1"/>
      <w:numFmt w:val="decimal"/>
      <w:lvlText w:val="7.%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DA0817"/>
    <w:multiLevelType w:val="multilevel"/>
    <w:tmpl w:val="250C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033568">
    <w:abstractNumId w:val="3"/>
  </w:num>
  <w:num w:numId="2" w16cid:durableId="1526477506">
    <w:abstractNumId w:val="1"/>
  </w:num>
  <w:num w:numId="3" w16cid:durableId="1071200954">
    <w:abstractNumId w:val="0"/>
  </w:num>
  <w:num w:numId="4" w16cid:durableId="1330140049">
    <w:abstractNumId w:val="4"/>
  </w:num>
  <w:num w:numId="5" w16cid:durableId="1511069295">
    <w:abstractNumId w:val="2"/>
  </w:num>
  <w:num w:numId="6" w16cid:durableId="1567835463">
    <w:abstractNumId w:val="6"/>
  </w:num>
  <w:num w:numId="7" w16cid:durableId="3819447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6CF"/>
    <w:rsid w:val="00003BEE"/>
    <w:rsid w:val="000055FC"/>
    <w:rsid w:val="000145C0"/>
    <w:rsid w:val="0002205C"/>
    <w:rsid w:val="00037F71"/>
    <w:rsid w:val="0004587E"/>
    <w:rsid w:val="00050C91"/>
    <w:rsid w:val="00052C63"/>
    <w:rsid w:val="00054B23"/>
    <w:rsid w:val="000616B9"/>
    <w:rsid w:val="000928B8"/>
    <w:rsid w:val="000A619E"/>
    <w:rsid w:val="000B0599"/>
    <w:rsid w:val="000B0635"/>
    <w:rsid w:val="000C0882"/>
    <w:rsid w:val="000C0F13"/>
    <w:rsid w:val="000D3F7D"/>
    <w:rsid w:val="000F7BE0"/>
    <w:rsid w:val="00100133"/>
    <w:rsid w:val="00100B41"/>
    <w:rsid w:val="00103F91"/>
    <w:rsid w:val="0011211C"/>
    <w:rsid w:val="00117BF7"/>
    <w:rsid w:val="00122B6A"/>
    <w:rsid w:val="001276A9"/>
    <w:rsid w:val="001312E0"/>
    <w:rsid w:val="00137964"/>
    <w:rsid w:val="001472F9"/>
    <w:rsid w:val="00190A30"/>
    <w:rsid w:val="001A2C20"/>
    <w:rsid w:val="001B4EA7"/>
    <w:rsid w:val="001C4E5A"/>
    <w:rsid w:val="001D232C"/>
    <w:rsid w:val="001D31FA"/>
    <w:rsid w:val="001D3503"/>
    <w:rsid w:val="001D3EC9"/>
    <w:rsid w:val="001E270E"/>
    <w:rsid w:val="001E5F2E"/>
    <w:rsid w:val="001F2B2D"/>
    <w:rsid w:val="001F41E8"/>
    <w:rsid w:val="00205E12"/>
    <w:rsid w:val="00222AD0"/>
    <w:rsid w:val="00225D86"/>
    <w:rsid w:val="00235FA8"/>
    <w:rsid w:val="002536F0"/>
    <w:rsid w:val="00274F4D"/>
    <w:rsid w:val="002939D8"/>
    <w:rsid w:val="002C0A6B"/>
    <w:rsid w:val="002C5BC5"/>
    <w:rsid w:val="002C6ED3"/>
    <w:rsid w:val="002D2565"/>
    <w:rsid w:val="002E24ED"/>
    <w:rsid w:val="002E4D8C"/>
    <w:rsid w:val="002E7124"/>
    <w:rsid w:val="002F1301"/>
    <w:rsid w:val="00304E57"/>
    <w:rsid w:val="00306A09"/>
    <w:rsid w:val="0031196B"/>
    <w:rsid w:val="00317DED"/>
    <w:rsid w:val="003406CF"/>
    <w:rsid w:val="0034336E"/>
    <w:rsid w:val="00347B73"/>
    <w:rsid w:val="0035234B"/>
    <w:rsid w:val="00366B58"/>
    <w:rsid w:val="0037238D"/>
    <w:rsid w:val="0037658F"/>
    <w:rsid w:val="003802B7"/>
    <w:rsid w:val="00381A6F"/>
    <w:rsid w:val="003B42DD"/>
    <w:rsid w:val="003D7E69"/>
    <w:rsid w:val="003F2429"/>
    <w:rsid w:val="003F6322"/>
    <w:rsid w:val="003F7946"/>
    <w:rsid w:val="00426C6F"/>
    <w:rsid w:val="004339E0"/>
    <w:rsid w:val="00442A92"/>
    <w:rsid w:val="00446A34"/>
    <w:rsid w:val="0045316B"/>
    <w:rsid w:val="00455CCE"/>
    <w:rsid w:val="00472BA4"/>
    <w:rsid w:val="00473F3A"/>
    <w:rsid w:val="00476A3F"/>
    <w:rsid w:val="004A0207"/>
    <w:rsid w:val="004A0F07"/>
    <w:rsid w:val="004A33D8"/>
    <w:rsid w:val="004B2679"/>
    <w:rsid w:val="004B3317"/>
    <w:rsid w:val="004C20CE"/>
    <w:rsid w:val="004C26E6"/>
    <w:rsid w:val="004D454B"/>
    <w:rsid w:val="004F3819"/>
    <w:rsid w:val="0051596B"/>
    <w:rsid w:val="005252C1"/>
    <w:rsid w:val="00545133"/>
    <w:rsid w:val="005535B3"/>
    <w:rsid w:val="00561A28"/>
    <w:rsid w:val="00562B81"/>
    <w:rsid w:val="005670B1"/>
    <w:rsid w:val="00576D4A"/>
    <w:rsid w:val="005877B4"/>
    <w:rsid w:val="005959D8"/>
    <w:rsid w:val="005A18B3"/>
    <w:rsid w:val="005C1D09"/>
    <w:rsid w:val="005C3338"/>
    <w:rsid w:val="005C7347"/>
    <w:rsid w:val="005D3579"/>
    <w:rsid w:val="005F0CBB"/>
    <w:rsid w:val="00611AF7"/>
    <w:rsid w:val="00614AA2"/>
    <w:rsid w:val="006151DA"/>
    <w:rsid w:val="006323B8"/>
    <w:rsid w:val="0063627B"/>
    <w:rsid w:val="0063734E"/>
    <w:rsid w:val="0064007D"/>
    <w:rsid w:val="0064116F"/>
    <w:rsid w:val="006757E4"/>
    <w:rsid w:val="006843DA"/>
    <w:rsid w:val="006B194A"/>
    <w:rsid w:val="006C024F"/>
    <w:rsid w:val="006D7F6C"/>
    <w:rsid w:val="006E2426"/>
    <w:rsid w:val="006F03E1"/>
    <w:rsid w:val="006F09E4"/>
    <w:rsid w:val="006F46E0"/>
    <w:rsid w:val="006F7E66"/>
    <w:rsid w:val="0070021C"/>
    <w:rsid w:val="00750F01"/>
    <w:rsid w:val="00755BFE"/>
    <w:rsid w:val="00760F9A"/>
    <w:rsid w:val="0077174C"/>
    <w:rsid w:val="0077569D"/>
    <w:rsid w:val="00783735"/>
    <w:rsid w:val="007B4890"/>
    <w:rsid w:val="007D0597"/>
    <w:rsid w:val="007E55B6"/>
    <w:rsid w:val="007E5AA1"/>
    <w:rsid w:val="007F232A"/>
    <w:rsid w:val="00805148"/>
    <w:rsid w:val="008146E9"/>
    <w:rsid w:val="00817F39"/>
    <w:rsid w:val="008320F5"/>
    <w:rsid w:val="00832688"/>
    <w:rsid w:val="008606D3"/>
    <w:rsid w:val="008725A2"/>
    <w:rsid w:val="00874EC9"/>
    <w:rsid w:val="00883205"/>
    <w:rsid w:val="0088574A"/>
    <w:rsid w:val="00890C99"/>
    <w:rsid w:val="008A1095"/>
    <w:rsid w:val="008A1F1E"/>
    <w:rsid w:val="008B334F"/>
    <w:rsid w:val="008B387F"/>
    <w:rsid w:val="008E6172"/>
    <w:rsid w:val="008F4CB7"/>
    <w:rsid w:val="008F7CF2"/>
    <w:rsid w:val="0091533A"/>
    <w:rsid w:val="0092534D"/>
    <w:rsid w:val="00944F3A"/>
    <w:rsid w:val="00947C69"/>
    <w:rsid w:val="009513AD"/>
    <w:rsid w:val="00976D6E"/>
    <w:rsid w:val="00993CFB"/>
    <w:rsid w:val="009A0116"/>
    <w:rsid w:val="009A1B84"/>
    <w:rsid w:val="009A4E5E"/>
    <w:rsid w:val="009A5BFD"/>
    <w:rsid w:val="009C2969"/>
    <w:rsid w:val="009C3395"/>
    <w:rsid w:val="009D51D6"/>
    <w:rsid w:val="00A177F6"/>
    <w:rsid w:val="00A45C24"/>
    <w:rsid w:val="00A46E20"/>
    <w:rsid w:val="00A66B7D"/>
    <w:rsid w:val="00AA3270"/>
    <w:rsid w:val="00AB39DA"/>
    <w:rsid w:val="00AB4887"/>
    <w:rsid w:val="00AB5C25"/>
    <w:rsid w:val="00AC6D93"/>
    <w:rsid w:val="00AC7204"/>
    <w:rsid w:val="00AF06B5"/>
    <w:rsid w:val="00B0577A"/>
    <w:rsid w:val="00B25412"/>
    <w:rsid w:val="00B2626D"/>
    <w:rsid w:val="00B62C62"/>
    <w:rsid w:val="00B65344"/>
    <w:rsid w:val="00B73E48"/>
    <w:rsid w:val="00B77F73"/>
    <w:rsid w:val="00B81454"/>
    <w:rsid w:val="00B81D43"/>
    <w:rsid w:val="00B83196"/>
    <w:rsid w:val="00B914FD"/>
    <w:rsid w:val="00BA20DA"/>
    <w:rsid w:val="00BD214A"/>
    <w:rsid w:val="00BE0C06"/>
    <w:rsid w:val="00BE27C7"/>
    <w:rsid w:val="00BE452A"/>
    <w:rsid w:val="00C03F58"/>
    <w:rsid w:val="00C04C45"/>
    <w:rsid w:val="00C04DEB"/>
    <w:rsid w:val="00C0745F"/>
    <w:rsid w:val="00C21FEC"/>
    <w:rsid w:val="00C24E3B"/>
    <w:rsid w:val="00C32928"/>
    <w:rsid w:val="00C406C9"/>
    <w:rsid w:val="00C41A4E"/>
    <w:rsid w:val="00C45FD0"/>
    <w:rsid w:val="00C50FA5"/>
    <w:rsid w:val="00C57B5E"/>
    <w:rsid w:val="00C61E5C"/>
    <w:rsid w:val="00C6700E"/>
    <w:rsid w:val="00C7787D"/>
    <w:rsid w:val="00C852E1"/>
    <w:rsid w:val="00C86FFF"/>
    <w:rsid w:val="00C9178C"/>
    <w:rsid w:val="00C92EB9"/>
    <w:rsid w:val="00CA0A09"/>
    <w:rsid w:val="00CA1065"/>
    <w:rsid w:val="00CA2C67"/>
    <w:rsid w:val="00CF343C"/>
    <w:rsid w:val="00D23185"/>
    <w:rsid w:val="00D46134"/>
    <w:rsid w:val="00D66BEA"/>
    <w:rsid w:val="00D715EA"/>
    <w:rsid w:val="00D71BCC"/>
    <w:rsid w:val="00D725C1"/>
    <w:rsid w:val="00D84C63"/>
    <w:rsid w:val="00D93DC4"/>
    <w:rsid w:val="00D94686"/>
    <w:rsid w:val="00D94DDD"/>
    <w:rsid w:val="00DA59F5"/>
    <w:rsid w:val="00DC1448"/>
    <w:rsid w:val="00DC229A"/>
    <w:rsid w:val="00DF39F1"/>
    <w:rsid w:val="00E14C57"/>
    <w:rsid w:val="00E24A0A"/>
    <w:rsid w:val="00E2727A"/>
    <w:rsid w:val="00E34431"/>
    <w:rsid w:val="00EA1B3B"/>
    <w:rsid w:val="00EA60AF"/>
    <w:rsid w:val="00EB5C42"/>
    <w:rsid w:val="00ED3377"/>
    <w:rsid w:val="00EE131D"/>
    <w:rsid w:val="00EE4ADD"/>
    <w:rsid w:val="00EE4EC9"/>
    <w:rsid w:val="00EF267C"/>
    <w:rsid w:val="00EF4275"/>
    <w:rsid w:val="00F02E7D"/>
    <w:rsid w:val="00F0373D"/>
    <w:rsid w:val="00F078F9"/>
    <w:rsid w:val="00F16DC0"/>
    <w:rsid w:val="00F20C26"/>
    <w:rsid w:val="00F5625C"/>
    <w:rsid w:val="00F5706D"/>
    <w:rsid w:val="00F60EFB"/>
    <w:rsid w:val="00F71A3D"/>
    <w:rsid w:val="00FA39A4"/>
    <w:rsid w:val="00FA4184"/>
    <w:rsid w:val="00FB4351"/>
    <w:rsid w:val="00FB725F"/>
    <w:rsid w:val="00FE1BBA"/>
    <w:rsid w:val="00FE47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6782E"/>
  <w15:chartTrackingRefBased/>
  <w15:docId w15:val="{17BC02AF-302F-412B-9D47-4D23C55EE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link w:val="Ttulo1Car"/>
    <w:uiPriority w:val="9"/>
    <w:qFormat/>
    <w:rsid w:val="00340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40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406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406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406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406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406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406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406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406CF"/>
    <w:rPr>
      <w:rFonts w:asciiTheme="majorHAnsi" w:eastAsiaTheme="majorEastAsia" w:hAnsiTheme="majorHAnsi" w:cstheme="majorBidi"/>
      <w:color w:val="0F4761" w:themeColor="accent1" w:themeShade="BF"/>
      <w:sz w:val="40"/>
      <w:szCs w:val="40"/>
      <w:lang w:val="es-419"/>
    </w:rPr>
  </w:style>
  <w:style w:type="character" w:customStyle="1" w:styleId="Ttulo2Car">
    <w:name w:val="Título 2 Car"/>
    <w:basedOn w:val="Fuentedeprrafopredeter"/>
    <w:link w:val="Ttulo2"/>
    <w:uiPriority w:val="9"/>
    <w:semiHidden/>
    <w:rsid w:val="003406CF"/>
    <w:rPr>
      <w:rFonts w:asciiTheme="majorHAnsi" w:eastAsiaTheme="majorEastAsia" w:hAnsiTheme="majorHAnsi" w:cstheme="majorBidi"/>
      <w:color w:val="0F4761" w:themeColor="accent1" w:themeShade="BF"/>
      <w:sz w:val="32"/>
      <w:szCs w:val="32"/>
      <w:lang w:val="es-419"/>
    </w:rPr>
  </w:style>
  <w:style w:type="character" w:customStyle="1" w:styleId="Ttulo3Car">
    <w:name w:val="Título 3 Car"/>
    <w:basedOn w:val="Fuentedeprrafopredeter"/>
    <w:link w:val="Ttulo3"/>
    <w:uiPriority w:val="9"/>
    <w:semiHidden/>
    <w:rsid w:val="003406CF"/>
    <w:rPr>
      <w:rFonts w:eastAsiaTheme="majorEastAsia" w:cstheme="majorBidi"/>
      <w:color w:val="0F4761" w:themeColor="accent1" w:themeShade="BF"/>
      <w:sz w:val="28"/>
      <w:szCs w:val="28"/>
      <w:lang w:val="es-419"/>
    </w:rPr>
  </w:style>
  <w:style w:type="character" w:customStyle="1" w:styleId="Ttulo4Car">
    <w:name w:val="Título 4 Car"/>
    <w:basedOn w:val="Fuentedeprrafopredeter"/>
    <w:link w:val="Ttulo4"/>
    <w:uiPriority w:val="9"/>
    <w:semiHidden/>
    <w:rsid w:val="003406CF"/>
    <w:rPr>
      <w:rFonts w:eastAsiaTheme="majorEastAsia" w:cstheme="majorBidi"/>
      <w:i/>
      <w:iCs/>
      <w:color w:val="0F4761" w:themeColor="accent1" w:themeShade="BF"/>
      <w:lang w:val="es-419"/>
    </w:rPr>
  </w:style>
  <w:style w:type="character" w:customStyle="1" w:styleId="Ttulo5Car">
    <w:name w:val="Título 5 Car"/>
    <w:basedOn w:val="Fuentedeprrafopredeter"/>
    <w:link w:val="Ttulo5"/>
    <w:uiPriority w:val="9"/>
    <w:semiHidden/>
    <w:rsid w:val="003406CF"/>
    <w:rPr>
      <w:rFonts w:eastAsiaTheme="majorEastAsia" w:cstheme="majorBidi"/>
      <w:color w:val="0F4761" w:themeColor="accent1" w:themeShade="BF"/>
      <w:lang w:val="es-419"/>
    </w:rPr>
  </w:style>
  <w:style w:type="character" w:customStyle="1" w:styleId="Ttulo6Car">
    <w:name w:val="Título 6 Car"/>
    <w:basedOn w:val="Fuentedeprrafopredeter"/>
    <w:link w:val="Ttulo6"/>
    <w:uiPriority w:val="9"/>
    <w:semiHidden/>
    <w:rsid w:val="003406CF"/>
    <w:rPr>
      <w:rFonts w:eastAsiaTheme="majorEastAsia" w:cstheme="majorBidi"/>
      <w:i/>
      <w:iCs/>
      <w:color w:val="595959" w:themeColor="text1" w:themeTint="A6"/>
      <w:lang w:val="es-419"/>
    </w:rPr>
  </w:style>
  <w:style w:type="character" w:customStyle="1" w:styleId="Ttulo7Car">
    <w:name w:val="Título 7 Car"/>
    <w:basedOn w:val="Fuentedeprrafopredeter"/>
    <w:link w:val="Ttulo7"/>
    <w:uiPriority w:val="9"/>
    <w:semiHidden/>
    <w:rsid w:val="003406CF"/>
    <w:rPr>
      <w:rFonts w:eastAsiaTheme="majorEastAsia" w:cstheme="majorBidi"/>
      <w:color w:val="595959" w:themeColor="text1" w:themeTint="A6"/>
      <w:lang w:val="es-419"/>
    </w:rPr>
  </w:style>
  <w:style w:type="character" w:customStyle="1" w:styleId="Ttulo8Car">
    <w:name w:val="Título 8 Car"/>
    <w:basedOn w:val="Fuentedeprrafopredeter"/>
    <w:link w:val="Ttulo8"/>
    <w:uiPriority w:val="9"/>
    <w:semiHidden/>
    <w:rsid w:val="003406CF"/>
    <w:rPr>
      <w:rFonts w:eastAsiaTheme="majorEastAsia" w:cstheme="majorBidi"/>
      <w:i/>
      <w:iCs/>
      <w:color w:val="272727" w:themeColor="text1" w:themeTint="D8"/>
      <w:lang w:val="es-419"/>
    </w:rPr>
  </w:style>
  <w:style w:type="character" w:customStyle="1" w:styleId="Ttulo9Car">
    <w:name w:val="Título 9 Car"/>
    <w:basedOn w:val="Fuentedeprrafopredeter"/>
    <w:link w:val="Ttulo9"/>
    <w:uiPriority w:val="9"/>
    <w:semiHidden/>
    <w:rsid w:val="003406CF"/>
    <w:rPr>
      <w:rFonts w:eastAsiaTheme="majorEastAsia" w:cstheme="majorBidi"/>
      <w:color w:val="272727" w:themeColor="text1" w:themeTint="D8"/>
      <w:lang w:val="es-419"/>
    </w:rPr>
  </w:style>
  <w:style w:type="paragraph" w:styleId="Ttulo">
    <w:name w:val="Title"/>
    <w:basedOn w:val="Normal"/>
    <w:next w:val="Normal"/>
    <w:link w:val="TtuloCar"/>
    <w:uiPriority w:val="10"/>
    <w:qFormat/>
    <w:rsid w:val="003406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406CF"/>
    <w:rPr>
      <w:rFonts w:asciiTheme="majorHAnsi" w:eastAsiaTheme="majorEastAsia" w:hAnsiTheme="majorHAnsi" w:cstheme="majorBidi"/>
      <w:spacing w:val="-10"/>
      <w:kern w:val="28"/>
      <w:sz w:val="56"/>
      <w:szCs w:val="56"/>
      <w:lang w:val="es-419"/>
    </w:rPr>
  </w:style>
  <w:style w:type="paragraph" w:styleId="Subttulo">
    <w:name w:val="Subtitle"/>
    <w:basedOn w:val="Normal"/>
    <w:next w:val="Normal"/>
    <w:link w:val="SubttuloCar"/>
    <w:uiPriority w:val="11"/>
    <w:qFormat/>
    <w:rsid w:val="003406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406CF"/>
    <w:rPr>
      <w:rFonts w:eastAsiaTheme="majorEastAsia" w:cstheme="majorBidi"/>
      <w:color w:val="595959" w:themeColor="text1" w:themeTint="A6"/>
      <w:spacing w:val="15"/>
      <w:sz w:val="28"/>
      <w:szCs w:val="28"/>
      <w:lang w:val="es-419"/>
    </w:rPr>
  </w:style>
  <w:style w:type="paragraph" w:styleId="Cita">
    <w:name w:val="Quote"/>
    <w:basedOn w:val="Normal"/>
    <w:next w:val="Normal"/>
    <w:link w:val="CitaCar"/>
    <w:uiPriority w:val="29"/>
    <w:qFormat/>
    <w:rsid w:val="003406CF"/>
    <w:pPr>
      <w:spacing w:before="160"/>
      <w:jc w:val="center"/>
    </w:pPr>
    <w:rPr>
      <w:i/>
      <w:iCs/>
      <w:color w:val="404040" w:themeColor="text1" w:themeTint="BF"/>
    </w:rPr>
  </w:style>
  <w:style w:type="character" w:customStyle="1" w:styleId="CitaCar">
    <w:name w:val="Cita Car"/>
    <w:basedOn w:val="Fuentedeprrafopredeter"/>
    <w:link w:val="Cita"/>
    <w:uiPriority w:val="29"/>
    <w:rsid w:val="003406CF"/>
    <w:rPr>
      <w:i/>
      <w:iCs/>
      <w:color w:val="404040" w:themeColor="text1" w:themeTint="BF"/>
      <w:lang w:val="es-419"/>
    </w:rPr>
  </w:style>
  <w:style w:type="paragraph" w:styleId="Prrafodelista">
    <w:name w:val="List Paragraph"/>
    <w:basedOn w:val="Normal"/>
    <w:uiPriority w:val="1"/>
    <w:qFormat/>
    <w:rsid w:val="003406CF"/>
    <w:pPr>
      <w:ind w:left="720"/>
      <w:contextualSpacing/>
    </w:pPr>
  </w:style>
  <w:style w:type="character" w:styleId="nfasisintenso">
    <w:name w:val="Intense Emphasis"/>
    <w:basedOn w:val="Fuentedeprrafopredeter"/>
    <w:uiPriority w:val="21"/>
    <w:qFormat/>
    <w:rsid w:val="003406CF"/>
    <w:rPr>
      <w:i/>
      <w:iCs/>
      <w:color w:val="0F4761" w:themeColor="accent1" w:themeShade="BF"/>
    </w:rPr>
  </w:style>
  <w:style w:type="paragraph" w:styleId="Citadestacada">
    <w:name w:val="Intense Quote"/>
    <w:basedOn w:val="Normal"/>
    <w:next w:val="Normal"/>
    <w:link w:val="CitadestacadaCar"/>
    <w:uiPriority w:val="30"/>
    <w:qFormat/>
    <w:rsid w:val="00340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6CF"/>
    <w:rPr>
      <w:i/>
      <w:iCs/>
      <w:color w:val="0F4761" w:themeColor="accent1" w:themeShade="BF"/>
      <w:lang w:val="es-419"/>
    </w:rPr>
  </w:style>
  <w:style w:type="character" w:styleId="Referenciaintensa">
    <w:name w:val="Intense Reference"/>
    <w:basedOn w:val="Fuentedeprrafopredeter"/>
    <w:uiPriority w:val="32"/>
    <w:qFormat/>
    <w:rsid w:val="003406CF"/>
    <w:rPr>
      <w:b/>
      <w:bCs/>
      <w:smallCaps/>
      <w:color w:val="0F4761" w:themeColor="accent1" w:themeShade="BF"/>
      <w:spacing w:val="5"/>
    </w:rPr>
  </w:style>
  <w:style w:type="character" w:styleId="Hipervnculo">
    <w:name w:val="Hyperlink"/>
    <w:basedOn w:val="Fuentedeprrafopredeter"/>
    <w:uiPriority w:val="99"/>
    <w:unhideWhenUsed/>
    <w:rsid w:val="003406CF"/>
    <w:rPr>
      <w:color w:val="467886" w:themeColor="hyperlink"/>
      <w:u w:val="single"/>
    </w:rPr>
  </w:style>
  <w:style w:type="character" w:styleId="Mencinsinresolver">
    <w:name w:val="Unresolved Mention"/>
    <w:basedOn w:val="Fuentedeprrafopredeter"/>
    <w:uiPriority w:val="99"/>
    <w:semiHidden/>
    <w:unhideWhenUsed/>
    <w:rsid w:val="003406CF"/>
    <w:rPr>
      <w:color w:val="605E5C"/>
      <w:shd w:val="clear" w:color="auto" w:fill="E1DFDD"/>
    </w:rPr>
  </w:style>
  <w:style w:type="character" w:styleId="Textoennegrita">
    <w:name w:val="Strong"/>
    <w:basedOn w:val="Fuentedeprrafopredeter"/>
    <w:uiPriority w:val="22"/>
    <w:qFormat/>
    <w:rsid w:val="007B4890"/>
    <w:rPr>
      <w:b/>
      <w:bCs/>
    </w:rPr>
  </w:style>
  <w:style w:type="table" w:styleId="Tablaconcuadrcula">
    <w:name w:val="Table Grid"/>
    <w:basedOn w:val="Tablanormal"/>
    <w:uiPriority w:val="39"/>
    <w:rsid w:val="00054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AB39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B39DA"/>
    <w:rPr>
      <w:lang w:val="es-419"/>
    </w:rPr>
  </w:style>
  <w:style w:type="paragraph" w:styleId="Piedepgina">
    <w:name w:val="footer"/>
    <w:basedOn w:val="Normal"/>
    <w:link w:val="PiedepginaCar"/>
    <w:uiPriority w:val="99"/>
    <w:unhideWhenUsed/>
    <w:rsid w:val="00AB39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39DA"/>
    <w:rPr>
      <w:lang w:val="es-419"/>
    </w:rPr>
  </w:style>
  <w:style w:type="character" w:styleId="nfasis">
    <w:name w:val="Emphasis"/>
    <w:basedOn w:val="Fuentedeprrafopredeter"/>
    <w:uiPriority w:val="20"/>
    <w:qFormat/>
    <w:rsid w:val="008146E9"/>
    <w:rPr>
      <w:i/>
      <w:iCs/>
    </w:rPr>
  </w:style>
  <w:style w:type="paragraph" w:styleId="Textonotapie">
    <w:name w:val="footnote text"/>
    <w:basedOn w:val="Normal"/>
    <w:link w:val="TextonotapieCar"/>
    <w:uiPriority w:val="99"/>
    <w:semiHidden/>
    <w:unhideWhenUsed/>
    <w:rsid w:val="00C61E5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61E5C"/>
    <w:rPr>
      <w:sz w:val="20"/>
      <w:szCs w:val="20"/>
      <w:lang w:val="es-419"/>
    </w:rPr>
  </w:style>
  <w:style w:type="character" w:styleId="Refdenotaalpie">
    <w:name w:val="footnote reference"/>
    <w:basedOn w:val="Fuentedeprrafopredeter"/>
    <w:uiPriority w:val="99"/>
    <w:semiHidden/>
    <w:unhideWhenUsed/>
    <w:rsid w:val="00C61E5C"/>
    <w:rPr>
      <w:vertAlign w:val="superscript"/>
    </w:rPr>
  </w:style>
  <w:style w:type="character" w:styleId="Hipervnculovisitado">
    <w:name w:val="FollowedHyperlink"/>
    <w:basedOn w:val="Fuentedeprrafopredeter"/>
    <w:uiPriority w:val="99"/>
    <w:semiHidden/>
    <w:unhideWhenUsed/>
    <w:rsid w:val="00222AD0"/>
    <w:rPr>
      <w:color w:val="96607D" w:themeColor="followedHyperlink"/>
      <w:u w:val="single"/>
    </w:rPr>
  </w:style>
  <w:style w:type="paragraph" w:styleId="NormalWeb">
    <w:name w:val="Normal (Web)"/>
    <w:basedOn w:val="Normal"/>
    <w:uiPriority w:val="99"/>
    <w:semiHidden/>
    <w:unhideWhenUsed/>
    <w:rsid w:val="002C6ED3"/>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8236719">
      <w:bodyDiv w:val="1"/>
      <w:marLeft w:val="0"/>
      <w:marRight w:val="0"/>
      <w:marTop w:val="0"/>
      <w:marBottom w:val="0"/>
      <w:divBdr>
        <w:top w:val="none" w:sz="0" w:space="0" w:color="auto"/>
        <w:left w:val="none" w:sz="0" w:space="0" w:color="auto"/>
        <w:bottom w:val="none" w:sz="0" w:space="0" w:color="auto"/>
        <w:right w:val="none" w:sz="0" w:space="0" w:color="auto"/>
      </w:divBdr>
    </w:div>
    <w:div w:id="158364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espaciopublico.ong/incitacion-al-odio-balance-de-una-ley-criminalizante-y-los-desafios-del-problema-real/am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spaciopublico.ong/ley-contra-el-odio-y-el-fascismo-dos-caras-de-una-misma-moneda/" TargetMode="External"/><Relationship Id="rId13" Type="http://schemas.openxmlformats.org/officeDocument/2006/relationships/hyperlink" Target="http://www.cne.gob.ve/web/normativa_electoral/elecciones/2020/asamblea_nacional/documentos/reglamento_especial_para_regular_la_elecci%C3%B3n_de_la_representaci%C3%B3n_ind%C3%ADgena_en_la_asamblea_nacional_2020.pdf" TargetMode="External"/><Relationship Id="rId18" Type="http://schemas.openxmlformats.org/officeDocument/2006/relationships/hyperlink" Target="https://news.un.org/es/story/2022/09/1515221" TargetMode="External"/><Relationship Id="rId3" Type="http://schemas.openxmlformats.org/officeDocument/2006/relationships/hyperlink" Target="https://www.elimpulso.com/2023/02/19/entrevistadominical-afirma-liborio-guarulla-todos-los-procesos-de-primarias-han-terminado-en-desastre-19feb/" TargetMode="External"/><Relationship Id="rId7" Type="http://schemas.openxmlformats.org/officeDocument/2006/relationships/hyperlink" Target="https://www.laiguana.tv/wp-content/uploads/2024/04/Proyecto-de-Ley-contra-el-Fascismo-020424.pdf" TargetMode="External"/><Relationship Id="rId12" Type="http://schemas.openxmlformats.org/officeDocument/2006/relationships/hyperlink" Target="https://www.oas.org/es/CIDH/jsForm/?File=/es/cidh/prensa/comunicados/2024/141.asp" TargetMode="External"/><Relationship Id="rId17" Type="http://schemas.openxmlformats.org/officeDocument/2006/relationships/hyperlink" Target="https://ln5.sync.com/dl/488d9d360/uqapd6ar-3f57w2k8-mxx3tywn-8e7wqkj5/view/doc/7901655340014" TargetMode="External"/><Relationship Id="rId2" Type="http://schemas.openxmlformats.org/officeDocument/2006/relationships/hyperlink" Target="http://www.defensoria.gob.ve/index.php/zona-informativa/informes/anuales/" TargetMode="External"/><Relationship Id="rId16" Type="http://schemas.openxmlformats.org/officeDocument/2006/relationships/hyperlink" Target="https://www.france24.com/es/20180829-venezuela-niega-la-crisis-migratoria-que-desborda-america-latina" TargetMode="External"/><Relationship Id="rId20" Type="http://schemas.openxmlformats.org/officeDocument/2006/relationships/hyperlink" Target="https://www.swissinfo.ch/spa/maduro-afirma-que-casi-un-mill%C3%B3n-de-migrantes-venezolanos-han-retornado-a-su-pa%C3%ADs/48875874" TargetMode="External"/><Relationship Id="rId1" Type="http://schemas.openxmlformats.org/officeDocument/2006/relationships/hyperlink" Target="http://w2.ucab.edu.ve/tl_files/CDH/imagenes/Epu%20Vzla%202016/Defensoria%20del%20Pueblo%20EPU%20VEN%20Resumen.pdf" TargetMode="External"/><Relationship Id="rId6" Type="http://schemas.openxmlformats.org/officeDocument/2006/relationships/hyperlink" Target="https://espaciopublico.ong/a-tres-anos-de-la-ley-contra-el-odio/" TargetMode="External"/><Relationship Id="rId11" Type="http://schemas.openxmlformats.org/officeDocument/2006/relationships/hyperlink" Target="http://www.cne.gob.ve/web/normativa_electoral/ley_organica_procesos_electorales/indice.php" TargetMode="External"/><Relationship Id="rId5" Type="http://schemas.openxmlformats.org/officeDocument/2006/relationships/hyperlink" Target="https://espaciopublico.ong/incitacion-al-odio-balance-de-una-ley-criminalizante-y-los-desafios-del-problema-real/" TargetMode="External"/><Relationship Id="rId15" Type="http://schemas.openxmlformats.org/officeDocument/2006/relationships/hyperlink" Target="https://www.radiofeyalegrianoticias.com/exigen-al-cne-derogar-elecciones-de-segundo-grado-para-los-indigenas/" TargetMode="External"/><Relationship Id="rId10" Type="http://schemas.openxmlformats.org/officeDocument/2006/relationships/hyperlink" Target="https://alertavenezuela.org/wp-content/uploads/2024/05/BARERAS-AL-REGISTRO-ELECTORAL-EN-EL-EXTERIOR.pdf" TargetMode="External"/><Relationship Id="rId19" Type="http://schemas.openxmlformats.org/officeDocument/2006/relationships/hyperlink" Target="https://www.vozdeamerica.com/a/venezuela-vuelos-deportados-eeuu-mexico-/7502980.html" TargetMode="External"/><Relationship Id="rId4" Type="http://schemas.openxmlformats.org/officeDocument/2006/relationships/hyperlink" Target="https://www.oas.org/es/cidh/decisiones/Corte/2024/VE_14.142_NdeREs.PDF" TargetMode="External"/><Relationship Id="rId9" Type="http://schemas.openxmlformats.org/officeDocument/2006/relationships/hyperlink" Target="https://espaciopublico.ong/ley-contra-el-odio-y-el-fascismo-dos-caras-de-una-misma-moneda/" TargetMode="External"/><Relationship Id="rId14" Type="http://schemas.openxmlformats.org/officeDocument/2006/relationships/hyperlink" Target="https://www.radiofeyalegrianoticias.com/eleccion-de-segundo-grado-para-los-indigenas-dos-enfoque-errad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430C4-6CDE-41EA-A0E4-A57E182C9E53}">
  <ds:schemaRefs>
    <ds:schemaRef ds:uri="http://schemas.openxmlformats.org/officeDocument/2006/bibliography"/>
  </ds:schemaRefs>
</ds:datastoreItem>
</file>

<file path=customXml/itemProps2.xml><?xml version="1.0" encoding="utf-8"?>
<ds:datastoreItem xmlns:ds="http://schemas.openxmlformats.org/officeDocument/2006/customXml" ds:itemID="{1ADF75D0-7952-4123-9CA4-2004113A9E1D}"/>
</file>

<file path=customXml/itemProps3.xml><?xml version="1.0" encoding="utf-8"?>
<ds:datastoreItem xmlns:ds="http://schemas.openxmlformats.org/officeDocument/2006/customXml" ds:itemID="{6C2817DD-5C5B-4334-8ED1-AA7C0C7B5301}"/>
</file>

<file path=docProps/app.xml><?xml version="1.0" encoding="utf-8"?>
<Properties xmlns="http://schemas.openxmlformats.org/officeDocument/2006/extended-properties" xmlns:vt="http://schemas.openxmlformats.org/officeDocument/2006/docPropsVTypes">
  <Template>Normal</Template>
  <TotalTime>316</TotalTime>
  <Pages>8</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 Bolivar</dc:creator>
  <cp:keywords/>
  <dc:description/>
  <cp:lastModifiedBy>Ligia Bolivar</cp:lastModifiedBy>
  <cp:revision>248</cp:revision>
  <dcterms:created xsi:type="dcterms:W3CDTF">2024-07-02T23:23:00Z</dcterms:created>
  <dcterms:modified xsi:type="dcterms:W3CDTF">2024-07-22T18:27:00Z</dcterms:modified>
</cp:coreProperties>
</file>