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209B0" w14:textId="04B35C1D" w:rsidR="00F22917" w:rsidRPr="00534480" w:rsidRDefault="000C52FC" w:rsidP="00E37D7F">
      <w:pPr>
        <w:spacing w:after="200" w:line="276" w:lineRule="auto"/>
        <w:jc w:val="center"/>
        <w:rPr>
          <w:rFonts w:ascii="Times New Roman" w:hAnsi="Times New Roman" w:cs="Times New Roman"/>
          <w:b/>
          <w:bCs/>
          <w:color w:val="000000" w:themeColor="text1"/>
          <w:sz w:val="24"/>
          <w:szCs w:val="24"/>
        </w:rPr>
      </w:pPr>
      <w:bookmarkStart w:id="0" w:name="_Hlk79319174"/>
      <w:r w:rsidRPr="00534480">
        <w:rPr>
          <w:rFonts w:ascii="Times New Roman" w:hAnsi="Times New Roman" w:cs="Times New Roman"/>
          <w:noProof/>
          <w:sz w:val="24"/>
          <w:szCs w:val="24"/>
        </w:rPr>
        <w:drawing>
          <wp:inline distT="0" distB="0" distL="0" distR="0" wp14:anchorId="6FE1845F" wp14:editId="09835483">
            <wp:extent cx="1714946" cy="1805888"/>
            <wp:effectExtent l="0" t="0" r="0" b="4445"/>
            <wp:docPr id="1382855319" name="Picture 1" descr="The Independent Commission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dependent Commission For Human Righ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1907" cy="1813218"/>
                    </a:xfrm>
                    <a:prstGeom prst="rect">
                      <a:avLst/>
                    </a:prstGeom>
                    <a:noFill/>
                    <a:ln>
                      <a:noFill/>
                    </a:ln>
                  </pic:spPr>
                </pic:pic>
              </a:graphicData>
            </a:graphic>
          </wp:inline>
        </w:drawing>
      </w:r>
    </w:p>
    <w:p w14:paraId="285A49BB" w14:textId="77777777" w:rsidR="00F22917" w:rsidRPr="00534480" w:rsidRDefault="00F22917" w:rsidP="00534480">
      <w:pPr>
        <w:spacing w:after="200" w:line="276" w:lineRule="auto"/>
        <w:jc w:val="both"/>
        <w:rPr>
          <w:rFonts w:ascii="Times New Roman" w:hAnsi="Times New Roman" w:cs="Times New Roman"/>
          <w:b/>
          <w:bCs/>
          <w:color w:val="000000" w:themeColor="text1"/>
          <w:sz w:val="24"/>
          <w:szCs w:val="24"/>
          <w:rtl/>
        </w:rPr>
      </w:pPr>
    </w:p>
    <w:p w14:paraId="5F3C0991" w14:textId="0E4DEDC0" w:rsidR="00FE47A8" w:rsidRPr="00534480" w:rsidRDefault="00FE47A8"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Preliminary review submitted by the Independent Commission for Human Rights (ICHR) to the United Nations</w:t>
      </w:r>
    </w:p>
    <w:p w14:paraId="1D47F491" w14:textId="5EA68F27" w:rsidR="00FE47A8" w:rsidRPr="00534480" w:rsidRDefault="00FE47A8"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Committee on Economic, Social and Cultural Rights</w:t>
      </w:r>
    </w:p>
    <w:p w14:paraId="46465D35" w14:textId="67A1D8A6" w:rsidR="00FE47A8" w:rsidRPr="00534480" w:rsidRDefault="00FE47A8"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Session 74 (25 September-13 October 2023)</w:t>
      </w:r>
    </w:p>
    <w:p w14:paraId="5D96A426" w14:textId="77777777" w:rsidR="00FE47A8" w:rsidRPr="00534480" w:rsidRDefault="00FE47A8" w:rsidP="00534480">
      <w:pPr>
        <w:spacing w:after="200" w:line="276" w:lineRule="auto"/>
        <w:jc w:val="both"/>
        <w:rPr>
          <w:rFonts w:ascii="Times New Roman" w:hAnsi="Times New Roman" w:cs="Times New Roman"/>
          <w:b/>
          <w:bCs/>
          <w:color w:val="000000" w:themeColor="text1"/>
          <w:sz w:val="24"/>
          <w:szCs w:val="24"/>
          <w:rtl/>
        </w:rPr>
      </w:pPr>
    </w:p>
    <w:p w14:paraId="4411DE3F" w14:textId="77777777" w:rsidR="00FE47A8" w:rsidRPr="00534480" w:rsidRDefault="00FE47A8" w:rsidP="00534480">
      <w:pPr>
        <w:spacing w:after="200" w:line="276" w:lineRule="auto"/>
        <w:jc w:val="both"/>
        <w:rPr>
          <w:rFonts w:ascii="Times New Roman" w:hAnsi="Times New Roman" w:cs="Times New Roman"/>
          <w:b/>
          <w:bCs/>
          <w:color w:val="000000" w:themeColor="text1"/>
          <w:sz w:val="24"/>
          <w:szCs w:val="24"/>
          <w:rtl/>
        </w:rPr>
      </w:pPr>
    </w:p>
    <w:p w14:paraId="2FAAAC53" w14:textId="32D551BE" w:rsidR="00F22917" w:rsidRPr="00534480" w:rsidRDefault="00F22917"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On the State of Palestine’s initial report on the implementation of the International Covenant on Economic, Social</w:t>
      </w:r>
      <w:r w:rsidR="00C91A77">
        <w:rPr>
          <w:rFonts w:ascii="Times New Roman" w:hAnsi="Times New Roman" w:cs="Times New Roman"/>
          <w:b/>
          <w:color w:val="000000" w:themeColor="text1"/>
          <w:sz w:val="24"/>
          <w:szCs w:val="24"/>
        </w:rPr>
        <w:t>,</w:t>
      </w:r>
      <w:r w:rsidRPr="00534480">
        <w:rPr>
          <w:rFonts w:ascii="Times New Roman" w:hAnsi="Times New Roman" w:cs="Times New Roman"/>
          <w:b/>
          <w:color w:val="000000" w:themeColor="text1"/>
          <w:sz w:val="24"/>
          <w:szCs w:val="24"/>
        </w:rPr>
        <w:t xml:space="preserve"> and Cultural Rights</w:t>
      </w:r>
    </w:p>
    <w:p w14:paraId="752FDEB6" w14:textId="77777777" w:rsidR="00F22917" w:rsidRPr="00534480" w:rsidRDefault="00F22917" w:rsidP="00534480">
      <w:pPr>
        <w:spacing w:after="200" w:line="276" w:lineRule="auto"/>
        <w:jc w:val="both"/>
        <w:rPr>
          <w:rFonts w:ascii="Times New Roman" w:hAnsi="Times New Roman" w:cs="Times New Roman"/>
          <w:b/>
          <w:bCs/>
          <w:color w:val="000000" w:themeColor="text1"/>
          <w:sz w:val="24"/>
          <w:szCs w:val="24"/>
          <w:rtl/>
        </w:rPr>
      </w:pPr>
    </w:p>
    <w:p w14:paraId="487FE341" w14:textId="77777777" w:rsidR="00F22917" w:rsidRPr="00534480" w:rsidRDefault="00F22917" w:rsidP="00534480">
      <w:pPr>
        <w:spacing w:after="200" w:line="276" w:lineRule="auto"/>
        <w:jc w:val="both"/>
        <w:rPr>
          <w:rFonts w:ascii="Times New Roman" w:hAnsi="Times New Roman" w:cs="Times New Roman"/>
          <w:b/>
          <w:bCs/>
          <w:color w:val="000000" w:themeColor="text1"/>
          <w:sz w:val="24"/>
          <w:szCs w:val="24"/>
          <w:rtl/>
        </w:rPr>
      </w:pPr>
    </w:p>
    <w:p w14:paraId="6D3E0742" w14:textId="3AB5A994" w:rsidR="00F22917" w:rsidRPr="00534480" w:rsidRDefault="00F22917"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Independent Commission for Human Rights (ICHR)</w:t>
      </w:r>
    </w:p>
    <w:p w14:paraId="7FA95639" w14:textId="018DAEFB" w:rsidR="00F22917" w:rsidRPr="00534480" w:rsidRDefault="00F22917"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August 2023</w:t>
      </w:r>
    </w:p>
    <w:p w14:paraId="1E5DD49A" w14:textId="77777777" w:rsidR="00F22917" w:rsidRPr="00534480" w:rsidRDefault="00F22917" w:rsidP="00534480">
      <w:pPr>
        <w:spacing w:after="200" w:line="276" w:lineRule="auto"/>
        <w:jc w:val="both"/>
        <w:rPr>
          <w:rFonts w:ascii="Times New Roman" w:hAnsi="Times New Roman" w:cs="Times New Roman"/>
          <w:b/>
          <w:bCs/>
          <w:color w:val="000000" w:themeColor="text1"/>
          <w:sz w:val="24"/>
          <w:szCs w:val="24"/>
          <w:rtl/>
        </w:rPr>
      </w:pPr>
    </w:p>
    <w:p w14:paraId="10B1D038" w14:textId="77777777" w:rsidR="00F22917" w:rsidRPr="00534480" w:rsidRDefault="00F22917" w:rsidP="00534480">
      <w:pPr>
        <w:spacing w:after="200" w:line="276" w:lineRule="auto"/>
        <w:jc w:val="both"/>
        <w:rPr>
          <w:rFonts w:ascii="Times New Roman" w:hAnsi="Times New Roman" w:cs="Times New Roman"/>
          <w:b/>
          <w:bCs/>
          <w:color w:val="000000" w:themeColor="text1"/>
          <w:sz w:val="24"/>
          <w:szCs w:val="24"/>
          <w:rtl/>
        </w:rPr>
      </w:pPr>
    </w:p>
    <w:p w14:paraId="108DB7A2" w14:textId="77777777" w:rsidR="00F22917" w:rsidRPr="00534480" w:rsidRDefault="00F22917" w:rsidP="00E37D7F">
      <w:pPr>
        <w:spacing w:after="200" w:line="276" w:lineRule="auto"/>
        <w:jc w:val="center"/>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Palestine</w:t>
      </w:r>
    </w:p>
    <w:p w14:paraId="27CA79AD" w14:textId="77777777" w:rsidR="00F22917" w:rsidRPr="00534480" w:rsidRDefault="00F22917" w:rsidP="00534480">
      <w:pPr>
        <w:pStyle w:val="Style1"/>
        <w:spacing w:after="200" w:line="276" w:lineRule="auto"/>
        <w:jc w:val="both"/>
        <w:rPr>
          <w:rFonts w:ascii="Times New Roman" w:hAnsi="Times New Roman" w:cs="Times New Roman"/>
          <w:color w:val="000000" w:themeColor="text1"/>
          <w:sz w:val="24"/>
          <w:szCs w:val="24"/>
        </w:rPr>
      </w:pPr>
      <w:r w:rsidRPr="00534480">
        <w:rPr>
          <w:rFonts w:ascii="Times New Roman" w:hAnsi="Times New Roman" w:cs="Times New Roman"/>
          <w:sz w:val="24"/>
          <w:szCs w:val="24"/>
        </w:rPr>
        <w:br w:type="page"/>
      </w:r>
      <w:r w:rsidRPr="00534480">
        <w:rPr>
          <w:rFonts w:ascii="Times New Roman" w:hAnsi="Times New Roman" w:cs="Times New Roman"/>
          <w:color w:val="000000" w:themeColor="text1"/>
          <w:sz w:val="24"/>
          <w:szCs w:val="24"/>
        </w:rPr>
        <w:lastRenderedPageBreak/>
        <w:t>Table of Contents</w:t>
      </w:r>
    </w:p>
    <w:tbl>
      <w:tblPr>
        <w:tblStyle w:val="TableGrid"/>
        <w:tblW w:w="0" w:type="auto"/>
        <w:tblLook w:val="04A0" w:firstRow="1" w:lastRow="0" w:firstColumn="1" w:lastColumn="0" w:noHBand="0" w:noVBand="1"/>
      </w:tblPr>
      <w:tblGrid>
        <w:gridCol w:w="7465"/>
        <w:gridCol w:w="1885"/>
      </w:tblGrid>
      <w:tr w:rsidR="00736002" w14:paraId="39E5A3E4" w14:textId="77777777" w:rsidTr="00736002">
        <w:tc>
          <w:tcPr>
            <w:tcW w:w="7465" w:type="dxa"/>
          </w:tcPr>
          <w:p w14:paraId="1841B90E" w14:textId="3875B1E8" w:rsidR="00736002" w:rsidRPr="00736002" w:rsidRDefault="00736002" w:rsidP="00736002">
            <w:pPr>
              <w:spacing w:line="276" w:lineRule="auto"/>
              <w:jc w:val="both"/>
              <w:rPr>
                <w:rFonts w:ascii="Times New Roman" w:hAnsi="Times New Roman" w:cs="Times New Roman"/>
                <w:b/>
                <w:color w:val="000000" w:themeColor="text1"/>
                <w:sz w:val="24"/>
                <w:szCs w:val="24"/>
              </w:rPr>
            </w:pPr>
            <w:r w:rsidRPr="00534480">
              <w:rPr>
                <w:rFonts w:ascii="Times New Roman" w:hAnsi="Times New Roman" w:cs="Times New Roman"/>
                <w:b/>
                <w:color w:val="000000" w:themeColor="text1"/>
                <w:sz w:val="24"/>
                <w:szCs w:val="24"/>
              </w:rPr>
              <w:t>Profile of the Independent Commission for Human Rights (ICHR)</w:t>
            </w:r>
          </w:p>
        </w:tc>
        <w:tc>
          <w:tcPr>
            <w:tcW w:w="1885" w:type="dxa"/>
          </w:tcPr>
          <w:p w14:paraId="2C65010A" w14:textId="6541C900"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r>
      <w:tr w:rsidR="00736002" w14:paraId="4E05A1AD" w14:textId="77777777" w:rsidTr="00736002">
        <w:tc>
          <w:tcPr>
            <w:tcW w:w="7465" w:type="dxa"/>
          </w:tcPr>
          <w:p w14:paraId="39CD31B4" w14:textId="77C5E28F" w:rsidR="00736002" w:rsidRPr="00736002"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 xml:space="preserve">Legal standing of the ICESCR within the legal system </w:t>
            </w:r>
          </w:p>
        </w:tc>
        <w:tc>
          <w:tcPr>
            <w:tcW w:w="1885" w:type="dxa"/>
          </w:tcPr>
          <w:p w14:paraId="0FF891FF" w14:textId="27C90069"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r>
      <w:tr w:rsidR="00736002" w14:paraId="744703C1" w14:textId="77777777" w:rsidTr="00736002">
        <w:tc>
          <w:tcPr>
            <w:tcW w:w="7465" w:type="dxa"/>
          </w:tcPr>
          <w:p w14:paraId="491852F9" w14:textId="2F1D8E30" w:rsidR="00736002" w:rsidRPr="00736002"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 xml:space="preserve">General measures of implementation </w:t>
            </w:r>
          </w:p>
        </w:tc>
        <w:tc>
          <w:tcPr>
            <w:tcW w:w="1885" w:type="dxa"/>
          </w:tcPr>
          <w:p w14:paraId="4533EE3A" w14:textId="652175D6"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r>
      <w:tr w:rsidR="00736002" w14:paraId="3DA52FDB" w14:textId="77777777" w:rsidTr="00736002">
        <w:tc>
          <w:tcPr>
            <w:tcW w:w="7465" w:type="dxa"/>
          </w:tcPr>
          <w:p w14:paraId="6367F766" w14:textId="2698E676" w:rsidR="00736002" w:rsidRPr="00736002"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 xml:space="preserve">Equality and non-discrimination </w:t>
            </w:r>
          </w:p>
        </w:tc>
        <w:tc>
          <w:tcPr>
            <w:tcW w:w="1885" w:type="dxa"/>
          </w:tcPr>
          <w:p w14:paraId="268B00AA" w14:textId="4FB28DB3"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r>
      <w:tr w:rsidR="00736002" w14:paraId="21A0F4DF" w14:textId="77777777" w:rsidTr="00736002">
        <w:tc>
          <w:tcPr>
            <w:tcW w:w="7465" w:type="dxa"/>
          </w:tcPr>
          <w:p w14:paraId="0529C3F2" w14:textId="0A83EE40" w:rsidR="00736002" w:rsidRPr="00736002" w:rsidRDefault="00736002" w:rsidP="00736002">
            <w:pPr>
              <w:spacing w:line="276" w:lineRule="auto"/>
              <w:contextualSpacing/>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Equality of rights between men and women</w:t>
            </w:r>
          </w:p>
        </w:tc>
        <w:tc>
          <w:tcPr>
            <w:tcW w:w="1885" w:type="dxa"/>
          </w:tcPr>
          <w:p w14:paraId="2E4ED728" w14:textId="0FF2E8A4"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r>
      <w:tr w:rsidR="00736002" w14:paraId="09B77884" w14:textId="77777777" w:rsidTr="00736002">
        <w:tc>
          <w:tcPr>
            <w:tcW w:w="7465" w:type="dxa"/>
          </w:tcPr>
          <w:p w14:paraId="36DED299" w14:textId="08244134" w:rsidR="00736002" w:rsidRPr="00736002" w:rsidRDefault="00736002" w:rsidP="00736002">
            <w:pPr>
              <w:spacing w:line="276" w:lineRule="auto"/>
              <w:contextualSpacing/>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 xml:space="preserve">Right to work </w:t>
            </w:r>
          </w:p>
        </w:tc>
        <w:tc>
          <w:tcPr>
            <w:tcW w:w="1885" w:type="dxa"/>
          </w:tcPr>
          <w:p w14:paraId="1D420B48" w14:textId="74D3A288"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r>
      <w:tr w:rsidR="00736002" w14:paraId="7C41FF9C" w14:textId="77777777" w:rsidTr="00736002">
        <w:tc>
          <w:tcPr>
            <w:tcW w:w="7465" w:type="dxa"/>
          </w:tcPr>
          <w:p w14:paraId="5E970BA3" w14:textId="0E93D875" w:rsidR="00736002" w:rsidRPr="00736002"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Just and favourable conditions of work</w:t>
            </w:r>
          </w:p>
        </w:tc>
        <w:tc>
          <w:tcPr>
            <w:tcW w:w="1885" w:type="dxa"/>
          </w:tcPr>
          <w:p w14:paraId="63A64215" w14:textId="760F3C21"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r>
      <w:tr w:rsidR="00736002" w14:paraId="1AB68B93" w14:textId="77777777" w:rsidTr="00736002">
        <w:tc>
          <w:tcPr>
            <w:tcW w:w="7465" w:type="dxa"/>
          </w:tcPr>
          <w:p w14:paraId="0AF7F7AA" w14:textId="7F5AF2A8" w:rsidR="00736002" w:rsidRPr="00736002"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Trade union rights</w:t>
            </w:r>
          </w:p>
        </w:tc>
        <w:tc>
          <w:tcPr>
            <w:tcW w:w="1885" w:type="dxa"/>
          </w:tcPr>
          <w:p w14:paraId="65E4EF20" w14:textId="4182C097"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r>
      <w:tr w:rsidR="00736002" w14:paraId="757306B7" w14:textId="77777777" w:rsidTr="00736002">
        <w:tc>
          <w:tcPr>
            <w:tcW w:w="7465" w:type="dxa"/>
          </w:tcPr>
          <w:p w14:paraId="31A662BF" w14:textId="77777777" w:rsidR="00736002" w:rsidRPr="00534480"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Right to social security</w:t>
            </w:r>
          </w:p>
          <w:p w14:paraId="5454922E" w14:textId="77777777" w:rsidR="00736002" w:rsidRPr="00534480" w:rsidRDefault="00736002" w:rsidP="00736002">
            <w:pPr>
              <w:spacing w:line="276" w:lineRule="auto"/>
              <w:jc w:val="both"/>
              <w:rPr>
                <w:rFonts w:ascii="Times New Roman" w:hAnsi="Times New Roman" w:cs="Times New Roman"/>
                <w:b/>
                <w:color w:val="000000" w:themeColor="text1"/>
                <w:sz w:val="24"/>
                <w:szCs w:val="24"/>
              </w:rPr>
            </w:pPr>
          </w:p>
        </w:tc>
        <w:tc>
          <w:tcPr>
            <w:tcW w:w="1885" w:type="dxa"/>
          </w:tcPr>
          <w:p w14:paraId="4B78D43D" w14:textId="50232B69"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736002" w14:paraId="3EC39663" w14:textId="77777777" w:rsidTr="00736002">
        <w:tc>
          <w:tcPr>
            <w:tcW w:w="7465" w:type="dxa"/>
          </w:tcPr>
          <w:p w14:paraId="10C8F60A" w14:textId="77777777" w:rsidR="00736002" w:rsidRPr="00534480"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Family and child protection</w:t>
            </w:r>
          </w:p>
          <w:p w14:paraId="70C6E23E" w14:textId="77777777" w:rsidR="00736002" w:rsidRPr="00534480" w:rsidRDefault="00736002" w:rsidP="00736002">
            <w:pPr>
              <w:spacing w:line="276" w:lineRule="auto"/>
              <w:jc w:val="both"/>
              <w:rPr>
                <w:rFonts w:ascii="Times New Roman" w:hAnsi="Times New Roman" w:cs="Times New Roman"/>
                <w:b/>
                <w:color w:val="000000" w:themeColor="text1"/>
                <w:sz w:val="24"/>
                <w:szCs w:val="24"/>
              </w:rPr>
            </w:pPr>
          </w:p>
        </w:tc>
        <w:tc>
          <w:tcPr>
            <w:tcW w:w="1885" w:type="dxa"/>
          </w:tcPr>
          <w:p w14:paraId="18E25AD7" w14:textId="70452AB7"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736002" w14:paraId="586196D1" w14:textId="77777777" w:rsidTr="00736002">
        <w:tc>
          <w:tcPr>
            <w:tcW w:w="7465" w:type="dxa"/>
          </w:tcPr>
          <w:p w14:paraId="251D1594" w14:textId="77777777" w:rsidR="00736002" w:rsidRPr="00534480" w:rsidRDefault="00736002" w:rsidP="00736002">
            <w:pPr>
              <w:spacing w:line="276" w:lineRule="auto"/>
              <w:contextualSpacing/>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Right to an adequate standard of living</w:t>
            </w:r>
          </w:p>
          <w:p w14:paraId="044CA420" w14:textId="77777777" w:rsidR="00736002" w:rsidRPr="00534480" w:rsidRDefault="00736002" w:rsidP="00736002">
            <w:pPr>
              <w:spacing w:line="276" w:lineRule="auto"/>
              <w:jc w:val="both"/>
              <w:rPr>
                <w:rFonts w:ascii="Times New Roman" w:hAnsi="Times New Roman" w:cs="Times New Roman"/>
                <w:b/>
                <w:color w:val="000000" w:themeColor="text1"/>
                <w:sz w:val="24"/>
                <w:szCs w:val="24"/>
              </w:rPr>
            </w:pPr>
          </w:p>
        </w:tc>
        <w:tc>
          <w:tcPr>
            <w:tcW w:w="1885" w:type="dxa"/>
          </w:tcPr>
          <w:p w14:paraId="0B4104CB" w14:textId="2884AAF0"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736002" w14:paraId="677DEFD9" w14:textId="77777777" w:rsidTr="00736002">
        <w:tc>
          <w:tcPr>
            <w:tcW w:w="7465" w:type="dxa"/>
          </w:tcPr>
          <w:p w14:paraId="3D255DF3" w14:textId="77777777" w:rsidR="00736002" w:rsidRPr="00534480" w:rsidRDefault="00736002" w:rsidP="00736002">
            <w:pPr>
              <w:spacing w:line="276" w:lineRule="auto"/>
              <w:contextualSpacing/>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Right to physical and mental health</w:t>
            </w:r>
          </w:p>
          <w:p w14:paraId="316BB4F3" w14:textId="77777777" w:rsidR="00736002" w:rsidRPr="00534480" w:rsidRDefault="00736002" w:rsidP="00736002">
            <w:pPr>
              <w:spacing w:line="276" w:lineRule="auto"/>
              <w:contextualSpacing/>
              <w:jc w:val="both"/>
              <w:rPr>
                <w:rFonts w:ascii="Times New Roman" w:hAnsi="Times New Roman" w:cs="Times New Roman"/>
                <w:b/>
                <w:color w:val="000000" w:themeColor="text1"/>
                <w:sz w:val="24"/>
                <w:szCs w:val="24"/>
              </w:rPr>
            </w:pPr>
          </w:p>
        </w:tc>
        <w:tc>
          <w:tcPr>
            <w:tcW w:w="1885" w:type="dxa"/>
          </w:tcPr>
          <w:p w14:paraId="0C099AA2" w14:textId="049E87CB"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r>
      <w:tr w:rsidR="00736002" w14:paraId="629AA459" w14:textId="77777777" w:rsidTr="00736002">
        <w:tc>
          <w:tcPr>
            <w:tcW w:w="7465" w:type="dxa"/>
          </w:tcPr>
          <w:p w14:paraId="3D31B6FC" w14:textId="77777777" w:rsidR="00736002" w:rsidRPr="00534480"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Right to education</w:t>
            </w:r>
          </w:p>
          <w:p w14:paraId="6CF18541" w14:textId="77777777" w:rsidR="00736002" w:rsidRPr="00534480" w:rsidRDefault="00736002" w:rsidP="00736002">
            <w:pPr>
              <w:spacing w:line="276" w:lineRule="auto"/>
              <w:contextualSpacing/>
              <w:jc w:val="both"/>
              <w:rPr>
                <w:rFonts w:ascii="Times New Roman" w:hAnsi="Times New Roman" w:cs="Times New Roman"/>
                <w:b/>
                <w:color w:val="000000" w:themeColor="text1"/>
                <w:sz w:val="24"/>
                <w:szCs w:val="24"/>
              </w:rPr>
            </w:pPr>
          </w:p>
        </w:tc>
        <w:tc>
          <w:tcPr>
            <w:tcW w:w="1885" w:type="dxa"/>
          </w:tcPr>
          <w:p w14:paraId="0891F618" w14:textId="40D91CC5"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736002" w14:paraId="60DCFF1D" w14:textId="77777777" w:rsidTr="00736002">
        <w:tc>
          <w:tcPr>
            <w:tcW w:w="7465" w:type="dxa"/>
          </w:tcPr>
          <w:p w14:paraId="0D66A084" w14:textId="77777777" w:rsidR="00736002" w:rsidRPr="00D42F47" w:rsidRDefault="00736002" w:rsidP="00736002">
            <w:pPr>
              <w:spacing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b/>
                <w:color w:val="000000" w:themeColor="text1"/>
                <w:sz w:val="24"/>
                <w:szCs w:val="24"/>
              </w:rPr>
              <w:t>Cultural rights</w:t>
            </w:r>
          </w:p>
          <w:p w14:paraId="27F085C3" w14:textId="77777777" w:rsidR="00736002" w:rsidRPr="00534480" w:rsidRDefault="00736002" w:rsidP="00736002">
            <w:pPr>
              <w:spacing w:line="276" w:lineRule="auto"/>
              <w:jc w:val="both"/>
              <w:rPr>
                <w:rFonts w:ascii="Times New Roman" w:hAnsi="Times New Roman" w:cs="Times New Roman"/>
                <w:b/>
                <w:color w:val="000000" w:themeColor="text1"/>
                <w:sz w:val="24"/>
                <w:szCs w:val="24"/>
              </w:rPr>
            </w:pPr>
          </w:p>
        </w:tc>
        <w:tc>
          <w:tcPr>
            <w:tcW w:w="1885" w:type="dxa"/>
          </w:tcPr>
          <w:p w14:paraId="514861CE" w14:textId="5D13F710" w:rsidR="00736002" w:rsidRDefault="007D6F2E" w:rsidP="00534480">
            <w:pPr>
              <w:spacing w:after="20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bl>
    <w:p w14:paraId="45687B01" w14:textId="77777777" w:rsidR="00736002" w:rsidRPr="00534480" w:rsidRDefault="00736002" w:rsidP="00736002">
      <w:pPr>
        <w:spacing w:after="0" w:line="276" w:lineRule="auto"/>
        <w:contextualSpacing/>
        <w:jc w:val="both"/>
        <w:rPr>
          <w:rFonts w:ascii="Times New Roman" w:hAnsi="Times New Roman" w:cs="Times New Roman"/>
          <w:color w:val="000000" w:themeColor="text1"/>
          <w:sz w:val="24"/>
          <w:szCs w:val="24"/>
          <w:rtl/>
          <w:lang w:bidi="ar-JO"/>
        </w:rPr>
      </w:pPr>
    </w:p>
    <w:p w14:paraId="32F0C4A3" w14:textId="77777777" w:rsidR="00A03862" w:rsidRPr="00534480" w:rsidRDefault="00A03862" w:rsidP="00534480">
      <w:pPr>
        <w:spacing w:after="200" w:line="276" w:lineRule="auto"/>
        <w:jc w:val="both"/>
        <w:rPr>
          <w:rFonts w:ascii="Times New Roman" w:hAnsi="Times New Roman" w:cs="Times New Roman"/>
          <w:color w:val="000000" w:themeColor="text1"/>
          <w:sz w:val="24"/>
          <w:szCs w:val="24"/>
          <w:rtl/>
        </w:rPr>
      </w:pPr>
    </w:p>
    <w:p w14:paraId="78160578" w14:textId="77777777" w:rsidR="00A03862" w:rsidRPr="00534480" w:rsidRDefault="00A03862" w:rsidP="00534480">
      <w:pPr>
        <w:spacing w:after="200" w:line="276" w:lineRule="auto"/>
        <w:jc w:val="both"/>
        <w:rPr>
          <w:rFonts w:ascii="Times New Roman" w:hAnsi="Times New Roman" w:cs="Times New Roman"/>
          <w:color w:val="000000" w:themeColor="text1"/>
          <w:sz w:val="24"/>
          <w:szCs w:val="24"/>
          <w:rtl/>
        </w:rPr>
      </w:pPr>
    </w:p>
    <w:p w14:paraId="509EAE6A" w14:textId="77777777" w:rsidR="00A03862" w:rsidRPr="00534480" w:rsidRDefault="00A03862" w:rsidP="00534480">
      <w:pPr>
        <w:spacing w:after="200" w:line="276" w:lineRule="auto"/>
        <w:jc w:val="both"/>
        <w:rPr>
          <w:rFonts w:ascii="Times New Roman" w:hAnsi="Times New Roman" w:cs="Times New Roman"/>
          <w:color w:val="000000" w:themeColor="text1"/>
          <w:sz w:val="24"/>
          <w:szCs w:val="24"/>
          <w:rtl/>
        </w:rPr>
      </w:pPr>
    </w:p>
    <w:p w14:paraId="01A31657" w14:textId="77777777" w:rsidR="000F0030" w:rsidRPr="00534480" w:rsidRDefault="000F0030" w:rsidP="00534480">
      <w:pPr>
        <w:spacing w:after="200" w:line="276" w:lineRule="auto"/>
        <w:jc w:val="both"/>
        <w:rPr>
          <w:rFonts w:ascii="Times New Roman" w:hAnsi="Times New Roman" w:cs="Times New Roman"/>
          <w:b/>
          <w:bCs/>
          <w:color w:val="000000" w:themeColor="text1"/>
          <w:sz w:val="24"/>
          <w:szCs w:val="24"/>
        </w:rPr>
      </w:pPr>
      <w:r w:rsidRPr="00534480">
        <w:rPr>
          <w:rFonts w:ascii="Times New Roman" w:hAnsi="Times New Roman" w:cs="Times New Roman"/>
          <w:sz w:val="24"/>
          <w:szCs w:val="24"/>
        </w:rPr>
        <w:br w:type="page"/>
      </w:r>
    </w:p>
    <w:p w14:paraId="7EAF8C96" w14:textId="08CED3E1" w:rsidR="00F22917" w:rsidRPr="00736002" w:rsidRDefault="00F22917" w:rsidP="00534480">
      <w:p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lastRenderedPageBreak/>
        <w:t>Profile of the Independent Commission for Human Rights (ICHR)</w:t>
      </w:r>
    </w:p>
    <w:p w14:paraId="2FB14769" w14:textId="77777777"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As the Palestinian national human rights institution, the Independent Commission for Human Rights (ICHR) is a full member of the Global Alliance of National Human Rights Institutions (GANRI). On 30 September 1993, the ICHR was established in accordance with a Presidential Decree promulgated by the late President Yasser Arafat. The Decree was subsequently published under number 59/1995 in the Palestinian Official Gazette in 1995. According to the Presidential Decree, ICHR functions and responsibilities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w:t>
      </w:r>
    </w:p>
    <w:p w14:paraId="3F0D56CB" w14:textId="77777777"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The Presidential Decree tasks the ICHR with drafting its own bylaws in a manner that ensures the Commission’s independence and effectiveness. The ICHR commenced its activities in early 1994. Having been approved by the Palestinian Legislative Council (PLC) in 1997, the Palestinian Basic Law was promulgated and published in the Palestinian Official Gazette in 2002. Article 31 of the Basic Law 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yet been approved or passed, the ICHR clearly operates on the basis of the 1994 Presidential Decree until such time the ICHR Law is endorsed.</w:t>
      </w:r>
    </w:p>
    <w:p w14:paraId="7DC786CE" w14:textId="77777777"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its capacity as the national human rights institution and ombudsman office, the ICHR monitors and ensures that requirements for safeguarding human rights are fulfilled by Palestinian laws, bylaws, and regulations, as well as by functions of Palestinian departments, agencies and institutions. The ICHR scope of work extends to address human rights violations, handle complaints of human rights abuses committed against citizens by the Executive branch of government, promote legal literacy, and monitor national legislation and policies, ensuring consistence with international human rights standards.</w:t>
      </w:r>
    </w:p>
    <w:p w14:paraId="045E6506" w14:textId="44DA7F5C"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For more information on the rights contained in the International Covenant on Economic, Social and Cultural Rights (ICESCR), visit the ICHR website: </w:t>
      </w:r>
      <w:hyperlink r:id="rId12" w:history="1">
        <w:r w:rsidR="000C52FC" w:rsidRPr="00736002">
          <w:rPr>
            <w:rStyle w:val="Hyperlink"/>
            <w:rFonts w:ascii="Times New Roman" w:hAnsi="Times New Roman" w:cs="Times New Roman"/>
          </w:rPr>
          <w:t>https://www.ichr.ps</w:t>
        </w:r>
      </w:hyperlink>
      <w:r w:rsidR="000C52FC" w:rsidRPr="00736002">
        <w:rPr>
          <w:rFonts w:ascii="Times New Roman" w:hAnsi="Times New Roman" w:cs="Times New Roman"/>
          <w:color w:val="000000" w:themeColor="text1"/>
        </w:rPr>
        <w:t xml:space="preserve">. </w:t>
      </w:r>
    </w:p>
    <w:p w14:paraId="024DBEDB" w14:textId="2F506197" w:rsidR="00F22917" w:rsidRPr="00736002" w:rsidRDefault="00A35B51" w:rsidP="00534480">
      <w:p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rPr>
        <w:br w:type="page"/>
      </w:r>
      <w:r w:rsidRPr="00736002">
        <w:rPr>
          <w:rFonts w:ascii="Times New Roman" w:hAnsi="Times New Roman" w:cs="Times New Roman"/>
          <w:b/>
          <w:color w:val="000000" w:themeColor="text1"/>
        </w:rPr>
        <w:lastRenderedPageBreak/>
        <w:t xml:space="preserve">Legal standing of the ICESCR within the legal system </w:t>
      </w:r>
    </w:p>
    <w:p w14:paraId="7B9F8E07" w14:textId="622EE4B5"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So far, an explicit constitutional or legal provision is not in place, making clear the legal standing of international conventions in the State of Palestine. The Declaratory Judgement No. 4 of 2017, dated 8 March 2018, of the Supreme Constitutional Court (SCC) determines the legal status of international conventions within the Palestinian legal system continues to be without legal effect. The SSC decision provides that the international conventions, which the State of Palestine acceded to, take precedence over domestic legislation domestic legislation in keeping with the national, religious, and cultural identity of the Palestinian people. The International Covenant on Economic, Social and Cultural Rights (ICESCR) has not been published in the Palestinian Official Gazette. The </w:t>
      </w:r>
      <w:r w:rsidR="000C52FC" w:rsidRPr="00736002">
        <w:rPr>
          <w:rFonts w:ascii="Times New Roman" w:hAnsi="Times New Roman" w:cs="Times New Roman"/>
          <w:color w:val="000000" w:themeColor="text1"/>
        </w:rPr>
        <w:t>ICHR has</w:t>
      </w:r>
      <w:r w:rsidRPr="00736002">
        <w:rPr>
          <w:rFonts w:ascii="Times New Roman" w:hAnsi="Times New Roman" w:cs="Times New Roman"/>
          <w:color w:val="000000" w:themeColor="text1"/>
        </w:rPr>
        <w:t xml:space="preserve"> no information concerning either the forthcoming publication of, or the intention to publish, the ICESCR by relevant authorities.</w:t>
      </w:r>
    </w:p>
    <w:p w14:paraId="3318A4C6" w14:textId="3C08E978" w:rsidR="00F22917" w:rsidRPr="00736002" w:rsidRDefault="00F22917"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Due to this obscure legal standing of the ICESCR and other international treaties acceded to by the State of Palestine within the Palestinian legal system, the ICHR has been concerned about the claim that international conventions would be in conflict with the national, religious, and cultural identity of the Palestinian people. That allegation could potentially be used as a basis for failing to apply, or formulating reservations to, some provisions of these conventions. The obscure terms used by the SCC render accession to international conventions meaningless. Accordingly, the State of Palestine would derogate from its obligations, including in relation to harmonising domestic legislation and correcting national policies. Such obligations could not, therefore, be invoked before national courts.</w:t>
      </w:r>
    </w:p>
    <w:p w14:paraId="5375FEA5" w14:textId="231A805C" w:rsidR="00F22917" w:rsidRPr="00736002" w:rsidRDefault="00F22917" w:rsidP="00534480">
      <w:p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 xml:space="preserve">General measures of implementation </w:t>
      </w:r>
    </w:p>
    <w:p w14:paraId="0F8982C1" w14:textId="77777777" w:rsidR="004C3F16" w:rsidRPr="00736002" w:rsidRDefault="001E7927"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While the Gaza Strip is under the </w:t>
      </w:r>
      <w:r w:rsidRPr="00736002">
        <w:rPr>
          <w:rFonts w:ascii="Times New Roman" w:hAnsi="Times New Roman" w:cs="Times New Roman"/>
          <w:i/>
          <w:iCs/>
          <w:color w:val="000000" w:themeColor="text1"/>
        </w:rPr>
        <w:t>de facto</w:t>
      </w:r>
      <w:r w:rsidRPr="00736002">
        <w:rPr>
          <w:rFonts w:ascii="Times New Roman" w:hAnsi="Times New Roman" w:cs="Times New Roman"/>
          <w:color w:val="000000" w:themeColor="text1"/>
        </w:rPr>
        <w:t xml:space="preserve"> authority of Hamas, Israel retains full security and administrative control over Area C, which comprises some 61 percent of the West Bank, as well as over some areas in the Hebron city, designated as H2 under the Oslo Accords. Hence, the provisions of both domestic legislation and the Covenant cannot be enforced in the said areas. As at the time of reviewing, there have not been any practical and tangible measures to ensure that the provisions of the ICESCR will be implemented in all parts of the State of Palestine.  </w:t>
      </w:r>
    </w:p>
    <w:p w14:paraId="6A52715B" w14:textId="77777777" w:rsidR="004C3F16" w:rsidRPr="00736002" w:rsidRDefault="009056C9"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To date, relevant government bodies have failed to implement any procedures or measure to start enforcing and invoking the provisions of the ICESCR before national courts. Based on judicial interpretation, the State of Palestine has not developed a formula, which provides the needed mechanisms for incorporating international conventions into the domestic legal system.          </w:t>
      </w:r>
    </w:p>
    <w:p w14:paraId="01C0440D" w14:textId="2A6504C0" w:rsidR="009056C9" w:rsidRPr="00736002" w:rsidRDefault="004A2F67"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The Presidential Decree No. 3 of 2021 (15 December 2021) called for holding national elections. Promulgated on 30 April 2021, the Presidential Decree No. 12 of 2021 provided for postponing these elections, however. While the latter continues to be in effect, the government has failed to take any action or measure to hold national elections as a constitutional requirement.</w:t>
      </w:r>
    </w:p>
    <w:p w14:paraId="0074031C" w14:textId="10F49F35" w:rsidR="00434F05" w:rsidRPr="00736002" w:rsidRDefault="00434F05"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An institutionalised framework has not, so far, been developed with a view to regulating the working relationship between relevant government bodies and civil society organisations. This involves law- and policy making processes, particularly in issues pertaining to the implementation of provisions of the ICESCR and all other international treaties, which the State of Palestine acceded to.</w:t>
      </w:r>
    </w:p>
    <w:p w14:paraId="138C63B0" w14:textId="35A79B37" w:rsidR="00434F05" w:rsidRPr="00736002" w:rsidRDefault="00434F05"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lastRenderedPageBreak/>
        <w:t>The ICHR is not aware of executive plans initiated by the government to increase resilience to climate change, both socially and economically. Also, the ICHR has no information on plans that are currently implemented to ensure the fulfilment of ICESCR rights for everyone.</w:t>
      </w:r>
    </w:p>
    <w:p w14:paraId="7BCFEFD2" w14:textId="48D69A82" w:rsidR="00F22917" w:rsidRPr="00736002" w:rsidRDefault="009056C9"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foregoing, the ICHR recommends that:</w:t>
      </w:r>
    </w:p>
    <w:p w14:paraId="73304A24" w14:textId="43410F15" w:rsidR="00F22917" w:rsidRPr="00736002" w:rsidRDefault="00F22917" w:rsidP="00534480">
      <w:pPr>
        <w:numPr>
          <w:ilvl w:val="0"/>
          <w:numId w:val="9"/>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The Palestinian government publish the ICESCR in the Official Gazette of the State of Palestine. National legislation will be amended and brought in line with the rights and freedoms protected and safeguarded by the Covenant. Action will also be initiated to earmark budget allocations needed to realise the rights contained in the ICESCR. </w:t>
      </w:r>
    </w:p>
    <w:p w14:paraId="4BE2E8EB" w14:textId="26721DAE" w:rsidR="00B121FE" w:rsidRPr="00736002" w:rsidRDefault="00F22917" w:rsidP="00534480">
      <w:pPr>
        <w:numPr>
          <w:ilvl w:val="0"/>
          <w:numId w:val="9"/>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Expedited action be taken to hold national elections as a legal requirement, which can empower the elected government to impose sovereignty, extend control, and put in place legal and judicial mandate of the State of Palestine over all of the Palestinian territory. In addition to actively engaging civil society organisations in national law- and policy-making processes, the Legislative Harmonisation Committee will be reinvigorated. Membership on the committee will be expanded to ensure the participation of civil society and private sector. </w:t>
      </w:r>
    </w:p>
    <w:p w14:paraId="768D46B7" w14:textId="6470A3A0" w:rsidR="00F22917" w:rsidRPr="00736002" w:rsidRDefault="00F22917" w:rsidP="00534480">
      <w:pPr>
        <w:spacing w:after="200" w:line="276" w:lineRule="auto"/>
        <w:contextualSpacing/>
        <w:jc w:val="both"/>
        <w:rPr>
          <w:rFonts w:ascii="Times New Roman" w:hAnsi="Times New Roman" w:cs="Times New Roman"/>
          <w:color w:val="000000" w:themeColor="text1"/>
          <w:sz w:val="10"/>
          <w:szCs w:val="10"/>
          <w:rtl/>
          <w:lang w:bidi="ar-JO"/>
        </w:rPr>
      </w:pPr>
    </w:p>
    <w:p w14:paraId="24DECB2D" w14:textId="615D5773" w:rsidR="00F22917" w:rsidRPr="00736002" w:rsidRDefault="00F22917" w:rsidP="00534480">
      <w:p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 xml:space="preserve">Equality and non-discrimination </w:t>
      </w:r>
    </w:p>
    <w:p w14:paraId="23DAD1C6" w14:textId="77777777" w:rsidR="008F5615" w:rsidRPr="00736002" w:rsidRDefault="00B734A1"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Relevant government bodies have neither amended nor enacted any regulations, which uphold guarantees of the principles of equality and non-discrimination in rights and freedoms. The principles of equality and non-discrimination continue to be subject to restrictions that hinder application on the ground. This fact is demonstrated by some provisions of the Personal Status Law, which establish guardianship, custodianship, and family responsibilities. The principle of partition of matrimonial property is absent. The Law further associates women’s economic and social rights to man’s will. In addition, the Law No. 4 of 1999 on the Rights of Persons with Disabilities is impaired by unclear regulations and bylaws, which should have ensured that the law is duly applied and that needed financial resources for enforcement are provided. So far, a reasonable timeline that is commensurate with the financial resources of the Palestinian Authority (PA) has not been set forth to put the law into effect. </w:t>
      </w:r>
    </w:p>
    <w:p w14:paraId="531D2F71" w14:textId="1CAE5A45" w:rsidR="00510B70" w:rsidRPr="00736002" w:rsidRDefault="00B734A1"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The ICHR has no information on measures and procedures, by which the Palestinian government seeks to implement the provisions of the Covenant, provide physical access for all groups to the rights enshrined in the ICESCR. Of note, the fact that the budget is programme-based, budget allocations for these groups are clearly delineated. </w:t>
      </w:r>
    </w:p>
    <w:p w14:paraId="38E2D3E9" w14:textId="6D1A1FC9" w:rsidR="00F22917" w:rsidRPr="00736002" w:rsidRDefault="00510B70" w:rsidP="00534480">
      <w:pPr>
        <w:spacing w:after="200" w:line="276" w:lineRule="auto"/>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above, the ICHR recommends that:</w:t>
      </w:r>
    </w:p>
    <w:p w14:paraId="70E85F0B" w14:textId="233F2910" w:rsidR="00F22917" w:rsidRPr="00736002" w:rsidRDefault="00F22917" w:rsidP="00534480">
      <w:pPr>
        <w:numPr>
          <w:ilvl w:val="0"/>
          <w:numId w:val="10"/>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A regulation be enacted, providing for non-discrimination for any reason whatsoever in all aspects. At the same time, the regulation will prescribe measures at all levels to ensure that this principle is enforced within a particular timeframe. Any provisions that are in contrariety with the principle of non-discrimination will be repealed.</w:t>
      </w:r>
    </w:p>
    <w:p w14:paraId="1D931B30" w14:textId="32F9B08F" w:rsidR="00F22917" w:rsidRPr="00736002" w:rsidRDefault="00F22917" w:rsidP="00534480">
      <w:pPr>
        <w:numPr>
          <w:ilvl w:val="0"/>
          <w:numId w:val="10"/>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Annual government budgets be prepared in a manner that discloses budgeted allocations for relevant groups. This should show how compliant the government is with realising and protecting the rights enshrined in the ICESCR for all segments of society.</w:t>
      </w:r>
    </w:p>
    <w:p w14:paraId="34F09D5F" w14:textId="77777777" w:rsidR="006A54C3" w:rsidRPr="00736002" w:rsidRDefault="006A54C3" w:rsidP="00534480">
      <w:pPr>
        <w:spacing w:after="200" w:line="276" w:lineRule="auto"/>
        <w:contextualSpacing/>
        <w:jc w:val="both"/>
        <w:rPr>
          <w:rFonts w:ascii="Times New Roman" w:hAnsi="Times New Roman" w:cs="Times New Roman"/>
          <w:color w:val="000000" w:themeColor="text1"/>
          <w:rtl/>
          <w:lang w:bidi="ar-JO"/>
        </w:rPr>
      </w:pPr>
    </w:p>
    <w:p w14:paraId="149FC23D" w14:textId="77777777" w:rsidR="00736002" w:rsidRDefault="00736002" w:rsidP="00534480">
      <w:pPr>
        <w:spacing w:after="200" w:line="276" w:lineRule="auto"/>
        <w:contextualSpacing/>
        <w:jc w:val="both"/>
        <w:rPr>
          <w:rFonts w:ascii="Times New Roman" w:hAnsi="Times New Roman" w:cs="Times New Roman"/>
          <w:b/>
          <w:color w:val="000000" w:themeColor="text1"/>
        </w:rPr>
      </w:pPr>
    </w:p>
    <w:p w14:paraId="759B3448" w14:textId="5B598713" w:rsidR="00FD6810" w:rsidRPr="00736002" w:rsidRDefault="006A54C3" w:rsidP="00534480">
      <w:pPr>
        <w:spacing w:after="200" w:line="276" w:lineRule="auto"/>
        <w:contextualSpacing/>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lastRenderedPageBreak/>
        <w:t>Equality of rights between men and women</w:t>
      </w:r>
    </w:p>
    <w:p w14:paraId="5E31B58D" w14:textId="30A79421" w:rsidR="00FD6810" w:rsidRPr="00736002" w:rsidRDefault="00FD6810" w:rsidP="00534480">
      <w:pPr>
        <w:numPr>
          <w:ilvl w:val="0"/>
          <w:numId w:val="3"/>
        </w:numPr>
        <w:spacing w:after="200" w:line="276" w:lineRule="auto"/>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The government has not, to date, adopted a clear definition of discrimination against women. To promote equality of rights between men and women, a law has not been enacted. Such an enactment should include a definition of discrimination as a constitutional principle, on the grounds of which all national regulations, policies, and procedures are aligned. This is reflected in the ability of women to access their economic, social, and cultural rights, especially in relation to the freedom of choice, equal pay, right to property, education, access to justice, and other rights that directly impact women’s capability of integrating into the development process in a broad sense.</w:t>
      </w:r>
    </w:p>
    <w:p w14:paraId="340EC4C1" w14:textId="6DAA3870" w:rsidR="00FD6810" w:rsidRPr="00736002" w:rsidRDefault="00FD6810" w:rsidP="00534480">
      <w:pPr>
        <w:numPr>
          <w:ilvl w:val="0"/>
          <w:numId w:val="3"/>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2022, women’s participation in the labour force was about 19 percent out of the total number of women of working age. By contrast, men's participation in the labour force was as high as 69 percent. On the other hand, unemployment among women participating in the labour force represented some 40 percent in comparison to 20 percent among men. Approximately 50 percent of salaried women employees in the private sector earned a monthly wage less than the average minimum wage (1,880 NIS). Some 40 percent of women employees hired in the private sector worked without an employment contract. Fifty six (56) percent of these working women did not receive a contribution to financing retirement and/or end of the service packages. On the other hand, 54 percent of women in private wage employment did not receive paid maternity leave. Of the total employees in the public sector, some 48 percent were women. The gap is all the more significant in the percentage of those who hold the rank of Director General and higher, namely, 14 percent among women compared to 86 percent among men.</w:t>
      </w:r>
      <w:r w:rsidR="007C78EA" w:rsidRPr="00736002">
        <w:rPr>
          <w:rFonts w:ascii="Times New Roman" w:hAnsi="Times New Roman" w:cs="Times New Roman"/>
          <w:color w:val="000000" w:themeColor="text1"/>
          <w:vertAlign w:val="superscript"/>
          <w:rtl/>
        </w:rPr>
        <w:footnoteReference w:id="1"/>
      </w:r>
      <w:r w:rsidRPr="00736002">
        <w:rPr>
          <w:rFonts w:ascii="Times New Roman" w:hAnsi="Times New Roman" w:cs="Times New Roman"/>
          <w:color w:val="000000" w:themeColor="text1"/>
        </w:rPr>
        <w:t xml:space="preserve"> </w:t>
      </w:r>
    </w:p>
    <w:p w14:paraId="0FD8DF2F" w14:textId="77777777" w:rsidR="00510B70" w:rsidRPr="00736002" w:rsidRDefault="00510B70"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Against this background, the ICHR recommends that:</w:t>
      </w:r>
    </w:p>
    <w:p w14:paraId="73C777B9" w14:textId="4B110082" w:rsidR="00FD6810" w:rsidRPr="00736002" w:rsidRDefault="00FD6810" w:rsidP="00534480">
      <w:pPr>
        <w:pStyle w:val="ListParagraph"/>
        <w:numPr>
          <w:ilvl w:val="0"/>
          <w:numId w:val="1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The government adopt a clear definition of discrimination against women. Regulations and policies will be aligned accordingly.</w:t>
      </w:r>
    </w:p>
    <w:p w14:paraId="664D646D" w14:textId="6CF9B03B" w:rsidR="0010271D" w:rsidRPr="00736002" w:rsidRDefault="0010271D" w:rsidP="00534480">
      <w:pPr>
        <w:pStyle w:val="ListParagraph"/>
        <w:numPr>
          <w:ilvl w:val="0"/>
          <w:numId w:val="1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Financed executive policies and plans be put in place to eliminate the gender gap in the labour market, which prevents women from accessing their rights on an equal footing with men.</w:t>
      </w:r>
    </w:p>
    <w:p w14:paraId="061B21DD" w14:textId="1015D6F1" w:rsidR="00557C52" w:rsidRPr="00736002" w:rsidRDefault="00F22917" w:rsidP="00534480">
      <w:pPr>
        <w:spacing w:after="200" w:line="276" w:lineRule="auto"/>
        <w:contextualSpacing/>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 xml:space="preserve">Right to work </w:t>
      </w:r>
    </w:p>
    <w:p w14:paraId="30601B36" w14:textId="77777777" w:rsidR="00534480" w:rsidRPr="00736002" w:rsidRDefault="008B2F4C" w:rsidP="00534480">
      <w:pPr>
        <w:pStyle w:val="ListParagraph"/>
        <w:numPr>
          <w:ilvl w:val="0"/>
          <w:numId w:val="3"/>
        </w:numPr>
        <w:autoSpaceDE w:val="0"/>
        <w:autoSpaceDN w:val="0"/>
        <w:spacing w:after="200" w:line="276" w:lineRule="auto"/>
        <w:jc w:val="both"/>
        <w:rPr>
          <w:rFonts w:ascii="Times New Roman" w:eastAsia="Times New Roman" w:hAnsi="Times New Roman" w:cs="Times New Roman"/>
          <w:noProof/>
          <w:color w:val="000000" w:themeColor="text1"/>
        </w:rPr>
      </w:pPr>
      <w:r w:rsidRPr="00736002">
        <w:rPr>
          <w:rFonts w:ascii="Times New Roman" w:hAnsi="Times New Roman" w:cs="Times New Roman"/>
          <w:color w:val="000000" w:themeColor="text1"/>
        </w:rPr>
        <w:t>Intended to realise and protect the right to work, government policies and procedures continue to be inadequate. Unemployment rates further reflect a regional and gender gap. In 2022, full employment was 74.1 percent of labour force participation, including 78.2 percent among males and 58.4 percent among females. The unemployment rate in Palestine is still as high as 24.4 percent (20.3 percent for males and 40.4 percent for females).  In the West Bank, unemployment represented 13.1 percent (10.6 percent among males and 23.7 percent among females). In the Gaza Strip, the unemployment rate registered 45.3 percent (39.1 percent for males and 67.4 percent for females).</w:t>
      </w:r>
      <w:r w:rsidRPr="00736002">
        <w:rPr>
          <w:rStyle w:val="FootnoteReference"/>
          <w:rFonts w:ascii="Times New Roman" w:eastAsia="Times New Roman" w:hAnsi="Times New Roman" w:cs="Times New Roman"/>
          <w:noProof/>
          <w:color w:val="000000" w:themeColor="text1"/>
          <w:rtl/>
        </w:rPr>
        <w:footnoteReference w:id="2"/>
      </w:r>
      <w:r w:rsidRPr="00736002">
        <w:rPr>
          <w:rFonts w:ascii="Times New Roman" w:hAnsi="Times New Roman" w:cs="Times New Roman"/>
          <w:color w:val="000000" w:themeColor="text1"/>
        </w:rPr>
        <w:t xml:space="preserve"> </w:t>
      </w:r>
    </w:p>
    <w:p w14:paraId="0B0B2DAA" w14:textId="3AF6FD4C" w:rsidR="00C140DF" w:rsidRPr="00736002" w:rsidRDefault="00E23342" w:rsidP="00534480">
      <w:pPr>
        <w:pStyle w:val="ListParagraph"/>
        <w:numPr>
          <w:ilvl w:val="0"/>
          <w:numId w:val="3"/>
        </w:numPr>
        <w:autoSpaceDE w:val="0"/>
        <w:autoSpaceDN w:val="0"/>
        <w:spacing w:after="200" w:line="276" w:lineRule="auto"/>
        <w:jc w:val="both"/>
        <w:rPr>
          <w:rFonts w:ascii="Times New Roman" w:eastAsia="Times New Roman" w:hAnsi="Times New Roman" w:cs="Times New Roman"/>
          <w:noProof/>
          <w:color w:val="000000" w:themeColor="text1"/>
        </w:rPr>
      </w:pPr>
      <w:r w:rsidRPr="00736002">
        <w:rPr>
          <w:rFonts w:ascii="Times New Roman" w:hAnsi="Times New Roman" w:cs="Times New Roman"/>
          <w:color w:val="000000" w:themeColor="text1"/>
        </w:rPr>
        <w:t xml:space="preserve">Budgeted appropriations for realisation of the right to work continue to fall short of providing the cost to bring about the objectives set by relevant strategies. </w:t>
      </w:r>
    </w:p>
    <w:p w14:paraId="0D8AF544" w14:textId="212B72E0" w:rsidR="00C140DF" w:rsidRPr="00736002" w:rsidRDefault="00C140DF" w:rsidP="00534480">
      <w:pPr>
        <w:spacing w:after="200" w:line="276" w:lineRule="auto"/>
        <w:jc w:val="both"/>
        <w:rPr>
          <w:rFonts w:ascii="Times New Roman" w:hAnsi="Times New Roman" w:cs="Times New Roman"/>
          <w:color w:val="000000" w:themeColor="text1"/>
        </w:rPr>
      </w:pPr>
      <w:bookmarkStart w:id="1" w:name="_Hlk142986269"/>
      <w:r w:rsidRPr="00736002">
        <w:rPr>
          <w:rFonts w:ascii="Times New Roman" w:hAnsi="Times New Roman" w:cs="Times New Roman"/>
          <w:color w:val="000000" w:themeColor="text1"/>
        </w:rPr>
        <w:lastRenderedPageBreak/>
        <w:t>Against this backdrop, the ICHR recommends that:</w:t>
      </w:r>
    </w:p>
    <w:bookmarkEnd w:id="1"/>
    <w:p w14:paraId="0A233BC7" w14:textId="3DC944EA" w:rsidR="00C140DF" w:rsidRPr="00736002" w:rsidRDefault="00C140DF" w:rsidP="00534480">
      <w:pPr>
        <w:numPr>
          <w:ilvl w:val="0"/>
          <w:numId w:val="1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Necessary measures be taken to reduce increasing unemployment, particularly in the Gaza Strip, as well as among women. </w:t>
      </w:r>
    </w:p>
    <w:p w14:paraId="47E06C3C" w14:textId="00BB70C0" w:rsidR="00C140DF" w:rsidRPr="00736002" w:rsidRDefault="00C140DF" w:rsidP="00534480">
      <w:pPr>
        <w:numPr>
          <w:ilvl w:val="0"/>
          <w:numId w:val="1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Adequate financial resources needed to achieve the goals set by the Ministry of Labour (MoL) strategies be provided.</w:t>
      </w:r>
    </w:p>
    <w:p w14:paraId="71159D55" w14:textId="77777777" w:rsidR="007D6F2E" w:rsidRDefault="007D6F2E" w:rsidP="00534480">
      <w:pPr>
        <w:spacing w:after="200" w:line="276" w:lineRule="auto"/>
        <w:jc w:val="both"/>
        <w:rPr>
          <w:rFonts w:ascii="Times New Roman" w:hAnsi="Times New Roman" w:cs="Times New Roman"/>
          <w:b/>
          <w:color w:val="000000" w:themeColor="text1"/>
        </w:rPr>
      </w:pPr>
    </w:p>
    <w:p w14:paraId="3C94DFDD" w14:textId="3B0605B4" w:rsidR="00C140DF" w:rsidRPr="00736002" w:rsidRDefault="00C140DF" w:rsidP="00534480">
      <w:p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Just and favourable conditions of work</w:t>
      </w:r>
    </w:p>
    <w:p w14:paraId="02294645" w14:textId="7AE429B5" w:rsidR="0025510E" w:rsidRPr="00736002" w:rsidRDefault="0025510E"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A national committee was established to promote pay equity and ensure the right to equal pay for equal work. In March 2022, the Council of Ministers issued a decision, mandating the MoL to take necessary measures in order to tighten control and guarantee gender equal pay for work of equal value. Nevertheless, 40 percent of wage employees in the private sector receive less than the monthly minimum wage (NIS 1,880) in Palestine, including 19 percent in the West Bank and 89 percent in Gaza Strip.</w:t>
      </w:r>
      <w:r w:rsidRPr="00736002">
        <w:rPr>
          <w:rStyle w:val="FootnoteReference"/>
          <w:rFonts w:ascii="Times New Roman" w:eastAsia="Times New Roman" w:hAnsi="Times New Roman" w:cs="Times New Roman"/>
          <w:noProof/>
          <w:color w:val="000000" w:themeColor="text1"/>
          <w:rtl/>
        </w:rPr>
        <w:footnoteReference w:id="3"/>
      </w:r>
      <w:r w:rsidRPr="00736002">
        <w:rPr>
          <w:rFonts w:ascii="Times New Roman" w:hAnsi="Times New Roman" w:cs="Times New Roman"/>
          <w:color w:val="000000" w:themeColor="text1"/>
        </w:rPr>
        <w:t xml:space="preserve"> </w:t>
      </w:r>
    </w:p>
    <w:p w14:paraId="44B42ACF" w14:textId="75988A82" w:rsidR="00F61DC0" w:rsidRPr="00736002" w:rsidRDefault="00F61DC0"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The government does not implement clear measures and procedures to ensure that workers in the informal sector access their rights in accordance with the law, particularly minimum wage and social security. </w:t>
      </w:r>
    </w:p>
    <w:p w14:paraId="78D745AA" w14:textId="1BE3812F" w:rsidR="00063B38" w:rsidRPr="00736002" w:rsidRDefault="00063B38"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addition to unclear measures and procedures, the Ministry of Social Development (MoSD) budgeted allocations for children are not stated. These should aim at reducing child labour, which comprises some 3 percent of total children in the 10-17 age group.</w:t>
      </w:r>
    </w:p>
    <w:p w14:paraId="3920E8E2" w14:textId="084D34BF" w:rsidR="000C43E8" w:rsidRPr="00736002" w:rsidRDefault="00F61DC0"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To date, a clear government policy has not been in place to combat sexual harassment in the workplace.</w:t>
      </w:r>
    </w:p>
    <w:p w14:paraId="05023A32" w14:textId="77777777" w:rsidR="00AB4555" w:rsidRPr="00736002" w:rsidRDefault="00AB4555" w:rsidP="00534480">
      <w:pPr>
        <w:spacing w:after="200" w:line="276" w:lineRule="auto"/>
        <w:jc w:val="both"/>
        <w:rPr>
          <w:rFonts w:ascii="Times New Roman" w:hAnsi="Times New Roman" w:cs="Times New Roman"/>
          <w:color w:val="000000" w:themeColor="text1"/>
        </w:rPr>
      </w:pPr>
      <w:bookmarkStart w:id="2" w:name="_Hlk142988908"/>
      <w:r w:rsidRPr="00736002">
        <w:rPr>
          <w:rFonts w:ascii="Times New Roman" w:hAnsi="Times New Roman" w:cs="Times New Roman"/>
          <w:color w:val="000000" w:themeColor="text1"/>
        </w:rPr>
        <w:t>In the light of the foregoing, the ICHR recommends that:</w:t>
      </w:r>
    </w:p>
    <w:bookmarkEnd w:id="2"/>
    <w:p w14:paraId="674A14BB" w14:textId="3037F67E" w:rsidR="00AB4555" w:rsidRPr="00736002" w:rsidRDefault="00AB4555" w:rsidP="00281BD2">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The government discharge its duty and oblige private sector firms to comply with the minimum wage, including for informal workers.</w:t>
      </w:r>
    </w:p>
    <w:p w14:paraId="1487DBE5" w14:textId="0690FC12" w:rsidR="00AB4555" w:rsidRPr="00736002" w:rsidRDefault="00AB4555" w:rsidP="00281BD2">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All measures and procedures be implemented and necessary financial resources be allocated to reduce child labour.</w:t>
      </w:r>
    </w:p>
    <w:p w14:paraId="0322F2C5" w14:textId="7A53E9CB" w:rsidR="00AB4555" w:rsidRPr="00736002" w:rsidRDefault="00AB4555" w:rsidP="00281BD2">
      <w:pPr>
        <w:numPr>
          <w:ilvl w:val="0"/>
          <w:numId w:val="2"/>
        </w:numPr>
        <w:spacing w:after="200" w:line="276" w:lineRule="auto"/>
        <w:ind w:left="720"/>
        <w:contextualSpacing/>
        <w:jc w:val="both"/>
        <w:rPr>
          <w:rFonts w:ascii="Times New Roman" w:hAnsi="Times New Roman" w:cs="Times New Roman"/>
          <w:color w:val="000000" w:themeColor="text1"/>
        </w:rPr>
      </w:pPr>
      <w:bookmarkStart w:id="3" w:name="_Hlk142988943"/>
      <w:r w:rsidRPr="00736002">
        <w:rPr>
          <w:rFonts w:ascii="Times New Roman" w:hAnsi="Times New Roman" w:cs="Times New Roman"/>
        </w:rPr>
        <w:t>Expedited action be taken to enact legislation, which criminalises sexual harassment, particularly in the workplace.</w:t>
      </w:r>
      <w:bookmarkEnd w:id="3"/>
    </w:p>
    <w:p w14:paraId="7806E181" w14:textId="77777777" w:rsidR="007D6F2E" w:rsidRDefault="007D6F2E" w:rsidP="00736002">
      <w:pPr>
        <w:spacing w:after="0" w:line="276" w:lineRule="auto"/>
        <w:jc w:val="both"/>
        <w:rPr>
          <w:rFonts w:ascii="Times New Roman" w:hAnsi="Times New Roman" w:cs="Times New Roman"/>
          <w:b/>
          <w:color w:val="000000" w:themeColor="text1"/>
        </w:rPr>
      </w:pPr>
    </w:p>
    <w:p w14:paraId="14ED25C8" w14:textId="51064160" w:rsidR="00AB4555" w:rsidRPr="00736002" w:rsidRDefault="00EF23FD" w:rsidP="00736002">
      <w:pPr>
        <w:spacing w:after="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Trade union rights</w:t>
      </w:r>
    </w:p>
    <w:p w14:paraId="0F529279" w14:textId="3376E06B" w:rsidR="00FB0824" w:rsidRPr="00736002" w:rsidRDefault="00FB0824" w:rsidP="00534480">
      <w:pPr>
        <w:pStyle w:val="ListParagraph"/>
        <w:numPr>
          <w:ilvl w:val="0"/>
          <w:numId w:val="1"/>
        </w:num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color w:val="000000" w:themeColor="text1"/>
        </w:rPr>
        <w:t>Trade unions continue to lack legal regulation, disrupting civil servants’ right to organise in trade unions. The government refuses to establish a trade union for public sector staff. Along this vein, the MoL Directorate General of Labour Relations sent a letter to “applicants for establishing a Public Sector Employees Union”, reporting that the said union would be prohibited from carrying out any activity. As put by the directorate general, the relationship between civil servants and government is regulated by the Civil Service Law and relevant bylaws.</w:t>
      </w:r>
      <w:r w:rsidRPr="00736002">
        <w:rPr>
          <w:rStyle w:val="FootnoteReference"/>
          <w:rFonts w:ascii="Times New Roman" w:hAnsi="Times New Roman" w:cs="Times New Roman"/>
          <w:color w:val="000000" w:themeColor="text1"/>
          <w:rtl/>
          <w:lang w:bidi="ar-JO"/>
        </w:rPr>
        <w:footnoteReference w:id="4"/>
      </w:r>
    </w:p>
    <w:p w14:paraId="4BAA46FC" w14:textId="31AEAC08" w:rsidR="00EF23FD" w:rsidRPr="00736002" w:rsidRDefault="00FB0824" w:rsidP="00534480">
      <w:pPr>
        <w:pStyle w:val="ListParagraph"/>
        <w:numPr>
          <w:ilvl w:val="0"/>
          <w:numId w:val="1"/>
        </w:numPr>
        <w:spacing w:after="200" w:line="276" w:lineRule="auto"/>
        <w:jc w:val="both"/>
        <w:rPr>
          <w:rFonts w:ascii="Times New Roman" w:hAnsi="Times New Roman" w:cs="Times New Roman"/>
          <w:b/>
          <w:bCs/>
          <w:color w:val="000000" w:themeColor="text1"/>
        </w:rPr>
      </w:pPr>
      <w:r w:rsidRPr="00736002">
        <w:rPr>
          <w:rFonts w:ascii="Times New Roman" w:hAnsi="Times New Roman" w:cs="Times New Roman"/>
          <w:color w:val="000000" w:themeColor="text1"/>
        </w:rPr>
        <w:lastRenderedPageBreak/>
        <w:t>The Law by Decree No. 11 of 2017 on the Regulation of the Exercise of the Right to Strike in Public Service continues to completely eliminate the protection of the right to strike. It prohibits persons employed in some public service sectors from exercising this right. Based on this law by decree, the State of Palestine has halted by a court decision all the strikes, which it had already requested to put an end to. These included the strikes declared by the Palestinian Bar Association and Federation of Unions of Palestinian University Professors and Employees.</w:t>
      </w:r>
    </w:p>
    <w:p w14:paraId="3B60D2CB" w14:textId="77777777" w:rsidR="00FB0824" w:rsidRPr="00736002" w:rsidRDefault="00FB0824"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above, the ICHR recommends that:</w:t>
      </w:r>
    </w:p>
    <w:p w14:paraId="7D351725" w14:textId="0495D4AF" w:rsidR="00085483" w:rsidRPr="00736002" w:rsidRDefault="00085483" w:rsidP="00534480">
      <w:pPr>
        <w:numPr>
          <w:ilvl w:val="0"/>
          <w:numId w:val="13"/>
        </w:numPr>
        <w:spacing w:after="200" w:line="276" w:lineRule="auto"/>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A legal framework be developed for trade union regulation, allowing and safeguarding civil servants’ right to freedom of action, freedom to strike, and exercise of all union activities. </w:t>
      </w:r>
    </w:p>
    <w:p w14:paraId="4D2A98E8" w14:textId="77777777" w:rsidR="007D6F2E" w:rsidRDefault="007D6F2E" w:rsidP="00736002">
      <w:pPr>
        <w:spacing w:after="0" w:line="276" w:lineRule="auto"/>
        <w:jc w:val="both"/>
        <w:rPr>
          <w:rFonts w:ascii="Times New Roman" w:hAnsi="Times New Roman" w:cs="Times New Roman"/>
          <w:b/>
          <w:color w:val="000000" w:themeColor="text1"/>
        </w:rPr>
      </w:pPr>
    </w:p>
    <w:p w14:paraId="150A85C0" w14:textId="63B93307" w:rsidR="00FB0824" w:rsidRPr="00736002" w:rsidRDefault="00FB0824" w:rsidP="00736002">
      <w:pPr>
        <w:spacing w:after="0" w:line="276" w:lineRule="auto"/>
        <w:jc w:val="both"/>
        <w:rPr>
          <w:rFonts w:ascii="Times New Roman" w:hAnsi="Times New Roman" w:cs="Times New Roman"/>
          <w:b/>
          <w:bCs/>
          <w:color w:val="000000" w:themeColor="text1"/>
        </w:rPr>
      </w:pPr>
    </w:p>
    <w:p w14:paraId="3C501952" w14:textId="5FB2D4FB" w:rsidR="00E21409" w:rsidRPr="00736002" w:rsidRDefault="006E64D7"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In 2019, the Law by Decree No. 6 of 2016 on Social Security was suspended. A draft law by decree has been compiled and is now under discussion. A comprehensive social security system in Palestine continues to be lacking. This should in place to bridge the gap in social protection policies in consistence with relevant international standards.  Furthermore, the Law on Public Retirement only covers protection from senility, disability, and illness. Benefits furnished by the law are only available to government personnel and persons of similar status. </w:t>
      </w:r>
    </w:p>
    <w:p w14:paraId="6AA17E3E" w14:textId="752AB305" w:rsidR="00E21409" w:rsidRPr="00736002" w:rsidRDefault="00E21409"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Against this background, the ICHR recommends that:</w:t>
      </w:r>
    </w:p>
    <w:p w14:paraId="0542A80E" w14:textId="2BE69A4D" w:rsidR="00E21409" w:rsidRPr="00736002" w:rsidRDefault="00E21409" w:rsidP="00534480">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The Law on Social Security be approved jointly with civil society organisations and the ICHR. It will be more inclusive of Palestinians and cover unemployment insurance, maternity, informal employment, and most economically vulnerable groups.</w:t>
      </w:r>
    </w:p>
    <w:p w14:paraId="7F35E104" w14:textId="77777777" w:rsidR="007D6F2E" w:rsidRDefault="007D6F2E" w:rsidP="00736002">
      <w:pPr>
        <w:spacing w:after="0" w:line="276" w:lineRule="auto"/>
        <w:jc w:val="both"/>
        <w:rPr>
          <w:rFonts w:ascii="Times New Roman" w:hAnsi="Times New Roman" w:cs="Times New Roman"/>
          <w:b/>
          <w:color w:val="000000" w:themeColor="text1"/>
        </w:rPr>
      </w:pPr>
    </w:p>
    <w:p w14:paraId="60CC2A5A" w14:textId="7638E1A8" w:rsidR="00E21409" w:rsidRPr="00736002" w:rsidRDefault="00E21409" w:rsidP="00736002">
      <w:pPr>
        <w:spacing w:after="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Family and child protection</w:t>
      </w:r>
    </w:p>
    <w:p w14:paraId="008EFA1C" w14:textId="1DECA9CD" w:rsidR="00890DAA" w:rsidRPr="00736002" w:rsidRDefault="00890DAA"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The ICHR has no information on new programmes adopted by the government to review and bring personal status laws in line with the State of Palestine’s pledges and obligations under relevant international treaties. As at the time of reviewing, the Draft Law by Decree on Family Protection has not been enacted. The ICHR is unaware of any measures or procedures implemented by the government to counter violence against women. </w:t>
      </w:r>
    </w:p>
    <w:p w14:paraId="68F7173F" w14:textId="77777777" w:rsidR="00890DAA" w:rsidRPr="00736002" w:rsidRDefault="00890DAA"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above, the ICHR recommends that:</w:t>
      </w:r>
    </w:p>
    <w:p w14:paraId="21AC1E28" w14:textId="010065A0" w:rsidR="00890DAA" w:rsidRPr="00736002" w:rsidRDefault="00890DAA" w:rsidP="00534480">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The Law on Family Protection from Violence be approved. Policies will be developed to respond to gender-based violence. Adequate financial resources will be earmarked to implement these policies on the ground.</w:t>
      </w:r>
    </w:p>
    <w:p w14:paraId="1A1E48E0" w14:textId="77777777" w:rsidR="00890DAA" w:rsidRPr="00736002" w:rsidRDefault="00890DAA" w:rsidP="00534480">
      <w:pPr>
        <w:spacing w:after="200" w:line="276" w:lineRule="auto"/>
        <w:contextualSpacing/>
        <w:jc w:val="both"/>
        <w:rPr>
          <w:rFonts w:ascii="Times New Roman" w:hAnsi="Times New Roman" w:cs="Times New Roman"/>
          <w:color w:val="000000" w:themeColor="text1"/>
          <w:rtl/>
          <w:lang w:bidi="ar-JO"/>
        </w:rPr>
      </w:pPr>
    </w:p>
    <w:p w14:paraId="074759CF" w14:textId="3493833B" w:rsidR="00890DAA" w:rsidRPr="00736002" w:rsidRDefault="00890DAA" w:rsidP="00736002">
      <w:pPr>
        <w:spacing w:after="0" w:line="276" w:lineRule="auto"/>
        <w:contextualSpacing/>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Right to an adequate standard of living</w:t>
      </w:r>
    </w:p>
    <w:p w14:paraId="390712CA" w14:textId="77777777" w:rsidR="00534480" w:rsidRPr="00736002" w:rsidRDefault="008D72A6"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Multidimensional poverty still accounts for some 22 percent, while cash poverty registers 29.2 percent.</w:t>
      </w:r>
      <w:r w:rsidRPr="00736002">
        <w:rPr>
          <w:rStyle w:val="FootnoteReference"/>
          <w:rFonts w:ascii="Times New Roman" w:hAnsi="Times New Roman" w:cs="Times New Roman"/>
          <w:color w:val="000000" w:themeColor="text1"/>
          <w:rtl/>
          <w:lang w:bidi="ar-JO"/>
        </w:rPr>
        <w:footnoteReference w:id="5"/>
      </w:r>
      <w:r w:rsidRPr="00736002">
        <w:rPr>
          <w:rFonts w:ascii="Times New Roman" w:hAnsi="Times New Roman" w:cs="Times New Roman"/>
          <w:color w:val="000000" w:themeColor="text1"/>
        </w:rPr>
        <w:t xml:space="preserve"> The poverty rate is higher in the Gaza Strip than in the West Bank, in the south than in </w:t>
      </w:r>
      <w:r w:rsidRPr="00736002">
        <w:rPr>
          <w:rFonts w:ascii="Times New Roman" w:hAnsi="Times New Roman" w:cs="Times New Roman"/>
          <w:color w:val="000000" w:themeColor="text1"/>
        </w:rPr>
        <w:lastRenderedPageBreak/>
        <w:t>the north, and in urban and rural areas.</w:t>
      </w:r>
      <w:r w:rsidRPr="00736002">
        <w:rPr>
          <w:rFonts w:ascii="Times New Roman" w:hAnsi="Times New Roman" w:cs="Times New Roman"/>
          <w:color w:val="000000" w:themeColor="text1"/>
          <w:vertAlign w:val="superscript"/>
          <w:rtl/>
        </w:rPr>
        <w:footnoteReference w:id="6"/>
      </w:r>
      <w:r w:rsidRPr="00736002">
        <w:rPr>
          <w:rFonts w:ascii="Times New Roman" w:hAnsi="Times New Roman" w:cs="Times New Roman"/>
          <w:color w:val="000000" w:themeColor="text1"/>
        </w:rPr>
        <w:t xml:space="preserve"> The ICHR lacks any information on budgeted allocations for the eradication of poverty. According to the ICHR monitoring, based on the MoSD target, the government designates an amount of NIS 750-1,800 per poor household every three months; i.e., NIS 250-600 every month. This amount is mediocre compared to the national minimum wage (NIS 1,880). It does not meet the basic needs of a single individual. Hence, cash assistance involves two problems: (1) value and adequacy, and (2) inclusiveness. While some 200,000 households are in need of assistance, the MoSD targets 111,860 households only.</w:t>
      </w:r>
    </w:p>
    <w:p w14:paraId="0041A009" w14:textId="77777777" w:rsidR="00534480" w:rsidRPr="00736002" w:rsidRDefault="00573566"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Gaza citizens continue to struggle for their right to adequate food. According to certain data, some 70 percent of the Gaza population are affected by food insecurity. Nearly 1.5 million out of 2 million citizens depend on humanitarian assistance delivered by international and local organisations. </w:t>
      </w:r>
    </w:p>
    <w:p w14:paraId="0B4272F1" w14:textId="462B2545" w:rsidR="00573566" w:rsidRPr="00736002" w:rsidRDefault="00573566"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The ICHR is not in possession of information on approved policies to finalise Gaza reconstruction in the aftermath of Israel’s military aggression of 2021. After the Israeli offensive in 2014, just 70 percent of Gaza reconstruction projects have been completed. In other words, some 2,000 destroyed housing units have not been rebuilt yet. Also, following Israel’s offensive of 2018 and 2019, 207 completely destroyed homes were not reconstructed.  In the 2021 aggression, the Israeli army totally destroyed more than 500 housing units and caused partial damage to hundreds of homes. Preliminary estimates of losses caused by the offensive were US$ 73 million.</w:t>
      </w:r>
    </w:p>
    <w:p w14:paraId="3D16991A" w14:textId="6B8FEB4A" w:rsidR="00573566" w:rsidRPr="00736002" w:rsidRDefault="00573566"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above, the ICHR recommends that:</w:t>
      </w:r>
    </w:p>
    <w:p w14:paraId="2F11029D" w14:textId="1A4AA5D6" w:rsidR="00573566" w:rsidRPr="00736002" w:rsidRDefault="00573566" w:rsidP="00534480">
      <w:pPr>
        <w:numPr>
          <w:ilvl w:val="0"/>
          <w:numId w:val="14"/>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Attention be paid to the most economically vulnerable groups in terms of policy-making and allocation of necessary financial resources to create income generating enterprises. Resources will be equitably distributed among economy sectors and social groups.</w:t>
      </w:r>
    </w:p>
    <w:p w14:paraId="2CECC84D" w14:textId="64CA1531" w:rsidR="00573566" w:rsidRPr="00736002" w:rsidRDefault="00573566" w:rsidP="00534480">
      <w:pPr>
        <w:numPr>
          <w:ilvl w:val="0"/>
          <w:numId w:val="14"/>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The Palestinian government make clear the reconstruction mechanisms based on the principle local and international partnership, while at the same time prioritising the reconstruction of homes belonging to, and provision of adequate housing to, the most vulnerable groups</w:t>
      </w:r>
      <w:r w:rsidR="00534480" w:rsidRPr="00736002">
        <w:rPr>
          <w:rFonts w:ascii="Times New Roman" w:hAnsi="Times New Roman" w:cs="Times New Roman"/>
          <w:color w:val="000000" w:themeColor="text1"/>
        </w:rPr>
        <w:t>.</w:t>
      </w:r>
    </w:p>
    <w:p w14:paraId="3D7CC5DD" w14:textId="77777777" w:rsidR="00BA17B9" w:rsidRPr="00736002" w:rsidRDefault="00BA17B9" w:rsidP="00534480">
      <w:pPr>
        <w:spacing w:after="200" w:line="276" w:lineRule="auto"/>
        <w:contextualSpacing/>
        <w:jc w:val="both"/>
        <w:rPr>
          <w:rFonts w:ascii="Times New Roman" w:hAnsi="Times New Roman" w:cs="Times New Roman"/>
          <w:color w:val="000000" w:themeColor="text1"/>
          <w:sz w:val="10"/>
          <w:szCs w:val="10"/>
          <w:rtl/>
          <w:lang w:bidi="ar-JO"/>
        </w:rPr>
      </w:pPr>
    </w:p>
    <w:p w14:paraId="3CC8C581" w14:textId="4E76C552" w:rsidR="00573566" w:rsidRPr="00736002" w:rsidRDefault="00BA17B9" w:rsidP="007D6F2E">
      <w:pPr>
        <w:spacing w:after="0" w:line="276" w:lineRule="auto"/>
        <w:contextualSpacing/>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Right to physical and mental health</w:t>
      </w:r>
    </w:p>
    <w:p w14:paraId="543D0D0F" w14:textId="1D9BEAF4" w:rsidR="00F22917" w:rsidRPr="00736002" w:rsidRDefault="00AA4892"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No government data are provided to lay out the policies needed to enhance the health system in the light of a natural population increase of 2.5 percent, continuing rise in the number of older persons, and health care gaps revealed by the COVID-19 pandemic. Also, there are no data on estimated budgets and government plans to increase the number of hospitals, primary health care centres, beds, medical staff, and list of medicines and health services to be provided to service recipients. In addition to drugs for chronic and perilous diseases, these data will outline the extent to which the list of medicines available at pharmacies of the Ministry of Health for the health insured are adequate and inclusive.</w:t>
      </w:r>
    </w:p>
    <w:p w14:paraId="019151BC" w14:textId="2FBD8825" w:rsidR="00AA4892" w:rsidRPr="00736002" w:rsidRDefault="00AA4892" w:rsidP="00534480">
      <w:pPr>
        <w:spacing w:after="200" w:line="276" w:lineRule="auto"/>
        <w:jc w:val="both"/>
        <w:rPr>
          <w:rFonts w:ascii="Times New Roman" w:hAnsi="Times New Roman" w:cs="Times New Roman"/>
          <w:color w:val="000000" w:themeColor="text1"/>
        </w:rPr>
      </w:pPr>
      <w:bookmarkStart w:id="4" w:name="_Hlk143071679"/>
      <w:r w:rsidRPr="00736002">
        <w:rPr>
          <w:rFonts w:ascii="Times New Roman" w:hAnsi="Times New Roman" w:cs="Times New Roman"/>
          <w:color w:val="000000" w:themeColor="text1"/>
        </w:rPr>
        <w:t>Against this backdrop, the ICHR recommends that:</w:t>
      </w:r>
    </w:p>
    <w:bookmarkEnd w:id="4"/>
    <w:p w14:paraId="11DBBC43" w14:textId="589C1139" w:rsidR="00AA4892" w:rsidRPr="00736002" w:rsidRDefault="00AA4892" w:rsidP="00534480">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Health be considered as a right, rather than a service. This right should be enshrined in the Palestinian Basic Law. A law on health insurance will be approved to replace the current Regulation on Health Insurance, based on World Health Organisation (WHO) standards of health care </w:t>
      </w:r>
      <w:r w:rsidRPr="00736002">
        <w:rPr>
          <w:rFonts w:ascii="Times New Roman" w:hAnsi="Times New Roman" w:cs="Times New Roman"/>
          <w:color w:val="000000" w:themeColor="text1"/>
        </w:rPr>
        <w:lastRenderedPageBreak/>
        <w:t>provision. The existing health system will be improved in view of the significant challenges that came to light in the context of the COVID-19 pandemic.</w:t>
      </w:r>
      <w:r w:rsidRPr="00736002">
        <w:rPr>
          <w:rFonts w:ascii="Times New Roman" w:hAnsi="Times New Roman" w:cs="Times New Roman"/>
          <w:color w:val="000000" w:themeColor="text1"/>
          <w:vertAlign w:val="superscript"/>
          <w:rtl/>
        </w:rPr>
        <w:footnoteReference w:id="7"/>
      </w:r>
      <w:r w:rsidRPr="00736002">
        <w:rPr>
          <w:rFonts w:ascii="Times New Roman" w:hAnsi="Times New Roman" w:cs="Times New Roman"/>
          <w:color w:val="000000" w:themeColor="text1"/>
        </w:rPr>
        <w:t xml:space="preserve"> While paying attention to primary health care, medical professionals, medicines, and paramedical services will be made available.</w:t>
      </w:r>
    </w:p>
    <w:p w14:paraId="764DA3AD" w14:textId="77777777" w:rsidR="00534480" w:rsidRPr="00736002" w:rsidRDefault="00534480" w:rsidP="00534480">
      <w:pPr>
        <w:spacing w:after="200" w:line="276" w:lineRule="auto"/>
        <w:contextualSpacing/>
        <w:jc w:val="both"/>
        <w:rPr>
          <w:rFonts w:ascii="Times New Roman" w:hAnsi="Times New Roman" w:cs="Times New Roman"/>
          <w:color w:val="000000" w:themeColor="text1"/>
          <w:sz w:val="10"/>
          <w:szCs w:val="10"/>
          <w:rtl/>
        </w:rPr>
      </w:pPr>
    </w:p>
    <w:p w14:paraId="51F603DA" w14:textId="77777777" w:rsidR="00F22917" w:rsidRPr="00736002" w:rsidRDefault="00F22917" w:rsidP="007D6F2E">
      <w:pPr>
        <w:spacing w:after="0" w:line="276" w:lineRule="auto"/>
        <w:jc w:val="both"/>
        <w:rPr>
          <w:rFonts w:ascii="Times New Roman" w:hAnsi="Times New Roman" w:cs="Times New Roman"/>
          <w:b/>
          <w:bCs/>
          <w:color w:val="000000" w:themeColor="text1"/>
        </w:rPr>
      </w:pPr>
      <w:r w:rsidRPr="00736002">
        <w:rPr>
          <w:rFonts w:ascii="Times New Roman" w:hAnsi="Times New Roman" w:cs="Times New Roman"/>
          <w:b/>
          <w:color w:val="000000" w:themeColor="text1"/>
        </w:rPr>
        <w:t>Right to education</w:t>
      </w:r>
    </w:p>
    <w:p w14:paraId="4BE8474C" w14:textId="77777777" w:rsidR="00534480" w:rsidRPr="00736002" w:rsidRDefault="00C2538D"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Although budgeted allocations of the Ministry of Education (MoE) account for almost one fifth of the State’s general budget, salaries and wages take up half this appropriation. On the other hand, development expenditures are just 25 percent of the MoE budget. Of note, the MoE spends little amounts on programmes aiming to improve the educational process. This spending is not sufficient to achieve set objectives. Accommodating some 78 percent of all university students, Palestinian universities are crippled by a permanent budget deficit, ranging from 20 to 50 percent. A primary cause of this deficit is the lack of regulations and policies, which should regulate government financing of the higher education sector.</w:t>
      </w:r>
    </w:p>
    <w:p w14:paraId="1E8A5081" w14:textId="009AC0EF" w:rsidR="0072295B" w:rsidRPr="00736002" w:rsidRDefault="0072295B"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 xml:space="preserve">According to ICHR monitoring, the right of vulnerable and marginalised groups to education is abused. MoE data showed that the percentage of governmental kindergartens was 18.3 percent only. Pupils at these kindergartens only represented 6.2 percent of the entire pupil population. </w:t>
      </w:r>
    </w:p>
    <w:p w14:paraId="3B3F1F75" w14:textId="77777777" w:rsidR="0072295B" w:rsidRPr="00736002" w:rsidRDefault="0072295B" w:rsidP="00534480">
      <w:pPr>
        <w:pStyle w:val="ListParagraph"/>
        <w:numPr>
          <w:ilvl w:val="0"/>
          <w:numId w:val="1"/>
        </w:numPr>
        <w:spacing w:after="200" w:line="276" w:lineRule="auto"/>
        <w:contextualSpacing w:val="0"/>
        <w:jc w:val="both"/>
        <w:rPr>
          <w:rFonts w:ascii="Times New Roman" w:hAnsi="Times New Roman" w:cs="Times New Roman"/>
          <w:color w:val="000000" w:themeColor="text1"/>
        </w:rPr>
      </w:pPr>
      <w:r w:rsidRPr="00736002">
        <w:rPr>
          <w:rFonts w:ascii="Times New Roman" w:hAnsi="Times New Roman" w:cs="Times New Roman"/>
          <w:color w:val="000000" w:themeColor="text1"/>
        </w:rPr>
        <w:t>Based on information provided to the ICHR, the number of persons with disabilities integrated in the governmental school system was just 1 percent of the total student population. MoE data showed that</w:t>
      </w:r>
      <w:r w:rsidRPr="00736002">
        <w:rPr>
          <w:rStyle w:val="FootnoteReference"/>
          <w:rFonts w:ascii="Times New Roman" w:hAnsi="Times New Roman" w:cs="Times New Roman"/>
          <w:color w:val="000000" w:themeColor="text1"/>
          <w:rtl/>
          <w:lang w:bidi="ar-JO"/>
        </w:rPr>
        <w:footnoteReference w:id="8"/>
      </w:r>
      <w:r w:rsidRPr="00736002">
        <w:rPr>
          <w:rFonts w:ascii="Times New Roman" w:hAnsi="Times New Roman" w:cs="Times New Roman"/>
          <w:color w:val="000000" w:themeColor="text1"/>
        </w:rPr>
        <w:t xml:space="preserve"> 68.7 percent of water closets at governmental schools were aligned to the needs of children with disabilities and 60.6 percent had installed ramps for these children. No information is available on the alignment of, or access to, governmental schools with a view to meeting the needs of other types of disabilities, such as aligned means of transportation and classrooms.</w:t>
      </w:r>
    </w:p>
    <w:p w14:paraId="4B41EABA" w14:textId="77777777" w:rsidR="0072295B" w:rsidRPr="00736002" w:rsidRDefault="0072295B" w:rsidP="00534480">
      <w:p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In the light of the foregoing, the ICHR recommends that:</w:t>
      </w:r>
    </w:p>
    <w:p w14:paraId="493A88E2" w14:textId="17776DA3" w:rsidR="0072295B" w:rsidRPr="00736002" w:rsidRDefault="0072295B" w:rsidP="00534480">
      <w:pPr>
        <w:numPr>
          <w:ilvl w:val="0"/>
          <w:numId w:val="2"/>
        </w:numPr>
        <w:spacing w:after="200" w:line="276" w:lineRule="auto"/>
        <w:ind w:left="720"/>
        <w:contextualSpacing/>
        <w:jc w:val="both"/>
        <w:rPr>
          <w:rFonts w:ascii="Times New Roman" w:hAnsi="Times New Roman" w:cs="Times New Roman"/>
          <w:color w:val="000000" w:themeColor="text1"/>
        </w:rPr>
      </w:pPr>
      <w:r w:rsidRPr="00736002">
        <w:rPr>
          <w:rFonts w:ascii="Times New Roman" w:hAnsi="Times New Roman" w:cs="Times New Roman"/>
          <w:color w:val="000000" w:themeColor="text1"/>
        </w:rPr>
        <w:t>Financial resources needed for development expenditures be provided to improve education and develop educational programmes for all social groups and marginalised (rural) areas, Wall-adjacent communities, remote villages, persons with disabilities, etc.</w:t>
      </w:r>
    </w:p>
    <w:p w14:paraId="0E1E5911" w14:textId="77777777" w:rsidR="007D6F2E" w:rsidRDefault="007D6F2E" w:rsidP="007D6F2E">
      <w:pPr>
        <w:spacing w:after="0" w:line="276" w:lineRule="auto"/>
        <w:jc w:val="highKashida"/>
        <w:rPr>
          <w:rFonts w:ascii="Times New Roman" w:hAnsi="Times New Roman" w:cs="Times New Roman"/>
          <w:b/>
          <w:color w:val="000000" w:themeColor="text1"/>
        </w:rPr>
      </w:pPr>
      <w:bookmarkStart w:id="5" w:name="_Hlk78976020"/>
    </w:p>
    <w:p w14:paraId="2421082F" w14:textId="2AEAD5F1" w:rsidR="00F22917" w:rsidRPr="00736002" w:rsidRDefault="00F22917" w:rsidP="007D6F2E">
      <w:pPr>
        <w:spacing w:after="0" w:line="276" w:lineRule="auto"/>
        <w:jc w:val="highKashida"/>
        <w:rPr>
          <w:rFonts w:ascii="Times New Roman" w:hAnsi="Times New Roman" w:cs="Times New Roman"/>
          <w:b/>
          <w:bCs/>
          <w:color w:val="000000" w:themeColor="text1"/>
        </w:rPr>
      </w:pPr>
      <w:r w:rsidRPr="00736002">
        <w:rPr>
          <w:rFonts w:ascii="Times New Roman" w:hAnsi="Times New Roman" w:cs="Times New Roman"/>
          <w:b/>
          <w:color w:val="000000" w:themeColor="text1"/>
        </w:rPr>
        <w:t>Cultural rights</w:t>
      </w:r>
    </w:p>
    <w:p w14:paraId="6D4B9E88" w14:textId="08F93B9B" w:rsidR="0072295B" w:rsidRPr="00736002" w:rsidRDefault="0072295B" w:rsidP="00534480">
      <w:pPr>
        <w:pStyle w:val="ListParagraph"/>
        <w:numPr>
          <w:ilvl w:val="0"/>
          <w:numId w:val="1"/>
        </w:numPr>
        <w:spacing w:after="200" w:line="276" w:lineRule="auto"/>
        <w:jc w:val="both"/>
        <w:rPr>
          <w:rFonts w:ascii="Times New Roman" w:hAnsi="Times New Roman" w:cs="Times New Roman"/>
          <w:color w:val="000000" w:themeColor="text1"/>
        </w:rPr>
      </w:pPr>
      <w:r w:rsidRPr="00736002">
        <w:rPr>
          <w:rFonts w:ascii="Times New Roman" w:hAnsi="Times New Roman" w:cs="Times New Roman"/>
          <w:color w:val="000000" w:themeColor="text1"/>
        </w:rPr>
        <w:t>The State of Palestine’s report makes no mention of programmes provided by the Ministry of Culture to expand access to the internet and digital technology, research and development expenditure, and distribution of this expenditure. Information is also lacking on how effective the Ministry's programmes are and the extent to which they achieve set goals, taking into account poor budgeted allocations (a mere 0.003 percent of the total general budget). There is no information about financial support delivered by the Ministry to community cultural institutions across Palestine.</w:t>
      </w:r>
      <w:bookmarkEnd w:id="0"/>
      <w:bookmarkEnd w:id="5"/>
    </w:p>
    <w:sectPr w:rsidR="0072295B" w:rsidRPr="00736002" w:rsidSect="009952C6">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C798" w14:textId="77777777" w:rsidR="00F20EEB" w:rsidRDefault="00F20EEB" w:rsidP="00F22917">
      <w:pPr>
        <w:spacing w:after="0" w:line="240" w:lineRule="auto"/>
      </w:pPr>
      <w:r>
        <w:separator/>
      </w:r>
    </w:p>
  </w:endnote>
  <w:endnote w:type="continuationSeparator" w:id="0">
    <w:p w14:paraId="27EF7715" w14:textId="77777777" w:rsidR="00F20EEB" w:rsidRDefault="00F20EEB" w:rsidP="00F22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charset w:val="B2"/>
    <w:family w:val="auto"/>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326584"/>
      <w:docPartObj>
        <w:docPartGallery w:val="Page Numbers (Bottom of Page)"/>
        <w:docPartUnique/>
      </w:docPartObj>
    </w:sdtPr>
    <w:sdtEndPr>
      <w:rPr>
        <w:noProof/>
      </w:rPr>
    </w:sdtEndPr>
    <w:sdtContent>
      <w:p w14:paraId="213098FB" w14:textId="4E8F4BD4" w:rsidR="009952C6" w:rsidRDefault="009952C6">
        <w:pPr>
          <w:pStyle w:val="Footer"/>
        </w:pPr>
        <w:r>
          <w:fldChar w:fldCharType="begin"/>
        </w:r>
        <w:r>
          <w:instrText xml:space="preserve"> PAGE   \* MERGEFORMAT </w:instrText>
        </w:r>
        <w:r>
          <w:fldChar w:fldCharType="separate"/>
        </w:r>
        <w:r>
          <w:rPr>
            <w:noProof/>
          </w:rPr>
          <w:t>2</w:t>
        </w:r>
        <w:r>
          <w:rPr>
            <w:noProof/>
          </w:rPr>
          <w:fldChar w:fldCharType="end"/>
        </w:r>
      </w:p>
    </w:sdtContent>
  </w:sdt>
  <w:p w14:paraId="5C291645" w14:textId="77777777" w:rsidR="009952C6" w:rsidRDefault="00995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04BF6" w14:textId="77777777" w:rsidR="00F20EEB" w:rsidRDefault="00F20EEB" w:rsidP="00F22917">
      <w:pPr>
        <w:spacing w:after="0" w:line="240" w:lineRule="auto"/>
      </w:pPr>
      <w:r>
        <w:separator/>
      </w:r>
    </w:p>
  </w:footnote>
  <w:footnote w:type="continuationSeparator" w:id="0">
    <w:p w14:paraId="2E3D7AFF" w14:textId="77777777" w:rsidR="00F20EEB" w:rsidRDefault="00F20EEB" w:rsidP="00F22917">
      <w:pPr>
        <w:spacing w:after="0" w:line="240" w:lineRule="auto"/>
      </w:pPr>
      <w:r>
        <w:continuationSeparator/>
      </w:r>
    </w:p>
  </w:footnote>
  <w:footnote w:id="1">
    <w:p w14:paraId="2E1600C1" w14:textId="1B052C7B" w:rsidR="00FD6810" w:rsidRPr="00736002" w:rsidRDefault="00FD6810" w:rsidP="00736002">
      <w:pPr>
        <w:spacing w:after="0" w:line="240" w:lineRule="auto"/>
        <w:jc w:val="both"/>
        <w:rPr>
          <w:rFonts w:ascii="Times New Roman" w:hAnsi="Times New Roman" w:cs="Times New Roman"/>
          <w:color w:val="000000"/>
          <w:sz w:val="16"/>
          <w:szCs w:val="16"/>
          <w:rtl/>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Palestinian Central Bureau of Statistics. Press Release on</w:t>
      </w:r>
      <w:r w:rsidRPr="00736002">
        <w:rPr>
          <w:rFonts w:ascii="Times New Roman" w:hAnsi="Times New Roman" w:cs="Times New Roman"/>
          <w:color w:val="000000"/>
          <w:sz w:val="16"/>
          <w:szCs w:val="16"/>
        </w:rPr>
        <w:t xml:space="preserve"> the Reality of Palestinian Women on the Eve of the International Women's Day, on 08/03/2023 under the title "DigitALL: </w:t>
      </w:r>
      <w:r w:rsidRPr="00736002">
        <w:rPr>
          <w:rFonts w:ascii="Times New Roman" w:hAnsi="Times New Roman" w:cs="Times New Roman"/>
          <w:sz w:val="16"/>
          <w:szCs w:val="16"/>
        </w:rPr>
        <w:t>Innovation and technological change, and education in the digital age for achieving gender equality and the empowerment of all women and girls".</w:t>
      </w:r>
    </w:p>
  </w:footnote>
  <w:footnote w:id="2">
    <w:p w14:paraId="2B9E1F7F" w14:textId="77777777" w:rsidR="008B2F4C" w:rsidRPr="00736002" w:rsidRDefault="008B2F4C" w:rsidP="00534480">
      <w:pPr>
        <w:pStyle w:val="FootnoteText"/>
        <w:jc w:val="both"/>
        <w:rPr>
          <w:rFonts w:ascii="Times New Roman" w:hAnsi="Times New Roman" w:cs="Times New Roman"/>
          <w:sz w:val="16"/>
          <w:szCs w:val="16"/>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PCBS. Palestinian Labour Force Survey - Annual Report: 2022</w:t>
      </w:r>
    </w:p>
  </w:footnote>
  <w:footnote w:id="3">
    <w:p w14:paraId="6D887785" w14:textId="4E7002E5" w:rsidR="0025510E" w:rsidRPr="00736002" w:rsidRDefault="0025510E" w:rsidP="00534480">
      <w:pPr>
        <w:pStyle w:val="BodyText2"/>
        <w:ind w:right="0"/>
        <w:jc w:val="both"/>
        <w:rPr>
          <w:rFonts w:cs="Times New Roman"/>
          <w:b w:val="0"/>
          <w:bCs w:val="0"/>
          <w:sz w:val="16"/>
          <w:szCs w:val="16"/>
        </w:rPr>
      </w:pPr>
      <w:r w:rsidRPr="00736002">
        <w:rPr>
          <w:rStyle w:val="FootnoteReference"/>
          <w:rFonts w:cs="Times New Roman"/>
          <w:b w:val="0"/>
          <w:bCs w:val="0"/>
          <w:sz w:val="16"/>
          <w:szCs w:val="16"/>
        </w:rPr>
        <w:footnoteRef/>
      </w:r>
      <w:r w:rsidRPr="00736002">
        <w:rPr>
          <w:rFonts w:cs="Times New Roman"/>
          <w:b w:val="0"/>
          <w:sz w:val="16"/>
          <w:szCs w:val="16"/>
        </w:rPr>
        <w:t xml:space="preserve"> Palestinian Central Bureau of Statistics. Press Release on the current status of the Palestinian labour force in 2022 on the occasion of the International Workers' Day.</w:t>
      </w:r>
    </w:p>
  </w:footnote>
  <w:footnote w:id="4">
    <w:p w14:paraId="728C3E10" w14:textId="77F06BDB" w:rsidR="00FB0824" w:rsidRPr="00736002" w:rsidRDefault="00FB0824" w:rsidP="00534480">
      <w:pPr>
        <w:pStyle w:val="FootnoteText"/>
        <w:jc w:val="both"/>
        <w:rPr>
          <w:rFonts w:ascii="Times New Roman" w:hAnsi="Times New Roman" w:cs="Times New Roman"/>
          <w:sz w:val="16"/>
          <w:szCs w:val="16"/>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MoL Directorate General of Labour Relations, Letter to “Applicants for Establishing a Public Sector Employees Union”, 8 August 2023.</w:t>
      </w:r>
    </w:p>
  </w:footnote>
  <w:footnote w:id="5">
    <w:p w14:paraId="32C01DED" w14:textId="7CD87595" w:rsidR="008D72A6" w:rsidRPr="00736002" w:rsidRDefault="008D72A6" w:rsidP="00534480">
      <w:pPr>
        <w:pStyle w:val="FootnoteText"/>
        <w:jc w:val="both"/>
        <w:rPr>
          <w:rFonts w:ascii="Times New Roman" w:hAnsi="Times New Roman" w:cs="Times New Roman"/>
          <w:sz w:val="16"/>
          <w:szCs w:val="16"/>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PCBS. 2017. Multi-Dimensional Poverty Profile in Palestine, 2017: Main Results.</w:t>
      </w:r>
    </w:p>
  </w:footnote>
  <w:footnote w:id="6">
    <w:p w14:paraId="5E139E2B" w14:textId="77777777" w:rsidR="008D72A6" w:rsidRPr="00736002" w:rsidRDefault="008D72A6" w:rsidP="00534480">
      <w:pPr>
        <w:pStyle w:val="FootnoteText"/>
        <w:jc w:val="both"/>
        <w:rPr>
          <w:rFonts w:ascii="Times New Roman" w:hAnsi="Times New Roman" w:cs="Times New Roman"/>
          <w:sz w:val="16"/>
          <w:szCs w:val="16"/>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Compared to 44.7 percent in the Gaza Strip, the poverty rate stands at 13.6 percent in southern West Bank, 10.5 percent in northern West Bank, and 38.1 percent in refugee camps. </w:t>
      </w:r>
    </w:p>
  </w:footnote>
  <w:footnote w:id="7">
    <w:p w14:paraId="0C5E63C4" w14:textId="77777777" w:rsidR="00AA4892" w:rsidRPr="00736002" w:rsidRDefault="00AA4892" w:rsidP="00534480">
      <w:pPr>
        <w:pStyle w:val="FootnoteText"/>
        <w:jc w:val="both"/>
        <w:rPr>
          <w:rFonts w:ascii="Times New Roman" w:hAnsi="Times New Roman" w:cs="Times New Roman"/>
          <w:sz w:val="16"/>
          <w:szCs w:val="16"/>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Within the framework of its persistent activity, the ICHR carried out the National Inquiry into Health Insurance 2019-2021, an exercise that is at the core of the work of national human rights institutions. Informed by international human rights benchmarks and WHO standards, the inquiry adopted a public wide approach through a quantitative survey conducted by the PCBS in 2019. It also used regional focus groups across the West Bank, Gaza Strip, and East Jerusalem. The inquiry reached many conclusions. Mainly, the current health system is incompatible with WHO standards on all levels: availability, accessibility, acceptability and quality. Beneficiaries expressed low satisfaction with the services provided by health insurance. Key recommendations included the need to enact a law on health insurance and establish an independent body to manage and supervise health care service delivery.</w:t>
      </w:r>
    </w:p>
  </w:footnote>
  <w:footnote w:id="8">
    <w:p w14:paraId="7FA6A6FD" w14:textId="793741E8" w:rsidR="0072295B" w:rsidRPr="00534480" w:rsidRDefault="0072295B" w:rsidP="00534480">
      <w:pPr>
        <w:spacing w:after="0" w:line="240" w:lineRule="auto"/>
        <w:jc w:val="both"/>
        <w:rPr>
          <w:rFonts w:ascii="Times New Roman" w:hAnsi="Times New Roman" w:cs="Times New Roman"/>
          <w:sz w:val="20"/>
          <w:szCs w:val="20"/>
        </w:rPr>
      </w:pPr>
      <w:r w:rsidRPr="00736002">
        <w:rPr>
          <w:rStyle w:val="FootnoteReference"/>
          <w:rFonts w:ascii="Times New Roman" w:hAnsi="Times New Roman" w:cs="Times New Roman"/>
          <w:sz w:val="16"/>
          <w:szCs w:val="16"/>
        </w:rPr>
        <w:footnoteRef/>
      </w:r>
      <w:r w:rsidRPr="00736002">
        <w:rPr>
          <w:rFonts w:ascii="Times New Roman" w:hAnsi="Times New Roman" w:cs="Times New Roman"/>
          <w:sz w:val="16"/>
          <w:szCs w:val="16"/>
        </w:rPr>
        <w:t xml:space="preserve"> MoE. Yearbook of Educational Statistics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82F10"/>
    <w:multiLevelType w:val="hybridMultilevel"/>
    <w:tmpl w:val="B628AA5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BE0243F"/>
    <w:multiLevelType w:val="hybridMultilevel"/>
    <w:tmpl w:val="84DC4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F72B7F"/>
    <w:multiLevelType w:val="hybridMultilevel"/>
    <w:tmpl w:val="9704EB5E"/>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 w15:restartNumberingAfterBreak="0">
    <w:nsid w:val="222362D4"/>
    <w:multiLevelType w:val="hybridMultilevel"/>
    <w:tmpl w:val="B85C4C5E"/>
    <w:lvl w:ilvl="0" w:tplc="62A6033E">
      <w:start w:val="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0F6FC1"/>
    <w:multiLevelType w:val="hybridMultilevel"/>
    <w:tmpl w:val="02E2EE0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6BA7E80"/>
    <w:multiLevelType w:val="hybridMultilevel"/>
    <w:tmpl w:val="51D26E28"/>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 w15:restartNumberingAfterBreak="0">
    <w:nsid w:val="54080780"/>
    <w:multiLevelType w:val="hybridMultilevel"/>
    <w:tmpl w:val="B65C6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97651A"/>
    <w:multiLevelType w:val="hybridMultilevel"/>
    <w:tmpl w:val="9F007326"/>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 w15:restartNumberingAfterBreak="0">
    <w:nsid w:val="5FFD45AE"/>
    <w:multiLevelType w:val="hybridMultilevel"/>
    <w:tmpl w:val="97C870A4"/>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 w15:restartNumberingAfterBreak="0">
    <w:nsid w:val="690E7ADA"/>
    <w:multiLevelType w:val="hybridMultilevel"/>
    <w:tmpl w:val="A85C7EB8"/>
    <w:lvl w:ilvl="0" w:tplc="DB62D530">
      <w:start w:val="5"/>
      <w:numFmt w:val="bullet"/>
      <w:lvlText w:val="-"/>
      <w:lvlJc w:val="left"/>
      <w:pPr>
        <w:ind w:left="720" w:hanging="360"/>
      </w:pPr>
      <w:rPr>
        <w:rFonts w:ascii="Simplified Arabic" w:eastAsiaTheme="minorHAnsi" w:hAnsi="Simplified Arabic" w:cs="Simplified Arabic"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A614704"/>
    <w:multiLevelType w:val="hybridMultilevel"/>
    <w:tmpl w:val="7D8E4FDA"/>
    <w:lvl w:ilvl="0" w:tplc="329628D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C83ED5"/>
    <w:multiLevelType w:val="hybridMultilevel"/>
    <w:tmpl w:val="64AEE5A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55156895">
    <w:abstractNumId w:val="9"/>
  </w:num>
  <w:num w:numId="2" w16cid:durableId="1817602533">
    <w:abstractNumId w:val="0"/>
  </w:num>
  <w:num w:numId="3" w16cid:durableId="1180001477">
    <w:abstractNumId w:val="3"/>
  </w:num>
  <w:num w:numId="4" w16cid:durableId="708188622">
    <w:abstractNumId w:val="0"/>
  </w:num>
  <w:num w:numId="5" w16cid:durableId="1550650216">
    <w:abstractNumId w:val="9"/>
  </w:num>
  <w:num w:numId="6" w16cid:durableId="137308978">
    <w:abstractNumId w:val="1"/>
  </w:num>
  <w:num w:numId="7" w16cid:durableId="661127604">
    <w:abstractNumId w:val="10"/>
  </w:num>
  <w:num w:numId="8" w16cid:durableId="1338339417">
    <w:abstractNumId w:val="6"/>
  </w:num>
  <w:num w:numId="9" w16cid:durableId="1866015529">
    <w:abstractNumId w:val="5"/>
  </w:num>
  <w:num w:numId="10" w16cid:durableId="1937131834">
    <w:abstractNumId w:val="8"/>
  </w:num>
  <w:num w:numId="11" w16cid:durableId="1159030929">
    <w:abstractNumId w:val="11"/>
  </w:num>
  <w:num w:numId="12" w16cid:durableId="2133163177">
    <w:abstractNumId w:val="2"/>
  </w:num>
  <w:num w:numId="13" w16cid:durableId="1678121342">
    <w:abstractNumId w:val="4"/>
  </w:num>
  <w:num w:numId="14" w16cid:durableId="6650183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917"/>
    <w:rsid w:val="000131BD"/>
    <w:rsid w:val="00057A84"/>
    <w:rsid w:val="00063B38"/>
    <w:rsid w:val="00085483"/>
    <w:rsid w:val="000C43E8"/>
    <w:rsid w:val="000C52FC"/>
    <w:rsid w:val="000F0030"/>
    <w:rsid w:val="00101EDD"/>
    <w:rsid w:val="0010271D"/>
    <w:rsid w:val="0014493E"/>
    <w:rsid w:val="0016635C"/>
    <w:rsid w:val="001E7927"/>
    <w:rsid w:val="0025510E"/>
    <w:rsid w:val="00281BD2"/>
    <w:rsid w:val="00356840"/>
    <w:rsid w:val="003D5BBB"/>
    <w:rsid w:val="003F67EA"/>
    <w:rsid w:val="00434F05"/>
    <w:rsid w:val="004706F2"/>
    <w:rsid w:val="004A2F67"/>
    <w:rsid w:val="004C3F16"/>
    <w:rsid w:val="004D7B43"/>
    <w:rsid w:val="004E7F96"/>
    <w:rsid w:val="00510B70"/>
    <w:rsid w:val="00534480"/>
    <w:rsid w:val="00557C52"/>
    <w:rsid w:val="00573566"/>
    <w:rsid w:val="005760A1"/>
    <w:rsid w:val="005E0475"/>
    <w:rsid w:val="005E5FC0"/>
    <w:rsid w:val="005F4DE1"/>
    <w:rsid w:val="006A54C3"/>
    <w:rsid w:val="006B2528"/>
    <w:rsid w:val="006C6569"/>
    <w:rsid w:val="006E5EDE"/>
    <w:rsid w:val="006E64D7"/>
    <w:rsid w:val="0072295B"/>
    <w:rsid w:val="00736002"/>
    <w:rsid w:val="0075731D"/>
    <w:rsid w:val="007858A7"/>
    <w:rsid w:val="00794E88"/>
    <w:rsid w:val="007A1F82"/>
    <w:rsid w:val="007B7A56"/>
    <w:rsid w:val="007C78EA"/>
    <w:rsid w:val="007D6F2E"/>
    <w:rsid w:val="00890DAA"/>
    <w:rsid w:val="00893E30"/>
    <w:rsid w:val="008B0654"/>
    <w:rsid w:val="008B2F4C"/>
    <w:rsid w:val="008D72A6"/>
    <w:rsid w:val="008F5615"/>
    <w:rsid w:val="009056C9"/>
    <w:rsid w:val="00944D03"/>
    <w:rsid w:val="009952C6"/>
    <w:rsid w:val="009B1CAE"/>
    <w:rsid w:val="009B33B2"/>
    <w:rsid w:val="00A03862"/>
    <w:rsid w:val="00A1062F"/>
    <w:rsid w:val="00A151D2"/>
    <w:rsid w:val="00A35B51"/>
    <w:rsid w:val="00AA4892"/>
    <w:rsid w:val="00AB4555"/>
    <w:rsid w:val="00AC04B5"/>
    <w:rsid w:val="00AE4E32"/>
    <w:rsid w:val="00B121FE"/>
    <w:rsid w:val="00B21766"/>
    <w:rsid w:val="00B6147C"/>
    <w:rsid w:val="00B734A1"/>
    <w:rsid w:val="00BA17B9"/>
    <w:rsid w:val="00BD6549"/>
    <w:rsid w:val="00C140DF"/>
    <w:rsid w:val="00C2538D"/>
    <w:rsid w:val="00C91A77"/>
    <w:rsid w:val="00CB3016"/>
    <w:rsid w:val="00CE7CFA"/>
    <w:rsid w:val="00E11A80"/>
    <w:rsid w:val="00E21409"/>
    <w:rsid w:val="00E23342"/>
    <w:rsid w:val="00E37D7F"/>
    <w:rsid w:val="00EC3DF1"/>
    <w:rsid w:val="00EE4E63"/>
    <w:rsid w:val="00EF068F"/>
    <w:rsid w:val="00EF23FD"/>
    <w:rsid w:val="00F20EEB"/>
    <w:rsid w:val="00F22917"/>
    <w:rsid w:val="00F34B3F"/>
    <w:rsid w:val="00F61DC0"/>
    <w:rsid w:val="00F76599"/>
    <w:rsid w:val="00FB0824"/>
    <w:rsid w:val="00FC7D06"/>
    <w:rsid w:val="00FD6810"/>
    <w:rsid w:val="00FE47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8B275"/>
  <w15:chartTrackingRefBased/>
  <w15:docId w15:val="{977F2EBC-F517-4064-9D2F-6D6B7927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1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 Char Char,Char Char Char Char Char Char Char1,Char Char Char Char Char Char Char Char,Char Char Char Char Char Char1,Char Char,Sharp - Footnote Text Char,5_G Char,single space Char,f Char"/>
    <w:basedOn w:val="DefaultParagraphFont"/>
    <w:link w:val="FootnoteText"/>
    <w:uiPriority w:val="99"/>
    <w:semiHidden/>
    <w:locked/>
    <w:rsid w:val="00F22917"/>
    <w:rPr>
      <w:sz w:val="20"/>
      <w:szCs w:val="20"/>
    </w:rPr>
  </w:style>
  <w:style w:type="paragraph" w:styleId="FootnoteText">
    <w:name w:val="footnote text"/>
    <w:aliases w:val="Char Char Char,Char Char Char Char Char Char,Char Char Char Char Char Char Char,Char Char Char Char Char,Char,Sharp - Footnote Text,5_G,single space,f"/>
    <w:basedOn w:val="Normal"/>
    <w:link w:val="FootnoteTextChar"/>
    <w:uiPriority w:val="99"/>
    <w:semiHidden/>
    <w:unhideWhenUsed/>
    <w:rsid w:val="00F22917"/>
    <w:pPr>
      <w:spacing w:after="0" w:line="240" w:lineRule="auto"/>
    </w:pPr>
    <w:rPr>
      <w:sz w:val="20"/>
      <w:szCs w:val="20"/>
    </w:rPr>
  </w:style>
  <w:style w:type="character" w:customStyle="1" w:styleId="FootnoteTextChar1">
    <w:name w:val="Footnote Text Char1"/>
    <w:basedOn w:val="DefaultParagraphFont"/>
    <w:uiPriority w:val="99"/>
    <w:semiHidden/>
    <w:rsid w:val="00F22917"/>
    <w:rPr>
      <w:sz w:val="20"/>
      <w:szCs w:val="20"/>
    </w:rPr>
  </w:style>
  <w:style w:type="character" w:styleId="FootnoteReference">
    <w:name w:val="footnote reference"/>
    <w:aliases w:val="Footnote number,ftref,4_GA,Footnote,FR,4_G,مرجع حاشية سفلية1,BVI fnr,Footnote Reference Char,BVI fnr Char Char,BVI fnr Car Car,BVI fnr Car,BVI fnr Car Car Car Car,BVI fnr Car Car Car Car Char,BVI fnr Char,BVI fnr Car Car Char"/>
    <w:basedOn w:val="DefaultParagraphFont"/>
    <w:link w:val="Char2"/>
    <w:uiPriority w:val="99"/>
    <w:unhideWhenUsed/>
    <w:qFormat/>
    <w:rsid w:val="00F22917"/>
    <w:rPr>
      <w:vertAlign w:val="superscript"/>
    </w:rPr>
  </w:style>
  <w:style w:type="paragraph" w:customStyle="1" w:styleId="Char2">
    <w:name w:val="Char2"/>
    <w:basedOn w:val="Normal"/>
    <w:link w:val="FootnoteReference"/>
    <w:uiPriority w:val="99"/>
    <w:rsid w:val="00F22917"/>
    <w:pPr>
      <w:spacing w:line="240" w:lineRule="exact"/>
    </w:pPr>
    <w:rPr>
      <w:vertAlign w:val="superscript"/>
    </w:rPr>
  </w:style>
  <w:style w:type="character" w:customStyle="1" w:styleId="Style1Char">
    <w:name w:val="Style1 Char"/>
    <w:basedOn w:val="DefaultParagraphFont"/>
    <w:link w:val="Style1"/>
    <w:locked/>
    <w:rsid w:val="00F22917"/>
    <w:rPr>
      <w:rFonts w:ascii="Sakkal Majalla" w:hAnsi="Sakkal Majalla" w:cs="Sakkal Majalla"/>
      <w:b/>
      <w:bCs/>
      <w:sz w:val="30"/>
      <w:szCs w:val="30"/>
    </w:rPr>
  </w:style>
  <w:style w:type="paragraph" w:customStyle="1" w:styleId="Style1">
    <w:name w:val="Style1"/>
    <w:basedOn w:val="NoSpacing"/>
    <w:link w:val="Style1Char"/>
    <w:qFormat/>
    <w:rsid w:val="00F22917"/>
    <w:rPr>
      <w:rFonts w:ascii="Sakkal Majalla" w:hAnsi="Sakkal Majalla" w:cs="Sakkal Majalla"/>
      <w:b/>
      <w:bCs/>
      <w:sz w:val="30"/>
      <w:szCs w:val="30"/>
    </w:rPr>
  </w:style>
  <w:style w:type="paragraph" w:styleId="NoSpacing">
    <w:name w:val="No Spacing"/>
    <w:uiPriority w:val="1"/>
    <w:qFormat/>
    <w:rsid w:val="00F22917"/>
    <w:pPr>
      <w:spacing w:after="0" w:line="240" w:lineRule="auto"/>
    </w:pPr>
  </w:style>
  <w:style w:type="paragraph" w:styleId="ListParagraph">
    <w:name w:val="List Paragraph"/>
    <w:basedOn w:val="Normal"/>
    <w:uiPriority w:val="34"/>
    <w:qFormat/>
    <w:rsid w:val="001E7927"/>
    <w:pPr>
      <w:ind w:left="720"/>
      <w:contextualSpacing/>
    </w:pPr>
  </w:style>
  <w:style w:type="paragraph" w:styleId="BodyText2">
    <w:name w:val="Body Text 2"/>
    <w:basedOn w:val="Normal"/>
    <w:link w:val="BodyText2Char"/>
    <w:semiHidden/>
    <w:rsid w:val="0025510E"/>
    <w:pPr>
      <w:tabs>
        <w:tab w:val="left" w:pos="9071"/>
      </w:tabs>
      <w:spacing w:after="0" w:line="240" w:lineRule="auto"/>
      <w:ind w:right="-180"/>
    </w:pPr>
    <w:rPr>
      <w:rFonts w:ascii="Times New Roman" w:eastAsia="Times New Roman" w:hAnsi="Times New Roman" w:cs="Simplified Arabic"/>
      <w:b/>
      <w:bCs/>
      <w:sz w:val="24"/>
      <w:szCs w:val="24"/>
      <w:lang w:eastAsia="ar-SA"/>
    </w:rPr>
  </w:style>
  <w:style w:type="character" w:customStyle="1" w:styleId="BodyText2Char">
    <w:name w:val="Body Text 2 Char"/>
    <w:basedOn w:val="DefaultParagraphFont"/>
    <w:link w:val="BodyText2"/>
    <w:semiHidden/>
    <w:rsid w:val="0025510E"/>
    <w:rPr>
      <w:rFonts w:ascii="Times New Roman" w:eastAsia="Times New Roman" w:hAnsi="Times New Roman" w:cs="Simplified Arabic"/>
      <w:b/>
      <w:bCs/>
      <w:sz w:val="24"/>
      <w:szCs w:val="24"/>
      <w:lang w:eastAsia="ar-SA"/>
    </w:rPr>
  </w:style>
  <w:style w:type="paragraph" w:styleId="BalloonText">
    <w:name w:val="Balloon Text"/>
    <w:basedOn w:val="Normal"/>
    <w:link w:val="BalloonTextChar"/>
    <w:uiPriority w:val="99"/>
    <w:semiHidden/>
    <w:unhideWhenUsed/>
    <w:rsid w:val="006B2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528"/>
    <w:rPr>
      <w:rFonts w:ascii="Segoe UI" w:hAnsi="Segoe UI" w:cs="Segoe UI"/>
      <w:sz w:val="18"/>
      <w:szCs w:val="18"/>
    </w:rPr>
  </w:style>
  <w:style w:type="character" w:styleId="Hyperlink">
    <w:name w:val="Hyperlink"/>
    <w:basedOn w:val="DefaultParagraphFont"/>
    <w:uiPriority w:val="99"/>
    <w:unhideWhenUsed/>
    <w:rsid w:val="000C52FC"/>
    <w:rPr>
      <w:color w:val="0563C1" w:themeColor="hyperlink"/>
      <w:u w:val="single"/>
    </w:rPr>
  </w:style>
  <w:style w:type="character" w:styleId="UnresolvedMention">
    <w:name w:val="Unresolved Mention"/>
    <w:basedOn w:val="DefaultParagraphFont"/>
    <w:uiPriority w:val="99"/>
    <w:semiHidden/>
    <w:unhideWhenUsed/>
    <w:rsid w:val="000C52FC"/>
    <w:rPr>
      <w:color w:val="605E5C"/>
      <w:shd w:val="clear" w:color="auto" w:fill="E1DFDD"/>
    </w:rPr>
  </w:style>
  <w:style w:type="table" w:styleId="TableGrid">
    <w:name w:val="Table Grid"/>
    <w:basedOn w:val="TableNormal"/>
    <w:uiPriority w:val="39"/>
    <w:rsid w:val="00736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52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2C6"/>
  </w:style>
  <w:style w:type="paragraph" w:styleId="Footer">
    <w:name w:val="footer"/>
    <w:basedOn w:val="Normal"/>
    <w:link w:val="FooterChar"/>
    <w:uiPriority w:val="99"/>
    <w:unhideWhenUsed/>
    <w:rsid w:val="009952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93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chr.p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FA6B539DC70B42AF9919AB92740CBB" ma:contentTypeVersion="11" ma:contentTypeDescription="Create a new document." ma:contentTypeScope="" ma:versionID="85ad8f997d1f7c82c5f06277b6148195">
  <xsd:schema xmlns:xsd="http://www.w3.org/2001/XMLSchema" xmlns:xs="http://www.w3.org/2001/XMLSchema" xmlns:p="http://schemas.microsoft.com/office/2006/metadata/properties" xmlns:ns3="d7e47de4-7730-4673-b231-8e75d3d1e493" targetNamespace="http://schemas.microsoft.com/office/2006/metadata/properties" ma:root="true" ma:fieldsID="58231a58169b149053d10d5aa60959b3" ns3:_="">
    <xsd:import namespace="d7e47de4-7730-4673-b231-8e75d3d1e4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e47de4-7730-4673-b231-8e75d3d1e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3E793-F52C-4333-9290-6DB04BC59600}">
  <ds:schemaRefs>
    <ds:schemaRef ds:uri="http://purl.org/dc/terms/"/>
    <ds:schemaRef ds:uri="http://schemas.microsoft.com/office/infopath/2007/PartnerControls"/>
    <ds:schemaRef ds:uri="d7e47de4-7730-4673-b231-8e75d3d1e493"/>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4BA6C39-433B-459F-AEC0-7FA5C5F276C4}">
  <ds:schemaRefs>
    <ds:schemaRef ds:uri="http://schemas.microsoft.com/sharepoint/v3/contenttype/forms"/>
  </ds:schemaRefs>
</ds:datastoreItem>
</file>

<file path=customXml/itemProps3.xml><?xml version="1.0" encoding="utf-8"?>
<ds:datastoreItem xmlns:ds="http://schemas.openxmlformats.org/officeDocument/2006/customXml" ds:itemID="{E7485CF7-76BB-4696-845C-8C4EC6E62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e47de4-7730-4673-b231-8e75d3d1e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813B6-BF5D-47A7-8B1E-32F068A20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3746</Words>
  <Characters>20603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AlMasri</dc:creator>
  <cp:keywords/>
  <dc:description/>
  <cp:lastModifiedBy>Celine Reynaud</cp:lastModifiedBy>
  <cp:revision>2</cp:revision>
  <cp:lastPrinted>2023-08-16T08:52:00Z</cp:lastPrinted>
  <dcterms:created xsi:type="dcterms:W3CDTF">2023-09-04T18:55:00Z</dcterms:created>
  <dcterms:modified xsi:type="dcterms:W3CDTF">2023-09-04T18:55:00Z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0x01010090FA6B539DC70B42AF9919AB92740CBB</vt:lpwstr>
  </property>
  <property fmtid="{D5CDD505-2E9C-101B-9397-08002B2CF9AE}" pid="3" name="GrammarlyDocumentId">
    <vt:lpwstr>7f28c0244a31d90ea799cdb4abc60b24cf7de7f8c8a083067437cf0f59876d1f</vt:lpwstr>
  </property>
</Properties>
</file>