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C5546" w14:textId="77777777" w:rsidR="0034551C" w:rsidRPr="0034551C" w:rsidRDefault="0034551C" w:rsidP="0034551C">
      <w:pPr>
        <w:jc w:val="center"/>
        <w:rPr>
          <w:rFonts w:ascii="Arial" w:eastAsia="Arial" w:hAnsi="Arial" w:cs="Arial"/>
          <w:b/>
          <w:sz w:val="28"/>
          <w:szCs w:val="28"/>
        </w:rPr>
      </w:pPr>
      <w:r w:rsidRPr="0034551C">
        <w:rPr>
          <w:rFonts w:ascii="Arial" w:eastAsia="Arial" w:hAnsi="Arial" w:cs="Arial"/>
          <w:b/>
          <w:sz w:val="28"/>
          <w:szCs w:val="28"/>
        </w:rPr>
        <w:t>107th Session of the Committee on the Elimination of Racial Discrimination</w:t>
      </w:r>
    </w:p>
    <w:p w14:paraId="7B0017BF" w14:textId="77777777" w:rsidR="0034551C" w:rsidRPr="0034551C" w:rsidRDefault="0034551C" w:rsidP="0034551C">
      <w:pPr>
        <w:jc w:val="center"/>
        <w:rPr>
          <w:rFonts w:ascii="Arial" w:eastAsia="Arial" w:hAnsi="Arial" w:cs="Arial"/>
          <w:b/>
          <w:sz w:val="28"/>
          <w:szCs w:val="28"/>
        </w:rPr>
      </w:pPr>
      <w:r w:rsidRPr="0034551C">
        <w:rPr>
          <w:rFonts w:ascii="Arial" w:eastAsia="Arial" w:hAnsi="Arial" w:cs="Arial"/>
          <w:b/>
          <w:sz w:val="28"/>
          <w:szCs w:val="28"/>
        </w:rPr>
        <w:t>Opening Statement by H.E. Mr. Elnur Mammadov,</w:t>
      </w:r>
    </w:p>
    <w:p w14:paraId="4D9BF8DD" w14:textId="77777777" w:rsidR="0034551C" w:rsidRPr="0034551C" w:rsidRDefault="0034551C" w:rsidP="0034551C">
      <w:pPr>
        <w:jc w:val="center"/>
        <w:rPr>
          <w:rFonts w:ascii="Arial" w:eastAsia="Arial" w:hAnsi="Arial" w:cs="Arial"/>
          <w:b/>
          <w:sz w:val="28"/>
          <w:szCs w:val="28"/>
        </w:rPr>
      </w:pPr>
      <w:r w:rsidRPr="0034551C">
        <w:rPr>
          <w:rFonts w:ascii="Arial" w:eastAsia="Arial" w:hAnsi="Arial" w:cs="Arial"/>
          <w:b/>
          <w:sz w:val="28"/>
          <w:szCs w:val="28"/>
        </w:rPr>
        <w:t>Deputy Minister of Foreign Affairs,</w:t>
      </w:r>
    </w:p>
    <w:p w14:paraId="73A72780" w14:textId="77777777" w:rsidR="0034551C" w:rsidRPr="0034551C" w:rsidRDefault="0034551C" w:rsidP="0034551C">
      <w:pPr>
        <w:jc w:val="center"/>
        <w:rPr>
          <w:rFonts w:ascii="Arial" w:eastAsia="Arial" w:hAnsi="Arial" w:cs="Arial"/>
          <w:b/>
          <w:sz w:val="28"/>
          <w:szCs w:val="28"/>
        </w:rPr>
      </w:pPr>
      <w:r w:rsidRPr="0034551C">
        <w:rPr>
          <w:rFonts w:ascii="Arial" w:eastAsia="Arial" w:hAnsi="Arial" w:cs="Arial"/>
          <w:b/>
          <w:sz w:val="28"/>
          <w:szCs w:val="28"/>
        </w:rPr>
        <w:t>at the consideration of the combined tenth to twelfth periodic report</w:t>
      </w:r>
    </w:p>
    <w:p w14:paraId="6EA344F2" w14:textId="77777777" w:rsidR="0034551C" w:rsidRPr="0034551C" w:rsidRDefault="0034551C" w:rsidP="0034551C">
      <w:pPr>
        <w:jc w:val="center"/>
        <w:rPr>
          <w:rFonts w:ascii="Arial" w:eastAsia="Arial" w:hAnsi="Arial" w:cs="Arial"/>
          <w:b/>
          <w:sz w:val="28"/>
          <w:szCs w:val="28"/>
        </w:rPr>
      </w:pPr>
      <w:r w:rsidRPr="0034551C">
        <w:rPr>
          <w:rFonts w:ascii="Arial" w:eastAsia="Arial" w:hAnsi="Arial" w:cs="Arial"/>
          <w:b/>
          <w:sz w:val="28"/>
          <w:szCs w:val="28"/>
        </w:rPr>
        <w:t>of the Government of the Republic of Azerbaijan</w:t>
      </w:r>
    </w:p>
    <w:p w14:paraId="4C41554D" w14:textId="6C710B4D" w:rsidR="0034551C" w:rsidRDefault="0034551C" w:rsidP="0034551C">
      <w:pPr>
        <w:jc w:val="center"/>
        <w:rPr>
          <w:rFonts w:ascii="Arial" w:eastAsia="Arial" w:hAnsi="Arial" w:cs="Arial"/>
          <w:b/>
          <w:sz w:val="28"/>
          <w:szCs w:val="28"/>
        </w:rPr>
      </w:pPr>
      <w:r w:rsidRPr="0034551C">
        <w:rPr>
          <w:rFonts w:ascii="Arial" w:eastAsia="Arial" w:hAnsi="Arial" w:cs="Arial"/>
          <w:b/>
          <w:sz w:val="28"/>
          <w:szCs w:val="28"/>
        </w:rPr>
        <w:t>15-16 August, 2022, Geneva</w:t>
      </w:r>
    </w:p>
    <w:p w14:paraId="47CB879A" w14:textId="77777777" w:rsidR="0034551C" w:rsidRDefault="0034551C" w:rsidP="0034551C">
      <w:pPr>
        <w:jc w:val="both"/>
        <w:rPr>
          <w:rFonts w:ascii="Arial" w:eastAsia="Arial" w:hAnsi="Arial" w:cs="Arial"/>
          <w:b/>
          <w:sz w:val="28"/>
          <w:szCs w:val="28"/>
        </w:rPr>
      </w:pPr>
    </w:p>
    <w:p w14:paraId="107C25D2" w14:textId="77777777" w:rsidR="0034551C" w:rsidRDefault="0034551C">
      <w:pPr>
        <w:jc w:val="both"/>
        <w:rPr>
          <w:rFonts w:ascii="Arial" w:eastAsia="Arial" w:hAnsi="Arial" w:cs="Arial"/>
          <w:b/>
          <w:sz w:val="28"/>
          <w:szCs w:val="28"/>
        </w:rPr>
      </w:pPr>
    </w:p>
    <w:p w14:paraId="00000001" w14:textId="52764446" w:rsidR="0055544B" w:rsidRDefault="00000000">
      <w:pPr>
        <w:jc w:val="both"/>
        <w:rPr>
          <w:rFonts w:ascii="Arial" w:eastAsia="Arial" w:hAnsi="Arial" w:cs="Arial"/>
          <w:b/>
          <w:sz w:val="28"/>
          <w:szCs w:val="28"/>
        </w:rPr>
      </w:pPr>
      <w:r>
        <w:rPr>
          <w:rFonts w:ascii="Arial" w:eastAsia="Arial" w:hAnsi="Arial" w:cs="Arial"/>
          <w:b/>
          <w:sz w:val="28"/>
          <w:szCs w:val="28"/>
        </w:rPr>
        <w:t>Madame Chair</w:t>
      </w:r>
      <w:r w:rsidR="0034551C">
        <w:rPr>
          <w:rFonts w:ascii="Arial" w:eastAsia="Arial" w:hAnsi="Arial" w:cs="Arial"/>
          <w:b/>
          <w:sz w:val="28"/>
          <w:szCs w:val="28"/>
        </w:rPr>
        <w:t>person</w:t>
      </w:r>
      <w:r>
        <w:rPr>
          <w:rFonts w:ascii="Arial" w:eastAsia="Arial" w:hAnsi="Arial" w:cs="Arial"/>
          <w:b/>
          <w:sz w:val="28"/>
          <w:szCs w:val="28"/>
        </w:rPr>
        <w:t xml:space="preserve">, </w:t>
      </w:r>
    </w:p>
    <w:p w14:paraId="00000002" w14:textId="77777777" w:rsidR="0055544B" w:rsidRDefault="0055544B">
      <w:pPr>
        <w:jc w:val="both"/>
        <w:rPr>
          <w:rFonts w:ascii="Arial" w:eastAsia="Arial" w:hAnsi="Arial" w:cs="Arial"/>
          <w:b/>
          <w:sz w:val="28"/>
          <w:szCs w:val="28"/>
        </w:rPr>
      </w:pPr>
    </w:p>
    <w:p w14:paraId="00000003" w14:textId="77777777" w:rsidR="0055544B" w:rsidRDefault="00000000">
      <w:pPr>
        <w:jc w:val="both"/>
        <w:rPr>
          <w:rFonts w:ascii="Arial" w:eastAsia="Arial" w:hAnsi="Arial" w:cs="Arial"/>
          <w:b/>
          <w:sz w:val="28"/>
          <w:szCs w:val="28"/>
        </w:rPr>
      </w:pPr>
      <w:r>
        <w:rPr>
          <w:rFonts w:ascii="Arial" w:eastAsia="Arial" w:hAnsi="Arial" w:cs="Arial"/>
          <w:b/>
          <w:sz w:val="28"/>
          <w:szCs w:val="28"/>
        </w:rPr>
        <w:t>Dear members of the Committee,</w:t>
      </w:r>
    </w:p>
    <w:p w14:paraId="00000004" w14:textId="77777777" w:rsidR="0055544B" w:rsidRDefault="0055544B">
      <w:pPr>
        <w:jc w:val="both"/>
        <w:rPr>
          <w:rFonts w:ascii="Arial" w:eastAsia="Arial" w:hAnsi="Arial" w:cs="Arial"/>
          <w:sz w:val="28"/>
          <w:szCs w:val="28"/>
        </w:rPr>
      </w:pPr>
    </w:p>
    <w:p w14:paraId="00000005" w14:textId="77777777" w:rsidR="0055544B" w:rsidRDefault="00000000">
      <w:pPr>
        <w:jc w:val="both"/>
        <w:rPr>
          <w:rFonts w:ascii="Arial" w:eastAsia="Arial" w:hAnsi="Arial" w:cs="Arial"/>
          <w:sz w:val="28"/>
          <w:szCs w:val="28"/>
        </w:rPr>
      </w:pPr>
      <w:r>
        <w:rPr>
          <w:rFonts w:ascii="Arial" w:eastAsia="Arial" w:hAnsi="Arial" w:cs="Arial"/>
          <w:sz w:val="28"/>
          <w:szCs w:val="28"/>
        </w:rPr>
        <w:t>On behalf of the Government of the Republic of Azerbaijan, I am honored to present the combined tenth to twelfth periodic reports submitted under the International Convention on the Elimination of All Forms of Racial Discrimination.</w:t>
      </w:r>
    </w:p>
    <w:p w14:paraId="00000006" w14:textId="77777777" w:rsidR="0055544B" w:rsidRDefault="0055544B">
      <w:pPr>
        <w:jc w:val="both"/>
        <w:rPr>
          <w:rFonts w:ascii="Arial" w:eastAsia="Arial" w:hAnsi="Arial" w:cs="Arial"/>
          <w:sz w:val="28"/>
          <w:szCs w:val="28"/>
        </w:rPr>
      </w:pPr>
    </w:p>
    <w:p w14:paraId="00000007" w14:textId="77777777" w:rsidR="0055544B" w:rsidRDefault="00000000">
      <w:pPr>
        <w:jc w:val="both"/>
        <w:rPr>
          <w:rFonts w:ascii="Arial" w:eastAsia="Arial" w:hAnsi="Arial" w:cs="Arial"/>
          <w:sz w:val="28"/>
          <w:szCs w:val="28"/>
        </w:rPr>
      </w:pPr>
      <w:r>
        <w:rPr>
          <w:rFonts w:ascii="Arial" w:eastAsia="Arial" w:hAnsi="Arial" w:cs="Arial"/>
          <w:sz w:val="28"/>
          <w:szCs w:val="28"/>
        </w:rPr>
        <w:t>In 2018, our Government changed the procedure for preparation of periodic reports in order to increase the effectiveness of our cooperation with the United Nations human rights treaty bodies. In particular, the order of the President of the Republic of Azerbaijan established a special working group composed of the representatives of appropriate state agencies. The group was tasked with compilation of the country’s periodic reports submitted to the human rights treaty bodies, as well as under the UPR mechanism of the UN Human Rights Council, and monitoring the implementation of the recommendations received from such bodies. This change to the Government’s process is a testament to the importance that Azerbaijan places on the work of this Committee and other UN human rights bodies. We spare no effort in preparing our periodic reports in a timely and consistent manner to honor our obligations.</w:t>
      </w:r>
    </w:p>
    <w:p w14:paraId="00000008" w14:textId="77777777" w:rsidR="0055544B" w:rsidRDefault="0055544B">
      <w:pPr>
        <w:jc w:val="both"/>
        <w:rPr>
          <w:rFonts w:ascii="Arial" w:eastAsia="Arial" w:hAnsi="Arial" w:cs="Arial"/>
          <w:sz w:val="28"/>
          <w:szCs w:val="28"/>
        </w:rPr>
      </w:pPr>
    </w:p>
    <w:p w14:paraId="00000009" w14:textId="77777777" w:rsidR="0055544B" w:rsidRDefault="00000000">
      <w:pPr>
        <w:jc w:val="both"/>
        <w:rPr>
          <w:rFonts w:ascii="Arial" w:eastAsia="Arial" w:hAnsi="Arial" w:cs="Arial"/>
          <w:sz w:val="28"/>
          <w:szCs w:val="28"/>
        </w:rPr>
      </w:pPr>
      <w:bookmarkStart w:id="0" w:name="_gjdgxs" w:colFirst="0" w:colLast="0"/>
      <w:bookmarkEnd w:id="0"/>
      <w:r>
        <w:rPr>
          <w:rFonts w:ascii="Arial" w:eastAsia="Arial" w:hAnsi="Arial" w:cs="Arial"/>
          <w:sz w:val="28"/>
          <w:szCs w:val="28"/>
        </w:rPr>
        <w:t xml:space="preserve">The report prepared by the relevant working group, with the involvement of the General Prosecutor’s Office, Ombudsperson and local non-governmental organizations, has covered the period from 2015 to 2019 and contained information addressing the recommendations made in the Committee’s concluding observations in 2016. Unfortunately, the spread of the coronavirus infection that led to large-scale negative consequences and human casualties, deprived us of the opportunity to present today’s report as scheduled. Taking this opportunity, I would like to inform the Committee that as the Chair of the Non-Aligned Movement, the Republic of Azerbaijan </w:t>
      </w:r>
      <w:r>
        <w:rPr>
          <w:rFonts w:ascii="Arial" w:eastAsia="Arial" w:hAnsi="Arial" w:cs="Arial"/>
          <w:sz w:val="28"/>
          <w:szCs w:val="28"/>
        </w:rPr>
        <w:lastRenderedPageBreak/>
        <w:t>initiated the special session of the United Nations General Assembly dedicated to the pandemic which was held on December 3, 2020.</w:t>
      </w:r>
    </w:p>
    <w:p w14:paraId="0000000A" w14:textId="77777777" w:rsidR="0055544B" w:rsidRDefault="0055544B">
      <w:pPr>
        <w:jc w:val="both"/>
        <w:rPr>
          <w:rFonts w:ascii="Arial" w:eastAsia="Arial" w:hAnsi="Arial" w:cs="Arial"/>
          <w:sz w:val="28"/>
          <w:szCs w:val="28"/>
        </w:rPr>
      </w:pPr>
    </w:p>
    <w:p w14:paraId="0000000B" w14:textId="77777777" w:rsidR="0055544B" w:rsidRDefault="00000000">
      <w:pPr>
        <w:jc w:val="both"/>
        <w:rPr>
          <w:rFonts w:ascii="Arial" w:eastAsia="Arial" w:hAnsi="Arial" w:cs="Arial"/>
          <w:b/>
          <w:sz w:val="28"/>
          <w:szCs w:val="28"/>
        </w:rPr>
      </w:pPr>
      <w:r>
        <w:rPr>
          <w:rFonts w:ascii="Arial" w:eastAsia="Arial" w:hAnsi="Arial" w:cs="Arial"/>
          <w:b/>
          <w:sz w:val="28"/>
          <w:szCs w:val="28"/>
        </w:rPr>
        <w:t>Dear members of the Committee,</w:t>
      </w:r>
    </w:p>
    <w:p w14:paraId="0000000C" w14:textId="77777777" w:rsidR="0055544B" w:rsidRDefault="0055544B">
      <w:pPr>
        <w:jc w:val="both"/>
        <w:rPr>
          <w:rFonts w:ascii="Arial" w:eastAsia="Arial" w:hAnsi="Arial" w:cs="Arial"/>
          <w:b/>
          <w:sz w:val="28"/>
          <w:szCs w:val="28"/>
        </w:rPr>
      </w:pPr>
    </w:p>
    <w:p w14:paraId="0000000D" w14:textId="77777777" w:rsidR="0055544B" w:rsidRDefault="00000000">
      <w:pPr>
        <w:jc w:val="both"/>
        <w:rPr>
          <w:rFonts w:ascii="Arial" w:eastAsia="Arial" w:hAnsi="Arial" w:cs="Arial"/>
          <w:sz w:val="28"/>
          <w:szCs w:val="28"/>
        </w:rPr>
      </w:pPr>
      <w:r>
        <w:rPr>
          <w:rFonts w:ascii="Arial" w:eastAsia="Arial" w:hAnsi="Arial" w:cs="Arial"/>
          <w:sz w:val="28"/>
          <w:szCs w:val="28"/>
        </w:rPr>
        <w:t>Azerbaijan is a multi-ethnic country, and the Government undertakes all necessary measures to guarantee equality of all without any distinction based on race, color, descent, national or ethnic origin, and to ensure to everyone within its jurisdiction effective protection and remedies. The Constitution of the country specifies that ensuring human rights and freedoms is one of the highest goals of the state. Our country is a party to more than fifty international instruments in the field of human rights which constitute an integral part of our national legislation. The state guarantees equality of rights and freedoms to everyone regardless of race, ethnicity, religion, language, gender, origin, property status, beliefs, membership in political parties, trade unions and other public associations. Azerbaijan stands against any ideas of superiority of one race or group of persons over another. Multiculturalism and tolerance have historically been an inherent part of our society and representatives of various nationalities and faiths have always lived together in peace and welfare.</w:t>
      </w:r>
    </w:p>
    <w:p w14:paraId="0000000E" w14:textId="77777777" w:rsidR="0055544B" w:rsidRDefault="0055544B">
      <w:pPr>
        <w:jc w:val="both"/>
        <w:rPr>
          <w:rFonts w:ascii="Arial" w:eastAsia="Arial" w:hAnsi="Arial" w:cs="Arial"/>
          <w:sz w:val="28"/>
          <w:szCs w:val="28"/>
        </w:rPr>
      </w:pPr>
    </w:p>
    <w:p w14:paraId="0000000F" w14:textId="77777777" w:rsidR="0055544B" w:rsidRDefault="00000000">
      <w:pPr>
        <w:jc w:val="both"/>
        <w:rPr>
          <w:rFonts w:ascii="Arial" w:eastAsia="Arial" w:hAnsi="Arial" w:cs="Arial"/>
          <w:sz w:val="28"/>
          <w:szCs w:val="28"/>
        </w:rPr>
      </w:pPr>
      <w:r>
        <w:rPr>
          <w:rFonts w:ascii="Arial" w:eastAsia="Arial" w:hAnsi="Arial" w:cs="Arial"/>
          <w:sz w:val="28"/>
          <w:szCs w:val="28"/>
        </w:rPr>
        <w:t>Azerbaijan is distinguished by its ethnographic diversity. More than fifty ethnic and religious groups live in Azerbaijan and preserve their identity. As requested by the Committee, Azerbaijan has provided in its tenth to twelfth periodic reports information on the ethnic composition of the population and on effective measures taken to ensure economic, social and political rights of ethnic minorities. In response to your recent request and as a sign of good will, Azerbaijan has also provided to the Committee additional updated information to cover the period since the submission of Azerbaijan’s tenth to twelfth reports on 1 August 2022. I would now like to highlight some of the key developments in this area.</w:t>
      </w:r>
    </w:p>
    <w:p w14:paraId="00000010" w14:textId="77777777" w:rsidR="0055544B" w:rsidRDefault="0055544B">
      <w:pPr>
        <w:jc w:val="both"/>
        <w:rPr>
          <w:rFonts w:ascii="Arial" w:eastAsia="Arial" w:hAnsi="Arial" w:cs="Arial"/>
          <w:sz w:val="28"/>
          <w:szCs w:val="28"/>
        </w:rPr>
      </w:pPr>
    </w:p>
    <w:p w14:paraId="00000011" w14:textId="77777777" w:rsidR="0055544B" w:rsidRDefault="00000000">
      <w:pPr>
        <w:jc w:val="both"/>
        <w:rPr>
          <w:rFonts w:ascii="Arial" w:eastAsia="Arial" w:hAnsi="Arial" w:cs="Arial"/>
          <w:sz w:val="28"/>
          <w:szCs w:val="28"/>
        </w:rPr>
      </w:pPr>
      <w:r>
        <w:rPr>
          <w:rFonts w:ascii="Arial" w:eastAsia="Arial" w:hAnsi="Arial" w:cs="Arial"/>
          <w:sz w:val="28"/>
          <w:szCs w:val="28"/>
        </w:rPr>
        <w:t>With reference to the Committee’s recommendation to adopt a comprehensive anti-discrimination law, I am pleased to inform the Committee that a comprehensive anti-discrimination draft law entitled “On Prevention and Elimination of Racial Discrimination” is now being prepared by the Government.</w:t>
      </w:r>
    </w:p>
    <w:p w14:paraId="00000012" w14:textId="77777777" w:rsidR="0055544B" w:rsidRDefault="0055544B">
      <w:pPr>
        <w:jc w:val="both"/>
        <w:rPr>
          <w:rFonts w:ascii="Arial" w:eastAsia="Arial" w:hAnsi="Arial" w:cs="Arial"/>
          <w:sz w:val="28"/>
          <w:szCs w:val="28"/>
        </w:rPr>
      </w:pPr>
    </w:p>
    <w:p w14:paraId="00000013"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Further, in October 2018, the President approved the “Employment Strategy of the Republic of Azerbaijan for 2019-2030”, which stipulates measures directed at strengthening social protections for the unemployed without </w:t>
      </w:r>
      <w:r>
        <w:rPr>
          <w:rFonts w:ascii="Arial" w:eastAsia="Arial" w:hAnsi="Arial" w:cs="Arial"/>
          <w:sz w:val="28"/>
          <w:szCs w:val="28"/>
        </w:rPr>
        <w:lastRenderedPageBreak/>
        <w:t>distinction as to race, ethnic origin, religion and language, as well as their integration into the labor market. The Ministry of Labor and Social Protection of the Population has prepared a draft "National Strategy for the Development of Social Services in the Republic of Azerbaijan for 2022-2028", which defines the state policy for establishing a social services system and regulatory framework for social development. The document provides for equal rights of all citizens in the field of social protection and applies no restrictions on the basis of a person’s ethnicity.</w:t>
      </w:r>
    </w:p>
    <w:p w14:paraId="00000014" w14:textId="77777777" w:rsidR="0055544B" w:rsidRDefault="0055544B">
      <w:pPr>
        <w:jc w:val="both"/>
        <w:rPr>
          <w:rFonts w:ascii="Arial" w:eastAsia="Arial" w:hAnsi="Arial" w:cs="Arial"/>
          <w:sz w:val="28"/>
          <w:szCs w:val="28"/>
        </w:rPr>
      </w:pPr>
    </w:p>
    <w:p w14:paraId="00000015" w14:textId="77777777" w:rsidR="0055544B" w:rsidRDefault="00000000">
      <w:pPr>
        <w:jc w:val="both"/>
        <w:rPr>
          <w:rFonts w:ascii="Arial" w:eastAsia="Arial" w:hAnsi="Arial" w:cs="Arial"/>
          <w:sz w:val="28"/>
          <w:szCs w:val="28"/>
        </w:rPr>
      </w:pPr>
      <w:r>
        <w:rPr>
          <w:rFonts w:ascii="Arial" w:eastAsia="Arial" w:hAnsi="Arial" w:cs="Arial"/>
          <w:sz w:val="28"/>
          <w:szCs w:val="28"/>
        </w:rPr>
        <w:t>In terms of measures taken to strengthen protections for migrants, refugees, and stateless persons, the Law “On Medical Insurance” was amended in December 2019 to include foreigners and stateless persons who obtained refugee status and are under the protection of the Office of the UNHCR into the category of insured persons, along with Azerbaijani citizens. According to the national legislation, migrants can also use urgent and special medical care without any restrictions or discrimination. Azerbaijan has also included all migrants in the national COVID-19 vaccination plan. Irregular migrants were also provided access to vaccines and no deportations were enforced during the pandemic period.</w:t>
      </w:r>
    </w:p>
    <w:p w14:paraId="00000016" w14:textId="77777777" w:rsidR="0055544B" w:rsidRDefault="0055544B">
      <w:pPr>
        <w:jc w:val="both"/>
        <w:rPr>
          <w:rFonts w:ascii="Arial" w:eastAsia="Arial" w:hAnsi="Arial" w:cs="Arial"/>
          <w:sz w:val="28"/>
          <w:szCs w:val="28"/>
        </w:rPr>
      </w:pPr>
    </w:p>
    <w:p w14:paraId="00000017" w14:textId="77777777" w:rsidR="0055544B" w:rsidRDefault="00000000">
      <w:pPr>
        <w:jc w:val="both"/>
        <w:rPr>
          <w:rFonts w:ascii="Arial" w:eastAsia="Arial" w:hAnsi="Arial" w:cs="Arial"/>
          <w:sz w:val="28"/>
          <w:szCs w:val="28"/>
        </w:rPr>
      </w:pPr>
      <w:bookmarkStart w:id="1" w:name="_30j0zll" w:colFirst="0" w:colLast="0"/>
      <w:bookmarkEnd w:id="1"/>
      <w:r>
        <w:rPr>
          <w:rFonts w:ascii="Arial" w:eastAsia="Arial" w:hAnsi="Arial" w:cs="Arial"/>
          <w:sz w:val="28"/>
          <w:szCs w:val="28"/>
        </w:rPr>
        <w:t>Azerbaijan’s progress in resolving the statelessness within its territory has been praised by the UNHCR.</w:t>
      </w:r>
      <w:r>
        <w:rPr>
          <w:rFonts w:ascii="Arial" w:eastAsia="Arial" w:hAnsi="Arial" w:cs="Arial"/>
          <w:sz w:val="28"/>
          <w:szCs w:val="28"/>
          <w:vertAlign w:val="superscript"/>
        </w:rPr>
        <w:footnoteReference w:id="1"/>
      </w:r>
      <w:r>
        <w:rPr>
          <w:rFonts w:ascii="Arial" w:eastAsia="Arial" w:hAnsi="Arial" w:cs="Arial"/>
          <w:sz w:val="28"/>
          <w:szCs w:val="28"/>
        </w:rPr>
        <w:t xml:space="preserve"> This included measures taken to implement the pledge made by Azerbaijan at the 70th session of the Executive Committee of the UNHCR in October 2019 for the purpose of naturalization of registered stateless persons in Azerbaijan within the next 3 years. For this purpose, we established a working group comprised of representatives of the appropriate state agencies, the UNHCR, the Office of the Commissioner for Human Rights of the Republic of Azerbaijan as well as the local NGOs. In 2021, 201 stateless persons were admitted to Azerbaijani citizenship by the Presidential orders.</w:t>
      </w:r>
    </w:p>
    <w:p w14:paraId="00000018" w14:textId="77777777" w:rsidR="0055544B" w:rsidRDefault="0055544B">
      <w:pPr>
        <w:jc w:val="both"/>
        <w:rPr>
          <w:rFonts w:ascii="Arial" w:eastAsia="Arial" w:hAnsi="Arial" w:cs="Arial"/>
          <w:sz w:val="28"/>
          <w:szCs w:val="28"/>
        </w:rPr>
      </w:pPr>
    </w:p>
    <w:p w14:paraId="00000019"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To combat racist hate speech, including over the media and internet, in line with Article 4 of the Convention, the Law “On information” was amended in March 2020. The law prohibits the owners of online information resources and users of information and telecommunication networks, including social media, from distributing any content promoting violence, religious extremism or inciting national, racial or religious hatred and enmity. On the same date, </w:t>
      </w:r>
      <w:r>
        <w:rPr>
          <w:rFonts w:ascii="Arial" w:eastAsia="Arial" w:hAnsi="Arial" w:cs="Arial"/>
          <w:sz w:val="28"/>
          <w:szCs w:val="28"/>
        </w:rPr>
        <w:lastRenderedPageBreak/>
        <w:t xml:space="preserve">the Code on Administrative Offences was amended to establish liability for dissemination of such information in telecommunication networks. </w:t>
      </w:r>
    </w:p>
    <w:p w14:paraId="0000001A" w14:textId="77777777" w:rsidR="0055544B" w:rsidRDefault="0055544B">
      <w:pPr>
        <w:jc w:val="both"/>
        <w:rPr>
          <w:rFonts w:ascii="Arial" w:eastAsia="Arial" w:hAnsi="Arial" w:cs="Arial"/>
          <w:sz w:val="28"/>
          <w:szCs w:val="28"/>
        </w:rPr>
      </w:pPr>
    </w:p>
    <w:p w14:paraId="0000001B" w14:textId="77777777" w:rsidR="0055544B" w:rsidRDefault="00000000">
      <w:pPr>
        <w:jc w:val="both"/>
        <w:rPr>
          <w:rFonts w:ascii="Arial" w:eastAsia="Arial" w:hAnsi="Arial" w:cs="Arial"/>
          <w:sz w:val="28"/>
          <w:szCs w:val="28"/>
        </w:rPr>
      </w:pPr>
      <w:r>
        <w:rPr>
          <w:rFonts w:ascii="Arial" w:eastAsia="Arial" w:hAnsi="Arial" w:cs="Arial"/>
          <w:sz w:val="28"/>
          <w:szCs w:val="28"/>
        </w:rPr>
        <w:t>Regarding complaints of racial discrimination, based on the Law "On Citizens' Appeals", citizens of Azerbaijan have the right to file complaints with state and municipal authorities, personally or through a representative, in written or verbal form. In order to ensure a prompt response, complaints shall be processed by the authorities within 15 working days at the latest. Any restrictions on the right to file a complaint based on race, nationality, religion, language, gender, origin, property status, service position, belief, affiliation with political parties, trade unions and other public associations are prohibited. All complaints and inquiries related to the violation of the rights of national minorities are carefully examined by the relevant law enforcement authorities and adequate measures are taken to bring responsible persons to justice. From 2020 to date, 7 criminal cases were initiated under the provisions of the Criminal Code addressing national, racial or religious hatred. During the period between 2016 and 2021, 1 person was sentenced under Article 168 (violation of citizens’ rights under the pretext of administering religious activities) and 1 person was sentenced under Article 283 (inciting national, racial, social or religious enmity or hostility) of the Criminal Code.</w:t>
      </w:r>
    </w:p>
    <w:p w14:paraId="0000001C" w14:textId="77777777" w:rsidR="0055544B" w:rsidRDefault="0055544B">
      <w:pPr>
        <w:jc w:val="both"/>
        <w:rPr>
          <w:rFonts w:ascii="Arial" w:eastAsia="Arial" w:hAnsi="Arial" w:cs="Arial"/>
          <w:sz w:val="28"/>
          <w:szCs w:val="28"/>
        </w:rPr>
      </w:pPr>
    </w:p>
    <w:p w14:paraId="0000001D" w14:textId="77777777" w:rsidR="0055544B" w:rsidRDefault="00000000">
      <w:pPr>
        <w:jc w:val="both"/>
        <w:rPr>
          <w:rFonts w:ascii="Arial" w:eastAsia="Arial" w:hAnsi="Arial" w:cs="Arial"/>
          <w:sz w:val="28"/>
          <w:szCs w:val="28"/>
        </w:rPr>
      </w:pPr>
      <w:r>
        <w:rPr>
          <w:rFonts w:ascii="Arial" w:eastAsia="Arial" w:hAnsi="Arial" w:cs="Arial"/>
          <w:sz w:val="28"/>
          <w:szCs w:val="28"/>
        </w:rPr>
        <w:t>Azerbaijan also continues to promote human rights education, including raising awareness among government officials and the general public on the importance of combating discrimination and promoting tolerance. In order to benefit from the best international practices, representatives of the police authorities regularly pass trainings and take part in seminars and conferences with the participation of seasoned international experts. Over the last 3 years, more than 1300 government officials have taken part in these events. The General Prosecutor’s Office publishes information on measures taken to combat discrimination and intolerance on the official website and shares through social networks the hashtag “#Human Rights”, "#IncreaseYourLegalLiteracy".</w:t>
      </w:r>
    </w:p>
    <w:p w14:paraId="0000001E" w14:textId="77777777" w:rsidR="0055544B" w:rsidRDefault="0055544B">
      <w:pPr>
        <w:jc w:val="both"/>
        <w:rPr>
          <w:rFonts w:ascii="Arial" w:eastAsia="Arial" w:hAnsi="Arial" w:cs="Arial"/>
          <w:sz w:val="28"/>
          <w:szCs w:val="28"/>
        </w:rPr>
      </w:pPr>
    </w:p>
    <w:p w14:paraId="0000001F" w14:textId="77777777" w:rsidR="0055544B" w:rsidRDefault="00000000">
      <w:pPr>
        <w:jc w:val="both"/>
        <w:rPr>
          <w:rFonts w:ascii="Arial" w:eastAsia="Arial" w:hAnsi="Arial" w:cs="Arial"/>
          <w:sz w:val="28"/>
          <w:szCs w:val="28"/>
        </w:rPr>
      </w:pPr>
      <w:r>
        <w:rPr>
          <w:rFonts w:ascii="Arial" w:eastAsia="Arial" w:hAnsi="Arial" w:cs="Arial"/>
          <w:sz w:val="28"/>
          <w:szCs w:val="28"/>
        </w:rPr>
        <w:t>Baku International Multiculturalism Center, established in 2014, continues to promote the</w:t>
      </w:r>
    </w:p>
    <w:p w14:paraId="00000020"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values of multiculturalism, ensure the maintenance of a climate of tolerance, as well as cultural, religious and linguistic diversity within the country and cooperate with state bodies and local government entities, mass media, civil society and international organizations. The Center works directly with ethnic minority communities of Azerbaijan, holds regular meetings and discussions with socio-cultural organizations and representatives of minorities and </w:t>
      </w:r>
      <w:r>
        <w:rPr>
          <w:rFonts w:ascii="Arial" w:eastAsia="Arial" w:hAnsi="Arial" w:cs="Arial"/>
          <w:sz w:val="28"/>
          <w:szCs w:val="28"/>
        </w:rPr>
        <w:lastRenderedPageBreak/>
        <w:t>implements various programs and projects aimed at promoting cultural and ethnic diversity.</w:t>
      </w:r>
    </w:p>
    <w:p w14:paraId="00000021" w14:textId="77777777" w:rsidR="0055544B" w:rsidRDefault="0055544B">
      <w:pPr>
        <w:jc w:val="both"/>
        <w:rPr>
          <w:rFonts w:ascii="Arial" w:eastAsia="Arial" w:hAnsi="Arial" w:cs="Arial"/>
          <w:b/>
          <w:sz w:val="28"/>
          <w:szCs w:val="28"/>
        </w:rPr>
      </w:pPr>
      <w:bookmarkStart w:id="2" w:name="_1fob9te" w:colFirst="0" w:colLast="0"/>
      <w:bookmarkEnd w:id="2"/>
    </w:p>
    <w:p w14:paraId="00000022" w14:textId="77777777" w:rsidR="0055544B" w:rsidRDefault="00000000">
      <w:pPr>
        <w:jc w:val="both"/>
        <w:rPr>
          <w:rFonts w:ascii="Arial" w:eastAsia="Arial" w:hAnsi="Arial" w:cs="Arial"/>
          <w:b/>
          <w:sz w:val="28"/>
          <w:szCs w:val="28"/>
        </w:rPr>
      </w:pPr>
      <w:r>
        <w:rPr>
          <w:rFonts w:ascii="Arial" w:eastAsia="Arial" w:hAnsi="Arial" w:cs="Arial"/>
          <w:b/>
          <w:sz w:val="28"/>
          <w:szCs w:val="28"/>
        </w:rPr>
        <w:t>Dear members of the Committee,</w:t>
      </w:r>
    </w:p>
    <w:p w14:paraId="00000023" w14:textId="77777777" w:rsidR="0055544B" w:rsidRDefault="0055544B">
      <w:pPr>
        <w:jc w:val="both"/>
        <w:rPr>
          <w:rFonts w:ascii="Arial" w:eastAsia="Arial" w:hAnsi="Arial" w:cs="Arial"/>
          <w:sz w:val="28"/>
          <w:szCs w:val="28"/>
        </w:rPr>
      </w:pPr>
    </w:p>
    <w:p w14:paraId="00000024"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The major obstacle for the implementation of the CERD Convention on the entire territory of Azerbaijan had been Armenia’s decades-long occupation of Azerbaijan’s internationally recognized territory. Specifically, and as noted in Azerbaijan’s tenth to twelfth periodic reports, the European Court of Human Rights confirmed in its 2015 judgment in the </w:t>
      </w:r>
      <w:r>
        <w:rPr>
          <w:rFonts w:ascii="Arial" w:eastAsia="Arial" w:hAnsi="Arial" w:cs="Arial"/>
          <w:i/>
          <w:sz w:val="28"/>
          <w:szCs w:val="28"/>
        </w:rPr>
        <w:t>Chiragov</w:t>
      </w:r>
      <w:r>
        <w:rPr>
          <w:rFonts w:ascii="Arial" w:eastAsia="Arial" w:hAnsi="Arial" w:cs="Arial"/>
          <w:sz w:val="28"/>
          <w:szCs w:val="28"/>
        </w:rPr>
        <w:t xml:space="preserve"> case that Armenia had exercised effective control over the territories of Azerbaijan it occupied. Accordingly, Azerbaijan was unable to implement its obligations under the Convention or prevent violations of the Convention in those territories during that period, and Armenia had failed to comply with the Convention, including on Azerbaijan’s territories during its thirty-year occupation.</w:t>
      </w:r>
    </w:p>
    <w:p w14:paraId="00000025" w14:textId="77777777" w:rsidR="0055544B" w:rsidRDefault="0055544B">
      <w:pPr>
        <w:jc w:val="both"/>
        <w:rPr>
          <w:rFonts w:ascii="Arial" w:eastAsia="Arial" w:hAnsi="Arial" w:cs="Arial"/>
          <w:sz w:val="28"/>
          <w:szCs w:val="28"/>
        </w:rPr>
      </w:pPr>
    </w:p>
    <w:p w14:paraId="00000026"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Armenia’s armed aggression against Azerbaijan and its unlawful conduct in the formerly occupied territories is rooted in the false and racist ideology propounded by the Government of Armenia to promote the idea of ethnic incompatibility between Armenians and Azerbaijanis. This ideology, rooted in the racist philosophy of the notorious Nazi collaborator named Garegin Nzhdeh, has been sponsored and supported by the Government of Armenia, and is profoundly antithetical to the principles of dignity and equality of all peoples that animate the Convention. </w:t>
      </w:r>
    </w:p>
    <w:p w14:paraId="00000027" w14:textId="77777777" w:rsidR="0055544B" w:rsidRDefault="0055544B">
      <w:pPr>
        <w:jc w:val="both"/>
        <w:rPr>
          <w:rFonts w:ascii="Arial" w:eastAsia="Arial" w:hAnsi="Arial" w:cs="Arial"/>
          <w:sz w:val="28"/>
          <w:szCs w:val="28"/>
        </w:rPr>
      </w:pPr>
    </w:p>
    <w:p w14:paraId="00000028" w14:textId="77777777" w:rsidR="0055544B" w:rsidRDefault="00000000">
      <w:pPr>
        <w:jc w:val="both"/>
        <w:rPr>
          <w:rFonts w:ascii="Arial" w:eastAsia="Arial" w:hAnsi="Arial" w:cs="Arial"/>
          <w:sz w:val="28"/>
          <w:szCs w:val="28"/>
        </w:rPr>
      </w:pPr>
      <w:r>
        <w:rPr>
          <w:rFonts w:ascii="Arial" w:eastAsia="Arial" w:hAnsi="Arial" w:cs="Arial"/>
          <w:sz w:val="28"/>
          <w:szCs w:val="28"/>
        </w:rPr>
        <w:t>Unfortunately, the international community was unable to enforce Armenia’s compliance with the requirements of the relevant UN Security Council resolutions of 1993 demanding immediate, unconditional and complete withdrawal of the occupying forces from the internationally recognizes territories of Azerbaijan. Unfortunately, international mediation efforts did not yield a peaceful resolution of the conflict and the liberation of the occupied territories.</w:t>
      </w:r>
    </w:p>
    <w:p w14:paraId="00000029" w14:textId="77777777" w:rsidR="0055544B" w:rsidRDefault="0055544B">
      <w:pPr>
        <w:jc w:val="both"/>
        <w:rPr>
          <w:rFonts w:ascii="Arial" w:eastAsia="Arial" w:hAnsi="Arial" w:cs="Arial"/>
          <w:sz w:val="28"/>
          <w:szCs w:val="28"/>
        </w:rPr>
      </w:pPr>
    </w:p>
    <w:p w14:paraId="0000002A" w14:textId="77777777" w:rsidR="0055544B" w:rsidRDefault="00000000">
      <w:pPr>
        <w:jc w:val="both"/>
        <w:rPr>
          <w:rFonts w:ascii="Arial" w:eastAsia="Arial" w:hAnsi="Arial" w:cs="Arial"/>
          <w:sz w:val="28"/>
          <w:szCs w:val="28"/>
        </w:rPr>
      </w:pPr>
      <w:bookmarkStart w:id="3" w:name="_3znysh7" w:colFirst="0" w:colLast="0"/>
      <w:bookmarkEnd w:id="3"/>
      <w:r>
        <w:rPr>
          <w:rFonts w:ascii="Arial" w:eastAsia="Arial" w:hAnsi="Arial" w:cs="Arial"/>
          <w:sz w:val="28"/>
          <w:szCs w:val="28"/>
        </w:rPr>
        <w:t xml:space="preserve">In 2020, Armenia conducted a large-scale military offensive against units of the Azerbaijani armed forces as well as populated civilian residential areas and targeted the civilian infrastructure in Azerbaijan. As a result of these direct and indiscriminate attacks on residential areas, approximately 100 Azerbaijani civilians, including 12 children, were killed and over 400 civilians were severely injured. Almost 84,000 people were forced to flee their homes, and over 4,300 private houses and apartment buildings and other civilian objects in Azerbaijan were destroyed or damaged. Such buildings included </w:t>
      </w:r>
      <w:r>
        <w:rPr>
          <w:rFonts w:ascii="Arial" w:eastAsia="Arial" w:hAnsi="Arial" w:cs="Arial"/>
          <w:sz w:val="28"/>
          <w:szCs w:val="28"/>
        </w:rPr>
        <w:lastRenderedPageBreak/>
        <w:t>hospitals, first-aid posts, ambulance services, schools, kindergartens, religious sites and cultural monuments. Additionally, captured Azerbaijani servicemen and civilians faced unlawful treatment stemming from ethnic animus, including extrajudicial execution and torture.</w:t>
      </w:r>
    </w:p>
    <w:p w14:paraId="0000002B" w14:textId="77777777" w:rsidR="0055544B" w:rsidRDefault="0055544B">
      <w:pPr>
        <w:jc w:val="both"/>
        <w:rPr>
          <w:rFonts w:ascii="Arial" w:eastAsia="Arial" w:hAnsi="Arial" w:cs="Arial"/>
          <w:sz w:val="28"/>
          <w:szCs w:val="28"/>
        </w:rPr>
      </w:pPr>
    </w:p>
    <w:p w14:paraId="0000002C" w14:textId="77777777" w:rsidR="0055544B" w:rsidRDefault="00000000">
      <w:pPr>
        <w:jc w:val="both"/>
        <w:rPr>
          <w:rFonts w:ascii="Arial" w:eastAsia="Arial" w:hAnsi="Arial" w:cs="Arial"/>
          <w:sz w:val="28"/>
          <w:szCs w:val="28"/>
        </w:rPr>
      </w:pPr>
      <w:r>
        <w:rPr>
          <w:rFonts w:ascii="Arial" w:eastAsia="Arial" w:hAnsi="Arial" w:cs="Arial"/>
          <w:sz w:val="28"/>
          <w:szCs w:val="28"/>
        </w:rPr>
        <w:t>On 10 November 2020, the President of Azerbaijan, the President of Russia, and the Prime Minister of Armenia signed a Trilateral Statement agreeing to end the conflict and chart a path forward. The Statement confirmed the liberation of the territories that had been occupied by Armenia.</w:t>
      </w:r>
    </w:p>
    <w:p w14:paraId="0000002D" w14:textId="77777777" w:rsidR="0055544B" w:rsidRDefault="0055544B">
      <w:pPr>
        <w:jc w:val="both"/>
        <w:rPr>
          <w:rFonts w:ascii="Arial" w:eastAsia="Arial" w:hAnsi="Arial" w:cs="Arial"/>
          <w:sz w:val="28"/>
          <w:szCs w:val="28"/>
        </w:rPr>
      </w:pPr>
    </w:p>
    <w:p w14:paraId="0000002E" w14:textId="77777777" w:rsidR="0055544B" w:rsidRDefault="00000000">
      <w:pPr>
        <w:jc w:val="both"/>
        <w:rPr>
          <w:rFonts w:ascii="Arial" w:eastAsia="Arial" w:hAnsi="Arial" w:cs="Arial"/>
          <w:sz w:val="28"/>
          <w:szCs w:val="28"/>
        </w:rPr>
      </w:pPr>
      <w:r>
        <w:rPr>
          <w:rFonts w:ascii="Arial" w:eastAsia="Arial" w:hAnsi="Arial" w:cs="Arial"/>
          <w:sz w:val="28"/>
          <w:szCs w:val="28"/>
        </w:rPr>
        <w:t>Now that we are finally able to reenter the liberated territories, we eyewitness the scale of devastation wrought by Armenia’s occupation. Entire towns formerly populated mainly by ethnic Azerbaijanis were looted, vandalized and obliterated, with even cemeteries excavated to extract gold teeth and other valuables. Hundreds of cultural heritage sites and monuments of historical importance, including mosques and religious shrines, were systematically destroyed or desecrated.</w:t>
      </w:r>
    </w:p>
    <w:p w14:paraId="0000002F" w14:textId="77777777" w:rsidR="0055544B" w:rsidRDefault="0055544B">
      <w:pPr>
        <w:jc w:val="both"/>
        <w:rPr>
          <w:rFonts w:ascii="Arial" w:eastAsia="Arial" w:hAnsi="Arial" w:cs="Arial"/>
          <w:sz w:val="28"/>
          <w:szCs w:val="28"/>
        </w:rPr>
      </w:pPr>
    </w:p>
    <w:p w14:paraId="00000030" w14:textId="77777777" w:rsidR="0055544B" w:rsidRDefault="00000000">
      <w:pPr>
        <w:jc w:val="both"/>
        <w:rPr>
          <w:rFonts w:ascii="Arial" w:eastAsia="Arial" w:hAnsi="Arial" w:cs="Arial"/>
          <w:sz w:val="28"/>
          <w:szCs w:val="28"/>
        </w:rPr>
      </w:pPr>
      <w:r>
        <w:rPr>
          <w:rFonts w:ascii="Arial" w:eastAsia="Arial" w:hAnsi="Arial" w:cs="Arial"/>
          <w:sz w:val="28"/>
          <w:szCs w:val="28"/>
        </w:rPr>
        <w:t>However, up to now, Armenia has taken no</w:t>
      </w:r>
      <w:r>
        <w:rPr>
          <w:rFonts w:ascii="Arial" w:eastAsia="Arial" w:hAnsi="Arial" w:cs="Arial"/>
          <w:i/>
          <w:sz w:val="28"/>
          <w:szCs w:val="28"/>
        </w:rPr>
        <w:t xml:space="preserve"> </w:t>
      </w:r>
      <w:r>
        <w:rPr>
          <w:rFonts w:ascii="Arial" w:eastAsia="Arial" w:hAnsi="Arial" w:cs="Arial"/>
          <w:sz w:val="28"/>
          <w:szCs w:val="28"/>
        </w:rPr>
        <w:t>meaningful steps to investigate or prosecute these acts of civilian targeting, torture, obliteration of Azerbaijani cultural heritage, or other ethnically motivated crimes committed during the decades-long occupation and in the course of the 44-day war.</w:t>
      </w:r>
    </w:p>
    <w:p w14:paraId="00000031" w14:textId="77777777" w:rsidR="0055544B" w:rsidRDefault="0055544B">
      <w:pPr>
        <w:jc w:val="both"/>
        <w:rPr>
          <w:rFonts w:ascii="Arial" w:eastAsia="Arial" w:hAnsi="Arial" w:cs="Arial"/>
          <w:sz w:val="28"/>
          <w:szCs w:val="28"/>
        </w:rPr>
      </w:pPr>
    </w:p>
    <w:p w14:paraId="00000032"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After the end of the war, new realities and opportunities have begun to take hold in the region. Azerbaijan is now rebuilding new cities and villages, road transport and civil infrastructure from scratch to ensure the inalienable right of more than 700,000 Azerbaijani internally displaced persons to a speedy, safe and dignified return to their homeland. </w:t>
      </w:r>
    </w:p>
    <w:p w14:paraId="00000033" w14:textId="77777777" w:rsidR="0055544B" w:rsidRDefault="0055544B">
      <w:pPr>
        <w:jc w:val="both"/>
        <w:rPr>
          <w:rFonts w:ascii="Arial" w:eastAsia="Arial" w:hAnsi="Arial" w:cs="Arial"/>
          <w:sz w:val="28"/>
          <w:szCs w:val="28"/>
        </w:rPr>
      </w:pPr>
    </w:p>
    <w:p w14:paraId="00000034" w14:textId="77777777" w:rsidR="0055544B" w:rsidRDefault="00000000">
      <w:pPr>
        <w:jc w:val="both"/>
        <w:rPr>
          <w:rFonts w:ascii="Arial" w:eastAsia="Arial" w:hAnsi="Arial" w:cs="Arial"/>
          <w:sz w:val="28"/>
          <w:szCs w:val="28"/>
        </w:rPr>
      </w:pPr>
      <w:r>
        <w:rPr>
          <w:rFonts w:ascii="Arial" w:eastAsia="Arial" w:hAnsi="Arial" w:cs="Arial"/>
          <w:color w:val="000000"/>
          <w:sz w:val="28"/>
          <w:szCs w:val="28"/>
        </w:rPr>
        <w:t xml:space="preserve">The great return to the territories liberated from the Armenian occupation holds an important place in the strategic roadmap called “Azerbaijan 2030: National Priorities for socio-economic development” approved by the Presidential Decree in February 2021. The creation of safe and favorable living conditions is of great significance for the permanent resettlement of the displaced persons. All territories liberated from the occupation are expected to be rebuilt with comfortable living conditions and modern infrastructure. </w:t>
      </w:r>
    </w:p>
    <w:p w14:paraId="00000035" w14:textId="77777777" w:rsidR="0055544B" w:rsidRDefault="0055544B">
      <w:pPr>
        <w:jc w:val="both"/>
        <w:rPr>
          <w:rFonts w:ascii="Arial" w:eastAsia="Arial" w:hAnsi="Arial" w:cs="Arial"/>
          <w:sz w:val="28"/>
          <w:szCs w:val="28"/>
        </w:rPr>
      </w:pPr>
    </w:p>
    <w:p w14:paraId="00000036"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In this regard, I am pleased to inform the Committee that following the completion of reconstruction and restoration of Aghali smart village in the liberated Zangilan district, we have started the return of some of the former residents of the village who were ethnically cleansed by the Armenian army </w:t>
      </w:r>
      <w:r>
        <w:rPr>
          <w:rFonts w:ascii="Arial" w:eastAsia="Arial" w:hAnsi="Arial" w:cs="Arial"/>
          <w:sz w:val="28"/>
          <w:szCs w:val="28"/>
        </w:rPr>
        <w:lastRenderedPageBreak/>
        <w:t>in early 1990s. Since last month, 41 families have been resettled to the village and this process is ongoing.</w:t>
      </w:r>
    </w:p>
    <w:p w14:paraId="00000037" w14:textId="77777777" w:rsidR="0055544B" w:rsidRDefault="0055544B">
      <w:pPr>
        <w:jc w:val="both"/>
        <w:rPr>
          <w:rFonts w:ascii="Arial" w:eastAsia="Arial" w:hAnsi="Arial" w:cs="Arial"/>
          <w:sz w:val="28"/>
          <w:szCs w:val="28"/>
        </w:rPr>
      </w:pPr>
    </w:p>
    <w:p w14:paraId="00000038" w14:textId="77777777" w:rsidR="0055544B" w:rsidRDefault="00000000">
      <w:pPr>
        <w:jc w:val="both"/>
        <w:rPr>
          <w:rFonts w:ascii="Arial" w:eastAsia="Arial" w:hAnsi="Arial" w:cs="Arial"/>
          <w:sz w:val="28"/>
          <w:szCs w:val="28"/>
        </w:rPr>
      </w:pPr>
      <w:r>
        <w:rPr>
          <w:rFonts w:ascii="Arial" w:eastAsia="Arial" w:hAnsi="Arial" w:cs="Arial"/>
          <w:sz w:val="28"/>
          <w:szCs w:val="28"/>
        </w:rPr>
        <w:t>Unfortunately, the contamination of the liberated territories with mines and unexploded ordnance during the Armenian occupation presents a real and imminent risk of death or bodily injury and hampers the process of return of displaced persons to their homes. Azerbaijan’s Mine Action Agency (ANAMA) conducts trainings on the dangers of mines for the returning families. The significance of demining is obvious – displaced persons will not be able to return to the region unless their safety is assured. In fact, since the end of the conflict in November 2020, more than 230 Azerbaijanis, most of them civilians, have been killed or injured due to the mine explosions. As such, clearing these territories from mines and unexploded ordnances remains a high priority for the Government for the coming years. Up to now, Azerbaijan’s Mine Action Agency and other supporting agencies have been able to clear more than 60,000 landmines which are just a tiny fraction of the hundreds of thousands of landmines laid by Armenia in the occupied territories.</w:t>
      </w:r>
    </w:p>
    <w:p w14:paraId="00000039" w14:textId="77777777" w:rsidR="0055544B" w:rsidRDefault="0055544B">
      <w:pPr>
        <w:jc w:val="both"/>
        <w:rPr>
          <w:rFonts w:ascii="Arial" w:eastAsia="Arial" w:hAnsi="Arial" w:cs="Arial"/>
          <w:sz w:val="28"/>
          <w:szCs w:val="28"/>
        </w:rPr>
      </w:pPr>
    </w:p>
    <w:p w14:paraId="0000003A" w14:textId="77777777" w:rsidR="0055544B" w:rsidRDefault="00000000">
      <w:pPr>
        <w:jc w:val="both"/>
        <w:rPr>
          <w:rFonts w:ascii="Arial" w:eastAsia="Arial" w:hAnsi="Arial" w:cs="Arial"/>
          <w:sz w:val="28"/>
          <w:szCs w:val="28"/>
        </w:rPr>
      </w:pPr>
      <w:bookmarkStart w:id="4" w:name="_2et92p0" w:colFirst="0" w:colLast="0"/>
      <w:bookmarkEnd w:id="4"/>
      <w:r>
        <w:rPr>
          <w:rFonts w:ascii="Arial" w:eastAsia="Arial" w:hAnsi="Arial" w:cs="Arial"/>
          <w:sz w:val="28"/>
          <w:szCs w:val="28"/>
        </w:rPr>
        <w:t>In facilitating the return of displaced persons to the liberated territories, Azerbaijan is also committed to rebuilding multi-ethnic and diverse communities which populated this region prior to the Armenian unlawful occupation. This commitment comes from the highest level, with President Aliyev’s most recent statement earlier this year – and I quote “Azerbaijan is a multiethnic country and all ethnic groups who live here live in peace and dignity, including Armenians.” End quote.</w:t>
      </w:r>
    </w:p>
    <w:p w14:paraId="0000003B" w14:textId="77777777" w:rsidR="0055544B" w:rsidRDefault="0055544B">
      <w:pPr>
        <w:jc w:val="both"/>
        <w:rPr>
          <w:rFonts w:ascii="Arial" w:eastAsia="Arial" w:hAnsi="Arial" w:cs="Arial"/>
          <w:sz w:val="28"/>
          <w:szCs w:val="28"/>
        </w:rPr>
      </w:pPr>
    </w:p>
    <w:p w14:paraId="0000003C"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Azerbaijan brought Armenia’s violations of the Convention to the International Court of Justice by instituting proceedings on 23 September 2021 in </w:t>
      </w:r>
      <w:r>
        <w:rPr>
          <w:rFonts w:ascii="Arial" w:eastAsia="Arial" w:hAnsi="Arial" w:cs="Arial"/>
          <w:i/>
          <w:sz w:val="28"/>
          <w:szCs w:val="28"/>
        </w:rPr>
        <w:t>Azerbaijan v. Armenia</w:t>
      </w:r>
      <w:r>
        <w:rPr>
          <w:rFonts w:ascii="Arial" w:eastAsia="Arial" w:hAnsi="Arial" w:cs="Arial"/>
          <w:sz w:val="28"/>
          <w:szCs w:val="28"/>
        </w:rPr>
        <w:t>.  In those proceedings, Azerbaijan contended that Armenia had violated Articles 2, 3, 4, 5, 6, and 7 of the Convention by its ethnic cleansing of hundreds of thousands of Azerbaijanis from the formerly occupied territories, unlawfully expelling them from their homes and barring their return through the nearly three decade long occupation; its construction of illegal Armenian settlements to further exclude and permanently segregate Azerbaijanis from those territories; its erasure of Azerbaijani cultural heritage; its exploitation of Azerbaijani resources and destruction of the environment in the occupied territories; its failure to prohibit and punish anti-Azerbaijani hate speech, its dissemination of racist propaganda and disinformation intended to foment hatred against Azerbaijanis; and its failure to provide effective remedies for any of these acts of racial discrimination.</w:t>
      </w:r>
    </w:p>
    <w:p w14:paraId="0000003D" w14:textId="77777777" w:rsidR="0055544B" w:rsidRDefault="00000000">
      <w:pPr>
        <w:jc w:val="both"/>
        <w:rPr>
          <w:rFonts w:ascii="Arial" w:eastAsia="Arial" w:hAnsi="Arial" w:cs="Arial"/>
          <w:sz w:val="28"/>
          <w:szCs w:val="28"/>
        </w:rPr>
      </w:pPr>
      <w:r>
        <w:rPr>
          <w:rFonts w:ascii="Arial" w:eastAsia="Arial" w:hAnsi="Arial" w:cs="Arial"/>
          <w:sz w:val="28"/>
          <w:szCs w:val="28"/>
        </w:rPr>
        <w:t xml:space="preserve">     </w:t>
      </w:r>
    </w:p>
    <w:p w14:paraId="0000003E" w14:textId="77777777" w:rsidR="0055544B" w:rsidRDefault="00000000">
      <w:pPr>
        <w:jc w:val="both"/>
        <w:rPr>
          <w:rFonts w:ascii="Arial" w:eastAsia="Arial" w:hAnsi="Arial" w:cs="Arial"/>
          <w:sz w:val="28"/>
          <w:szCs w:val="28"/>
        </w:rPr>
      </w:pPr>
      <w:r>
        <w:rPr>
          <w:rFonts w:ascii="Arial" w:eastAsia="Arial" w:hAnsi="Arial" w:cs="Arial"/>
          <w:sz w:val="28"/>
          <w:szCs w:val="28"/>
        </w:rPr>
        <w:lastRenderedPageBreak/>
        <w:t xml:space="preserve">On 7 December 2021, the Court issued two orders on the provisional measures requests from both Azerbaijan and Armenia in these proceedings. In its order on provisional measures in </w:t>
      </w:r>
      <w:r>
        <w:rPr>
          <w:rFonts w:ascii="Arial" w:eastAsia="Arial" w:hAnsi="Arial" w:cs="Arial"/>
          <w:i/>
          <w:sz w:val="28"/>
          <w:szCs w:val="28"/>
        </w:rPr>
        <w:t>Armenia v. Azerbaijan</w:t>
      </w:r>
      <w:r>
        <w:rPr>
          <w:rFonts w:ascii="Arial" w:eastAsia="Arial" w:hAnsi="Arial" w:cs="Arial"/>
          <w:sz w:val="28"/>
          <w:szCs w:val="28"/>
        </w:rPr>
        <w:t xml:space="preserve">, the Court rejected most of Armenia’s requests, and Azerbaijan is firmly committed to upholding the provisional measures indicated by the Court, in compliance with its obligations under the Convention. In the </w:t>
      </w:r>
      <w:r>
        <w:rPr>
          <w:rFonts w:ascii="Arial" w:eastAsia="Arial" w:hAnsi="Arial" w:cs="Arial"/>
          <w:i/>
          <w:sz w:val="28"/>
          <w:szCs w:val="28"/>
        </w:rPr>
        <w:t>Azerbaijan v. Armenia</w:t>
      </w:r>
      <w:r>
        <w:rPr>
          <w:rFonts w:ascii="Arial" w:eastAsia="Arial" w:hAnsi="Arial" w:cs="Arial"/>
          <w:sz w:val="28"/>
          <w:szCs w:val="28"/>
        </w:rPr>
        <w:t xml:space="preserve"> case, the Court ordered Armenia to take all necessary measures to prevent the incitement and promotion of racial hatred, including by organizations and private persons in its territory, targeted at persons of Azerbaijani national or ethnic origin.</w:t>
      </w:r>
    </w:p>
    <w:p w14:paraId="0000003F" w14:textId="77777777" w:rsidR="0055544B" w:rsidRDefault="0055544B">
      <w:pPr>
        <w:jc w:val="both"/>
        <w:rPr>
          <w:rFonts w:ascii="Arial" w:eastAsia="Arial" w:hAnsi="Arial" w:cs="Arial"/>
          <w:sz w:val="28"/>
          <w:szCs w:val="28"/>
        </w:rPr>
      </w:pPr>
    </w:p>
    <w:p w14:paraId="00000040" w14:textId="77777777" w:rsidR="0055544B" w:rsidRDefault="00000000">
      <w:pPr>
        <w:jc w:val="both"/>
        <w:rPr>
          <w:rFonts w:ascii="Arial" w:eastAsia="Arial" w:hAnsi="Arial" w:cs="Arial"/>
          <w:sz w:val="28"/>
          <w:szCs w:val="28"/>
        </w:rPr>
      </w:pPr>
      <w:bookmarkStart w:id="5" w:name="_tyjcwt" w:colFirst="0" w:colLast="0"/>
      <w:bookmarkEnd w:id="5"/>
      <w:r>
        <w:rPr>
          <w:rFonts w:ascii="Arial" w:eastAsia="Arial" w:hAnsi="Arial" w:cs="Arial"/>
          <w:sz w:val="28"/>
          <w:szCs w:val="28"/>
        </w:rPr>
        <w:t xml:space="preserve">Unfortunately, the Armenian Government has taken no action to implement this order against the anti-Azerbaijani hate speech that remains commonplace in Armenia. Anti-Azerbaijani hate speech disseminated by Armenia’s leadership for decades has empowered armed ethno-nationalist organizations operating in Armenia to incite violence against Azerbaijanis with impunity. Two such organizations, VoMA and POGA, regularly fundraise, host military training camps, and recruit new members to face what they call the Azerbaijani “threat,” by preaching hatred against Azerbaijanis as an ethnic and national group and instigating violence against them. Armenia’s inaction despite the Court’s order has further empowered VoMA which has called on the Armenian Government to “reject the ruling of the Hague Court”, stating “we are on the right path, and we need more people, thousands, tens of thousands, hundreds of thousands, and the whole Nation which must become an army.” In addition, for months now, Armenians participating in mass demonstrations across Armenia engaged in hate speech targeting Azerbaijanis: the most common r in demonstrations across the country was “Armenia without Turks!” - a reference to the erasure of Azerbaijanis as a group in Armenia and in the formerly occupied territories based on their national or ethnic origin. </w:t>
      </w:r>
    </w:p>
    <w:p w14:paraId="00000041" w14:textId="77777777" w:rsidR="0055544B" w:rsidRDefault="0055544B">
      <w:pPr>
        <w:jc w:val="both"/>
        <w:rPr>
          <w:rFonts w:ascii="Arial" w:eastAsia="Arial" w:hAnsi="Arial" w:cs="Arial"/>
          <w:sz w:val="28"/>
          <w:szCs w:val="28"/>
        </w:rPr>
      </w:pPr>
    </w:p>
    <w:p w14:paraId="00000042" w14:textId="77777777" w:rsidR="0055544B" w:rsidRDefault="00000000">
      <w:pPr>
        <w:jc w:val="both"/>
        <w:rPr>
          <w:rFonts w:ascii="Arial" w:eastAsia="Arial" w:hAnsi="Arial" w:cs="Arial"/>
          <w:b/>
          <w:sz w:val="28"/>
          <w:szCs w:val="28"/>
        </w:rPr>
      </w:pPr>
      <w:r>
        <w:rPr>
          <w:rFonts w:ascii="Arial" w:eastAsia="Arial" w:hAnsi="Arial" w:cs="Arial"/>
          <w:b/>
          <w:sz w:val="28"/>
          <w:szCs w:val="28"/>
        </w:rPr>
        <w:t>Dear members of the Committee,</w:t>
      </w:r>
    </w:p>
    <w:p w14:paraId="00000043" w14:textId="77777777" w:rsidR="0055544B" w:rsidRDefault="0055544B">
      <w:pPr>
        <w:jc w:val="both"/>
        <w:rPr>
          <w:rFonts w:ascii="Arial" w:eastAsia="Arial" w:hAnsi="Arial" w:cs="Arial"/>
          <w:sz w:val="28"/>
          <w:szCs w:val="28"/>
        </w:rPr>
      </w:pPr>
    </w:p>
    <w:p w14:paraId="00000044" w14:textId="77777777" w:rsidR="0055544B" w:rsidRDefault="00000000">
      <w:pPr>
        <w:jc w:val="both"/>
        <w:rPr>
          <w:rFonts w:ascii="Arial" w:eastAsia="Arial" w:hAnsi="Arial" w:cs="Arial"/>
          <w:sz w:val="28"/>
          <w:szCs w:val="28"/>
        </w:rPr>
      </w:pPr>
      <w:r>
        <w:rPr>
          <w:rFonts w:ascii="Arial" w:eastAsia="Arial" w:hAnsi="Arial" w:cs="Arial"/>
          <w:sz w:val="28"/>
          <w:szCs w:val="28"/>
        </w:rPr>
        <w:t>We believe the Government has made serious progress in implementing the provisions of the Convention, even as Azerbaijan recognizes that we still have to do more to further improve. In this regard, we highly appreciate the dialogue with the Committee, which significantly contributes to our efforts for overcoming existing challenges and making further progress. The Republic of Azerbaijan considers the interactive dialogue with the Committee as a significant mechanism for monitoring and reviewing actions taken by the Government to fulfill its obligations under the Convention.</w:t>
      </w:r>
    </w:p>
    <w:p w14:paraId="00000045" w14:textId="77777777" w:rsidR="0055544B" w:rsidRDefault="0055544B">
      <w:pPr>
        <w:jc w:val="both"/>
        <w:rPr>
          <w:rFonts w:ascii="Arial" w:eastAsia="Arial" w:hAnsi="Arial" w:cs="Arial"/>
          <w:sz w:val="28"/>
          <w:szCs w:val="28"/>
        </w:rPr>
      </w:pPr>
    </w:p>
    <w:p w14:paraId="00000046" w14:textId="77777777" w:rsidR="0055544B" w:rsidRDefault="00000000">
      <w:pPr>
        <w:jc w:val="both"/>
        <w:rPr>
          <w:rFonts w:ascii="Arial" w:eastAsia="Arial" w:hAnsi="Arial" w:cs="Arial"/>
          <w:sz w:val="28"/>
          <w:szCs w:val="28"/>
        </w:rPr>
      </w:pPr>
      <w:r>
        <w:rPr>
          <w:rFonts w:ascii="Arial" w:eastAsia="Arial" w:hAnsi="Arial" w:cs="Arial"/>
          <w:sz w:val="28"/>
          <w:szCs w:val="28"/>
        </w:rPr>
        <w:t>We are confident that the long-standing cooperation with the Committee will further strengthen the state guarantees of equality of persons before the law and in practice irrespective of their race, color, descent, national or ethnic origin, thus promoting the understanding and tolerance that has existed in Azerbaijan for centuries.</w:t>
      </w:r>
    </w:p>
    <w:p w14:paraId="00000047" w14:textId="77777777" w:rsidR="0055544B" w:rsidRDefault="0055544B">
      <w:pPr>
        <w:jc w:val="both"/>
        <w:rPr>
          <w:rFonts w:ascii="Arial" w:eastAsia="Arial" w:hAnsi="Arial" w:cs="Arial"/>
          <w:sz w:val="28"/>
          <w:szCs w:val="28"/>
        </w:rPr>
      </w:pPr>
    </w:p>
    <w:p w14:paraId="00000048" w14:textId="77777777" w:rsidR="0055544B" w:rsidRDefault="00000000">
      <w:pPr>
        <w:jc w:val="both"/>
        <w:rPr>
          <w:rFonts w:ascii="Arial" w:eastAsia="Arial" w:hAnsi="Arial" w:cs="Arial"/>
          <w:sz w:val="28"/>
          <w:szCs w:val="28"/>
        </w:rPr>
      </w:pPr>
      <w:r>
        <w:rPr>
          <w:rFonts w:ascii="Arial" w:eastAsia="Arial" w:hAnsi="Arial" w:cs="Arial"/>
          <w:sz w:val="28"/>
          <w:szCs w:val="28"/>
        </w:rPr>
        <w:t>This now concludes my opening remarks and I thank you for your attention.</w:t>
      </w:r>
    </w:p>
    <w:sectPr w:rsidR="0055544B">
      <w:footerReference w:type="default" r:id="rId6"/>
      <w:pgSz w:w="12240" w:h="15840"/>
      <w:pgMar w:top="1080" w:right="900" w:bottom="810" w:left="189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7B7D7" w14:textId="77777777" w:rsidR="00143B66" w:rsidRDefault="00143B66">
      <w:r>
        <w:separator/>
      </w:r>
    </w:p>
  </w:endnote>
  <w:endnote w:type="continuationSeparator" w:id="0">
    <w:p w14:paraId="1F474793" w14:textId="77777777" w:rsidR="00143B66" w:rsidRDefault="00143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4CB7AE9D" w:rsidR="0055544B"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34551C">
      <w:rPr>
        <w:noProof/>
        <w:color w:val="000000"/>
      </w:rPr>
      <w:t>1</w:t>
    </w:r>
    <w:r>
      <w:rPr>
        <w:color w:val="000000"/>
      </w:rPr>
      <w:fldChar w:fldCharType="end"/>
    </w:r>
  </w:p>
  <w:p w14:paraId="0000004C" w14:textId="77777777" w:rsidR="0055544B" w:rsidRDefault="0055544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F1CC6" w14:textId="77777777" w:rsidR="00143B66" w:rsidRDefault="00143B66">
      <w:r>
        <w:separator/>
      </w:r>
    </w:p>
  </w:footnote>
  <w:footnote w:type="continuationSeparator" w:id="0">
    <w:p w14:paraId="1FFBB8D2" w14:textId="77777777" w:rsidR="00143B66" w:rsidRDefault="00143B66">
      <w:r>
        <w:continuationSeparator/>
      </w:r>
    </w:p>
  </w:footnote>
  <w:footnote w:id="1">
    <w:p w14:paraId="00000049" w14:textId="77777777" w:rsidR="0055544B" w:rsidRDefault="00000000">
      <w:pPr>
        <w:pBdr>
          <w:top w:val="nil"/>
          <w:left w:val="nil"/>
          <w:bottom w:val="nil"/>
          <w:right w:val="nil"/>
          <w:between w:val="nil"/>
        </w:pBdr>
        <w:rPr>
          <w:color w:val="0563C1"/>
          <w:sz w:val="20"/>
          <w:szCs w:val="20"/>
          <w:u w:val="single"/>
        </w:rPr>
      </w:pPr>
      <w:r>
        <w:rPr>
          <w:vertAlign w:val="superscript"/>
        </w:rPr>
        <w:footnoteRef/>
      </w:r>
      <w:r>
        <w:rPr>
          <w:color w:val="000000"/>
          <w:sz w:val="20"/>
          <w:szCs w:val="20"/>
        </w:rPr>
        <w:t xml:space="preserve"> </w:t>
      </w:r>
      <w:r>
        <w:rPr>
          <w:color w:val="2C363A"/>
          <w:sz w:val="20"/>
          <w:szCs w:val="20"/>
        </w:rPr>
        <w:t xml:space="preserve">Note on international protection, Note by the High Commissioner Executive Committee of the High Commissioner's Programme-Standing Committee Eighty-fourth meeting UN document EC/73/SC/CRP.10 (16 June 2022), para. 58, </w:t>
      </w:r>
      <w:r>
        <w:rPr>
          <w:i/>
          <w:color w:val="2C363A"/>
          <w:sz w:val="20"/>
          <w:szCs w:val="20"/>
        </w:rPr>
        <w:t>available at</w:t>
      </w:r>
      <w:r>
        <w:rPr>
          <w:color w:val="2C363A"/>
          <w:sz w:val="20"/>
          <w:szCs w:val="20"/>
        </w:rPr>
        <w:t> </w:t>
      </w:r>
      <w:hyperlink r:id="rId1">
        <w:r>
          <w:rPr>
            <w:color w:val="0563C1"/>
            <w:sz w:val="20"/>
            <w:szCs w:val="20"/>
            <w:u w:val="single"/>
          </w:rPr>
          <w:t>https://www.unhcr.org/62bc19e04</w:t>
        </w:r>
      </w:hyperlink>
      <w:r>
        <w:rPr>
          <w:color w:val="0563C1"/>
          <w:sz w:val="20"/>
          <w:szCs w:val="20"/>
          <w:u w:val="single"/>
        </w:rPr>
        <w:t>.</w:t>
      </w:r>
    </w:p>
    <w:p w14:paraId="0000004A" w14:textId="77777777" w:rsidR="0055544B" w:rsidRDefault="0055544B">
      <w:pPr>
        <w:pBdr>
          <w:top w:val="nil"/>
          <w:left w:val="nil"/>
          <w:bottom w:val="nil"/>
          <w:right w:val="nil"/>
          <w:between w:val="nil"/>
        </w:pBdr>
        <w:rPr>
          <w:color w:val="000000"/>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44B"/>
    <w:rsid w:val="00143B66"/>
    <w:rsid w:val="0034551C"/>
    <w:rsid w:val="00555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277EB"/>
  <w15:docId w15:val="{121D5155-A0AB-4402-BADD-B58C0D40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right"/>
      <w:outlineLvl w:val="0"/>
    </w:pPr>
    <w:rPr>
      <w:rFonts w:ascii="Arial" w:eastAsia="Arial" w:hAnsi="Arial" w:cs="Arial"/>
      <w:sz w:val="24"/>
      <w:szCs w:val="24"/>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unhcr.org/62bc19e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29BDD0-36D0-4DD3-B9CF-3266DCE1DFBF}"/>
</file>

<file path=customXml/itemProps2.xml><?xml version="1.0" encoding="utf-8"?>
<ds:datastoreItem xmlns:ds="http://schemas.openxmlformats.org/officeDocument/2006/customXml" ds:itemID="{4E6593B0-B42A-487F-908E-7E37277ACE8C}"/>
</file>

<file path=customXml/itemProps3.xml><?xml version="1.0" encoding="utf-8"?>
<ds:datastoreItem xmlns:ds="http://schemas.openxmlformats.org/officeDocument/2006/customXml" ds:itemID="{F72C7147-8CA3-4D36-9B48-22F8B4E9284D}"/>
</file>

<file path=docProps/app.xml><?xml version="1.0" encoding="utf-8"?>
<Properties xmlns="http://schemas.openxmlformats.org/officeDocument/2006/extended-properties" xmlns:vt="http://schemas.openxmlformats.org/officeDocument/2006/docPropsVTypes">
  <Template>Normal</Template>
  <TotalTime>4</TotalTime>
  <Pages>1</Pages>
  <Words>3074</Words>
  <Characters>17522</Characters>
  <Application>Microsoft Office Word</Application>
  <DocSecurity>0</DocSecurity>
  <Lines>146</Lines>
  <Paragraphs>41</Paragraphs>
  <ScaleCrop>false</ScaleCrop>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Kamran Seyfullayev</dc:creator>
  <cp:lastModifiedBy>Kamran Seyfullayev</cp:lastModifiedBy>
  <cp:revision>3</cp:revision>
  <dcterms:created xsi:type="dcterms:W3CDTF">2022-08-14T10:17:00Z</dcterms:created>
  <dcterms:modified xsi:type="dcterms:W3CDTF">2022-08-14T10:17:00Z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