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586D7" w14:textId="77777777" w:rsidR="00FB3DBA" w:rsidRDefault="00FB3DBA">
      <w:pPr>
        <w:pBdr>
          <w:top w:val="nil"/>
          <w:left w:val="nil"/>
          <w:bottom w:val="nil"/>
          <w:right w:val="nil"/>
          <w:between w:val="nil"/>
        </w:pBdr>
        <w:spacing w:before="180" w:after="180"/>
        <w:jc w:val="both"/>
        <w:rPr>
          <w:rFonts w:ascii="Times New Roman" w:eastAsia="Times New Roman" w:hAnsi="Times New Roman" w:cs="Times New Roman"/>
        </w:rPr>
      </w:pPr>
    </w:p>
    <w:p w14:paraId="0F82ADF7" w14:textId="77777777" w:rsidR="00FB3DBA" w:rsidRDefault="007F7F12">
      <w:pPr>
        <w:pStyle w:val="Heading1"/>
        <w:spacing w:before="240" w:after="240" w:line="276" w:lineRule="auto"/>
        <w:jc w:val="center"/>
        <w:rPr>
          <w:i/>
          <w:iCs/>
          <w:sz w:val="62"/>
          <w:szCs w:val="62"/>
        </w:rPr>
      </w:pPr>
      <w:bookmarkStart w:id="0" w:name="_bzhtbg2kpsos" w:colFirst="0" w:colLast="0"/>
      <w:bookmarkEnd w:id="0"/>
      <w:r>
        <w:rPr>
          <w:noProof/>
          <w:color w:val="000000"/>
          <w:sz w:val="32"/>
          <w:szCs w:val="32"/>
        </w:rPr>
        <w:drawing>
          <wp:inline distT="114300" distB="114300" distL="114300" distR="114300" wp14:anchorId="217C4F3E" wp14:editId="38F8D185">
            <wp:extent cx="5657850" cy="25717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657850" cy="2571750"/>
                    </a:xfrm>
                    <a:prstGeom prst="rect">
                      <a:avLst/>
                    </a:prstGeom>
                    <a:ln/>
                  </pic:spPr>
                </pic:pic>
              </a:graphicData>
            </a:graphic>
          </wp:inline>
        </w:drawing>
      </w:r>
      <w:r>
        <w:rPr>
          <w:sz w:val="42"/>
          <w:szCs w:val="42"/>
        </w:rPr>
        <w:t>Naturaleza del sistema interinstitucional de quejas, inexistencia de una INDH independiente y rechazo al reconocimiento de la competencia del CED</w:t>
      </w:r>
    </w:p>
    <w:p w14:paraId="235897A0" w14:textId="77777777" w:rsidR="00FB3DBA" w:rsidRDefault="007F7F12">
      <w:pPr>
        <w:spacing w:before="240" w:after="240"/>
        <w:jc w:val="center"/>
        <w:rPr>
          <w:rFonts w:ascii="Times New Roman" w:eastAsia="Times New Roman" w:hAnsi="Times New Roman" w:cs="Times New Roman"/>
          <w:b/>
          <w:bCs/>
          <w:sz w:val="38"/>
          <w:szCs w:val="38"/>
        </w:rPr>
      </w:pPr>
      <w:r>
        <w:rPr>
          <w:rFonts w:ascii="Times New Roman" w:eastAsia="Times New Roman" w:hAnsi="Times New Roman" w:cs="Times New Roman"/>
          <w:b/>
          <w:bCs/>
          <w:sz w:val="38"/>
          <w:szCs w:val="38"/>
        </w:rPr>
        <w:t>Lista de Temas Prioritarios sobre Cuba</w:t>
      </w:r>
      <w:r>
        <w:rPr>
          <w:rFonts w:ascii="Times New Roman" w:eastAsia="Times New Roman" w:hAnsi="Times New Roman" w:cs="Times New Roman"/>
          <w:b/>
          <w:bCs/>
          <w:sz w:val="38"/>
          <w:szCs w:val="38"/>
        </w:rPr>
        <w:br/>
        <w:t>31.º período de sesiones del CED</w:t>
      </w:r>
    </w:p>
    <w:p w14:paraId="18BDA620" w14:textId="77777777" w:rsidR="00FB3DBA" w:rsidRDefault="007F7F12">
      <w:pPr>
        <w:spacing w:before="240" w:after="240"/>
        <w:jc w:val="both"/>
        <w:rPr>
          <w:rFonts w:ascii="Times New Roman" w:eastAsia="Times New Roman" w:hAnsi="Times New Roman" w:cs="Times New Roman"/>
          <w:i/>
          <w:iCs/>
          <w:sz w:val="32"/>
          <w:szCs w:val="32"/>
        </w:rPr>
      </w:pPr>
      <w:r>
        <w:rPr>
          <w:rFonts w:ascii="Times New Roman" w:eastAsia="Times New Roman" w:hAnsi="Times New Roman" w:cs="Times New Roman"/>
          <w:i/>
          <w:iCs/>
          <w:sz w:val="32"/>
          <w:szCs w:val="32"/>
        </w:rPr>
        <w:t>Presentada en relación con la información complementaria de Cuba bajo el artículo 29(4) de la Convención Internacional para la Protección de Todas las Personas contra las Desapariciones Forzadas</w:t>
      </w:r>
    </w:p>
    <w:p w14:paraId="3E9ADAAA" w14:textId="77777777" w:rsidR="00FB3DBA" w:rsidRDefault="007F7F12">
      <w:pPr>
        <w:spacing w:before="240" w:after="240"/>
        <w:jc w:val="center"/>
        <w:rPr>
          <w:rFonts w:ascii="Times New Roman" w:eastAsia="Times New Roman" w:hAnsi="Times New Roman" w:cs="Times New Roman"/>
        </w:rPr>
      </w:pPr>
      <w:r>
        <w:rPr>
          <w:rFonts w:ascii="Times New Roman" w:eastAsia="Times New Roman" w:hAnsi="Times New Roman" w:cs="Times New Roman"/>
          <w:b/>
          <w:bCs/>
          <w:sz w:val="54"/>
          <w:szCs w:val="54"/>
        </w:rPr>
        <w:br/>
      </w:r>
      <w:r>
        <w:rPr>
          <w:rFonts w:ascii="Times New Roman" w:eastAsia="Times New Roman" w:hAnsi="Times New Roman" w:cs="Times New Roman"/>
          <w:b/>
          <w:bCs/>
          <w:i/>
          <w:iCs/>
          <w:sz w:val="48"/>
          <w:szCs w:val="48"/>
        </w:rPr>
        <w:t>Junio de 2026</w:t>
      </w:r>
    </w:p>
    <w:p w14:paraId="55C378B5" w14:textId="77777777" w:rsidR="00FB3DBA" w:rsidRDefault="00FB3DBA">
      <w:pPr>
        <w:pBdr>
          <w:top w:val="nil"/>
          <w:left w:val="nil"/>
          <w:bottom w:val="nil"/>
          <w:right w:val="nil"/>
          <w:between w:val="nil"/>
        </w:pBdr>
        <w:spacing w:before="180" w:after="180"/>
        <w:jc w:val="both"/>
        <w:rPr>
          <w:rFonts w:ascii="Times New Roman" w:eastAsia="Times New Roman" w:hAnsi="Times New Roman" w:cs="Times New Roman"/>
        </w:rPr>
      </w:pPr>
    </w:p>
    <w:p w14:paraId="46FAA67F" w14:textId="77777777" w:rsidR="00FB3DBA" w:rsidRDefault="00FB3DBA">
      <w:pPr>
        <w:pBdr>
          <w:top w:val="nil"/>
          <w:left w:val="nil"/>
          <w:bottom w:val="nil"/>
          <w:right w:val="nil"/>
          <w:between w:val="nil"/>
        </w:pBdr>
        <w:spacing w:after="180"/>
        <w:jc w:val="both"/>
        <w:rPr>
          <w:rFonts w:ascii="Times New Roman" w:eastAsia="Times New Roman" w:hAnsi="Times New Roman" w:cs="Times New Roman"/>
        </w:rPr>
      </w:pPr>
    </w:p>
    <w:p w14:paraId="18D241D0" w14:textId="77777777" w:rsidR="00FB3DBA" w:rsidRDefault="007F7F12">
      <w:pPr>
        <w:spacing w:after="0"/>
        <w:jc w:val="center"/>
        <w:rPr>
          <w:rFonts w:ascii="Times New Roman" w:eastAsia="Times New Roman" w:hAnsi="Times New Roman" w:cs="Times New Roman"/>
        </w:rPr>
      </w:pPr>
      <w:r>
        <w:rPr>
          <w:rFonts w:ascii="Times New Roman" w:eastAsia="Times New Roman" w:hAnsi="Times New Roman" w:cs="Times New Roman"/>
        </w:rPr>
        <w:t xml:space="preserve">1120 Connecticut Ave NW. Washington, </w:t>
      </w:r>
    </w:p>
    <w:p w14:paraId="55337CB6" w14:textId="77777777" w:rsidR="00FB3DBA" w:rsidRDefault="007F7F12">
      <w:pPr>
        <w:spacing w:after="0"/>
        <w:jc w:val="center"/>
        <w:rPr>
          <w:rFonts w:ascii="Times New Roman" w:eastAsia="Times New Roman" w:hAnsi="Times New Roman" w:cs="Times New Roman"/>
        </w:rPr>
      </w:pPr>
      <w:r>
        <w:rPr>
          <w:rFonts w:ascii="Times New Roman" w:eastAsia="Times New Roman" w:hAnsi="Times New Roman" w:cs="Times New Roman"/>
        </w:rPr>
        <w:t>D.C., 20036, United States.</w:t>
      </w:r>
    </w:p>
    <w:p w14:paraId="33443C24" w14:textId="77777777" w:rsidR="00FB3DBA" w:rsidRDefault="007F7F12">
      <w:pPr>
        <w:spacing w:after="0"/>
        <w:jc w:val="center"/>
        <w:rPr>
          <w:rFonts w:ascii="Times New Roman" w:eastAsia="Times New Roman" w:hAnsi="Times New Roman" w:cs="Times New Roman"/>
        </w:rPr>
      </w:pPr>
      <w:r>
        <w:rPr>
          <w:rFonts w:ascii="Times New Roman" w:eastAsia="Times New Roman" w:hAnsi="Times New Roman" w:cs="Times New Roman"/>
        </w:rPr>
        <w:t>+19012674974.</w:t>
      </w:r>
    </w:p>
    <w:p w14:paraId="5BC40BBD" w14:textId="77777777" w:rsidR="00FB3DBA" w:rsidRDefault="007F7F12">
      <w:pPr>
        <w:pBdr>
          <w:top w:val="nil"/>
          <w:left w:val="nil"/>
          <w:bottom w:val="nil"/>
          <w:right w:val="nil"/>
          <w:between w:val="nil"/>
        </w:pBdr>
        <w:spacing w:after="180"/>
        <w:jc w:val="both"/>
        <w:rPr>
          <w:rFonts w:ascii="Times New Roman" w:eastAsia="Times New Roman" w:hAnsi="Times New Roman" w:cs="Times New Roman"/>
        </w:rPr>
      </w:pPr>
      <w:r>
        <w:rPr>
          <w:rFonts w:ascii="Times New Roman" w:eastAsia="Times New Roman" w:hAnsi="Times New Roman" w:cs="Times New Roman"/>
        </w:rPr>
        <w:t xml:space="preserve">                                                              </w:t>
      </w:r>
      <w:hyperlink r:id="rId8">
        <w:r>
          <w:rPr>
            <w:rFonts w:ascii="Times New Roman" w:eastAsia="Times New Roman" w:hAnsi="Times New Roman" w:cs="Times New Roman"/>
          </w:rPr>
          <w:t>legal@cubalex.or</w:t>
        </w:r>
      </w:hyperlink>
      <w:r>
        <w:rPr>
          <w:rFonts w:ascii="Times New Roman" w:eastAsia="Times New Roman" w:hAnsi="Times New Roman" w:cs="Times New Roman"/>
        </w:rPr>
        <w:t xml:space="preserve">g. </w:t>
      </w:r>
      <w:r>
        <w:br w:type="page"/>
      </w:r>
    </w:p>
    <w:p w14:paraId="0B0349A0" w14:textId="77777777" w:rsidR="00FB3DBA" w:rsidRDefault="00FB3DBA">
      <w:pPr>
        <w:pBdr>
          <w:top w:val="nil"/>
          <w:left w:val="nil"/>
          <w:bottom w:val="nil"/>
          <w:right w:val="nil"/>
          <w:between w:val="nil"/>
        </w:pBdr>
        <w:spacing w:before="180" w:after="180"/>
        <w:jc w:val="both"/>
        <w:rPr>
          <w:rFonts w:ascii="Times New Roman" w:eastAsia="Times New Roman" w:hAnsi="Times New Roman" w:cs="Times New Roman"/>
        </w:rPr>
      </w:pPr>
    </w:p>
    <w:sdt>
      <w:sdtPr>
        <w:id w:val="1517629388"/>
        <w:docPartObj>
          <w:docPartGallery w:val="Table of Contents"/>
          <w:docPartUnique/>
        </w:docPartObj>
      </w:sdtPr>
      <w:sdtEndPr/>
      <w:sdtContent>
        <w:p w14:paraId="182C2B30" w14:textId="77777777" w:rsidR="00FB3DBA" w:rsidRDefault="007F7F12">
          <w:pPr>
            <w:widowControl w:val="0"/>
            <w:tabs>
              <w:tab w:val="right" w:pos="12000"/>
            </w:tabs>
            <w:spacing w:before="60" w:after="0" w:line="360" w:lineRule="auto"/>
            <w:rPr>
              <w:b/>
              <w:bCs/>
              <w:color w:val="000000"/>
            </w:rPr>
          </w:pPr>
          <w:r>
            <w:fldChar w:fldCharType="begin"/>
          </w:r>
          <w:r>
            <w:instrText xml:space="preserve"> TOC \h \u \z \t "Heading 1,1,Heading 2,2,Heading 3,3,Heading 4,4,Heading 5,5,Heading 6,6,"</w:instrText>
          </w:r>
          <w:r>
            <w:fldChar w:fldCharType="separate"/>
          </w:r>
          <w:hyperlink w:anchor="_bzhtbg2kpsos">
            <w:r>
              <w:rPr>
                <w:rFonts w:ascii="Times New Roman" w:eastAsia="Times New Roman" w:hAnsi="Times New Roman" w:cs="Times New Roman"/>
                <w:b/>
                <w:bCs/>
                <w:color w:val="000000"/>
              </w:rPr>
              <w:t>Naturaleza del sistema interinstitucional de quejas, inexistencia de una INDH independiente y rechazo al reconocimiento de la competencia del CED</w:t>
            </w:r>
            <w:r>
              <w:rPr>
                <w:rFonts w:ascii="Times New Roman" w:eastAsia="Times New Roman" w:hAnsi="Times New Roman" w:cs="Times New Roman"/>
                <w:b/>
                <w:bCs/>
                <w:color w:val="000000"/>
              </w:rPr>
              <w:tab/>
              <w:t>1</w:t>
            </w:r>
          </w:hyperlink>
        </w:p>
        <w:p w14:paraId="71817C6B" w14:textId="77777777" w:rsidR="00FB3DBA" w:rsidRDefault="007F7F12">
          <w:pPr>
            <w:widowControl w:val="0"/>
            <w:tabs>
              <w:tab w:val="right" w:pos="12000"/>
            </w:tabs>
            <w:spacing w:before="60" w:after="0" w:line="360" w:lineRule="auto"/>
            <w:rPr>
              <w:b/>
              <w:bCs/>
              <w:color w:val="000000"/>
            </w:rPr>
          </w:pPr>
          <w:hyperlink w:anchor="_r2q76kf0opkw">
            <w:r>
              <w:rPr>
                <w:rFonts w:ascii="Times New Roman" w:eastAsia="Times New Roman" w:hAnsi="Times New Roman" w:cs="Times New Roman"/>
                <w:b/>
                <w:bCs/>
                <w:color w:val="000000"/>
              </w:rPr>
              <w:t>I. Presentación de Cubalex</w:t>
            </w:r>
            <w:r>
              <w:rPr>
                <w:rFonts w:ascii="Times New Roman" w:eastAsia="Times New Roman" w:hAnsi="Times New Roman" w:cs="Times New Roman"/>
                <w:b/>
                <w:bCs/>
                <w:color w:val="000000"/>
              </w:rPr>
              <w:tab/>
              <w:t>3</w:t>
            </w:r>
          </w:hyperlink>
        </w:p>
        <w:p w14:paraId="0F8F069E" w14:textId="77777777" w:rsidR="00FB3DBA" w:rsidRDefault="007F7F12">
          <w:pPr>
            <w:widowControl w:val="0"/>
            <w:tabs>
              <w:tab w:val="right" w:pos="12000"/>
            </w:tabs>
            <w:spacing w:before="60" w:after="0" w:line="360" w:lineRule="auto"/>
            <w:rPr>
              <w:b/>
              <w:bCs/>
              <w:color w:val="000000"/>
            </w:rPr>
          </w:pPr>
          <w:hyperlink w:anchor="_ls744i55jzv2">
            <w:r>
              <w:rPr>
                <w:rFonts w:ascii="Times New Roman" w:eastAsia="Times New Roman" w:hAnsi="Times New Roman" w:cs="Times New Roman"/>
                <w:b/>
                <w:bCs/>
                <w:color w:val="000000"/>
              </w:rPr>
              <w:t>II. Introducción</w:t>
            </w:r>
            <w:r>
              <w:rPr>
                <w:rFonts w:ascii="Times New Roman" w:eastAsia="Times New Roman" w:hAnsi="Times New Roman" w:cs="Times New Roman"/>
                <w:b/>
                <w:bCs/>
                <w:color w:val="000000"/>
              </w:rPr>
              <w:tab/>
              <w:t>3</w:t>
            </w:r>
          </w:hyperlink>
        </w:p>
        <w:p w14:paraId="7CFD84AE" w14:textId="77777777" w:rsidR="00FB3DBA" w:rsidRDefault="007F7F12">
          <w:pPr>
            <w:widowControl w:val="0"/>
            <w:tabs>
              <w:tab w:val="right" w:pos="12000"/>
            </w:tabs>
            <w:spacing w:before="60" w:after="0" w:line="360" w:lineRule="auto"/>
            <w:rPr>
              <w:b/>
              <w:bCs/>
              <w:color w:val="000000"/>
            </w:rPr>
          </w:pPr>
          <w:hyperlink w:anchor="_7xi37m28byd5">
            <w:r>
              <w:rPr>
                <w:rFonts w:ascii="Times New Roman" w:eastAsia="Times New Roman" w:hAnsi="Times New Roman" w:cs="Times New Roman"/>
                <w:b/>
                <w:bCs/>
                <w:color w:val="000000"/>
              </w:rPr>
              <w:t>III. Temas prioritarios sugeridos</w:t>
            </w:r>
            <w:r>
              <w:rPr>
                <w:rFonts w:ascii="Times New Roman" w:eastAsia="Times New Roman" w:hAnsi="Times New Roman" w:cs="Times New Roman"/>
                <w:b/>
                <w:bCs/>
                <w:color w:val="000000"/>
              </w:rPr>
              <w:tab/>
              <w:t>6</w:t>
            </w:r>
          </w:hyperlink>
        </w:p>
        <w:p w14:paraId="24D80AA3" w14:textId="77777777" w:rsidR="00FB3DBA" w:rsidRDefault="007F7F12">
          <w:pPr>
            <w:widowControl w:val="0"/>
            <w:tabs>
              <w:tab w:val="right" w:pos="12000"/>
            </w:tabs>
            <w:spacing w:before="60" w:after="0" w:line="360" w:lineRule="auto"/>
            <w:rPr>
              <w:b/>
              <w:bCs/>
              <w:color w:val="000000"/>
            </w:rPr>
          </w:pPr>
          <w:hyperlink w:anchor="_89p1fhnhllqy">
            <w:r>
              <w:rPr>
                <w:rFonts w:ascii="Times New Roman" w:eastAsia="Times New Roman" w:hAnsi="Times New Roman" w:cs="Times New Roman"/>
                <w:b/>
                <w:bCs/>
                <w:color w:val="000000"/>
              </w:rPr>
              <w:t>IV. Preguntas sugeridas al Estado parte</w:t>
            </w:r>
            <w:r>
              <w:rPr>
                <w:rFonts w:ascii="Times New Roman" w:eastAsia="Times New Roman" w:hAnsi="Times New Roman" w:cs="Times New Roman"/>
                <w:b/>
                <w:bCs/>
                <w:color w:val="000000"/>
              </w:rPr>
              <w:tab/>
              <w:t>7</w:t>
            </w:r>
          </w:hyperlink>
        </w:p>
        <w:p w14:paraId="0F1CD9C6" w14:textId="77777777" w:rsidR="00FB3DBA" w:rsidRDefault="007F7F12">
          <w:pPr>
            <w:widowControl w:val="0"/>
            <w:tabs>
              <w:tab w:val="right" w:pos="12000"/>
            </w:tabs>
            <w:spacing w:before="60" w:after="0" w:line="360" w:lineRule="auto"/>
            <w:ind w:left="360"/>
            <w:rPr>
              <w:color w:val="000000"/>
            </w:rPr>
          </w:pPr>
          <w:hyperlink w:anchor="_xto677fq59cq">
            <w:r>
              <w:rPr>
                <w:rFonts w:ascii="Times New Roman" w:eastAsia="Times New Roman" w:hAnsi="Times New Roman" w:cs="Times New Roman"/>
                <w:color w:val="000000"/>
              </w:rPr>
              <w:t>1. Sobre los artículos 31 y 32 de la Convención</w:t>
            </w:r>
            <w:r>
              <w:rPr>
                <w:rFonts w:ascii="Times New Roman" w:eastAsia="Times New Roman" w:hAnsi="Times New Roman" w:cs="Times New Roman"/>
                <w:color w:val="000000"/>
              </w:rPr>
              <w:tab/>
              <w:t>7</w:t>
            </w:r>
          </w:hyperlink>
        </w:p>
        <w:p w14:paraId="60DB2A23" w14:textId="77777777" w:rsidR="00FB3DBA" w:rsidRDefault="007F7F12">
          <w:pPr>
            <w:widowControl w:val="0"/>
            <w:tabs>
              <w:tab w:val="right" w:pos="12000"/>
            </w:tabs>
            <w:spacing w:before="60" w:after="0" w:line="360" w:lineRule="auto"/>
            <w:ind w:left="360"/>
            <w:rPr>
              <w:color w:val="000000"/>
            </w:rPr>
          </w:pPr>
          <w:hyperlink w:anchor="_hykopkm0wuhw">
            <w:r>
              <w:rPr>
                <w:rFonts w:ascii="Times New Roman" w:eastAsia="Times New Roman" w:hAnsi="Times New Roman" w:cs="Times New Roman"/>
                <w:color w:val="000000"/>
              </w:rPr>
              <w:t>2. Sobre la naturaleza jurídica del sistema interinstitucional invocado por el Estado</w:t>
            </w:r>
            <w:r>
              <w:rPr>
                <w:rFonts w:ascii="Times New Roman" w:eastAsia="Times New Roman" w:hAnsi="Times New Roman" w:cs="Times New Roman"/>
                <w:color w:val="000000"/>
              </w:rPr>
              <w:tab/>
              <w:t>7</w:t>
            </w:r>
          </w:hyperlink>
        </w:p>
        <w:p w14:paraId="52EC7D2B" w14:textId="77777777" w:rsidR="00FB3DBA" w:rsidRDefault="007F7F12">
          <w:pPr>
            <w:widowControl w:val="0"/>
            <w:tabs>
              <w:tab w:val="right" w:pos="12000"/>
            </w:tabs>
            <w:spacing w:before="60" w:after="0" w:line="360" w:lineRule="auto"/>
            <w:ind w:left="360"/>
            <w:rPr>
              <w:color w:val="000000"/>
            </w:rPr>
          </w:pPr>
          <w:hyperlink w:anchor="_cq4wdl5ywkkf">
            <w:r>
              <w:rPr>
                <w:rFonts w:ascii="Times New Roman" w:eastAsia="Times New Roman" w:hAnsi="Times New Roman" w:cs="Times New Roman"/>
                <w:color w:val="000000"/>
              </w:rPr>
              <w:t>3. Sobre pluralismo, participación social y uso de la expresión “pueblo”</w:t>
            </w:r>
            <w:r>
              <w:rPr>
                <w:rFonts w:ascii="Times New Roman" w:eastAsia="Times New Roman" w:hAnsi="Times New Roman" w:cs="Times New Roman"/>
                <w:color w:val="000000"/>
              </w:rPr>
              <w:tab/>
              <w:t>7</w:t>
            </w:r>
          </w:hyperlink>
        </w:p>
        <w:p w14:paraId="558ACF82" w14:textId="77777777" w:rsidR="00FB3DBA" w:rsidRDefault="007F7F12">
          <w:pPr>
            <w:widowControl w:val="0"/>
            <w:tabs>
              <w:tab w:val="right" w:pos="12000"/>
            </w:tabs>
            <w:spacing w:before="60" w:after="0" w:line="360" w:lineRule="auto"/>
            <w:ind w:left="360"/>
            <w:rPr>
              <w:color w:val="000000"/>
            </w:rPr>
          </w:pPr>
          <w:hyperlink w:anchor="_umr2znefi56m">
            <w:r>
              <w:rPr>
                <w:rFonts w:ascii="Times New Roman" w:eastAsia="Times New Roman" w:hAnsi="Times New Roman" w:cs="Times New Roman"/>
                <w:color w:val="000000"/>
              </w:rPr>
              <w:t>4. Sobre las 37.177 quejas recibidas por la Fiscalía General de la República</w:t>
            </w:r>
            <w:r>
              <w:rPr>
                <w:rFonts w:ascii="Times New Roman" w:eastAsia="Times New Roman" w:hAnsi="Times New Roman" w:cs="Times New Roman"/>
                <w:color w:val="000000"/>
              </w:rPr>
              <w:tab/>
              <w:t>8</w:t>
            </w:r>
          </w:hyperlink>
        </w:p>
        <w:p w14:paraId="494795DA" w14:textId="77777777" w:rsidR="00FB3DBA" w:rsidRDefault="007F7F12">
          <w:pPr>
            <w:widowControl w:val="0"/>
            <w:tabs>
              <w:tab w:val="right" w:pos="12000"/>
            </w:tabs>
            <w:spacing w:before="60" w:after="0" w:line="360" w:lineRule="auto"/>
            <w:ind w:left="360"/>
            <w:rPr>
              <w:color w:val="000000"/>
            </w:rPr>
          </w:pPr>
          <w:hyperlink w:anchor="_lvry7pwh1hi6">
            <w:r>
              <w:rPr>
                <w:rFonts w:ascii="Times New Roman" w:eastAsia="Times New Roman" w:hAnsi="Times New Roman" w:cs="Times New Roman"/>
                <w:color w:val="000000"/>
              </w:rPr>
              <w:t>5. Sobre los cuatro casos en que familiares desconocían el lugar de detención o ubicación de personas privadas de libertad</w:t>
            </w:r>
            <w:r>
              <w:rPr>
                <w:rFonts w:ascii="Times New Roman" w:eastAsia="Times New Roman" w:hAnsi="Times New Roman" w:cs="Times New Roman"/>
                <w:color w:val="000000"/>
              </w:rPr>
              <w:tab/>
              <w:t>8</w:t>
            </w:r>
          </w:hyperlink>
        </w:p>
        <w:p w14:paraId="5A4CAE0D" w14:textId="77777777" w:rsidR="00FB3DBA" w:rsidRDefault="007F7F12">
          <w:pPr>
            <w:widowControl w:val="0"/>
            <w:tabs>
              <w:tab w:val="right" w:pos="12000"/>
            </w:tabs>
            <w:spacing w:before="60" w:after="0" w:line="360" w:lineRule="auto"/>
            <w:ind w:left="360"/>
            <w:rPr>
              <w:color w:val="000000"/>
            </w:rPr>
          </w:pPr>
          <w:hyperlink w:anchor="_e58ro9v9o8uq">
            <w:r>
              <w:rPr>
                <w:rFonts w:ascii="Times New Roman" w:eastAsia="Times New Roman" w:hAnsi="Times New Roman" w:cs="Times New Roman"/>
                <w:color w:val="000000"/>
              </w:rPr>
              <w:t>6. Sobre notificación de traslados y acceso a información</w:t>
            </w:r>
            <w:r>
              <w:rPr>
                <w:rFonts w:ascii="Times New Roman" w:eastAsia="Times New Roman" w:hAnsi="Times New Roman" w:cs="Times New Roman"/>
                <w:color w:val="000000"/>
              </w:rPr>
              <w:tab/>
              <w:t>8</w:t>
            </w:r>
          </w:hyperlink>
        </w:p>
        <w:p w14:paraId="4ABE0B1A" w14:textId="77777777" w:rsidR="00FB3DBA" w:rsidRDefault="007F7F12">
          <w:pPr>
            <w:widowControl w:val="0"/>
            <w:tabs>
              <w:tab w:val="right" w:pos="12000"/>
            </w:tabs>
            <w:spacing w:before="60" w:after="0" w:line="360" w:lineRule="auto"/>
            <w:ind w:left="360"/>
            <w:rPr>
              <w:color w:val="000000"/>
            </w:rPr>
          </w:pPr>
          <w:hyperlink w:anchor="_rpzf6813kv7">
            <w:r>
              <w:rPr>
                <w:rFonts w:ascii="Times New Roman" w:eastAsia="Times New Roman" w:hAnsi="Times New Roman" w:cs="Times New Roman"/>
                <w:color w:val="000000"/>
              </w:rPr>
              <w:t>7. Sobre quejas recibidas por tribunales y canales judiciales de atención ciudadana</w:t>
            </w:r>
            <w:r>
              <w:rPr>
                <w:rFonts w:ascii="Times New Roman" w:eastAsia="Times New Roman" w:hAnsi="Times New Roman" w:cs="Times New Roman"/>
                <w:color w:val="000000"/>
              </w:rPr>
              <w:tab/>
              <w:t>8</w:t>
            </w:r>
          </w:hyperlink>
        </w:p>
        <w:p w14:paraId="77BCD13D" w14:textId="77777777" w:rsidR="00FB3DBA" w:rsidRDefault="007F7F12">
          <w:pPr>
            <w:widowControl w:val="0"/>
            <w:tabs>
              <w:tab w:val="right" w:pos="12000"/>
            </w:tabs>
            <w:spacing w:before="60" w:after="0" w:line="360" w:lineRule="auto"/>
            <w:ind w:left="360"/>
            <w:rPr>
              <w:color w:val="000000"/>
            </w:rPr>
          </w:pPr>
          <w:hyperlink w:anchor="_7lp1onbiprgp">
            <w:r>
              <w:rPr>
                <w:rFonts w:ascii="Times New Roman" w:eastAsia="Times New Roman" w:hAnsi="Times New Roman" w:cs="Times New Roman"/>
                <w:color w:val="000000"/>
              </w:rPr>
              <w:t>8. Sobre solicitudes de hábeas corpus entre 2017 y 2026</w:t>
            </w:r>
            <w:r>
              <w:rPr>
                <w:rFonts w:ascii="Times New Roman" w:eastAsia="Times New Roman" w:hAnsi="Times New Roman" w:cs="Times New Roman"/>
                <w:color w:val="000000"/>
              </w:rPr>
              <w:tab/>
              <w:t>9</w:t>
            </w:r>
          </w:hyperlink>
        </w:p>
        <w:p w14:paraId="21B40779" w14:textId="77777777" w:rsidR="00FB3DBA" w:rsidRDefault="007F7F12">
          <w:pPr>
            <w:widowControl w:val="0"/>
            <w:tabs>
              <w:tab w:val="right" w:pos="12000"/>
            </w:tabs>
            <w:spacing w:before="60" w:after="0" w:line="360" w:lineRule="auto"/>
            <w:ind w:left="360"/>
            <w:rPr>
              <w:color w:val="000000"/>
            </w:rPr>
          </w:pPr>
          <w:hyperlink w:anchor="_3yw89j4ggb5p">
            <w:r>
              <w:rPr>
                <w:rFonts w:ascii="Times New Roman" w:eastAsia="Times New Roman" w:hAnsi="Times New Roman" w:cs="Times New Roman"/>
                <w:color w:val="000000"/>
              </w:rPr>
              <w:t>9. Sobre efectividad del hábeas corpus frente a informes de la autoridad denunciada y ratificación fiscal</w:t>
            </w:r>
            <w:r>
              <w:rPr>
                <w:rFonts w:ascii="Times New Roman" w:eastAsia="Times New Roman" w:hAnsi="Times New Roman" w:cs="Times New Roman"/>
                <w:color w:val="000000"/>
              </w:rPr>
              <w:tab/>
              <w:t>9</w:t>
            </w:r>
          </w:hyperlink>
        </w:p>
        <w:p w14:paraId="128F7F9B" w14:textId="77777777" w:rsidR="00FB3DBA" w:rsidRDefault="007F7F12">
          <w:pPr>
            <w:widowControl w:val="0"/>
            <w:tabs>
              <w:tab w:val="right" w:pos="12000"/>
            </w:tabs>
            <w:spacing w:before="60" w:after="0" w:line="360" w:lineRule="auto"/>
            <w:ind w:left="360"/>
            <w:rPr>
              <w:color w:val="000000"/>
            </w:rPr>
          </w:pPr>
          <w:hyperlink w:anchor="_obbw4b64qyeq">
            <w:r>
              <w:rPr>
                <w:rFonts w:ascii="Times New Roman" w:eastAsia="Times New Roman" w:hAnsi="Times New Roman" w:cs="Times New Roman"/>
                <w:color w:val="000000"/>
              </w:rPr>
              <w:t>10. Sobre tipificación penal, investigaciones y procesos por desaparición forzada</w:t>
            </w:r>
            <w:r>
              <w:rPr>
                <w:rFonts w:ascii="Times New Roman" w:eastAsia="Times New Roman" w:hAnsi="Times New Roman" w:cs="Times New Roman"/>
                <w:color w:val="000000"/>
              </w:rPr>
              <w:tab/>
              <w:t>9</w:t>
            </w:r>
          </w:hyperlink>
        </w:p>
        <w:p w14:paraId="261F1E33" w14:textId="77777777" w:rsidR="00FB3DBA" w:rsidRDefault="007F7F12">
          <w:pPr>
            <w:widowControl w:val="0"/>
            <w:tabs>
              <w:tab w:val="right" w:pos="12000"/>
            </w:tabs>
            <w:spacing w:before="60" w:after="0" w:line="360" w:lineRule="auto"/>
            <w:ind w:left="360"/>
            <w:rPr>
              <w:color w:val="000000"/>
            </w:rPr>
          </w:pPr>
          <w:hyperlink w:anchor="_qsrrrolx39xx">
            <w:r>
              <w:rPr>
                <w:rFonts w:ascii="Times New Roman" w:eastAsia="Times New Roman" w:hAnsi="Times New Roman" w:cs="Times New Roman"/>
                <w:color w:val="000000"/>
              </w:rPr>
              <w:t>11. Sobre protección contra represalias</w:t>
            </w:r>
            <w:r>
              <w:rPr>
                <w:rFonts w:ascii="Times New Roman" w:eastAsia="Times New Roman" w:hAnsi="Times New Roman" w:cs="Times New Roman"/>
                <w:color w:val="000000"/>
              </w:rPr>
              <w:tab/>
              <w:t>9</w:t>
            </w:r>
          </w:hyperlink>
        </w:p>
        <w:p w14:paraId="12D6498C" w14:textId="77777777" w:rsidR="00FB3DBA" w:rsidRDefault="007F7F12">
          <w:pPr>
            <w:widowControl w:val="0"/>
            <w:tabs>
              <w:tab w:val="right" w:pos="12000"/>
            </w:tabs>
            <w:spacing w:before="60" w:after="0" w:line="360" w:lineRule="auto"/>
            <w:ind w:left="360"/>
            <w:rPr>
              <w:color w:val="000000"/>
            </w:rPr>
          </w:pPr>
          <w:hyperlink w:anchor="_hn8sajqu378j">
            <w:r>
              <w:rPr>
                <w:rFonts w:ascii="Times New Roman" w:eastAsia="Times New Roman" w:hAnsi="Times New Roman" w:cs="Times New Roman"/>
                <w:color w:val="000000"/>
              </w:rPr>
              <w:t>12. Sobre registros e investigación de represalias</w:t>
            </w:r>
            <w:r>
              <w:rPr>
                <w:rFonts w:ascii="Times New Roman" w:eastAsia="Times New Roman" w:hAnsi="Times New Roman" w:cs="Times New Roman"/>
                <w:color w:val="000000"/>
              </w:rPr>
              <w:tab/>
              <w:t>10</w:t>
            </w:r>
          </w:hyperlink>
        </w:p>
        <w:p w14:paraId="41D02A1F" w14:textId="77777777" w:rsidR="00FB3DBA" w:rsidRDefault="007F7F12">
          <w:pPr>
            <w:widowControl w:val="0"/>
            <w:tabs>
              <w:tab w:val="right" w:pos="12000"/>
            </w:tabs>
            <w:spacing w:before="60" w:after="0" w:line="360" w:lineRule="auto"/>
            <w:ind w:left="360"/>
            <w:rPr>
              <w:color w:val="000000"/>
            </w:rPr>
          </w:pPr>
          <w:hyperlink w:anchor="_896jq54n89qn">
            <w:r>
              <w:rPr>
                <w:rFonts w:ascii="Times New Roman" w:eastAsia="Times New Roman" w:hAnsi="Times New Roman" w:cs="Times New Roman"/>
                <w:color w:val="000000"/>
              </w:rPr>
              <w:t>13. Sobre inspecciones a lugares de privación de libertad</w:t>
            </w:r>
            <w:r>
              <w:rPr>
                <w:rFonts w:ascii="Times New Roman" w:eastAsia="Times New Roman" w:hAnsi="Times New Roman" w:cs="Times New Roman"/>
                <w:color w:val="000000"/>
              </w:rPr>
              <w:tab/>
              <w:t>10</w:t>
            </w:r>
          </w:hyperlink>
        </w:p>
        <w:p w14:paraId="69ECABD2" w14:textId="77777777" w:rsidR="00FB3DBA" w:rsidRDefault="007F7F12">
          <w:pPr>
            <w:widowControl w:val="0"/>
            <w:tabs>
              <w:tab w:val="right" w:pos="12000"/>
            </w:tabs>
            <w:spacing w:before="60" w:after="0" w:line="360" w:lineRule="auto"/>
            <w:ind w:left="360"/>
            <w:rPr>
              <w:color w:val="000000"/>
            </w:rPr>
          </w:pPr>
          <w:hyperlink w:anchor="_7m5xi6q4hpho">
            <w:r>
              <w:rPr>
                <w:rFonts w:ascii="Times New Roman" w:eastAsia="Times New Roman" w:hAnsi="Times New Roman" w:cs="Times New Roman"/>
                <w:color w:val="000000"/>
              </w:rPr>
              <w:t>14. Sobre existencia de un órgano independiente de supervisión</w:t>
            </w:r>
            <w:r>
              <w:rPr>
                <w:rFonts w:ascii="Times New Roman" w:eastAsia="Times New Roman" w:hAnsi="Times New Roman" w:cs="Times New Roman"/>
                <w:color w:val="000000"/>
              </w:rPr>
              <w:tab/>
              <w:t>10</w:t>
            </w:r>
          </w:hyperlink>
        </w:p>
        <w:p w14:paraId="378878D9" w14:textId="77777777" w:rsidR="00FB3DBA" w:rsidRDefault="007F7F12">
          <w:pPr>
            <w:widowControl w:val="0"/>
            <w:tabs>
              <w:tab w:val="right" w:pos="12000"/>
            </w:tabs>
            <w:spacing w:before="60" w:after="0" w:line="360" w:lineRule="auto"/>
            <w:rPr>
              <w:b/>
              <w:bCs/>
              <w:color w:val="000000"/>
            </w:rPr>
          </w:pPr>
          <w:hyperlink w:anchor="_bl5tm8jp9229">
            <w:r>
              <w:rPr>
                <w:rFonts w:ascii="Times New Roman" w:eastAsia="Times New Roman" w:hAnsi="Times New Roman" w:cs="Times New Roman"/>
                <w:b/>
                <w:bCs/>
                <w:color w:val="000000"/>
              </w:rPr>
              <w:t>V. Razones para la inclusión de estos temas en la Lista de Temas Prioritarios</w:t>
            </w:r>
            <w:r>
              <w:rPr>
                <w:rFonts w:ascii="Times New Roman" w:eastAsia="Times New Roman" w:hAnsi="Times New Roman" w:cs="Times New Roman"/>
                <w:b/>
                <w:bCs/>
                <w:color w:val="000000"/>
              </w:rPr>
              <w:tab/>
              <w:t>10</w:t>
            </w:r>
          </w:hyperlink>
        </w:p>
        <w:p w14:paraId="0990E358" w14:textId="77777777" w:rsidR="00FB3DBA" w:rsidRDefault="007F7F12">
          <w:pPr>
            <w:widowControl w:val="0"/>
            <w:tabs>
              <w:tab w:val="right" w:pos="12000"/>
            </w:tabs>
            <w:spacing w:before="60" w:after="0" w:line="360" w:lineRule="auto"/>
            <w:rPr>
              <w:b/>
              <w:bCs/>
              <w:color w:val="000000"/>
            </w:rPr>
          </w:pPr>
          <w:hyperlink w:anchor="_kt22mtmr7753">
            <w:r>
              <w:rPr>
                <w:rFonts w:ascii="Times New Roman" w:eastAsia="Times New Roman" w:hAnsi="Times New Roman" w:cs="Times New Roman"/>
                <w:b/>
                <w:bCs/>
                <w:color w:val="000000"/>
              </w:rPr>
              <w:t>VI. Referencias</w:t>
            </w:r>
            <w:r>
              <w:rPr>
                <w:rFonts w:ascii="Times New Roman" w:eastAsia="Times New Roman" w:hAnsi="Times New Roman" w:cs="Times New Roman"/>
                <w:b/>
                <w:bCs/>
                <w:color w:val="000000"/>
              </w:rPr>
              <w:tab/>
              <w:t>11</w:t>
            </w:r>
          </w:hyperlink>
          <w:r>
            <w:fldChar w:fldCharType="end"/>
          </w:r>
        </w:p>
      </w:sdtContent>
    </w:sdt>
    <w:p w14:paraId="166E5786"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rPr>
      </w:pPr>
      <w:r>
        <w:br w:type="page"/>
      </w:r>
    </w:p>
    <w:p w14:paraId="22207E22" w14:textId="77777777" w:rsidR="00FB3DBA" w:rsidRDefault="007F7F12">
      <w:pPr>
        <w:pStyle w:val="Title"/>
      </w:pPr>
      <w:bookmarkStart w:id="1" w:name="_1l54ulo8lgza" w:colFirst="0" w:colLast="0"/>
      <w:bookmarkEnd w:id="1"/>
      <w:r>
        <w:lastRenderedPageBreak/>
        <w:t>Contribución de Cubalex al Comité contra la Desaparición Forzada para la elaboración de la Lista de Temas Prioritarios sobre Cuba</w:t>
      </w:r>
    </w:p>
    <w:p w14:paraId="539398A5" w14:textId="77777777" w:rsidR="00FB3DBA" w:rsidRDefault="007F7F12">
      <w:pPr>
        <w:pStyle w:val="Heading1"/>
      </w:pPr>
      <w:bookmarkStart w:id="2" w:name="_r2q76kf0opkw" w:colFirst="0" w:colLast="0"/>
      <w:bookmarkEnd w:id="2"/>
      <w:r>
        <w:t>I. Presentación de Cubalex</w:t>
      </w:r>
    </w:p>
    <w:p w14:paraId="6053D7EB"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Cubalex es una organización apartidista de derechos humanos fundada en 2010 en La Habana, Cuba, como un centro de asesoría jurídica independiente. Desde su creación, ha trabajado en la promoción y defensa de los derechos humanos, con especial énfasis en el análisis y aplicación del sistema legal cubano.</w:t>
      </w:r>
    </w:p>
    <w:p w14:paraId="0B8F3461"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En septiembre de 2016, la sede de Cubalex en La Habana fue allanada por autoridades gubernamentales, lo que dio lugar a la confiscación de equipos, expedientes y documentos de trabajo. Posteriormente, en 2017, su equipo fue forzado al exilio. Desde entonces, la organización ha continuado su labor desde el exterior y se encuentra registrada como entidad benéfica sin fines de lucro en los Estados Unidos.</w:t>
      </w:r>
    </w:p>
    <w:p w14:paraId="0FD93732"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Con más de quince años de experiencia, Cubalex brinda asesoría legal gratuita a personas dentro y fuera de Cuba, documenta violaciones de derechos humanos y representa casos ante mecanismos internacionales y regionales, incluyendo la Comisión Interamericana de Derechos Humanos, órganos de tratados y procedimientos especiales del sistema de Naciones Unidas, así como ante cortes nacionales cuando corresponde.</w:t>
      </w:r>
    </w:p>
    <w:p w14:paraId="1B27375B"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La organización cuenta con una trayectoria consolidada en contextos de represión política, restricciones a la libertad </w:t>
      </w:r>
      <w:r>
        <w:rPr>
          <w:rFonts w:ascii="Times New Roman" w:eastAsia="Times New Roman" w:hAnsi="Times New Roman" w:cs="Times New Roman"/>
        </w:rPr>
        <w:t>fundamentales</w:t>
      </w:r>
      <w:r>
        <w:rPr>
          <w:rFonts w:ascii="Times New Roman" w:eastAsia="Times New Roman" w:hAnsi="Times New Roman" w:cs="Times New Roman"/>
          <w:color w:val="000000"/>
        </w:rPr>
        <w:t>, limitaciones al espacio cívico y discriminación estructural en Cuba. Ha colaborado con diversos mecanismos internacionales, entre ellos los comités CEDAW, CAT, CRC y CERD, y ha participado activamente en los Exámenes Periódicos Universales de Cuba en 2013, 2018, 2023 y 2024.</w:t>
      </w:r>
    </w:p>
    <w:p w14:paraId="4A836EC2"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Cubalex autoriza al Comité contra la Desaparición Forzada a publicar este informe en su página web y a utilizarlo como insumo en el proceso de elaboración de la Lista de Temas Prioritarios relativa a Cuba.</w:t>
      </w:r>
    </w:p>
    <w:p w14:paraId="2F3CD401" w14:textId="77777777" w:rsidR="00FB3DBA" w:rsidRDefault="007F7F12">
      <w:pPr>
        <w:pStyle w:val="Heading1"/>
        <w:numPr>
          <w:ilvl w:val="0"/>
          <w:numId w:val="11"/>
        </w:numPr>
        <w:spacing w:before="36" w:after="36"/>
      </w:pPr>
      <w:bookmarkStart w:id="3" w:name="_ls744i55jzv2" w:colFirst="0" w:colLast="0"/>
      <w:bookmarkEnd w:id="3"/>
      <w:r>
        <w:t>Introducción</w:t>
      </w:r>
    </w:p>
    <w:p w14:paraId="4B9E07CC"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La presente contribución se presenta al Comité contra la Desaparición Forzada en el marco del proceso de elaboración de la Lista de Temas Prioritarios relativa a Cuba, conforme al artículo 29, párrafo 4, de la Convención Internacional para la Protección de Todas las Personas contra las Desapariciones Forzadas.</w:t>
      </w:r>
      <w:r>
        <w:rPr>
          <w:rFonts w:ascii="Times New Roman" w:eastAsia="Times New Roman" w:hAnsi="Times New Roman" w:cs="Times New Roman"/>
          <w:color w:val="000000"/>
          <w:vertAlign w:val="superscript"/>
        </w:rPr>
        <w:footnoteReference w:id="1"/>
      </w:r>
      <w:r>
        <w:rPr>
          <w:rFonts w:ascii="Times New Roman" w:eastAsia="Times New Roman" w:hAnsi="Times New Roman" w:cs="Times New Roman"/>
          <w:color w:val="000000"/>
        </w:rPr>
        <w:t xml:space="preserve"> Su objetivo es aportar información relevante, específica y verificable para que el Comité identifique cuestiones que deberían ser abordadas de manera prioritaria en el próximo diálogo constructivo con el Estado cubano.</w:t>
      </w:r>
    </w:p>
    <w:p w14:paraId="089E0A5C"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Esta contribución se centra en la información complementaria presentada por Cuba en respuesta a las observaciones finales del Comité, en particular respecto de los párrafos 8 y 10 de las observaciones finales CED/C/CUB/CO/1. En dichos párrafos, el Comité recomendó al Estado reconocer la competencia del Comité para recibir y examinar comunicaciones individuales e interestatales, conforme a los artículos 31 y 32 de la Convención, y considerar el establecimiento </w:t>
      </w:r>
      <w:r>
        <w:rPr>
          <w:rFonts w:ascii="Times New Roman" w:eastAsia="Times New Roman" w:hAnsi="Times New Roman" w:cs="Times New Roman"/>
          <w:color w:val="000000"/>
        </w:rPr>
        <w:lastRenderedPageBreak/>
        <w:t>de una institución nacional de derechos humanos independiente, conforme a los Principios de París, con mandato de promoción y protección de los derechos reconocidos en la Convención.</w:t>
      </w:r>
      <w:r>
        <w:rPr>
          <w:rFonts w:ascii="Times New Roman" w:eastAsia="Times New Roman" w:hAnsi="Times New Roman" w:cs="Times New Roman"/>
          <w:color w:val="000000"/>
          <w:vertAlign w:val="superscript"/>
        </w:rPr>
        <w:footnoteReference w:id="2"/>
      </w:r>
    </w:p>
    <w:p w14:paraId="32001874"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En su información complementaria, el Estado cubano sostiene que no resulta necesario adoptar esas medidas porque cuenta con un “amplio y participativo sistema interinstitucional” que garantiza la recepción, tramitación y respuesta oportuna a quejas y denuncias frente a eventuales violaciones de derechos humanos, incluidas las relativas a la Convención. También afirma que en Cuba no se reportan hechos de desaparición forzada desde 1959, que no existen sentencias condenatorias por ese delito ni hechos relacio</w:t>
      </w:r>
      <w:r>
        <w:rPr>
          <w:rFonts w:ascii="Times New Roman" w:eastAsia="Times New Roman" w:hAnsi="Times New Roman" w:cs="Times New Roman"/>
          <w:color w:val="000000"/>
        </w:rPr>
        <w:t>nados, y que el nuevo Código Penal incorporó el delito de desaparición forzada en su artículo 367. Asimismo, informa que entre 2022 y julio de 2024 la Fiscalía General de la República recibió 37.177 quejas, de las cuales cuatro se relacionaron con personas promoventes que manifestaron desconocer el lugar de detención o ubicación de personas privadas de libertad tras su traslado a otro establecimiento penitenciario.</w:t>
      </w:r>
      <w:r>
        <w:rPr>
          <w:rFonts w:ascii="Times New Roman" w:eastAsia="Times New Roman" w:hAnsi="Times New Roman" w:cs="Times New Roman"/>
          <w:color w:val="000000"/>
          <w:vertAlign w:val="superscript"/>
        </w:rPr>
        <w:footnoteReference w:id="3"/>
      </w:r>
    </w:p>
    <w:p w14:paraId="48B6FA59"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Cubalex no desconoce la importancia de la tipificación penal de la desaparición forzada ni la existencia formal de mecanismos internos de queja y petición.</w:t>
      </w:r>
      <w:r>
        <w:rPr>
          <w:rFonts w:ascii="Times New Roman" w:eastAsia="Times New Roman" w:hAnsi="Times New Roman" w:cs="Times New Roman"/>
          <w:color w:val="000000"/>
          <w:vertAlign w:val="superscript"/>
        </w:rPr>
        <w:footnoteReference w:id="4"/>
      </w:r>
      <w:r>
        <w:rPr>
          <w:rFonts w:ascii="Times New Roman" w:eastAsia="Times New Roman" w:hAnsi="Times New Roman" w:cs="Times New Roman"/>
          <w:color w:val="000000"/>
        </w:rPr>
        <w:t xml:space="preserve"> Sin embargo, considera que la información presentada por el Estado no permite concluir que Cuba cuente con un sistema independiente, efectivo y compatible con las obligaciones de prevención, protección, investigación y reparación previstas en la Convención. La existencia de canales administrativos de queja no equivale a la existencia de una institución nacional de derechos humanos conforme a los Principios de París,</w:t>
      </w:r>
      <w:r>
        <w:rPr>
          <w:rFonts w:ascii="Times New Roman" w:eastAsia="Times New Roman" w:hAnsi="Times New Roman" w:cs="Times New Roman"/>
          <w:color w:val="000000"/>
          <w:vertAlign w:val="superscript"/>
        </w:rPr>
        <w:footnoteReference w:id="5"/>
      </w:r>
      <w:r>
        <w:rPr>
          <w:rFonts w:ascii="Times New Roman" w:eastAsia="Times New Roman" w:hAnsi="Times New Roman" w:cs="Times New Roman"/>
          <w:color w:val="000000"/>
        </w:rPr>
        <w:t xml:space="preserve"> ni sustituye el reconocimiento de mecanismos internacionales de comunicación cuando las vías internas carecen de independencia, transparencia, protección frente a represalias y control externo efectivo.</w:t>
      </w:r>
    </w:p>
    <w:p w14:paraId="2EAF0ADD"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La preocupación central de esta contribución es que el Estado utiliza la existencia de un sistema interinstitucional de atención a quejas como argumento para negar la necesidad de mecanismos independientes de supervisión. Sin embargo, la normativa cubana vigente muestra que dicho sistema está integrado por estructuras ubicadas dentro de los propios órganos, organismos y entidades estatales, subordinadas a sus máximas autoridades. Por tanto, no ofrece garantías suficientes de independencia frente a las insti</w:t>
      </w:r>
      <w:r>
        <w:rPr>
          <w:rFonts w:ascii="Times New Roman" w:eastAsia="Times New Roman" w:hAnsi="Times New Roman" w:cs="Times New Roman"/>
          <w:color w:val="000000"/>
        </w:rPr>
        <w:t>tuciones que pueden ser objeto de denuncia, incluidas autoridades penitenciarias, policiales, fiscales, militares, judiciales o de seguridad del Estado.</w:t>
      </w:r>
      <w:r>
        <w:rPr>
          <w:rFonts w:ascii="Times New Roman" w:eastAsia="Times New Roman" w:hAnsi="Times New Roman" w:cs="Times New Roman"/>
          <w:color w:val="000000"/>
          <w:vertAlign w:val="superscript"/>
        </w:rPr>
        <w:footnoteReference w:id="6"/>
      </w:r>
    </w:p>
    <w:p w14:paraId="0C4094A8"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Esta cuestión tiene relevancia directa para la prevención de desapariciones forzadas y prácticas conexas. En contextos de privación de libertad, el riesgo no se limita a la desaparición prolongada o permanente de una persona. También comprende situaciones en las que familiares o </w:t>
      </w:r>
      <w:r>
        <w:rPr>
          <w:rFonts w:ascii="Times New Roman" w:eastAsia="Times New Roman" w:hAnsi="Times New Roman" w:cs="Times New Roman"/>
          <w:color w:val="000000"/>
        </w:rPr>
        <w:lastRenderedPageBreak/>
        <w:t>representantes desconocen temporalmente el lugar de detención, no reciben información inmediata sobre traslados, no pueden verificar el paradero de la persona detenida, enfrentan obstáculos para acceder a registros oficiales o son intimidados por denunciar la falta de información. La ausencia de un mecanismo independiente capaz de inspeccionar lugares de detención, verificar registros, entrevistar confidencialmente a personas privadas de libertad y proteger a denunciantes debilita la capacidad preventiva de</w:t>
      </w:r>
      <w:r>
        <w:rPr>
          <w:rFonts w:ascii="Times New Roman" w:eastAsia="Times New Roman" w:hAnsi="Times New Roman" w:cs="Times New Roman"/>
          <w:color w:val="000000"/>
        </w:rPr>
        <w:t>l Estado frente a la desaparición forzada.</w:t>
      </w:r>
    </w:p>
    <w:p w14:paraId="2493B8BD"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La información estatal sobre las cuatro quejas vinculadas al desconocimiento del lugar de detención o ubicación de personas privadas de libertad requiere especial escrutinio. El Estado afirma que todas fueron investigadas y que no se comprobaron violaciones de la legalidad, pero no informa qué diligencias se practicaron, cuánto tiempo permanecieron las familias sin información, si las personas privadas de libertad estuvieron incomunicadas, si los traslados fueron notificados oportunamente, si los promovente</w:t>
      </w:r>
      <w:r>
        <w:rPr>
          <w:rFonts w:ascii="Times New Roman" w:eastAsia="Times New Roman" w:hAnsi="Times New Roman" w:cs="Times New Roman"/>
          <w:color w:val="000000"/>
        </w:rPr>
        <w:t>s recibieron copia de las investigaciones, si pudieron impugnar las conclusiones, ni si alguna autoridad independiente revisó la actuación de la Fiscalía o de las autoridades penitenciarias involucradas.</w:t>
      </w:r>
    </w:p>
    <w:p w14:paraId="5222FDFB"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Cubalex también considera relevante que el Estado invoque un sistema “interinstitucional” pero no ofrezca información suficiente sobre el papel de los tribunales dentro de ese sistema. El hábeas corpus es el recurso judicial central para controlar la legalidad de la privación de libertad, prevenir detenciones arbitrarias, incomunicación y desapariciones forzadas de corta duración. Sin embargo, la información complementaria del Estado se centra principalmente en la Fiscalía General de la República y no propo</w:t>
      </w:r>
      <w:r>
        <w:rPr>
          <w:rFonts w:ascii="Times New Roman" w:eastAsia="Times New Roman" w:hAnsi="Times New Roman" w:cs="Times New Roman"/>
          <w:color w:val="000000"/>
        </w:rPr>
        <w:t>rciona datos completos sobre quejas recibidas por tribunales, solicitudes de hábeas corpus, alegaciones de desaparición forzada, medidas adoptadas por jueces, sanciones a funcionarios o reparación a víctimas.</w:t>
      </w:r>
    </w:p>
    <w:p w14:paraId="23765F6D"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La práctica documentada por organizaciones de la sociedad civil muestra, además, que en el sistema penitenciario cubano la presentación de quejas o denuncias puede activar represalias contra personas privadas de libertad y sus familiares. Estas represalias incluyen aislamiento, traslados punitivos, suspensión de llamadas o visitas, apertura de expedientes disciplinarios, pérdida de beneficios, amenazas, negación de medicamentos o atención médica, y hostigamiento contra familiares que denuncian públicamente.</w:t>
      </w:r>
      <w:r>
        <w:rPr>
          <w:rFonts w:ascii="Times New Roman" w:eastAsia="Times New Roman" w:hAnsi="Times New Roman" w:cs="Times New Roman"/>
          <w:color w:val="000000"/>
        </w:rPr>
        <w:t xml:space="preserve"> Este patrón es particularmente relevante para el Comité porque un sistema de quejas que no protege contra represalias no puede considerarse un mecanismo efectivo de prevención de desapariciones forzadas ni de protección de personas privadas de libertad.</w:t>
      </w:r>
    </w:p>
    <w:p w14:paraId="0F3798E4"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rPr>
      </w:pPr>
      <w:r>
        <w:rPr>
          <w:rFonts w:ascii="Times New Roman" w:eastAsia="Times New Roman" w:hAnsi="Times New Roman" w:cs="Times New Roman"/>
        </w:rPr>
        <w:t xml:space="preserve">Las huelgas de hambre documentadas por Cubalex evidencian la falta de efectividad de los mecanismos internos de queja y protección. En prisión, estaciones policiales, hospitales o domicilios vigilados, la protesta corporal aparece cuando la persona no logra ser escuchada por Fiscalía, tribunales o autoridades penitenciarias. La respuesta estatal suele desplazar el reclamo hacia una lógica disciplinaria, médica o de seguridad, mediante aislamiento, traslados, incomunicación, vigilancia, negligencia médica o </w:t>
      </w:r>
      <w:r>
        <w:rPr>
          <w:rFonts w:ascii="Times New Roman" w:eastAsia="Times New Roman" w:hAnsi="Times New Roman" w:cs="Times New Roman"/>
        </w:rPr>
        <w:t>castigo por denunciar.</w:t>
      </w:r>
      <w:r>
        <w:rPr>
          <w:rFonts w:ascii="Times New Roman" w:eastAsia="Times New Roman" w:hAnsi="Times New Roman" w:cs="Times New Roman"/>
          <w:vertAlign w:val="superscript"/>
        </w:rPr>
        <w:footnoteReference w:id="7"/>
      </w:r>
    </w:p>
    <w:p w14:paraId="62F11075"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rPr>
      </w:pPr>
      <w:r>
        <w:rPr>
          <w:rFonts w:ascii="Times New Roman" w:eastAsia="Times New Roman" w:hAnsi="Times New Roman" w:cs="Times New Roman"/>
        </w:rPr>
        <w:t xml:space="preserve">El Estado invoca un sistema interinstitucional de quejas como garantía suficiente de protección, pero su propia normativa penitenciaria permite sancionar como indisciplina grave las quejas o peticiones formuladas desde “posiciones de fuerza” o “desobediencia”. Esta ambigüedad convierte </w:t>
      </w:r>
      <w:r>
        <w:rPr>
          <w:rFonts w:ascii="Times New Roman" w:eastAsia="Times New Roman" w:hAnsi="Times New Roman" w:cs="Times New Roman"/>
        </w:rPr>
        <w:lastRenderedPageBreak/>
        <w:t>reclamos, huelgas de hambre o denuncias públicas en conductas castigables, expone a personas privadas de libertad y familiares a represalias, y vacía de contenido el derecho a quejarse sin intimidación ni censura.</w:t>
      </w:r>
      <w:r>
        <w:rPr>
          <w:rFonts w:ascii="Times New Roman" w:eastAsia="Times New Roman" w:hAnsi="Times New Roman" w:cs="Times New Roman"/>
          <w:vertAlign w:val="superscript"/>
        </w:rPr>
        <w:footnoteReference w:id="8"/>
      </w:r>
    </w:p>
    <w:p w14:paraId="55114A18"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Por estas razones, Cubalex solicita respetuosamente al Comité que incluya en la Lista de Temas Prioritarios preguntas específicas dirigidas a obtener información verificable sobre la estructura, independencia, mandato, funcionamiento, resultados y límites del sistema invocado por el Estado cubano. En particular, se recomienda solicitar información desagregada sobre las quejas recibidas por la Fiscalía y los tribunales; los casos en que familiares desconocieron el lugar de detención o ubicación de personas p</w:t>
      </w:r>
      <w:r>
        <w:rPr>
          <w:rFonts w:ascii="Times New Roman" w:eastAsia="Times New Roman" w:hAnsi="Times New Roman" w:cs="Times New Roman"/>
          <w:color w:val="000000"/>
        </w:rPr>
        <w:t>rivadas de libertad; los protocolos de notificación de traslados; las solicitudes de hábeas corpus; las medidas de protección contra represalias; las facultades reales de inspección de lugares de detención; y las razones por las cuales el Estado considera innecesario crear una institución nacional de derechos humanos independiente o reconocer la competencia del Comité para recibir comunicaciones individuales e interestatales.</w:t>
      </w:r>
    </w:p>
    <w:p w14:paraId="135462A6" w14:textId="77777777" w:rsidR="00FB3DBA" w:rsidRDefault="007F7F12">
      <w:pPr>
        <w:pStyle w:val="Heading1"/>
        <w:numPr>
          <w:ilvl w:val="0"/>
          <w:numId w:val="12"/>
        </w:numPr>
        <w:spacing w:before="36" w:after="36"/>
      </w:pPr>
      <w:bookmarkStart w:id="4" w:name="_7xi37m28byd5" w:colFirst="0" w:colLast="0"/>
      <w:bookmarkEnd w:id="4"/>
      <w:r>
        <w:t>Temas prioritarios sugeridos</w:t>
      </w:r>
    </w:p>
    <w:p w14:paraId="27592B4F"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Cubalex recomienda que el Comité incluya cuatro temas prioritarios en la Lista de Temas relativa a Cuba.</w:t>
      </w:r>
    </w:p>
    <w:p w14:paraId="22DF4799"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El primer tema es la falta de reconocimiento de la competencia del Comité bajo los artículos 31 y 32 de la Convención. El Estado fundamenta su negativa en el carácter facultativo de dichas declaraciones y en una invocación general de soberanía. Sin embargo, no ofrece criterios objetivos, metodología, autoridad responsable, consultas realizadas ni informe público que permita conocer cómo evalúa esa decisión. Tampoco explica por qué considera innecesario fortalecer el régimen internacional de protección cuand</w:t>
      </w:r>
      <w:r>
        <w:rPr>
          <w:rFonts w:ascii="Times New Roman" w:eastAsia="Times New Roman" w:hAnsi="Times New Roman" w:cs="Times New Roman"/>
          <w:color w:val="000000"/>
        </w:rPr>
        <w:t>o los mecanismos internos presentan deficiencias de independencia, transparencia y protección frente a represalias.</w:t>
      </w:r>
    </w:p>
    <w:p w14:paraId="6ACA8083"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El segundo tema es la inexistencia de una institución nacional de derechos humanos independiente conforme a los Principios de París. Cuba sostiene que no existe un modelo único de institución nacional de derechos humanos y que su sistema actual funciona con resultados palpables. Sin embargo, la flexibilidad de modelos no elimina los requisitos mínimos de independencia, pluralismo, mandato amplio, recursos propios, capacidad de investigación, acceso a lugares de detención, publicación de informes y cooperaci</w:t>
      </w:r>
      <w:r>
        <w:rPr>
          <w:rFonts w:ascii="Times New Roman" w:eastAsia="Times New Roman" w:hAnsi="Times New Roman" w:cs="Times New Roman"/>
          <w:color w:val="000000"/>
        </w:rPr>
        <w:t>ón con mecanismos internacionales. El sistema descrito por el Estado parece corresponder a canales administrativos e institucionales de atención de quejas, no a una institución nacional independiente.</w:t>
      </w:r>
    </w:p>
    <w:p w14:paraId="75B109D0"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El tercer tema es la falta de transparencia, trazabilidad y control independiente en las quejas relacionadas con privación de libertad, traslados penitenciarios, desconocimiento de paradero, incomunicación y ubicación de personas detenidas. La cifra general de 37.177 quejas recibidas por la Fiscalía no permite evaluar la efectividad del sistema si no se desagrega por materia, institución denunciada, resultado, medidas adoptadas, sanciones, reparaciones y posibilidad de impugnación. Lo mismo ocurre con las c</w:t>
      </w:r>
      <w:r>
        <w:rPr>
          <w:rFonts w:ascii="Times New Roman" w:eastAsia="Times New Roman" w:hAnsi="Times New Roman" w:cs="Times New Roman"/>
          <w:color w:val="000000"/>
        </w:rPr>
        <w:t xml:space="preserve">uatro quejas en que familiares desconocían la ubicación de personas </w:t>
      </w:r>
      <w:r>
        <w:rPr>
          <w:rFonts w:ascii="Times New Roman" w:eastAsia="Times New Roman" w:hAnsi="Times New Roman" w:cs="Times New Roman"/>
          <w:color w:val="000000"/>
        </w:rPr>
        <w:lastRenderedPageBreak/>
        <w:t>privadas de libertad: el Estado afirma que no hubo violación de la legalidad, pero no ofrece información suficiente para verificar esa conclusión.</w:t>
      </w:r>
    </w:p>
    <w:p w14:paraId="23D263E1"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El cuarto tema es la ausencia de mecanismos efectivos para prevenir, investigar y sancionar represalias contra personas privadas de libertad, familiares, abogados y denunciantes. El derecho a presentar quejas no es efectivo si quienes lo ejercen pueden ser castigados mediante aislamiento, traslado, suspensión de comunicación, pérdida de beneficios, amenazas o negación de atención médica. La Convención exige que denunciantes, testigos, familiares y defensores sean protegidos contra malos tratos, intimidación</w:t>
      </w:r>
      <w:r>
        <w:rPr>
          <w:rFonts w:ascii="Times New Roman" w:eastAsia="Times New Roman" w:hAnsi="Times New Roman" w:cs="Times New Roman"/>
          <w:color w:val="000000"/>
        </w:rPr>
        <w:t xml:space="preserve"> o represalias como consecuencia de la denuncia o de la búsqueda de información sobre una persona privada de libertad.</w:t>
      </w:r>
    </w:p>
    <w:p w14:paraId="594E7731" w14:textId="77777777" w:rsidR="00FB3DBA" w:rsidRDefault="007F7F12">
      <w:pPr>
        <w:pStyle w:val="Heading1"/>
        <w:numPr>
          <w:ilvl w:val="0"/>
          <w:numId w:val="13"/>
        </w:numPr>
        <w:spacing w:before="36" w:after="36"/>
      </w:pPr>
      <w:bookmarkStart w:id="5" w:name="_89p1fhnhllqy" w:colFirst="0" w:colLast="0"/>
      <w:bookmarkEnd w:id="5"/>
      <w:r>
        <w:t>Preguntas sugeridas al Estado parte</w:t>
      </w:r>
    </w:p>
    <w:p w14:paraId="323F8571" w14:textId="77777777" w:rsidR="00FB3DBA" w:rsidRDefault="007F7F12">
      <w:pPr>
        <w:pStyle w:val="Heading2"/>
        <w:numPr>
          <w:ilvl w:val="0"/>
          <w:numId w:val="14"/>
        </w:numPr>
      </w:pPr>
      <w:bookmarkStart w:id="6" w:name="_xto677fq59cq" w:colFirst="0" w:colLast="0"/>
      <w:bookmarkEnd w:id="6"/>
      <w:r>
        <w:t>Sobre los artículos 31 y 32 de la Convención</w:t>
      </w:r>
    </w:p>
    <w:p w14:paraId="49EF1671"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Sírvase explicar qué criterios objetivos utiliza el Estado para mantener su decisión de no reconocer la competencia del Comité bajo los artículos 31 y 32 de la Convención; qué autoridad realiza esa evaluación; con qué periodicidad; si se consultó a víctimas, familiares, personas privadas de libertad, organizaciones independientes de derechos humanos y sociedad civil registradas y no registrada oficialmente; si existe un informe público que sustente dicha decisión; y qué condiciones tendrían que cumplirse pa</w:t>
      </w:r>
      <w:r>
        <w:rPr>
          <w:rFonts w:ascii="Times New Roman" w:eastAsia="Times New Roman" w:hAnsi="Times New Roman" w:cs="Times New Roman"/>
          <w:color w:val="000000"/>
        </w:rPr>
        <w:t>ra que el Estado considere necesario reconocer dicha competencia.</w:t>
      </w:r>
    </w:p>
    <w:p w14:paraId="743CD772" w14:textId="77777777" w:rsidR="00FB3DBA" w:rsidRDefault="007F7F12">
      <w:pPr>
        <w:pStyle w:val="Heading2"/>
        <w:numPr>
          <w:ilvl w:val="0"/>
          <w:numId w:val="15"/>
        </w:numPr>
      </w:pPr>
      <w:bookmarkStart w:id="7" w:name="_hykopkm0wuhw" w:colFirst="0" w:colLast="0"/>
      <w:bookmarkEnd w:id="7"/>
      <w:r>
        <w:t>Sobre la naturaleza jurídica del sistema interinstitucional invocado por el Estado</w:t>
      </w:r>
    </w:p>
    <w:p w14:paraId="5D222DEB"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Sírvase precisar si el “sistema interinstitucional” invocado por el Estado constituye una institución nacional de derechos humanos conforme a los Principios de París o si se trata de un sistema administrativo interno de atención a quejas y peticiones. En caso de que el Estado considere que cumple funciones equivalentes a una institución nacional de derechos humanos, sírvase indicar su norma de creación, nombre oficial, mandato, órgano rector, presupuesto, composición, garantías de independencia frente al Go</w:t>
      </w:r>
      <w:r>
        <w:rPr>
          <w:rFonts w:ascii="Times New Roman" w:eastAsia="Times New Roman" w:hAnsi="Times New Roman" w:cs="Times New Roman"/>
          <w:color w:val="000000"/>
        </w:rPr>
        <w:t>bierno, la Fiscalía, los tribunales, el Ministerio del Interior y el sistema penitenciario, y si ha solicitado acreditación ante GANHRI.</w:t>
      </w:r>
      <w:r>
        <w:rPr>
          <w:rFonts w:ascii="Times New Roman" w:eastAsia="Times New Roman" w:hAnsi="Times New Roman" w:cs="Times New Roman"/>
          <w:color w:val="000000"/>
          <w:vertAlign w:val="superscript"/>
        </w:rPr>
        <w:footnoteReference w:id="9"/>
      </w:r>
    </w:p>
    <w:p w14:paraId="034873CE" w14:textId="77777777" w:rsidR="00FB3DBA" w:rsidRDefault="007F7F12">
      <w:pPr>
        <w:pStyle w:val="Heading2"/>
        <w:numPr>
          <w:ilvl w:val="0"/>
          <w:numId w:val="16"/>
        </w:numPr>
      </w:pPr>
      <w:bookmarkStart w:id="8" w:name="_cq4wdl5ywkkf" w:colFirst="0" w:colLast="0"/>
      <w:bookmarkEnd w:id="8"/>
      <w:r>
        <w:t>Sobre pluralismo, participación social y uso de la expresión “pueblo”</w:t>
      </w:r>
    </w:p>
    <w:p w14:paraId="0D8F5ABD"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Sírvase explicar cómo se garantiza el pluralismo y la participación efectiva de víctimas, familiares de personas privadas de libertad, personas excarceladas, organizaciones independientes de derechos humanos, abogados independientes y sociedad civil registrada y no registrada oficialmente en la evaluación del sistema invocado por el Estado. Sírvase indicar qué consultas específicas se realizaron, la metodología utilizada, las organizaciones participantes, las propuestas recibidas, los resultados publicados </w:t>
      </w:r>
      <w:r>
        <w:rPr>
          <w:rFonts w:ascii="Times New Roman" w:eastAsia="Times New Roman" w:hAnsi="Times New Roman" w:cs="Times New Roman"/>
          <w:color w:val="000000"/>
        </w:rPr>
        <w:t>y la base objetiva que permite afirmar que el sistema responde a las “necesidades de la sociedad cubana”. Sírvase aclarar si el Estado ha consultado directa y específicamente a la ciudadanía sobre la conveniencia de crear una institución nacional de derechos humanos conforme a los Principios de París y sobre la negativa a reconocer la competencia del Comité bajo los artículos 31 y 32.</w:t>
      </w:r>
    </w:p>
    <w:p w14:paraId="4F98C147" w14:textId="77777777" w:rsidR="00FB3DBA" w:rsidRDefault="007F7F12">
      <w:pPr>
        <w:pStyle w:val="Heading2"/>
        <w:numPr>
          <w:ilvl w:val="0"/>
          <w:numId w:val="17"/>
        </w:numPr>
      </w:pPr>
      <w:bookmarkStart w:id="9" w:name="_umr2znefi56m" w:colFirst="0" w:colLast="0"/>
      <w:bookmarkEnd w:id="9"/>
      <w:r>
        <w:lastRenderedPageBreak/>
        <w:t>Sobre las 37.177 quejas recibidas por la Fiscalía General de la República</w:t>
      </w:r>
    </w:p>
    <w:p w14:paraId="323BAF9D"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Sírvase proporcionar información desagregada sobre las 37.177 quejas recibidas por la Fiscalía General de la República entre 2022 y julio de 2024, indicando cuántas se relacionaron con detención, prisión provisional, incomunicación, traslados penitenciarios, desconocimiento de paradero, sanciones disciplinarias, aislamiento, restricciones de comunicación familiar, malos tratos, tortura, atención médica o condiciones de reclusión. Sírvase precisar cuántas fueron declaradas con razón, con razón en parte o sin</w:t>
      </w:r>
      <w:r>
        <w:rPr>
          <w:rFonts w:ascii="Times New Roman" w:eastAsia="Times New Roman" w:hAnsi="Times New Roman" w:cs="Times New Roman"/>
          <w:color w:val="000000"/>
        </w:rPr>
        <w:t xml:space="preserve"> razón; cuántas generaron medidas correctivas, sanciones disciplinarias o penales, investigaciones, reparación a víctimas o modificación de prácticas institucionales; cuántas fueron respondidas por escrito; y cuántas pudieron ser impugnadas por los promoventes.</w:t>
      </w:r>
    </w:p>
    <w:p w14:paraId="36CCE650" w14:textId="77777777" w:rsidR="00FB3DBA" w:rsidRDefault="007F7F12">
      <w:pPr>
        <w:pStyle w:val="Heading2"/>
        <w:numPr>
          <w:ilvl w:val="0"/>
          <w:numId w:val="18"/>
        </w:numPr>
      </w:pPr>
      <w:bookmarkStart w:id="10" w:name="_lvry7pwh1hi6" w:colFirst="0" w:colLast="0"/>
      <w:bookmarkEnd w:id="10"/>
      <w:r>
        <w:t>Sobre los cuatro casos en que familiares desconocían el lugar de detención o ubicación de personas privadas de libertad</w:t>
      </w:r>
    </w:p>
    <w:p w14:paraId="6DAC6174"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Respecto de las cuatro reclamaciones en las que los promoventes manifestaron desconocer el lugar de detención o ubicación de personas privadas de libertad, sírvase informar la fecha de la detención o traslado; autoridad que lo ordenó; tiempo transcurrido hasta la notificación a familiares; diligencias practicadas; acceso de la persona detenida a abogado y familia; existencia o no de incomunicación; acceso de los promoventes al expediente o informe de investigación; posibilidad de impugnar la conclusión; y a</w:t>
      </w:r>
      <w:r>
        <w:rPr>
          <w:rFonts w:ascii="Times New Roman" w:eastAsia="Times New Roman" w:hAnsi="Times New Roman" w:cs="Times New Roman"/>
          <w:color w:val="000000"/>
        </w:rPr>
        <w:t>utoridad independiente que revisó la decisión de que no hubo violación de la legalidad.</w:t>
      </w:r>
    </w:p>
    <w:p w14:paraId="0923898B" w14:textId="77777777" w:rsidR="00FB3DBA" w:rsidRDefault="007F7F12">
      <w:pPr>
        <w:pStyle w:val="Heading2"/>
        <w:numPr>
          <w:ilvl w:val="0"/>
          <w:numId w:val="1"/>
        </w:numPr>
      </w:pPr>
      <w:bookmarkStart w:id="11" w:name="_e58ro9v9o8uq" w:colFirst="0" w:colLast="0"/>
      <w:bookmarkEnd w:id="11"/>
      <w:r>
        <w:t>Sobre notificación de traslados y acceso a información</w:t>
      </w:r>
    </w:p>
    <w:p w14:paraId="33604A47"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Sírvase informar qué norma obliga a las autoridades policiales, penitenciarias o militares a notificar de manera inmediata a familiares, abogados o personas designadas todo traslado de una persona privada de libertad. Sírvase precisar el plazo máximo para informar el traslado; la autoridad responsable de notificar; el medio utilizado; la constancia documental que debe quedar en el expediente; las consecuencias jurídicas si la notificación no se realiza; y los mecanismos disponibles para que familiares o rep</w:t>
      </w:r>
      <w:r>
        <w:rPr>
          <w:rFonts w:ascii="Times New Roman" w:eastAsia="Times New Roman" w:hAnsi="Times New Roman" w:cs="Times New Roman"/>
          <w:color w:val="000000"/>
        </w:rPr>
        <w:t>resentantes puedan verificar de inmediato el lugar exacto de reclusión, estado de salud y autoridad responsable de la custodia.</w:t>
      </w:r>
      <w:r>
        <w:rPr>
          <w:rFonts w:ascii="Times New Roman" w:eastAsia="Times New Roman" w:hAnsi="Times New Roman" w:cs="Times New Roman"/>
          <w:color w:val="000000"/>
          <w:vertAlign w:val="superscript"/>
        </w:rPr>
        <w:footnoteReference w:id="10"/>
      </w:r>
    </w:p>
    <w:p w14:paraId="100E42CA" w14:textId="77777777" w:rsidR="00FB3DBA" w:rsidRDefault="007F7F12">
      <w:pPr>
        <w:pStyle w:val="Heading2"/>
        <w:numPr>
          <w:ilvl w:val="0"/>
          <w:numId w:val="2"/>
        </w:numPr>
      </w:pPr>
      <w:bookmarkStart w:id="12" w:name="_rpzf6813kv7" w:colFirst="0" w:colLast="0"/>
      <w:bookmarkEnd w:id="12"/>
      <w:r>
        <w:t>Sobre quejas recibidas por tribunales y canales judiciales de atención ciudadana</w:t>
      </w:r>
    </w:p>
    <w:p w14:paraId="0E24ED51"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Sírvase explicar qué rol cumplen el Tribunal Supremo Popular y los tribunales provinciales dentro del sistema interinstitucional invocado por el Estado. En particular, indique si reciben quejas, peticiones o denuncias ciudadanas relacionadas con privación de libertad, detención arbitraria, incomunicación, traslado no informado, desaparición forzada o condiciones de detención; si mantienen registros estadísticos; si esos registros son públicos; si coordinan con la Fiscalía; y si las quejas presentadas ante c</w:t>
      </w:r>
      <w:r>
        <w:rPr>
          <w:rFonts w:ascii="Times New Roman" w:eastAsia="Times New Roman" w:hAnsi="Times New Roman" w:cs="Times New Roman"/>
          <w:color w:val="000000"/>
        </w:rPr>
        <w:t xml:space="preserve">anales presenciales o digitales de los tribunales son tramitadas, </w:t>
      </w:r>
      <w:r>
        <w:rPr>
          <w:rFonts w:ascii="Times New Roman" w:eastAsia="Times New Roman" w:hAnsi="Times New Roman" w:cs="Times New Roman"/>
          <w:color w:val="000000"/>
        </w:rPr>
        <w:lastRenderedPageBreak/>
        <w:t>respondidas por escrito, archivadas o remitidas a investigación judicial, fiscal, disciplinaria o penal.</w:t>
      </w:r>
    </w:p>
    <w:p w14:paraId="39B0FD2A" w14:textId="77777777" w:rsidR="00FB3DBA" w:rsidRDefault="007F7F12">
      <w:pPr>
        <w:pStyle w:val="Heading2"/>
        <w:numPr>
          <w:ilvl w:val="0"/>
          <w:numId w:val="3"/>
        </w:numPr>
      </w:pPr>
      <w:bookmarkStart w:id="13" w:name="_7lp1onbiprgp" w:colFirst="0" w:colLast="0"/>
      <w:bookmarkEnd w:id="13"/>
      <w:r>
        <w:t>Sobre solicitudes de hábeas corpus entre 2017 y 2026</w:t>
      </w:r>
    </w:p>
    <w:p w14:paraId="55ED0BB3"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Sírvase informar cuántas solicitudes de hábeas corpus recibieron los tribunales cubanos entre 2017 y 2026, desagregadas por año, provincia, jurisdicción ordinaria y jurisdicción militar. Indique cuántas fueron admitidas, rechazadas sin trámite, declaradas con lugar o sin lugar; cuántas alegaron desaparición forzada, desaparición forzada de corta duración, incomunicación o desconocimiento de paradero; cuántas ordenaron la presentación física de la persona detenida; cuántas fueron resueltas con audiencia; cuá</w:t>
      </w:r>
      <w:r>
        <w:rPr>
          <w:rFonts w:ascii="Times New Roman" w:eastAsia="Times New Roman" w:hAnsi="Times New Roman" w:cs="Times New Roman"/>
          <w:color w:val="000000"/>
        </w:rPr>
        <w:t>ntas contaron con asistencia letrada; cuántas generaron investigación fiscal, sanción o reparación; y cuántas resoluciones son públicas o accesibles.</w:t>
      </w:r>
      <w:r>
        <w:rPr>
          <w:rFonts w:ascii="Times New Roman" w:eastAsia="Times New Roman" w:hAnsi="Times New Roman" w:cs="Times New Roman"/>
          <w:color w:val="000000"/>
          <w:vertAlign w:val="superscript"/>
        </w:rPr>
        <w:footnoteReference w:id="11"/>
      </w:r>
    </w:p>
    <w:p w14:paraId="01E6AAE5" w14:textId="77777777" w:rsidR="00FB3DBA" w:rsidRDefault="007F7F12">
      <w:pPr>
        <w:pStyle w:val="Heading2"/>
        <w:numPr>
          <w:ilvl w:val="0"/>
          <w:numId w:val="4"/>
        </w:numPr>
      </w:pPr>
      <w:bookmarkStart w:id="14" w:name="_3yw89j4ggb5p" w:colFirst="0" w:colLast="0"/>
      <w:bookmarkEnd w:id="14"/>
      <w:r>
        <w:t>Sobre efectividad del hábeas corpus frente a informes de la autoridad denunciada y ratificación fiscal</w:t>
      </w:r>
    </w:p>
    <w:p w14:paraId="0936D701"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Sírvase explicar si los tribunales pueden resolver solicitudes de hábeas corpus basándose exclusivamente en informes de la autoridad policial, penitenciaria, militar o de seguridad que practicó o mantiene la privación de libertad. Sírvase indicar si los tribunales pueden rechazar el recurso cuando la privación de libertad fue ratificada por la Fiscalía o formalizada mediante prisión provisional, y si, aun en esos casos, se investigan alegaciones de incomunicación, ocultamiento de paradero, tortura, malos tr</w:t>
      </w:r>
      <w:r>
        <w:rPr>
          <w:rFonts w:ascii="Times New Roman" w:eastAsia="Times New Roman" w:hAnsi="Times New Roman" w:cs="Times New Roman"/>
          <w:color w:val="000000"/>
        </w:rPr>
        <w:t>atos o irregularidades ocurridas antes de la formalización de la medida cautelar.</w:t>
      </w:r>
    </w:p>
    <w:p w14:paraId="17E3039B" w14:textId="77777777" w:rsidR="00FB3DBA" w:rsidRDefault="007F7F12">
      <w:pPr>
        <w:pStyle w:val="Heading2"/>
        <w:numPr>
          <w:ilvl w:val="0"/>
          <w:numId w:val="5"/>
        </w:numPr>
      </w:pPr>
      <w:bookmarkStart w:id="15" w:name="_obbw4b64qyeq" w:colFirst="0" w:colLast="0"/>
      <w:bookmarkEnd w:id="15"/>
      <w:r>
        <w:t>Sobre tipificación penal, investigaciones y procesos por desaparición forzada</w:t>
      </w:r>
    </w:p>
    <w:p w14:paraId="7B0E0B4A"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Sírvase informar cuántas denuncias, investigaciones, procesos penales, actuaciones preliminares o sanciones se han iniciado desde la entrada en vigor del artículo 367 del Código Penal sobre desaparición forzada. En caso de que no exista ninguna, sírvase explicar cómo identifica el Estado conductas compatibles con desaparición forzada, desaparición forzada de corta duración, negativa temporal de información, ocultamiento de paradero, incomunicación o traslado no notificado; qué protocolos tienen fiscales, ju</w:t>
      </w:r>
      <w:r>
        <w:rPr>
          <w:rFonts w:ascii="Times New Roman" w:eastAsia="Times New Roman" w:hAnsi="Times New Roman" w:cs="Times New Roman"/>
          <w:color w:val="000000"/>
        </w:rPr>
        <w:t>eces, policías, militares y funcionarios penitenciarios; y cómo se diferencia una queja administrativa por traslado no informado de una posible desaparición forzada o riesgo de desaparición forzada.</w:t>
      </w:r>
    </w:p>
    <w:p w14:paraId="64D41D77" w14:textId="77777777" w:rsidR="00FB3DBA" w:rsidRDefault="007F7F12">
      <w:pPr>
        <w:pStyle w:val="Heading2"/>
        <w:numPr>
          <w:ilvl w:val="0"/>
          <w:numId w:val="6"/>
        </w:numPr>
      </w:pPr>
      <w:bookmarkStart w:id="16" w:name="_qsrrrolx39xx" w:colFirst="0" w:colLast="0"/>
      <w:bookmarkEnd w:id="16"/>
      <w:r>
        <w:t>Sobre protección contra represalias</w:t>
      </w:r>
    </w:p>
    <w:p w14:paraId="387B3EF7"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Sírvase informar qué protocolos existen para prevenir represalias contra personas privadas de libertad, familiares, abogados o promoventes que presentan quejas, denuncias, solicitudes de hábeas corpus o comunicaciones sobre detención arbitraria, incomunicación, desconocimiento de paradero o condiciones de reclusión. En particular, indique si se evalúa el riesgo de represalia; si </w:t>
      </w:r>
      <w:r>
        <w:rPr>
          <w:rFonts w:ascii="Times New Roman" w:eastAsia="Times New Roman" w:hAnsi="Times New Roman" w:cs="Times New Roman"/>
          <w:color w:val="000000"/>
        </w:rPr>
        <w:lastRenderedPageBreak/>
        <w:t>se protege la confidencialidad; si se prohíbe que los funcionarios denunciados participen en la investigación; si se separa preventivamente a dichos funcionarios; y si se da seguimiento posterior a posibles aislamientos, traslados, suspensión de llamadas o visitas, amenazas, pérdida de beneficios, apertura de expedientes disciplinarios o negación de atención médica.</w:t>
      </w:r>
    </w:p>
    <w:p w14:paraId="6B2B5050" w14:textId="77777777" w:rsidR="00FB3DBA" w:rsidRDefault="007F7F12">
      <w:pPr>
        <w:pStyle w:val="Heading2"/>
        <w:numPr>
          <w:ilvl w:val="0"/>
          <w:numId w:val="7"/>
        </w:numPr>
      </w:pPr>
      <w:bookmarkStart w:id="17" w:name="_hn8sajqu378j" w:colFirst="0" w:colLast="0"/>
      <w:bookmarkEnd w:id="17"/>
      <w:r>
        <w:t>Sobre registros e investigación de represalias</w:t>
      </w:r>
    </w:p>
    <w:p w14:paraId="77B4EAF2"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Sírvase informar si la Fiscalía, los tribunales u otras autoridades llevan registros específicos de represalias posteriores a quejas, denuncias o solicitudes de hábeas corpus. Para el período 2017-2026, indique cuántas denuncias de represalias se recibieron; cuántas fueron investigadas; cuántas fueron declaradas fundadas; cuántos funcionarios penitenciarios, policiales, militares, fiscales o judiciales fueron investigados o sancionados; qué medidas de protección se adoptaron; y qué reparaciones fueron otorg</w:t>
      </w:r>
      <w:r>
        <w:rPr>
          <w:rFonts w:ascii="Times New Roman" w:eastAsia="Times New Roman" w:hAnsi="Times New Roman" w:cs="Times New Roman"/>
          <w:color w:val="000000"/>
        </w:rPr>
        <w:t>adas a las víctimas.</w:t>
      </w:r>
    </w:p>
    <w:p w14:paraId="72A636AE" w14:textId="77777777" w:rsidR="00FB3DBA" w:rsidRDefault="007F7F12">
      <w:pPr>
        <w:pStyle w:val="Heading2"/>
        <w:numPr>
          <w:ilvl w:val="0"/>
          <w:numId w:val="8"/>
        </w:numPr>
      </w:pPr>
      <w:bookmarkStart w:id="18" w:name="_896jq54n89qn" w:colFirst="0" w:colLast="0"/>
      <w:bookmarkEnd w:id="18"/>
      <w:r>
        <w:t>Sobre inspecciones a lugares de privación de libertad</w:t>
      </w:r>
    </w:p>
    <w:p w14:paraId="6D8C9949"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rPr>
      </w:pPr>
      <w:r>
        <w:rPr>
          <w:rFonts w:ascii="Times New Roman" w:eastAsia="Times New Roman" w:hAnsi="Times New Roman" w:cs="Times New Roman"/>
        </w:rPr>
        <w:t xml:space="preserve">Sírvase informar cuántas inspecciones realizaron la Fiscalía, los tribunales u otras autoridades de control en estaciones policiales, centros de instrucción penal, prisiones, celdas de castigo, hospitales penitenciarios, centros militares y otros lugares de privación de libertad entre 2017 y 2026. Sírvase desagregar visitas anunciadas y no anunciadas; lugares visitados; entrevistas confidenciales realizadas; denuncias recibidas durante las visitas; hallazgos de violaciones de legalidad; medidas correctivas </w:t>
      </w:r>
      <w:r>
        <w:rPr>
          <w:rFonts w:ascii="Times New Roman" w:eastAsia="Times New Roman" w:hAnsi="Times New Roman" w:cs="Times New Roman"/>
        </w:rPr>
        <w:t>ordenadas; sanciones impuestas; informes publicados y mecanismos de seguimiento. En particular, sírvase indicar cuántas huelgas de hambre de personas privadas de libertad fueron registradas en ese período; cuántas estuvieron precedidas por quejas ante autoridades penitenciarias, Fiscalía o tribunales; qué respuesta recibieron esas quejas; cuántas generaron investigaciones, medidas de protección, atención médica independiente o sanciones a funcionarios; y cuántas derivaron en aislamiento, traslado, suspensió</w:t>
      </w:r>
      <w:r>
        <w:rPr>
          <w:rFonts w:ascii="Times New Roman" w:eastAsia="Times New Roman" w:hAnsi="Times New Roman" w:cs="Times New Roman"/>
        </w:rPr>
        <w:t>n de visitas, alimentación forzada, hospitalización bajo vigilancia o represalias contra familiares. Asimismo, sírvase explicar cómo garantiza el Estado que las personas privadas de libertad puedan presentar quejas, peticiones o denuncias sin ser sancionadas por “desobediencia”, “posición de fuerza” o difusión de “información falsa”; cuántas sanciones disciplinarias se impusieron entre 2017 y 2026 por esas causales; cuántas afectaron a personas que denunciaron abusos, huelgas de hambre, incomunicación o mal</w:t>
      </w:r>
      <w:r>
        <w:rPr>
          <w:rFonts w:ascii="Times New Roman" w:eastAsia="Times New Roman" w:hAnsi="Times New Roman" w:cs="Times New Roman"/>
        </w:rPr>
        <w:t>os tratos; y qué mecanismos independientes investigan represalias contra reclusos y familiares denunciantes.</w:t>
      </w:r>
    </w:p>
    <w:p w14:paraId="45E16AE6" w14:textId="77777777" w:rsidR="00FB3DBA" w:rsidRDefault="007F7F12">
      <w:pPr>
        <w:pStyle w:val="Heading2"/>
        <w:numPr>
          <w:ilvl w:val="0"/>
          <w:numId w:val="9"/>
        </w:numPr>
      </w:pPr>
      <w:bookmarkStart w:id="19" w:name="_7m5xi6q4hpho" w:colFirst="0" w:colLast="0"/>
      <w:bookmarkEnd w:id="19"/>
      <w:r>
        <w:t>Sobre existencia de un órgano independiente de supervisión</w:t>
      </w:r>
    </w:p>
    <w:p w14:paraId="73CECA40"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Sírvase explicar qué órgano independiente del Ministerio del Interior, la administración penitenciaria, la Fiscalía y los tribunales supervisa los lugares de detención, investiga represalias, protege a denunciantes, publica informes y verifica el cumplimiento de recomendaciones. En caso de que no exista tal órgano, sírvase explicar cómo puede el Estado considerar suficiente su sistema interinstitucional para prevenir desapariciones forzadas y proteger a víctimas, familiares y denunciantes conforme a la Conv</w:t>
      </w:r>
      <w:r>
        <w:rPr>
          <w:rFonts w:ascii="Times New Roman" w:eastAsia="Times New Roman" w:hAnsi="Times New Roman" w:cs="Times New Roman"/>
          <w:color w:val="000000"/>
        </w:rPr>
        <w:t>ención y a los estándares internacionales aplicables.</w:t>
      </w:r>
    </w:p>
    <w:p w14:paraId="5F31EB24" w14:textId="77777777" w:rsidR="00FB3DBA" w:rsidRDefault="007F7F12">
      <w:pPr>
        <w:pStyle w:val="Heading1"/>
      </w:pPr>
      <w:bookmarkStart w:id="20" w:name="_bl5tm8jp9229" w:colFirst="0" w:colLast="0"/>
      <w:bookmarkEnd w:id="20"/>
      <w:r>
        <w:t>V. Razones para la inclusión de estos temas en la Lista de Temas Prioritarios</w:t>
      </w:r>
    </w:p>
    <w:p w14:paraId="1916A184"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Cubalex considera que estas preguntas deben incluirse en la Lista de Temas Prioritarios porque la respuesta complementaria del Estado cubano no permite evaluar la efectividad real de sus mecanismos internos. La afirmación de que existe un sistema interinstitucional “amplio y </w:t>
      </w:r>
      <w:r>
        <w:rPr>
          <w:rFonts w:ascii="Times New Roman" w:eastAsia="Times New Roman" w:hAnsi="Times New Roman" w:cs="Times New Roman"/>
          <w:color w:val="000000"/>
        </w:rPr>
        <w:lastRenderedPageBreak/>
        <w:t>participativo” no es suficiente si el Estado no identifica con precisión su naturaleza jurídica, composición, grado de independencia, facultades, resultados, mecanismos de protección, participación social y rendición de cuentas pública.</w:t>
      </w:r>
    </w:p>
    <w:p w14:paraId="143F0BD7"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La ausencia de una institución nacional de derechos humanos independiente conforme a los Principios de París tiene un impacto directo en la prevención de desapariciones forzadas. Una INDH con mandato amplio podría recibir denuncias de víctimas y familiares; inspeccionar lugares de detención; revisar prácticas policiales, penitenciarias, fiscales y judiciales; formular recomendaciones públicas; proteger a denunciantes; y cooperar con mecanismos internacionales. La Fiscalía, los tribunales y las oficinas admi</w:t>
      </w:r>
      <w:r>
        <w:rPr>
          <w:rFonts w:ascii="Times New Roman" w:eastAsia="Times New Roman" w:hAnsi="Times New Roman" w:cs="Times New Roman"/>
          <w:color w:val="000000"/>
        </w:rPr>
        <w:t>nistrativas de quejas no sustituyen por sí mismos esa función, especialmente cuando las denuncias se dirigen contra autoridades estatales encargadas de la custodia, investigación o juzgamiento.</w:t>
      </w:r>
    </w:p>
    <w:p w14:paraId="51B5E423"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También resulta prioritario examinar el hábeas corpus. Este recurso debe funcionar como garantía inmediata frente a la privación arbitraria de libertad, la incomunicación, el ocultamiento del paradero y la desaparición forzada de corta duración. Sin embargo, si los tribunales resuelven sin presentación física de la persona detenida, con base en informes de la autoridad denunciada, sin asistencia letrada efectiva o sin investigar alegaciones de incomunicación ocurridas antes de la formalización de una medida</w:t>
      </w:r>
      <w:r>
        <w:rPr>
          <w:rFonts w:ascii="Times New Roman" w:eastAsia="Times New Roman" w:hAnsi="Times New Roman" w:cs="Times New Roman"/>
          <w:color w:val="000000"/>
        </w:rPr>
        <w:t xml:space="preserve"> cautelar, el recurso pierde su función preventiva.</w:t>
      </w:r>
    </w:p>
    <w:p w14:paraId="49FDF2EC"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El Comité también debería solicitar información sobre las represalias. La Convención exige proteger a denunciantes, testigos, familiares y defensores contra malos tratos o intimidación como consecuencia de una denuncia o de la búsqueda de información. Por tanto, no basta con que el Estado afirme que recibe quejas; debe demostrar que las personas que se quejan no son castigadas por hacerlo y que existen mecanismos independientes para investigar y sancionar a los responsables.</w:t>
      </w:r>
    </w:p>
    <w:p w14:paraId="2E5D2A44"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Finalmente, Cubalex considera que el Estado debe dejar de utilizar expresiones generales como “pueblo”, “sociedad cubana”, “participación amplia” o “necesidades de la sociedad” sin aportar datos verificables. La aprobación de la Constitución de 2019 mediante referendo no demuestra que la ciudadanía haya sido consultada específicamente sobre la negativa a reconocer los artículos 31 y 32 de la Convención, la decisión de no crear una institución nacional de derechos humanos independiente o la suficiencia del s</w:t>
      </w:r>
      <w:r>
        <w:rPr>
          <w:rFonts w:ascii="Times New Roman" w:eastAsia="Times New Roman" w:hAnsi="Times New Roman" w:cs="Times New Roman"/>
          <w:color w:val="000000"/>
        </w:rPr>
        <w:t>istema interinstitucional de quejas para investigar violaciones cometidas por autoridades estatales.</w:t>
      </w:r>
    </w:p>
    <w:p w14:paraId="472B4713" w14:textId="77777777" w:rsidR="00FB3DBA" w:rsidRDefault="007F7F12">
      <w:pPr>
        <w:pStyle w:val="Heading1"/>
        <w:numPr>
          <w:ilvl w:val="0"/>
          <w:numId w:val="10"/>
        </w:numPr>
        <w:spacing w:before="36" w:after="36"/>
      </w:pPr>
      <w:bookmarkStart w:id="21" w:name="_kt22mtmr7753" w:colFirst="0" w:colLast="0"/>
      <w:bookmarkEnd w:id="21"/>
      <w:r>
        <w:t>Referencias</w:t>
      </w:r>
    </w:p>
    <w:p w14:paraId="62526B9B"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Comité contra la Desaparición Forzada. (2017). Observaciones finales sobre el informe presentado por Cuba en virtud del artículo 29, párrafo 1, de la Convención (CED/C/CUB/CO/1). Naciones Unidas.</w:t>
      </w:r>
    </w:p>
    <w:p w14:paraId="0EF712FF"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Comité contra la Desaparición Forzada. (2024). Información complementaria presentada por Cuba con arreglo al artículo 29, párrafo 4, de la Convención (CED/C/CUB/AI/1). Naciones Unidas.</w:t>
      </w:r>
    </w:p>
    <w:p w14:paraId="37A07384" w14:textId="77777777" w:rsidR="00FB3DBA" w:rsidRDefault="007F7F12">
      <w:pPr>
        <w:pBdr>
          <w:top w:val="nil"/>
          <w:left w:val="nil"/>
          <w:bottom w:val="nil"/>
          <w:right w:val="nil"/>
          <w:between w:val="nil"/>
        </w:pBdr>
        <w:spacing w:before="180"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Naciones Unidas. (2006). Convención Internacional para la Protección de Todas las Personas contra las Desapariciones Forzadas.</w:t>
      </w:r>
    </w:p>
    <w:sectPr w:rsidR="00FB3DBA">
      <w:footerReference w:type="default" r:id="rId9"/>
      <w:pgSz w:w="12240" w:h="15840"/>
      <w:pgMar w:top="1440" w:right="1440" w:bottom="1440" w:left="144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9CF7D" w14:textId="77777777" w:rsidR="007F7F12" w:rsidRDefault="007F7F12">
      <w:pPr>
        <w:spacing w:after="0"/>
      </w:pPr>
      <w:r>
        <w:separator/>
      </w:r>
    </w:p>
  </w:endnote>
  <w:endnote w:type="continuationSeparator" w:id="0">
    <w:p w14:paraId="7EADB3B1" w14:textId="77777777" w:rsidR="007F7F12" w:rsidRDefault="007F7F1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900B8D9A-A964-47E4-B531-746D8ADE7143}"/>
    <w:embedBold r:id="rId2" w:fontKey="{B1271FA9-E86D-440B-9106-595B26ECEFB0}"/>
    <w:embedItalic r:id="rId3" w:fontKey="{EF6486D0-B95A-4A50-A2B5-E91507CCD38D}"/>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4" w:fontKey="{9AB85932-7843-4B38-95C1-3861FB526A2C}"/>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5" w:fontKey="{ACDA3CEF-943D-4AF7-A3C1-E63B44FABF5A}"/>
  </w:font>
  <w:font w:name="Cambria">
    <w:panose1 w:val="02040503050406030204"/>
    <w:charset w:val="00"/>
    <w:family w:val="roman"/>
    <w:pitch w:val="variable"/>
    <w:sig w:usb0="E00006FF" w:usb1="420024FF" w:usb2="02000000" w:usb3="00000000" w:csb0="0000019F" w:csb1="00000000"/>
    <w:embedRegular r:id="rId6" w:fontKey="{6FB1A1B3-D7B6-43F0-800B-BBA71244159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3C880" w14:textId="77777777" w:rsidR="00FB3DBA" w:rsidRDefault="007F7F12">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4D72CF">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D17CC" w14:textId="77777777" w:rsidR="007F7F12" w:rsidRDefault="007F7F12">
      <w:pPr>
        <w:spacing w:after="0"/>
      </w:pPr>
      <w:r>
        <w:separator/>
      </w:r>
    </w:p>
  </w:footnote>
  <w:footnote w:type="continuationSeparator" w:id="0">
    <w:p w14:paraId="791342C7" w14:textId="77777777" w:rsidR="007F7F12" w:rsidRDefault="007F7F12">
      <w:pPr>
        <w:spacing w:after="0"/>
      </w:pPr>
      <w:r>
        <w:continuationSeparator/>
      </w:r>
    </w:p>
  </w:footnote>
  <w:footnote w:id="1">
    <w:p w14:paraId="0126056E" w14:textId="77777777" w:rsidR="00FB3DBA" w:rsidRDefault="007F7F12">
      <w:pPr>
        <w:spacing w:after="0"/>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Naciones Unidas. (2006). </w:t>
      </w:r>
      <w:hyperlink r:id="rId1">
        <w:r>
          <w:rPr>
            <w:rFonts w:ascii="Times New Roman" w:eastAsia="Times New Roman" w:hAnsi="Times New Roman" w:cs="Times New Roman"/>
            <w:i/>
            <w:iCs/>
            <w:color w:val="1155CC"/>
            <w:sz w:val="18"/>
            <w:szCs w:val="18"/>
            <w:u w:val="single"/>
          </w:rPr>
          <w:t>Convención Internacional para la Protección de Todas las Personas contra las Desapariciones Forzadas</w:t>
        </w:r>
      </w:hyperlink>
      <w:r>
        <w:rPr>
          <w:rFonts w:ascii="Times New Roman" w:eastAsia="Times New Roman" w:hAnsi="Times New Roman" w:cs="Times New Roman"/>
          <w:sz w:val="18"/>
          <w:szCs w:val="18"/>
        </w:rPr>
        <w:t>.</w:t>
      </w:r>
    </w:p>
  </w:footnote>
  <w:footnote w:id="2">
    <w:p w14:paraId="2AAB0AA1" w14:textId="77777777" w:rsidR="00FB3DBA" w:rsidRDefault="007F7F12">
      <w:pPr>
        <w:spacing w:after="0"/>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Comité contra la Desaparición Forzada. (2017). </w:t>
      </w:r>
      <w:r>
        <w:rPr>
          <w:rFonts w:ascii="Times New Roman" w:eastAsia="Times New Roman" w:hAnsi="Times New Roman" w:cs="Times New Roman"/>
          <w:i/>
          <w:iCs/>
          <w:sz w:val="18"/>
          <w:szCs w:val="18"/>
        </w:rPr>
        <w:t>Observaciones finales sobre el informe presentado por Cuba en virtud del artículo 29, párrafo 1, de la Convención</w:t>
      </w:r>
      <w:r>
        <w:rPr>
          <w:rFonts w:ascii="Times New Roman" w:eastAsia="Times New Roman" w:hAnsi="Times New Roman" w:cs="Times New Roman"/>
          <w:sz w:val="18"/>
          <w:szCs w:val="18"/>
        </w:rPr>
        <w:t xml:space="preserve"> (CED/C/CUB/CO/1). Naciones Unidas.</w:t>
      </w:r>
    </w:p>
  </w:footnote>
  <w:footnote w:id="3">
    <w:p w14:paraId="7EC388C5" w14:textId="77777777" w:rsidR="00FB3DBA" w:rsidRDefault="007F7F12">
      <w:pPr>
        <w:spacing w:after="0"/>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Comité contra la Desaparición Forzada. (2024). </w:t>
      </w:r>
      <w:r>
        <w:rPr>
          <w:rFonts w:ascii="Times New Roman" w:eastAsia="Times New Roman" w:hAnsi="Times New Roman" w:cs="Times New Roman"/>
          <w:i/>
          <w:iCs/>
          <w:sz w:val="18"/>
          <w:szCs w:val="18"/>
        </w:rPr>
        <w:t>Información complementaria presentada por Cuba con arreglo al artículo 29, párrafo 4, de la Convención</w:t>
      </w:r>
      <w:r>
        <w:rPr>
          <w:rFonts w:ascii="Times New Roman" w:eastAsia="Times New Roman" w:hAnsi="Times New Roman" w:cs="Times New Roman"/>
          <w:sz w:val="18"/>
          <w:szCs w:val="18"/>
        </w:rPr>
        <w:t xml:space="preserve"> (CED/C/CUB/AI/1). Naciones Unidas.</w:t>
      </w:r>
    </w:p>
  </w:footnote>
  <w:footnote w:id="4">
    <w:p w14:paraId="2E62E172" w14:textId="77777777" w:rsidR="00FB3DBA" w:rsidRDefault="007F7F12">
      <w:pPr>
        <w:spacing w:after="0"/>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Asamblea Nacional del Poder Popular. (2022). </w:t>
      </w:r>
      <w:r>
        <w:rPr>
          <w:rFonts w:ascii="Times New Roman" w:eastAsia="Times New Roman" w:hAnsi="Times New Roman" w:cs="Times New Roman"/>
          <w:i/>
          <w:iCs/>
          <w:sz w:val="18"/>
          <w:szCs w:val="18"/>
        </w:rPr>
        <w:t>Ley No. 151/2022 “Código Penal”</w:t>
      </w:r>
      <w:r>
        <w:rPr>
          <w:rFonts w:ascii="Times New Roman" w:eastAsia="Times New Roman" w:hAnsi="Times New Roman" w:cs="Times New Roman"/>
          <w:sz w:val="18"/>
          <w:szCs w:val="18"/>
        </w:rPr>
        <w:t xml:space="preserve"> (Gaceta Oficial de la República de Cuba, No. 93 Ordinaria, GOC-2022-861-O93). Gaceta Oficial de la República de Cuba. (2024). </w:t>
      </w:r>
      <w:r>
        <w:rPr>
          <w:rFonts w:ascii="Times New Roman" w:eastAsia="Times New Roman" w:hAnsi="Times New Roman" w:cs="Times New Roman"/>
          <w:i/>
          <w:iCs/>
          <w:sz w:val="18"/>
          <w:szCs w:val="18"/>
        </w:rPr>
        <w:t>Ley No. 167/2023 “Del Sistema de Atención a las Quejas y Peticiones de las Personas” y Decreto No. 112/2024 “Reglamento de la Ley 167 del Sistema de Atención a las Quejas y Peticiones de las Personas”</w:t>
      </w:r>
      <w:r>
        <w:rPr>
          <w:rFonts w:ascii="Times New Roman" w:eastAsia="Times New Roman" w:hAnsi="Times New Roman" w:cs="Times New Roman"/>
          <w:sz w:val="18"/>
          <w:szCs w:val="18"/>
        </w:rPr>
        <w:t xml:space="preserve"> (No. 123 Ordinaria). Ministerio de Justicia.</w:t>
      </w:r>
    </w:p>
  </w:footnote>
  <w:footnote w:id="5">
    <w:p w14:paraId="226F95A0" w14:textId="77777777" w:rsidR="00FB3DBA" w:rsidRDefault="007F7F12">
      <w:pPr>
        <w:spacing w:after="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Naciones Unidas, Asamblea General. (1993). </w:t>
      </w:r>
      <w:hyperlink r:id="rId2">
        <w:r>
          <w:rPr>
            <w:rFonts w:ascii="Times New Roman" w:eastAsia="Times New Roman" w:hAnsi="Times New Roman" w:cs="Times New Roman"/>
            <w:i/>
            <w:iCs/>
            <w:color w:val="1155CC"/>
            <w:sz w:val="18"/>
            <w:szCs w:val="18"/>
            <w:u w:val="single"/>
          </w:rPr>
          <w:t xml:space="preserve">Principios relativos al estatuto de las instituciones nacionales de promoción y protección de los derechos humanos </w:t>
        </w:r>
      </w:hyperlink>
      <w:r>
        <w:rPr>
          <w:rFonts w:ascii="Times New Roman" w:eastAsia="Times New Roman" w:hAnsi="Times New Roman" w:cs="Times New Roman"/>
          <w:i/>
          <w:iCs/>
          <w:sz w:val="18"/>
          <w:szCs w:val="18"/>
        </w:rPr>
        <w:t>(Principios de París)</w:t>
      </w:r>
      <w:r>
        <w:rPr>
          <w:rFonts w:ascii="Times New Roman" w:eastAsia="Times New Roman" w:hAnsi="Times New Roman" w:cs="Times New Roman"/>
          <w:sz w:val="18"/>
          <w:szCs w:val="18"/>
        </w:rPr>
        <w:t xml:space="preserve"> (Resolución 48/134, 20 de diciembre de 1993). Oficina del Alto Comisionado de las Naciones Unidas para los Derechos Humanos.</w:t>
      </w:r>
    </w:p>
  </w:footnote>
  <w:footnote w:id="6">
    <w:p w14:paraId="2DCBF258" w14:textId="77777777" w:rsidR="00FB3DBA" w:rsidRDefault="007F7F12">
      <w:pPr>
        <w:spacing w:after="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i/>
          <w:iCs/>
          <w:sz w:val="18"/>
          <w:szCs w:val="18"/>
        </w:rPr>
        <w:t>Ley No. 167/2023 “Del Sistema de Atención a las Quejas y Peticiones de las Personas” y Decreto No. 112/2024 “Reglamento de la Ley 167 del Sistema de Atención a las Quejas y Peticiones de las Personas”</w:t>
      </w:r>
    </w:p>
  </w:footnote>
  <w:footnote w:id="7">
    <w:p w14:paraId="041CDDEF" w14:textId="77777777" w:rsidR="00FB3DBA" w:rsidRDefault="007F7F12">
      <w:pPr>
        <w:spacing w:after="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Cubalex. (2026). </w:t>
      </w:r>
      <w:hyperlink r:id="rId3">
        <w:r>
          <w:rPr>
            <w:rFonts w:ascii="Times New Roman" w:eastAsia="Times New Roman" w:hAnsi="Times New Roman" w:cs="Times New Roman"/>
            <w:i/>
            <w:iCs/>
            <w:color w:val="1155CC"/>
            <w:sz w:val="18"/>
            <w:szCs w:val="18"/>
            <w:u w:val="single"/>
          </w:rPr>
          <w:t>Huelga de hambre en Cuba: causas y responsabilidad estatal</w:t>
        </w:r>
      </w:hyperlink>
      <w:hyperlink r:id="rId4">
        <w:r>
          <w:rPr>
            <w:rFonts w:ascii="Times New Roman" w:eastAsia="Times New Roman" w:hAnsi="Times New Roman" w:cs="Times New Roman"/>
            <w:color w:val="1155CC"/>
            <w:sz w:val="18"/>
            <w:szCs w:val="18"/>
            <w:u w:val="single"/>
          </w:rPr>
          <w:t>.</w:t>
        </w:r>
      </w:hyperlink>
      <w:r>
        <w:rPr>
          <w:rFonts w:ascii="Times New Roman" w:eastAsia="Times New Roman" w:hAnsi="Times New Roman" w:cs="Times New Roman"/>
          <w:sz w:val="18"/>
          <w:szCs w:val="18"/>
        </w:rPr>
        <w:t xml:space="preserve"> Cubalex. (2025, 4 de diciembre). </w:t>
      </w:r>
      <w:hyperlink r:id="rId5">
        <w:r>
          <w:rPr>
            <w:rFonts w:ascii="Times New Roman" w:eastAsia="Times New Roman" w:hAnsi="Times New Roman" w:cs="Times New Roman"/>
            <w:i/>
            <w:iCs/>
            <w:color w:val="1155CC"/>
            <w:sz w:val="18"/>
            <w:szCs w:val="18"/>
            <w:u w:val="single"/>
          </w:rPr>
          <w:t>Huelga de hambre en Cuba: el cuerpo como último recurso cuando se cierran otras vías</w:t>
        </w:r>
      </w:hyperlink>
      <w:r>
        <w:rPr>
          <w:rFonts w:ascii="Times New Roman" w:eastAsia="Times New Roman" w:hAnsi="Times New Roman" w:cs="Times New Roman"/>
          <w:sz w:val="18"/>
          <w:szCs w:val="18"/>
        </w:rPr>
        <w:t>.</w:t>
      </w:r>
    </w:p>
  </w:footnote>
  <w:footnote w:id="8">
    <w:p w14:paraId="627AC3A2" w14:textId="77777777" w:rsidR="00FB3DBA" w:rsidRDefault="007F7F12">
      <w:pPr>
        <w:spacing w:after="0"/>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Asamblea Nacional del Poder Popular. (2022). </w:t>
      </w:r>
      <w:r>
        <w:rPr>
          <w:rFonts w:ascii="Times New Roman" w:eastAsia="Times New Roman" w:hAnsi="Times New Roman" w:cs="Times New Roman"/>
          <w:i/>
          <w:iCs/>
          <w:sz w:val="18"/>
          <w:szCs w:val="18"/>
        </w:rPr>
        <w:t>Ley No. 152/2022 “Ley de Ejecución Penal”</w:t>
      </w:r>
      <w:r>
        <w:rPr>
          <w:rFonts w:ascii="Times New Roman" w:eastAsia="Times New Roman" w:hAnsi="Times New Roman" w:cs="Times New Roman"/>
          <w:sz w:val="18"/>
          <w:szCs w:val="18"/>
        </w:rPr>
        <w:t xml:space="preserve"> (Gaceta Oficial de la República de Cuba, No. 94 Ordinaria, GOC-2022-862-O94). Ministerio de Justicia. Cubalex. (2023, 4 de abril). </w:t>
      </w:r>
      <w:hyperlink r:id="rId6">
        <w:r>
          <w:rPr>
            <w:rFonts w:ascii="Times New Roman" w:eastAsia="Times New Roman" w:hAnsi="Times New Roman" w:cs="Times New Roman"/>
            <w:i/>
            <w:iCs/>
            <w:color w:val="1155CC"/>
            <w:sz w:val="18"/>
            <w:szCs w:val="18"/>
            <w:u w:val="single"/>
          </w:rPr>
          <w:t>La incomunicación: otro trato cruel e inhumano del Estado cubano contra las personas detenidas</w:t>
        </w:r>
      </w:hyperlink>
      <w:hyperlink r:id="rId7">
        <w:r>
          <w:rPr>
            <w:rFonts w:ascii="Times New Roman" w:eastAsia="Times New Roman" w:hAnsi="Times New Roman" w:cs="Times New Roman"/>
            <w:color w:val="1155CC"/>
            <w:sz w:val="18"/>
            <w:szCs w:val="18"/>
            <w:u w:val="single"/>
          </w:rPr>
          <w:t>.</w:t>
        </w:r>
      </w:hyperlink>
    </w:p>
  </w:footnote>
  <w:footnote w:id="9">
    <w:p w14:paraId="1AB00555" w14:textId="77777777" w:rsidR="00FB3DBA" w:rsidRDefault="007F7F12">
      <w:pPr>
        <w:spacing w:after="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Oficina del Alto Comisionado de las Naciones Unidas para los Derechos Humanos. (2026). </w:t>
      </w:r>
      <w:hyperlink r:id="rId8">
        <w:r>
          <w:rPr>
            <w:rFonts w:ascii="Times New Roman" w:eastAsia="Times New Roman" w:hAnsi="Times New Roman" w:cs="Times New Roman"/>
            <w:i/>
            <w:iCs/>
            <w:color w:val="1155CC"/>
            <w:sz w:val="18"/>
            <w:szCs w:val="18"/>
            <w:u w:val="single"/>
          </w:rPr>
          <w:t>La Alianza Global de las Instituciones Nacionales de Derechos Humanos (GANHRI)</w:t>
        </w:r>
      </w:hyperlink>
      <w:r>
        <w:rPr>
          <w:rFonts w:ascii="Times New Roman" w:eastAsia="Times New Roman" w:hAnsi="Times New Roman" w:cs="Times New Roman"/>
          <w:sz w:val="18"/>
          <w:szCs w:val="18"/>
        </w:rPr>
        <w:t>. Naciones Unidas.</w:t>
      </w:r>
    </w:p>
  </w:footnote>
  <w:footnote w:id="10">
    <w:p w14:paraId="6DC93B6F" w14:textId="77777777" w:rsidR="00FB3DBA" w:rsidRDefault="007F7F12">
      <w:pPr>
        <w:spacing w:after="0"/>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El caso de Roilán Álvarez Rensoler muestra cómo la incomunicación bajo custodia puede combinarse con presión estatal y represalias familiares. Detenido violentamente el 30 de enero de 2026 y recluido en Pedernales, inició una huelga de hambre contra su detención arbitraria. Tras 49 días, sufrió un paro cardiorrespiratorio en un hospital de Holguín. Cubalex documentó prohibición de visitas privadas, vigilancia constante y bloqueo de comunicación confidencial con familiares y abogados. Cubalex. (2026, 20 de </w:t>
      </w:r>
      <w:r>
        <w:rPr>
          <w:rFonts w:ascii="Times New Roman" w:eastAsia="Times New Roman" w:hAnsi="Times New Roman" w:cs="Times New Roman"/>
          <w:sz w:val="18"/>
          <w:szCs w:val="18"/>
        </w:rPr>
        <w:t xml:space="preserve">marzo). </w:t>
      </w:r>
      <w:hyperlink r:id="rId9">
        <w:r>
          <w:rPr>
            <w:rFonts w:ascii="Times New Roman" w:eastAsia="Times New Roman" w:hAnsi="Times New Roman" w:cs="Times New Roman"/>
            <w:i/>
            <w:iCs/>
            <w:color w:val="1155CC"/>
            <w:sz w:val="18"/>
            <w:szCs w:val="18"/>
            <w:u w:val="single"/>
          </w:rPr>
          <w:t>Activista Roilán Álvarez Rensoler depuso huelga de hambre de 49 días tras sufrir paro cardiorrespiratorio</w:t>
        </w:r>
      </w:hyperlink>
      <w:r>
        <w:rPr>
          <w:rFonts w:ascii="Times New Roman" w:eastAsia="Times New Roman" w:hAnsi="Times New Roman" w:cs="Times New Roman"/>
          <w:sz w:val="18"/>
          <w:szCs w:val="18"/>
        </w:rPr>
        <w:t>.</w:t>
      </w:r>
    </w:p>
  </w:footnote>
  <w:footnote w:id="11">
    <w:p w14:paraId="5BF9FBF2" w14:textId="77777777" w:rsidR="00FB3DBA" w:rsidRDefault="007F7F12">
      <w:pPr>
        <w:spacing w:after="0"/>
        <w:jc w:val="both"/>
        <w:rPr>
          <w:rFonts w:ascii="Times New Roman" w:eastAsia="Times New Roman" w:hAnsi="Times New Roman" w:cs="Times New Roman"/>
          <w:b/>
          <w:bCs/>
          <w:sz w:val="18"/>
          <w:szCs w:val="18"/>
        </w:rPr>
      </w:pPr>
      <w:r>
        <w:rPr>
          <w:vertAlign w:val="superscript"/>
        </w:rPr>
        <w:footnoteRef/>
      </w:r>
      <w:r>
        <w:rPr>
          <w:rFonts w:ascii="Times New Roman" w:eastAsia="Times New Roman" w:hAnsi="Times New Roman" w:cs="Times New Roman"/>
          <w:sz w:val="18"/>
          <w:szCs w:val="18"/>
        </w:rPr>
        <w:t xml:space="preserve"> El caso de Ankeilys Guerra Fis ilustra cómo la incomunicación y la falta de información oficial pueden neutralizar el hábeas corpus. Tras ser detenido violentamente el 14 de enero de 2026 por publicaciones en redes sociales, fue trasladado de una estación policial a Villa Marista y mantenido incomunicado. Su familia intentó presentar hábeas corpus, pero el Tribunal Provincial de La Habana se negó a recibirlo por falta de datos que las propias autoridades ocultaban. Cubalex. (2026, 28 de enero). </w:t>
      </w:r>
      <w:hyperlink r:id="rId10">
        <w:r>
          <w:rPr>
            <w:rFonts w:ascii="Times New Roman" w:eastAsia="Times New Roman" w:hAnsi="Times New Roman" w:cs="Times New Roman"/>
            <w:i/>
            <w:iCs/>
            <w:color w:val="1155CC"/>
            <w:sz w:val="18"/>
            <w:szCs w:val="18"/>
            <w:u w:val="single"/>
          </w:rPr>
          <w:t>Ankeilys Guerra permanece incomunicado tras detención arbitraria en Cuba</w:t>
        </w:r>
      </w:hyperlink>
      <w:r>
        <w:rPr>
          <w:rFonts w:ascii="Times New Roman" w:eastAsia="Times New Roman" w:hAnsi="Times New Roman" w:cs="Times New Roman"/>
          <w:sz w:val="18"/>
          <w:szCs w:val="18"/>
        </w:rPr>
        <w:t xml:space="preserve">. El caso de Luis Darién Romero Reyes ilustra la negativa judicial a tramitar recursos efectivos frente a abusos estatales. Su madre, Kenia Romero, intentó presentar un hábeas corpus ante el Tribunal Provincial de La Habana, pero no fue admitido bajo el argumento erróneo de que solo procedía en casos de desaparición forzada. Posteriormente logró denunciar a un agente de la Seguridad del Estado que habría amenazado a su hijo con un arma. Cubalex. (2024, 8 de mayo). </w:t>
      </w:r>
      <w:hyperlink r:id="rId11">
        <w:r>
          <w:rPr>
            <w:rFonts w:ascii="Times New Roman" w:eastAsia="Times New Roman" w:hAnsi="Times New Roman" w:cs="Times New Roman"/>
            <w:i/>
            <w:iCs/>
            <w:color w:val="1155CC"/>
            <w:sz w:val="18"/>
            <w:szCs w:val="18"/>
            <w:u w:val="single"/>
          </w:rPr>
          <w:t>¿Por qué los Tribunales cubanos desestiman los recursos legales presentados por la ciudadanía?</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83A8B"/>
    <w:multiLevelType w:val="multilevel"/>
    <w:tmpl w:val="41B42796"/>
    <w:lvl w:ilvl="0">
      <w:start w:val="2"/>
      <w:numFmt w:val="upperRoman"/>
      <w:lvlText w:val="%1."/>
      <w:lvlJc w:val="left"/>
      <w:pPr>
        <w:ind w:left="720" w:hanging="360"/>
      </w:pPr>
    </w:lvl>
    <w:lvl w:ilvl="1">
      <w:start w:val="2"/>
      <w:numFmt w:val="upperRoman"/>
      <w:lvlText w:val="%2."/>
      <w:lvlJc w:val="left"/>
      <w:pPr>
        <w:ind w:left="1440" w:hanging="360"/>
      </w:pPr>
    </w:lvl>
    <w:lvl w:ilvl="2">
      <w:start w:val="2"/>
      <w:numFmt w:val="upperRoman"/>
      <w:lvlText w:val="%3."/>
      <w:lvlJc w:val="left"/>
      <w:pPr>
        <w:ind w:left="2160" w:hanging="360"/>
      </w:pPr>
    </w:lvl>
    <w:lvl w:ilvl="3">
      <w:start w:val="2"/>
      <w:numFmt w:val="upperRoman"/>
      <w:lvlText w:val="%4."/>
      <w:lvlJc w:val="left"/>
      <w:pPr>
        <w:ind w:left="2880" w:hanging="360"/>
      </w:pPr>
    </w:lvl>
    <w:lvl w:ilvl="4">
      <w:start w:val="2"/>
      <w:numFmt w:val="upperRoman"/>
      <w:lvlText w:val="%5."/>
      <w:lvlJc w:val="left"/>
      <w:pPr>
        <w:ind w:left="3600" w:hanging="360"/>
      </w:pPr>
    </w:lvl>
    <w:lvl w:ilvl="5">
      <w:start w:val="2"/>
      <w:numFmt w:val="upperRoman"/>
      <w:lvlText w:val="%6."/>
      <w:lvlJc w:val="left"/>
      <w:pPr>
        <w:ind w:left="4320" w:hanging="360"/>
      </w:pPr>
    </w:lvl>
    <w:lvl w:ilvl="6">
      <w:start w:val="2"/>
      <w:numFmt w:val="upperRoman"/>
      <w:lvlText w:val="%7."/>
      <w:lvlJc w:val="left"/>
      <w:pPr>
        <w:ind w:left="5040" w:hanging="360"/>
      </w:pPr>
    </w:lvl>
    <w:lvl w:ilvl="7">
      <w:start w:val="2"/>
      <w:numFmt w:val="upperRoman"/>
      <w:lvlText w:val="%8."/>
      <w:lvlJc w:val="left"/>
      <w:pPr>
        <w:ind w:left="5760" w:hanging="360"/>
      </w:pPr>
    </w:lvl>
    <w:lvl w:ilvl="8">
      <w:start w:val="2"/>
      <w:numFmt w:val="upperRoman"/>
      <w:lvlText w:val="%9."/>
      <w:lvlJc w:val="left"/>
      <w:pPr>
        <w:ind w:left="6480" w:hanging="360"/>
      </w:pPr>
    </w:lvl>
  </w:abstractNum>
  <w:abstractNum w:abstractNumId="1" w15:restartNumberingAfterBreak="0">
    <w:nsid w:val="0E515FD4"/>
    <w:multiLevelType w:val="multilevel"/>
    <w:tmpl w:val="41CCAF20"/>
    <w:lvl w:ilvl="0">
      <w:start w:val="3"/>
      <w:numFmt w:val="upperRoman"/>
      <w:lvlText w:val="%1."/>
      <w:lvlJc w:val="left"/>
      <w:pPr>
        <w:ind w:left="720" w:hanging="360"/>
      </w:pPr>
    </w:lvl>
    <w:lvl w:ilvl="1">
      <w:start w:val="3"/>
      <w:numFmt w:val="upperRoman"/>
      <w:lvlText w:val="%2."/>
      <w:lvlJc w:val="left"/>
      <w:pPr>
        <w:ind w:left="1440" w:hanging="360"/>
      </w:pPr>
    </w:lvl>
    <w:lvl w:ilvl="2">
      <w:start w:val="3"/>
      <w:numFmt w:val="upperRoman"/>
      <w:lvlText w:val="%3."/>
      <w:lvlJc w:val="left"/>
      <w:pPr>
        <w:ind w:left="2160" w:hanging="360"/>
      </w:pPr>
    </w:lvl>
    <w:lvl w:ilvl="3">
      <w:start w:val="3"/>
      <w:numFmt w:val="upperRoman"/>
      <w:lvlText w:val="%4."/>
      <w:lvlJc w:val="left"/>
      <w:pPr>
        <w:ind w:left="2880" w:hanging="360"/>
      </w:pPr>
    </w:lvl>
    <w:lvl w:ilvl="4">
      <w:start w:val="3"/>
      <w:numFmt w:val="upperRoman"/>
      <w:lvlText w:val="%5."/>
      <w:lvlJc w:val="left"/>
      <w:pPr>
        <w:ind w:left="3600" w:hanging="360"/>
      </w:pPr>
    </w:lvl>
    <w:lvl w:ilvl="5">
      <w:start w:val="3"/>
      <w:numFmt w:val="upperRoman"/>
      <w:lvlText w:val="%6."/>
      <w:lvlJc w:val="left"/>
      <w:pPr>
        <w:ind w:left="4320" w:hanging="360"/>
      </w:pPr>
    </w:lvl>
    <w:lvl w:ilvl="6">
      <w:start w:val="3"/>
      <w:numFmt w:val="upperRoman"/>
      <w:lvlText w:val="%7."/>
      <w:lvlJc w:val="left"/>
      <w:pPr>
        <w:ind w:left="5040" w:hanging="360"/>
      </w:pPr>
    </w:lvl>
    <w:lvl w:ilvl="7">
      <w:start w:val="3"/>
      <w:numFmt w:val="upperRoman"/>
      <w:lvlText w:val="%8."/>
      <w:lvlJc w:val="left"/>
      <w:pPr>
        <w:ind w:left="5760" w:hanging="360"/>
      </w:pPr>
    </w:lvl>
    <w:lvl w:ilvl="8">
      <w:start w:val="3"/>
      <w:numFmt w:val="upperRoman"/>
      <w:lvlText w:val="%9."/>
      <w:lvlJc w:val="left"/>
      <w:pPr>
        <w:ind w:left="6480" w:hanging="360"/>
      </w:pPr>
    </w:lvl>
  </w:abstractNum>
  <w:abstractNum w:abstractNumId="2" w15:restartNumberingAfterBreak="0">
    <w:nsid w:val="248D5F4F"/>
    <w:multiLevelType w:val="multilevel"/>
    <w:tmpl w:val="6AC0E55C"/>
    <w:lvl w:ilvl="0">
      <w:start w:val="9"/>
      <w:numFmt w:val="decimal"/>
      <w:lvlText w:val="%1."/>
      <w:lvlJc w:val="left"/>
      <w:pPr>
        <w:ind w:left="720" w:hanging="360"/>
      </w:pPr>
    </w:lvl>
    <w:lvl w:ilvl="1">
      <w:start w:val="9"/>
      <w:numFmt w:val="decimal"/>
      <w:lvlText w:val="%2."/>
      <w:lvlJc w:val="left"/>
      <w:pPr>
        <w:ind w:left="1440" w:hanging="360"/>
      </w:pPr>
    </w:lvl>
    <w:lvl w:ilvl="2">
      <w:start w:val="9"/>
      <w:numFmt w:val="decimal"/>
      <w:lvlText w:val="%3."/>
      <w:lvlJc w:val="left"/>
      <w:pPr>
        <w:ind w:left="2160" w:hanging="360"/>
      </w:pPr>
    </w:lvl>
    <w:lvl w:ilvl="3">
      <w:start w:val="9"/>
      <w:numFmt w:val="decimal"/>
      <w:lvlText w:val="%4."/>
      <w:lvlJc w:val="left"/>
      <w:pPr>
        <w:ind w:left="2880" w:hanging="360"/>
      </w:pPr>
    </w:lvl>
    <w:lvl w:ilvl="4">
      <w:start w:val="9"/>
      <w:numFmt w:val="decimal"/>
      <w:lvlText w:val="%5."/>
      <w:lvlJc w:val="left"/>
      <w:pPr>
        <w:ind w:left="3600" w:hanging="360"/>
      </w:pPr>
    </w:lvl>
    <w:lvl w:ilvl="5">
      <w:start w:val="9"/>
      <w:numFmt w:val="decimal"/>
      <w:lvlText w:val="%6."/>
      <w:lvlJc w:val="left"/>
      <w:pPr>
        <w:ind w:left="4320" w:hanging="360"/>
      </w:pPr>
    </w:lvl>
    <w:lvl w:ilvl="6">
      <w:start w:val="9"/>
      <w:numFmt w:val="decimal"/>
      <w:lvlText w:val="%7."/>
      <w:lvlJc w:val="left"/>
      <w:pPr>
        <w:ind w:left="5040" w:hanging="360"/>
      </w:pPr>
    </w:lvl>
    <w:lvl w:ilvl="7">
      <w:start w:val="9"/>
      <w:numFmt w:val="decimal"/>
      <w:lvlText w:val="%8."/>
      <w:lvlJc w:val="left"/>
      <w:pPr>
        <w:ind w:left="5760" w:hanging="360"/>
      </w:pPr>
    </w:lvl>
    <w:lvl w:ilvl="8">
      <w:start w:val="9"/>
      <w:numFmt w:val="decimal"/>
      <w:lvlText w:val="%9."/>
      <w:lvlJc w:val="left"/>
      <w:pPr>
        <w:ind w:left="6480" w:hanging="360"/>
      </w:pPr>
    </w:lvl>
  </w:abstractNum>
  <w:abstractNum w:abstractNumId="3" w15:restartNumberingAfterBreak="0">
    <w:nsid w:val="321476AE"/>
    <w:multiLevelType w:val="multilevel"/>
    <w:tmpl w:val="81FC0EDE"/>
    <w:lvl w:ilvl="0">
      <w:start w:val="14"/>
      <w:numFmt w:val="decimal"/>
      <w:lvlText w:val="%1."/>
      <w:lvlJc w:val="left"/>
      <w:pPr>
        <w:ind w:left="720" w:hanging="360"/>
      </w:pPr>
    </w:lvl>
    <w:lvl w:ilvl="1">
      <w:start w:val="14"/>
      <w:numFmt w:val="decimal"/>
      <w:lvlText w:val="%2."/>
      <w:lvlJc w:val="left"/>
      <w:pPr>
        <w:ind w:left="1440" w:hanging="360"/>
      </w:pPr>
    </w:lvl>
    <w:lvl w:ilvl="2">
      <w:start w:val="14"/>
      <w:numFmt w:val="decimal"/>
      <w:lvlText w:val="%3."/>
      <w:lvlJc w:val="left"/>
      <w:pPr>
        <w:ind w:left="2160" w:hanging="360"/>
      </w:pPr>
    </w:lvl>
    <w:lvl w:ilvl="3">
      <w:start w:val="14"/>
      <w:numFmt w:val="decimal"/>
      <w:lvlText w:val="%4."/>
      <w:lvlJc w:val="left"/>
      <w:pPr>
        <w:ind w:left="2880" w:hanging="360"/>
      </w:pPr>
    </w:lvl>
    <w:lvl w:ilvl="4">
      <w:start w:val="14"/>
      <w:numFmt w:val="decimal"/>
      <w:lvlText w:val="%5."/>
      <w:lvlJc w:val="left"/>
      <w:pPr>
        <w:ind w:left="3600" w:hanging="360"/>
      </w:pPr>
    </w:lvl>
    <w:lvl w:ilvl="5">
      <w:start w:val="14"/>
      <w:numFmt w:val="decimal"/>
      <w:lvlText w:val="%6."/>
      <w:lvlJc w:val="left"/>
      <w:pPr>
        <w:ind w:left="4320" w:hanging="360"/>
      </w:pPr>
    </w:lvl>
    <w:lvl w:ilvl="6">
      <w:start w:val="14"/>
      <w:numFmt w:val="decimal"/>
      <w:lvlText w:val="%7."/>
      <w:lvlJc w:val="left"/>
      <w:pPr>
        <w:ind w:left="5040" w:hanging="360"/>
      </w:pPr>
    </w:lvl>
    <w:lvl w:ilvl="7">
      <w:start w:val="14"/>
      <w:numFmt w:val="decimal"/>
      <w:lvlText w:val="%8."/>
      <w:lvlJc w:val="left"/>
      <w:pPr>
        <w:ind w:left="5760" w:hanging="360"/>
      </w:pPr>
    </w:lvl>
    <w:lvl w:ilvl="8">
      <w:start w:val="14"/>
      <w:numFmt w:val="decimal"/>
      <w:lvlText w:val="%9."/>
      <w:lvlJc w:val="left"/>
      <w:pPr>
        <w:ind w:left="6480" w:hanging="360"/>
      </w:pPr>
    </w:lvl>
  </w:abstractNum>
  <w:abstractNum w:abstractNumId="4" w15:restartNumberingAfterBreak="0">
    <w:nsid w:val="37156379"/>
    <w:multiLevelType w:val="multilevel"/>
    <w:tmpl w:val="BF8ABE7E"/>
    <w:lvl w:ilvl="0">
      <w:start w:val="13"/>
      <w:numFmt w:val="decimal"/>
      <w:lvlText w:val="%1."/>
      <w:lvlJc w:val="left"/>
      <w:pPr>
        <w:ind w:left="720" w:hanging="360"/>
      </w:pPr>
    </w:lvl>
    <w:lvl w:ilvl="1">
      <w:start w:val="13"/>
      <w:numFmt w:val="decimal"/>
      <w:lvlText w:val="%2."/>
      <w:lvlJc w:val="left"/>
      <w:pPr>
        <w:ind w:left="1440" w:hanging="360"/>
      </w:pPr>
    </w:lvl>
    <w:lvl w:ilvl="2">
      <w:start w:val="13"/>
      <w:numFmt w:val="decimal"/>
      <w:lvlText w:val="%3."/>
      <w:lvlJc w:val="left"/>
      <w:pPr>
        <w:ind w:left="2160" w:hanging="360"/>
      </w:pPr>
    </w:lvl>
    <w:lvl w:ilvl="3">
      <w:start w:val="13"/>
      <w:numFmt w:val="decimal"/>
      <w:lvlText w:val="%4."/>
      <w:lvlJc w:val="left"/>
      <w:pPr>
        <w:ind w:left="2880" w:hanging="360"/>
      </w:pPr>
    </w:lvl>
    <w:lvl w:ilvl="4">
      <w:start w:val="13"/>
      <w:numFmt w:val="decimal"/>
      <w:lvlText w:val="%5."/>
      <w:lvlJc w:val="left"/>
      <w:pPr>
        <w:ind w:left="3600" w:hanging="360"/>
      </w:pPr>
    </w:lvl>
    <w:lvl w:ilvl="5">
      <w:start w:val="13"/>
      <w:numFmt w:val="decimal"/>
      <w:lvlText w:val="%6."/>
      <w:lvlJc w:val="left"/>
      <w:pPr>
        <w:ind w:left="4320" w:hanging="360"/>
      </w:pPr>
    </w:lvl>
    <w:lvl w:ilvl="6">
      <w:start w:val="13"/>
      <w:numFmt w:val="decimal"/>
      <w:lvlText w:val="%7."/>
      <w:lvlJc w:val="left"/>
      <w:pPr>
        <w:ind w:left="5040" w:hanging="360"/>
      </w:pPr>
    </w:lvl>
    <w:lvl w:ilvl="7">
      <w:start w:val="13"/>
      <w:numFmt w:val="decimal"/>
      <w:lvlText w:val="%8."/>
      <w:lvlJc w:val="left"/>
      <w:pPr>
        <w:ind w:left="5760" w:hanging="360"/>
      </w:pPr>
    </w:lvl>
    <w:lvl w:ilvl="8">
      <w:start w:val="13"/>
      <w:numFmt w:val="decimal"/>
      <w:lvlText w:val="%9."/>
      <w:lvlJc w:val="left"/>
      <w:pPr>
        <w:ind w:left="6480" w:hanging="360"/>
      </w:pPr>
    </w:lvl>
  </w:abstractNum>
  <w:abstractNum w:abstractNumId="5" w15:restartNumberingAfterBreak="0">
    <w:nsid w:val="400372FB"/>
    <w:multiLevelType w:val="multilevel"/>
    <w:tmpl w:val="AD42712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7780AF7"/>
    <w:multiLevelType w:val="multilevel"/>
    <w:tmpl w:val="B3BA7558"/>
    <w:lvl w:ilvl="0">
      <w:start w:val="7"/>
      <w:numFmt w:val="decimal"/>
      <w:lvlText w:val="%1."/>
      <w:lvlJc w:val="left"/>
      <w:pPr>
        <w:ind w:left="720" w:hanging="360"/>
      </w:pPr>
    </w:lvl>
    <w:lvl w:ilvl="1">
      <w:start w:val="7"/>
      <w:numFmt w:val="decimal"/>
      <w:lvlText w:val="%2."/>
      <w:lvlJc w:val="left"/>
      <w:pPr>
        <w:ind w:left="1440" w:hanging="360"/>
      </w:pPr>
    </w:lvl>
    <w:lvl w:ilvl="2">
      <w:start w:val="7"/>
      <w:numFmt w:val="decimal"/>
      <w:lvlText w:val="%3."/>
      <w:lvlJc w:val="left"/>
      <w:pPr>
        <w:ind w:left="2160" w:hanging="360"/>
      </w:pPr>
    </w:lvl>
    <w:lvl w:ilvl="3">
      <w:start w:val="7"/>
      <w:numFmt w:val="decimal"/>
      <w:lvlText w:val="%4."/>
      <w:lvlJc w:val="left"/>
      <w:pPr>
        <w:ind w:left="2880" w:hanging="360"/>
      </w:pPr>
    </w:lvl>
    <w:lvl w:ilvl="4">
      <w:start w:val="7"/>
      <w:numFmt w:val="decimal"/>
      <w:lvlText w:val="%5."/>
      <w:lvlJc w:val="left"/>
      <w:pPr>
        <w:ind w:left="3600" w:hanging="360"/>
      </w:pPr>
    </w:lvl>
    <w:lvl w:ilvl="5">
      <w:start w:val="7"/>
      <w:numFmt w:val="decimal"/>
      <w:lvlText w:val="%6."/>
      <w:lvlJc w:val="left"/>
      <w:pPr>
        <w:ind w:left="4320" w:hanging="360"/>
      </w:pPr>
    </w:lvl>
    <w:lvl w:ilvl="6">
      <w:start w:val="7"/>
      <w:numFmt w:val="decimal"/>
      <w:lvlText w:val="%7."/>
      <w:lvlJc w:val="left"/>
      <w:pPr>
        <w:ind w:left="5040" w:hanging="360"/>
      </w:pPr>
    </w:lvl>
    <w:lvl w:ilvl="7">
      <w:start w:val="7"/>
      <w:numFmt w:val="decimal"/>
      <w:lvlText w:val="%8."/>
      <w:lvlJc w:val="left"/>
      <w:pPr>
        <w:ind w:left="5760" w:hanging="360"/>
      </w:pPr>
    </w:lvl>
    <w:lvl w:ilvl="8">
      <w:start w:val="7"/>
      <w:numFmt w:val="decimal"/>
      <w:lvlText w:val="%9."/>
      <w:lvlJc w:val="left"/>
      <w:pPr>
        <w:ind w:left="6480" w:hanging="360"/>
      </w:pPr>
    </w:lvl>
  </w:abstractNum>
  <w:abstractNum w:abstractNumId="7" w15:restartNumberingAfterBreak="0">
    <w:nsid w:val="48CF7B23"/>
    <w:multiLevelType w:val="multilevel"/>
    <w:tmpl w:val="8A3A67AA"/>
    <w:lvl w:ilvl="0">
      <w:start w:val="11"/>
      <w:numFmt w:val="decimal"/>
      <w:lvlText w:val="%1."/>
      <w:lvlJc w:val="left"/>
      <w:pPr>
        <w:ind w:left="720" w:hanging="360"/>
      </w:pPr>
    </w:lvl>
    <w:lvl w:ilvl="1">
      <w:start w:val="11"/>
      <w:numFmt w:val="decimal"/>
      <w:lvlText w:val="%2."/>
      <w:lvlJc w:val="left"/>
      <w:pPr>
        <w:ind w:left="1440" w:hanging="360"/>
      </w:pPr>
    </w:lvl>
    <w:lvl w:ilvl="2">
      <w:start w:val="11"/>
      <w:numFmt w:val="decimal"/>
      <w:lvlText w:val="%3."/>
      <w:lvlJc w:val="left"/>
      <w:pPr>
        <w:ind w:left="2160" w:hanging="360"/>
      </w:pPr>
    </w:lvl>
    <w:lvl w:ilvl="3">
      <w:start w:val="11"/>
      <w:numFmt w:val="decimal"/>
      <w:lvlText w:val="%4."/>
      <w:lvlJc w:val="left"/>
      <w:pPr>
        <w:ind w:left="2880" w:hanging="360"/>
      </w:pPr>
    </w:lvl>
    <w:lvl w:ilvl="4">
      <w:start w:val="11"/>
      <w:numFmt w:val="decimal"/>
      <w:lvlText w:val="%5."/>
      <w:lvlJc w:val="left"/>
      <w:pPr>
        <w:ind w:left="3600" w:hanging="360"/>
      </w:pPr>
    </w:lvl>
    <w:lvl w:ilvl="5">
      <w:start w:val="11"/>
      <w:numFmt w:val="decimal"/>
      <w:lvlText w:val="%6."/>
      <w:lvlJc w:val="left"/>
      <w:pPr>
        <w:ind w:left="4320" w:hanging="360"/>
      </w:pPr>
    </w:lvl>
    <w:lvl w:ilvl="6">
      <w:start w:val="11"/>
      <w:numFmt w:val="decimal"/>
      <w:lvlText w:val="%7."/>
      <w:lvlJc w:val="left"/>
      <w:pPr>
        <w:ind w:left="5040" w:hanging="360"/>
      </w:pPr>
    </w:lvl>
    <w:lvl w:ilvl="7">
      <w:start w:val="11"/>
      <w:numFmt w:val="decimal"/>
      <w:lvlText w:val="%8."/>
      <w:lvlJc w:val="left"/>
      <w:pPr>
        <w:ind w:left="5760" w:hanging="360"/>
      </w:pPr>
    </w:lvl>
    <w:lvl w:ilvl="8">
      <w:start w:val="11"/>
      <w:numFmt w:val="decimal"/>
      <w:lvlText w:val="%9."/>
      <w:lvlJc w:val="left"/>
      <w:pPr>
        <w:ind w:left="6480" w:hanging="360"/>
      </w:pPr>
    </w:lvl>
  </w:abstractNum>
  <w:abstractNum w:abstractNumId="8" w15:restartNumberingAfterBreak="0">
    <w:nsid w:val="5767453F"/>
    <w:multiLevelType w:val="multilevel"/>
    <w:tmpl w:val="6D5017A2"/>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9" w15:restartNumberingAfterBreak="0">
    <w:nsid w:val="5B90643C"/>
    <w:multiLevelType w:val="multilevel"/>
    <w:tmpl w:val="33081C64"/>
    <w:lvl w:ilvl="0">
      <w:start w:val="3"/>
      <w:numFmt w:val="decimal"/>
      <w:lvlText w:val="%1."/>
      <w:lvlJc w:val="left"/>
      <w:pPr>
        <w:ind w:left="720" w:hanging="360"/>
      </w:pPr>
    </w:lvl>
    <w:lvl w:ilvl="1">
      <w:start w:val="3"/>
      <w:numFmt w:val="decimal"/>
      <w:lvlText w:val="%2."/>
      <w:lvlJc w:val="left"/>
      <w:pPr>
        <w:ind w:left="1440" w:hanging="360"/>
      </w:pPr>
    </w:lvl>
    <w:lvl w:ilvl="2">
      <w:start w:val="3"/>
      <w:numFmt w:val="decimal"/>
      <w:lvlText w:val="%3."/>
      <w:lvlJc w:val="left"/>
      <w:pPr>
        <w:ind w:left="2160" w:hanging="360"/>
      </w:pPr>
    </w:lvl>
    <w:lvl w:ilvl="3">
      <w:start w:val="3"/>
      <w:numFmt w:val="decimal"/>
      <w:lvlText w:val="%4."/>
      <w:lvlJc w:val="left"/>
      <w:pPr>
        <w:ind w:left="2880" w:hanging="360"/>
      </w:pPr>
    </w:lvl>
    <w:lvl w:ilvl="4">
      <w:start w:val="3"/>
      <w:numFmt w:val="decimal"/>
      <w:lvlText w:val="%5."/>
      <w:lvlJc w:val="left"/>
      <w:pPr>
        <w:ind w:left="3600" w:hanging="360"/>
      </w:pPr>
    </w:lvl>
    <w:lvl w:ilvl="5">
      <w:start w:val="3"/>
      <w:numFmt w:val="decimal"/>
      <w:lvlText w:val="%6."/>
      <w:lvlJc w:val="left"/>
      <w:pPr>
        <w:ind w:left="4320" w:hanging="360"/>
      </w:pPr>
    </w:lvl>
    <w:lvl w:ilvl="6">
      <w:start w:val="3"/>
      <w:numFmt w:val="decimal"/>
      <w:lvlText w:val="%7."/>
      <w:lvlJc w:val="left"/>
      <w:pPr>
        <w:ind w:left="5040" w:hanging="360"/>
      </w:pPr>
    </w:lvl>
    <w:lvl w:ilvl="7">
      <w:start w:val="3"/>
      <w:numFmt w:val="decimal"/>
      <w:lvlText w:val="%8."/>
      <w:lvlJc w:val="left"/>
      <w:pPr>
        <w:ind w:left="5760" w:hanging="360"/>
      </w:pPr>
    </w:lvl>
    <w:lvl w:ilvl="8">
      <w:start w:val="3"/>
      <w:numFmt w:val="decimal"/>
      <w:lvlText w:val="%9."/>
      <w:lvlJc w:val="left"/>
      <w:pPr>
        <w:ind w:left="6480" w:hanging="360"/>
      </w:pPr>
    </w:lvl>
  </w:abstractNum>
  <w:abstractNum w:abstractNumId="10" w15:restartNumberingAfterBreak="0">
    <w:nsid w:val="5CFD12AE"/>
    <w:multiLevelType w:val="multilevel"/>
    <w:tmpl w:val="83D6493A"/>
    <w:lvl w:ilvl="0">
      <w:start w:val="6"/>
      <w:numFmt w:val="upperRoman"/>
      <w:lvlText w:val="%1."/>
      <w:lvlJc w:val="left"/>
      <w:pPr>
        <w:ind w:left="720" w:hanging="360"/>
      </w:pPr>
    </w:lvl>
    <w:lvl w:ilvl="1">
      <w:start w:val="6"/>
      <w:numFmt w:val="upperRoman"/>
      <w:lvlText w:val="%2."/>
      <w:lvlJc w:val="left"/>
      <w:pPr>
        <w:ind w:left="1440" w:hanging="360"/>
      </w:pPr>
    </w:lvl>
    <w:lvl w:ilvl="2">
      <w:start w:val="6"/>
      <w:numFmt w:val="upperRoman"/>
      <w:lvlText w:val="%3."/>
      <w:lvlJc w:val="left"/>
      <w:pPr>
        <w:ind w:left="2160" w:hanging="360"/>
      </w:pPr>
    </w:lvl>
    <w:lvl w:ilvl="3">
      <w:start w:val="6"/>
      <w:numFmt w:val="upperRoman"/>
      <w:lvlText w:val="%4."/>
      <w:lvlJc w:val="left"/>
      <w:pPr>
        <w:ind w:left="2880" w:hanging="360"/>
      </w:pPr>
    </w:lvl>
    <w:lvl w:ilvl="4">
      <w:start w:val="6"/>
      <w:numFmt w:val="upperRoman"/>
      <w:lvlText w:val="%5."/>
      <w:lvlJc w:val="left"/>
      <w:pPr>
        <w:ind w:left="3600" w:hanging="360"/>
      </w:pPr>
    </w:lvl>
    <w:lvl w:ilvl="5">
      <w:start w:val="6"/>
      <w:numFmt w:val="upperRoman"/>
      <w:lvlText w:val="%6."/>
      <w:lvlJc w:val="left"/>
      <w:pPr>
        <w:ind w:left="4320" w:hanging="360"/>
      </w:pPr>
    </w:lvl>
    <w:lvl w:ilvl="6">
      <w:start w:val="6"/>
      <w:numFmt w:val="upperRoman"/>
      <w:lvlText w:val="%7."/>
      <w:lvlJc w:val="left"/>
      <w:pPr>
        <w:ind w:left="5040" w:hanging="360"/>
      </w:pPr>
    </w:lvl>
    <w:lvl w:ilvl="7">
      <w:start w:val="6"/>
      <w:numFmt w:val="upperRoman"/>
      <w:lvlText w:val="%8."/>
      <w:lvlJc w:val="left"/>
      <w:pPr>
        <w:ind w:left="5760" w:hanging="360"/>
      </w:pPr>
    </w:lvl>
    <w:lvl w:ilvl="8">
      <w:start w:val="6"/>
      <w:numFmt w:val="upperRoman"/>
      <w:lvlText w:val="%9."/>
      <w:lvlJc w:val="left"/>
      <w:pPr>
        <w:ind w:left="6480" w:hanging="360"/>
      </w:pPr>
    </w:lvl>
  </w:abstractNum>
  <w:abstractNum w:abstractNumId="11" w15:restartNumberingAfterBreak="0">
    <w:nsid w:val="5F934259"/>
    <w:multiLevelType w:val="multilevel"/>
    <w:tmpl w:val="140C53A6"/>
    <w:lvl w:ilvl="0">
      <w:start w:val="4"/>
      <w:numFmt w:val="upperRoman"/>
      <w:lvlText w:val="%1."/>
      <w:lvlJc w:val="left"/>
      <w:pPr>
        <w:ind w:left="720" w:hanging="360"/>
      </w:pPr>
    </w:lvl>
    <w:lvl w:ilvl="1">
      <w:start w:val="4"/>
      <w:numFmt w:val="upperRoman"/>
      <w:lvlText w:val="%2."/>
      <w:lvlJc w:val="left"/>
      <w:pPr>
        <w:ind w:left="1440" w:hanging="360"/>
      </w:pPr>
    </w:lvl>
    <w:lvl w:ilvl="2">
      <w:start w:val="4"/>
      <w:numFmt w:val="upperRoman"/>
      <w:lvlText w:val="%3."/>
      <w:lvlJc w:val="left"/>
      <w:pPr>
        <w:ind w:left="2160" w:hanging="360"/>
      </w:pPr>
    </w:lvl>
    <w:lvl w:ilvl="3">
      <w:start w:val="4"/>
      <w:numFmt w:val="upperRoman"/>
      <w:lvlText w:val="%4."/>
      <w:lvlJc w:val="left"/>
      <w:pPr>
        <w:ind w:left="2880" w:hanging="360"/>
      </w:pPr>
    </w:lvl>
    <w:lvl w:ilvl="4">
      <w:start w:val="4"/>
      <w:numFmt w:val="upperRoman"/>
      <w:lvlText w:val="%5."/>
      <w:lvlJc w:val="left"/>
      <w:pPr>
        <w:ind w:left="3600" w:hanging="360"/>
      </w:pPr>
    </w:lvl>
    <w:lvl w:ilvl="5">
      <w:start w:val="4"/>
      <w:numFmt w:val="upperRoman"/>
      <w:lvlText w:val="%6."/>
      <w:lvlJc w:val="left"/>
      <w:pPr>
        <w:ind w:left="4320" w:hanging="360"/>
      </w:pPr>
    </w:lvl>
    <w:lvl w:ilvl="6">
      <w:start w:val="4"/>
      <w:numFmt w:val="upperRoman"/>
      <w:lvlText w:val="%7."/>
      <w:lvlJc w:val="left"/>
      <w:pPr>
        <w:ind w:left="5040" w:hanging="360"/>
      </w:pPr>
    </w:lvl>
    <w:lvl w:ilvl="7">
      <w:start w:val="4"/>
      <w:numFmt w:val="upperRoman"/>
      <w:lvlText w:val="%8."/>
      <w:lvlJc w:val="left"/>
      <w:pPr>
        <w:ind w:left="5760" w:hanging="360"/>
      </w:pPr>
    </w:lvl>
    <w:lvl w:ilvl="8">
      <w:start w:val="4"/>
      <w:numFmt w:val="upperRoman"/>
      <w:lvlText w:val="%9."/>
      <w:lvlJc w:val="left"/>
      <w:pPr>
        <w:ind w:left="6480" w:hanging="360"/>
      </w:pPr>
    </w:lvl>
  </w:abstractNum>
  <w:abstractNum w:abstractNumId="12" w15:restartNumberingAfterBreak="0">
    <w:nsid w:val="65A4050A"/>
    <w:multiLevelType w:val="multilevel"/>
    <w:tmpl w:val="2168F626"/>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13" w15:restartNumberingAfterBreak="0">
    <w:nsid w:val="69DA0B44"/>
    <w:multiLevelType w:val="multilevel"/>
    <w:tmpl w:val="B0FAFDAC"/>
    <w:lvl w:ilvl="0">
      <w:start w:val="6"/>
      <w:numFmt w:val="decimal"/>
      <w:lvlText w:val="%1."/>
      <w:lvlJc w:val="left"/>
      <w:pPr>
        <w:ind w:left="720" w:hanging="360"/>
      </w:pPr>
    </w:lvl>
    <w:lvl w:ilvl="1">
      <w:start w:val="6"/>
      <w:numFmt w:val="decimal"/>
      <w:lvlText w:val="%2."/>
      <w:lvlJc w:val="left"/>
      <w:pPr>
        <w:ind w:left="1440" w:hanging="360"/>
      </w:pPr>
    </w:lvl>
    <w:lvl w:ilvl="2">
      <w:start w:val="6"/>
      <w:numFmt w:val="decimal"/>
      <w:lvlText w:val="%3."/>
      <w:lvlJc w:val="left"/>
      <w:pPr>
        <w:ind w:left="2160" w:hanging="360"/>
      </w:pPr>
    </w:lvl>
    <w:lvl w:ilvl="3">
      <w:start w:val="6"/>
      <w:numFmt w:val="decimal"/>
      <w:lvlText w:val="%4."/>
      <w:lvlJc w:val="left"/>
      <w:pPr>
        <w:ind w:left="2880" w:hanging="360"/>
      </w:pPr>
    </w:lvl>
    <w:lvl w:ilvl="4">
      <w:start w:val="6"/>
      <w:numFmt w:val="decimal"/>
      <w:lvlText w:val="%5."/>
      <w:lvlJc w:val="left"/>
      <w:pPr>
        <w:ind w:left="3600" w:hanging="360"/>
      </w:pPr>
    </w:lvl>
    <w:lvl w:ilvl="5">
      <w:start w:val="6"/>
      <w:numFmt w:val="decimal"/>
      <w:lvlText w:val="%6."/>
      <w:lvlJc w:val="left"/>
      <w:pPr>
        <w:ind w:left="4320" w:hanging="360"/>
      </w:pPr>
    </w:lvl>
    <w:lvl w:ilvl="6">
      <w:start w:val="6"/>
      <w:numFmt w:val="decimal"/>
      <w:lvlText w:val="%7."/>
      <w:lvlJc w:val="left"/>
      <w:pPr>
        <w:ind w:left="5040" w:hanging="360"/>
      </w:pPr>
    </w:lvl>
    <w:lvl w:ilvl="7">
      <w:start w:val="6"/>
      <w:numFmt w:val="decimal"/>
      <w:lvlText w:val="%8."/>
      <w:lvlJc w:val="left"/>
      <w:pPr>
        <w:ind w:left="5760" w:hanging="360"/>
      </w:pPr>
    </w:lvl>
    <w:lvl w:ilvl="8">
      <w:start w:val="6"/>
      <w:numFmt w:val="decimal"/>
      <w:lvlText w:val="%9."/>
      <w:lvlJc w:val="left"/>
      <w:pPr>
        <w:ind w:left="6480" w:hanging="360"/>
      </w:pPr>
    </w:lvl>
  </w:abstractNum>
  <w:abstractNum w:abstractNumId="14" w15:restartNumberingAfterBreak="0">
    <w:nsid w:val="716D358B"/>
    <w:multiLevelType w:val="multilevel"/>
    <w:tmpl w:val="AC46AE7C"/>
    <w:lvl w:ilvl="0">
      <w:start w:val="12"/>
      <w:numFmt w:val="decimal"/>
      <w:lvlText w:val="%1."/>
      <w:lvlJc w:val="left"/>
      <w:pPr>
        <w:ind w:left="720" w:hanging="360"/>
      </w:pPr>
    </w:lvl>
    <w:lvl w:ilvl="1">
      <w:start w:val="12"/>
      <w:numFmt w:val="decimal"/>
      <w:lvlText w:val="%2."/>
      <w:lvlJc w:val="left"/>
      <w:pPr>
        <w:ind w:left="1440" w:hanging="360"/>
      </w:pPr>
    </w:lvl>
    <w:lvl w:ilvl="2">
      <w:start w:val="12"/>
      <w:numFmt w:val="decimal"/>
      <w:lvlText w:val="%3."/>
      <w:lvlJc w:val="left"/>
      <w:pPr>
        <w:ind w:left="2160" w:hanging="360"/>
      </w:pPr>
    </w:lvl>
    <w:lvl w:ilvl="3">
      <w:start w:val="12"/>
      <w:numFmt w:val="decimal"/>
      <w:lvlText w:val="%4."/>
      <w:lvlJc w:val="left"/>
      <w:pPr>
        <w:ind w:left="2880" w:hanging="360"/>
      </w:pPr>
    </w:lvl>
    <w:lvl w:ilvl="4">
      <w:start w:val="12"/>
      <w:numFmt w:val="decimal"/>
      <w:lvlText w:val="%5."/>
      <w:lvlJc w:val="left"/>
      <w:pPr>
        <w:ind w:left="3600" w:hanging="360"/>
      </w:pPr>
    </w:lvl>
    <w:lvl w:ilvl="5">
      <w:start w:val="12"/>
      <w:numFmt w:val="decimal"/>
      <w:lvlText w:val="%6."/>
      <w:lvlJc w:val="left"/>
      <w:pPr>
        <w:ind w:left="4320" w:hanging="360"/>
      </w:pPr>
    </w:lvl>
    <w:lvl w:ilvl="6">
      <w:start w:val="12"/>
      <w:numFmt w:val="decimal"/>
      <w:lvlText w:val="%7."/>
      <w:lvlJc w:val="left"/>
      <w:pPr>
        <w:ind w:left="5040" w:hanging="360"/>
      </w:pPr>
    </w:lvl>
    <w:lvl w:ilvl="7">
      <w:start w:val="12"/>
      <w:numFmt w:val="decimal"/>
      <w:lvlText w:val="%8."/>
      <w:lvlJc w:val="left"/>
      <w:pPr>
        <w:ind w:left="5760" w:hanging="360"/>
      </w:pPr>
    </w:lvl>
    <w:lvl w:ilvl="8">
      <w:start w:val="12"/>
      <w:numFmt w:val="decimal"/>
      <w:lvlText w:val="%9."/>
      <w:lvlJc w:val="left"/>
      <w:pPr>
        <w:ind w:left="6480" w:hanging="360"/>
      </w:pPr>
    </w:lvl>
  </w:abstractNum>
  <w:abstractNum w:abstractNumId="15" w15:restartNumberingAfterBreak="0">
    <w:nsid w:val="7B931C6A"/>
    <w:multiLevelType w:val="multilevel"/>
    <w:tmpl w:val="A75E4CFE"/>
    <w:lvl w:ilvl="0">
      <w:start w:val="10"/>
      <w:numFmt w:val="decimal"/>
      <w:lvlText w:val="%1."/>
      <w:lvlJc w:val="left"/>
      <w:pPr>
        <w:ind w:left="720" w:hanging="360"/>
      </w:pPr>
    </w:lvl>
    <w:lvl w:ilvl="1">
      <w:start w:val="10"/>
      <w:numFmt w:val="decimal"/>
      <w:lvlText w:val="%2."/>
      <w:lvlJc w:val="left"/>
      <w:pPr>
        <w:ind w:left="1440" w:hanging="360"/>
      </w:pPr>
    </w:lvl>
    <w:lvl w:ilvl="2">
      <w:start w:val="10"/>
      <w:numFmt w:val="decimal"/>
      <w:lvlText w:val="%3."/>
      <w:lvlJc w:val="left"/>
      <w:pPr>
        <w:ind w:left="2160" w:hanging="360"/>
      </w:pPr>
    </w:lvl>
    <w:lvl w:ilvl="3">
      <w:start w:val="10"/>
      <w:numFmt w:val="decimal"/>
      <w:lvlText w:val="%4."/>
      <w:lvlJc w:val="left"/>
      <w:pPr>
        <w:ind w:left="2880" w:hanging="360"/>
      </w:pPr>
    </w:lvl>
    <w:lvl w:ilvl="4">
      <w:start w:val="10"/>
      <w:numFmt w:val="decimal"/>
      <w:lvlText w:val="%5."/>
      <w:lvlJc w:val="left"/>
      <w:pPr>
        <w:ind w:left="3600" w:hanging="360"/>
      </w:pPr>
    </w:lvl>
    <w:lvl w:ilvl="5">
      <w:start w:val="10"/>
      <w:numFmt w:val="decimal"/>
      <w:lvlText w:val="%6."/>
      <w:lvlJc w:val="left"/>
      <w:pPr>
        <w:ind w:left="4320" w:hanging="360"/>
      </w:pPr>
    </w:lvl>
    <w:lvl w:ilvl="6">
      <w:start w:val="10"/>
      <w:numFmt w:val="decimal"/>
      <w:lvlText w:val="%7."/>
      <w:lvlJc w:val="left"/>
      <w:pPr>
        <w:ind w:left="5040" w:hanging="360"/>
      </w:pPr>
    </w:lvl>
    <w:lvl w:ilvl="7">
      <w:start w:val="10"/>
      <w:numFmt w:val="decimal"/>
      <w:lvlText w:val="%8."/>
      <w:lvlJc w:val="left"/>
      <w:pPr>
        <w:ind w:left="5760" w:hanging="360"/>
      </w:pPr>
    </w:lvl>
    <w:lvl w:ilvl="8">
      <w:start w:val="10"/>
      <w:numFmt w:val="decimal"/>
      <w:lvlText w:val="%9."/>
      <w:lvlJc w:val="left"/>
      <w:pPr>
        <w:ind w:left="6480" w:hanging="360"/>
      </w:pPr>
    </w:lvl>
  </w:abstractNum>
  <w:abstractNum w:abstractNumId="16" w15:restartNumberingAfterBreak="0">
    <w:nsid w:val="7BF1314D"/>
    <w:multiLevelType w:val="multilevel"/>
    <w:tmpl w:val="1430DF6E"/>
    <w:lvl w:ilvl="0">
      <w:start w:val="8"/>
      <w:numFmt w:val="decimal"/>
      <w:lvlText w:val="%1."/>
      <w:lvlJc w:val="left"/>
      <w:pPr>
        <w:ind w:left="720" w:hanging="360"/>
      </w:pPr>
    </w:lvl>
    <w:lvl w:ilvl="1">
      <w:start w:val="8"/>
      <w:numFmt w:val="decimal"/>
      <w:lvlText w:val="%2."/>
      <w:lvlJc w:val="left"/>
      <w:pPr>
        <w:ind w:left="1440" w:hanging="360"/>
      </w:pPr>
    </w:lvl>
    <w:lvl w:ilvl="2">
      <w:start w:val="8"/>
      <w:numFmt w:val="decimal"/>
      <w:lvlText w:val="%3."/>
      <w:lvlJc w:val="left"/>
      <w:pPr>
        <w:ind w:left="2160" w:hanging="360"/>
      </w:pPr>
    </w:lvl>
    <w:lvl w:ilvl="3">
      <w:start w:val="8"/>
      <w:numFmt w:val="decimal"/>
      <w:lvlText w:val="%4."/>
      <w:lvlJc w:val="left"/>
      <w:pPr>
        <w:ind w:left="2880" w:hanging="360"/>
      </w:pPr>
    </w:lvl>
    <w:lvl w:ilvl="4">
      <w:start w:val="8"/>
      <w:numFmt w:val="decimal"/>
      <w:lvlText w:val="%5."/>
      <w:lvlJc w:val="left"/>
      <w:pPr>
        <w:ind w:left="3600" w:hanging="360"/>
      </w:pPr>
    </w:lvl>
    <w:lvl w:ilvl="5">
      <w:start w:val="8"/>
      <w:numFmt w:val="decimal"/>
      <w:lvlText w:val="%6."/>
      <w:lvlJc w:val="left"/>
      <w:pPr>
        <w:ind w:left="4320" w:hanging="360"/>
      </w:pPr>
    </w:lvl>
    <w:lvl w:ilvl="6">
      <w:start w:val="8"/>
      <w:numFmt w:val="decimal"/>
      <w:lvlText w:val="%7."/>
      <w:lvlJc w:val="left"/>
      <w:pPr>
        <w:ind w:left="5040" w:hanging="360"/>
      </w:pPr>
    </w:lvl>
    <w:lvl w:ilvl="7">
      <w:start w:val="8"/>
      <w:numFmt w:val="decimal"/>
      <w:lvlText w:val="%8."/>
      <w:lvlJc w:val="left"/>
      <w:pPr>
        <w:ind w:left="5760" w:hanging="360"/>
      </w:pPr>
    </w:lvl>
    <w:lvl w:ilvl="8">
      <w:start w:val="8"/>
      <w:numFmt w:val="decimal"/>
      <w:lvlText w:val="%9."/>
      <w:lvlJc w:val="left"/>
      <w:pPr>
        <w:ind w:left="6480" w:hanging="360"/>
      </w:pPr>
    </w:lvl>
  </w:abstractNum>
  <w:abstractNum w:abstractNumId="17" w15:restartNumberingAfterBreak="0">
    <w:nsid w:val="7C4F269B"/>
    <w:multiLevelType w:val="multilevel"/>
    <w:tmpl w:val="5E60F086"/>
    <w:lvl w:ilvl="0">
      <w:start w:val="5"/>
      <w:numFmt w:val="decimal"/>
      <w:lvlText w:val="%1."/>
      <w:lvlJc w:val="left"/>
      <w:pPr>
        <w:ind w:left="720" w:hanging="360"/>
      </w:pPr>
    </w:lvl>
    <w:lvl w:ilvl="1">
      <w:start w:val="5"/>
      <w:numFmt w:val="decimal"/>
      <w:lvlText w:val="%2."/>
      <w:lvlJc w:val="left"/>
      <w:pPr>
        <w:ind w:left="1440" w:hanging="360"/>
      </w:pPr>
    </w:lvl>
    <w:lvl w:ilvl="2">
      <w:start w:val="5"/>
      <w:numFmt w:val="decimal"/>
      <w:lvlText w:val="%3."/>
      <w:lvlJc w:val="left"/>
      <w:pPr>
        <w:ind w:left="2160" w:hanging="360"/>
      </w:pPr>
    </w:lvl>
    <w:lvl w:ilvl="3">
      <w:start w:val="5"/>
      <w:numFmt w:val="decimal"/>
      <w:lvlText w:val="%4."/>
      <w:lvlJc w:val="left"/>
      <w:pPr>
        <w:ind w:left="2880" w:hanging="360"/>
      </w:pPr>
    </w:lvl>
    <w:lvl w:ilvl="4">
      <w:start w:val="5"/>
      <w:numFmt w:val="decimal"/>
      <w:lvlText w:val="%5."/>
      <w:lvlJc w:val="left"/>
      <w:pPr>
        <w:ind w:left="3600" w:hanging="360"/>
      </w:pPr>
    </w:lvl>
    <w:lvl w:ilvl="5">
      <w:start w:val="5"/>
      <w:numFmt w:val="decimal"/>
      <w:lvlText w:val="%6."/>
      <w:lvlJc w:val="left"/>
      <w:pPr>
        <w:ind w:left="4320" w:hanging="360"/>
      </w:pPr>
    </w:lvl>
    <w:lvl w:ilvl="6">
      <w:start w:val="5"/>
      <w:numFmt w:val="decimal"/>
      <w:lvlText w:val="%7."/>
      <w:lvlJc w:val="left"/>
      <w:pPr>
        <w:ind w:left="5040" w:hanging="360"/>
      </w:pPr>
    </w:lvl>
    <w:lvl w:ilvl="7">
      <w:start w:val="5"/>
      <w:numFmt w:val="decimal"/>
      <w:lvlText w:val="%8."/>
      <w:lvlJc w:val="left"/>
      <w:pPr>
        <w:ind w:left="5760" w:hanging="360"/>
      </w:pPr>
    </w:lvl>
    <w:lvl w:ilvl="8">
      <w:start w:val="5"/>
      <w:numFmt w:val="decimal"/>
      <w:lvlText w:val="%9."/>
      <w:lvlJc w:val="left"/>
      <w:pPr>
        <w:ind w:left="6480" w:hanging="360"/>
      </w:pPr>
    </w:lvl>
  </w:abstractNum>
  <w:num w:numId="1" w16cid:durableId="973371168">
    <w:abstractNumId w:val="13"/>
  </w:num>
  <w:num w:numId="2" w16cid:durableId="1770663088">
    <w:abstractNumId w:val="6"/>
  </w:num>
  <w:num w:numId="3" w16cid:durableId="1810434952">
    <w:abstractNumId w:val="16"/>
  </w:num>
  <w:num w:numId="4" w16cid:durableId="361707016">
    <w:abstractNumId w:val="2"/>
  </w:num>
  <w:num w:numId="5" w16cid:durableId="1940216174">
    <w:abstractNumId w:val="15"/>
  </w:num>
  <w:num w:numId="6" w16cid:durableId="1634213627">
    <w:abstractNumId w:val="7"/>
  </w:num>
  <w:num w:numId="7" w16cid:durableId="344484468">
    <w:abstractNumId w:val="14"/>
  </w:num>
  <w:num w:numId="8" w16cid:durableId="315691735">
    <w:abstractNumId w:val="4"/>
  </w:num>
  <w:num w:numId="9" w16cid:durableId="1799301116">
    <w:abstractNumId w:val="3"/>
  </w:num>
  <w:num w:numId="10" w16cid:durableId="243607874">
    <w:abstractNumId w:val="10"/>
  </w:num>
  <w:num w:numId="11" w16cid:durableId="423763247">
    <w:abstractNumId w:val="0"/>
  </w:num>
  <w:num w:numId="12" w16cid:durableId="1495759596">
    <w:abstractNumId w:val="1"/>
  </w:num>
  <w:num w:numId="13" w16cid:durableId="1782258999">
    <w:abstractNumId w:val="11"/>
  </w:num>
  <w:num w:numId="14" w16cid:durableId="1503009019">
    <w:abstractNumId w:val="5"/>
  </w:num>
  <w:num w:numId="15" w16cid:durableId="1164779215">
    <w:abstractNumId w:val="8"/>
  </w:num>
  <w:num w:numId="16" w16cid:durableId="1347444986">
    <w:abstractNumId w:val="9"/>
  </w:num>
  <w:num w:numId="17" w16cid:durableId="1938906034">
    <w:abstractNumId w:val="12"/>
  </w:num>
  <w:num w:numId="18" w16cid:durableId="6277353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DBA"/>
    <w:rsid w:val="004D72CF"/>
    <w:rsid w:val="007F7F12"/>
    <w:rsid w:val="00CF6A34"/>
    <w:rsid w:val="00FB3DBA"/>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23ABA"/>
  <w15:docId w15:val="{CC8B3A56-99CE-40EF-8D3C-9BCC1F187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zh-CN"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80" w:after="180"/>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36" w:after="36"/>
      <w:ind w:left="720" w:hanging="360"/>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180" w:after="180"/>
      <w:jc w:val="center"/>
    </w:pPr>
    <w:rPr>
      <w:rFonts w:ascii="Times New Roman" w:eastAsia="Times New Roman" w:hAnsi="Times New Roman" w:cs="Times New Roman"/>
      <w:b/>
      <w:bCs/>
      <w:sz w:val="30"/>
      <w:szCs w:val="30"/>
    </w:rPr>
  </w:style>
  <w:style w:type="paragraph" w:styleId="Subtitle">
    <w:name w:val="Subtitle"/>
    <w:basedOn w:val="Normal"/>
    <w:next w:val="Normal"/>
    <w:uiPriority w:val="11"/>
    <w:qFormat/>
    <w:pPr>
      <w:spacing w:after="80"/>
      <w:jc w:val="center"/>
    </w:pPr>
    <w:rPr>
      <w:rFonts w:ascii="Play" w:eastAsia="Play" w:hAnsi="Play" w:cs="Play"/>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egal@cubalex.org"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s/countries/nhri/global-alliance-national-human-rights-institutions-ganhri" TargetMode="External"/><Relationship Id="rId3" Type="http://schemas.openxmlformats.org/officeDocument/2006/relationships/hyperlink" Target="https://cubalex.org/report/huelga-de-hambre-en-cuba-causas-y-responsabilidad-estatal/" TargetMode="External"/><Relationship Id="rId7" Type="http://schemas.openxmlformats.org/officeDocument/2006/relationships/hyperlink" Target="https://cubalex.org/2023/04/04/la-incomunicacion-otro-trato-cruel-e-inhumano-del-estado-cubano-contra-las-personas-detenidas/" TargetMode="External"/><Relationship Id="rId2" Type="http://schemas.openxmlformats.org/officeDocument/2006/relationships/hyperlink" Target="https://www.ohchr.org/en/instruments-mechanisms/instruments/principles-relating-status-national-institutions-paris" TargetMode="External"/><Relationship Id="rId1" Type="http://schemas.openxmlformats.org/officeDocument/2006/relationships/hyperlink" Target="https://www.ohchr.org/sites/default/files/disappearance-convention.pdf" TargetMode="External"/><Relationship Id="rId6" Type="http://schemas.openxmlformats.org/officeDocument/2006/relationships/hyperlink" Target="https://cubalex.org/2023/04/04/la-incomunicacion-otro-trato-cruel-e-inhumano-del-estado-cubano-contra-las-personas-detenidas/" TargetMode="External"/><Relationship Id="rId11" Type="http://schemas.openxmlformats.org/officeDocument/2006/relationships/hyperlink" Target="https://cubalex.org/2024/05/08/por-que-los-tribunales-cubanos-desestiman-los-recursos-legales-presentados-por-la-ciudadania/" TargetMode="External"/><Relationship Id="rId5" Type="http://schemas.openxmlformats.org/officeDocument/2006/relationships/hyperlink" Target="https://cubalex.org/2025/12/04/huelga-hambre-cuba-protesta/" TargetMode="External"/><Relationship Id="rId10" Type="http://schemas.openxmlformats.org/officeDocument/2006/relationships/hyperlink" Target="https://cubalex.org/2026/01/28/ankeilys-guerra-permanece-incomunicado-tras-detencion-arbitraria-en-cuba/" TargetMode="External"/><Relationship Id="rId4" Type="http://schemas.openxmlformats.org/officeDocument/2006/relationships/hyperlink" Target="https://cubalex.org/report/huelga-de-hambre-en-cuba-causas-y-responsabilidad-estatal/" TargetMode="External"/><Relationship Id="rId9" Type="http://schemas.openxmlformats.org/officeDocument/2006/relationships/hyperlink" Target="https://cubalex.org/2026/03/20/activista-roilan-alvarez-rensoler-depuso-huelga-de-hambre-de-49-dias-tras-sufrir-paro-cardiorrespirator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2026-07-06T13:00:06+00:00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CE9C609-D77D-4EA1-B751-15BF082102DE}"/>
</file>

<file path=customXml/itemProps2.xml><?xml version="1.0" encoding="utf-8"?>
<ds:datastoreItem xmlns:ds="http://schemas.openxmlformats.org/officeDocument/2006/customXml" ds:itemID="{47EB85FF-DAA8-458C-B57E-27730528A4B6}"/>
</file>

<file path=customXml/itemProps3.xml><?xml version="1.0" encoding="utf-8"?>
<ds:datastoreItem xmlns:ds="http://schemas.openxmlformats.org/officeDocument/2006/customXml" ds:itemID="{DA072611-F385-475C-9C6A-D1F0AEB0E9A4}"/>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4620</Words>
  <Characters>26337</Characters>
  <Application>Microsoft Office Word</Application>
  <DocSecurity>0</DocSecurity>
  <Lines>219</Lines>
  <Paragraphs>61</Paragraphs>
  <ScaleCrop>false</ScaleCrop>
  <Company/>
  <LinksUpToDate>false</LinksUpToDate>
  <CharactersWithSpaces>30896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2</cp:revision>
  <dcterms:created xsi:type="dcterms:W3CDTF">2026-07-06T13:00:00Z</dcterms:created>
  <dcterms:modified xsi:type="dcterms:W3CDTF">2026-07-06T13:00:00Z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