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46B58" w14:textId="4D390DBC" w:rsidR="00F96A61" w:rsidRDefault="00F96A61" w:rsidP="00F96A61">
      <w:pPr>
        <w:jc w:val="center"/>
        <w:rPr>
          <w:rFonts w:cstheme="minorHAnsi"/>
          <w:b/>
          <w:bCs/>
          <w:color w:val="2E74B5" w:themeColor="accent5" w:themeShade="BF"/>
          <w:sz w:val="28"/>
          <w:szCs w:val="28"/>
        </w:rPr>
      </w:pPr>
      <w:r w:rsidRPr="00F96A61">
        <w:rPr>
          <w:rFonts w:cstheme="minorHAnsi"/>
          <w:b/>
          <w:bCs/>
          <w:color w:val="2E74B5" w:themeColor="accent5" w:themeShade="BF"/>
          <w:sz w:val="28"/>
          <w:szCs w:val="28"/>
        </w:rPr>
        <w:t>Report submitted by the International Alliance for Peace and Development to the Human Rights Committee regarding the Czech Republic within the framework of the list of issues</w:t>
      </w:r>
      <w:r w:rsidRPr="00F96A61">
        <w:rPr>
          <w:rFonts w:cstheme="minorHAnsi"/>
          <w:b/>
          <w:bCs/>
          <w:color w:val="2E74B5" w:themeColor="accent5" w:themeShade="BF"/>
          <w:sz w:val="28"/>
          <w:szCs w:val="28"/>
        </w:rPr>
        <w:t xml:space="preserve"> prior to reporting</w:t>
      </w:r>
    </w:p>
    <w:p w14:paraId="5E3A363F" w14:textId="5FD51C8C" w:rsidR="00F96A61" w:rsidRPr="00F96A61" w:rsidRDefault="00F96A61" w:rsidP="00F96A61">
      <w:pPr>
        <w:pBdr>
          <w:bottom w:val="single" w:sz="4" w:space="1" w:color="auto"/>
        </w:pBdr>
        <w:jc w:val="center"/>
        <w:rPr>
          <w:rFonts w:cstheme="minorHAnsi"/>
          <w:b/>
          <w:bCs/>
          <w:color w:val="70AD47" w:themeColor="accent6"/>
          <w:sz w:val="24"/>
          <w:szCs w:val="24"/>
        </w:rPr>
      </w:pPr>
      <w:r w:rsidRPr="00F96A61">
        <w:rPr>
          <w:rFonts w:cstheme="minorHAnsi"/>
          <w:b/>
          <w:bCs/>
          <w:color w:val="70AD47" w:themeColor="accent6"/>
          <w:sz w:val="24"/>
          <w:szCs w:val="24"/>
        </w:rPr>
        <w:t>August 2026</w:t>
      </w:r>
    </w:p>
    <w:p w14:paraId="6AAE5878" w14:textId="5897C136" w:rsidR="00DB2C16" w:rsidRDefault="00F96A61" w:rsidP="00F96A61">
      <w:pPr>
        <w:jc w:val="both"/>
        <w:rPr>
          <w:rFonts w:cstheme="minorHAnsi"/>
          <w:sz w:val="24"/>
          <w:szCs w:val="24"/>
        </w:rPr>
      </w:pPr>
      <w:r w:rsidRPr="00F96A61">
        <w:rPr>
          <w:rFonts w:cstheme="minorHAnsi"/>
          <w:sz w:val="24"/>
          <w:szCs w:val="24"/>
        </w:rPr>
        <w:t xml:space="preserve">The International Alliance for Peace and Development </w:t>
      </w:r>
      <w:r>
        <w:rPr>
          <w:rFonts w:cstheme="minorHAnsi"/>
          <w:sz w:val="24"/>
          <w:szCs w:val="24"/>
        </w:rPr>
        <w:t xml:space="preserve">(IAPD) </w:t>
      </w:r>
      <w:r w:rsidRPr="00F96A61">
        <w:rPr>
          <w:rFonts w:cstheme="minorHAnsi"/>
          <w:sz w:val="24"/>
          <w:szCs w:val="24"/>
        </w:rPr>
        <w:t xml:space="preserve">submits this report to the Human Rights Committee within the framework of preparing the list of issues prior to </w:t>
      </w:r>
      <w:r>
        <w:rPr>
          <w:rFonts w:cstheme="minorHAnsi"/>
          <w:sz w:val="24"/>
          <w:szCs w:val="24"/>
        </w:rPr>
        <w:t>reporting</w:t>
      </w:r>
      <w:r w:rsidRPr="00F96A61">
        <w:rPr>
          <w:rFonts w:cstheme="minorHAnsi"/>
          <w:sz w:val="24"/>
          <w:szCs w:val="24"/>
        </w:rPr>
        <w:t xml:space="preserve"> of the fifth periodic report of the Czech Republic. This report aims to contribute to the Committee's preparation of the lists of issues</w:t>
      </w:r>
      <w:r>
        <w:rPr>
          <w:rFonts w:cstheme="minorHAnsi"/>
          <w:sz w:val="24"/>
          <w:szCs w:val="24"/>
        </w:rPr>
        <w:t xml:space="preserve"> prior to reporting</w:t>
      </w:r>
      <w:r w:rsidRPr="00F96A61">
        <w:rPr>
          <w:rFonts w:cstheme="minorHAnsi"/>
          <w:sz w:val="24"/>
          <w:szCs w:val="24"/>
        </w:rPr>
        <w:t xml:space="preserve"> by providing it with updated information and analyses on the implementation by the Czech Republic of its obligations under the International Covenant on Civil and Political Rights, thereby enriching the constructive dialogue between the Committee and the Czech Republic, and identifying issues that require further clarification</w:t>
      </w:r>
      <w:r>
        <w:rPr>
          <w:rFonts w:cstheme="minorHAnsi"/>
          <w:sz w:val="24"/>
          <w:szCs w:val="24"/>
        </w:rPr>
        <w:t>.</w:t>
      </w:r>
    </w:p>
    <w:p w14:paraId="275F7671" w14:textId="563AC32F" w:rsidR="00F96A61" w:rsidRDefault="00F96A61" w:rsidP="00F96A61">
      <w:pPr>
        <w:jc w:val="both"/>
        <w:rPr>
          <w:rFonts w:cstheme="minorHAnsi"/>
          <w:sz w:val="24"/>
          <w:szCs w:val="24"/>
        </w:rPr>
      </w:pPr>
      <w:r w:rsidRPr="00F96A61">
        <w:rPr>
          <w:rFonts w:cstheme="minorHAnsi"/>
          <w:sz w:val="24"/>
          <w:szCs w:val="24"/>
        </w:rPr>
        <w:t xml:space="preserve">This report focuses on the most important legislative and institutional developments related to the implementation of the provisions of the International Covenant on Civil and Political Rights in the Czech Republic, with particular emphasis on issues relating to the independence of human rights institutions and cooperation with civil society, the use of force by law enforcement authorities, freedom of opinion, expression and the press, migration policies and procedural safeguards relating to non-expulsion of foreigners. The report includes a set of proposed </w:t>
      </w:r>
      <w:r>
        <w:rPr>
          <w:rFonts w:cstheme="minorHAnsi"/>
          <w:sz w:val="24"/>
          <w:szCs w:val="24"/>
        </w:rPr>
        <w:t>issues</w:t>
      </w:r>
      <w:r w:rsidRPr="00F96A61">
        <w:rPr>
          <w:rFonts w:cstheme="minorHAnsi"/>
          <w:sz w:val="24"/>
          <w:szCs w:val="24"/>
        </w:rPr>
        <w:t xml:space="preserve"> </w:t>
      </w:r>
      <w:r>
        <w:rPr>
          <w:rFonts w:cstheme="minorHAnsi"/>
          <w:sz w:val="24"/>
          <w:szCs w:val="24"/>
        </w:rPr>
        <w:t>IAPD</w:t>
      </w:r>
      <w:r w:rsidRPr="00F96A61">
        <w:rPr>
          <w:rFonts w:cstheme="minorHAnsi"/>
          <w:sz w:val="24"/>
          <w:szCs w:val="24"/>
        </w:rPr>
        <w:t xml:space="preserve"> hopes will contribute to supporting the dialogue between the Committee and the Czech Republic, and to strengthening the State’s compliance with its obligations under the International Covenant on Civil and Political Rights.</w:t>
      </w:r>
    </w:p>
    <w:p w14:paraId="601813F7" w14:textId="77777777" w:rsidR="00F96A61" w:rsidRPr="00F96A61" w:rsidRDefault="00F96A61" w:rsidP="00F96A61">
      <w:pPr>
        <w:jc w:val="both"/>
        <w:rPr>
          <w:rFonts w:cstheme="minorHAnsi"/>
          <w:b/>
          <w:bCs/>
          <w:color w:val="70AD47" w:themeColor="accent6"/>
          <w:sz w:val="24"/>
          <w:szCs w:val="24"/>
        </w:rPr>
      </w:pPr>
      <w:r w:rsidRPr="00F96A61">
        <w:rPr>
          <w:rFonts w:cstheme="minorHAnsi"/>
          <w:b/>
          <w:bCs/>
          <w:color w:val="70AD47" w:themeColor="accent6"/>
          <w:sz w:val="24"/>
          <w:szCs w:val="24"/>
        </w:rPr>
        <w:t>First: The Institutional Framework for Human Rights</w:t>
      </w:r>
    </w:p>
    <w:p w14:paraId="79FF7ECB" w14:textId="5B16EEA8" w:rsidR="00F96A61" w:rsidRDefault="00F96A61" w:rsidP="00F96A61">
      <w:pPr>
        <w:jc w:val="both"/>
        <w:rPr>
          <w:rFonts w:cstheme="minorHAnsi"/>
          <w:sz w:val="24"/>
          <w:szCs w:val="24"/>
        </w:rPr>
      </w:pPr>
      <w:r w:rsidRPr="00F96A61">
        <w:rPr>
          <w:rFonts w:cstheme="minorHAnsi"/>
          <w:sz w:val="24"/>
          <w:szCs w:val="24"/>
        </w:rPr>
        <w:t xml:space="preserve">The Czech Republic has taken an important step regarding the expansion of the mandate of the Ombudsman’s Office, effective July 2025, to assume the functions of the National Human Rights Institution, thereby strengthening its role in protecting and promoting human rights. However, this development still faces a number of institutional challenges. As of the writing of this report, the Ombudsman has not yet obtained A1 accreditation status in accordance with the Paris Principles, and remains an associate member without accreditation in the European Network of National Human Rights Institutions. </w:t>
      </w:r>
      <w:r>
        <w:rPr>
          <w:rFonts w:cstheme="minorHAnsi"/>
          <w:sz w:val="24"/>
          <w:szCs w:val="24"/>
        </w:rPr>
        <w:t>IAPD</w:t>
      </w:r>
      <w:r w:rsidRPr="00F96A61">
        <w:rPr>
          <w:rFonts w:cstheme="minorHAnsi"/>
          <w:sz w:val="24"/>
          <w:szCs w:val="24"/>
        </w:rPr>
        <w:t xml:space="preserve"> also notes that the expansion of the mandate has not been accompanied by the provision of additional financial and human resources commensurate with the new competencies, which may affect the institution’s ability to carry out its expanded mandate efficiently and independently, and delay its obtaining international accreditation in accordance with the Paris Principles</w:t>
      </w:r>
      <w:r w:rsidR="00A63639">
        <w:rPr>
          <w:rStyle w:val="FootnoteReference"/>
          <w:rFonts w:cstheme="minorHAnsi"/>
          <w:sz w:val="24"/>
          <w:szCs w:val="24"/>
        </w:rPr>
        <w:footnoteReference w:id="1"/>
      </w:r>
      <w:r w:rsidRPr="00F96A61">
        <w:rPr>
          <w:rFonts w:cstheme="minorHAnsi"/>
          <w:sz w:val="24"/>
          <w:szCs w:val="24"/>
        </w:rPr>
        <w:t>.</w:t>
      </w:r>
    </w:p>
    <w:p w14:paraId="5DAAEEEA" w14:textId="0C019DA7" w:rsidR="00F96A61" w:rsidRDefault="00F96A61" w:rsidP="00F96A61">
      <w:pPr>
        <w:jc w:val="both"/>
        <w:rPr>
          <w:rFonts w:cstheme="minorHAnsi"/>
          <w:sz w:val="24"/>
          <w:szCs w:val="24"/>
        </w:rPr>
      </w:pPr>
      <w:r w:rsidRPr="00F96A61">
        <w:rPr>
          <w:rFonts w:cstheme="minorHAnsi"/>
          <w:sz w:val="24"/>
          <w:szCs w:val="24"/>
        </w:rPr>
        <w:t xml:space="preserve">In another context, the Czech Republic has witnessed institutional developments regarding the national framework for the protection and promotion of human rights, particularly concerning </w:t>
      </w:r>
      <w:r w:rsidRPr="00F96A61">
        <w:rPr>
          <w:rFonts w:cstheme="minorHAnsi"/>
          <w:sz w:val="24"/>
          <w:szCs w:val="24"/>
        </w:rPr>
        <w:lastRenderedPageBreak/>
        <w:t>government coordination mechanisms and cooperation with civil society organizations. On May 18, 2026, the Czech government approved a restructuring of the Government Office, which included abolishing the Department for Human Rights and Minority Protection. This department had, for over two decades, coordinated human rights policies at the national level, monitored the implementation of relevant national strategies, promoted cooperation between public authorities and civil society organizations, and oversaw equality and minority protection issues. According to the government decision, the department's responsibilities were distributed among several ministries. The Ministry of Justice was assigned responsibility for coordinating the human rights agenda, while the Ministry of Culture assumed responsibility for national minority issues. The government described this as a reorganization aimed at improving the efficiency of public administration</w:t>
      </w:r>
      <w:r w:rsidR="00177032">
        <w:rPr>
          <w:rStyle w:val="FootnoteReference"/>
          <w:rFonts w:cstheme="minorHAnsi"/>
          <w:sz w:val="24"/>
          <w:szCs w:val="24"/>
        </w:rPr>
        <w:footnoteReference w:id="2"/>
      </w:r>
      <w:r w:rsidRPr="00F96A61">
        <w:rPr>
          <w:rFonts w:cstheme="minorHAnsi"/>
          <w:sz w:val="24"/>
          <w:szCs w:val="24"/>
        </w:rPr>
        <w:t xml:space="preserve">. </w:t>
      </w:r>
      <w:r>
        <w:rPr>
          <w:rFonts w:cstheme="minorHAnsi"/>
          <w:sz w:val="24"/>
          <w:szCs w:val="24"/>
        </w:rPr>
        <w:t>IAPD</w:t>
      </w:r>
      <w:r w:rsidRPr="00F96A61">
        <w:rPr>
          <w:rFonts w:cstheme="minorHAnsi"/>
          <w:sz w:val="24"/>
          <w:szCs w:val="24"/>
        </w:rPr>
        <w:t xml:space="preserve"> notes that any restructuring of human rights institutions should not weaken the institutional framework responsible for protecting rights or reduce the effectiveness of coordination between government agencies and civil society, especially given concerns that this decision could weaken institutional oversight of human rights policies and government coordination in this area, as well as its potential impact on cooperation between public authorities and civil society organizations, since the existence of independent governmental institutions dedicated to human rights is one of the essential components for promoting democracy, the rule of law, and protecting the most vulnerable groups.</w:t>
      </w:r>
    </w:p>
    <w:p w14:paraId="2BFECF68" w14:textId="10CBE3FF" w:rsidR="00F96A61" w:rsidRPr="00F96A61" w:rsidRDefault="00F96A61" w:rsidP="00F96A61">
      <w:pPr>
        <w:jc w:val="both"/>
        <w:rPr>
          <w:rFonts w:cstheme="minorHAnsi"/>
          <w:b/>
          <w:bCs/>
          <w:i/>
          <w:iCs/>
          <w:sz w:val="24"/>
          <w:szCs w:val="24"/>
          <w:u w:val="single"/>
        </w:rPr>
      </w:pPr>
      <w:r w:rsidRPr="00F96A61">
        <w:rPr>
          <w:rFonts w:cstheme="minorHAnsi"/>
          <w:b/>
          <w:bCs/>
          <w:i/>
          <w:iCs/>
          <w:sz w:val="24"/>
          <w:szCs w:val="24"/>
          <w:u w:val="single"/>
        </w:rPr>
        <w:t>List of Issues</w:t>
      </w:r>
    </w:p>
    <w:p w14:paraId="10AB688B" w14:textId="77777777" w:rsidR="00F96A61" w:rsidRDefault="00F96A61" w:rsidP="00F96A61">
      <w:pPr>
        <w:pStyle w:val="ListParagraph"/>
        <w:numPr>
          <w:ilvl w:val="0"/>
          <w:numId w:val="32"/>
        </w:numPr>
        <w:jc w:val="both"/>
        <w:rPr>
          <w:rFonts w:cstheme="minorHAnsi"/>
          <w:sz w:val="24"/>
          <w:szCs w:val="24"/>
        </w:rPr>
      </w:pPr>
      <w:r w:rsidRPr="00F96A61">
        <w:rPr>
          <w:rFonts w:cstheme="minorHAnsi"/>
          <w:sz w:val="24"/>
          <w:szCs w:val="24"/>
        </w:rPr>
        <w:t>What measures has the Czech Republic taken to ensure the availability of the necessary financial and human resources to enable the Ombudsman's Office, as the national human rights institution, to effectively and independently carry out its expanded mandate and meet the accreditation requirements under the Paris Principles?</w:t>
      </w:r>
    </w:p>
    <w:p w14:paraId="1E41991A" w14:textId="77777777" w:rsidR="00F96A61" w:rsidRDefault="00F96A61" w:rsidP="00F96A61">
      <w:pPr>
        <w:pStyle w:val="ListParagraph"/>
        <w:numPr>
          <w:ilvl w:val="0"/>
          <w:numId w:val="32"/>
        </w:numPr>
        <w:jc w:val="both"/>
        <w:rPr>
          <w:rFonts w:cstheme="minorHAnsi"/>
          <w:sz w:val="24"/>
          <w:szCs w:val="24"/>
        </w:rPr>
      </w:pPr>
      <w:r w:rsidRPr="00F96A61">
        <w:rPr>
          <w:rFonts w:cstheme="minorHAnsi"/>
          <w:sz w:val="24"/>
          <w:szCs w:val="24"/>
        </w:rPr>
        <w:t>What measures has the Czech Republic taken to ensure the continued effective coordination of human rights policies following the abolition of the Department of Human Rights and Protection of Minorities? How will it ensure that the independence and effectiveness of the national institutional framework for the protection and promotion of human rights are not affected by the redistribution of the Department's responsibilities?</w:t>
      </w:r>
    </w:p>
    <w:p w14:paraId="0914FC5D" w14:textId="501A5BD3" w:rsidR="00F96A61" w:rsidRDefault="00F96A61" w:rsidP="00F96A61">
      <w:pPr>
        <w:pStyle w:val="ListParagraph"/>
        <w:numPr>
          <w:ilvl w:val="0"/>
          <w:numId w:val="32"/>
        </w:numPr>
        <w:jc w:val="both"/>
        <w:rPr>
          <w:rFonts w:cstheme="minorHAnsi"/>
          <w:sz w:val="24"/>
          <w:szCs w:val="24"/>
        </w:rPr>
      </w:pPr>
      <w:r w:rsidRPr="00F96A61">
        <w:rPr>
          <w:rFonts w:cstheme="minorHAnsi"/>
          <w:sz w:val="24"/>
          <w:szCs w:val="24"/>
        </w:rPr>
        <w:t>Please outline the measures taken to ensure the continued cooperation and effective participation of civil society organizations in the development, implementation, and monitoring of human rights policies, and to guarantee that institutional dialogue channels with these organizations remain unaffected following the restructuring of the Czech government's Office of the Ombudsman.</w:t>
      </w:r>
    </w:p>
    <w:p w14:paraId="363C578F" w14:textId="77777777" w:rsidR="000F1B26" w:rsidRPr="000F1B26" w:rsidRDefault="000F1B26" w:rsidP="000F1B26">
      <w:pPr>
        <w:jc w:val="both"/>
        <w:rPr>
          <w:rFonts w:cstheme="minorHAnsi"/>
          <w:b/>
          <w:bCs/>
          <w:color w:val="70AD47" w:themeColor="accent6"/>
          <w:sz w:val="24"/>
          <w:szCs w:val="24"/>
        </w:rPr>
      </w:pPr>
      <w:r w:rsidRPr="000F1B26">
        <w:rPr>
          <w:rFonts w:cstheme="minorHAnsi"/>
          <w:b/>
          <w:bCs/>
          <w:color w:val="70AD47" w:themeColor="accent6"/>
          <w:sz w:val="24"/>
          <w:szCs w:val="24"/>
        </w:rPr>
        <w:t>Second: Use of force by law enforcement authorities</w:t>
      </w:r>
    </w:p>
    <w:p w14:paraId="6C46D9BE" w14:textId="299ADCEF" w:rsidR="000F1B26" w:rsidRDefault="000F1B26" w:rsidP="000F1B26">
      <w:pPr>
        <w:jc w:val="both"/>
        <w:rPr>
          <w:rFonts w:cstheme="minorHAnsi"/>
          <w:sz w:val="24"/>
          <w:szCs w:val="24"/>
        </w:rPr>
      </w:pPr>
      <w:r w:rsidRPr="000F1B26">
        <w:rPr>
          <w:rFonts w:cstheme="minorHAnsi"/>
          <w:sz w:val="24"/>
          <w:szCs w:val="24"/>
        </w:rPr>
        <w:t xml:space="preserve">The Czech Republic has witnessed a number of developments concerning the extent to which the use of force by law enforcement authorities complies with the obligations arising from the International Covenant on Civil and Political Rights, particularly with regard to the protection of the right to life and the prohibition of cruel or inhuman treatment. In this context, the European Court of Human Rights issued its judgment on July 16, 2026, in a case against the Czech Republic, concluding that several </w:t>
      </w:r>
      <w:r w:rsidRPr="000F1B26">
        <w:rPr>
          <w:rFonts w:cstheme="minorHAnsi"/>
          <w:sz w:val="24"/>
          <w:szCs w:val="24"/>
        </w:rPr>
        <w:lastRenderedPageBreak/>
        <w:t>violations had occurred in connection with the death of a Roma man following a police intervention in 2021. The Court considered that the authorities had not provided adequate protection for his life during the arrest, that the investigation that followed the incident was ineffective, and that it had not adequately examined the possibility of discriminatory motives related to the victim's ethnic origin. The Court also noted that the practical framework regulating the use of the prone restraint position did not provide sufficient safeguards to reduce the risks that could threaten the lives of persons under the control of law enforcement authorities</w:t>
      </w:r>
      <w:r w:rsidR="00177032">
        <w:rPr>
          <w:rStyle w:val="FootnoteReference"/>
          <w:rFonts w:cstheme="minorHAnsi"/>
          <w:sz w:val="24"/>
          <w:szCs w:val="24"/>
        </w:rPr>
        <w:footnoteReference w:id="3"/>
      </w:r>
      <w:r w:rsidRPr="000F1B26">
        <w:rPr>
          <w:rFonts w:cstheme="minorHAnsi"/>
          <w:sz w:val="24"/>
          <w:szCs w:val="24"/>
        </w:rPr>
        <w:t>.</w:t>
      </w:r>
    </w:p>
    <w:p w14:paraId="5CF816CB" w14:textId="5F723695" w:rsidR="000F1B26" w:rsidRDefault="000F1B26" w:rsidP="000F1B26">
      <w:pPr>
        <w:jc w:val="both"/>
        <w:rPr>
          <w:rFonts w:cstheme="minorHAnsi"/>
          <w:sz w:val="24"/>
          <w:szCs w:val="24"/>
        </w:rPr>
      </w:pPr>
      <w:r w:rsidRPr="000F1B26">
        <w:rPr>
          <w:rFonts w:cstheme="minorHAnsi"/>
          <w:sz w:val="24"/>
          <w:szCs w:val="24"/>
        </w:rPr>
        <w:t xml:space="preserve">In another development, the General Inspectorate of Security Forces announced in June 2026 that it had initiated criminal proceedings against a police officer following a security intervention in the city of </w:t>
      </w:r>
      <w:proofErr w:type="spellStart"/>
      <w:r w:rsidRPr="000F1B26">
        <w:rPr>
          <w:rFonts w:cstheme="minorHAnsi"/>
          <w:sz w:val="24"/>
          <w:szCs w:val="24"/>
        </w:rPr>
        <w:t>České</w:t>
      </w:r>
      <w:proofErr w:type="spellEnd"/>
      <w:r w:rsidRPr="000F1B26">
        <w:rPr>
          <w:rFonts w:cstheme="minorHAnsi"/>
          <w:sz w:val="24"/>
          <w:szCs w:val="24"/>
        </w:rPr>
        <w:t xml:space="preserve"> </w:t>
      </w:r>
      <w:proofErr w:type="spellStart"/>
      <w:r w:rsidRPr="000F1B26">
        <w:rPr>
          <w:rFonts w:cstheme="minorHAnsi"/>
          <w:sz w:val="24"/>
          <w:szCs w:val="24"/>
        </w:rPr>
        <w:t>Budějovice</w:t>
      </w:r>
      <w:proofErr w:type="spellEnd"/>
      <w:r w:rsidRPr="000F1B26">
        <w:rPr>
          <w:rFonts w:cstheme="minorHAnsi"/>
          <w:sz w:val="24"/>
          <w:szCs w:val="24"/>
        </w:rPr>
        <w:t xml:space="preserve"> in May 2026. The investigation concluded that there was suspicion of the use of force beyond what is permitted by law. According to the Inspectorate, the officer punched and kicked a person after chasing him, even though the latter had stopped and raised his hands, indicating that he was not resisting and did not pose a serious threat. This prompted the Inspectorate to file charges related to abuse of power and attempted bodily harm. Although initiating criminal investigations in this incident reflects the internal accountability mechanisms investigating allegations of unlawful use of force, it also underscores the importance of ensuring that all members of law enforcement authorities adhere to the principles of necessity and proportionality when using force, thus guaranteeing the protection of the right to physical integrity and preventing cruel or inhuman treatment during arrest and detention operations</w:t>
      </w:r>
      <w:r w:rsidR="00177032">
        <w:rPr>
          <w:rStyle w:val="FootnoteReference"/>
          <w:rFonts w:cstheme="minorHAnsi"/>
          <w:sz w:val="24"/>
          <w:szCs w:val="24"/>
        </w:rPr>
        <w:footnoteReference w:id="4"/>
      </w:r>
      <w:r w:rsidRPr="000F1B26">
        <w:rPr>
          <w:rFonts w:cstheme="minorHAnsi"/>
          <w:sz w:val="24"/>
          <w:szCs w:val="24"/>
        </w:rPr>
        <w:t>.</w:t>
      </w:r>
    </w:p>
    <w:p w14:paraId="5CDA054D" w14:textId="07C391EA" w:rsidR="000F1B26" w:rsidRPr="000F1B26" w:rsidRDefault="000F1B26" w:rsidP="000F1B26">
      <w:pPr>
        <w:jc w:val="both"/>
        <w:rPr>
          <w:rFonts w:cstheme="minorHAnsi"/>
          <w:b/>
          <w:bCs/>
          <w:i/>
          <w:iCs/>
          <w:sz w:val="24"/>
          <w:szCs w:val="24"/>
          <w:u w:val="single"/>
        </w:rPr>
      </w:pPr>
      <w:r w:rsidRPr="000F1B26">
        <w:rPr>
          <w:rFonts w:cstheme="minorHAnsi"/>
          <w:b/>
          <w:bCs/>
          <w:i/>
          <w:iCs/>
          <w:sz w:val="24"/>
          <w:szCs w:val="24"/>
          <w:u w:val="single"/>
        </w:rPr>
        <w:t>List of Issues</w:t>
      </w:r>
    </w:p>
    <w:p w14:paraId="1BE207C0" w14:textId="77777777" w:rsidR="000F1B26" w:rsidRDefault="000F1B26" w:rsidP="000F1B26">
      <w:pPr>
        <w:pStyle w:val="ListParagraph"/>
        <w:numPr>
          <w:ilvl w:val="0"/>
          <w:numId w:val="33"/>
        </w:numPr>
        <w:jc w:val="both"/>
        <w:rPr>
          <w:rFonts w:cstheme="minorHAnsi"/>
          <w:sz w:val="24"/>
          <w:szCs w:val="24"/>
        </w:rPr>
      </w:pPr>
      <w:r w:rsidRPr="000F1B26">
        <w:rPr>
          <w:rFonts w:cstheme="minorHAnsi"/>
          <w:sz w:val="24"/>
          <w:szCs w:val="24"/>
        </w:rPr>
        <w:t>Please describe the measures taken by the Czech government to implement the European Court of Human Rights ruling of July 2026, particularly regarding the development of rules governing the use of force during arrests and ensuring the effectiveness and independence of investigations into deaths or serious injuries resulting from law enforcement interventions.</w:t>
      </w:r>
    </w:p>
    <w:p w14:paraId="5B3E1A9D" w14:textId="5449522A" w:rsidR="000F1B26" w:rsidRDefault="000F1B26" w:rsidP="000F1B26">
      <w:pPr>
        <w:pStyle w:val="ListParagraph"/>
        <w:numPr>
          <w:ilvl w:val="0"/>
          <w:numId w:val="33"/>
        </w:numPr>
        <w:jc w:val="both"/>
        <w:rPr>
          <w:rFonts w:cstheme="minorHAnsi"/>
          <w:sz w:val="24"/>
          <w:szCs w:val="24"/>
        </w:rPr>
      </w:pPr>
      <w:r w:rsidRPr="000F1B26">
        <w:rPr>
          <w:rFonts w:cstheme="minorHAnsi"/>
          <w:sz w:val="24"/>
          <w:szCs w:val="24"/>
        </w:rPr>
        <w:t>What measures are in place to ensure that law enforcement personnel adhere to the principles of necessity and proportionality when using force during arrests and detentions? What accountability and training mechanisms are in place to prevent the misuse of force and ensure effective accountability when it occurs?</w:t>
      </w:r>
    </w:p>
    <w:p w14:paraId="3536B362" w14:textId="77777777" w:rsidR="000F1B26" w:rsidRPr="000F1B26" w:rsidRDefault="000F1B26" w:rsidP="000F1B26">
      <w:pPr>
        <w:jc w:val="both"/>
        <w:rPr>
          <w:rFonts w:cstheme="minorHAnsi"/>
          <w:b/>
          <w:bCs/>
          <w:color w:val="70AD47" w:themeColor="accent6"/>
          <w:sz w:val="24"/>
          <w:szCs w:val="24"/>
        </w:rPr>
      </w:pPr>
      <w:r w:rsidRPr="000F1B26">
        <w:rPr>
          <w:rFonts w:cstheme="minorHAnsi"/>
          <w:b/>
          <w:bCs/>
          <w:color w:val="70AD47" w:themeColor="accent6"/>
          <w:sz w:val="24"/>
          <w:szCs w:val="24"/>
        </w:rPr>
        <w:t>Third: Freedom of Opinion and Expression</w:t>
      </w:r>
    </w:p>
    <w:p w14:paraId="20E3D288" w14:textId="00BEBE08" w:rsidR="000F1B26" w:rsidRDefault="000F1B26" w:rsidP="000F1B26">
      <w:pPr>
        <w:jc w:val="both"/>
        <w:rPr>
          <w:rFonts w:cstheme="minorHAnsi"/>
          <w:sz w:val="24"/>
          <w:szCs w:val="24"/>
        </w:rPr>
      </w:pPr>
      <w:r w:rsidRPr="000F1B26">
        <w:rPr>
          <w:rFonts w:cstheme="minorHAnsi"/>
          <w:sz w:val="24"/>
          <w:szCs w:val="24"/>
        </w:rPr>
        <w:t>The Czech government's plans to amend the funding system for the public broadcaster and television raise concerns about their potential impact on freedom of opinion and expression. These plans could give the government greater influence over public media. These concerns were highlighted during the protests in the Czech Republic in March 2026. Protesters argued that some government initiatives, including the proposed amendments to the public media funding system, could affect guarantees related to media independence</w:t>
      </w:r>
      <w:r w:rsidR="00177032">
        <w:rPr>
          <w:rStyle w:val="FootnoteReference"/>
          <w:rFonts w:cstheme="minorHAnsi"/>
          <w:sz w:val="24"/>
          <w:szCs w:val="24"/>
        </w:rPr>
        <w:footnoteReference w:id="5"/>
      </w:r>
      <w:r w:rsidRPr="000F1B26">
        <w:rPr>
          <w:rFonts w:cstheme="minorHAnsi"/>
          <w:sz w:val="24"/>
          <w:szCs w:val="24"/>
        </w:rPr>
        <w:t xml:space="preserve">. The biggest reform of the public media funding system in decades would end the licensing fee system and transfer the funding of Czech Television and Czech Radio to </w:t>
      </w:r>
      <w:r w:rsidRPr="000F1B26">
        <w:rPr>
          <w:rFonts w:cstheme="minorHAnsi"/>
          <w:sz w:val="24"/>
          <w:szCs w:val="24"/>
        </w:rPr>
        <w:lastRenderedPageBreak/>
        <w:t>the state budget, with expected funding reductions of about 15% compared to current revenues from fees. This move drew criticism from watchdogs and opposition parties, who argued that transferring funding to the state budget could open the door to political interference in the work of public media and affect their editorial independence, as well as institutionalize the economic pressures imposed on them</w:t>
      </w:r>
      <w:r w:rsidR="00177032">
        <w:rPr>
          <w:rStyle w:val="FootnoteReference"/>
          <w:rFonts w:cstheme="minorHAnsi"/>
          <w:sz w:val="24"/>
          <w:szCs w:val="24"/>
        </w:rPr>
        <w:footnoteReference w:id="6"/>
      </w:r>
      <w:r w:rsidRPr="000F1B26">
        <w:rPr>
          <w:rFonts w:cstheme="minorHAnsi"/>
          <w:sz w:val="24"/>
          <w:szCs w:val="24"/>
        </w:rPr>
        <w:t>.</w:t>
      </w:r>
    </w:p>
    <w:p w14:paraId="33835CCC" w14:textId="443C613A" w:rsidR="000F1B26" w:rsidRDefault="000F1B26" w:rsidP="000F1B26">
      <w:pPr>
        <w:jc w:val="both"/>
        <w:rPr>
          <w:rFonts w:cstheme="minorHAnsi"/>
          <w:sz w:val="24"/>
          <w:szCs w:val="24"/>
        </w:rPr>
      </w:pPr>
      <w:r w:rsidRPr="000F1B26">
        <w:rPr>
          <w:rFonts w:cstheme="minorHAnsi"/>
          <w:sz w:val="24"/>
          <w:szCs w:val="24"/>
        </w:rPr>
        <w:t xml:space="preserve">In a related context, </w:t>
      </w:r>
      <w:r>
        <w:rPr>
          <w:rFonts w:cstheme="minorHAnsi"/>
          <w:sz w:val="24"/>
          <w:szCs w:val="24"/>
        </w:rPr>
        <w:t>IAPD</w:t>
      </w:r>
      <w:r w:rsidRPr="000F1B26">
        <w:rPr>
          <w:rFonts w:cstheme="minorHAnsi"/>
          <w:sz w:val="24"/>
          <w:szCs w:val="24"/>
        </w:rPr>
        <w:t xml:space="preserve"> notes the continued rise in hostile rhetoric and verbal attacks by some senior political officials against journalists and media outlets in the Czech Republic, raising concerns about the provision of a safe and independent environment for practicing journalism and freedom of expression. In this context, Between December 2025 and June 2026, a total of 13 cases of overt political attacks on journalists and media outlets were recorded, including 6 attacks issued by the Prime Minister himself. These statements included repeated accusations against major media outlets of spreading lies, and personal targeting of journalists and editors. These practices put journalists under pressure, encourage online harassment and self-censorship, undermine the media's watchdog role, and infringe on the public's right to access information</w:t>
      </w:r>
      <w:r w:rsidR="00177032">
        <w:rPr>
          <w:rStyle w:val="FootnoteReference"/>
          <w:rFonts w:cstheme="minorHAnsi"/>
          <w:sz w:val="24"/>
          <w:szCs w:val="24"/>
        </w:rPr>
        <w:footnoteReference w:id="7"/>
      </w:r>
      <w:r>
        <w:rPr>
          <w:rFonts w:cstheme="minorHAnsi"/>
          <w:sz w:val="24"/>
          <w:szCs w:val="24"/>
        </w:rPr>
        <w:t>.</w:t>
      </w:r>
    </w:p>
    <w:p w14:paraId="2C202097" w14:textId="5A23A349" w:rsidR="000F1B26" w:rsidRPr="000F1B26" w:rsidRDefault="000F1B26" w:rsidP="000F1B26">
      <w:pPr>
        <w:jc w:val="both"/>
        <w:rPr>
          <w:rFonts w:cstheme="minorHAnsi"/>
          <w:b/>
          <w:bCs/>
          <w:i/>
          <w:iCs/>
          <w:sz w:val="24"/>
          <w:szCs w:val="24"/>
          <w:u w:val="single"/>
        </w:rPr>
      </w:pPr>
      <w:r w:rsidRPr="000F1B26">
        <w:rPr>
          <w:rFonts w:cstheme="minorHAnsi"/>
          <w:b/>
          <w:bCs/>
          <w:i/>
          <w:iCs/>
          <w:sz w:val="24"/>
          <w:szCs w:val="24"/>
          <w:u w:val="single"/>
        </w:rPr>
        <w:t>List of Issues</w:t>
      </w:r>
    </w:p>
    <w:p w14:paraId="2ACC9D89" w14:textId="77777777" w:rsidR="000F1B26" w:rsidRDefault="000F1B26" w:rsidP="000F1B26">
      <w:pPr>
        <w:pStyle w:val="ListParagraph"/>
        <w:numPr>
          <w:ilvl w:val="0"/>
          <w:numId w:val="34"/>
        </w:numPr>
        <w:jc w:val="both"/>
        <w:rPr>
          <w:rFonts w:cstheme="minorHAnsi"/>
          <w:sz w:val="24"/>
          <w:szCs w:val="24"/>
        </w:rPr>
      </w:pPr>
      <w:r w:rsidRPr="000F1B26">
        <w:rPr>
          <w:rFonts w:cstheme="minorHAnsi"/>
          <w:sz w:val="24"/>
          <w:szCs w:val="24"/>
        </w:rPr>
        <w:t>How will the Czech Republic ensure that the proposed reforms to the funding system of Czech Television and Czech Radio maintain their financial and editorial independence and prevent any political interference in the work of public media?</w:t>
      </w:r>
    </w:p>
    <w:p w14:paraId="6F3BCBD6" w14:textId="77777777" w:rsidR="000F1B26" w:rsidRDefault="000F1B26" w:rsidP="000F1B26">
      <w:pPr>
        <w:pStyle w:val="ListParagraph"/>
        <w:numPr>
          <w:ilvl w:val="0"/>
          <w:numId w:val="34"/>
        </w:numPr>
        <w:jc w:val="both"/>
        <w:rPr>
          <w:rFonts w:cstheme="minorHAnsi"/>
          <w:sz w:val="24"/>
          <w:szCs w:val="24"/>
        </w:rPr>
      </w:pPr>
      <w:r w:rsidRPr="000F1B26">
        <w:rPr>
          <w:rFonts w:cstheme="minorHAnsi"/>
          <w:sz w:val="24"/>
          <w:szCs w:val="24"/>
        </w:rPr>
        <w:t>What safeguards does the Czech Republic intend to implement to address concerns about the potential impact of transferring public media funding to the general budget and the anticipated funding reductions, thereby protecting freedom of opinion and expression and the independence of the media?</w:t>
      </w:r>
    </w:p>
    <w:p w14:paraId="21BE5940" w14:textId="22B4054B" w:rsidR="000F1B26" w:rsidRDefault="000F1B26" w:rsidP="000F1B26">
      <w:pPr>
        <w:pStyle w:val="ListParagraph"/>
        <w:numPr>
          <w:ilvl w:val="0"/>
          <w:numId w:val="34"/>
        </w:numPr>
        <w:jc w:val="both"/>
        <w:rPr>
          <w:rFonts w:cstheme="minorHAnsi"/>
          <w:sz w:val="24"/>
          <w:szCs w:val="24"/>
        </w:rPr>
      </w:pPr>
      <w:r w:rsidRPr="000F1B26">
        <w:rPr>
          <w:rFonts w:cstheme="minorHAnsi"/>
          <w:sz w:val="24"/>
          <w:szCs w:val="24"/>
        </w:rPr>
        <w:t>What measures has the Czech Republic taken to ensure the protection of journalists and media workers from hostile rhetoric and verbal attacks by senior political officials, and to guarantee that such actions do not affect the independence of journalistic work and the free flow of information?</w:t>
      </w:r>
    </w:p>
    <w:p w14:paraId="352C4B1A" w14:textId="77777777" w:rsidR="00A63639" w:rsidRPr="00A63639" w:rsidRDefault="00A63639" w:rsidP="00A63639">
      <w:pPr>
        <w:jc w:val="both"/>
        <w:rPr>
          <w:rFonts w:cstheme="minorHAnsi"/>
          <w:b/>
          <w:bCs/>
          <w:color w:val="70AD47" w:themeColor="accent6"/>
          <w:sz w:val="24"/>
          <w:szCs w:val="24"/>
        </w:rPr>
      </w:pPr>
      <w:r w:rsidRPr="00A63639">
        <w:rPr>
          <w:rFonts w:cstheme="minorHAnsi"/>
          <w:b/>
          <w:bCs/>
          <w:color w:val="70AD47" w:themeColor="accent6"/>
          <w:sz w:val="24"/>
          <w:szCs w:val="24"/>
        </w:rPr>
        <w:t>Fourth: Migration Policies and Guarantees Against the Deportation of Foreigners</w:t>
      </w:r>
    </w:p>
    <w:p w14:paraId="74210826" w14:textId="70E98AD2" w:rsidR="00A63639" w:rsidRDefault="00A63639" w:rsidP="00A63639">
      <w:pPr>
        <w:jc w:val="both"/>
        <w:rPr>
          <w:rFonts w:cstheme="minorHAnsi"/>
          <w:sz w:val="24"/>
          <w:szCs w:val="24"/>
        </w:rPr>
      </w:pPr>
      <w:r w:rsidRPr="00A63639">
        <w:rPr>
          <w:rFonts w:cstheme="minorHAnsi"/>
          <w:sz w:val="24"/>
          <w:szCs w:val="24"/>
        </w:rPr>
        <w:t xml:space="preserve">In 2025, the Czech Republic witnessed a trend towards tightening its asylum and return policy. In March 2025, the Czech government announced a draft legislative amendment aimed at reducing irregular migration and enhancing the effectiveness of deportation procedures. The proposed amendments included linking the rejection of an asylum application with a return order, allowing for the expedited deportation of foreigners residing illegally; tightening controls on asylum seekers, including the possibility of requiring them to reside in asylum centers and determining their place of residence by administrative decision; expanding the scope of security checks to include the use of European databases and data extracted from mobile phones; expediting asylum procedures and judicial appeals; and reducing some government-funded benefits, including healthcare and in-kind </w:t>
      </w:r>
      <w:r w:rsidRPr="00A63639">
        <w:rPr>
          <w:rFonts w:cstheme="minorHAnsi"/>
          <w:sz w:val="24"/>
          <w:szCs w:val="24"/>
        </w:rPr>
        <w:lastRenderedPageBreak/>
        <w:t>assistance, in cases of misconduct within the asylum system</w:t>
      </w:r>
      <w:r w:rsidR="00177032">
        <w:rPr>
          <w:rStyle w:val="FootnoteReference"/>
          <w:rFonts w:cstheme="minorHAnsi"/>
          <w:sz w:val="24"/>
          <w:szCs w:val="24"/>
        </w:rPr>
        <w:footnoteReference w:id="8"/>
      </w:r>
      <w:r w:rsidRPr="00A63639">
        <w:rPr>
          <w:rFonts w:cstheme="minorHAnsi"/>
          <w:sz w:val="24"/>
          <w:szCs w:val="24"/>
        </w:rPr>
        <w:t xml:space="preserve">. </w:t>
      </w:r>
      <w:r>
        <w:rPr>
          <w:rFonts w:cstheme="minorHAnsi"/>
          <w:sz w:val="24"/>
          <w:szCs w:val="24"/>
        </w:rPr>
        <w:t>IAPD</w:t>
      </w:r>
      <w:r w:rsidRPr="00A63639">
        <w:rPr>
          <w:rFonts w:cstheme="minorHAnsi"/>
          <w:sz w:val="24"/>
          <w:szCs w:val="24"/>
        </w:rPr>
        <w:t xml:space="preserve"> notes that these measures, although presented as measures to enhance migration management, simultaneously highlight the importance of ensuring that the procedural safeguards guaranteed to asylum seekers and foreigners are not compromised, particularly with regard to expediting deportation procedures, expanding security checks, and reducing appeal periods and procedures, in order to ensure that their application is consistent with the obligations arising from Articles (7), (9) and (13) of the International Covenant on Civil and Political Rights.</w:t>
      </w:r>
    </w:p>
    <w:p w14:paraId="11D02B0B" w14:textId="11ABDEFE" w:rsidR="00A63639" w:rsidRDefault="00A63639" w:rsidP="00A63639">
      <w:pPr>
        <w:jc w:val="both"/>
        <w:rPr>
          <w:rFonts w:cstheme="minorHAnsi"/>
          <w:sz w:val="24"/>
          <w:szCs w:val="24"/>
        </w:rPr>
      </w:pPr>
      <w:r w:rsidRPr="00A63639">
        <w:rPr>
          <w:rFonts w:cstheme="minorHAnsi"/>
          <w:sz w:val="24"/>
          <w:szCs w:val="24"/>
        </w:rPr>
        <w:t>In contrast, the Czech authorities introduced amendments to the Act on the Residence of Foreigners in the Czech Republic, effective January 1, 2026. These amendments added a new ground for refusing to grant or extend long-term visas and residence permits if a foreigner commits three consecutive offenses within a twelve-month period, and these offenses are recorded in the criminal record. This provision applies to holders of long-term visas and residence permits, including those with work permits and blue cards, but does not apply to permanent residents, family members of EU citizens, or beneficiaries of temporary protection. Official guidelines from the Ministry of the Interior clarified that the application of several grounds for revoking residence permits, including the newly introduced reasons, remains subject to the principle of proportionality. The impact of the decision on the private and family life of the individual concerned must be considered before a decision is made to revoke or terminate their residence</w:t>
      </w:r>
      <w:r w:rsidR="00177032">
        <w:rPr>
          <w:rStyle w:val="FootnoteReference"/>
          <w:rFonts w:cstheme="minorHAnsi"/>
          <w:sz w:val="24"/>
          <w:szCs w:val="24"/>
        </w:rPr>
        <w:footnoteReference w:id="9"/>
      </w:r>
      <w:r w:rsidRPr="00A63639">
        <w:rPr>
          <w:rFonts w:cstheme="minorHAnsi"/>
          <w:sz w:val="24"/>
          <w:szCs w:val="24"/>
        </w:rPr>
        <w:t xml:space="preserve">. </w:t>
      </w:r>
      <w:r>
        <w:rPr>
          <w:rFonts w:cstheme="minorHAnsi"/>
          <w:sz w:val="24"/>
          <w:szCs w:val="24"/>
        </w:rPr>
        <w:t>IAPD</w:t>
      </w:r>
      <w:r w:rsidRPr="00A63639">
        <w:rPr>
          <w:rFonts w:cstheme="minorHAnsi"/>
          <w:sz w:val="24"/>
          <w:szCs w:val="24"/>
        </w:rPr>
        <w:t xml:space="preserve"> notes that expanding the cases in which some long-term residence permits may be cancelled or not extended highlights the importance of ensuring the individual and proportionate application of these measures, while guaranteeing that the persons concerned can benefit from procedural safeguards and effective means of appeal before decisions are made to terminate residence or deport them, in accordance with Article (13) of the International Covenant on Civil and Political Rights, taking into account the obligations relating to the protection of private and family life set forth in Article (17) of the Covenant when implementing these decisions</w:t>
      </w:r>
      <w:r w:rsidR="00177032">
        <w:rPr>
          <w:rStyle w:val="FootnoteReference"/>
          <w:rFonts w:cstheme="minorHAnsi"/>
          <w:sz w:val="24"/>
          <w:szCs w:val="24"/>
        </w:rPr>
        <w:footnoteReference w:id="10"/>
      </w:r>
      <w:r w:rsidRPr="00A63639">
        <w:rPr>
          <w:rFonts w:cstheme="minorHAnsi"/>
          <w:sz w:val="24"/>
          <w:szCs w:val="24"/>
        </w:rPr>
        <w:t>.</w:t>
      </w:r>
    </w:p>
    <w:p w14:paraId="791CED0F" w14:textId="1F308EE8" w:rsidR="00A63639" w:rsidRDefault="00A63639" w:rsidP="00A63639">
      <w:pPr>
        <w:jc w:val="both"/>
        <w:rPr>
          <w:rFonts w:cstheme="minorHAnsi"/>
          <w:sz w:val="24"/>
          <w:szCs w:val="24"/>
        </w:rPr>
      </w:pPr>
      <w:r w:rsidRPr="00A63639">
        <w:rPr>
          <w:rFonts w:cstheme="minorHAnsi"/>
          <w:sz w:val="24"/>
          <w:szCs w:val="24"/>
        </w:rPr>
        <w:t>In a related context, the Czech Republic witnessed a significant expansion in the use of biometric data for asylum seekers and irregular migrants during 2026, with the launch of the new version of the "Eurodac" system within the framework of implementing the EU Pact on Migration and Asylum. The system is no longer limited to storing fingerprints as it was previously, but also includes basic identity data, facial images, and copies of travel documents, as well as some information related to security and health risks. The scope of the categories whose data is collected has been expanded to include, in addition to international protection applicants, people who cross borders irregularly or reside in EU territory illegally. The system has also become more integrated with other European databases, enabling the exchange of information between the competent authorities within the framework of migration management and law enforcement</w:t>
      </w:r>
      <w:r>
        <w:rPr>
          <w:rFonts w:cstheme="minorHAnsi"/>
          <w:sz w:val="24"/>
          <w:szCs w:val="24"/>
        </w:rPr>
        <w:t>. IAPD</w:t>
      </w:r>
      <w:r w:rsidRPr="00A63639">
        <w:rPr>
          <w:rFonts w:cstheme="minorHAnsi"/>
          <w:sz w:val="24"/>
          <w:szCs w:val="24"/>
        </w:rPr>
        <w:t xml:space="preserve"> notes that the expansion of the collection and processing of biometric data of foreigners highlights the importance of ensuring that these procedures are subject to effective legal safeguards that guarantee the protection of the right to privacy and personal data, and that the use of this data is limited to purposes permitted by law, with </w:t>
      </w:r>
      <w:r w:rsidRPr="00A63639">
        <w:rPr>
          <w:rFonts w:cstheme="minorHAnsi"/>
          <w:sz w:val="24"/>
          <w:szCs w:val="24"/>
        </w:rPr>
        <w:lastRenderedPageBreak/>
        <w:t>the provision of independent oversight and appropriate remedies, in accordance with Article (17) of the International Covenant on Civil and Political Rights.</w:t>
      </w:r>
    </w:p>
    <w:p w14:paraId="516901BB" w14:textId="15B6DB70" w:rsidR="00A63639" w:rsidRDefault="00A63639" w:rsidP="00A63639">
      <w:pPr>
        <w:jc w:val="both"/>
        <w:rPr>
          <w:rFonts w:cstheme="minorHAnsi"/>
          <w:sz w:val="24"/>
          <w:szCs w:val="24"/>
        </w:rPr>
      </w:pPr>
      <w:r w:rsidRPr="00A63639">
        <w:rPr>
          <w:rFonts w:cstheme="minorHAnsi"/>
          <w:sz w:val="24"/>
          <w:szCs w:val="24"/>
        </w:rPr>
        <w:t xml:space="preserve">In another context, </w:t>
      </w:r>
      <w:r>
        <w:rPr>
          <w:rFonts w:cstheme="minorHAnsi"/>
          <w:sz w:val="24"/>
          <w:szCs w:val="24"/>
        </w:rPr>
        <w:t>IAPD</w:t>
      </w:r>
      <w:r w:rsidRPr="00A63639">
        <w:rPr>
          <w:rFonts w:cstheme="minorHAnsi"/>
          <w:sz w:val="24"/>
          <w:szCs w:val="24"/>
        </w:rPr>
        <w:t xml:space="preserve"> notes that the official discourse on immigration in the Czech Republic has become more rigid, linking the maintenance of public security with the rejection of mass immigration, while emphasizing that the absence of immigrants from Islamic countries in particular is one of the factors that has contributed to making the country one of the safest European countries. </w:t>
      </w:r>
      <w:r>
        <w:rPr>
          <w:rFonts w:cstheme="minorHAnsi"/>
          <w:sz w:val="24"/>
          <w:szCs w:val="24"/>
        </w:rPr>
        <w:t>IAPD</w:t>
      </w:r>
      <w:r w:rsidRPr="00A63639">
        <w:rPr>
          <w:rFonts w:cstheme="minorHAnsi"/>
          <w:sz w:val="24"/>
          <w:szCs w:val="24"/>
        </w:rPr>
        <w:t xml:space="preserve"> notes that linking immigrants from Islamic countries to security risks may contribute to the perpetuation of collective stigma based on religion or national origin, and reinforces negative discourses towards immigrants and refugees</w:t>
      </w:r>
      <w:r w:rsidR="00177032">
        <w:rPr>
          <w:rStyle w:val="FootnoteReference"/>
          <w:rFonts w:cstheme="minorHAnsi"/>
          <w:sz w:val="24"/>
          <w:szCs w:val="24"/>
        </w:rPr>
        <w:footnoteReference w:id="11"/>
      </w:r>
      <w:r w:rsidRPr="00A63639">
        <w:rPr>
          <w:rFonts w:cstheme="minorHAnsi"/>
          <w:sz w:val="24"/>
          <w:szCs w:val="24"/>
        </w:rPr>
        <w:t>.</w:t>
      </w:r>
    </w:p>
    <w:p w14:paraId="1074A162" w14:textId="6F0355C1" w:rsidR="00A63639" w:rsidRPr="00A63639" w:rsidRDefault="00A63639" w:rsidP="00A63639">
      <w:pPr>
        <w:jc w:val="both"/>
        <w:rPr>
          <w:rFonts w:cstheme="minorHAnsi"/>
          <w:b/>
          <w:bCs/>
          <w:i/>
          <w:iCs/>
          <w:sz w:val="24"/>
          <w:szCs w:val="24"/>
          <w:u w:val="single"/>
        </w:rPr>
      </w:pPr>
      <w:r w:rsidRPr="00A63639">
        <w:rPr>
          <w:rFonts w:cstheme="minorHAnsi"/>
          <w:b/>
          <w:bCs/>
          <w:i/>
          <w:iCs/>
          <w:sz w:val="24"/>
          <w:szCs w:val="24"/>
          <w:u w:val="single"/>
        </w:rPr>
        <w:t>List of Issues</w:t>
      </w:r>
    </w:p>
    <w:p w14:paraId="4C619FDB" w14:textId="77777777" w:rsidR="00A63639" w:rsidRDefault="00A63639" w:rsidP="00A63639">
      <w:pPr>
        <w:pStyle w:val="ListParagraph"/>
        <w:numPr>
          <w:ilvl w:val="0"/>
          <w:numId w:val="35"/>
        </w:numPr>
        <w:jc w:val="both"/>
        <w:rPr>
          <w:rFonts w:cstheme="minorHAnsi"/>
          <w:sz w:val="24"/>
          <w:szCs w:val="24"/>
        </w:rPr>
      </w:pPr>
      <w:r w:rsidRPr="00A63639">
        <w:rPr>
          <w:rFonts w:cstheme="minorHAnsi"/>
          <w:sz w:val="24"/>
          <w:szCs w:val="24"/>
        </w:rPr>
        <w:t>What legal and procedural safeguards ensure that the proposed amendments to asylum and return policy, particularly regarding the acceleration of deportation procedures, the expansion of security checks, and the reduction of appeal procedures, will not negatively impact the enjoyment of asylum seekers' and foreigners' rights under the International Covenant on Civil and Political Rights?</w:t>
      </w:r>
    </w:p>
    <w:p w14:paraId="3EA4772D" w14:textId="77777777" w:rsidR="00A63639" w:rsidRDefault="00A63639" w:rsidP="00A63639">
      <w:pPr>
        <w:pStyle w:val="ListParagraph"/>
        <w:numPr>
          <w:ilvl w:val="0"/>
          <w:numId w:val="35"/>
        </w:numPr>
        <w:jc w:val="both"/>
        <w:rPr>
          <w:rFonts w:cstheme="minorHAnsi"/>
          <w:sz w:val="24"/>
          <w:szCs w:val="24"/>
        </w:rPr>
      </w:pPr>
      <w:r w:rsidRPr="00A63639">
        <w:rPr>
          <w:rFonts w:cstheme="minorHAnsi"/>
          <w:sz w:val="24"/>
          <w:szCs w:val="24"/>
        </w:rPr>
        <w:t>Please explain how the Czech Republic will ensure that the amendments to the Law on the Residence of Foreigners, which entered into force on January 1, 2026, are applied individually and proportionately, guaranteeing the right to appeal and respecting privacy and family life before decisions to terminate residence or deport.</w:t>
      </w:r>
    </w:p>
    <w:p w14:paraId="2D2EBD5B" w14:textId="77777777" w:rsidR="00A63639" w:rsidRDefault="00A63639" w:rsidP="00A63639">
      <w:pPr>
        <w:pStyle w:val="ListParagraph"/>
        <w:numPr>
          <w:ilvl w:val="0"/>
          <w:numId w:val="35"/>
        </w:numPr>
        <w:jc w:val="both"/>
        <w:rPr>
          <w:rFonts w:cstheme="minorHAnsi"/>
          <w:sz w:val="24"/>
          <w:szCs w:val="24"/>
        </w:rPr>
      </w:pPr>
      <w:r w:rsidRPr="00A63639">
        <w:rPr>
          <w:rFonts w:cstheme="minorHAnsi"/>
          <w:sz w:val="24"/>
          <w:szCs w:val="24"/>
        </w:rPr>
        <w:t>Please explain the legal and procedural safeguards that will protect the biometric and personal data of asylum seekers and migrants within the framework of the new Eurodac system, and ensure that the collection, processing, and exchange of this data are limited to what is necessary and proportionate.</w:t>
      </w:r>
    </w:p>
    <w:p w14:paraId="324DD843" w14:textId="717B95CD" w:rsidR="00A63639" w:rsidRPr="00A63639" w:rsidRDefault="00A63639" w:rsidP="00A63639">
      <w:pPr>
        <w:pStyle w:val="ListParagraph"/>
        <w:numPr>
          <w:ilvl w:val="0"/>
          <w:numId w:val="35"/>
        </w:numPr>
        <w:jc w:val="both"/>
        <w:rPr>
          <w:rFonts w:cstheme="minorHAnsi"/>
          <w:sz w:val="24"/>
          <w:szCs w:val="24"/>
        </w:rPr>
      </w:pPr>
      <w:r w:rsidRPr="00A63639">
        <w:rPr>
          <w:rFonts w:cstheme="minorHAnsi"/>
          <w:sz w:val="24"/>
          <w:szCs w:val="24"/>
        </w:rPr>
        <w:t>What measures has the Czech Republic taken to ensure that official discourse on migration does not stigmatize or discriminate against migrants or refugees based on religion or national origin, and to promote respect for the principles of equality and non-discrimination in public discourse?</w:t>
      </w:r>
    </w:p>
    <w:p w14:paraId="09F937DC" w14:textId="77777777" w:rsidR="000F1B26" w:rsidRPr="000F1B26" w:rsidRDefault="000F1B26" w:rsidP="000F1B26">
      <w:pPr>
        <w:jc w:val="both"/>
        <w:rPr>
          <w:rFonts w:cstheme="minorHAnsi"/>
          <w:sz w:val="24"/>
          <w:szCs w:val="24"/>
        </w:rPr>
      </w:pPr>
    </w:p>
    <w:p w14:paraId="50847F28" w14:textId="77777777" w:rsidR="00F96A61" w:rsidRPr="00F96A61" w:rsidRDefault="00F96A61" w:rsidP="00F96A61">
      <w:pPr>
        <w:jc w:val="both"/>
        <w:rPr>
          <w:rFonts w:cstheme="minorHAnsi"/>
          <w:sz w:val="24"/>
          <w:szCs w:val="24"/>
        </w:rPr>
      </w:pPr>
    </w:p>
    <w:sectPr w:rsidR="00F96A61" w:rsidRPr="00F96A61">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BEAD4" w14:textId="77777777" w:rsidR="004E3B50" w:rsidRDefault="004E3B50" w:rsidP="003D1884">
      <w:pPr>
        <w:spacing w:after="0" w:line="240" w:lineRule="auto"/>
      </w:pPr>
      <w:r>
        <w:separator/>
      </w:r>
    </w:p>
  </w:endnote>
  <w:endnote w:type="continuationSeparator" w:id="0">
    <w:p w14:paraId="4AC68E4C" w14:textId="77777777" w:rsidR="004E3B50" w:rsidRDefault="004E3B50"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35DD9" w14:textId="77777777" w:rsidR="004E3B50" w:rsidRDefault="004E3B50" w:rsidP="003D1884">
      <w:pPr>
        <w:spacing w:after="0" w:line="240" w:lineRule="auto"/>
      </w:pPr>
      <w:r>
        <w:separator/>
      </w:r>
    </w:p>
  </w:footnote>
  <w:footnote w:type="continuationSeparator" w:id="0">
    <w:p w14:paraId="64E7FC1D" w14:textId="77777777" w:rsidR="004E3B50" w:rsidRDefault="004E3B50" w:rsidP="003D1884">
      <w:pPr>
        <w:spacing w:after="0" w:line="240" w:lineRule="auto"/>
      </w:pPr>
      <w:r>
        <w:continuationSeparator/>
      </w:r>
    </w:p>
  </w:footnote>
  <w:footnote w:id="1">
    <w:p w14:paraId="19CE92E7" w14:textId="2D41EE29" w:rsidR="00A63639" w:rsidRPr="00177032" w:rsidRDefault="00A63639">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State of the rule of law in Europe Reports from National Human Rights Institutions, Czechia, 2025, </w:t>
      </w:r>
      <w:hyperlink r:id="rId1" w:history="1">
        <w:r w:rsidRPr="00177032">
          <w:rPr>
            <w:rStyle w:val="Hyperlink"/>
            <w:rFonts w:cstheme="minorHAnsi"/>
            <w:sz w:val="16"/>
            <w:szCs w:val="16"/>
          </w:rPr>
          <w:t>https://n9.cl/nby7m</w:t>
        </w:r>
      </w:hyperlink>
      <w:r w:rsidRPr="00177032">
        <w:rPr>
          <w:rFonts w:cstheme="minorHAnsi"/>
          <w:sz w:val="16"/>
          <w:szCs w:val="16"/>
        </w:rPr>
        <w:t xml:space="preserve"> </w:t>
      </w:r>
    </w:p>
  </w:footnote>
  <w:footnote w:id="2">
    <w:p w14:paraId="3509BB81" w14:textId="1ECA37B6"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proofErr w:type="spellStart"/>
      <w:r w:rsidRPr="00177032">
        <w:rPr>
          <w:rFonts w:cstheme="minorHAnsi"/>
          <w:sz w:val="16"/>
          <w:szCs w:val="16"/>
        </w:rPr>
        <w:t>Zaniká</w:t>
      </w:r>
      <w:proofErr w:type="spellEnd"/>
      <w:r w:rsidRPr="00177032">
        <w:rPr>
          <w:rFonts w:cstheme="minorHAnsi"/>
          <w:sz w:val="16"/>
          <w:szCs w:val="16"/>
        </w:rPr>
        <w:t xml:space="preserve"> </w:t>
      </w:r>
      <w:proofErr w:type="spellStart"/>
      <w:r w:rsidRPr="00177032">
        <w:rPr>
          <w:rFonts w:cstheme="minorHAnsi"/>
          <w:sz w:val="16"/>
          <w:szCs w:val="16"/>
        </w:rPr>
        <w:t>Odbor</w:t>
      </w:r>
      <w:proofErr w:type="spellEnd"/>
      <w:r w:rsidRPr="00177032">
        <w:rPr>
          <w:rFonts w:cstheme="minorHAnsi"/>
          <w:sz w:val="16"/>
          <w:szCs w:val="16"/>
        </w:rPr>
        <w:t xml:space="preserve"> pro </w:t>
      </w:r>
      <w:proofErr w:type="spellStart"/>
      <w:r w:rsidRPr="00177032">
        <w:rPr>
          <w:rFonts w:cstheme="minorHAnsi"/>
          <w:sz w:val="16"/>
          <w:szCs w:val="16"/>
        </w:rPr>
        <w:t>lidská</w:t>
      </w:r>
      <w:proofErr w:type="spellEnd"/>
      <w:r w:rsidRPr="00177032">
        <w:rPr>
          <w:rFonts w:cstheme="minorHAnsi"/>
          <w:sz w:val="16"/>
          <w:szCs w:val="16"/>
        </w:rPr>
        <w:t xml:space="preserve"> </w:t>
      </w:r>
      <w:proofErr w:type="spellStart"/>
      <w:r w:rsidRPr="00177032">
        <w:rPr>
          <w:rFonts w:cstheme="minorHAnsi"/>
          <w:sz w:val="16"/>
          <w:szCs w:val="16"/>
        </w:rPr>
        <w:t>práva</w:t>
      </w:r>
      <w:proofErr w:type="spellEnd"/>
      <w:r w:rsidRPr="00177032">
        <w:rPr>
          <w:rFonts w:cstheme="minorHAnsi"/>
          <w:sz w:val="16"/>
          <w:szCs w:val="16"/>
        </w:rPr>
        <w:t xml:space="preserve"> </w:t>
      </w:r>
      <w:proofErr w:type="gramStart"/>
      <w:r w:rsidRPr="00177032">
        <w:rPr>
          <w:rFonts w:cstheme="minorHAnsi"/>
          <w:sz w:val="16"/>
          <w:szCs w:val="16"/>
        </w:rPr>
        <w:t>a</w:t>
      </w:r>
      <w:proofErr w:type="gramEnd"/>
      <w:r w:rsidRPr="00177032">
        <w:rPr>
          <w:rFonts w:cstheme="minorHAnsi"/>
          <w:sz w:val="16"/>
          <w:szCs w:val="16"/>
        </w:rPr>
        <w:t xml:space="preserve"> </w:t>
      </w:r>
      <w:proofErr w:type="spellStart"/>
      <w:r w:rsidRPr="00177032">
        <w:rPr>
          <w:rFonts w:cstheme="minorHAnsi"/>
          <w:sz w:val="16"/>
          <w:szCs w:val="16"/>
        </w:rPr>
        <w:t>ochranu</w:t>
      </w:r>
      <w:proofErr w:type="spellEnd"/>
      <w:r w:rsidRPr="00177032">
        <w:rPr>
          <w:rFonts w:cstheme="minorHAnsi"/>
          <w:sz w:val="16"/>
          <w:szCs w:val="16"/>
        </w:rPr>
        <w:t xml:space="preserve"> </w:t>
      </w:r>
      <w:proofErr w:type="spellStart"/>
      <w:r w:rsidRPr="00177032">
        <w:rPr>
          <w:rFonts w:cstheme="minorHAnsi"/>
          <w:sz w:val="16"/>
          <w:szCs w:val="16"/>
        </w:rPr>
        <w:t>menšin</w:t>
      </w:r>
      <w:proofErr w:type="spellEnd"/>
      <w:r w:rsidRPr="00177032">
        <w:rPr>
          <w:rFonts w:cstheme="minorHAnsi"/>
          <w:sz w:val="16"/>
          <w:szCs w:val="16"/>
        </w:rPr>
        <w:t xml:space="preserve">. </w:t>
      </w:r>
      <w:proofErr w:type="spellStart"/>
      <w:r w:rsidRPr="00177032">
        <w:rPr>
          <w:rFonts w:cstheme="minorHAnsi"/>
          <w:sz w:val="16"/>
          <w:szCs w:val="16"/>
        </w:rPr>
        <w:t>Romské</w:t>
      </w:r>
      <w:proofErr w:type="spellEnd"/>
      <w:r w:rsidRPr="00177032">
        <w:rPr>
          <w:rFonts w:cstheme="minorHAnsi"/>
          <w:sz w:val="16"/>
          <w:szCs w:val="16"/>
        </w:rPr>
        <w:t xml:space="preserve"> </w:t>
      </w:r>
      <w:proofErr w:type="spellStart"/>
      <w:r w:rsidRPr="00177032">
        <w:rPr>
          <w:rFonts w:cstheme="minorHAnsi"/>
          <w:sz w:val="16"/>
          <w:szCs w:val="16"/>
        </w:rPr>
        <w:t>záležitosti</w:t>
      </w:r>
      <w:proofErr w:type="spellEnd"/>
      <w:r w:rsidRPr="00177032">
        <w:rPr>
          <w:rFonts w:cstheme="minorHAnsi"/>
          <w:sz w:val="16"/>
          <w:szCs w:val="16"/>
        </w:rPr>
        <w:t xml:space="preserve"> </w:t>
      </w:r>
      <w:proofErr w:type="spellStart"/>
      <w:r w:rsidRPr="00177032">
        <w:rPr>
          <w:rFonts w:cstheme="minorHAnsi"/>
          <w:sz w:val="16"/>
          <w:szCs w:val="16"/>
        </w:rPr>
        <w:t>přebírá</w:t>
      </w:r>
      <w:proofErr w:type="spellEnd"/>
      <w:r w:rsidRPr="00177032">
        <w:rPr>
          <w:rFonts w:cstheme="minorHAnsi"/>
          <w:sz w:val="16"/>
          <w:szCs w:val="16"/>
        </w:rPr>
        <w:t xml:space="preserve"> </w:t>
      </w:r>
      <w:proofErr w:type="spellStart"/>
      <w:r w:rsidRPr="00177032">
        <w:rPr>
          <w:rFonts w:cstheme="minorHAnsi"/>
          <w:sz w:val="16"/>
          <w:szCs w:val="16"/>
        </w:rPr>
        <w:t>více</w:t>
      </w:r>
      <w:proofErr w:type="spellEnd"/>
      <w:r w:rsidRPr="00177032">
        <w:rPr>
          <w:rFonts w:cstheme="minorHAnsi"/>
          <w:sz w:val="16"/>
          <w:szCs w:val="16"/>
        </w:rPr>
        <w:t xml:space="preserve"> </w:t>
      </w:r>
      <w:proofErr w:type="spellStart"/>
      <w:r w:rsidRPr="00177032">
        <w:rPr>
          <w:rFonts w:cstheme="minorHAnsi"/>
          <w:sz w:val="16"/>
          <w:szCs w:val="16"/>
        </w:rPr>
        <w:t>ministerstev</w:t>
      </w:r>
      <w:proofErr w:type="spellEnd"/>
      <w:r w:rsidRPr="00177032">
        <w:rPr>
          <w:rFonts w:cstheme="minorHAnsi"/>
          <w:sz w:val="16"/>
          <w:szCs w:val="16"/>
        </w:rPr>
        <w:t xml:space="preserve">, </w:t>
      </w:r>
      <w:proofErr w:type="spellStart"/>
      <w:r w:rsidRPr="00177032">
        <w:rPr>
          <w:rFonts w:cstheme="minorHAnsi"/>
          <w:sz w:val="16"/>
          <w:szCs w:val="16"/>
        </w:rPr>
        <w:t>radiozurnal</w:t>
      </w:r>
      <w:proofErr w:type="spellEnd"/>
      <w:r w:rsidRPr="00177032">
        <w:rPr>
          <w:rFonts w:cstheme="minorHAnsi"/>
          <w:sz w:val="16"/>
          <w:szCs w:val="16"/>
        </w:rPr>
        <w:t xml:space="preserve">, 22. </w:t>
      </w:r>
      <w:proofErr w:type="spellStart"/>
      <w:r w:rsidRPr="00177032">
        <w:rPr>
          <w:rFonts w:cstheme="minorHAnsi"/>
          <w:sz w:val="16"/>
          <w:szCs w:val="16"/>
        </w:rPr>
        <w:t>květen</w:t>
      </w:r>
      <w:proofErr w:type="spellEnd"/>
      <w:r w:rsidRPr="00177032">
        <w:rPr>
          <w:rFonts w:cstheme="minorHAnsi"/>
          <w:sz w:val="16"/>
          <w:szCs w:val="16"/>
        </w:rPr>
        <w:t xml:space="preserve"> 2026, </w:t>
      </w:r>
      <w:hyperlink r:id="rId2" w:history="1">
        <w:r w:rsidRPr="00177032">
          <w:rPr>
            <w:rStyle w:val="Hyperlink"/>
            <w:rFonts w:cstheme="minorHAnsi"/>
            <w:sz w:val="16"/>
            <w:szCs w:val="16"/>
          </w:rPr>
          <w:t>https://n9.cl/rnxx1k</w:t>
        </w:r>
      </w:hyperlink>
      <w:r w:rsidRPr="00177032">
        <w:rPr>
          <w:rFonts w:cstheme="minorHAnsi"/>
          <w:sz w:val="16"/>
          <w:szCs w:val="16"/>
        </w:rPr>
        <w:t xml:space="preserve"> </w:t>
      </w:r>
    </w:p>
  </w:footnote>
  <w:footnote w:id="3">
    <w:p w14:paraId="351A97DD" w14:textId="62706063"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S.T. v. the Czech Republic, </w:t>
      </w:r>
      <w:r w:rsidRPr="00177032">
        <w:rPr>
          <w:rFonts w:cstheme="minorHAnsi"/>
          <w:sz w:val="16"/>
          <w:szCs w:val="16"/>
        </w:rPr>
        <w:t>European Court of Human Rights</w:t>
      </w:r>
      <w:r w:rsidRPr="00177032">
        <w:rPr>
          <w:rFonts w:cstheme="minorHAnsi"/>
          <w:sz w:val="16"/>
          <w:szCs w:val="16"/>
        </w:rPr>
        <w:t xml:space="preserve">, 16 </w:t>
      </w:r>
      <w:r w:rsidRPr="00177032">
        <w:rPr>
          <w:rFonts w:cstheme="minorHAnsi"/>
          <w:sz w:val="16"/>
          <w:szCs w:val="16"/>
        </w:rPr>
        <w:t>J</w:t>
      </w:r>
      <w:r w:rsidRPr="00177032">
        <w:rPr>
          <w:rFonts w:cstheme="minorHAnsi"/>
          <w:sz w:val="16"/>
          <w:szCs w:val="16"/>
        </w:rPr>
        <w:t xml:space="preserve">uly 2026, </w:t>
      </w:r>
      <w:hyperlink r:id="rId3" w:history="1">
        <w:r w:rsidRPr="00177032">
          <w:rPr>
            <w:rStyle w:val="Hyperlink"/>
            <w:rFonts w:cstheme="minorHAnsi"/>
            <w:sz w:val="16"/>
            <w:szCs w:val="16"/>
          </w:rPr>
          <w:t>https://n9.cl/d7ouk</w:t>
        </w:r>
      </w:hyperlink>
      <w:r w:rsidRPr="00177032">
        <w:rPr>
          <w:rFonts w:cstheme="minorHAnsi"/>
          <w:sz w:val="16"/>
          <w:szCs w:val="16"/>
        </w:rPr>
        <w:t xml:space="preserve"> </w:t>
      </w:r>
    </w:p>
  </w:footnote>
  <w:footnote w:id="4">
    <w:p w14:paraId="3BA4D329" w14:textId="37814D2C"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proofErr w:type="spellStart"/>
      <w:r w:rsidRPr="00177032">
        <w:rPr>
          <w:rFonts w:cstheme="minorHAnsi"/>
          <w:sz w:val="16"/>
          <w:szCs w:val="16"/>
        </w:rPr>
        <w:t>Policista</w:t>
      </w:r>
      <w:proofErr w:type="spellEnd"/>
      <w:r w:rsidRPr="00177032">
        <w:rPr>
          <w:rFonts w:cstheme="minorHAnsi"/>
          <w:sz w:val="16"/>
          <w:szCs w:val="16"/>
        </w:rPr>
        <w:t xml:space="preserve"> </w:t>
      </w:r>
      <w:proofErr w:type="spellStart"/>
      <w:r w:rsidRPr="00177032">
        <w:rPr>
          <w:rFonts w:cstheme="minorHAnsi"/>
          <w:sz w:val="16"/>
          <w:szCs w:val="16"/>
        </w:rPr>
        <w:t>stíhán</w:t>
      </w:r>
      <w:proofErr w:type="spellEnd"/>
      <w:r w:rsidRPr="00177032">
        <w:rPr>
          <w:rFonts w:cstheme="minorHAnsi"/>
          <w:sz w:val="16"/>
          <w:szCs w:val="16"/>
        </w:rPr>
        <w:t xml:space="preserve"> v </w:t>
      </w:r>
      <w:proofErr w:type="spellStart"/>
      <w:r w:rsidRPr="00177032">
        <w:rPr>
          <w:rFonts w:cstheme="minorHAnsi"/>
          <w:sz w:val="16"/>
          <w:szCs w:val="16"/>
        </w:rPr>
        <w:t>souvislosti</w:t>
      </w:r>
      <w:proofErr w:type="spellEnd"/>
      <w:r w:rsidRPr="00177032">
        <w:rPr>
          <w:rFonts w:cstheme="minorHAnsi"/>
          <w:sz w:val="16"/>
          <w:szCs w:val="16"/>
        </w:rPr>
        <w:t xml:space="preserve"> se </w:t>
      </w:r>
      <w:proofErr w:type="spellStart"/>
      <w:r w:rsidRPr="00177032">
        <w:rPr>
          <w:rFonts w:cstheme="minorHAnsi"/>
          <w:sz w:val="16"/>
          <w:szCs w:val="16"/>
        </w:rPr>
        <w:t>služebním</w:t>
      </w:r>
      <w:proofErr w:type="spellEnd"/>
      <w:r w:rsidRPr="00177032">
        <w:rPr>
          <w:rFonts w:cstheme="minorHAnsi"/>
          <w:sz w:val="16"/>
          <w:szCs w:val="16"/>
        </w:rPr>
        <w:t xml:space="preserve"> </w:t>
      </w:r>
      <w:proofErr w:type="spellStart"/>
      <w:r w:rsidRPr="00177032">
        <w:rPr>
          <w:rFonts w:cstheme="minorHAnsi"/>
          <w:sz w:val="16"/>
          <w:szCs w:val="16"/>
        </w:rPr>
        <w:t>zákrokem</w:t>
      </w:r>
      <w:proofErr w:type="spellEnd"/>
      <w:r w:rsidRPr="00177032">
        <w:rPr>
          <w:rFonts w:cstheme="minorHAnsi"/>
          <w:sz w:val="16"/>
          <w:szCs w:val="16"/>
        </w:rPr>
        <w:t xml:space="preserve"> v </w:t>
      </w:r>
      <w:proofErr w:type="spellStart"/>
      <w:r w:rsidRPr="00177032">
        <w:rPr>
          <w:rFonts w:cstheme="minorHAnsi"/>
          <w:sz w:val="16"/>
          <w:szCs w:val="16"/>
        </w:rPr>
        <w:t>Českých</w:t>
      </w:r>
      <w:proofErr w:type="spellEnd"/>
      <w:r w:rsidRPr="00177032">
        <w:rPr>
          <w:rFonts w:cstheme="minorHAnsi"/>
          <w:sz w:val="16"/>
          <w:szCs w:val="16"/>
        </w:rPr>
        <w:t xml:space="preserve"> </w:t>
      </w:r>
      <w:proofErr w:type="spellStart"/>
      <w:r w:rsidRPr="00177032">
        <w:rPr>
          <w:rFonts w:cstheme="minorHAnsi"/>
          <w:sz w:val="16"/>
          <w:szCs w:val="16"/>
        </w:rPr>
        <w:t>Budějovicích</w:t>
      </w:r>
      <w:proofErr w:type="spellEnd"/>
      <w:r w:rsidRPr="00177032">
        <w:rPr>
          <w:rFonts w:cstheme="minorHAnsi"/>
          <w:sz w:val="16"/>
          <w:szCs w:val="16"/>
        </w:rPr>
        <w:t xml:space="preserve">, </w:t>
      </w:r>
      <w:hyperlink r:id="rId4" w:history="1">
        <w:r w:rsidRPr="00177032">
          <w:rPr>
            <w:rStyle w:val="Hyperlink"/>
            <w:rFonts w:cstheme="minorHAnsi"/>
            <w:sz w:val="16"/>
            <w:szCs w:val="16"/>
          </w:rPr>
          <w:t>https://n9.cl/kxac2</w:t>
        </w:r>
      </w:hyperlink>
      <w:r w:rsidRPr="00177032">
        <w:rPr>
          <w:rFonts w:cstheme="minorHAnsi"/>
          <w:sz w:val="16"/>
          <w:szCs w:val="16"/>
        </w:rPr>
        <w:t xml:space="preserve"> </w:t>
      </w:r>
    </w:p>
  </w:footnote>
  <w:footnote w:id="5">
    <w:p w14:paraId="405DF39A" w14:textId="40FB0B30"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Tens of thousands of protesters rally in Prague against new government of Czech prime minister </w:t>
      </w:r>
      <w:proofErr w:type="spellStart"/>
      <w:r w:rsidRPr="00177032">
        <w:rPr>
          <w:rFonts w:cstheme="minorHAnsi"/>
          <w:sz w:val="16"/>
          <w:szCs w:val="16"/>
        </w:rPr>
        <w:t>Babiš</w:t>
      </w:r>
      <w:proofErr w:type="spellEnd"/>
      <w:r w:rsidRPr="00177032">
        <w:rPr>
          <w:rFonts w:cstheme="minorHAnsi"/>
          <w:sz w:val="16"/>
          <w:szCs w:val="16"/>
        </w:rPr>
        <w:t xml:space="preserve">, </w:t>
      </w:r>
      <w:r w:rsidRPr="00177032">
        <w:rPr>
          <w:rFonts w:cstheme="minorHAnsi"/>
          <w:sz w:val="16"/>
          <w:szCs w:val="16"/>
        </w:rPr>
        <w:t>AP News</w:t>
      </w:r>
      <w:r w:rsidRPr="00177032">
        <w:rPr>
          <w:rFonts w:cstheme="minorHAnsi"/>
          <w:sz w:val="16"/>
          <w:szCs w:val="16"/>
        </w:rPr>
        <w:t xml:space="preserve">, 22 March 2026, </w:t>
      </w:r>
      <w:hyperlink r:id="rId5" w:history="1">
        <w:r w:rsidRPr="00177032">
          <w:rPr>
            <w:rStyle w:val="Hyperlink"/>
            <w:rFonts w:cstheme="minorHAnsi"/>
            <w:sz w:val="16"/>
            <w:szCs w:val="16"/>
          </w:rPr>
          <w:t>https://n9.cl/2mlse</w:t>
        </w:r>
      </w:hyperlink>
      <w:r w:rsidRPr="00177032">
        <w:rPr>
          <w:rFonts w:cstheme="minorHAnsi"/>
          <w:sz w:val="16"/>
          <w:szCs w:val="16"/>
        </w:rPr>
        <w:t xml:space="preserve"> </w:t>
      </w:r>
    </w:p>
  </w:footnote>
  <w:footnote w:id="6">
    <w:p w14:paraId="308CF048" w14:textId="2FD2D3D7"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Czech government's media revamp sparks criticism over independence, Reuters, 15 June 2026, </w:t>
      </w:r>
      <w:hyperlink r:id="rId6" w:history="1">
        <w:r w:rsidRPr="00177032">
          <w:rPr>
            <w:rStyle w:val="Hyperlink"/>
            <w:rFonts w:cstheme="minorHAnsi"/>
            <w:sz w:val="16"/>
            <w:szCs w:val="16"/>
          </w:rPr>
          <w:t>https://n9.cl/2u97f9</w:t>
        </w:r>
      </w:hyperlink>
      <w:r w:rsidRPr="00177032">
        <w:rPr>
          <w:rFonts w:cstheme="minorHAnsi"/>
          <w:sz w:val="16"/>
          <w:szCs w:val="16"/>
        </w:rPr>
        <w:t xml:space="preserve"> </w:t>
      </w:r>
    </w:p>
  </w:footnote>
  <w:footnote w:id="7">
    <w:p w14:paraId="5B6AD685" w14:textId="282D43B8"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Czechia: with 13 cases in 6 months, political attacks on journalists have become hallmarks of Andrej Babis’ premiership,</w:t>
      </w:r>
      <w:r w:rsidRPr="00177032">
        <w:rPr>
          <w:rFonts w:cstheme="minorHAnsi"/>
          <w:sz w:val="16"/>
          <w:szCs w:val="16"/>
        </w:rPr>
        <w:t xml:space="preserve"> Reporters without Borders,</w:t>
      </w:r>
      <w:r w:rsidRPr="00177032">
        <w:rPr>
          <w:rFonts w:cstheme="minorHAnsi"/>
          <w:sz w:val="16"/>
          <w:szCs w:val="16"/>
        </w:rPr>
        <w:t xml:space="preserve"> </w:t>
      </w:r>
      <w:hyperlink r:id="rId7" w:history="1">
        <w:r w:rsidRPr="00177032">
          <w:rPr>
            <w:rStyle w:val="Hyperlink"/>
            <w:rFonts w:cstheme="minorHAnsi"/>
            <w:sz w:val="16"/>
            <w:szCs w:val="16"/>
          </w:rPr>
          <w:t>https://n9.cl/1rzr2</w:t>
        </w:r>
      </w:hyperlink>
      <w:r w:rsidRPr="00177032">
        <w:rPr>
          <w:rFonts w:cstheme="minorHAnsi"/>
          <w:sz w:val="16"/>
          <w:szCs w:val="16"/>
        </w:rPr>
        <w:t xml:space="preserve"> </w:t>
      </w:r>
    </w:p>
  </w:footnote>
  <w:footnote w:id="8">
    <w:p w14:paraId="4A7F99AB" w14:textId="222C5D57"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See the following link, </w:t>
      </w:r>
      <w:hyperlink r:id="rId8" w:history="1">
        <w:r w:rsidRPr="00177032">
          <w:rPr>
            <w:rStyle w:val="Hyperlink"/>
            <w:rFonts w:cstheme="minorHAnsi"/>
            <w:sz w:val="16"/>
            <w:szCs w:val="16"/>
          </w:rPr>
          <w:t>https://n9.cl/z66nh</w:t>
        </w:r>
      </w:hyperlink>
      <w:r w:rsidRPr="00177032">
        <w:rPr>
          <w:rFonts w:cstheme="minorHAnsi"/>
          <w:sz w:val="16"/>
          <w:szCs w:val="16"/>
        </w:rPr>
        <w:t xml:space="preserve"> </w:t>
      </w:r>
    </w:p>
  </w:footnote>
  <w:footnote w:id="9">
    <w:p w14:paraId="54EC0471" w14:textId="58EAA4C4"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Repeated offences as a new reason for cancelling certain residence permits, </w:t>
      </w:r>
      <w:hyperlink r:id="rId9" w:history="1">
        <w:r w:rsidRPr="00177032">
          <w:rPr>
            <w:rStyle w:val="Hyperlink"/>
            <w:rFonts w:cstheme="minorHAnsi"/>
            <w:sz w:val="16"/>
            <w:szCs w:val="16"/>
          </w:rPr>
          <w:t>https://n9.cl/34li0</w:t>
        </w:r>
      </w:hyperlink>
      <w:r w:rsidRPr="00177032">
        <w:rPr>
          <w:rFonts w:cstheme="minorHAnsi"/>
          <w:sz w:val="16"/>
          <w:szCs w:val="16"/>
        </w:rPr>
        <w:t xml:space="preserve"> </w:t>
      </w:r>
    </w:p>
  </w:footnote>
  <w:footnote w:id="10">
    <w:p w14:paraId="09965E97" w14:textId="7E87B347"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See the following link, </w:t>
      </w:r>
      <w:hyperlink r:id="rId10" w:history="1">
        <w:r w:rsidRPr="00177032">
          <w:rPr>
            <w:rStyle w:val="Hyperlink"/>
            <w:rFonts w:cstheme="minorHAnsi"/>
            <w:sz w:val="16"/>
            <w:szCs w:val="16"/>
          </w:rPr>
          <w:t>https://n9.cl/ub6e8w</w:t>
        </w:r>
      </w:hyperlink>
      <w:r w:rsidRPr="00177032">
        <w:rPr>
          <w:rFonts w:cstheme="minorHAnsi"/>
          <w:sz w:val="16"/>
          <w:szCs w:val="16"/>
        </w:rPr>
        <w:t xml:space="preserve"> </w:t>
      </w:r>
    </w:p>
  </w:footnote>
  <w:footnote w:id="11">
    <w:p w14:paraId="230D264A" w14:textId="74DB5F4D" w:rsidR="00177032" w:rsidRPr="00177032" w:rsidRDefault="00177032">
      <w:pPr>
        <w:pStyle w:val="FootnoteText"/>
        <w:rPr>
          <w:rFonts w:cstheme="minorHAnsi"/>
          <w:sz w:val="16"/>
          <w:szCs w:val="16"/>
        </w:rPr>
      </w:pPr>
      <w:r w:rsidRPr="00177032">
        <w:rPr>
          <w:rStyle w:val="FootnoteReference"/>
          <w:rFonts w:cstheme="minorHAnsi"/>
          <w:sz w:val="16"/>
          <w:szCs w:val="16"/>
        </w:rPr>
        <w:footnoteRef/>
      </w:r>
      <w:r w:rsidRPr="00177032">
        <w:rPr>
          <w:rFonts w:cstheme="minorHAnsi"/>
          <w:sz w:val="16"/>
          <w:szCs w:val="16"/>
        </w:rPr>
        <w:t xml:space="preserve"> </w:t>
      </w:r>
      <w:r w:rsidRPr="00177032">
        <w:rPr>
          <w:rFonts w:cstheme="minorHAnsi"/>
          <w:sz w:val="16"/>
          <w:szCs w:val="16"/>
        </w:rPr>
        <w:t xml:space="preserve">See the following link: </w:t>
      </w:r>
      <w:hyperlink r:id="rId11" w:history="1">
        <w:r w:rsidRPr="00177032">
          <w:rPr>
            <w:rStyle w:val="Hyperlink"/>
            <w:rFonts w:cstheme="minorHAnsi"/>
            <w:sz w:val="16"/>
            <w:szCs w:val="16"/>
          </w:rPr>
          <w:t>https://n9.cl/wtfrki</w:t>
        </w:r>
      </w:hyperlink>
      <w:r w:rsidRPr="00177032">
        <w:rPr>
          <w:rFonts w:cstheme="minorHAns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F7E"/>
    <w:multiLevelType w:val="hybridMultilevel"/>
    <w:tmpl w:val="5AA8624C"/>
    <w:lvl w:ilvl="0" w:tplc="DBF4CF04">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13D56"/>
    <w:multiLevelType w:val="hybridMultilevel"/>
    <w:tmpl w:val="9B0A7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C3B46BE"/>
    <w:multiLevelType w:val="hybridMultilevel"/>
    <w:tmpl w:val="7D0243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58A58C5"/>
    <w:multiLevelType w:val="hybridMultilevel"/>
    <w:tmpl w:val="77402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1"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142484"/>
    <w:multiLevelType w:val="hybridMultilevel"/>
    <w:tmpl w:val="0F489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333BAC"/>
    <w:multiLevelType w:val="hybridMultilevel"/>
    <w:tmpl w:val="18EC76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4D52B4"/>
    <w:multiLevelType w:val="hybridMultilevel"/>
    <w:tmpl w:val="9C6C7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4"/>
  </w:num>
  <w:num w:numId="2" w16cid:durableId="1733964038">
    <w:abstractNumId w:val="18"/>
  </w:num>
  <w:num w:numId="3" w16cid:durableId="1057122983">
    <w:abstractNumId w:val="29"/>
  </w:num>
  <w:num w:numId="4" w16cid:durableId="599484416">
    <w:abstractNumId w:val="17"/>
  </w:num>
  <w:num w:numId="5" w16cid:durableId="221990767">
    <w:abstractNumId w:val="34"/>
  </w:num>
  <w:num w:numId="6" w16cid:durableId="1184974759">
    <w:abstractNumId w:val="3"/>
  </w:num>
  <w:num w:numId="7" w16cid:durableId="719747233">
    <w:abstractNumId w:val="9"/>
  </w:num>
  <w:num w:numId="8" w16cid:durableId="2082218265">
    <w:abstractNumId w:val="19"/>
  </w:num>
  <w:num w:numId="9" w16cid:durableId="44522668">
    <w:abstractNumId w:val="21"/>
  </w:num>
  <w:num w:numId="10" w16cid:durableId="384570591">
    <w:abstractNumId w:val="23"/>
  </w:num>
  <w:num w:numId="11" w16cid:durableId="955409921">
    <w:abstractNumId w:val="2"/>
  </w:num>
  <w:num w:numId="12" w16cid:durableId="329604790">
    <w:abstractNumId w:val="1"/>
  </w:num>
  <w:num w:numId="13" w16cid:durableId="499975853">
    <w:abstractNumId w:val="24"/>
  </w:num>
  <w:num w:numId="14" w16cid:durableId="933244681">
    <w:abstractNumId w:val="27"/>
  </w:num>
  <w:num w:numId="15" w16cid:durableId="1029186210">
    <w:abstractNumId w:val="31"/>
  </w:num>
  <w:num w:numId="16" w16cid:durableId="510409883">
    <w:abstractNumId w:val="28"/>
  </w:num>
  <w:num w:numId="17" w16cid:durableId="1424718560">
    <w:abstractNumId w:val="6"/>
  </w:num>
  <w:num w:numId="18" w16cid:durableId="1266771858">
    <w:abstractNumId w:val="22"/>
  </w:num>
  <w:num w:numId="19" w16cid:durableId="1307006074">
    <w:abstractNumId w:val="8"/>
  </w:num>
  <w:num w:numId="20" w16cid:durableId="596136773">
    <w:abstractNumId w:val="16"/>
  </w:num>
  <w:num w:numId="21" w16cid:durableId="31420069">
    <w:abstractNumId w:val="10"/>
  </w:num>
  <w:num w:numId="22" w16cid:durableId="334383903">
    <w:abstractNumId w:val="32"/>
  </w:num>
  <w:num w:numId="23" w16cid:durableId="1430659545">
    <w:abstractNumId w:val="13"/>
  </w:num>
  <w:num w:numId="24" w16cid:durableId="155460974">
    <w:abstractNumId w:val="26"/>
  </w:num>
  <w:num w:numId="25" w16cid:durableId="722827196">
    <w:abstractNumId w:val="5"/>
  </w:num>
  <w:num w:numId="26" w16cid:durableId="2024890808">
    <w:abstractNumId w:val="20"/>
  </w:num>
  <w:num w:numId="27" w16cid:durableId="570501625">
    <w:abstractNumId w:val="15"/>
  </w:num>
  <w:num w:numId="28" w16cid:durableId="1337419106">
    <w:abstractNumId w:val="7"/>
  </w:num>
  <w:num w:numId="29" w16cid:durableId="1788237351">
    <w:abstractNumId w:val="30"/>
  </w:num>
  <w:num w:numId="30" w16cid:durableId="453329427">
    <w:abstractNumId w:val="11"/>
  </w:num>
  <w:num w:numId="31" w16cid:durableId="1159031427">
    <w:abstractNumId w:val="0"/>
  </w:num>
  <w:num w:numId="32" w16cid:durableId="1033843789">
    <w:abstractNumId w:val="12"/>
  </w:num>
  <w:num w:numId="33" w16cid:durableId="816413317">
    <w:abstractNumId w:val="14"/>
  </w:num>
  <w:num w:numId="34" w16cid:durableId="1587038898">
    <w:abstractNumId w:val="33"/>
  </w:num>
  <w:num w:numId="35" w16cid:durableId="16578034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A3383"/>
    <w:rsid w:val="000B59D1"/>
    <w:rsid w:val="000B6672"/>
    <w:rsid w:val="000D152D"/>
    <w:rsid w:val="000D76D9"/>
    <w:rsid w:val="000E46C3"/>
    <w:rsid w:val="000E7525"/>
    <w:rsid w:val="000F092A"/>
    <w:rsid w:val="000F1B26"/>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77032"/>
    <w:rsid w:val="001A5CB1"/>
    <w:rsid w:val="001B3856"/>
    <w:rsid w:val="001B74C9"/>
    <w:rsid w:val="001D2801"/>
    <w:rsid w:val="001E0F28"/>
    <w:rsid w:val="001E5853"/>
    <w:rsid w:val="001F05A4"/>
    <w:rsid w:val="001F17D0"/>
    <w:rsid w:val="00204088"/>
    <w:rsid w:val="0021413B"/>
    <w:rsid w:val="00220D6B"/>
    <w:rsid w:val="00265110"/>
    <w:rsid w:val="00272612"/>
    <w:rsid w:val="00273EAA"/>
    <w:rsid w:val="0027781D"/>
    <w:rsid w:val="00287FC0"/>
    <w:rsid w:val="00292DF1"/>
    <w:rsid w:val="002A6B29"/>
    <w:rsid w:val="002E4A18"/>
    <w:rsid w:val="002F1224"/>
    <w:rsid w:val="00304121"/>
    <w:rsid w:val="003060B3"/>
    <w:rsid w:val="003174DA"/>
    <w:rsid w:val="00340D06"/>
    <w:rsid w:val="003456A7"/>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4E0923"/>
    <w:rsid w:val="004E3B50"/>
    <w:rsid w:val="00506ACD"/>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0A6C"/>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B43FA"/>
    <w:rsid w:val="007D795E"/>
    <w:rsid w:val="007E687B"/>
    <w:rsid w:val="0080014F"/>
    <w:rsid w:val="00832E45"/>
    <w:rsid w:val="0085336D"/>
    <w:rsid w:val="008738FB"/>
    <w:rsid w:val="0087723C"/>
    <w:rsid w:val="00877E2D"/>
    <w:rsid w:val="008A1847"/>
    <w:rsid w:val="008A1E41"/>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3639"/>
    <w:rsid w:val="00A641E3"/>
    <w:rsid w:val="00A66799"/>
    <w:rsid w:val="00AE3F17"/>
    <w:rsid w:val="00B02619"/>
    <w:rsid w:val="00B30326"/>
    <w:rsid w:val="00B544FE"/>
    <w:rsid w:val="00B567EF"/>
    <w:rsid w:val="00B66C99"/>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21125"/>
    <w:rsid w:val="00D51762"/>
    <w:rsid w:val="00D65F66"/>
    <w:rsid w:val="00DB2C16"/>
    <w:rsid w:val="00DB790F"/>
    <w:rsid w:val="00DC2019"/>
    <w:rsid w:val="00DC4F4D"/>
    <w:rsid w:val="00DF4ECD"/>
    <w:rsid w:val="00E0326C"/>
    <w:rsid w:val="00E2244D"/>
    <w:rsid w:val="00E23A40"/>
    <w:rsid w:val="00E23EEE"/>
    <w:rsid w:val="00E3778A"/>
    <w:rsid w:val="00E4081E"/>
    <w:rsid w:val="00E53BB1"/>
    <w:rsid w:val="00E55D80"/>
    <w:rsid w:val="00E56E43"/>
    <w:rsid w:val="00E64ADD"/>
    <w:rsid w:val="00EB2133"/>
    <w:rsid w:val="00EC41C9"/>
    <w:rsid w:val="00ED1E5C"/>
    <w:rsid w:val="00EE156B"/>
    <w:rsid w:val="00F154A1"/>
    <w:rsid w:val="00F44F63"/>
    <w:rsid w:val="00F4689D"/>
    <w:rsid w:val="00F854B3"/>
    <w:rsid w:val="00F86E04"/>
    <w:rsid w:val="00F86F47"/>
    <w:rsid w:val="00F93C90"/>
    <w:rsid w:val="00F96A61"/>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8783"/>
  <w15:docId w15:val="{80F3D62C-ECF7-4C51-ADD8-D47F8B42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n9.cl/z66nh" TargetMode="External"/><Relationship Id="rId3" Type="http://schemas.openxmlformats.org/officeDocument/2006/relationships/hyperlink" Target="https://n9.cl/d7ouk" TargetMode="External"/><Relationship Id="rId7" Type="http://schemas.openxmlformats.org/officeDocument/2006/relationships/hyperlink" Target="https://n9.cl/1rzr2" TargetMode="External"/><Relationship Id="rId2" Type="http://schemas.openxmlformats.org/officeDocument/2006/relationships/hyperlink" Target="https://n9.cl/rnxx1k" TargetMode="External"/><Relationship Id="rId1" Type="http://schemas.openxmlformats.org/officeDocument/2006/relationships/hyperlink" Target="https://n9.cl/nby7m" TargetMode="External"/><Relationship Id="rId6" Type="http://schemas.openxmlformats.org/officeDocument/2006/relationships/hyperlink" Target="https://n9.cl/2u97f9" TargetMode="External"/><Relationship Id="rId11" Type="http://schemas.openxmlformats.org/officeDocument/2006/relationships/hyperlink" Target="https://n9.cl/wtfrki" TargetMode="External"/><Relationship Id="rId5" Type="http://schemas.openxmlformats.org/officeDocument/2006/relationships/hyperlink" Target="https://n9.cl/2mlse" TargetMode="External"/><Relationship Id="rId10" Type="http://schemas.openxmlformats.org/officeDocument/2006/relationships/hyperlink" Target="https://n9.cl/ub6e8w" TargetMode="External"/><Relationship Id="rId4" Type="http://schemas.openxmlformats.org/officeDocument/2006/relationships/hyperlink" Target="https://n9.cl/kxac2" TargetMode="External"/><Relationship Id="rId9" Type="http://schemas.openxmlformats.org/officeDocument/2006/relationships/hyperlink" Target="https://n9.cl/34li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2722</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2026-08-25T14:55:00Z</dcterms:created>
  <dcterms:modified xsi:type="dcterms:W3CDTF">2026-08-25T14:55:00Z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