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E42" w:rsidRPr="00E342DC" w:rsidRDefault="00A050A8" w:rsidP="00DA0ABA">
      <w:pPr>
        <w:pStyle w:val="Header"/>
        <w:jc w:val="center"/>
        <w:rPr>
          <w:rFonts w:cs="Tahoma"/>
          <w:lang w:val="fr-CH"/>
        </w:rPr>
      </w:pPr>
      <w:bookmarkStart w:id="0" w:name="_GoBack"/>
      <w:bookmarkEnd w:id="0"/>
      <w:r w:rsidRPr="00E342DC">
        <w:rPr>
          <w:rFonts w:cs="Tahoma"/>
          <w:noProof/>
          <w:lang w:eastAsia="fr-FR"/>
        </w:rPr>
        <w:drawing>
          <wp:inline distT="0" distB="0" distL="0" distR="0">
            <wp:extent cx="1628775" cy="790575"/>
            <wp:effectExtent l="19050" t="0" r="9525" b="0"/>
            <wp:docPr id="1" name="Image 1" descr="karama logo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rama logo 800"/>
                    <pic:cNvPicPr>
                      <a:picLocks noChangeAspect="1" noChangeArrowheads="1"/>
                    </pic:cNvPicPr>
                  </pic:nvPicPr>
                  <pic:blipFill>
                    <a:blip r:embed="rId9" cstate="print"/>
                    <a:srcRect/>
                    <a:stretch>
                      <a:fillRect/>
                    </a:stretch>
                  </pic:blipFill>
                  <pic:spPr bwMode="auto">
                    <a:xfrm>
                      <a:off x="0" y="0"/>
                      <a:ext cx="1628775" cy="790575"/>
                    </a:xfrm>
                    <a:prstGeom prst="rect">
                      <a:avLst/>
                    </a:prstGeom>
                    <a:noFill/>
                    <a:ln w="9525">
                      <a:noFill/>
                      <a:miter lim="800000"/>
                      <a:headEnd/>
                      <a:tailEnd/>
                    </a:ln>
                  </pic:spPr>
                </pic:pic>
              </a:graphicData>
            </a:graphic>
          </wp:inline>
        </w:drawing>
      </w:r>
    </w:p>
    <w:p w:rsidR="00035E42" w:rsidRPr="00E342DC" w:rsidRDefault="00035E42" w:rsidP="00DA0ABA">
      <w:pPr>
        <w:jc w:val="center"/>
        <w:rPr>
          <w:rFonts w:cs="Tahoma"/>
          <w:lang w:val="fr-CH"/>
        </w:rPr>
      </w:pPr>
    </w:p>
    <w:p w:rsidR="00035E42" w:rsidRPr="00E342DC" w:rsidRDefault="00035E42" w:rsidP="00DA0ABA">
      <w:pPr>
        <w:jc w:val="center"/>
        <w:rPr>
          <w:rFonts w:cs="Tahoma"/>
          <w:lang w:val="fr-CH"/>
        </w:rPr>
      </w:pPr>
    </w:p>
    <w:p w:rsidR="00035E42" w:rsidRPr="00E342DC" w:rsidRDefault="00035E42" w:rsidP="00DA0ABA">
      <w:pPr>
        <w:jc w:val="center"/>
        <w:rPr>
          <w:rFonts w:cs="Tahoma"/>
          <w:lang w:val="fr-CH"/>
        </w:rPr>
      </w:pPr>
    </w:p>
    <w:p w:rsidR="00035E42" w:rsidRPr="00E342DC" w:rsidRDefault="00035E42" w:rsidP="00DA0ABA">
      <w:pPr>
        <w:jc w:val="center"/>
        <w:rPr>
          <w:rFonts w:cs="Tahoma"/>
          <w:lang w:val="fr-CH"/>
        </w:rPr>
      </w:pPr>
    </w:p>
    <w:p w:rsidR="00035E42" w:rsidRPr="00E342DC" w:rsidRDefault="00035E42" w:rsidP="00DA0ABA">
      <w:pPr>
        <w:jc w:val="center"/>
        <w:rPr>
          <w:rFonts w:cs="Tahoma"/>
          <w:lang w:val="fr-CH"/>
        </w:rPr>
      </w:pPr>
    </w:p>
    <w:p w:rsidR="00035E42" w:rsidRPr="00E342DC" w:rsidRDefault="00035E42" w:rsidP="00DA0ABA">
      <w:pPr>
        <w:jc w:val="center"/>
        <w:rPr>
          <w:rFonts w:cs="Tahoma"/>
          <w:lang w:val="fr-CH"/>
        </w:rPr>
      </w:pPr>
    </w:p>
    <w:p w:rsidR="00035E42" w:rsidRPr="00E342DC" w:rsidRDefault="00C809E6" w:rsidP="00DA0ABA">
      <w:pPr>
        <w:jc w:val="center"/>
        <w:rPr>
          <w:rFonts w:cs="Tahoma"/>
          <w:b/>
          <w:bCs/>
          <w:sz w:val="40"/>
          <w:lang w:val="fr-CH"/>
        </w:rPr>
      </w:pPr>
      <w:r w:rsidRPr="00E342DC">
        <w:rPr>
          <w:rFonts w:cs="Tahoma"/>
          <w:b/>
          <w:bCs/>
          <w:sz w:val="40"/>
          <w:lang w:val="fr-CH"/>
        </w:rPr>
        <w:t>Tunisie</w:t>
      </w:r>
    </w:p>
    <w:p w:rsidR="00035E42" w:rsidRPr="00E342DC" w:rsidRDefault="00035E42" w:rsidP="00DA0ABA">
      <w:pPr>
        <w:jc w:val="center"/>
        <w:rPr>
          <w:rFonts w:cs="Tahoma"/>
          <w:b/>
          <w:bCs/>
          <w:sz w:val="28"/>
          <w:lang w:val="fr-CH"/>
        </w:rPr>
      </w:pPr>
    </w:p>
    <w:p w:rsidR="00035E42" w:rsidRPr="00E342DC" w:rsidRDefault="00035E42" w:rsidP="00DA0ABA">
      <w:pPr>
        <w:jc w:val="center"/>
        <w:rPr>
          <w:rFonts w:cs="Tahoma"/>
          <w:b/>
          <w:bCs/>
          <w:sz w:val="28"/>
          <w:lang w:val="fr-CH"/>
        </w:rPr>
      </w:pPr>
    </w:p>
    <w:p w:rsidR="00035E42" w:rsidRPr="00E342DC" w:rsidRDefault="00035E42" w:rsidP="00DA0ABA">
      <w:pPr>
        <w:jc w:val="center"/>
        <w:rPr>
          <w:rFonts w:cs="Tahoma"/>
          <w:b/>
          <w:bCs/>
          <w:sz w:val="28"/>
          <w:lang w:val="fr-CH"/>
        </w:rPr>
      </w:pPr>
    </w:p>
    <w:p w:rsidR="00035E42" w:rsidRPr="00E342DC" w:rsidRDefault="00035E42" w:rsidP="00DA0ABA">
      <w:pPr>
        <w:jc w:val="center"/>
        <w:rPr>
          <w:rFonts w:cs="Tahoma"/>
          <w:b/>
          <w:bCs/>
          <w:sz w:val="28"/>
          <w:lang w:val="fr-CH"/>
        </w:rPr>
      </w:pPr>
    </w:p>
    <w:p w:rsidR="00035E42" w:rsidRPr="00E342DC" w:rsidRDefault="00035E42" w:rsidP="00DA0ABA">
      <w:pPr>
        <w:jc w:val="center"/>
        <w:rPr>
          <w:rFonts w:cs="Tahoma"/>
          <w:b/>
          <w:bCs/>
          <w:sz w:val="28"/>
          <w:lang w:val="fr-CH"/>
        </w:rPr>
      </w:pPr>
    </w:p>
    <w:p w:rsidR="00AC4B87" w:rsidRPr="00E342DC" w:rsidRDefault="00DC3F81" w:rsidP="00DA0ABA">
      <w:pPr>
        <w:jc w:val="center"/>
        <w:rPr>
          <w:rFonts w:cs="Tahoma"/>
          <w:b/>
          <w:bCs/>
          <w:sz w:val="28"/>
          <w:lang w:val="fr-CH"/>
        </w:rPr>
      </w:pPr>
      <w:r w:rsidRPr="00E342DC">
        <w:rPr>
          <w:rFonts w:cs="Tahoma"/>
          <w:b/>
          <w:bCs/>
          <w:sz w:val="28"/>
          <w:lang w:val="fr-CH"/>
        </w:rPr>
        <w:t xml:space="preserve">Soumission du rapport alternatif </w:t>
      </w:r>
      <w:r w:rsidR="00AC4B87" w:rsidRPr="00E342DC">
        <w:rPr>
          <w:rFonts w:cs="Tahoma"/>
          <w:b/>
          <w:bCs/>
          <w:sz w:val="28"/>
          <w:lang w:val="fr-CH"/>
        </w:rPr>
        <w:t xml:space="preserve">dans le cadre de l'examen du </w:t>
      </w:r>
      <w:r w:rsidR="00C809E6" w:rsidRPr="00E342DC">
        <w:rPr>
          <w:rFonts w:cs="Tahoma"/>
          <w:b/>
          <w:bCs/>
          <w:sz w:val="28"/>
          <w:lang w:val="fr-CH"/>
        </w:rPr>
        <w:t>troisième</w:t>
      </w:r>
      <w:r w:rsidR="00AC4B87" w:rsidRPr="00E342DC">
        <w:rPr>
          <w:rFonts w:cs="Tahoma"/>
          <w:b/>
          <w:bCs/>
          <w:sz w:val="28"/>
          <w:lang w:val="fr-CH"/>
        </w:rPr>
        <w:t xml:space="preserve"> rapport périodique d</w:t>
      </w:r>
      <w:r w:rsidR="00C809E6" w:rsidRPr="00E342DC">
        <w:rPr>
          <w:rFonts w:cs="Tahoma"/>
          <w:b/>
          <w:bCs/>
          <w:sz w:val="28"/>
          <w:lang w:val="fr-CH"/>
        </w:rPr>
        <w:t>e la Tunisie</w:t>
      </w:r>
    </w:p>
    <w:p w:rsidR="00AC4B87" w:rsidRPr="00E342DC" w:rsidRDefault="00AC4B87" w:rsidP="00DA0ABA">
      <w:pPr>
        <w:jc w:val="center"/>
        <w:rPr>
          <w:rFonts w:cs="Tahoma"/>
          <w:b/>
          <w:bCs/>
          <w:sz w:val="28"/>
          <w:lang w:val="fr-CH"/>
        </w:rPr>
      </w:pPr>
      <w:proofErr w:type="gramStart"/>
      <w:r w:rsidRPr="00E342DC">
        <w:rPr>
          <w:rFonts w:cs="Tahoma"/>
          <w:b/>
          <w:bCs/>
          <w:sz w:val="28"/>
          <w:lang w:val="fr-CH"/>
        </w:rPr>
        <w:t>par</w:t>
      </w:r>
      <w:proofErr w:type="gramEnd"/>
      <w:r w:rsidRPr="00E342DC">
        <w:rPr>
          <w:rFonts w:cs="Tahoma"/>
          <w:b/>
          <w:bCs/>
          <w:sz w:val="28"/>
          <w:lang w:val="fr-CH"/>
        </w:rPr>
        <w:t xml:space="preserve"> le</w:t>
      </w:r>
      <w:r w:rsidR="00C809E6" w:rsidRPr="00E342DC">
        <w:rPr>
          <w:rFonts w:cs="Tahoma"/>
          <w:b/>
          <w:bCs/>
          <w:sz w:val="28"/>
          <w:lang w:val="fr-CH"/>
        </w:rPr>
        <w:t xml:space="preserve"> Comité contre la torture</w:t>
      </w:r>
    </w:p>
    <w:p w:rsidR="00035E42" w:rsidRPr="00E342DC" w:rsidRDefault="00035E42" w:rsidP="00DA0ABA">
      <w:pPr>
        <w:jc w:val="center"/>
        <w:rPr>
          <w:rFonts w:cs="Tahoma"/>
          <w:b/>
          <w:bCs/>
          <w:sz w:val="28"/>
          <w:lang w:val="fr-CH"/>
        </w:rPr>
      </w:pPr>
    </w:p>
    <w:p w:rsidR="00035E42" w:rsidRPr="00E342DC" w:rsidRDefault="00035E42" w:rsidP="00DA0ABA">
      <w:pPr>
        <w:jc w:val="center"/>
        <w:rPr>
          <w:rFonts w:cs="Tahoma"/>
          <w:b/>
          <w:bCs/>
          <w:sz w:val="28"/>
          <w:lang w:val="fr-CH"/>
        </w:rPr>
      </w:pPr>
    </w:p>
    <w:p w:rsidR="00035E42" w:rsidRPr="00E342DC" w:rsidRDefault="00035E42" w:rsidP="00DA0ABA">
      <w:pPr>
        <w:jc w:val="center"/>
        <w:rPr>
          <w:rFonts w:cs="Tahoma"/>
          <w:b/>
          <w:bCs/>
          <w:sz w:val="28"/>
          <w:lang w:val="fr-CH"/>
        </w:rPr>
      </w:pPr>
    </w:p>
    <w:p w:rsidR="00035E42" w:rsidRPr="00E342DC" w:rsidRDefault="00035E42" w:rsidP="00DA0ABA">
      <w:pPr>
        <w:jc w:val="center"/>
        <w:rPr>
          <w:rFonts w:cs="Tahoma"/>
          <w:b/>
          <w:bCs/>
          <w:sz w:val="28"/>
          <w:lang w:val="fr-CH"/>
        </w:rPr>
      </w:pPr>
    </w:p>
    <w:p w:rsidR="00035E42" w:rsidRPr="00E342DC" w:rsidRDefault="007D2A63" w:rsidP="00DA0ABA">
      <w:pPr>
        <w:jc w:val="center"/>
        <w:rPr>
          <w:rFonts w:cs="Tahoma"/>
          <w:b/>
          <w:bCs/>
          <w:sz w:val="24"/>
          <w:szCs w:val="24"/>
          <w:lang w:val="fr-CH"/>
        </w:rPr>
      </w:pPr>
      <w:r w:rsidRPr="00E342DC">
        <w:rPr>
          <w:rFonts w:cs="Tahoma"/>
          <w:b/>
          <w:bCs/>
          <w:sz w:val="24"/>
          <w:szCs w:val="24"/>
          <w:lang w:val="fr-CH"/>
        </w:rPr>
        <w:t xml:space="preserve">Fondation Alkarama – </w:t>
      </w:r>
      <w:r w:rsidR="00B82924" w:rsidRPr="00E342DC">
        <w:rPr>
          <w:rFonts w:cs="Tahoma"/>
          <w:b/>
          <w:bCs/>
          <w:sz w:val="24"/>
          <w:szCs w:val="24"/>
          <w:lang w:val="fr-CH"/>
        </w:rPr>
        <w:t>28</w:t>
      </w:r>
      <w:r w:rsidR="00DC3F81" w:rsidRPr="00E342DC">
        <w:rPr>
          <w:rFonts w:cs="Tahoma"/>
          <w:b/>
          <w:bCs/>
          <w:sz w:val="24"/>
          <w:szCs w:val="24"/>
          <w:lang w:val="fr-CH"/>
        </w:rPr>
        <w:t xml:space="preserve"> mars 2016</w:t>
      </w:r>
    </w:p>
    <w:p w:rsidR="00035E42" w:rsidRPr="00E342DC" w:rsidRDefault="00035E42" w:rsidP="00DA0ABA">
      <w:pPr>
        <w:jc w:val="center"/>
        <w:rPr>
          <w:rFonts w:cs="Tahoma"/>
          <w:b/>
          <w:bCs/>
          <w:lang w:val="fr-CH"/>
        </w:rPr>
      </w:pPr>
    </w:p>
    <w:p w:rsidR="00035E42" w:rsidRPr="00BF513F" w:rsidRDefault="00035E42" w:rsidP="00BF513F">
      <w:pPr>
        <w:rPr>
          <w:b/>
          <w:bCs/>
          <w:sz w:val="22"/>
          <w:lang w:val="fr-CH"/>
        </w:rPr>
      </w:pPr>
      <w:r w:rsidRPr="00E342DC">
        <w:rPr>
          <w:lang w:val="fr-CH"/>
        </w:rPr>
        <w:br w:type="page"/>
      </w:r>
      <w:r w:rsidRPr="00BF513F">
        <w:rPr>
          <w:b/>
          <w:bCs/>
          <w:sz w:val="22"/>
          <w:lang w:val="fr-CH"/>
        </w:rPr>
        <w:lastRenderedPageBreak/>
        <w:t>Table des matières</w:t>
      </w:r>
    </w:p>
    <w:p w:rsidR="001068B6" w:rsidRPr="00E342DC" w:rsidRDefault="001068B6" w:rsidP="00DA0ABA">
      <w:pPr>
        <w:rPr>
          <w:rFonts w:cs="Tahoma"/>
          <w:lang w:val="fr-CH"/>
        </w:rPr>
      </w:pPr>
    </w:p>
    <w:p w:rsidR="003D1B0C" w:rsidRDefault="00496658">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r w:rsidRPr="00E342DC">
        <w:rPr>
          <w:rFonts w:ascii="Tahoma" w:hAnsi="Tahoma" w:cs="Tahoma"/>
          <w:i/>
          <w:iCs/>
          <w:caps w:val="0"/>
          <w:lang w:val="fr-CH"/>
        </w:rPr>
        <w:fldChar w:fldCharType="begin"/>
      </w:r>
      <w:r w:rsidR="00035E42" w:rsidRPr="00E342DC">
        <w:rPr>
          <w:rFonts w:ascii="Tahoma" w:hAnsi="Tahoma" w:cs="Tahoma"/>
          <w:i/>
          <w:iCs/>
          <w:caps w:val="0"/>
          <w:lang w:val="fr-CH"/>
        </w:rPr>
        <w:instrText xml:space="preserve"> TOC \o "1-3" \h \z \u </w:instrText>
      </w:r>
      <w:r w:rsidRPr="00E342DC">
        <w:rPr>
          <w:rFonts w:ascii="Tahoma" w:hAnsi="Tahoma" w:cs="Tahoma"/>
          <w:i/>
          <w:iCs/>
          <w:caps w:val="0"/>
          <w:lang w:val="fr-CH"/>
        </w:rPr>
        <w:fldChar w:fldCharType="separate"/>
      </w:r>
      <w:hyperlink w:anchor="_Toc447008709" w:history="1">
        <w:r w:rsidR="003D1B0C" w:rsidRPr="0012329A">
          <w:rPr>
            <w:rStyle w:val="Hyperlink"/>
            <w:noProof/>
            <w:lang w:val="fr-CH"/>
          </w:rPr>
          <w:t>1.</w:t>
        </w:r>
        <w:r w:rsidR="003D1B0C">
          <w:rPr>
            <w:rFonts w:asciiTheme="minorHAnsi" w:eastAsiaTheme="minorEastAsia" w:hAnsiTheme="minorHAnsi" w:cstheme="minorBidi"/>
            <w:b w:val="0"/>
            <w:bCs w:val="0"/>
            <w:caps w:val="0"/>
            <w:noProof/>
            <w:sz w:val="22"/>
            <w:szCs w:val="22"/>
            <w:lang w:val="fr-CH" w:eastAsia="fr-CH"/>
          </w:rPr>
          <w:tab/>
        </w:r>
        <w:r w:rsidR="003D1B0C" w:rsidRPr="0012329A">
          <w:rPr>
            <w:rStyle w:val="Hyperlink"/>
            <w:noProof/>
          </w:rPr>
          <w:t>Introduction</w:t>
        </w:r>
        <w:r w:rsidR="003D1B0C">
          <w:rPr>
            <w:noProof/>
            <w:webHidden/>
          </w:rPr>
          <w:tab/>
        </w:r>
        <w:r w:rsidR="003D1B0C">
          <w:rPr>
            <w:noProof/>
            <w:webHidden/>
          </w:rPr>
          <w:fldChar w:fldCharType="begin"/>
        </w:r>
        <w:r w:rsidR="003D1B0C">
          <w:rPr>
            <w:noProof/>
            <w:webHidden/>
          </w:rPr>
          <w:instrText xml:space="preserve"> PAGEREF _Toc447008709 \h </w:instrText>
        </w:r>
        <w:r w:rsidR="003D1B0C">
          <w:rPr>
            <w:noProof/>
            <w:webHidden/>
          </w:rPr>
        </w:r>
        <w:r w:rsidR="003D1B0C">
          <w:rPr>
            <w:noProof/>
            <w:webHidden/>
          </w:rPr>
          <w:fldChar w:fldCharType="separate"/>
        </w:r>
        <w:r w:rsidR="003D1B0C">
          <w:rPr>
            <w:noProof/>
            <w:webHidden/>
          </w:rPr>
          <w:t>3</w:t>
        </w:r>
        <w:r w:rsidR="003D1B0C">
          <w:rPr>
            <w:noProof/>
            <w:webHidden/>
          </w:rPr>
          <w:fldChar w:fldCharType="end"/>
        </w:r>
      </w:hyperlink>
    </w:p>
    <w:p w:rsidR="003D1B0C" w:rsidRDefault="00C67CAD">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47008710" w:history="1">
        <w:r w:rsidR="003D1B0C" w:rsidRPr="0012329A">
          <w:rPr>
            <w:rStyle w:val="Hyperlink"/>
            <w:rFonts w:cs="Tahoma"/>
            <w:noProof/>
            <w:lang w:val="fr-CH"/>
          </w:rPr>
          <w:t>2.</w:t>
        </w:r>
        <w:r w:rsidR="003D1B0C">
          <w:rPr>
            <w:rFonts w:asciiTheme="minorHAnsi" w:eastAsiaTheme="minorEastAsia" w:hAnsiTheme="minorHAnsi" w:cstheme="minorBidi"/>
            <w:b w:val="0"/>
            <w:bCs w:val="0"/>
            <w:caps w:val="0"/>
            <w:noProof/>
            <w:sz w:val="22"/>
            <w:szCs w:val="22"/>
            <w:lang w:val="fr-CH" w:eastAsia="fr-CH"/>
          </w:rPr>
          <w:tab/>
        </w:r>
        <w:r w:rsidR="003D1B0C" w:rsidRPr="0012329A">
          <w:rPr>
            <w:rStyle w:val="Hyperlink"/>
            <w:rFonts w:cs="Tahoma"/>
            <w:noProof/>
            <w:lang w:val="fr-CH"/>
          </w:rPr>
          <w:t>Cadre légal : définition et incrimination</w:t>
        </w:r>
        <w:r w:rsidR="003D1B0C">
          <w:rPr>
            <w:noProof/>
            <w:webHidden/>
          </w:rPr>
          <w:tab/>
        </w:r>
        <w:r w:rsidR="003D1B0C">
          <w:rPr>
            <w:noProof/>
            <w:webHidden/>
          </w:rPr>
          <w:fldChar w:fldCharType="begin"/>
        </w:r>
        <w:r w:rsidR="003D1B0C">
          <w:rPr>
            <w:noProof/>
            <w:webHidden/>
          </w:rPr>
          <w:instrText xml:space="preserve"> PAGEREF _Toc447008710 \h </w:instrText>
        </w:r>
        <w:r w:rsidR="003D1B0C">
          <w:rPr>
            <w:noProof/>
            <w:webHidden/>
          </w:rPr>
        </w:r>
        <w:r w:rsidR="003D1B0C">
          <w:rPr>
            <w:noProof/>
            <w:webHidden/>
          </w:rPr>
          <w:fldChar w:fldCharType="separate"/>
        </w:r>
        <w:r w:rsidR="003D1B0C">
          <w:rPr>
            <w:noProof/>
            <w:webHidden/>
          </w:rPr>
          <w:t>4</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11" w:history="1">
        <w:r w:rsidR="003D1B0C" w:rsidRPr="0012329A">
          <w:rPr>
            <w:rStyle w:val="Hyperlink"/>
            <w:rFonts w:cs="Tahoma"/>
            <w:noProof/>
            <w:lang w:val="fr-CH" w:eastAsia="fr-FR"/>
          </w:rPr>
          <w:t>2.1</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eastAsia="fr-FR"/>
          </w:rPr>
          <w:t>Définition du crime de torture</w:t>
        </w:r>
        <w:r w:rsidR="003D1B0C">
          <w:rPr>
            <w:noProof/>
            <w:webHidden/>
          </w:rPr>
          <w:tab/>
        </w:r>
        <w:r w:rsidR="003D1B0C">
          <w:rPr>
            <w:noProof/>
            <w:webHidden/>
          </w:rPr>
          <w:fldChar w:fldCharType="begin"/>
        </w:r>
        <w:r w:rsidR="003D1B0C">
          <w:rPr>
            <w:noProof/>
            <w:webHidden/>
          </w:rPr>
          <w:instrText xml:space="preserve"> PAGEREF _Toc447008711 \h </w:instrText>
        </w:r>
        <w:r w:rsidR="003D1B0C">
          <w:rPr>
            <w:noProof/>
            <w:webHidden/>
          </w:rPr>
        </w:r>
        <w:r w:rsidR="003D1B0C">
          <w:rPr>
            <w:noProof/>
            <w:webHidden/>
          </w:rPr>
          <w:fldChar w:fldCharType="separate"/>
        </w:r>
        <w:r w:rsidR="003D1B0C">
          <w:rPr>
            <w:noProof/>
            <w:webHidden/>
          </w:rPr>
          <w:t>4</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12" w:history="1">
        <w:r w:rsidR="003D1B0C" w:rsidRPr="0012329A">
          <w:rPr>
            <w:rStyle w:val="Hyperlink"/>
            <w:rFonts w:cs="Tahoma"/>
            <w:noProof/>
            <w:lang w:val="fr-CH"/>
          </w:rPr>
          <w:t>2.2</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Interdiction de la torture en droit interne</w:t>
        </w:r>
        <w:r w:rsidR="003D1B0C">
          <w:rPr>
            <w:noProof/>
            <w:webHidden/>
          </w:rPr>
          <w:tab/>
        </w:r>
        <w:r w:rsidR="003D1B0C">
          <w:rPr>
            <w:noProof/>
            <w:webHidden/>
          </w:rPr>
          <w:fldChar w:fldCharType="begin"/>
        </w:r>
        <w:r w:rsidR="003D1B0C">
          <w:rPr>
            <w:noProof/>
            <w:webHidden/>
          </w:rPr>
          <w:instrText xml:space="preserve"> PAGEREF _Toc447008712 \h </w:instrText>
        </w:r>
        <w:r w:rsidR="003D1B0C">
          <w:rPr>
            <w:noProof/>
            <w:webHidden/>
          </w:rPr>
        </w:r>
        <w:r w:rsidR="003D1B0C">
          <w:rPr>
            <w:noProof/>
            <w:webHidden/>
          </w:rPr>
          <w:fldChar w:fldCharType="separate"/>
        </w:r>
        <w:r w:rsidR="003D1B0C">
          <w:rPr>
            <w:noProof/>
            <w:webHidden/>
          </w:rPr>
          <w:t>5</w:t>
        </w:r>
        <w:r w:rsidR="003D1B0C">
          <w:rPr>
            <w:noProof/>
            <w:webHidden/>
          </w:rPr>
          <w:fldChar w:fldCharType="end"/>
        </w:r>
      </w:hyperlink>
    </w:p>
    <w:p w:rsidR="003D1B0C" w:rsidRDefault="00C67CAD">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47008713" w:history="1">
        <w:r w:rsidR="003D1B0C" w:rsidRPr="0012329A">
          <w:rPr>
            <w:rStyle w:val="Hyperlink"/>
            <w:rFonts w:cs="Tahoma"/>
            <w:noProof/>
            <w:lang w:val="fr-CH"/>
          </w:rPr>
          <w:t>2.2.1</w:t>
        </w:r>
        <w:r w:rsidR="003D1B0C">
          <w:rPr>
            <w:rFonts w:asciiTheme="minorHAnsi" w:eastAsiaTheme="minorEastAsia" w:hAnsiTheme="minorHAnsi" w:cstheme="minorBidi"/>
            <w:i w:val="0"/>
            <w:iCs w:val="0"/>
            <w:noProof/>
            <w:sz w:val="22"/>
            <w:szCs w:val="22"/>
            <w:lang w:val="fr-CH" w:eastAsia="fr-CH"/>
          </w:rPr>
          <w:tab/>
        </w:r>
        <w:r w:rsidR="003D1B0C" w:rsidRPr="0012329A">
          <w:rPr>
            <w:rStyle w:val="Hyperlink"/>
            <w:rFonts w:cs="Tahoma"/>
            <w:noProof/>
            <w:lang w:val="fr-CH"/>
          </w:rPr>
          <w:t>Incrimination séparée et peines appropriées</w:t>
        </w:r>
        <w:r w:rsidR="003D1B0C">
          <w:rPr>
            <w:noProof/>
            <w:webHidden/>
          </w:rPr>
          <w:tab/>
        </w:r>
        <w:r w:rsidR="003D1B0C">
          <w:rPr>
            <w:noProof/>
            <w:webHidden/>
          </w:rPr>
          <w:fldChar w:fldCharType="begin"/>
        </w:r>
        <w:r w:rsidR="003D1B0C">
          <w:rPr>
            <w:noProof/>
            <w:webHidden/>
          </w:rPr>
          <w:instrText xml:space="preserve"> PAGEREF _Toc447008713 \h </w:instrText>
        </w:r>
        <w:r w:rsidR="003D1B0C">
          <w:rPr>
            <w:noProof/>
            <w:webHidden/>
          </w:rPr>
        </w:r>
        <w:r w:rsidR="003D1B0C">
          <w:rPr>
            <w:noProof/>
            <w:webHidden/>
          </w:rPr>
          <w:fldChar w:fldCharType="separate"/>
        </w:r>
        <w:r w:rsidR="003D1B0C">
          <w:rPr>
            <w:noProof/>
            <w:webHidden/>
          </w:rPr>
          <w:t>5</w:t>
        </w:r>
        <w:r w:rsidR="003D1B0C">
          <w:rPr>
            <w:noProof/>
            <w:webHidden/>
          </w:rPr>
          <w:fldChar w:fldCharType="end"/>
        </w:r>
      </w:hyperlink>
    </w:p>
    <w:p w:rsidR="003D1B0C" w:rsidRDefault="00C67CAD">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47008714" w:history="1">
        <w:r w:rsidR="003D1B0C" w:rsidRPr="0012329A">
          <w:rPr>
            <w:rStyle w:val="Hyperlink"/>
            <w:rFonts w:cs="Tahoma"/>
            <w:noProof/>
            <w:lang w:val="fr-CH"/>
          </w:rPr>
          <w:t>2.2.2</w:t>
        </w:r>
        <w:r w:rsidR="003D1B0C">
          <w:rPr>
            <w:rFonts w:asciiTheme="minorHAnsi" w:eastAsiaTheme="minorEastAsia" w:hAnsiTheme="minorHAnsi" w:cstheme="minorBidi"/>
            <w:i w:val="0"/>
            <w:iCs w:val="0"/>
            <w:noProof/>
            <w:sz w:val="22"/>
            <w:szCs w:val="22"/>
            <w:lang w:val="fr-CH" w:eastAsia="fr-CH"/>
          </w:rPr>
          <w:tab/>
        </w:r>
        <w:r w:rsidR="003D1B0C" w:rsidRPr="0012329A">
          <w:rPr>
            <w:rStyle w:val="Hyperlink"/>
            <w:rFonts w:cs="Tahoma"/>
            <w:noProof/>
            <w:lang w:val="fr-CH"/>
          </w:rPr>
          <w:t>Modalités de participation à l’acte de torture</w:t>
        </w:r>
        <w:r w:rsidR="003D1B0C">
          <w:rPr>
            <w:noProof/>
            <w:webHidden/>
          </w:rPr>
          <w:tab/>
        </w:r>
        <w:r w:rsidR="003D1B0C">
          <w:rPr>
            <w:noProof/>
            <w:webHidden/>
          </w:rPr>
          <w:fldChar w:fldCharType="begin"/>
        </w:r>
        <w:r w:rsidR="003D1B0C">
          <w:rPr>
            <w:noProof/>
            <w:webHidden/>
          </w:rPr>
          <w:instrText xml:space="preserve"> PAGEREF _Toc447008714 \h </w:instrText>
        </w:r>
        <w:r w:rsidR="003D1B0C">
          <w:rPr>
            <w:noProof/>
            <w:webHidden/>
          </w:rPr>
        </w:r>
        <w:r w:rsidR="003D1B0C">
          <w:rPr>
            <w:noProof/>
            <w:webHidden/>
          </w:rPr>
          <w:fldChar w:fldCharType="separate"/>
        </w:r>
        <w:r w:rsidR="003D1B0C">
          <w:rPr>
            <w:noProof/>
            <w:webHidden/>
          </w:rPr>
          <w:t>5</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15" w:history="1">
        <w:r w:rsidR="003D1B0C" w:rsidRPr="0012329A">
          <w:rPr>
            <w:rStyle w:val="Hyperlink"/>
            <w:rFonts w:cs="Tahoma"/>
            <w:noProof/>
            <w:lang w:val="fr-CH"/>
          </w:rPr>
          <w:t>2.3</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Interdiction absolue de la torture</w:t>
        </w:r>
        <w:r w:rsidR="003D1B0C">
          <w:rPr>
            <w:noProof/>
            <w:webHidden/>
          </w:rPr>
          <w:tab/>
        </w:r>
        <w:r w:rsidR="003D1B0C">
          <w:rPr>
            <w:noProof/>
            <w:webHidden/>
          </w:rPr>
          <w:fldChar w:fldCharType="begin"/>
        </w:r>
        <w:r w:rsidR="003D1B0C">
          <w:rPr>
            <w:noProof/>
            <w:webHidden/>
          </w:rPr>
          <w:instrText xml:space="preserve"> PAGEREF _Toc447008715 \h </w:instrText>
        </w:r>
        <w:r w:rsidR="003D1B0C">
          <w:rPr>
            <w:noProof/>
            <w:webHidden/>
          </w:rPr>
        </w:r>
        <w:r w:rsidR="003D1B0C">
          <w:rPr>
            <w:noProof/>
            <w:webHidden/>
          </w:rPr>
          <w:fldChar w:fldCharType="separate"/>
        </w:r>
        <w:r w:rsidR="003D1B0C">
          <w:rPr>
            <w:noProof/>
            <w:webHidden/>
          </w:rPr>
          <w:t>6</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16" w:history="1">
        <w:r w:rsidR="003D1B0C" w:rsidRPr="0012329A">
          <w:rPr>
            <w:rStyle w:val="Hyperlink"/>
            <w:rFonts w:cs="Tahoma"/>
            <w:noProof/>
            <w:lang w:val="fr-CH"/>
          </w:rPr>
          <w:t>2.4</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Imprescriptibilité du crime et rétroactivité de la loi criminalisant la torture</w:t>
        </w:r>
        <w:r w:rsidR="003D1B0C">
          <w:rPr>
            <w:noProof/>
            <w:webHidden/>
          </w:rPr>
          <w:tab/>
        </w:r>
        <w:r w:rsidR="003D1B0C">
          <w:rPr>
            <w:noProof/>
            <w:webHidden/>
          </w:rPr>
          <w:fldChar w:fldCharType="begin"/>
        </w:r>
        <w:r w:rsidR="003D1B0C">
          <w:rPr>
            <w:noProof/>
            <w:webHidden/>
          </w:rPr>
          <w:instrText xml:space="preserve"> PAGEREF _Toc447008716 \h </w:instrText>
        </w:r>
        <w:r w:rsidR="003D1B0C">
          <w:rPr>
            <w:noProof/>
            <w:webHidden/>
          </w:rPr>
        </w:r>
        <w:r w:rsidR="003D1B0C">
          <w:rPr>
            <w:noProof/>
            <w:webHidden/>
          </w:rPr>
          <w:fldChar w:fldCharType="separate"/>
        </w:r>
        <w:r w:rsidR="003D1B0C">
          <w:rPr>
            <w:noProof/>
            <w:webHidden/>
          </w:rPr>
          <w:t>6</w:t>
        </w:r>
        <w:r w:rsidR="003D1B0C">
          <w:rPr>
            <w:noProof/>
            <w:webHidden/>
          </w:rPr>
          <w:fldChar w:fldCharType="end"/>
        </w:r>
      </w:hyperlink>
    </w:p>
    <w:p w:rsidR="003D1B0C" w:rsidRDefault="00C67CAD">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47008717" w:history="1">
        <w:r w:rsidR="003D1B0C" w:rsidRPr="0012329A">
          <w:rPr>
            <w:rStyle w:val="Hyperlink"/>
            <w:rFonts w:eastAsia="Arial Unicode MS" w:cs="Tahoma"/>
            <w:noProof/>
            <w:lang w:val="fr-CH"/>
          </w:rPr>
          <w:t>3.</w:t>
        </w:r>
        <w:r w:rsidR="003D1B0C">
          <w:rPr>
            <w:rFonts w:asciiTheme="minorHAnsi" w:eastAsiaTheme="minorEastAsia" w:hAnsiTheme="minorHAnsi" w:cstheme="minorBidi"/>
            <w:b w:val="0"/>
            <w:bCs w:val="0"/>
            <w:caps w:val="0"/>
            <w:noProof/>
            <w:sz w:val="22"/>
            <w:szCs w:val="22"/>
            <w:lang w:val="fr-CH" w:eastAsia="fr-CH"/>
          </w:rPr>
          <w:tab/>
        </w:r>
        <w:r w:rsidR="003D1B0C" w:rsidRPr="0012329A">
          <w:rPr>
            <w:rStyle w:val="Hyperlink"/>
            <w:rFonts w:eastAsia="Arial Unicode MS" w:cs="Tahoma"/>
            <w:noProof/>
            <w:lang w:val="fr-CH"/>
          </w:rPr>
          <w:t>Garanties procédurales en droit commun</w:t>
        </w:r>
        <w:r w:rsidR="003D1B0C">
          <w:rPr>
            <w:noProof/>
            <w:webHidden/>
          </w:rPr>
          <w:tab/>
        </w:r>
        <w:r w:rsidR="003D1B0C">
          <w:rPr>
            <w:noProof/>
            <w:webHidden/>
          </w:rPr>
          <w:fldChar w:fldCharType="begin"/>
        </w:r>
        <w:r w:rsidR="003D1B0C">
          <w:rPr>
            <w:noProof/>
            <w:webHidden/>
          </w:rPr>
          <w:instrText xml:space="preserve"> PAGEREF _Toc447008717 \h </w:instrText>
        </w:r>
        <w:r w:rsidR="003D1B0C">
          <w:rPr>
            <w:noProof/>
            <w:webHidden/>
          </w:rPr>
        </w:r>
        <w:r w:rsidR="003D1B0C">
          <w:rPr>
            <w:noProof/>
            <w:webHidden/>
          </w:rPr>
          <w:fldChar w:fldCharType="separate"/>
        </w:r>
        <w:r w:rsidR="003D1B0C">
          <w:rPr>
            <w:noProof/>
            <w:webHidden/>
          </w:rPr>
          <w:t>7</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18" w:history="1">
        <w:r w:rsidR="003D1B0C" w:rsidRPr="0012329A">
          <w:rPr>
            <w:rStyle w:val="Hyperlink"/>
            <w:rFonts w:cs="Tahoma"/>
            <w:noProof/>
            <w:lang w:val="fr-CH"/>
          </w:rPr>
          <w:t>3.1</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noProof/>
            <w:lang w:val="fr-CH"/>
          </w:rPr>
          <w:t>Durée légale de garde à vue</w:t>
        </w:r>
        <w:r w:rsidR="003D1B0C">
          <w:rPr>
            <w:noProof/>
            <w:webHidden/>
          </w:rPr>
          <w:tab/>
        </w:r>
        <w:r w:rsidR="003D1B0C">
          <w:rPr>
            <w:noProof/>
            <w:webHidden/>
          </w:rPr>
          <w:fldChar w:fldCharType="begin"/>
        </w:r>
        <w:r w:rsidR="003D1B0C">
          <w:rPr>
            <w:noProof/>
            <w:webHidden/>
          </w:rPr>
          <w:instrText xml:space="preserve"> PAGEREF _Toc447008718 \h </w:instrText>
        </w:r>
        <w:r w:rsidR="003D1B0C">
          <w:rPr>
            <w:noProof/>
            <w:webHidden/>
          </w:rPr>
        </w:r>
        <w:r w:rsidR="003D1B0C">
          <w:rPr>
            <w:noProof/>
            <w:webHidden/>
          </w:rPr>
          <w:fldChar w:fldCharType="separate"/>
        </w:r>
        <w:r w:rsidR="003D1B0C">
          <w:rPr>
            <w:noProof/>
            <w:webHidden/>
          </w:rPr>
          <w:t>8</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19" w:history="1">
        <w:r w:rsidR="003D1B0C" w:rsidRPr="0012329A">
          <w:rPr>
            <w:rStyle w:val="Hyperlink"/>
            <w:rFonts w:cs="Tahoma"/>
            <w:noProof/>
            <w:lang w:val="fr-CH"/>
          </w:rPr>
          <w:t>3.2</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Du droit de contester la légalité de la détention</w:t>
        </w:r>
        <w:r w:rsidR="003D1B0C">
          <w:rPr>
            <w:noProof/>
            <w:webHidden/>
          </w:rPr>
          <w:tab/>
        </w:r>
        <w:r w:rsidR="003D1B0C">
          <w:rPr>
            <w:noProof/>
            <w:webHidden/>
          </w:rPr>
          <w:fldChar w:fldCharType="begin"/>
        </w:r>
        <w:r w:rsidR="003D1B0C">
          <w:rPr>
            <w:noProof/>
            <w:webHidden/>
          </w:rPr>
          <w:instrText xml:space="preserve"> PAGEREF _Toc447008719 \h </w:instrText>
        </w:r>
        <w:r w:rsidR="003D1B0C">
          <w:rPr>
            <w:noProof/>
            <w:webHidden/>
          </w:rPr>
        </w:r>
        <w:r w:rsidR="003D1B0C">
          <w:rPr>
            <w:noProof/>
            <w:webHidden/>
          </w:rPr>
          <w:fldChar w:fldCharType="separate"/>
        </w:r>
        <w:r w:rsidR="003D1B0C">
          <w:rPr>
            <w:noProof/>
            <w:webHidden/>
          </w:rPr>
          <w:t>8</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20" w:history="1">
        <w:r w:rsidR="003D1B0C" w:rsidRPr="0012329A">
          <w:rPr>
            <w:rStyle w:val="Hyperlink"/>
            <w:rFonts w:cs="Tahoma"/>
            <w:noProof/>
            <w:lang w:val="fr-CH"/>
          </w:rPr>
          <w:t>3.3</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Accès à un avocat et communication avec les proches</w:t>
        </w:r>
        <w:r w:rsidR="003D1B0C">
          <w:rPr>
            <w:noProof/>
            <w:webHidden/>
          </w:rPr>
          <w:tab/>
        </w:r>
        <w:r w:rsidR="003D1B0C">
          <w:rPr>
            <w:noProof/>
            <w:webHidden/>
          </w:rPr>
          <w:fldChar w:fldCharType="begin"/>
        </w:r>
        <w:r w:rsidR="003D1B0C">
          <w:rPr>
            <w:noProof/>
            <w:webHidden/>
          </w:rPr>
          <w:instrText xml:space="preserve"> PAGEREF _Toc447008720 \h </w:instrText>
        </w:r>
        <w:r w:rsidR="003D1B0C">
          <w:rPr>
            <w:noProof/>
            <w:webHidden/>
          </w:rPr>
        </w:r>
        <w:r w:rsidR="003D1B0C">
          <w:rPr>
            <w:noProof/>
            <w:webHidden/>
          </w:rPr>
          <w:fldChar w:fldCharType="separate"/>
        </w:r>
        <w:r w:rsidR="003D1B0C">
          <w:rPr>
            <w:noProof/>
            <w:webHidden/>
          </w:rPr>
          <w:t>8</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21" w:history="1">
        <w:r w:rsidR="003D1B0C" w:rsidRPr="0012329A">
          <w:rPr>
            <w:rStyle w:val="Hyperlink"/>
            <w:rFonts w:cs="Tahoma"/>
            <w:noProof/>
            <w:lang w:val="fr-CH"/>
          </w:rPr>
          <w:t>3.4</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Examen médical</w:t>
        </w:r>
        <w:r w:rsidR="003D1B0C">
          <w:rPr>
            <w:noProof/>
            <w:webHidden/>
          </w:rPr>
          <w:tab/>
        </w:r>
        <w:r w:rsidR="003D1B0C">
          <w:rPr>
            <w:noProof/>
            <w:webHidden/>
          </w:rPr>
          <w:fldChar w:fldCharType="begin"/>
        </w:r>
        <w:r w:rsidR="003D1B0C">
          <w:rPr>
            <w:noProof/>
            <w:webHidden/>
          </w:rPr>
          <w:instrText xml:space="preserve"> PAGEREF _Toc447008721 \h </w:instrText>
        </w:r>
        <w:r w:rsidR="003D1B0C">
          <w:rPr>
            <w:noProof/>
            <w:webHidden/>
          </w:rPr>
        </w:r>
        <w:r w:rsidR="003D1B0C">
          <w:rPr>
            <w:noProof/>
            <w:webHidden/>
          </w:rPr>
          <w:fldChar w:fldCharType="separate"/>
        </w:r>
        <w:r w:rsidR="003D1B0C">
          <w:rPr>
            <w:noProof/>
            <w:webHidden/>
          </w:rPr>
          <w:t>9</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22" w:history="1">
        <w:r w:rsidR="003D1B0C" w:rsidRPr="0012329A">
          <w:rPr>
            <w:rStyle w:val="Hyperlink"/>
            <w:rFonts w:cs="Tahoma"/>
            <w:noProof/>
            <w:lang w:val="fr-CH"/>
          </w:rPr>
          <w:t>3.5</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Projet de réforme du Code de procédure pénale</w:t>
        </w:r>
        <w:r w:rsidR="003D1B0C">
          <w:rPr>
            <w:noProof/>
            <w:webHidden/>
          </w:rPr>
          <w:tab/>
        </w:r>
        <w:r w:rsidR="003D1B0C">
          <w:rPr>
            <w:noProof/>
            <w:webHidden/>
          </w:rPr>
          <w:fldChar w:fldCharType="begin"/>
        </w:r>
        <w:r w:rsidR="003D1B0C">
          <w:rPr>
            <w:noProof/>
            <w:webHidden/>
          </w:rPr>
          <w:instrText xml:space="preserve"> PAGEREF _Toc447008722 \h </w:instrText>
        </w:r>
        <w:r w:rsidR="003D1B0C">
          <w:rPr>
            <w:noProof/>
            <w:webHidden/>
          </w:rPr>
        </w:r>
        <w:r w:rsidR="003D1B0C">
          <w:rPr>
            <w:noProof/>
            <w:webHidden/>
          </w:rPr>
          <w:fldChar w:fldCharType="separate"/>
        </w:r>
        <w:r w:rsidR="003D1B0C">
          <w:rPr>
            <w:noProof/>
            <w:webHidden/>
          </w:rPr>
          <w:t>9</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23" w:history="1">
        <w:r w:rsidR="003D1B0C" w:rsidRPr="0012329A">
          <w:rPr>
            <w:rStyle w:val="Hyperlink"/>
            <w:rFonts w:cs="Tahoma"/>
            <w:noProof/>
            <w:lang w:val="fr-CH"/>
          </w:rPr>
          <w:t>3.6</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Nullité des aveux obtenus sous la torture (article 15)</w:t>
        </w:r>
        <w:r w:rsidR="003D1B0C">
          <w:rPr>
            <w:noProof/>
            <w:webHidden/>
          </w:rPr>
          <w:tab/>
        </w:r>
        <w:r w:rsidR="003D1B0C">
          <w:rPr>
            <w:noProof/>
            <w:webHidden/>
          </w:rPr>
          <w:fldChar w:fldCharType="begin"/>
        </w:r>
        <w:r w:rsidR="003D1B0C">
          <w:rPr>
            <w:noProof/>
            <w:webHidden/>
          </w:rPr>
          <w:instrText xml:space="preserve"> PAGEREF _Toc447008723 \h </w:instrText>
        </w:r>
        <w:r w:rsidR="003D1B0C">
          <w:rPr>
            <w:noProof/>
            <w:webHidden/>
          </w:rPr>
        </w:r>
        <w:r w:rsidR="003D1B0C">
          <w:rPr>
            <w:noProof/>
            <w:webHidden/>
          </w:rPr>
          <w:fldChar w:fldCharType="separate"/>
        </w:r>
        <w:r w:rsidR="003D1B0C">
          <w:rPr>
            <w:noProof/>
            <w:webHidden/>
          </w:rPr>
          <w:t>10</w:t>
        </w:r>
        <w:r w:rsidR="003D1B0C">
          <w:rPr>
            <w:noProof/>
            <w:webHidden/>
          </w:rPr>
          <w:fldChar w:fldCharType="end"/>
        </w:r>
      </w:hyperlink>
    </w:p>
    <w:p w:rsidR="003D1B0C" w:rsidRDefault="00C67CAD">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47008724" w:history="1">
        <w:r w:rsidR="003D1B0C" w:rsidRPr="0012329A">
          <w:rPr>
            <w:rStyle w:val="Hyperlink"/>
            <w:rFonts w:cs="Tahoma"/>
            <w:noProof/>
            <w:lang w:val="fr-CH" w:eastAsia="fr-FR"/>
          </w:rPr>
          <w:t>4.</w:t>
        </w:r>
        <w:r w:rsidR="003D1B0C">
          <w:rPr>
            <w:rFonts w:asciiTheme="minorHAnsi" w:eastAsiaTheme="minorEastAsia" w:hAnsiTheme="minorHAnsi" w:cstheme="minorBidi"/>
            <w:b w:val="0"/>
            <w:bCs w:val="0"/>
            <w:caps w:val="0"/>
            <w:noProof/>
            <w:sz w:val="22"/>
            <w:szCs w:val="22"/>
            <w:lang w:val="fr-CH" w:eastAsia="fr-CH"/>
          </w:rPr>
          <w:tab/>
        </w:r>
        <w:r w:rsidR="003D1B0C" w:rsidRPr="0012329A">
          <w:rPr>
            <w:rStyle w:val="Hyperlink"/>
            <w:rFonts w:cs="Tahoma"/>
            <w:noProof/>
            <w:lang w:val="fr-CH"/>
          </w:rPr>
          <w:t>La pratique de la torture dans la lutte antiterroriste</w:t>
        </w:r>
        <w:r w:rsidR="003D1B0C">
          <w:rPr>
            <w:noProof/>
            <w:webHidden/>
          </w:rPr>
          <w:tab/>
        </w:r>
        <w:r w:rsidR="003D1B0C">
          <w:rPr>
            <w:noProof/>
            <w:webHidden/>
          </w:rPr>
          <w:fldChar w:fldCharType="begin"/>
        </w:r>
        <w:r w:rsidR="003D1B0C">
          <w:rPr>
            <w:noProof/>
            <w:webHidden/>
          </w:rPr>
          <w:instrText xml:space="preserve"> PAGEREF _Toc447008724 \h </w:instrText>
        </w:r>
        <w:r w:rsidR="003D1B0C">
          <w:rPr>
            <w:noProof/>
            <w:webHidden/>
          </w:rPr>
        </w:r>
        <w:r w:rsidR="003D1B0C">
          <w:rPr>
            <w:noProof/>
            <w:webHidden/>
          </w:rPr>
          <w:fldChar w:fldCharType="separate"/>
        </w:r>
        <w:r w:rsidR="003D1B0C">
          <w:rPr>
            <w:noProof/>
            <w:webHidden/>
          </w:rPr>
          <w:t>11</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25" w:history="1">
        <w:r w:rsidR="003D1B0C" w:rsidRPr="0012329A">
          <w:rPr>
            <w:rStyle w:val="Hyperlink"/>
            <w:rFonts w:cs="Tahoma"/>
            <w:noProof/>
            <w:lang w:val="fr-CH"/>
          </w:rPr>
          <w:t>4.1</w:t>
        </w:r>
        <w:r w:rsidR="003D1B0C" w:rsidRPr="0012329A">
          <w:rPr>
            <w:rStyle w:val="Hyperlink"/>
            <w:rFonts w:cs="Tahoma"/>
            <w:noProof/>
            <w:lang w:val="fr-CH" w:eastAsia="fr-FR"/>
          </w:rPr>
          <w:t xml:space="preserve"> </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eastAsia="fr-FR"/>
          </w:rPr>
          <w:t>Une législation antiterroriste qui porte atteinte aux garanties procédurales</w:t>
        </w:r>
        <w:r w:rsidR="003D1B0C">
          <w:rPr>
            <w:noProof/>
            <w:webHidden/>
          </w:rPr>
          <w:tab/>
        </w:r>
        <w:r w:rsidR="003D1B0C">
          <w:rPr>
            <w:noProof/>
            <w:webHidden/>
          </w:rPr>
          <w:fldChar w:fldCharType="begin"/>
        </w:r>
        <w:r w:rsidR="003D1B0C">
          <w:rPr>
            <w:noProof/>
            <w:webHidden/>
          </w:rPr>
          <w:instrText xml:space="preserve"> PAGEREF _Toc447008725 \h </w:instrText>
        </w:r>
        <w:r w:rsidR="003D1B0C">
          <w:rPr>
            <w:noProof/>
            <w:webHidden/>
          </w:rPr>
        </w:r>
        <w:r w:rsidR="003D1B0C">
          <w:rPr>
            <w:noProof/>
            <w:webHidden/>
          </w:rPr>
          <w:fldChar w:fldCharType="separate"/>
        </w:r>
        <w:r w:rsidR="003D1B0C">
          <w:rPr>
            <w:noProof/>
            <w:webHidden/>
          </w:rPr>
          <w:t>11</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26" w:history="1">
        <w:r w:rsidR="003D1B0C" w:rsidRPr="0012329A">
          <w:rPr>
            <w:rStyle w:val="Hyperlink"/>
            <w:rFonts w:cs="Tahoma"/>
            <w:noProof/>
            <w:lang w:val="fr-CH"/>
          </w:rPr>
          <w:t>4.2</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Persistance de la torture en garde à vue dans les cas liés au contre terrorisme</w:t>
        </w:r>
        <w:r w:rsidR="003D1B0C">
          <w:rPr>
            <w:noProof/>
            <w:webHidden/>
          </w:rPr>
          <w:tab/>
        </w:r>
        <w:r w:rsidR="003D1B0C">
          <w:rPr>
            <w:noProof/>
            <w:webHidden/>
          </w:rPr>
          <w:fldChar w:fldCharType="begin"/>
        </w:r>
        <w:r w:rsidR="003D1B0C">
          <w:rPr>
            <w:noProof/>
            <w:webHidden/>
          </w:rPr>
          <w:instrText xml:space="preserve"> PAGEREF _Toc447008726 \h </w:instrText>
        </w:r>
        <w:r w:rsidR="003D1B0C">
          <w:rPr>
            <w:noProof/>
            <w:webHidden/>
          </w:rPr>
        </w:r>
        <w:r w:rsidR="003D1B0C">
          <w:rPr>
            <w:noProof/>
            <w:webHidden/>
          </w:rPr>
          <w:fldChar w:fldCharType="separate"/>
        </w:r>
        <w:r w:rsidR="003D1B0C">
          <w:rPr>
            <w:noProof/>
            <w:webHidden/>
          </w:rPr>
          <w:t>12</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27" w:history="1">
        <w:r w:rsidR="003D1B0C" w:rsidRPr="0012329A">
          <w:rPr>
            <w:rStyle w:val="Hyperlink"/>
            <w:rFonts w:cs="Tahoma"/>
            <w:noProof/>
            <w:lang w:val="fr-CH"/>
          </w:rPr>
          <w:t>4.3</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Pratique de la détention au secret</w:t>
        </w:r>
        <w:r w:rsidR="003D1B0C">
          <w:rPr>
            <w:noProof/>
            <w:webHidden/>
          </w:rPr>
          <w:tab/>
        </w:r>
        <w:r w:rsidR="003D1B0C">
          <w:rPr>
            <w:noProof/>
            <w:webHidden/>
          </w:rPr>
          <w:fldChar w:fldCharType="begin"/>
        </w:r>
        <w:r w:rsidR="003D1B0C">
          <w:rPr>
            <w:noProof/>
            <w:webHidden/>
          </w:rPr>
          <w:instrText xml:space="preserve"> PAGEREF _Toc447008727 \h </w:instrText>
        </w:r>
        <w:r w:rsidR="003D1B0C">
          <w:rPr>
            <w:noProof/>
            <w:webHidden/>
          </w:rPr>
        </w:r>
        <w:r w:rsidR="003D1B0C">
          <w:rPr>
            <w:noProof/>
            <w:webHidden/>
          </w:rPr>
          <w:fldChar w:fldCharType="separate"/>
        </w:r>
        <w:r w:rsidR="003D1B0C">
          <w:rPr>
            <w:noProof/>
            <w:webHidden/>
          </w:rPr>
          <w:t>13</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28" w:history="1">
        <w:r w:rsidR="003D1B0C" w:rsidRPr="0012329A">
          <w:rPr>
            <w:rStyle w:val="Hyperlink"/>
            <w:rFonts w:cs="Tahoma"/>
            <w:noProof/>
            <w:lang w:val="fr-CH" w:eastAsia="fr-FR"/>
          </w:rPr>
          <w:t>4.4</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eastAsia="fr-FR"/>
          </w:rPr>
          <w:t>Absences de garanties de non refoulement dans la lutte anti-terroriste</w:t>
        </w:r>
        <w:r w:rsidR="003D1B0C">
          <w:rPr>
            <w:noProof/>
            <w:webHidden/>
          </w:rPr>
          <w:tab/>
        </w:r>
        <w:r w:rsidR="003D1B0C">
          <w:rPr>
            <w:noProof/>
            <w:webHidden/>
          </w:rPr>
          <w:fldChar w:fldCharType="begin"/>
        </w:r>
        <w:r w:rsidR="003D1B0C">
          <w:rPr>
            <w:noProof/>
            <w:webHidden/>
          </w:rPr>
          <w:instrText xml:space="preserve"> PAGEREF _Toc447008728 \h </w:instrText>
        </w:r>
        <w:r w:rsidR="003D1B0C">
          <w:rPr>
            <w:noProof/>
            <w:webHidden/>
          </w:rPr>
        </w:r>
        <w:r w:rsidR="003D1B0C">
          <w:rPr>
            <w:noProof/>
            <w:webHidden/>
          </w:rPr>
          <w:fldChar w:fldCharType="separate"/>
        </w:r>
        <w:r w:rsidR="003D1B0C">
          <w:rPr>
            <w:noProof/>
            <w:webHidden/>
          </w:rPr>
          <w:t>14</w:t>
        </w:r>
        <w:r w:rsidR="003D1B0C">
          <w:rPr>
            <w:noProof/>
            <w:webHidden/>
          </w:rPr>
          <w:fldChar w:fldCharType="end"/>
        </w:r>
      </w:hyperlink>
    </w:p>
    <w:p w:rsidR="003D1B0C" w:rsidRDefault="00C67CAD">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47008729" w:history="1">
        <w:r w:rsidR="003D1B0C" w:rsidRPr="0012329A">
          <w:rPr>
            <w:rStyle w:val="Hyperlink"/>
            <w:rFonts w:cs="Tahoma"/>
            <w:noProof/>
            <w:lang w:val="fr-CH"/>
          </w:rPr>
          <w:t>5.</w:t>
        </w:r>
        <w:r w:rsidR="003D1B0C">
          <w:rPr>
            <w:rFonts w:asciiTheme="minorHAnsi" w:eastAsiaTheme="minorEastAsia" w:hAnsiTheme="minorHAnsi" w:cstheme="minorBidi"/>
            <w:b w:val="0"/>
            <w:bCs w:val="0"/>
            <w:caps w:val="0"/>
            <w:noProof/>
            <w:sz w:val="22"/>
            <w:szCs w:val="22"/>
            <w:lang w:val="fr-CH" w:eastAsia="fr-CH"/>
          </w:rPr>
          <w:tab/>
        </w:r>
        <w:r w:rsidR="003D1B0C" w:rsidRPr="0012329A">
          <w:rPr>
            <w:rStyle w:val="Hyperlink"/>
            <w:rFonts w:cs="Tahoma"/>
            <w:noProof/>
            <w:lang w:val="fr-CH"/>
          </w:rPr>
          <w:t>Mesures de prévention</w:t>
        </w:r>
        <w:r w:rsidR="003D1B0C">
          <w:rPr>
            <w:noProof/>
            <w:webHidden/>
          </w:rPr>
          <w:tab/>
        </w:r>
        <w:r w:rsidR="003D1B0C">
          <w:rPr>
            <w:noProof/>
            <w:webHidden/>
          </w:rPr>
          <w:fldChar w:fldCharType="begin"/>
        </w:r>
        <w:r w:rsidR="003D1B0C">
          <w:rPr>
            <w:noProof/>
            <w:webHidden/>
          </w:rPr>
          <w:instrText xml:space="preserve"> PAGEREF _Toc447008729 \h </w:instrText>
        </w:r>
        <w:r w:rsidR="003D1B0C">
          <w:rPr>
            <w:noProof/>
            <w:webHidden/>
          </w:rPr>
        </w:r>
        <w:r w:rsidR="003D1B0C">
          <w:rPr>
            <w:noProof/>
            <w:webHidden/>
          </w:rPr>
          <w:fldChar w:fldCharType="separate"/>
        </w:r>
        <w:r w:rsidR="003D1B0C">
          <w:rPr>
            <w:noProof/>
            <w:webHidden/>
          </w:rPr>
          <w:t>16</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30" w:history="1">
        <w:r w:rsidR="003D1B0C" w:rsidRPr="0012329A">
          <w:rPr>
            <w:rStyle w:val="Hyperlink"/>
            <w:rFonts w:cs="Tahoma"/>
            <w:noProof/>
            <w:lang w:val="fr-CH"/>
          </w:rPr>
          <w:t>5.1</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noProof/>
            <w:lang w:val="fr-CH"/>
          </w:rPr>
          <w:t>Formation</w:t>
        </w:r>
        <w:r w:rsidR="003D1B0C">
          <w:rPr>
            <w:noProof/>
            <w:webHidden/>
          </w:rPr>
          <w:tab/>
        </w:r>
        <w:r w:rsidR="003D1B0C">
          <w:rPr>
            <w:noProof/>
            <w:webHidden/>
          </w:rPr>
          <w:fldChar w:fldCharType="begin"/>
        </w:r>
        <w:r w:rsidR="003D1B0C">
          <w:rPr>
            <w:noProof/>
            <w:webHidden/>
          </w:rPr>
          <w:instrText xml:space="preserve"> PAGEREF _Toc447008730 \h </w:instrText>
        </w:r>
        <w:r w:rsidR="003D1B0C">
          <w:rPr>
            <w:noProof/>
            <w:webHidden/>
          </w:rPr>
        </w:r>
        <w:r w:rsidR="003D1B0C">
          <w:rPr>
            <w:noProof/>
            <w:webHidden/>
          </w:rPr>
          <w:fldChar w:fldCharType="separate"/>
        </w:r>
        <w:r w:rsidR="003D1B0C">
          <w:rPr>
            <w:noProof/>
            <w:webHidden/>
          </w:rPr>
          <w:t>16</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31" w:history="1">
        <w:r w:rsidR="003D1B0C" w:rsidRPr="0012329A">
          <w:rPr>
            <w:rStyle w:val="Hyperlink"/>
            <w:rFonts w:cs="Tahoma"/>
            <w:noProof/>
            <w:lang w:val="fr-CH"/>
          </w:rPr>
          <w:t>5.2</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Mécanismes de prévention de la torture au sein des lieux de privation de liberté</w:t>
        </w:r>
        <w:r w:rsidR="003D1B0C">
          <w:rPr>
            <w:noProof/>
            <w:webHidden/>
          </w:rPr>
          <w:tab/>
        </w:r>
        <w:r w:rsidR="003D1B0C">
          <w:rPr>
            <w:noProof/>
            <w:webHidden/>
          </w:rPr>
          <w:fldChar w:fldCharType="begin"/>
        </w:r>
        <w:r w:rsidR="003D1B0C">
          <w:rPr>
            <w:noProof/>
            <w:webHidden/>
          </w:rPr>
          <w:instrText xml:space="preserve"> PAGEREF _Toc447008731 \h </w:instrText>
        </w:r>
        <w:r w:rsidR="003D1B0C">
          <w:rPr>
            <w:noProof/>
            <w:webHidden/>
          </w:rPr>
        </w:r>
        <w:r w:rsidR="003D1B0C">
          <w:rPr>
            <w:noProof/>
            <w:webHidden/>
          </w:rPr>
          <w:fldChar w:fldCharType="separate"/>
        </w:r>
        <w:r w:rsidR="003D1B0C">
          <w:rPr>
            <w:noProof/>
            <w:webHidden/>
          </w:rPr>
          <w:t>16</w:t>
        </w:r>
        <w:r w:rsidR="003D1B0C">
          <w:rPr>
            <w:noProof/>
            <w:webHidden/>
          </w:rPr>
          <w:fldChar w:fldCharType="end"/>
        </w:r>
      </w:hyperlink>
    </w:p>
    <w:p w:rsidR="003D1B0C" w:rsidRDefault="00C67CAD">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47008732" w:history="1">
        <w:r w:rsidR="003D1B0C" w:rsidRPr="0012329A">
          <w:rPr>
            <w:rStyle w:val="Hyperlink"/>
            <w:noProof/>
            <w:lang w:val="fr-CH"/>
          </w:rPr>
          <w:t>6.</w:t>
        </w:r>
        <w:r w:rsidR="003D1B0C">
          <w:rPr>
            <w:rFonts w:asciiTheme="minorHAnsi" w:eastAsiaTheme="minorEastAsia" w:hAnsiTheme="minorHAnsi" w:cstheme="minorBidi"/>
            <w:b w:val="0"/>
            <w:bCs w:val="0"/>
            <w:caps w:val="0"/>
            <w:noProof/>
            <w:sz w:val="22"/>
            <w:szCs w:val="22"/>
            <w:lang w:val="fr-CH" w:eastAsia="fr-CH"/>
          </w:rPr>
          <w:tab/>
        </w:r>
        <w:r w:rsidR="003D1B0C" w:rsidRPr="0012329A">
          <w:rPr>
            <w:rStyle w:val="Hyperlink"/>
            <w:noProof/>
            <w:lang w:val="fr-CH"/>
          </w:rPr>
          <w:t>Droit au recours effectif, obligations d’enquête, de réparation et de poursuite</w:t>
        </w:r>
        <w:r w:rsidR="003D1B0C">
          <w:rPr>
            <w:noProof/>
            <w:webHidden/>
          </w:rPr>
          <w:tab/>
        </w:r>
        <w:r w:rsidR="003D1B0C">
          <w:rPr>
            <w:noProof/>
            <w:webHidden/>
          </w:rPr>
          <w:fldChar w:fldCharType="begin"/>
        </w:r>
        <w:r w:rsidR="003D1B0C">
          <w:rPr>
            <w:noProof/>
            <w:webHidden/>
          </w:rPr>
          <w:instrText xml:space="preserve"> PAGEREF _Toc447008732 \h </w:instrText>
        </w:r>
        <w:r w:rsidR="003D1B0C">
          <w:rPr>
            <w:noProof/>
            <w:webHidden/>
          </w:rPr>
        </w:r>
        <w:r w:rsidR="003D1B0C">
          <w:rPr>
            <w:noProof/>
            <w:webHidden/>
          </w:rPr>
          <w:fldChar w:fldCharType="separate"/>
        </w:r>
        <w:r w:rsidR="003D1B0C">
          <w:rPr>
            <w:noProof/>
            <w:webHidden/>
          </w:rPr>
          <w:t>17</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33" w:history="1">
        <w:r w:rsidR="003D1B0C" w:rsidRPr="0012329A">
          <w:rPr>
            <w:rStyle w:val="Hyperlink"/>
            <w:rFonts w:cs="Tahoma"/>
            <w:noProof/>
            <w:lang w:val="fr-CH"/>
          </w:rPr>
          <w:t>6.1</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Enquête prompte et impartiale</w:t>
        </w:r>
        <w:r w:rsidR="003D1B0C">
          <w:rPr>
            <w:noProof/>
            <w:webHidden/>
          </w:rPr>
          <w:tab/>
        </w:r>
        <w:r w:rsidR="003D1B0C">
          <w:rPr>
            <w:noProof/>
            <w:webHidden/>
          </w:rPr>
          <w:fldChar w:fldCharType="begin"/>
        </w:r>
        <w:r w:rsidR="003D1B0C">
          <w:rPr>
            <w:noProof/>
            <w:webHidden/>
          </w:rPr>
          <w:instrText xml:space="preserve"> PAGEREF _Toc447008733 \h </w:instrText>
        </w:r>
        <w:r w:rsidR="003D1B0C">
          <w:rPr>
            <w:noProof/>
            <w:webHidden/>
          </w:rPr>
        </w:r>
        <w:r w:rsidR="003D1B0C">
          <w:rPr>
            <w:noProof/>
            <w:webHidden/>
          </w:rPr>
          <w:fldChar w:fldCharType="separate"/>
        </w:r>
        <w:r w:rsidR="003D1B0C">
          <w:rPr>
            <w:noProof/>
            <w:webHidden/>
          </w:rPr>
          <w:t>17</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34" w:history="1">
        <w:r w:rsidR="003D1B0C" w:rsidRPr="0012329A">
          <w:rPr>
            <w:rStyle w:val="Hyperlink"/>
            <w:rFonts w:cs="Tahoma"/>
            <w:noProof/>
            <w:lang w:val="fr-CH"/>
          </w:rPr>
          <w:t>6.2</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Droit au recours effectif et droit de porter plainte</w:t>
        </w:r>
        <w:r w:rsidR="003D1B0C">
          <w:rPr>
            <w:noProof/>
            <w:webHidden/>
          </w:rPr>
          <w:tab/>
        </w:r>
        <w:r w:rsidR="003D1B0C">
          <w:rPr>
            <w:noProof/>
            <w:webHidden/>
          </w:rPr>
          <w:fldChar w:fldCharType="begin"/>
        </w:r>
        <w:r w:rsidR="003D1B0C">
          <w:rPr>
            <w:noProof/>
            <w:webHidden/>
          </w:rPr>
          <w:instrText xml:space="preserve"> PAGEREF _Toc447008734 \h </w:instrText>
        </w:r>
        <w:r w:rsidR="003D1B0C">
          <w:rPr>
            <w:noProof/>
            <w:webHidden/>
          </w:rPr>
        </w:r>
        <w:r w:rsidR="003D1B0C">
          <w:rPr>
            <w:noProof/>
            <w:webHidden/>
          </w:rPr>
          <w:fldChar w:fldCharType="separate"/>
        </w:r>
        <w:r w:rsidR="003D1B0C">
          <w:rPr>
            <w:noProof/>
            <w:webHidden/>
          </w:rPr>
          <w:t>19</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35" w:history="1">
        <w:r w:rsidR="003D1B0C" w:rsidRPr="0012329A">
          <w:rPr>
            <w:rStyle w:val="Hyperlink"/>
            <w:rFonts w:cs="Tahoma"/>
            <w:noProof/>
            <w:lang w:val="fr-CH"/>
          </w:rPr>
          <w:t>6.3</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Le droit d’obtenir réparation</w:t>
        </w:r>
        <w:r w:rsidR="003D1B0C">
          <w:rPr>
            <w:noProof/>
            <w:webHidden/>
          </w:rPr>
          <w:tab/>
        </w:r>
        <w:r w:rsidR="003D1B0C">
          <w:rPr>
            <w:noProof/>
            <w:webHidden/>
          </w:rPr>
          <w:fldChar w:fldCharType="begin"/>
        </w:r>
        <w:r w:rsidR="003D1B0C">
          <w:rPr>
            <w:noProof/>
            <w:webHidden/>
          </w:rPr>
          <w:instrText xml:space="preserve"> PAGEREF _Toc447008735 \h </w:instrText>
        </w:r>
        <w:r w:rsidR="003D1B0C">
          <w:rPr>
            <w:noProof/>
            <w:webHidden/>
          </w:rPr>
        </w:r>
        <w:r w:rsidR="003D1B0C">
          <w:rPr>
            <w:noProof/>
            <w:webHidden/>
          </w:rPr>
          <w:fldChar w:fldCharType="separate"/>
        </w:r>
        <w:r w:rsidR="003D1B0C">
          <w:rPr>
            <w:noProof/>
            <w:webHidden/>
          </w:rPr>
          <w:t>21</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36" w:history="1">
        <w:r w:rsidR="003D1B0C" w:rsidRPr="0012329A">
          <w:rPr>
            <w:rStyle w:val="Hyperlink"/>
            <w:rFonts w:cs="Tahoma"/>
            <w:noProof/>
            <w:lang w:val="fr-CH"/>
          </w:rPr>
          <w:t>6.4</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Poursuite des personnes responsables d’actes de torture</w:t>
        </w:r>
        <w:r w:rsidR="003D1B0C">
          <w:rPr>
            <w:noProof/>
            <w:webHidden/>
          </w:rPr>
          <w:tab/>
        </w:r>
        <w:r w:rsidR="003D1B0C">
          <w:rPr>
            <w:noProof/>
            <w:webHidden/>
          </w:rPr>
          <w:fldChar w:fldCharType="begin"/>
        </w:r>
        <w:r w:rsidR="003D1B0C">
          <w:rPr>
            <w:noProof/>
            <w:webHidden/>
          </w:rPr>
          <w:instrText xml:space="preserve"> PAGEREF _Toc447008736 \h </w:instrText>
        </w:r>
        <w:r w:rsidR="003D1B0C">
          <w:rPr>
            <w:noProof/>
            <w:webHidden/>
          </w:rPr>
        </w:r>
        <w:r w:rsidR="003D1B0C">
          <w:rPr>
            <w:noProof/>
            <w:webHidden/>
          </w:rPr>
          <w:fldChar w:fldCharType="separate"/>
        </w:r>
        <w:r w:rsidR="003D1B0C">
          <w:rPr>
            <w:noProof/>
            <w:webHidden/>
          </w:rPr>
          <w:t>21</w:t>
        </w:r>
        <w:r w:rsidR="003D1B0C">
          <w:rPr>
            <w:noProof/>
            <w:webHidden/>
          </w:rPr>
          <w:fldChar w:fldCharType="end"/>
        </w:r>
      </w:hyperlink>
    </w:p>
    <w:p w:rsidR="003D1B0C" w:rsidRDefault="00C67CAD">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47008737" w:history="1">
        <w:r w:rsidR="003D1B0C" w:rsidRPr="0012329A">
          <w:rPr>
            <w:rStyle w:val="Hyperlink"/>
            <w:rFonts w:cs="Tahoma"/>
            <w:noProof/>
            <w:lang w:val="fr-CH"/>
          </w:rPr>
          <w:t>7.</w:t>
        </w:r>
        <w:r w:rsidR="003D1B0C">
          <w:rPr>
            <w:rFonts w:asciiTheme="minorHAnsi" w:eastAsiaTheme="minorEastAsia" w:hAnsiTheme="minorHAnsi" w:cstheme="minorBidi"/>
            <w:b w:val="0"/>
            <w:bCs w:val="0"/>
            <w:caps w:val="0"/>
            <w:noProof/>
            <w:sz w:val="22"/>
            <w:szCs w:val="22"/>
            <w:lang w:val="fr-CH" w:eastAsia="fr-CH"/>
          </w:rPr>
          <w:tab/>
        </w:r>
        <w:r w:rsidR="003D1B0C" w:rsidRPr="0012329A">
          <w:rPr>
            <w:rStyle w:val="Hyperlink"/>
            <w:rFonts w:cs="Tahoma"/>
            <w:noProof/>
            <w:lang w:val="fr-CH"/>
          </w:rPr>
          <w:t>Problématiques spécifiques à la justice transitionnelle</w:t>
        </w:r>
        <w:r w:rsidR="003D1B0C">
          <w:rPr>
            <w:noProof/>
            <w:webHidden/>
          </w:rPr>
          <w:tab/>
        </w:r>
        <w:r w:rsidR="003D1B0C">
          <w:rPr>
            <w:noProof/>
            <w:webHidden/>
          </w:rPr>
          <w:fldChar w:fldCharType="begin"/>
        </w:r>
        <w:r w:rsidR="003D1B0C">
          <w:rPr>
            <w:noProof/>
            <w:webHidden/>
          </w:rPr>
          <w:instrText xml:space="preserve"> PAGEREF _Toc447008737 \h </w:instrText>
        </w:r>
        <w:r w:rsidR="003D1B0C">
          <w:rPr>
            <w:noProof/>
            <w:webHidden/>
          </w:rPr>
        </w:r>
        <w:r w:rsidR="003D1B0C">
          <w:rPr>
            <w:noProof/>
            <w:webHidden/>
          </w:rPr>
          <w:fldChar w:fldCharType="separate"/>
        </w:r>
        <w:r w:rsidR="003D1B0C">
          <w:rPr>
            <w:noProof/>
            <w:webHidden/>
          </w:rPr>
          <w:t>22</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38" w:history="1">
        <w:r w:rsidR="003D1B0C" w:rsidRPr="0012329A">
          <w:rPr>
            <w:rStyle w:val="Hyperlink"/>
            <w:rFonts w:cs="Tahoma"/>
            <w:noProof/>
            <w:lang w:val="fr-CH"/>
          </w:rPr>
          <w:t>7.1</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Fonctionnement de la justice transitionnelle</w:t>
        </w:r>
        <w:r w:rsidR="003D1B0C">
          <w:rPr>
            <w:noProof/>
            <w:webHidden/>
          </w:rPr>
          <w:tab/>
        </w:r>
        <w:r w:rsidR="003D1B0C">
          <w:rPr>
            <w:noProof/>
            <w:webHidden/>
          </w:rPr>
          <w:fldChar w:fldCharType="begin"/>
        </w:r>
        <w:r w:rsidR="003D1B0C">
          <w:rPr>
            <w:noProof/>
            <w:webHidden/>
          </w:rPr>
          <w:instrText xml:space="preserve"> PAGEREF _Toc447008738 \h </w:instrText>
        </w:r>
        <w:r w:rsidR="003D1B0C">
          <w:rPr>
            <w:noProof/>
            <w:webHidden/>
          </w:rPr>
        </w:r>
        <w:r w:rsidR="003D1B0C">
          <w:rPr>
            <w:noProof/>
            <w:webHidden/>
          </w:rPr>
          <w:fldChar w:fldCharType="separate"/>
        </w:r>
        <w:r w:rsidR="003D1B0C">
          <w:rPr>
            <w:noProof/>
            <w:webHidden/>
          </w:rPr>
          <w:t>22</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39" w:history="1">
        <w:r w:rsidR="003D1B0C" w:rsidRPr="0012329A">
          <w:rPr>
            <w:rStyle w:val="Hyperlink"/>
            <w:rFonts w:cs="Tahoma"/>
            <w:noProof/>
            <w:lang w:val="fr-CH"/>
          </w:rPr>
          <w:t>7.2</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Problématiques liées aux compétences des tribunaux</w:t>
        </w:r>
        <w:r w:rsidR="003D1B0C">
          <w:rPr>
            <w:noProof/>
            <w:webHidden/>
          </w:rPr>
          <w:tab/>
        </w:r>
        <w:r w:rsidR="003D1B0C">
          <w:rPr>
            <w:noProof/>
            <w:webHidden/>
          </w:rPr>
          <w:fldChar w:fldCharType="begin"/>
        </w:r>
        <w:r w:rsidR="003D1B0C">
          <w:rPr>
            <w:noProof/>
            <w:webHidden/>
          </w:rPr>
          <w:instrText xml:space="preserve"> PAGEREF _Toc447008739 \h </w:instrText>
        </w:r>
        <w:r w:rsidR="003D1B0C">
          <w:rPr>
            <w:noProof/>
            <w:webHidden/>
          </w:rPr>
        </w:r>
        <w:r w:rsidR="003D1B0C">
          <w:rPr>
            <w:noProof/>
            <w:webHidden/>
          </w:rPr>
          <w:fldChar w:fldCharType="separate"/>
        </w:r>
        <w:r w:rsidR="003D1B0C">
          <w:rPr>
            <w:noProof/>
            <w:webHidden/>
          </w:rPr>
          <w:t>23</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40" w:history="1">
        <w:r w:rsidR="003D1B0C" w:rsidRPr="0012329A">
          <w:rPr>
            <w:rStyle w:val="Hyperlink"/>
            <w:rFonts w:cs="Tahoma"/>
            <w:noProof/>
            <w:lang w:val="fr-CH"/>
          </w:rPr>
          <w:t>7.3</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La question de la définition de la torture dans les législations successives</w:t>
        </w:r>
        <w:r w:rsidR="003D1B0C">
          <w:rPr>
            <w:noProof/>
            <w:webHidden/>
          </w:rPr>
          <w:tab/>
        </w:r>
        <w:r w:rsidR="003D1B0C">
          <w:rPr>
            <w:noProof/>
            <w:webHidden/>
          </w:rPr>
          <w:fldChar w:fldCharType="begin"/>
        </w:r>
        <w:r w:rsidR="003D1B0C">
          <w:rPr>
            <w:noProof/>
            <w:webHidden/>
          </w:rPr>
          <w:instrText xml:space="preserve"> PAGEREF _Toc447008740 \h </w:instrText>
        </w:r>
        <w:r w:rsidR="003D1B0C">
          <w:rPr>
            <w:noProof/>
            <w:webHidden/>
          </w:rPr>
        </w:r>
        <w:r w:rsidR="003D1B0C">
          <w:rPr>
            <w:noProof/>
            <w:webHidden/>
          </w:rPr>
          <w:fldChar w:fldCharType="separate"/>
        </w:r>
        <w:r w:rsidR="003D1B0C">
          <w:rPr>
            <w:noProof/>
            <w:webHidden/>
          </w:rPr>
          <w:t>24</w:t>
        </w:r>
        <w:r w:rsidR="003D1B0C">
          <w:rPr>
            <w:noProof/>
            <w:webHidden/>
          </w:rPr>
          <w:fldChar w:fldCharType="end"/>
        </w:r>
      </w:hyperlink>
    </w:p>
    <w:p w:rsidR="003D1B0C" w:rsidRDefault="00C67CAD">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47008741" w:history="1">
        <w:r w:rsidR="003D1B0C" w:rsidRPr="0012329A">
          <w:rPr>
            <w:rStyle w:val="Hyperlink"/>
            <w:rFonts w:cs="Tahoma"/>
            <w:noProof/>
            <w:lang w:val="fr-CH"/>
          </w:rPr>
          <w:t>8.</w:t>
        </w:r>
        <w:r w:rsidR="003D1B0C">
          <w:rPr>
            <w:rFonts w:asciiTheme="minorHAnsi" w:eastAsiaTheme="minorEastAsia" w:hAnsiTheme="minorHAnsi" w:cstheme="minorBidi"/>
            <w:b w:val="0"/>
            <w:bCs w:val="0"/>
            <w:caps w:val="0"/>
            <w:noProof/>
            <w:sz w:val="22"/>
            <w:szCs w:val="22"/>
            <w:lang w:val="fr-CH" w:eastAsia="fr-CH"/>
          </w:rPr>
          <w:tab/>
        </w:r>
        <w:r w:rsidR="003D1B0C" w:rsidRPr="0012329A">
          <w:rPr>
            <w:rStyle w:val="Hyperlink"/>
            <w:rFonts w:cs="Tahoma"/>
            <w:noProof/>
            <w:lang w:val="fr-CH"/>
          </w:rPr>
          <w:t>Traitements cruels, inhumains et dégradants</w:t>
        </w:r>
        <w:r w:rsidR="003D1B0C">
          <w:rPr>
            <w:noProof/>
            <w:webHidden/>
          </w:rPr>
          <w:tab/>
        </w:r>
        <w:r w:rsidR="003D1B0C">
          <w:rPr>
            <w:noProof/>
            <w:webHidden/>
          </w:rPr>
          <w:fldChar w:fldCharType="begin"/>
        </w:r>
        <w:r w:rsidR="003D1B0C">
          <w:rPr>
            <w:noProof/>
            <w:webHidden/>
          </w:rPr>
          <w:instrText xml:space="preserve"> PAGEREF _Toc447008741 \h </w:instrText>
        </w:r>
        <w:r w:rsidR="003D1B0C">
          <w:rPr>
            <w:noProof/>
            <w:webHidden/>
          </w:rPr>
        </w:r>
        <w:r w:rsidR="003D1B0C">
          <w:rPr>
            <w:noProof/>
            <w:webHidden/>
          </w:rPr>
          <w:fldChar w:fldCharType="separate"/>
        </w:r>
        <w:r w:rsidR="003D1B0C">
          <w:rPr>
            <w:noProof/>
            <w:webHidden/>
          </w:rPr>
          <w:t>24</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42" w:history="1">
        <w:r w:rsidR="003D1B0C" w:rsidRPr="0012329A">
          <w:rPr>
            <w:rStyle w:val="Hyperlink"/>
            <w:rFonts w:cs="Tahoma"/>
            <w:noProof/>
            <w:lang w:val="fr-CH"/>
          </w:rPr>
          <w:t>8.1</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Mise en œuvre de l’article 16 de la Convention dans le droit interne</w:t>
        </w:r>
        <w:r w:rsidR="003D1B0C">
          <w:rPr>
            <w:noProof/>
            <w:webHidden/>
          </w:rPr>
          <w:tab/>
        </w:r>
        <w:r w:rsidR="003D1B0C">
          <w:rPr>
            <w:noProof/>
            <w:webHidden/>
          </w:rPr>
          <w:fldChar w:fldCharType="begin"/>
        </w:r>
        <w:r w:rsidR="003D1B0C">
          <w:rPr>
            <w:noProof/>
            <w:webHidden/>
          </w:rPr>
          <w:instrText xml:space="preserve"> PAGEREF _Toc447008742 \h </w:instrText>
        </w:r>
        <w:r w:rsidR="003D1B0C">
          <w:rPr>
            <w:noProof/>
            <w:webHidden/>
          </w:rPr>
        </w:r>
        <w:r w:rsidR="003D1B0C">
          <w:rPr>
            <w:noProof/>
            <w:webHidden/>
          </w:rPr>
          <w:fldChar w:fldCharType="separate"/>
        </w:r>
        <w:r w:rsidR="003D1B0C">
          <w:rPr>
            <w:noProof/>
            <w:webHidden/>
          </w:rPr>
          <w:t>25</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43" w:history="1">
        <w:r w:rsidR="003D1B0C" w:rsidRPr="0012329A">
          <w:rPr>
            <w:rStyle w:val="Hyperlink"/>
            <w:rFonts w:cs="Tahoma"/>
            <w:noProof/>
            <w:lang w:val="fr-CH"/>
          </w:rPr>
          <w:t>8.2</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Conditions de détention et surpopulation carcérale</w:t>
        </w:r>
        <w:r w:rsidR="003D1B0C">
          <w:rPr>
            <w:noProof/>
            <w:webHidden/>
          </w:rPr>
          <w:tab/>
        </w:r>
        <w:r w:rsidR="003D1B0C">
          <w:rPr>
            <w:noProof/>
            <w:webHidden/>
          </w:rPr>
          <w:fldChar w:fldCharType="begin"/>
        </w:r>
        <w:r w:rsidR="003D1B0C">
          <w:rPr>
            <w:noProof/>
            <w:webHidden/>
          </w:rPr>
          <w:instrText xml:space="preserve"> PAGEREF _Toc447008743 \h </w:instrText>
        </w:r>
        <w:r w:rsidR="003D1B0C">
          <w:rPr>
            <w:noProof/>
            <w:webHidden/>
          </w:rPr>
        </w:r>
        <w:r w:rsidR="003D1B0C">
          <w:rPr>
            <w:noProof/>
            <w:webHidden/>
          </w:rPr>
          <w:fldChar w:fldCharType="separate"/>
        </w:r>
        <w:r w:rsidR="003D1B0C">
          <w:rPr>
            <w:noProof/>
            <w:webHidden/>
          </w:rPr>
          <w:t>25</w:t>
        </w:r>
        <w:r w:rsidR="003D1B0C">
          <w:rPr>
            <w:noProof/>
            <w:webHidden/>
          </w:rPr>
          <w:fldChar w:fldCharType="end"/>
        </w:r>
      </w:hyperlink>
    </w:p>
    <w:p w:rsidR="003D1B0C" w:rsidRDefault="00C67CAD">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47008744" w:history="1">
        <w:r w:rsidR="003D1B0C" w:rsidRPr="0012329A">
          <w:rPr>
            <w:rStyle w:val="Hyperlink"/>
            <w:rFonts w:cs="Tahoma"/>
            <w:noProof/>
            <w:lang w:val="fr-CH"/>
          </w:rPr>
          <w:t>8.3</w:t>
        </w:r>
        <w:r w:rsidR="003D1B0C">
          <w:rPr>
            <w:rFonts w:asciiTheme="minorHAnsi" w:eastAsiaTheme="minorEastAsia" w:hAnsiTheme="minorHAnsi" w:cstheme="minorBidi"/>
            <w:smallCaps w:val="0"/>
            <w:noProof/>
            <w:sz w:val="22"/>
            <w:szCs w:val="22"/>
            <w:lang w:val="fr-CH" w:eastAsia="fr-CH"/>
          </w:rPr>
          <w:tab/>
        </w:r>
        <w:r w:rsidR="003D1B0C" w:rsidRPr="0012329A">
          <w:rPr>
            <w:rStyle w:val="Hyperlink"/>
            <w:rFonts w:cs="Tahoma"/>
            <w:noProof/>
            <w:lang w:val="fr-CH"/>
          </w:rPr>
          <w:t>Violences policières et mauvais traitements en marge de manifestations</w:t>
        </w:r>
        <w:r w:rsidR="003D1B0C">
          <w:rPr>
            <w:noProof/>
            <w:webHidden/>
          </w:rPr>
          <w:tab/>
        </w:r>
        <w:r w:rsidR="003D1B0C">
          <w:rPr>
            <w:noProof/>
            <w:webHidden/>
          </w:rPr>
          <w:fldChar w:fldCharType="begin"/>
        </w:r>
        <w:r w:rsidR="003D1B0C">
          <w:rPr>
            <w:noProof/>
            <w:webHidden/>
          </w:rPr>
          <w:instrText xml:space="preserve"> PAGEREF _Toc447008744 \h </w:instrText>
        </w:r>
        <w:r w:rsidR="003D1B0C">
          <w:rPr>
            <w:noProof/>
            <w:webHidden/>
          </w:rPr>
        </w:r>
        <w:r w:rsidR="003D1B0C">
          <w:rPr>
            <w:noProof/>
            <w:webHidden/>
          </w:rPr>
          <w:fldChar w:fldCharType="separate"/>
        </w:r>
        <w:r w:rsidR="003D1B0C">
          <w:rPr>
            <w:noProof/>
            <w:webHidden/>
          </w:rPr>
          <w:t>25</w:t>
        </w:r>
        <w:r w:rsidR="003D1B0C">
          <w:rPr>
            <w:noProof/>
            <w:webHidden/>
          </w:rPr>
          <w:fldChar w:fldCharType="end"/>
        </w:r>
      </w:hyperlink>
    </w:p>
    <w:p w:rsidR="00035E42" w:rsidRPr="00E342DC" w:rsidRDefault="00496658" w:rsidP="00DA0ABA">
      <w:pPr>
        <w:spacing w:line="360" w:lineRule="auto"/>
        <w:rPr>
          <w:rFonts w:cs="Tahoma"/>
          <w:lang w:val="fr-CH"/>
        </w:rPr>
      </w:pPr>
      <w:r w:rsidRPr="00E342DC">
        <w:rPr>
          <w:rFonts w:cs="Tahoma"/>
          <w:i/>
          <w:iCs/>
          <w:caps/>
          <w:szCs w:val="24"/>
          <w:lang w:val="fr-CH"/>
        </w:rPr>
        <w:fldChar w:fldCharType="end"/>
      </w:r>
    </w:p>
    <w:p w:rsidR="00035E42" w:rsidRPr="00E342DC" w:rsidRDefault="00035E42" w:rsidP="00DA0ABA">
      <w:pPr>
        <w:rPr>
          <w:rFonts w:cs="Tahoma"/>
          <w:lang w:val="fr-CH"/>
        </w:rPr>
      </w:pPr>
    </w:p>
    <w:p w:rsidR="00035E42" w:rsidRPr="00E342DC" w:rsidRDefault="00035E42" w:rsidP="00DA0ABA">
      <w:pPr>
        <w:rPr>
          <w:rFonts w:cs="Tahoma"/>
          <w:b/>
          <w:bCs/>
          <w:lang w:val="fr-CH"/>
        </w:rPr>
      </w:pPr>
      <w:r w:rsidRPr="00E342DC">
        <w:rPr>
          <w:rFonts w:cs="Tahoma"/>
          <w:b/>
          <w:bCs/>
          <w:lang w:val="fr-CH"/>
        </w:rPr>
        <w:br w:type="page"/>
      </w:r>
    </w:p>
    <w:p w:rsidR="00035E42" w:rsidRPr="00E342DC" w:rsidRDefault="00255322" w:rsidP="00CC02BA">
      <w:pPr>
        <w:pStyle w:val="Heading1"/>
        <w:rPr>
          <w:lang w:val="fr-CH"/>
        </w:rPr>
      </w:pPr>
      <w:bookmarkStart w:id="1" w:name="_Toc447008709"/>
      <w:r w:rsidRPr="00CC02BA">
        <w:lastRenderedPageBreak/>
        <w:t>Introduction</w:t>
      </w:r>
      <w:bookmarkEnd w:id="1"/>
    </w:p>
    <w:p w:rsidR="00035E42" w:rsidRPr="00E342DC" w:rsidRDefault="00035E42" w:rsidP="00DA0ABA">
      <w:pPr>
        <w:rPr>
          <w:rFonts w:cs="Tahoma"/>
          <w:szCs w:val="20"/>
          <w:lang w:val="fr-CH"/>
        </w:rPr>
      </w:pPr>
    </w:p>
    <w:p w:rsidR="00177412" w:rsidRPr="00E342DC" w:rsidRDefault="00287438" w:rsidP="00A912A1">
      <w:pPr>
        <w:rPr>
          <w:rFonts w:cs="Tahoma"/>
          <w:szCs w:val="20"/>
          <w:lang w:val="fr-CH"/>
        </w:rPr>
      </w:pPr>
      <w:r w:rsidRPr="00E342DC">
        <w:rPr>
          <w:rFonts w:cs="Tahoma"/>
          <w:szCs w:val="20"/>
          <w:lang w:val="fr-CH"/>
        </w:rPr>
        <w:t xml:space="preserve">Durant les dernières décennies, la </w:t>
      </w:r>
      <w:r w:rsidR="00255322" w:rsidRPr="00E342DC">
        <w:rPr>
          <w:rFonts w:cs="Tahoma"/>
          <w:szCs w:val="20"/>
          <w:lang w:val="fr-CH"/>
        </w:rPr>
        <w:t xml:space="preserve">Tunisie a </w:t>
      </w:r>
      <w:r w:rsidR="00177412" w:rsidRPr="00E342DC">
        <w:rPr>
          <w:rFonts w:cs="Tahoma"/>
          <w:szCs w:val="20"/>
          <w:lang w:val="fr-CH"/>
        </w:rPr>
        <w:t>été dirigée par</w:t>
      </w:r>
      <w:r w:rsidR="00934285" w:rsidRPr="00E342DC">
        <w:rPr>
          <w:rFonts w:cs="Tahoma"/>
          <w:szCs w:val="20"/>
          <w:lang w:val="fr-CH"/>
        </w:rPr>
        <w:t xml:space="preserve"> un</w:t>
      </w:r>
      <w:r w:rsidR="00177412" w:rsidRPr="00E342DC">
        <w:rPr>
          <w:rFonts w:cs="Tahoma"/>
          <w:szCs w:val="20"/>
          <w:lang w:val="fr-CH"/>
        </w:rPr>
        <w:t xml:space="preserve"> régime </w:t>
      </w:r>
      <w:r w:rsidR="00F22129" w:rsidRPr="00E342DC">
        <w:rPr>
          <w:rFonts w:cs="Tahoma"/>
          <w:szCs w:val="20"/>
          <w:lang w:val="fr-CH"/>
        </w:rPr>
        <w:t>autoritaire </w:t>
      </w:r>
      <w:r w:rsidR="00177412" w:rsidRPr="00E342DC">
        <w:rPr>
          <w:rFonts w:cs="Tahoma"/>
          <w:szCs w:val="20"/>
          <w:lang w:val="fr-CH"/>
        </w:rPr>
        <w:t>; les violations des droits de l’homme, et en particulier la pratique de la torture dans les lieux de détention, restaient largement répandues</w:t>
      </w:r>
      <w:r w:rsidR="00934285" w:rsidRPr="00E342DC">
        <w:rPr>
          <w:rFonts w:cs="Tahoma"/>
          <w:szCs w:val="20"/>
          <w:lang w:val="fr-CH"/>
        </w:rPr>
        <w:t>, touchant</w:t>
      </w:r>
      <w:r w:rsidR="00177412" w:rsidRPr="00E342DC">
        <w:rPr>
          <w:rFonts w:cs="Tahoma"/>
          <w:szCs w:val="20"/>
          <w:lang w:val="fr-CH"/>
        </w:rPr>
        <w:t xml:space="preserve"> indistinctement opposants politiques </w:t>
      </w:r>
      <w:r w:rsidR="00A912A1" w:rsidRPr="00E342DC">
        <w:rPr>
          <w:rFonts w:cs="Tahoma"/>
          <w:szCs w:val="20"/>
          <w:lang w:val="fr-CH"/>
        </w:rPr>
        <w:t xml:space="preserve">et </w:t>
      </w:r>
      <w:r w:rsidR="00F22129" w:rsidRPr="00E342DC">
        <w:rPr>
          <w:rFonts w:cs="Tahoma"/>
          <w:szCs w:val="20"/>
          <w:lang w:val="fr-CH"/>
        </w:rPr>
        <w:t xml:space="preserve">personnes suspectées d’infractions pénales de </w:t>
      </w:r>
      <w:r w:rsidR="00177412" w:rsidRPr="00E342DC">
        <w:rPr>
          <w:rFonts w:cs="Tahoma"/>
          <w:szCs w:val="20"/>
          <w:lang w:val="fr-CH"/>
        </w:rPr>
        <w:t>droit commun.</w:t>
      </w:r>
      <w:r w:rsidR="00E63355" w:rsidRPr="00E342DC">
        <w:rPr>
          <w:rFonts w:cs="Tahoma"/>
          <w:szCs w:val="20"/>
          <w:lang w:val="fr-CH"/>
        </w:rPr>
        <w:t xml:space="preserve"> </w:t>
      </w:r>
    </w:p>
    <w:p w:rsidR="00035E42" w:rsidRPr="00E342DC" w:rsidRDefault="00035E42" w:rsidP="00DA0ABA">
      <w:pPr>
        <w:rPr>
          <w:rFonts w:cs="Tahoma"/>
          <w:szCs w:val="20"/>
          <w:lang w:val="fr-CH"/>
        </w:rPr>
      </w:pPr>
    </w:p>
    <w:p w:rsidR="00BA0607" w:rsidRPr="00E342DC" w:rsidRDefault="00177412" w:rsidP="00DA0ABA">
      <w:pPr>
        <w:rPr>
          <w:rFonts w:cs="Tahoma"/>
          <w:color w:val="000000"/>
          <w:szCs w:val="20"/>
          <w:lang w:val="fr-CH"/>
        </w:rPr>
      </w:pPr>
      <w:r w:rsidRPr="00E342DC">
        <w:rPr>
          <w:rFonts w:cs="Tahoma"/>
          <w:szCs w:val="20"/>
          <w:lang w:val="fr-CH"/>
        </w:rPr>
        <w:t xml:space="preserve">Au lendemain de </w:t>
      </w:r>
      <w:r w:rsidR="00255322" w:rsidRPr="00E342DC">
        <w:rPr>
          <w:rFonts w:cs="Tahoma"/>
          <w:szCs w:val="20"/>
          <w:lang w:val="fr-CH"/>
        </w:rPr>
        <w:t xml:space="preserve">la révolution de 2011, </w:t>
      </w:r>
      <w:r w:rsidR="00E23697" w:rsidRPr="00E342DC">
        <w:rPr>
          <w:rFonts w:cs="Tahoma"/>
          <w:szCs w:val="20"/>
          <w:lang w:val="fr-CH"/>
        </w:rPr>
        <w:t xml:space="preserve">tous </w:t>
      </w:r>
      <w:r w:rsidR="00255322" w:rsidRPr="00E342DC">
        <w:rPr>
          <w:rFonts w:cs="Tahoma"/>
          <w:szCs w:val="20"/>
          <w:lang w:val="fr-CH"/>
        </w:rPr>
        <w:t xml:space="preserve">les espoirs se sont portés </w:t>
      </w:r>
      <w:r w:rsidR="00E86016" w:rsidRPr="00E342DC">
        <w:rPr>
          <w:rFonts w:cs="Tahoma"/>
          <w:szCs w:val="20"/>
          <w:lang w:val="fr-CH"/>
        </w:rPr>
        <w:t xml:space="preserve">sur une véritable </w:t>
      </w:r>
      <w:r w:rsidR="0036313C" w:rsidRPr="00E342DC">
        <w:rPr>
          <w:rFonts w:cs="Tahoma"/>
          <w:szCs w:val="20"/>
          <w:lang w:val="fr-CH"/>
        </w:rPr>
        <w:t>rupture avec les pratiques liberticides</w:t>
      </w:r>
      <w:r w:rsidR="00E44297" w:rsidRPr="00E342DC">
        <w:rPr>
          <w:rFonts w:cs="Tahoma"/>
          <w:szCs w:val="20"/>
          <w:lang w:val="fr-CH"/>
        </w:rPr>
        <w:t xml:space="preserve"> du passé</w:t>
      </w:r>
      <w:r w:rsidR="00BA0607" w:rsidRPr="00E342DC">
        <w:rPr>
          <w:rFonts w:cs="Tahoma"/>
          <w:szCs w:val="20"/>
          <w:lang w:val="fr-CH"/>
        </w:rPr>
        <w:t xml:space="preserve"> et la Tunisie a été </w:t>
      </w:r>
      <w:r w:rsidR="00E86016" w:rsidRPr="00E342DC">
        <w:rPr>
          <w:rFonts w:cs="Tahoma"/>
          <w:szCs w:val="20"/>
          <w:lang w:val="fr-CH"/>
        </w:rPr>
        <w:t>perçue comme un exemple réussi de transition démocratique avec l</w:t>
      </w:r>
      <w:r w:rsidR="00E44297" w:rsidRPr="00E342DC">
        <w:rPr>
          <w:rFonts w:cs="Tahoma"/>
          <w:szCs w:val="20"/>
          <w:lang w:val="fr-CH"/>
        </w:rPr>
        <w:t>’adoption de l</w:t>
      </w:r>
      <w:r w:rsidR="0036313C" w:rsidRPr="00E342DC">
        <w:rPr>
          <w:rFonts w:cs="Tahoma"/>
          <w:szCs w:val="20"/>
          <w:lang w:val="fr-CH"/>
        </w:rPr>
        <w:t xml:space="preserve">a Constitution de 2014 et </w:t>
      </w:r>
      <w:r w:rsidR="00E44297" w:rsidRPr="00E342DC">
        <w:rPr>
          <w:rFonts w:cs="Tahoma"/>
          <w:szCs w:val="20"/>
          <w:lang w:val="fr-CH"/>
        </w:rPr>
        <w:t>l</w:t>
      </w:r>
      <w:r w:rsidR="0036313C" w:rsidRPr="00E342DC">
        <w:rPr>
          <w:rFonts w:cs="Tahoma"/>
          <w:szCs w:val="20"/>
          <w:lang w:val="fr-CH"/>
        </w:rPr>
        <w:t xml:space="preserve">es </w:t>
      </w:r>
      <w:r w:rsidR="00E44297" w:rsidRPr="00E342DC">
        <w:rPr>
          <w:rFonts w:cs="Tahoma"/>
          <w:szCs w:val="20"/>
          <w:lang w:val="fr-CH"/>
        </w:rPr>
        <w:t>différentes réformes législatives</w:t>
      </w:r>
      <w:r w:rsidR="00E86016" w:rsidRPr="00E342DC">
        <w:rPr>
          <w:rFonts w:cs="Tahoma"/>
          <w:szCs w:val="20"/>
          <w:lang w:val="fr-CH"/>
        </w:rPr>
        <w:t xml:space="preserve"> </w:t>
      </w:r>
      <w:r w:rsidR="00F22129" w:rsidRPr="00E342DC">
        <w:rPr>
          <w:rFonts w:cs="Tahoma"/>
          <w:szCs w:val="20"/>
          <w:lang w:val="fr-CH"/>
        </w:rPr>
        <w:t>annoncées</w:t>
      </w:r>
      <w:r w:rsidR="00255322" w:rsidRPr="00E342DC">
        <w:rPr>
          <w:rFonts w:cs="Tahoma"/>
          <w:szCs w:val="20"/>
          <w:lang w:val="fr-CH"/>
        </w:rPr>
        <w:t xml:space="preserve">. </w:t>
      </w:r>
      <w:r w:rsidR="0057121E" w:rsidRPr="00E342DC">
        <w:rPr>
          <w:rFonts w:cs="Tahoma"/>
          <w:szCs w:val="20"/>
          <w:lang w:val="fr-CH"/>
        </w:rPr>
        <w:t xml:space="preserve">On peut citer la création de l’Instance Vérité et Dignité (IVD) en décembre 2013 </w:t>
      </w:r>
      <w:r w:rsidR="0057121E" w:rsidRPr="00E342DC">
        <w:rPr>
          <w:rFonts w:cs="Tahoma"/>
          <w:color w:val="000000"/>
          <w:szCs w:val="20"/>
          <w:lang w:val="fr-CH"/>
        </w:rPr>
        <w:t xml:space="preserve">créée par la loi sur la justice transitionnelle, dont la fonction est d’enquêter sur les graves violations des droits de l’homme commises </w:t>
      </w:r>
      <w:r w:rsidR="0097034D" w:rsidRPr="00E342DC">
        <w:rPr>
          <w:rFonts w:cs="Tahoma"/>
          <w:color w:val="000000"/>
          <w:szCs w:val="20"/>
          <w:lang w:val="fr-CH"/>
        </w:rPr>
        <w:t xml:space="preserve">au temps de l’ancien régime. </w:t>
      </w:r>
      <w:r w:rsidR="00934285" w:rsidRPr="00E342DC">
        <w:rPr>
          <w:rFonts w:cs="Tahoma"/>
          <w:color w:val="000000"/>
          <w:szCs w:val="20"/>
          <w:lang w:val="fr-CH"/>
        </w:rPr>
        <w:t>Parallèlement,</w:t>
      </w:r>
      <w:r w:rsidR="00F22129" w:rsidRPr="00E342DC">
        <w:rPr>
          <w:rFonts w:cs="Tahoma"/>
          <w:szCs w:val="20"/>
          <w:lang w:val="fr-CH"/>
        </w:rPr>
        <w:t xml:space="preserve"> le</w:t>
      </w:r>
      <w:r w:rsidR="00F22129" w:rsidRPr="00E342DC">
        <w:rPr>
          <w:rFonts w:cs="Tahoma"/>
          <w:color w:val="000000"/>
          <w:szCs w:val="20"/>
          <w:lang w:val="fr-CH"/>
        </w:rPr>
        <w:t xml:space="preserve"> </w:t>
      </w:r>
      <w:r w:rsidR="00BA0607" w:rsidRPr="00E342DC">
        <w:rPr>
          <w:rFonts w:cs="Tahoma"/>
          <w:szCs w:val="20"/>
          <w:lang w:val="fr-CH"/>
        </w:rPr>
        <w:t>pays est devenu partie à la Convention internationale pour la protection de toutes les personnes contre les disparitions forcées (CED) en juin 2011 et au Protocole facultatif se rapportant à la Convention contre la torture et autres peines ou traitements cruels, inhumains ou dégradant (OPCAT)</w:t>
      </w:r>
      <w:r w:rsidR="0057121E" w:rsidRPr="00E342DC">
        <w:rPr>
          <w:rFonts w:cs="Tahoma"/>
          <w:szCs w:val="20"/>
          <w:lang w:val="fr-CH"/>
        </w:rPr>
        <w:t>, i</w:t>
      </w:r>
      <w:r w:rsidR="00BA0607" w:rsidRPr="00E342DC">
        <w:rPr>
          <w:rFonts w:cs="Tahoma"/>
          <w:szCs w:val="20"/>
          <w:lang w:val="fr-CH"/>
        </w:rPr>
        <w:t xml:space="preserve">nstaurant un Mécanisme National </w:t>
      </w:r>
      <w:r w:rsidR="007654D8" w:rsidRPr="00E342DC">
        <w:rPr>
          <w:rFonts w:cs="Tahoma"/>
          <w:szCs w:val="20"/>
          <w:lang w:val="fr-CH"/>
        </w:rPr>
        <w:t>pour la P</w:t>
      </w:r>
      <w:r w:rsidR="00BA0607" w:rsidRPr="00E342DC">
        <w:rPr>
          <w:rFonts w:cs="Tahoma"/>
          <w:szCs w:val="20"/>
          <w:lang w:val="fr-CH"/>
        </w:rPr>
        <w:t>révention</w:t>
      </w:r>
      <w:r w:rsidR="007654D8" w:rsidRPr="00E342DC">
        <w:rPr>
          <w:rFonts w:cs="Tahoma"/>
          <w:szCs w:val="20"/>
          <w:lang w:val="fr-CH"/>
        </w:rPr>
        <w:t xml:space="preserve"> (MNP)</w:t>
      </w:r>
      <w:r w:rsidR="00BA0607" w:rsidRPr="00E342DC">
        <w:rPr>
          <w:rFonts w:cs="Tahoma"/>
          <w:szCs w:val="20"/>
          <w:lang w:val="fr-CH"/>
        </w:rPr>
        <w:t xml:space="preserve"> de la torture</w:t>
      </w:r>
      <w:r w:rsidR="00C16E23" w:rsidRPr="00E342DC">
        <w:rPr>
          <w:rStyle w:val="FootnoteReference"/>
          <w:rFonts w:cs="Tahoma"/>
          <w:szCs w:val="20"/>
          <w:lang w:val="fr-CH"/>
        </w:rPr>
        <w:footnoteReference w:id="1"/>
      </w:r>
      <w:r w:rsidR="00132435" w:rsidRPr="00E342DC">
        <w:rPr>
          <w:rFonts w:cs="Tahoma"/>
          <w:szCs w:val="20"/>
          <w:lang w:val="fr-CH"/>
        </w:rPr>
        <w:t>,</w:t>
      </w:r>
      <w:r w:rsidR="00BA0607" w:rsidRPr="00E342DC">
        <w:rPr>
          <w:rFonts w:cs="Tahoma"/>
          <w:szCs w:val="20"/>
          <w:lang w:val="fr-CH"/>
        </w:rPr>
        <w:t xml:space="preserve"> </w:t>
      </w:r>
      <w:r w:rsidR="00132435" w:rsidRPr="00E342DC">
        <w:rPr>
          <w:rFonts w:cs="Tahoma"/>
          <w:szCs w:val="20"/>
          <w:lang w:val="fr-CH"/>
        </w:rPr>
        <w:t xml:space="preserve">ainsi qu’au </w:t>
      </w:r>
      <w:r w:rsidR="00A912A1" w:rsidRPr="00E342DC">
        <w:rPr>
          <w:rFonts w:cs="Tahoma"/>
          <w:szCs w:val="20"/>
          <w:lang w:val="fr-CH"/>
        </w:rPr>
        <w:t>P</w:t>
      </w:r>
      <w:r w:rsidR="00132435" w:rsidRPr="00E342DC">
        <w:rPr>
          <w:rFonts w:cs="Tahoma"/>
          <w:szCs w:val="20"/>
          <w:lang w:val="fr-CH"/>
        </w:rPr>
        <w:t xml:space="preserve">rotocole </w:t>
      </w:r>
      <w:r w:rsidR="00A912A1" w:rsidRPr="00E342DC">
        <w:rPr>
          <w:rFonts w:cs="Tahoma"/>
          <w:szCs w:val="20"/>
          <w:lang w:val="fr-CH"/>
        </w:rPr>
        <w:t>A</w:t>
      </w:r>
      <w:r w:rsidR="004C04BF" w:rsidRPr="00E342DC">
        <w:rPr>
          <w:rFonts w:cs="Tahoma"/>
          <w:szCs w:val="20"/>
          <w:lang w:val="fr-CH"/>
        </w:rPr>
        <w:t>dditionnel</w:t>
      </w:r>
      <w:r w:rsidR="00132435" w:rsidRPr="00E342DC">
        <w:rPr>
          <w:rFonts w:cs="Tahoma"/>
          <w:szCs w:val="20"/>
          <w:lang w:val="fr-CH"/>
        </w:rPr>
        <w:t xml:space="preserve"> au Pacte des Droits Civils et Politiques </w:t>
      </w:r>
      <w:r w:rsidR="00A912A1" w:rsidRPr="00E342DC">
        <w:rPr>
          <w:rFonts w:cs="Tahoma"/>
          <w:szCs w:val="20"/>
          <w:lang w:val="fr-CH"/>
        </w:rPr>
        <w:t xml:space="preserve">le </w:t>
      </w:r>
      <w:r w:rsidR="00A912A1" w:rsidRPr="00E342DC">
        <w:rPr>
          <w:rFonts w:cs="Tahoma"/>
          <w:szCs w:val="20"/>
        </w:rPr>
        <w:t xml:space="preserve">29 juin 2011 </w:t>
      </w:r>
      <w:r w:rsidR="00132435" w:rsidRPr="00E342DC">
        <w:rPr>
          <w:rFonts w:cs="Tahoma"/>
          <w:szCs w:val="20"/>
          <w:lang w:val="fr-CH"/>
        </w:rPr>
        <w:t xml:space="preserve">et au statut de Rome créant la Cour Pénale Internationale le 24 Juin 2011. </w:t>
      </w:r>
    </w:p>
    <w:p w:rsidR="00B829A3" w:rsidRPr="00E342DC" w:rsidRDefault="00B829A3" w:rsidP="00DA0ABA">
      <w:pPr>
        <w:rPr>
          <w:rFonts w:cs="Tahoma"/>
          <w:szCs w:val="20"/>
          <w:lang w:val="fr-CH"/>
        </w:rPr>
      </w:pPr>
    </w:p>
    <w:p w:rsidR="00C554B1" w:rsidRPr="00E342DC" w:rsidRDefault="00EE4E1C" w:rsidP="00A912A1">
      <w:pPr>
        <w:rPr>
          <w:rFonts w:cs="Tahoma"/>
          <w:szCs w:val="20"/>
          <w:lang w:val="fr-CH"/>
        </w:rPr>
      </w:pPr>
      <w:r w:rsidRPr="00E342DC">
        <w:rPr>
          <w:rFonts w:cs="Tahoma"/>
          <w:szCs w:val="20"/>
          <w:lang w:val="fr-CH"/>
        </w:rPr>
        <w:t xml:space="preserve">Malgré ces points positifs, </w:t>
      </w:r>
      <w:r w:rsidR="003C6ABB" w:rsidRPr="00E342DC">
        <w:rPr>
          <w:rFonts w:cs="Tahoma"/>
          <w:szCs w:val="20"/>
          <w:lang w:val="fr-CH"/>
        </w:rPr>
        <w:t>f</w:t>
      </w:r>
      <w:r w:rsidR="00250A2D" w:rsidRPr="00E342DC">
        <w:rPr>
          <w:rFonts w:cs="Tahoma"/>
          <w:szCs w:val="20"/>
          <w:lang w:val="fr-CH"/>
        </w:rPr>
        <w:t xml:space="preserve">orce est de constater </w:t>
      </w:r>
      <w:r w:rsidRPr="00E342DC">
        <w:rPr>
          <w:rFonts w:cs="Tahoma"/>
          <w:szCs w:val="20"/>
          <w:lang w:val="fr-CH"/>
        </w:rPr>
        <w:t>qu’</w:t>
      </w:r>
      <w:r w:rsidR="00250A2D" w:rsidRPr="00E342DC">
        <w:rPr>
          <w:rFonts w:cs="Tahoma"/>
          <w:szCs w:val="20"/>
          <w:lang w:val="fr-CH"/>
        </w:rPr>
        <w:t xml:space="preserve">un écart </w:t>
      </w:r>
      <w:r w:rsidR="00C912B3" w:rsidRPr="00E342DC">
        <w:rPr>
          <w:rFonts w:cs="Tahoma"/>
          <w:szCs w:val="20"/>
          <w:lang w:val="fr-CH"/>
        </w:rPr>
        <w:t xml:space="preserve">inquiétant </w:t>
      </w:r>
      <w:r w:rsidR="00006D90" w:rsidRPr="00E342DC">
        <w:rPr>
          <w:rFonts w:cs="Tahoma"/>
          <w:szCs w:val="20"/>
          <w:lang w:val="fr-CH"/>
        </w:rPr>
        <w:t>demeure</w:t>
      </w:r>
      <w:r w:rsidR="00250A2D" w:rsidRPr="00E342DC">
        <w:rPr>
          <w:rFonts w:cs="Tahoma"/>
          <w:szCs w:val="20"/>
          <w:lang w:val="fr-CH"/>
        </w:rPr>
        <w:t xml:space="preserve"> entre les engagements internationaux et </w:t>
      </w:r>
      <w:r w:rsidR="00006D90" w:rsidRPr="00E342DC">
        <w:rPr>
          <w:rFonts w:cs="Tahoma"/>
          <w:szCs w:val="20"/>
          <w:lang w:val="fr-CH"/>
        </w:rPr>
        <w:t>la pratique de l’</w:t>
      </w:r>
      <w:r w:rsidR="0070261E" w:rsidRPr="00E342DC">
        <w:rPr>
          <w:rFonts w:cs="Tahoma"/>
          <w:szCs w:val="20"/>
          <w:lang w:val="fr-CH"/>
        </w:rPr>
        <w:t>État</w:t>
      </w:r>
      <w:r w:rsidR="00006D90" w:rsidRPr="00E342DC">
        <w:rPr>
          <w:rFonts w:cs="Tahoma"/>
          <w:szCs w:val="20"/>
          <w:lang w:val="fr-CH"/>
        </w:rPr>
        <w:t xml:space="preserve"> partie</w:t>
      </w:r>
      <w:r w:rsidR="00250A2D" w:rsidRPr="00E342DC">
        <w:rPr>
          <w:rFonts w:cs="Tahoma"/>
          <w:szCs w:val="20"/>
          <w:lang w:val="fr-CH"/>
        </w:rPr>
        <w:t>. En effet, de nombreux manquements au respect des droits fondamentaux persistent ou r</w:t>
      </w:r>
      <w:r w:rsidR="00C912B3" w:rsidRPr="00E342DC">
        <w:rPr>
          <w:rFonts w:cs="Tahoma"/>
          <w:szCs w:val="20"/>
          <w:lang w:val="fr-CH"/>
        </w:rPr>
        <w:t>essurgissent</w:t>
      </w:r>
      <w:r w:rsidR="00250A2D" w:rsidRPr="00E342DC">
        <w:rPr>
          <w:rFonts w:cs="Tahoma"/>
          <w:szCs w:val="20"/>
          <w:lang w:val="fr-CH"/>
        </w:rPr>
        <w:t xml:space="preserve">, en particulier la pratique de la torture </w:t>
      </w:r>
      <w:r w:rsidR="00006D90" w:rsidRPr="00E342DC">
        <w:rPr>
          <w:rFonts w:cs="Tahoma"/>
          <w:szCs w:val="20"/>
          <w:lang w:val="fr-CH"/>
        </w:rPr>
        <w:t xml:space="preserve">et de la détention au secret </w:t>
      </w:r>
      <w:r w:rsidR="00250A2D" w:rsidRPr="00E342DC">
        <w:rPr>
          <w:rFonts w:cs="Tahoma"/>
          <w:szCs w:val="20"/>
          <w:lang w:val="fr-CH"/>
        </w:rPr>
        <w:t xml:space="preserve">des personnes suspectées </w:t>
      </w:r>
      <w:r w:rsidR="00C912B3" w:rsidRPr="00E342DC">
        <w:rPr>
          <w:rFonts w:cs="Tahoma"/>
          <w:szCs w:val="20"/>
          <w:lang w:val="fr-CH"/>
        </w:rPr>
        <w:t>de liens avec le terrorisme</w:t>
      </w:r>
      <w:r w:rsidR="00250A2D" w:rsidRPr="00E342DC">
        <w:rPr>
          <w:rFonts w:cs="Tahoma"/>
          <w:szCs w:val="20"/>
          <w:lang w:val="fr-CH"/>
        </w:rPr>
        <w:t xml:space="preserve">. </w:t>
      </w:r>
      <w:r w:rsidR="007654D8" w:rsidRPr="00E342DC">
        <w:rPr>
          <w:rFonts w:cs="Tahoma"/>
          <w:szCs w:val="20"/>
          <w:lang w:val="fr-CH"/>
        </w:rPr>
        <w:t xml:space="preserve">A la suite des </w:t>
      </w:r>
      <w:r w:rsidR="00250A2D" w:rsidRPr="00E342DC">
        <w:rPr>
          <w:rFonts w:cs="Tahoma"/>
          <w:szCs w:val="20"/>
          <w:lang w:val="fr-CH"/>
        </w:rPr>
        <w:t>attentat</w:t>
      </w:r>
      <w:r w:rsidR="007654D8" w:rsidRPr="00E342DC">
        <w:rPr>
          <w:rFonts w:cs="Tahoma"/>
          <w:szCs w:val="20"/>
          <w:lang w:val="fr-CH"/>
        </w:rPr>
        <w:t>s</w:t>
      </w:r>
      <w:r w:rsidR="00250A2D" w:rsidRPr="00E342DC">
        <w:rPr>
          <w:rFonts w:cs="Tahoma"/>
          <w:szCs w:val="20"/>
          <w:lang w:val="fr-CH"/>
        </w:rPr>
        <w:t xml:space="preserve"> </w:t>
      </w:r>
      <w:r w:rsidR="007654D8" w:rsidRPr="00E342DC">
        <w:rPr>
          <w:rFonts w:cs="Tahoma"/>
          <w:szCs w:val="20"/>
          <w:lang w:val="fr-CH"/>
        </w:rPr>
        <w:t>ayant visés le musée du Bardo et une station balnéaire de Sousse, le Parlement tunisien a adopté</w:t>
      </w:r>
      <w:r w:rsidR="00C912B3" w:rsidRPr="00E342DC">
        <w:rPr>
          <w:rFonts w:cs="Tahoma"/>
          <w:szCs w:val="20"/>
          <w:lang w:val="fr-CH"/>
        </w:rPr>
        <w:t xml:space="preserve">, le 24 juillet 2015, </w:t>
      </w:r>
      <w:r w:rsidR="007654D8" w:rsidRPr="00E342DC">
        <w:rPr>
          <w:rFonts w:cs="Tahoma"/>
          <w:szCs w:val="20"/>
          <w:lang w:val="fr-CH"/>
        </w:rPr>
        <w:t xml:space="preserve">la </w:t>
      </w:r>
      <w:r w:rsidR="00BF513F">
        <w:rPr>
          <w:rFonts w:cs="Tahoma"/>
          <w:szCs w:val="20"/>
          <w:lang w:val="fr-CH"/>
        </w:rPr>
        <w:t>loi organique n°</w:t>
      </w:r>
      <w:r w:rsidR="00250A2D" w:rsidRPr="00E342DC">
        <w:rPr>
          <w:rFonts w:cs="Tahoma"/>
          <w:szCs w:val="20"/>
          <w:lang w:val="fr-CH"/>
        </w:rPr>
        <w:t>2</w:t>
      </w:r>
      <w:r w:rsidR="00A912A1" w:rsidRPr="00E342DC">
        <w:rPr>
          <w:rFonts w:cs="Tahoma"/>
          <w:szCs w:val="20"/>
          <w:lang w:val="fr-CH"/>
        </w:rPr>
        <w:t>6</w:t>
      </w:r>
      <w:r w:rsidR="00250A2D" w:rsidRPr="00E342DC">
        <w:rPr>
          <w:rFonts w:cs="Tahoma"/>
          <w:szCs w:val="20"/>
          <w:lang w:val="fr-CH"/>
        </w:rPr>
        <w:t>/2015 relative à la lutte contre le terrorisme et le blanchiment d’argent</w:t>
      </w:r>
      <w:r w:rsidR="00C912B3" w:rsidRPr="00E342DC">
        <w:rPr>
          <w:rFonts w:cs="Tahoma"/>
          <w:szCs w:val="20"/>
          <w:lang w:val="fr-CH"/>
        </w:rPr>
        <w:t xml:space="preserve">, loi dont les dispositions portent </w:t>
      </w:r>
      <w:r w:rsidR="00006D90" w:rsidRPr="00E342DC">
        <w:rPr>
          <w:rFonts w:cs="Tahoma"/>
          <w:szCs w:val="20"/>
          <w:lang w:val="fr-CH"/>
        </w:rPr>
        <w:t xml:space="preserve">atteinte aux droits fondamentaux des personnes </w:t>
      </w:r>
      <w:r w:rsidR="00C912B3" w:rsidRPr="00E342DC">
        <w:rPr>
          <w:rFonts w:cs="Tahoma"/>
          <w:szCs w:val="20"/>
          <w:lang w:val="fr-CH"/>
        </w:rPr>
        <w:t>arrêtées</w:t>
      </w:r>
      <w:r w:rsidR="00006D90" w:rsidRPr="00E342DC">
        <w:rPr>
          <w:rFonts w:cs="Tahoma"/>
          <w:szCs w:val="20"/>
          <w:lang w:val="fr-CH"/>
        </w:rPr>
        <w:t xml:space="preserve"> dans ce cadre</w:t>
      </w:r>
      <w:r w:rsidR="00250A2D" w:rsidRPr="00E342DC">
        <w:rPr>
          <w:rFonts w:cs="Tahoma"/>
          <w:szCs w:val="20"/>
          <w:lang w:val="fr-CH"/>
        </w:rPr>
        <w:t>. De plus, l’état d’urgence décrété après l’attentat du 24 novembre 2015 qui a</w:t>
      </w:r>
      <w:r w:rsidR="00006D90" w:rsidRPr="00E342DC">
        <w:rPr>
          <w:rFonts w:cs="Tahoma"/>
          <w:szCs w:val="20"/>
          <w:lang w:val="fr-CH"/>
        </w:rPr>
        <w:t>vait</w:t>
      </w:r>
      <w:r w:rsidR="00250A2D" w:rsidRPr="00E342DC">
        <w:rPr>
          <w:rFonts w:cs="Tahoma"/>
          <w:szCs w:val="20"/>
          <w:lang w:val="fr-CH"/>
        </w:rPr>
        <w:t xml:space="preserve"> visé un bus de la garde présidentielle, prolongé le 22 décembre pour deux mois supplémentaires,</w:t>
      </w:r>
      <w:r w:rsidR="00A912A1" w:rsidRPr="00E342DC">
        <w:rPr>
          <w:rFonts w:cs="Tahoma"/>
          <w:szCs w:val="20"/>
          <w:lang w:val="fr-CH"/>
        </w:rPr>
        <w:t xml:space="preserve"> et de trois mois supplémentaires à compter du 23 mars 2016, </w:t>
      </w:r>
      <w:r w:rsidR="00C16E23" w:rsidRPr="00E342DC">
        <w:rPr>
          <w:rFonts w:cs="Tahoma"/>
          <w:szCs w:val="20"/>
          <w:lang w:val="fr-CH"/>
        </w:rPr>
        <w:t xml:space="preserve">a </w:t>
      </w:r>
      <w:r w:rsidR="00A912A1" w:rsidRPr="00E342DC">
        <w:rPr>
          <w:rFonts w:cs="Tahoma"/>
          <w:szCs w:val="20"/>
          <w:lang w:val="fr-CH"/>
        </w:rPr>
        <w:t xml:space="preserve">octroyé </w:t>
      </w:r>
      <w:r w:rsidR="00250A2D" w:rsidRPr="00E342DC">
        <w:rPr>
          <w:rFonts w:cs="Tahoma"/>
          <w:szCs w:val="20"/>
          <w:lang w:val="fr-CH"/>
        </w:rPr>
        <w:t xml:space="preserve">des pouvoirs élargis aux forces de sécurité et aux brigades antiterroristes du ministère de l’intérieur. </w:t>
      </w:r>
      <w:r w:rsidR="00006D90" w:rsidRPr="00E342DC">
        <w:rPr>
          <w:rFonts w:cs="Tahoma"/>
          <w:szCs w:val="20"/>
          <w:lang w:val="fr-CH"/>
        </w:rPr>
        <w:t>Consciente de l</w:t>
      </w:r>
      <w:r w:rsidR="00C912B3" w:rsidRPr="00E342DC">
        <w:rPr>
          <w:rFonts w:cs="Tahoma"/>
          <w:szCs w:val="20"/>
          <w:lang w:val="fr-CH"/>
        </w:rPr>
        <w:t xml:space="preserve">’impératif de la </w:t>
      </w:r>
      <w:r w:rsidR="00006D90" w:rsidRPr="00E342DC">
        <w:rPr>
          <w:rFonts w:cs="Tahoma"/>
          <w:szCs w:val="20"/>
          <w:lang w:val="fr-CH"/>
        </w:rPr>
        <w:t xml:space="preserve">lutte contre le terrorisme, Alkarama souligne </w:t>
      </w:r>
      <w:r w:rsidR="00C912B3" w:rsidRPr="00E342DC">
        <w:rPr>
          <w:rFonts w:cs="Tahoma"/>
          <w:szCs w:val="20"/>
          <w:lang w:val="fr-CH"/>
        </w:rPr>
        <w:t xml:space="preserve">cependant </w:t>
      </w:r>
      <w:r w:rsidR="00006D90" w:rsidRPr="00E342DC">
        <w:rPr>
          <w:rFonts w:cs="Tahoma"/>
          <w:szCs w:val="20"/>
          <w:lang w:val="fr-CH"/>
        </w:rPr>
        <w:t>qu</w:t>
      </w:r>
      <w:r w:rsidR="00C912B3" w:rsidRPr="00E342DC">
        <w:rPr>
          <w:rFonts w:cs="Tahoma"/>
          <w:szCs w:val="20"/>
          <w:lang w:val="fr-CH"/>
        </w:rPr>
        <w:t>e celle-ci doit être basée sur le respect et la protection des</w:t>
      </w:r>
      <w:r w:rsidR="00006D90" w:rsidRPr="00E342DC">
        <w:rPr>
          <w:rFonts w:cs="Tahoma"/>
          <w:szCs w:val="20"/>
          <w:lang w:val="fr-CH"/>
        </w:rPr>
        <w:t xml:space="preserve"> droits et libertés fondamentales</w:t>
      </w:r>
      <w:r w:rsidR="00C912B3" w:rsidRPr="00E342DC">
        <w:rPr>
          <w:rFonts w:cs="Tahoma"/>
          <w:szCs w:val="20"/>
          <w:lang w:val="fr-CH"/>
        </w:rPr>
        <w:t>.</w:t>
      </w:r>
      <w:r w:rsidR="00006D90" w:rsidRPr="00E342DC">
        <w:rPr>
          <w:rFonts w:cs="Tahoma"/>
          <w:szCs w:val="20"/>
          <w:lang w:val="fr-CH"/>
        </w:rPr>
        <w:t xml:space="preserve"> </w:t>
      </w:r>
      <w:r w:rsidR="00F806FE" w:rsidRPr="00E342DC">
        <w:rPr>
          <w:rFonts w:cs="Tahoma"/>
          <w:szCs w:val="20"/>
          <w:lang w:val="fr-CH"/>
        </w:rPr>
        <w:t xml:space="preserve">L’adoption, le 2 février 2016 par l’Assemblée des Représentants du Peuple (ARP) du projet de loi n° 13/2013, amendant et complétant certaines dispositions du Code de procédure pénale, </w:t>
      </w:r>
      <w:r w:rsidR="00C912B3" w:rsidRPr="00E342DC">
        <w:rPr>
          <w:rFonts w:cs="Tahoma"/>
          <w:szCs w:val="20"/>
          <w:lang w:val="fr-CH"/>
        </w:rPr>
        <w:t xml:space="preserve">introduit certaines garanties pour les </w:t>
      </w:r>
      <w:r w:rsidR="00F806FE" w:rsidRPr="00E342DC">
        <w:rPr>
          <w:rFonts w:cs="Tahoma"/>
          <w:szCs w:val="20"/>
          <w:lang w:val="fr-CH"/>
        </w:rPr>
        <w:t>personnes détenues</w:t>
      </w:r>
      <w:r w:rsidR="00C912B3" w:rsidRPr="00E342DC">
        <w:rPr>
          <w:rFonts w:cs="Tahoma"/>
          <w:szCs w:val="20"/>
          <w:lang w:val="fr-CH"/>
        </w:rPr>
        <w:t xml:space="preserve">, à l’exclusion </w:t>
      </w:r>
      <w:r w:rsidR="00A912A1" w:rsidRPr="00E342DC">
        <w:rPr>
          <w:rFonts w:cs="Tahoma"/>
          <w:szCs w:val="20"/>
          <w:lang w:val="fr-CH"/>
        </w:rPr>
        <w:t xml:space="preserve">notable </w:t>
      </w:r>
      <w:r w:rsidR="00C912B3" w:rsidRPr="00E342DC">
        <w:rPr>
          <w:rFonts w:cs="Tahoma"/>
          <w:szCs w:val="20"/>
          <w:lang w:val="fr-CH"/>
        </w:rPr>
        <w:t>des personnes suspectées de terrorisme</w:t>
      </w:r>
      <w:r w:rsidR="00F806FE" w:rsidRPr="00E342DC">
        <w:rPr>
          <w:rFonts w:cs="Tahoma"/>
          <w:szCs w:val="20"/>
          <w:lang w:val="fr-CH"/>
        </w:rPr>
        <w:t xml:space="preserve">. </w:t>
      </w:r>
    </w:p>
    <w:p w:rsidR="00006D90" w:rsidRPr="00E342DC" w:rsidRDefault="00006D90" w:rsidP="00DA0ABA">
      <w:pPr>
        <w:rPr>
          <w:rFonts w:cs="Tahoma"/>
          <w:szCs w:val="20"/>
          <w:lang w:val="fr-CH"/>
        </w:rPr>
      </w:pPr>
    </w:p>
    <w:p w:rsidR="00457E0B" w:rsidRPr="00E342DC" w:rsidRDefault="0043591E" w:rsidP="00A912A1">
      <w:pPr>
        <w:rPr>
          <w:rFonts w:cs="Tahoma"/>
          <w:szCs w:val="20"/>
          <w:lang w:val="fr-CH"/>
        </w:rPr>
      </w:pPr>
      <w:r w:rsidRPr="00E342DC">
        <w:rPr>
          <w:rFonts w:cs="Tahoma"/>
          <w:szCs w:val="20"/>
          <w:lang w:val="fr-CH"/>
        </w:rPr>
        <w:t xml:space="preserve">Le processus transitionnel n’a pas été accompagné d’une </w:t>
      </w:r>
      <w:r w:rsidR="007654D8" w:rsidRPr="00E342DC">
        <w:rPr>
          <w:rFonts w:cs="Tahoma"/>
          <w:szCs w:val="20"/>
          <w:lang w:val="fr-CH"/>
        </w:rPr>
        <w:t>réforme du système sécuritaire</w:t>
      </w:r>
      <w:r w:rsidRPr="00E342DC">
        <w:rPr>
          <w:rFonts w:cs="Tahoma"/>
          <w:szCs w:val="20"/>
          <w:lang w:val="fr-CH"/>
        </w:rPr>
        <w:t xml:space="preserve"> qui </w:t>
      </w:r>
      <w:r w:rsidR="0032152D" w:rsidRPr="00E342DC">
        <w:rPr>
          <w:rFonts w:cs="Tahoma"/>
          <w:szCs w:val="20"/>
          <w:lang w:val="fr-CH"/>
        </w:rPr>
        <w:t>aurait permis</w:t>
      </w:r>
      <w:r w:rsidR="00C912B3" w:rsidRPr="00E342DC">
        <w:rPr>
          <w:rFonts w:cs="Tahoma"/>
          <w:szCs w:val="20"/>
          <w:lang w:val="fr-CH"/>
        </w:rPr>
        <w:t xml:space="preserve"> </w:t>
      </w:r>
      <w:r w:rsidRPr="00E342DC">
        <w:rPr>
          <w:rFonts w:cs="Tahoma"/>
          <w:szCs w:val="20"/>
          <w:lang w:val="fr-CH"/>
        </w:rPr>
        <w:t>d’as</w:t>
      </w:r>
      <w:r w:rsidR="00C912B3" w:rsidRPr="00E342DC">
        <w:rPr>
          <w:rFonts w:cs="Tahoma"/>
          <w:szCs w:val="20"/>
          <w:lang w:val="fr-CH"/>
        </w:rPr>
        <w:t>surer</w:t>
      </w:r>
      <w:r w:rsidRPr="00E342DC">
        <w:rPr>
          <w:rFonts w:cs="Tahoma"/>
          <w:szCs w:val="20"/>
          <w:lang w:val="fr-CH"/>
        </w:rPr>
        <w:t xml:space="preserve"> la non-répétition des violations du passé</w:t>
      </w:r>
      <w:r w:rsidR="007654D8" w:rsidRPr="00E342DC">
        <w:rPr>
          <w:rFonts w:cs="Tahoma"/>
          <w:szCs w:val="20"/>
          <w:lang w:val="fr-CH"/>
        </w:rPr>
        <w:t xml:space="preserve">. Cette </w:t>
      </w:r>
      <w:r w:rsidR="0032152D" w:rsidRPr="00E342DC">
        <w:rPr>
          <w:rFonts w:cs="Tahoma"/>
          <w:szCs w:val="20"/>
          <w:lang w:val="fr-CH"/>
        </w:rPr>
        <w:t>carence</w:t>
      </w:r>
      <w:r w:rsidR="007654D8" w:rsidRPr="00E342DC">
        <w:rPr>
          <w:rFonts w:cs="Tahoma"/>
          <w:szCs w:val="20"/>
          <w:lang w:val="fr-CH"/>
        </w:rPr>
        <w:t xml:space="preserve"> a favorisé </w:t>
      </w:r>
      <w:r w:rsidRPr="00E342DC">
        <w:rPr>
          <w:rFonts w:cs="Tahoma"/>
          <w:szCs w:val="20"/>
          <w:lang w:val="fr-CH"/>
        </w:rPr>
        <w:t>un</w:t>
      </w:r>
      <w:r w:rsidR="007654D8" w:rsidRPr="00E342DC">
        <w:rPr>
          <w:rFonts w:cs="Tahoma"/>
          <w:szCs w:val="20"/>
          <w:lang w:val="fr-CH"/>
        </w:rPr>
        <w:t xml:space="preserve"> retour </w:t>
      </w:r>
      <w:r w:rsidR="00A912A1" w:rsidRPr="00E342DC">
        <w:rPr>
          <w:rFonts w:cs="Tahoma"/>
          <w:szCs w:val="20"/>
          <w:lang w:val="fr-CH"/>
        </w:rPr>
        <w:t xml:space="preserve">de ces violations </w:t>
      </w:r>
      <w:r w:rsidR="007654D8" w:rsidRPr="00E342DC">
        <w:rPr>
          <w:rFonts w:cs="Tahoma"/>
          <w:szCs w:val="20"/>
          <w:lang w:val="fr-CH"/>
        </w:rPr>
        <w:t xml:space="preserve">telles que les arrestations arbitraires, la torture et les violences policières </w:t>
      </w:r>
      <w:r w:rsidR="0032152D" w:rsidRPr="00E342DC">
        <w:rPr>
          <w:rFonts w:cs="Tahoma"/>
          <w:szCs w:val="20"/>
          <w:lang w:val="fr-CH"/>
        </w:rPr>
        <w:t>particulièrement</w:t>
      </w:r>
      <w:r w:rsidRPr="00E342DC">
        <w:rPr>
          <w:rFonts w:cs="Tahoma"/>
          <w:szCs w:val="20"/>
          <w:lang w:val="fr-CH"/>
        </w:rPr>
        <w:t xml:space="preserve"> dans le cadre des affaires liées au contre-terrorisme</w:t>
      </w:r>
      <w:r w:rsidR="00767352" w:rsidRPr="00E342DC">
        <w:rPr>
          <w:rFonts w:cs="Tahoma"/>
          <w:szCs w:val="20"/>
          <w:lang w:val="fr-CH"/>
        </w:rPr>
        <w:t>.</w:t>
      </w:r>
    </w:p>
    <w:p w:rsidR="00A912A1" w:rsidRPr="00E342DC" w:rsidRDefault="00A912A1" w:rsidP="00DA0ABA">
      <w:pPr>
        <w:rPr>
          <w:rFonts w:cs="Tahoma"/>
          <w:szCs w:val="20"/>
          <w:lang w:val="fr-CH"/>
        </w:rPr>
      </w:pPr>
    </w:p>
    <w:p w:rsidR="00250A2D" w:rsidRPr="00E342DC" w:rsidRDefault="00B829A3" w:rsidP="0070261E">
      <w:pPr>
        <w:rPr>
          <w:rFonts w:cs="Tahoma"/>
          <w:szCs w:val="20"/>
          <w:lang w:val="fr-CH"/>
        </w:rPr>
      </w:pPr>
      <w:r w:rsidRPr="00E342DC">
        <w:rPr>
          <w:rFonts w:cs="Tahoma"/>
          <w:szCs w:val="20"/>
          <w:lang w:val="fr-CH"/>
        </w:rPr>
        <w:t xml:space="preserve">Alkarama a pris connaissance avec intérêt </w:t>
      </w:r>
      <w:r w:rsidR="00C16E23" w:rsidRPr="00E342DC">
        <w:rPr>
          <w:rFonts w:cs="Tahoma"/>
          <w:szCs w:val="20"/>
          <w:lang w:val="fr-CH"/>
        </w:rPr>
        <w:t>des</w:t>
      </w:r>
      <w:r w:rsidRPr="00E342DC">
        <w:rPr>
          <w:rFonts w:cs="Tahoma"/>
          <w:szCs w:val="20"/>
          <w:lang w:val="fr-CH"/>
        </w:rPr>
        <w:t xml:space="preserve"> éléments additionnels</w:t>
      </w:r>
      <w:r w:rsidR="00C16E23" w:rsidRPr="00E342DC">
        <w:rPr>
          <w:rFonts w:cs="Tahoma"/>
          <w:szCs w:val="20"/>
          <w:lang w:val="fr-CH"/>
        </w:rPr>
        <w:t xml:space="preserve"> contenus </w:t>
      </w:r>
      <w:r w:rsidR="004A1876" w:rsidRPr="00E342DC">
        <w:rPr>
          <w:rFonts w:cs="Tahoma"/>
          <w:szCs w:val="20"/>
          <w:lang w:val="fr-CH"/>
        </w:rPr>
        <w:t>dans l</w:t>
      </w:r>
      <w:r w:rsidR="00CA65A1" w:rsidRPr="00E342DC">
        <w:rPr>
          <w:rFonts w:cs="Tahoma"/>
          <w:szCs w:val="20"/>
          <w:lang w:val="fr-CH"/>
        </w:rPr>
        <w:t>e rapport complémentaire</w:t>
      </w:r>
      <w:r w:rsidR="004A1876" w:rsidRPr="00E342DC">
        <w:rPr>
          <w:rFonts w:cs="Tahoma"/>
          <w:szCs w:val="20"/>
          <w:lang w:val="fr-CH"/>
        </w:rPr>
        <w:t xml:space="preserve"> au d</w:t>
      </w:r>
      <w:r w:rsidR="0097034D" w:rsidRPr="00E342DC">
        <w:rPr>
          <w:rFonts w:cs="Tahoma"/>
          <w:szCs w:val="20"/>
          <w:lang w:val="fr-CH"/>
        </w:rPr>
        <w:t>euxième rapport de la Tunisie soumis au</w:t>
      </w:r>
      <w:r w:rsidR="004A1876" w:rsidRPr="00E342DC">
        <w:rPr>
          <w:rFonts w:cs="Tahoma"/>
          <w:szCs w:val="20"/>
          <w:lang w:val="fr-CH"/>
        </w:rPr>
        <w:t xml:space="preserve"> Comité contre la torture </w:t>
      </w:r>
      <w:r w:rsidR="00B46EAB" w:rsidRPr="00E342DC">
        <w:rPr>
          <w:rFonts w:cs="Tahoma"/>
          <w:szCs w:val="20"/>
          <w:lang w:val="fr-CH"/>
        </w:rPr>
        <w:t>soumis le</w:t>
      </w:r>
      <w:r w:rsidR="00917744" w:rsidRPr="00E342DC">
        <w:rPr>
          <w:rFonts w:cs="Tahoma"/>
          <w:szCs w:val="20"/>
          <w:lang w:val="fr-CH"/>
        </w:rPr>
        <w:t xml:space="preserve"> 13 octobre 2014 </w:t>
      </w:r>
      <w:r w:rsidR="00A912A1" w:rsidRPr="00E342DC">
        <w:rPr>
          <w:rFonts w:cs="Tahoma"/>
          <w:szCs w:val="20"/>
          <w:lang w:val="fr-CH"/>
        </w:rPr>
        <w:t xml:space="preserve">ainsi que des éléments de réponses à la liste de questions du Comité du 8 février 2016, </w:t>
      </w:r>
      <w:r w:rsidRPr="00E342DC">
        <w:rPr>
          <w:rFonts w:cs="Tahoma"/>
          <w:szCs w:val="20"/>
          <w:lang w:val="fr-CH"/>
        </w:rPr>
        <w:t>tout en regrettant</w:t>
      </w:r>
      <w:r w:rsidR="0032152D" w:rsidRPr="00E342DC">
        <w:rPr>
          <w:rFonts w:cs="Tahoma"/>
          <w:szCs w:val="20"/>
          <w:lang w:val="fr-CH"/>
        </w:rPr>
        <w:t xml:space="preserve"> </w:t>
      </w:r>
      <w:r w:rsidRPr="00E342DC">
        <w:rPr>
          <w:rFonts w:cs="Tahoma"/>
          <w:szCs w:val="20"/>
          <w:lang w:val="fr-CH"/>
        </w:rPr>
        <w:t>leur</w:t>
      </w:r>
      <w:r w:rsidR="0070261E" w:rsidRPr="00E342DC">
        <w:rPr>
          <w:rFonts w:cs="Tahoma"/>
          <w:szCs w:val="20"/>
          <w:lang w:val="fr-CH"/>
        </w:rPr>
        <w:t>s</w:t>
      </w:r>
      <w:r w:rsidRPr="00E342DC">
        <w:rPr>
          <w:rFonts w:cs="Tahoma"/>
          <w:szCs w:val="20"/>
          <w:lang w:val="fr-CH"/>
        </w:rPr>
        <w:t xml:space="preserve"> caractère</w:t>
      </w:r>
      <w:r w:rsidR="0070261E" w:rsidRPr="00E342DC">
        <w:rPr>
          <w:rFonts w:cs="Tahoma"/>
          <w:szCs w:val="20"/>
          <w:lang w:val="fr-CH"/>
        </w:rPr>
        <w:t>s</w:t>
      </w:r>
      <w:r w:rsidRPr="00E342DC">
        <w:rPr>
          <w:rFonts w:cs="Tahoma"/>
          <w:szCs w:val="20"/>
          <w:lang w:val="fr-CH"/>
        </w:rPr>
        <w:t xml:space="preserve"> théorique</w:t>
      </w:r>
      <w:r w:rsidR="0070261E" w:rsidRPr="00E342DC">
        <w:rPr>
          <w:rFonts w:cs="Tahoma"/>
          <w:szCs w:val="20"/>
          <w:lang w:val="fr-CH"/>
        </w:rPr>
        <w:t>s</w:t>
      </w:r>
      <w:r w:rsidRPr="00E342DC">
        <w:rPr>
          <w:rFonts w:cs="Tahoma"/>
          <w:szCs w:val="20"/>
          <w:lang w:val="fr-CH"/>
        </w:rPr>
        <w:t xml:space="preserve">, </w:t>
      </w:r>
      <w:r w:rsidR="0070261E" w:rsidRPr="00E342DC">
        <w:rPr>
          <w:rFonts w:cs="Tahoma"/>
          <w:szCs w:val="20"/>
          <w:lang w:val="fr-CH"/>
        </w:rPr>
        <w:t>ces</w:t>
      </w:r>
      <w:r w:rsidRPr="00E342DC">
        <w:rPr>
          <w:rFonts w:cs="Tahoma"/>
          <w:szCs w:val="20"/>
          <w:lang w:val="fr-CH"/>
        </w:rPr>
        <w:t xml:space="preserve"> </w:t>
      </w:r>
      <w:r w:rsidR="0070261E" w:rsidRPr="00E342DC">
        <w:rPr>
          <w:rFonts w:cs="Tahoma"/>
          <w:szCs w:val="20"/>
          <w:lang w:val="fr-CH"/>
        </w:rPr>
        <w:t xml:space="preserve">documents se </w:t>
      </w:r>
      <w:r w:rsidRPr="00E342DC">
        <w:rPr>
          <w:rFonts w:cs="Tahoma"/>
          <w:szCs w:val="20"/>
          <w:lang w:val="fr-CH"/>
        </w:rPr>
        <w:t>contentant essentiellement de passer en revue la législation interne sans considérer les questions pratiques</w:t>
      </w:r>
      <w:r w:rsidR="0070261E" w:rsidRPr="00E342DC">
        <w:rPr>
          <w:rFonts w:cs="Tahoma"/>
          <w:szCs w:val="20"/>
          <w:lang w:val="fr-CH"/>
        </w:rPr>
        <w:t xml:space="preserve"> et l’ensemble des cas présentés et sans</w:t>
      </w:r>
      <w:r w:rsidR="00BF513F">
        <w:rPr>
          <w:rFonts w:cs="Tahoma"/>
          <w:szCs w:val="20"/>
          <w:lang w:val="fr-CH"/>
        </w:rPr>
        <w:t xml:space="preserve"> </w:t>
      </w:r>
      <w:r w:rsidR="0070261E" w:rsidRPr="00E342DC">
        <w:rPr>
          <w:rFonts w:cs="Tahoma"/>
          <w:szCs w:val="20"/>
          <w:lang w:val="fr-CH"/>
        </w:rPr>
        <w:t>apporter d’éléments concerts indiquant l’état effectif actuel de</w:t>
      </w:r>
      <w:r w:rsidRPr="00E342DC">
        <w:rPr>
          <w:rFonts w:cs="Tahoma"/>
          <w:szCs w:val="20"/>
          <w:lang w:val="fr-CH"/>
        </w:rPr>
        <w:t xml:space="preserve"> la mise en œuvre des dispositions de la Convention.</w:t>
      </w:r>
      <w:r w:rsidR="003C6ABB" w:rsidRPr="00E342DC">
        <w:rPr>
          <w:rFonts w:cs="Tahoma"/>
          <w:szCs w:val="20"/>
          <w:lang w:val="fr-CH"/>
        </w:rPr>
        <w:t xml:space="preserve"> S’il est essentiel de procéder à des réformes législatives afin de garantir le respect des droits et des libertés fondamentales, la finalité de la loi reste de réguler la pratique par</w:t>
      </w:r>
      <w:r w:rsidR="0032152D" w:rsidRPr="00E342DC">
        <w:rPr>
          <w:rFonts w:cs="Tahoma"/>
          <w:szCs w:val="20"/>
          <w:lang w:val="fr-CH"/>
        </w:rPr>
        <w:t xml:space="preserve"> </w:t>
      </w:r>
      <w:r w:rsidR="003C6ABB" w:rsidRPr="00E342DC">
        <w:rPr>
          <w:rFonts w:cs="Tahoma"/>
          <w:szCs w:val="20"/>
          <w:lang w:val="fr-CH"/>
        </w:rPr>
        <w:t>sa mise en œuvre effective.</w:t>
      </w:r>
    </w:p>
    <w:p w:rsidR="0043591E" w:rsidRPr="00E342DC" w:rsidRDefault="0043591E" w:rsidP="00DA0ABA">
      <w:pPr>
        <w:rPr>
          <w:rFonts w:cs="Tahoma"/>
          <w:szCs w:val="20"/>
          <w:lang w:val="fr-CH"/>
        </w:rPr>
      </w:pPr>
    </w:p>
    <w:p w:rsidR="0032152D" w:rsidRPr="00E342DC" w:rsidRDefault="0032152D" w:rsidP="00DA0ABA">
      <w:pPr>
        <w:rPr>
          <w:rFonts w:cs="Tahoma"/>
          <w:szCs w:val="20"/>
          <w:lang w:val="fr-CH"/>
        </w:rPr>
      </w:pPr>
    </w:p>
    <w:p w:rsidR="0032152D" w:rsidRPr="00E342DC" w:rsidRDefault="0032152D" w:rsidP="00DA0ABA">
      <w:pPr>
        <w:rPr>
          <w:rFonts w:cs="Tahoma"/>
          <w:szCs w:val="20"/>
          <w:lang w:val="fr-CH"/>
        </w:rPr>
      </w:pPr>
    </w:p>
    <w:p w:rsidR="0032152D" w:rsidRPr="00E342DC" w:rsidRDefault="0032152D" w:rsidP="00DA0ABA">
      <w:pPr>
        <w:rPr>
          <w:rFonts w:cs="Tahoma"/>
          <w:szCs w:val="20"/>
          <w:lang w:val="fr-CH"/>
        </w:rPr>
      </w:pPr>
    </w:p>
    <w:p w:rsidR="0032152D" w:rsidRPr="00E342DC" w:rsidRDefault="0032152D" w:rsidP="00DA0ABA">
      <w:pPr>
        <w:rPr>
          <w:rFonts w:cs="Tahoma"/>
          <w:szCs w:val="20"/>
          <w:lang w:val="fr-CH"/>
        </w:rPr>
      </w:pPr>
    </w:p>
    <w:p w:rsidR="0032152D" w:rsidRPr="00E342DC" w:rsidRDefault="0032152D" w:rsidP="00DA0ABA">
      <w:pPr>
        <w:rPr>
          <w:rFonts w:cs="Tahoma"/>
          <w:szCs w:val="20"/>
          <w:lang w:val="fr-CH"/>
        </w:rPr>
      </w:pPr>
    </w:p>
    <w:p w:rsidR="00035E42" w:rsidRPr="00E342DC" w:rsidRDefault="00A87BD4" w:rsidP="00DA0ABA">
      <w:pPr>
        <w:pStyle w:val="Heading1"/>
        <w:rPr>
          <w:rFonts w:cs="Tahoma"/>
          <w:lang w:val="fr-CH"/>
        </w:rPr>
      </w:pPr>
      <w:bookmarkStart w:id="2" w:name="_Toc447008710"/>
      <w:r w:rsidRPr="00E342DC">
        <w:rPr>
          <w:rFonts w:cs="Tahoma"/>
          <w:lang w:val="fr-CH"/>
        </w:rPr>
        <w:t>Cadre légal</w:t>
      </w:r>
      <w:r w:rsidR="00E5228A" w:rsidRPr="00E342DC">
        <w:rPr>
          <w:rFonts w:cs="Tahoma"/>
          <w:lang w:val="fr-CH"/>
        </w:rPr>
        <w:t xml:space="preserve"> : </w:t>
      </w:r>
      <w:r w:rsidR="0076295B" w:rsidRPr="00E342DC">
        <w:rPr>
          <w:rFonts w:cs="Tahoma"/>
          <w:lang w:val="fr-CH"/>
        </w:rPr>
        <w:t>définition et</w:t>
      </w:r>
      <w:r w:rsidR="003D51ED" w:rsidRPr="00E342DC">
        <w:rPr>
          <w:rFonts w:cs="Tahoma"/>
          <w:lang w:val="fr-CH"/>
        </w:rPr>
        <w:t xml:space="preserve"> incrimination</w:t>
      </w:r>
      <w:bookmarkEnd w:id="2"/>
    </w:p>
    <w:p w:rsidR="00003DE7" w:rsidRPr="00E342DC" w:rsidRDefault="00003DE7" w:rsidP="00DA0ABA">
      <w:pPr>
        <w:rPr>
          <w:rFonts w:cs="Tahoma"/>
          <w:szCs w:val="20"/>
          <w:lang w:val="fr-CH" w:eastAsia="fr-FR"/>
        </w:rPr>
      </w:pPr>
    </w:p>
    <w:p w:rsidR="00A673AE" w:rsidRPr="00E342DC" w:rsidRDefault="00A673AE" w:rsidP="00DA0ABA">
      <w:pPr>
        <w:pStyle w:val="Heading2"/>
        <w:numPr>
          <w:ilvl w:val="1"/>
          <w:numId w:val="6"/>
        </w:numPr>
        <w:rPr>
          <w:rFonts w:cs="Tahoma"/>
          <w:szCs w:val="20"/>
          <w:lang w:val="fr-CH" w:eastAsia="fr-FR"/>
        </w:rPr>
      </w:pPr>
      <w:bookmarkStart w:id="3" w:name="_Toc447008711"/>
      <w:r w:rsidRPr="00E342DC">
        <w:rPr>
          <w:rFonts w:cs="Tahoma"/>
          <w:szCs w:val="20"/>
          <w:lang w:val="fr-CH" w:eastAsia="fr-FR"/>
        </w:rPr>
        <w:t>Définition du crime de torture</w:t>
      </w:r>
      <w:bookmarkEnd w:id="3"/>
      <w:r w:rsidRPr="00E342DC">
        <w:rPr>
          <w:rFonts w:cs="Tahoma"/>
          <w:szCs w:val="20"/>
          <w:lang w:val="fr-CH" w:eastAsia="fr-FR"/>
        </w:rPr>
        <w:t xml:space="preserve"> </w:t>
      </w:r>
    </w:p>
    <w:p w:rsidR="0032152D" w:rsidRPr="00E342DC" w:rsidRDefault="0032152D" w:rsidP="00DA0ABA">
      <w:pPr>
        <w:rPr>
          <w:rFonts w:cs="Tahoma"/>
          <w:color w:val="000000"/>
          <w:szCs w:val="20"/>
          <w:lang w:val="fr-CH"/>
        </w:rPr>
      </w:pPr>
    </w:p>
    <w:p w:rsidR="00132435" w:rsidRPr="00E342DC" w:rsidRDefault="00132435" w:rsidP="0070261E">
      <w:pPr>
        <w:rPr>
          <w:rFonts w:cs="Tahoma"/>
          <w:color w:val="000000"/>
          <w:szCs w:val="20"/>
          <w:lang w:val="fr-CH"/>
        </w:rPr>
      </w:pPr>
      <w:r w:rsidRPr="00E342DC">
        <w:rPr>
          <w:rFonts w:cs="Tahoma"/>
          <w:color w:val="000000"/>
          <w:szCs w:val="20"/>
          <w:lang w:val="fr-CH"/>
        </w:rPr>
        <w:t>L’</w:t>
      </w:r>
      <w:r w:rsidR="0070261E" w:rsidRPr="00E342DC">
        <w:rPr>
          <w:rFonts w:cs="Tahoma"/>
          <w:color w:val="000000"/>
          <w:szCs w:val="20"/>
          <w:lang w:val="fr-CH"/>
        </w:rPr>
        <w:t>État</w:t>
      </w:r>
      <w:r w:rsidRPr="00E342DC">
        <w:rPr>
          <w:rFonts w:cs="Tahoma"/>
          <w:color w:val="000000"/>
          <w:szCs w:val="20"/>
          <w:lang w:val="fr-CH"/>
        </w:rPr>
        <w:t xml:space="preserve"> partie doit ériger la torture en infraction «telle que définie dans la Convention</w:t>
      </w:r>
      <w:r w:rsidR="0070261E" w:rsidRPr="00E342DC">
        <w:rPr>
          <w:rFonts w:cs="Tahoma"/>
          <w:color w:val="000000"/>
          <w:szCs w:val="20"/>
          <w:lang w:val="fr-CH"/>
        </w:rPr>
        <w:t> »</w:t>
      </w:r>
      <w:r w:rsidRPr="00E342DC">
        <w:rPr>
          <w:rFonts w:cs="Tahoma"/>
          <w:color w:val="000000"/>
          <w:szCs w:val="20"/>
          <w:vertAlign w:val="superscript"/>
          <w:lang w:val="fr-CH"/>
        </w:rPr>
        <w:footnoteReference w:id="2"/>
      </w:r>
      <w:r w:rsidR="0070261E" w:rsidRPr="00E342DC">
        <w:rPr>
          <w:rFonts w:cs="Tahoma"/>
          <w:color w:val="000000"/>
          <w:szCs w:val="20"/>
          <w:lang w:val="fr-CH"/>
        </w:rPr>
        <w:t xml:space="preserve">. </w:t>
      </w:r>
      <w:r w:rsidRPr="00E342DC">
        <w:rPr>
          <w:rFonts w:cs="Tahoma"/>
          <w:color w:val="000000"/>
          <w:szCs w:val="20"/>
          <w:lang w:val="fr-CH"/>
        </w:rPr>
        <w:t xml:space="preserve">Dans son Observation générale N°2 sur la manière d’adopter des mesures efficaces pour prévenir la torture, le Comité a affirmé que les États devaient élaborer leur législation nationale «en se </w:t>
      </w:r>
      <w:proofErr w:type="gramStart"/>
      <w:r w:rsidRPr="00E342DC">
        <w:rPr>
          <w:rFonts w:cs="Tahoma"/>
          <w:color w:val="000000"/>
          <w:szCs w:val="20"/>
          <w:lang w:val="fr-CH"/>
        </w:rPr>
        <w:t>fond[</w:t>
      </w:r>
      <w:proofErr w:type="gramEnd"/>
      <w:r w:rsidRPr="00E342DC">
        <w:rPr>
          <w:rFonts w:cs="Tahoma"/>
          <w:color w:val="000000"/>
          <w:szCs w:val="20"/>
          <w:lang w:val="fr-CH"/>
        </w:rPr>
        <w:t>ant] à tout le moins sur la définition de la torture figurant à l’article premier de la Convention</w:t>
      </w:r>
      <w:r w:rsidR="0070261E" w:rsidRPr="00E342DC">
        <w:rPr>
          <w:rFonts w:cs="Tahoma"/>
          <w:color w:val="000000"/>
          <w:szCs w:val="20"/>
          <w:lang w:val="fr-CH"/>
        </w:rPr>
        <w:t> »</w:t>
      </w:r>
      <w:r w:rsidRPr="00E342DC">
        <w:rPr>
          <w:rFonts w:cs="Tahoma"/>
          <w:color w:val="000000"/>
          <w:szCs w:val="20"/>
          <w:vertAlign w:val="superscript"/>
        </w:rPr>
        <w:footnoteReference w:id="3"/>
      </w:r>
      <w:r w:rsidRPr="00E342DC">
        <w:rPr>
          <w:rFonts w:cs="Tahoma"/>
          <w:color w:val="000000"/>
          <w:szCs w:val="20"/>
          <w:lang w:val="fr-CH"/>
        </w:rPr>
        <w:t>.</w:t>
      </w:r>
    </w:p>
    <w:p w:rsidR="00132435" w:rsidRPr="00E342DC" w:rsidRDefault="00132435" w:rsidP="00DA0ABA">
      <w:pPr>
        <w:rPr>
          <w:rFonts w:cs="Tahoma"/>
          <w:szCs w:val="20"/>
          <w:lang w:val="fr-CH"/>
        </w:rPr>
      </w:pPr>
    </w:p>
    <w:p w:rsidR="00C554B1" w:rsidRPr="00E342DC" w:rsidRDefault="00397D3E" w:rsidP="0070261E">
      <w:pPr>
        <w:rPr>
          <w:rFonts w:cs="Tahoma"/>
          <w:color w:val="000000"/>
          <w:szCs w:val="20"/>
          <w:lang w:val="fr-CH"/>
        </w:rPr>
      </w:pPr>
      <w:r w:rsidRPr="00E342DC">
        <w:rPr>
          <w:rFonts w:cs="Tahoma"/>
          <w:szCs w:val="20"/>
          <w:lang w:val="fr-CH" w:eastAsia="fr-FR"/>
        </w:rPr>
        <w:t xml:space="preserve">La torture </w:t>
      </w:r>
      <w:r w:rsidR="0032152D" w:rsidRPr="00E342DC">
        <w:rPr>
          <w:rFonts w:cs="Tahoma"/>
          <w:szCs w:val="20"/>
          <w:lang w:val="fr-CH" w:eastAsia="fr-FR"/>
        </w:rPr>
        <w:t xml:space="preserve">est définie </w:t>
      </w:r>
      <w:r w:rsidRPr="00E342DC">
        <w:rPr>
          <w:rFonts w:cs="Tahoma"/>
          <w:szCs w:val="20"/>
          <w:lang w:val="fr-CH" w:eastAsia="fr-FR"/>
        </w:rPr>
        <w:t xml:space="preserve">en tant que crime spécifique dans le Code pénal tunisien depuis 1999, à la suite </w:t>
      </w:r>
      <w:r w:rsidR="00560DDF" w:rsidRPr="00E342DC">
        <w:rPr>
          <w:rFonts w:cs="Tahoma"/>
          <w:color w:val="000000"/>
          <w:szCs w:val="20"/>
          <w:lang w:val="fr-CH"/>
        </w:rPr>
        <w:t>l’introduction de l’article 101</w:t>
      </w:r>
      <w:r w:rsidR="005D6AF7" w:rsidRPr="00E342DC">
        <w:rPr>
          <w:rFonts w:cs="Tahoma"/>
          <w:color w:val="000000"/>
          <w:szCs w:val="20"/>
          <w:lang w:val="fr-CH"/>
        </w:rPr>
        <w:t xml:space="preserve"> </w:t>
      </w:r>
      <w:r w:rsidR="00EB0C37" w:rsidRPr="00E342DC">
        <w:rPr>
          <w:rFonts w:cs="Tahoma"/>
          <w:i/>
          <w:iCs/>
          <w:color w:val="000000"/>
          <w:szCs w:val="20"/>
          <w:lang w:val="fr-CH"/>
        </w:rPr>
        <w:t>bis</w:t>
      </w:r>
      <w:r w:rsidR="00EB0C37" w:rsidRPr="00E342DC">
        <w:rPr>
          <w:rFonts w:cs="Tahoma"/>
          <w:color w:val="000000"/>
          <w:szCs w:val="20"/>
          <w:lang w:val="fr-CH"/>
        </w:rPr>
        <w:t xml:space="preserve"> qui criminalise la torture </w:t>
      </w:r>
      <w:r w:rsidR="0070261E" w:rsidRPr="00E342DC">
        <w:rPr>
          <w:rFonts w:cs="Tahoma"/>
          <w:color w:val="000000"/>
          <w:szCs w:val="20"/>
          <w:lang w:val="fr-CH"/>
        </w:rPr>
        <w:t>de manière autonome</w:t>
      </w:r>
      <w:r w:rsidR="00EB0C37" w:rsidRPr="00E342DC">
        <w:rPr>
          <w:rFonts w:cs="Tahoma"/>
          <w:color w:val="000000"/>
          <w:szCs w:val="20"/>
          <w:lang w:val="fr-CH"/>
        </w:rPr>
        <w:t xml:space="preserve">. </w:t>
      </w:r>
      <w:r w:rsidR="00892553" w:rsidRPr="00E342DC">
        <w:rPr>
          <w:rFonts w:cs="Tahoma"/>
          <w:color w:val="000000"/>
          <w:szCs w:val="20"/>
          <w:lang w:val="fr-CH"/>
        </w:rPr>
        <w:t xml:space="preserve">Cet </w:t>
      </w:r>
      <w:r w:rsidR="00EB0C37" w:rsidRPr="00E342DC">
        <w:rPr>
          <w:rFonts w:cs="Tahoma"/>
          <w:color w:val="000000"/>
          <w:szCs w:val="20"/>
          <w:lang w:val="fr-CH"/>
        </w:rPr>
        <w:t xml:space="preserve">article </w:t>
      </w:r>
      <w:r w:rsidR="00EB0C37" w:rsidRPr="00E342DC">
        <w:rPr>
          <w:rFonts w:cs="Tahoma"/>
          <w:szCs w:val="20"/>
          <w:lang w:val="fr-CH" w:eastAsia="fr-FR"/>
        </w:rPr>
        <w:t>a été amendé par le</w:t>
      </w:r>
      <w:r w:rsidR="00BF0083" w:rsidRPr="00E342DC">
        <w:rPr>
          <w:rFonts w:cs="Tahoma"/>
          <w:szCs w:val="20"/>
          <w:lang w:val="fr-CH" w:eastAsia="fr-FR"/>
        </w:rPr>
        <w:t xml:space="preserve"> décret-loi n°</w:t>
      </w:r>
      <w:r w:rsidR="00D12023" w:rsidRPr="00E342DC">
        <w:rPr>
          <w:rFonts w:cs="Tahoma"/>
          <w:szCs w:val="20"/>
          <w:lang w:val="fr-CH" w:eastAsia="fr-FR"/>
        </w:rPr>
        <w:t xml:space="preserve"> 2011/</w:t>
      </w:r>
      <w:r w:rsidR="00BF0083" w:rsidRPr="00E342DC">
        <w:rPr>
          <w:rFonts w:cs="Tahoma"/>
          <w:szCs w:val="20"/>
          <w:lang w:val="fr-CH" w:eastAsia="fr-FR"/>
        </w:rPr>
        <w:t>106 du 22 octobre 2011</w:t>
      </w:r>
      <w:r w:rsidR="006F271B" w:rsidRPr="00E342DC">
        <w:rPr>
          <w:rFonts w:cs="Tahoma"/>
          <w:szCs w:val="20"/>
          <w:lang w:val="fr-CH" w:eastAsia="fr-FR"/>
        </w:rPr>
        <w:t>.</w:t>
      </w:r>
      <w:r w:rsidR="00EB0C37" w:rsidRPr="00E342DC">
        <w:rPr>
          <w:rFonts w:cs="Tahoma"/>
          <w:szCs w:val="20"/>
          <w:lang w:val="fr-CH" w:eastAsia="fr-FR"/>
        </w:rPr>
        <w:t xml:space="preserve"> </w:t>
      </w:r>
      <w:r w:rsidR="00EB0C37" w:rsidRPr="00E342DC">
        <w:rPr>
          <w:rFonts w:cs="Tahoma"/>
          <w:color w:val="000000"/>
          <w:szCs w:val="20"/>
          <w:lang w:val="fr-CH"/>
        </w:rPr>
        <w:t xml:space="preserve">Dans la nouvelle version, en vigueur à ce jour, l’article 101 </w:t>
      </w:r>
      <w:r w:rsidR="00EB0C37" w:rsidRPr="00E342DC">
        <w:rPr>
          <w:rFonts w:cs="Tahoma"/>
          <w:i/>
          <w:iCs/>
          <w:color w:val="000000"/>
          <w:szCs w:val="20"/>
          <w:lang w:val="fr-CH"/>
        </w:rPr>
        <w:t>bis</w:t>
      </w:r>
      <w:r w:rsidR="00EB0C37" w:rsidRPr="00E342DC">
        <w:rPr>
          <w:rFonts w:cs="Tahoma"/>
          <w:color w:val="000000"/>
          <w:szCs w:val="20"/>
          <w:lang w:val="fr-CH"/>
        </w:rPr>
        <w:t xml:space="preserve"> prévoit que : </w:t>
      </w:r>
    </w:p>
    <w:p w:rsidR="0000395E" w:rsidRPr="00E342DC" w:rsidRDefault="0000395E" w:rsidP="00DA0ABA">
      <w:pPr>
        <w:rPr>
          <w:rFonts w:cs="Tahoma"/>
          <w:color w:val="000000"/>
          <w:szCs w:val="20"/>
          <w:lang w:val="fr-CH"/>
        </w:rPr>
      </w:pPr>
    </w:p>
    <w:p w:rsidR="00EB0C37" w:rsidRPr="00E342DC" w:rsidRDefault="00EB0C37" w:rsidP="00DA0ABA">
      <w:pPr>
        <w:ind w:left="284" w:right="283"/>
        <w:rPr>
          <w:rFonts w:cs="Tahoma"/>
          <w:color w:val="000000"/>
          <w:szCs w:val="20"/>
          <w:lang w:val="fr-CH"/>
        </w:rPr>
      </w:pPr>
      <w:r w:rsidRPr="00E342DC">
        <w:rPr>
          <w:rFonts w:cs="Tahoma"/>
          <w:color w:val="000000"/>
          <w:szCs w:val="20"/>
          <w:lang w:val="fr-CH"/>
        </w:rPr>
        <w:t>« Le terme torture désigne tout acte par lequel une douleur ou une souffrance aiguë, physique ou morale est infligée intentionnellement à une personne aux fins d’obtenir d’elle ou d’une tierce personne des renseignements ou des aveux concernant un acte qu’elle ou une tierce personne a commis ou est soupçonnée d’avoir commis</w:t>
      </w:r>
      <w:r w:rsidR="0000395E" w:rsidRPr="00E342DC">
        <w:rPr>
          <w:rFonts w:cs="Tahoma"/>
          <w:color w:val="000000"/>
          <w:szCs w:val="20"/>
          <w:lang w:val="fr-CH"/>
        </w:rPr>
        <w:t xml:space="preserve">. Est considéré comme torture le fait d'intimider ou de faire pression sur une personne ou d'intimider ou de faire pression sur une tierce personne aux fins d'obtenir des renseignements ou des aveux. Entre dans le cadre de la torture, la douleur, la souffrance, l'intimidation ou la contrainte infligées pour tout autre motif fondé sur la discrimination raciale. Est considéré comme tortionnaire, le fonctionnaire public ou assimilé qui ordonne, incite, approuve ou garde le silence sur la torture, dans l'exercice ou à l'occasion de l'exercice de ses fonctions. N'est pas considéré comme torture, la souffrance résultant des peines légales, entraînée par ces peines ou inhérente à elles. » </w:t>
      </w:r>
    </w:p>
    <w:p w:rsidR="007B009B" w:rsidRPr="00E342DC" w:rsidRDefault="007B009B" w:rsidP="00DA0ABA">
      <w:pPr>
        <w:rPr>
          <w:rFonts w:cs="Tahoma"/>
          <w:i/>
          <w:iCs/>
          <w:szCs w:val="20"/>
          <w:lang w:val="fr-CH" w:eastAsia="fr-FR"/>
        </w:rPr>
      </w:pPr>
    </w:p>
    <w:p w:rsidR="00BD7D07" w:rsidRPr="00E342DC" w:rsidRDefault="00560DDF" w:rsidP="00DA0ABA">
      <w:pPr>
        <w:rPr>
          <w:rFonts w:cs="Tahoma"/>
          <w:szCs w:val="20"/>
          <w:lang w:val="fr-CH" w:eastAsia="fr-FR"/>
        </w:rPr>
      </w:pPr>
      <w:r w:rsidRPr="00E342DC">
        <w:rPr>
          <w:rFonts w:cs="Tahoma"/>
          <w:szCs w:val="20"/>
          <w:lang w:val="fr-CH" w:eastAsia="fr-FR"/>
        </w:rPr>
        <w:t xml:space="preserve">Alkarama </w:t>
      </w:r>
      <w:r w:rsidR="0074127C" w:rsidRPr="00E342DC">
        <w:rPr>
          <w:rFonts w:cs="Tahoma"/>
          <w:szCs w:val="20"/>
          <w:lang w:val="fr-CH" w:eastAsia="fr-FR"/>
        </w:rPr>
        <w:t xml:space="preserve">constate </w:t>
      </w:r>
      <w:r w:rsidRPr="00E342DC">
        <w:rPr>
          <w:rFonts w:cs="Tahoma"/>
          <w:szCs w:val="20"/>
          <w:lang w:val="fr-CH" w:eastAsia="fr-FR"/>
        </w:rPr>
        <w:t>que la définition contenue dans l’article 101</w:t>
      </w:r>
      <w:r w:rsidR="00380B8B" w:rsidRPr="00E342DC">
        <w:rPr>
          <w:rFonts w:cs="Tahoma"/>
          <w:szCs w:val="20"/>
          <w:lang w:val="fr-CH" w:eastAsia="fr-FR"/>
        </w:rPr>
        <w:t xml:space="preserve"> </w:t>
      </w:r>
      <w:r w:rsidRPr="00E342DC">
        <w:rPr>
          <w:rFonts w:cs="Tahoma"/>
          <w:i/>
          <w:iCs/>
          <w:szCs w:val="20"/>
          <w:lang w:val="fr-CH" w:eastAsia="fr-FR"/>
        </w:rPr>
        <w:t>bis</w:t>
      </w:r>
      <w:r w:rsidRPr="00E342DC">
        <w:rPr>
          <w:rFonts w:cs="Tahoma"/>
          <w:szCs w:val="20"/>
          <w:lang w:val="fr-CH" w:eastAsia="fr-FR"/>
        </w:rPr>
        <w:t xml:space="preserve"> du </w:t>
      </w:r>
      <w:r w:rsidR="00095C4F" w:rsidRPr="00E342DC">
        <w:rPr>
          <w:rFonts w:cs="Tahoma"/>
          <w:szCs w:val="20"/>
          <w:lang w:val="fr-CH" w:eastAsia="fr-FR"/>
        </w:rPr>
        <w:t>Code pénal de l’</w:t>
      </w:r>
      <w:r w:rsidR="0070261E" w:rsidRPr="00E342DC">
        <w:rPr>
          <w:rFonts w:cs="Tahoma"/>
          <w:szCs w:val="20"/>
          <w:lang w:val="fr-CH" w:eastAsia="fr-FR"/>
        </w:rPr>
        <w:t>État</w:t>
      </w:r>
      <w:r w:rsidR="00095C4F" w:rsidRPr="00E342DC">
        <w:rPr>
          <w:rFonts w:cs="Tahoma"/>
          <w:szCs w:val="20"/>
          <w:lang w:val="fr-CH" w:eastAsia="fr-FR"/>
        </w:rPr>
        <w:t xml:space="preserve"> partie </w:t>
      </w:r>
      <w:r w:rsidR="00DB7918" w:rsidRPr="00E342DC">
        <w:rPr>
          <w:rFonts w:cs="Tahoma"/>
          <w:szCs w:val="20"/>
          <w:lang w:val="fr-CH" w:eastAsia="fr-FR"/>
        </w:rPr>
        <w:t xml:space="preserve">n’est pas pleinement </w:t>
      </w:r>
      <w:r w:rsidR="00095C4F" w:rsidRPr="00E342DC">
        <w:rPr>
          <w:rFonts w:cs="Tahoma"/>
          <w:szCs w:val="20"/>
          <w:lang w:val="fr-CH" w:eastAsia="fr-FR"/>
        </w:rPr>
        <w:t xml:space="preserve">conforme </w:t>
      </w:r>
      <w:r w:rsidR="00DB7918" w:rsidRPr="00E342DC">
        <w:rPr>
          <w:rFonts w:cs="Tahoma"/>
          <w:szCs w:val="20"/>
          <w:lang w:val="fr-CH" w:eastAsia="fr-FR"/>
        </w:rPr>
        <w:t>avec</w:t>
      </w:r>
      <w:r w:rsidRPr="00E342DC">
        <w:rPr>
          <w:rFonts w:cs="Tahoma"/>
          <w:szCs w:val="20"/>
          <w:lang w:val="fr-CH" w:eastAsia="fr-FR"/>
        </w:rPr>
        <w:t xml:space="preserve"> l’article 1</w:t>
      </w:r>
      <w:r w:rsidRPr="00E342DC">
        <w:rPr>
          <w:rFonts w:cs="Tahoma"/>
          <w:szCs w:val="20"/>
          <w:vertAlign w:val="superscript"/>
          <w:lang w:val="fr-CH" w:eastAsia="fr-FR"/>
        </w:rPr>
        <w:t>er</w:t>
      </w:r>
      <w:r w:rsidRPr="00E342DC">
        <w:rPr>
          <w:rFonts w:cs="Tahoma"/>
          <w:szCs w:val="20"/>
          <w:lang w:val="fr-CH" w:eastAsia="fr-FR"/>
        </w:rPr>
        <w:t xml:space="preserve"> de la Convention</w:t>
      </w:r>
      <w:r w:rsidR="00095C4F" w:rsidRPr="00E342DC">
        <w:rPr>
          <w:rFonts w:cs="Tahoma"/>
          <w:szCs w:val="20"/>
          <w:lang w:val="fr-CH" w:eastAsia="fr-FR"/>
        </w:rPr>
        <w:t xml:space="preserve"> même si celle-ci </w:t>
      </w:r>
      <w:r w:rsidR="007804CB" w:rsidRPr="00E342DC">
        <w:rPr>
          <w:rFonts w:cs="Tahoma"/>
          <w:szCs w:val="20"/>
          <w:lang w:val="fr-CH" w:eastAsia="fr-FR"/>
        </w:rPr>
        <w:t xml:space="preserve">complète certaines lacunes de la définition de la loi </w:t>
      </w:r>
      <w:r w:rsidR="007804CB" w:rsidRPr="00E342DC">
        <w:rPr>
          <w:rFonts w:cs="Tahoma"/>
          <w:color w:val="000000"/>
          <w:szCs w:val="20"/>
          <w:lang w:val="fr-CH"/>
        </w:rPr>
        <w:t>n° 98/1999 qui ne couvrait pas les actes commis par une personne privée, mais à l’instigation ou avec le consentement</w:t>
      </w:r>
      <w:r w:rsidR="0074127C" w:rsidRPr="00E342DC">
        <w:rPr>
          <w:rFonts w:cs="Tahoma"/>
          <w:color w:val="000000"/>
          <w:szCs w:val="20"/>
          <w:lang w:val="fr-CH"/>
        </w:rPr>
        <w:t xml:space="preserve"> d</w:t>
      </w:r>
      <w:r w:rsidR="0032152D" w:rsidRPr="00E342DC">
        <w:rPr>
          <w:rFonts w:cs="Tahoma"/>
          <w:color w:val="000000"/>
          <w:szCs w:val="20"/>
          <w:lang w:val="fr-CH"/>
        </w:rPr>
        <w:t>’un agent de l’</w:t>
      </w:r>
      <w:r w:rsidR="0070261E" w:rsidRPr="00E342DC">
        <w:rPr>
          <w:rFonts w:cs="Tahoma"/>
          <w:color w:val="000000"/>
          <w:szCs w:val="20"/>
          <w:lang w:val="fr-CH"/>
        </w:rPr>
        <w:t>État</w:t>
      </w:r>
      <w:r w:rsidR="007804CB" w:rsidRPr="00E342DC">
        <w:rPr>
          <w:rFonts w:cs="Tahoma"/>
          <w:color w:val="000000"/>
          <w:szCs w:val="20"/>
          <w:lang w:val="fr-CH"/>
        </w:rPr>
        <w:t>.</w:t>
      </w:r>
      <w:r w:rsidR="007804CB" w:rsidRPr="00E342DC">
        <w:rPr>
          <w:rFonts w:cs="Tahoma"/>
          <w:szCs w:val="20"/>
          <w:lang w:val="fr-CH" w:eastAsia="fr-FR"/>
        </w:rPr>
        <w:t xml:space="preserve"> </w:t>
      </w:r>
      <w:r w:rsidR="00C37738" w:rsidRPr="00E342DC">
        <w:rPr>
          <w:rFonts w:cs="Tahoma"/>
          <w:szCs w:val="20"/>
          <w:lang w:val="fr-CH" w:eastAsia="fr-FR"/>
        </w:rPr>
        <w:t xml:space="preserve">Néanmoins, la </w:t>
      </w:r>
      <w:r w:rsidR="00DB7918" w:rsidRPr="00E342DC">
        <w:rPr>
          <w:rFonts w:cs="Tahoma"/>
          <w:szCs w:val="20"/>
          <w:lang w:val="fr-CH" w:eastAsia="fr-FR"/>
        </w:rPr>
        <w:t>définition</w:t>
      </w:r>
      <w:r w:rsidR="00C37738" w:rsidRPr="00E342DC">
        <w:rPr>
          <w:rFonts w:cs="Tahoma"/>
          <w:szCs w:val="20"/>
          <w:lang w:val="fr-CH" w:eastAsia="fr-FR"/>
        </w:rPr>
        <w:t xml:space="preserve"> en vigueur depuis 2011</w:t>
      </w:r>
      <w:r w:rsidR="00DB7918" w:rsidRPr="00E342DC">
        <w:rPr>
          <w:rFonts w:cs="Tahoma"/>
          <w:szCs w:val="20"/>
          <w:lang w:val="fr-CH" w:eastAsia="fr-FR"/>
        </w:rPr>
        <w:t xml:space="preserve"> est plus </w:t>
      </w:r>
      <w:r w:rsidR="006B4918" w:rsidRPr="00E342DC">
        <w:rPr>
          <w:rFonts w:cs="Tahoma"/>
          <w:szCs w:val="20"/>
          <w:lang w:val="fr-CH" w:eastAsia="fr-FR"/>
        </w:rPr>
        <w:t xml:space="preserve">restrictive que </w:t>
      </w:r>
      <w:r w:rsidR="00DB7918" w:rsidRPr="00E342DC">
        <w:rPr>
          <w:rFonts w:cs="Tahoma"/>
          <w:szCs w:val="20"/>
          <w:lang w:val="fr-CH" w:eastAsia="fr-FR"/>
        </w:rPr>
        <w:t xml:space="preserve">celle de </w:t>
      </w:r>
      <w:r w:rsidR="006B4918" w:rsidRPr="00E342DC">
        <w:rPr>
          <w:rFonts w:cs="Tahoma"/>
          <w:szCs w:val="20"/>
          <w:lang w:val="fr-CH" w:eastAsia="fr-FR"/>
        </w:rPr>
        <w:t xml:space="preserve">la Convention eu égard </w:t>
      </w:r>
      <w:r w:rsidR="009A1EE4" w:rsidRPr="00E342DC">
        <w:rPr>
          <w:rFonts w:cs="Tahoma"/>
          <w:szCs w:val="20"/>
          <w:lang w:val="fr-CH" w:eastAsia="fr-FR"/>
        </w:rPr>
        <w:t xml:space="preserve">à la </w:t>
      </w:r>
      <w:r w:rsidR="009A1EE4" w:rsidRPr="00E342DC">
        <w:rPr>
          <w:rFonts w:cs="Tahoma"/>
          <w:i/>
          <w:iCs/>
          <w:szCs w:val="20"/>
          <w:lang w:val="fr-CH" w:eastAsia="fr-FR"/>
        </w:rPr>
        <w:t>mens rea</w:t>
      </w:r>
      <w:r w:rsidR="009A1EE4" w:rsidRPr="00E342DC">
        <w:rPr>
          <w:rFonts w:cs="Tahoma"/>
          <w:szCs w:val="20"/>
          <w:lang w:val="fr-CH" w:eastAsia="fr-FR"/>
        </w:rPr>
        <w:t xml:space="preserve"> de l’acte</w:t>
      </w:r>
      <w:r w:rsidR="006B4918" w:rsidRPr="00E342DC">
        <w:rPr>
          <w:rFonts w:cs="Tahoma"/>
          <w:szCs w:val="20"/>
          <w:lang w:val="fr-CH" w:eastAsia="fr-FR"/>
        </w:rPr>
        <w:t xml:space="preserve">. </w:t>
      </w:r>
      <w:r w:rsidR="005A0A7E" w:rsidRPr="00E342DC">
        <w:rPr>
          <w:rFonts w:cs="Tahoma"/>
          <w:szCs w:val="20"/>
          <w:lang w:val="fr-CH" w:eastAsia="fr-FR"/>
        </w:rPr>
        <w:t xml:space="preserve">En effet, </w:t>
      </w:r>
      <w:r w:rsidR="005D6AF7" w:rsidRPr="00E342DC">
        <w:rPr>
          <w:rFonts w:cs="Tahoma"/>
          <w:szCs w:val="20"/>
          <w:lang w:val="fr-CH" w:eastAsia="fr-FR"/>
        </w:rPr>
        <w:t xml:space="preserve">seuls </w:t>
      </w:r>
      <w:r w:rsidR="00DB7918" w:rsidRPr="00E342DC">
        <w:rPr>
          <w:rFonts w:cs="Tahoma"/>
          <w:szCs w:val="20"/>
          <w:lang w:val="fr-CH" w:eastAsia="fr-FR"/>
        </w:rPr>
        <w:t>les a</w:t>
      </w:r>
      <w:r w:rsidR="004C1CEA" w:rsidRPr="00E342DC">
        <w:rPr>
          <w:rFonts w:cs="Tahoma"/>
          <w:szCs w:val="20"/>
          <w:lang w:val="fr-CH" w:eastAsia="fr-FR"/>
        </w:rPr>
        <w:t xml:space="preserve">ctes de </w:t>
      </w:r>
      <w:r w:rsidR="005D6AF7" w:rsidRPr="00E342DC">
        <w:rPr>
          <w:rFonts w:cs="Tahoma"/>
          <w:szCs w:val="20"/>
          <w:lang w:val="fr-CH" w:eastAsia="fr-FR"/>
        </w:rPr>
        <w:t>tortures infligé</w:t>
      </w:r>
      <w:r w:rsidR="00B2008A" w:rsidRPr="00E342DC">
        <w:rPr>
          <w:rFonts w:cs="Tahoma"/>
          <w:szCs w:val="20"/>
          <w:lang w:val="fr-CH" w:eastAsia="fr-FR"/>
        </w:rPr>
        <w:t>s</w:t>
      </w:r>
      <w:r w:rsidR="004C1CEA" w:rsidRPr="00E342DC">
        <w:rPr>
          <w:rFonts w:cs="Tahoma"/>
          <w:szCs w:val="20"/>
          <w:lang w:val="fr-CH" w:eastAsia="fr-FR"/>
        </w:rPr>
        <w:t xml:space="preserve"> à une personne dans le but de lui soustraire des aveux ou des renseignements </w:t>
      </w:r>
      <w:r w:rsidR="00C0762C" w:rsidRPr="00E342DC">
        <w:rPr>
          <w:rFonts w:cs="Tahoma"/>
          <w:szCs w:val="20"/>
          <w:lang w:val="fr-CH" w:eastAsia="fr-FR"/>
        </w:rPr>
        <w:t>ou pour tout autre motif</w:t>
      </w:r>
      <w:r w:rsidR="00117E1C" w:rsidRPr="00E342DC">
        <w:rPr>
          <w:rFonts w:cs="Tahoma"/>
          <w:szCs w:val="20"/>
          <w:lang w:val="fr-CH" w:eastAsia="fr-FR"/>
        </w:rPr>
        <w:t xml:space="preserve"> fondé sur la discrimination raciale</w:t>
      </w:r>
      <w:r w:rsidR="00DB7918" w:rsidRPr="00E342DC">
        <w:rPr>
          <w:rFonts w:cs="Tahoma"/>
          <w:szCs w:val="20"/>
          <w:lang w:val="fr-CH" w:eastAsia="fr-FR"/>
        </w:rPr>
        <w:t xml:space="preserve"> sont </w:t>
      </w:r>
      <w:r w:rsidR="005D6AF7" w:rsidRPr="00E342DC">
        <w:rPr>
          <w:rFonts w:cs="Tahoma"/>
          <w:szCs w:val="20"/>
          <w:lang w:val="fr-CH" w:eastAsia="fr-FR"/>
        </w:rPr>
        <w:t>incriminés</w:t>
      </w:r>
      <w:r w:rsidR="00892553" w:rsidRPr="00E342DC">
        <w:rPr>
          <w:rFonts w:cs="Tahoma"/>
          <w:szCs w:val="20"/>
          <w:lang w:val="fr-CH" w:eastAsia="fr-FR"/>
        </w:rPr>
        <w:t xml:space="preserve"> excluant ainsi de la </w:t>
      </w:r>
      <w:r w:rsidR="00F806FE" w:rsidRPr="00E342DC">
        <w:rPr>
          <w:rFonts w:cs="Tahoma"/>
          <w:i/>
          <w:iCs/>
          <w:szCs w:val="20"/>
          <w:lang w:val="fr-CH" w:eastAsia="fr-FR"/>
        </w:rPr>
        <w:t>mens rea</w:t>
      </w:r>
      <w:r w:rsidR="00892553" w:rsidRPr="00E342DC">
        <w:rPr>
          <w:rFonts w:cs="Tahoma"/>
          <w:szCs w:val="20"/>
          <w:lang w:val="fr-CH" w:eastAsia="fr-FR"/>
        </w:rPr>
        <w:t xml:space="preserve"> les autres éléments de l’article 1 de la Convention.</w:t>
      </w:r>
      <w:r w:rsidR="00BF513F">
        <w:rPr>
          <w:rFonts w:cs="Tahoma"/>
          <w:szCs w:val="20"/>
          <w:lang w:val="fr-CH" w:eastAsia="fr-FR"/>
        </w:rPr>
        <w:t xml:space="preserve"> </w:t>
      </w:r>
    </w:p>
    <w:p w:rsidR="00BD7D07" w:rsidRPr="00E342DC" w:rsidRDefault="00BD7D07" w:rsidP="00DA0ABA">
      <w:pPr>
        <w:rPr>
          <w:rFonts w:cs="Tahoma"/>
          <w:szCs w:val="20"/>
          <w:lang w:val="fr-CH" w:eastAsia="fr-FR"/>
        </w:rPr>
      </w:pPr>
    </w:p>
    <w:p w:rsidR="0000395E" w:rsidRPr="00E342DC" w:rsidRDefault="00892553" w:rsidP="0070261E">
      <w:pPr>
        <w:rPr>
          <w:rFonts w:cs="Tahoma"/>
          <w:color w:val="000000"/>
          <w:szCs w:val="20"/>
          <w:lang w:val="fr-CH"/>
        </w:rPr>
      </w:pPr>
      <w:r w:rsidRPr="00E342DC">
        <w:rPr>
          <w:rFonts w:cs="Tahoma"/>
          <w:szCs w:val="20"/>
          <w:lang w:val="fr-CH" w:eastAsia="fr-FR"/>
        </w:rPr>
        <w:t>En effet, l</w:t>
      </w:r>
      <w:r w:rsidR="00BD7D07" w:rsidRPr="00E342DC">
        <w:rPr>
          <w:rFonts w:cs="Tahoma"/>
          <w:szCs w:val="20"/>
          <w:lang w:val="fr-CH" w:eastAsia="fr-FR"/>
        </w:rPr>
        <w:t>a</w:t>
      </w:r>
      <w:r w:rsidRPr="00E342DC">
        <w:rPr>
          <w:rFonts w:cs="Tahoma"/>
          <w:szCs w:val="20"/>
          <w:lang w:val="fr-CH" w:eastAsia="fr-FR"/>
        </w:rPr>
        <w:t xml:space="preserve"> </w:t>
      </w:r>
      <w:r w:rsidR="00BD7D07" w:rsidRPr="00E342DC">
        <w:rPr>
          <w:rFonts w:cs="Tahoma"/>
          <w:szCs w:val="20"/>
          <w:lang w:val="fr-CH" w:eastAsia="fr-FR"/>
        </w:rPr>
        <w:t>Convention inclut toute forme de discrimination « </w:t>
      </w:r>
      <w:r w:rsidR="00BD7D07" w:rsidRPr="00E342DC">
        <w:rPr>
          <w:rFonts w:cs="Tahoma"/>
          <w:color w:val="000000"/>
          <w:szCs w:val="20"/>
          <w:lang w:val="fr-CH"/>
        </w:rPr>
        <w:t>quelle qu’elle soit</w:t>
      </w:r>
      <w:r w:rsidR="00BD7D07" w:rsidRPr="00E342DC">
        <w:rPr>
          <w:rFonts w:cs="Tahoma"/>
          <w:szCs w:val="20"/>
          <w:lang w:val="fr-CH" w:eastAsia="fr-FR"/>
        </w:rPr>
        <w:t> » et ne se limite pas aux seules dis</w:t>
      </w:r>
      <w:r w:rsidR="00E015D7" w:rsidRPr="00E342DC">
        <w:rPr>
          <w:rFonts w:cs="Tahoma"/>
          <w:szCs w:val="20"/>
          <w:lang w:val="fr-CH" w:eastAsia="fr-FR"/>
        </w:rPr>
        <w:t xml:space="preserve">criminations raciales. </w:t>
      </w:r>
      <w:r w:rsidR="009A1EE4" w:rsidRPr="00E342DC">
        <w:rPr>
          <w:rFonts w:cs="Tahoma"/>
          <w:szCs w:val="20"/>
          <w:lang w:val="fr-CH" w:eastAsia="fr-FR"/>
        </w:rPr>
        <w:t xml:space="preserve">De plus l’article </w:t>
      </w:r>
      <w:r w:rsidR="00BD7D07" w:rsidRPr="00E342DC">
        <w:rPr>
          <w:rFonts w:cs="Tahoma"/>
          <w:szCs w:val="20"/>
          <w:lang w:val="fr-CH" w:eastAsia="fr-FR"/>
        </w:rPr>
        <w:t xml:space="preserve">101 </w:t>
      </w:r>
      <w:r w:rsidR="00BD7D07" w:rsidRPr="00E342DC">
        <w:rPr>
          <w:rFonts w:cs="Tahoma"/>
          <w:i/>
          <w:iCs/>
          <w:szCs w:val="20"/>
          <w:lang w:val="fr-CH" w:eastAsia="fr-FR"/>
        </w:rPr>
        <w:t>bis</w:t>
      </w:r>
      <w:r w:rsidR="00BD7D07" w:rsidRPr="00E342DC">
        <w:rPr>
          <w:rFonts w:cs="Tahoma"/>
          <w:szCs w:val="20"/>
          <w:lang w:val="fr-CH" w:eastAsia="fr-FR"/>
        </w:rPr>
        <w:t xml:space="preserve"> </w:t>
      </w:r>
      <w:r w:rsidR="00557088" w:rsidRPr="00E342DC">
        <w:rPr>
          <w:rFonts w:cs="Tahoma"/>
          <w:szCs w:val="20"/>
          <w:lang w:val="fr-CH" w:eastAsia="fr-FR"/>
        </w:rPr>
        <w:t>ne permet pas d’incriminer des actes de torture qui poursuivraient d’autres fins qu</w:t>
      </w:r>
      <w:r w:rsidR="00BA0607" w:rsidRPr="00E342DC">
        <w:rPr>
          <w:rFonts w:cs="Tahoma"/>
          <w:szCs w:val="20"/>
          <w:lang w:val="fr-CH" w:eastAsia="fr-FR"/>
        </w:rPr>
        <w:t>e celles énuméré</w:t>
      </w:r>
      <w:r w:rsidR="00C37738" w:rsidRPr="00E342DC">
        <w:rPr>
          <w:rFonts w:cs="Tahoma"/>
          <w:szCs w:val="20"/>
          <w:lang w:val="fr-CH" w:eastAsia="fr-FR"/>
        </w:rPr>
        <w:t>e</w:t>
      </w:r>
      <w:r w:rsidR="00BA0607" w:rsidRPr="00E342DC">
        <w:rPr>
          <w:rFonts w:cs="Tahoma"/>
          <w:szCs w:val="20"/>
          <w:lang w:val="fr-CH" w:eastAsia="fr-FR"/>
        </w:rPr>
        <w:t>s à titre limitatif dans le Code pénal</w:t>
      </w:r>
      <w:r w:rsidR="005D6AF7" w:rsidRPr="00E342DC">
        <w:rPr>
          <w:rFonts w:cs="Tahoma"/>
          <w:szCs w:val="20"/>
          <w:lang w:val="fr-CH" w:eastAsia="fr-FR"/>
        </w:rPr>
        <w:t xml:space="preserve"> de l’</w:t>
      </w:r>
      <w:r w:rsidR="0070261E" w:rsidRPr="00E342DC">
        <w:rPr>
          <w:rFonts w:cs="Tahoma"/>
          <w:szCs w:val="20"/>
          <w:lang w:val="fr-CH" w:eastAsia="fr-FR"/>
        </w:rPr>
        <w:t>État</w:t>
      </w:r>
      <w:r w:rsidR="005D6AF7" w:rsidRPr="00E342DC">
        <w:rPr>
          <w:rFonts w:cs="Tahoma"/>
          <w:szCs w:val="20"/>
          <w:lang w:val="fr-CH" w:eastAsia="fr-FR"/>
        </w:rPr>
        <w:t xml:space="preserve"> partie</w:t>
      </w:r>
      <w:r w:rsidR="00BA0607" w:rsidRPr="00E342DC">
        <w:rPr>
          <w:rFonts w:cs="Tahoma"/>
          <w:szCs w:val="20"/>
          <w:lang w:val="fr-CH" w:eastAsia="fr-FR"/>
        </w:rPr>
        <w:t>.</w:t>
      </w:r>
      <w:r w:rsidR="0000395E" w:rsidRPr="00E342DC">
        <w:rPr>
          <w:rFonts w:cs="Tahoma"/>
          <w:szCs w:val="20"/>
          <w:lang w:val="fr-CH" w:eastAsia="fr-FR"/>
        </w:rPr>
        <w:t xml:space="preserve"> </w:t>
      </w:r>
      <w:r w:rsidR="0070261E" w:rsidRPr="00E342DC">
        <w:rPr>
          <w:rFonts w:cs="Tahoma"/>
          <w:szCs w:val="20"/>
          <w:lang w:val="fr-CH" w:eastAsia="fr-FR"/>
        </w:rPr>
        <w:t>De plus</w:t>
      </w:r>
      <w:r w:rsidR="0000395E" w:rsidRPr="00E342DC">
        <w:rPr>
          <w:rFonts w:cs="Tahoma"/>
          <w:szCs w:val="20"/>
          <w:lang w:val="fr-CH" w:eastAsia="fr-FR"/>
        </w:rPr>
        <w:t xml:space="preserve">, </w:t>
      </w:r>
      <w:r w:rsidR="0000395E" w:rsidRPr="00E342DC">
        <w:rPr>
          <w:rFonts w:cs="Tahoma"/>
          <w:color w:val="000000"/>
          <w:szCs w:val="20"/>
          <w:lang w:val="fr-CH"/>
        </w:rPr>
        <w:t xml:space="preserve">les douleurs ou souffrances infligées notamment dans le but de punir ne sont plus considérées comme de la torture. Par exemple, </w:t>
      </w:r>
      <w:r w:rsidR="00BD7D07" w:rsidRPr="00E342DC">
        <w:rPr>
          <w:rFonts w:cs="Tahoma"/>
          <w:color w:val="000000"/>
          <w:szCs w:val="20"/>
          <w:lang w:val="fr-CH"/>
        </w:rPr>
        <w:t>le présent article ne couvre pas les violences commises par l’administration pénitentiaire à l’encontre de</w:t>
      </w:r>
      <w:r w:rsidR="00DE797F" w:rsidRPr="00E342DC">
        <w:rPr>
          <w:rFonts w:cs="Tahoma"/>
          <w:color w:val="000000"/>
          <w:szCs w:val="20"/>
          <w:lang w:val="fr-CH"/>
        </w:rPr>
        <w:t>s</w:t>
      </w:r>
      <w:r w:rsidR="00BD7D07" w:rsidRPr="00E342DC">
        <w:rPr>
          <w:rFonts w:cs="Tahoma"/>
          <w:color w:val="000000"/>
          <w:szCs w:val="20"/>
          <w:lang w:val="fr-CH"/>
        </w:rPr>
        <w:t xml:space="preserve"> détenu</w:t>
      </w:r>
      <w:r w:rsidR="00DE797F" w:rsidRPr="00E342DC">
        <w:rPr>
          <w:rFonts w:cs="Tahoma"/>
          <w:color w:val="000000"/>
          <w:szCs w:val="20"/>
          <w:lang w:val="fr-CH"/>
        </w:rPr>
        <w:t>s</w:t>
      </w:r>
      <w:r w:rsidR="00BD7D07" w:rsidRPr="00E342DC">
        <w:rPr>
          <w:rFonts w:cs="Tahoma"/>
          <w:color w:val="000000"/>
          <w:szCs w:val="20"/>
          <w:lang w:val="fr-CH"/>
        </w:rPr>
        <w:t xml:space="preserve"> dès lors que l’objectif n’est pas d’obteni</w:t>
      </w:r>
      <w:r w:rsidR="005D6AF7" w:rsidRPr="00E342DC">
        <w:rPr>
          <w:rFonts w:cs="Tahoma"/>
          <w:color w:val="000000"/>
          <w:szCs w:val="20"/>
          <w:lang w:val="fr-CH"/>
        </w:rPr>
        <w:t>r des aveux ou des informations.</w:t>
      </w:r>
      <w:r w:rsidR="0070261E" w:rsidRPr="00E342DC">
        <w:rPr>
          <w:rFonts w:cs="Tahoma"/>
          <w:color w:val="000000"/>
          <w:szCs w:val="20"/>
          <w:lang w:val="fr-CH"/>
        </w:rPr>
        <w:t xml:space="preserve"> </w:t>
      </w:r>
    </w:p>
    <w:p w:rsidR="00DE797F" w:rsidRPr="00E342DC" w:rsidRDefault="00DE797F" w:rsidP="00DA0ABA">
      <w:pPr>
        <w:rPr>
          <w:rFonts w:cs="Tahoma"/>
          <w:color w:val="000000"/>
          <w:szCs w:val="20"/>
          <w:lang w:val="fr-CH"/>
        </w:rPr>
      </w:pPr>
    </w:p>
    <w:p w:rsidR="00C554B1" w:rsidRPr="00E342DC" w:rsidRDefault="00DE797F" w:rsidP="00DA0ABA">
      <w:pPr>
        <w:rPr>
          <w:rFonts w:cs="Tahoma"/>
          <w:color w:val="000000"/>
          <w:szCs w:val="20"/>
          <w:lang w:val="fr-CH"/>
        </w:rPr>
      </w:pPr>
      <w:r w:rsidRPr="00E342DC">
        <w:rPr>
          <w:rFonts w:cs="Tahoma"/>
          <w:color w:val="000000"/>
          <w:szCs w:val="20"/>
          <w:lang w:val="fr-CH"/>
        </w:rPr>
        <w:t>Alkarama prend note que l’</w:t>
      </w:r>
      <w:r w:rsidR="0070261E" w:rsidRPr="00E342DC">
        <w:rPr>
          <w:rFonts w:cs="Tahoma"/>
          <w:color w:val="000000"/>
          <w:szCs w:val="20"/>
          <w:lang w:val="fr-CH"/>
        </w:rPr>
        <w:t>État</w:t>
      </w:r>
      <w:r w:rsidRPr="00E342DC">
        <w:rPr>
          <w:rFonts w:cs="Tahoma"/>
          <w:color w:val="000000"/>
          <w:szCs w:val="20"/>
          <w:lang w:val="fr-CH"/>
        </w:rPr>
        <w:t xml:space="preserve"> partie affirme dans ses réponses à la liste de questions du comité qu’une « commission » </w:t>
      </w:r>
      <w:r w:rsidR="009A1EE4" w:rsidRPr="00E342DC">
        <w:rPr>
          <w:rFonts w:cs="Tahoma"/>
          <w:color w:val="000000"/>
          <w:szCs w:val="20"/>
          <w:lang w:val="fr-CH"/>
        </w:rPr>
        <w:t>multisectorielle</w:t>
      </w:r>
      <w:r w:rsidRPr="00E342DC">
        <w:rPr>
          <w:rFonts w:cs="Tahoma"/>
          <w:color w:val="000000"/>
          <w:szCs w:val="20"/>
          <w:lang w:val="fr-CH"/>
        </w:rPr>
        <w:t xml:space="preserve"> aurait été mise en place par le </w:t>
      </w:r>
      <w:r w:rsidR="009A1EE4" w:rsidRPr="00E342DC">
        <w:rPr>
          <w:rFonts w:cs="Tahoma"/>
          <w:color w:val="000000"/>
          <w:szCs w:val="20"/>
          <w:lang w:val="fr-CH"/>
        </w:rPr>
        <w:t>Ministère</w:t>
      </w:r>
      <w:r w:rsidRPr="00E342DC">
        <w:rPr>
          <w:rFonts w:cs="Tahoma"/>
          <w:color w:val="000000"/>
          <w:szCs w:val="20"/>
          <w:lang w:val="fr-CH"/>
        </w:rPr>
        <w:t xml:space="preserve"> de la Justice afin d’amender </w:t>
      </w:r>
      <w:r w:rsidR="00F806FE" w:rsidRPr="00E342DC">
        <w:rPr>
          <w:rFonts w:cs="Tahoma"/>
          <w:i/>
          <w:iCs/>
          <w:color w:val="000000"/>
          <w:szCs w:val="20"/>
          <w:lang w:val="fr-CH"/>
        </w:rPr>
        <w:t>inter alia</w:t>
      </w:r>
      <w:r w:rsidRPr="00E342DC">
        <w:rPr>
          <w:rFonts w:cs="Tahoma"/>
          <w:color w:val="000000"/>
          <w:szCs w:val="20"/>
          <w:lang w:val="fr-CH"/>
        </w:rPr>
        <w:t xml:space="preserve"> l’article 101 </w:t>
      </w:r>
      <w:r w:rsidR="00F806FE" w:rsidRPr="00E342DC">
        <w:rPr>
          <w:rFonts w:cs="Tahoma"/>
          <w:i/>
          <w:iCs/>
          <w:color w:val="000000"/>
          <w:szCs w:val="20"/>
          <w:lang w:val="fr-CH"/>
        </w:rPr>
        <w:t>bis</w:t>
      </w:r>
      <w:r w:rsidRPr="00E342DC">
        <w:rPr>
          <w:rFonts w:cs="Tahoma"/>
          <w:i/>
          <w:iCs/>
          <w:color w:val="000000"/>
          <w:szCs w:val="20"/>
          <w:lang w:val="fr-CH"/>
        </w:rPr>
        <w:t xml:space="preserve"> </w:t>
      </w:r>
      <w:r w:rsidRPr="00E342DC">
        <w:rPr>
          <w:rFonts w:cs="Tahoma"/>
          <w:color w:val="000000"/>
          <w:szCs w:val="20"/>
          <w:lang w:val="fr-CH"/>
        </w:rPr>
        <w:t>pour le mettre en conformité avec la convention. Nous relevons cependant que l’</w:t>
      </w:r>
      <w:r w:rsidR="0070261E" w:rsidRPr="00E342DC">
        <w:rPr>
          <w:rFonts w:cs="Tahoma"/>
          <w:color w:val="000000"/>
          <w:szCs w:val="20"/>
          <w:lang w:val="fr-CH"/>
        </w:rPr>
        <w:t>État</w:t>
      </w:r>
      <w:r w:rsidRPr="00E342DC">
        <w:rPr>
          <w:rFonts w:cs="Tahoma"/>
          <w:color w:val="000000"/>
          <w:szCs w:val="20"/>
          <w:lang w:val="fr-CH"/>
        </w:rPr>
        <w:t xml:space="preserve"> partie ne fournit pas davantage d’information</w:t>
      </w:r>
      <w:r w:rsidR="0070261E" w:rsidRPr="00E342DC">
        <w:rPr>
          <w:rFonts w:cs="Tahoma"/>
          <w:color w:val="000000"/>
          <w:szCs w:val="20"/>
          <w:lang w:val="fr-CH"/>
        </w:rPr>
        <w:t>s</w:t>
      </w:r>
      <w:r w:rsidRPr="00E342DC">
        <w:rPr>
          <w:rFonts w:cs="Tahoma"/>
          <w:color w:val="000000"/>
          <w:szCs w:val="20"/>
          <w:lang w:val="fr-CH"/>
        </w:rPr>
        <w:t xml:space="preserve"> quant à l’état d’avancement de cette réforme ainsi que sur son contenu</w:t>
      </w:r>
      <w:r w:rsidRPr="00E342DC">
        <w:rPr>
          <w:rStyle w:val="FootnoteReference"/>
          <w:rFonts w:eastAsia="Times New Roman" w:cs="Tahoma"/>
          <w:i/>
          <w:iCs/>
          <w:szCs w:val="20"/>
          <w:lang w:val="fr-CH" w:eastAsia="fr-CH"/>
        </w:rPr>
        <w:footnoteReference w:id="4"/>
      </w:r>
      <w:r w:rsidRPr="00E342DC">
        <w:rPr>
          <w:rFonts w:cs="Tahoma"/>
          <w:color w:val="000000"/>
          <w:szCs w:val="20"/>
          <w:lang w:val="fr-CH"/>
        </w:rPr>
        <w:t>.</w:t>
      </w:r>
      <w:r w:rsidR="00BF513F">
        <w:rPr>
          <w:rFonts w:cs="Tahoma"/>
          <w:color w:val="000000"/>
          <w:szCs w:val="20"/>
          <w:lang w:val="fr-CH"/>
        </w:rPr>
        <w:t xml:space="preserve"> </w:t>
      </w:r>
    </w:p>
    <w:p w:rsidR="00C615F7" w:rsidRPr="00E342DC" w:rsidRDefault="00C615F7" w:rsidP="00DA0ABA">
      <w:pPr>
        <w:rPr>
          <w:rFonts w:cs="Tahoma"/>
          <w:color w:val="000000"/>
          <w:szCs w:val="20"/>
          <w:lang w:val="fr-CH"/>
        </w:rPr>
      </w:pPr>
    </w:p>
    <w:p w:rsidR="00C615F7" w:rsidRPr="00E342DC" w:rsidRDefault="00C615F7" w:rsidP="0070261E">
      <w:pPr>
        <w:rPr>
          <w:rFonts w:cs="Tahoma"/>
          <w:color w:val="000000"/>
          <w:szCs w:val="20"/>
          <w:lang w:val="fr-CH"/>
        </w:rPr>
      </w:pPr>
      <w:r w:rsidRPr="00E342DC">
        <w:rPr>
          <w:rFonts w:cs="Tahoma"/>
          <w:color w:val="000000"/>
          <w:szCs w:val="20"/>
          <w:lang w:val="fr-CH"/>
        </w:rPr>
        <w:t xml:space="preserve">Enfin des problématiques spécifiques à la poursuite des actes de torture commis avant le processus de transition se posent et </w:t>
      </w:r>
      <w:r w:rsidR="0070261E" w:rsidRPr="00E342DC">
        <w:rPr>
          <w:rFonts w:cs="Tahoma"/>
          <w:color w:val="000000"/>
          <w:szCs w:val="20"/>
          <w:lang w:val="fr-CH"/>
        </w:rPr>
        <w:t xml:space="preserve">seront </w:t>
      </w:r>
      <w:r w:rsidRPr="00E342DC">
        <w:rPr>
          <w:rFonts w:cs="Tahoma"/>
          <w:color w:val="000000"/>
          <w:szCs w:val="20"/>
          <w:lang w:val="fr-CH"/>
        </w:rPr>
        <w:t>étudié</w:t>
      </w:r>
      <w:r w:rsidR="0070261E" w:rsidRPr="00E342DC">
        <w:rPr>
          <w:rFonts w:cs="Tahoma"/>
          <w:color w:val="000000"/>
          <w:szCs w:val="20"/>
          <w:lang w:val="fr-CH"/>
        </w:rPr>
        <w:t>e</w:t>
      </w:r>
      <w:r w:rsidRPr="00E342DC">
        <w:rPr>
          <w:rFonts w:cs="Tahoma"/>
          <w:color w:val="000000"/>
          <w:szCs w:val="20"/>
          <w:lang w:val="fr-CH"/>
        </w:rPr>
        <w:t>s dans la partie spécifique à la justice transitionnelle (Partie 8).</w:t>
      </w:r>
    </w:p>
    <w:p w:rsidR="008422A4" w:rsidRPr="00E342DC" w:rsidRDefault="008422A4" w:rsidP="00DA0ABA">
      <w:pPr>
        <w:bidi/>
        <w:ind w:left="754" w:hanging="142"/>
        <w:rPr>
          <w:rFonts w:cs="Tahoma"/>
          <w:szCs w:val="20"/>
          <w:lang w:val="fr-CH"/>
        </w:rPr>
      </w:pPr>
    </w:p>
    <w:p w:rsidR="000B02C7" w:rsidRPr="00E342DC" w:rsidRDefault="001522FF" w:rsidP="00DA0ABA">
      <w:pPr>
        <w:pStyle w:val="Heading2"/>
        <w:rPr>
          <w:rFonts w:cs="Tahoma"/>
          <w:szCs w:val="20"/>
          <w:lang w:val="fr-CH"/>
        </w:rPr>
      </w:pPr>
      <w:bookmarkStart w:id="4" w:name="_Toc447008712"/>
      <w:r w:rsidRPr="00E342DC">
        <w:rPr>
          <w:rFonts w:cs="Tahoma"/>
          <w:szCs w:val="20"/>
          <w:lang w:val="fr-CH"/>
        </w:rPr>
        <w:t>Interdiction de la torture en droit interne</w:t>
      </w:r>
      <w:bookmarkEnd w:id="4"/>
      <w:r w:rsidRPr="00E342DC">
        <w:rPr>
          <w:rFonts w:cs="Tahoma"/>
          <w:szCs w:val="20"/>
          <w:lang w:val="fr-CH"/>
        </w:rPr>
        <w:t xml:space="preserve"> </w:t>
      </w:r>
    </w:p>
    <w:p w:rsidR="000B02C7" w:rsidRPr="00E342DC" w:rsidRDefault="000B02C7" w:rsidP="00DA0ABA">
      <w:pPr>
        <w:rPr>
          <w:rFonts w:cs="Tahoma"/>
          <w:szCs w:val="20"/>
          <w:lang w:val="fr-CH"/>
        </w:rPr>
      </w:pPr>
    </w:p>
    <w:p w:rsidR="003D51ED" w:rsidRPr="00E342DC" w:rsidRDefault="003D51ED" w:rsidP="00DA0ABA">
      <w:pPr>
        <w:pStyle w:val="Heading3"/>
        <w:rPr>
          <w:rFonts w:cs="Tahoma"/>
          <w:szCs w:val="20"/>
          <w:lang w:val="fr-CH"/>
        </w:rPr>
      </w:pPr>
      <w:bookmarkStart w:id="5" w:name="_Toc447008713"/>
      <w:r w:rsidRPr="00E342DC">
        <w:rPr>
          <w:rFonts w:cs="Tahoma"/>
          <w:szCs w:val="20"/>
          <w:lang w:val="fr-CH"/>
        </w:rPr>
        <w:t xml:space="preserve">Incrimination séparée </w:t>
      </w:r>
      <w:r w:rsidR="00706663" w:rsidRPr="00E342DC">
        <w:rPr>
          <w:rFonts w:cs="Tahoma"/>
          <w:szCs w:val="20"/>
          <w:lang w:val="fr-CH"/>
        </w:rPr>
        <w:t>et peines appropriées</w:t>
      </w:r>
      <w:bookmarkEnd w:id="5"/>
      <w:r w:rsidR="00706663" w:rsidRPr="00E342DC">
        <w:rPr>
          <w:rFonts w:cs="Tahoma"/>
          <w:szCs w:val="20"/>
          <w:lang w:val="fr-CH"/>
        </w:rPr>
        <w:t xml:space="preserve"> </w:t>
      </w:r>
    </w:p>
    <w:p w:rsidR="003D51ED" w:rsidRPr="00E342DC" w:rsidRDefault="003D51ED" w:rsidP="00DA0ABA">
      <w:pPr>
        <w:rPr>
          <w:rFonts w:cs="Tahoma"/>
          <w:szCs w:val="20"/>
          <w:lang w:val="fr-CH"/>
        </w:rPr>
      </w:pPr>
    </w:p>
    <w:p w:rsidR="00C554B1" w:rsidRPr="00E342DC" w:rsidRDefault="000B02C7" w:rsidP="00DA0ABA">
      <w:pPr>
        <w:rPr>
          <w:rFonts w:eastAsia="Times New Roman" w:cs="Tahoma"/>
          <w:szCs w:val="20"/>
          <w:lang w:val="fr-CH" w:eastAsia="fr-FR"/>
        </w:rPr>
      </w:pPr>
      <w:r w:rsidRPr="00E342DC">
        <w:rPr>
          <w:rFonts w:cs="Tahoma"/>
          <w:szCs w:val="20"/>
          <w:lang w:val="fr-CH"/>
        </w:rPr>
        <w:t>L’article 4</w:t>
      </w:r>
      <w:r w:rsidR="008422A4" w:rsidRPr="00E342DC">
        <w:rPr>
          <w:rFonts w:cs="Tahoma"/>
          <w:szCs w:val="20"/>
          <w:lang w:val="fr-CH"/>
        </w:rPr>
        <w:t xml:space="preserve"> de la Convention</w:t>
      </w:r>
      <w:r w:rsidRPr="00E342DC">
        <w:rPr>
          <w:rFonts w:cs="Tahoma"/>
          <w:szCs w:val="20"/>
          <w:lang w:val="fr-CH"/>
        </w:rPr>
        <w:t xml:space="preserve"> requiert de l’</w:t>
      </w:r>
      <w:r w:rsidR="0070261E" w:rsidRPr="00E342DC">
        <w:rPr>
          <w:rFonts w:cs="Tahoma"/>
          <w:szCs w:val="20"/>
          <w:lang w:val="fr-CH"/>
        </w:rPr>
        <w:t>État</w:t>
      </w:r>
      <w:r w:rsidRPr="00E342DC">
        <w:rPr>
          <w:rFonts w:cs="Tahoma"/>
          <w:szCs w:val="20"/>
          <w:lang w:val="fr-CH"/>
        </w:rPr>
        <w:t xml:space="preserve"> </w:t>
      </w:r>
      <w:r w:rsidR="0070261E" w:rsidRPr="00E342DC">
        <w:rPr>
          <w:rFonts w:cs="Tahoma"/>
          <w:szCs w:val="20"/>
          <w:lang w:val="fr-CH"/>
        </w:rPr>
        <w:t xml:space="preserve">partie </w:t>
      </w:r>
      <w:r w:rsidR="00132435" w:rsidRPr="00E342DC">
        <w:rPr>
          <w:rFonts w:cs="Tahoma"/>
          <w:szCs w:val="20"/>
          <w:lang w:val="fr-CH"/>
        </w:rPr>
        <w:t xml:space="preserve">qu’il érige la torture en crime spécifique, distinct des autres types d’infractions prévues </w:t>
      </w:r>
      <w:r w:rsidR="00892553" w:rsidRPr="00E342DC">
        <w:rPr>
          <w:rFonts w:eastAsia="Times New Roman" w:cs="Tahoma"/>
          <w:szCs w:val="20"/>
          <w:lang w:val="fr-CH" w:eastAsia="fr-FR"/>
        </w:rPr>
        <w:t>dans</w:t>
      </w:r>
      <w:r w:rsidRPr="00E342DC">
        <w:rPr>
          <w:rFonts w:eastAsia="Times New Roman" w:cs="Tahoma"/>
          <w:szCs w:val="20"/>
          <w:lang w:val="fr-CH" w:eastAsia="fr-FR"/>
        </w:rPr>
        <w:t xml:space="preserve"> son droit pénal. Il en est de même </w:t>
      </w:r>
      <w:r w:rsidR="00DE797F" w:rsidRPr="00E342DC">
        <w:rPr>
          <w:rFonts w:eastAsia="Times New Roman" w:cs="Tahoma"/>
          <w:szCs w:val="20"/>
          <w:lang w:val="fr-CH" w:eastAsia="fr-FR"/>
        </w:rPr>
        <w:t xml:space="preserve">pour la </w:t>
      </w:r>
      <w:r w:rsidRPr="00E342DC">
        <w:rPr>
          <w:rFonts w:eastAsia="Times New Roman" w:cs="Tahoma"/>
          <w:szCs w:val="20"/>
          <w:lang w:val="fr-CH" w:eastAsia="fr-FR"/>
        </w:rPr>
        <w:t xml:space="preserve">tentative </w:t>
      </w:r>
      <w:r w:rsidR="00DE797F" w:rsidRPr="00E342DC">
        <w:rPr>
          <w:rFonts w:eastAsia="Times New Roman" w:cs="Tahoma"/>
          <w:szCs w:val="20"/>
          <w:lang w:val="fr-CH" w:eastAsia="fr-FR"/>
        </w:rPr>
        <w:t>ainsi que la complicité</w:t>
      </w:r>
      <w:r w:rsidRPr="00E342DC">
        <w:rPr>
          <w:rFonts w:eastAsia="Times New Roman" w:cs="Tahoma"/>
          <w:szCs w:val="20"/>
          <w:lang w:val="fr-CH" w:eastAsia="fr-FR"/>
        </w:rPr>
        <w:t>. De plus, l’</w:t>
      </w:r>
      <w:r w:rsidR="0070261E" w:rsidRPr="00E342DC">
        <w:rPr>
          <w:rFonts w:eastAsia="Times New Roman" w:cs="Tahoma"/>
          <w:szCs w:val="20"/>
          <w:lang w:val="fr-CH" w:eastAsia="fr-FR"/>
        </w:rPr>
        <w:t>État</w:t>
      </w:r>
      <w:r w:rsidRPr="00E342DC">
        <w:rPr>
          <w:rFonts w:eastAsia="Times New Roman" w:cs="Tahoma"/>
          <w:szCs w:val="20"/>
          <w:lang w:val="fr-CH" w:eastAsia="fr-FR"/>
        </w:rPr>
        <w:t xml:space="preserve"> partie est tenu de rendre l’infraction passible de peines appropriées qui prennent en considération leur gravité en vertu du paragraphe 2 de l’article 4. En d’autres termes, la législation interne doit comporter des peines sévères. L’</w:t>
      </w:r>
      <w:r w:rsidR="0070261E" w:rsidRPr="00E342DC">
        <w:rPr>
          <w:rFonts w:eastAsia="Times New Roman" w:cs="Tahoma"/>
          <w:szCs w:val="20"/>
          <w:lang w:val="fr-CH" w:eastAsia="fr-FR"/>
        </w:rPr>
        <w:t>État</w:t>
      </w:r>
      <w:r w:rsidRPr="00E342DC">
        <w:rPr>
          <w:rFonts w:eastAsia="Times New Roman" w:cs="Tahoma"/>
          <w:szCs w:val="20"/>
          <w:lang w:val="fr-CH" w:eastAsia="fr-FR"/>
        </w:rPr>
        <w:t xml:space="preserve"> partie détient une certaine marge d’appréciation </w:t>
      </w:r>
      <w:r w:rsidR="0060790C" w:rsidRPr="00E342DC">
        <w:rPr>
          <w:rFonts w:eastAsia="Times New Roman" w:cs="Tahoma"/>
          <w:szCs w:val="20"/>
          <w:lang w:val="fr-CH" w:eastAsia="fr-FR"/>
        </w:rPr>
        <w:t>dans l’évaluation</w:t>
      </w:r>
      <w:r w:rsidRPr="00E342DC">
        <w:rPr>
          <w:rFonts w:eastAsia="Times New Roman" w:cs="Tahoma"/>
          <w:szCs w:val="20"/>
          <w:lang w:val="fr-CH" w:eastAsia="fr-FR"/>
        </w:rPr>
        <w:t xml:space="preserve"> </w:t>
      </w:r>
      <w:r w:rsidR="0060790C" w:rsidRPr="00E342DC">
        <w:rPr>
          <w:rFonts w:eastAsia="Times New Roman" w:cs="Tahoma"/>
          <w:szCs w:val="20"/>
          <w:lang w:val="fr-CH" w:eastAsia="fr-FR"/>
        </w:rPr>
        <w:t xml:space="preserve">des </w:t>
      </w:r>
      <w:r w:rsidRPr="00E342DC">
        <w:rPr>
          <w:rFonts w:eastAsia="Times New Roman" w:cs="Tahoma"/>
          <w:szCs w:val="20"/>
          <w:lang w:val="fr-CH" w:eastAsia="fr-FR"/>
        </w:rPr>
        <w:t xml:space="preserve">sanctions pénales. </w:t>
      </w:r>
    </w:p>
    <w:p w:rsidR="0060790C" w:rsidRPr="00E342DC" w:rsidRDefault="0060790C" w:rsidP="00DA0ABA">
      <w:pPr>
        <w:rPr>
          <w:rFonts w:cs="Tahoma"/>
          <w:color w:val="000000"/>
          <w:szCs w:val="20"/>
          <w:lang w:val="fr-CH"/>
        </w:rPr>
      </w:pPr>
    </w:p>
    <w:p w:rsidR="000B02C7" w:rsidRPr="00E342DC" w:rsidRDefault="000B02C7" w:rsidP="00DA0ABA">
      <w:pPr>
        <w:rPr>
          <w:rFonts w:cs="Tahoma"/>
          <w:color w:val="000000"/>
          <w:szCs w:val="20"/>
          <w:lang w:val="fr-CH"/>
        </w:rPr>
      </w:pPr>
      <w:r w:rsidRPr="00E342DC">
        <w:rPr>
          <w:rFonts w:cs="Tahoma"/>
          <w:color w:val="000000"/>
          <w:szCs w:val="20"/>
          <w:lang w:val="fr-CH"/>
        </w:rPr>
        <w:t>Avant l’adoption de la loi n° 98/1999, l</w:t>
      </w:r>
      <w:r w:rsidR="00892553" w:rsidRPr="00E342DC">
        <w:rPr>
          <w:rFonts w:cs="Tahoma"/>
          <w:color w:val="000000"/>
          <w:szCs w:val="20"/>
          <w:lang w:val="fr-CH"/>
        </w:rPr>
        <w:t xml:space="preserve">a seule disposition qui pouvait être invoquée pour poursuivre des actes de torture était </w:t>
      </w:r>
      <w:r w:rsidRPr="00E342DC">
        <w:rPr>
          <w:rFonts w:cs="Tahoma"/>
          <w:color w:val="000000"/>
          <w:szCs w:val="20"/>
          <w:lang w:val="fr-CH"/>
        </w:rPr>
        <w:t xml:space="preserve">article 101 du Code pénal qui « punit de cinq ans d’emprisonnement et de 120 dinars d’amende tout fonctionnaire public ou assimilé qui, dans l’exercice ou à l’occasion de l’exercice de ses fonctions, aura, sans motif légitime, usé ou fait user </w:t>
      </w:r>
      <w:r w:rsidRPr="00E342DC">
        <w:rPr>
          <w:rFonts w:cs="Tahoma"/>
          <w:color w:val="000000"/>
          <w:szCs w:val="20"/>
          <w:u w:val="single"/>
          <w:lang w:val="fr-CH"/>
        </w:rPr>
        <w:t>de violences envers les personnes</w:t>
      </w:r>
      <w:r w:rsidR="00706663" w:rsidRPr="00E342DC">
        <w:rPr>
          <w:rFonts w:cs="Tahoma"/>
          <w:color w:val="000000"/>
          <w:szCs w:val="20"/>
          <w:u w:val="single"/>
          <w:lang w:val="fr-CH"/>
        </w:rPr>
        <w:t>.</w:t>
      </w:r>
      <w:r w:rsidR="00706663" w:rsidRPr="00E342DC">
        <w:rPr>
          <w:rFonts w:cs="Tahoma"/>
          <w:color w:val="000000"/>
          <w:szCs w:val="20"/>
          <w:lang w:val="fr-CH"/>
        </w:rPr>
        <w:t xml:space="preserve"> »</w:t>
      </w:r>
    </w:p>
    <w:p w:rsidR="000B02C7" w:rsidRPr="00E342DC" w:rsidRDefault="000B02C7" w:rsidP="00DA0ABA">
      <w:pPr>
        <w:rPr>
          <w:rFonts w:cs="Tahoma"/>
          <w:szCs w:val="20"/>
          <w:lang w:val="fr-CH"/>
        </w:rPr>
      </w:pPr>
    </w:p>
    <w:p w:rsidR="00C554B1" w:rsidRPr="00E342DC" w:rsidRDefault="00892553" w:rsidP="0037349D">
      <w:pPr>
        <w:rPr>
          <w:rFonts w:cs="Tahoma"/>
          <w:szCs w:val="20"/>
          <w:lang w:val="fr-CH"/>
        </w:rPr>
      </w:pPr>
      <w:r w:rsidRPr="00E342DC">
        <w:rPr>
          <w:rFonts w:cs="Tahoma"/>
          <w:szCs w:val="20"/>
          <w:lang w:val="fr-CH"/>
        </w:rPr>
        <w:t xml:space="preserve">La loi </w:t>
      </w:r>
      <w:r w:rsidRPr="00E342DC">
        <w:rPr>
          <w:rFonts w:cs="Tahoma"/>
          <w:color w:val="000000"/>
          <w:szCs w:val="20"/>
          <w:lang w:val="fr-CH"/>
        </w:rPr>
        <w:t>n° 98/1999</w:t>
      </w:r>
      <w:r w:rsidR="000B02C7" w:rsidRPr="00E342DC">
        <w:rPr>
          <w:rFonts w:cs="Tahoma"/>
          <w:szCs w:val="20"/>
          <w:lang w:val="fr-CH"/>
        </w:rPr>
        <w:t xml:space="preserve"> </w:t>
      </w:r>
      <w:r w:rsidRPr="00E342DC">
        <w:rPr>
          <w:rFonts w:cs="Tahoma"/>
          <w:szCs w:val="20"/>
          <w:lang w:val="fr-CH"/>
        </w:rPr>
        <w:t xml:space="preserve">a érigé la torture comme incrimination </w:t>
      </w:r>
      <w:r w:rsidR="0037349D" w:rsidRPr="00E342DC">
        <w:rPr>
          <w:rFonts w:cs="Tahoma"/>
          <w:szCs w:val="20"/>
          <w:lang w:val="fr-CH"/>
        </w:rPr>
        <w:t xml:space="preserve">autonome </w:t>
      </w:r>
      <w:r w:rsidR="000B02C7" w:rsidRPr="00E342DC">
        <w:rPr>
          <w:rFonts w:cs="Tahoma"/>
          <w:szCs w:val="20"/>
          <w:lang w:val="fr-CH"/>
        </w:rPr>
        <w:t>avec l’introduction de l’article 101</w:t>
      </w:r>
      <w:r w:rsidR="003D51ED" w:rsidRPr="00E342DC">
        <w:rPr>
          <w:rFonts w:cs="Tahoma"/>
          <w:szCs w:val="20"/>
          <w:lang w:val="fr-CH"/>
        </w:rPr>
        <w:t xml:space="preserve"> </w:t>
      </w:r>
      <w:r w:rsidR="00F806FE" w:rsidRPr="00E342DC">
        <w:rPr>
          <w:rFonts w:cs="Tahoma"/>
          <w:i/>
          <w:iCs/>
          <w:szCs w:val="20"/>
          <w:lang w:val="fr-CH"/>
        </w:rPr>
        <w:t>bis</w:t>
      </w:r>
      <w:r w:rsidR="000B02C7" w:rsidRPr="00E342DC">
        <w:rPr>
          <w:rFonts w:cs="Tahoma"/>
          <w:szCs w:val="20"/>
          <w:lang w:val="fr-CH"/>
        </w:rPr>
        <w:t xml:space="preserve"> dans le Code pénal</w:t>
      </w:r>
      <w:r w:rsidRPr="00E342DC">
        <w:rPr>
          <w:rFonts w:cs="Tahoma"/>
          <w:szCs w:val="20"/>
          <w:lang w:val="fr-CH"/>
        </w:rPr>
        <w:t xml:space="preserve"> qui </w:t>
      </w:r>
      <w:r w:rsidR="000B02C7" w:rsidRPr="00E342DC">
        <w:rPr>
          <w:rFonts w:cs="Tahoma"/>
          <w:szCs w:val="20"/>
          <w:lang w:val="fr-CH"/>
        </w:rPr>
        <w:t>punit d’un</w:t>
      </w:r>
      <w:r w:rsidR="0060790C" w:rsidRPr="00E342DC">
        <w:rPr>
          <w:rFonts w:cs="Tahoma"/>
          <w:szCs w:val="20"/>
          <w:lang w:val="fr-CH"/>
        </w:rPr>
        <w:t>e peine allant jusqu’à</w:t>
      </w:r>
      <w:r w:rsidR="000B02C7" w:rsidRPr="00E342DC">
        <w:rPr>
          <w:rFonts w:cs="Tahoma"/>
          <w:szCs w:val="20"/>
          <w:lang w:val="fr-CH"/>
        </w:rPr>
        <w:t xml:space="preserve"> </w:t>
      </w:r>
      <w:r w:rsidR="0060790C" w:rsidRPr="00E342DC">
        <w:rPr>
          <w:rFonts w:cs="Tahoma"/>
          <w:szCs w:val="20"/>
          <w:lang w:val="fr-CH"/>
        </w:rPr>
        <w:t xml:space="preserve">huit années </w:t>
      </w:r>
      <w:r w:rsidR="000B02C7" w:rsidRPr="00E342DC">
        <w:rPr>
          <w:rFonts w:cs="Tahoma"/>
          <w:szCs w:val="20"/>
          <w:lang w:val="fr-CH"/>
        </w:rPr>
        <w:t>emprisonnement</w:t>
      </w:r>
      <w:r w:rsidR="0060790C" w:rsidRPr="00E342DC">
        <w:rPr>
          <w:rFonts w:cs="Tahoma"/>
          <w:szCs w:val="20"/>
          <w:lang w:val="fr-CH"/>
        </w:rPr>
        <w:t>,</w:t>
      </w:r>
      <w:r w:rsidR="000B02C7" w:rsidRPr="00E342DC">
        <w:rPr>
          <w:rFonts w:cs="Tahoma"/>
          <w:szCs w:val="20"/>
          <w:lang w:val="fr-CH"/>
        </w:rPr>
        <w:t xml:space="preserve"> le fonctionnaire ou assimilé qui soumet une personne à la torture et ce, dans l’exercice ou à l’occasion de l’exercice de ses fonctions. En 2011, </w:t>
      </w:r>
      <w:r w:rsidR="0060790C" w:rsidRPr="00E342DC">
        <w:rPr>
          <w:rFonts w:cs="Tahoma"/>
          <w:szCs w:val="20"/>
          <w:lang w:val="fr-CH"/>
        </w:rPr>
        <w:t xml:space="preserve">cet </w:t>
      </w:r>
      <w:r w:rsidR="000B02C7" w:rsidRPr="00E342DC">
        <w:rPr>
          <w:rFonts w:cs="Tahoma"/>
          <w:szCs w:val="20"/>
          <w:lang w:val="fr-CH"/>
        </w:rPr>
        <w:t>article ainsi que l’article 103 ont été amendé</w:t>
      </w:r>
      <w:r w:rsidR="0060790C" w:rsidRPr="00E342DC">
        <w:rPr>
          <w:rFonts w:cs="Tahoma"/>
          <w:szCs w:val="20"/>
          <w:lang w:val="fr-CH"/>
        </w:rPr>
        <w:t>s</w:t>
      </w:r>
      <w:r w:rsidR="000B02C7" w:rsidRPr="00E342DC">
        <w:rPr>
          <w:rFonts w:cs="Tahoma"/>
          <w:szCs w:val="20"/>
          <w:lang w:val="fr-CH"/>
        </w:rPr>
        <w:t xml:space="preserve"> par le décret loi n° 106/2011. Le texte en vigueur à ce jour </w:t>
      </w:r>
      <w:r w:rsidR="0060790C" w:rsidRPr="00E342DC">
        <w:rPr>
          <w:rFonts w:cs="Tahoma"/>
          <w:szCs w:val="20"/>
          <w:lang w:val="fr-CH"/>
        </w:rPr>
        <w:t>prévoit</w:t>
      </w:r>
      <w:r w:rsidR="000B02C7" w:rsidRPr="00E342DC">
        <w:rPr>
          <w:rFonts w:cs="Tahoma"/>
          <w:szCs w:val="20"/>
          <w:lang w:val="fr-CH"/>
        </w:rPr>
        <w:t xml:space="preserve"> une amende de 10 000 dinars </w:t>
      </w:r>
      <w:r w:rsidR="0060790C" w:rsidRPr="00E342DC">
        <w:rPr>
          <w:rFonts w:cs="Tahoma"/>
          <w:szCs w:val="20"/>
          <w:lang w:val="fr-CH"/>
        </w:rPr>
        <w:t xml:space="preserve">en plus de la peine </w:t>
      </w:r>
      <w:r w:rsidR="00E342DC" w:rsidRPr="00E342DC">
        <w:rPr>
          <w:rFonts w:cs="Tahoma"/>
          <w:szCs w:val="20"/>
          <w:lang w:val="fr-CH"/>
        </w:rPr>
        <w:t xml:space="preserve">d’emprisonnement. </w:t>
      </w:r>
      <w:r w:rsidR="000B02C7" w:rsidRPr="00E342DC">
        <w:rPr>
          <w:rFonts w:cs="Tahoma"/>
          <w:szCs w:val="20"/>
          <w:lang w:val="fr-CH"/>
        </w:rPr>
        <w:t xml:space="preserve">D’autre part le paragraphe 2 de l’article 101 </w:t>
      </w:r>
      <w:r w:rsidR="0060790C" w:rsidRPr="00E342DC">
        <w:rPr>
          <w:rFonts w:cs="Tahoma"/>
          <w:szCs w:val="20"/>
          <w:lang w:val="fr-CH"/>
        </w:rPr>
        <w:t>introduit d</w:t>
      </w:r>
      <w:r w:rsidR="000B02C7" w:rsidRPr="00E342DC">
        <w:rPr>
          <w:rFonts w:cs="Tahoma"/>
          <w:szCs w:val="20"/>
          <w:lang w:val="fr-CH"/>
        </w:rPr>
        <w:t xml:space="preserve">es circonstances aggravantes </w:t>
      </w:r>
      <w:r w:rsidR="0060790C" w:rsidRPr="00E342DC">
        <w:rPr>
          <w:rFonts w:cs="Tahoma"/>
          <w:szCs w:val="20"/>
          <w:lang w:val="fr-CH"/>
        </w:rPr>
        <w:t>en cas de séquelles graves ou d’invalidité permanente résultant de l’acte de torture ou en dans d’autres circonstances particulières en disposant que</w:t>
      </w:r>
      <w:r w:rsidR="000B02C7" w:rsidRPr="00E342DC">
        <w:rPr>
          <w:rFonts w:cs="Tahoma"/>
          <w:szCs w:val="20"/>
          <w:lang w:val="fr-CH"/>
        </w:rPr>
        <w:t xml:space="preserve"> : </w:t>
      </w:r>
    </w:p>
    <w:p w:rsidR="000B02C7" w:rsidRPr="00E342DC" w:rsidRDefault="000B02C7" w:rsidP="00DA0ABA">
      <w:pPr>
        <w:rPr>
          <w:rFonts w:cs="Tahoma"/>
          <w:szCs w:val="20"/>
          <w:lang w:val="fr-CH"/>
        </w:rPr>
      </w:pPr>
    </w:p>
    <w:p w:rsidR="000B02C7" w:rsidRPr="00E342DC" w:rsidRDefault="000B02C7" w:rsidP="00DA0ABA">
      <w:pPr>
        <w:rPr>
          <w:rFonts w:cs="Tahoma"/>
          <w:i/>
          <w:iCs/>
          <w:szCs w:val="20"/>
          <w:lang w:val="fr-CH"/>
        </w:rPr>
      </w:pPr>
      <w:r w:rsidRPr="00E342DC">
        <w:rPr>
          <w:rFonts w:cs="Tahoma"/>
          <w:i/>
          <w:iCs/>
          <w:szCs w:val="20"/>
          <w:lang w:val="fr-CH"/>
        </w:rPr>
        <w:t>« La peine est portée à douze années et à une amende de 20 000 dinars s’il résulte de la torture une amputation, une fracture ou une invalidité permanente. La peine est de dix ans et d’une amende de vingt mille dinars si la torture est exercée sur un enfant. La peine atteint seize ans et une amende de 25 000 dinars s’il résulte de la torture d’un enfant une amputation, une fracture ou une invalidité permanente. La torture ayant entraîné la mort est punie de l’emprisonnement à perpétuité ce qui n’obère pas la possibilité que soient appliquées les peines les plus lourdes prévues en cas d’agressions sur les personnes si la situation l’exige. »</w:t>
      </w:r>
    </w:p>
    <w:p w:rsidR="000B02C7" w:rsidRPr="00E342DC" w:rsidRDefault="000B02C7" w:rsidP="00DA0ABA">
      <w:pPr>
        <w:rPr>
          <w:rFonts w:cs="Tahoma"/>
          <w:szCs w:val="20"/>
          <w:lang w:val="fr-CH"/>
        </w:rPr>
      </w:pPr>
    </w:p>
    <w:p w:rsidR="000B02C7" w:rsidRPr="00E342DC" w:rsidRDefault="000B02C7" w:rsidP="00DA0ABA">
      <w:pPr>
        <w:rPr>
          <w:rFonts w:cs="Tahoma"/>
          <w:i/>
          <w:iCs/>
          <w:szCs w:val="20"/>
          <w:lang w:val="fr-CH"/>
        </w:rPr>
      </w:pPr>
      <w:r w:rsidRPr="00E342DC">
        <w:rPr>
          <w:rFonts w:cs="Tahoma"/>
          <w:szCs w:val="20"/>
          <w:lang w:val="fr-CH"/>
        </w:rPr>
        <w:t>L’article 103 du Code pénal de l’</w:t>
      </w:r>
      <w:r w:rsidR="0070261E" w:rsidRPr="00E342DC">
        <w:rPr>
          <w:rFonts w:cs="Tahoma"/>
          <w:szCs w:val="20"/>
          <w:lang w:val="fr-CH"/>
        </w:rPr>
        <w:t>État</w:t>
      </w:r>
      <w:r w:rsidRPr="00E342DC">
        <w:rPr>
          <w:rFonts w:cs="Tahoma"/>
          <w:szCs w:val="20"/>
          <w:lang w:val="fr-CH"/>
        </w:rPr>
        <w:t xml:space="preserve"> partie prévoit </w:t>
      </w:r>
      <w:r w:rsidRPr="00E342DC">
        <w:rPr>
          <w:rFonts w:cs="Tahoma"/>
          <w:i/>
          <w:iCs/>
          <w:szCs w:val="20"/>
          <w:lang w:val="fr-CH"/>
        </w:rPr>
        <w:t>« cinq ans d’emprisonnement et de cent vingt dinars d’amende tout fonctionnaire public qui, sans motif légitime, aura porté atteinte à la liberté individuelle d’autrui ou usé ou fait user de violences ou de mauvais traitements envers un accusé, un témoin ou un expert, pour en obtenir des aveux ou déclarations. La peine est réduite à six mois d’emprisonnement s’il y a eu seulement menaces de violences ou de mauvais traitements. »</w:t>
      </w:r>
    </w:p>
    <w:p w:rsidR="007C716D" w:rsidRPr="00E342DC" w:rsidRDefault="007C716D" w:rsidP="00DA0ABA">
      <w:pPr>
        <w:rPr>
          <w:rFonts w:cs="Tahoma"/>
          <w:i/>
          <w:iCs/>
          <w:szCs w:val="20"/>
          <w:lang w:val="fr-CH"/>
        </w:rPr>
      </w:pPr>
    </w:p>
    <w:p w:rsidR="007C716D" w:rsidRPr="00E342DC" w:rsidRDefault="00F806FE" w:rsidP="00DA0ABA">
      <w:pPr>
        <w:rPr>
          <w:rFonts w:cs="Tahoma"/>
          <w:szCs w:val="20"/>
          <w:lang w:val="fr-CH"/>
        </w:rPr>
      </w:pPr>
      <w:r w:rsidRPr="00E342DC">
        <w:rPr>
          <w:rFonts w:cs="Tahoma"/>
          <w:szCs w:val="20"/>
          <w:lang w:val="fr-CH"/>
        </w:rPr>
        <w:t>Nous rappelons que la menace de mort ou de viol sur la victime ou un des ses proches devrait être considérée comme d’une particulière gravité et devrait être punie d’une peine appropriée</w:t>
      </w:r>
      <w:r w:rsidRPr="00E342DC">
        <w:rPr>
          <w:rStyle w:val="FootnoteReference"/>
          <w:rFonts w:cs="Tahoma"/>
          <w:szCs w:val="20"/>
          <w:lang w:val="fr-CH"/>
        </w:rPr>
        <w:footnoteReference w:id="5"/>
      </w:r>
      <w:r w:rsidRPr="00E342DC">
        <w:rPr>
          <w:rFonts w:cs="Tahoma"/>
          <w:szCs w:val="20"/>
          <w:lang w:val="fr-CH"/>
        </w:rPr>
        <w:t>.</w:t>
      </w:r>
    </w:p>
    <w:p w:rsidR="003D51ED" w:rsidRPr="00E342DC" w:rsidRDefault="003D51ED" w:rsidP="00DA0ABA">
      <w:pPr>
        <w:rPr>
          <w:rFonts w:cs="Tahoma"/>
          <w:szCs w:val="20"/>
          <w:lang w:val="fr-CH"/>
        </w:rPr>
      </w:pPr>
    </w:p>
    <w:p w:rsidR="003D51ED" w:rsidRPr="00E342DC" w:rsidRDefault="003D51ED" w:rsidP="00DA0ABA">
      <w:pPr>
        <w:pStyle w:val="Heading3"/>
        <w:rPr>
          <w:rFonts w:cs="Tahoma"/>
          <w:szCs w:val="20"/>
          <w:lang w:val="fr-CH"/>
        </w:rPr>
      </w:pPr>
      <w:bookmarkStart w:id="6" w:name="_Toc447008714"/>
      <w:r w:rsidRPr="00E342DC">
        <w:rPr>
          <w:rFonts w:cs="Tahoma"/>
          <w:szCs w:val="20"/>
          <w:lang w:val="fr-CH"/>
        </w:rPr>
        <w:t>Modalité</w:t>
      </w:r>
      <w:r w:rsidR="007C716D" w:rsidRPr="00E342DC">
        <w:rPr>
          <w:rFonts w:cs="Tahoma"/>
          <w:szCs w:val="20"/>
          <w:lang w:val="fr-CH"/>
        </w:rPr>
        <w:t>s</w:t>
      </w:r>
      <w:r w:rsidRPr="00E342DC">
        <w:rPr>
          <w:rFonts w:cs="Tahoma"/>
          <w:szCs w:val="20"/>
          <w:lang w:val="fr-CH"/>
        </w:rPr>
        <w:t xml:space="preserve"> de participation </w:t>
      </w:r>
      <w:r w:rsidR="007C716D" w:rsidRPr="00E342DC">
        <w:rPr>
          <w:rFonts w:cs="Tahoma"/>
          <w:szCs w:val="20"/>
          <w:lang w:val="fr-CH"/>
        </w:rPr>
        <w:t>à l’acte de torture</w:t>
      </w:r>
      <w:bookmarkEnd w:id="6"/>
    </w:p>
    <w:p w:rsidR="003D51ED" w:rsidRPr="00E342DC" w:rsidRDefault="003D51ED" w:rsidP="00DA0ABA">
      <w:pPr>
        <w:rPr>
          <w:rFonts w:cs="Tahoma"/>
          <w:szCs w:val="20"/>
          <w:lang w:val="fr-CH"/>
        </w:rPr>
      </w:pPr>
    </w:p>
    <w:p w:rsidR="00C554B1" w:rsidRPr="00E342DC" w:rsidRDefault="007B412A" w:rsidP="00DA0ABA">
      <w:pPr>
        <w:rPr>
          <w:rFonts w:eastAsia="Times New Roman" w:cs="Tahoma"/>
          <w:szCs w:val="20"/>
          <w:lang w:val="fr-CH" w:eastAsia="fr-CH"/>
        </w:rPr>
      </w:pPr>
      <w:r w:rsidRPr="00E342DC">
        <w:rPr>
          <w:rFonts w:cs="Tahoma"/>
          <w:szCs w:val="20"/>
          <w:lang w:val="fr-CH"/>
        </w:rPr>
        <w:t xml:space="preserve">En vertu de l’article 2 (3) de la Convention, les moyens de défense relatifs aux ordres militaires ou d’un supérieur ne peuvent également jamais être invoqués dans le cadre d’une poursuite pénale pour justifier la torture. </w:t>
      </w:r>
      <w:r w:rsidR="007C716D" w:rsidRPr="00E342DC">
        <w:rPr>
          <w:rFonts w:cs="Tahoma"/>
          <w:szCs w:val="20"/>
          <w:lang w:val="fr-CH"/>
        </w:rPr>
        <w:t>Concernant</w:t>
      </w:r>
      <w:r w:rsidR="007C716D" w:rsidRPr="00E342DC">
        <w:rPr>
          <w:rFonts w:cs="Tahoma"/>
          <w:color w:val="000000"/>
          <w:szCs w:val="20"/>
          <w:lang w:val="fr-CH"/>
        </w:rPr>
        <w:t xml:space="preserve"> les ordres du supérieur hiérarchique, l</w:t>
      </w:r>
      <w:r w:rsidR="003D51ED" w:rsidRPr="00E342DC">
        <w:rPr>
          <w:rFonts w:cs="Tahoma"/>
          <w:szCs w:val="20"/>
          <w:lang w:val="fr-CH"/>
        </w:rPr>
        <w:t>’article 41 du Code pénal de l’</w:t>
      </w:r>
      <w:r w:rsidR="0070261E" w:rsidRPr="00E342DC">
        <w:rPr>
          <w:rFonts w:cs="Tahoma"/>
          <w:szCs w:val="20"/>
          <w:lang w:val="fr-CH"/>
        </w:rPr>
        <w:t>État</w:t>
      </w:r>
      <w:r w:rsidR="003D51ED" w:rsidRPr="00E342DC">
        <w:rPr>
          <w:rFonts w:cs="Tahoma"/>
          <w:szCs w:val="20"/>
          <w:lang w:val="fr-CH"/>
        </w:rPr>
        <w:t xml:space="preserve"> partie stipule qu’il n’est pas permis d’invoquer </w:t>
      </w:r>
      <w:r w:rsidR="007C716D" w:rsidRPr="00E342DC">
        <w:rPr>
          <w:rFonts w:cs="Tahoma"/>
          <w:szCs w:val="20"/>
          <w:lang w:val="fr-CH"/>
        </w:rPr>
        <w:t>la</w:t>
      </w:r>
      <w:r w:rsidR="003D51ED" w:rsidRPr="00E342DC">
        <w:rPr>
          <w:rFonts w:cs="Tahoma"/>
          <w:szCs w:val="20"/>
          <w:lang w:val="fr-CH"/>
        </w:rPr>
        <w:t xml:space="preserve"> contrainte morale ou la crainte du supérieur hiérarchique pour se soustraire à sa responsabilité pour un acte interdit par la loi.</w:t>
      </w:r>
      <w:r w:rsidR="007C716D" w:rsidRPr="00E342DC">
        <w:rPr>
          <w:rFonts w:cs="Tahoma"/>
          <w:szCs w:val="20"/>
          <w:lang w:val="fr-CH"/>
        </w:rPr>
        <w:t xml:space="preserve"> Toutefois la disposition ne mentionne pas spécifiquement que l’ordre du supérieur hiérarchique ne peut également être invoqué.</w:t>
      </w:r>
      <w:r w:rsidR="00BF513F">
        <w:rPr>
          <w:rFonts w:cs="Tahoma"/>
          <w:szCs w:val="20"/>
          <w:lang w:val="fr-CH"/>
        </w:rPr>
        <w:t xml:space="preserve"> </w:t>
      </w:r>
    </w:p>
    <w:p w:rsidR="003D51ED" w:rsidRPr="00E342DC" w:rsidRDefault="003D51ED" w:rsidP="00DA0ABA">
      <w:pPr>
        <w:rPr>
          <w:rFonts w:cs="Tahoma"/>
          <w:szCs w:val="20"/>
          <w:lang w:val="fr-CH"/>
        </w:rPr>
      </w:pPr>
    </w:p>
    <w:p w:rsidR="00C554B1" w:rsidRPr="00E342DC" w:rsidRDefault="004962EC" w:rsidP="00DA0ABA">
      <w:pPr>
        <w:rPr>
          <w:rFonts w:cs="Tahoma"/>
          <w:color w:val="000000"/>
          <w:szCs w:val="20"/>
          <w:lang w:val="fr-CH"/>
        </w:rPr>
      </w:pPr>
      <w:r w:rsidRPr="00E342DC">
        <w:rPr>
          <w:rFonts w:cs="Tahoma"/>
          <w:szCs w:val="20"/>
          <w:lang w:val="fr-CH"/>
        </w:rPr>
        <w:t>L’</w:t>
      </w:r>
      <w:r w:rsidR="003D51ED" w:rsidRPr="00E342DC">
        <w:rPr>
          <w:rFonts w:cs="Tahoma"/>
          <w:szCs w:val="20"/>
          <w:lang w:val="fr-CH"/>
        </w:rPr>
        <w:t xml:space="preserve">article 4 </w:t>
      </w:r>
      <w:r w:rsidRPr="00E342DC">
        <w:rPr>
          <w:rFonts w:cs="Tahoma"/>
          <w:szCs w:val="20"/>
          <w:lang w:val="fr-CH"/>
        </w:rPr>
        <w:t xml:space="preserve">de la convention </w:t>
      </w:r>
      <w:r w:rsidR="003D51ED" w:rsidRPr="00E342DC">
        <w:rPr>
          <w:rFonts w:cs="Tahoma"/>
          <w:szCs w:val="20"/>
          <w:lang w:val="fr-CH"/>
        </w:rPr>
        <w:t>impose à l’</w:t>
      </w:r>
      <w:r w:rsidR="0070261E" w:rsidRPr="00E342DC">
        <w:rPr>
          <w:rFonts w:cs="Tahoma"/>
          <w:szCs w:val="20"/>
          <w:lang w:val="fr-CH"/>
        </w:rPr>
        <w:t>État</w:t>
      </w:r>
      <w:r w:rsidR="003D51ED" w:rsidRPr="00E342DC">
        <w:rPr>
          <w:rFonts w:cs="Tahoma"/>
          <w:szCs w:val="20"/>
          <w:lang w:val="fr-CH"/>
        </w:rPr>
        <w:t xml:space="preserve"> de </w:t>
      </w:r>
      <w:r w:rsidRPr="00E342DC">
        <w:rPr>
          <w:rFonts w:cs="Tahoma"/>
          <w:szCs w:val="20"/>
          <w:lang w:val="fr-CH"/>
        </w:rPr>
        <w:t xml:space="preserve">réprimer les différentes modalités de participation à l’acte de torture. </w:t>
      </w:r>
      <w:r w:rsidR="003D51ED" w:rsidRPr="00E342DC">
        <w:rPr>
          <w:rFonts w:cs="Tahoma"/>
          <w:szCs w:val="20"/>
          <w:lang w:val="fr-CH"/>
        </w:rPr>
        <w:t xml:space="preserve">A ce sujet, </w:t>
      </w:r>
      <w:r w:rsidR="003D51ED" w:rsidRPr="00E342DC">
        <w:rPr>
          <w:rFonts w:cs="Tahoma"/>
          <w:color w:val="000000"/>
          <w:szCs w:val="20"/>
          <w:lang w:val="fr-CH"/>
        </w:rPr>
        <w:t>l’</w:t>
      </w:r>
      <w:r w:rsidR="0070261E" w:rsidRPr="00E342DC">
        <w:rPr>
          <w:rFonts w:cs="Tahoma"/>
          <w:color w:val="000000"/>
          <w:szCs w:val="20"/>
          <w:lang w:val="fr-CH"/>
        </w:rPr>
        <w:t>État</w:t>
      </w:r>
      <w:r w:rsidR="003D51ED" w:rsidRPr="00E342DC">
        <w:rPr>
          <w:rFonts w:cs="Tahoma"/>
          <w:color w:val="000000"/>
          <w:szCs w:val="20"/>
          <w:lang w:val="fr-CH"/>
        </w:rPr>
        <w:t xml:space="preserve"> partie prévoit à travers les articles 59, 32 et 33 du Code pénal que, </w:t>
      </w:r>
      <w:r w:rsidR="003D51ED" w:rsidRPr="00E342DC">
        <w:rPr>
          <w:rFonts w:cs="Tahoma"/>
          <w:color w:val="000000"/>
          <w:szCs w:val="20"/>
          <w:lang w:val="fr-CH"/>
        </w:rPr>
        <w:lastRenderedPageBreak/>
        <w:t>sauf mention contraire, la tentative et la complicité de crime sont punissables comme le crime lui-même.</w:t>
      </w:r>
      <w:r w:rsidR="00394090" w:rsidRPr="00E342DC">
        <w:rPr>
          <w:rFonts w:cs="Tahoma"/>
          <w:color w:val="000000"/>
          <w:szCs w:val="20"/>
          <w:lang w:val="fr-CH"/>
        </w:rPr>
        <w:t xml:space="preserve"> S’agissant du crime de torture </w:t>
      </w:r>
      <w:r w:rsidR="00F806FE" w:rsidRPr="00E342DC">
        <w:rPr>
          <w:rFonts w:cs="Tahoma"/>
          <w:i/>
          <w:iCs/>
          <w:color w:val="000000"/>
          <w:szCs w:val="20"/>
          <w:lang w:val="fr-CH"/>
        </w:rPr>
        <w:t>per se</w:t>
      </w:r>
      <w:r w:rsidR="00394090" w:rsidRPr="00E342DC">
        <w:rPr>
          <w:rFonts w:cs="Tahoma"/>
          <w:color w:val="000000"/>
          <w:szCs w:val="20"/>
          <w:lang w:val="fr-CH"/>
        </w:rPr>
        <w:t>, l</w:t>
      </w:r>
      <w:r w:rsidR="00967C75" w:rsidRPr="00E342DC">
        <w:rPr>
          <w:rFonts w:cs="Tahoma"/>
          <w:color w:val="000000"/>
          <w:szCs w:val="20"/>
          <w:lang w:val="fr-CH"/>
        </w:rPr>
        <w:t xml:space="preserve">e décret-loi n° 2011-106 </w:t>
      </w:r>
      <w:r w:rsidR="00394090" w:rsidRPr="00E342DC">
        <w:rPr>
          <w:rFonts w:cs="Tahoma"/>
          <w:color w:val="000000"/>
          <w:szCs w:val="20"/>
          <w:lang w:val="fr-CH"/>
        </w:rPr>
        <w:t xml:space="preserve">précise </w:t>
      </w:r>
      <w:r w:rsidRPr="00E342DC">
        <w:rPr>
          <w:rFonts w:cs="Tahoma"/>
          <w:color w:val="000000"/>
          <w:szCs w:val="20"/>
          <w:lang w:val="fr-CH"/>
        </w:rPr>
        <w:t>dans</w:t>
      </w:r>
      <w:r w:rsidR="00394090" w:rsidRPr="00E342DC">
        <w:rPr>
          <w:rFonts w:cs="Tahoma"/>
          <w:color w:val="000000"/>
          <w:szCs w:val="20"/>
          <w:lang w:val="fr-CH"/>
        </w:rPr>
        <w:t xml:space="preserve"> l’article 101 </w:t>
      </w:r>
      <w:r w:rsidR="00F806FE" w:rsidRPr="00E342DC">
        <w:rPr>
          <w:rFonts w:cs="Tahoma"/>
          <w:i/>
          <w:iCs/>
          <w:color w:val="000000"/>
          <w:szCs w:val="20"/>
          <w:lang w:val="fr-CH"/>
        </w:rPr>
        <w:t>bis</w:t>
      </w:r>
      <w:r w:rsidR="00394090" w:rsidRPr="00E342DC">
        <w:rPr>
          <w:rFonts w:cs="Tahoma"/>
          <w:color w:val="000000"/>
          <w:szCs w:val="20"/>
          <w:lang w:val="fr-CH"/>
        </w:rPr>
        <w:t xml:space="preserve"> qu’ </w:t>
      </w:r>
      <w:r w:rsidR="00394090" w:rsidRPr="00E342DC">
        <w:rPr>
          <w:rFonts w:cs="Tahoma"/>
          <w:i/>
          <w:iCs/>
          <w:color w:val="000000"/>
          <w:szCs w:val="20"/>
          <w:lang w:val="fr-CH"/>
        </w:rPr>
        <w:t>« est considéré comme tortionnaire, le fonctionnaire public ou assimilé qui ordonne, incite, approuve ou garde le silence sur la torture, dans l'exercice ou à l'occasion de l'exercice de ses fonctions. »</w:t>
      </w:r>
      <w:r w:rsidR="00394090" w:rsidRPr="00E342DC">
        <w:rPr>
          <w:rFonts w:cs="Tahoma"/>
          <w:color w:val="000000"/>
          <w:szCs w:val="20"/>
          <w:lang w:val="fr-CH"/>
        </w:rPr>
        <w:t xml:space="preserve"> </w:t>
      </w:r>
    </w:p>
    <w:p w:rsidR="00764114" w:rsidRPr="00E342DC" w:rsidRDefault="00764114" w:rsidP="00DA0ABA">
      <w:pPr>
        <w:rPr>
          <w:rFonts w:cs="Tahoma"/>
          <w:color w:val="000000"/>
          <w:szCs w:val="20"/>
          <w:lang w:val="fr-CH"/>
        </w:rPr>
      </w:pPr>
    </w:p>
    <w:p w:rsidR="00C554B1" w:rsidRPr="00E342DC" w:rsidRDefault="00764114" w:rsidP="00DA0ABA">
      <w:pPr>
        <w:rPr>
          <w:rFonts w:cs="Tahoma"/>
          <w:szCs w:val="20"/>
          <w:lang w:val="fr-CH"/>
        </w:rPr>
      </w:pPr>
      <w:r w:rsidRPr="00E342DC">
        <w:rPr>
          <w:rFonts w:cs="Tahoma"/>
          <w:color w:val="000000"/>
          <w:szCs w:val="20"/>
          <w:lang w:val="fr-CH"/>
        </w:rPr>
        <w:t xml:space="preserve">Certaines lacunes persistent dans le décret loi quant au partage de responsabilité entre le supérieur hiérarchique et ses subordonnées </w:t>
      </w:r>
      <w:r w:rsidRPr="00E342DC">
        <w:rPr>
          <w:rFonts w:cs="Tahoma"/>
          <w:szCs w:val="20"/>
          <w:lang w:val="fr-CH"/>
        </w:rPr>
        <w:t>lorsque ce dernier n'a pas exercé</w:t>
      </w:r>
      <w:r w:rsidR="00D22E90" w:rsidRPr="00E342DC">
        <w:rPr>
          <w:rFonts w:cs="Tahoma"/>
          <w:szCs w:val="20"/>
          <w:lang w:val="fr-CH"/>
        </w:rPr>
        <w:t xml:space="preserve"> </w:t>
      </w:r>
      <w:r w:rsidR="004962EC" w:rsidRPr="00E342DC">
        <w:rPr>
          <w:rFonts w:cs="Tahoma"/>
          <w:szCs w:val="20"/>
          <w:lang w:val="fr-CH"/>
        </w:rPr>
        <w:t xml:space="preserve">sur eux un </w:t>
      </w:r>
      <w:r w:rsidR="00D22E90" w:rsidRPr="00E342DC">
        <w:rPr>
          <w:rFonts w:cs="Tahoma"/>
          <w:szCs w:val="20"/>
          <w:lang w:val="fr-CH"/>
        </w:rPr>
        <w:t xml:space="preserve">contrôle </w:t>
      </w:r>
      <w:r w:rsidR="004962EC" w:rsidRPr="00E342DC">
        <w:rPr>
          <w:rFonts w:cs="Tahoma"/>
          <w:szCs w:val="20"/>
          <w:lang w:val="fr-CH"/>
        </w:rPr>
        <w:t xml:space="preserve">adéquat. </w:t>
      </w:r>
      <w:r w:rsidRPr="00E342DC">
        <w:rPr>
          <w:rFonts w:cs="Tahoma"/>
          <w:szCs w:val="20"/>
          <w:lang w:val="fr-CH"/>
        </w:rPr>
        <w:t>Il aurait été judicieux d’établir une sanction</w:t>
      </w:r>
      <w:r w:rsidR="00D22E90" w:rsidRPr="00E342DC">
        <w:rPr>
          <w:rFonts w:cs="Tahoma"/>
          <w:szCs w:val="20"/>
          <w:lang w:val="fr-CH"/>
        </w:rPr>
        <w:t xml:space="preserve"> pénale </w:t>
      </w:r>
      <w:r w:rsidR="004962EC" w:rsidRPr="00E342DC">
        <w:rPr>
          <w:rFonts w:cs="Tahoma"/>
          <w:szCs w:val="20"/>
          <w:lang w:val="fr-CH"/>
        </w:rPr>
        <w:t xml:space="preserve">appropriée </w:t>
      </w:r>
      <w:r w:rsidRPr="00E342DC">
        <w:rPr>
          <w:rFonts w:cs="Tahoma"/>
          <w:szCs w:val="20"/>
          <w:lang w:val="fr-CH"/>
        </w:rPr>
        <w:t xml:space="preserve">lorsque le supérieur hiérarchique n'a pas pris toutes les mesures nécessaires et raisonnables qui étaient en son pouvoir pour empêcher ou </w:t>
      </w:r>
      <w:r w:rsidR="00CB73FB" w:rsidRPr="00E342DC">
        <w:rPr>
          <w:rFonts w:cs="Tahoma"/>
          <w:szCs w:val="20"/>
          <w:lang w:val="fr-CH"/>
        </w:rPr>
        <w:t xml:space="preserve">sanctionner </w:t>
      </w:r>
      <w:r w:rsidR="004962EC" w:rsidRPr="00E342DC">
        <w:rPr>
          <w:rFonts w:cs="Tahoma"/>
          <w:szCs w:val="20"/>
          <w:lang w:val="fr-CH"/>
        </w:rPr>
        <w:t xml:space="preserve">les actes de </w:t>
      </w:r>
      <w:r w:rsidR="00D22E90" w:rsidRPr="00E342DC">
        <w:rPr>
          <w:rFonts w:cs="Tahoma"/>
          <w:szCs w:val="20"/>
          <w:lang w:val="fr-CH"/>
        </w:rPr>
        <w:t xml:space="preserve">torture commis par des </w:t>
      </w:r>
      <w:r w:rsidR="00CB73FB" w:rsidRPr="00E342DC">
        <w:rPr>
          <w:rFonts w:cs="Tahoma"/>
          <w:szCs w:val="20"/>
          <w:lang w:val="fr-CH"/>
        </w:rPr>
        <w:t xml:space="preserve">agents </w:t>
      </w:r>
      <w:r w:rsidR="00D22E90" w:rsidRPr="00E342DC">
        <w:rPr>
          <w:rFonts w:cs="Tahoma"/>
          <w:szCs w:val="20"/>
          <w:lang w:val="fr-CH"/>
        </w:rPr>
        <w:t>placés sous son autorité et son contrôle effectif</w:t>
      </w:r>
      <w:r w:rsidR="00CB73FB" w:rsidRPr="00E342DC">
        <w:rPr>
          <w:rFonts w:cs="Tahoma"/>
          <w:szCs w:val="20"/>
          <w:lang w:val="fr-CH"/>
        </w:rPr>
        <w:t xml:space="preserve"> et </w:t>
      </w:r>
      <w:r w:rsidRPr="00E342DC">
        <w:rPr>
          <w:rFonts w:cs="Tahoma"/>
          <w:szCs w:val="20"/>
          <w:lang w:val="fr-CH"/>
        </w:rPr>
        <w:t>pour en référer aux autorités compétentes aux fins d'enquête et de poursuite</w:t>
      </w:r>
      <w:r w:rsidR="00CB73FB" w:rsidRPr="00E342DC">
        <w:rPr>
          <w:rFonts w:cs="Tahoma"/>
          <w:szCs w:val="20"/>
          <w:lang w:val="fr-CH"/>
        </w:rPr>
        <w:t xml:space="preserve"> pénales</w:t>
      </w:r>
      <w:r w:rsidR="002A261E" w:rsidRPr="00E342DC">
        <w:rPr>
          <w:rStyle w:val="FootnoteReference"/>
          <w:rFonts w:cs="Tahoma"/>
          <w:szCs w:val="20"/>
          <w:lang w:val="fr-CH"/>
        </w:rPr>
        <w:footnoteReference w:id="6"/>
      </w:r>
      <w:r w:rsidRPr="00E342DC">
        <w:rPr>
          <w:rFonts w:cs="Tahoma"/>
          <w:szCs w:val="20"/>
          <w:lang w:val="fr-CH"/>
        </w:rPr>
        <w:t>.</w:t>
      </w:r>
    </w:p>
    <w:p w:rsidR="00C554B1" w:rsidRPr="00E342DC" w:rsidRDefault="00C554B1" w:rsidP="00DA0ABA">
      <w:pPr>
        <w:rPr>
          <w:rFonts w:cs="Tahoma"/>
          <w:szCs w:val="20"/>
          <w:lang w:val="fr-CH"/>
        </w:rPr>
      </w:pPr>
    </w:p>
    <w:p w:rsidR="00247542" w:rsidRPr="00E342DC" w:rsidRDefault="004962EC" w:rsidP="00C615F7">
      <w:pPr>
        <w:rPr>
          <w:rFonts w:cs="Tahoma"/>
          <w:szCs w:val="20"/>
          <w:lang w:val="fr-CH"/>
        </w:rPr>
      </w:pPr>
      <w:r w:rsidRPr="00E342DC">
        <w:rPr>
          <w:rFonts w:cs="Tahoma"/>
          <w:szCs w:val="20"/>
          <w:lang w:val="fr-CH"/>
        </w:rPr>
        <w:t>Alkarama note que l’</w:t>
      </w:r>
      <w:r w:rsidR="0070261E" w:rsidRPr="00E342DC">
        <w:rPr>
          <w:rFonts w:cs="Tahoma"/>
          <w:szCs w:val="20"/>
          <w:lang w:val="fr-CH"/>
        </w:rPr>
        <w:t>État</w:t>
      </w:r>
      <w:r w:rsidRPr="00E342DC">
        <w:rPr>
          <w:rFonts w:cs="Tahoma"/>
          <w:szCs w:val="20"/>
          <w:lang w:val="fr-CH"/>
        </w:rPr>
        <w:t xml:space="preserve"> partie </w:t>
      </w:r>
      <w:r w:rsidR="00CB73FB" w:rsidRPr="00E342DC">
        <w:rPr>
          <w:rFonts w:cs="Tahoma"/>
          <w:szCs w:val="20"/>
          <w:lang w:val="fr-CH"/>
        </w:rPr>
        <w:t>se contente de préciser</w:t>
      </w:r>
      <w:r w:rsidRPr="00E342DC">
        <w:rPr>
          <w:rFonts w:cs="Tahoma"/>
          <w:szCs w:val="20"/>
          <w:lang w:val="fr-CH"/>
        </w:rPr>
        <w:t xml:space="preserve"> dans ses réponses à la liste de questions que le Code Pénal était en révision afin d’y </w:t>
      </w:r>
      <w:r w:rsidR="00CB73FB" w:rsidRPr="00E342DC">
        <w:rPr>
          <w:rFonts w:cs="Tahoma"/>
          <w:szCs w:val="20"/>
          <w:lang w:val="fr-CH"/>
        </w:rPr>
        <w:t>inclure</w:t>
      </w:r>
      <w:r w:rsidRPr="00E342DC">
        <w:rPr>
          <w:rFonts w:cs="Tahoma"/>
          <w:szCs w:val="20"/>
          <w:lang w:val="fr-CH"/>
        </w:rPr>
        <w:t xml:space="preserve"> une mention spécifique à la </w:t>
      </w:r>
      <w:r w:rsidR="00CB73FB" w:rsidRPr="00E342DC">
        <w:rPr>
          <w:rFonts w:cs="Tahoma"/>
          <w:szCs w:val="20"/>
          <w:lang w:val="fr-CH"/>
        </w:rPr>
        <w:t>responsabilité</w:t>
      </w:r>
      <w:r w:rsidRPr="00E342DC">
        <w:rPr>
          <w:rFonts w:cs="Tahoma"/>
          <w:szCs w:val="20"/>
          <w:lang w:val="fr-CH"/>
        </w:rPr>
        <w:t xml:space="preserve"> du supérieur </w:t>
      </w:r>
      <w:r w:rsidR="00CB73FB" w:rsidRPr="00E342DC">
        <w:rPr>
          <w:rFonts w:cs="Tahoma"/>
          <w:szCs w:val="20"/>
          <w:lang w:val="fr-CH"/>
        </w:rPr>
        <w:t>hiérarchique et qu’en attendant le supérieur hiérarchique peut être poursuivi pour des actes de torture commis par ses subordonnés sur la base de l’article 32 du Code Pénal. Nous relevons que cet article ne prévoit pas le mode de responsabilité propre au supérieur hiérarchique.</w:t>
      </w:r>
      <w:r w:rsidR="00BF513F">
        <w:rPr>
          <w:rFonts w:cs="Tahoma"/>
          <w:szCs w:val="20"/>
          <w:lang w:val="fr-CH"/>
        </w:rPr>
        <w:t xml:space="preserve">  </w:t>
      </w:r>
    </w:p>
    <w:p w:rsidR="0074127C" w:rsidRPr="00E342DC" w:rsidRDefault="0074127C" w:rsidP="00DA0ABA">
      <w:pPr>
        <w:rPr>
          <w:rFonts w:cs="Tahoma"/>
          <w:szCs w:val="20"/>
          <w:lang w:val="fr-CH"/>
        </w:rPr>
      </w:pPr>
    </w:p>
    <w:p w:rsidR="003D51ED" w:rsidRPr="00E342DC" w:rsidRDefault="00F144D8" w:rsidP="004C04BF">
      <w:pPr>
        <w:pStyle w:val="Heading2"/>
        <w:rPr>
          <w:rFonts w:cs="Tahoma"/>
          <w:szCs w:val="20"/>
          <w:lang w:val="fr-CH"/>
        </w:rPr>
      </w:pPr>
      <w:bookmarkStart w:id="7" w:name="_Toc447008715"/>
      <w:r w:rsidRPr="00E342DC">
        <w:rPr>
          <w:rFonts w:cs="Tahoma"/>
          <w:szCs w:val="20"/>
          <w:lang w:val="fr-CH"/>
        </w:rPr>
        <w:t xml:space="preserve">Interdiction absolue </w:t>
      </w:r>
      <w:r w:rsidR="004C04BF" w:rsidRPr="00E342DC">
        <w:rPr>
          <w:rFonts w:cs="Tahoma"/>
          <w:szCs w:val="20"/>
          <w:lang w:val="fr-CH"/>
        </w:rPr>
        <w:t>de la</w:t>
      </w:r>
      <w:r w:rsidRPr="00E342DC">
        <w:rPr>
          <w:rFonts w:cs="Tahoma"/>
          <w:szCs w:val="20"/>
          <w:lang w:val="fr-CH"/>
        </w:rPr>
        <w:t xml:space="preserve"> torture</w:t>
      </w:r>
      <w:bookmarkEnd w:id="7"/>
      <w:r w:rsidRPr="00E342DC">
        <w:rPr>
          <w:rFonts w:cs="Tahoma"/>
          <w:szCs w:val="20"/>
          <w:lang w:val="fr-CH"/>
        </w:rPr>
        <w:t xml:space="preserve"> </w:t>
      </w:r>
    </w:p>
    <w:p w:rsidR="00F144D8" w:rsidRPr="00E342DC" w:rsidRDefault="00F144D8" w:rsidP="00DA0ABA">
      <w:pPr>
        <w:rPr>
          <w:rFonts w:cs="Tahoma"/>
          <w:szCs w:val="20"/>
          <w:lang w:val="fr-CH"/>
        </w:rPr>
      </w:pPr>
    </w:p>
    <w:p w:rsidR="007B412A" w:rsidRPr="00E342DC" w:rsidRDefault="007B412A" w:rsidP="00DA0ABA">
      <w:pPr>
        <w:rPr>
          <w:rFonts w:cs="Tahoma"/>
          <w:szCs w:val="20"/>
          <w:lang w:val="fr-CH" w:eastAsia="fr-FR"/>
        </w:rPr>
      </w:pPr>
      <w:r w:rsidRPr="00E342DC">
        <w:rPr>
          <w:rFonts w:cs="Tahoma"/>
          <w:szCs w:val="20"/>
          <w:lang w:val="fr-CH" w:eastAsia="fr-FR"/>
        </w:rPr>
        <w:t>Aux termes de la Convention, la torture ne saurait être justifiée en aucune circonstance : ni l’état de guerre ou d’urgence, ni l’inst</w:t>
      </w:r>
      <w:r w:rsidR="00BF513F">
        <w:rPr>
          <w:rFonts w:cs="Tahoma"/>
          <w:szCs w:val="20"/>
          <w:lang w:val="fr-CH" w:eastAsia="fr-FR"/>
        </w:rPr>
        <w:t>abilité politique intérieure ni</w:t>
      </w:r>
      <w:r w:rsidRPr="00E342DC">
        <w:rPr>
          <w:rFonts w:cs="Tahoma"/>
          <w:szCs w:val="20"/>
          <w:lang w:val="fr-CH" w:eastAsia="fr-FR"/>
        </w:rPr>
        <w:t xml:space="preserve"> toute autre menace pour l’État ne peuvent être invoqués pour justifier la torture.</w:t>
      </w:r>
    </w:p>
    <w:p w:rsidR="007B412A" w:rsidRPr="00E342DC" w:rsidRDefault="007B412A" w:rsidP="00DA0ABA">
      <w:pPr>
        <w:rPr>
          <w:rFonts w:cs="Tahoma"/>
          <w:szCs w:val="20"/>
          <w:lang w:val="fr-CH" w:eastAsia="fr-FR"/>
        </w:rPr>
      </w:pPr>
    </w:p>
    <w:p w:rsidR="00C475BD" w:rsidRPr="00E342DC" w:rsidRDefault="00C475BD" w:rsidP="00DA0ABA">
      <w:pPr>
        <w:rPr>
          <w:rFonts w:cs="Tahoma"/>
          <w:szCs w:val="20"/>
          <w:lang w:val="fr-CH" w:eastAsia="fr-FR"/>
        </w:rPr>
      </w:pPr>
      <w:r w:rsidRPr="00E342DC">
        <w:rPr>
          <w:rFonts w:cs="Tahoma"/>
          <w:szCs w:val="20"/>
          <w:lang w:val="fr-CH" w:eastAsia="fr-FR"/>
        </w:rPr>
        <w:t xml:space="preserve">L’article 2 para. 2 </w:t>
      </w:r>
      <w:r w:rsidR="003F0211" w:rsidRPr="00E342DC">
        <w:rPr>
          <w:rFonts w:cs="Tahoma"/>
          <w:szCs w:val="20"/>
          <w:lang w:val="fr-CH" w:eastAsia="fr-FR"/>
        </w:rPr>
        <w:t xml:space="preserve">de la convention </w:t>
      </w:r>
      <w:r w:rsidRPr="00E342DC">
        <w:rPr>
          <w:rFonts w:cs="Tahoma"/>
          <w:szCs w:val="20"/>
          <w:lang w:val="fr-CH" w:eastAsia="fr-FR"/>
        </w:rPr>
        <w:t>stipule qu’</w:t>
      </w:r>
      <w:r w:rsidRPr="00E342DC">
        <w:rPr>
          <w:rFonts w:cs="Tahoma"/>
          <w:szCs w:val="20"/>
          <w:lang w:val="fr-CH"/>
        </w:rPr>
        <w:t xml:space="preserve"> </w:t>
      </w:r>
      <w:r w:rsidRPr="00E342DC">
        <w:rPr>
          <w:rFonts w:cs="Tahoma"/>
          <w:i/>
          <w:iCs/>
          <w:szCs w:val="20"/>
          <w:lang w:val="fr-CH"/>
        </w:rPr>
        <w:t>« aucune circonstance exceptionnelle, quelle qu'elle soit, qu'il s'agisse de l'état de guerre ou de menace de guerre, d'instabilité politique intérieure ou de tout autre état d'exception, ne peut être invoquée pour justifier la torture. »</w:t>
      </w:r>
      <w:r w:rsidRPr="00E342DC">
        <w:rPr>
          <w:rFonts w:cs="Tahoma"/>
          <w:szCs w:val="20"/>
          <w:lang w:val="fr-CH"/>
        </w:rPr>
        <w:t xml:space="preserve"> </w:t>
      </w:r>
      <w:r w:rsidRPr="00E342DC">
        <w:rPr>
          <w:rFonts w:cs="Tahoma"/>
          <w:szCs w:val="20"/>
          <w:lang w:val="fr-CH" w:eastAsia="fr-FR"/>
        </w:rPr>
        <w:t xml:space="preserve">La Convention établit donc une </w:t>
      </w:r>
      <w:r w:rsidRPr="00E342DC">
        <w:rPr>
          <w:rFonts w:cs="Tahoma"/>
          <w:szCs w:val="20"/>
          <w:u w:val="single"/>
          <w:lang w:val="fr-CH" w:eastAsia="fr-FR"/>
        </w:rPr>
        <w:t>interdiction absolue</w:t>
      </w:r>
      <w:r w:rsidRPr="00E342DC">
        <w:rPr>
          <w:rFonts w:cs="Tahoma"/>
          <w:szCs w:val="20"/>
          <w:lang w:val="fr-CH" w:eastAsia="fr-FR"/>
        </w:rPr>
        <w:t xml:space="preserve"> </w:t>
      </w:r>
      <w:r w:rsidRPr="00E342DC">
        <w:rPr>
          <w:rFonts w:cs="Tahoma"/>
          <w:i/>
          <w:iCs/>
          <w:szCs w:val="20"/>
          <w:lang w:val="fr-CH" w:eastAsia="fr-FR"/>
        </w:rPr>
        <w:t>erga omnes</w:t>
      </w:r>
      <w:r w:rsidRPr="00E342DC">
        <w:rPr>
          <w:rFonts w:cs="Tahoma"/>
          <w:szCs w:val="20"/>
          <w:lang w:val="fr-CH" w:eastAsia="fr-FR"/>
        </w:rPr>
        <w:t xml:space="preserve"> de la torture et qui ne peut fa</w:t>
      </w:r>
      <w:r w:rsidR="00967C75" w:rsidRPr="00E342DC">
        <w:rPr>
          <w:rFonts w:cs="Tahoma"/>
          <w:szCs w:val="20"/>
          <w:lang w:val="fr-CH" w:eastAsia="fr-FR"/>
        </w:rPr>
        <w:t>ire l’objet d’aucune dérogation</w:t>
      </w:r>
      <w:r w:rsidR="00D22E90" w:rsidRPr="00E342DC">
        <w:rPr>
          <w:rFonts w:cs="Tahoma"/>
          <w:szCs w:val="20"/>
          <w:lang w:val="fr-CH" w:eastAsia="fr-FR"/>
        </w:rPr>
        <w:t xml:space="preserve">. </w:t>
      </w:r>
    </w:p>
    <w:p w:rsidR="00D22E90" w:rsidRPr="00E342DC" w:rsidRDefault="00D22E90" w:rsidP="00DA0ABA">
      <w:pPr>
        <w:rPr>
          <w:rFonts w:cs="Tahoma"/>
          <w:szCs w:val="20"/>
          <w:lang w:val="fr-CH" w:eastAsia="fr-FR"/>
        </w:rPr>
      </w:pPr>
    </w:p>
    <w:p w:rsidR="00D22E90" w:rsidRPr="00E342DC" w:rsidRDefault="00D22E90" w:rsidP="00C615F7">
      <w:pPr>
        <w:rPr>
          <w:rFonts w:cs="Tahoma"/>
          <w:szCs w:val="20"/>
          <w:lang w:val="fr-CH" w:eastAsia="fr-FR"/>
        </w:rPr>
      </w:pPr>
      <w:r w:rsidRPr="00E342DC">
        <w:rPr>
          <w:rFonts w:cs="Tahoma"/>
          <w:szCs w:val="20"/>
          <w:lang w:val="fr-CH" w:eastAsia="fr-FR"/>
        </w:rPr>
        <w:t>Sur ce point</w:t>
      </w:r>
      <w:r w:rsidR="00D707EF" w:rsidRPr="00E342DC">
        <w:rPr>
          <w:rFonts w:cs="Tahoma"/>
          <w:szCs w:val="20"/>
          <w:lang w:val="fr-CH" w:eastAsia="fr-FR"/>
        </w:rPr>
        <w:t xml:space="preserve">, </w:t>
      </w:r>
      <w:r w:rsidRPr="00E342DC">
        <w:rPr>
          <w:rFonts w:cs="Tahoma"/>
          <w:szCs w:val="20"/>
          <w:lang w:val="fr-CH" w:eastAsia="fr-FR"/>
        </w:rPr>
        <w:t>l’</w:t>
      </w:r>
      <w:r w:rsidR="0070261E" w:rsidRPr="00E342DC">
        <w:rPr>
          <w:rFonts w:cs="Tahoma"/>
          <w:szCs w:val="20"/>
          <w:lang w:val="fr-CH" w:eastAsia="fr-FR"/>
        </w:rPr>
        <w:t>État</w:t>
      </w:r>
      <w:r w:rsidRPr="00E342DC">
        <w:rPr>
          <w:rFonts w:cs="Tahoma"/>
          <w:szCs w:val="20"/>
          <w:lang w:val="fr-CH" w:eastAsia="fr-FR"/>
        </w:rPr>
        <w:t xml:space="preserve"> partie affirme dans </w:t>
      </w:r>
      <w:r w:rsidR="00F806FE" w:rsidRPr="00E342DC">
        <w:rPr>
          <w:rFonts w:cs="Tahoma"/>
          <w:szCs w:val="20"/>
          <w:lang w:val="fr-CH" w:eastAsia="fr-FR"/>
        </w:rPr>
        <w:t>l</w:t>
      </w:r>
      <w:r w:rsidR="00CA65A1" w:rsidRPr="00E342DC">
        <w:rPr>
          <w:rFonts w:cs="Tahoma"/>
          <w:szCs w:val="20"/>
          <w:lang w:val="fr-CH" w:eastAsia="fr-FR"/>
        </w:rPr>
        <w:t>e</w:t>
      </w:r>
      <w:r w:rsidR="00CA65A1" w:rsidRPr="00E342DC">
        <w:rPr>
          <w:rFonts w:cs="Tahoma"/>
          <w:i/>
          <w:iCs/>
          <w:szCs w:val="20"/>
          <w:lang w:val="fr-CH" w:eastAsia="fr-FR"/>
        </w:rPr>
        <w:t xml:space="preserve"> </w:t>
      </w:r>
      <w:r w:rsidR="00CA65A1" w:rsidRPr="00E342DC">
        <w:rPr>
          <w:rFonts w:cs="Tahoma"/>
          <w:szCs w:val="20"/>
          <w:lang w:val="fr-CH" w:eastAsia="fr-FR"/>
        </w:rPr>
        <w:t>rapport complémentaire</w:t>
      </w:r>
      <w:r w:rsidRPr="00E342DC">
        <w:rPr>
          <w:rFonts w:cs="Tahoma"/>
          <w:szCs w:val="20"/>
          <w:lang w:val="fr-CH" w:eastAsia="fr-FR"/>
        </w:rPr>
        <w:t xml:space="preserve"> qu’il n’existe dans la législation interne aucun texte autorisant l’invocation de circonstances exceptionnelles, quelles qu’elles soient, pour justifier la tortu</w:t>
      </w:r>
      <w:r w:rsidR="00D707EF" w:rsidRPr="00E342DC">
        <w:rPr>
          <w:rFonts w:cs="Tahoma"/>
          <w:szCs w:val="20"/>
          <w:lang w:val="fr-CH" w:eastAsia="fr-FR"/>
        </w:rPr>
        <w:t>re</w:t>
      </w:r>
      <w:r w:rsidRPr="00E342DC">
        <w:rPr>
          <w:rFonts w:cs="Tahoma"/>
          <w:szCs w:val="20"/>
          <w:lang w:val="fr-CH" w:eastAsia="fr-FR"/>
        </w:rPr>
        <w:t>.</w:t>
      </w:r>
      <w:r w:rsidRPr="00E342DC">
        <w:rPr>
          <w:rStyle w:val="FootnoteReference"/>
          <w:rFonts w:cs="Tahoma"/>
          <w:szCs w:val="20"/>
          <w:lang w:val="fr-CH" w:eastAsia="fr-FR"/>
        </w:rPr>
        <w:footnoteReference w:id="7"/>
      </w:r>
      <w:r w:rsidR="00D707EF" w:rsidRPr="00E342DC">
        <w:rPr>
          <w:rFonts w:cs="Tahoma"/>
          <w:szCs w:val="20"/>
          <w:lang w:val="fr-CH" w:eastAsia="fr-FR"/>
        </w:rPr>
        <w:t xml:space="preserve"> </w:t>
      </w:r>
      <w:r w:rsidR="00C615F7" w:rsidRPr="00E342DC">
        <w:rPr>
          <w:rFonts w:cs="Tahoma"/>
          <w:szCs w:val="20"/>
          <w:lang w:val="fr-CH" w:eastAsia="fr-FR"/>
        </w:rPr>
        <w:t>Toutefois, en pratique nous observons un usage persistant de la torture dans des cas liés à la lutte antiterroriste : d</w:t>
      </w:r>
      <w:r w:rsidR="00D707EF" w:rsidRPr="00E342DC">
        <w:rPr>
          <w:rFonts w:cs="Tahoma"/>
          <w:szCs w:val="20"/>
          <w:lang w:val="fr-CH" w:eastAsia="fr-FR"/>
        </w:rPr>
        <w:t xml:space="preserve">e plus amples détails </w:t>
      </w:r>
      <w:r w:rsidR="002A261E" w:rsidRPr="00E342DC">
        <w:rPr>
          <w:rFonts w:cs="Tahoma"/>
          <w:szCs w:val="20"/>
          <w:lang w:val="fr-CH" w:eastAsia="fr-FR"/>
        </w:rPr>
        <w:t>sont</w:t>
      </w:r>
      <w:r w:rsidR="00D707EF" w:rsidRPr="00E342DC">
        <w:rPr>
          <w:rFonts w:cs="Tahoma"/>
          <w:szCs w:val="20"/>
          <w:lang w:val="fr-CH" w:eastAsia="fr-FR"/>
        </w:rPr>
        <w:t xml:space="preserve"> fournis à la section 5 de ce rapport</w:t>
      </w:r>
      <w:r w:rsidR="00C615F7" w:rsidRPr="00E342DC">
        <w:rPr>
          <w:rFonts w:cs="Tahoma"/>
          <w:szCs w:val="20"/>
          <w:lang w:val="fr-CH" w:eastAsia="fr-FR"/>
        </w:rPr>
        <w:t xml:space="preserve"> (la pratique de la torture dans la lutte antiterroriste). </w:t>
      </w:r>
    </w:p>
    <w:p w:rsidR="000B02C7" w:rsidRPr="00E342DC" w:rsidRDefault="000B02C7" w:rsidP="00DA0ABA">
      <w:pPr>
        <w:rPr>
          <w:rFonts w:cs="Tahoma"/>
          <w:i/>
          <w:iCs/>
          <w:szCs w:val="20"/>
          <w:lang w:val="fr-CH"/>
        </w:rPr>
      </w:pPr>
    </w:p>
    <w:p w:rsidR="008422A4" w:rsidRPr="00E342DC" w:rsidRDefault="000C0A0E" w:rsidP="00DA0ABA">
      <w:pPr>
        <w:pStyle w:val="Heading2"/>
        <w:rPr>
          <w:rFonts w:cs="Tahoma"/>
          <w:szCs w:val="20"/>
          <w:lang w:val="fr-CH"/>
        </w:rPr>
      </w:pPr>
      <w:bookmarkStart w:id="8" w:name="_Toc447008716"/>
      <w:r w:rsidRPr="00E342DC">
        <w:rPr>
          <w:rFonts w:cs="Tahoma"/>
          <w:szCs w:val="20"/>
          <w:lang w:val="fr-CH"/>
        </w:rPr>
        <w:t>I</w:t>
      </w:r>
      <w:r w:rsidR="00767420" w:rsidRPr="00E342DC">
        <w:rPr>
          <w:rFonts w:cs="Tahoma"/>
          <w:szCs w:val="20"/>
          <w:lang w:val="fr-CH"/>
        </w:rPr>
        <w:t>mprescriptibilité du</w:t>
      </w:r>
      <w:r w:rsidR="008422A4" w:rsidRPr="00E342DC">
        <w:rPr>
          <w:rFonts w:cs="Tahoma"/>
          <w:szCs w:val="20"/>
          <w:lang w:val="fr-CH"/>
        </w:rPr>
        <w:t xml:space="preserve"> crime </w:t>
      </w:r>
      <w:r w:rsidRPr="00E342DC">
        <w:rPr>
          <w:rFonts w:cs="Tahoma"/>
          <w:szCs w:val="20"/>
          <w:lang w:val="fr-CH"/>
        </w:rPr>
        <w:t>et rétroactivité de la loi criminalisant la torture</w:t>
      </w:r>
      <w:bookmarkEnd w:id="8"/>
      <w:r w:rsidR="008422A4" w:rsidRPr="00E342DC">
        <w:rPr>
          <w:rFonts w:cs="Tahoma"/>
          <w:szCs w:val="20"/>
          <w:lang w:val="fr-CH"/>
        </w:rPr>
        <w:t xml:space="preserve"> </w:t>
      </w:r>
    </w:p>
    <w:p w:rsidR="008422A4" w:rsidRPr="00E342DC" w:rsidRDefault="008422A4" w:rsidP="00DA0ABA">
      <w:pPr>
        <w:rPr>
          <w:rFonts w:cs="Tahoma"/>
          <w:szCs w:val="20"/>
          <w:lang w:val="fr-CH"/>
        </w:rPr>
      </w:pPr>
    </w:p>
    <w:p w:rsidR="00BF0ED1" w:rsidRPr="00E342DC" w:rsidRDefault="00BF0ED1" w:rsidP="00DA0ABA">
      <w:pPr>
        <w:rPr>
          <w:rFonts w:cs="Tahoma"/>
          <w:b/>
          <w:bCs/>
          <w:szCs w:val="20"/>
          <w:lang w:val="fr-CH"/>
        </w:rPr>
      </w:pPr>
      <w:r w:rsidRPr="00E342DC">
        <w:rPr>
          <w:rFonts w:cs="Tahoma"/>
          <w:b/>
          <w:bCs/>
          <w:szCs w:val="20"/>
          <w:lang w:val="fr-CH"/>
        </w:rPr>
        <w:t>Imprescriptibilité</w:t>
      </w:r>
    </w:p>
    <w:p w:rsidR="00C554B1" w:rsidRPr="00E342DC" w:rsidRDefault="000B02C7" w:rsidP="00DA0ABA">
      <w:pPr>
        <w:rPr>
          <w:rFonts w:cs="Tahoma"/>
          <w:szCs w:val="20"/>
          <w:lang w:val="fr-CH"/>
        </w:rPr>
      </w:pPr>
      <w:r w:rsidRPr="00E342DC">
        <w:rPr>
          <w:rFonts w:cs="Tahoma"/>
          <w:szCs w:val="20"/>
          <w:lang w:val="fr-CH"/>
        </w:rPr>
        <w:t xml:space="preserve">Concernant le délai de prescription, </w:t>
      </w:r>
      <w:r w:rsidRPr="00E342DC">
        <w:rPr>
          <w:rFonts w:cs="Tahoma"/>
          <w:szCs w:val="20"/>
          <w:lang w:val="fr-CH" w:eastAsia="fr-FR"/>
        </w:rPr>
        <w:t xml:space="preserve">la Convention ne prévoit pas l’imprescriptibilité des actes de torture. En revanche, le droit international coutumier </w:t>
      </w:r>
      <w:r w:rsidRPr="00E342DC">
        <w:rPr>
          <w:rFonts w:cs="Tahoma"/>
          <w:szCs w:val="20"/>
          <w:lang w:val="fr-CH"/>
        </w:rPr>
        <w:t>reconnaît notamment depuis 1998 dans le cas Furundžija qu’aucune prescription ne devrait s’appliquer aux violations graves des droits humains, y compris la torture.</w:t>
      </w:r>
      <w:r w:rsidRPr="00E342DC">
        <w:rPr>
          <w:rStyle w:val="FootnoteReference"/>
          <w:rFonts w:cs="Tahoma"/>
          <w:szCs w:val="20"/>
          <w:lang w:val="fr-CH"/>
        </w:rPr>
        <w:footnoteReference w:id="8"/>
      </w:r>
      <w:r w:rsidRPr="00E342DC">
        <w:rPr>
          <w:rFonts w:cs="Tahoma"/>
          <w:szCs w:val="20"/>
          <w:lang w:val="fr-CH"/>
        </w:rPr>
        <w:t xml:space="preserve"> </w:t>
      </w:r>
      <w:r w:rsidRPr="00E342DC">
        <w:rPr>
          <w:rFonts w:cs="Tahoma"/>
          <w:szCs w:val="20"/>
          <w:lang w:val="fr-CH" w:eastAsia="fr-FR"/>
        </w:rPr>
        <w:t xml:space="preserve">Le décret décret-loi n° 2011/106 </w:t>
      </w:r>
      <w:r w:rsidR="003F0211" w:rsidRPr="00E342DC">
        <w:rPr>
          <w:rFonts w:cs="Tahoma"/>
          <w:szCs w:val="20"/>
          <w:lang w:val="fr-CH" w:eastAsia="fr-FR"/>
        </w:rPr>
        <w:t xml:space="preserve">étend </w:t>
      </w:r>
      <w:r w:rsidRPr="00E342DC">
        <w:rPr>
          <w:rFonts w:cs="Tahoma"/>
          <w:szCs w:val="20"/>
          <w:lang w:val="fr-CH" w:eastAsia="fr-FR"/>
        </w:rPr>
        <w:t>le délai de prescription de 10 à 15 années en contradiction avec l’article 23 de la Constitution de l’</w:t>
      </w:r>
      <w:r w:rsidR="0070261E" w:rsidRPr="00E342DC">
        <w:rPr>
          <w:rFonts w:cs="Tahoma"/>
          <w:szCs w:val="20"/>
          <w:lang w:val="fr-CH" w:eastAsia="fr-FR"/>
        </w:rPr>
        <w:t>État</w:t>
      </w:r>
      <w:r w:rsidRPr="00E342DC">
        <w:rPr>
          <w:rFonts w:cs="Tahoma"/>
          <w:szCs w:val="20"/>
          <w:lang w:val="fr-CH" w:eastAsia="fr-FR"/>
        </w:rPr>
        <w:t xml:space="preserve"> partie qui définit le crime de torture comme étant imprescriptible</w:t>
      </w:r>
      <w:r w:rsidR="003F0211" w:rsidRPr="00E342DC">
        <w:rPr>
          <w:rFonts w:cs="Tahoma"/>
          <w:szCs w:val="20"/>
          <w:lang w:val="fr-CH" w:eastAsia="fr-FR"/>
        </w:rPr>
        <w:t>, rendant la loi contraire à la constitution</w:t>
      </w:r>
      <w:r w:rsidRPr="00E342DC">
        <w:rPr>
          <w:rFonts w:cs="Tahoma"/>
          <w:szCs w:val="20"/>
          <w:lang w:val="fr-CH" w:eastAsia="fr-FR"/>
        </w:rPr>
        <w:t>.</w:t>
      </w:r>
      <w:r w:rsidR="003F0211" w:rsidRPr="00E342DC">
        <w:rPr>
          <w:rFonts w:cs="Tahoma"/>
          <w:szCs w:val="20"/>
          <w:lang w:val="fr-CH"/>
        </w:rPr>
        <w:t xml:space="preserve"> </w:t>
      </w:r>
      <w:r w:rsidRPr="00E342DC">
        <w:rPr>
          <w:rFonts w:cs="Tahoma"/>
          <w:szCs w:val="20"/>
          <w:lang w:val="fr-CH"/>
        </w:rPr>
        <w:t>Alkarama déplore que le législateur tunisien n’ait pas supprimé la période de prescription qui s’applique au crime de torture.</w:t>
      </w:r>
    </w:p>
    <w:p w:rsidR="000B02C7" w:rsidRPr="00E342DC" w:rsidRDefault="000B02C7" w:rsidP="00DA0ABA">
      <w:pPr>
        <w:rPr>
          <w:rFonts w:cs="Tahoma"/>
          <w:szCs w:val="20"/>
          <w:lang w:val="fr-CH"/>
        </w:rPr>
      </w:pPr>
    </w:p>
    <w:p w:rsidR="00C554B1" w:rsidRPr="00E342DC" w:rsidRDefault="00B91ECE" w:rsidP="00DA0ABA">
      <w:pPr>
        <w:pStyle w:val="Default"/>
        <w:jc w:val="both"/>
        <w:rPr>
          <w:rFonts w:ascii="Tahoma" w:hAnsi="Tahoma" w:cs="Tahoma"/>
          <w:color w:val="auto"/>
          <w:sz w:val="20"/>
          <w:szCs w:val="20"/>
          <w:lang w:val="fr-CH"/>
        </w:rPr>
      </w:pPr>
      <w:r w:rsidRPr="00E342DC">
        <w:rPr>
          <w:rFonts w:ascii="Tahoma" w:hAnsi="Tahoma" w:cs="Tahoma"/>
          <w:color w:val="auto"/>
          <w:sz w:val="20"/>
          <w:szCs w:val="20"/>
          <w:lang w:val="fr-CH"/>
        </w:rPr>
        <w:t>Dans sa réponse à la liste des questions l’</w:t>
      </w:r>
      <w:r w:rsidR="0070261E" w:rsidRPr="00E342DC">
        <w:rPr>
          <w:rFonts w:ascii="Tahoma" w:hAnsi="Tahoma" w:cs="Tahoma"/>
          <w:color w:val="auto"/>
          <w:sz w:val="20"/>
          <w:szCs w:val="20"/>
          <w:lang w:val="fr-CH"/>
        </w:rPr>
        <w:t>État</w:t>
      </w:r>
      <w:r w:rsidRPr="00E342DC">
        <w:rPr>
          <w:rFonts w:ascii="Tahoma" w:hAnsi="Tahoma" w:cs="Tahoma"/>
          <w:color w:val="auto"/>
          <w:sz w:val="20"/>
          <w:szCs w:val="20"/>
          <w:lang w:val="fr-CH"/>
        </w:rPr>
        <w:t xml:space="preserve"> partie répond à la question relative à </w:t>
      </w:r>
      <w:r w:rsidR="00132435" w:rsidRPr="00E342DC">
        <w:rPr>
          <w:rFonts w:ascii="Tahoma" w:hAnsi="Tahoma" w:cs="Tahoma"/>
          <w:color w:val="auto"/>
          <w:sz w:val="20"/>
          <w:szCs w:val="20"/>
          <w:lang w:val="fr-CH"/>
        </w:rPr>
        <w:t xml:space="preserve">l’apparente incompatibilité entre l’article 23 de la Constitution qui définit la torture comme un crime imprescriptible, et les dispositions du Code de procédure pénale qui prévoit un délai de prescription de </w:t>
      </w:r>
      <w:r w:rsidR="00132435" w:rsidRPr="00E342DC">
        <w:rPr>
          <w:rFonts w:ascii="Tahoma" w:hAnsi="Tahoma" w:cs="Tahoma"/>
          <w:color w:val="auto"/>
          <w:sz w:val="20"/>
          <w:szCs w:val="20"/>
          <w:lang w:val="fr-CH"/>
        </w:rPr>
        <w:lastRenderedPageBreak/>
        <w:t>quinze ans pour les crimes de torture. Nous prenons note de la réponse de l’</w:t>
      </w:r>
      <w:r w:rsidR="0070261E" w:rsidRPr="00E342DC">
        <w:rPr>
          <w:rFonts w:ascii="Tahoma" w:hAnsi="Tahoma" w:cs="Tahoma"/>
          <w:color w:val="auto"/>
          <w:sz w:val="20"/>
          <w:szCs w:val="20"/>
          <w:lang w:val="fr-CH"/>
        </w:rPr>
        <w:t>État</w:t>
      </w:r>
      <w:r w:rsidR="00132435" w:rsidRPr="00E342DC">
        <w:rPr>
          <w:rFonts w:ascii="Tahoma" w:hAnsi="Tahoma" w:cs="Tahoma"/>
          <w:color w:val="auto"/>
          <w:sz w:val="20"/>
          <w:szCs w:val="20"/>
          <w:lang w:val="fr-CH"/>
        </w:rPr>
        <w:t xml:space="preserve"> </w:t>
      </w:r>
      <w:r w:rsidR="00F76646" w:rsidRPr="00E342DC">
        <w:rPr>
          <w:rFonts w:ascii="Tahoma" w:hAnsi="Tahoma" w:cs="Tahoma"/>
          <w:color w:val="auto"/>
          <w:sz w:val="20"/>
          <w:szCs w:val="20"/>
          <w:lang w:val="fr-CH"/>
        </w:rPr>
        <w:t>qui affirme que la Loi organique N° 43 de 2013 établissant l’Instance nationale de prévention de la torture dispose que le texte de l’article 5 du CPP sera remplacé par le texte suivant : « L’action publique dans les crimes de torture ne s’éteindra pas du fait de la prescription ».</w:t>
      </w:r>
      <w:r w:rsidR="00BF513F">
        <w:rPr>
          <w:rFonts w:ascii="Tahoma" w:hAnsi="Tahoma" w:cs="Tahoma"/>
          <w:color w:val="auto"/>
          <w:sz w:val="20"/>
          <w:szCs w:val="20"/>
          <w:lang w:val="fr-CH"/>
        </w:rPr>
        <w:t xml:space="preserve"> </w:t>
      </w:r>
    </w:p>
    <w:p w:rsidR="003A0EF6" w:rsidRPr="00E342DC" w:rsidRDefault="003A0EF6" w:rsidP="00DA0ABA">
      <w:pPr>
        <w:rPr>
          <w:rFonts w:eastAsia="Times New Roman" w:cs="Tahoma"/>
          <w:szCs w:val="20"/>
          <w:lang w:val="fr-CH" w:eastAsia="fr-CH"/>
        </w:rPr>
      </w:pPr>
    </w:p>
    <w:p w:rsidR="00BF0ED1" w:rsidRPr="00E342DC" w:rsidRDefault="00BF0ED1" w:rsidP="00DA0ABA">
      <w:pPr>
        <w:rPr>
          <w:rFonts w:eastAsia="Times New Roman" w:cs="Tahoma"/>
          <w:b/>
          <w:bCs/>
          <w:szCs w:val="20"/>
          <w:lang w:val="fr-CH" w:eastAsia="fr-CH"/>
        </w:rPr>
      </w:pPr>
      <w:r w:rsidRPr="00E342DC">
        <w:rPr>
          <w:rFonts w:cs="Tahoma"/>
          <w:b/>
          <w:bCs/>
          <w:szCs w:val="20"/>
          <w:lang w:val="fr-CH"/>
        </w:rPr>
        <w:t>Non-rétroactivité</w:t>
      </w:r>
    </w:p>
    <w:p w:rsidR="0076295B" w:rsidRPr="00E342DC" w:rsidRDefault="000B02C7" w:rsidP="006B036F">
      <w:pPr>
        <w:rPr>
          <w:rFonts w:cs="Tahoma"/>
          <w:szCs w:val="20"/>
          <w:lang w:val="fr-CH"/>
        </w:rPr>
      </w:pPr>
      <w:r w:rsidRPr="00E342DC">
        <w:rPr>
          <w:rFonts w:cs="Tahoma"/>
          <w:szCs w:val="20"/>
          <w:lang w:val="fr-CH"/>
        </w:rPr>
        <w:t xml:space="preserve">Eu égard au principe de non-rétroactivité de la loi pénale, </w:t>
      </w:r>
      <w:r w:rsidR="000C0A0E" w:rsidRPr="00E342DC">
        <w:rPr>
          <w:rFonts w:cs="Tahoma"/>
          <w:szCs w:val="20"/>
          <w:lang w:val="fr-CH"/>
        </w:rPr>
        <w:t xml:space="preserve">nous notons que </w:t>
      </w:r>
      <w:r w:rsidRPr="00E342DC">
        <w:rPr>
          <w:rFonts w:cs="Tahoma"/>
          <w:szCs w:val="20"/>
          <w:lang w:val="fr-CH"/>
        </w:rPr>
        <w:t xml:space="preserve">l’article 101 </w:t>
      </w:r>
      <w:r w:rsidRPr="00E342DC">
        <w:rPr>
          <w:rFonts w:cs="Tahoma"/>
          <w:i/>
          <w:iCs/>
          <w:szCs w:val="20"/>
          <w:lang w:val="fr-CH"/>
        </w:rPr>
        <w:t>bis</w:t>
      </w:r>
      <w:r w:rsidR="008379CE" w:rsidRPr="00E342DC">
        <w:rPr>
          <w:rFonts w:cs="Tahoma"/>
          <w:szCs w:val="20"/>
          <w:lang w:val="fr-CH"/>
        </w:rPr>
        <w:t xml:space="preserve"> couvre uniquement les actes de torture commis après 1999</w:t>
      </w:r>
      <w:r w:rsidRPr="00E342DC">
        <w:rPr>
          <w:rFonts w:cs="Tahoma"/>
          <w:szCs w:val="20"/>
          <w:lang w:val="fr-CH"/>
        </w:rPr>
        <w:t>.</w:t>
      </w:r>
      <w:r w:rsidR="008379CE" w:rsidRPr="00E342DC">
        <w:rPr>
          <w:rFonts w:cs="Tahoma"/>
          <w:szCs w:val="20"/>
          <w:lang w:val="fr-CH"/>
        </w:rPr>
        <w:t xml:space="preserve"> Avant l’introduction dudit article, </w:t>
      </w:r>
      <w:r w:rsidR="0076295B" w:rsidRPr="00E342DC">
        <w:rPr>
          <w:rFonts w:cs="Tahoma"/>
          <w:szCs w:val="20"/>
          <w:lang w:val="fr-CH"/>
        </w:rPr>
        <w:t xml:space="preserve">les actes de torture étaient qualifiés </w:t>
      </w:r>
      <w:r w:rsidR="008379CE" w:rsidRPr="00E342DC">
        <w:rPr>
          <w:rFonts w:cs="Tahoma"/>
          <w:szCs w:val="20"/>
          <w:lang w:val="fr-CH"/>
        </w:rPr>
        <w:t>de « délit de violence »</w:t>
      </w:r>
      <w:r w:rsidR="000C0A0E" w:rsidRPr="00E342DC">
        <w:rPr>
          <w:rFonts w:cs="Tahoma"/>
          <w:szCs w:val="20"/>
          <w:lang w:val="fr-CH"/>
        </w:rPr>
        <w:t xml:space="preserve">, qui ne prévoyait pas les éléments spécifiques </w:t>
      </w:r>
      <w:r w:rsidR="006B036F" w:rsidRPr="00E342DC">
        <w:rPr>
          <w:rFonts w:cs="Tahoma"/>
          <w:szCs w:val="20"/>
          <w:lang w:val="fr-CH"/>
        </w:rPr>
        <w:t xml:space="preserve">au crime de </w:t>
      </w:r>
      <w:r w:rsidR="000C0A0E" w:rsidRPr="00E342DC">
        <w:rPr>
          <w:rFonts w:cs="Tahoma"/>
          <w:szCs w:val="20"/>
          <w:lang w:val="fr-CH"/>
        </w:rPr>
        <w:t xml:space="preserve">torture, </w:t>
      </w:r>
      <w:r w:rsidR="006B036F" w:rsidRPr="00E342DC">
        <w:rPr>
          <w:rFonts w:cs="Tahoma"/>
          <w:szCs w:val="20"/>
          <w:lang w:val="fr-CH"/>
        </w:rPr>
        <w:t xml:space="preserve">ni </w:t>
      </w:r>
      <w:r w:rsidR="000C0A0E" w:rsidRPr="00E342DC">
        <w:rPr>
          <w:rFonts w:cs="Tahoma"/>
          <w:szCs w:val="20"/>
          <w:lang w:val="fr-CH"/>
        </w:rPr>
        <w:t xml:space="preserve">ses modes de participation et ne prévoyait pas de peines appropriées. </w:t>
      </w:r>
    </w:p>
    <w:p w:rsidR="0076295B" w:rsidRPr="00E342DC" w:rsidRDefault="0076295B" w:rsidP="00DA0ABA">
      <w:pPr>
        <w:rPr>
          <w:rFonts w:cs="Tahoma"/>
          <w:szCs w:val="20"/>
          <w:lang w:val="fr-CH"/>
        </w:rPr>
      </w:pPr>
    </w:p>
    <w:p w:rsidR="000B02C7" w:rsidRPr="00E342DC" w:rsidRDefault="0076295B" w:rsidP="00DA0ABA">
      <w:pPr>
        <w:rPr>
          <w:rFonts w:cs="Tahoma"/>
          <w:szCs w:val="20"/>
          <w:lang w:val="fr-CH"/>
        </w:rPr>
      </w:pPr>
      <w:r w:rsidRPr="00E342DC">
        <w:rPr>
          <w:rFonts w:cs="Tahoma"/>
          <w:szCs w:val="20"/>
          <w:lang w:val="fr-CH"/>
        </w:rPr>
        <w:t>L</w:t>
      </w:r>
      <w:r w:rsidR="000B02C7" w:rsidRPr="00E342DC">
        <w:rPr>
          <w:rFonts w:cs="Tahoma"/>
          <w:szCs w:val="20"/>
          <w:lang w:val="fr-CH"/>
        </w:rPr>
        <w:t xml:space="preserve">’article 8 de la loi organique n° 2013-53 du 24 décembre 2013 relative à l'instauration de la justice transitionnelle et à son organisation </w:t>
      </w:r>
      <w:r w:rsidR="008379CE" w:rsidRPr="00E342DC">
        <w:rPr>
          <w:rFonts w:cs="Tahoma"/>
          <w:szCs w:val="20"/>
          <w:lang w:val="fr-CH"/>
        </w:rPr>
        <w:t xml:space="preserve">nuance le principe de non-rétroactivité. </w:t>
      </w:r>
      <w:r w:rsidRPr="00E342DC">
        <w:rPr>
          <w:rFonts w:cs="Tahoma"/>
          <w:szCs w:val="20"/>
          <w:lang w:val="fr-CH"/>
        </w:rPr>
        <w:t xml:space="preserve">Ladite loi </w:t>
      </w:r>
      <w:r w:rsidR="000B02C7" w:rsidRPr="00E342DC">
        <w:rPr>
          <w:rFonts w:cs="Tahoma"/>
          <w:szCs w:val="20"/>
          <w:lang w:val="fr-CH"/>
        </w:rPr>
        <w:t xml:space="preserve">prévoit </w:t>
      </w:r>
      <w:r w:rsidR="008379CE" w:rsidRPr="00E342DC">
        <w:rPr>
          <w:rFonts w:cs="Tahoma"/>
          <w:szCs w:val="20"/>
          <w:lang w:val="fr-CH"/>
        </w:rPr>
        <w:t xml:space="preserve">en effet </w:t>
      </w:r>
      <w:r w:rsidR="000B02C7" w:rsidRPr="00E342DC">
        <w:rPr>
          <w:rFonts w:cs="Tahoma"/>
          <w:szCs w:val="20"/>
          <w:lang w:val="fr-CH"/>
        </w:rPr>
        <w:t>des chambres spécialisées près des tribunaux de première instance</w:t>
      </w:r>
      <w:r w:rsidR="008379CE" w:rsidRPr="00E342DC">
        <w:rPr>
          <w:rFonts w:cs="Tahoma"/>
          <w:szCs w:val="20"/>
          <w:lang w:val="fr-CH"/>
        </w:rPr>
        <w:t xml:space="preserve"> habilités à statuer</w:t>
      </w:r>
      <w:r w:rsidR="000B02C7" w:rsidRPr="00E342DC">
        <w:rPr>
          <w:rFonts w:cs="Tahoma"/>
          <w:szCs w:val="20"/>
          <w:lang w:val="fr-CH"/>
        </w:rPr>
        <w:t xml:space="preserve"> sur les affaires relatives aux atteintes graves aux droits de l’homme, dont notamment les actes de torture</w:t>
      </w:r>
      <w:r w:rsidR="008379CE" w:rsidRPr="00E342DC">
        <w:rPr>
          <w:rFonts w:cs="Tahoma"/>
          <w:szCs w:val="20"/>
          <w:lang w:val="fr-CH"/>
        </w:rPr>
        <w:t xml:space="preserve"> et disparitions forcées</w:t>
      </w:r>
      <w:r w:rsidR="000B02C7" w:rsidRPr="00E342DC">
        <w:rPr>
          <w:rFonts w:cs="Tahoma"/>
          <w:szCs w:val="20"/>
          <w:lang w:val="fr-CH"/>
        </w:rPr>
        <w:t xml:space="preserve"> commis entre le 1</w:t>
      </w:r>
      <w:r w:rsidR="000B02C7" w:rsidRPr="00E342DC">
        <w:rPr>
          <w:rFonts w:cs="Tahoma"/>
          <w:szCs w:val="20"/>
          <w:vertAlign w:val="superscript"/>
          <w:lang w:val="fr-CH"/>
        </w:rPr>
        <w:t>er</w:t>
      </w:r>
      <w:r w:rsidR="000B02C7" w:rsidRPr="00E342DC">
        <w:rPr>
          <w:rFonts w:cs="Tahoma"/>
          <w:szCs w:val="20"/>
          <w:lang w:val="fr-CH"/>
        </w:rPr>
        <w:t xml:space="preserve"> juillet 1955 et jusqu’à la date de promulgation de la loi. </w:t>
      </w:r>
    </w:p>
    <w:p w:rsidR="00B91ECE" w:rsidRPr="00E342DC" w:rsidRDefault="00B91ECE" w:rsidP="00DA0ABA">
      <w:pPr>
        <w:rPr>
          <w:rFonts w:cs="Tahoma"/>
          <w:szCs w:val="20"/>
          <w:lang w:val="fr-CH"/>
        </w:rPr>
      </w:pPr>
    </w:p>
    <w:p w:rsidR="007D1D7C" w:rsidRPr="00E342DC" w:rsidRDefault="00B91ECE" w:rsidP="00BF0ED1">
      <w:pPr>
        <w:rPr>
          <w:rFonts w:cs="Tahoma"/>
          <w:szCs w:val="20"/>
          <w:lang w:val="fr-CH"/>
        </w:rPr>
      </w:pPr>
      <w:r w:rsidRPr="00E342DC">
        <w:rPr>
          <w:rFonts w:cs="Tahoma"/>
          <w:szCs w:val="20"/>
          <w:lang w:val="fr-CH"/>
        </w:rPr>
        <w:t>Alkarama relève ici une contradiction et un conflit entre ces deux dispositions en matière d’applicabilité du principe de rétroactivité</w:t>
      </w:r>
      <w:r w:rsidR="00A1235B" w:rsidRPr="00E342DC">
        <w:rPr>
          <w:rFonts w:cs="Tahoma"/>
          <w:szCs w:val="20"/>
          <w:lang w:val="fr-CH"/>
        </w:rPr>
        <w:t xml:space="preserve"> </w:t>
      </w:r>
      <w:r w:rsidR="000C0A0E" w:rsidRPr="00E342DC">
        <w:rPr>
          <w:rFonts w:cs="Tahoma"/>
          <w:szCs w:val="20"/>
          <w:lang w:val="fr-CH"/>
        </w:rPr>
        <w:t xml:space="preserve">et de compétences des juridictions qui </w:t>
      </w:r>
      <w:r w:rsidR="00A1235B" w:rsidRPr="00E342DC">
        <w:rPr>
          <w:rFonts w:cs="Tahoma"/>
          <w:szCs w:val="20"/>
          <w:lang w:val="fr-CH"/>
        </w:rPr>
        <w:t>peut nuire</w:t>
      </w:r>
      <w:r w:rsidRPr="00E342DC">
        <w:rPr>
          <w:rFonts w:cs="Tahoma"/>
          <w:szCs w:val="20"/>
          <w:lang w:val="fr-CH"/>
        </w:rPr>
        <w:t xml:space="preserve"> à la clarté et à l’accessibilité des recours juridiques pour les justiciables</w:t>
      </w:r>
      <w:r w:rsidRPr="00E342DC">
        <w:rPr>
          <w:rStyle w:val="FootnoteReference"/>
          <w:rFonts w:cs="Tahoma"/>
          <w:szCs w:val="20"/>
          <w:lang w:val="fr-CH"/>
        </w:rPr>
        <w:footnoteReference w:id="9"/>
      </w:r>
      <w:r w:rsidRPr="00E342DC">
        <w:rPr>
          <w:rFonts w:cs="Tahoma"/>
          <w:szCs w:val="20"/>
          <w:lang w:val="fr-CH"/>
        </w:rPr>
        <w:t xml:space="preserve">. </w:t>
      </w:r>
      <w:r w:rsidR="000C0A0E" w:rsidRPr="00E342DC">
        <w:rPr>
          <w:rFonts w:cs="Tahoma"/>
          <w:szCs w:val="20"/>
          <w:lang w:val="fr-CH"/>
        </w:rPr>
        <w:t>De plus, l’</w:t>
      </w:r>
      <w:r w:rsidR="0070261E" w:rsidRPr="00E342DC">
        <w:rPr>
          <w:rFonts w:cs="Tahoma"/>
          <w:szCs w:val="20"/>
          <w:lang w:val="fr-CH"/>
        </w:rPr>
        <w:t>État</w:t>
      </w:r>
      <w:r w:rsidR="000C0A0E" w:rsidRPr="00E342DC">
        <w:rPr>
          <w:rFonts w:cs="Tahoma"/>
          <w:szCs w:val="20"/>
          <w:lang w:val="fr-CH"/>
        </w:rPr>
        <w:t xml:space="preserve"> partie ne précise pas la définition de la torture utilisée par les chambres spécialisées créées par la loi de 2013 pour les cas de torture subis avant 1999. Alkarama craint ainsi qu’aux déficiences de la définition reconnue aujourd’hui en droit tunisien, s’ajoute l’absence de clarté quant à la définition à adopter par les chambres spécialisées. </w:t>
      </w:r>
    </w:p>
    <w:p w:rsidR="007D1D7C" w:rsidRPr="00E342DC" w:rsidRDefault="007D1D7C" w:rsidP="007D1D7C">
      <w:pPr>
        <w:rPr>
          <w:rFonts w:cs="Tahoma"/>
          <w:szCs w:val="20"/>
          <w:lang w:val="fr-CH"/>
        </w:rPr>
      </w:pPr>
    </w:p>
    <w:p w:rsidR="007D1D7C" w:rsidRPr="00E342DC" w:rsidRDefault="007D1D7C" w:rsidP="007D1D7C">
      <w:pPr>
        <w:tabs>
          <w:tab w:val="left" w:pos="284"/>
        </w:tabs>
        <w:rPr>
          <w:rFonts w:cs="Tahoma"/>
          <w:b/>
          <w:szCs w:val="20"/>
        </w:rPr>
      </w:pPr>
      <w:r w:rsidRPr="00E342DC">
        <w:rPr>
          <w:rFonts w:cs="Tahoma"/>
          <w:b/>
          <w:szCs w:val="20"/>
        </w:rPr>
        <w:t>Recommandations:</w:t>
      </w:r>
    </w:p>
    <w:p w:rsidR="00D9565E" w:rsidRPr="00E342DC" w:rsidRDefault="00D9565E" w:rsidP="007D1D7C">
      <w:pPr>
        <w:tabs>
          <w:tab w:val="left" w:pos="284"/>
        </w:tabs>
        <w:rPr>
          <w:rFonts w:cs="Tahoma"/>
          <w:b/>
          <w:szCs w:val="20"/>
        </w:rPr>
      </w:pPr>
    </w:p>
    <w:p w:rsidR="007D1D7C" w:rsidRPr="00E342DC" w:rsidRDefault="007D1D7C" w:rsidP="007D1D7C">
      <w:pPr>
        <w:pStyle w:val="ListParagraph"/>
        <w:numPr>
          <w:ilvl w:val="0"/>
          <w:numId w:val="34"/>
        </w:numPr>
        <w:rPr>
          <w:rFonts w:cs="Tahoma"/>
          <w:szCs w:val="20"/>
        </w:rPr>
      </w:pPr>
      <w:r w:rsidRPr="00E342DC">
        <w:rPr>
          <w:rFonts w:cs="Tahoma"/>
          <w:szCs w:val="20"/>
        </w:rPr>
        <w:t xml:space="preserve">Mettre en adéquation l’article 101 </w:t>
      </w:r>
      <w:r w:rsidRPr="00E342DC">
        <w:rPr>
          <w:rFonts w:cs="Tahoma"/>
          <w:i/>
          <w:iCs/>
          <w:szCs w:val="20"/>
        </w:rPr>
        <w:t>bis</w:t>
      </w:r>
      <w:r w:rsidRPr="00E342DC">
        <w:rPr>
          <w:rFonts w:cs="Tahoma"/>
          <w:szCs w:val="20"/>
        </w:rPr>
        <w:t xml:space="preserve"> du CPP avec l’article 1</w:t>
      </w:r>
      <w:r w:rsidRPr="00E342DC">
        <w:rPr>
          <w:rFonts w:cs="Tahoma"/>
          <w:szCs w:val="20"/>
          <w:vertAlign w:val="superscript"/>
        </w:rPr>
        <w:t>er</w:t>
      </w:r>
      <w:r w:rsidR="00BF513F">
        <w:rPr>
          <w:rFonts w:cs="Tahoma"/>
          <w:szCs w:val="20"/>
        </w:rPr>
        <w:t xml:space="preserve"> de la Convention ;</w:t>
      </w:r>
    </w:p>
    <w:p w:rsidR="007D1D7C" w:rsidRPr="00E342DC" w:rsidRDefault="007D1D7C" w:rsidP="007D1D7C">
      <w:pPr>
        <w:pStyle w:val="ListParagraph"/>
        <w:numPr>
          <w:ilvl w:val="0"/>
          <w:numId w:val="34"/>
        </w:numPr>
        <w:rPr>
          <w:rFonts w:cs="Tahoma"/>
          <w:szCs w:val="20"/>
        </w:rPr>
      </w:pPr>
      <w:r w:rsidRPr="00E342DC">
        <w:rPr>
          <w:rFonts w:cs="Tahoma"/>
          <w:szCs w:val="20"/>
        </w:rPr>
        <w:t xml:space="preserve">Clarifier l’apparente contradiction entre l’article 23 de la Constitution qui prévoit l’imprescriptibilité du crime de torture et l’article 5 para. 4 du CP qui prévoit un </w:t>
      </w:r>
      <w:r w:rsidR="00BF513F">
        <w:rPr>
          <w:rFonts w:cs="Tahoma"/>
          <w:szCs w:val="20"/>
        </w:rPr>
        <w:t>délai de prescription de 15 ans ;</w:t>
      </w:r>
    </w:p>
    <w:p w:rsidR="007D1D7C" w:rsidRPr="00E342DC" w:rsidRDefault="007D1D7C" w:rsidP="007D1D7C">
      <w:pPr>
        <w:pStyle w:val="ListParagraph"/>
        <w:numPr>
          <w:ilvl w:val="0"/>
          <w:numId w:val="34"/>
        </w:numPr>
        <w:rPr>
          <w:rFonts w:cs="Tahoma"/>
          <w:szCs w:val="20"/>
        </w:rPr>
      </w:pPr>
      <w:r w:rsidRPr="00E342DC">
        <w:rPr>
          <w:rFonts w:cs="Tahoma"/>
          <w:szCs w:val="20"/>
        </w:rPr>
        <w:t>Privilégier la qualification de « torture » plutôt que de « violence » pour juger des cas de torture antérieurs à l’incrimination de la torture en ta</w:t>
      </w:r>
      <w:r w:rsidR="00BF513F">
        <w:rPr>
          <w:rFonts w:cs="Tahoma"/>
          <w:szCs w:val="20"/>
        </w:rPr>
        <w:t>nt que crime spécifique en 1999 ;</w:t>
      </w:r>
    </w:p>
    <w:p w:rsidR="007D1D7C" w:rsidRPr="00E342DC" w:rsidRDefault="007D1D7C" w:rsidP="007D1D7C">
      <w:pPr>
        <w:pStyle w:val="ListParagraph"/>
        <w:numPr>
          <w:ilvl w:val="0"/>
          <w:numId w:val="34"/>
        </w:numPr>
        <w:autoSpaceDE w:val="0"/>
        <w:autoSpaceDN w:val="0"/>
        <w:adjustRightInd w:val="0"/>
        <w:rPr>
          <w:rFonts w:cs="Tahoma"/>
          <w:szCs w:val="20"/>
        </w:rPr>
      </w:pPr>
      <w:r w:rsidRPr="00E342DC">
        <w:rPr>
          <w:rFonts w:cs="Tahoma"/>
          <w:szCs w:val="20"/>
        </w:rPr>
        <w:t>Compléter le décret n°2011/106 afin d’exclure le moyen de défense relatif à l’ordre</w:t>
      </w:r>
      <w:r w:rsidR="00D9117F" w:rsidRPr="00E342DC">
        <w:rPr>
          <w:rFonts w:cs="Tahoma"/>
          <w:szCs w:val="20"/>
        </w:rPr>
        <w:t xml:space="preserve"> du supérieur hiérarchique</w:t>
      </w:r>
      <w:r w:rsidRPr="00E342DC">
        <w:rPr>
          <w:rFonts w:cs="Tahoma"/>
          <w:szCs w:val="20"/>
        </w:rPr>
        <w:t>.</w:t>
      </w:r>
    </w:p>
    <w:p w:rsidR="007D1D7C" w:rsidRPr="00E342DC" w:rsidRDefault="007D1D7C" w:rsidP="00DA0ABA">
      <w:pPr>
        <w:rPr>
          <w:rFonts w:cs="Tahoma"/>
          <w:szCs w:val="20"/>
        </w:rPr>
      </w:pPr>
    </w:p>
    <w:p w:rsidR="003D51ED" w:rsidRPr="00E342DC" w:rsidRDefault="003D51ED" w:rsidP="00DA0ABA">
      <w:pPr>
        <w:rPr>
          <w:rFonts w:cs="Tahoma"/>
          <w:szCs w:val="20"/>
          <w:lang w:val="fr-CH"/>
        </w:rPr>
      </w:pPr>
    </w:p>
    <w:p w:rsidR="00C33486" w:rsidRPr="00E342DC" w:rsidRDefault="0076295B" w:rsidP="00DA0ABA">
      <w:pPr>
        <w:pStyle w:val="Heading1"/>
        <w:rPr>
          <w:rFonts w:eastAsia="Arial Unicode MS" w:cs="Tahoma"/>
          <w:lang w:val="fr-CH"/>
        </w:rPr>
      </w:pPr>
      <w:bookmarkStart w:id="9" w:name="_Toc447008717"/>
      <w:r w:rsidRPr="00E342DC">
        <w:rPr>
          <w:rFonts w:eastAsia="Arial Unicode MS" w:cs="Tahoma"/>
          <w:lang w:val="fr-CH"/>
        </w:rPr>
        <w:t>Garanties</w:t>
      </w:r>
      <w:r w:rsidR="00C33486" w:rsidRPr="00E342DC">
        <w:rPr>
          <w:rFonts w:eastAsia="Arial Unicode MS" w:cs="Tahoma"/>
          <w:lang w:val="fr-CH"/>
        </w:rPr>
        <w:t xml:space="preserve"> procédurales </w:t>
      </w:r>
      <w:r w:rsidR="003D51ED" w:rsidRPr="00E342DC">
        <w:rPr>
          <w:rFonts w:eastAsia="Arial Unicode MS" w:cs="Tahoma"/>
          <w:lang w:val="fr-CH"/>
        </w:rPr>
        <w:t>en droit commun</w:t>
      </w:r>
      <w:bookmarkEnd w:id="9"/>
    </w:p>
    <w:p w:rsidR="003D51ED" w:rsidRPr="00E342DC" w:rsidRDefault="003D51ED" w:rsidP="00DA0ABA">
      <w:pPr>
        <w:rPr>
          <w:rFonts w:cs="Tahoma"/>
          <w:szCs w:val="20"/>
          <w:lang w:val="fr-CH" w:eastAsia="fr-FR"/>
        </w:rPr>
      </w:pPr>
    </w:p>
    <w:p w:rsidR="001522FF" w:rsidRPr="00E342DC" w:rsidRDefault="00DA0ABA" w:rsidP="00D9117F">
      <w:pPr>
        <w:rPr>
          <w:rFonts w:cs="Tahoma"/>
          <w:szCs w:val="20"/>
          <w:lang w:val="fr-CH"/>
        </w:rPr>
      </w:pPr>
      <w:r w:rsidRPr="00E342DC">
        <w:rPr>
          <w:rFonts w:cs="Tahoma"/>
          <w:szCs w:val="20"/>
          <w:lang w:val="fr-CH" w:eastAsia="fr-FR"/>
        </w:rPr>
        <w:t xml:space="preserve">Le Comité a dégagé un certain nombre de </w:t>
      </w:r>
      <w:r w:rsidR="003266EB" w:rsidRPr="00E342DC">
        <w:rPr>
          <w:rFonts w:cs="Tahoma"/>
          <w:szCs w:val="20"/>
          <w:lang w:val="fr-CH" w:eastAsia="fr-FR"/>
        </w:rPr>
        <w:t>garanties fondamentales des droits de l’homme</w:t>
      </w:r>
      <w:r w:rsidRPr="00E342DC">
        <w:rPr>
          <w:rFonts w:cs="Tahoma"/>
          <w:szCs w:val="20"/>
          <w:lang w:val="fr-CH" w:eastAsia="fr-FR"/>
        </w:rPr>
        <w:t xml:space="preserve"> auxquelles</w:t>
      </w:r>
      <w:r w:rsidR="003266EB" w:rsidRPr="00E342DC">
        <w:rPr>
          <w:rFonts w:cs="Tahoma"/>
          <w:szCs w:val="20"/>
          <w:lang w:val="fr-CH" w:eastAsia="fr-FR"/>
        </w:rPr>
        <w:t xml:space="preserve"> </w:t>
      </w:r>
      <w:r w:rsidR="00D9117F" w:rsidRPr="00E342DC">
        <w:rPr>
          <w:rFonts w:cs="Tahoma"/>
          <w:szCs w:val="20"/>
          <w:lang w:val="fr-CH" w:eastAsia="fr-FR"/>
        </w:rPr>
        <w:t>les</w:t>
      </w:r>
      <w:r w:rsidR="003266EB" w:rsidRPr="00E342DC">
        <w:rPr>
          <w:rFonts w:cs="Tahoma"/>
          <w:szCs w:val="20"/>
          <w:lang w:val="fr-CH" w:eastAsia="fr-FR"/>
        </w:rPr>
        <w:t xml:space="preserve"> États parties d</w:t>
      </w:r>
      <w:r w:rsidR="00D9117F" w:rsidRPr="00E342DC">
        <w:rPr>
          <w:rFonts w:cs="Tahoma"/>
          <w:szCs w:val="20"/>
          <w:lang w:val="fr-CH" w:eastAsia="fr-FR"/>
        </w:rPr>
        <w:t>evraient</w:t>
      </w:r>
      <w:r w:rsidR="003266EB" w:rsidRPr="00E342DC">
        <w:rPr>
          <w:rFonts w:cs="Tahoma"/>
          <w:szCs w:val="20"/>
          <w:lang w:val="fr-CH" w:eastAsia="fr-FR"/>
        </w:rPr>
        <w:t xml:space="preserve"> s</w:t>
      </w:r>
      <w:r w:rsidRPr="00E342DC">
        <w:rPr>
          <w:rFonts w:cs="Tahoma"/>
          <w:szCs w:val="20"/>
          <w:lang w:val="fr-CH" w:eastAsia="fr-FR"/>
        </w:rPr>
        <w:t>e</w:t>
      </w:r>
      <w:r w:rsidR="003266EB" w:rsidRPr="00E342DC">
        <w:rPr>
          <w:rFonts w:cs="Tahoma"/>
          <w:szCs w:val="20"/>
          <w:lang w:val="fr-CH" w:eastAsia="fr-FR"/>
        </w:rPr>
        <w:t xml:space="preserve"> </w:t>
      </w:r>
      <w:r w:rsidRPr="00E342DC">
        <w:rPr>
          <w:rFonts w:cs="Tahoma"/>
          <w:szCs w:val="20"/>
          <w:lang w:val="fr-CH" w:eastAsia="fr-FR"/>
        </w:rPr>
        <w:t xml:space="preserve">conformer </w:t>
      </w:r>
      <w:r w:rsidR="00D9117F" w:rsidRPr="00E342DC">
        <w:rPr>
          <w:rFonts w:cs="Tahoma"/>
          <w:szCs w:val="20"/>
          <w:lang w:val="fr-CH" w:eastAsia="fr-FR"/>
        </w:rPr>
        <w:t xml:space="preserve">systématiquement </w:t>
      </w:r>
      <w:r w:rsidRPr="00E342DC">
        <w:rPr>
          <w:rFonts w:cs="Tahoma"/>
          <w:szCs w:val="20"/>
          <w:lang w:val="fr-CH" w:eastAsia="fr-FR"/>
        </w:rPr>
        <w:t xml:space="preserve">afin de prévenir les actes de tortures contre les personnes détenues. </w:t>
      </w:r>
      <w:r w:rsidR="003266EB" w:rsidRPr="00E342DC">
        <w:rPr>
          <w:rFonts w:cs="Tahoma"/>
          <w:szCs w:val="20"/>
          <w:lang w:val="fr-CH" w:eastAsia="fr-FR"/>
        </w:rPr>
        <w:t>Ces garanties comprennent, notamment,</w:t>
      </w:r>
      <w:r w:rsidRPr="00E342DC">
        <w:rPr>
          <w:rFonts w:cs="Tahoma"/>
          <w:szCs w:val="20"/>
          <w:lang w:val="fr-CH" w:eastAsia="fr-FR"/>
        </w:rPr>
        <w:t xml:space="preserve"> mais non exclusivement, </w:t>
      </w:r>
      <w:r w:rsidR="003266EB" w:rsidRPr="00E342DC">
        <w:rPr>
          <w:rFonts w:cs="Tahoma"/>
          <w:szCs w:val="20"/>
          <w:lang w:val="fr-CH" w:eastAsia="fr-FR"/>
        </w:rPr>
        <w:t>la tenue d’un registre officiel des détenus, le droit des détenus d’être informés de leurs droits, de bénéficier promptement d’une assistance juridique et médicale indépendante ainsi que de prendre contact avec leur famille, la nécessité de mettre en place des mécanismes impartiaux pour l’inspection des lieux de détention et d’internement, et la possibilité pour les détenus et les personnes qui risquent d’être victimes d’actes de torture et de mauvais traitements d’avoir accès à des recours judiciaires et autres qui leur permettent de bénéficier rapidement d’un examen impartial de leur plainte, de défendre leurs droits et de contester la légalité de leur détention ou de leur traitement</w:t>
      </w:r>
      <w:r w:rsidR="003266EB" w:rsidRPr="00E342DC">
        <w:rPr>
          <w:rStyle w:val="FootnoteReference"/>
          <w:rFonts w:cs="Tahoma"/>
          <w:szCs w:val="20"/>
          <w:lang w:val="fr-CH" w:eastAsia="fr-FR"/>
        </w:rPr>
        <w:footnoteReference w:id="10"/>
      </w:r>
      <w:r w:rsidR="003266EB" w:rsidRPr="00E342DC">
        <w:rPr>
          <w:rFonts w:cs="Tahoma"/>
          <w:szCs w:val="20"/>
          <w:lang w:val="fr-CH" w:eastAsia="fr-FR"/>
        </w:rPr>
        <w:t>.</w:t>
      </w:r>
      <w:r w:rsidR="003266EB" w:rsidRPr="00E342DC" w:rsidDel="003266EB">
        <w:rPr>
          <w:rFonts w:cs="Tahoma"/>
          <w:szCs w:val="20"/>
          <w:lang w:val="fr-CH" w:eastAsia="fr-FR"/>
        </w:rPr>
        <w:t xml:space="preserve"> </w:t>
      </w:r>
      <w:r w:rsidR="00B64B00" w:rsidRPr="00E342DC">
        <w:rPr>
          <w:rFonts w:cs="Tahoma"/>
          <w:szCs w:val="20"/>
          <w:lang w:val="fr-CH" w:eastAsia="fr-FR"/>
        </w:rPr>
        <w:t>Nous verrons dans cette partie et dans les parties suivantes que de nombreuses irrégularités dans le droit et la pratique de l’</w:t>
      </w:r>
      <w:r w:rsidR="0070261E" w:rsidRPr="00E342DC">
        <w:rPr>
          <w:rFonts w:cs="Tahoma"/>
          <w:szCs w:val="20"/>
          <w:lang w:val="fr-CH" w:eastAsia="fr-FR"/>
        </w:rPr>
        <w:t>État</w:t>
      </w:r>
      <w:r w:rsidR="00B64B00" w:rsidRPr="00E342DC">
        <w:rPr>
          <w:rFonts w:cs="Tahoma"/>
          <w:szCs w:val="20"/>
          <w:lang w:val="fr-CH" w:eastAsia="fr-FR"/>
        </w:rPr>
        <w:t xml:space="preserve"> partie doivent être corrigées</w:t>
      </w:r>
      <w:r w:rsidR="00D9117F" w:rsidRPr="00E342DC">
        <w:rPr>
          <w:rFonts w:cs="Tahoma"/>
          <w:szCs w:val="20"/>
          <w:lang w:val="fr-CH" w:eastAsia="fr-FR"/>
        </w:rPr>
        <w:t xml:space="preserve"> afin de se mettre en conformité avec les recommandations du Comité</w:t>
      </w:r>
      <w:r w:rsidR="00B64B00" w:rsidRPr="00E342DC">
        <w:rPr>
          <w:rFonts w:cs="Tahoma"/>
          <w:szCs w:val="20"/>
          <w:lang w:val="fr-CH" w:eastAsia="fr-FR"/>
        </w:rPr>
        <w:t>.</w:t>
      </w:r>
    </w:p>
    <w:p w:rsidR="00DA0ABA" w:rsidRPr="00E342DC" w:rsidRDefault="00DA0ABA" w:rsidP="00DA0ABA">
      <w:pPr>
        <w:pStyle w:val="Heading2"/>
        <w:numPr>
          <w:ilvl w:val="0"/>
          <w:numId w:val="0"/>
        </w:numPr>
        <w:ind w:left="720" w:hanging="720"/>
        <w:rPr>
          <w:rFonts w:cs="Tahoma"/>
          <w:szCs w:val="20"/>
          <w:lang w:val="fr-CH"/>
        </w:rPr>
      </w:pPr>
    </w:p>
    <w:p w:rsidR="0072548F" w:rsidRPr="002D56CA" w:rsidRDefault="0072548F" w:rsidP="002D56CA">
      <w:pPr>
        <w:pStyle w:val="Heading2"/>
        <w:numPr>
          <w:ilvl w:val="1"/>
          <w:numId w:val="45"/>
        </w:numPr>
        <w:rPr>
          <w:lang w:val="fr-CH"/>
        </w:rPr>
      </w:pPr>
      <w:bookmarkStart w:id="10" w:name="_Toc447008718"/>
      <w:r w:rsidRPr="002D56CA">
        <w:rPr>
          <w:lang w:val="fr-CH"/>
        </w:rPr>
        <w:t>Durée légale de garde à vue</w:t>
      </w:r>
      <w:bookmarkEnd w:id="10"/>
    </w:p>
    <w:p w:rsidR="00813844" w:rsidRPr="00E342DC" w:rsidRDefault="00813844" w:rsidP="00DA0ABA">
      <w:pPr>
        <w:rPr>
          <w:rFonts w:cs="Tahoma"/>
          <w:szCs w:val="20"/>
          <w:lang w:val="fr-CH"/>
        </w:rPr>
      </w:pPr>
    </w:p>
    <w:p w:rsidR="00C554B1" w:rsidRPr="00E342DC" w:rsidRDefault="003E7BAA" w:rsidP="00D9117F">
      <w:pPr>
        <w:rPr>
          <w:rFonts w:cs="Tahoma"/>
          <w:szCs w:val="20"/>
          <w:lang w:val="fr-CH"/>
        </w:rPr>
      </w:pPr>
      <w:r w:rsidRPr="00E342DC">
        <w:rPr>
          <w:rFonts w:cs="Tahoma"/>
          <w:szCs w:val="20"/>
          <w:lang w:val="fr-CH"/>
        </w:rPr>
        <w:t xml:space="preserve">La Constitution reconnaît explicitement la nécessité de définir par la loi la période de la garde à vue. </w:t>
      </w:r>
      <w:r w:rsidR="0072548F" w:rsidRPr="00E342DC">
        <w:rPr>
          <w:rFonts w:cs="Tahoma"/>
          <w:szCs w:val="20"/>
          <w:lang w:val="fr-CH"/>
        </w:rPr>
        <w:t xml:space="preserve">A ce jour, </w:t>
      </w:r>
      <w:r w:rsidR="00813844" w:rsidRPr="00E342DC">
        <w:rPr>
          <w:rFonts w:cs="Tahoma"/>
          <w:szCs w:val="20"/>
          <w:lang w:val="fr-CH"/>
        </w:rPr>
        <w:t>l’article 13</w:t>
      </w:r>
      <w:r w:rsidRPr="00E342DC">
        <w:rPr>
          <w:rFonts w:cs="Tahoma"/>
          <w:szCs w:val="20"/>
          <w:lang w:val="fr-CH"/>
        </w:rPr>
        <w:t xml:space="preserve"> </w:t>
      </w:r>
      <w:r w:rsidRPr="00E342DC">
        <w:rPr>
          <w:rFonts w:cs="Tahoma"/>
          <w:i/>
          <w:iCs/>
          <w:szCs w:val="20"/>
          <w:lang w:val="fr-CH"/>
        </w:rPr>
        <w:t>bis</w:t>
      </w:r>
      <w:r w:rsidR="00813844" w:rsidRPr="00E342DC">
        <w:rPr>
          <w:rFonts w:cs="Tahoma"/>
          <w:szCs w:val="20"/>
          <w:lang w:val="fr-CH"/>
        </w:rPr>
        <w:t xml:space="preserve"> du</w:t>
      </w:r>
      <w:r w:rsidR="009D3B56" w:rsidRPr="00E342DC">
        <w:rPr>
          <w:rFonts w:cs="Tahoma"/>
          <w:szCs w:val="20"/>
          <w:lang w:val="fr-CH"/>
        </w:rPr>
        <w:t xml:space="preserve"> Code de Procédure Pénale (CPP) permet aux officiers de police judiciaire de garder un suspect pour une durée </w:t>
      </w:r>
      <w:r w:rsidR="00D9117F" w:rsidRPr="00E342DC">
        <w:rPr>
          <w:rFonts w:cs="Tahoma"/>
          <w:szCs w:val="20"/>
          <w:lang w:val="fr-CH"/>
        </w:rPr>
        <w:t xml:space="preserve">initiale </w:t>
      </w:r>
      <w:r w:rsidR="009D3B56" w:rsidRPr="00E342DC">
        <w:rPr>
          <w:rFonts w:cs="Tahoma"/>
          <w:szCs w:val="20"/>
          <w:lang w:val="fr-CH"/>
        </w:rPr>
        <w:t>de 72 heures.</w:t>
      </w:r>
      <w:r w:rsidR="00813844" w:rsidRPr="00E342DC">
        <w:rPr>
          <w:rFonts w:cs="Tahoma"/>
          <w:szCs w:val="20"/>
          <w:lang w:val="fr-CH"/>
        </w:rPr>
        <w:t xml:space="preserve"> Le procureur de la République peut par décision écrite </w:t>
      </w:r>
      <w:r w:rsidR="00A1235B" w:rsidRPr="00E342DC">
        <w:rPr>
          <w:rFonts w:cs="Tahoma"/>
          <w:szCs w:val="20"/>
          <w:lang w:val="fr-CH"/>
        </w:rPr>
        <w:t xml:space="preserve">et motivée </w:t>
      </w:r>
      <w:r w:rsidR="00813844" w:rsidRPr="00E342DC">
        <w:rPr>
          <w:rFonts w:cs="Tahoma"/>
          <w:szCs w:val="20"/>
          <w:lang w:val="fr-CH"/>
        </w:rPr>
        <w:t xml:space="preserve">prolonger </w:t>
      </w:r>
      <w:r w:rsidR="00A1235B" w:rsidRPr="00E342DC">
        <w:rPr>
          <w:rFonts w:cs="Tahoma"/>
          <w:szCs w:val="20"/>
          <w:lang w:val="fr-CH"/>
        </w:rPr>
        <w:t xml:space="preserve">cette </w:t>
      </w:r>
      <w:r w:rsidR="00813844" w:rsidRPr="00E342DC">
        <w:rPr>
          <w:rFonts w:cs="Tahoma"/>
          <w:szCs w:val="20"/>
          <w:lang w:val="fr-CH"/>
        </w:rPr>
        <w:t xml:space="preserve">durée </w:t>
      </w:r>
      <w:r w:rsidR="00D9117F" w:rsidRPr="00E342DC">
        <w:rPr>
          <w:rFonts w:cs="Tahoma"/>
          <w:szCs w:val="20"/>
          <w:lang w:val="fr-CH"/>
        </w:rPr>
        <w:t xml:space="preserve">une </w:t>
      </w:r>
      <w:r w:rsidR="00813844" w:rsidRPr="00E342DC">
        <w:rPr>
          <w:rFonts w:cs="Tahoma"/>
          <w:szCs w:val="20"/>
          <w:lang w:val="fr-CH"/>
        </w:rPr>
        <w:t xml:space="preserve">seule fois </w:t>
      </w:r>
      <w:r w:rsidR="00A1235B" w:rsidRPr="00E342DC">
        <w:rPr>
          <w:rFonts w:cs="Tahoma"/>
          <w:szCs w:val="20"/>
          <w:lang w:val="fr-CH"/>
        </w:rPr>
        <w:t xml:space="preserve">et </w:t>
      </w:r>
      <w:r w:rsidR="00813844" w:rsidRPr="00E342DC">
        <w:rPr>
          <w:rFonts w:cs="Tahoma"/>
          <w:szCs w:val="20"/>
          <w:lang w:val="fr-CH"/>
        </w:rPr>
        <w:t>pour la même période</w:t>
      </w:r>
      <w:r w:rsidR="00A1235B" w:rsidRPr="00E342DC">
        <w:rPr>
          <w:rFonts w:cs="Tahoma"/>
          <w:szCs w:val="20"/>
          <w:lang w:val="fr-CH"/>
        </w:rPr>
        <w:t>, portant la durée de la garde à vue à six jours.</w:t>
      </w:r>
      <w:r w:rsidR="00813844" w:rsidRPr="00E342DC">
        <w:rPr>
          <w:rFonts w:cs="Tahoma"/>
          <w:szCs w:val="20"/>
          <w:lang w:val="fr-CH"/>
        </w:rPr>
        <w:t xml:space="preserve"> </w:t>
      </w:r>
      <w:r w:rsidR="00D9117F" w:rsidRPr="00E342DC">
        <w:rPr>
          <w:rFonts w:cs="Tahoma"/>
          <w:szCs w:val="20"/>
          <w:lang w:val="fr-CH"/>
        </w:rPr>
        <w:t>Enfin, c</w:t>
      </w:r>
      <w:r w:rsidR="00A1235B" w:rsidRPr="00E342DC">
        <w:rPr>
          <w:rFonts w:cs="Tahoma"/>
          <w:szCs w:val="20"/>
          <w:lang w:val="fr-CH"/>
        </w:rPr>
        <w:t xml:space="preserve">ette durée totale </w:t>
      </w:r>
      <w:r w:rsidR="00D9117F" w:rsidRPr="00E342DC">
        <w:rPr>
          <w:rFonts w:cs="Tahoma"/>
          <w:szCs w:val="20"/>
          <w:lang w:val="fr-CH"/>
        </w:rPr>
        <w:t xml:space="preserve">de six jours </w:t>
      </w:r>
      <w:r w:rsidR="00A1235B" w:rsidRPr="00E342DC">
        <w:rPr>
          <w:rFonts w:cs="Tahoma"/>
          <w:szCs w:val="20"/>
          <w:lang w:val="fr-CH"/>
        </w:rPr>
        <w:t xml:space="preserve">peut être reconduite une fois </w:t>
      </w:r>
      <w:r w:rsidR="00D9117F" w:rsidRPr="00E342DC">
        <w:rPr>
          <w:rFonts w:cs="Tahoma"/>
          <w:szCs w:val="20"/>
          <w:lang w:val="fr-CH"/>
        </w:rPr>
        <w:t xml:space="preserve">de plus </w:t>
      </w:r>
      <w:r w:rsidR="00A1235B" w:rsidRPr="00E342DC">
        <w:rPr>
          <w:rFonts w:cs="Tahoma"/>
          <w:szCs w:val="20"/>
          <w:lang w:val="fr-CH"/>
        </w:rPr>
        <w:t>si le Ju</w:t>
      </w:r>
      <w:r w:rsidR="00A60F99" w:rsidRPr="00E342DC">
        <w:rPr>
          <w:rFonts w:cs="Tahoma"/>
          <w:szCs w:val="20"/>
          <w:lang w:val="fr-CH"/>
        </w:rPr>
        <w:t>g</w:t>
      </w:r>
      <w:r w:rsidR="00A1235B" w:rsidRPr="00E342DC">
        <w:rPr>
          <w:rFonts w:cs="Tahoma"/>
          <w:szCs w:val="20"/>
          <w:lang w:val="fr-CH"/>
        </w:rPr>
        <w:t xml:space="preserve">e d’instruction ordonne une </w:t>
      </w:r>
      <w:r w:rsidRPr="00E342DC">
        <w:rPr>
          <w:rFonts w:cs="Tahoma"/>
          <w:szCs w:val="20"/>
          <w:lang w:val="fr-CH"/>
        </w:rPr>
        <w:t>commission rogatoire</w:t>
      </w:r>
      <w:r w:rsidR="00A1235B" w:rsidRPr="00E342DC">
        <w:rPr>
          <w:rFonts w:cs="Tahoma"/>
          <w:szCs w:val="20"/>
          <w:lang w:val="fr-CH"/>
        </w:rPr>
        <w:t xml:space="preserve">, portant ainsi la durée maximale de la garde à vue à </w:t>
      </w:r>
      <w:r w:rsidR="00A1235B" w:rsidRPr="00E342DC">
        <w:rPr>
          <w:rFonts w:cs="Tahoma"/>
          <w:szCs w:val="20"/>
          <w:u w:val="single"/>
          <w:lang w:val="fr-CH"/>
        </w:rPr>
        <w:t>douze jours</w:t>
      </w:r>
      <w:r w:rsidRPr="00E342DC">
        <w:rPr>
          <w:rFonts w:cs="Tahoma"/>
          <w:szCs w:val="20"/>
          <w:lang w:val="fr-CH"/>
        </w:rPr>
        <w:t xml:space="preserve">. </w:t>
      </w:r>
    </w:p>
    <w:p w:rsidR="006B036F" w:rsidRPr="00E342DC" w:rsidRDefault="006B036F" w:rsidP="00DA0ABA">
      <w:pPr>
        <w:rPr>
          <w:rFonts w:cs="Tahoma"/>
          <w:szCs w:val="20"/>
          <w:lang w:val="fr-CH"/>
        </w:rPr>
      </w:pPr>
    </w:p>
    <w:p w:rsidR="00C554B1" w:rsidRPr="00E342DC" w:rsidRDefault="00A1235B" w:rsidP="00D9117F">
      <w:pPr>
        <w:rPr>
          <w:rFonts w:cs="Tahoma"/>
          <w:szCs w:val="20"/>
          <w:lang w:val="fr-CH"/>
        </w:rPr>
      </w:pPr>
      <w:r w:rsidRPr="00E342DC">
        <w:rPr>
          <w:rFonts w:cs="Tahoma"/>
          <w:szCs w:val="20"/>
          <w:lang w:val="fr-CH"/>
        </w:rPr>
        <w:t>L</w:t>
      </w:r>
      <w:r w:rsidR="003E7BAA" w:rsidRPr="00E342DC">
        <w:rPr>
          <w:rFonts w:cs="Tahoma"/>
          <w:szCs w:val="20"/>
          <w:lang w:val="fr-CH"/>
        </w:rPr>
        <w:t>e Rapporteur spécial sur la torture a e</w:t>
      </w:r>
      <w:r w:rsidR="00B2328E" w:rsidRPr="00E342DC">
        <w:rPr>
          <w:rFonts w:cs="Tahoma"/>
          <w:szCs w:val="20"/>
          <w:lang w:val="fr-CH"/>
        </w:rPr>
        <w:t>xprimé son inquiétude quant à des cas de dépassement</w:t>
      </w:r>
      <w:r w:rsidR="003E7BAA" w:rsidRPr="00E342DC">
        <w:rPr>
          <w:rFonts w:cs="Tahoma"/>
          <w:szCs w:val="20"/>
          <w:lang w:val="fr-CH"/>
        </w:rPr>
        <w:t xml:space="preserve"> de la période de six jours</w:t>
      </w:r>
      <w:r w:rsidR="00D9117F" w:rsidRPr="00E342DC">
        <w:rPr>
          <w:rFonts w:cs="Tahoma"/>
          <w:szCs w:val="20"/>
          <w:lang w:val="fr-CH"/>
        </w:rPr>
        <w:t>.</w:t>
      </w:r>
      <w:r w:rsidRPr="00E342DC">
        <w:rPr>
          <w:rFonts w:cs="Tahoma"/>
          <w:szCs w:val="20"/>
          <w:lang w:val="fr-CH"/>
        </w:rPr>
        <w:t xml:space="preserve"> </w:t>
      </w:r>
      <w:r w:rsidR="00D9117F" w:rsidRPr="00E342DC">
        <w:rPr>
          <w:rFonts w:cs="Tahoma"/>
          <w:szCs w:val="20"/>
          <w:lang w:val="fr-CH"/>
        </w:rPr>
        <w:t xml:space="preserve">Nous considérons que </w:t>
      </w:r>
      <w:r w:rsidR="00B2328E" w:rsidRPr="00E342DC">
        <w:rPr>
          <w:rFonts w:cs="Tahoma"/>
          <w:szCs w:val="20"/>
          <w:lang w:val="fr-CH"/>
        </w:rPr>
        <w:t>c</w:t>
      </w:r>
      <w:r w:rsidR="00813844" w:rsidRPr="00E342DC">
        <w:rPr>
          <w:rFonts w:cs="Tahoma"/>
          <w:szCs w:val="20"/>
          <w:lang w:val="fr-CH"/>
        </w:rPr>
        <w:t xml:space="preserve">ette période </w:t>
      </w:r>
      <w:r w:rsidRPr="00E342DC">
        <w:rPr>
          <w:rFonts w:cs="Tahoma"/>
          <w:szCs w:val="20"/>
          <w:lang w:val="fr-CH"/>
        </w:rPr>
        <w:t xml:space="preserve">est excessive et </w:t>
      </w:r>
      <w:r w:rsidR="00813844" w:rsidRPr="00E342DC">
        <w:rPr>
          <w:rFonts w:cs="Tahoma"/>
          <w:szCs w:val="20"/>
          <w:lang w:val="fr-CH"/>
        </w:rPr>
        <w:t>n’est</w:t>
      </w:r>
      <w:r w:rsidR="00D9117F" w:rsidRPr="00E342DC">
        <w:rPr>
          <w:rFonts w:cs="Tahoma"/>
          <w:szCs w:val="20"/>
          <w:lang w:val="fr-CH"/>
        </w:rPr>
        <w:t xml:space="preserve">, en tout état de cause, </w:t>
      </w:r>
      <w:r w:rsidR="00813844" w:rsidRPr="00E342DC">
        <w:rPr>
          <w:rFonts w:cs="Tahoma"/>
          <w:szCs w:val="20"/>
          <w:lang w:val="fr-CH"/>
        </w:rPr>
        <w:t xml:space="preserve">pas conforme aux standards internationaux </w:t>
      </w:r>
      <w:r w:rsidRPr="00E342DC">
        <w:rPr>
          <w:rFonts w:cs="Tahoma"/>
          <w:szCs w:val="20"/>
          <w:lang w:val="fr-CH"/>
        </w:rPr>
        <w:t xml:space="preserve">établis </w:t>
      </w:r>
      <w:r w:rsidR="00813844" w:rsidRPr="00E342DC">
        <w:rPr>
          <w:rFonts w:cs="Tahoma"/>
          <w:szCs w:val="20"/>
          <w:lang w:val="fr-CH"/>
        </w:rPr>
        <w:t>par l</w:t>
      </w:r>
      <w:r w:rsidR="001522FF" w:rsidRPr="00E342DC">
        <w:rPr>
          <w:rFonts w:cs="Tahoma"/>
          <w:szCs w:val="20"/>
          <w:lang w:val="fr-CH"/>
        </w:rPr>
        <w:t xml:space="preserve">e Comité des droits de l’homme qui estime </w:t>
      </w:r>
      <w:r w:rsidR="00813844" w:rsidRPr="00E342DC">
        <w:rPr>
          <w:rFonts w:cs="Tahoma"/>
          <w:szCs w:val="20"/>
          <w:lang w:val="fr-CH"/>
        </w:rPr>
        <w:t xml:space="preserve">qu’un délai de </w:t>
      </w:r>
      <w:r w:rsidR="00813844" w:rsidRPr="00E342DC">
        <w:rPr>
          <w:rStyle w:val="Emphasis"/>
          <w:rFonts w:cs="Tahoma"/>
          <w:szCs w:val="20"/>
          <w:lang w:val="fr-CH"/>
        </w:rPr>
        <w:t>48 heures est ordinairement suffisant « pour transporter la personne et pour préparer l’audience judiciaire ; tout délai supérieur à 48 heures devrait être justifié par des circonstances exceptionnelles</w:t>
      </w:r>
      <w:r w:rsidR="00813844" w:rsidRPr="00E342DC">
        <w:rPr>
          <w:rFonts w:cs="Tahoma"/>
          <w:szCs w:val="20"/>
          <w:lang w:val="fr-CH"/>
        </w:rPr>
        <w:t>. »</w:t>
      </w:r>
      <w:r w:rsidR="00813844" w:rsidRPr="00E342DC">
        <w:rPr>
          <w:rStyle w:val="FootnoteReference"/>
          <w:rFonts w:cs="Tahoma"/>
          <w:szCs w:val="20"/>
          <w:lang w:val="fr-CH"/>
        </w:rPr>
        <w:footnoteReference w:id="11"/>
      </w:r>
    </w:p>
    <w:p w:rsidR="009A1EE4" w:rsidRPr="00E342DC" w:rsidRDefault="009A1EE4" w:rsidP="00DA0ABA">
      <w:pPr>
        <w:rPr>
          <w:rFonts w:cs="Tahoma"/>
          <w:szCs w:val="20"/>
          <w:lang w:val="fr-CH"/>
        </w:rPr>
      </w:pPr>
    </w:p>
    <w:p w:rsidR="009A1EE4" w:rsidRPr="00E342DC" w:rsidRDefault="009A1EE4" w:rsidP="00D9117F">
      <w:pPr>
        <w:rPr>
          <w:rFonts w:cs="Tahoma"/>
          <w:szCs w:val="20"/>
          <w:lang w:val="fr-CH"/>
        </w:rPr>
      </w:pPr>
      <w:r w:rsidRPr="00E342DC">
        <w:rPr>
          <w:rFonts w:cs="Tahoma"/>
          <w:szCs w:val="20"/>
          <w:lang w:val="fr-CH"/>
        </w:rPr>
        <w:t xml:space="preserve">Nous notons que dans sa réponse à la liste des questions du Comité concernant la </w:t>
      </w:r>
      <w:r w:rsidR="007B412A" w:rsidRPr="00E342DC">
        <w:rPr>
          <w:rFonts w:cs="Tahoma"/>
          <w:szCs w:val="20"/>
          <w:lang w:val="fr-CH"/>
        </w:rPr>
        <w:t>période</w:t>
      </w:r>
      <w:r w:rsidRPr="00E342DC">
        <w:rPr>
          <w:rFonts w:cs="Tahoma"/>
          <w:szCs w:val="20"/>
          <w:lang w:val="fr-CH"/>
        </w:rPr>
        <w:t xml:space="preserve"> légale de la garde à vue et la possibilité d</w:t>
      </w:r>
      <w:r w:rsidR="00D9117F" w:rsidRPr="00E342DC">
        <w:rPr>
          <w:rFonts w:cs="Tahoma"/>
          <w:szCs w:val="20"/>
          <w:lang w:val="fr-CH"/>
        </w:rPr>
        <w:t>e sa prolongation</w:t>
      </w:r>
      <w:r w:rsidRPr="00E342DC">
        <w:rPr>
          <w:rFonts w:cs="Tahoma"/>
          <w:szCs w:val="20"/>
          <w:lang w:val="fr-CH"/>
        </w:rPr>
        <w:t xml:space="preserve"> que l’</w:t>
      </w:r>
      <w:r w:rsidR="0070261E" w:rsidRPr="00E342DC">
        <w:rPr>
          <w:rFonts w:cs="Tahoma"/>
          <w:szCs w:val="20"/>
          <w:lang w:val="fr-CH"/>
        </w:rPr>
        <w:t>État</w:t>
      </w:r>
      <w:r w:rsidRPr="00E342DC">
        <w:rPr>
          <w:rFonts w:cs="Tahoma"/>
          <w:szCs w:val="20"/>
          <w:lang w:val="fr-CH"/>
        </w:rPr>
        <w:t xml:space="preserve"> membre </w:t>
      </w:r>
      <w:r w:rsidR="007B412A" w:rsidRPr="00E342DC">
        <w:rPr>
          <w:rFonts w:cs="Tahoma"/>
          <w:szCs w:val="20"/>
          <w:lang w:val="fr-CH"/>
        </w:rPr>
        <w:t xml:space="preserve">indique </w:t>
      </w:r>
      <w:r w:rsidRPr="00E342DC">
        <w:rPr>
          <w:rFonts w:cs="Tahoma"/>
          <w:szCs w:val="20"/>
          <w:lang w:val="fr-CH"/>
        </w:rPr>
        <w:t xml:space="preserve">que </w:t>
      </w:r>
      <w:r w:rsidR="007B412A" w:rsidRPr="00E342DC">
        <w:rPr>
          <w:rFonts w:cs="Tahoma"/>
          <w:szCs w:val="20"/>
          <w:lang w:val="fr-CH"/>
        </w:rPr>
        <w:t xml:space="preserve">la décision </w:t>
      </w:r>
      <w:r w:rsidR="00D9117F" w:rsidRPr="00E342DC">
        <w:rPr>
          <w:rFonts w:cs="Tahoma"/>
          <w:szCs w:val="20"/>
          <w:lang w:val="fr-CH"/>
        </w:rPr>
        <w:t xml:space="preserve">de prolonger </w:t>
      </w:r>
      <w:r w:rsidR="007B412A" w:rsidRPr="00E342DC">
        <w:rPr>
          <w:rFonts w:cs="Tahoma"/>
          <w:szCs w:val="20"/>
          <w:lang w:val="fr-CH"/>
        </w:rPr>
        <w:t>la période de la garde à vue est soumise à la discrétion du procureur de la république</w:t>
      </w:r>
      <w:r w:rsidR="00A60F99" w:rsidRPr="00E342DC">
        <w:rPr>
          <w:rFonts w:cs="Tahoma"/>
          <w:szCs w:val="20"/>
          <w:lang w:val="fr-CH"/>
        </w:rPr>
        <w:t xml:space="preserve"> ainsi qu’au « contrôle judicaire »</w:t>
      </w:r>
      <w:r w:rsidR="007B412A" w:rsidRPr="00E342DC">
        <w:rPr>
          <w:rFonts w:cs="Tahoma"/>
          <w:szCs w:val="20"/>
          <w:lang w:val="fr-CH"/>
        </w:rPr>
        <w:t>. L’</w:t>
      </w:r>
      <w:r w:rsidR="0070261E" w:rsidRPr="00E342DC">
        <w:rPr>
          <w:rFonts w:cs="Tahoma"/>
          <w:szCs w:val="20"/>
          <w:lang w:val="fr-CH"/>
        </w:rPr>
        <w:t>État</w:t>
      </w:r>
      <w:r w:rsidR="007B412A" w:rsidRPr="00E342DC">
        <w:rPr>
          <w:rFonts w:cs="Tahoma"/>
          <w:szCs w:val="20"/>
          <w:lang w:val="fr-CH"/>
        </w:rPr>
        <w:t xml:space="preserve"> indique aussi que de telles extensions sont rares et sont soumises à « certaines procédures » sans préciser la nature de telles procédures</w:t>
      </w:r>
      <w:r w:rsidR="007B412A" w:rsidRPr="00E342DC">
        <w:rPr>
          <w:rStyle w:val="FootnoteReference"/>
          <w:rFonts w:cs="Tahoma"/>
          <w:szCs w:val="20"/>
          <w:lang w:val="fr-CH"/>
        </w:rPr>
        <w:footnoteReference w:id="12"/>
      </w:r>
      <w:r w:rsidR="007B412A" w:rsidRPr="00E342DC">
        <w:rPr>
          <w:rFonts w:cs="Tahoma"/>
          <w:szCs w:val="20"/>
          <w:lang w:val="fr-CH"/>
        </w:rPr>
        <w:t xml:space="preserve">. </w:t>
      </w:r>
      <w:r w:rsidR="00A60F99" w:rsidRPr="00E342DC">
        <w:rPr>
          <w:rFonts w:cs="Tahoma"/>
          <w:szCs w:val="20"/>
          <w:lang w:val="fr-CH"/>
        </w:rPr>
        <w:t>Or, e</w:t>
      </w:r>
      <w:r w:rsidR="006B036F" w:rsidRPr="00E342DC">
        <w:rPr>
          <w:rFonts w:cs="Tahoma"/>
          <w:szCs w:val="20"/>
          <w:lang w:val="fr-CH"/>
        </w:rPr>
        <w:t xml:space="preserve">n pratique, de telles </w:t>
      </w:r>
      <w:r w:rsidR="00D9117F" w:rsidRPr="00E342DC">
        <w:rPr>
          <w:rFonts w:cs="Tahoma"/>
          <w:szCs w:val="20"/>
          <w:lang w:val="fr-CH"/>
        </w:rPr>
        <w:t xml:space="preserve">prolongations </w:t>
      </w:r>
      <w:r w:rsidR="006B036F" w:rsidRPr="00E342DC">
        <w:rPr>
          <w:rFonts w:cs="Tahoma"/>
          <w:szCs w:val="20"/>
          <w:lang w:val="fr-CH"/>
        </w:rPr>
        <w:t>sont</w:t>
      </w:r>
      <w:r w:rsidR="00D9117F" w:rsidRPr="00E342DC">
        <w:rPr>
          <w:rFonts w:cs="Tahoma"/>
          <w:szCs w:val="20"/>
          <w:lang w:val="fr-CH"/>
        </w:rPr>
        <w:t xml:space="preserve"> </w:t>
      </w:r>
      <w:r w:rsidR="006B036F" w:rsidRPr="00E342DC">
        <w:rPr>
          <w:rFonts w:cs="Tahoma"/>
          <w:szCs w:val="20"/>
          <w:lang w:val="fr-CH"/>
        </w:rPr>
        <w:t>systématique</w:t>
      </w:r>
      <w:r w:rsidR="00D9117F" w:rsidRPr="00E342DC">
        <w:rPr>
          <w:rFonts w:cs="Tahoma"/>
          <w:szCs w:val="20"/>
          <w:lang w:val="fr-CH"/>
        </w:rPr>
        <w:t>s</w:t>
      </w:r>
      <w:r w:rsidR="006B036F" w:rsidRPr="00E342DC">
        <w:rPr>
          <w:rFonts w:cs="Tahoma"/>
          <w:szCs w:val="20"/>
          <w:lang w:val="fr-CH"/>
        </w:rPr>
        <w:t>, notamment dans les affaires en lien avec la lutte anti-terroriste (voir partie 5).</w:t>
      </w:r>
      <w:r w:rsidR="00A60F99" w:rsidRPr="00E342DC">
        <w:rPr>
          <w:rFonts w:cs="Tahoma"/>
          <w:szCs w:val="20"/>
          <w:lang w:val="fr-CH"/>
        </w:rPr>
        <w:t xml:space="preserve"> De plus, si l’</w:t>
      </w:r>
      <w:r w:rsidR="0070261E" w:rsidRPr="00E342DC">
        <w:rPr>
          <w:rFonts w:cs="Tahoma"/>
          <w:szCs w:val="20"/>
          <w:lang w:val="fr-CH"/>
        </w:rPr>
        <w:t>État</w:t>
      </w:r>
      <w:r w:rsidR="00A60F99" w:rsidRPr="00E342DC">
        <w:rPr>
          <w:rFonts w:cs="Tahoma"/>
          <w:szCs w:val="20"/>
          <w:lang w:val="fr-CH"/>
        </w:rPr>
        <w:t xml:space="preserve"> indique que la décision de prolonger de la garde à vue est aussi soumise au </w:t>
      </w:r>
      <w:r w:rsidR="00D9117F" w:rsidRPr="00E342DC">
        <w:rPr>
          <w:rFonts w:cs="Tahoma"/>
          <w:szCs w:val="20"/>
          <w:lang w:val="fr-CH"/>
        </w:rPr>
        <w:t>« </w:t>
      </w:r>
      <w:r w:rsidR="00A60F99" w:rsidRPr="00E342DC">
        <w:rPr>
          <w:rFonts w:cs="Tahoma"/>
          <w:szCs w:val="20"/>
          <w:lang w:val="fr-CH"/>
        </w:rPr>
        <w:t>contrôle judiciaire</w:t>
      </w:r>
      <w:r w:rsidR="00D9117F" w:rsidRPr="00E342DC">
        <w:rPr>
          <w:rFonts w:cs="Tahoma"/>
          <w:szCs w:val="20"/>
          <w:lang w:val="fr-CH"/>
        </w:rPr>
        <w:t> »</w:t>
      </w:r>
      <w:r w:rsidR="00A60F99" w:rsidRPr="00E342DC">
        <w:rPr>
          <w:rFonts w:cs="Tahoma"/>
          <w:szCs w:val="20"/>
          <w:lang w:val="fr-CH"/>
        </w:rPr>
        <w:t>, en pratique la décision de prolongation demeure la prérogative exclusive et discrétionnaire du Procureur</w:t>
      </w:r>
      <w:r w:rsidR="00D9117F" w:rsidRPr="00E342DC">
        <w:rPr>
          <w:rFonts w:cs="Tahoma"/>
          <w:szCs w:val="20"/>
          <w:lang w:val="fr-CH"/>
        </w:rPr>
        <w:t xml:space="preserve"> de la république</w:t>
      </w:r>
      <w:r w:rsidR="00A60F99" w:rsidRPr="00E342DC">
        <w:rPr>
          <w:rStyle w:val="FootnoteReference"/>
          <w:rFonts w:cs="Tahoma"/>
          <w:szCs w:val="20"/>
          <w:lang w:val="fr-CH"/>
        </w:rPr>
        <w:footnoteReference w:id="13"/>
      </w:r>
      <w:r w:rsidR="00A60F99" w:rsidRPr="00E342DC">
        <w:rPr>
          <w:rFonts w:cs="Tahoma"/>
          <w:szCs w:val="20"/>
          <w:lang w:val="fr-CH"/>
        </w:rPr>
        <w:t xml:space="preserve">. </w:t>
      </w:r>
    </w:p>
    <w:p w:rsidR="00070F00" w:rsidRPr="00E342DC" w:rsidRDefault="00070F00" w:rsidP="00DA0ABA">
      <w:pPr>
        <w:rPr>
          <w:rFonts w:cs="Tahoma"/>
          <w:szCs w:val="20"/>
          <w:lang w:val="fr-CH"/>
        </w:rPr>
      </w:pPr>
    </w:p>
    <w:p w:rsidR="00070F00" w:rsidRPr="00E342DC" w:rsidRDefault="00D60113" w:rsidP="00DA0ABA">
      <w:pPr>
        <w:pStyle w:val="Heading2"/>
        <w:rPr>
          <w:rFonts w:cs="Tahoma"/>
          <w:szCs w:val="20"/>
          <w:lang w:val="fr-CH"/>
        </w:rPr>
      </w:pPr>
      <w:bookmarkStart w:id="11" w:name="_Toc447008719"/>
      <w:r w:rsidRPr="00E342DC">
        <w:rPr>
          <w:rFonts w:cs="Tahoma"/>
          <w:szCs w:val="20"/>
          <w:lang w:val="fr-CH"/>
        </w:rPr>
        <w:t>Du d</w:t>
      </w:r>
      <w:r w:rsidR="00070F00" w:rsidRPr="00E342DC">
        <w:rPr>
          <w:rFonts w:cs="Tahoma"/>
          <w:szCs w:val="20"/>
          <w:lang w:val="fr-CH"/>
        </w:rPr>
        <w:t>roit de contester la légalité de la détention</w:t>
      </w:r>
      <w:bookmarkEnd w:id="11"/>
      <w:r w:rsidR="00070F00" w:rsidRPr="00E342DC">
        <w:rPr>
          <w:rFonts w:cs="Tahoma"/>
          <w:szCs w:val="20"/>
          <w:lang w:val="fr-CH"/>
        </w:rPr>
        <w:t xml:space="preserve"> </w:t>
      </w:r>
    </w:p>
    <w:p w:rsidR="00070F00" w:rsidRPr="00E342DC" w:rsidRDefault="00070F00" w:rsidP="00DA0ABA">
      <w:pPr>
        <w:rPr>
          <w:rFonts w:cs="Tahoma"/>
          <w:szCs w:val="20"/>
          <w:lang w:val="fr-CH"/>
        </w:rPr>
      </w:pPr>
    </w:p>
    <w:p w:rsidR="00410C87" w:rsidRPr="00E342DC" w:rsidRDefault="00070F00" w:rsidP="00DA0ABA">
      <w:pPr>
        <w:rPr>
          <w:rFonts w:cs="Tahoma"/>
          <w:szCs w:val="20"/>
          <w:lang w:val="fr-CH"/>
        </w:rPr>
      </w:pPr>
      <w:r w:rsidRPr="00E342DC">
        <w:rPr>
          <w:rFonts w:cs="Tahoma"/>
          <w:szCs w:val="20"/>
          <w:lang w:val="fr-CH"/>
        </w:rPr>
        <w:t xml:space="preserve">Il n’existe toujours pas en droit tunisien de possibilité de contester </w:t>
      </w:r>
      <w:r w:rsidR="00D9117F" w:rsidRPr="00E342DC">
        <w:rPr>
          <w:rFonts w:cs="Tahoma"/>
          <w:szCs w:val="20"/>
          <w:lang w:val="fr-CH"/>
        </w:rPr>
        <w:t xml:space="preserve">une garde à vue ou de contester les </w:t>
      </w:r>
      <w:r w:rsidR="00DA7990" w:rsidRPr="00E342DC">
        <w:rPr>
          <w:rFonts w:cs="Tahoma"/>
          <w:szCs w:val="20"/>
          <w:lang w:val="fr-CH"/>
        </w:rPr>
        <w:t>décision</w:t>
      </w:r>
      <w:r w:rsidR="00D9117F" w:rsidRPr="00E342DC">
        <w:rPr>
          <w:rFonts w:cs="Tahoma"/>
          <w:szCs w:val="20"/>
          <w:lang w:val="fr-CH"/>
        </w:rPr>
        <w:t>s</w:t>
      </w:r>
      <w:r w:rsidR="00DA7990" w:rsidRPr="00E342DC">
        <w:rPr>
          <w:rFonts w:cs="Tahoma"/>
          <w:szCs w:val="20"/>
          <w:lang w:val="fr-CH"/>
        </w:rPr>
        <w:t xml:space="preserve"> du Procureur</w:t>
      </w:r>
      <w:r w:rsidR="00D9117F" w:rsidRPr="00E342DC">
        <w:rPr>
          <w:rFonts w:cs="Tahoma"/>
          <w:szCs w:val="20"/>
          <w:lang w:val="fr-CH"/>
        </w:rPr>
        <w:t xml:space="preserve"> de la république</w:t>
      </w:r>
      <w:r w:rsidR="00DA7990" w:rsidRPr="00E342DC">
        <w:rPr>
          <w:rFonts w:cs="Tahoma"/>
          <w:szCs w:val="20"/>
          <w:lang w:val="fr-CH"/>
        </w:rPr>
        <w:t xml:space="preserve"> de renouveler la garde à vue jusqu’à 12 jours</w:t>
      </w:r>
      <w:r w:rsidR="006B036F" w:rsidRPr="00E342DC">
        <w:rPr>
          <w:rFonts w:cs="Tahoma"/>
          <w:szCs w:val="20"/>
          <w:lang w:val="fr-CH"/>
        </w:rPr>
        <w:t xml:space="preserve">. </w:t>
      </w:r>
      <w:r w:rsidR="00410C87" w:rsidRPr="00E342DC">
        <w:rPr>
          <w:rFonts w:cs="Tahoma"/>
          <w:szCs w:val="20"/>
          <w:lang w:val="fr-CH"/>
        </w:rPr>
        <w:t>L’</w:t>
      </w:r>
      <w:r w:rsidR="0070261E" w:rsidRPr="00E342DC">
        <w:rPr>
          <w:rFonts w:cs="Tahoma"/>
          <w:szCs w:val="20"/>
          <w:lang w:val="fr-CH"/>
        </w:rPr>
        <w:t>État</w:t>
      </w:r>
      <w:r w:rsidR="00410C87" w:rsidRPr="00E342DC">
        <w:rPr>
          <w:rFonts w:cs="Tahoma"/>
          <w:szCs w:val="20"/>
          <w:lang w:val="fr-CH"/>
        </w:rPr>
        <w:t xml:space="preserve"> partie a confirmé cette l’absence de cette </w:t>
      </w:r>
      <w:r w:rsidR="006B036F" w:rsidRPr="00E342DC">
        <w:rPr>
          <w:rFonts w:cs="Tahoma"/>
          <w:szCs w:val="20"/>
          <w:lang w:val="fr-CH"/>
        </w:rPr>
        <w:t>possibilité</w:t>
      </w:r>
      <w:r w:rsidR="00410C87" w:rsidRPr="00E342DC">
        <w:rPr>
          <w:rFonts w:cs="Tahoma"/>
          <w:szCs w:val="20"/>
          <w:lang w:val="fr-CH"/>
        </w:rPr>
        <w:t xml:space="preserve"> dans sa réponse aux </w:t>
      </w:r>
      <w:r w:rsidR="006B036F" w:rsidRPr="00E342DC">
        <w:rPr>
          <w:rFonts w:cs="Tahoma"/>
          <w:szCs w:val="20"/>
          <w:lang w:val="fr-CH"/>
        </w:rPr>
        <w:t>questions</w:t>
      </w:r>
      <w:r w:rsidR="00410C87" w:rsidRPr="00E342DC">
        <w:rPr>
          <w:rFonts w:cs="Tahoma"/>
          <w:szCs w:val="20"/>
          <w:lang w:val="fr-CH"/>
        </w:rPr>
        <w:t xml:space="preserve"> soulevé</w:t>
      </w:r>
      <w:r w:rsidR="006B036F" w:rsidRPr="00E342DC">
        <w:rPr>
          <w:rFonts w:cs="Tahoma"/>
          <w:szCs w:val="20"/>
          <w:lang w:val="fr-CH"/>
        </w:rPr>
        <w:t>e</w:t>
      </w:r>
      <w:r w:rsidR="00410C87" w:rsidRPr="00E342DC">
        <w:rPr>
          <w:rFonts w:cs="Tahoma"/>
          <w:szCs w:val="20"/>
          <w:lang w:val="fr-CH"/>
        </w:rPr>
        <w:t>s par le Comité</w:t>
      </w:r>
      <w:r w:rsidR="006B036F" w:rsidRPr="00E342DC">
        <w:rPr>
          <w:rStyle w:val="FootnoteReference"/>
          <w:rFonts w:cs="Tahoma"/>
          <w:szCs w:val="20"/>
          <w:lang w:val="fr-CH"/>
        </w:rPr>
        <w:footnoteReference w:id="14"/>
      </w:r>
      <w:r w:rsidR="006B036F" w:rsidRPr="00E342DC">
        <w:rPr>
          <w:rFonts w:cs="Tahoma"/>
          <w:szCs w:val="20"/>
          <w:lang w:val="fr-CH"/>
        </w:rPr>
        <w:t>.</w:t>
      </w:r>
    </w:p>
    <w:p w:rsidR="006B036F" w:rsidRPr="00E342DC" w:rsidRDefault="00DA7990" w:rsidP="00DA0ABA">
      <w:pPr>
        <w:rPr>
          <w:rFonts w:cs="Tahoma"/>
          <w:szCs w:val="20"/>
          <w:lang w:val="fr-CH"/>
        </w:rPr>
      </w:pPr>
      <w:r w:rsidRPr="00E342DC">
        <w:rPr>
          <w:rFonts w:cs="Tahoma"/>
          <w:szCs w:val="20"/>
          <w:lang w:val="fr-CH"/>
        </w:rPr>
        <w:t xml:space="preserve"> </w:t>
      </w:r>
    </w:p>
    <w:p w:rsidR="00070F00" w:rsidRPr="00E342DC" w:rsidRDefault="006B036F" w:rsidP="00C728D5">
      <w:pPr>
        <w:rPr>
          <w:rFonts w:cs="Tahoma"/>
          <w:szCs w:val="20"/>
          <w:lang w:val="fr-CH"/>
        </w:rPr>
      </w:pPr>
      <w:r w:rsidRPr="00E342DC">
        <w:rPr>
          <w:rFonts w:cs="Tahoma"/>
          <w:szCs w:val="20"/>
          <w:lang w:val="fr-CH"/>
        </w:rPr>
        <w:t xml:space="preserve">Alkarama a relevé que dans de nombreuses situations, ces gardes à vue sont abusives et ne sont nullement justifiées par la nécessité de l’enquête préliminaire ou par la gravité des faits imputés au prévenu. </w:t>
      </w:r>
      <w:r w:rsidR="00C97E70" w:rsidRPr="00E342DC">
        <w:rPr>
          <w:rFonts w:cs="Tahoma"/>
          <w:szCs w:val="20"/>
          <w:lang w:val="fr-CH"/>
        </w:rPr>
        <w:t>Ceci est d’autant plus préoccupant que les actes de torture sont généralement commis durant la période de garde à vue</w:t>
      </w:r>
      <w:r w:rsidR="00D9117F" w:rsidRPr="00E342DC">
        <w:rPr>
          <w:rFonts w:cs="Tahoma"/>
          <w:szCs w:val="20"/>
          <w:lang w:val="fr-CH"/>
        </w:rPr>
        <w:t>.</w:t>
      </w:r>
      <w:r w:rsidR="00C97E70" w:rsidRPr="00E342DC">
        <w:rPr>
          <w:rFonts w:cs="Tahoma"/>
          <w:szCs w:val="20"/>
          <w:lang w:val="fr-CH"/>
        </w:rPr>
        <w:t xml:space="preserve"> </w:t>
      </w:r>
      <w:r w:rsidR="00D9117F" w:rsidRPr="00E342DC">
        <w:rPr>
          <w:rFonts w:cs="Tahoma"/>
          <w:szCs w:val="20"/>
          <w:lang w:val="fr-CH"/>
        </w:rPr>
        <w:t>Une</w:t>
      </w:r>
      <w:r w:rsidR="00C97E70" w:rsidRPr="00E342DC">
        <w:rPr>
          <w:rFonts w:cs="Tahoma"/>
          <w:szCs w:val="20"/>
          <w:lang w:val="fr-CH"/>
        </w:rPr>
        <w:t xml:space="preserve"> prolongation de la durée de la garde à vue signifiant généralement que les services de sécurités n’ont pas pu obtenir d’aveux</w:t>
      </w:r>
      <w:r w:rsidR="00082000" w:rsidRPr="00E342DC">
        <w:rPr>
          <w:rFonts w:cs="Tahoma"/>
          <w:szCs w:val="20"/>
          <w:lang w:val="fr-CH"/>
        </w:rPr>
        <w:t xml:space="preserve">, les actes de torture </w:t>
      </w:r>
      <w:r w:rsidR="00C728D5" w:rsidRPr="00E342DC">
        <w:rPr>
          <w:rFonts w:cs="Tahoma"/>
          <w:szCs w:val="20"/>
          <w:lang w:val="fr-CH"/>
        </w:rPr>
        <w:t xml:space="preserve">continuent ou </w:t>
      </w:r>
      <w:r w:rsidR="00082000" w:rsidRPr="00E342DC">
        <w:rPr>
          <w:rFonts w:cs="Tahoma"/>
          <w:szCs w:val="20"/>
          <w:lang w:val="fr-CH"/>
        </w:rPr>
        <w:t xml:space="preserve">s’intensifient durant la prolongation de la garde à vue. Garantir le droit de contester la décision de prolongation de la durée de la garde à vue constituerait une garantie supplémentaire afin de prévenir l’utilisation de la torture pour obtenir des aveux de la part du </w:t>
      </w:r>
      <w:r w:rsidR="00C728D5" w:rsidRPr="00E342DC">
        <w:rPr>
          <w:rFonts w:cs="Tahoma"/>
          <w:szCs w:val="20"/>
          <w:lang w:val="fr-CH"/>
        </w:rPr>
        <w:t xml:space="preserve">prévenu </w:t>
      </w:r>
      <w:r w:rsidR="00082000" w:rsidRPr="00E342DC">
        <w:rPr>
          <w:rFonts w:cs="Tahoma"/>
          <w:szCs w:val="20"/>
          <w:lang w:val="fr-CH"/>
        </w:rPr>
        <w:t xml:space="preserve">et par extension les procès inéquitables </w:t>
      </w:r>
      <w:r w:rsidR="00C728D5" w:rsidRPr="00E342DC">
        <w:rPr>
          <w:rFonts w:cs="Tahoma"/>
          <w:szCs w:val="20"/>
          <w:lang w:val="fr-CH"/>
        </w:rPr>
        <w:t xml:space="preserve">basés </w:t>
      </w:r>
      <w:r w:rsidR="00082000" w:rsidRPr="00E342DC">
        <w:rPr>
          <w:rFonts w:cs="Tahoma"/>
          <w:szCs w:val="20"/>
          <w:lang w:val="fr-CH"/>
        </w:rPr>
        <w:t>sur ces aveux.</w:t>
      </w:r>
      <w:r w:rsidR="00BF513F">
        <w:rPr>
          <w:rFonts w:cs="Tahoma"/>
          <w:szCs w:val="20"/>
          <w:lang w:val="fr-CH"/>
        </w:rPr>
        <w:t xml:space="preserve"> </w:t>
      </w:r>
    </w:p>
    <w:p w:rsidR="00082000" w:rsidRPr="00E342DC" w:rsidRDefault="00082000" w:rsidP="00DA0ABA">
      <w:pPr>
        <w:rPr>
          <w:rFonts w:cs="Tahoma"/>
          <w:szCs w:val="20"/>
          <w:lang w:val="fr-CH"/>
        </w:rPr>
      </w:pPr>
    </w:p>
    <w:p w:rsidR="00082000" w:rsidRPr="00E342DC" w:rsidRDefault="00082000" w:rsidP="0001404A">
      <w:pPr>
        <w:rPr>
          <w:rFonts w:cs="Tahoma"/>
          <w:szCs w:val="20"/>
          <w:lang w:val="fr-CH"/>
        </w:rPr>
      </w:pPr>
      <w:r w:rsidRPr="00E342DC">
        <w:rPr>
          <w:rFonts w:cs="Tahoma"/>
          <w:szCs w:val="20"/>
          <w:lang w:val="fr-CH"/>
        </w:rPr>
        <w:t>L’</w:t>
      </w:r>
      <w:r w:rsidR="0070261E" w:rsidRPr="00E342DC">
        <w:rPr>
          <w:rFonts w:cs="Tahoma"/>
          <w:szCs w:val="20"/>
          <w:lang w:val="fr-CH"/>
        </w:rPr>
        <w:t>État</w:t>
      </w:r>
      <w:r w:rsidRPr="00E342DC">
        <w:rPr>
          <w:rFonts w:cs="Tahoma"/>
          <w:szCs w:val="20"/>
          <w:lang w:val="fr-CH"/>
        </w:rPr>
        <w:t xml:space="preserve"> partie affirme dans ses réponses aux questions soulevées que la commission multisectorielle du ministère de la justice travaille actuellement à la réforme du code de procédure pénale sans toutefois préciser si cette réforme inclura cette garantie</w:t>
      </w:r>
      <w:r w:rsidR="0001404A" w:rsidRPr="00E342DC">
        <w:rPr>
          <w:rFonts w:cs="Tahoma"/>
          <w:szCs w:val="20"/>
          <w:lang w:val="fr-CH"/>
        </w:rPr>
        <w:t xml:space="preserve"> fondamentale</w:t>
      </w:r>
      <w:r w:rsidR="00C728D5" w:rsidRPr="00E342DC">
        <w:rPr>
          <w:rStyle w:val="FootnoteReference"/>
          <w:rFonts w:cs="Tahoma"/>
          <w:szCs w:val="20"/>
          <w:lang w:val="fr-CH"/>
        </w:rPr>
        <w:footnoteReference w:id="15"/>
      </w:r>
      <w:r w:rsidRPr="00E342DC">
        <w:rPr>
          <w:rFonts w:cs="Tahoma"/>
          <w:szCs w:val="20"/>
          <w:lang w:val="fr-CH"/>
        </w:rPr>
        <w:t>.</w:t>
      </w:r>
      <w:r w:rsidR="00BF513F">
        <w:rPr>
          <w:rFonts w:cs="Tahoma"/>
          <w:szCs w:val="20"/>
          <w:lang w:val="fr-CH"/>
        </w:rPr>
        <w:t xml:space="preserve"> </w:t>
      </w:r>
    </w:p>
    <w:p w:rsidR="00BC3BF2" w:rsidRPr="00E342DC" w:rsidRDefault="00BC3BF2" w:rsidP="00DA0ABA">
      <w:pPr>
        <w:rPr>
          <w:rFonts w:cs="Tahoma"/>
          <w:szCs w:val="20"/>
          <w:lang w:val="fr-CH"/>
        </w:rPr>
      </w:pPr>
    </w:p>
    <w:p w:rsidR="0029673F" w:rsidRPr="00E342DC" w:rsidRDefault="0029673F" w:rsidP="003C4AA2">
      <w:pPr>
        <w:pStyle w:val="Heading2"/>
        <w:rPr>
          <w:rFonts w:cs="Tahoma"/>
          <w:szCs w:val="20"/>
          <w:lang w:val="fr-CH"/>
        </w:rPr>
      </w:pPr>
      <w:bookmarkStart w:id="12" w:name="_Toc447008720"/>
      <w:r w:rsidRPr="00E342DC">
        <w:rPr>
          <w:rFonts w:cs="Tahoma"/>
          <w:szCs w:val="20"/>
          <w:lang w:val="fr-CH"/>
        </w:rPr>
        <w:t>Accès à un a</w:t>
      </w:r>
      <w:r w:rsidR="00661C06" w:rsidRPr="00E342DC">
        <w:rPr>
          <w:rFonts w:cs="Tahoma"/>
          <w:szCs w:val="20"/>
          <w:lang w:val="fr-CH"/>
        </w:rPr>
        <w:t>vocat et communication avec les proches</w:t>
      </w:r>
      <w:bookmarkEnd w:id="12"/>
    </w:p>
    <w:p w:rsidR="0029673F" w:rsidRPr="00E342DC" w:rsidRDefault="0029673F" w:rsidP="00DA0ABA">
      <w:pPr>
        <w:rPr>
          <w:rFonts w:cs="Tahoma"/>
          <w:szCs w:val="20"/>
          <w:lang w:val="fr-CH"/>
        </w:rPr>
      </w:pPr>
    </w:p>
    <w:p w:rsidR="00661C06" w:rsidRPr="00E342DC" w:rsidRDefault="00B2328E" w:rsidP="003C4AA2">
      <w:pPr>
        <w:rPr>
          <w:rFonts w:cs="Tahoma"/>
          <w:color w:val="000000"/>
          <w:szCs w:val="20"/>
          <w:lang w:val="fr-CH"/>
        </w:rPr>
      </w:pPr>
      <w:r w:rsidRPr="00E342DC">
        <w:rPr>
          <w:rFonts w:cs="Tahoma"/>
          <w:color w:val="000000"/>
          <w:szCs w:val="20"/>
          <w:lang w:val="fr-CH"/>
        </w:rPr>
        <w:lastRenderedPageBreak/>
        <w:t>Bien que l'article 29 de la Constitution de l’</w:t>
      </w:r>
      <w:r w:rsidR="0070261E" w:rsidRPr="00E342DC">
        <w:rPr>
          <w:rFonts w:cs="Tahoma"/>
          <w:color w:val="000000"/>
          <w:szCs w:val="20"/>
          <w:lang w:val="fr-CH"/>
        </w:rPr>
        <w:t>État</w:t>
      </w:r>
      <w:r w:rsidRPr="00E342DC">
        <w:rPr>
          <w:rFonts w:cs="Tahoma"/>
          <w:color w:val="000000"/>
          <w:szCs w:val="20"/>
          <w:lang w:val="fr-CH"/>
        </w:rPr>
        <w:t xml:space="preserve"> partie </w:t>
      </w:r>
      <w:r w:rsidR="003C4AA2" w:rsidRPr="00E342DC">
        <w:rPr>
          <w:rFonts w:cs="Tahoma"/>
          <w:color w:val="000000"/>
          <w:szCs w:val="20"/>
          <w:lang w:val="fr-CH"/>
        </w:rPr>
        <w:t>prévoie</w:t>
      </w:r>
      <w:r w:rsidRPr="00E342DC">
        <w:rPr>
          <w:rFonts w:cs="Tahoma"/>
          <w:color w:val="000000"/>
          <w:szCs w:val="20"/>
          <w:lang w:val="fr-CH"/>
        </w:rPr>
        <w:t xml:space="preserve"> que les détenus ont le droit d'être </w:t>
      </w:r>
      <w:r w:rsidR="00A1235B" w:rsidRPr="00E342DC">
        <w:rPr>
          <w:rFonts w:cs="Tahoma"/>
          <w:color w:val="000000"/>
          <w:szCs w:val="20"/>
          <w:lang w:val="fr-CH"/>
        </w:rPr>
        <w:t>assistés</w:t>
      </w:r>
      <w:r w:rsidRPr="00E342DC">
        <w:rPr>
          <w:rFonts w:cs="Tahoma"/>
          <w:color w:val="000000"/>
          <w:szCs w:val="20"/>
          <w:lang w:val="fr-CH"/>
        </w:rPr>
        <w:t xml:space="preserve"> par un avocat, la législation tunisienne ne garantit pas</w:t>
      </w:r>
      <w:r w:rsidR="001522FF" w:rsidRPr="00E342DC">
        <w:rPr>
          <w:rFonts w:cs="Tahoma"/>
          <w:color w:val="000000"/>
          <w:szCs w:val="20"/>
          <w:lang w:val="fr-CH"/>
        </w:rPr>
        <w:t xml:space="preserve"> </w:t>
      </w:r>
      <w:r w:rsidR="00A1235B" w:rsidRPr="00E342DC">
        <w:rPr>
          <w:rFonts w:cs="Tahoma"/>
          <w:color w:val="000000"/>
          <w:szCs w:val="20"/>
          <w:lang w:val="fr-CH"/>
        </w:rPr>
        <w:t>cet accès dès le début de</w:t>
      </w:r>
      <w:r w:rsidRPr="00E342DC">
        <w:rPr>
          <w:rFonts w:cs="Tahoma"/>
          <w:color w:val="000000"/>
          <w:szCs w:val="20"/>
          <w:lang w:val="fr-CH"/>
        </w:rPr>
        <w:t xml:space="preserve"> la garde à vue</w:t>
      </w:r>
      <w:r w:rsidR="003C4AA2" w:rsidRPr="00E342DC">
        <w:rPr>
          <w:rFonts w:cs="Tahoma"/>
          <w:color w:val="000000"/>
          <w:szCs w:val="20"/>
          <w:lang w:val="fr-CH"/>
        </w:rPr>
        <w:t xml:space="preserve">. L’article 57 </w:t>
      </w:r>
      <w:r w:rsidR="00C728D5" w:rsidRPr="00E342DC">
        <w:rPr>
          <w:rFonts w:cs="Tahoma"/>
          <w:color w:val="000000"/>
          <w:szCs w:val="20"/>
          <w:lang w:val="fr-CH"/>
        </w:rPr>
        <w:t xml:space="preserve">du Code de Procédure Pénale </w:t>
      </w:r>
      <w:r w:rsidR="003C4AA2" w:rsidRPr="00E342DC">
        <w:rPr>
          <w:rFonts w:cs="Tahoma"/>
          <w:color w:val="000000"/>
          <w:szCs w:val="20"/>
          <w:lang w:val="fr-CH"/>
        </w:rPr>
        <w:t xml:space="preserve">prévoit cependant que la personne placée en garde à vue peut être assistée par un avocat dans la situation où elle est </w:t>
      </w:r>
      <w:r w:rsidR="00A60F99" w:rsidRPr="00E342DC">
        <w:rPr>
          <w:rFonts w:cs="Tahoma"/>
          <w:color w:val="000000"/>
          <w:szCs w:val="20"/>
          <w:lang w:val="fr-CH"/>
        </w:rPr>
        <w:t>interrogée</w:t>
      </w:r>
      <w:r w:rsidR="003C4AA2" w:rsidRPr="00E342DC">
        <w:rPr>
          <w:rFonts w:cs="Tahoma"/>
          <w:color w:val="000000"/>
          <w:szCs w:val="20"/>
          <w:lang w:val="fr-CH"/>
        </w:rPr>
        <w:t xml:space="preserve"> sur commission rogatoire d’un juge d’instruction.</w:t>
      </w:r>
      <w:r w:rsidR="003C4AA2" w:rsidRPr="00E342DC" w:rsidDel="003C4AA2">
        <w:rPr>
          <w:rFonts w:cs="Tahoma"/>
          <w:color w:val="000000"/>
          <w:szCs w:val="20"/>
          <w:lang w:val="fr-CH"/>
        </w:rPr>
        <w:t xml:space="preserve"> </w:t>
      </w:r>
    </w:p>
    <w:p w:rsidR="00632C28" w:rsidRPr="00E342DC" w:rsidRDefault="00632C28" w:rsidP="003C4AA2">
      <w:pPr>
        <w:rPr>
          <w:rFonts w:cs="Tahoma"/>
          <w:color w:val="000000"/>
          <w:szCs w:val="20"/>
          <w:lang w:val="fr-CH"/>
        </w:rPr>
      </w:pPr>
    </w:p>
    <w:p w:rsidR="009D3B56" w:rsidRPr="00E342DC" w:rsidRDefault="000D79BE" w:rsidP="00C728D5">
      <w:pPr>
        <w:rPr>
          <w:rFonts w:cs="Tahoma"/>
          <w:szCs w:val="20"/>
          <w:lang w:val="fr-CH"/>
        </w:rPr>
      </w:pPr>
      <w:r w:rsidRPr="00E342DC">
        <w:rPr>
          <w:rFonts w:cs="Tahoma"/>
          <w:color w:val="000000"/>
          <w:szCs w:val="20"/>
          <w:lang w:val="fr-CH"/>
        </w:rPr>
        <w:t>A</w:t>
      </w:r>
      <w:r w:rsidR="00661C06" w:rsidRPr="00E342DC">
        <w:rPr>
          <w:rFonts w:cs="Tahoma"/>
          <w:color w:val="000000"/>
          <w:szCs w:val="20"/>
          <w:lang w:val="fr-CH"/>
        </w:rPr>
        <w:t xml:space="preserve"> la suite de l’examen initial de la Tunisie par le Comité des disparitions forcées</w:t>
      </w:r>
      <w:r w:rsidR="00BF513F">
        <w:rPr>
          <w:rFonts w:cs="Tahoma"/>
          <w:color w:val="000000"/>
          <w:szCs w:val="20"/>
          <w:lang w:val="fr-CH"/>
        </w:rPr>
        <w:t xml:space="preserve"> (CDF)</w:t>
      </w:r>
      <w:r w:rsidR="00661C06" w:rsidRPr="00E342DC">
        <w:rPr>
          <w:rFonts w:cs="Tahoma"/>
          <w:color w:val="000000"/>
          <w:szCs w:val="20"/>
          <w:lang w:val="fr-CH"/>
        </w:rPr>
        <w:t xml:space="preserve"> le 7 et 8 mars 2016, </w:t>
      </w:r>
      <w:r w:rsidR="00C728D5" w:rsidRPr="00E342DC">
        <w:rPr>
          <w:rFonts w:cs="Tahoma"/>
          <w:color w:val="000000"/>
          <w:szCs w:val="20"/>
          <w:lang w:val="fr-CH"/>
        </w:rPr>
        <w:t>le CDF</w:t>
      </w:r>
      <w:r w:rsidR="00661C06" w:rsidRPr="00E342DC">
        <w:rPr>
          <w:rFonts w:cs="Tahoma"/>
          <w:color w:val="000000"/>
          <w:szCs w:val="20"/>
          <w:lang w:val="fr-CH"/>
        </w:rPr>
        <w:t xml:space="preserve"> a mentionné des situations où les autorités compétentes n’ont pas immédiatement informé </w:t>
      </w:r>
      <w:r w:rsidR="002C187D" w:rsidRPr="00E342DC">
        <w:rPr>
          <w:rFonts w:cs="Tahoma"/>
          <w:szCs w:val="20"/>
          <w:lang w:val="fr-CH"/>
        </w:rPr>
        <w:t xml:space="preserve">les personnes ayant un intérêt légitime, par exemple les proches de la personne privée de liberté, leurs représentants ou leurs avocats, à obtenir les informations sur les mesures prises à l’encontre du gardé à vue ainsi que le lieu de détention. </w:t>
      </w:r>
      <w:r w:rsidR="00661C06" w:rsidRPr="00E342DC">
        <w:rPr>
          <w:rFonts w:cs="Tahoma"/>
          <w:color w:val="000000"/>
          <w:szCs w:val="20"/>
          <w:lang w:val="fr-CH"/>
        </w:rPr>
        <w:t xml:space="preserve">De plus, le Comité a </w:t>
      </w:r>
      <w:r w:rsidR="002C187D" w:rsidRPr="00E342DC">
        <w:rPr>
          <w:rFonts w:cs="Tahoma"/>
          <w:color w:val="000000"/>
          <w:szCs w:val="20"/>
          <w:lang w:val="fr-CH"/>
        </w:rPr>
        <w:t xml:space="preserve">relevé </w:t>
      </w:r>
      <w:r w:rsidR="00661C06" w:rsidRPr="00E342DC">
        <w:rPr>
          <w:rFonts w:cs="Tahoma"/>
          <w:color w:val="000000"/>
          <w:szCs w:val="20"/>
          <w:lang w:val="fr-CH"/>
        </w:rPr>
        <w:t xml:space="preserve">que les dossiers officiels des personnes privées de libertés </w:t>
      </w:r>
      <w:r w:rsidR="00240E9A" w:rsidRPr="00E342DC">
        <w:rPr>
          <w:rFonts w:cs="Tahoma"/>
          <w:color w:val="000000"/>
          <w:szCs w:val="20"/>
          <w:lang w:val="fr-CH"/>
        </w:rPr>
        <w:t>ne sont pas systématiquement remplis promptement avec rigueur et exactitude</w:t>
      </w:r>
      <w:r w:rsidR="00C728D5" w:rsidRPr="00E342DC">
        <w:rPr>
          <w:rFonts w:cs="Tahoma"/>
          <w:color w:val="000000"/>
          <w:szCs w:val="20"/>
          <w:lang w:val="fr-CH"/>
        </w:rPr>
        <w:t xml:space="preserve"> (Voir Partie 5.4 sur la détention au secret dans le cadre de la lutte contre le terrorisme)</w:t>
      </w:r>
      <w:r w:rsidR="00240E9A" w:rsidRPr="00E342DC">
        <w:rPr>
          <w:rStyle w:val="FootnoteReference"/>
          <w:rFonts w:cs="Tahoma"/>
          <w:color w:val="000000"/>
          <w:szCs w:val="20"/>
          <w:lang w:val="fr-CH"/>
        </w:rPr>
        <w:footnoteReference w:id="16"/>
      </w:r>
      <w:r w:rsidR="00BF513F">
        <w:rPr>
          <w:rFonts w:cs="Tahoma"/>
          <w:color w:val="000000"/>
          <w:szCs w:val="20"/>
          <w:lang w:val="fr-CH"/>
        </w:rPr>
        <w:t>.</w:t>
      </w:r>
      <w:r w:rsidR="00240E9A" w:rsidRPr="00E342DC">
        <w:rPr>
          <w:rFonts w:cs="Tahoma"/>
          <w:color w:val="000000"/>
          <w:szCs w:val="20"/>
          <w:lang w:val="fr-CH"/>
        </w:rPr>
        <w:t xml:space="preserve"> </w:t>
      </w:r>
    </w:p>
    <w:p w:rsidR="00C97184" w:rsidRPr="00E342DC" w:rsidRDefault="00C97184" w:rsidP="00DA0ABA">
      <w:pPr>
        <w:pStyle w:val="Heading2"/>
        <w:numPr>
          <w:ilvl w:val="0"/>
          <w:numId w:val="0"/>
        </w:numPr>
        <w:ind w:left="720"/>
        <w:rPr>
          <w:rFonts w:cs="Tahoma"/>
          <w:szCs w:val="20"/>
          <w:lang w:val="fr-CH"/>
        </w:rPr>
      </w:pPr>
    </w:p>
    <w:p w:rsidR="009D3B56" w:rsidRPr="00E342DC" w:rsidRDefault="009D3B56" w:rsidP="00DA0ABA">
      <w:pPr>
        <w:pStyle w:val="Heading2"/>
        <w:rPr>
          <w:rFonts w:cs="Tahoma"/>
          <w:szCs w:val="20"/>
          <w:lang w:val="fr-CH"/>
        </w:rPr>
      </w:pPr>
      <w:bookmarkStart w:id="13" w:name="_Toc447008721"/>
      <w:r w:rsidRPr="00E342DC">
        <w:rPr>
          <w:rFonts w:cs="Tahoma"/>
          <w:szCs w:val="20"/>
          <w:lang w:val="fr-CH"/>
        </w:rPr>
        <w:t>Examen médical</w:t>
      </w:r>
      <w:bookmarkEnd w:id="13"/>
      <w:r w:rsidRPr="00E342DC">
        <w:rPr>
          <w:rFonts w:cs="Tahoma"/>
          <w:szCs w:val="20"/>
          <w:lang w:val="fr-CH"/>
        </w:rPr>
        <w:t xml:space="preserve"> </w:t>
      </w:r>
    </w:p>
    <w:p w:rsidR="009D3B56" w:rsidRPr="00E342DC" w:rsidRDefault="009D3B56" w:rsidP="00DA0ABA">
      <w:pPr>
        <w:rPr>
          <w:rFonts w:cs="Tahoma"/>
          <w:szCs w:val="20"/>
          <w:lang w:val="fr-CH"/>
        </w:rPr>
      </w:pPr>
    </w:p>
    <w:p w:rsidR="00801668" w:rsidRPr="00E342DC" w:rsidRDefault="009D3B56" w:rsidP="005C4B6E">
      <w:pPr>
        <w:rPr>
          <w:rFonts w:cs="Tahoma"/>
          <w:color w:val="000000"/>
          <w:szCs w:val="20"/>
          <w:lang w:val="fr-CH"/>
        </w:rPr>
      </w:pPr>
      <w:r w:rsidRPr="00E342DC">
        <w:rPr>
          <w:rFonts w:cs="Tahoma"/>
          <w:color w:val="000000"/>
          <w:szCs w:val="20"/>
          <w:lang w:val="fr-CH"/>
        </w:rPr>
        <w:t xml:space="preserve">L’article 13 bis du CPP fait obligation aux agents de police judiciaire de notifier </w:t>
      </w:r>
      <w:r w:rsidR="006704FF" w:rsidRPr="00E342DC">
        <w:rPr>
          <w:rFonts w:cs="Tahoma"/>
          <w:color w:val="000000"/>
          <w:szCs w:val="20"/>
          <w:lang w:val="fr-CH"/>
        </w:rPr>
        <w:t>à la personne</w:t>
      </w:r>
      <w:r w:rsidRPr="00E342DC">
        <w:rPr>
          <w:rFonts w:cs="Tahoma"/>
          <w:color w:val="000000"/>
          <w:szCs w:val="20"/>
          <w:lang w:val="fr-CH"/>
        </w:rPr>
        <w:t xml:space="preserve"> gardé</w:t>
      </w:r>
      <w:r w:rsidR="006704FF" w:rsidRPr="00E342DC">
        <w:rPr>
          <w:rFonts w:cs="Tahoma"/>
          <w:color w:val="000000"/>
          <w:szCs w:val="20"/>
          <w:lang w:val="fr-CH"/>
        </w:rPr>
        <w:t>e</w:t>
      </w:r>
      <w:r w:rsidRPr="00E342DC">
        <w:rPr>
          <w:rFonts w:cs="Tahoma"/>
          <w:color w:val="000000"/>
          <w:szCs w:val="20"/>
          <w:lang w:val="fr-CH"/>
        </w:rPr>
        <w:t xml:space="preserve"> à vue son droit à un examen médical. </w:t>
      </w:r>
      <w:r w:rsidR="00C728D5" w:rsidRPr="00E342DC">
        <w:rPr>
          <w:rFonts w:cs="Tahoma"/>
          <w:color w:val="000000"/>
          <w:szCs w:val="20"/>
          <w:lang w:val="fr-CH"/>
        </w:rPr>
        <w:t xml:space="preserve">Si cette garantie est </w:t>
      </w:r>
      <w:r w:rsidR="006704FF" w:rsidRPr="00E342DC">
        <w:rPr>
          <w:rFonts w:cs="Tahoma"/>
          <w:color w:val="000000"/>
          <w:szCs w:val="20"/>
          <w:lang w:val="fr-CH"/>
        </w:rPr>
        <w:t>généralement</w:t>
      </w:r>
      <w:r w:rsidR="00C728D5" w:rsidRPr="00E342DC">
        <w:rPr>
          <w:rFonts w:cs="Tahoma"/>
          <w:color w:val="000000"/>
          <w:szCs w:val="20"/>
          <w:lang w:val="fr-CH"/>
        </w:rPr>
        <w:t xml:space="preserve"> respectée</w:t>
      </w:r>
      <w:r w:rsidR="006704FF" w:rsidRPr="00E342DC">
        <w:rPr>
          <w:rFonts w:cs="Tahoma"/>
          <w:color w:val="000000"/>
          <w:szCs w:val="20"/>
          <w:lang w:val="fr-CH"/>
        </w:rPr>
        <w:t>,</w:t>
      </w:r>
      <w:r w:rsidRPr="00E342DC">
        <w:rPr>
          <w:rFonts w:cs="Tahoma"/>
          <w:color w:val="000000"/>
          <w:szCs w:val="20"/>
          <w:lang w:val="fr-CH"/>
        </w:rPr>
        <w:t xml:space="preserve"> la perspective que le détenu soit présenté à un médecin n’empêche vraisemblablement pas les agents de police de recourir à la violence. </w:t>
      </w:r>
      <w:r w:rsidR="00C728D5" w:rsidRPr="00E342DC">
        <w:rPr>
          <w:rFonts w:cs="Tahoma"/>
          <w:color w:val="000000"/>
          <w:szCs w:val="20"/>
          <w:lang w:val="fr-CH"/>
        </w:rPr>
        <w:t xml:space="preserve">Parmi les raisons de cette ineffectivité, il apparait qu’en </w:t>
      </w:r>
      <w:r w:rsidR="00C97070" w:rsidRPr="00E342DC">
        <w:rPr>
          <w:rFonts w:cs="Tahoma"/>
          <w:color w:val="000000"/>
          <w:szCs w:val="20"/>
          <w:lang w:val="fr-CH"/>
        </w:rPr>
        <w:t xml:space="preserve">pratique, </w:t>
      </w:r>
      <w:r w:rsidRPr="00E342DC">
        <w:rPr>
          <w:rFonts w:cs="Tahoma"/>
          <w:color w:val="000000"/>
          <w:szCs w:val="20"/>
          <w:lang w:val="fr-CH"/>
        </w:rPr>
        <w:t xml:space="preserve">ces visites médicales </w:t>
      </w:r>
      <w:r w:rsidR="00C97070" w:rsidRPr="00E342DC">
        <w:rPr>
          <w:rFonts w:cs="Tahoma"/>
          <w:color w:val="000000"/>
          <w:szCs w:val="20"/>
          <w:lang w:val="fr-CH"/>
        </w:rPr>
        <w:t>se font en présence de la police</w:t>
      </w:r>
      <w:r w:rsidR="00C728D5" w:rsidRPr="00E342DC">
        <w:rPr>
          <w:rFonts w:cs="Tahoma"/>
          <w:color w:val="000000"/>
          <w:szCs w:val="20"/>
          <w:lang w:val="fr-CH"/>
        </w:rPr>
        <w:t>.</w:t>
      </w:r>
      <w:r w:rsidR="00C97070" w:rsidRPr="00E342DC">
        <w:rPr>
          <w:rFonts w:cs="Tahoma"/>
          <w:color w:val="000000"/>
          <w:szCs w:val="20"/>
          <w:lang w:val="fr-CH"/>
        </w:rPr>
        <w:t xml:space="preserve"> </w:t>
      </w:r>
      <w:r w:rsidR="00C728D5" w:rsidRPr="00E342DC">
        <w:rPr>
          <w:rFonts w:cs="Tahoma"/>
          <w:color w:val="000000"/>
          <w:szCs w:val="20"/>
          <w:lang w:val="fr-CH"/>
        </w:rPr>
        <w:t>I</w:t>
      </w:r>
      <w:r w:rsidR="00C97070" w:rsidRPr="00E342DC">
        <w:rPr>
          <w:rFonts w:cs="Tahoma"/>
          <w:color w:val="000000"/>
          <w:szCs w:val="20"/>
          <w:lang w:val="fr-CH"/>
        </w:rPr>
        <w:t xml:space="preserve">l est </w:t>
      </w:r>
      <w:r w:rsidR="00C728D5" w:rsidRPr="00E342DC">
        <w:rPr>
          <w:rFonts w:cs="Tahoma"/>
          <w:color w:val="000000"/>
          <w:szCs w:val="20"/>
          <w:lang w:val="fr-CH"/>
        </w:rPr>
        <w:t xml:space="preserve">ainsi </w:t>
      </w:r>
      <w:r w:rsidR="00C97070" w:rsidRPr="00E342DC">
        <w:rPr>
          <w:rFonts w:cs="Tahoma"/>
          <w:color w:val="000000"/>
          <w:szCs w:val="20"/>
          <w:lang w:val="fr-CH"/>
        </w:rPr>
        <w:t>à craindre que la peur de représailles entrave la tenue d’une conversation sincère entre le prévenu et le médecin</w:t>
      </w:r>
      <w:r w:rsidR="001E14BD" w:rsidRPr="00E342DC">
        <w:rPr>
          <w:rFonts w:cs="Tahoma"/>
          <w:color w:val="000000"/>
          <w:szCs w:val="20"/>
          <w:lang w:val="fr-CH"/>
        </w:rPr>
        <w:t>, d’autant plus que le choix du médecin demeure une prérogative exclusive des autorités</w:t>
      </w:r>
      <w:r w:rsidR="001E14BD" w:rsidRPr="00E342DC">
        <w:rPr>
          <w:rStyle w:val="FootnoteReference"/>
          <w:rFonts w:cs="Tahoma"/>
          <w:color w:val="000000"/>
          <w:szCs w:val="20"/>
          <w:lang w:val="fr-CH"/>
        </w:rPr>
        <w:footnoteReference w:id="17"/>
      </w:r>
      <w:r w:rsidR="001E14BD" w:rsidRPr="00E342DC">
        <w:rPr>
          <w:rFonts w:cs="Tahoma"/>
          <w:color w:val="000000"/>
          <w:szCs w:val="20"/>
          <w:lang w:val="fr-CH"/>
        </w:rPr>
        <w:t xml:space="preserve">. </w:t>
      </w:r>
    </w:p>
    <w:p w:rsidR="001522FF" w:rsidRPr="00E342DC" w:rsidRDefault="001522FF" w:rsidP="00DA0ABA">
      <w:pPr>
        <w:rPr>
          <w:rFonts w:cs="Tahoma"/>
          <w:color w:val="000000"/>
          <w:szCs w:val="20"/>
          <w:lang w:val="fr-CH"/>
        </w:rPr>
      </w:pPr>
    </w:p>
    <w:p w:rsidR="00801668" w:rsidRPr="00E342DC" w:rsidRDefault="00C97184">
      <w:pPr>
        <w:rPr>
          <w:rFonts w:cs="Tahoma"/>
          <w:color w:val="000000"/>
          <w:szCs w:val="20"/>
          <w:lang w:val="fr-CH"/>
        </w:rPr>
      </w:pPr>
      <w:r w:rsidRPr="00E342DC">
        <w:rPr>
          <w:rFonts w:cs="Tahoma"/>
          <w:color w:val="000000"/>
          <w:szCs w:val="20"/>
          <w:lang w:val="fr-CH"/>
        </w:rPr>
        <w:t xml:space="preserve">De plus, </w:t>
      </w:r>
      <w:r w:rsidR="00C728D5" w:rsidRPr="00E342DC">
        <w:rPr>
          <w:rFonts w:cs="Tahoma"/>
          <w:color w:val="000000"/>
          <w:szCs w:val="20"/>
          <w:lang w:val="fr-CH"/>
        </w:rPr>
        <w:t xml:space="preserve">le Rapporteur spécial sur la torture a fait part de sa préoccupation quant au fait que </w:t>
      </w:r>
      <w:r w:rsidRPr="00E342DC">
        <w:rPr>
          <w:rFonts w:cs="Tahoma"/>
          <w:color w:val="000000"/>
          <w:szCs w:val="20"/>
          <w:lang w:val="fr-CH"/>
        </w:rPr>
        <w:t xml:space="preserve">seuls trois experts ont été formés pour mener des </w:t>
      </w:r>
      <w:r w:rsidR="006704FF" w:rsidRPr="00E342DC">
        <w:rPr>
          <w:rFonts w:cs="Tahoma"/>
          <w:color w:val="000000"/>
          <w:szCs w:val="20"/>
          <w:lang w:val="fr-CH"/>
        </w:rPr>
        <w:t xml:space="preserve">expertises </w:t>
      </w:r>
      <w:r w:rsidRPr="00E342DC">
        <w:rPr>
          <w:rFonts w:cs="Tahoma"/>
          <w:color w:val="000000"/>
          <w:szCs w:val="20"/>
          <w:lang w:val="fr-CH"/>
        </w:rPr>
        <w:t xml:space="preserve">médico-légales, conformément au Protocole d'Istanbul et que les détenus sont parfois examinés par </w:t>
      </w:r>
      <w:r w:rsidR="006704FF" w:rsidRPr="00E342DC">
        <w:rPr>
          <w:rFonts w:cs="Tahoma"/>
          <w:color w:val="000000"/>
          <w:szCs w:val="20"/>
          <w:lang w:val="fr-CH"/>
        </w:rPr>
        <w:t>d</w:t>
      </w:r>
      <w:r w:rsidRPr="00E342DC">
        <w:rPr>
          <w:rFonts w:cs="Tahoma"/>
          <w:color w:val="000000"/>
          <w:szCs w:val="20"/>
          <w:lang w:val="fr-CH"/>
        </w:rPr>
        <w:t xml:space="preserve">es médecins </w:t>
      </w:r>
      <w:r w:rsidR="006704FF" w:rsidRPr="00E342DC">
        <w:rPr>
          <w:rFonts w:cs="Tahoma"/>
          <w:color w:val="000000"/>
          <w:szCs w:val="20"/>
          <w:lang w:val="fr-CH"/>
        </w:rPr>
        <w:t>relevant d</w:t>
      </w:r>
      <w:r w:rsidRPr="00E342DC">
        <w:rPr>
          <w:rFonts w:cs="Tahoma"/>
          <w:color w:val="000000"/>
          <w:szCs w:val="20"/>
          <w:lang w:val="fr-CH"/>
        </w:rPr>
        <w:t>u Ministère de l’Intérieur</w:t>
      </w:r>
      <w:r w:rsidRPr="00E342DC">
        <w:rPr>
          <w:rStyle w:val="FootnoteReference"/>
          <w:rFonts w:cs="Tahoma"/>
          <w:color w:val="000000"/>
          <w:szCs w:val="20"/>
          <w:lang w:val="fr-CH"/>
        </w:rPr>
        <w:footnoteReference w:id="18"/>
      </w:r>
      <w:r w:rsidR="001E14BD" w:rsidRPr="00E342DC">
        <w:rPr>
          <w:rFonts w:cs="Tahoma"/>
          <w:color w:val="000000"/>
          <w:szCs w:val="20"/>
          <w:lang w:val="fr-CH"/>
        </w:rPr>
        <w:t xml:space="preserve">. </w:t>
      </w:r>
      <w:r w:rsidR="00C728D5" w:rsidRPr="00E342DC">
        <w:rPr>
          <w:rFonts w:cs="Tahoma"/>
          <w:color w:val="000000"/>
          <w:szCs w:val="20"/>
          <w:lang w:val="fr-CH"/>
        </w:rPr>
        <w:t xml:space="preserve">L’Etat précise dans ses réponses aux questions soulevées par le Comité que </w:t>
      </w:r>
      <w:r w:rsidR="001E14BD" w:rsidRPr="00E342DC">
        <w:rPr>
          <w:rFonts w:cs="Tahoma"/>
          <w:color w:val="000000"/>
          <w:szCs w:val="20"/>
          <w:lang w:val="fr-CH"/>
        </w:rPr>
        <w:t>lorsqu’un détenu demande un examen médical, le délai d’obtention d’un tel examen n’est pas garanti par les autorités et dépend «de</w:t>
      </w:r>
      <w:r w:rsidR="0012743E" w:rsidRPr="00E342DC">
        <w:rPr>
          <w:rFonts w:cs="Tahoma"/>
          <w:color w:val="000000"/>
          <w:szCs w:val="20"/>
          <w:lang w:val="fr-CH"/>
        </w:rPr>
        <w:t>s ressources matérielles et logistiques</w:t>
      </w:r>
      <w:r w:rsidR="001E14BD" w:rsidRPr="00E342DC">
        <w:rPr>
          <w:rFonts w:cs="Tahoma"/>
          <w:color w:val="000000"/>
          <w:szCs w:val="20"/>
          <w:lang w:val="fr-CH"/>
        </w:rPr>
        <w:t xml:space="preserve"> </w:t>
      </w:r>
      <w:r w:rsidR="0012743E" w:rsidRPr="00E342DC">
        <w:rPr>
          <w:rFonts w:cs="Tahoma"/>
          <w:color w:val="000000"/>
          <w:szCs w:val="20"/>
          <w:lang w:val="fr-CH"/>
        </w:rPr>
        <w:t>disponibles », sans toutefois apporter plus de précisions</w:t>
      </w:r>
      <w:r w:rsidR="00C728D5" w:rsidRPr="00E342DC">
        <w:rPr>
          <w:rStyle w:val="FootnoteReference"/>
          <w:rFonts w:cs="Tahoma"/>
          <w:color w:val="000000"/>
          <w:szCs w:val="20"/>
          <w:lang w:val="fr-CH"/>
        </w:rPr>
        <w:footnoteReference w:id="19"/>
      </w:r>
      <w:r w:rsidR="001E14BD" w:rsidRPr="00E342DC">
        <w:rPr>
          <w:rFonts w:cs="Tahoma"/>
          <w:color w:val="000000"/>
          <w:szCs w:val="20"/>
          <w:lang w:val="fr-CH"/>
        </w:rPr>
        <w:t xml:space="preserve">. </w:t>
      </w:r>
      <w:r w:rsidR="00C728D5" w:rsidRPr="00E342DC">
        <w:rPr>
          <w:rFonts w:cs="Tahoma"/>
          <w:color w:val="000000"/>
          <w:szCs w:val="20"/>
          <w:lang w:val="fr-CH"/>
        </w:rPr>
        <w:t>L</w:t>
      </w:r>
      <w:r w:rsidR="001E14BD" w:rsidRPr="00E342DC">
        <w:rPr>
          <w:rFonts w:cs="Tahoma"/>
          <w:color w:val="000000"/>
          <w:szCs w:val="20"/>
          <w:lang w:val="fr-CH"/>
        </w:rPr>
        <w:t xml:space="preserve">es autorités ne précisent pas </w:t>
      </w:r>
      <w:r w:rsidR="00632C28" w:rsidRPr="00E342DC">
        <w:rPr>
          <w:rFonts w:cs="Tahoma"/>
          <w:color w:val="000000"/>
          <w:szCs w:val="20"/>
          <w:lang w:val="fr-CH"/>
        </w:rPr>
        <w:t xml:space="preserve">le délai habituel nécessaire pour obtenir un tel examen </w:t>
      </w:r>
      <w:r w:rsidR="0012743E" w:rsidRPr="00E342DC">
        <w:rPr>
          <w:rFonts w:cs="Tahoma"/>
          <w:color w:val="000000"/>
          <w:szCs w:val="20"/>
          <w:lang w:val="fr-CH"/>
        </w:rPr>
        <w:t xml:space="preserve">et ne précise pas </w:t>
      </w:r>
      <w:r w:rsidR="001E14BD" w:rsidRPr="00E342DC">
        <w:rPr>
          <w:rFonts w:cs="Tahoma"/>
          <w:color w:val="000000"/>
          <w:szCs w:val="20"/>
          <w:lang w:val="fr-CH"/>
        </w:rPr>
        <w:t>les mesures</w:t>
      </w:r>
      <w:r w:rsidR="00632C28" w:rsidRPr="00E342DC">
        <w:rPr>
          <w:rFonts w:cs="Tahoma"/>
          <w:color w:val="000000"/>
          <w:szCs w:val="20"/>
          <w:lang w:val="fr-CH"/>
        </w:rPr>
        <w:t xml:space="preserve"> </w:t>
      </w:r>
      <w:r w:rsidR="0012743E" w:rsidRPr="00E342DC">
        <w:rPr>
          <w:rFonts w:cs="Tahoma"/>
          <w:color w:val="000000"/>
          <w:szCs w:val="20"/>
          <w:lang w:val="fr-CH"/>
        </w:rPr>
        <w:t xml:space="preserve">prises </w:t>
      </w:r>
      <w:r w:rsidR="00632C28" w:rsidRPr="00E342DC">
        <w:rPr>
          <w:rFonts w:cs="Tahoma"/>
          <w:color w:val="000000"/>
          <w:szCs w:val="20"/>
          <w:lang w:val="fr-CH"/>
        </w:rPr>
        <w:t>afin de répondre à</w:t>
      </w:r>
      <w:r w:rsidR="001E14BD" w:rsidRPr="00E342DC">
        <w:rPr>
          <w:rFonts w:cs="Tahoma"/>
          <w:color w:val="000000"/>
          <w:szCs w:val="20"/>
          <w:lang w:val="fr-CH"/>
        </w:rPr>
        <w:t xml:space="preserve"> la demande du détenu </w:t>
      </w:r>
      <w:r w:rsidR="00632C28" w:rsidRPr="00E342DC">
        <w:rPr>
          <w:rFonts w:cs="Tahoma"/>
          <w:color w:val="000000"/>
          <w:szCs w:val="20"/>
          <w:lang w:val="fr-CH"/>
        </w:rPr>
        <w:t>dans les plus brefs délais</w:t>
      </w:r>
      <w:r w:rsidR="00C728D5" w:rsidRPr="00E342DC">
        <w:rPr>
          <w:rFonts w:cs="Tahoma"/>
          <w:color w:val="000000"/>
          <w:szCs w:val="20"/>
          <w:lang w:val="fr-CH"/>
        </w:rPr>
        <w:t xml:space="preserve"> afin d’éviter que les traces de </w:t>
      </w:r>
      <w:r w:rsidR="00433398" w:rsidRPr="00E342DC">
        <w:rPr>
          <w:rFonts w:cs="Tahoma"/>
          <w:color w:val="000000"/>
          <w:szCs w:val="20"/>
          <w:lang w:val="fr-CH"/>
        </w:rPr>
        <w:t>torture</w:t>
      </w:r>
      <w:r w:rsidR="00C728D5" w:rsidRPr="00E342DC">
        <w:rPr>
          <w:rFonts w:cs="Tahoma"/>
          <w:color w:val="000000"/>
          <w:szCs w:val="20"/>
          <w:lang w:val="fr-CH"/>
        </w:rPr>
        <w:t xml:space="preserve"> ne disparaissent avant l’examen médical</w:t>
      </w:r>
      <w:r w:rsidR="00632C28" w:rsidRPr="00E342DC">
        <w:rPr>
          <w:rFonts w:cs="Tahoma"/>
          <w:color w:val="000000"/>
          <w:szCs w:val="20"/>
          <w:lang w:val="fr-CH"/>
        </w:rPr>
        <w:t>.</w:t>
      </w:r>
      <w:r w:rsidR="00BF513F">
        <w:rPr>
          <w:rFonts w:cs="Tahoma"/>
          <w:color w:val="000000"/>
          <w:szCs w:val="20"/>
          <w:lang w:val="fr-CH"/>
        </w:rPr>
        <w:t xml:space="preserve"> </w:t>
      </w:r>
      <w:r w:rsidRPr="00E342DC">
        <w:rPr>
          <w:rFonts w:cs="Tahoma"/>
          <w:color w:val="000000"/>
          <w:szCs w:val="20"/>
          <w:lang w:val="fr-CH"/>
        </w:rPr>
        <w:t xml:space="preserve"> </w:t>
      </w:r>
    </w:p>
    <w:p w:rsidR="00C97070" w:rsidRPr="00E342DC" w:rsidRDefault="00C97070" w:rsidP="00DA0ABA">
      <w:pPr>
        <w:rPr>
          <w:rFonts w:cs="Tahoma"/>
          <w:color w:val="000000"/>
          <w:szCs w:val="20"/>
          <w:lang w:val="fr-CH"/>
        </w:rPr>
      </w:pPr>
    </w:p>
    <w:p w:rsidR="00801668" w:rsidRPr="00E342DC" w:rsidRDefault="00C728D5">
      <w:pPr>
        <w:rPr>
          <w:rFonts w:eastAsia="Arial Unicode MS" w:cs="Tahoma"/>
          <w:szCs w:val="20"/>
          <w:lang w:val="fr-CH"/>
        </w:rPr>
      </w:pPr>
      <w:r w:rsidRPr="00E342DC">
        <w:rPr>
          <w:rFonts w:cs="Tahoma"/>
          <w:color w:val="000000"/>
          <w:szCs w:val="20"/>
          <w:lang w:val="fr-CH"/>
        </w:rPr>
        <w:t>Enfin, l</w:t>
      </w:r>
      <w:r w:rsidR="00541E57" w:rsidRPr="00E342DC">
        <w:rPr>
          <w:rFonts w:cs="Tahoma"/>
          <w:color w:val="000000"/>
          <w:szCs w:val="20"/>
          <w:lang w:val="fr-CH"/>
        </w:rPr>
        <w:t xml:space="preserve">orsqu’un certificat médical est </w:t>
      </w:r>
      <w:r w:rsidR="006704FF" w:rsidRPr="00E342DC">
        <w:rPr>
          <w:rFonts w:cs="Tahoma"/>
          <w:color w:val="000000"/>
          <w:szCs w:val="20"/>
          <w:lang w:val="fr-CH"/>
        </w:rPr>
        <w:t>établit</w:t>
      </w:r>
      <w:r w:rsidR="00541E57" w:rsidRPr="00E342DC">
        <w:rPr>
          <w:rFonts w:cs="Tahoma"/>
          <w:color w:val="000000"/>
          <w:szCs w:val="20"/>
          <w:lang w:val="fr-CH"/>
        </w:rPr>
        <w:t xml:space="preserve">, </w:t>
      </w:r>
      <w:r w:rsidR="001522FF" w:rsidRPr="00E342DC">
        <w:rPr>
          <w:rFonts w:cs="Tahoma"/>
          <w:color w:val="000000"/>
          <w:szCs w:val="20"/>
          <w:lang w:val="fr-CH"/>
        </w:rPr>
        <w:t xml:space="preserve">celui-ci n’est pas toujours exhaustif et </w:t>
      </w:r>
      <w:r w:rsidR="00541E57" w:rsidRPr="00E342DC">
        <w:rPr>
          <w:rFonts w:cs="Tahoma"/>
          <w:color w:val="000000"/>
          <w:szCs w:val="20"/>
          <w:lang w:val="fr-CH"/>
        </w:rPr>
        <w:t xml:space="preserve">certains avocats ont rapporté avoir eu des difficultés à avoir accès au rapport d'examen médical de garde à vue de leur client. De plus, la police judiciaire ne transmet pas systématiquement le certificat médical au juge d’instruction </w:t>
      </w:r>
      <w:r w:rsidR="006704FF" w:rsidRPr="00E342DC">
        <w:rPr>
          <w:rFonts w:cs="Tahoma"/>
          <w:color w:val="000000"/>
          <w:szCs w:val="20"/>
          <w:lang w:val="fr-CH"/>
        </w:rPr>
        <w:t>avec la procédure d’enquête préliminaire.</w:t>
      </w:r>
      <w:r w:rsidR="00541E57" w:rsidRPr="00E342DC">
        <w:rPr>
          <w:rFonts w:eastAsia="Arial Unicode MS" w:cs="Tahoma"/>
          <w:szCs w:val="20"/>
          <w:lang w:val="fr-CH"/>
        </w:rPr>
        <w:t xml:space="preserve"> </w:t>
      </w:r>
    </w:p>
    <w:p w:rsidR="00814F09" w:rsidRPr="00E342DC" w:rsidRDefault="00814F09" w:rsidP="00DA0ABA">
      <w:pPr>
        <w:rPr>
          <w:rFonts w:eastAsia="Arial Unicode MS" w:cs="Tahoma"/>
          <w:szCs w:val="20"/>
          <w:lang w:val="fr-CH"/>
        </w:rPr>
      </w:pPr>
    </w:p>
    <w:p w:rsidR="00814F09" w:rsidRPr="00E342DC" w:rsidRDefault="00814F09" w:rsidP="00814F09">
      <w:pPr>
        <w:pStyle w:val="Heading2"/>
        <w:rPr>
          <w:rFonts w:cs="Tahoma"/>
          <w:szCs w:val="20"/>
          <w:lang w:val="fr-CH"/>
        </w:rPr>
      </w:pPr>
      <w:bookmarkStart w:id="14" w:name="_Toc447008722"/>
      <w:r w:rsidRPr="00E342DC">
        <w:rPr>
          <w:rFonts w:cs="Tahoma"/>
          <w:szCs w:val="20"/>
          <w:lang w:val="fr-CH"/>
        </w:rPr>
        <w:t>Projet de réforme du Code de procédure pénal</w:t>
      </w:r>
      <w:r w:rsidR="00BF513F">
        <w:rPr>
          <w:rFonts w:cs="Tahoma"/>
          <w:szCs w:val="20"/>
          <w:lang w:val="fr-CH"/>
        </w:rPr>
        <w:t>e</w:t>
      </w:r>
      <w:bookmarkEnd w:id="14"/>
    </w:p>
    <w:p w:rsidR="00814F09" w:rsidRPr="00E342DC" w:rsidRDefault="00814F09" w:rsidP="00814F09">
      <w:pPr>
        <w:rPr>
          <w:rFonts w:cs="Tahoma"/>
          <w:szCs w:val="20"/>
          <w:lang w:val="fr-CH"/>
        </w:rPr>
      </w:pPr>
    </w:p>
    <w:p w:rsidR="00814F09" w:rsidRPr="00E342DC" w:rsidRDefault="00814F09" w:rsidP="00814F09">
      <w:pPr>
        <w:rPr>
          <w:rFonts w:cs="Tahoma"/>
          <w:szCs w:val="20"/>
          <w:lang w:val="fr-CH"/>
        </w:rPr>
      </w:pPr>
      <w:r w:rsidRPr="00E342DC">
        <w:rPr>
          <w:rFonts w:cs="Tahoma"/>
          <w:szCs w:val="20"/>
          <w:lang w:val="fr-CH"/>
        </w:rPr>
        <w:t>L’Assemblée des représentants du peuple (ARP) a adopté, le 2 février 2016, le projet de loi n° 13/2013 amendant le CPP dont l’entrée en vigueur est prévue le 1</w:t>
      </w:r>
      <w:r w:rsidRPr="00E342DC">
        <w:rPr>
          <w:rFonts w:cs="Tahoma"/>
          <w:szCs w:val="20"/>
          <w:vertAlign w:val="superscript"/>
          <w:lang w:val="fr-CH"/>
        </w:rPr>
        <w:t>er</w:t>
      </w:r>
      <w:r w:rsidRPr="00E342DC">
        <w:rPr>
          <w:rFonts w:cs="Tahoma"/>
          <w:szCs w:val="20"/>
          <w:lang w:val="fr-CH"/>
        </w:rPr>
        <w:t xml:space="preserve"> juin 2016. </w:t>
      </w:r>
    </w:p>
    <w:p w:rsidR="00814F09" w:rsidRPr="00E342DC" w:rsidRDefault="00814F09" w:rsidP="00814F09">
      <w:pPr>
        <w:rPr>
          <w:rFonts w:cs="Tahoma"/>
          <w:szCs w:val="20"/>
          <w:lang w:val="fr-CH"/>
        </w:rPr>
      </w:pPr>
    </w:p>
    <w:p w:rsidR="00801668" w:rsidRPr="00E342DC" w:rsidRDefault="00814F09">
      <w:pPr>
        <w:rPr>
          <w:rFonts w:cs="Tahoma"/>
          <w:szCs w:val="20"/>
          <w:lang w:val="fr-CH"/>
        </w:rPr>
      </w:pPr>
      <w:r w:rsidRPr="00E342DC">
        <w:rPr>
          <w:rFonts w:cs="Tahoma"/>
          <w:szCs w:val="20"/>
          <w:lang w:val="fr-CH"/>
        </w:rPr>
        <w:t>C</w:t>
      </w:r>
      <w:r w:rsidR="006704FF" w:rsidRPr="00E342DC">
        <w:rPr>
          <w:rFonts w:cs="Tahoma"/>
          <w:szCs w:val="20"/>
          <w:lang w:val="fr-CH"/>
        </w:rPr>
        <w:t xml:space="preserve">ette loi </w:t>
      </w:r>
      <w:r w:rsidRPr="00E342DC">
        <w:rPr>
          <w:rFonts w:cs="Tahoma"/>
          <w:szCs w:val="20"/>
          <w:lang w:val="fr-CH"/>
        </w:rPr>
        <w:t xml:space="preserve">modifie notamment l’article 13 </w:t>
      </w:r>
      <w:r w:rsidRPr="00E342DC">
        <w:rPr>
          <w:rFonts w:cs="Tahoma"/>
          <w:i/>
          <w:iCs/>
          <w:szCs w:val="20"/>
          <w:lang w:val="fr-CH"/>
        </w:rPr>
        <w:t>bis</w:t>
      </w:r>
      <w:r w:rsidRPr="00E342DC">
        <w:rPr>
          <w:rFonts w:cs="Tahoma"/>
          <w:szCs w:val="20"/>
          <w:lang w:val="fr-CH"/>
        </w:rPr>
        <w:t xml:space="preserve"> du CPP. Dans les affaires de droit commun, l</w:t>
      </w:r>
      <w:r w:rsidR="006704FF" w:rsidRPr="00E342DC">
        <w:rPr>
          <w:rFonts w:cs="Tahoma"/>
          <w:szCs w:val="20"/>
          <w:lang w:val="fr-CH"/>
        </w:rPr>
        <w:t>a</w:t>
      </w:r>
      <w:r w:rsidRPr="00E342DC">
        <w:rPr>
          <w:rFonts w:cs="Tahoma"/>
          <w:szCs w:val="20"/>
          <w:lang w:val="fr-CH"/>
        </w:rPr>
        <w:t xml:space="preserve"> loi restreint la durée légale de la garde à vue à 48 heures renouvelable une seule fois en </w:t>
      </w:r>
      <w:r w:rsidR="006704FF" w:rsidRPr="00E342DC">
        <w:rPr>
          <w:rFonts w:cs="Tahoma"/>
          <w:szCs w:val="20"/>
          <w:lang w:val="fr-CH"/>
        </w:rPr>
        <w:t xml:space="preserve">matière </w:t>
      </w:r>
      <w:r w:rsidRPr="00E342DC">
        <w:rPr>
          <w:rFonts w:cs="Tahoma"/>
          <w:szCs w:val="20"/>
          <w:lang w:val="fr-CH"/>
        </w:rPr>
        <w:t xml:space="preserve">de crime. En matière délictuelle, ce délai </w:t>
      </w:r>
      <w:r w:rsidR="006704FF" w:rsidRPr="00E342DC">
        <w:rPr>
          <w:rFonts w:cs="Tahoma"/>
          <w:szCs w:val="20"/>
          <w:lang w:val="fr-CH"/>
        </w:rPr>
        <w:t xml:space="preserve">est de </w:t>
      </w:r>
      <w:r w:rsidRPr="00E342DC">
        <w:rPr>
          <w:rFonts w:cs="Tahoma"/>
          <w:szCs w:val="20"/>
          <w:lang w:val="fr-CH"/>
        </w:rPr>
        <w:t>24 heures renouvelable une</w:t>
      </w:r>
      <w:r w:rsidR="006704FF" w:rsidRPr="00E342DC">
        <w:rPr>
          <w:rFonts w:cs="Tahoma"/>
          <w:szCs w:val="20"/>
          <w:lang w:val="fr-CH"/>
        </w:rPr>
        <w:t xml:space="preserve"> seule</w:t>
      </w:r>
      <w:r w:rsidRPr="00E342DC">
        <w:rPr>
          <w:rFonts w:cs="Tahoma"/>
          <w:szCs w:val="20"/>
          <w:lang w:val="fr-CH"/>
        </w:rPr>
        <w:t xml:space="preserve"> fois. Toutefois, il faut souligner que la réduction de la durée légale de la garde à vue ne s’applique pas dans les affaires </w:t>
      </w:r>
      <w:r w:rsidR="006704FF" w:rsidRPr="00E342DC">
        <w:rPr>
          <w:rFonts w:cs="Tahoma"/>
          <w:szCs w:val="20"/>
          <w:lang w:val="fr-CH"/>
        </w:rPr>
        <w:t>liées</w:t>
      </w:r>
      <w:r w:rsidR="00DE66CB" w:rsidRPr="00E342DC">
        <w:rPr>
          <w:rFonts w:cs="Tahoma"/>
          <w:szCs w:val="20"/>
          <w:lang w:val="fr-CH"/>
        </w:rPr>
        <w:t xml:space="preserve"> au contre-</w:t>
      </w:r>
      <w:r w:rsidRPr="00E342DC">
        <w:rPr>
          <w:rFonts w:cs="Tahoma"/>
          <w:szCs w:val="20"/>
          <w:lang w:val="fr-CH"/>
        </w:rPr>
        <w:t xml:space="preserve">terrorisme qui </w:t>
      </w:r>
      <w:proofErr w:type="gramStart"/>
      <w:r w:rsidRPr="00E342DC">
        <w:rPr>
          <w:rFonts w:cs="Tahoma"/>
          <w:szCs w:val="20"/>
          <w:lang w:val="fr-CH"/>
        </w:rPr>
        <w:t>restent</w:t>
      </w:r>
      <w:proofErr w:type="gramEnd"/>
      <w:r w:rsidRPr="00E342DC">
        <w:rPr>
          <w:rFonts w:cs="Tahoma"/>
          <w:szCs w:val="20"/>
          <w:lang w:val="fr-CH"/>
        </w:rPr>
        <w:t xml:space="preserve"> soumises au cadre juridique de la loi de 2015</w:t>
      </w:r>
      <w:r w:rsidRPr="00E342DC">
        <w:rPr>
          <w:rStyle w:val="FootnoteReference"/>
          <w:rFonts w:cs="Tahoma"/>
          <w:szCs w:val="20"/>
          <w:lang w:val="fr-CH"/>
        </w:rPr>
        <w:footnoteReference w:id="20"/>
      </w:r>
      <w:r w:rsidRPr="00E342DC">
        <w:rPr>
          <w:rFonts w:cs="Tahoma"/>
          <w:szCs w:val="20"/>
          <w:lang w:val="fr-CH"/>
        </w:rPr>
        <w:t xml:space="preserve">. </w:t>
      </w:r>
    </w:p>
    <w:p w:rsidR="00814F09" w:rsidRPr="00E342DC" w:rsidRDefault="00814F09" w:rsidP="00814F09">
      <w:pPr>
        <w:rPr>
          <w:rFonts w:cs="Tahoma"/>
          <w:szCs w:val="20"/>
          <w:lang w:val="fr-CH"/>
        </w:rPr>
      </w:pPr>
    </w:p>
    <w:p w:rsidR="00801668" w:rsidRPr="00E342DC" w:rsidRDefault="00814F09">
      <w:pPr>
        <w:rPr>
          <w:rFonts w:cs="Tahoma"/>
          <w:szCs w:val="20"/>
          <w:lang w:val="fr-CH"/>
        </w:rPr>
      </w:pPr>
      <w:r w:rsidRPr="00E342DC">
        <w:rPr>
          <w:rFonts w:cs="Tahoma"/>
          <w:szCs w:val="20"/>
          <w:lang w:val="fr-CH"/>
        </w:rPr>
        <w:t xml:space="preserve">Par ailleurs, le projet de loi permet à la personne détenue de demander aux officiers de police judiciaire de contacter un avocat à chaque fois qu’il </w:t>
      </w:r>
      <w:r w:rsidR="006704FF" w:rsidRPr="00E342DC">
        <w:rPr>
          <w:rFonts w:cs="Tahoma"/>
          <w:szCs w:val="20"/>
          <w:lang w:val="fr-CH"/>
        </w:rPr>
        <w:t>le souhaite</w:t>
      </w:r>
      <w:r w:rsidRPr="00E342DC">
        <w:rPr>
          <w:rFonts w:cs="Tahoma"/>
          <w:szCs w:val="20"/>
          <w:lang w:val="fr-CH"/>
        </w:rPr>
        <w:t xml:space="preserve">, durant les horaires </w:t>
      </w:r>
      <w:r w:rsidR="006704FF" w:rsidRPr="00E342DC">
        <w:rPr>
          <w:rFonts w:cs="Tahoma"/>
          <w:szCs w:val="20"/>
          <w:lang w:val="fr-CH"/>
        </w:rPr>
        <w:t>de travail légal</w:t>
      </w:r>
      <w:r w:rsidRPr="00E342DC">
        <w:rPr>
          <w:rFonts w:cs="Tahoma"/>
          <w:szCs w:val="20"/>
          <w:lang w:val="fr-CH"/>
        </w:rPr>
        <w:t xml:space="preserve">, et dès le début de </w:t>
      </w:r>
      <w:r w:rsidR="006704FF" w:rsidRPr="00E342DC">
        <w:rPr>
          <w:rFonts w:cs="Tahoma"/>
          <w:szCs w:val="20"/>
          <w:lang w:val="fr-CH"/>
        </w:rPr>
        <w:t>s</w:t>
      </w:r>
      <w:r w:rsidRPr="00E342DC">
        <w:rPr>
          <w:rFonts w:cs="Tahoma"/>
          <w:szCs w:val="20"/>
          <w:lang w:val="fr-CH"/>
        </w:rPr>
        <w:t xml:space="preserve">a privation de liberté. Le projet de loi prévoit la possibilité pour le détenu de s’entretenir, individuellement, avec son avocat pendant 30 minutes. </w:t>
      </w:r>
      <w:r w:rsidR="00DE66CB" w:rsidRPr="00E342DC">
        <w:rPr>
          <w:rFonts w:cs="Tahoma"/>
          <w:szCs w:val="20"/>
          <w:lang w:val="fr-CH"/>
        </w:rPr>
        <w:t>L</w:t>
      </w:r>
      <w:r w:rsidRPr="00E342DC">
        <w:rPr>
          <w:rFonts w:cs="Tahoma"/>
          <w:szCs w:val="20"/>
          <w:lang w:val="fr-CH"/>
        </w:rPr>
        <w:t xml:space="preserve">e </w:t>
      </w:r>
      <w:r w:rsidR="006704FF" w:rsidRPr="00E342DC">
        <w:rPr>
          <w:rFonts w:cs="Tahoma"/>
          <w:szCs w:val="20"/>
          <w:lang w:val="fr-CH"/>
        </w:rPr>
        <w:t>C</w:t>
      </w:r>
      <w:r w:rsidRPr="00E342DC">
        <w:rPr>
          <w:rFonts w:cs="Tahoma"/>
          <w:szCs w:val="20"/>
          <w:lang w:val="fr-CH"/>
        </w:rPr>
        <w:t>omité avait demandé dans sa liste de questions</w:t>
      </w:r>
      <w:r w:rsidRPr="00E342DC">
        <w:rPr>
          <w:rStyle w:val="FootnoteReference"/>
          <w:rFonts w:cs="Tahoma"/>
          <w:szCs w:val="20"/>
          <w:lang w:val="fr-CH"/>
        </w:rPr>
        <w:footnoteReference w:id="21"/>
      </w:r>
      <w:r w:rsidRPr="00E342DC">
        <w:rPr>
          <w:rFonts w:cs="Tahoma"/>
          <w:szCs w:val="20"/>
          <w:lang w:val="fr-CH"/>
        </w:rPr>
        <w:t xml:space="preserve"> si cette limitation de la durée des entretiens allait être maintenue dans le projet de loi, l’</w:t>
      </w:r>
      <w:r w:rsidR="0070261E" w:rsidRPr="00E342DC">
        <w:rPr>
          <w:rFonts w:cs="Tahoma"/>
          <w:szCs w:val="20"/>
          <w:lang w:val="fr-CH"/>
        </w:rPr>
        <w:t>État</w:t>
      </w:r>
      <w:r w:rsidRPr="00E342DC">
        <w:rPr>
          <w:rFonts w:cs="Tahoma"/>
          <w:szCs w:val="20"/>
          <w:lang w:val="fr-CH"/>
        </w:rPr>
        <w:t xml:space="preserve"> partie n’a </w:t>
      </w:r>
      <w:r w:rsidR="00DE66CB" w:rsidRPr="00E342DC">
        <w:rPr>
          <w:rFonts w:cs="Tahoma"/>
          <w:szCs w:val="20"/>
          <w:lang w:val="fr-CH"/>
        </w:rPr>
        <w:t xml:space="preserve">toutefois </w:t>
      </w:r>
      <w:r w:rsidRPr="00E342DC">
        <w:rPr>
          <w:rFonts w:cs="Tahoma"/>
          <w:szCs w:val="20"/>
          <w:lang w:val="fr-CH"/>
        </w:rPr>
        <w:t>pas répondu sur ce point.</w:t>
      </w:r>
    </w:p>
    <w:p w:rsidR="00814F09" w:rsidRPr="00E342DC" w:rsidRDefault="00814F09" w:rsidP="00814F09">
      <w:pPr>
        <w:rPr>
          <w:rFonts w:cs="Tahoma"/>
          <w:szCs w:val="20"/>
          <w:lang w:val="fr-CH"/>
        </w:rPr>
      </w:pPr>
    </w:p>
    <w:p w:rsidR="00801668" w:rsidRPr="00E342DC" w:rsidRDefault="00DE66CB">
      <w:pPr>
        <w:rPr>
          <w:rFonts w:cs="Tahoma"/>
          <w:szCs w:val="20"/>
          <w:lang w:val="fr-CH"/>
        </w:rPr>
      </w:pPr>
      <w:r w:rsidRPr="00E342DC">
        <w:rPr>
          <w:rFonts w:cs="Tahoma"/>
          <w:szCs w:val="20"/>
          <w:lang w:val="fr-CH"/>
        </w:rPr>
        <w:t>Enfin, il faut noter que</w:t>
      </w:r>
      <w:r w:rsidR="00814F09" w:rsidRPr="00E342DC">
        <w:rPr>
          <w:rFonts w:cs="Tahoma"/>
          <w:szCs w:val="20"/>
          <w:lang w:val="fr-CH"/>
        </w:rPr>
        <w:t xml:space="preserve">, la nouvelle loi ne permet toujours pas au détenu de contester la légalité de la </w:t>
      </w:r>
      <w:r w:rsidR="006704FF" w:rsidRPr="00E342DC">
        <w:rPr>
          <w:rFonts w:cs="Tahoma"/>
          <w:szCs w:val="20"/>
          <w:lang w:val="fr-CH"/>
        </w:rPr>
        <w:t xml:space="preserve">garde à vue </w:t>
      </w:r>
      <w:r w:rsidRPr="00E342DC">
        <w:rPr>
          <w:rFonts w:cs="Tahoma"/>
          <w:szCs w:val="20"/>
          <w:lang w:val="fr-CH"/>
        </w:rPr>
        <w:t>qu’il s’agisse</w:t>
      </w:r>
      <w:r w:rsidR="00814F09" w:rsidRPr="00E342DC">
        <w:rPr>
          <w:rFonts w:cs="Tahoma"/>
          <w:szCs w:val="20"/>
          <w:lang w:val="fr-CH"/>
        </w:rPr>
        <w:t xml:space="preserve"> </w:t>
      </w:r>
      <w:r w:rsidRPr="00E342DC">
        <w:rPr>
          <w:rFonts w:cs="Tahoma"/>
          <w:szCs w:val="20"/>
          <w:lang w:val="fr-CH"/>
        </w:rPr>
        <w:t xml:space="preserve">de </w:t>
      </w:r>
      <w:r w:rsidR="00814F09" w:rsidRPr="00E342DC">
        <w:rPr>
          <w:rFonts w:cs="Tahoma"/>
          <w:szCs w:val="20"/>
          <w:lang w:val="fr-CH"/>
        </w:rPr>
        <w:t xml:space="preserve">la décision initiale ou </w:t>
      </w:r>
      <w:r w:rsidRPr="00E342DC">
        <w:rPr>
          <w:rFonts w:cs="Tahoma"/>
          <w:szCs w:val="20"/>
          <w:lang w:val="fr-CH"/>
        </w:rPr>
        <w:t xml:space="preserve">de </w:t>
      </w:r>
      <w:r w:rsidR="00814F09" w:rsidRPr="00E342DC">
        <w:rPr>
          <w:rFonts w:cs="Tahoma"/>
          <w:szCs w:val="20"/>
          <w:lang w:val="fr-CH"/>
        </w:rPr>
        <w:t>la décision de prolongation du Procureur</w:t>
      </w:r>
      <w:r w:rsidRPr="00E342DC">
        <w:rPr>
          <w:rFonts w:cs="Tahoma"/>
          <w:szCs w:val="20"/>
          <w:lang w:val="fr-CH"/>
        </w:rPr>
        <w:t xml:space="preserve"> de la République</w:t>
      </w:r>
      <w:r w:rsidR="00814F09" w:rsidRPr="00E342DC">
        <w:rPr>
          <w:rFonts w:cs="Tahoma"/>
          <w:szCs w:val="20"/>
          <w:lang w:val="fr-CH"/>
        </w:rPr>
        <w:t xml:space="preserve">. </w:t>
      </w:r>
    </w:p>
    <w:p w:rsidR="008422A4" w:rsidRPr="00E342DC" w:rsidRDefault="008422A4" w:rsidP="00DA0ABA">
      <w:pPr>
        <w:pStyle w:val="Heading2"/>
        <w:numPr>
          <w:ilvl w:val="0"/>
          <w:numId w:val="0"/>
        </w:numPr>
        <w:ind w:left="720"/>
        <w:rPr>
          <w:rFonts w:cs="Tahoma"/>
          <w:szCs w:val="20"/>
          <w:lang w:val="fr-CH"/>
        </w:rPr>
      </w:pPr>
    </w:p>
    <w:p w:rsidR="008422A4" w:rsidRPr="00E342DC" w:rsidRDefault="008422A4" w:rsidP="00DA0ABA">
      <w:pPr>
        <w:pStyle w:val="Heading2"/>
        <w:rPr>
          <w:rFonts w:cs="Tahoma"/>
          <w:szCs w:val="20"/>
          <w:lang w:val="fr-CH"/>
        </w:rPr>
      </w:pPr>
      <w:bookmarkStart w:id="15" w:name="_Toc447008723"/>
      <w:r w:rsidRPr="00E342DC">
        <w:rPr>
          <w:rFonts w:cs="Tahoma"/>
          <w:szCs w:val="20"/>
          <w:lang w:val="fr-CH"/>
        </w:rPr>
        <w:t xml:space="preserve">Nullité des aveux obtenus sous la torture </w:t>
      </w:r>
      <w:r w:rsidR="001C290E" w:rsidRPr="00E342DC">
        <w:rPr>
          <w:rFonts w:cs="Tahoma"/>
          <w:szCs w:val="20"/>
          <w:lang w:val="fr-CH"/>
        </w:rPr>
        <w:t>(article 15)</w:t>
      </w:r>
      <w:bookmarkEnd w:id="15"/>
    </w:p>
    <w:p w:rsidR="008422A4" w:rsidRPr="00E342DC" w:rsidRDefault="008422A4" w:rsidP="00DA0ABA">
      <w:pPr>
        <w:pStyle w:val="Default"/>
        <w:jc w:val="both"/>
        <w:rPr>
          <w:rFonts w:ascii="Tahoma" w:hAnsi="Tahoma" w:cs="Tahoma"/>
          <w:sz w:val="20"/>
          <w:szCs w:val="20"/>
          <w:lang w:val="fr-CH"/>
        </w:rPr>
      </w:pPr>
    </w:p>
    <w:p w:rsidR="008422A4" w:rsidRPr="00E342DC" w:rsidRDefault="008422A4" w:rsidP="00814F09">
      <w:pPr>
        <w:pStyle w:val="Default"/>
        <w:jc w:val="both"/>
        <w:rPr>
          <w:rFonts w:ascii="Tahoma" w:hAnsi="Tahoma" w:cs="Tahoma"/>
          <w:sz w:val="20"/>
          <w:szCs w:val="20"/>
          <w:lang w:val="fr-CH"/>
        </w:rPr>
      </w:pPr>
      <w:r w:rsidRPr="00E342DC">
        <w:rPr>
          <w:rFonts w:ascii="Tahoma" w:hAnsi="Tahoma" w:cs="Tahoma"/>
          <w:sz w:val="20"/>
          <w:szCs w:val="20"/>
          <w:lang w:val="fr-CH"/>
        </w:rPr>
        <w:t>L’article 15</w:t>
      </w:r>
      <w:r w:rsidR="001B0A51" w:rsidRPr="00E342DC">
        <w:rPr>
          <w:rFonts w:ascii="Tahoma" w:hAnsi="Tahoma" w:cs="Tahoma"/>
          <w:sz w:val="20"/>
          <w:szCs w:val="20"/>
          <w:lang w:val="fr-CH"/>
        </w:rPr>
        <w:t xml:space="preserve"> de la Convention stipule que </w:t>
      </w:r>
      <w:r w:rsidR="002E6D81" w:rsidRPr="00E342DC">
        <w:rPr>
          <w:rFonts w:ascii="Tahoma" w:hAnsi="Tahoma" w:cs="Tahoma"/>
          <w:sz w:val="20"/>
          <w:szCs w:val="20"/>
          <w:lang w:val="fr-CH"/>
        </w:rPr>
        <w:t xml:space="preserve">« Tout État partie veille à ce que toute déclaration dont il est établi qu'elle a été obtenue par la torture ne puisse être invoquée comme un élément de preuve dans une procédure, si ce n'est contre la personne accusée de torture pour établir qu'une déclaration a été faite. » </w:t>
      </w:r>
    </w:p>
    <w:p w:rsidR="00814F09" w:rsidRPr="00E342DC" w:rsidRDefault="00814F09" w:rsidP="00814F09">
      <w:pPr>
        <w:pStyle w:val="Default"/>
        <w:jc w:val="both"/>
        <w:rPr>
          <w:rFonts w:ascii="Tahoma" w:hAnsi="Tahoma" w:cs="Tahoma"/>
          <w:sz w:val="20"/>
          <w:szCs w:val="20"/>
          <w:lang w:val="fr-CH"/>
        </w:rPr>
      </w:pPr>
    </w:p>
    <w:p w:rsidR="002E56C5" w:rsidRPr="00E342DC" w:rsidRDefault="008422A4" w:rsidP="00DA0ABA">
      <w:pPr>
        <w:pStyle w:val="Default"/>
        <w:jc w:val="both"/>
        <w:rPr>
          <w:rFonts w:ascii="Tahoma" w:eastAsia="Arial Unicode MS" w:hAnsi="Tahoma" w:cs="Tahoma"/>
          <w:sz w:val="20"/>
          <w:szCs w:val="20"/>
          <w:lang w:val="fr-CH"/>
        </w:rPr>
      </w:pPr>
      <w:r w:rsidRPr="00E342DC">
        <w:rPr>
          <w:rFonts w:ascii="Tahoma" w:eastAsia="Arial Unicode MS" w:hAnsi="Tahoma" w:cs="Tahoma"/>
          <w:sz w:val="20"/>
          <w:szCs w:val="20"/>
          <w:lang w:val="fr-CH"/>
        </w:rPr>
        <w:t>L'article 155 du CPP, modifié par le Décret-loi n° 106 du 22 octobre 2011, </w:t>
      </w:r>
      <w:r w:rsidR="002E56C5" w:rsidRPr="00E342DC">
        <w:rPr>
          <w:rFonts w:ascii="Tahoma" w:eastAsia="Arial Unicode MS" w:hAnsi="Tahoma" w:cs="Tahoma"/>
          <w:sz w:val="20"/>
          <w:szCs w:val="20"/>
          <w:lang w:val="fr-CH"/>
        </w:rPr>
        <w:t xml:space="preserve">prévoit que </w:t>
      </w:r>
      <w:r w:rsidRPr="00E342DC">
        <w:rPr>
          <w:rFonts w:ascii="Tahoma" w:eastAsia="Arial Unicode MS" w:hAnsi="Tahoma" w:cs="Tahoma"/>
          <w:sz w:val="20"/>
          <w:szCs w:val="20"/>
          <w:lang w:val="fr-CH"/>
        </w:rPr>
        <w:t xml:space="preserve">les aveux obtenus sous la contrainte et la torture </w:t>
      </w:r>
      <w:r w:rsidR="002E56C5" w:rsidRPr="00E342DC">
        <w:rPr>
          <w:rFonts w:ascii="Tahoma" w:eastAsia="Arial Unicode MS" w:hAnsi="Tahoma" w:cs="Tahoma"/>
          <w:sz w:val="20"/>
          <w:szCs w:val="20"/>
          <w:lang w:val="fr-CH"/>
        </w:rPr>
        <w:t xml:space="preserve">sont </w:t>
      </w:r>
      <w:r w:rsidRPr="00E342DC">
        <w:rPr>
          <w:rFonts w:ascii="Tahoma" w:eastAsia="Arial Unicode MS" w:hAnsi="Tahoma" w:cs="Tahoma"/>
          <w:sz w:val="20"/>
          <w:szCs w:val="20"/>
          <w:lang w:val="fr-CH"/>
        </w:rPr>
        <w:t>nuls et non avenus, tandis que l'article 152 prévoit que l</w:t>
      </w:r>
      <w:r w:rsidR="002E56C5" w:rsidRPr="00E342DC">
        <w:rPr>
          <w:rFonts w:ascii="Tahoma" w:eastAsia="Arial Unicode MS" w:hAnsi="Tahoma" w:cs="Tahoma"/>
          <w:sz w:val="20"/>
          <w:szCs w:val="20"/>
          <w:lang w:val="fr-CH"/>
        </w:rPr>
        <w:t xml:space="preserve">’appréciation de la </w:t>
      </w:r>
      <w:r w:rsidRPr="00E342DC">
        <w:rPr>
          <w:rFonts w:ascii="Tahoma" w:eastAsia="Arial Unicode MS" w:hAnsi="Tahoma" w:cs="Tahoma"/>
          <w:sz w:val="20"/>
          <w:szCs w:val="20"/>
          <w:lang w:val="fr-CH"/>
        </w:rPr>
        <w:t xml:space="preserve">validité et la recevabilité des aveux </w:t>
      </w:r>
      <w:r w:rsidR="002E56C5" w:rsidRPr="00E342DC">
        <w:rPr>
          <w:rFonts w:ascii="Tahoma" w:eastAsia="Arial Unicode MS" w:hAnsi="Tahoma" w:cs="Tahoma"/>
          <w:sz w:val="20"/>
          <w:szCs w:val="20"/>
          <w:lang w:val="fr-CH"/>
        </w:rPr>
        <w:t xml:space="preserve">est </w:t>
      </w:r>
      <w:r w:rsidRPr="00E342DC">
        <w:rPr>
          <w:rFonts w:ascii="Tahoma" w:eastAsia="Arial Unicode MS" w:hAnsi="Tahoma" w:cs="Tahoma"/>
          <w:sz w:val="20"/>
          <w:szCs w:val="20"/>
          <w:lang w:val="fr-CH"/>
        </w:rPr>
        <w:t xml:space="preserve">laissée à la discrétion des juges </w:t>
      </w:r>
      <w:r w:rsidR="001C290E" w:rsidRPr="00E342DC">
        <w:rPr>
          <w:rFonts w:ascii="Tahoma" w:eastAsia="Arial Unicode MS" w:hAnsi="Tahoma" w:cs="Tahoma"/>
          <w:sz w:val="20"/>
          <w:szCs w:val="20"/>
          <w:lang w:val="fr-CH"/>
        </w:rPr>
        <w:t>d</w:t>
      </w:r>
      <w:r w:rsidRPr="00E342DC">
        <w:rPr>
          <w:rFonts w:ascii="Tahoma" w:eastAsia="Arial Unicode MS" w:hAnsi="Tahoma" w:cs="Tahoma"/>
          <w:sz w:val="20"/>
          <w:szCs w:val="20"/>
          <w:lang w:val="fr-CH"/>
        </w:rPr>
        <w:t>u siège.</w:t>
      </w:r>
      <w:r w:rsidR="002E56C5" w:rsidRPr="00E342DC">
        <w:rPr>
          <w:rFonts w:ascii="Tahoma" w:eastAsia="Arial Unicode MS" w:hAnsi="Tahoma" w:cs="Tahoma"/>
          <w:sz w:val="20"/>
          <w:szCs w:val="20"/>
          <w:lang w:val="fr-CH"/>
        </w:rPr>
        <w:t xml:space="preserve"> </w:t>
      </w:r>
    </w:p>
    <w:p w:rsidR="00DE66CB" w:rsidRPr="00E342DC" w:rsidRDefault="00DE66CB" w:rsidP="00DA0ABA">
      <w:pPr>
        <w:pStyle w:val="Default"/>
        <w:jc w:val="both"/>
        <w:rPr>
          <w:rFonts w:ascii="Tahoma" w:eastAsia="Arial Unicode MS" w:hAnsi="Tahoma" w:cs="Tahoma"/>
          <w:sz w:val="20"/>
          <w:szCs w:val="20"/>
          <w:lang w:val="fr-CH"/>
        </w:rPr>
      </w:pPr>
    </w:p>
    <w:p w:rsidR="00801668" w:rsidRPr="00E342DC" w:rsidRDefault="002E56C5">
      <w:pPr>
        <w:pStyle w:val="Default"/>
        <w:jc w:val="both"/>
        <w:rPr>
          <w:rFonts w:ascii="Tahoma" w:eastAsia="Arial Unicode MS" w:hAnsi="Tahoma" w:cs="Tahoma"/>
          <w:sz w:val="20"/>
          <w:szCs w:val="20"/>
          <w:lang w:val="fr-CH"/>
        </w:rPr>
      </w:pPr>
      <w:r w:rsidRPr="00E342DC">
        <w:rPr>
          <w:rFonts w:ascii="Tahoma" w:eastAsia="Arial Unicode MS" w:hAnsi="Tahoma" w:cs="Tahoma"/>
          <w:sz w:val="20"/>
          <w:szCs w:val="20"/>
          <w:lang w:val="fr-CH"/>
        </w:rPr>
        <w:t xml:space="preserve">Si l’article 15 de la Convention requiert </w:t>
      </w:r>
      <w:r w:rsidR="001C290E" w:rsidRPr="00E342DC">
        <w:rPr>
          <w:rFonts w:ascii="Tahoma" w:eastAsia="Arial Unicode MS" w:hAnsi="Tahoma" w:cs="Tahoma"/>
          <w:sz w:val="20"/>
          <w:szCs w:val="20"/>
          <w:lang w:val="fr-CH"/>
        </w:rPr>
        <w:t xml:space="preserve">le rejet </w:t>
      </w:r>
      <w:r w:rsidRPr="00E342DC">
        <w:rPr>
          <w:rFonts w:ascii="Tahoma" w:eastAsia="Arial Unicode MS" w:hAnsi="Tahoma" w:cs="Tahoma"/>
          <w:sz w:val="20"/>
          <w:szCs w:val="20"/>
          <w:lang w:val="fr-CH"/>
        </w:rPr>
        <w:t xml:space="preserve">de toute déclaration dont il est «établi» qu’elle a été obtenue par la torture, le </w:t>
      </w:r>
      <w:r w:rsidR="00DE66CB" w:rsidRPr="00E342DC">
        <w:rPr>
          <w:rFonts w:ascii="Tahoma" w:eastAsia="Arial Unicode MS" w:hAnsi="Tahoma" w:cs="Tahoma"/>
          <w:sz w:val="20"/>
          <w:szCs w:val="20"/>
          <w:lang w:val="fr-CH"/>
        </w:rPr>
        <w:t>C</w:t>
      </w:r>
      <w:r w:rsidRPr="00E342DC">
        <w:rPr>
          <w:rFonts w:ascii="Tahoma" w:eastAsia="Arial Unicode MS" w:hAnsi="Tahoma" w:cs="Tahoma"/>
          <w:sz w:val="20"/>
          <w:szCs w:val="20"/>
          <w:lang w:val="fr-CH"/>
        </w:rPr>
        <w:t>omité a estimé qu</w:t>
      </w:r>
      <w:r w:rsidR="00DE66CB" w:rsidRPr="00E342DC">
        <w:rPr>
          <w:rFonts w:ascii="Tahoma" w:eastAsia="Arial Unicode MS" w:hAnsi="Tahoma" w:cs="Tahoma"/>
          <w:sz w:val="20"/>
          <w:szCs w:val="20"/>
          <w:lang w:val="fr-CH"/>
        </w:rPr>
        <w:t xml:space="preserve">’en cas d’allégations de torture formulées par un prévenu, il revient à l’autorité de poursuite d’établir que les preuves n’ont pas été obtenues sous la contrainte. </w:t>
      </w:r>
      <w:r w:rsidRPr="00E342DC">
        <w:rPr>
          <w:rFonts w:ascii="Tahoma" w:eastAsia="Arial Unicode MS" w:hAnsi="Tahoma" w:cs="Tahoma"/>
          <w:sz w:val="20"/>
          <w:szCs w:val="20"/>
          <w:lang w:val="fr-CH"/>
        </w:rPr>
        <w:t xml:space="preserve">Or le droit tunisien ne prévoit pas de procédure spécifique </w:t>
      </w:r>
      <w:r w:rsidR="00DE66CB" w:rsidRPr="00E342DC">
        <w:rPr>
          <w:rFonts w:ascii="Tahoma" w:eastAsia="Arial Unicode MS" w:hAnsi="Tahoma" w:cs="Tahoma"/>
          <w:sz w:val="20"/>
          <w:szCs w:val="20"/>
          <w:lang w:val="fr-CH"/>
        </w:rPr>
        <w:t>dans ces</w:t>
      </w:r>
      <w:r w:rsidRPr="00E342DC">
        <w:rPr>
          <w:rFonts w:ascii="Tahoma" w:eastAsia="Arial Unicode MS" w:hAnsi="Tahoma" w:cs="Tahoma"/>
          <w:sz w:val="20"/>
          <w:szCs w:val="20"/>
          <w:lang w:val="fr-CH"/>
        </w:rPr>
        <w:t xml:space="preserve"> cas</w:t>
      </w:r>
      <w:r w:rsidR="00DE66CB" w:rsidRPr="00E342DC">
        <w:rPr>
          <w:rFonts w:ascii="Tahoma" w:eastAsia="Arial Unicode MS" w:hAnsi="Tahoma" w:cs="Tahoma"/>
          <w:sz w:val="20"/>
          <w:szCs w:val="20"/>
          <w:lang w:val="fr-CH"/>
        </w:rPr>
        <w:t xml:space="preserve"> et ne prévoit notamment pas que </w:t>
      </w:r>
      <w:r w:rsidRPr="00E342DC">
        <w:rPr>
          <w:rFonts w:ascii="Tahoma" w:eastAsia="Arial Unicode MS" w:hAnsi="Tahoma" w:cs="Tahoma"/>
          <w:sz w:val="20"/>
          <w:szCs w:val="20"/>
          <w:lang w:val="fr-CH"/>
        </w:rPr>
        <w:t xml:space="preserve">les juges du siège </w:t>
      </w:r>
      <w:r w:rsidR="00D13799" w:rsidRPr="00E342DC">
        <w:rPr>
          <w:rFonts w:ascii="Tahoma" w:eastAsia="Arial Unicode MS" w:hAnsi="Tahoma" w:cs="Tahoma"/>
          <w:sz w:val="20"/>
          <w:szCs w:val="20"/>
          <w:lang w:val="fr-CH"/>
        </w:rPr>
        <w:t>doivent sursoir à statuer</w:t>
      </w:r>
      <w:r w:rsidR="00DE66CB" w:rsidRPr="00E342DC">
        <w:rPr>
          <w:rFonts w:ascii="Tahoma" w:eastAsia="Arial Unicode MS" w:hAnsi="Tahoma" w:cs="Tahoma"/>
          <w:sz w:val="20"/>
          <w:szCs w:val="20"/>
          <w:lang w:val="fr-CH"/>
        </w:rPr>
        <w:t xml:space="preserve"> et</w:t>
      </w:r>
      <w:r w:rsidR="00D13799" w:rsidRPr="00E342DC">
        <w:rPr>
          <w:rFonts w:ascii="Tahoma" w:eastAsia="Arial Unicode MS" w:hAnsi="Tahoma" w:cs="Tahoma"/>
          <w:sz w:val="20"/>
          <w:szCs w:val="20"/>
          <w:lang w:val="fr-CH"/>
        </w:rPr>
        <w:t xml:space="preserve"> exclure les éléments de preuve </w:t>
      </w:r>
      <w:r w:rsidR="00DE66CB" w:rsidRPr="00E342DC">
        <w:rPr>
          <w:rFonts w:ascii="Tahoma" w:eastAsia="Arial Unicode MS" w:hAnsi="Tahoma" w:cs="Tahoma"/>
          <w:sz w:val="20"/>
          <w:szCs w:val="20"/>
          <w:lang w:val="fr-CH"/>
        </w:rPr>
        <w:t xml:space="preserve">qui auraient pu être </w:t>
      </w:r>
      <w:r w:rsidR="00D13799" w:rsidRPr="00E342DC">
        <w:rPr>
          <w:rFonts w:ascii="Tahoma" w:eastAsia="Arial Unicode MS" w:hAnsi="Tahoma" w:cs="Tahoma"/>
          <w:sz w:val="20"/>
          <w:szCs w:val="20"/>
          <w:lang w:val="fr-CH"/>
        </w:rPr>
        <w:t xml:space="preserve">obtenus sous la </w:t>
      </w:r>
      <w:r w:rsidR="00DE66CB" w:rsidRPr="00E342DC">
        <w:rPr>
          <w:rFonts w:ascii="Tahoma" w:eastAsia="Arial Unicode MS" w:hAnsi="Tahoma" w:cs="Tahoma"/>
          <w:sz w:val="20"/>
          <w:szCs w:val="20"/>
          <w:lang w:val="fr-CH"/>
        </w:rPr>
        <w:t xml:space="preserve">contrainte ou la </w:t>
      </w:r>
      <w:r w:rsidR="00D13799" w:rsidRPr="00E342DC">
        <w:rPr>
          <w:rFonts w:ascii="Tahoma" w:eastAsia="Arial Unicode MS" w:hAnsi="Tahoma" w:cs="Tahoma"/>
          <w:sz w:val="20"/>
          <w:szCs w:val="20"/>
          <w:lang w:val="fr-CH"/>
        </w:rPr>
        <w:t>torture</w:t>
      </w:r>
      <w:r w:rsidR="00DE66CB" w:rsidRPr="00E342DC">
        <w:rPr>
          <w:rFonts w:ascii="Tahoma" w:eastAsia="Arial Unicode MS" w:hAnsi="Tahoma" w:cs="Tahoma"/>
          <w:sz w:val="20"/>
          <w:szCs w:val="20"/>
          <w:lang w:val="fr-CH"/>
        </w:rPr>
        <w:t xml:space="preserve"> et</w:t>
      </w:r>
      <w:r w:rsidR="00D13799" w:rsidRPr="00E342DC">
        <w:rPr>
          <w:rFonts w:ascii="Tahoma" w:eastAsia="Arial Unicode MS" w:hAnsi="Tahoma" w:cs="Tahoma"/>
          <w:sz w:val="20"/>
          <w:szCs w:val="20"/>
          <w:lang w:val="fr-CH"/>
        </w:rPr>
        <w:t xml:space="preserve"> jusqu’à ce que le </w:t>
      </w:r>
      <w:r w:rsidR="001C290E" w:rsidRPr="00E342DC">
        <w:rPr>
          <w:rFonts w:ascii="Tahoma" w:eastAsia="Arial Unicode MS" w:hAnsi="Tahoma" w:cs="Tahoma"/>
          <w:sz w:val="20"/>
          <w:szCs w:val="20"/>
          <w:lang w:val="fr-CH"/>
        </w:rPr>
        <w:t xml:space="preserve">procureur </w:t>
      </w:r>
      <w:r w:rsidR="00D13799" w:rsidRPr="00E342DC">
        <w:rPr>
          <w:rFonts w:ascii="Tahoma" w:eastAsia="Arial Unicode MS" w:hAnsi="Tahoma" w:cs="Tahoma"/>
          <w:sz w:val="20"/>
          <w:szCs w:val="20"/>
          <w:lang w:val="fr-CH"/>
        </w:rPr>
        <w:t>prouve le contraire.</w:t>
      </w:r>
      <w:r w:rsidRPr="00E342DC">
        <w:rPr>
          <w:rFonts w:ascii="Tahoma" w:eastAsia="Arial Unicode MS" w:hAnsi="Tahoma" w:cs="Tahoma"/>
          <w:sz w:val="20"/>
          <w:szCs w:val="20"/>
          <w:lang w:val="fr-CH"/>
        </w:rPr>
        <w:t xml:space="preserve"> </w:t>
      </w:r>
    </w:p>
    <w:p w:rsidR="008422A4" w:rsidRPr="00E342DC" w:rsidRDefault="008422A4" w:rsidP="00DA0ABA">
      <w:pPr>
        <w:rPr>
          <w:rFonts w:cs="Tahoma"/>
          <w:szCs w:val="20"/>
          <w:lang w:val="fr-CH"/>
        </w:rPr>
      </w:pPr>
    </w:p>
    <w:p w:rsidR="00801668" w:rsidRPr="00E342DC" w:rsidRDefault="008422A4">
      <w:pPr>
        <w:rPr>
          <w:rFonts w:cs="Tahoma"/>
          <w:szCs w:val="20"/>
          <w:lang w:val="fr-CH"/>
        </w:rPr>
      </w:pPr>
      <w:r w:rsidRPr="00E342DC">
        <w:rPr>
          <w:rFonts w:cs="Tahoma"/>
          <w:szCs w:val="20"/>
          <w:lang w:val="fr-CH"/>
        </w:rPr>
        <w:t xml:space="preserve">Après </w:t>
      </w:r>
      <w:r w:rsidR="001C290E" w:rsidRPr="00E342DC">
        <w:rPr>
          <w:rFonts w:cs="Tahoma"/>
          <w:szCs w:val="20"/>
          <w:lang w:val="fr-CH"/>
        </w:rPr>
        <w:t>sa visite,</w:t>
      </w:r>
      <w:r w:rsidRPr="00E342DC">
        <w:rPr>
          <w:rFonts w:cs="Tahoma"/>
          <w:szCs w:val="20"/>
          <w:lang w:val="fr-CH"/>
        </w:rPr>
        <w:t xml:space="preserve"> </w:t>
      </w:r>
      <w:r w:rsidR="001C290E" w:rsidRPr="00E342DC">
        <w:rPr>
          <w:rFonts w:cs="Tahoma"/>
          <w:szCs w:val="20"/>
          <w:lang w:val="fr-CH"/>
        </w:rPr>
        <w:t xml:space="preserve">le </w:t>
      </w:r>
      <w:r w:rsidRPr="00E342DC">
        <w:rPr>
          <w:rFonts w:cs="Tahoma"/>
          <w:szCs w:val="20"/>
          <w:lang w:val="fr-CH"/>
        </w:rPr>
        <w:t xml:space="preserve">Rapporteur spécial sur la torture avait observé que « dans la pratique, </w:t>
      </w:r>
      <w:r w:rsidRPr="00E342DC">
        <w:rPr>
          <w:rFonts w:eastAsia="Times New Roman" w:cs="Tahoma"/>
          <w:szCs w:val="20"/>
          <w:lang w:val="fr-CH" w:eastAsia="fr-FR"/>
        </w:rPr>
        <w:t>les aveux obtenus sous la torture ne sont pas expressément exclus des éléments de preuve</w:t>
      </w:r>
      <w:r w:rsidR="00EA19EC" w:rsidRPr="00E342DC">
        <w:rPr>
          <w:rFonts w:eastAsia="Times New Roman" w:cs="Tahoma"/>
          <w:szCs w:val="20"/>
          <w:lang w:val="fr-CH" w:eastAsia="fr-FR"/>
        </w:rPr>
        <w:t>s</w:t>
      </w:r>
      <w:r w:rsidRPr="00E342DC">
        <w:rPr>
          <w:rFonts w:cs="Tahoma"/>
          <w:szCs w:val="20"/>
          <w:lang w:val="fr-CH"/>
        </w:rPr>
        <w:t xml:space="preserve"> </w:t>
      </w:r>
      <w:r w:rsidRPr="00E342DC">
        <w:rPr>
          <w:rFonts w:eastAsia="Times New Roman" w:cs="Tahoma"/>
          <w:szCs w:val="20"/>
          <w:lang w:val="fr-CH" w:eastAsia="fr-FR"/>
        </w:rPr>
        <w:t>recevables devant un tribunal</w:t>
      </w:r>
      <w:r w:rsidR="001C290E" w:rsidRPr="00E342DC">
        <w:rPr>
          <w:rFonts w:eastAsia="Times New Roman" w:cs="Tahoma"/>
          <w:szCs w:val="20"/>
          <w:lang w:val="fr-CH" w:eastAsia="fr-FR"/>
        </w:rPr>
        <w:t> »</w:t>
      </w:r>
      <w:r w:rsidRPr="00E342DC">
        <w:rPr>
          <w:rStyle w:val="FootnoteReference"/>
          <w:rFonts w:eastAsia="Times New Roman" w:cs="Tahoma"/>
          <w:szCs w:val="20"/>
          <w:lang w:val="fr-CH" w:eastAsia="fr-FR"/>
        </w:rPr>
        <w:footnoteReference w:id="22"/>
      </w:r>
      <w:r w:rsidR="00BF513F">
        <w:rPr>
          <w:rFonts w:eastAsia="Times New Roman" w:cs="Tahoma"/>
          <w:szCs w:val="20"/>
          <w:lang w:val="fr-CH" w:eastAsia="fr-FR"/>
        </w:rPr>
        <w:t>.</w:t>
      </w:r>
      <w:r w:rsidRPr="00E342DC">
        <w:rPr>
          <w:rFonts w:cs="Tahoma"/>
          <w:szCs w:val="20"/>
          <w:lang w:val="fr-CH"/>
        </w:rPr>
        <w:t xml:space="preserve"> </w:t>
      </w:r>
      <w:r w:rsidR="001B0A51" w:rsidRPr="00E342DC">
        <w:rPr>
          <w:rFonts w:cs="Tahoma"/>
          <w:szCs w:val="20"/>
          <w:lang w:val="fr-CH"/>
        </w:rPr>
        <w:t>L</w:t>
      </w:r>
      <w:r w:rsidRPr="00E342DC">
        <w:rPr>
          <w:rFonts w:cs="Tahoma"/>
          <w:szCs w:val="20"/>
          <w:lang w:val="fr-CH"/>
        </w:rPr>
        <w:t xml:space="preserve">e Rapporteur spécial fait état de </w:t>
      </w:r>
      <w:r w:rsidR="001C290E" w:rsidRPr="00E342DC">
        <w:rPr>
          <w:rFonts w:eastAsia="Arial Unicode MS" w:cs="Tahoma"/>
          <w:szCs w:val="20"/>
          <w:lang w:val="fr-CH"/>
        </w:rPr>
        <w:t>situations dans lesquelles</w:t>
      </w:r>
      <w:r w:rsidRPr="00E342DC">
        <w:rPr>
          <w:rFonts w:eastAsia="Arial Unicode MS" w:cs="Tahoma"/>
          <w:szCs w:val="20"/>
          <w:lang w:val="fr-CH"/>
        </w:rPr>
        <w:t xml:space="preserve"> </w:t>
      </w:r>
      <w:r w:rsidR="00EA19EC" w:rsidRPr="00E342DC">
        <w:rPr>
          <w:rFonts w:eastAsia="Arial Unicode MS" w:cs="Tahoma"/>
          <w:szCs w:val="20"/>
          <w:lang w:val="fr-CH"/>
        </w:rPr>
        <w:t>d</w:t>
      </w:r>
      <w:r w:rsidRPr="00E342DC">
        <w:rPr>
          <w:rFonts w:eastAsia="Arial Unicode MS" w:cs="Tahoma"/>
          <w:szCs w:val="20"/>
          <w:lang w:val="fr-CH"/>
        </w:rPr>
        <w:t>es aveux obtenus sous la contrainte et la torture</w:t>
      </w:r>
      <w:r w:rsidR="00EA19EC" w:rsidRPr="00E342DC">
        <w:rPr>
          <w:rFonts w:eastAsia="Arial Unicode MS" w:cs="Tahoma"/>
          <w:szCs w:val="20"/>
          <w:lang w:val="fr-CH"/>
        </w:rPr>
        <w:t xml:space="preserve"> </w:t>
      </w:r>
      <w:r w:rsidR="001C290E" w:rsidRPr="00E342DC">
        <w:rPr>
          <w:rFonts w:eastAsia="Arial Unicode MS" w:cs="Tahoma"/>
          <w:szCs w:val="20"/>
          <w:lang w:val="fr-CH"/>
        </w:rPr>
        <w:t xml:space="preserve">ont été </w:t>
      </w:r>
      <w:r w:rsidRPr="00E342DC">
        <w:rPr>
          <w:rFonts w:eastAsia="Arial Unicode MS" w:cs="Tahoma"/>
          <w:szCs w:val="20"/>
          <w:lang w:val="fr-CH"/>
        </w:rPr>
        <w:t>admis comme preuve contre l'accusé</w:t>
      </w:r>
      <w:r w:rsidR="00EA19EC" w:rsidRPr="00E342DC">
        <w:rPr>
          <w:rStyle w:val="FootnoteReference"/>
          <w:rFonts w:cs="Tahoma"/>
          <w:szCs w:val="20"/>
          <w:lang w:val="fr-CH"/>
        </w:rPr>
        <w:footnoteReference w:id="23"/>
      </w:r>
      <w:r w:rsidR="00EA19EC" w:rsidRPr="00E342DC">
        <w:rPr>
          <w:rFonts w:cs="Tahoma"/>
          <w:szCs w:val="20"/>
          <w:lang w:val="fr-CH"/>
        </w:rPr>
        <w:t>.</w:t>
      </w:r>
      <w:r w:rsidRPr="00E342DC">
        <w:rPr>
          <w:rFonts w:cs="Tahoma"/>
          <w:szCs w:val="20"/>
          <w:lang w:val="fr-CH"/>
        </w:rPr>
        <w:t xml:space="preserve"> </w:t>
      </w:r>
    </w:p>
    <w:p w:rsidR="001B0A51" w:rsidRPr="00E342DC" w:rsidRDefault="001B0A51" w:rsidP="00DA0ABA">
      <w:pPr>
        <w:rPr>
          <w:rFonts w:cs="Tahoma"/>
          <w:szCs w:val="20"/>
          <w:lang w:val="fr-CH"/>
        </w:rPr>
      </w:pPr>
    </w:p>
    <w:p w:rsidR="00801668" w:rsidRPr="00E342DC" w:rsidRDefault="001B0A51">
      <w:pPr>
        <w:rPr>
          <w:rFonts w:cs="Tahoma"/>
          <w:szCs w:val="20"/>
          <w:lang w:val="fr-CH"/>
        </w:rPr>
      </w:pPr>
      <w:r w:rsidRPr="00E342DC">
        <w:rPr>
          <w:rFonts w:cs="Tahoma"/>
          <w:szCs w:val="20"/>
          <w:lang w:val="fr-CH"/>
        </w:rPr>
        <w:t xml:space="preserve">Comme nous le verrons dans la section 5 du présent rapport, les cas soumis aux procédures spéciales par Alkarama font état d’une </w:t>
      </w:r>
      <w:r w:rsidR="00F806FE" w:rsidRPr="00E342DC">
        <w:rPr>
          <w:rFonts w:cs="Tahoma"/>
          <w:szCs w:val="20"/>
          <w:lang w:val="fr-CH"/>
        </w:rPr>
        <w:t xml:space="preserve">pratique </w:t>
      </w:r>
      <w:r w:rsidR="001C290E" w:rsidRPr="00E342DC">
        <w:rPr>
          <w:rFonts w:cs="Tahoma"/>
          <w:szCs w:val="20"/>
          <w:lang w:val="fr-CH"/>
        </w:rPr>
        <w:t xml:space="preserve">courante </w:t>
      </w:r>
      <w:r w:rsidRPr="00E342DC">
        <w:rPr>
          <w:rFonts w:cs="Tahoma"/>
          <w:szCs w:val="20"/>
          <w:lang w:val="fr-CH"/>
        </w:rPr>
        <w:t>d’extraction d’aveux sous la torture</w:t>
      </w:r>
      <w:r w:rsidR="007A07D0" w:rsidRPr="00E342DC">
        <w:rPr>
          <w:rFonts w:cs="Tahoma"/>
          <w:szCs w:val="20"/>
          <w:lang w:val="fr-CH"/>
        </w:rPr>
        <w:t xml:space="preserve"> </w:t>
      </w:r>
      <w:r w:rsidRPr="00E342DC">
        <w:rPr>
          <w:rFonts w:cs="Tahoma"/>
          <w:szCs w:val="20"/>
          <w:lang w:val="fr-CH"/>
        </w:rPr>
        <w:t xml:space="preserve">dans les affaires </w:t>
      </w:r>
      <w:r w:rsidR="00EA19EC" w:rsidRPr="00E342DC">
        <w:rPr>
          <w:rFonts w:cs="Tahoma"/>
          <w:szCs w:val="20"/>
          <w:lang w:val="fr-CH"/>
        </w:rPr>
        <w:t xml:space="preserve">liées au </w:t>
      </w:r>
      <w:r w:rsidRPr="00E342DC">
        <w:rPr>
          <w:rFonts w:cs="Tahoma"/>
          <w:szCs w:val="20"/>
          <w:lang w:val="fr-CH"/>
        </w:rPr>
        <w:t>terrorisme, les victimes</w:t>
      </w:r>
      <w:r w:rsidR="001C290E" w:rsidRPr="00E342DC">
        <w:rPr>
          <w:rFonts w:cs="Tahoma"/>
          <w:szCs w:val="20"/>
          <w:lang w:val="fr-CH"/>
        </w:rPr>
        <w:t xml:space="preserve"> témoignant</w:t>
      </w:r>
      <w:r w:rsidRPr="00E342DC">
        <w:rPr>
          <w:rFonts w:cs="Tahoma"/>
          <w:szCs w:val="20"/>
          <w:lang w:val="fr-CH"/>
        </w:rPr>
        <w:t xml:space="preserve"> </w:t>
      </w:r>
      <w:r w:rsidR="001C290E" w:rsidRPr="00E342DC">
        <w:rPr>
          <w:rFonts w:cs="Tahoma"/>
          <w:szCs w:val="20"/>
          <w:lang w:val="fr-CH"/>
        </w:rPr>
        <w:t xml:space="preserve">avoir été </w:t>
      </w:r>
      <w:r w:rsidRPr="00E342DC">
        <w:rPr>
          <w:rFonts w:cs="Tahoma"/>
          <w:szCs w:val="20"/>
          <w:lang w:val="fr-CH"/>
        </w:rPr>
        <w:t xml:space="preserve">contraintes </w:t>
      </w:r>
      <w:r w:rsidR="001C290E" w:rsidRPr="00E342DC">
        <w:rPr>
          <w:rFonts w:cs="Tahoma"/>
          <w:szCs w:val="20"/>
          <w:lang w:val="fr-CH"/>
        </w:rPr>
        <w:t xml:space="preserve">à </w:t>
      </w:r>
      <w:r w:rsidRPr="00E342DC">
        <w:rPr>
          <w:rFonts w:cs="Tahoma"/>
          <w:szCs w:val="20"/>
          <w:lang w:val="fr-CH"/>
        </w:rPr>
        <w:t xml:space="preserve">signer des procès-verbaux de police sans </w:t>
      </w:r>
      <w:r w:rsidR="007A07D0" w:rsidRPr="00E342DC">
        <w:rPr>
          <w:rFonts w:cs="Tahoma"/>
          <w:szCs w:val="20"/>
          <w:lang w:val="fr-CH"/>
        </w:rPr>
        <w:t>que leur soit donné le droit de les lire au préalable. Dans ces cas, l</w:t>
      </w:r>
      <w:r w:rsidRPr="00E342DC">
        <w:rPr>
          <w:rFonts w:cs="Tahoma"/>
          <w:szCs w:val="20"/>
          <w:lang w:val="fr-CH"/>
        </w:rPr>
        <w:t>es victimes contestent les procès verbaux de police lors de leur première comparution devant l</w:t>
      </w:r>
      <w:r w:rsidR="001C290E" w:rsidRPr="00E342DC">
        <w:rPr>
          <w:rFonts w:cs="Tahoma"/>
          <w:szCs w:val="20"/>
          <w:lang w:val="fr-CH"/>
        </w:rPr>
        <w:t xml:space="preserve">’autorité judicaire </w:t>
      </w:r>
      <w:r w:rsidR="007A07D0" w:rsidRPr="00E342DC">
        <w:rPr>
          <w:rFonts w:cs="Tahoma"/>
          <w:szCs w:val="20"/>
          <w:lang w:val="fr-CH"/>
        </w:rPr>
        <w:t xml:space="preserve">qui </w:t>
      </w:r>
      <w:r w:rsidR="00EA19EC" w:rsidRPr="00E342DC">
        <w:rPr>
          <w:rFonts w:cs="Tahoma"/>
          <w:szCs w:val="20"/>
          <w:lang w:val="fr-CH"/>
        </w:rPr>
        <w:t>n</w:t>
      </w:r>
      <w:r w:rsidR="001C290E" w:rsidRPr="00E342DC">
        <w:rPr>
          <w:rFonts w:cs="Tahoma"/>
          <w:szCs w:val="20"/>
          <w:lang w:val="fr-CH"/>
        </w:rPr>
        <w:t xml:space="preserve">e </w:t>
      </w:r>
      <w:r w:rsidR="00E342DC" w:rsidRPr="00E342DC">
        <w:rPr>
          <w:rFonts w:cs="Tahoma"/>
          <w:szCs w:val="20"/>
          <w:lang w:val="fr-CH"/>
        </w:rPr>
        <w:t>tient</w:t>
      </w:r>
      <w:r w:rsidR="001C290E" w:rsidRPr="00E342DC">
        <w:rPr>
          <w:rFonts w:cs="Tahoma"/>
          <w:szCs w:val="20"/>
          <w:lang w:val="fr-CH"/>
        </w:rPr>
        <w:t xml:space="preserve"> jamais</w:t>
      </w:r>
      <w:r w:rsidR="007A07D0" w:rsidRPr="00E342DC">
        <w:rPr>
          <w:rFonts w:cs="Tahoma"/>
          <w:szCs w:val="20"/>
          <w:lang w:val="fr-CH"/>
        </w:rPr>
        <w:t xml:space="preserve"> compte </w:t>
      </w:r>
      <w:r w:rsidR="001C290E" w:rsidRPr="00E342DC">
        <w:rPr>
          <w:rFonts w:cs="Tahoma"/>
          <w:szCs w:val="20"/>
          <w:lang w:val="fr-CH"/>
        </w:rPr>
        <w:t>d</w:t>
      </w:r>
      <w:r w:rsidR="007A07D0" w:rsidRPr="00E342DC">
        <w:rPr>
          <w:rFonts w:cs="Tahoma"/>
          <w:szCs w:val="20"/>
          <w:lang w:val="fr-CH"/>
        </w:rPr>
        <w:t>es allégations de la victime</w:t>
      </w:r>
      <w:r w:rsidRPr="00E342DC">
        <w:rPr>
          <w:rFonts w:cs="Tahoma"/>
          <w:szCs w:val="20"/>
          <w:lang w:val="fr-CH"/>
        </w:rPr>
        <w:t xml:space="preserve">. </w:t>
      </w:r>
      <w:r w:rsidR="007A07D0" w:rsidRPr="00E342DC">
        <w:rPr>
          <w:rFonts w:cs="Tahoma"/>
          <w:szCs w:val="20"/>
          <w:lang w:val="fr-CH"/>
        </w:rPr>
        <w:t xml:space="preserve">Ainsi, </w:t>
      </w:r>
      <w:r w:rsidRPr="00E342DC">
        <w:rPr>
          <w:rFonts w:cs="Tahoma"/>
          <w:szCs w:val="20"/>
          <w:lang w:val="fr-CH"/>
        </w:rPr>
        <w:t>un certain nombre de personne</w:t>
      </w:r>
      <w:r w:rsidR="001C290E" w:rsidRPr="00E342DC">
        <w:rPr>
          <w:rFonts w:cs="Tahoma"/>
          <w:szCs w:val="20"/>
          <w:lang w:val="fr-CH"/>
        </w:rPr>
        <w:t>s</w:t>
      </w:r>
      <w:r w:rsidRPr="00E342DC">
        <w:rPr>
          <w:rFonts w:cs="Tahoma"/>
          <w:szCs w:val="20"/>
          <w:lang w:val="fr-CH"/>
        </w:rPr>
        <w:t xml:space="preserve"> a été condamné sur la seule base d’aveux extorqués sous la torture</w:t>
      </w:r>
      <w:r w:rsidR="002E56C5" w:rsidRPr="00E342DC">
        <w:rPr>
          <w:rFonts w:cs="Tahoma"/>
          <w:szCs w:val="20"/>
          <w:lang w:val="fr-CH"/>
        </w:rPr>
        <w:t>.</w:t>
      </w:r>
    </w:p>
    <w:p w:rsidR="008422A4" w:rsidRPr="00E342DC" w:rsidRDefault="008422A4" w:rsidP="00DA0ABA">
      <w:pPr>
        <w:rPr>
          <w:rFonts w:cs="Tahoma"/>
          <w:szCs w:val="20"/>
          <w:lang w:val="fr-CH"/>
        </w:rPr>
      </w:pPr>
    </w:p>
    <w:p w:rsidR="0097034D" w:rsidRPr="00E342DC" w:rsidRDefault="0072548F" w:rsidP="00DA0ABA">
      <w:pPr>
        <w:rPr>
          <w:rFonts w:eastAsia="Arial Unicode MS" w:cs="Tahoma"/>
          <w:szCs w:val="20"/>
          <w:lang w:val="fr-CH"/>
        </w:rPr>
      </w:pPr>
      <w:r w:rsidRPr="00E342DC">
        <w:rPr>
          <w:rFonts w:cs="Tahoma"/>
          <w:szCs w:val="20"/>
          <w:lang w:val="fr-CH"/>
        </w:rPr>
        <w:t>Par ailleurs, il</w:t>
      </w:r>
      <w:r w:rsidR="00266A7B" w:rsidRPr="00E342DC">
        <w:rPr>
          <w:rFonts w:cs="Tahoma"/>
          <w:szCs w:val="20"/>
          <w:lang w:val="fr-CH"/>
        </w:rPr>
        <w:t xml:space="preserve"> convient</w:t>
      </w:r>
      <w:r w:rsidR="008422A4" w:rsidRPr="00E342DC">
        <w:rPr>
          <w:rFonts w:cs="Tahoma"/>
          <w:szCs w:val="20"/>
          <w:lang w:val="fr-CH"/>
        </w:rPr>
        <w:t xml:space="preserve"> de noter que </w:t>
      </w:r>
      <w:r w:rsidR="002E56C5" w:rsidRPr="00E342DC">
        <w:rPr>
          <w:rFonts w:cs="Tahoma"/>
          <w:szCs w:val="20"/>
          <w:lang w:val="fr-CH"/>
        </w:rPr>
        <w:t xml:space="preserve">malgré </w:t>
      </w:r>
      <w:r w:rsidR="008422A4" w:rsidRPr="00E342DC">
        <w:rPr>
          <w:rFonts w:cs="Tahoma"/>
          <w:szCs w:val="20"/>
          <w:lang w:val="fr-CH"/>
        </w:rPr>
        <w:t>le nombre élevé d’allégations</w:t>
      </w:r>
      <w:r w:rsidR="00266A7B" w:rsidRPr="00E342DC">
        <w:rPr>
          <w:rFonts w:cs="Tahoma"/>
          <w:szCs w:val="20"/>
          <w:lang w:val="fr-CH"/>
        </w:rPr>
        <w:t xml:space="preserve"> faisant état d’aveux obtenus sous la contrainte physique</w:t>
      </w:r>
      <w:r w:rsidR="008422A4" w:rsidRPr="00E342DC">
        <w:rPr>
          <w:rFonts w:cs="Tahoma"/>
          <w:szCs w:val="20"/>
          <w:lang w:val="fr-CH"/>
        </w:rPr>
        <w:t xml:space="preserve">, </w:t>
      </w:r>
      <w:r w:rsidR="008422A4" w:rsidRPr="00E342DC">
        <w:rPr>
          <w:rFonts w:eastAsia="Arial Unicode MS" w:cs="Tahoma"/>
          <w:szCs w:val="20"/>
          <w:lang w:val="fr-CH"/>
        </w:rPr>
        <w:t>il n’y a pas encore eu de jugement qui aurait déclaré nul et non avenu une preuve obtenue sous la torture ou sous d'autres mauvais traitements. </w:t>
      </w:r>
      <w:r w:rsidR="001C290E" w:rsidRPr="00E342DC">
        <w:rPr>
          <w:rFonts w:eastAsia="Arial Unicode MS" w:cs="Tahoma"/>
          <w:szCs w:val="20"/>
          <w:lang w:val="fr-CH"/>
        </w:rPr>
        <w:t>Il n’y a pas eu de preuve non plus de situations où tant le parquet que le Ju</w:t>
      </w:r>
      <w:r w:rsidR="00CD5681" w:rsidRPr="00E342DC">
        <w:rPr>
          <w:rFonts w:eastAsia="Arial Unicode MS" w:cs="Tahoma"/>
          <w:szCs w:val="20"/>
          <w:lang w:val="fr-CH"/>
        </w:rPr>
        <w:t>g</w:t>
      </w:r>
      <w:r w:rsidR="001C290E" w:rsidRPr="00E342DC">
        <w:rPr>
          <w:rFonts w:eastAsia="Arial Unicode MS" w:cs="Tahoma"/>
          <w:szCs w:val="20"/>
          <w:lang w:val="fr-CH"/>
        </w:rPr>
        <w:t>e d’instruction ou les magistrats du siège n’ait donné suite aux allégations de torture du prévenu ou de l’accusé en ordonnant l’ouverture d’une enquête</w:t>
      </w:r>
      <w:r w:rsidR="00CD5681" w:rsidRPr="00E342DC">
        <w:rPr>
          <w:rFonts w:eastAsia="Arial Unicode MS" w:cs="Tahoma"/>
          <w:szCs w:val="20"/>
          <w:lang w:val="fr-CH"/>
        </w:rPr>
        <w:t xml:space="preserve">. Par ailleurs il convient également de noter qu’il n’y a donc pas de décisions de justice qui aurait déclaré nul et non avenu des éléments de preuve obtenus sous la torture, ce que l’Etat partie reconnait lui-même dans ses réponses. </w:t>
      </w:r>
    </w:p>
    <w:p w:rsidR="008422A4" w:rsidRPr="00E342DC" w:rsidRDefault="008422A4" w:rsidP="00DA0ABA">
      <w:pPr>
        <w:rPr>
          <w:rFonts w:eastAsia="Arial Unicode MS" w:cs="Tahoma"/>
          <w:szCs w:val="20"/>
          <w:lang w:val="fr-CH"/>
        </w:rPr>
      </w:pPr>
    </w:p>
    <w:p w:rsidR="003266EB" w:rsidRDefault="003266EB" w:rsidP="00DA0ABA">
      <w:pPr>
        <w:tabs>
          <w:tab w:val="left" w:pos="284"/>
        </w:tabs>
        <w:rPr>
          <w:rFonts w:cs="Tahoma"/>
          <w:b/>
          <w:szCs w:val="20"/>
        </w:rPr>
      </w:pPr>
      <w:r w:rsidRPr="00E342DC">
        <w:rPr>
          <w:rFonts w:cs="Tahoma"/>
          <w:b/>
          <w:szCs w:val="20"/>
        </w:rPr>
        <w:lastRenderedPageBreak/>
        <w:t>Recommandations:</w:t>
      </w:r>
    </w:p>
    <w:p w:rsidR="00BF513F" w:rsidRPr="00E342DC" w:rsidRDefault="00BF513F" w:rsidP="00DA0ABA">
      <w:pPr>
        <w:tabs>
          <w:tab w:val="left" w:pos="284"/>
        </w:tabs>
        <w:rPr>
          <w:rFonts w:cs="Tahoma"/>
          <w:b/>
          <w:szCs w:val="20"/>
        </w:rPr>
      </w:pPr>
    </w:p>
    <w:p w:rsidR="003266EB" w:rsidRPr="00E342DC" w:rsidRDefault="003266EB" w:rsidP="00D9565E">
      <w:pPr>
        <w:pStyle w:val="ListParagraph"/>
        <w:numPr>
          <w:ilvl w:val="0"/>
          <w:numId w:val="34"/>
        </w:numPr>
        <w:rPr>
          <w:rFonts w:cs="Tahoma"/>
          <w:szCs w:val="20"/>
        </w:rPr>
      </w:pPr>
      <w:r w:rsidRPr="00E342DC">
        <w:rPr>
          <w:rFonts w:cs="Tahoma"/>
          <w:szCs w:val="20"/>
        </w:rPr>
        <w:t>Assurer que chaque personne placée en garde à vue bénéficie de la protection de la loi, dès le moment de l’arrestation, indépendamment du motif de la garde à vue</w:t>
      </w:r>
      <w:r w:rsidR="00CD5681" w:rsidRPr="00E342DC">
        <w:rPr>
          <w:rFonts w:cs="Tahoma"/>
          <w:szCs w:val="20"/>
        </w:rPr>
        <w:t> ;</w:t>
      </w:r>
      <w:r w:rsidRPr="00E342DC">
        <w:rPr>
          <w:rFonts w:cs="Tahoma"/>
          <w:szCs w:val="20"/>
        </w:rPr>
        <w:t xml:space="preserve"> </w:t>
      </w:r>
    </w:p>
    <w:p w:rsidR="00801668" w:rsidRPr="00E342DC" w:rsidRDefault="002E6D81" w:rsidP="00DC0DEC">
      <w:pPr>
        <w:pStyle w:val="ListParagraph"/>
        <w:numPr>
          <w:ilvl w:val="0"/>
          <w:numId w:val="34"/>
        </w:numPr>
        <w:rPr>
          <w:rFonts w:cs="Tahoma"/>
          <w:szCs w:val="20"/>
        </w:rPr>
      </w:pPr>
      <w:r w:rsidRPr="00E342DC">
        <w:rPr>
          <w:rFonts w:cs="Tahoma"/>
          <w:szCs w:val="20"/>
        </w:rPr>
        <w:t xml:space="preserve">Veiller </w:t>
      </w:r>
      <w:r w:rsidR="00DC0DEC" w:rsidRPr="00E342DC">
        <w:rPr>
          <w:rFonts w:cs="Tahoma"/>
          <w:szCs w:val="20"/>
        </w:rPr>
        <w:t>au respect des</w:t>
      </w:r>
      <w:r w:rsidRPr="00E342DC">
        <w:rPr>
          <w:rFonts w:cs="Tahoma"/>
          <w:szCs w:val="20"/>
        </w:rPr>
        <w:t xml:space="preserve"> garanties fondamentales </w:t>
      </w:r>
      <w:r w:rsidR="00DC0DEC" w:rsidRPr="00E342DC">
        <w:rPr>
          <w:rFonts w:cs="Tahoma"/>
          <w:szCs w:val="20"/>
        </w:rPr>
        <w:t>dès le début de la garde à vue</w:t>
      </w:r>
      <w:r w:rsidRPr="00E342DC">
        <w:rPr>
          <w:rFonts w:cs="Tahoma"/>
          <w:szCs w:val="20"/>
        </w:rPr>
        <w:t> ;</w:t>
      </w:r>
    </w:p>
    <w:p w:rsidR="003266EB" w:rsidRPr="00E342DC" w:rsidRDefault="00330962" w:rsidP="00330962">
      <w:pPr>
        <w:pStyle w:val="ListParagraph"/>
        <w:numPr>
          <w:ilvl w:val="0"/>
          <w:numId w:val="34"/>
        </w:numPr>
        <w:rPr>
          <w:rFonts w:cs="Tahoma"/>
          <w:szCs w:val="20"/>
        </w:rPr>
      </w:pPr>
      <w:r w:rsidRPr="00E342DC">
        <w:rPr>
          <w:rFonts w:cs="Tahoma"/>
          <w:szCs w:val="20"/>
        </w:rPr>
        <w:t xml:space="preserve">Mettre fin au </w:t>
      </w:r>
      <w:r w:rsidR="003266EB" w:rsidRPr="00E342DC">
        <w:rPr>
          <w:rFonts w:cs="Tahoma"/>
          <w:szCs w:val="20"/>
        </w:rPr>
        <w:t>renouvellement systématique de la période de la garde à vue,</w:t>
      </w:r>
      <w:r w:rsidR="00CD5681" w:rsidRPr="00E342DC">
        <w:rPr>
          <w:rFonts w:cs="Tahoma"/>
          <w:szCs w:val="20"/>
        </w:rPr>
        <w:t xml:space="preserve"> et notamment</w:t>
      </w:r>
      <w:r w:rsidR="003266EB" w:rsidRPr="00E342DC">
        <w:rPr>
          <w:rFonts w:cs="Tahoma"/>
          <w:szCs w:val="20"/>
        </w:rPr>
        <w:t xml:space="preserve"> par la pratique des « commissions rogatoires »</w:t>
      </w:r>
      <w:r w:rsidR="00CD5681" w:rsidRPr="00E342DC">
        <w:rPr>
          <w:rFonts w:cs="Tahoma"/>
          <w:szCs w:val="20"/>
        </w:rPr>
        <w:t> ;</w:t>
      </w:r>
    </w:p>
    <w:p w:rsidR="003266EB" w:rsidRPr="00E342DC" w:rsidRDefault="003266EB" w:rsidP="00D9565E">
      <w:pPr>
        <w:pStyle w:val="ListParagraph"/>
        <w:numPr>
          <w:ilvl w:val="0"/>
          <w:numId w:val="34"/>
        </w:numPr>
        <w:rPr>
          <w:rFonts w:cs="Tahoma"/>
          <w:szCs w:val="20"/>
        </w:rPr>
      </w:pPr>
      <w:r w:rsidRPr="00E342DC">
        <w:rPr>
          <w:rFonts w:cs="Tahoma"/>
          <w:szCs w:val="20"/>
        </w:rPr>
        <w:t xml:space="preserve">Adopter une législation d’application pour mettre en œuvre les dispositions du projet de loi n°13/2013 afin de réduire la durée légale de la garde à vue à un maximum de quarante-huit heures et veiller à ce que l’accès à un avocat pendant la garde à vue </w:t>
      </w:r>
      <w:r w:rsidR="00CD5681" w:rsidRPr="00E342DC">
        <w:rPr>
          <w:rFonts w:cs="Tahoma"/>
          <w:szCs w:val="20"/>
        </w:rPr>
        <w:t xml:space="preserve">dès le début de la garde à vue </w:t>
      </w:r>
      <w:r w:rsidRPr="00E342DC">
        <w:rPr>
          <w:rFonts w:cs="Tahoma"/>
          <w:szCs w:val="20"/>
        </w:rPr>
        <w:t>soit prévu par la loi</w:t>
      </w:r>
      <w:r w:rsidR="00CD5681" w:rsidRPr="00E342DC">
        <w:rPr>
          <w:rFonts w:cs="Tahoma"/>
          <w:szCs w:val="20"/>
        </w:rPr>
        <w:t>;</w:t>
      </w:r>
    </w:p>
    <w:p w:rsidR="00801668" w:rsidRPr="00E342DC" w:rsidRDefault="002E6D81">
      <w:pPr>
        <w:pStyle w:val="ListParagraph"/>
        <w:numPr>
          <w:ilvl w:val="0"/>
          <w:numId w:val="34"/>
        </w:numPr>
        <w:jc w:val="left"/>
        <w:rPr>
          <w:rFonts w:cs="Tahoma"/>
          <w:szCs w:val="20"/>
        </w:rPr>
      </w:pPr>
      <w:r w:rsidRPr="00E342DC">
        <w:rPr>
          <w:rFonts w:cs="Tahoma"/>
          <w:szCs w:val="20"/>
        </w:rPr>
        <w:t xml:space="preserve">Inclure systématiquement le certificat d’examen médical médicale dans la procédure d’enquête préliminaire transmise au parquet ; </w:t>
      </w:r>
    </w:p>
    <w:p w:rsidR="00801668" w:rsidRPr="00E342DC" w:rsidRDefault="002E6D81">
      <w:pPr>
        <w:pStyle w:val="ListParagraph"/>
        <w:numPr>
          <w:ilvl w:val="0"/>
          <w:numId w:val="34"/>
        </w:numPr>
        <w:jc w:val="left"/>
        <w:rPr>
          <w:rFonts w:eastAsia="Times New Roman" w:cs="Tahoma"/>
          <w:szCs w:val="20"/>
          <w:lang w:val="fr-CH" w:eastAsia="fr-CH"/>
        </w:rPr>
      </w:pPr>
      <w:r w:rsidRPr="00E342DC">
        <w:rPr>
          <w:rFonts w:cs="Tahoma"/>
          <w:szCs w:val="20"/>
        </w:rPr>
        <w:t>Aligner la législation en vigueur en matière d’a</w:t>
      </w:r>
      <w:r w:rsidR="00CD5681" w:rsidRPr="00E342DC">
        <w:rPr>
          <w:rFonts w:cs="Tahoma"/>
          <w:szCs w:val="20"/>
        </w:rPr>
        <w:t>dmissibilité</w:t>
      </w:r>
      <w:r w:rsidRPr="00E342DC">
        <w:rPr>
          <w:rFonts w:cs="Tahoma"/>
          <w:szCs w:val="20"/>
        </w:rPr>
        <w:t xml:space="preserve"> de la preuve dans les procédures judiciaires sur les dispositions de l’article 15 de la Convention, de manière à exclure explicitement tout élément de preuve obtenu sous la torture et autres traitements cruels inhumains et dégradants. Cette exclusion doit préciser que la charge de la preuve incombe à l’accusation qui doit démontrer que </w:t>
      </w:r>
      <w:r w:rsidRPr="00E342DC">
        <w:rPr>
          <w:rFonts w:eastAsia="Times New Roman" w:cs="Tahoma"/>
          <w:szCs w:val="20"/>
          <w:lang w:val="fr-CH" w:eastAsia="fr-CH"/>
        </w:rPr>
        <w:t>l</w:t>
      </w:r>
      <w:r w:rsidR="000C6B7E" w:rsidRPr="00E342DC">
        <w:rPr>
          <w:rFonts w:cs="Tahoma"/>
          <w:szCs w:val="20"/>
        </w:rPr>
        <w:t>’élément de preuve a été recueilli légalement, en cas d’allégation de torture.</w:t>
      </w:r>
    </w:p>
    <w:p w:rsidR="003266EB" w:rsidRPr="00E342DC" w:rsidRDefault="003266EB" w:rsidP="00DA0ABA">
      <w:pPr>
        <w:rPr>
          <w:rFonts w:eastAsia="Arial Unicode MS" w:cs="Tahoma"/>
        </w:rPr>
      </w:pPr>
    </w:p>
    <w:p w:rsidR="00BE3B6E" w:rsidRPr="00E342DC" w:rsidRDefault="00C615F7" w:rsidP="00DA0ABA">
      <w:pPr>
        <w:pStyle w:val="Heading1"/>
        <w:rPr>
          <w:rFonts w:cs="Tahoma"/>
          <w:lang w:val="fr-CH" w:eastAsia="fr-FR"/>
        </w:rPr>
      </w:pPr>
      <w:bookmarkStart w:id="16" w:name="_Toc447008724"/>
      <w:r w:rsidRPr="00E342DC">
        <w:rPr>
          <w:rFonts w:cs="Tahoma"/>
          <w:lang w:val="fr-CH"/>
        </w:rPr>
        <w:t>La pratique de la torture dans la l</w:t>
      </w:r>
      <w:r w:rsidR="00BE3B6E" w:rsidRPr="00E342DC">
        <w:rPr>
          <w:rFonts w:cs="Tahoma"/>
          <w:lang w:val="fr-CH"/>
        </w:rPr>
        <w:t>utte antiterroriste</w:t>
      </w:r>
      <w:bookmarkEnd w:id="16"/>
      <w:r w:rsidR="00BE3B6E" w:rsidRPr="00E342DC">
        <w:rPr>
          <w:rFonts w:cs="Tahoma"/>
          <w:lang w:val="fr-CH"/>
        </w:rPr>
        <w:t xml:space="preserve"> </w:t>
      </w:r>
    </w:p>
    <w:p w:rsidR="00F733D9" w:rsidRPr="00E342DC" w:rsidRDefault="00F733D9" w:rsidP="00DA0ABA">
      <w:pPr>
        <w:pStyle w:val="Heading2"/>
        <w:numPr>
          <w:ilvl w:val="0"/>
          <w:numId w:val="0"/>
        </w:numPr>
        <w:ind w:left="720" w:hanging="720"/>
        <w:rPr>
          <w:rFonts w:cs="Tahoma"/>
          <w:szCs w:val="20"/>
          <w:lang w:val="fr-CH"/>
        </w:rPr>
      </w:pPr>
    </w:p>
    <w:p w:rsidR="00801668" w:rsidRPr="00E342DC" w:rsidRDefault="000952A6">
      <w:pPr>
        <w:rPr>
          <w:rFonts w:cs="Tahoma"/>
          <w:szCs w:val="20"/>
          <w:lang w:val="fr-CH"/>
        </w:rPr>
      </w:pPr>
      <w:r w:rsidRPr="00E342DC">
        <w:rPr>
          <w:rFonts w:cs="Tahoma"/>
          <w:szCs w:val="20"/>
          <w:lang w:val="fr-CH"/>
        </w:rPr>
        <w:t>Nous notons avec préoccupation que l’Etat partie indique dans ses réponses aux questions soulevées par le comité concernant la définition du crime de terrorisme que l’Etat a « évité » de définir le terrorisme dans sa loi antiterroriste de 2015. Cette absence de définition est due selon l’Etat à l’absence de consensus international sur la définition du terrorisme et à la volonté du législateur d’adopter une « approche empi</w:t>
      </w:r>
      <w:r w:rsidR="00BF513F">
        <w:rPr>
          <w:rFonts w:cs="Tahoma"/>
          <w:szCs w:val="20"/>
          <w:lang w:val="fr-CH"/>
        </w:rPr>
        <w:t>rique »</w:t>
      </w:r>
      <w:r w:rsidRPr="00E342DC">
        <w:rPr>
          <w:rFonts w:cs="Tahoma"/>
          <w:szCs w:val="20"/>
          <w:lang w:val="fr-CH"/>
        </w:rPr>
        <w:t xml:space="preserve"> basée sur l’intention de la loi qui est de combattre, criminaliser et punir ces actes. </w:t>
      </w:r>
      <w:r w:rsidR="00012DE5" w:rsidRPr="00E342DC">
        <w:rPr>
          <w:rFonts w:cs="Tahoma"/>
          <w:szCs w:val="20"/>
          <w:lang w:val="fr-CH"/>
        </w:rPr>
        <w:t>L’absence d’une définition claire de l’acte incriminé par la loi nuit à la clarté et la sécurité juridique. L’Etat partie devrait adopter une définition claire de l’acte de terrorisme qui soit conforme aux standards internationaux en la matière</w:t>
      </w:r>
      <w:r w:rsidR="00012DE5" w:rsidRPr="00E342DC">
        <w:rPr>
          <w:rStyle w:val="FootnoteReference"/>
          <w:rFonts w:cs="Tahoma"/>
          <w:szCs w:val="20"/>
          <w:lang w:val="fr-CH"/>
        </w:rPr>
        <w:footnoteReference w:id="24"/>
      </w:r>
      <w:r w:rsidR="00012DE5" w:rsidRPr="00E342DC">
        <w:rPr>
          <w:rFonts w:cs="Tahoma"/>
          <w:szCs w:val="20"/>
          <w:lang w:val="fr-CH"/>
        </w:rPr>
        <w:t xml:space="preserve">. </w:t>
      </w:r>
    </w:p>
    <w:p w:rsidR="00801668" w:rsidRPr="00E342DC" w:rsidRDefault="00801668">
      <w:pPr>
        <w:rPr>
          <w:rFonts w:cs="Tahoma"/>
          <w:szCs w:val="20"/>
          <w:lang w:val="fr-CH"/>
        </w:rPr>
      </w:pPr>
    </w:p>
    <w:p w:rsidR="008422A4" w:rsidRPr="00E342DC" w:rsidRDefault="008422A4" w:rsidP="00DA0ABA">
      <w:pPr>
        <w:pStyle w:val="Heading2"/>
        <w:numPr>
          <w:ilvl w:val="0"/>
          <w:numId w:val="0"/>
        </w:numPr>
        <w:ind w:left="720" w:hanging="720"/>
        <w:rPr>
          <w:rFonts w:cs="Tahoma"/>
          <w:szCs w:val="20"/>
          <w:lang w:val="fr-CH" w:eastAsia="fr-FR"/>
        </w:rPr>
      </w:pPr>
      <w:bookmarkStart w:id="17" w:name="_Toc447008725"/>
      <w:r w:rsidRPr="00E342DC">
        <w:rPr>
          <w:rFonts w:cs="Tahoma"/>
          <w:szCs w:val="20"/>
          <w:lang w:val="fr-CH"/>
        </w:rPr>
        <w:t>4.1</w:t>
      </w:r>
      <w:r w:rsidR="004F0017" w:rsidRPr="00E342DC">
        <w:rPr>
          <w:rFonts w:cs="Tahoma"/>
          <w:szCs w:val="20"/>
          <w:lang w:val="fr-CH" w:eastAsia="fr-FR"/>
        </w:rPr>
        <w:t xml:space="preserve"> </w:t>
      </w:r>
      <w:r w:rsidR="004F0017" w:rsidRPr="00E342DC">
        <w:rPr>
          <w:rFonts w:cs="Tahoma"/>
          <w:szCs w:val="20"/>
          <w:lang w:val="fr-CH" w:eastAsia="fr-FR"/>
        </w:rPr>
        <w:tab/>
      </w:r>
      <w:r w:rsidR="00767420" w:rsidRPr="00E342DC">
        <w:rPr>
          <w:rFonts w:cs="Tahoma"/>
          <w:szCs w:val="20"/>
          <w:lang w:val="fr-CH" w:eastAsia="fr-FR"/>
        </w:rPr>
        <w:t>U</w:t>
      </w:r>
      <w:r w:rsidR="00597585" w:rsidRPr="00E342DC">
        <w:rPr>
          <w:rFonts w:cs="Tahoma"/>
          <w:szCs w:val="20"/>
          <w:lang w:val="fr-CH" w:eastAsia="fr-FR"/>
        </w:rPr>
        <w:t>ne législation antiterroriste qui porte atteinte aux</w:t>
      </w:r>
      <w:r w:rsidR="00767420" w:rsidRPr="00E342DC">
        <w:rPr>
          <w:rFonts w:cs="Tahoma"/>
          <w:szCs w:val="20"/>
          <w:lang w:val="fr-CH" w:eastAsia="fr-FR"/>
        </w:rPr>
        <w:t xml:space="preserve"> garanties procédurales</w:t>
      </w:r>
      <w:bookmarkEnd w:id="17"/>
    </w:p>
    <w:p w:rsidR="00EA19EC" w:rsidRPr="00E342DC" w:rsidRDefault="00EA19EC" w:rsidP="00DA0ABA">
      <w:pPr>
        <w:rPr>
          <w:rStyle w:val="st"/>
          <w:rFonts w:cs="Tahoma"/>
          <w:szCs w:val="20"/>
          <w:lang w:val="fr-CH"/>
        </w:rPr>
      </w:pPr>
    </w:p>
    <w:p w:rsidR="00801668" w:rsidRPr="00E342DC" w:rsidRDefault="001B480D">
      <w:pPr>
        <w:rPr>
          <w:rStyle w:val="st"/>
          <w:rFonts w:cs="Tahoma"/>
          <w:szCs w:val="20"/>
          <w:lang w:val="fr-CH"/>
        </w:rPr>
      </w:pPr>
      <w:r w:rsidRPr="00E342DC">
        <w:rPr>
          <w:rStyle w:val="st"/>
          <w:rFonts w:cs="Tahoma"/>
          <w:szCs w:val="20"/>
          <w:lang w:val="fr-CH"/>
        </w:rPr>
        <w:t xml:space="preserve">L’État partie affirme dans </w:t>
      </w:r>
      <w:r w:rsidR="00CD5681" w:rsidRPr="00E342DC">
        <w:rPr>
          <w:rStyle w:val="st"/>
          <w:rFonts w:cs="Tahoma"/>
          <w:szCs w:val="20"/>
          <w:lang w:val="fr-CH"/>
        </w:rPr>
        <w:t>l</w:t>
      </w:r>
      <w:r w:rsidR="00CA65A1" w:rsidRPr="00E342DC">
        <w:rPr>
          <w:rStyle w:val="st"/>
          <w:rFonts w:cs="Tahoma"/>
          <w:szCs w:val="20"/>
          <w:lang w:val="fr-CH"/>
        </w:rPr>
        <w:t xml:space="preserve">e </w:t>
      </w:r>
      <w:r w:rsidR="00CA65A1" w:rsidRPr="00E342DC">
        <w:rPr>
          <w:rFonts w:cs="Tahoma"/>
          <w:szCs w:val="20"/>
          <w:lang w:val="fr-CH"/>
        </w:rPr>
        <w:t>rapport complémentaire</w:t>
      </w:r>
      <w:r w:rsidRPr="00E342DC">
        <w:rPr>
          <w:rStyle w:val="st"/>
          <w:rFonts w:cs="Tahoma"/>
          <w:szCs w:val="20"/>
          <w:lang w:val="fr-CH"/>
        </w:rPr>
        <w:t xml:space="preserve"> que la loi </w:t>
      </w:r>
      <w:r w:rsidRPr="00E342DC">
        <w:rPr>
          <w:rFonts w:cs="Tahoma"/>
          <w:szCs w:val="20"/>
          <w:lang w:val="fr-CH"/>
        </w:rPr>
        <w:t xml:space="preserve">n° 75/2003 </w:t>
      </w:r>
      <w:r w:rsidRPr="00E342DC">
        <w:rPr>
          <w:rStyle w:val="st"/>
          <w:rFonts w:cs="Tahoma"/>
          <w:szCs w:val="20"/>
          <w:lang w:val="fr-CH"/>
        </w:rPr>
        <w:t xml:space="preserve">relative au soutien des efforts internationaux de lutte contre le </w:t>
      </w:r>
      <w:r w:rsidRPr="00E342DC">
        <w:rPr>
          <w:rStyle w:val="Emphasis"/>
          <w:rFonts w:cs="Tahoma"/>
          <w:i w:val="0"/>
          <w:iCs w:val="0"/>
          <w:szCs w:val="20"/>
          <w:lang w:val="fr-CH"/>
        </w:rPr>
        <w:t>terrorisme</w:t>
      </w:r>
      <w:r w:rsidRPr="00E342DC">
        <w:rPr>
          <w:rStyle w:val="st"/>
          <w:rFonts w:cs="Tahoma"/>
          <w:szCs w:val="20"/>
          <w:lang w:val="fr-CH"/>
        </w:rPr>
        <w:t xml:space="preserve"> et à la répression du blanchiment d'argent ne contient aucune disposition qui serait de nature à porter atteinte aux garanties juridiques dont bénéficient toutes les personnes soupçonnées d’avoir commis une infraction liée au terrorisme.</w:t>
      </w:r>
      <w:r w:rsidRPr="00E342DC">
        <w:rPr>
          <w:rStyle w:val="FootnoteReference"/>
          <w:rFonts w:cs="Tahoma"/>
          <w:szCs w:val="20"/>
          <w:lang w:val="fr-CH"/>
        </w:rPr>
        <w:footnoteReference w:id="25"/>
      </w:r>
      <w:r w:rsidRPr="00E342DC">
        <w:rPr>
          <w:rStyle w:val="st"/>
          <w:rFonts w:cs="Tahoma"/>
          <w:szCs w:val="20"/>
          <w:lang w:val="fr-CH"/>
        </w:rPr>
        <w:t xml:space="preserve"> De nombreux cas documentés et témoignages recueillis par Alkarama semblent toutefois démontrer le contraire. Les violations des droits fondamentaux subi</w:t>
      </w:r>
      <w:r w:rsidR="00CD5681" w:rsidRPr="00E342DC">
        <w:rPr>
          <w:rStyle w:val="st"/>
          <w:rFonts w:cs="Tahoma"/>
          <w:szCs w:val="20"/>
          <w:lang w:val="fr-CH"/>
        </w:rPr>
        <w:t>e</w:t>
      </w:r>
      <w:r w:rsidRPr="00E342DC">
        <w:rPr>
          <w:rStyle w:val="st"/>
          <w:rFonts w:cs="Tahoma"/>
          <w:szCs w:val="20"/>
          <w:lang w:val="fr-CH"/>
        </w:rPr>
        <w:t xml:space="preserve">s par les personnes suspectées d’actes terroristes sont une conséquence d’un cadre juridique </w:t>
      </w:r>
      <w:r w:rsidR="00CD5681" w:rsidRPr="00E342DC">
        <w:rPr>
          <w:rStyle w:val="st"/>
          <w:rFonts w:cs="Tahoma"/>
          <w:szCs w:val="20"/>
          <w:lang w:val="fr-CH"/>
        </w:rPr>
        <w:t xml:space="preserve">déficient en termes de garanties fondamentales </w:t>
      </w:r>
      <w:r w:rsidRPr="00E342DC">
        <w:rPr>
          <w:rStyle w:val="st"/>
          <w:rFonts w:cs="Tahoma"/>
          <w:szCs w:val="20"/>
          <w:lang w:val="fr-CH"/>
        </w:rPr>
        <w:t xml:space="preserve">et d’une persistance de pratiques héritées de l’ancien régime. </w:t>
      </w:r>
    </w:p>
    <w:p w:rsidR="001B480D" w:rsidRPr="00E342DC" w:rsidRDefault="001B480D" w:rsidP="001B480D">
      <w:pPr>
        <w:rPr>
          <w:rStyle w:val="st"/>
          <w:rFonts w:cs="Tahoma"/>
          <w:szCs w:val="20"/>
          <w:lang w:val="fr-CH"/>
        </w:rPr>
      </w:pPr>
    </w:p>
    <w:p w:rsidR="00801668" w:rsidRPr="00E342DC" w:rsidRDefault="001B480D">
      <w:pPr>
        <w:rPr>
          <w:rFonts w:cs="Tahoma"/>
          <w:szCs w:val="20"/>
          <w:lang w:val="fr-CH"/>
        </w:rPr>
      </w:pPr>
      <w:r w:rsidRPr="00E342DC">
        <w:rPr>
          <w:rStyle w:val="st"/>
          <w:rFonts w:cs="Tahoma"/>
          <w:szCs w:val="20"/>
          <w:lang w:val="fr-CH"/>
        </w:rPr>
        <w:t>Le texte en vigueur jusqu’en 2015</w:t>
      </w:r>
      <w:r w:rsidRPr="00E342DC">
        <w:rPr>
          <w:rFonts w:cs="Tahoma"/>
          <w:szCs w:val="20"/>
          <w:lang w:val="fr-CH"/>
        </w:rPr>
        <w:t xml:space="preserve"> – remplacé </w:t>
      </w:r>
      <w:r w:rsidRPr="00E342DC">
        <w:rPr>
          <w:rStyle w:val="st"/>
          <w:rFonts w:cs="Tahoma"/>
          <w:szCs w:val="20"/>
          <w:lang w:val="fr-CH"/>
        </w:rPr>
        <w:t xml:space="preserve">par la loi n° 26/2015 relative au soutien des efforts internationaux de lutte contre le </w:t>
      </w:r>
      <w:r w:rsidRPr="00E342DC">
        <w:rPr>
          <w:rStyle w:val="Emphasis"/>
          <w:rFonts w:cs="Tahoma"/>
          <w:i w:val="0"/>
          <w:iCs w:val="0"/>
          <w:szCs w:val="20"/>
          <w:lang w:val="fr-CH"/>
        </w:rPr>
        <w:t>terrorisme</w:t>
      </w:r>
      <w:r w:rsidRPr="00E342DC">
        <w:rPr>
          <w:rStyle w:val="st"/>
          <w:rFonts w:cs="Tahoma"/>
          <w:szCs w:val="20"/>
          <w:lang w:val="fr-CH"/>
        </w:rPr>
        <w:t xml:space="preserve"> et à la répression du blanchiment d'argent </w:t>
      </w:r>
      <w:r w:rsidRPr="00E342DC">
        <w:rPr>
          <w:rFonts w:cs="Tahoma"/>
          <w:szCs w:val="20"/>
          <w:lang w:val="fr-CH"/>
        </w:rPr>
        <w:t xml:space="preserve">− </w:t>
      </w:r>
      <w:r w:rsidRPr="00E342DC">
        <w:rPr>
          <w:rStyle w:val="st"/>
          <w:rFonts w:cs="Tahoma"/>
          <w:szCs w:val="20"/>
          <w:lang w:val="fr-CH"/>
        </w:rPr>
        <w:t xml:space="preserve">prévoyait une durée légale </w:t>
      </w:r>
      <w:r w:rsidR="00CD5681" w:rsidRPr="00E342DC">
        <w:rPr>
          <w:rStyle w:val="st"/>
          <w:rFonts w:cs="Tahoma"/>
          <w:szCs w:val="20"/>
          <w:lang w:val="fr-CH"/>
        </w:rPr>
        <w:t xml:space="preserve">de la garde à vue </w:t>
      </w:r>
      <w:r w:rsidRPr="00E342DC">
        <w:rPr>
          <w:rStyle w:val="st"/>
          <w:rFonts w:cs="Tahoma"/>
          <w:szCs w:val="20"/>
          <w:lang w:val="fr-CH"/>
        </w:rPr>
        <w:t xml:space="preserve">de trois jours renouvelable une fois. Le renouvellement à six jours était quasi systématique. </w:t>
      </w:r>
      <w:r w:rsidRPr="00E342DC">
        <w:rPr>
          <w:rFonts w:cs="Tahoma"/>
          <w:szCs w:val="20"/>
          <w:lang w:val="fr-CH"/>
        </w:rPr>
        <w:t xml:space="preserve">L’absence de garanties procédurales n’a pas été corrigée par la loi </w:t>
      </w:r>
      <w:r w:rsidRPr="00E342DC">
        <w:rPr>
          <w:rFonts w:cs="Tahoma"/>
          <w:szCs w:val="20"/>
          <w:lang w:val="fr-CH" w:eastAsia="fr-FR"/>
        </w:rPr>
        <w:t xml:space="preserve">n° </w:t>
      </w:r>
      <w:r w:rsidRPr="00E342DC">
        <w:rPr>
          <w:rFonts w:cs="Tahoma"/>
          <w:szCs w:val="20"/>
          <w:lang w:val="fr-CH" w:eastAsia="fr-FR"/>
        </w:rPr>
        <w:lastRenderedPageBreak/>
        <w:t xml:space="preserve">26/2015 </w:t>
      </w:r>
      <w:r w:rsidRPr="00E342DC">
        <w:rPr>
          <w:rFonts w:cs="Tahoma"/>
          <w:szCs w:val="20"/>
          <w:lang w:val="fr-CH"/>
        </w:rPr>
        <w:t xml:space="preserve">relative à la lutte contre le terrorisme et le blanchiment d’argent qui permet la détention </w:t>
      </w:r>
      <w:r w:rsidRPr="00E342DC">
        <w:rPr>
          <w:rFonts w:cs="Tahoma"/>
          <w:i/>
          <w:iCs/>
          <w:szCs w:val="20"/>
          <w:lang w:val="fr-CH"/>
        </w:rPr>
        <w:t>incommunicado</w:t>
      </w:r>
      <w:r w:rsidRPr="00E342DC">
        <w:rPr>
          <w:rFonts w:cs="Tahoma"/>
          <w:szCs w:val="20"/>
          <w:lang w:val="fr-CH"/>
        </w:rPr>
        <w:t xml:space="preserve"> de</w:t>
      </w:r>
      <w:r w:rsidR="000F6B53" w:rsidRPr="00E342DC">
        <w:rPr>
          <w:rFonts w:cs="Tahoma"/>
          <w:szCs w:val="20"/>
          <w:lang w:val="fr-CH"/>
        </w:rPr>
        <w:t>s prévenus</w:t>
      </w:r>
      <w:r w:rsidRPr="00E342DC">
        <w:rPr>
          <w:rFonts w:cs="Tahoma"/>
          <w:szCs w:val="20"/>
          <w:lang w:val="fr-CH"/>
        </w:rPr>
        <w:t xml:space="preserve">. </w:t>
      </w:r>
    </w:p>
    <w:p w:rsidR="00801668" w:rsidRPr="00E342DC" w:rsidRDefault="00801668">
      <w:pPr>
        <w:rPr>
          <w:rFonts w:cs="Tahoma"/>
          <w:szCs w:val="20"/>
          <w:lang w:val="fr-CH"/>
        </w:rPr>
      </w:pPr>
    </w:p>
    <w:p w:rsidR="00801668" w:rsidRPr="00E342DC" w:rsidRDefault="001B480D">
      <w:pPr>
        <w:rPr>
          <w:rFonts w:cs="Tahoma"/>
          <w:szCs w:val="20"/>
          <w:lang w:val="fr-CH"/>
        </w:rPr>
      </w:pPr>
      <w:r w:rsidRPr="00E342DC">
        <w:rPr>
          <w:rFonts w:cs="Tahoma"/>
          <w:szCs w:val="20"/>
          <w:lang w:val="fr-CH"/>
        </w:rPr>
        <w:t xml:space="preserve">De plus, la durée légale </w:t>
      </w:r>
      <w:r w:rsidRPr="00E342DC">
        <w:rPr>
          <w:rFonts w:cs="Tahoma"/>
          <w:szCs w:val="20"/>
          <w:lang w:val="fr-CH" w:eastAsia="fr-FR"/>
        </w:rPr>
        <w:t>de</w:t>
      </w:r>
      <w:r w:rsidR="000F6B53" w:rsidRPr="00E342DC">
        <w:rPr>
          <w:rFonts w:cs="Tahoma"/>
          <w:szCs w:val="20"/>
          <w:lang w:val="fr-CH" w:eastAsia="fr-FR"/>
        </w:rPr>
        <w:t xml:space="preserve"> la</w:t>
      </w:r>
      <w:r w:rsidRPr="00E342DC">
        <w:rPr>
          <w:rFonts w:cs="Tahoma"/>
          <w:szCs w:val="20"/>
          <w:lang w:val="fr-CH" w:eastAsia="fr-FR"/>
        </w:rPr>
        <w:t xml:space="preserve"> garde à vue a été étendue à </w:t>
      </w:r>
      <w:r w:rsidR="000F6B53" w:rsidRPr="00E342DC">
        <w:rPr>
          <w:rFonts w:cs="Tahoma"/>
          <w:szCs w:val="20"/>
          <w:lang w:val="fr-CH" w:eastAsia="fr-FR"/>
        </w:rPr>
        <w:t xml:space="preserve">cinq jours renouvelables deux fois soit </w:t>
      </w:r>
      <w:r w:rsidRPr="00E342DC">
        <w:rPr>
          <w:rFonts w:cs="Tahoma"/>
          <w:szCs w:val="20"/>
          <w:lang w:val="fr-CH" w:eastAsia="fr-FR"/>
        </w:rPr>
        <w:t xml:space="preserve">15 jours sans droit </w:t>
      </w:r>
      <w:r w:rsidR="000F6B53" w:rsidRPr="00E342DC">
        <w:rPr>
          <w:rFonts w:cs="Tahoma"/>
          <w:szCs w:val="20"/>
          <w:lang w:val="fr-CH" w:eastAsia="fr-FR"/>
        </w:rPr>
        <w:t xml:space="preserve">d’accès </w:t>
      </w:r>
      <w:r w:rsidRPr="00E342DC">
        <w:rPr>
          <w:rFonts w:cs="Tahoma"/>
          <w:szCs w:val="20"/>
          <w:lang w:val="fr-CH" w:eastAsia="fr-FR"/>
        </w:rPr>
        <w:t>à un avocat</w:t>
      </w:r>
      <w:r w:rsidRPr="00E342DC">
        <w:rPr>
          <w:rFonts w:cs="Tahoma"/>
          <w:szCs w:val="20"/>
          <w:lang w:val="fr-CH"/>
        </w:rPr>
        <w:t xml:space="preserve">. </w:t>
      </w:r>
      <w:r w:rsidR="002D4BBD" w:rsidRPr="00E342DC">
        <w:rPr>
          <w:rFonts w:cs="Tahoma"/>
          <w:szCs w:val="20"/>
          <w:lang w:val="fr-CH"/>
        </w:rPr>
        <w:t xml:space="preserve">Pour renouveler la période de garde à vue initiale de 5 jours, le procureur est censé </w:t>
      </w:r>
      <w:r w:rsidR="002D4BBD" w:rsidRPr="00E342DC">
        <w:rPr>
          <w:rFonts w:cs="Tahoma"/>
          <w:szCs w:val="20"/>
        </w:rPr>
        <w:t>motiver sa décision</w:t>
      </w:r>
      <w:r w:rsidR="000F6B53" w:rsidRPr="00E342DC">
        <w:rPr>
          <w:rFonts w:cs="Tahoma"/>
          <w:szCs w:val="20"/>
        </w:rPr>
        <w:t>, en fait et en droit</w:t>
      </w:r>
      <w:r w:rsidR="002D4BBD" w:rsidRPr="00E342DC">
        <w:rPr>
          <w:rFonts w:cs="Tahoma"/>
          <w:szCs w:val="20"/>
        </w:rPr>
        <w:t>. Dans la pratique, cette étape est une simple formalité et la garde à vue initiale est systématiquement renouvelée par le parquet à la seule demande de la brigade antiterroriste</w:t>
      </w:r>
      <w:r w:rsidR="002D4BBD" w:rsidRPr="00E342DC">
        <w:rPr>
          <w:rFonts w:cs="Tahoma"/>
          <w:szCs w:val="20"/>
          <w:lang w:val="fr-CH"/>
        </w:rPr>
        <w:t xml:space="preserve">. </w:t>
      </w:r>
      <w:r w:rsidRPr="00E342DC">
        <w:rPr>
          <w:rFonts w:cs="Tahoma"/>
          <w:szCs w:val="20"/>
          <w:lang w:val="fr-CH"/>
        </w:rPr>
        <w:t xml:space="preserve">Ce délai est particulièrement excessif selon les standards du Comité des droits de l’homme précédemment cités dans ce rapport. </w:t>
      </w:r>
    </w:p>
    <w:p w:rsidR="00801668" w:rsidRPr="00E342DC" w:rsidRDefault="00801668">
      <w:pPr>
        <w:rPr>
          <w:rStyle w:val="st"/>
          <w:rFonts w:cs="Tahoma"/>
          <w:szCs w:val="20"/>
          <w:lang w:val="fr-CH"/>
        </w:rPr>
      </w:pPr>
    </w:p>
    <w:p w:rsidR="00801668" w:rsidRPr="00E342DC" w:rsidRDefault="001B480D">
      <w:pPr>
        <w:rPr>
          <w:rStyle w:val="st"/>
          <w:rFonts w:cs="Tahoma"/>
          <w:szCs w:val="20"/>
          <w:lang w:val="fr-CH"/>
        </w:rPr>
      </w:pPr>
      <w:r w:rsidRPr="00E342DC">
        <w:rPr>
          <w:rStyle w:val="st"/>
          <w:rFonts w:cs="Tahoma"/>
          <w:szCs w:val="20"/>
          <w:lang w:val="fr-CH"/>
        </w:rPr>
        <w:t>En pratique, cette loi a permis de soustraire les prévenus à la protection de la loi</w:t>
      </w:r>
      <w:r w:rsidR="000F6B53" w:rsidRPr="00E342DC">
        <w:rPr>
          <w:rStyle w:val="st"/>
          <w:rFonts w:cs="Tahoma"/>
          <w:szCs w:val="20"/>
          <w:lang w:val="fr-CH"/>
        </w:rPr>
        <w:t xml:space="preserve">, </w:t>
      </w:r>
      <w:r w:rsidRPr="00E342DC">
        <w:rPr>
          <w:rStyle w:val="st"/>
          <w:rFonts w:cs="Tahoma"/>
          <w:szCs w:val="20"/>
          <w:lang w:val="fr-CH"/>
        </w:rPr>
        <w:t xml:space="preserve">la garde à vue </w:t>
      </w:r>
      <w:r w:rsidR="000F6B53" w:rsidRPr="00E342DC">
        <w:rPr>
          <w:rStyle w:val="st"/>
          <w:rFonts w:cs="Tahoma"/>
          <w:szCs w:val="20"/>
          <w:lang w:val="fr-CH"/>
        </w:rPr>
        <w:t>prenant</w:t>
      </w:r>
      <w:r w:rsidRPr="00E342DC">
        <w:rPr>
          <w:rStyle w:val="st"/>
          <w:rFonts w:cs="Tahoma"/>
          <w:szCs w:val="20"/>
          <w:lang w:val="fr-CH"/>
        </w:rPr>
        <w:t xml:space="preserve"> la forme d’une détention au secret. Ces insuffisances graves ont </w:t>
      </w:r>
      <w:r w:rsidR="000F6B53" w:rsidRPr="00E342DC">
        <w:rPr>
          <w:rStyle w:val="st"/>
          <w:rFonts w:cs="Tahoma"/>
          <w:szCs w:val="20"/>
          <w:lang w:val="fr-CH"/>
        </w:rPr>
        <w:t>encouragé</w:t>
      </w:r>
      <w:r w:rsidRPr="00E342DC">
        <w:rPr>
          <w:rStyle w:val="st"/>
          <w:rFonts w:cs="Tahoma"/>
          <w:szCs w:val="20"/>
          <w:lang w:val="fr-CH"/>
        </w:rPr>
        <w:t xml:space="preserve"> </w:t>
      </w:r>
      <w:r w:rsidR="000F6B53" w:rsidRPr="00E342DC">
        <w:rPr>
          <w:rStyle w:val="st"/>
          <w:rFonts w:cs="Tahoma"/>
          <w:szCs w:val="20"/>
          <w:lang w:val="fr-CH"/>
        </w:rPr>
        <w:t>la</w:t>
      </w:r>
      <w:r w:rsidRPr="00E342DC">
        <w:rPr>
          <w:rStyle w:val="st"/>
          <w:rFonts w:cs="Tahoma"/>
          <w:szCs w:val="20"/>
          <w:lang w:val="fr-CH"/>
        </w:rPr>
        <w:t xml:space="preserve"> pratique </w:t>
      </w:r>
      <w:r w:rsidR="000F6B53" w:rsidRPr="00E342DC">
        <w:rPr>
          <w:rStyle w:val="st"/>
          <w:rFonts w:cs="Tahoma"/>
          <w:szCs w:val="20"/>
          <w:lang w:val="fr-CH"/>
        </w:rPr>
        <w:t xml:space="preserve">de la torture en garde à vue, afin de contraindre </w:t>
      </w:r>
      <w:r w:rsidRPr="00E342DC">
        <w:rPr>
          <w:rStyle w:val="st"/>
          <w:rFonts w:cs="Tahoma"/>
          <w:szCs w:val="20"/>
          <w:lang w:val="fr-CH"/>
        </w:rPr>
        <w:t xml:space="preserve">les suspects </w:t>
      </w:r>
      <w:r w:rsidR="002D4BBD" w:rsidRPr="00E342DC">
        <w:rPr>
          <w:rStyle w:val="st"/>
          <w:rFonts w:cs="Tahoma"/>
          <w:szCs w:val="20"/>
          <w:lang w:val="fr-CH"/>
        </w:rPr>
        <w:t>à signer des procès verbaux</w:t>
      </w:r>
      <w:r w:rsidR="000F6B53" w:rsidRPr="00E342DC">
        <w:rPr>
          <w:rStyle w:val="st"/>
          <w:rFonts w:cs="Tahoma"/>
          <w:szCs w:val="20"/>
          <w:lang w:val="fr-CH"/>
        </w:rPr>
        <w:t xml:space="preserve"> contenant des aveux</w:t>
      </w:r>
      <w:r w:rsidR="002D4BBD" w:rsidRPr="00E342DC">
        <w:rPr>
          <w:rStyle w:val="st"/>
          <w:rFonts w:cs="Tahoma"/>
          <w:szCs w:val="20"/>
          <w:lang w:val="fr-CH"/>
        </w:rPr>
        <w:t xml:space="preserve">, </w:t>
      </w:r>
      <w:r w:rsidRPr="00E342DC">
        <w:rPr>
          <w:rStyle w:val="st"/>
          <w:rFonts w:cs="Tahoma"/>
          <w:szCs w:val="20"/>
          <w:lang w:val="fr-CH"/>
        </w:rPr>
        <w:t xml:space="preserve">sans être autorisé à en prendre connaissance au préalable. </w:t>
      </w:r>
    </w:p>
    <w:p w:rsidR="001B480D" w:rsidRPr="00E342DC" w:rsidRDefault="001B480D" w:rsidP="001B480D">
      <w:pPr>
        <w:rPr>
          <w:rStyle w:val="st"/>
          <w:rFonts w:cs="Tahoma"/>
          <w:szCs w:val="20"/>
          <w:lang w:val="fr-CH"/>
        </w:rPr>
      </w:pPr>
    </w:p>
    <w:p w:rsidR="00801668" w:rsidRPr="00E342DC" w:rsidRDefault="001B480D">
      <w:pPr>
        <w:rPr>
          <w:rFonts w:cs="Tahoma"/>
          <w:szCs w:val="20"/>
          <w:lang w:val="fr-CH"/>
        </w:rPr>
      </w:pPr>
      <w:r w:rsidRPr="00E342DC">
        <w:rPr>
          <w:rStyle w:val="st"/>
          <w:rFonts w:cs="Tahoma"/>
          <w:szCs w:val="20"/>
          <w:lang w:val="fr-CH"/>
        </w:rPr>
        <w:t xml:space="preserve">Le Rapporteur spécial sur la torture a par ailleurs </w:t>
      </w:r>
      <w:r w:rsidR="000F6B53" w:rsidRPr="00E342DC">
        <w:rPr>
          <w:rStyle w:val="st"/>
          <w:rFonts w:cs="Tahoma"/>
          <w:szCs w:val="20"/>
          <w:lang w:val="fr-CH"/>
        </w:rPr>
        <w:t xml:space="preserve">confirmé </w:t>
      </w:r>
      <w:r w:rsidR="002D4BBD" w:rsidRPr="00E342DC">
        <w:rPr>
          <w:rStyle w:val="st"/>
          <w:rFonts w:cs="Tahoma"/>
          <w:szCs w:val="20"/>
          <w:lang w:val="fr-CH"/>
        </w:rPr>
        <w:t>que</w:t>
      </w:r>
      <w:r w:rsidRPr="00E342DC">
        <w:rPr>
          <w:rStyle w:val="st"/>
          <w:rFonts w:cs="Tahoma"/>
          <w:szCs w:val="20"/>
          <w:lang w:val="fr-CH"/>
        </w:rPr>
        <w:t xml:space="preserve"> le </w:t>
      </w:r>
      <w:r w:rsidRPr="00E342DC">
        <w:rPr>
          <w:rFonts w:cs="Tahoma"/>
          <w:szCs w:val="20"/>
          <w:lang w:val="fr-CH"/>
        </w:rPr>
        <w:t>recours à la torture s’était intensifié après l’entrée en vigueur de la loi n° 75/2003 en 2004</w:t>
      </w:r>
      <w:r w:rsidRPr="00E342DC">
        <w:rPr>
          <w:rStyle w:val="FootnoteReference"/>
          <w:rFonts w:cs="Tahoma"/>
          <w:szCs w:val="20"/>
          <w:lang w:val="fr-CH"/>
        </w:rPr>
        <w:footnoteReference w:id="26"/>
      </w:r>
      <w:r w:rsidR="002E00C1">
        <w:rPr>
          <w:rFonts w:cs="Tahoma"/>
          <w:szCs w:val="20"/>
          <w:lang w:val="fr-CH"/>
        </w:rPr>
        <w:t>.</w:t>
      </w:r>
      <w:r w:rsidRPr="00E342DC">
        <w:rPr>
          <w:rFonts w:cs="Tahoma"/>
          <w:szCs w:val="20"/>
          <w:lang w:val="fr-CH"/>
        </w:rPr>
        <w:t xml:space="preserve"> Entre 2004 et 2011, les estimations du nombre de prisonniers condamnées en vertu de cette législation varient entre 2000 et 3000 selon le Comité de soutien aux prisonniers politiques</w:t>
      </w:r>
      <w:r w:rsidRPr="00E342DC">
        <w:rPr>
          <w:rStyle w:val="FootnoteReference"/>
          <w:rFonts w:cs="Tahoma"/>
          <w:szCs w:val="20"/>
          <w:lang w:val="fr-CH"/>
        </w:rPr>
        <w:footnoteReference w:id="27"/>
      </w:r>
      <w:r w:rsidRPr="00E342DC">
        <w:rPr>
          <w:rFonts w:cs="Tahoma"/>
          <w:szCs w:val="20"/>
          <w:lang w:val="fr-CH"/>
        </w:rPr>
        <w:t>.</w:t>
      </w:r>
    </w:p>
    <w:p w:rsidR="001B480D" w:rsidRPr="00E342DC" w:rsidRDefault="001B480D" w:rsidP="001B480D">
      <w:pPr>
        <w:rPr>
          <w:rFonts w:cs="Tahoma"/>
          <w:szCs w:val="20"/>
          <w:lang w:val="fr-CH"/>
        </w:rPr>
      </w:pPr>
    </w:p>
    <w:p w:rsidR="00801668" w:rsidRPr="00E342DC" w:rsidRDefault="002E6D81">
      <w:pPr>
        <w:rPr>
          <w:rFonts w:cs="Tahoma"/>
          <w:szCs w:val="20"/>
          <w:lang w:val="fr-CH"/>
        </w:rPr>
      </w:pPr>
      <w:r w:rsidRPr="00E342DC">
        <w:rPr>
          <w:rFonts w:cs="Tahoma"/>
          <w:szCs w:val="20"/>
          <w:lang w:val="fr-CH"/>
        </w:rPr>
        <w:t xml:space="preserve">Le projet de loi n° 13/2013 amendant le CPP autorise </w:t>
      </w:r>
      <w:r w:rsidR="000F6B53" w:rsidRPr="00E342DC">
        <w:rPr>
          <w:rFonts w:cs="Tahoma"/>
          <w:szCs w:val="20"/>
          <w:lang w:val="fr-CH"/>
        </w:rPr>
        <w:t>l’assistance</w:t>
      </w:r>
      <w:r w:rsidRPr="00E342DC">
        <w:rPr>
          <w:rFonts w:cs="Tahoma"/>
          <w:szCs w:val="20"/>
          <w:lang w:val="fr-CH"/>
        </w:rPr>
        <w:t xml:space="preserve"> </w:t>
      </w:r>
      <w:r w:rsidR="000F6B53" w:rsidRPr="00E342DC">
        <w:rPr>
          <w:rFonts w:cs="Tahoma"/>
          <w:szCs w:val="20"/>
          <w:lang w:val="fr-CH"/>
        </w:rPr>
        <w:t>d’un</w:t>
      </w:r>
      <w:r w:rsidRPr="00E342DC">
        <w:rPr>
          <w:rFonts w:cs="Tahoma"/>
          <w:szCs w:val="20"/>
          <w:lang w:val="fr-CH"/>
        </w:rPr>
        <w:t xml:space="preserve"> avocat </w:t>
      </w:r>
      <w:r w:rsidR="000F6B53" w:rsidRPr="00E342DC">
        <w:rPr>
          <w:rFonts w:cs="Tahoma"/>
          <w:szCs w:val="20"/>
          <w:lang w:val="fr-CH"/>
        </w:rPr>
        <w:t>après</w:t>
      </w:r>
      <w:r w:rsidRPr="00E342DC">
        <w:rPr>
          <w:rFonts w:cs="Tahoma"/>
          <w:szCs w:val="20"/>
          <w:lang w:val="fr-CH"/>
        </w:rPr>
        <w:t xml:space="preserve"> 48 heures</w:t>
      </w:r>
      <w:r w:rsidR="000F6B53" w:rsidRPr="00E342DC">
        <w:rPr>
          <w:rFonts w:cs="Tahoma"/>
          <w:szCs w:val="20"/>
          <w:lang w:val="fr-CH"/>
        </w:rPr>
        <w:t xml:space="preserve"> de garde à vue</w:t>
      </w:r>
      <w:r w:rsidRPr="00E342DC">
        <w:rPr>
          <w:rFonts w:cs="Tahoma"/>
          <w:szCs w:val="20"/>
          <w:lang w:val="fr-CH"/>
        </w:rPr>
        <w:t>.</w:t>
      </w:r>
      <w:r w:rsidR="001B480D" w:rsidRPr="00E342DC">
        <w:rPr>
          <w:rFonts w:cs="Tahoma"/>
          <w:szCs w:val="20"/>
          <w:lang w:val="fr-CH"/>
        </w:rPr>
        <w:t xml:space="preserve"> Il est donc impératif que l’État partie réduise la durée légale de garde à vue, sans distinction basée sur les infractions en cause et en la soumettant à un véritable contrôle judiciaire. De plus, l’accès à un avocat devrait être systématisé dès le début de la détention. </w:t>
      </w:r>
      <w:r w:rsidR="002D4BBD" w:rsidRPr="00E342DC">
        <w:rPr>
          <w:rFonts w:cs="Tahoma"/>
          <w:szCs w:val="20"/>
        </w:rPr>
        <w:t>Le Rapporteur spécial sur la promotion et la protection des droits de l'homme et des libertés fondamentales dans la lutte antiterroriste a indiqué dans son rapport de 2008 que « </w:t>
      </w:r>
      <w:r w:rsidR="002D4BBD" w:rsidRPr="00E342DC">
        <w:rPr>
          <w:rStyle w:val="Emphasis"/>
          <w:rFonts w:cs="Tahoma"/>
          <w:szCs w:val="20"/>
        </w:rPr>
        <w:t xml:space="preserve">Le retard ou déni d'assistance juridique pour des raisons de sécurité ne doit pas être permanent; ne doit pas entraver la capacité de la personne d'assurer sa défense ; et, dans le cas d'une personne placée en détention, ne doit pas créer une situation où cette personne est </w:t>
      </w:r>
      <w:r w:rsidRPr="00E342DC">
        <w:rPr>
          <w:rStyle w:val="Emphasis"/>
          <w:rFonts w:cs="Tahoma"/>
          <w:i w:val="0"/>
          <w:iCs w:val="0"/>
          <w:szCs w:val="20"/>
        </w:rPr>
        <w:t>de facto</w:t>
      </w:r>
      <w:r w:rsidR="002D4BBD" w:rsidRPr="00E342DC">
        <w:rPr>
          <w:rStyle w:val="Emphasis"/>
          <w:rFonts w:cs="Tahoma"/>
          <w:szCs w:val="20"/>
        </w:rPr>
        <w:t xml:space="preserve"> gardée au secret</w:t>
      </w:r>
      <w:r w:rsidR="002D4BBD" w:rsidRPr="00E342DC">
        <w:rPr>
          <w:rFonts w:cs="Tahoma"/>
          <w:szCs w:val="20"/>
        </w:rPr>
        <w:t>. »</w:t>
      </w:r>
      <w:r w:rsidR="002D4BBD" w:rsidRPr="00E342DC">
        <w:rPr>
          <w:rStyle w:val="FootnoteReference"/>
          <w:rFonts w:cs="Tahoma"/>
          <w:szCs w:val="20"/>
        </w:rPr>
        <w:footnoteReference w:id="28"/>
      </w:r>
      <w:r w:rsidR="002D4BBD" w:rsidRPr="00E342DC" w:rsidDel="00F749BD">
        <w:rPr>
          <w:rFonts w:cs="Tahoma"/>
          <w:szCs w:val="20"/>
        </w:rPr>
        <w:t xml:space="preserve"> </w:t>
      </w:r>
    </w:p>
    <w:p w:rsidR="00F16BF3" w:rsidRPr="00E342DC" w:rsidRDefault="00F16BF3" w:rsidP="00DA0ABA">
      <w:pPr>
        <w:rPr>
          <w:rFonts w:cs="Tahoma"/>
          <w:szCs w:val="20"/>
          <w:lang w:val="fr-CH"/>
        </w:rPr>
      </w:pPr>
    </w:p>
    <w:p w:rsidR="00801668" w:rsidRPr="00E342DC" w:rsidRDefault="008422A4">
      <w:pPr>
        <w:pStyle w:val="Heading2"/>
        <w:rPr>
          <w:rFonts w:cs="Tahoma"/>
          <w:szCs w:val="20"/>
          <w:lang w:val="fr-CH"/>
        </w:rPr>
      </w:pPr>
      <w:bookmarkStart w:id="18" w:name="_Toc447008726"/>
      <w:r w:rsidRPr="00E342DC">
        <w:rPr>
          <w:rFonts w:cs="Tahoma"/>
          <w:szCs w:val="20"/>
          <w:lang w:val="fr-CH"/>
        </w:rPr>
        <w:t xml:space="preserve">Persistance de la torture </w:t>
      </w:r>
      <w:r w:rsidR="00BE3B6E" w:rsidRPr="00E342DC">
        <w:rPr>
          <w:rFonts w:cs="Tahoma"/>
          <w:szCs w:val="20"/>
          <w:lang w:val="fr-CH"/>
        </w:rPr>
        <w:t>en garde à vue</w:t>
      </w:r>
      <w:r w:rsidR="000F6B53" w:rsidRPr="00E342DC">
        <w:rPr>
          <w:rFonts w:cs="Tahoma"/>
          <w:szCs w:val="20"/>
          <w:lang w:val="fr-CH"/>
        </w:rPr>
        <w:t xml:space="preserve"> dans les cas liés au contre terrorisme</w:t>
      </w:r>
      <w:bookmarkEnd w:id="18"/>
    </w:p>
    <w:p w:rsidR="009312B1" w:rsidRPr="00E342DC" w:rsidRDefault="009312B1" w:rsidP="00DA0ABA">
      <w:pPr>
        <w:rPr>
          <w:rFonts w:cs="Tahoma"/>
          <w:szCs w:val="20"/>
          <w:lang w:val="fr-CH"/>
        </w:rPr>
      </w:pPr>
    </w:p>
    <w:p w:rsidR="00801668" w:rsidRPr="00E342DC" w:rsidRDefault="00E7369A">
      <w:pPr>
        <w:pStyle w:val="Default"/>
        <w:jc w:val="both"/>
        <w:rPr>
          <w:rFonts w:ascii="Tahoma" w:hAnsi="Tahoma" w:cs="Tahoma"/>
          <w:sz w:val="20"/>
          <w:szCs w:val="20"/>
          <w:lang w:val="fr-CH"/>
        </w:rPr>
      </w:pPr>
      <w:r w:rsidRPr="00E342DC">
        <w:rPr>
          <w:rFonts w:ascii="Tahoma" w:hAnsi="Tahoma" w:cs="Tahoma"/>
          <w:sz w:val="20"/>
          <w:szCs w:val="20"/>
          <w:lang w:val="fr-CH"/>
        </w:rPr>
        <w:t>I</w:t>
      </w:r>
      <w:r w:rsidR="00D76782" w:rsidRPr="00E342DC">
        <w:rPr>
          <w:rFonts w:ascii="Tahoma" w:hAnsi="Tahoma" w:cs="Tahoma"/>
          <w:sz w:val="20"/>
          <w:szCs w:val="20"/>
          <w:lang w:val="fr-CH"/>
        </w:rPr>
        <w:t xml:space="preserve">l </w:t>
      </w:r>
      <w:r w:rsidR="000F6B53" w:rsidRPr="00E342DC">
        <w:rPr>
          <w:rFonts w:ascii="Tahoma" w:hAnsi="Tahoma" w:cs="Tahoma"/>
          <w:sz w:val="20"/>
          <w:szCs w:val="20"/>
          <w:lang w:val="fr-CH"/>
        </w:rPr>
        <w:t xml:space="preserve">résulte </w:t>
      </w:r>
      <w:r w:rsidR="00D76782" w:rsidRPr="00E342DC">
        <w:rPr>
          <w:rFonts w:ascii="Tahoma" w:hAnsi="Tahoma" w:cs="Tahoma"/>
          <w:sz w:val="20"/>
          <w:szCs w:val="20"/>
          <w:lang w:val="fr-CH"/>
        </w:rPr>
        <w:t xml:space="preserve">des témoignages reçus par Alkarama que dans des cas liés à </w:t>
      </w:r>
      <w:r w:rsidR="004C04BF" w:rsidRPr="00E342DC">
        <w:rPr>
          <w:rFonts w:ascii="Tahoma" w:hAnsi="Tahoma" w:cs="Tahoma"/>
          <w:sz w:val="20"/>
          <w:szCs w:val="20"/>
          <w:lang w:val="fr-CH"/>
        </w:rPr>
        <w:t xml:space="preserve">la lutte antiterroriste les personnes arrêtées sont </w:t>
      </w:r>
      <w:r w:rsidR="00D76782" w:rsidRPr="00E342DC">
        <w:rPr>
          <w:rFonts w:ascii="Tahoma" w:hAnsi="Tahoma" w:cs="Tahoma"/>
          <w:sz w:val="20"/>
          <w:szCs w:val="20"/>
          <w:lang w:val="fr-CH"/>
        </w:rPr>
        <w:t>systématique</w:t>
      </w:r>
      <w:r w:rsidR="0060081B" w:rsidRPr="00E342DC">
        <w:rPr>
          <w:rFonts w:ascii="Tahoma" w:hAnsi="Tahoma" w:cs="Tahoma"/>
          <w:sz w:val="20"/>
          <w:szCs w:val="20"/>
          <w:lang w:val="fr-CH"/>
        </w:rPr>
        <w:t>ment</w:t>
      </w:r>
      <w:r w:rsidR="00D76782" w:rsidRPr="00E342DC">
        <w:rPr>
          <w:rFonts w:ascii="Tahoma" w:hAnsi="Tahoma" w:cs="Tahoma"/>
          <w:sz w:val="20"/>
          <w:szCs w:val="20"/>
          <w:lang w:val="fr-CH"/>
        </w:rPr>
        <w:t xml:space="preserve"> </w:t>
      </w:r>
      <w:r w:rsidR="00563E38" w:rsidRPr="00E342DC">
        <w:rPr>
          <w:rFonts w:ascii="Tahoma" w:hAnsi="Tahoma" w:cs="Tahoma"/>
          <w:sz w:val="20"/>
          <w:szCs w:val="20"/>
          <w:lang w:val="fr-CH"/>
        </w:rPr>
        <w:t>soustrait</w:t>
      </w:r>
      <w:r w:rsidR="004C04BF" w:rsidRPr="00E342DC">
        <w:rPr>
          <w:rFonts w:ascii="Tahoma" w:hAnsi="Tahoma" w:cs="Tahoma"/>
          <w:sz w:val="20"/>
          <w:szCs w:val="20"/>
          <w:lang w:val="fr-CH"/>
        </w:rPr>
        <w:t>e</w:t>
      </w:r>
      <w:r w:rsidR="00563E38" w:rsidRPr="00E342DC">
        <w:rPr>
          <w:rFonts w:ascii="Tahoma" w:hAnsi="Tahoma" w:cs="Tahoma"/>
          <w:sz w:val="20"/>
          <w:szCs w:val="20"/>
          <w:lang w:val="fr-CH"/>
        </w:rPr>
        <w:t xml:space="preserve">s pendant la garde à vue </w:t>
      </w:r>
      <w:r w:rsidR="00491E88" w:rsidRPr="00E342DC">
        <w:rPr>
          <w:rFonts w:ascii="Tahoma" w:hAnsi="Tahoma" w:cs="Tahoma"/>
          <w:sz w:val="20"/>
          <w:szCs w:val="20"/>
          <w:lang w:val="fr-CH"/>
        </w:rPr>
        <w:t xml:space="preserve">à la protection de la loi, </w:t>
      </w:r>
      <w:r w:rsidR="004C04BF" w:rsidRPr="00E342DC">
        <w:rPr>
          <w:rFonts w:ascii="Tahoma" w:hAnsi="Tahoma" w:cs="Tahoma"/>
          <w:sz w:val="20"/>
          <w:szCs w:val="20"/>
          <w:lang w:val="fr-CH"/>
        </w:rPr>
        <w:t xml:space="preserve">et sont </w:t>
      </w:r>
      <w:r w:rsidR="00491E88" w:rsidRPr="00E342DC">
        <w:rPr>
          <w:rFonts w:ascii="Tahoma" w:hAnsi="Tahoma" w:cs="Tahoma"/>
          <w:sz w:val="20"/>
          <w:szCs w:val="20"/>
          <w:lang w:val="fr-CH"/>
        </w:rPr>
        <w:t>interdit</w:t>
      </w:r>
      <w:r w:rsidR="004C04BF" w:rsidRPr="00E342DC">
        <w:rPr>
          <w:rFonts w:ascii="Tahoma" w:hAnsi="Tahoma" w:cs="Tahoma"/>
          <w:sz w:val="20"/>
          <w:szCs w:val="20"/>
          <w:lang w:val="fr-CH"/>
        </w:rPr>
        <w:t>es</w:t>
      </w:r>
      <w:r w:rsidR="00491E88" w:rsidRPr="00E342DC">
        <w:rPr>
          <w:rFonts w:ascii="Tahoma" w:hAnsi="Tahoma" w:cs="Tahoma"/>
          <w:sz w:val="20"/>
          <w:szCs w:val="20"/>
          <w:lang w:val="fr-CH"/>
        </w:rPr>
        <w:t xml:space="preserve"> de tout contact avec l’extérieur et interrogés sans la présence d’un avocat.</w:t>
      </w:r>
      <w:r w:rsidR="00814F09" w:rsidRPr="00E342DC">
        <w:rPr>
          <w:rFonts w:ascii="Tahoma" w:hAnsi="Tahoma" w:cs="Tahoma"/>
          <w:sz w:val="20"/>
          <w:szCs w:val="20"/>
          <w:lang w:val="fr-CH"/>
        </w:rPr>
        <w:t xml:space="preserve"> </w:t>
      </w:r>
      <w:r w:rsidR="004C04BF" w:rsidRPr="00E342DC">
        <w:rPr>
          <w:rFonts w:ascii="Tahoma" w:hAnsi="Tahoma" w:cs="Tahoma"/>
          <w:sz w:val="20"/>
          <w:szCs w:val="20"/>
          <w:lang w:val="fr-CH"/>
        </w:rPr>
        <w:t>Lors de ces périodes de détention au secret</w:t>
      </w:r>
      <w:r w:rsidR="004C04BF" w:rsidRPr="00E342DC">
        <w:rPr>
          <w:rFonts w:ascii="Tahoma" w:hAnsi="Tahoma" w:cs="Tahoma"/>
          <w:i/>
          <w:iCs/>
          <w:sz w:val="20"/>
          <w:szCs w:val="20"/>
          <w:lang w:val="fr-CH"/>
        </w:rPr>
        <w:t>,</w:t>
      </w:r>
      <w:r w:rsidR="004C04BF" w:rsidRPr="00E342DC">
        <w:rPr>
          <w:rFonts w:ascii="Tahoma" w:hAnsi="Tahoma" w:cs="Tahoma"/>
          <w:sz w:val="20"/>
          <w:szCs w:val="20"/>
          <w:lang w:val="fr-CH"/>
        </w:rPr>
        <w:t xml:space="preserve"> les </w:t>
      </w:r>
      <w:r w:rsidR="00F16BF3" w:rsidRPr="00E342DC">
        <w:rPr>
          <w:rFonts w:ascii="Tahoma" w:hAnsi="Tahoma" w:cs="Tahoma"/>
          <w:sz w:val="20"/>
          <w:szCs w:val="20"/>
          <w:lang w:val="fr-CH"/>
        </w:rPr>
        <w:t>pe</w:t>
      </w:r>
      <w:r w:rsidR="006A20F0" w:rsidRPr="00E342DC">
        <w:rPr>
          <w:rFonts w:ascii="Tahoma" w:hAnsi="Tahoma" w:cs="Tahoma"/>
          <w:sz w:val="20"/>
          <w:szCs w:val="20"/>
          <w:lang w:val="fr-CH"/>
        </w:rPr>
        <w:t>rsonnes suspectées</w:t>
      </w:r>
      <w:r w:rsidR="00F16BF3" w:rsidRPr="00E342DC">
        <w:rPr>
          <w:rFonts w:ascii="Tahoma" w:hAnsi="Tahoma" w:cs="Tahoma"/>
          <w:sz w:val="20"/>
          <w:szCs w:val="20"/>
          <w:lang w:val="fr-CH"/>
        </w:rPr>
        <w:t xml:space="preserve"> de terrorisme</w:t>
      </w:r>
      <w:r w:rsidR="00491E88" w:rsidRPr="00E342DC">
        <w:rPr>
          <w:rFonts w:ascii="Tahoma" w:hAnsi="Tahoma" w:cs="Tahoma"/>
          <w:sz w:val="20"/>
          <w:szCs w:val="20"/>
          <w:lang w:val="fr-CH"/>
        </w:rPr>
        <w:t xml:space="preserve"> sont ainsi </w:t>
      </w:r>
      <w:r w:rsidR="004C04BF" w:rsidRPr="00E342DC">
        <w:rPr>
          <w:rFonts w:ascii="Tahoma" w:hAnsi="Tahoma" w:cs="Tahoma"/>
          <w:sz w:val="20"/>
          <w:szCs w:val="20"/>
          <w:lang w:val="fr-CH"/>
        </w:rPr>
        <w:t xml:space="preserve">soumises à la </w:t>
      </w:r>
      <w:r w:rsidR="00491E88" w:rsidRPr="00E342DC">
        <w:rPr>
          <w:rFonts w:ascii="Tahoma" w:hAnsi="Tahoma" w:cs="Tahoma"/>
          <w:sz w:val="20"/>
          <w:szCs w:val="20"/>
          <w:lang w:val="fr-CH"/>
        </w:rPr>
        <w:t>torture</w:t>
      </w:r>
      <w:r w:rsidR="004C04BF" w:rsidRPr="00E342DC">
        <w:rPr>
          <w:rFonts w:ascii="Tahoma" w:hAnsi="Tahoma" w:cs="Tahoma"/>
          <w:sz w:val="20"/>
          <w:szCs w:val="20"/>
          <w:lang w:val="fr-CH"/>
        </w:rPr>
        <w:t xml:space="preserve"> et à d’autres mauvais traitements. </w:t>
      </w:r>
      <w:r w:rsidR="00D0488D" w:rsidRPr="00E342DC">
        <w:rPr>
          <w:rFonts w:ascii="Tahoma" w:hAnsi="Tahoma" w:cs="Tahoma"/>
          <w:sz w:val="20"/>
          <w:szCs w:val="20"/>
          <w:lang w:val="fr-CH"/>
        </w:rPr>
        <w:t xml:space="preserve">L’objectif recherché </w:t>
      </w:r>
      <w:r w:rsidR="000F6B53" w:rsidRPr="00E342DC">
        <w:rPr>
          <w:rFonts w:ascii="Tahoma" w:hAnsi="Tahoma" w:cs="Tahoma"/>
          <w:sz w:val="20"/>
          <w:szCs w:val="20"/>
          <w:lang w:val="fr-CH"/>
        </w:rPr>
        <w:t xml:space="preserve">est </w:t>
      </w:r>
      <w:r w:rsidR="00D0488D" w:rsidRPr="00E342DC">
        <w:rPr>
          <w:rFonts w:ascii="Tahoma" w:hAnsi="Tahoma" w:cs="Tahoma"/>
          <w:sz w:val="20"/>
          <w:szCs w:val="20"/>
          <w:lang w:val="fr-CH"/>
        </w:rPr>
        <w:t xml:space="preserve">de </w:t>
      </w:r>
      <w:r w:rsidR="000F6B53" w:rsidRPr="00E342DC">
        <w:rPr>
          <w:rFonts w:ascii="Tahoma" w:hAnsi="Tahoma" w:cs="Tahoma"/>
          <w:sz w:val="20"/>
          <w:szCs w:val="20"/>
          <w:lang w:val="fr-CH"/>
        </w:rPr>
        <w:t xml:space="preserve">les </w:t>
      </w:r>
      <w:r w:rsidR="00D0488D" w:rsidRPr="00E342DC">
        <w:rPr>
          <w:rFonts w:ascii="Tahoma" w:hAnsi="Tahoma" w:cs="Tahoma"/>
          <w:sz w:val="20"/>
          <w:szCs w:val="20"/>
          <w:lang w:val="fr-CH"/>
        </w:rPr>
        <w:t xml:space="preserve">contraindre </w:t>
      </w:r>
      <w:r w:rsidR="00491E88" w:rsidRPr="00E342DC">
        <w:rPr>
          <w:rFonts w:ascii="Tahoma" w:hAnsi="Tahoma" w:cs="Tahoma"/>
          <w:sz w:val="20"/>
          <w:szCs w:val="20"/>
          <w:lang w:val="fr-CH"/>
        </w:rPr>
        <w:t>à signer des procès verbaux de police contenant des aveux sans être autorisés à en prendre connaissance ou les contester.</w:t>
      </w:r>
      <w:r w:rsidRPr="00E342DC">
        <w:rPr>
          <w:rFonts w:ascii="Tahoma" w:hAnsi="Tahoma" w:cs="Tahoma"/>
          <w:sz w:val="20"/>
          <w:szCs w:val="20"/>
          <w:lang w:val="fr-CH"/>
        </w:rPr>
        <w:t xml:space="preserve"> </w:t>
      </w:r>
    </w:p>
    <w:p w:rsidR="00F16BF3" w:rsidRPr="00E342DC" w:rsidRDefault="00F16BF3" w:rsidP="00814F09">
      <w:pPr>
        <w:pStyle w:val="Default"/>
        <w:jc w:val="both"/>
        <w:rPr>
          <w:rFonts w:ascii="Tahoma" w:hAnsi="Tahoma" w:cs="Tahoma"/>
          <w:sz w:val="20"/>
          <w:szCs w:val="20"/>
          <w:lang w:val="fr-CH"/>
        </w:rPr>
      </w:pPr>
    </w:p>
    <w:p w:rsidR="00801668" w:rsidRPr="00E342DC" w:rsidRDefault="00814F09">
      <w:pPr>
        <w:rPr>
          <w:rFonts w:cs="Tahoma"/>
          <w:szCs w:val="20"/>
          <w:lang w:val="fr-CH" w:eastAsia="fr-FR"/>
        </w:rPr>
      </w:pPr>
      <w:r w:rsidRPr="00E342DC">
        <w:rPr>
          <w:rFonts w:cs="Tahoma"/>
          <w:szCs w:val="20"/>
          <w:lang w:val="fr-CH" w:eastAsia="fr-FR"/>
        </w:rPr>
        <w:t>Le Comité avait soulevé une question sur les mesures prises par l’</w:t>
      </w:r>
      <w:r w:rsidR="0070261E" w:rsidRPr="00E342DC">
        <w:rPr>
          <w:rFonts w:cs="Tahoma"/>
          <w:szCs w:val="20"/>
          <w:lang w:val="fr-CH" w:eastAsia="fr-FR"/>
        </w:rPr>
        <w:t>État</w:t>
      </w:r>
      <w:r w:rsidRPr="00E342DC">
        <w:rPr>
          <w:rFonts w:cs="Tahoma"/>
          <w:szCs w:val="20"/>
          <w:lang w:val="fr-CH" w:eastAsia="fr-FR"/>
        </w:rPr>
        <w:t xml:space="preserve"> partie pour « Lutter contre certaines méthodes qui seraient utilisées pendant les gardes à vue telles que l’humiliation, le passage à tabac, les brûlures de cigarettes, les menaces aux familles, les violences sexuelles et l’utilisation de positions stressantes</w:t>
      </w:r>
      <w:r w:rsidRPr="00E342DC">
        <w:rPr>
          <w:rFonts w:cs="Tahoma"/>
          <w:szCs w:val="20"/>
          <w:vertAlign w:val="superscript"/>
          <w:lang w:val="fr-CH" w:eastAsia="fr-FR"/>
        </w:rPr>
        <w:footnoteReference w:id="29"/>
      </w:r>
      <w:r w:rsidRPr="00E342DC">
        <w:rPr>
          <w:rFonts w:cs="Tahoma"/>
          <w:szCs w:val="20"/>
          <w:lang w:val="fr-CH" w:eastAsia="fr-FR"/>
        </w:rPr>
        <w:t xml:space="preserve"> ». Nous notons avec </w:t>
      </w:r>
      <w:r w:rsidR="00775888" w:rsidRPr="00E342DC">
        <w:rPr>
          <w:rFonts w:cs="Tahoma"/>
          <w:szCs w:val="20"/>
          <w:lang w:val="fr-CH" w:eastAsia="fr-FR"/>
        </w:rPr>
        <w:t>préoccupation</w:t>
      </w:r>
      <w:r w:rsidRPr="00E342DC">
        <w:rPr>
          <w:rFonts w:cs="Tahoma"/>
          <w:szCs w:val="20"/>
          <w:lang w:val="fr-CH" w:eastAsia="fr-FR"/>
        </w:rPr>
        <w:t xml:space="preserve"> le déni catégorique de l’</w:t>
      </w:r>
      <w:r w:rsidR="0070261E" w:rsidRPr="00E342DC">
        <w:rPr>
          <w:rFonts w:cs="Tahoma"/>
          <w:szCs w:val="20"/>
          <w:lang w:val="fr-CH" w:eastAsia="fr-FR"/>
        </w:rPr>
        <w:t>État</w:t>
      </w:r>
      <w:r w:rsidRPr="00E342DC">
        <w:rPr>
          <w:rFonts w:cs="Tahoma"/>
          <w:szCs w:val="20"/>
          <w:lang w:val="fr-CH" w:eastAsia="fr-FR"/>
        </w:rPr>
        <w:t xml:space="preserve"> partie dans sa réponse. En effet, </w:t>
      </w:r>
      <w:r w:rsidR="007A2A8E" w:rsidRPr="00E342DC">
        <w:rPr>
          <w:rFonts w:cs="Tahoma"/>
          <w:szCs w:val="20"/>
          <w:lang w:val="fr-CH" w:eastAsia="fr-FR"/>
        </w:rPr>
        <w:t xml:space="preserve">Alkarama a soumis des cas aux procédures spéciales relatifs à des personnes (hommes et femmes) victimes </w:t>
      </w:r>
      <w:r w:rsidR="00D76782" w:rsidRPr="00E342DC">
        <w:rPr>
          <w:rFonts w:cs="Tahoma"/>
          <w:szCs w:val="20"/>
          <w:lang w:val="fr-CH" w:eastAsia="fr-FR"/>
        </w:rPr>
        <w:t xml:space="preserve">de torture </w:t>
      </w:r>
      <w:r w:rsidR="002C6C53" w:rsidRPr="00E342DC">
        <w:rPr>
          <w:rFonts w:cs="Tahoma"/>
          <w:szCs w:val="20"/>
          <w:lang w:val="fr-CH" w:eastAsia="fr-FR"/>
        </w:rPr>
        <w:t>pendant leur</w:t>
      </w:r>
      <w:r w:rsidR="00A02E87" w:rsidRPr="00E342DC">
        <w:rPr>
          <w:rFonts w:cs="Tahoma"/>
          <w:szCs w:val="20"/>
          <w:lang w:val="fr-CH" w:eastAsia="fr-FR"/>
        </w:rPr>
        <w:t xml:space="preserve"> détention au secret </w:t>
      </w:r>
      <w:r w:rsidR="00D76782" w:rsidRPr="00E342DC">
        <w:rPr>
          <w:rFonts w:cs="Tahoma"/>
          <w:szCs w:val="20"/>
          <w:lang w:val="fr-CH" w:eastAsia="fr-FR"/>
        </w:rPr>
        <w:t xml:space="preserve">dans la cadre de la lutte </w:t>
      </w:r>
      <w:r w:rsidR="00775888" w:rsidRPr="00E342DC">
        <w:rPr>
          <w:rFonts w:cs="Tahoma"/>
          <w:szCs w:val="20"/>
          <w:lang w:val="fr-CH" w:eastAsia="fr-FR"/>
        </w:rPr>
        <w:t>antiterroriste. Parmi</w:t>
      </w:r>
      <w:r w:rsidRPr="00E342DC">
        <w:rPr>
          <w:rFonts w:cs="Tahoma"/>
          <w:szCs w:val="20"/>
          <w:lang w:val="fr-CH" w:eastAsia="fr-FR"/>
        </w:rPr>
        <w:t xml:space="preserve"> les méthodes d’interrogatoires fréquemment utilisées par les brigades antiterroriste</w:t>
      </w:r>
      <w:r w:rsidR="002C6C53" w:rsidRPr="00E342DC">
        <w:rPr>
          <w:rFonts w:cs="Tahoma"/>
          <w:szCs w:val="20"/>
          <w:lang w:val="fr-CH" w:eastAsia="fr-FR"/>
        </w:rPr>
        <w:t>s</w:t>
      </w:r>
      <w:r w:rsidRPr="00E342DC">
        <w:rPr>
          <w:rFonts w:cs="Tahoma"/>
          <w:szCs w:val="20"/>
          <w:lang w:val="fr-CH" w:eastAsia="fr-FR"/>
        </w:rPr>
        <w:t>, on peut mentionner la violence physique, notamment les coups violents (y compris la falaqa, ou les coups sur la plante des pieds), l'utilisation des positions de stress (« le poulet rôti</w:t>
      </w:r>
      <w:r w:rsidRPr="00E342DC">
        <w:rPr>
          <w:rStyle w:val="FootnoteReference"/>
          <w:rFonts w:cs="Tahoma"/>
          <w:szCs w:val="20"/>
          <w:lang w:val="fr-CH" w:eastAsia="fr-FR"/>
        </w:rPr>
        <w:footnoteReference w:id="30"/>
      </w:r>
      <w:r w:rsidRPr="00E342DC">
        <w:rPr>
          <w:rFonts w:cs="Tahoma"/>
          <w:szCs w:val="20"/>
          <w:lang w:val="fr-CH" w:eastAsia="fr-FR"/>
        </w:rPr>
        <w:t xml:space="preserve"> »), </w:t>
      </w:r>
      <w:r w:rsidRPr="00E342DC">
        <w:rPr>
          <w:rFonts w:cs="Tahoma"/>
          <w:szCs w:val="20"/>
          <w:lang w:val="fr-CH" w:eastAsia="fr-FR"/>
        </w:rPr>
        <w:lastRenderedPageBreak/>
        <w:t>les brûlures de cigarettes, ainsi que les menaces de mort et de viol, y compris envers les membres des familles, ainsi que les insultes et les abus sexuels envers les victimes</w:t>
      </w:r>
      <w:r w:rsidRPr="00E342DC">
        <w:rPr>
          <w:rFonts w:cs="Tahoma"/>
          <w:szCs w:val="20"/>
          <w:vertAlign w:val="superscript"/>
        </w:rPr>
        <w:footnoteReference w:id="31"/>
      </w:r>
      <w:r w:rsidRPr="00E342DC">
        <w:rPr>
          <w:rFonts w:cs="Tahoma"/>
          <w:szCs w:val="20"/>
          <w:lang w:val="fr-CH" w:eastAsia="fr-FR"/>
        </w:rPr>
        <w:t>.</w:t>
      </w:r>
    </w:p>
    <w:p w:rsidR="007A2A8E" w:rsidRPr="00E342DC" w:rsidRDefault="007A2A8E" w:rsidP="00DA0ABA">
      <w:pPr>
        <w:rPr>
          <w:rFonts w:cs="Tahoma"/>
          <w:szCs w:val="20"/>
          <w:lang w:val="fr-CH" w:eastAsia="fr-FR"/>
        </w:rPr>
      </w:pPr>
    </w:p>
    <w:p w:rsidR="00801668" w:rsidRPr="00E342DC" w:rsidRDefault="007A2A8E">
      <w:pPr>
        <w:ind w:left="720"/>
        <w:rPr>
          <w:rFonts w:cs="Tahoma"/>
          <w:bCs/>
          <w:szCs w:val="20"/>
          <w:lang w:val="fr-CH"/>
        </w:rPr>
      </w:pPr>
      <w:r w:rsidRPr="00E342DC">
        <w:rPr>
          <w:rFonts w:cs="Tahoma"/>
          <w:szCs w:val="20"/>
          <w:lang w:val="fr-CH" w:eastAsia="fr-FR"/>
        </w:rPr>
        <w:t xml:space="preserve">Ce fut notamment le cas de </w:t>
      </w:r>
      <w:r w:rsidRPr="00E342DC">
        <w:rPr>
          <w:rFonts w:cs="Tahoma"/>
          <w:b/>
          <w:bCs/>
          <w:szCs w:val="20"/>
          <w:lang w:val="fr-CH"/>
        </w:rPr>
        <w:t>Zied Younes</w:t>
      </w:r>
      <w:r w:rsidRPr="00E342DC">
        <w:rPr>
          <w:rFonts w:cs="Tahoma"/>
          <w:szCs w:val="20"/>
          <w:lang w:val="fr-CH"/>
        </w:rPr>
        <w:t>.</w:t>
      </w:r>
      <w:r w:rsidRPr="00E342DC">
        <w:rPr>
          <w:rFonts w:cs="Tahoma"/>
          <w:szCs w:val="20"/>
          <w:lang w:val="fr-CH" w:eastAsia="fr-FR"/>
        </w:rPr>
        <w:t xml:space="preserve"> Cet </w:t>
      </w:r>
      <w:r w:rsidRPr="00E342DC">
        <w:rPr>
          <w:rFonts w:cs="Tahoma"/>
          <w:szCs w:val="20"/>
          <w:lang w:val="fr-CH"/>
        </w:rPr>
        <w:t xml:space="preserve">ingénieur de 25 ans, avait été arrêté en pleine nuit à son domicile sans mandat de justice par la </w:t>
      </w:r>
      <w:r w:rsidR="002C6C53" w:rsidRPr="00E342DC">
        <w:rPr>
          <w:rFonts w:cs="Tahoma"/>
          <w:szCs w:val="20"/>
          <w:lang w:val="fr-CH"/>
        </w:rPr>
        <w:t>b</w:t>
      </w:r>
      <w:r w:rsidRPr="00E342DC">
        <w:rPr>
          <w:rFonts w:cs="Tahoma"/>
          <w:szCs w:val="20"/>
          <w:lang w:val="fr-CH"/>
        </w:rPr>
        <w:t xml:space="preserve">rigade antiterroriste le 10 septembre 2014. </w:t>
      </w:r>
      <w:r w:rsidR="002C6C53" w:rsidRPr="00E342DC">
        <w:rPr>
          <w:rFonts w:cs="Tahoma"/>
          <w:szCs w:val="20"/>
          <w:lang w:val="fr-CH"/>
        </w:rPr>
        <w:t>Selon son témoignage, i</w:t>
      </w:r>
      <w:r w:rsidRPr="00E342DC">
        <w:rPr>
          <w:rFonts w:cs="Tahoma"/>
          <w:szCs w:val="20"/>
          <w:lang w:val="fr-CH"/>
        </w:rPr>
        <w:t xml:space="preserve">l a </w:t>
      </w:r>
      <w:r w:rsidR="002C6C53" w:rsidRPr="00E342DC">
        <w:rPr>
          <w:rFonts w:cs="Tahoma"/>
          <w:szCs w:val="20"/>
          <w:lang w:val="fr-CH"/>
        </w:rPr>
        <w:t xml:space="preserve">été </w:t>
      </w:r>
      <w:r w:rsidRPr="00E342DC">
        <w:rPr>
          <w:rFonts w:cs="Tahoma"/>
          <w:szCs w:val="20"/>
          <w:lang w:val="fr-CH"/>
        </w:rPr>
        <w:t xml:space="preserve">ensuite conduit dans les locaux des services de sécurité de Kasserine, où il a été torturé, notamment selon la technique dite du « poulet rôti » dans le but de lui faire avouer détenir des armes et préparer des attentats terroristes. </w:t>
      </w:r>
      <w:r w:rsidRPr="00E342DC">
        <w:rPr>
          <w:rFonts w:cs="Tahoma"/>
          <w:bCs/>
          <w:szCs w:val="20"/>
          <w:lang w:val="fr-CH"/>
        </w:rPr>
        <w:t xml:space="preserve">Après 24 heures de supplice, M. </w:t>
      </w:r>
      <w:r w:rsidRPr="00E342DC">
        <w:rPr>
          <w:rFonts w:cs="Tahoma"/>
          <w:szCs w:val="20"/>
          <w:lang w:val="fr-CH"/>
        </w:rPr>
        <w:t>Younes</w:t>
      </w:r>
      <w:r w:rsidRPr="00E342DC">
        <w:rPr>
          <w:rFonts w:cs="Tahoma"/>
          <w:bCs/>
          <w:szCs w:val="20"/>
          <w:lang w:val="fr-CH"/>
        </w:rPr>
        <w:t xml:space="preserve"> a été transféré vers les locaux de la Brigade antiterroriste à El Gorjani (Tunis) où il a été </w:t>
      </w:r>
      <w:r w:rsidRPr="00E342DC">
        <w:rPr>
          <w:rFonts w:cs="Tahoma"/>
          <w:bCs/>
          <w:szCs w:val="20"/>
          <w:u w:val="single"/>
          <w:lang w:val="fr-CH"/>
        </w:rPr>
        <w:t>détenu au secret pendant cinq jours</w:t>
      </w:r>
      <w:r w:rsidRPr="00E342DC">
        <w:rPr>
          <w:rFonts w:cs="Tahoma"/>
          <w:bCs/>
          <w:szCs w:val="20"/>
          <w:lang w:val="fr-CH"/>
        </w:rPr>
        <w:t xml:space="preserve"> à l’issue desquels il a été forcé de signer un document qu’il n’a pas été autorisé à lire et qui se révèlera être un procès verbal de police contenant des aveux. </w:t>
      </w:r>
    </w:p>
    <w:p w:rsidR="007A2A8E" w:rsidRPr="00E342DC" w:rsidRDefault="007A2A8E" w:rsidP="00DA0ABA">
      <w:pPr>
        <w:rPr>
          <w:rFonts w:cs="Tahoma"/>
          <w:szCs w:val="20"/>
          <w:lang w:val="fr-CH"/>
        </w:rPr>
      </w:pPr>
    </w:p>
    <w:p w:rsidR="00801668" w:rsidRPr="00E342DC" w:rsidRDefault="007A2A8E">
      <w:pPr>
        <w:ind w:left="720"/>
        <w:rPr>
          <w:rFonts w:cs="Tahoma"/>
          <w:szCs w:val="20"/>
          <w:lang w:val="fr-CH"/>
        </w:rPr>
      </w:pPr>
      <w:r w:rsidRPr="00E342DC">
        <w:rPr>
          <w:rFonts w:cs="Tahoma"/>
          <w:b/>
          <w:szCs w:val="20"/>
          <w:lang w:val="fr-CH"/>
        </w:rPr>
        <w:t>Fatma Zouaghi</w:t>
      </w:r>
      <w:r w:rsidRPr="00E342DC">
        <w:rPr>
          <w:rFonts w:cs="Tahoma"/>
          <w:bCs/>
          <w:szCs w:val="20"/>
          <w:lang w:val="fr-CH"/>
        </w:rPr>
        <w:t xml:space="preserve"> a fait l’objet du même traitement. Cette jeune femme de 20 ans au moment des faits a été </w:t>
      </w:r>
      <w:r w:rsidRPr="00E342DC">
        <w:rPr>
          <w:rFonts w:cs="Tahoma"/>
          <w:szCs w:val="20"/>
          <w:lang w:val="fr-CH"/>
        </w:rPr>
        <w:t xml:space="preserve">arrêtée le 7 octobre 2014 puis emmenée au siège de l’unité nationale d’investigation des crimes terroristes à Manouba où a débuté son interrogatoire. Dès son arrivée, </w:t>
      </w:r>
      <w:r w:rsidRPr="00E342DC">
        <w:rPr>
          <w:rFonts w:cs="Tahoma"/>
          <w:bCs/>
          <w:szCs w:val="20"/>
          <w:lang w:val="fr-CH"/>
        </w:rPr>
        <w:t xml:space="preserve">Fatma Zouaghi a été déshabillée de force, </w:t>
      </w:r>
      <w:r w:rsidRPr="00E342DC">
        <w:rPr>
          <w:rFonts w:cs="Tahoma"/>
          <w:szCs w:val="20"/>
          <w:lang w:val="fr-CH"/>
        </w:rPr>
        <w:t xml:space="preserve">battue à coups de poing, de pied et à l’aide d’un bâton, puis menacée de viol si elle n’avouait pas qu’elle était titulaire de deux comptes </w:t>
      </w:r>
      <w:r w:rsidR="002C6C53" w:rsidRPr="00E342DC">
        <w:rPr>
          <w:rFonts w:cs="Tahoma"/>
          <w:szCs w:val="20"/>
          <w:lang w:val="fr-CH"/>
        </w:rPr>
        <w:t>F</w:t>
      </w:r>
      <w:r w:rsidRPr="00E342DC">
        <w:rPr>
          <w:rFonts w:cs="Tahoma"/>
          <w:szCs w:val="20"/>
          <w:lang w:val="fr-CH"/>
        </w:rPr>
        <w:t xml:space="preserve">acebook </w:t>
      </w:r>
      <w:r w:rsidR="002C6C53" w:rsidRPr="00E342DC">
        <w:rPr>
          <w:rFonts w:cs="Tahoma"/>
          <w:szCs w:val="20"/>
          <w:lang w:val="fr-CH"/>
        </w:rPr>
        <w:t>« </w:t>
      </w:r>
      <w:r w:rsidRPr="00E342DC">
        <w:rPr>
          <w:rFonts w:cs="Tahoma"/>
          <w:szCs w:val="20"/>
          <w:lang w:val="fr-CH"/>
        </w:rPr>
        <w:t>incitant au terrorisme</w:t>
      </w:r>
      <w:r w:rsidR="002C6C53" w:rsidRPr="00E342DC">
        <w:rPr>
          <w:rFonts w:cs="Tahoma"/>
          <w:szCs w:val="20"/>
          <w:lang w:val="fr-CH"/>
        </w:rPr>
        <w:t> »</w:t>
      </w:r>
      <w:r w:rsidRPr="00E342DC">
        <w:rPr>
          <w:rFonts w:cs="Tahoma"/>
          <w:szCs w:val="20"/>
          <w:lang w:val="fr-CH"/>
        </w:rPr>
        <w:t>. La garde à vue s’est prolongée pendant six jours durant lesquels la victime a été totalement isolée du monde extérieur</w:t>
      </w:r>
      <w:r w:rsidR="00651412" w:rsidRPr="00E342DC">
        <w:rPr>
          <w:rFonts w:cs="Tahoma"/>
          <w:szCs w:val="20"/>
          <w:lang w:val="fr-CH"/>
        </w:rPr>
        <w:t xml:space="preserve"> et détenue au secret</w:t>
      </w:r>
      <w:r w:rsidRPr="00E342DC">
        <w:rPr>
          <w:rFonts w:cs="Tahoma"/>
          <w:szCs w:val="20"/>
          <w:lang w:val="fr-CH"/>
        </w:rPr>
        <w:t xml:space="preserve">. </w:t>
      </w:r>
    </w:p>
    <w:p w:rsidR="007A2A8E" w:rsidRPr="00E342DC" w:rsidRDefault="007A2A8E" w:rsidP="00DA0ABA">
      <w:pPr>
        <w:rPr>
          <w:rFonts w:cs="Tahoma"/>
          <w:szCs w:val="20"/>
          <w:lang w:val="fr-CH"/>
        </w:rPr>
      </w:pPr>
    </w:p>
    <w:p w:rsidR="00801668" w:rsidRPr="00E342DC" w:rsidRDefault="007A2A8E">
      <w:pPr>
        <w:ind w:left="720"/>
        <w:rPr>
          <w:rFonts w:cs="Tahoma"/>
          <w:bCs/>
          <w:szCs w:val="20"/>
          <w:lang w:val="fr-CH"/>
        </w:rPr>
      </w:pPr>
      <w:r w:rsidRPr="00E342DC">
        <w:rPr>
          <w:rFonts w:cs="Tahoma"/>
          <w:bCs/>
          <w:szCs w:val="20"/>
          <w:lang w:val="fr-CH"/>
        </w:rPr>
        <w:t xml:space="preserve">Le 19 décembre 2014, Alkarama a également saisi les procédures spéciales de </w:t>
      </w:r>
      <w:r w:rsidRPr="00E342DC">
        <w:rPr>
          <w:rFonts w:cs="Tahoma"/>
          <w:szCs w:val="20"/>
          <w:lang w:val="fr-CH"/>
        </w:rPr>
        <w:t xml:space="preserve">la situation de </w:t>
      </w:r>
      <w:r w:rsidRPr="00E342DC">
        <w:rPr>
          <w:rFonts w:cs="Tahoma"/>
          <w:b/>
          <w:szCs w:val="20"/>
          <w:lang w:val="fr-CH"/>
        </w:rPr>
        <w:t>Mohammed Ennaceur</w:t>
      </w:r>
      <w:r w:rsidRPr="00E342DC">
        <w:rPr>
          <w:rFonts w:cs="Tahoma"/>
          <w:bCs/>
          <w:szCs w:val="20"/>
          <w:lang w:val="fr-CH"/>
        </w:rPr>
        <w:t xml:space="preserve"> </w:t>
      </w:r>
      <w:r w:rsidRPr="00E342DC">
        <w:rPr>
          <w:rFonts w:cs="Tahoma"/>
          <w:b/>
          <w:szCs w:val="20"/>
          <w:lang w:val="fr-CH"/>
        </w:rPr>
        <w:t>Al Ferchichi</w:t>
      </w:r>
      <w:r w:rsidRPr="00E342DC">
        <w:rPr>
          <w:rFonts w:cs="Tahoma"/>
          <w:bCs/>
          <w:szCs w:val="20"/>
          <w:lang w:val="fr-CH"/>
        </w:rPr>
        <w:t>. Arrêté le 30 octobre 2014, ce dernier avait été conduit au siège de l’unité nationale d’enquête sur les crimes antiterroristes d’El Gorjani et a rapporté avoir été violemment torturé dans le but de lui extraire des aveux. Après six jours de détention au secret, la victime, épuisée par la torture, a finalement été forcée à signer un procès verbal sans pouvoir le lire.</w:t>
      </w:r>
    </w:p>
    <w:p w:rsidR="00541815" w:rsidRPr="00E342DC" w:rsidRDefault="00541815" w:rsidP="00DA0ABA">
      <w:pPr>
        <w:rPr>
          <w:rFonts w:cs="Tahoma"/>
          <w:szCs w:val="20"/>
          <w:lang w:val="fr-CH" w:eastAsia="fr-FR"/>
        </w:rPr>
      </w:pPr>
    </w:p>
    <w:p w:rsidR="00765D10" w:rsidRPr="00E342DC" w:rsidRDefault="00765D10" w:rsidP="00765D10">
      <w:pPr>
        <w:pStyle w:val="Heading2"/>
        <w:rPr>
          <w:rFonts w:cs="Tahoma"/>
          <w:szCs w:val="20"/>
          <w:lang w:val="fr-CH"/>
        </w:rPr>
      </w:pPr>
      <w:bookmarkStart w:id="19" w:name="_Toc447008727"/>
      <w:r w:rsidRPr="00E342DC">
        <w:rPr>
          <w:rFonts w:cs="Tahoma"/>
          <w:szCs w:val="20"/>
          <w:lang w:val="fr-CH"/>
        </w:rPr>
        <w:t>Pratique de la détention au secret</w:t>
      </w:r>
      <w:bookmarkEnd w:id="19"/>
      <w:r w:rsidRPr="00E342DC">
        <w:rPr>
          <w:rFonts w:cs="Tahoma"/>
          <w:szCs w:val="20"/>
          <w:lang w:val="fr-CH"/>
        </w:rPr>
        <w:t xml:space="preserve"> </w:t>
      </w:r>
    </w:p>
    <w:p w:rsidR="00765D10" w:rsidRPr="00E342DC" w:rsidRDefault="00765D10" w:rsidP="00765D10">
      <w:pPr>
        <w:rPr>
          <w:rFonts w:cs="Tahoma"/>
          <w:szCs w:val="20"/>
          <w:lang w:val="fr-CH" w:eastAsia="fr-FR"/>
        </w:rPr>
      </w:pPr>
    </w:p>
    <w:p w:rsidR="00801668" w:rsidRPr="00E342DC" w:rsidRDefault="002C6C53">
      <w:pPr>
        <w:rPr>
          <w:rStyle w:val="st"/>
          <w:rFonts w:cs="Tahoma"/>
          <w:szCs w:val="20"/>
          <w:lang w:val="fr-CH"/>
        </w:rPr>
      </w:pPr>
      <w:r w:rsidRPr="00E342DC">
        <w:rPr>
          <w:rFonts w:cs="Tahoma"/>
          <w:szCs w:val="20"/>
          <w:lang w:val="fr-CH"/>
        </w:rPr>
        <w:t>En plus de l</w:t>
      </w:r>
      <w:r w:rsidR="002D4BBD" w:rsidRPr="00E342DC">
        <w:rPr>
          <w:rFonts w:cs="Tahoma"/>
          <w:szCs w:val="20"/>
          <w:lang w:val="fr-CH"/>
        </w:rPr>
        <w:t>’interdiction absolue de la torture et des traitements cruels, inhumains ou dégradants, l’État partie est tenu de prendre des mesures contre la détention au secret, telles que l’enregistrement des détenus, l’accès à un avocat et la notification immédiate de l’arrestation aux membres de la famille. Toute carence au niveau de ces obligations positives peut engager la responsabilité de l’État de même que le simple fait de tolérer la pratique de la détention au secret. La loi antiterroriste n° 26/2015 remplaçant la loi de 2003 n° 75/2003 est dépourvue en l’espèce de ces garanties procédurales</w:t>
      </w:r>
      <w:r w:rsidRPr="00E342DC">
        <w:rPr>
          <w:rFonts w:cs="Tahoma"/>
          <w:szCs w:val="20"/>
          <w:lang w:val="fr-CH"/>
        </w:rPr>
        <w:t>.</w:t>
      </w:r>
    </w:p>
    <w:p w:rsidR="002D4BBD" w:rsidRPr="00E342DC" w:rsidRDefault="002D4BBD" w:rsidP="002D4BBD">
      <w:pPr>
        <w:rPr>
          <w:rStyle w:val="st"/>
          <w:rFonts w:cs="Tahoma"/>
          <w:szCs w:val="20"/>
          <w:lang w:val="fr-CH"/>
        </w:rPr>
      </w:pPr>
    </w:p>
    <w:p w:rsidR="00801668" w:rsidRPr="00E342DC" w:rsidRDefault="00765D10">
      <w:pPr>
        <w:rPr>
          <w:rFonts w:cs="Tahoma"/>
          <w:szCs w:val="20"/>
          <w:lang w:val="fr-CH" w:eastAsia="fr-FR"/>
        </w:rPr>
      </w:pPr>
      <w:r w:rsidRPr="00E342DC">
        <w:rPr>
          <w:rFonts w:cs="Tahoma"/>
          <w:szCs w:val="20"/>
          <w:lang w:val="fr-CH" w:eastAsia="fr-FR"/>
        </w:rPr>
        <w:t xml:space="preserve">Dans l’ensemble des cas documentés par Alkarama où des actes de torture ont été perpétrés contre la personne en </w:t>
      </w:r>
      <w:r w:rsidR="002C6C53" w:rsidRPr="00E342DC">
        <w:rPr>
          <w:rFonts w:cs="Tahoma"/>
          <w:szCs w:val="20"/>
          <w:lang w:val="fr-CH" w:eastAsia="fr-FR"/>
        </w:rPr>
        <w:t>garde à vue</w:t>
      </w:r>
      <w:r w:rsidRPr="00E342DC">
        <w:rPr>
          <w:rFonts w:cs="Tahoma"/>
          <w:szCs w:val="20"/>
          <w:lang w:val="fr-CH" w:eastAsia="fr-FR"/>
        </w:rPr>
        <w:t>, cette dernière était placée hors de la protection de la loi et détenue au secret.</w:t>
      </w:r>
      <w:r w:rsidR="00775888" w:rsidRPr="00E342DC">
        <w:rPr>
          <w:rFonts w:cs="Tahoma"/>
          <w:szCs w:val="20"/>
          <w:lang w:val="fr-CH" w:eastAsia="fr-FR"/>
        </w:rPr>
        <w:t xml:space="preserve"> Lorsque les familles se rendent auprès des autorités qui ont procédé à l’arrestation de leur proche</w:t>
      </w:r>
      <w:r w:rsidR="002C6C53" w:rsidRPr="00E342DC">
        <w:rPr>
          <w:rFonts w:cs="Tahoma"/>
          <w:szCs w:val="20"/>
          <w:lang w:val="fr-CH" w:eastAsia="fr-FR"/>
        </w:rPr>
        <w:t xml:space="preserve">, </w:t>
      </w:r>
      <w:r w:rsidR="00775888" w:rsidRPr="00E342DC">
        <w:rPr>
          <w:rFonts w:cs="Tahoma"/>
          <w:szCs w:val="20"/>
          <w:lang w:val="fr-CH" w:eastAsia="fr-FR"/>
        </w:rPr>
        <w:t>ces der</w:t>
      </w:r>
      <w:r w:rsidR="00651412" w:rsidRPr="00E342DC">
        <w:rPr>
          <w:rFonts w:cs="Tahoma"/>
          <w:szCs w:val="20"/>
          <w:lang w:val="fr-CH" w:eastAsia="fr-FR"/>
        </w:rPr>
        <w:t xml:space="preserve">niers </w:t>
      </w:r>
      <w:r w:rsidR="00ED73C3" w:rsidRPr="00E342DC">
        <w:rPr>
          <w:rFonts w:cs="Tahoma"/>
          <w:szCs w:val="20"/>
          <w:lang w:val="fr-CH" w:eastAsia="fr-FR"/>
        </w:rPr>
        <w:t>opposent un déni à</w:t>
      </w:r>
      <w:r w:rsidR="00651412" w:rsidRPr="00E342DC">
        <w:rPr>
          <w:rFonts w:cs="Tahoma"/>
          <w:szCs w:val="20"/>
          <w:lang w:val="fr-CH" w:eastAsia="fr-FR"/>
        </w:rPr>
        <w:t xml:space="preserve"> son arrestation et sa</w:t>
      </w:r>
      <w:r w:rsidR="00775888" w:rsidRPr="00E342DC">
        <w:rPr>
          <w:rFonts w:cs="Tahoma"/>
          <w:szCs w:val="20"/>
          <w:lang w:val="fr-CH" w:eastAsia="fr-FR"/>
        </w:rPr>
        <w:t xml:space="preserve"> détention </w:t>
      </w:r>
      <w:r w:rsidR="00ED73C3" w:rsidRPr="00E342DC">
        <w:rPr>
          <w:rFonts w:cs="Tahoma"/>
          <w:szCs w:val="20"/>
          <w:lang w:val="fr-CH" w:eastAsia="fr-FR"/>
        </w:rPr>
        <w:t>et</w:t>
      </w:r>
      <w:r w:rsidR="00775888" w:rsidRPr="00E342DC">
        <w:rPr>
          <w:rFonts w:cs="Tahoma"/>
          <w:szCs w:val="20"/>
          <w:lang w:val="fr-CH" w:eastAsia="fr-FR"/>
        </w:rPr>
        <w:t xml:space="preserve"> </w:t>
      </w:r>
      <w:r w:rsidR="00ED73C3" w:rsidRPr="00E342DC">
        <w:rPr>
          <w:rFonts w:cs="Tahoma"/>
          <w:szCs w:val="20"/>
          <w:lang w:val="fr-CH" w:eastAsia="fr-FR"/>
        </w:rPr>
        <w:t xml:space="preserve">refusent de </w:t>
      </w:r>
      <w:r w:rsidR="00775888" w:rsidRPr="00E342DC">
        <w:rPr>
          <w:rFonts w:cs="Tahoma"/>
          <w:szCs w:val="20"/>
          <w:lang w:val="fr-CH" w:eastAsia="fr-FR"/>
        </w:rPr>
        <w:t>donne</w:t>
      </w:r>
      <w:r w:rsidR="00ED73C3" w:rsidRPr="00E342DC">
        <w:rPr>
          <w:rFonts w:cs="Tahoma"/>
          <w:szCs w:val="20"/>
          <w:lang w:val="fr-CH" w:eastAsia="fr-FR"/>
        </w:rPr>
        <w:t>r</w:t>
      </w:r>
      <w:r w:rsidR="00775888" w:rsidRPr="00E342DC">
        <w:rPr>
          <w:rFonts w:cs="Tahoma"/>
          <w:szCs w:val="20"/>
          <w:lang w:val="fr-CH" w:eastAsia="fr-FR"/>
        </w:rPr>
        <w:t xml:space="preserve"> </w:t>
      </w:r>
      <w:r w:rsidR="00ED73C3" w:rsidRPr="00E342DC">
        <w:rPr>
          <w:rFonts w:cs="Tahoma"/>
          <w:szCs w:val="20"/>
          <w:lang w:val="fr-CH" w:eastAsia="fr-FR"/>
        </w:rPr>
        <w:t xml:space="preserve">des </w:t>
      </w:r>
      <w:r w:rsidR="00775888" w:rsidRPr="00E342DC">
        <w:rPr>
          <w:rFonts w:cs="Tahoma"/>
          <w:szCs w:val="20"/>
          <w:lang w:val="fr-CH" w:eastAsia="fr-FR"/>
        </w:rPr>
        <w:t>information</w:t>
      </w:r>
      <w:r w:rsidR="00ED73C3" w:rsidRPr="00E342DC">
        <w:rPr>
          <w:rFonts w:cs="Tahoma"/>
          <w:szCs w:val="20"/>
          <w:lang w:val="fr-CH" w:eastAsia="fr-FR"/>
        </w:rPr>
        <w:t>s</w:t>
      </w:r>
      <w:r w:rsidR="00775888" w:rsidRPr="00E342DC">
        <w:rPr>
          <w:rFonts w:cs="Tahoma"/>
          <w:szCs w:val="20"/>
          <w:lang w:val="fr-CH" w:eastAsia="fr-FR"/>
        </w:rPr>
        <w:t xml:space="preserve"> aux </w:t>
      </w:r>
      <w:r w:rsidR="00651412" w:rsidRPr="00E342DC">
        <w:rPr>
          <w:rFonts w:cs="Tahoma"/>
          <w:szCs w:val="20"/>
          <w:lang w:val="fr-CH" w:eastAsia="fr-FR"/>
        </w:rPr>
        <w:t>familles sur son sort et son</w:t>
      </w:r>
      <w:r w:rsidR="00775888" w:rsidRPr="00E342DC">
        <w:rPr>
          <w:rFonts w:cs="Tahoma"/>
          <w:szCs w:val="20"/>
          <w:lang w:val="fr-CH" w:eastAsia="fr-FR"/>
        </w:rPr>
        <w:t xml:space="preserve"> lieu de détention</w:t>
      </w:r>
      <w:r w:rsidR="00651412" w:rsidRPr="00E342DC">
        <w:rPr>
          <w:rFonts w:cs="Tahoma"/>
          <w:szCs w:val="20"/>
          <w:lang w:val="fr-CH" w:eastAsia="fr-FR"/>
        </w:rPr>
        <w:t xml:space="preserve">. Ce </w:t>
      </w:r>
      <w:r w:rsidR="00ED73C3" w:rsidRPr="00E342DC">
        <w:rPr>
          <w:rFonts w:cs="Tahoma"/>
          <w:szCs w:val="20"/>
          <w:lang w:val="fr-CH" w:eastAsia="fr-FR"/>
        </w:rPr>
        <w:t xml:space="preserve">déni persiste </w:t>
      </w:r>
      <w:r w:rsidR="00651412" w:rsidRPr="00E342DC">
        <w:rPr>
          <w:rFonts w:cs="Tahoma"/>
          <w:szCs w:val="20"/>
          <w:lang w:val="fr-CH" w:eastAsia="fr-FR"/>
        </w:rPr>
        <w:t>dur</w:t>
      </w:r>
      <w:r w:rsidR="00ED73C3" w:rsidRPr="00E342DC">
        <w:rPr>
          <w:rFonts w:cs="Tahoma"/>
          <w:szCs w:val="20"/>
          <w:lang w:val="fr-CH" w:eastAsia="fr-FR"/>
        </w:rPr>
        <w:t xml:space="preserve">ant toute la période de </w:t>
      </w:r>
      <w:r w:rsidR="00651412" w:rsidRPr="00E342DC">
        <w:rPr>
          <w:rFonts w:cs="Tahoma"/>
          <w:szCs w:val="20"/>
          <w:lang w:val="fr-CH" w:eastAsia="fr-FR"/>
        </w:rPr>
        <w:t>la garde à vue,</w:t>
      </w:r>
      <w:r w:rsidR="00ED73C3" w:rsidRPr="00E342DC">
        <w:rPr>
          <w:rFonts w:cs="Tahoma"/>
          <w:szCs w:val="20"/>
          <w:lang w:val="fr-CH" w:eastAsia="fr-FR"/>
        </w:rPr>
        <w:t xml:space="preserve"> à l’issue de laquelle</w:t>
      </w:r>
      <w:r w:rsidR="00651412" w:rsidRPr="00E342DC">
        <w:rPr>
          <w:rFonts w:cs="Tahoma"/>
          <w:szCs w:val="20"/>
          <w:lang w:val="fr-CH" w:eastAsia="fr-FR"/>
        </w:rPr>
        <w:t xml:space="preserve"> l</w:t>
      </w:r>
      <w:r w:rsidR="00ED73C3" w:rsidRPr="00E342DC">
        <w:rPr>
          <w:rFonts w:cs="Tahoma"/>
          <w:szCs w:val="20"/>
          <w:lang w:val="fr-CH" w:eastAsia="fr-FR"/>
        </w:rPr>
        <w:t>e prévenu</w:t>
      </w:r>
      <w:r w:rsidR="00651412" w:rsidRPr="00E342DC">
        <w:rPr>
          <w:rFonts w:cs="Tahoma"/>
          <w:szCs w:val="20"/>
          <w:lang w:val="fr-CH" w:eastAsia="fr-FR"/>
        </w:rPr>
        <w:t xml:space="preserve"> « réapparai</w:t>
      </w:r>
      <w:r w:rsidR="00ED73C3" w:rsidRPr="00E342DC">
        <w:rPr>
          <w:rFonts w:cs="Tahoma"/>
          <w:szCs w:val="20"/>
          <w:lang w:val="fr-CH" w:eastAsia="fr-FR"/>
        </w:rPr>
        <w:t>t</w:t>
      </w:r>
      <w:r w:rsidR="00651412" w:rsidRPr="00E342DC">
        <w:rPr>
          <w:rFonts w:cs="Tahoma"/>
          <w:szCs w:val="20"/>
          <w:lang w:val="fr-CH" w:eastAsia="fr-FR"/>
        </w:rPr>
        <w:t xml:space="preserve"> », portant les traces de la torture subie afin d’obtenir des aveux. Les cas cités dans la section précédente suivent </w:t>
      </w:r>
      <w:r w:rsidR="00ED73C3" w:rsidRPr="00E342DC">
        <w:rPr>
          <w:rFonts w:cs="Tahoma"/>
          <w:szCs w:val="20"/>
          <w:lang w:val="fr-CH" w:eastAsia="fr-FR"/>
        </w:rPr>
        <w:t>le même</w:t>
      </w:r>
      <w:r w:rsidR="00651412" w:rsidRPr="00E342DC">
        <w:rPr>
          <w:rFonts w:cs="Tahoma"/>
          <w:szCs w:val="20"/>
          <w:lang w:val="fr-CH" w:eastAsia="fr-FR"/>
        </w:rPr>
        <w:t xml:space="preserve"> </w:t>
      </w:r>
      <w:r w:rsidR="00651412" w:rsidRPr="00E342DC">
        <w:rPr>
          <w:rFonts w:cs="Tahoma"/>
          <w:i/>
          <w:iCs/>
          <w:szCs w:val="20"/>
          <w:lang w:val="fr-CH" w:eastAsia="fr-FR"/>
        </w:rPr>
        <w:t>modus operandi</w:t>
      </w:r>
      <w:r w:rsidR="00ED73C3" w:rsidRPr="00E342DC">
        <w:rPr>
          <w:rFonts w:cs="Tahoma"/>
          <w:szCs w:val="20"/>
          <w:lang w:val="fr-CH" w:eastAsia="fr-FR"/>
        </w:rPr>
        <w:t xml:space="preserve"> que d’autres cas illustrent.</w:t>
      </w:r>
      <w:r w:rsidR="00BF513F">
        <w:rPr>
          <w:rFonts w:cs="Tahoma"/>
          <w:szCs w:val="20"/>
          <w:lang w:val="fr-CH" w:eastAsia="fr-FR"/>
        </w:rPr>
        <w:t xml:space="preserve"> </w:t>
      </w:r>
      <w:r w:rsidR="00651412" w:rsidRPr="00E342DC">
        <w:rPr>
          <w:rFonts w:cs="Tahoma"/>
          <w:szCs w:val="20"/>
          <w:lang w:val="fr-CH" w:eastAsia="fr-FR"/>
        </w:rPr>
        <w:t xml:space="preserve"> </w:t>
      </w:r>
    </w:p>
    <w:p w:rsidR="002C6C53" w:rsidRPr="00E342DC" w:rsidRDefault="002C6C53" w:rsidP="002D4BBD">
      <w:pPr>
        <w:rPr>
          <w:rFonts w:cs="Tahoma"/>
          <w:szCs w:val="20"/>
          <w:lang w:val="fr-CH" w:eastAsia="fr-FR"/>
        </w:rPr>
      </w:pPr>
    </w:p>
    <w:p w:rsidR="00801668" w:rsidRPr="00E342DC" w:rsidRDefault="00ED73C3">
      <w:pPr>
        <w:ind w:left="720"/>
        <w:rPr>
          <w:rFonts w:cs="Tahoma"/>
          <w:szCs w:val="20"/>
          <w:lang w:val="fr-CH"/>
        </w:rPr>
      </w:pPr>
      <w:r w:rsidRPr="00E342DC">
        <w:rPr>
          <w:rFonts w:cs="Tahoma"/>
          <w:bCs/>
          <w:szCs w:val="20"/>
          <w:lang w:val="fr-CH"/>
        </w:rPr>
        <w:t xml:space="preserve">Ainsi </w:t>
      </w:r>
      <w:r w:rsidR="002C6C53" w:rsidRPr="00E342DC">
        <w:rPr>
          <w:rFonts w:cs="Tahoma"/>
          <w:bCs/>
          <w:szCs w:val="20"/>
          <w:lang w:val="fr-CH"/>
        </w:rPr>
        <w:t xml:space="preserve">Alkarama a également saisi le 3 décembre 2014 et le 5 janvier 2015 le Rapporteur spécial sur la promotion et la protection des droits de l’homme et des libertés fondamentales dans la lutte antiterroriste, pour </w:t>
      </w:r>
      <w:r w:rsidRPr="00E342DC">
        <w:rPr>
          <w:rFonts w:cs="Tahoma"/>
          <w:bCs/>
          <w:szCs w:val="20"/>
          <w:lang w:val="fr-CH"/>
        </w:rPr>
        <w:t>porter à son attention les</w:t>
      </w:r>
      <w:r w:rsidR="002C6C53" w:rsidRPr="00E342DC">
        <w:rPr>
          <w:rFonts w:cs="Tahoma"/>
          <w:bCs/>
          <w:szCs w:val="20"/>
          <w:lang w:val="fr-CH"/>
        </w:rPr>
        <w:t xml:space="preserve"> cas de </w:t>
      </w:r>
      <w:r w:rsidR="002C6C53" w:rsidRPr="00E342DC">
        <w:rPr>
          <w:rFonts w:cs="Tahoma"/>
          <w:b/>
          <w:szCs w:val="20"/>
          <w:lang w:val="fr-CH"/>
        </w:rPr>
        <w:t>Radhouane Gharsallaoui</w:t>
      </w:r>
      <w:r w:rsidR="002C6C53" w:rsidRPr="00E342DC">
        <w:rPr>
          <w:rFonts w:cs="Tahoma"/>
          <w:bCs/>
          <w:szCs w:val="20"/>
          <w:lang w:val="fr-CH"/>
        </w:rPr>
        <w:t xml:space="preserve"> et de </w:t>
      </w:r>
      <w:r w:rsidR="002C6C53" w:rsidRPr="00E342DC">
        <w:rPr>
          <w:rFonts w:cs="Tahoma"/>
          <w:b/>
          <w:szCs w:val="20"/>
          <w:lang w:val="fr-CH"/>
        </w:rPr>
        <w:t>Hanene Chaouch</w:t>
      </w:r>
      <w:r w:rsidR="002C6C53" w:rsidRPr="00E342DC">
        <w:rPr>
          <w:rFonts w:cs="Tahoma"/>
          <w:bCs/>
          <w:szCs w:val="20"/>
          <w:lang w:val="fr-CH"/>
        </w:rPr>
        <w:t xml:space="preserve">. Le premier a été arrêté le 30 novembre 2014 par la brigade antiterroriste à son domicile et emmené </w:t>
      </w:r>
      <w:r w:rsidRPr="00E342DC">
        <w:rPr>
          <w:rFonts w:cs="Tahoma"/>
          <w:bCs/>
          <w:szCs w:val="20"/>
          <w:lang w:val="fr-CH"/>
        </w:rPr>
        <w:t>d</w:t>
      </w:r>
      <w:r w:rsidR="002C6C53" w:rsidRPr="00E342DC">
        <w:rPr>
          <w:rFonts w:cs="Tahoma"/>
          <w:bCs/>
          <w:szCs w:val="20"/>
          <w:lang w:val="fr-CH"/>
        </w:rPr>
        <w:t xml:space="preserve">ans un lieu de détention inconnu. En dépit de nombreuses démarches, la famille de la victime a été maintenue dans l’ignorance quant au lieu de sa détention et les véritables raisons de son arrestation. </w:t>
      </w:r>
      <w:r w:rsidR="002C6C53" w:rsidRPr="00E342DC">
        <w:rPr>
          <w:rFonts w:cs="Tahoma"/>
          <w:b/>
          <w:szCs w:val="20"/>
          <w:lang w:val="fr-CH"/>
        </w:rPr>
        <w:t>Hanene Chaouch</w:t>
      </w:r>
      <w:r w:rsidR="002C6C53" w:rsidRPr="00E342DC">
        <w:rPr>
          <w:rFonts w:cs="Tahoma"/>
          <w:bCs/>
          <w:szCs w:val="20"/>
          <w:lang w:val="fr-CH"/>
        </w:rPr>
        <w:t xml:space="preserve">, </w:t>
      </w:r>
      <w:r w:rsidR="002C6C53" w:rsidRPr="00E342DC">
        <w:rPr>
          <w:rFonts w:cs="Tahoma"/>
          <w:szCs w:val="20"/>
          <w:lang w:val="fr-CH"/>
        </w:rPr>
        <w:t xml:space="preserve">accusée de </w:t>
      </w:r>
      <w:r w:rsidR="002C6C53" w:rsidRPr="00E342DC">
        <w:rPr>
          <w:rFonts w:cs="Tahoma"/>
          <w:bCs/>
          <w:color w:val="000000" w:themeColor="text1"/>
          <w:szCs w:val="20"/>
          <w:lang w:val="fr-CH"/>
        </w:rPr>
        <w:t xml:space="preserve">« non dénonciation d’activités terroristes », </w:t>
      </w:r>
      <w:r w:rsidR="002C6C53" w:rsidRPr="00E342DC">
        <w:rPr>
          <w:rFonts w:cs="Tahoma"/>
          <w:szCs w:val="20"/>
          <w:lang w:val="fr-CH"/>
        </w:rPr>
        <w:t xml:space="preserve">a quant à elle été arrêtée sans mandat de justice et détenue au secret pendant 6 jours ; victime de tortures et de mauvais traitements, </w:t>
      </w:r>
      <w:r w:rsidR="002C6C53" w:rsidRPr="00E342DC">
        <w:rPr>
          <w:rFonts w:cs="Tahoma"/>
          <w:szCs w:val="20"/>
          <w:lang w:val="fr-CH"/>
        </w:rPr>
        <w:lastRenderedPageBreak/>
        <w:t xml:space="preserve">sa famille n’a pas été informée de son lieu de détention malgré les nombreuses démarches entreprises en ce sens. </w:t>
      </w:r>
    </w:p>
    <w:p w:rsidR="00775888" w:rsidRPr="00E342DC" w:rsidRDefault="00775888" w:rsidP="00775888">
      <w:pPr>
        <w:rPr>
          <w:rFonts w:cs="Tahoma"/>
          <w:szCs w:val="20"/>
          <w:lang w:val="fr-CH" w:eastAsia="fr-FR"/>
        </w:rPr>
      </w:pPr>
    </w:p>
    <w:p w:rsidR="00801668" w:rsidRPr="00E342DC" w:rsidRDefault="00765D10">
      <w:pPr>
        <w:rPr>
          <w:rFonts w:cs="Tahoma"/>
          <w:szCs w:val="20"/>
          <w:lang w:val="fr-CH"/>
        </w:rPr>
      </w:pPr>
      <w:r w:rsidRPr="00E342DC">
        <w:rPr>
          <w:rFonts w:cs="Tahoma"/>
          <w:szCs w:val="20"/>
          <w:lang w:val="fr-CH" w:eastAsia="fr-FR"/>
        </w:rPr>
        <w:t xml:space="preserve">Or la </w:t>
      </w:r>
      <w:r w:rsidRPr="00E342DC">
        <w:rPr>
          <w:rFonts w:cs="Tahoma"/>
          <w:szCs w:val="20"/>
          <w:lang w:val="fr-CH"/>
        </w:rPr>
        <w:t xml:space="preserve">détention au secret telle que subie par les victimes citées ci-dessus constitue une forme de disparition forcée et contribue directement à la perpétration des actes de torture en soustrayant le détenu à la protection de la loi, durant toute la durée de leur garde à vue. Cette pratique est une conséquence des dispositions de la loi antiterroriste de 2015 </w:t>
      </w:r>
      <w:r w:rsidR="00775888" w:rsidRPr="00E342DC">
        <w:rPr>
          <w:rFonts w:cs="Tahoma"/>
          <w:szCs w:val="20"/>
          <w:lang w:val="fr-CH"/>
        </w:rPr>
        <w:t xml:space="preserve">et de l’absence de garanties suffisantes dans la procédure pénale tunisienne. Cette pratique s’accompagne de plus </w:t>
      </w:r>
      <w:r w:rsidRPr="00E342DC">
        <w:rPr>
          <w:rFonts w:cs="Tahoma"/>
          <w:szCs w:val="20"/>
          <w:lang w:val="fr-CH"/>
        </w:rPr>
        <w:t xml:space="preserve">d’un climat </w:t>
      </w:r>
      <w:r w:rsidR="00ED73C3" w:rsidRPr="00E342DC">
        <w:rPr>
          <w:rFonts w:cs="Tahoma"/>
          <w:szCs w:val="20"/>
          <w:lang w:val="fr-CH"/>
        </w:rPr>
        <w:t xml:space="preserve">encourageant l’impunité </w:t>
      </w:r>
      <w:r w:rsidR="00775888" w:rsidRPr="00E342DC">
        <w:rPr>
          <w:rFonts w:cs="Tahoma"/>
          <w:szCs w:val="20"/>
          <w:lang w:val="fr-CH"/>
        </w:rPr>
        <w:t xml:space="preserve">où aucun de ces cas de détention au secret n’a donné lieu à des </w:t>
      </w:r>
      <w:r w:rsidR="00D40DE5" w:rsidRPr="00E342DC">
        <w:rPr>
          <w:rFonts w:cs="Tahoma"/>
          <w:szCs w:val="20"/>
          <w:lang w:val="fr-CH"/>
        </w:rPr>
        <w:t>enquêtes</w:t>
      </w:r>
      <w:r w:rsidR="00775888" w:rsidRPr="00E342DC">
        <w:rPr>
          <w:rFonts w:cs="Tahoma"/>
          <w:szCs w:val="20"/>
          <w:lang w:val="fr-CH"/>
        </w:rPr>
        <w:t xml:space="preserve"> ou des sanctions pour avoir dissimulé le sort d</w:t>
      </w:r>
      <w:r w:rsidR="00ED73C3" w:rsidRPr="00E342DC">
        <w:rPr>
          <w:rFonts w:cs="Tahoma"/>
          <w:szCs w:val="20"/>
          <w:lang w:val="fr-CH"/>
        </w:rPr>
        <w:t>e la personne arrêtée</w:t>
      </w:r>
      <w:r w:rsidR="00775888" w:rsidRPr="00E342DC">
        <w:rPr>
          <w:rFonts w:cs="Tahoma"/>
          <w:szCs w:val="20"/>
          <w:lang w:val="fr-CH"/>
        </w:rPr>
        <w:t>.</w:t>
      </w:r>
    </w:p>
    <w:p w:rsidR="00765D10" w:rsidRPr="00E342DC" w:rsidRDefault="00765D10" w:rsidP="00765D10">
      <w:pPr>
        <w:rPr>
          <w:rFonts w:cs="Tahoma"/>
          <w:szCs w:val="20"/>
          <w:lang w:val="fr-CH"/>
        </w:rPr>
      </w:pPr>
    </w:p>
    <w:p w:rsidR="00801668" w:rsidRDefault="00ED73C3" w:rsidP="00BF513F">
      <w:pPr>
        <w:rPr>
          <w:rFonts w:cs="Tahoma"/>
          <w:szCs w:val="20"/>
          <w:lang w:val="fr-CH"/>
        </w:rPr>
      </w:pPr>
      <w:r w:rsidRPr="00E342DC">
        <w:rPr>
          <w:rFonts w:cs="Tahoma"/>
          <w:szCs w:val="20"/>
          <w:lang w:val="fr-CH"/>
        </w:rPr>
        <w:t xml:space="preserve">Lors de l’examen de la Tunisie par le CED en </w:t>
      </w:r>
      <w:r w:rsidR="00BF513F">
        <w:rPr>
          <w:rFonts w:cs="Tahoma"/>
          <w:szCs w:val="20"/>
          <w:lang w:val="fr-CH"/>
        </w:rPr>
        <w:t>m</w:t>
      </w:r>
      <w:r w:rsidR="00765D10" w:rsidRPr="00E342DC">
        <w:rPr>
          <w:rFonts w:cs="Tahoma"/>
          <w:szCs w:val="20"/>
          <w:lang w:val="fr-CH"/>
        </w:rPr>
        <w:t xml:space="preserve">ars 2016, </w:t>
      </w:r>
      <w:r w:rsidRPr="00E342DC">
        <w:rPr>
          <w:rFonts w:cs="Tahoma"/>
          <w:szCs w:val="20"/>
          <w:lang w:val="fr-CH"/>
        </w:rPr>
        <w:t xml:space="preserve">Alkarama </w:t>
      </w:r>
      <w:r w:rsidR="00765D10" w:rsidRPr="00E342DC">
        <w:rPr>
          <w:rFonts w:cs="Tahoma"/>
          <w:szCs w:val="20"/>
          <w:lang w:val="fr-CH"/>
        </w:rPr>
        <w:t xml:space="preserve">avait alors exprimé ses vives préoccupations </w:t>
      </w:r>
      <w:r w:rsidRPr="00E342DC">
        <w:rPr>
          <w:rFonts w:cs="Tahoma"/>
          <w:szCs w:val="20"/>
          <w:lang w:val="fr-CH"/>
        </w:rPr>
        <w:t>quant à la question de la</w:t>
      </w:r>
      <w:r w:rsidR="00765D10" w:rsidRPr="00E342DC">
        <w:rPr>
          <w:rFonts w:cs="Tahoma"/>
          <w:szCs w:val="20"/>
          <w:lang w:val="fr-CH"/>
        </w:rPr>
        <w:t xml:space="preserve"> détention au secret dans le cadre de la lutte contre le terrorisme</w:t>
      </w:r>
      <w:r w:rsidR="00925346" w:rsidRPr="00E342DC">
        <w:rPr>
          <w:rFonts w:cs="Tahoma"/>
          <w:szCs w:val="20"/>
          <w:lang w:val="fr-CH"/>
        </w:rPr>
        <w:t xml:space="preserve"> et </w:t>
      </w:r>
      <w:r w:rsidRPr="00E342DC">
        <w:rPr>
          <w:rFonts w:cs="Tahoma"/>
          <w:szCs w:val="20"/>
          <w:lang w:val="fr-CH"/>
        </w:rPr>
        <w:t xml:space="preserve">de </w:t>
      </w:r>
      <w:r w:rsidR="00925346" w:rsidRPr="00E342DC">
        <w:rPr>
          <w:rFonts w:cs="Tahoma"/>
          <w:szCs w:val="20"/>
          <w:lang w:val="fr-CH"/>
        </w:rPr>
        <w:t>l’absence de l’incrimination de disparition forcée en droit interne</w:t>
      </w:r>
      <w:r w:rsidRPr="00E342DC">
        <w:rPr>
          <w:rStyle w:val="FootnoteReference"/>
          <w:rFonts w:cs="Tahoma"/>
          <w:szCs w:val="20"/>
          <w:lang w:val="fr-CH"/>
        </w:rPr>
        <w:footnoteReference w:id="32"/>
      </w:r>
      <w:r w:rsidR="00765D10" w:rsidRPr="00E342DC">
        <w:rPr>
          <w:rFonts w:cs="Tahoma"/>
          <w:szCs w:val="20"/>
          <w:lang w:val="fr-CH"/>
        </w:rPr>
        <w:t xml:space="preserve">. </w:t>
      </w:r>
      <w:r w:rsidR="00D40DE5" w:rsidRPr="00E342DC">
        <w:rPr>
          <w:rFonts w:cs="Tahoma"/>
          <w:szCs w:val="20"/>
          <w:lang w:val="fr-CH"/>
        </w:rPr>
        <w:t>Le C</w:t>
      </w:r>
      <w:r w:rsidRPr="00E342DC">
        <w:rPr>
          <w:rFonts w:cs="Tahoma"/>
          <w:szCs w:val="20"/>
          <w:lang w:val="fr-CH"/>
        </w:rPr>
        <w:t>ED</w:t>
      </w:r>
      <w:r w:rsidR="00D40DE5" w:rsidRPr="00E342DC">
        <w:rPr>
          <w:rFonts w:cs="Tahoma"/>
          <w:szCs w:val="20"/>
          <w:lang w:val="fr-CH"/>
        </w:rPr>
        <w:t xml:space="preserve"> </w:t>
      </w:r>
      <w:r w:rsidRPr="00E342DC">
        <w:rPr>
          <w:rFonts w:cs="Tahoma"/>
          <w:szCs w:val="20"/>
          <w:lang w:val="fr-CH"/>
        </w:rPr>
        <w:t xml:space="preserve">a constaté </w:t>
      </w:r>
      <w:r w:rsidR="00D77D42" w:rsidRPr="00E342DC">
        <w:rPr>
          <w:rFonts w:cs="Tahoma"/>
          <w:szCs w:val="20"/>
          <w:lang w:val="fr-CH"/>
        </w:rPr>
        <w:t>l’absence de mesures appropriées de prévention et de répression du crime de disparition forcée</w:t>
      </w:r>
      <w:r w:rsidR="002A123B" w:rsidRPr="00E342DC">
        <w:rPr>
          <w:rFonts w:cs="Tahoma"/>
          <w:szCs w:val="20"/>
          <w:lang w:val="fr-CH"/>
        </w:rPr>
        <w:t>.</w:t>
      </w:r>
      <w:r w:rsidR="00BF513F">
        <w:rPr>
          <w:rFonts w:cs="Tahoma"/>
          <w:szCs w:val="20"/>
          <w:lang w:val="fr-CH"/>
        </w:rPr>
        <w:t xml:space="preserve"> </w:t>
      </w:r>
    </w:p>
    <w:p w:rsidR="00BF513F" w:rsidRPr="00E342DC" w:rsidRDefault="00BF513F" w:rsidP="00BF513F">
      <w:pPr>
        <w:rPr>
          <w:rFonts w:cs="Tahoma"/>
          <w:szCs w:val="20"/>
          <w:lang w:val="fr-CH"/>
        </w:rPr>
      </w:pPr>
    </w:p>
    <w:p w:rsidR="00801668" w:rsidRPr="00E342DC" w:rsidRDefault="00765D10">
      <w:pPr>
        <w:rPr>
          <w:rFonts w:cs="Tahoma"/>
          <w:szCs w:val="20"/>
          <w:lang w:val="fr-CH"/>
        </w:rPr>
      </w:pPr>
      <w:r w:rsidRPr="00E342DC">
        <w:rPr>
          <w:rFonts w:cs="Tahoma"/>
          <w:szCs w:val="20"/>
          <w:lang w:val="fr-CH"/>
        </w:rPr>
        <w:t>Enfin nous rappelons que s</w:t>
      </w:r>
      <w:r w:rsidR="006D3A9A" w:rsidRPr="00E342DC">
        <w:rPr>
          <w:rFonts w:cs="Tahoma"/>
          <w:szCs w:val="20"/>
          <w:lang w:val="fr-CH"/>
        </w:rPr>
        <w:t xml:space="preserve">elon la jurisprudence du Comité des droits de l’homme, </w:t>
      </w:r>
      <w:r w:rsidR="00D0488D" w:rsidRPr="00E342DC">
        <w:rPr>
          <w:rFonts w:cs="Tahoma"/>
          <w:szCs w:val="20"/>
          <w:lang w:val="fr-CH"/>
        </w:rPr>
        <w:t xml:space="preserve">la disparition forcée </w:t>
      </w:r>
      <w:r w:rsidR="006D3A9A" w:rsidRPr="00E342DC">
        <w:rPr>
          <w:rFonts w:cs="Tahoma"/>
          <w:szCs w:val="20"/>
          <w:lang w:val="fr-CH"/>
        </w:rPr>
        <w:t>peut, en soi, être constitutive d’une violation de l’article 7 du Pacte</w:t>
      </w:r>
      <w:r w:rsidR="00E74808" w:rsidRPr="00E342DC">
        <w:rPr>
          <w:rFonts w:cs="Tahoma"/>
          <w:szCs w:val="20"/>
          <w:lang w:val="fr-CH"/>
        </w:rPr>
        <w:t xml:space="preserve"> international relatif aux droits civils et politiques (PIDCP)</w:t>
      </w:r>
      <w:r w:rsidR="006D3A9A" w:rsidRPr="00E342DC">
        <w:rPr>
          <w:rFonts w:cs="Tahoma"/>
          <w:szCs w:val="20"/>
          <w:vertAlign w:val="superscript"/>
          <w:lang w:val="fr-CH"/>
        </w:rPr>
        <w:footnoteReference w:id="33"/>
      </w:r>
      <w:r w:rsidR="00541815" w:rsidRPr="00E342DC">
        <w:rPr>
          <w:rFonts w:cs="Tahoma"/>
          <w:szCs w:val="20"/>
          <w:lang w:val="fr-CH"/>
        </w:rPr>
        <w:t xml:space="preserve"> </w:t>
      </w:r>
      <w:r w:rsidRPr="00E342DC">
        <w:rPr>
          <w:rFonts w:cs="Tahoma"/>
          <w:szCs w:val="20"/>
          <w:lang w:val="fr-CH"/>
        </w:rPr>
        <w:t>estimant que le seul fait d’être soumis à la pratique de la disparition forcée équivaut à être soumis à un traitement inhumain ou dégradant. Le refus des autorités d’informer les familles sur le sort de la personne disparue a de même été considéré comme une violation de l’article 7 envers les familles de victimes</w:t>
      </w:r>
      <w:r w:rsidRPr="00E342DC">
        <w:rPr>
          <w:rFonts w:cs="Tahoma"/>
          <w:szCs w:val="20"/>
          <w:vertAlign w:val="superscript"/>
          <w:lang w:val="fr-CH"/>
        </w:rPr>
        <w:footnoteReference w:id="34"/>
      </w:r>
      <w:r w:rsidRPr="00E342DC">
        <w:rPr>
          <w:rFonts w:cs="Tahoma"/>
          <w:szCs w:val="20"/>
          <w:lang w:val="fr-CH"/>
        </w:rPr>
        <w:t xml:space="preserve">. </w:t>
      </w:r>
    </w:p>
    <w:p w:rsidR="00801668" w:rsidRPr="00E342DC" w:rsidRDefault="00801668">
      <w:pPr>
        <w:rPr>
          <w:rFonts w:cs="Tahoma"/>
          <w:szCs w:val="20"/>
          <w:lang w:val="fr-CH"/>
        </w:rPr>
      </w:pPr>
    </w:p>
    <w:p w:rsidR="00801668" w:rsidRPr="00E342DC" w:rsidRDefault="00F733D9">
      <w:pPr>
        <w:rPr>
          <w:rFonts w:cs="Tahoma"/>
          <w:szCs w:val="20"/>
          <w:lang w:val="fr-CH"/>
        </w:rPr>
      </w:pPr>
      <w:r w:rsidRPr="00E342DC">
        <w:rPr>
          <w:rFonts w:cs="Tahoma"/>
          <w:szCs w:val="20"/>
          <w:lang w:val="fr-CH"/>
        </w:rPr>
        <w:t xml:space="preserve">Le </w:t>
      </w:r>
      <w:r w:rsidR="00D60113" w:rsidRPr="00E342DC">
        <w:rPr>
          <w:rFonts w:cs="Tahoma"/>
          <w:szCs w:val="20"/>
          <w:lang w:val="fr-CH"/>
        </w:rPr>
        <w:t>Comité</w:t>
      </w:r>
      <w:r w:rsidRPr="00E342DC">
        <w:rPr>
          <w:rFonts w:cs="Tahoma"/>
          <w:szCs w:val="20"/>
          <w:lang w:val="fr-CH"/>
        </w:rPr>
        <w:t xml:space="preserve"> a soulevé la question </w:t>
      </w:r>
      <w:r w:rsidR="00D60113" w:rsidRPr="00E342DC">
        <w:rPr>
          <w:rFonts w:cs="Tahoma"/>
          <w:szCs w:val="20"/>
          <w:lang w:val="fr-CH"/>
        </w:rPr>
        <w:t>de</w:t>
      </w:r>
      <w:r w:rsidRPr="00E342DC">
        <w:rPr>
          <w:rFonts w:cs="Tahoma"/>
          <w:szCs w:val="20"/>
          <w:lang w:val="fr-CH"/>
        </w:rPr>
        <w:t xml:space="preserve"> l’absence</w:t>
      </w:r>
      <w:r w:rsidR="00D60113" w:rsidRPr="00E342DC">
        <w:rPr>
          <w:rFonts w:cs="Tahoma"/>
          <w:szCs w:val="20"/>
          <w:lang w:val="fr-CH"/>
        </w:rPr>
        <w:t xml:space="preserve"> </w:t>
      </w:r>
      <w:r w:rsidRPr="00E342DC">
        <w:rPr>
          <w:rFonts w:cs="Tahoma"/>
          <w:szCs w:val="20"/>
          <w:lang w:val="fr-CH"/>
        </w:rPr>
        <w:t>d</w:t>
      </w:r>
      <w:r w:rsidR="00D60113" w:rsidRPr="00E342DC">
        <w:rPr>
          <w:rFonts w:cs="Tahoma"/>
          <w:szCs w:val="20"/>
          <w:lang w:val="fr-CH"/>
        </w:rPr>
        <w:t xml:space="preserve">’enregistrement </w:t>
      </w:r>
      <w:r w:rsidRPr="00E342DC">
        <w:rPr>
          <w:rFonts w:cs="Tahoma"/>
          <w:szCs w:val="20"/>
          <w:lang w:val="fr-CH"/>
        </w:rPr>
        <w:t xml:space="preserve">adéquat </w:t>
      </w:r>
      <w:r w:rsidR="00D60113" w:rsidRPr="00E342DC">
        <w:rPr>
          <w:rFonts w:cs="Tahoma"/>
          <w:szCs w:val="20"/>
          <w:lang w:val="fr-CH"/>
        </w:rPr>
        <w:t xml:space="preserve">des personnes </w:t>
      </w:r>
      <w:r w:rsidR="00FF5F69" w:rsidRPr="00E342DC">
        <w:rPr>
          <w:rFonts w:cs="Tahoma"/>
          <w:szCs w:val="20"/>
          <w:lang w:val="fr-CH"/>
        </w:rPr>
        <w:t>arrêtées</w:t>
      </w:r>
      <w:r w:rsidR="00D60113" w:rsidRPr="00E342DC">
        <w:rPr>
          <w:rFonts w:cs="Tahoma"/>
          <w:szCs w:val="20"/>
          <w:lang w:val="fr-CH"/>
        </w:rPr>
        <w:t xml:space="preserve"> </w:t>
      </w:r>
      <w:r w:rsidRPr="00E342DC">
        <w:rPr>
          <w:rFonts w:cs="Tahoma"/>
          <w:szCs w:val="20"/>
          <w:lang w:val="fr-CH"/>
        </w:rPr>
        <w:t xml:space="preserve">dans le cadre de la lutte antiterroriste </w:t>
      </w:r>
      <w:r w:rsidR="00D60113" w:rsidRPr="00E342DC">
        <w:rPr>
          <w:rFonts w:cs="Tahoma"/>
          <w:szCs w:val="20"/>
          <w:lang w:val="fr-CH"/>
        </w:rPr>
        <w:t xml:space="preserve">dans un registre indiquant </w:t>
      </w:r>
      <w:r w:rsidR="00FF5F69" w:rsidRPr="00E342DC">
        <w:rPr>
          <w:rFonts w:cs="Tahoma"/>
          <w:szCs w:val="20"/>
          <w:lang w:val="fr-CH"/>
        </w:rPr>
        <w:t xml:space="preserve">l’ensemble des éléments </w:t>
      </w:r>
      <w:r w:rsidRPr="00E342DC">
        <w:rPr>
          <w:rFonts w:cs="Tahoma"/>
          <w:szCs w:val="20"/>
          <w:lang w:val="fr-CH"/>
        </w:rPr>
        <w:t xml:space="preserve">nécessaires </w:t>
      </w:r>
      <w:r w:rsidR="00A8020A" w:rsidRPr="00E342DC">
        <w:rPr>
          <w:rFonts w:cs="Tahoma"/>
          <w:szCs w:val="20"/>
          <w:lang w:val="fr-CH"/>
        </w:rPr>
        <w:t>(</w:t>
      </w:r>
      <w:r w:rsidR="00FF5F69" w:rsidRPr="00E342DC">
        <w:rPr>
          <w:rFonts w:cs="Tahoma"/>
          <w:szCs w:val="20"/>
          <w:lang w:val="fr-CH"/>
        </w:rPr>
        <w:t>notamment le nom complet</w:t>
      </w:r>
      <w:r w:rsidR="00E16B9E" w:rsidRPr="00E342DC">
        <w:rPr>
          <w:rFonts w:cs="Tahoma"/>
          <w:szCs w:val="20"/>
          <w:lang w:val="fr-CH"/>
        </w:rPr>
        <w:t xml:space="preserve">, </w:t>
      </w:r>
      <w:r w:rsidR="00FF5F69" w:rsidRPr="00E342DC">
        <w:rPr>
          <w:rFonts w:cs="Tahoma"/>
          <w:szCs w:val="20"/>
          <w:lang w:val="fr-CH"/>
        </w:rPr>
        <w:t xml:space="preserve">la date et lieu d’arrestation </w:t>
      </w:r>
      <w:r w:rsidR="00775888" w:rsidRPr="00E342DC">
        <w:rPr>
          <w:rFonts w:cs="Tahoma"/>
          <w:szCs w:val="20"/>
          <w:lang w:val="fr-CH"/>
        </w:rPr>
        <w:t>ainsi</w:t>
      </w:r>
      <w:r w:rsidR="00FF5F69" w:rsidRPr="00E342DC">
        <w:rPr>
          <w:rFonts w:cs="Tahoma"/>
          <w:szCs w:val="20"/>
          <w:lang w:val="fr-CH"/>
        </w:rPr>
        <w:t xml:space="preserve"> que le lieu de détention </w:t>
      </w:r>
      <w:r w:rsidRPr="00E342DC">
        <w:rPr>
          <w:rFonts w:cs="Tahoma"/>
          <w:szCs w:val="20"/>
          <w:lang w:val="fr-CH"/>
        </w:rPr>
        <w:t>de la personne</w:t>
      </w:r>
      <w:r w:rsidR="00A8020A" w:rsidRPr="00E342DC">
        <w:rPr>
          <w:rFonts w:cs="Tahoma"/>
          <w:szCs w:val="20"/>
          <w:lang w:val="fr-CH"/>
        </w:rPr>
        <w:t>)</w:t>
      </w:r>
      <w:r w:rsidRPr="00E342DC">
        <w:rPr>
          <w:rStyle w:val="FootnoteReference"/>
          <w:rFonts w:cs="Tahoma"/>
          <w:szCs w:val="20"/>
          <w:lang w:val="fr-CH"/>
        </w:rPr>
        <w:footnoteReference w:id="35"/>
      </w:r>
      <w:r w:rsidRPr="00E342DC">
        <w:rPr>
          <w:rFonts w:cs="Tahoma"/>
          <w:szCs w:val="20"/>
          <w:lang w:val="fr-CH"/>
        </w:rPr>
        <w:t xml:space="preserve">. Alkarama a observé </w:t>
      </w:r>
      <w:r w:rsidR="00E16B9E" w:rsidRPr="00E342DC">
        <w:rPr>
          <w:rFonts w:cs="Tahoma"/>
          <w:szCs w:val="20"/>
          <w:lang w:val="fr-CH"/>
        </w:rPr>
        <w:t xml:space="preserve">que les avocats de prévenus ont rapporté que </w:t>
      </w:r>
      <w:r w:rsidRPr="00E342DC">
        <w:rPr>
          <w:rFonts w:cs="Tahoma"/>
          <w:szCs w:val="20"/>
          <w:lang w:val="fr-CH"/>
        </w:rPr>
        <w:t xml:space="preserve">dans les cas de détentions au secret </w:t>
      </w:r>
      <w:r w:rsidR="00A8020A" w:rsidRPr="00E342DC">
        <w:rPr>
          <w:rFonts w:cs="Tahoma"/>
          <w:szCs w:val="20"/>
          <w:lang w:val="fr-CH"/>
        </w:rPr>
        <w:t xml:space="preserve">documentés </w:t>
      </w:r>
      <w:r w:rsidRPr="00E342DC">
        <w:rPr>
          <w:rFonts w:cs="Tahoma"/>
          <w:szCs w:val="20"/>
          <w:lang w:val="fr-CH"/>
        </w:rPr>
        <w:t>que les personnes arrêtées n’avaient pas fait l’objet de cet enregistrement</w:t>
      </w:r>
      <w:r w:rsidR="00E16B9E" w:rsidRPr="00E342DC">
        <w:rPr>
          <w:rFonts w:cs="Tahoma"/>
          <w:szCs w:val="20"/>
          <w:lang w:val="fr-CH"/>
        </w:rPr>
        <w:t xml:space="preserve">, </w:t>
      </w:r>
      <w:r w:rsidRPr="00E342DC">
        <w:rPr>
          <w:rFonts w:cs="Tahoma"/>
          <w:szCs w:val="20"/>
          <w:lang w:val="fr-CH"/>
        </w:rPr>
        <w:t>de telle sorte à ce qu’</w:t>
      </w:r>
      <w:r w:rsidR="00E16B9E" w:rsidRPr="00E342DC">
        <w:rPr>
          <w:rFonts w:cs="Tahoma"/>
          <w:szCs w:val="20"/>
          <w:lang w:val="fr-CH"/>
        </w:rPr>
        <w:t>elles</w:t>
      </w:r>
      <w:r w:rsidRPr="00E342DC">
        <w:rPr>
          <w:rFonts w:cs="Tahoma"/>
          <w:szCs w:val="20"/>
          <w:lang w:val="fr-CH"/>
        </w:rPr>
        <w:t xml:space="preserve"> ne puissent pas être </w:t>
      </w:r>
      <w:r w:rsidR="00E16B9E" w:rsidRPr="00E342DC">
        <w:rPr>
          <w:rFonts w:cs="Tahoma"/>
          <w:szCs w:val="20"/>
          <w:lang w:val="fr-CH"/>
        </w:rPr>
        <w:t>localisées</w:t>
      </w:r>
      <w:r w:rsidRPr="00E342DC">
        <w:rPr>
          <w:rFonts w:cs="Tahoma"/>
          <w:szCs w:val="20"/>
          <w:lang w:val="fr-CH"/>
        </w:rPr>
        <w:t>. L’</w:t>
      </w:r>
      <w:r w:rsidR="0070261E" w:rsidRPr="00E342DC">
        <w:rPr>
          <w:rFonts w:cs="Tahoma"/>
          <w:szCs w:val="20"/>
          <w:lang w:val="fr-CH"/>
        </w:rPr>
        <w:t>État</w:t>
      </w:r>
      <w:r w:rsidRPr="00E342DC">
        <w:rPr>
          <w:rFonts w:cs="Tahoma"/>
          <w:szCs w:val="20"/>
          <w:lang w:val="fr-CH"/>
        </w:rPr>
        <w:t xml:space="preserve"> partie a répondu que si un fichier d’enregistrement existait bien au sein des lieux de privation de liberté</w:t>
      </w:r>
      <w:r w:rsidR="00A8020A" w:rsidRPr="00E342DC">
        <w:rPr>
          <w:rFonts w:cs="Tahoma"/>
          <w:szCs w:val="20"/>
          <w:lang w:val="fr-CH"/>
        </w:rPr>
        <w:t>,</w:t>
      </w:r>
      <w:r w:rsidRPr="00E342DC">
        <w:rPr>
          <w:rFonts w:cs="Tahoma"/>
          <w:szCs w:val="20"/>
          <w:lang w:val="fr-CH"/>
        </w:rPr>
        <w:t xml:space="preserve"> l’officier de police judicaire (conformément à l’article 13 du CPP)</w:t>
      </w:r>
      <w:r w:rsidR="0099350E" w:rsidRPr="00E342DC">
        <w:rPr>
          <w:rFonts w:cs="Tahoma"/>
          <w:szCs w:val="20"/>
          <w:lang w:val="fr-CH"/>
        </w:rPr>
        <w:t xml:space="preserve"> est chargé de noter</w:t>
      </w:r>
      <w:r w:rsidRPr="00E342DC">
        <w:rPr>
          <w:rFonts w:cs="Tahoma"/>
          <w:szCs w:val="20"/>
          <w:lang w:val="fr-CH"/>
        </w:rPr>
        <w:t xml:space="preserve"> ces </w:t>
      </w:r>
      <w:r w:rsidR="00A8020A" w:rsidRPr="00E342DC">
        <w:rPr>
          <w:rFonts w:cs="Tahoma"/>
          <w:szCs w:val="20"/>
          <w:lang w:val="fr-CH"/>
        </w:rPr>
        <w:t>informations dans ce registre</w:t>
      </w:r>
      <w:r w:rsidR="00925346" w:rsidRPr="00E342DC">
        <w:rPr>
          <w:rFonts w:cs="Tahoma"/>
          <w:szCs w:val="20"/>
          <w:lang w:val="fr-CH"/>
        </w:rPr>
        <w:t>. Toutefois</w:t>
      </w:r>
      <w:r w:rsidR="0099350E" w:rsidRPr="00E342DC">
        <w:rPr>
          <w:rFonts w:cs="Tahoma"/>
          <w:szCs w:val="20"/>
          <w:lang w:val="fr-CH"/>
        </w:rPr>
        <w:t xml:space="preserve"> </w:t>
      </w:r>
      <w:r w:rsidR="00925346" w:rsidRPr="00E342DC">
        <w:rPr>
          <w:rFonts w:cs="Tahoma"/>
          <w:szCs w:val="20"/>
          <w:lang w:val="fr-CH"/>
        </w:rPr>
        <w:t xml:space="preserve">aucun </w:t>
      </w:r>
      <w:r w:rsidR="0099350E" w:rsidRPr="00E342DC">
        <w:rPr>
          <w:rFonts w:cs="Tahoma"/>
          <w:szCs w:val="20"/>
          <w:lang w:val="fr-CH"/>
        </w:rPr>
        <w:t xml:space="preserve">contrôle </w:t>
      </w:r>
      <w:r w:rsidR="00925346" w:rsidRPr="00E342DC">
        <w:rPr>
          <w:rFonts w:cs="Tahoma"/>
          <w:szCs w:val="20"/>
          <w:lang w:val="fr-CH"/>
        </w:rPr>
        <w:t xml:space="preserve">n’est assuré quant à </w:t>
      </w:r>
      <w:r w:rsidR="0099350E" w:rsidRPr="00E342DC">
        <w:rPr>
          <w:rFonts w:cs="Tahoma"/>
          <w:szCs w:val="20"/>
          <w:lang w:val="fr-CH"/>
        </w:rPr>
        <w:t>la bonne tenue de ce registre</w:t>
      </w:r>
      <w:r w:rsidR="00A8020A" w:rsidRPr="00E342DC">
        <w:rPr>
          <w:rFonts w:cs="Tahoma"/>
          <w:szCs w:val="20"/>
          <w:lang w:val="fr-CH"/>
        </w:rPr>
        <w:t xml:space="preserve">. </w:t>
      </w:r>
      <w:r w:rsidR="0099350E" w:rsidRPr="00E342DC">
        <w:rPr>
          <w:rFonts w:cs="Tahoma"/>
          <w:szCs w:val="20"/>
          <w:lang w:val="fr-CH"/>
        </w:rPr>
        <w:t>E</w:t>
      </w:r>
      <w:r w:rsidR="00A8020A" w:rsidRPr="00E342DC">
        <w:rPr>
          <w:rFonts w:cs="Tahoma"/>
          <w:szCs w:val="20"/>
          <w:lang w:val="fr-CH"/>
        </w:rPr>
        <w:t>n</w:t>
      </w:r>
      <w:r w:rsidR="0099350E" w:rsidRPr="00E342DC">
        <w:rPr>
          <w:rFonts w:cs="Tahoma"/>
          <w:szCs w:val="20"/>
          <w:lang w:val="fr-CH"/>
        </w:rPr>
        <w:t xml:space="preserve"> effet,</w:t>
      </w:r>
      <w:r w:rsidR="00A8020A" w:rsidRPr="00E342DC">
        <w:rPr>
          <w:rFonts w:cs="Tahoma"/>
          <w:szCs w:val="20"/>
          <w:lang w:val="fr-CH"/>
        </w:rPr>
        <w:t xml:space="preserve"> </w:t>
      </w:r>
      <w:r w:rsidR="0099350E" w:rsidRPr="00E342DC">
        <w:rPr>
          <w:rFonts w:cs="Tahoma"/>
          <w:szCs w:val="20"/>
          <w:lang w:val="fr-CH"/>
        </w:rPr>
        <w:t xml:space="preserve">si </w:t>
      </w:r>
      <w:r w:rsidR="00A8020A" w:rsidRPr="00E342DC">
        <w:rPr>
          <w:rFonts w:cs="Tahoma"/>
          <w:szCs w:val="20"/>
          <w:lang w:val="fr-CH"/>
        </w:rPr>
        <w:t xml:space="preserve">le bureau du procureur public </w:t>
      </w:r>
      <w:r w:rsidR="0099350E" w:rsidRPr="00E342DC">
        <w:rPr>
          <w:rFonts w:cs="Tahoma"/>
          <w:szCs w:val="20"/>
          <w:lang w:val="fr-CH"/>
        </w:rPr>
        <w:t xml:space="preserve">contresigne ces registres, </w:t>
      </w:r>
      <w:r w:rsidR="00A8020A" w:rsidRPr="00E342DC">
        <w:rPr>
          <w:rFonts w:cs="Tahoma"/>
          <w:szCs w:val="20"/>
          <w:lang w:val="fr-CH"/>
        </w:rPr>
        <w:t>l’</w:t>
      </w:r>
      <w:r w:rsidR="0070261E" w:rsidRPr="00E342DC">
        <w:rPr>
          <w:rFonts w:cs="Tahoma"/>
          <w:szCs w:val="20"/>
          <w:lang w:val="fr-CH"/>
        </w:rPr>
        <w:t>État</w:t>
      </w:r>
      <w:r w:rsidR="0099350E" w:rsidRPr="00E342DC">
        <w:rPr>
          <w:rFonts w:cs="Tahoma"/>
          <w:szCs w:val="20"/>
          <w:lang w:val="fr-CH"/>
        </w:rPr>
        <w:t xml:space="preserve"> affirme que cette signature </w:t>
      </w:r>
      <w:r w:rsidR="00A8020A" w:rsidRPr="00E342DC">
        <w:rPr>
          <w:rFonts w:cs="Tahoma"/>
          <w:szCs w:val="20"/>
          <w:lang w:val="fr-CH"/>
        </w:rPr>
        <w:t xml:space="preserve">ne </w:t>
      </w:r>
      <w:r w:rsidR="0099350E" w:rsidRPr="00E342DC">
        <w:rPr>
          <w:rFonts w:cs="Tahoma"/>
          <w:szCs w:val="20"/>
          <w:lang w:val="fr-CH"/>
        </w:rPr>
        <w:t xml:space="preserve">constitue qu’une formalité </w:t>
      </w:r>
      <w:r w:rsidR="00925346" w:rsidRPr="00E342DC">
        <w:rPr>
          <w:rFonts w:cs="Tahoma"/>
          <w:szCs w:val="20"/>
          <w:lang w:val="fr-CH"/>
        </w:rPr>
        <w:t xml:space="preserve">procédurale </w:t>
      </w:r>
      <w:r w:rsidR="0099350E" w:rsidRPr="00E342DC">
        <w:rPr>
          <w:rFonts w:cs="Tahoma"/>
          <w:szCs w:val="20"/>
          <w:lang w:val="fr-CH"/>
        </w:rPr>
        <w:t xml:space="preserve">et qu’il ne </w:t>
      </w:r>
      <w:r w:rsidR="00A8020A" w:rsidRPr="00E342DC">
        <w:rPr>
          <w:rFonts w:cs="Tahoma"/>
          <w:szCs w:val="20"/>
          <w:lang w:val="fr-CH"/>
        </w:rPr>
        <w:t>contrôle pas le contenu et la bonne tenue du registre. En dépit des cas documentés par Alkarama, l’</w:t>
      </w:r>
      <w:r w:rsidR="0070261E" w:rsidRPr="00E342DC">
        <w:rPr>
          <w:rFonts w:cs="Tahoma"/>
          <w:szCs w:val="20"/>
          <w:lang w:val="fr-CH"/>
        </w:rPr>
        <w:t>État</w:t>
      </w:r>
      <w:r w:rsidR="00A8020A" w:rsidRPr="00E342DC">
        <w:rPr>
          <w:rFonts w:cs="Tahoma"/>
          <w:szCs w:val="20"/>
          <w:lang w:val="fr-CH"/>
        </w:rPr>
        <w:t xml:space="preserve"> partie affirme qu’aucun cas de falsification de registre n’a été relevé. Nous notons, qu’il est logiquement difficile pour le </w:t>
      </w:r>
      <w:r w:rsidR="00E16B9E" w:rsidRPr="00E342DC">
        <w:rPr>
          <w:rFonts w:cs="Tahoma"/>
          <w:szCs w:val="20"/>
          <w:lang w:val="fr-CH"/>
        </w:rPr>
        <w:t>Ministère public</w:t>
      </w:r>
      <w:r w:rsidR="00A8020A" w:rsidRPr="00E342DC">
        <w:rPr>
          <w:rFonts w:cs="Tahoma"/>
          <w:szCs w:val="20"/>
          <w:lang w:val="fr-CH"/>
        </w:rPr>
        <w:t xml:space="preserve"> de relever des irrégularités dans ce registre, si ce dernier se contente de </w:t>
      </w:r>
      <w:r w:rsidR="00925346" w:rsidRPr="00E342DC">
        <w:rPr>
          <w:rFonts w:cs="Tahoma"/>
          <w:szCs w:val="20"/>
          <w:lang w:val="fr-CH"/>
        </w:rPr>
        <w:t xml:space="preserve">le </w:t>
      </w:r>
      <w:r w:rsidR="00A8020A" w:rsidRPr="00E342DC">
        <w:rPr>
          <w:rFonts w:cs="Tahoma"/>
          <w:szCs w:val="20"/>
          <w:lang w:val="fr-CH"/>
        </w:rPr>
        <w:t xml:space="preserve">signer sans </w:t>
      </w:r>
      <w:r w:rsidR="0099350E" w:rsidRPr="00E342DC">
        <w:rPr>
          <w:rFonts w:cs="Tahoma"/>
          <w:szCs w:val="20"/>
          <w:lang w:val="fr-CH"/>
        </w:rPr>
        <w:t xml:space="preserve">en </w:t>
      </w:r>
      <w:r w:rsidR="00A8020A" w:rsidRPr="00E342DC">
        <w:rPr>
          <w:rFonts w:cs="Tahoma"/>
          <w:szCs w:val="20"/>
          <w:lang w:val="fr-CH"/>
        </w:rPr>
        <w:t>vérifier le contenu</w:t>
      </w:r>
      <w:r w:rsidR="00E16B9E" w:rsidRPr="00E342DC">
        <w:rPr>
          <w:rFonts w:cs="Tahoma"/>
          <w:szCs w:val="20"/>
          <w:lang w:val="fr-CH"/>
        </w:rPr>
        <w:t xml:space="preserve"> à postériori sans contrôle préalable du parquet dans les lieux de privation de liberté</w:t>
      </w:r>
      <w:r w:rsidR="00A8020A" w:rsidRPr="00E342DC">
        <w:rPr>
          <w:rFonts w:cs="Tahoma"/>
          <w:szCs w:val="20"/>
          <w:lang w:val="fr-CH"/>
        </w:rPr>
        <w:t>.</w:t>
      </w:r>
    </w:p>
    <w:p w:rsidR="00723289" w:rsidRPr="00E342DC" w:rsidRDefault="00723289" w:rsidP="00DA0ABA">
      <w:pPr>
        <w:rPr>
          <w:rFonts w:cs="Tahoma"/>
          <w:szCs w:val="20"/>
          <w:lang w:val="fr-CH"/>
        </w:rPr>
      </w:pPr>
    </w:p>
    <w:p w:rsidR="00723289" w:rsidRPr="00E342DC" w:rsidRDefault="00723289" w:rsidP="00DA0ABA">
      <w:pPr>
        <w:pStyle w:val="Heading2"/>
        <w:rPr>
          <w:rFonts w:cs="Tahoma"/>
          <w:szCs w:val="20"/>
          <w:lang w:val="fr-CH" w:eastAsia="fr-FR"/>
        </w:rPr>
      </w:pPr>
      <w:bookmarkStart w:id="20" w:name="_Toc447008728"/>
      <w:r w:rsidRPr="00E342DC">
        <w:rPr>
          <w:rFonts w:cs="Tahoma"/>
          <w:szCs w:val="20"/>
          <w:lang w:val="fr-CH" w:eastAsia="fr-FR"/>
        </w:rPr>
        <w:t>Absences de garanties de non refoulement dans la lutte anti-terroriste</w:t>
      </w:r>
      <w:bookmarkEnd w:id="20"/>
    </w:p>
    <w:p w:rsidR="00723289" w:rsidRPr="00E342DC" w:rsidRDefault="00723289" w:rsidP="00DA0ABA">
      <w:pPr>
        <w:rPr>
          <w:rFonts w:cs="Tahoma"/>
          <w:szCs w:val="20"/>
          <w:lang w:val="fr-CH" w:eastAsia="fr-FR"/>
        </w:rPr>
      </w:pPr>
    </w:p>
    <w:p w:rsidR="00801668" w:rsidRPr="00E342DC" w:rsidRDefault="00723289">
      <w:pPr>
        <w:rPr>
          <w:rFonts w:cs="Tahoma"/>
          <w:szCs w:val="20"/>
          <w:lang w:val="fr-CH"/>
        </w:rPr>
      </w:pPr>
      <w:r w:rsidRPr="00E342DC">
        <w:rPr>
          <w:rFonts w:cs="Tahoma"/>
          <w:szCs w:val="20"/>
          <w:lang w:val="fr-CH"/>
        </w:rPr>
        <w:t>L’article 3 requiert de l’</w:t>
      </w:r>
      <w:r w:rsidR="0070261E" w:rsidRPr="00E342DC">
        <w:rPr>
          <w:rFonts w:cs="Tahoma"/>
          <w:szCs w:val="20"/>
          <w:lang w:val="fr-CH"/>
        </w:rPr>
        <w:t>État</w:t>
      </w:r>
      <w:r w:rsidRPr="00E342DC">
        <w:rPr>
          <w:rFonts w:cs="Tahoma"/>
          <w:szCs w:val="20"/>
          <w:lang w:val="fr-CH"/>
        </w:rPr>
        <w:t xml:space="preserve"> partie </w:t>
      </w:r>
      <w:r w:rsidRPr="00E342DC">
        <w:rPr>
          <w:rFonts w:cs="Tahoma"/>
          <w:i/>
          <w:iCs/>
          <w:szCs w:val="20"/>
          <w:lang w:val="fr-CH"/>
        </w:rPr>
        <w:t xml:space="preserve">« qu’il n’expulsera, ne refoulera, ni n’extradera une personne vers un autre </w:t>
      </w:r>
      <w:r w:rsidR="0070261E" w:rsidRPr="00E342DC">
        <w:rPr>
          <w:rFonts w:cs="Tahoma"/>
          <w:i/>
          <w:iCs/>
          <w:szCs w:val="20"/>
          <w:lang w:val="fr-CH"/>
        </w:rPr>
        <w:t>État</w:t>
      </w:r>
      <w:r w:rsidRPr="00E342DC">
        <w:rPr>
          <w:rFonts w:cs="Tahoma"/>
          <w:i/>
          <w:iCs/>
          <w:szCs w:val="20"/>
          <w:lang w:val="fr-CH"/>
        </w:rPr>
        <w:t xml:space="preserve"> où il y a des motifs sérieux de croire qu’elle risque d’être soumise à la torture. » </w:t>
      </w:r>
      <w:r w:rsidR="002E6D81" w:rsidRPr="00E342DC">
        <w:rPr>
          <w:rFonts w:cs="Tahoma"/>
          <w:szCs w:val="20"/>
          <w:lang w:val="fr-CH"/>
        </w:rPr>
        <w:t>L’article 313</w:t>
      </w:r>
      <w:r w:rsidRPr="00E342DC">
        <w:rPr>
          <w:rFonts w:cs="Tahoma"/>
          <w:szCs w:val="20"/>
          <w:lang w:val="fr-CH"/>
        </w:rPr>
        <w:t xml:space="preserve"> du C</w:t>
      </w:r>
      <w:r w:rsidR="00E16B9E" w:rsidRPr="00E342DC">
        <w:rPr>
          <w:rFonts w:cs="Tahoma"/>
          <w:szCs w:val="20"/>
          <w:lang w:val="fr-CH"/>
        </w:rPr>
        <w:t>PP</w:t>
      </w:r>
      <w:r w:rsidRPr="00E342DC">
        <w:rPr>
          <w:rFonts w:cs="Tahoma"/>
          <w:szCs w:val="20"/>
          <w:lang w:val="fr-CH"/>
        </w:rPr>
        <w:t xml:space="preserve"> a bien été amendé en ce sens par le décret-loi </w:t>
      </w:r>
      <w:r w:rsidRPr="00E342DC">
        <w:rPr>
          <w:rFonts w:eastAsia="MS Mincho" w:cs="Tahoma"/>
          <w:szCs w:val="20"/>
          <w:lang w:val="fr-CH"/>
        </w:rPr>
        <w:t>n</w:t>
      </w:r>
      <w:r w:rsidRPr="00E342DC">
        <w:rPr>
          <w:rFonts w:eastAsia="MS Mincho" w:cs="Tahoma"/>
          <w:szCs w:val="20"/>
          <w:vertAlign w:val="superscript"/>
          <w:lang w:val="fr-CH"/>
        </w:rPr>
        <w:t>o</w:t>
      </w:r>
      <w:r w:rsidRPr="00E342DC">
        <w:rPr>
          <w:rFonts w:cs="Tahoma"/>
          <w:szCs w:val="20"/>
          <w:lang w:val="fr-CH"/>
        </w:rPr>
        <w:t xml:space="preserve"> 2011/106 du 22 octobre 2011 qui prévoit que l’extradition n’est pas accordée «lorsque la personne faisant l’objet de la demande d’extradition risque d’être soumise à la torture». </w:t>
      </w:r>
    </w:p>
    <w:p w:rsidR="00723289" w:rsidRPr="00E342DC" w:rsidRDefault="00723289" w:rsidP="00DA0ABA">
      <w:pPr>
        <w:rPr>
          <w:rFonts w:cs="Tahoma"/>
          <w:szCs w:val="20"/>
          <w:lang w:val="fr-CH"/>
        </w:rPr>
      </w:pPr>
    </w:p>
    <w:p w:rsidR="00723289" w:rsidRPr="00E342DC" w:rsidRDefault="00723289" w:rsidP="00DA0ABA">
      <w:pPr>
        <w:rPr>
          <w:rFonts w:cs="Tahoma"/>
          <w:szCs w:val="20"/>
          <w:lang w:val="fr-CH"/>
        </w:rPr>
      </w:pPr>
      <w:r w:rsidRPr="00E342DC">
        <w:rPr>
          <w:rFonts w:cs="Tahoma"/>
          <w:szCs w:val="20"/>
          <w:lang w:val="fr-CH"/>
        </w:rPr>
        <w:t xml:space="preserve">En cas d’extradition de ressortissants étrangers condamnés pour des infractions terroristes, l’article 12 de la loi n° 22/2015 relative à la lutte contre le terrorisme et le blanchiment d’argent ne tient pas compte du principe de non refoulement. L’article 83 de la loi n° 22/2015 prévoit en revanche que l’extradition d’un auteur d’une infraction terroriste ne peut avoir lieu si « il y a des motifs sérieux de </w:t>
      </w:r>
      <w:r w:rsidRPr="00E342DC">
        <w:rPr>
          <w:rFonts w:cs="Tahoma"/>
          <w:szCs w:val="20"/>
          <w:lang w:val="fr-CH"/>
        </w:rPr>
        <w:lastRenderedPageBreak/>
        <w:t xml:space="preserve">croire que la personne objet de la demande d’extradition risque d'être soumise à la torture ou que la demande d’extradition vise à poursuivre ou à punir une personne en raison de sa race ou de sa couleur ou son origine ou de sa religion, de son sexe, ou de sa nationalité ou de ses opinions politiques. » </w:t>
      </w:r>
    </w:p>
    <w:p w:rsidR="00723289" w:rsidRPr="00E342DC" w:rsidRDefault="00723289" w:rsidP="00DA0ABA">
      <w:pPr>
        <w:rPr>
          <w:rFonts w:cs="Tahoma"/>
          <w:szCs w:val="20"/>
          <w:lang w:val="fr-CH"/>
        </w:rPr>
      </w:pPr>
    </w:p>
    <w:p w:rsidR="00723289" w:rsidRPr="00E342DC" w:rsidRDefault="00723289" w:rsidP="00DA0ABA">
      <w:pPr>
        <w:rPr>
          <w:rFonts w:cs="Tahoma"/>
          <w:szCs w:val="20"/>
          <w:lang w:val="fr-CH"/>
        </w:rPr>
      </w:pPr>
      <w:r w:rsidRPr="00E342DC">
        <w:rPr>
          <w:rFonts w:cs="Tahoma"/>
          <w:szCs w:val="20"/>
          <w:lang w:val="fr-CH"/>
        </w:rPr>
        <w:t xml:space="preserve">Néanmoins, cette garantie n’est prévue que dans des cas d’extradition aux fins de </w:t>
      </w:r>
      <w:r w:rsidR="002E6D81" w:rsidRPr="00E342DC">
        <w:rPr>
          <w:rFonts w:cs="Tahoma"/>
          <w:szCs w:val="20"/>
          <w:lang w:val="fr-CH"/>
        </w:rPr>
        <w:t>poursuite ou d’exécution d’une peine privative de liberté et ne tient pas compte des expulsions de ressortissants étrangers condamnés pour des infractions terroristes et ayant purgé leur peine en Tunisie. Il aurait été judicieux de compléter directement l’article 12 en y ajoutant l’interdiction explicite d’expulser</w:t>
      </w:r>
      <w:r w:rsidRPr="00E342DC">
        <w:rPr>
          <w:rFonts w:cs="Tahoma"/>
          <w:szCs w:val="20"/>
          <w:lang w:val="fr-CH"/>
        </w:rPr>
        <w:t xml:space="preserve"> des ressortissants étrangers vers un </w:t>
      </w:r>
      <w:r w:rsidR="0070261E" w:rsidRPr="00E342DC">
        <w:rPr>
          <w:rFonts w:cs="Tahoma"/>
          <w:szCs w:val="20"/>
          <w:lang w:val="fr-CH"/>
        </w:rPr>
        <w:t>État</w:t>
      </w:r>
      <w:r w:rsidRPr="00E342DC">
        <w:rPr>
          <w:rFonts w:cs="Tahoma"/>
          <w:szCs w:val="20"/>
          <w:lang w:val="fr-CH"/>
        </w:rPr>
        <w:t xml:space="preserve"> requérant où il y a des motifs sérieux de croire que la personne objet d’expulsion risque d’être soumise à des violations graves des droits humains y compris la torture. </w:t>
      </w:r>
    </w:p>
    <w:p w:rsidR="00723289" w:rsidRPr="00E342DC" w:rsidRDefault="00723289" w:rsidP="00DA0ABA">
      <w:pPr>
        <w:rPr>
          <w:rFonts w:cs="Tahoma"/>
          <w:szCs w:val="20"/>
          <w:lang w:val="fr-CH"/>
        </w:rPr>
      </w:pPr>
    </w:p>
    <w:p w:rsidR="00801668" w:rsidRPr="00E342DC" w:rsidRDefault="00723289">
      <w:pPr>
        <w:rPr>
          <w:rFonts w:cs="Tahoma"/>
          <w:szCs w:val="20"/>
          <w:lang w:val="fr-CH"/>
        </w:rPr>
      </w:pPr>
      <w:r w:rsidRPr="00E342DC">
        <w:rPr>
          <w:rFonts w:cs="Tahoma"/>
          <w:szCs w:val="20"/>
          <w:lang w:val="fr-CH"/>
        </w:rPr>
        <w:t xml:space="preserve">En outre, l’article 83 comporte certaines lacunes en ce que le risque de peines ou traitement cruels, inhumains ou dégradants ; la disparition forcée, un procès utilisant des aveux ou des preuves obtenus sous la torture ou d’autres mauvais traitement ne sont pas </w:t>
      </w:r>
      <w:r w:rsidR="006F3027" w:rsidRPr="00E342DC">
        <w:rPr>
          <w:rFonts w:cs="Tahoma"/>
          <w:szCs w:val="20"/>
          <w:lang w:val="fr-CH"/>
        </w:rPr>
        <w:t xml:space="preserve">expressément cités </w:t>
      </w:r>
      <w:r w:rsidRPr="00E342DC">
        <w:rPr>
          <w:rFonts w:cs="Tahoma"/>
          <w:szCs w:val="20"/>
          <w:lang w:val="fr-CH"/>
        </w:rPr>
        <w:t>comme motifs pouvant justifier le refus d’une extradition vers l’</w:t>
      </w:r>
      <w:r w:rsidR="0070261E" w:rsidRPr="00E342DC">
        <w:rPr>
          <w:rFonts w:cs="Tahoma"/>
          <w:szCs w:val="20"/>
          <w:lang w:val="fr-CH"/>
        </w:rPr>
        <w:t>État</w:t>
      </w:r>
      <w:r w:rsidRPr="00E342DC">
        <w:rPr>
          <w:rFonts w:cs="Tahoma"/>
          <w:szCs w:val="20"/>
          <w:lang w:val="fr-CH"/>
        </w:rPr>
        <w:t xml:space="preserve"> requérant. </w:t>
      </w:r>
    </w:p>
    <w:p w:rsidR="00723289" w:rsidRPr="00E342DC" w:rsidRDefault="00723289" w:rsidP="00DA0ABA">
      <w:pPr>
        <w:rPr>
          <w:rFonts w:cs="Tahoma"/>
          <w:szCs w:val="20"/>
          <w:lang w:val="fr-CH"/>
        </w:rPr>
      </w:pPr>
    </w:p>
    <w:p w:rsidR="00B03263" w:rsidRPr="00E342DC" w:rsidRDefault="00723289" w:rsidP="00DA0ABA">
      <w:pPr>
        <w:rPr>
          <w:rFonts w:cs="Tahoma"/>
          <w:szCs w:val="20"/>
          <w:lang w:val="fr-CH"/>
        </w:rPr>
      </w:pPr>
      <w:r w:rsidRPr="00E342DC">
        <w:rPr>
          <w:rFonts w:cs="Tahoma"/>
          <w:szCs w:val="20"/>
          <w:lang w:val="fr-CH"/>
        </w:rPr>
        <w:t>A de nombreux égard</w:t>
      </w:r>
      <w:r w:rsidR="006F3027" w:rsidRPr="00E342DC">
        <w:rPr>
          <w:rFonts w:cs="Tahoma"/>
          <w:szCs w:val="20"/>
          <w:lang w:val="fr-CH"/>
        </w:rPr>
        <w:t>s</w:t>
      </w:r>
      <w:r w:rsidRPr="00E342DC">
        <w:rPr>
          <w:rFonts w:cs="Tahoma"/>
          <w:szCs w:val="20"/>
          <w:lang w:val="fr-CH"/>
        </w:rPr>
        <w:t xml:space="preserve"> l’article 3 de la Convention s’inspire de l’article 33 de la Convention relative au statut des réfugiés de 1951 qui interdit « l’expulsion ou le refoulement » d’un réfugié sur les frontières des </w:t>
      </w:r>
      <w:r w:rsidR="002E6D81" w:rsidRPr="00E342DC">
        <w:rPr>
          <w:rFonts w:cs="Tahoma"/>
          <w:szCs w:val="20"/>
          <w:lang w:val="fr-CH"/>
        </w:rPr>
        <w:t>territoires où sa vie ou sa liberté serait</w:t>
      </w:r>
      <w:r w:rsidRPr="00E342DC">
        <w:rPr>
          <w:rFonts w:cs="Tahoma"/>
          <w:szCs w:val="20"/>
          <w:lang w:val="fr-CH"/>
        </w:rPr>
        <w:t xml:space="preserve"> menacée en raison de sa race, de sa religion, de sa nationalité, de son appartenance à un certain groupe social ou de ses opinions politiques. Il sied de rappeler que l’</w:t>
      </w:r>
      <w:r w:rsidR="0070261E" w:rsidRPr="00E342DC">
        <w:rPr>
          <w:rFonts w:cs="Tahoma"/>
          <w:szCs w:val="20"/>
          <w:lang w:val="fr-CH"/>
        </w:rPr>
        <w:t>État</w:t>
      </w:r>
      <w:r w:rsidRPr="00E342DC">
        <w:rPr>
          <w:rFonts w:cs="Tahoma"/>
          <w:szCs w:val="20"/>
          <w:lang w:val="fr-CH"/>
        </w:rPr>
        <w:t xml:space="preserve"> partie ne s’est pas encore doté d’une loi sur l’asile pouvant donner lieu au statut de réfugi</w:t>
      </w:r>
      <w:r w:rsidR="006F3027" w:rsidRPr="00E342DC">
        <w:rPr>
          <w:rFonts w:cs="Tahoma"/>
          <w:szCs w:val="20"/>
          <w:lang w:val="fr-CH"/>
        </w:rPr>
        <w:t>é</w:t>
      </w:r>
      <w:r w:rsidRPr="00E342DC">
        <w:rPr>
          <w:rFonts w:cs="Tahoma"/>
          <w:szCs w:val="20"/>
          <w:lang w:val="fr-CH"/>
        </w:rPr>
        <w:t xml:space="preserve"> ou à la protection subsidiaire. Une telle loi est nécessaire pour sanctuariser le principe de non-refoulement.</w:t>
      </w:r>
    </w:p>
    <w:p w:rsidR="006F3027" w:rsidRPr="00E342DC" w:rsidRDefault="006F3027" w:rsidP="00DA0ABA">
      <w:pPr>
        <w:rPr>
          <w:rFonts w:cs="Tahoma"/>
          <w:szCs w:val="20"/>
          <w:lang w:val="fr-CH"/>
        </w:rPr>
      </w:pPr>
    </w:p>
    <w:p w:rsidR="006F3027" w:rsidRPr="00E342DC" w:rsidRDefault="002E6D81" w:rsidP="00DA0ABA">
      <w:pPr>
        <w:rPr>
          <w:rFonts w:cs="Tahoma"/>
          <w:b/>
          <w:bCs/>
          <w:szCs w:val="20"/>
          <w:lang w:val="fr-CH"/>
        </w:rPr>
      </w:pPr>
      <w:r w:rsidRPr="00E342DC">
        <w:rPr>
          <w:rFonts w:cs="Tahoma"/>
          <w:b/>
          <w:bCs/>
          <w:szCs w:val="20"/>
          <w:lang w:val="fr-CH"/>
        </w:rPr>
        <w:t>Recommandation</w:t>
      </w:r>
      <w:r w:rsidR="006F3027" w:rsidRPr="00E342DC">
        <w:rPr>
          <w:rFonts w:cs="Tahoma"/>
          <w:b/>
          <w:bCs/>
          <w:szCs w:val="20"/>
          <w:lang w:val="fr-CH"/>
        </w:rPr>
        <w:t>s</w:t>
      </w:r>
      <w:r w:rsidR="002E00C1">
        <w:rPr>
          <w:rFonts w:cs="Tahoma"/>
          <w:b/>
          <w:bCs/>
          <w:szCs w:val="20"/>
          <w:lang w:val="fr-CH"/>
        </w:rPr>
        <w:t> :</w:t>
      </w:r>
      <w:r w:rsidRPr="00E342DC">
        <w:rPr>
          <w:rFonts w:cs="Tahoma"/>
          <w:b/>
          <w:bCs/>
          <w:szCs w:val="20"/>
          <w:lang w:val="fr-CH"/>
        </w:rPr>
        <w:t xml:space="preserve"> </w:t>
      </w:r>
    </w:p>
    <w:p w:rsidR="003266EB" w:rsidRPr="00E342DC" w:rsidRDefault="003266EB" w:rsidP="00DA0ABA">
      <w:pPr>
        <w:rPr>
          <w:rFonts w:cs="Tahoma"/>
          <w:szCs w:val="20"/>
          <w:lang w:val="fr-CH"/>
        </w:rPr>
      </w:pPr>
    </w:p>
    <w:p w:rsidR="00801668" w:rsidRPr="00E342DC" w:rsidRDefault="002E6D81">
      <w:pPr>
        <w:pStyle w:val="ListParagraph"/>
        <w:numPr>
          <w:ilvl w:val="0"/>
          <w:numId w:val="34"/>
        </w:numPr>
        <w:rPr>
          <w:rFonts w:cs="Tahoma"/>
          <w:szCs w:val="20"/>
        </w:rPr>
      </w:pPr>
      <w:r w:rsidRPr="00E342DC">
        <w:rPr>
          <w:rFonts w:cs="Tahoma"/>
          <w:szCs w:val="20"/>
        </w:rPr>
        <w:t>Garantir le respect des droits fondamentaux des personnes arrêtées dans le cadre d’affaires liées au contre-terrorisme</w:t>
      </w:r>
      <w:r w:rsidR="006F3027" w:rsidRPr="00E342DC">
        <w:rPr>
          <w:rFonts w:cs="Tahoma"/>
          <w:szCs w:val="20"/>
        </w:rPr>
        <w:t> ;</w:t>
      </w:r>
    </w:p>
    <w:p w:rsidR="00801668" w:rsidRPr="00E342DC" w:rsidRDefault="002E6D81">
      <w:pPr>
        <w:pStyle w:val="ListParagraph"/>
        <w:numPr>
          <w:ilvl w:val="0"/>
          <w:numId w:val="34"/>
        </w:numPr>
        <w:rPr>
          <w:rFonts w:cs="Tahoma"/>
          <w:szCs w:val="20"/>
        </w:rPr>
      </w:pPr>
      <w:r w:rsidRPr="00E342DC">
        <w:rPr>
          <w:rFonts w:cs="Tahoma"/>
          <w:szCs w:val="20"/>
        </w:rPr>
        <w:t xml:space="preserve">Réviser la loi organique n°22/2015 relative à la lutte contre le terrorisme et la répression du blanchiment d’argent pour mettre un terme aux détentions </w:t>
      </w:r>
      <w:r w:rsidRPr="00E342DC">
        <w:rPr>
          <w:rFonts w:cs="Tahoma"/>
          <w:i/>
          <w:iCs/>
          <w:szCs w:val="20"/>
        </w:rPr>
        <w:t>incommunicado</w:t>
      </w:r>
      <w:r w:rsidR="00BF513F">
        <w:rPr>
          <w:rFonts w:cs="Tahoma"/>
          <w:szCs w:val="20"/>
        </w:rPr>
        <w:t xml:space="preserve"> </w:t>
      </w:r>
      <w:r w:rsidRPr="00E342DC">
        <w:rPr>
          <w:rFonts w:cs="Tahoma"/>
          <w:szCs w:val="20"/>
        </w:rPr>
        <w:t xml:space="preserve">et au secret d’individus suspectés de terrorisme. </w:t>
      </w:r>
    </w:p>
    <w:p w:rsidR="00801668" w:rsidRPr="00E342DC" w:rsidRDefault="003266EB">
      <w:pPr>
        <w:pStyle w:val="ListParagraph"/>
        <w:numPr>
          <w:ilvl w:val="0"/>
          <w:numId w:val="34"/>
        </w:numPr>
        <w:rPr>
          <w:rFonts w:cs="Tahoma"/>
          <w:szCs w:val="20"/>
        </w:rPr>
      </w:pPr>
      <w:r w:rsidRPr="00E342DC">
        <w:rPr>
          <w:rFonts w:cs="Tahoma"/>
          <w:szCs w:val="20"/>
        </w:rPr>
        <w:t xml:space="preserve">Assurer que toute personne ayant un intérêt légitime (par exemple les proches de la personne privée de liberté, leurs représentants ou leurs avocats) ait accès aux informations sur la </w:t>
      </w:r>
      <w:r w:rsidR="006F3027" w:rsidRPr="00E342DC">
        <w:rPr>
          <w:rFonts w:cs="Tahoma"/>
          <w:szCs w:val="20"/>
        </w:rPr>
        <w:t xml:space="preserve">garde à vue de personnes </w:t>
      </w:r>
      <w:r w:rsidRPr="00E342DC">
        <w:rPr>
          <w:rFonts w:cs="Tahoma"/>
          <w:szCs w:val="20"/>
        </w:rPr>
        <w:t>suspecté</w:t>
      </w:r>
      <w:r w:rsidR="006F3027" w:rsidRPr="00E342DC">
        <w:rPr>
          <w:rFonts w:cs="Tahoma"/>
          <w:szCs w:val="20"/>
        </w:rPr>
        <w:t>e</w:t>
      </w:r>
      <w:r w:rsidRPr="00E342DC">
        <w:rPr>
          <w:rFonts w:cs="Tahoma"/>
          <w:szCs w:val="20"/>
        </w:rPr>
        <w:t>s de terrorisme</w:t>
      </w:r>
      <w:r w:rsidR="006F3027" w:rsidRPr="00E342DC">
        <w:rPr>
          <w:rFonts w:cs="Tahoma"/>
          <w:szCs w:val="20"/>
        </w:rPr>
        <w:t>;</w:t>
      </w:r>
    </w:p>
    <w:p w:rsidR="00801668" w:rsidRPr="00E342DC" w:rsidRDefault="002A123B">
      <w:pPr>
        <w:pStyle w:val="ListParagraph"/>
        <w:numPr>
          <w:ilvl w:val="0"/>
          <w:numId w:val="34"/>
        </w:numPr>
        <w:rPr>
          <w:rFonts w:cs="Tahoma"/>
          <w:szCs w:val="20"/>
        </w:rPr>
      </w:pPr>
      <w:r w:rsidRPr="00E342DC">
        <w:rPr>
          <w:rFonts w:cs="Tahoma"/>
          <w:szCs w:val="20"/>
        </w:rPr>
        <w:t xml:space="preserve">Assurer la bonne tenue et un contrôle adéquat </w:t>
      </w:r>
      <w:r w:rsidR="006F3027" w:rsidRPr="00E342DC">
        <w:rPr>
          <w:rFonts w:cs="Tahoma"/>
          <w:szCs w:val="20"/>
        </w:rPr>
        <w:t xml:space="preserve">par des visites régulières par le parquet des lieux de privation de liberté et la tenue </w:t>
      </w:r>
      <w:r w:rsidRPr="00E342DC">
        <w:rPr>
          <w:rFonts w:cs="Tahoma"/>
          <w:szCs w:val="20"/>
        </w:rPr>
        <w:t>d</w:t>
      </w:r>
      <w:r w:rsidR="006F3027" w:rsidRPr="00E342DC">
        <w:rPr>
          <w:rFonts w:cs="Tahoma"/>
          <w:szCs w:val="20"/>
        </w:rPr>
        <w:t>’un</w:t>
      </w:r>
      <w:r w:rsidRPr="00E342DC">
        <w:rPr>
          <w:rFonts w:cs="Tahoma"/>
          <w:szCs w:val="20"/>
        </w:rPr>
        <w:t xml:space="preserve"> registre </w:t>
      </w:r>
      <w:r w:rsidR="006F3027" w:rsidRPr="00E342DC">
        <w:rPr>
          <w:rFonts w:cs="Tahoma"/>
          <w:szCs w:val="20"/>
        </w:rPr>
        <w:t>centralisé</w:t>
      </w:r>
      <w:r w:rsidRPr="00E342DC">
        <w:rPr>
          <w:rFonts w:cs="Tahoma"/>
          <w:szCs w:val="20"/>
        </w:rPr>
        <w:t xml:space="preserve"> des personnes privées de liberté, contenant l’ensemble des informations nécessaires</w:t>
      </w:r>
      <w:r w:rsidRPr="00E342DC">
        <w:rPr>
          <w:rStyle w:val="FootnoteReference"/>
          <w:rFonts w:cs="Tahoma"/>
          <w:szCs w:val="20"/>
        </w:rPr>
        <w:footnoteReference w:id="36"/>
      </w:r>
      <w:r w:rsidRPr="00E342DC">
        <w:rPr>
          <w:rFonts w:cs="Tahoma"/>
          <w:szCs w:val="20"/>
        </w:rPr>
        <w:t xml:space="preserve"> </w:t>
      </w:r>
    </w:p>
    <w:p w:rsidR="003266EB" w:rsidRPr="00E342DC" w:rsidRDefault="003266EB" w:rsidP="00D9565E">
      <w:pPr>
        <w:pStyle w:val="ListParagraph"/>
        <w:numPr>
          <w:ilvl w:val="0"/>
          <w:numId w:val="34"/>
        </w:numPr>
        <w:rPr>
          <w:rFonts w:cs="Tahoma"/>
          <w:szCs w:val="20"/>
        </w:rPr>
      </w:pPr>
      <w:r w:rsidRPr="00E342DC">
        <w:rPr>
          <w:rFonts w:cs="Tahoma"/>
          <w:szCs w:val="20"/>
        </w:rPr>
        <w:t xml:space="preserve">Se doter d’une loi sur l’asile conforme aux dispositions contenues dans la Convention relative au statut des réfugiés de 1951 afin de sanctuariser le principe de non-refoulement applicable en cas d’extradition d’individus suspectés ou condamnés pour terrorisme vers un </w:t>
      </w:r>
      <w:r w:rsidR="0070261E" w:rsidRPr="00E342DC">
        <w:rPr>
          <w:rFonts w:cs="Tahoma"/>
          <w:szCs w:val="20"/>
        </w:rPr>
        <w:t>État</w:t>
      </w:r>
      <w:r w:rsidRPr="00E342DC">
        <w:rPr>
          <w:rFonts w:cs="Tahoma"/>
          <w:szCs w:val="20"/>
        </w:rPr>
        <w:t xml:space="preserve"> requérant.</w:t>
      </w:r>
    </w:p>
    <w:p w:rsidR="003266EB" w:rsidRPr="00E342DC" w:rsidRDefault="003266EB" w:rsidP="00DA0ABA">
      <w:pPr>
        <w:rPr>
          <w:rStyle w:val="hps"/>
          <w:rFonts w:cs="Tahoma"/>
          <w:szCs w:val="20"/>
        </w:rPr>
      </w:pPr>
    </w:p>
    <w:p w:rsidR="00FA23F5" w:rsidRPr="00E342DC" w:rsidRDefault="00FA23F5" w:rsidP="00DA0ABA">
      <w:pPr>
        <w:rPr>
          <w:rFonts w:cs="Tahoma"/>
          <w:szCs w:val="20"/>
          <w:lang w:val="fr-CH" w:bidi="ar-TN"/>
        </w:rPr>
      </w:pPr>
    </w:p>
    <w:p w:rsidR="004E3CB6" w:rsidRPr="00E342DC" w:rsidRDefault="000A3B53" w:rsidP="00DA0ABA">
      <w:pPr>
        <w:pStyle w:val="Heading1"/>
        <w:rPr>
          <w:rFonts w:cs="Tahoma"/>
          <w:lang w:val="fr-CH"/>
        </w:rPr>
      </w:pPr>
      <w:bookmarkStart w:id="21" w:name="_Toc447008729"/>
      <w:r w:rsidRPr="00E342DC">
        <w:rPr>
          <w:rFonts w:cs="Tahoma"/>
          <w:lang w:val="fr-CH"/>
        </w:rPr>
        <w:t>Mesures de prévention</w:t>
      </w:r>
      <w:bookmarkEnd w:id="21"/>
      <w:r w:rsidRPr="00E342DC">
        <w:rPr>
          <w:rFonts w:cs="Tahoma"/>
          <w:lang w:val="fr-CH"/>
        </w:rPr>
        <w:t xml:space="preserve"> </w:t>
      </w:r>
    </w:p>
    <w:p w:rsidR="004E3CB6" w:rsidRPr="00E342DC" w:rsidRDefault="004E3CB6" w:rsidP="00DA0ABA">
      <w:pPr>
        <w:rPr>
          <w:rFonts w:cs="Tahoma"/>
          <w:szCs w:val="20"/>
          <w:lang w:val="fr-CH"/>
        </w:rPr>
      </w:pPr>
    </w:p>
    <w:p w:rsidR="00B03263" w:rsidRPr="00BF513F" w:rsidRDefault="00B03263" w:rsidP="00BF513F">
      <w:pPr>
        <w:pStyle w:val="Heading2"/>
        <w:numPr>
          <w:ilvl w:val="1"/>
          <w:numId w:val="44"/>
        </w:numPr>
        <w:rPr>
          <w:lang w:val="fr-CH"/>
        </w:rPr>
      </w:pPr>
      <w:bookmarkStart w:id="22" w:name="_Toc447008730"/>
      <w:r w:rsidRPr="00BF513F">
        <w:rPr>
          <w:lang w:val="fr-CH"/>
        </w:rPr>
        <w:t>Formation</w:t>
      </w:r>
      <w:bookmarkEnd w:id="22"/>
      <w:r w:rsidRPr="00BF513F">
        <w:rPr>
          <w:lang w:val="fr-CH"/>
        </w:rPr>
        <w:t xml:space="preserve"> </w:t>
      </w:r>
    </w:p>
    <w:p w:rsidR="00B03263" w:rsidRPr="00E342DC" w:rsidRDefault="00B03263" w:rsidP="00DA0ABA">
      <w:pPr>
        <w:rPr>
          <w:rFonts w:cs="Tahoma"/>
          <w:i/>
          <w:szCs w:val="20"/>
          <w:lang w:val="fr-CH"/>
        </w:rPr>
      </w:pPr>
    </w:p>
    <w:p w:rsidR="00772F34" w:rsidRPr="00E342DC" w:rsidRDefault="00772F34" w:rsidP="00772F34">
      <w:pPr>
        <w:rPr>
          <w:rFonts w:cs="Tahoma"/>
          <w:szCs w:val="20"/>
          <w:lang w:val="fr-CH"/>
        </w:rPr>
      </w:pPr>
      <w:r w:rsidRPr="00E342DC">
        <w:rPr>
          <w:rFonts w:cs="Tahoma"/>
          <w:szCs w:val="20"/>
          <w:lang w:val="fr-CH"/>
        </w:rPr>
        <w:t>L’</w:t>
      </w:r>
      <w:r w:rsidR="0070261E" w:rsidRPr="00E342DC">
        <w:rPr>
          <w:rFonts w:cs="Tahoma"/>
          <w:szCs w:val="20"/>
          <w:lang w:val="fr-CH"/>
        </w:rPr>
        <w:t>État</w:t>
      </w:r>
      <w:r w:rsidRPr="00E342DC">
        <w:rPr>
          <w:rFonts w:cs="Tahoma"/>
          <w:szCs w:val="20"/>
          <w:lang w:val="fr-CH"/>
        </w:rPr>
        <w:t xml:space="preserve"> partie est tenu de veiller à ce que les agents de l’</w:t>
      </w:r>
      <w:r w:rsidR="0070261E" w:rsidRPr="00E342DC">
        <w:rPr>
          <w:rFonts w:cs="Tahoma"/>
          <w:szCs w:val="20"/>
          <w:lang w:val="fr-CH"/>
        </w:rPr>
        <w:t>État</w:t>
      </w:r>
      <w:r w:rsidRPr="00E342DC">
        <w:rPr>
          <w:rFonts w:cs="Tahoma"/>
          <w:szCs w:val="20"/>
          <w:lang w:val="fr-CH"/>
        </w:rPr>
        <w:t xml:space="preserve"> qui interviennent dans la garde ou le traitement des personnes privées de liberté soient dûment formés notamment afin de prévenir leur implication dans des actes de torture. </w:t>
      </w:r>
    </w:p>
    <w:p w:rsidR="00772F34" w:rsidRPr="00E342DC" w:rsidRDefault="00772F34" w:rsidP="00772F34">
      <w:pPr>
        <w:rPr>
          <w:rFonts w:cs="Tahoma"/>
          <w:szCs w:val="20"/>
          <w:lang w:val="fr-CH" w:eastAsia="fr-FR"/>
        </w:rPr>
      </w:pPr>
    </w:p>
    <w:p w:rsidR="00772F34" w:rsidRPr="00E342DC" w:rsidRDefault="00CA65A1" w:rsidP="00772F34">
      <w:pPr>
        <w:rPr>
          <w:rFonts w:cs="Tahoma"/>
          <w:szCs w:val="20"/>
          <w:lang w:val="fr-CH"/>
        </w:rPr>
      </w:pPr>
      <w:r w:rsidRPr="00E342DC">
        <w:rPr>
          <w:rFonts w:cs="Tahoma"/>
          <w:szCs w:val="20"/>
          <w:lang w:val="fr-CH"/>
        </w:rPr>
        <w:t>Le r</w:t>
      </w:r>
      <w:r w:rsidRPr="00E342DC">
        <w:rPr>
          <w:rFonts w:cs="Tahoma"/>
          <w:szCs w:val="20"/>
        </w:rPr>
        <w:t xml:space="preserve">apport complémentaire </w:t>
      </w:r>
      <w:r w:rsidR="00772F34" w:rsidRPr="00E342DC">
        <w:rPr>
          <w:rFonts w:cs="Tahoma"/>
          <w:szCs w:val="20"/>
          <w:lang w:val="fr-CH" w:eastAsia="fr-FR"/>
        </w:rPr>
        <w:t>de l’</w:t>
      </w:r>
      <w:r w:rsidR="0070261E" w:rsidRPr="00E342DC">
        <w:rPr>
          <w:rFonts w:cs="Tahoma"/>
          <w:szCs w:val="20"/>
          <w:lang w:val="fr-CH" w:eastAsia="fr-FR"/>
        </w:rPr>
        <w:t>État</w:t>
      </w:r>
      <w:r w:rsidR="00772F34" w:rsidRPr="00E342DC">
        <w:rPr>
          <w:rFonts w:cs="Tahoma"/>
          <w:szCs w:val="20"/>
          <w:lang w:val="fr-CH" w:eastAsia="fr-FR"/>
        </w:rPr>
        <w:t xml:space="preserve"> partie fait mention d’une « formation de base dans le domaine des droits de l’homme » assurée à « tous les organes et les forces de sécurité »</w:t>
      </w:r>
      <w:r w:rsidR="00772F34" w:rsidRPr="00E342DC">
        <w:rPr>
          <w:rStyle w:val="FootnoteReference"/>
          <w:rFonts w:cs="Tahoma"/>
          <w:szCs w:val="20"/>
          <w:lang w:val="fr-CH" w:eastAsia="fr-FR"/>
        </w:rPr>
        <w:footnoteReference w:id="37"/>
      </w:r>
      <w:r w:rsidR="00772F34" w:rsidRPr="00E342DC">
        <w:rPr>
          <w:rFonts w:cs="Tahoma"/>
          <w:szCs w:val="20"/>
          <w:lang w:val="fr-CH" w:eastAsia="fr-FR"/>
        </w:rPr>
        <w:t xml:space="preserve">. Nous notons également que des programmes ponctuels de formation ont été organisés en partenariat avec différentes institutions. Par exemple, </w:t>
      </w:r>
      <w:r w:rsidR="00772F34" w:rsidRPr="00E342DC">
        <w:rPr>
          <w:rFonts w:cs="Tahoma"/>
          <w:szCs w:val="20"/>
          <w:lang w:val="fr-CH"/>
        </w:rPr>
        <w:t>le Ministère de l’intérieur apporte son concours à un Projet de collaboration avec le Comité international de la croix rouge (CICR) dont la finalité est d’</w:t>
      </w:r>
      <w:r w:rsidR="00772F34" w:rsidRPr="00E342DC">
        <w:rPr>
          <w:rFonts w:cs="Tahoma"/>
          <w:i/>
          <w:iCs/>
          <w:szCs w:val="20"/>
          <w:lang w:val="fr-CH"/>
        </w:rPr>
        <w:t xml:space="preserve">«améliorer les modalités de collaboration avec les personnes en garde à vue. » </w:t>
      </w:r>
      <w:r w:rsidR="00772F34" w:rsidRPr="00E342DC">
        <w:rPr>
          <w:rFonts w:cs="Tahoma"/>
          <w:szCs w:val="20"/>
          <w:lang w:val="fr-CH"/>
        </w:rPr>
        <w:t>L’</w:t>
      </w:r>
      <w:r w:rsidR="0070261E" w:rsidRPr="00E342DC">
        <w:rPr>
          <w:rFonts w:cs="Tahoma"/>
          <w:szCs w:val="20"/>
          <w:lang w:val="fr-CH"/>
        </w:rPr>
        <w:t>État</w:t>
      </w:r>
      <w:r w:rsidR="00772F34" w:rsidRPr="00E342DC">
        <w:rPr>
          <w:rFonts w:cs="Tahoma"/>
          <w:szCs w:val="20"/>
          <w:lang w:val="fr-CH"/>
        </w:rPr>
        <w:t xml:space="preserve"> partie affirme que des stages de formation ont notamment été mis en place au profit des cadres et des agents de la police et de la garde nationale chargés de faire respecter la loi, en particulier ceux qui sont en contact avec les personnes en garde à vue, afin de développer les techniques d’enquête dans le domaine judiciaire.</w:t>
      </w:r>
      <w:r w:rsidR="00772F34" w:rsidRPr="00E342DC">
        <w:rPr>
          <w:rStyle w:val="FootnoteReference"/>
          <w:rFonts w:cs="Tahoma"/>
          <w:szCs w:val="20"/>
          <w:lang w:val="fr-CH"/>
        </w:rPr>
        <w:footnoteReference w:id="38"/>
      </w:r>
      <w:r w:rsidR="00772F34" w:rsidRPr="00E342DC">
        <w:rPr>
          <w:rFonts w:cs="Tahoma"/>
          <w:szCs w:val="20"/>
          <w:lang w:val="fr-CH"/>
        </w:rPr>
        <w:t> </w:t>
      </w:r>
    </w:p>
    <w:p w:rsidR="00772F34" w:rsidRPr="00E342DC" w:rsidRDefault="00772F34" w:rsidP="00772F34">
      <w:pPr>
        <w:rPr>
          <w:rFonts w:cs="Tahoma"/>
          <w:szCs w:val="20"/>
          <w:lang w:val="fr-CH"/>
        </w:rPr>
      </w:pPr>
    </w:p>
    <w:p w:rsidR="00801668" w:rsidRPr="00E342DC" w:rsidRDefault="00772F34">
      <w:pPr>
        <w:rPr>
          <w:rFonts w:cs="Tahoma"/>
          <w:szCs w:val="20"/>
          <w:lang w:val="fr-CH"/>
        </w:rPr>
      </w:pPr>
      <w:r w:rsidRPr="00E342DC">
        <w:rPr>
          <w:rFonts w:cs="Tahoma"/>
          <w:szCs w:val="20"/>
          <w:lang w:val="fr-CH"/>
        </w:rPr>
        <w:t>L’</w:t>
      </w:r>
      <w:r w:rsidR="0070261E" w:rsidRPr="00E342DC">
        <w:rPr>
          <w:rFonts w:cs="Tahoma"/>
          <w:szCs w:val="20"/>
          <w:lang w:val="fr-CH"/>
        </w:rPr>
        <w:t>État</w:t>
      </w:r>
      <w:r w:rsidRPr="00E342DC">
        <w:rPr>
          <w:rFonts w:cs="Tahoma"/>
          <w:szCs w:val="20"/>
          <w:lang w:val="fr-CH"/>
        </w:rPr>
        <w:t xml:space="preserve"> partie affirme que qu’à la fin de 2014, 1330 officiers avaient reçu une formation sur les méthodes d’escorte</w:t>
      </w:r>
      <w:r w:rsidR="006F3027" w:rsidRPr="00E342DC">
        <w:rPr>
          <w:rFonts w:cs="Tahoma"/>
          <w:szCs w:val="20"/>
          <w:lang w:val="fr-CH"/>
        </w:rPr>
        <w:t xml:space="preserve"> et</w:t>
      </w:r>
      <w:r w:rsidRPr="00E342DC">
        <w:rPr>
          <w:rFonts w:cs="Tahoma"/>
          <w:szCs w:val="20"/>
          <w:lang w:val="fr-CH"/>
        </w:rPr>
        <w:t xml:space="preserve"> sur la gestion du stress</w:t>
      </w:r>
      <w:r w:rsidR="006F3027" w:rsidRPr="00E342DC">
        <w:rPr>
          <w:rFonts w:cs="Tahoma"/>
          <w:szCs w:val="20"/>
          <w:lang w:val="fr-CH"/>
        </w:rPr>
        <w:t>.</w:t>
      </w:r>
      <w:r w:rsidRPr="00E342DC">
        <w:rPr>
          <w:rFonts w:cs="Tahoma"/>
          <w:szCs w:val="20"/>
          <w:lang w:val="fr-CH"/>
        </w:rPr>
        <w:t xml:space="preserve"> </w:t>
      </w:r>
      <w:r w:rsidR="006F3027" w:rsidRPr="00E342DC">
        <w:rPr>
          <w:rFonts w:cs="Tahoma"/>
          <w:szCs w:val="20"/>
          <w:lang w:val="fr-CH"/>
        </w:rPr>
        <w:t>Selon l’Etat partie, l</w:t>
      </w:r>
      <w:r w:rsidRPr="00E342DC">
        <w:rPr>
          <w:rFonts w:cs="Tahoma"/>
          <w:szCs w:val="20"/>
          <w:lang w:val="fr-CH"/>
        </w:rPr>
        <w:t xml:space="preserve">es agents qui interviennent dans la garde ou le traitement des personnes privées de liberté ont également pris connaissance des instruments relatifs aux droits de l’homme </w:t>
      </w:r>
      <w:r w:rsidR="00005435" w:rsidRPr="00E342DC">
        <w:rPr>
          <w:rFonts w:cs="Tahoma"/>
          <w:szCs w:val="20"/>
          <w:lang w:val="fr-CH"/>
        </w:rPr>
        <w:t xml:space="preserve">et ont pris connaissance </w:t>
      </w:r>
      <w:r w:rsidRPr="00E342DC">
        <w:rPr>
          <w:rFonts w:cs="Tahoma"/>
          <w:szCs w:val="20"/>
          <w:lang w:val="fr-CH"/>
        </w:rPr>
        <w:t>d</w:t>
      </w:r>
      <w:r w:rsidR="00005435" w:rsidRPr="00E342DC">
        <w:rPr>
          <w:rFonts w:cs="Tahoma"/>
          <w:szCs w:val="20"/>
          <w:lang w:val="fr-CH"/>
        </w:rPr>
        <w:t>es garanties</w:t>
      </w:r>
      <w:r w:rsidRPr="00E342DC">
        <w:rPr>
          <w:rFonts w:cs="Tahoma"/>
          <w:szCs w:val="20"/>
          <w:lang w:val="fr-CH"/>
        </w:rPr>
        <w:t xml:space="preserve"> </w:t>
      </w:r>
      <w:r w:rsidR="00005435" w:rsidRPr="00E342DC">
        <w:rPr>
          <w:rFonts w:cs="Tahoma"/>
          <w:szCs w:val="20"/>
          <w:lang w:val="fr-CH"/>
        </w:rPr>
        <w:t xml:space="preserve">du </w:t>
      </w:r>
      <w:r w:rsidRPr="00E342DC">
        <w:rPr>
          <w:rFonts w:cs="Tahoma"/>
          <w:szCs w:val="20"/>
          <w:lang w:val="fr-CH"/>
        </w:rPr>
        <w:t xml:space="preserve">Code de procédure pénale dans le cadre de la détention. </w:t>
      </w:r>
    </w:p>
    <w:p w:rsidR="00801668" w:rsidRPr="00E342DC" w:rsidRDefault="00772F34">
      <w:pPr>
        <w:rPr>
          <w:rFonts w:cs="Tahoma"/>
          <w:szCs w:val="20"/>
          <w:lang w:val="fr-CH"/>
        </w:rPr>
      </w:pPr>
      <w:r w:rsidRPr="00E342DC">
        <w:rPr>
          <w:rFonts w:cs="Tahoma"/>
          <w:szCs w:val="20"/>
          <w:lang w:val="fr-CH"/>
        </w:rPr>
        <w:t xml:space="preserve">La portée </w:t>
      </w:r>
      <w:r w:rsidR="00005435" w:rsidRPr="00E342DC">
        <w:rPr>
          <w:rFonts w:cs="Tahoma"/>
          <w:szCs w:val="20"/>
          <w:lang w:val="fr-CH"/>
        </w:rPr>
        <w:t>d’un tel</w:t>
      </w:r>
      <w:r w:rsidRPr="00E342DC">
        <w:rPr>
          <w:rFonts w:cs="Tahoma"/>
          <w:szCs w:val="20"/>
          <w:lang w:val="fr-CH"/>
        </w:rPr>
        <w:t xml:space="preserve"> programme de formation sera </w:t>
      </w:r>
      <w:r w:rsidR="00005435" w:rsidRPr="00E342DC">
        <w:rPr>
          <w:rFonts w:cs="Tahoma"/>
          <w:szCs w:val="20"/>
          <w:lang w:val="fr-CH"/>
        </w:rPr>
        <w:t xml:space="preserve">de toute évidence </w:t>
      </w:r>
      <w:r w:rsidRPr="00E342DC">
        <w:rPr>
          <w:rFonts w:cs="Tahoma"/>
          <w:szCs w:val="20"/>
          <w:lang w:val="fr-CH"/>
        </w:rPr>
        <w:t xml:space="preserve">limitée tant </w:t>
      </w:r>
      <w:r w:rsidR="00005435" w:rsidRPr="00E342DC">
        <w:rPr>
          <w:rFonts w:cs="Tahoma"/>
          <w:szCs w:val="20"/>
          <w:lang w:val="fr-CH"/>
        </w:rPr>
        <w:t xml:space="preserve">que </w:t>
      </w:r>
      <w:r w:rsidRPr="00E342DC">
        <w:rPr>
          <w:rFonts w:cs="Tahoma"/>
          <w:szCs w:val="20"/>
          <w:lang w:val="fr-CH"/>
        </w:rPr>
        <w:t xml:space="preserve">la loi n° 22/2015 </w:t>
      </w:r>
      <w:r w:rsidR="00005435" w:rsidRPr="00E342DC">
        <w:rPr>
          <w:rFonts w:cs="Tahoma"/>
          <w:szCs w:val="20"/>
          <w:lang w:val="fr-CH"/>
        </w:rPr>
        <w:t>sera dépourvue</w:t>
      </w:r>
      <w:r w:rsidRPr="00E342DC">
        <w:rPr>
          <w:rFonts w:cs="Tahoma"/>
          <w:szCs w:val="20"/>
          <w:lang w:val="fr-CH"/>
        </w:rPr>
        <w:t xml:space="preserve"> de garanties procédurales pouvant prévenir efficacement des actes de tortures ou de mauvais traitements.</w:t>
      </w:r>
    </w:p>
    <w:p w:rsidR="00772F34" w:rsidRPr="00E342DC" w:rsidRDefault="00772F34" w:rsidP="00772F34">
      <w:pPr>
        <w:rPr>
          <w:rFonts w:cs="Tahoma"/>
          <w:szCs w:val="20"/>
        </w:rPr>
      </w:pPr>
    </w:p>
    <w:p w:rsidR="00801668" w:rsidRPr="00E342DC" w:rsidRDefault="00772F34">
      <w:pPr>
        <w:rPr>
          <w:rFonts w:cs="Tahoma"/>
          <w:i/>
          <w:szCs w:val="20"/>
          <w:lang w:val="fr-CH" w:eastAsia="fr-FR"/>
        </w:rPr>
      </w:pPr>
      <w:r w:rsidRPr="00E342DC">
        <w:rPr>
          <w:rFonts w:cs="Tahoma"/>
          <w:szCs w:val="20"/>
        </w:rPr>
        <w:t xml:space="preserve">Concernant la formation du personnel médical qui </w:t>
      </w:r>
      <w:r w:rsidR="00651412" w:rsidRPr="00E342DC">
        <w:rPr>
          <w:rFonts w:cs="Tahoma"/>
          <w:szCs w:val="20"/>
        </w:rPr>
        <w:t>intervient</w:t>
      </w:r>
      <w:r w:rsidRPr="00E342DC">
        <w:rPr>
          <w:rFonts w:cs="Tahoma"/>
          <w:szCs w:val="20"/>
        </w:rPr>
        <w:t xml:space="preserve"> dans </w:t>
      </w:r>
      <w:r w:rsidRPr="00E342DC">
        <w:rPr>
          <w:rFonts w:cs="Tahoma"/>
          <w:szCs w:val="20"/>
          <w:lang w:val="fr-CH"/>
        </w:rPr>
        <w:t>le traitement des personnes privées de liberté, l’</w:t>
      </w:r>
      <w:r w:rsidR="0070261E" w:rsidRPr="00E342DC">
        <w:rPr>
          <w:rFonts w:cs="Tahoma"/>
          <w:szCs w:val="20"/>
          <w:lang w:val="fr-CH"/>
        </w:rPr>
        <w:t>État</w:t>
      </w:r>
      <w:r w:rsidRPr="00E342DC">
        <w:rPr>
          <w:rFonts w:cs="Tahoma"/>
          <w:szCs w:val="20"/>
          <w:lang w:val="fr-CH"/>
        </w:rPr>
        <w:t xml:space="preserve"> partie évoque des programmes de formation destinés </w:t>
      </w:r>
      <w:r w:rsidR="00651412" w:rsidRPr="00E342DC">
        <w:rPr>
          <w:rFonts w:cs="Tahoma"/>
          <w:szCs w:val="20"/>
          <w:lang w:val="fr-CH"/>
        </w:rPr>
        <w:t>aux médecins</w:t>
      </w:r>
      <w:r w:rsidRPr="00E342DC">
        <w:rPr>
          <w:rFonts w:cs="Tahoma"/>
          <w:szCs w:val="20"/>
          <w:lang w:val="fr-CH"/>
        </w:rPr>
        <w:t xml:space="preserve"> de prison. Cependant, le problème principal dans ce domaine n’est pas le manque de qualification, mais plutôt le </w:t>
      </w:r>
      <w:r w:rsidR="00005435" w:rsidRPr="00E342DC">
        <w:rPr>
          <w:rFonts w:cs="Tahoma"/>
          <w:szCs w:val="20"/>
          <w:lang w:val="fr-CH"/>
        </w:rPr>
        <w:t>déficit</w:t>
      </w:r>
      <w:r w:rsidRPr="00E342DC">
        <w:rPr>
          <w:rFonts w:cs="Tahoma"/>
          <w:szCs w:val="20"/>
          <w:lang w:val="fr-CH"/>
        </w:rPr>
        <w:t xml:space="preserve"> de ressources humaines qui </w:t>
      </w:r>
      <w:r w:rsidR="00005435" w:rsidRPr="00E342DC">
        <w:rPr>
          <w:rFonts w:cs="Tahoma"/>
          <w:szCs w:val="20"/>
          <w:lang w:val="fr-CH"/>
        </w:rPr>
        <w:t>restent en-deçà des</w:t>
      </w:r>
      <w:r w:rsidRPr="00E342DC">
        <w:rPr>
          <w:rFonts w:cs="Tahoma"/>
          <w:szCs w:val="20"/>
          <w:lang w:val="fr-CH"/>
        </w:rPr>
        <w:t xml:space="preserve"> normes internationales acceptables. En effet, le rapporteur spécial sur la torture avait estimé qu’en 2011 le pays comptait </w:t>
      </w:r>
      <w:r w:rsidR="00005435" w:rsidRPr="00E342DC">
        <w:rPr>
          <w:rFonts w:cs="Tahoma"/>
          <w:szCs w:val="20"/>
          <w:lang w:val="fr-CH"/>
        </w:rPr>
        <w:t xml:space="preserve">pour sa population </w:t>
      </w:r>
      <w:r w:rsidRPr="00E342DC">
        <w:rPr>
          <w:rFonts w:cs="Tahoma"/>
          <w:szCs w:val="20"/>
          <w:lang w:val="fr-CH"/>
        </w:rPr>
        <w:t>seulement 36 médecins résidents (ou permanents), 28 psychologues, 14 dentistes</w:t>
      </w:r>
      <w:r w:rsidR="00005435" w:rsidRPr="00E342DC">
        <w:rPr>
          <w:rFonts w:cs="Tahoma"/>
          <w:szCs w:val="20"/>
          <w:lang w:val="fr-CH"/>
        </w:rPr>
        <w:t xml:space="preserve"> et aucun psychiatre.</w:t>
      </w:r>
      <w:r w:rsidR="00BF513F">
        <w:rPr>
          <w:rFonts w:cs="Tahoma"/>
          <w:szCs w:val="20"/>
          <w:lang w:val="fr-CH"/>
        </w:rPr>
        <w:t xml:space="preserve"> </w:t>
      </w:r>
    </w:p>
    <w:p w:rsidR="00434727" w:rsidRPr="00E342DC" w:rsidRDefault="00434727" w:rsidP="00DA0ABA">
      <w:pPr>
        <w:bidi/>
        <w:ind w:left="-99"/>
        <w:rPr>
          <w:rFonts w:cs="Tahoma"/>
          <w:szCs w:val="20"/>
          <w:lang w:val="fr-CH" w:eastAsia="fr-FR"/>
        </w:rPr>
      </w:pPr>
    </w:p>
    <w:p w:rsidR="00065EC0" w:rsidRPr="00E342DC" w:rsidRDefault="000C6B7E" w:rsidP="00DA0ABA">
      <w:pPr>
        <w:pStyle w:val="Heading2"/>
        <w:rPr>
          <w:rFonts w:cs="Tahoma"/>
          <w:szCs w:val="20"/>
          <w:lang w:val="fr-CH"/>
        </w:rPr>
      </w:pPr>
      <w:bookmarkStart w:id="23" w:name="_Toc447008731"/>
      <w:r w:rsidRPr="00E342DC">
        <w:rPr>
          <w:rFonts w:cs="Tahoma"/>
          <w:szCs w:val="20"/>
          <w:lang w:val="fr-CH"/>
        </w:rPr>
        <w:t>Mécanismes de prévention de la torture au sein des lieux de privation de liberté</w:t>
      </w:r>
      <w:bookmarkEnd w:id="23"/>
    </w:p>
    <w:p w:rsidR="000C6B7E" w:rsidRPr="00E342DC" w:rsidRDefault="000C6B7E" w:rsidP="00DA0ABA">
      <w:pPr>
        <w:bidi/>
        <w:ind w:left="-99"/>
        <w:rPr>
          <w:rFonts w:cs="Tahoma"/>
          <w:sz w:val="24"/>
          <w:szCs w:val="24"/>
          <w:lang w:val="fr-CH" w:bidi="ar-TN"/>
        </w:rPr>
      </w:pPr>
    </w:p>
    <w:p w:rsidR="000C6B7E" w:rsidRPr="002E00C1" w:rsidRDefault="0070261E" w:rsidP="00DA0ABA">
      <w:pPr>
        <w:rPr>
          <w:rFonts w:cs="Tahoma"/>
          <w:i/>
          <w:szCs w:val="20"/>
          <w:lang w:val="fr-CH"/>
        </w:rPr>
      </w:pPr>
      <w:r w:rsidRPr="002E00C1">
        <w:rPr>
          <w:rFonts w:cs="Tahoma"/>
          <w:i/>
          <w:szCs w:val="20"/>
          <w:lang w:val="fr-CH"/>
        </w:rPr>
        <w:t>État</w:t>
      </w:r>
      <w:r w:rsidR="000C6B7E" w:rsidRPr="002E00C1">
        <w:rPr>
          <w:rFonts w:cs="Tahoma"/>
          <w:i/>
          <w:szCs w:val="20"/>
          <w:lang w:val="fr-CH"/>
        </w:rPr>
        <w:t xml:space="preserve"> actuel du droit </w:t>
      </w:r>
    </w:p>
    <w:p w:rsidR="00065EC0" w:rsidRPr="00E342DC" w:rsidRDefault="00065EC0" w:rsidP="00DA0ABA">
      <w:pPr>
        <w:rPr>
          <w:rFonts w:cs="Tahoma"/>
          <w:iCs/>
          <w:szCs w:val="20"/>
          <w:lang w:val="fr-CH"/>
        </w:rPr>
      </w:pPr>
      <w:r w:rsidRPr="00E342DC">
        <w:rPr>
          <w:rFonts w:cs="Tahoma"/>
          <w:iCs/>
          <w:szCs w:val="20"/>
          <w:lang w:val="fr-CH"/>
        </w:rPr>
        <w:t xml:space="preserve">L’article 11 de la Convention fait peser sur les </w:t>
      </w:r>
      <w:r w:rsidR="0070261E" w:rsidRPr="00E342DC">
        <w:rPr>
          <w:rFonts w:cs="Tahoma"/>
          <w:iCs/>
          <w:szCs w:val="20"/>
          <w:lang w:val="fr-CH"/>
        </w:rPr>
        <w:t>État</w:t>
      </w:r>
      <w:r w:rsidRPr="00E342DC">
        <w:rPr>
          <w:rFonts w:cs="Tahoma"/>
          <w:iCs/>
          <w:szCs w:val="20"/>
          <w:lang w:val="fr-CH"/>
        </w:rPr>
        <w:t xml:space="preserve">s parties le devoir de surveiller systématiquement les règles, instructions, méthodes et pratiques d’interrogatoire et les dispositions concernant la garde et le traitement réservé aux personnes arrêtées, détenues ou emprisonnées. </w:t>
      </w:r>
    </w:p>
    <w:p w:rsidR="00870FDE" w:rsidRPr="00E342DC" w:rsidRDefault="00870FDE" w:rsidP="00DA0ABA">
      <w:pPr>
        <w:rPr>
          <w:rFonts w:cs="Tahoma"/>
          <w:sz w:val="19"/>
          <w:szCs w:val="19"/>
          <w:lang w:val="fr-CH" w:eastAsia="fr-FR"/>
        </w:rPr>
      </w:pPr>
    </w:p>
    <w:p w:rsidR="00801668" w:rsidRPr="00E342DC" w:rsidRDefault="00870FDE">
      <w:pPr>
        <w:rPr>
          <w:rFonts w:cs="Tahoma"/>
          <w:lang w:val="fr-CH" w:eastAsia="fr-FR"/>
        </w:rPr>
      </w:pPr>
      <w:r w:rsidRPr="00E342DC">
        <w:rPr>
          <w:rFonts w:cs="Tahoma"/>
          <w:lang w:val="fr-CH" w:eastAsia="fr-FR"/>
        </w:rPr>
        <w:t>L’</w:t>
      </w:r>
      <w:r w:rsidR="0070261E" w:rsidRPr="00E342DC">
        <w:rPr>
          <w:rFonts w:cs="Tahoma"/>
          <w:lang w:val="fr-CH" w:eastAsia="fr-FR"/>
        </w:rPr>
        <w:t>État</w:t>
      </w:r>
      <w:r w:rsidRPr="00E342DC">
        <w:rPr>
          <w:rFonts w:cs="Tahoma"/>
          <w:lang w:val="fr-CH" w:eastAsia="fr-FR"/>
        </w:rPr>
        <w:t xml:space="preserve"> partie affirme également que les interrogatoires se déroulent sous la surveillance directe des repr</w:t>
      </w:r>
      <w:r w:rsidR="00AE064A" w:rsidRPr="00E342DC">
        <w:rPr>
          <w:rFonts w:cs="Tahoma"/>
          <w:lang w:val="fr-CH" w:eastAsia="fr-FR"/>
        </w:rPr>
        <w:t xml:space="preserve">ésentants du Procureur général. </w:t>
      </w:r>
      <w:r w:rsidR="00005435" w:rsidRPr="00E342DC">
        <w:rPr>
          <w:rFonts w:cs="Tahoma"/>
          <w:iCs/>
          <w:szCs w:val="20"/>
          <w:lang w:val="fr-CH"/>
        </w:rPr>
        <w:t>Il convient de rappeler qu’à</w:t>
      </w:r>
      <w:r w:rsidR="00F875E9" w:rsidRPr="00E342DC">
        <w:rPr>
          <w:rFonts w:cs="Tahoma"/>
          <w:iCs/>
          <w:szCs w:val="20"/>
          <w:lang w:val="fr-CH"/>
        </w:rPr>
        <w:t xml:space="preserve"> c</w:t>
      </w:r>
      <w:r w:rsidR="00065EC0" w:rsidRPr="00E342DC">
        <w:rPr>
          <w:rFonts w:cs="Tahoma"/>
          <w:iCs/>
          <w:szCs w:val="20"/>
          <w:lang w:val="fr-CH"/>
        </w:rPr>
        <w:t xml:space="preserve">e jour, le droit à l’assistance </w:t>
      </w:r>
      <w:r w:rsidR="00005435" w:rsidRPr="00E342DC">
        <w:rPr>
          <w:rFonts w:cs="Tahoma"/>
          <w:iCs/>
          <w:szCs w:val="20"/>
          <w:lang w:val="fr-CH"/>
        </w:rPr>
        <w:t>d’</w:t>
      </w:r>
      <w:r w:rsidR="00065EC0" w:rsidRPr="00E342DC">
        <w:rPr>
          <w:rFonts w:cs="Tahoma"/>
          <w:iCs/>
          <w:szCs w:val="20"/>
          <w:lang w:val="fr-CH"/>
        </w:rPr>
        <w:t>un avocat durant la garde à vue n’est pas garanti dans la législation de l’</w:t>
      </w:r>
      <w:r w:rsidR="0070261E" w:rsidRPr="00E342DC">
        <w:rPr>
          <w:rFonts w:cs="Tahoma"/>
          <w:iCs/>
          <w:szCs w:val="20"/>
          <w:lang w:val="fr-CH"/>
        </w:rPr>
        <w:t>État</w:t>
      </w:r>
      <w:r w:rsidR="00065EC0" w:rsidRPr="00E342DC">
        <w:rPr>
          <w:rFonts w:cs="Tahoma"/>
          <w:iCs/>
          <w:szCs w:val="20"/>
          <w:lang w:val="fr-CH"/>
        </w:rPr>
        <w:t xml:space="preserve"> partie. Ces éléments ne facilitent pas, de toute évidence, la surveillance des interrogatoires et le traitement des personnes privées de liberté. </w:t>
      </w:r>
      <w:r w:rsidR="00AE064A" w:rsidRPr="00E342DC">
        <w:rPr>
          <w:rFonts w:cs="Tahoma"/>
          <w:iCs/>
          <w:szCs w:val="20"/>
          <w:lang w:val="fr-CH"/>
        </w:rPr>
        <w:t xml:space="preserve">En effet, </w:t>
      </w:r>
      <w:r w:rsidR="00AE064A" w:rsidRPr="00E342DC">
        <w:rPr>
          <w:rFonts w:cs="Tahoma"/>
          <w:lang w:val="fr-CH" w:eastAsia="fr-FR"/>
        </w:rPr>
        <w:t>dans tous les cas documentés par Alkarama, les victimes témoignent avoir été interrogées par la police judiciaire sans la présence d’un avocat ou d’un magistrat.</w:t>
      </w:r>
    </w:p>
    <w:p w:rsidR="00AE064A" w:rsidRPr="00E342DC" w:rsidRDefault="00AE064A" w:rsidP="00DA0ABA">
      <w:pPr>
        <w:rPr>
          <w:rFonts w:cs="Tahoma"/>
          <w:lang w:val="fr-CH" w:eastAsia="fr-FR"/>
        </w:rPr>
      </w:pPr>
    </w:p>
    <w:p w:rsidR="008D22BF" w:rsidRPr="00E342DC" w:rsidRDefault="00AE064A" w:rsidP="00DA0ABA">
      <w:pPr>
        <w:rPr>
          <w:rFonts w:cs="Tahoma"/>
          <w:lang w:val="fr-CH" w:eastAsia="fr-FR"/>
        </w:rPr>
      </w:pPr>
      <w:r w:rsidRPr="00E342DC">
        <w:rPr>
          <w:rFonts w:cs="Tahoma"/>
          <w:lang w:val="fr-CH" w:eastAsia="fr-FR"/>
        </w:rPr>
        <w:t xml:space="preserve">Le rapport étatique mentionne des organismes tels que le bureau du Haut Commissariat aux droits de l’homme à Tunis, les procédures spéciales et un certain nombre d’organisations de la société civile autorisées à visiter les lieux de privations de liberté. Il convient de préciser ici que lors de la visite de </w:t>
      </w:r>
      <w:r w:rsidRPr="00E342DC">
        <w:rPr>
          <w:rFonts w:cs="Tahoma"/>
          <w:lang w:val="fr-CH" w:eastAsia="fr-FR"/>
        </w:rPr>
        <w:lastRenderedPageBreak/>
        <w:t>suivi du Rapporteur spécial sur la torture, M. Juan Méndez, en juin 2014, celui-ci n’avait pas été autorisé à visiter le centre de la police judiciaire de Gorjani, où un</w:t>
      </w:r>
      <w:r w:rsidR="00BB0A37" w:rsidRPr="00E342DC">
        <w:rPr>
          <w:rFonts w:cs="Tahoma"/>
          <w:lang w:val="fr-CH" w:eastAsia="fr-FR"/>
        </w:rPr>
        <w:t xml:space="preserve"> grand nombre de personnes ont alléguées</w:t>
      </w:r>
      <w:r w:rsidRPr="00E342DC">
        <w:rPr>
          <w:rFonts w:cs="Tahoma"/>
          <w:lang w:val="fr-CH" w:eastAsia="fr-FR"/>
        </w:rPr>
        <w:t xml:space="preserve"> avoir été torturées et contraintes de signer des aveux sous la torture.</w:t>
      </w:r>
      <w:r w:rsidR="00CB310A" w:rsidRPr="00E342DC">
        <w:rPr>
          <w:rFonts w:cs="Tahoma"/>
          <w:lang w:val="fr-CH" w:eastAsia="fr-FR"/>
        </w:rPr>
        <w:t xml:space="preserve"> </w:t>
      </w:r>
    </w:p>
    <w:p w:rsidR="000C6B7E" w:rsidRPr="00E342DC" w:rsidRDefault="000C6B7E" w:rsidP="00DA0ABA">
      <w:pPr>
        <w:rPr>
          <w:rFonts w:cs="Tahoma"/>
          <w:lang w:val="fr-CH" w:eastAsia="fr-FR"/>
        </w:rPr>
      </w:pPr>
    </w:p>
    <w:p w:rsidR="00384D74" w:rsidRPr="002E00C1" w:rsidRDefault="00384D74" w:rsidP="00DA0ABA">
      <w:pPr>
        <w:rPr>
          <w:rFonts w:cs="Tahoma"/>
          <w:i/>
          <w:iCs/>
          <w:lang w:val="fr-CH" w:eastAsia="fr-FR"/>
        </w:rPr>
      </w:pPr>
      <w:r w:rsidRPr="002E00C1">
        <w:rPr>
          <w:rFonts w:cs="Tahoma"/>
          <w:i/>
          <w:iCs/>
          <w:lang w:val="fr-CH" w:eastAsia="fr-FR"/>
        </w:rPr>
        <w:t>Mécanisme National de Protection</w:t>
      </w:r>
    </w:p>
    <w:p w:rsidR="000C6B7E" w:rsidRPr="00E342DC" w:rsidRDefault="004C146C" w:rsidP="000C6B7E">
      <w:pPr>
        <w:rPr>
          <w:rFonts w:cs="Tahoma"/>
          <w:lang w:val="fr-CH"/>
        </w:rPr>
      </w:pPr>
      <w:r w:rsidRPr="00E342DC">
        <w:rPr>
          <w:rFonts w:cs="Tahoma"/>
          <w:lang w:val="fr-CH"/>
        </w:rPr>
        <w:t>Suite à la ratification par l’</w:t>
      </w:r>
      <w:r w:rsidR="0070261E" w:rsidRPr="00E342DC">
        <w:rPr>
          <w:rFonts w:cs="Tahoma"/>
          <w:lang w:val="fr-CH"/>
        </w:rPr>
        <w:t>État</w:t>
      </w:r>
      <w:r w:rsidRPr="00E342DC">
        <w:rPr>
          <w:rFonts w:cs="Tahoma"/>
          <w:lang w:val="fr-CH"/>
        </w:rPr>
        <w:t xml:space="preserve"> partie de l’OPCAT en juillet 2011, l’Assemblée nationale constituante (ANC) a</w:t>
      </w:r>
      <w:r w:rsidR="00645C91" w:rsidRPr="00E342DC">
        <w:rPr>
          <w:rFonts w:cs="Tahoma"/>
          <w:lang w:val="fr-CH"/>
        </w:rPr>
        <w:t>vait alors</w:t>
      </w:r>
      <w:r w:rsidRPr="00E342DC">
        <w:rPr>
          <w:rFonts w:cs="Tahoma"/>
          <w:lang w:val="fr-CH"/>
        </w:rPr>
        <w:t xml:space="preserve"> adopté le 23 octobre 2013 la loi organique n° 43/2013 instaurant l’Instance Nationale pour la prévention de la torture.</w:t>
      </w:r>
    </w:p>
    <w:p w:rsidR="004C146C" w:rsidRPr="00E342DC" w:rsidRDefault="004C146C" w:rsidP="00DA0ABA">
      <w:pPr>
        <w:rPr>
          <w:rFonts w:cs="Tahoma"/>
          <w:lang w:val="fr-CH" w:eastAsia="fr-FR"/>
        </w:rPr>
      </w:pPr>
    </w:p>
    <w:p w:rsidR="00AB4AF9" w:rsidRPr="00E342DC" w:rsidRDefault="00645C91" w:rsidP="00DA0ABA">
      <w:pPr>
        <w:rPr>
          <w:rFonts w:cs="Tahoma"/>
          <w:lang w:val="fr-CH" w:eastAsia="fr-FR"/>
        </w:rPr>
      </w:pPr>
      <w:r w:rsidRPr="00E342DC">
        <w:rPr>
          <w:rFonts w:cs="Tahoma"/>
          <w:lang w:val="fr-CH" w:eastAsia="fr-FR"/>
        </w:rPr>
        <w:t>Tout d’abord</w:t>
      </w:r>
      <w:r w:rsidR="00817893" w:rsidRPr="00E342DC">
        <w:rPr>
          <w:rFonts w:cs="Tahoma"/>
          <w:lang w:val="fr-CH" w:eastAsia="fr-FR"/>
        </w:rPr>
        <w:t>, i</w:t>
      </w:r>
      <w:r w:rsidR="008B1023" w:rsidRPr="00E342DC">
        <w:rPr>
          <w:rFonts w:cs="Tahoma"/>
          <w:lang w:val="fr-CH" w:eastAsia="fr-FR"/>
        </w:rPr>
        <w:t xml:space="preserve">l </w:t>
      </w:r>
      <w:r w:rsidR="00410C87" w:rsidRPr="00E342DC">
        <w:rPr>
          <w:rFonts w:cs="Tahoma"/>
          <w:lang w:val="fr-CH" w:eastAsia="fr-FR"/>
        </w:rPr>
        <w:t xml:space="preserve">convient </w:t>
      </w:r>
      <w:r w:rsidR="008B1023" w:rsidRPr="00E342DC">
        <w:rPr>
          <w:rFonts w:cs="Tahoma"/>
          <w:lang w:val="fr-CH" w:eastAsia="fr-FR"/>
        </w:rPr>
        <w:t xml:space="preserve">de rappeler que </w:t>
      </w:r>
      <w:r w:rsidR="00CB310A" w:rsidRPr="00E342DC">
        <w:rPr>
          <w:rFonts w:cs="Tahoma"/>
          <w:lang w:val="fr-CH" w:eastAsia="fr-FR"/>
        </w:rPr>
        <w:t>l’</w:t>
      </w:r>
      <w:r w:rsidR="0070261E" w:rsidRPr="00E342DC">
        <w:rPr>
          <w:rFonts w:cs="Tahoma"/>
          <w:lang w:val="fr-CH" w:eastAsia="fr-FR"/>
        </w:rPr>
        <w:t>État</w:t>
      </w:r>
      <w:r w:rsidR="00CB310A" w:rsidRPr="00E342DC">
        <w:rPr>
          <w:rFonts w:cs="Tahoma"/>
          <w:lang w:val="fr-CH" w:eastAsia="fr-FR"/>
        </w:rPr>
        <w:t xml:space="preserve"> partie ne s’est pas encore doté d’un Mécanisme National de </w:t>
      </w:r>
      <w:r w:rsidR="00AB4AF9" w:rsidRPr="00E342DC">
        <w:rPr>
          <w:rFonts w:cs="Tahoma"/>
          <w:lang w:val="fr-CH" w:eastAsia="fr-FR"/>
        </w:rPr>
        <w:t>Protection (MNP) opérationnel. En effet, les 16 membres de l’Instance nationale pour la prévention de la torture et autres peines ou traitements cruels, inhumains ou dégradants n’ont pas encore été sélectionnés par l’ARP. Cette insta</w:t>
      </w:r>
      <w:r w:rsidR="00817893" w:rsidRPr="00E342DC">
        <w:rPr>
          <w:rFonts w:cs="Tahoma"/>
          <w:lang w:val="fr-CH" w:eastAsia="fr-FR"/>
        </w:rPr>
        <w:t xml:space="preserve">nce est amenée à jouer un rôle </w:t>
      </w:r>
      <w:r w:rsidR="00AB4AF9" w:rsidRPr="00E342DC">
        <w:rPr>
          <w:rFonts w:cs="Tahoma"/>
          <w:lang w:val="fr-CH" w:eastAsia="fr-FR"/>
        </w:rPr>
        <w:t xml:space="preserve">prépondérant dans la surveillance systématique des standards et pratiques d’interrogatoire et des dispositions afférant au traitement et à la garde des personnes privées de liberté. En effet, l’article 3 de la loi organique 43/2013 prévoit </w:t>
      </w:r>
      <w:r w:rsidR="00AB4AF9" w:rsidRPr="00E342DC">
        <w:rPr>
          <w:rFonts w:cs="Tahoma"/>
          <w:i/>
          <w:iCs/>
          <w:lang w:val="fr-CH" w:eastAsia="fr-FR"/>
        </w:rPr>
        <w:t xml:space="preserve">inter alia </w:t>
      </w:r>
      <w:r w:rsidR="00AB4AF9" w:rsidRPr="00E342DC">
        <w:rPr>
          <w:rFonts w:cs="Tahoma"/>
          <w:lang w:val="fr-CH" w:eastAsia="fr-FR"/>
        </w:rPr>
        <w:t>que</w:t>
      </w:r>
      <w:r w:rsidR="00AB4AF9" w:rsidRPr="00E342DC">
        <w:rPr>
          <w:rFonts w:cs="Tahoma"/>
          <w:i/>
          <w:iCs/>
          <w:lang w:val="fr-CH" w:eastAsia="fr-FR"/>
        </w:rPr>
        <w:t xml:space="preserve"> </w:t>
      </w:r>
      <w:r w:rsidR="00410C87" w:rsidRPr="00E342DC">
        <w:rPr>
          <w:rFonts w:cs="Tahoma"/>
          <w:lang w:val="fr-CH" w:eastAsia="fr-FR"/>
        </w:rPr>
        <w:t xml:space="preserve">cette </w:t>
      </w:r>
      <w:r w:rsidR="00AB4AF9" w:rsidRPr="00E342DC">
        <w:rPr>
          <w:rFonts w:cs="Tahoma"/>
          <w:lang w:val="fr-CH" w:eastAsia="fr-FR"/>
        </w:rPr>
        <w:t>instance pourra « effectuer des visites périodiques et régulières et autres inopinées sans préavis et à tout moment choisi aux lieux de détention où se trouvent ou pourraient se trouver des personnes privées de liberté »</w:t>
      </w:r>
      <w:r w:rsidR="00B2008A" w:rsidRPr="00E342DC">
        <w:rPr>
          <w:rFonts w:cs="Tahoma"/>
          <w:lang w:val="fr-CH" w:eastAsia="fr-FR"/>
        </w:rPr>
        <w:t> ; « Recevoir les plaintes et les notifications concernant les éventuels cas de torture et autres peines ou traitements cruels, inhumains ou dégradants dans les lieux de détention, assurer l’investigation de ces cas et les transmettre, selon le cas, aux autorités administratives ou juridictionnelles compétentes. » ou encore « Donner son avis concernant les textes de projets de lois et de règlements se rapportant à la prévention de la torture et des traitements dégradants reçus des autorités compétentes. »</w:t>
      </w:r>
      <w:r w:rsidR="00E8180B" w:rsidRPr="00E342DC">
        <w:rPr>
          <w:rFonts w:cs="Tahoma"/>
          <w:lang w:val="fr-CH" w:eastAsia="fr-FR"/>
        </w:rPr>
        <w:t xml:space="preserve"> </w:t>
      </w:r>
    </w:p>
    <w:p w:rsidR="00645C91" w:rsidRPr="00E342DC" w:rsidRDefault="00645C91" w:rsidP="00DA0ABA">
      <w:pPr>
        <w:rPr>
          <w:rFonts w:cs="Tahoma"/>
          <w:lang w:val="fr-CH" w:eastAsia="fr-FR"/>
        </w:rPr>
      </w:pPr>
    </w:p>
    <w:p w:rsidR="00801668" w:rsidRPr="00E342DC" w:rsidRDefault="00645C91">
      <w:pPr>
        <w:rPr>
          <w:rFonts w:cs="Tahoma"/>
          <w:lang w:val="fr-CH"/>
        </w:rPr>
      </w:pPr>
      <w:r w:rsidRPr="00E342DC">
        <w:rPr>
          <w:rFonts w:cs="Tahoma"/>
          <w:lang w:val="fr-CH"/>
        </w:rPr>
        <w:t xml:space="preserve">Deuxièmement, le mandat relatif aux visites est limité par l’article 13. </w:t>
      </w:r>
      <w:r w:rsidR="00A44EC5" w:rsidRPr="00E342DC">
        <w:rPr>
          <w:rFonts w:cs="Tahoma"/>
          <w:lang w:val="fr-CH"/>
        </w:rPr>
        <w:t>Celui-ci stipule que « l</w:t>
      </w:r>
      <w:r w:rsidRPr="00E342DC">
        <w:rPr>
          <w:rFonts w:cs="Tahoma"/>
          <w:lang w:val="fr-CH"/>
        </w:rPr>
        <w:t>es autorités concernées ne peuvent faire objection à une visite périodique ou inopinée d’un lieu déterminé que pour des raisons pressantes et impérieuses liées à la défense nationale, à la sécurité publique.</w:t>
      </w:r>
      <w:r w:rsidR="00A44EC5" w:rsidRPr="00E342DC">
        <w:rPr>
          <w:rFonts w:cs="Tahoma"/>
          <w:lang w:val="fr-CH"/>
        </w:rPr>
        <w:t>»</w:t>
      </w:r>
      <w:r w:rsidRPr="00E342DC">
        <w:rPr>
          <w:rFonts w:cs="Tahoma"/>
          <w:lang w:val="fr-CH"/>
        </w:rPr>
        <w:t xml:space="preserve"> Dans les faits, Alkarama a observé que c’est précisément lorsque l’</w:t>
      </w:r>
      <w:r w:rsidR="0070261E" w:rsidRPr="00E342DC">
        <w:rPr>
          <w:rFonts w:cs="Tahoma"/>
          <w:lang w:val="fr-CH"/>
        </w:rPr>
        <w:t>État</w:t>
      </w:r>
      <w:r w:rsidRPr="00E342DC">
        <w:rPr>
          <w:rFonts w:cs="Tahoma"/>
          <w:lang w:val="fr-CH"/>
        </w:rPr>
        <w:t xml:space="preserve"> invoque la sécurité publique notamment dans le cadre de la lutte antiterroriste que les droits fondamentaux sont </w:t>
      </w:r>
      <w:r w:rsidR="00F875E9" w:rsidRPr="00E342DC">
        <w:rPr>
          <w:rFonts w:cs="Tahoma"/>
          <w:lang w:val="fr-CH"/>
        </w:rPr>
        <w:t>violés</w:t>
      </w:r>
      <w:r w:rsidR="00BB0A37" w:rsidRPr="00E342DC">
        <w:rPr>
          <w:rFonts w:cs="Tahoma"/>
          <w:lang w:val="fr-CH"/>
        </w:rPr>
        <w:t xml:space="preserve">. </w:t>
      </w:r>
    </w:p>
    <w:p w:rsidR="00410C87" w:rsidRPr="00E342DC" w:rsidRDefault="00410C87" w:rsidP="00DA0ABA">
      <w:pPr>
        <w:rPr>
          <w:rFonts w:cs="Tahoma"/>
          <w:lang w:val="fr-CH" w:eastAsia="fr-FR"/>
        </w:rPr>
      </w:pPr>
    </w:p>
    <w:p w:rsidR="008B1023" w:rsidRPr="00E342DC" w:rsidRDefault="00A44EC5" w:rsidP="00DA0ABA">
      <w:pPr>
        <w:rPr>
          <w:rFonts w:cs="Tahoma"/>
          <w:lang w:val="fr-CH"/>
        </w:rPr>
      </w:pPr>
      <w:r w:rsidRPr="00E342DC">
        <w:rPr>
          <w:rFonts w:cs="Tahoma"/>
          <w:lang w:val="fr-CH" w:eastAsia="fr-FR"/>
        </w:rPr>
        <w:t>Néanmoins, l</w:t>
      </w:r>
      <w:r w:rsidR="008B1023" w:rsidRPr="00E342DC">
        <w:rPr>
          <w:rFonts w:cs="Tahoma"/>
          <w:lang w:val="fr-CH" w:eastAsia="fr-FR"/>
        </w:rPr>
        <w:t xml:space="preserve">’ARP </w:t>
      </w:r>
      <w:r w:rsidR="00983ED1" w:rsidRPr="00E342DC">
        <w:rPr>
          <w:rFonts w:cs="Tahoma"/>
          <w:lang w:val="fr-CH" w:eastAsia="fr-FR"/>
        </w:rPr>
        <w:t>se doit</w:t>
      </w:r>
      <w:r w:rsidR="00E8180B" w:rsidRPr="00E342DC">
        <w:rPr>
          <w:rFonts w:cs="Tahoma"/>
          <w:lang w:val="fr-CH" w:eastAsia="fr-FR"/>
        </w:rPr>
        <w:t xml:space="preserve"> d’accélérer la procédure pour rendre opérationn</w:t>
      </w:r>
      <w:r w:rsidR="00817893" w:rsidRPr="00E342DC">
        <w:rPr>
          <w:rFonts w:cs="Tahoma"/>
          <w:lang w:val="fr-CH" w:eastAsia="fr-FR"/>
        </w:rPr>
        <w:t xml:space="preserve">elle l’instance tout en tenant </w:t>
      </w:r>
      <w:r w:rsidR="00E8180B" w:rsidRPr="00E342DC">
        <w:rPr>
          <w:rFonts w:cs="Tahoma"/>
          <w:lang w:val="fr-CH"/>
        </w:rPr>
        <w:t xml:space="preserve">dûment compte des Principes </w:t>
      </w:r>
      <w:r w:rsidR="00983ED1" w:rsidRPr="00E342DC">
        <w:rPr>
          <w:rFonts w:cs="Tahoma"/>
          <w:lang w:val="fr-CH"/>
        </w:rPr>
        <w:t xml:space="preserve">de Paris </w:t>
      </w:r>
      <w:r w:rsidR="00E8180B" w:rsidRPr="00E342DC">
        <w:rPr>
          <w:rFonts w:cs="Tahoma"/>
          <w:lang w:val="fr-CH"/>
        </w:rPr>
        <w:t>concernant le statut des institutions nationales pour la promotion et la protectio</w:t>
      </w:r>
      <w:r w:rsidR="00983ED1" w:rsidRPr="00E342DC">
        <w:rPr>
          <w:rFonts w:cs="Tahoma"/>
          <w:lang w:val="fr-CH"/>
        </w:rPr>
        <w:t>n des droits de l’homme</w:t>
      </w:r>
      <w:r w:rsidR="00D40DE5" w:rsidRPr="00E342DC">
        <w:rPr>
          <w:rFonts w:cs="Tahoma"/>
          <w:lang w:val="fr-CH"/>
        </w:rPr>
        <w:t xml:space="preserve"> (ci-après « Principes de Paris »)</w:t>
      </w:r>
      <w:r w:rsidR="00E8180B" w:rsidRPr="00E342DC">
        <w:rPr>
          <w:rFonts w:cs="Tahoma"/>
          <w:lang w:val="fr-CH"/>
        </w:rPr>
        <w:t>.</w:t>
      </w:r>
      <w:r w:rsidR="00983ED1" w:rsidRPr="00E342DC">
        <w:rPr>
          <w:rStyle w:val="FootnoteReference"/>
          <w:rFonts w:cs="Tahoma"/>
          <w:lang w:val="fr-CH"/>
        </w:rPr>
        <w:footnoteReference w:id="39"/>
      </w:r>
      <w:r w:rsidR="00410C87" w:rsidRPr="00E342DC">
        <w:rPr>
          <w:rFonts w:cs="Tahoma"/>
          <w:lang w:val="fr-CH"/>
        </w:rPr>
        <w:t xml:space="preserve"> </w:t>
      </w:r>
    </w:p>
    <w:p w:rsidR="003266EB" w:rsidRPr="00E342DC" w:rsidRDefault="003266EB" w:rsidP="00DA0ABA">
      <w:pPr>
        <w:rPr>
          <w:rFonts w:cs="Tahoma"/>
          <w:lang w:val="fr-CH"/>
        </w:rPr>
      </w:pPr>
    </w:p>
    <w:p w:rsidR="003266EB" w:rsidRPr="00E342DC" w:rsidRDefault="003266EB" w:rsidP="00DA0ABA">
      <w:pPr>
        <w:rPr>
          <w:rFonts w:cs="Tahoma"/>
          <w:lang w:val="fr-CH"/>
        </w:rPr>
      </w:pPr>
      <w:r w:rsidRPr="00E342DC">
        <w:rPr>
          <w:rFonts w:cs="Tahoma"/>
          <w:b/>
          <w:bCs/>
          <w:lang w:val="fr-CH"/>
        </w:rPr>
        <w:t>Recommandations</w:t>
      </w:r>
      <w:r w:rsidR="002E00C1">
        <w:rPr>
          <w:rFonts w:cs="Tahoma"/>
          <w:b/>
          <w:bCs/>
          <w:lang w:val="fr-CH"/>
        </w:rPr>
        <w:t> :</w:t>
      </w:r>
      <w:r w:rsidRPr="00E342DC">
        <w:rPr>
          <w:rFonts w:cs="Tahoma"/>
          <w:lang w:val="fr-CH"/>
        </w:rPr>
        <w:t xml:space="preserve"> </w:t>
      </w:r>
    </w:p>
    <w:p w:rsidR="003266EB" w:rsidRPr="00E342DC" w:rsidRDefault="003266EB" w:rsidP="00DA0ABA">
      <w:pPr>
        <w:rPr>
          <w:rFonts w:cs="Tahoma"/>
          <w:lang w:val="fr-CH"/>
        </w:rPr>
      </w:pPr>
    </w:p>
    <w:p w:rsidR="00801668" w:rsidRPr="00E342DC" w:rsidRDefault="003266EB">
      <w:pPr>
        <w:pStyle w:val="ListParagraph"/>
        <w:numPr>
          <w:ilvl w:val="0"/>
          <w:numId w:val="34"/>
        </w:numPr>
        <w:rPr>
          <w:rFonts w:cs="Tahoma"/>
          <w:szCs w:val="20"/>
        </w:rPr>
      </w:pPr>
      <w:r w:rsidRPr="00E342DC">
        <w:rPr>
          <w:rFonts w:cs="Tahoma"/>
          <w:szCs w:val="20"/>
        </w:rPr>
        <w:t>Systématiser la formation des médecins affectés aux lieux de détention</w:t>
      </w:r>
      <w:r w:rsidR="00F875E9" w:rsidRPr="00E342DC">
        <w:rPr>
          <w:rFonts w:cs="Tahoma"/>
          <w:szCs w:val="20"/>
        </w:rPr>
        <w:t>s</w:t>
      </w:r>
      <w:r w:rsidRPr="00E342DC">
        <w:rPr>
          <w:rFonts w:cs="Tahoma"/>
          <w:szCs w:val="20"/>
        </w:rPr>
        <w:t xml:space="preserve"> </w:t>
      </w:r>
      <w:r w:rsidR="00F875E9" w:rsidRPr="00E342DC">
        <w:rPr>
          <w:rFonts w:cs="Tahoma"/>
          <w:szCs w:val="20"/>
        </w:rPr>
        <w:t xml:space="preserve">conformément au </w:t>
      </w:r>
      <w:r w:rsidRPr="00E342DC">
        <w:rPr>
          <w:rFonts w:cs="Tahoma"/>
          <w:szCs w:val="20"/>
        </w:rPr>
        <w:t xml:space="preserve">Protocole d’Istanbul pour </w:t>
      </w:r>
      <w:r w:rsidR="00F875E9" w:rsidRPr="00E342DC">
        <w:rPr>
          <w:rFonts w:cs="Tahoma"/>
          <w:szCs w:val="20"/>
        </w:rPr>
        <w:t>la conformité</w:t>
      </w:r>
      <w:r w:rsidRPr="00E342DC">
        <w:rPr>
          <w:rFonts w:cs="Tahoma"/>
          <w:szCs w:val="20"/>
        </w:rPr>
        <w:t xml:space="preserve"> d</w:t>
      </w:r>
      <w:r w:rsidR="00F875E9" w:rsidRPr="00E342DC">
        <w:rPr>
          <w:rFonts w:cs="Tahoma"/>
          <w:szCs w:val="20"/>
        </w:rPr>
        <w:t xml:space="preserve">es </w:t>
      </w:r>
      <w:r w:rsidRPr="00E342DC">
        <w:rPr>
          <w:rFonts w:cs="Tahoma"/>
          <w:szCs w:val="20"/>
        </w:rPr>
        <w:t>expertise</w:t>
      </w:r>
      <w:r w:rsidR="00F875E9" w:rsidRPr="00E342DC">
        <w:rPr>
          <w:rFonts w:cs="Tahoma"/>
          <w:szCs w:val="20"/>
        </w:rPr>
        <w:t>s</w:t>
      </w:r>
      <w:r w:rsidRPr="00E342DC">
        <w:rPr>
          <w:rFonts w:cs="Tahoma"/>
          <w:szCs w:val="20"/>
        </w:rPr>
        <w:t xml:space="preserve"> médico-légale</w:t>
      </w:r>
      <w:r w:rsidR="00F875E9" w:rsidRPr="00E342DC">
        <w:rPr>
          <w:rFonts w:cs="Tahoma"/>
          <w:szCs w:val="20"/>
        </w:rPr>
        <w:t>s</w:t>
      </w:r>
      <w:r w:rsidRPr="00E342DC">
        <w:rPr>
          <w:rFonts w:cs="Tahoma"/>
          <w:szCs w:val="20"/>
        </w:rPr>
        <w:t>.</w:t>
      </w:r>
    </w:p>
    <w:p w:rsidR="00801668" w:rsidRPr="00E342DC" w:rsidRDefault="00F875E9">
      <w:pPr>
        <w:pStyle w:val="ListParagraph"/>
        <w:numPr>
          <w:ilvl w:val="0"/>
          <w:numId w:val="34"/>
        </w:numPr>
        <w:rPr>
          <w:rFonts w:cs="Tahoma"/>
          <w:szCs w:val="20"/>
        </w:rPr>
      </w:pPr>
      <w:r w:rsidRPr="00E342DC">
        <w:rPr>
          <w:rFonts w:cs="Tahoma"/>
          <w:szCs w:val="20"/>
        </w:rPr>
        <w:t>Affecter un personnel médical en nombre suffisant et des ressources suffisantes pour permettre une prise en charge rapide et adéquate des personnes privées de liberté ;</w:t>
      </w:r>
    </w:p>
    <w:p w:rsidR="00801668" w:rsidRPr="00E342DC" w:rsidRDefault="00F875E9">
      <w:pPr>
        <w:pStyle w:val="ListParagraph"/>
        <w:numPr>
          <w:ilvl w:val="0"/>
          <w:numId w:val="34"/>
        </w:numPr>
        <w:rPr>
          <w:rFonts w:cs="Tahoma"/>
          <w:szCs w:val="20"/>
        </w:rPr>
      </w:pPr>
      <w:r w:rsidRPr="00E342DC">
        <w:rPr>
          <w:rFonts w:cs="Tahoma"/>
          <w:szCs w:val="20"/>
        </w:rPr>
        <w:t xml:space="preserve">engager des programmes de formation de qualité à l’attention du personnel civil et </w:t>
      </w:r>
      <w:r w:rsidR="003266EB" w:rsidRPr="00E342DC">
        <w:rPr>
          <w:rFonts w:cs="Tahoma"/>
          <w:szCs w:val="20"/>
        </w:rPr>
        <w:t>militaire chargé de l’application des lois et de</w:t>
      </w:r>
      <w:r w:rsidRPr="00E342DC">
        <w:rPr>
          <w:rFonts w:cs="Tahoma"/>
          <w:szCs w:val="20"/>
        </w:rPr>
        <w:t xml:space="preserve">s personnes intervenant dans la garde et/ou le traitement des </w:t>
      </w:r>
      <w:r w:rsidR="003266EB" w:rsidRPr="00E342DC">
        <w:rPr>
          <w:rFonts w:cs="Tahoma"/>
          <w:szCs w:val="20"/>
        </w:rPr>
        <w:t>personne</w:t>
      </w:r>
      <w:r w:rsidRPr="00E342DC">
        <w:rPr>
          <w:rFonts w:cs="Tahoma"/>
          <w:szCs w:val="20"/>
        </w:rPr>
        <w:t>s</w:t>
      </w:r>
      <w:r w:rsidR="003266EB" w:rsidRPr="00E342DC">
        <w:rPr>
          <w:rFonts w:cs="Tahoma"/>
          <w:szCs w:val="20"/>
        </w:rPr>
        <w:t xml:space="preserve"> privée</w:t>
      </w:r>
      <w:r w:rsidRPr="00E342DC">
        <w:rPr>
          <w:rFonts w:cs="Tahoma"/>
          <w:szCs w:val="20"/>
        </w:rPr>
        <w:t>s</w:t>
      </w:r>
      <w:r w:rsidR="003266EB" w:rsidRPr="00E342DC">
        <w:rPr>
          <w:rFonts w:cs="Tahoma"/>
          <w:szCs w:val="20"/>
        </w:rPr>
        <w:t xml:space="preserve"> de liberté</w:t>
      </w:r>
      <w:r w:rsidRPr="00E342DC">
        <w:rPr>
          <w:rFonts w:cs="Tahoma"/>
          <w:szCs w:val="20"/>
        </w:rPr>
        <w:t> ;</w:t>
      </w:r>
      <w:r w:rsidR="003266EB" w:rsidRPr="00E342DC">
        <w:rPr>
          <w:rFonts w:cs="Tahoma"/>
          <w:szCs w:val="20"/>
        </w:rPr>
        <w:t xml:space="preserve"> </w:t>
      </w:r>
    </w:p>
    <w:p w:rsidR="003266EB" w:rsidRPr="00E342DC" w:rsidRDefault="003266EB" w:rsidP="00D77D42">
      <w:pPr>
        <w:pStyle w:val="ListParagraph"/>
        <w:numPr>
          <w:ilvl w:val="0"/>
          <w:numId w:val="34"/>
        </w:numPr>
        <w:rPr>
          <w:rFonts w:cs="Tahoma"/>
          <w:szCs w:val="20"/>
        </w:rPr>
      </w:pPr>
      <w:r w:rsidRPr="00E342DC">
        <w:rPr>
          <w:rFonts w:cs="Tahoma"/>
          <w:szCs w:val="20"/>
        </w:rPr>
        <w:t xml:space="preserve">Accélérer la mise en place un mécanisme national de prévention (MNP) chargé de la surveillance des lieux de détention efficace qui réponde pleinement </w:t>
      </w:r>
      <w:r w:rsidR="00AC597C" w:rsidRPr="00E342DC">
        <w:rPr>
          <w:rFonts w:cs="Tahoma"/>
          <w:szCs w:val="20"/>
        </w:rPr>
        <w:t>aux critères</w:t>
      </w:r>
      <w:r w:rsidR="00D77D42" w:rsidRPr="00E342DC">
        <w:rPr>
          <w:rFonts w:cs="Tahoma"/>
          <w:szCs w:val="20"/>
        </w:rPr>
        <w:t xml:space="preserve"> de l’article 18 de la Convention</w:t>
      </w:r>
      <w:r w:rsidR="003A6DF4" w:rsidRPr="00E342DC">
        <w:rPr>
          <w:rFonts w:cs="Tahoma"/>
          <w:szCs w:val="20"/>
        </w:rPr>
        <w:t> ;</w:t>
      </w:r>
    </w:p>
    <w:p w:rsidR="00801668" w:rsidRPr="00E342DC" w:rsidRDefault="003266EB">
      <w:pPr>
        <w:pStyle w:val="ListParagraph"/>
        <w:numPr>
          <w:ilvl w:val="0"/>
          <w:numId w:val="34"/>
        </w:numPr>
        <w:rPr>
          <w:rFonts w:cs="Tahoma"/>
          <w:szCs w:val="20"/>
        </w:rPr>
      </w:pPr>
      <w:r w:rsidRPr="00E342DC">
        <w:rPr>
          <w:rFonts w:cs="Tahoma"/>
          <w:szCs w:val="20"/>
        </w:rPr>
        <w:t xml:space="preserve">Supprimer les restrictions contenues dans la loi organique n° 2013/43 afin de garantir un accès absolu </w:t>
      </w:r>
      <w:r w:rsidR="003A6DF4" w:rsidRPr="00E342DC">
        <w:rPr>
          <w:rFonts w:cs="Tahoma"/>
          <w:szCs w:val="20"/>
        </w:rPr>
        <w:t xml:space="preserve">et sans conditions </w:t>
      </w:r>
      <w:r w:rsidRPr="00E342DC">
        <w:rPr>
          <w:rFonts w:cs="Tahoma"/>
          <w:szCs w:val="20"/>
        </w:rPr>
        <w:t xml:space="preserve">du MNP à tous les </w:t>
      </w:r>
      <w:r w:rsidR="003A6DF4" w:rsidRPr="00E342DC">
        <w:rPr>
          <w:rFonts w:cs="Tahoma"/>
          <w:szCs w:val="20"/>
        </w:rPr>
        <w:t>lieux de privation de liberté ;</w:t>
      </w:r>
    </w:p>
    <w:p w:rsidR="00801668" w:rsidRPr="00E342DC" w:rsidRDefault="00801668">
      <w:pPr>
        <w:rPr>
          <w:rFonts w:cs="Tahoma"/>
        </w:rPr>
      </w:pPr>
    </w:p>
    <w:p w:rsidR="00AB4AF9" w:rsidRPr="00E342DC" w:rsidRDefault="00AB4AF9" w:rsidP="00DA0ABA">
      <w:pPr>
        <w:rPr>
          <w:rFonts w:cs="Tahoma"/>
          <w:lang w:val="fr-CH" w:eastAsia="fr-FR"/>
        </w:rPr>
      </w:pPr>
    </w:p>
    <w:p w:rsidR="007C3CC6" w:rsidRPr="00E342DC" w:rsidRDefault="00384D74" w:rsidP="002D56CA">
      <w:pPr>
        <w:pStyle w:val="Heading1"/>
        <w:rPr>
          <w:lang w:val="fr-CH"/>
        </w:rPr>
      </w:pPr>
      <w:bookmarkStart w:id="24" w:name="_Toc447008732"/>
      <w:r w:rsidRPr="00E342DC">
        <w:rPr>
          <w:lang w:val="fr-CH"/>
        </w:rPr>
        <w:t>Droit au recours effectif, o</w:t>
      </w:r>
      <w:r w:rsidR="00DA5573" w:rsidRPr="00E342DC">
        <w:rPr>
          <w:lang w:val="fr-CH"/>
        </w:rPr>
        <w:t>bligations d’enquête</w:t>
      </w:r>
      <w:r w:rsidRPr="00E342DC">
        <w:rPr>
          <w:lang w:val="fr-CH"/>
        </w:rPr>
        <w:t xml:space="preserve">, </w:t>
      </w:r>
      <w:r w:rsidR="00DA5573" w:rsidRPr="00E342DC">
        <w:rPr>
          <w:lang w:val="fr-CH"/>
        </w:rPr>
        <w:t>de répar</w:t>
      </w:r>
      <w:r w:rsidRPr="00E342DC">
        <w:rPr>
          <w:lang w:val="fr-CH"/>
        </w:rPr>
        <w:t>ation et de poursuite</w:t>
      </w:r>
      <w:bookmarkEnd w:id="24"/>
      <w:r w:rsidRPr="00E342DC">
        <w:rPr>
          <w:lang w:val="fr-CH"/>
        </w:rPr>
        <w:t xml:space="preserve"> </w:t>
      </w:r>
    </w:p>
    <w:p w:rsidR="004E3CB6" w:rsidRPr="00E342DC" w:rsidRDefault="004E3CB6" w:rsidP="00DA0ABA">
      <w:pPr>
        <w:rPr>
          <w:rFonts w:cs="Tahoma"/>
          <w:szCs w:val="20"/>
          <w:lang w:val="fr-CH" w:eastAsia="fr-FR"/>
        </w:rPr>
      </w:pPr>
    </w:p>
    <w:p w:rsidR="007C3CC6" w:rsidRPr="00E342DC" w:rsidRDefault="007C3CC6" w:rsidP="00DA0ABA">
      <w:pPr>
        <w:pStyle w:val="Heading2"/>
        <w:numPr>
          <w:ilvl w:val="1"/>
          <w:numId w:val="9"/>
        </w:numPr>
        <w:rPr>
          <w:rFonts w:cs="Tahoma"/>
          <w:szCs w:val="20"/>
          <w:lang w:val="fr-CH"/>
        </w:rPr>
      </w:pPr>
      <w:bookmarkStart w:id="25" w:name="_Toc447008733"/>
      <w:r w:rsidRPr="00E342DC">
        <w:rPr>
          <w:rFonts w:cs="Tahoma"/>
          <w:szCs w:val="20"/>
          <w:lang w:val="fr-CH"/>
        </w:rPr>
        <w:t>Enquête prompte et impartiale</w:t>
      </w:r>
      <w:bookmarkEnd w:id="25"/>
      <w:r w:rsidRPr="00E342DC">
        <w:rPr>
          <w:rFonts w:cs="Tahoma"/>
          <w:szCs w:val="20"/>
          <w:lang w:val="fr-CH"/>
        </w:rPr>
        <w:t xml:space="preserve"> </w:t>
      </w:r>
    </w:p>
    <w:p w:rsidR="007C3CC6" w:rsidRPr="00E342DC" w:rsidRDefault="007C3CC6" w:rsidP="00DA0ABA">
      <w:pPr>
        <w:tabs>
          <w:tab w:val="left" w:pos="1485"/>
        </w:tabs>
        <w:rPr>
          <w:rFonts w:cs="Tahoma"/>
          <w:szCs w:val="20"/>
          <w:lang w:val="fr-CH"/>
        </w:rPr>
      </w:pPr>
      <w:r w:rsidRPr="00E342DC">
        <w:rPr>
          <w:rFonts w:cs="Tahoma"/>
          <w:szCs w:val="20"/>
          <w:lang w:val="fr-CH"/>
        </w:rPr>
        <w:tab/>
      </w:r>
    </w:p>
    <w:p w:rsidR="008D22BF" w:rsidRPr="00E342DC" w:rsidRDefault="00614225" w:rsidP="00DA0ABA">
      <w:pPr>
        <w:rPr>
          <w:rFonts w:cs="Tahoma"/>
          <w:szCs w:val="20"/>
          <w:lang w:val="fr-CH" w:eastAsia="fr-FR"/>
        </w:rPr>
      </w:pPr>
      <w:r w:rsidRPr="00E342DC">
        <w:rPr>
          <w:rFonts w:cs="Tahoma"/>
          <w:szCs w:val="20"/>
          <w:lang w:val="fr-CH"/>
        </w:rPr>
        <w:lastRenderedPageBreak/>
        <w:t>En vertu de l’article 12 de la Convention l’</w:t>
      </w:r>
      <w:r w:rsidR="0070261E" w:rsidRPr="00E342DC">
        <w:rPr>
          <w:rFonts w:cs="Tahoma"/>
          <w:szCs w:val="20"/>
          <w:lang w:val="fr-CH"/>
        </w:rPr>
        <w:t>État</w:t>
      </w:r>
      <w:r w:rsidRPr="00E342DC">
        <w:rPr>
          <w:rFonts w:cs="Tahoma"/>
          <w:szCs w:val="20"/>
          <w:lang w:val="fr-CH"/>
        </w:rPr>
        <w:t xml:space="preserve"> partie est tenu de veiller </w:t>
      </w:r>
      <w:r w:rsidRPr="00E342DC">
        <w:rPr>
          <w:rFonts w:cs="Tahoma"/>
          <w:i/>
          <w:iCs/>
          <w:szCs w:val="20"/>
          <w:lang w:val="fr-CH"/>
        </w:rPr>
        <w:t xml:space="preserve">« à ce que les autorités compétentes procèdent immédiatement à une enquête impartiale chaque fois qu'il y a des motifs raisonnables de croire qu'un acte de torture a été commis sur tout territoire sous sa juridiction. » </w:t>
      </w:r>
      <w:r w:rsidRPr="00E342DC">
        <w:rPr>
          <w:rFonts w:cs="Tahoma"/>
          <w:color w:val="000000"/>
          <w:szCs w:val="20"/>
          <w:lang w:val="fr-CH"/>
        </w:rPr>
        <w:t>l’</w:t>
      </w:r>
      <w:r w:rsidR="0070261E" w:rsidRPr="00E342DC">
        <w:rPr>
          <w:rFonts w:cs="Tahoma"/>
          <w:color w:val="000000"/>
          <w:szCs w:val="20"/>
          <w:lang w:val="fr-CH"/>
        </w:rPr>
        <w:t>État</w:t>
      </w:r>
      <w:r w:rsidRPr="00E342DC">
        <w:rPr>
          <w:rFonts w:cs="Tahoma"/>
          <w:color w:val="000000"/>
          <w:szCs w:val="20"/>
          <w:lang w:val="fr-CH"/>
        </w:rPr>
        <w:t xml:space="preserve"> partie est contraint d’ouvrir une enquête, quel que soit l’origine des soupçons.</w:t>
      </w:r>
      <w:r w:rsidRPr="00E342DC">
        <w:rPr>
          <w:rStyle w:val="FootnoteReference"/>
          <w:rFonts w:cs="Tahoma"/>
          <w:color w:val="000000"/>
          <w:szCs w:val="20"/>
          <w:lang w:val="fr-CH"/>
        </w:rPr>
        <w:footnoteReference w:id="40"/>
      </w:r>
      <w:r w:rsidRPr="00E342DC">
        <w:rPr>
          <w:rFonts w:cs="Tahoma"/>
          <w:color w:val="000000"/>
          <w:szCs w:val="20"/>
          <w:lang w:val="fr-CH"/>
        </w:rPr>
        <w:t xml:space="preserve"> </w:t>
      </w:r>
    </w:p>
    <w:p w:rsidR="008D22BF" w:rsidRPr="00E342DC" w:rsidRDefault="008D22BF" w:rsidP="00DA0ABA">
      <w:pPr>
        <w:pStyle w:val="Pa8"/>
        <w:jc w:val="both"/>
        <w:rPr>
          <w:rFonts w:ascii="Tahoma" w:hAnsi="Tahoma" w:cs="Tahoma"/>
          <w:color w:val="000000"/>
          <w:sz w:val="20"/>
          <w:szCs w:val="20"/>
          <w:lang w:val="fr-CH"/>
        </w:rPr>
      </w:pPr>
    </w:p>
    <w:p w:rsidR="00801668" w:rsidRPr="00E342DC" w:rsidRDefault="00614225">
      <w:pPr>
        <w:pStyle w:val="Pa8"/>
        <w:jc w:val="both"/>
        <w:rPr>
          <w:rFonts w:ascii="Tahoma" w:hAnsi="Tahoma" w:cs="Tahoma"/>
          <w:color w:val="000000"/>
          <w:sz w:val="20"/>
          <w:szCs w:val="20"/>
          <w:lang w:val="fr-CH"/>
        </w:rPr>
      </w:pPr>
      <w:r w:rsidRPr="00E342DC">
        <w:rPr>
          <w:rFonts w:ascii="Tahoma" w:hAnsi="Tahoma" w:cs="Tahoma"/>
          <w:color w:val="000000"/>
          <w:sz w:val="20"/>
          <w:szCs w:val="20"/>
          <w:lang w:val="fr-CH"/>
        </w:rPr>
        <w:t xml:space="preserve">L’action publique, </w:t>
      </w:r>
      <w:r w:rsidR="003A6DF4" w:rsidRPr="00E342DC">
        <w:rPr>
          <w:rFonts w:ascii="Tahoma" w:hAnsi="Tahoma" w:cs="Tahoma"/>
          <w:color w:val="000000"/>
          <w:sz w:val="20"/>
          <w:szCs w:val="20"/>
          <w:lang w:val="fr-CH"/>
        </w:rPr>
        <w:t xml:space="preserve">ne doit pas être </w:t>
      </w:r>
      <w:r w:rsidRPr="00E342DC">
        <w:rPr>
          <w:rFonts w:ascii="Tahoma" w:hAnsi="Tahoma" w:cs="Tahoma"/>
          <w:color w:val="000000"/>
          <w:sz w:val="20"/>
          <w:szCs w:val="20"/>
          <w:lang w:val="fr-CH"/>
        </w:rPr>
        <w:t xml:space="preserve">conditionnée à l’existence d’une plainte. Ainsi, si un agent de la police judiciaire ou un procureur a connaissance de la perpétration d’un crime, tel que le crime de torture, </w:t>
      </w:r>
      <w:r w:rsidR="003A6DF4" w:rsidRPr="00E342DC">
        <w:rPr>
          <w:rFonts w:ascii="Tahoma" w:hAnsi="Tahoma" w:cs="Tahoma"/>
          <w:color w:val="000000"/>
          <w:sz w:val="20"/>
          <w:szCs w:val="20"/>
          <w:lang w:val="fr-CH"/>
        </w:rPr>
        <w:t>l’action</w:t>
      </w:r>
      <w:r w:rsidRPr="00E342DC">
        <w:rPr>
          <w:rFonts w:ascii="Tahoma" w:hAnsi="Tahoma" w:cs="Tahoma"/>
          <w:color w:val="000000"/>
          <w:sz w:val="20"/>
          <w:szCs w:val="20"/>
          <w:lang w:val="fr-CH"/>
        </w:rPr>
        <w:t xml:space="preserve"> publique </w:t>
      </w:r>
      <w:r w:rsidR="003A6DF4" w:rsidRPr="00E342DC">
        <w:rPr>
          <w:rFonts w:ascii="Tahoma" w:hAnsi="Tahoma" w:cs="Tahoma"/>
          <w:color w:val="000000"/>
          <w:sz w:val="20"/>
          <w:szCs w:val="20"/>
          <w:lang w:val="fr-CH"/>
        </w:rPr>
        <w:t xml:space="preserve">doit être déclenchée </w:t>
      </w:r>
      <w:r w:rsidRPr="00E342DC">
        <w:rPr>
          <w:rFonts w:ascii="Tahoma" w:hAnsi="Tahoma" w:cs="Tahoma"/>
          <w:color w:val="000000"/>
          <w:sz w:val="20"/>
          <w:szCs w:val="20"/>
          <w:lang w:val="fr-CH"/>
        </w:rPr>
        <w:t>sans que la victime ait à porter plainte.</w:t>
      </w:r>
    </w:p>
    <w:p w:rsidR="00881EEC" w:rsidRPr="00E342DC" w:rsidRDefault="00881EEC" w:rsidP="00DA0ABA">
      <w:pPr>
        <w:rPr>
          <w:rFonts w:cs="Tahoma"/>
          <w:szCs w:val="20"/>
          <w:lang w:val="fr-CH" w:eastAsia="fr-FR"/>
        </w:rPr>
      </w:pPr>
    </w:p>
    <w:p w:rsidR="00801668" w:rsidRPr="00E342DC" w:rsidRDefault="00614225">
      <w:pPr>
        <w:rPr>
          <w:rFonts w:cs="Tahoma"/>
          <w:szCs w:val="20"/>
          <w:lang w:val="fr-CH" w:eastAsia="fr-FR"/>
        </w:rPr>
      </w:pPr>
      <w:r w:rsidRPr="00E342DC">
        <w:rPr>
          <w:rFonts w:cs="Tahoma"/>
          <w:szCs w:val="20"/>
          <w:lang w:val="fr-CH" w:eastAsia="fr-FR"/>
        </w:rPr>
        <w:t xml:space="preserve">L’article 13 </w:t>
      </w:r>
      <w:r w:rsidR="002E6D81" w:rsidRPr="00E342DC">
        <w:rPr>
          <w:rFonts w:cs="Tahoma"/>
          <w:i/>
          <w:iCs/>
          <w:szCs w:val="20"/>
          <w:lang w:val="fr-CH" w:eastAsia="fr-FR"/>
        </w:rPr>
        <w:t>bis</w:t>
      </w:r>
      <w:r w:rsidRPr="00E342DC">
        <w:rPr>
          <w:rFonts w:cs="Tahoma"/>
          <w:szCs w:val="20"/>
          <w:lang w:val="fr-CH" w:eastAsia="fr-FR"/>
        </w:rPr>
        <w:t xml:space="preserve"> du Code de procédure pénale prévoit l’obligation pour la police judiciaire de procéder à un examen médical à chaque fois qu’un détenu ou un proche en fait la demande. La Rapporteuse spéciale sur l’indépendance des juges et des avocats lors de sa mission en Tunisie avait estimé que dans 90% des cas l’officier de police refuse d’accorder un examen médical à ceux et celles qui en font la demande. En outre, lorsque l’examen a lieu, il est rare que le procès verbal </w:t>
      </w:r>
      <w:r w:rsidR="003A6DF4" w:rsidRPr="00E342DC">
        <w:rPr>
          <w:rFonts w:cs="Tahoma"/>
          <w:szCs w:val="20"/>
          <w:lang w:val="fr-CH" w:eastAsia="fr-FR"/>
        </w:rPr>
        <w:t>soit établit et intégré dans la procédure</w:t>
      </w:r>
      <w:r w:rsidRPr="00E342DC">
        <w:rPr>
          <w:rFonts w:cs="Tahoma"/>
          <w:szCs w:val="20"/>
          <w:lang w:val="fr-CH" w:eastAsia="fr-FR"/>
        </w:rPr>
        <w:t>.</w:t>
      </w:r>
      <w:r w:rsidRPr="00E342DC">
        <w:rPr>
          <w:rStyle w:val="FootnoteReference"/>
          <w:rFonts w:cs="Tahoma"/>
          <w:szCs w:val="20"/>
          <w:lang w:val="fr-CH" w:eastAsia="fr-FR"/>
        </w:rPr>
        <w:footnoteReference w:id="41"/>
      </w:r>
      <w:r w:rsidRPr="00E342DC">
        <w:rPr>
          <w:rFonts w:cs="Tahoma"/>
          <w:szCs w:val="20"/>
          <w:lang w:val="fr-CH" w:eastAsia="fr-FR"/>
        </w:rPr>
        <w:t xml:space="preserve"> </w:t>
      </w:r>
    </w:p>
    <w:p w:rsidR="00FE4033" w:rsidRPr="00E342DC" w:rsidRDefault="00FE4033" w:rsidP="00DA0ABA">
      <w:pPr>
        <w:rPr>
          <w:rFonts w:cs="Tahoma"/>
          <w:i/>
          <w:iCs/>
          <w:szCs w:val="20"/>
          <w:lang w:val="fr-CH" w:eastAsia="fr-FR"/>
        </w:rPr>
      </w:pPr>
    </w:p>
    <w:p w:rsidR="00801668" w:rsidRPr="00E342DC" w:rsidRDefault="002E6D81">
      <w:pPr>
        <w:rPr>
          <w:rFonts w:cs="Tahoma"/>
          <w:szCs w:val="20"/>
          <w:lang w:val="fr-CH" w:eastAsia="fr-FR"/>
        </w:rPr>
      </w:pPr>
      <w:r w:rsidRPr="00E342DC">
        <w:rPr>
          <w:rFonts w:cs="Tahoma"/>
          <w:szCs w:val="20"/>
          <w:lang w:val="fr-CH" w:eastAsia="fr-FR"/>
        </w:rPr>
        <w:t xml:space="preserve">Par ailleurs, de nombreuses victimes d’actes de torture en garde à vue affirment également que lors de leur première comparution devant un magistrat, celui-ci ne prend aucune mesure en dépit du fait qu’il constate par lui-même des traces visibles de torture sur le corps de la victime. </w:t>
      </w:r>
      <w:r w:rsidR="003A6DF4" w:rsidRPr="00E342DC">
        <w:rPr>
          <w:rFonts w:cs="Tahoma"/>
          <w:szCs w:val="20"/>
          <w:lang w:val="fr-CH" w:eastAsia="fr-FR"/>
        </w:rPr>
        <w:t>En pratique, ces seuls cas dans lesquels le juge d’instruction ordonne une expertise médicale, cela à été à la demande de la défense. Il faut également souligner que le plus souvent l’expertise médicale n’a effectivement lieu que plus</w:t>
      </w:r>
      <w:r w:rsidR="00331C45" w:rsidRPr="00E342DC">
        <w:rPr>
          <w:rFonts w:cs="Tahoma"/>
          <w:szCs w:val="20"/>
          <w:lang w:val="fr-CH" w:eastAsia="fr-FR"/>
        </w:rPr>
        <w:t xml:space="preserve">ieurs semaines après la demande, une fois que les traces de torture ont disparu, en violation du principe de la célérité de l’enquête. </w:t>
      </w:r>
    </w:p>
    <w:p w:rsidR="001D7FE5" w:rsidRPr="00E342DC" w:rsidRDefault="001D7FE5">
      <w:pPr>
        <w:rPr>
          <w:rFonts w:cs="Tahoma"/>
          <w:szCs w:val="20"/>
          <w:lang w:val="fr-CH" w:eastAsia="fr-FR"/>
        </w:rPr>
      </w:pPr>
    </w:p>
    <w:p w:rsidR="00801668" w:rsidRPr="00E342DC" w:rsidRDefault="00614225">
      <w:pPr>
        <w:rPr>
          <w:rFonts w:cs="Tahoma"/>
          <w:szCs w:val="20"/>
          <w:lang w:val="fr-CH"/>
        </w:rPr>
      </w:pPr>
      <w:r w:rsidRPr="00E342DC">
        <w:rPr>
          <w:rFonts w:cs="Tahoma"/>
          <w:szCs w:val="20"/>
          <w:lang w:val="fr-CH"/>
        </w:rPr>
        <w:t xml:space="preserve">En outre, selon le Comité, une enquête ne suffit pas </w:t>
      </w:r>
      <w:r w:rsidR="00331C45" w:rsidRPr="00E342DC">
        <w:rPr>
          <w:rFonts w:cs="Tahoma"/>
          <w:szCs w:val="20"/>
          <w:lang w:val="fr-CH"/>
        </w:rPr>
        <w:t xml:space="preserve">en soi </w:t>
      </w:r>
      <w:r w:rsidRPr="00E342DC">
        <w:rPr>
          <w:rFonts w:cs="Tahoma"/>
          <w:szCs w:val="20"/>
          <w:lang w:val="fr-CH"/>
        </w:rPr>
        <w:t>pour démontrer que l’État partie s’est acquitté de</w:t>
      </w:r>
      <w:r w:rsidR="00331C45" w:rsidRPr="00E342DC">
        <w:rPr>
          <w:rFonts w:cs="Tahoma"/>
          <w:szCs w:val="20"/>
          <w:lang w:val="fr-CH"/>
        </w:rPr>
        <w:t xml:space="preserve"> ses</w:t>
      </w:r>
      <w:r w:rsidRPr="00E342DC">
        <w:rPr>
          <w:rFonts w:cs="Tahoma"/>
          <w:szCs w:val="20"/>
          <w:lang w:val="fr-CH"/>
        </w:rPr>
        <w:t xml:space="preserve"> obligations qui découlent de </w:t>
      </w:r>
      <w:r w:rsidR="00331C45" w:rsidRPr="00E342DC">
        <w:rPr>
          <w:rFonts w:cs="Tahoma"/>
          <w:szCs w:val="20"/>
          <w:lang w:val="fr-CH"/>
        </w:rPr>
        <w:t>l’</w:t>
      </w:r>
      <w:r w:rsidRPr="00E342DC">
        <w:rPr>
          <w:rFonts w:cs="Tahoma"/>
          <w:szCs w:val="20"/>
          <w:lang w:val="fr-CH"/>
        </w:rPr>
        <w:t>article</w:t>
      </w:r>
      <w:r w:rsidR="00331C45" w:rsidRPr="00E342DC">
        <w:rPr>
          <w:rFonts w:cs="Tahoma"/>
          <w:szCs w:val="20"/>
          <w:lang w:val="fr-CH"/>
        </w:rPr>
        <w:t xml:space="preserve"> 12</w:t>
      </w:r>
      <w:r w:rsidRPr="00E342DC">
        <w:rPr>
          <w:rFonts w:cs="Tahoma"/>
          <w:szCs w:val="20"/>
          <w:lang w:val="fr-CH"/>
        </w:rPr>
        <w:t xml:space="preserve"> s’il peut être </w:t>
      </w:r>
      <w:r w:rsidR="00331C45" w:rsidRPr="00E342DC">
        <w:rPr>
          <w:rFonts w:cs="Tahoma"/>
          <w:szCs w:val="20"/>
          <w:lang w:val="fr-CH"/>
        </w:rPr>
        <w:t>dé</w:t>
      </w:r>
      <w:r w:rsidRPr="00E342DC">
        <w:rPr>
          <w:rFonts w:cs="Tahoma"/>
          <w:szCs w:val="20"/>
          <w:lang w:val="fr-CH"/>
        </w:rPr>
        <w:t>montré qu</w:t>
      </w:r>
      <w:r w:rsidR="00331C45" w:rsidRPr="00E342DC">
        <w:rPr>
          <w:rFonts w:cs="Tahoma"/>
          <w:szCs w:val="20"/>
          <w:lang w:val="fr-CH"/>
        </w:rPr>
        <w:t xml:space="preserve">e l’enquête </w:t>
      </w:r>
      <w:r w:rsidRPr="00E342DC">
        <w:rPr>
          <w:rFonts w:cs="Tahoma"/>
          <w:szCs w:val="20"/>
          <w:lang w:val="fr-CH"/>
        </w:rPr>
        <w:t xml:space="preserve">n’a pas été menée </w:t>
      </w:r>
      <w:r w:rsidR="00331C45" w:rsidRPr="00E342DC">
        <w:rPr>
          <w:rFonts w:cs="Tahoma"/>
          <w:szCs w:val="20"/>
          <w:lang w:val="fr-CH"/>
        </w:rPr>
        <w:t xml:space="preserve">de manière </w:t>
      </w:r>
      <w:r w:rsidRPr="00E342DC">
        <w:rPr>
          <w:rFonts w:cs="Tahoma"/>
          <w:szCs w:val="20"/>
          <w:lang w:val="fr-CH"/>
        </w:rPr>
        <w:t>impartiale</w:t>
      </w:r>
      <w:r w:rsidR="008D22BF" w:rsidRPr="00E342DC">
        <w:rPr>
          <w:rStyle w:val="FootnoteReference"/>
          <w:rFonts w:cs="Tahoma"/>
          <w:szCs w:val="20"/>
          <w:lang w:val="fr-CH"/>
        </w:rPr>
        <w:footnoteReference w:id="42"/>
      </w:r>
      <w:r w:rsidR="00331C45" w:rsidRPr="00E342DC">
        <w:rPr>
          <w:rFonts w:cs="Tahoma"/>
          <w:szCs w:val="20"/>
          <w:lang w:val="fr-CH"/>
        </w:rPr>
        <w:t>.</w:t>
      </w:r>
      <w:r w:rsidRPr="00E342DC">
        <w:rPr>
          <w:rFonts w:cs="Tahoma"/>
          <w:szCs w:val="20"/>
          <w:lang w:val="fr-CH" w:eastAsia="fr-FR"/>
        </w:rPr>
        <w:t xml:space="preserve"> Sur ce point, le Rapporteur spécial sur la torture a observé </w:t>
      </w:r>
      <w:r w:rsidR="00331C45" w:rsidRPr="00E342DC">
        <w:rPr>
          <w:rFonts w:cs="Tahoma"/>
          <w:szCs w:val="20"/>
          <w:lang w:val="fr-CH" w:eastAsia="fr-FR"/>
        </w:rPr>
        <w:t xml:space="preserve">suite à sa visite de l’Etat partie </w:t>
      </w:r>
      <w:r w:rsidRPr="00E342DC">
        <w:rPr>
          <w:rFonts w:cs="Tahoma"/>
          <w:szCs w:val="20"/>
          <w:lang w:val="fr-CH" w:eastAsia="fr-FR"/>
        </w:rPr>
        <w:t xml:space="preserve">que lorsqu’une enquête </w:t>
      </w:r>
      <w:r w:rsidR="00331C45" w:rsidRPr="00E342DC">
        <w:rPr>
          <w:rFonts w:cs="Tahoma"/>
          <w:szCs w:val="20"/>
          <w:lang w:val="fr-CH" w:eastAsia="fr-FR"/>
        </w:rPr>
        <w:t xml:space="preserve">était </w:t>
      </w:r>
      <w:r w:rsidRPr="00E342DC">
        <w:rPr>
          <w:rFonts w:cs="Tahoma"/>
          <w:szCs w:val="20"/>
          <w:lang w:val="fr-CH" w:eastAsia="fr-FR"/>
        </w:rPr>
        <w:t xml:space="preserve">diligentée, </w:t>
      </w:r>
      <w:r w:rsidR="00331C45" w:rsidRPr="00E342DC">
        <w:rPr>
          <w:rFonts w:cs="Tahoma"/>
          <w:szCs w:val="20"/>
          <w:lang w:val="fr-CH" w:eastAsia="fr-FR"/>
        </w:rPr>
        <w:t>il arrivait</w:t>
      </w:r>
      <w:r w:rsidRPr="00E342DC">
        <w:rPr>
          <w:rFonts w:cs="Tahoma"/>
          <w:szCs w:val="20"/>
          <w:lang w:val="fr-CH" w:eastAsia="fr-FR"/>
        </w:rPr>
        <w:t xml:space="preserve"> que </w:t>
      </w:r>
      <w:r w:rsidRPr="00E342DC">
        <w:rPr>
          <w:rFonts w:cs="Tahoma"/>
          <w:szCs w:val="20"/>
          <w:lang w:val="fr-CH"/>
        </w:rPr>
        <w:t xml:space="preserve">les procureurs et les juges confient </w:t>
      </w:r>
      <w:r w:rsidR="00F35E2F" w:rsidRPr="00E342DC">
        <w:rPr>
          <w:rFonts w:cs="Tahoma"/>
          <w:szCs w:val="20"/>
          <w:lang w:val="fr-CH"/>
        </w:rPr>
        <w:t>la responsabilité de l’enquête de police aux personnes concernées par les allégations de torture faites par les victimes</w:t>
      </w:r>
      <w:r w:rsidRPr="00E342DC">
        <w:rPr>
          <w:rStyle w:val="FootnoteReference"/>
          <w:rFonts w:cs="Tahoma"/>
          <w:szCs w:val="20"/>
          <w:lang w:val="fr-CH"/>
        </w:rPr>
        <w:footnoteReference w:id="43"/>
      </w:r>
      <w:r w:rsidR="00331C45" w:rsidRPr="00E342DC">
        <w:rPr>
          <w:rFonts w:cs="Tahoma"/>
          <w:szCs w:val="20"/>
          <w:lang w:val="fr-CH"/>
        </w:rPr>
        <w:t xml:space="preserve">. </w:t>
      </w:r>
      <w:r w:rsidRPr="00E342DC">
        <w:rPr>
          <w:rFonts w:cs="Tahoma"/>
          <w:szCs w:val="20"/>
          <w:lang w:val="fr-CH"/>
        </w:rPr>
        <w:t xml:space="preserve">Cette situation constitue en l’espèce un conflit d’intérêt préjudiciable aux critères d’indépendance et d’impartialité de l’enquête. </w:t>
      </w:r>
    </w:p>
    <w:p w:rsidR="008D2636" w:rsidRPr="00E342DC" w:rsidRDefault="008D2636" w:rsidP="00DA0ABA">
      <w:pPr>
        <w:rPr>
          <w:rFonts w:cs="Tahoma"/>
          <w:szCs w:val="20"/>
          <w:lang w:val="fr-CH"/>
        </w:rPr>
      </w:pPr>
    </w:p>
    <w:p w:rsidR="008D2636" w:rsidRPr="00E342DC" w:rsidRDefault="008D2636" w:rsidP="00DA0ABA">
      <w:pPr>
        <w:rPr>
          <w:rFonts w:cs="Tahoma"/>
          <w:szCs w:val="20"/>
          <w:lang w:val="fr-CH"/>
        </w:rPr>
      </w:pPr>
      <w:r w:rsidRPr="00E342DC">
        <w:rPr>
          <w:rFonts w:cs="Tahoma"/>
          <w:szCs w:val="20"/>
          <w:lang w:val="fr-CH"/>
        </w:rPr>
        <w:t>Enfin, Alkarama constate que l’</w:t>
      </w:r>
      <w:r w:rsidR="0070261E" w:rsidRPr="00E342DC">
        <w:rPr>
          <w:rFonts w:cs="Tahoma"/>
          <w:szCs w:val="20"/>
          <w:lang w:val="fr-CH"/>
        </w:rPr>
        <w:t>État</w:t>
      </w:r>
      <w:r w:rsidRPr="00E342DC">
        <w:rPr>
          <w:rFonts w:cs="Tahoma"/>
          <w:szCs w:val="20"/>
          <w:lang w:val="fr-CH"/>
        </w:rPr>
        <w:t xml:space="preserve"> partie n’a toujours pas fait la lumière sur les cas</w:t>
      </w:r>
      <w:r w:rsidR="00C22CE5" w:rsidRPr="00E342DC">
        <w:rPr>
          <w:rFonts w:cs="Tahoma"/>
          <w:szCs w:val="20"/>
          <w:lang w:val="fr-CH"/>
        </w:rPr>
        <w:t xml:space="preserve"> suivants :</w:t>
      </w:r>
      <w:r w:rsidRPr="00E342DC">
        <w:rPr>
          <w:rFonts w:cs="Tahoma"/>
          <w:szCs w:val="20"/>
          <w:lang w:val="fr-CH"/>
        </w:rPr>
        <w:t xml:space="preserve"> </w:t>
      </w:r>
    </w:p>
    <w:p w:rsidR="008D2636" w:rsidRPr="00E342DC" w:rsidRDefault="008D2636" w:rsidP="00DA0ABA">
      <w:pPr>
        <w:rPr>
          <w:rFonts w:cs="Tahoma"/>
          <w:szCs w:val="20"/>
          <w:lang w:val="fr-CH"/>
        </w:rPr>
      </w:pPr>
    </w:p>
    <w:p w:rsidR="00801668" w:rsidRPr="00E342DC" w:rsidRDefault="008D2636">
      <w:pPr>
        <w:ind w:left="720"/>
        <w:rPr>
          <w:rFonts w:cs="Tahoma"/>
          <w:szCs w:val="20"/>
          <w:lang w:val="fr-CH" w:eastAsia="fr-FR"/>
        </w:rPr>
      </w:pPr>
      <w:r w:rsidRPr="00E342DC">
        <w:rPr>
          <w:rFonts w:cs="Tahoma"/>
          <w:b/>
          <w:bCs/>
          <w:szCs w:val="20"/>
          <w:lang w:val="fr-CH" w:eastAsia="fr-FR"/>
        </w:rPr>
        <w:t>Mak</w:t>
      </w:r>
      <w:r w:rsidR="007A496D" w:rsidRPr="00E342DC">
        <w:rPr>
          <w:rFonts w:cs="Tahoma"/>
          <w:b/>
          <w:bCs/>
          <w:szCs w:val="20"/>
          <w:lang w:val="fr-CH" w:eastAsia="fr-FR"/>
        </w:rPr>
        <w:t>r</w:t>
      </w:r>
      <w:r w:rsidRPr="00E342DC">
        <w:rPr>
          <w:rFonts w:cs="Tahoma"/>
          <w:b/>
          <w:bCs/>
          <w:szCs w:val="20"/>
          <w:lang w:val="fr-CH" w:eastAsia="fr-FR"/>
        </w:rPr>
        <w:t>am El Cherif</w:t>
      </w:r>
      <w:r w:rsidRPr="00E342DC">
        <w:rPr>
          <w:rFonts w:cs="Tahoma"/>
          <w:szCs w:val="20"/>
          <w:lang w:val="fr-CH" w:eastAsia="fr-FR"/>
        </w:rPr>
        <w:t xml:space="preserve"> : Incarcéré à la prison de Messadine et décédé le 14 décembre à l’hôpital de Sahloul à Sousse, à savoir 45 jours après la dernière visite de sa famille, qui n’a plus été autorisée à le voir depuis, et jusqu’à la remise de sa dépouille sur laquelle </w:t>
      </w:r>
      <w:r w:rsidR="00331C45" w:rsidRPr="00E342DC">
        <w:rPr>
          <w:rFonts w:cs="Tahoma"/>
          <w:szCs w:val="20"/>
          <w:lang w:val="fr-CH" w:eastAsia="fr-FR"/>
        </w:rPr>
        <w:t xml:space="preserve">ses proches </w:t>
      </w:r>
      <w:r w:rsidRPr="00E342DC">
        <w:rPr>
          <w:rFonts w:cs="Tahoma"/>
          <w:szCs w:val="20"/>
          <w:lang w:val="fr-CH" w:eastAsia="fr-FR"/>
        </w:rPr>
        <w:t>ont constaté des traces de mutilations et de sévices.</w:t>
      </w:r>
    </w:p>
    <w:p w:rsidR="00801668" w:rsidRPr="00E342DC" w:rsidRDefault="00801668">
      <w:pPr>
        <w:ind w:left="720"/>
        <w:rPr>
          <w:rFonts w:cs="Tahoma"/>
          <w:szCs w:val="20"/>
          <w:lang w:val="fr-CH" w:eastAsia="fr-FR"/>
        </w:rPr>
      </w:pPr>
    </w:p>
    <w:p w:rsidR="00801668" w:rsidRPr="00E342DC" w:rsidRDefault="00C22CE5">
      <w:pPr>
        <w:ind w:left="720"/>
        <w:rPr>
          <w:rFonts w:cs="Tahoma"/>
          <w:szCs w:val="20"/>
          <w:lang w:val="fr-CH" w:eastAsia="fr-FR"/>
        </w:rPr>
      </w:pPr>
      <w:proofErr w:type="spellStart"/>
      <w:r w:rsidRPr="00E342DC">
        <w:rPr>
          <w:rFonts w:cs="Tahoma"/>
          <w:b/>
          <w:bCs/>
          <w:szCs w:val="20"/>
          <w:lang w:val="fr-CH" w:eastAsia="fr-FR"/>
        </w:rPr>
        <w:t>Adderraouf</w:t>
      </w:r>
      <w:proofErr w:type="spellEnd"/>
      <w:r w:rsidRPr="00E342DC">
        <w:rPr>
          <w:rFonts w:cs="Tahoma"/>
          <w:b/>
          <w:bCs/>
          <w:szCs w:val="20"/>
          <w:lang w:val="fr-CH" w:eastAsia="fr-FR"/>
        </w:rPr>
        <w:t xml:space="preserve"> </w:t>
      </w:r>
      <w:proofErr w:type="spellStart"/>
      <w:r w:rsidRPr="00E342DC">
        <w:rPr>
          <w:rFonts w:cs="Tahoma"/>
          <w:b/>
          <w:bCs/>
          <w:szCs w:val="20"/>
          <w:lang w:val="fr-CH" w:eastAsia="fr-FR"/>
        </w:rPr>
        <w:t>Khemmassi</w:t>
      </w:r>
      <w:proofErr w:type="spellEnd"/>
      <w:r w:rsidR="00BF513F">
        <w:rPr>
          <w:rFonts w:cs="Tahoma"/>
          <w:b/>
          <w:bCs/>
          <w:szCs w:val="20"/>
          <w:lang w:val="fr-CH" w:eastAsia="fr-FR"/>
        </w:rPr>
        <w:t> </w:t>
      </w:r>
      <w:r w:rsidR="00BF513F" w:rsidRPr="00BF513F">
        <w:rPr>
          <w:rFonts w:cs="Tahoma"/>
          <w:szCs w:val="20"/>
          <w:lang w:val="fr-CH" w:eastAsia="fr-FR"/>
        </w:rPr>
        <w:t>:</w:t>
      </w:r>
      <w:r w:rsidRPr="00E342DC">
        <w:rPr>
          <w:rFonts w:cs="Tahoma"/>
          <w:szCs w:val="20"/>
          <w:lang w:val="fr-CH" w:eastAsia="fr-FR"/>
        </w:rPr>
        <w:t xml:space="preserve"> décédé le 8 septembre 2013 pendant sa garde à vue à Tunis à la suite de commotion cérébrales et d’autres lésions.</w:t>
      </w:r>
    </w:p>
    <w:p w:rsidR="00801668" w:rsidRPr="00E342DC" w:rsidRDefault="00801668">
      <w:pPr>
        <w:ind w:left="720"/>
        <w:rPr>
          <w:rFonts w:cs="Tahoma"/>
          <w:szCs w:val="20"/>
          <w:lang w:val="fr-CH" w:eastAsia="fr-FR"/>
        </w:rPr>
      </w:pPr>
    </w:p>
    <w:p w:rsidR="00801668" w:rsidRPr="00E342DC" w:rsidRDefault="008D2636">
      <w:pPr>
        <w:ind w:left="720"/>
        <w:rPr>
          <w:rFonts w:cs="Tahoma"/>
          <w:szCs w:val="20"/>
          <w:lang w:val="fr-CH" w:eastAsia="fr-FR"/>
        </w:rPr>
      </w:pPr>
      <w:r w:rsidRPr="00E342DC">
        <w:rPr>
          <w:rFonts w:cs="Tahoma"/>
          <w:b/>
          <w:bCs/>
          <w:szCs w:val="20"/>
          <w:lang w:val="fr-CH" w:eastAsia="fr-FR"/>
        </w:rPr>
        <w:t>Ali Khémais Louati</w:t>
      </w:r>
      <w:r w:rsidRPr="00E342DC">
        <w:rPr>
          <w:rFonts w:cs="Tahoma"/>
          <w:szCs w:val="20"/>
          <w:lang w:val="fr-CH" w:eastAsia="fr-FR"/>
        </w:rPr>
        <w:t xml:space="preserve"> : Décédé le 24 septembre 2014, il avait </w:t>
      </w:r>
      <w:r w:rsidR="00331C45" w:rsidRPr="00E342DC">
        <w:rPr>
          <w:rFonts w:cs="Tahoma"/>
          <w:szCs w:val="20"/>
          <w:lang w:val="fr-CH" w:eastAsia="fr-FR"/>
        </w:rPr>
        <w:t xml:space="preserve">affirmé, </w:t>
      </w:r>
      <w:r w:rsidRPr="00E342DC">
        <w:rPr>
          <w:rFonts w:cs="Tahoma"/>
          <w:szCs w:val="20"/>
          <w:lang w:val="fr-CH" w:eastAsia="fr-FR"/>
        </w:rPr>
        <w:t>avant sa mort</w:t>
      </w:r>
      <w:r w:rsidR="00331C45" w:rsidRPr="00E342DC">
        <w:rPr>
          <w:rFonts w:cs="Tahoma"/>
          <w:szCs w:val="20"/>
          <w:lang w:val="fr-CH" w:eastAsia="fr-FR"/>
        </w:rPr>
        <w:t>,</w:t>
      </w:r>
      <w:r w:rsidRPr="00E342DC">
        <w:rPr>
          <w:rFonts w:cs="Tahoma"/>
          <w:szCs w:val="20"/>
          <w:lang w:val="fr-CH" w:eastAsia="fr-FR"/>
        </w:rPr>
        <w:t xml:space="preserve"> </w:t>
      </w:r>
      <w:r w:rsidR="00331C45" w:rsidRPr="00E342DC">
        <w:rPr>
          <w:rFonts w:cs="Tahoma"/>
          <w:szCs w:val="20"/>
          <w:lang w:val="fr-CH" w:eastAsia="fr-FR"/>
        </w:rPr>
        <w:t xml:space="preserve">avoir subi des actes de </w:t>
      </w:r>
      <w:r w:rsidRPr="00E342DC">
        <w:rPr>
          <w:rFonts w:cs="Tahoma"/>
          <w:szCs w:val="20"/>
          <w:lang w:val="fr-CH" w:eastAsia="fr-FR"/>
        </w:rPr>
        <w:t>torture, de mauvais traitements et de menaces</w:t>
      </w:r>
      <w:r w:rsidR="00331C45" w:rsidRPr="00E342DC">
        <w:rPr>
          <w:rFonts w:cs="Tahoma"/>
          <w:szCs w:val="20"/>
          <w:lang w:val="fr-CH" w:eastAsia="fr-FR"/>
        </w:rPr>
        <w:t xml:space="preserve"> de la part des forces de police</w:t>
      </w:r>
      <w:r w:rsidRPr="00E342DC">
        <w:rPr>
          <w:rFonts w:cs="Tahoma"/>
          <w:szCs w:val="20"/>
          <w:lang w:val="fr-CH" w:eastAsia="fr-FR"/>
        </w:rPr>
        <w:t xml:space="preserve">. L’administration de la prison de Borj Al Amri lui avait par ailleurs refusé </w:t>
      </w:r>
      <w:r w:rsidR="00331C45" w:rsidRPr="00E342DC">
        <w:rPr>
          <w:rFonts w:cs="Tahoma"/>
          <w:szCs w:val="20"/>
          <w:lang w:val="fr-CH" w:eastAsia="fr-FR"/>
        </w:rPr>
        <w:t>une prise en charge</w:t>
      </w:r>
      <w:r w:rsidRPr="00E342DC">
        <w:rPr>
          <w:rFonts w:cs="Tahoma"/>
          <w:szCs w:val="20"/>
          <w:lang w:val="fr-CH" w:eastAsia="fr-FR"/>
        </w:rPr>
        <w:t xml:space="preserve"> médical</w:t>
      </w:r>
      <w:r w:rsidR="00331C45" w:rsidRPr="00E342DC">
        <w:rPr>
          <w:rFonts w:cs="Tahoma"/>
          <w:szCs w:val="20"/>
          <w:lang w:val="fr-CH" w:eastAsia="fr-FR"/>
        </w:rPr>
        <w:t>e</w:t>
      </w:r>
      <w:r w:rsidRPr="00E342DC">
        <w:rPr>
          <w:rFonts w:cs="Tahoma"/>
          <w:szCs w:val="20"/>
          <w:lang w:val="fr-CH" w:eastAsia="fr-FR"/>
        </w:rPr>
        <w:t>.</w:t>
      </w:r>
    </w:p>
    <w:p w:rsidR="00801668" w:rsidRPr="00E342DC" w:rsidRDefault="00801668">
      <w:pPr>
        <w:ind w:left="720"/>
        <w:rPr>
          <w:rFonts w:cs="Tahoma"/>
          <w:szCs w:val="20"/>
          <w:lang w:val="fr-CH" w:eastAsia="fr-FR"/>
        </w:rPr>
      </w:pPr>
    </w:p>
    <w:p w:rsidR="00801668" w:rsidRPr="00E342DC" w:rsidRDefault="008D2636">
      <w:pPr>
        <w:ind w:left="720"/>
        <w:rPr>
          <w:rFonts w:cs="Tahoma"/>
          <w:szCs w:val="20"/>
          <w:lang w:val="fr-CH" w:eastAsia="fr-FR"/>
        </w:rPr>
      </w:pPr>
      <w:r w:rsidRPr="00E342DC">
        <w:rPr>
          <w:rFonts w:cs="Tahoma"/>
          <w:b/>
          <w:bCs/>
          <w:szCs w:val="20"/>
          <w:lang w:val="fr-CH" w:eastAsia="fr-FR"/>
        </w:rPr>
        <w:t>Mohamed Ali Snoussi</w:t>
      </w:r>
      <w:r w:rsidRPr="00E342DC">
        <w:rPr>
          <w:rFonts w:cs="Tahoma"/>
          <w:szCs w:val="20"/>
          <w:lang w:val="fr-CH" w:eastAsia="fr-FR"/>
        </w:rPr>
        <w:t xml:space="preserve"> : Décédé le 3 octobre 2014 à l’hôpital de Charles Nicole à l’issue de 6 jours de garde à vue au </w:t>
      </w:r>
      <w:r w:rsidR="00331C45" w:rsidRPr="00E342DC">
        <w:rPr>
          <w:rFonts w:cs="Tahoma"/>
          <w:szCs w:val="20"/>
          <w:lang w:val="fr-CH" w:eastAsia="fr-FR"/>
        </w:rPr>
        <w:t>Commissariat</w:t>
      </w:r>
      <w:r w:rsidRPr="00E342DC">
        <w:rPr>
          <w:rFonts w:cs="Tahoma"/>
          <w:szCs w:val="20"/>
          <w:lang w:val="fr-CH" w:eastAsia="fr-FR"/>
        </w:rPr>
        <w:t xml:space="preserve"> de Bouchoucha. Sa famille a rapporté que dès son arrestation, il avait été violemment battu par les agents de police. À l’issue de sa garde à vue, la prison avait refusé de l’admettre </w:t>
      </w:r>
      <w:r w:rsidR="00331C45" w:rsidRPr="00E342DC">
        <w:rPr>
          <w:rFonts w:cs="Tahoma"/>
          <w:szCs w:val="20"/>
          <w:lang w:val="fr-CH" w:eastAsia="fr-FR"/>
        </w:rPr>
        <w:t>en raison</w:t>
      </w:r>
      <w:r w:rsidRPr="00E342DC">
        <w:rPr>
          <w:rFonts w:cs="Tahoma"/>
          <w:szCs w:val="20"/>
          <w:lang w:val="fr-CH" w:eastAsia="fr-FR"/>
        </w:rPr>
        <w:t xml:space="preserve"> de son état particulièrement critique.</w:t>
      </w:r>
    </w:p>
    <w:p w:rsidR="00801668" w:rsidRPr="00E342DC" w:rsidRDefault="00801668">
      <w:pPr>
        <w:pStyle w:val="ListParagraph"/>
        <w:ind w:left="1287"/>
        <w:rPr>
          <w:rFonts w:cs="Tahoma"/>
          <w:szCs w:val="20"/>
          <w:lang w:val="fr-CH" w:eastAsia="fr-FR"/>
        </w:rPr>
      </w:pPr>
    </w:p>
    <w:p w:rsidR="00801668" w:rsidRPr="00E342DC" w:rsidRDefault="008D2636">
      <w:pPr>
        <w:ind w:left="720"/>
        <w:rPr>
          <w:rFonts w:cs="Tahoma"/>
          <w:szCs w:val="20"/>
          <w:lang w:val="fr-CH" w:eastAsia="fr-FR"/>
        </w:rPr>
      </w:pPr>
      <w:r w:rsidRPr="00E342DC">
        <w:rPr>
          <w:rFonts w:cs="Tahoma"/>
          <w:b/>
          <w:bCs/>
          <w:szCs w:val="20"/>
          <w:lang w:val="fr-CH" w:eastAsia="fr-FR"/>
        </w:rPr>
        <w:lastRenderedPageBreak/>
        <w:t>Walid Denguir</w:t>
      </w:r>
      <w:r w:rsidRPr="00E342DC">
        <w:rPr>
          <w:rFonts w:cs="Tahoma"/>
          <w:szCs w:val="20"/>
          <w:lang w:val="fr-CH" w:eastAsia="fr-FR"/>
        </w:rPr>
        <w:t> : Décédé le 2 novembre 2014 lors de son interrogatoire au poste de police de Sidi Bechir à Tunis environ une heure après son arrestation. La famille a constaté des traces de violences sur sa dépouille.</w:t>
      </w:r>
    </w:p>
    <w:p w:rsidR="00801668" w:rsidRPr="00E342DC" w:rsidRDefault="00801668">
      <w:pPr>
        <w:pStyle w:val="ListParagraph"/>
        <w:ind w:left="1287"/>
        <w:rPr>
          <w:rFonts w:cs="Tahoma"/>
          <w:szCs w:val="20"/>
          <w:lang w:val="fr-CH" w:eastAsia="fr-FR"/>
        </w:rPr>
      </w:pPr>
    </w:p>
    <w:p w:rsidR="00801668" w:rsidRPr="00E342DC" w:rsidRDefault="008D2636">
      <w:pPr>
        <w:ind w:left="720"/>
        <w:rPr>
          <w:rFonts w:cs="Tahoma"/>
          <w:szCs w:val="20"/>
          <w:lang w:val="fr-CH" w:eastAsia="fr-FR"/>
        </w:rPr>
      </w:pPr>
      <w:r w:rsidRPr="00E342DC">
        <w:rPr>
          <w:rFonts w:cs="Tahoma"/>
          <w:b/>
          <w:bCs/>
          <w:szCs w:val="20"/>
          <w:lang w:val="fr-CH" w:eastAsia="fr-FR"/>
        </w:rPr>
        <w:t>Abdelmajid Jedday</w:t>
      </w:r>
      <w:r w:rsidRPr="00E342DC">
        <w:rPr>
          <w:rFonts w:cs="Tahoma"/>
          <w:szCs w:val="20"/>
          <w:lang w:val="fr-CH" w:eastAsia="fr-FR"/>
        </w:rPr>
        <w:t xml:space="preserve"> : Décédé le 13 mai 2015, </w:t>
      </w:r>
      <w:r w:rsidR="00331C45" w:rsidRPr="00E342DC">
        <w:rPr>
          <w:rFonts w:cs="Tahoma"/>
          <w:szCs w:val="20"/>
          <w:lang w:val="fr-CH" w:eastAsia="fr-FR"/>
        </w:rPr>
        <w:t xml:space="preserve">un </w:t>
      </w:r>
      <w:r w:rsidRPr="00E342DC">
        <w:rPr>
          <w:rFonts w:cs="Tahoma"/>
          <w:szCs w:val="20"/>
          <w:lang w:val="fr-CH" w:eastAsia="fr-FR"/>
        </w:rPr>
        <w:t>jour suivant son arrestation au District de la Garde nationale à Sidi Bouzid. Un mois plus tôt, il avait déjà déposé une plainte contre les agents de la garde nationale pour violences et mauvais traitements.</w:t>
      </w:r>
    </w:p>
    <w:p w:rsidR="00C22CE5" w:rsidRPr="00E342DC" w:rsidRDefault="00C22CE5" w:rsidP="00DA0ABA">
      <w:pPr>
        <w:ind w:left="567"/>
        <w:rPr>
          <w:rFonts w:cs="Tahoma"/>
          <w:i/>
          <w:iCs/>
          <w:szCs w:val="20"/>
          <w:lang w:val="fr-CH" w:eastAsia="fr-FR"/>
        </w:rPr>
      </w:pPr>
    </w:p>
    <w:p w:rsidR="00801668" w:rsidRPr="00E342DC" w:rsidRDefault="00C22CE5">
      <w:pPr>
        <w:rPr>
          <w:rFonts w:cs="Tahoma"/>
          <w:szCs w:val="20"/>
          <w:lang w:val="fr-CH" w:eastAsia="fr-FR"/>
        </w:rPr>
      </w:pPr>
      <w:r w:rsidRPr="00E342DC">
        <w:rPr>
          <w:rFonts w:cs="Tahoma"/>
          <w:szCs w:val="20"/>
          <w:lang w:val="fr-CH" w:eastAsia="fr-FR"/>
        </w:rPr>
        <w:t xml:space="preserve">Dans la réponse de la Tunisie sur la liste des points </w:t>
      </w:r>
      <w:r w:rsidR="001212AF" w:rsidRPr="00E342DC">
        <w:rPr>
          <w:rFonts w:cs="Tahoma"/>
          <w:szCs w:val="20"/>
          <w:lang w:val="fr-CH" w:eastAsia="fr-FR"/>
        </w:rPr>
        <w:t>soulevés par le Comité</w:t>
      </w:r>
      <w:r w:rsidR="00331C45" w:rsidRPr="00E342DC">
        <w:rPr>
          <w:rFonts w:cs="Tahoma"/>
          <w:szCs w:val="20"/>
          <w:lang w:val="fr-CH" w:eastAsia="fr-FR"/>
        </w:rPr>
        <w:t>,</w:t>
      </w:r>
      <w:r w:rsidRPr="00E342DC">
        <w:rPr>
          <w:rFonts w:cs="Tahoma"/>
          <w:szCs w:val="20"/>
          <w:lang w:val="fr-CH" w:eastAsia="fr-FR"/>
        </w:rPr>
        <w:t xml:space="preserve"> l’</w:t>
      </w:r>
      <w:r w:rsidR="0070261E" w:rsidRPr="00E342DC">
        <w:rPr>
          <w:rFonts w:cs="Tahoma"/>
          <w:szCs w:val="20"/>
          <w:lang w:val="fr-CH" w:eastAsia="fr-FR"/>
        </w:rPr>
        <w:t>État</w:t>
      </w:r>
      <w:r w:rsidRPr="00E342DC">
        <w:rPr>
          <w:rFonts w:cs="Tahoma"/>
          <w:szCs w:val="20"/>
          <w:lang w:val="fr-CH" w:eastAsia="fr-FR"/>
        </w:rPr>
        <w:t xml:space="preserve"> partie n’a pas répondu aux demandes d’informations supplémentaires</w:t>
      </w:r>
      <w:r w:rsidR="001212AF" w:rsidRPr="00E342DC">
        <w:rPr>
          <w:rFonts w:cs="Tahoma"/>
          <w:szCs w:val="20"/>
          <w:lang w:val="fr-CH" w:eastAsia="fr-FR"/>
        </w:rPr>
        <w:t xml:space="preserve"> </w:t>
      </w:r>
      <w:r w:rsidRPr="00E342DC">
        <w:rPr>
          <w:rFonts w:cs="Tahoma"/>
          <w:szCs w:val="20"/>
          <w:lang w:val="fr-CH" w:eastAsia="fr-FR"/>
        </w:rPr>
        <w:t xml:space="preserve">concernant les cas </w:t>
      </w:r>
      <w:r w:rsidR="001212AF" w:rsidRPr="00E342DC">
        <w:rPr>
          <w:rFonts w:cs="Tahoma"/>
          <w:szCs w:val="20"/>
          <w:lang w:val="fr-CH" w:eastAsia="fr-FR"/>
        </w:rPr>
        <w:t>cités ci-dessus, se content</w:t>
      </w:r>
      <w:r w:rsidR="00331C45" w:rsidRPr="00E342DC">
        <w:rPr>
          <w:rFonts w:cs="Tahoma"/>
          <w:szCs w:val="20"/>
          <w:lang w:val="fr-CH" w:eastAsia="fr-FR"/>
        </w:rPr>
        <w:t>a</w:t>
      </w:r>
      <w:r w:rsidR="001212AF" w:rsidRPr="00E342DC">
        <w:rPr>
          <w:rFonts w:cs="Tahoma"/>
          <w:szCs w:val="20"/>
          <w:lang w:val="fr-CH" w:eastAsia="fr-FR"/>
        </w:rPr>
        <w:t>nt de répondre que « les cas de morts suspectes sont soumises à des enquêtes judicaires spécialisées</w:t>
      </w:r>
      <w:r w:rsidR="00D60113" w:rsidRPr="00E342DC">
        <w:rPr>
          <w:rFonts w:cs="Tahoma"/>
          <w:szCs w:val="20"/>
          <w:lang w:val="fr-CH" w:eastAsia="fr-FR"/>
        </w:rPr>
        <w:t> »</w:t>
      </w:r>
      <w:r w:rsidR="001212AF" w:rsidRPr="00E342DC">
        <w:rPr>
          <w:rFonts w:cs="Tahoma"/>
          <w:szCs w:val="20"/>
          <w:lang w:val="fr-CH" w:eastAsia="fr-FR"/>
        </w:rPr>
        <w:t>. Alkarama regrette ce manque d’information</w:t>
      </w:r>
      <w:r w:rsidR="00331C45" w:rsidRPr="00E342DC">
        <w:rPr>
          <w:rFonts w:cs="Tahoma"/>
          <w:szCs w:val="20"/>
          <w:lang w:val="fr-CH" w:eastAsia="fr-FR"/>
        </w:rPr>
        <w:t>s</w:t>
      </w:r>
      <w:r w:rsidR="001212AF" w:rsidRPr="00E342DC">
        <w:rPr>
          <w:rFonts w:cs="Tahoma"/>
          <w:szCs w:val="20"/>
          <w:lang w:val="fr-CH" w:eastAsia="fr-FR"/>
        </w:rPr>
        <w:t xml:space="preserve"> et souligne que jusqu’alors ces cas n’ont pas fait l’objet d’enquêtes promptes, objectives et impartiales et n’ont </w:t>
      </w:r>
      <w:r w:rsidR="00331C45" w:rsidRPr="00E342DC">
        <w:rPr>
          <w:rFonts w:cs="Tahoma"/>
          <w:szCs w:val="20"/>
          <w:lang w:val="fr-CH" w:eastAsia="fr-FR"/>
        </w:rPr>
        <w:t xml:space="preserve">toujours </w:t>
      </w:r>
      <w:r w:rsidR="001212AF" w:rsidRPr="00E342DC">
        <w:rPr>
          <w:rFonts w:cs="Tahoma"/>
          <w:szCs w:val="20"/>
          <w:lang w:val="fr-CH" w:eastAsia="fr-FR"/>
        </w:rPr>
        <w:t xml:space="preserve">pas donné lieu à des </w:t>
      </w:r>
      <w:r w:rsidR="00331C45" w:rsidRPr="00E342DC">
        <w:rPr>
          <w:rFonts w:cs="Tahoma"/>
          <w:szCs w:val="20"/>
          <w:lang w:val="fr-CH" w:eastAsia="fr-FR"/>
        </w:rPr>
        <w:t>poursuites pénales</w:t>
      </w:r>
      <w:r w:rsidR="001212AF" w:rsidRPr="00E342DC">
        <w:rPr>
          <w:rFonts w:cs="Tahoma"/>
          <w:szCs w:val="20"/>
          <w:lang w:val="fr-CH" w:eastAsia="fr-FR"/>
        </w:rPr>
        <w:t xml:space="preserve">. </w:t>
      </w:r>
    </w:p>
    <w:p w:rsidR="00FC034C" w:rsidRPr="00E342DC" w:rsidRDefault="00FC034C" w:rsidP="00DA0ABA">
      <w:pPr>
        <w:bidi/>
        <w:rPr>
          <w:rFonts w:cs="Tahoma"/>
          <w:szCs w:val="20"/>
          <w:lang w:val="fr-CH" w:bidi="ar-TN"/>
        </w:rPr>
      </w:pPr>
    </w:p>
    <w:p w:rsidR="004E3CB6" w:rsidRPr="00E342DC" w:rsidRDefault="001212AF" w:rsidP="00DA0ABA">
      <w:pPr>
        <w:pStyle w:val="Heading2"/>
        <w:numPr>
          <w:ilvl w:val="1"/>
          <w:numId w:val="9"/>
        </w:numPr>
        <w:rPr>
          <w:rFonts w:cs="Tahoma"/>
          <w:szCs w:val="20"/>
          <w:lang w:val="fr-CH"/>
        </w:rPr>
      </w:pPr>
      <w:bookmarkStart w:id="26" w:name="_Toc447008734"/>
      <w:r w:rsidRPr="00E342DC">
        <w:rPr>
          <w:rFonts w:cs="Tahoma"/>
          <w:szCs w:val="20"/>
          <w:lang w:val="fr-CH"/>
        </w:rPr>
        <w:t>Droit au recours effectif et droit de porter plainte</w:t>
      </w:r>
      <w:bookmarkEnd w:id="26"/>
    </w:p>
    <w:p w:rsidR="001212AF" w:rsidRPr="00E342DC" w:rsidRDefault="001212AF" w:rsidP="00DA0ABA">
      <w:pPr>
        <w:rPr>
          <w:rFonts w:cs="Tahoma"/>
          <w:szCs w:val="20"/>
          <w:lang w:val="fr-CH" w:eastAsia="fr-FR" w:bidi="ar-TN"/>
        </w:rPr>
      </w:pPr>
    </w:p>
    <w:p w:rsidR="00801668" w:rsidRPr="00E342DC" w:rsidRDefault="002E6D81">
      <w:pPr>
        <w:rPr>
          <w:rFonts w:cs="Tahoma"/>
          <w:szCs w:val="20"/>
          <w:lang w:val="fr-CH"/>
        </w:rPr>
      </w:pPr>
      <w:r w:rsidRPr="00E342DC">
        <w:rPr>
          <w:rFonts w:cs="Tahoma"/>
          <w:color w:val="000000"/>
          <w:szCs w:val="20"/>
          <w:lang w:val="fr-CH"/>
        </w:rPr>
        <w:t xml:space="preserve">L’article 13 de la Convention </w:t>
      </w:r>
      <w:r w:rsidRPr="00E342DC">
        <w:rPr>
          <w:rFonts w:cs="Tahoma"/>
          <w:szCs w:val="20"/>
          <w:lang w:val="fr-CH"/>
        </w:rPr>
        <w:t xml:space="preserve">prévoit que </w:t>
      </w:r>
      <w:r w:rsidRPr="00E342DC">
        <w:rPr>
          <w:rFonts w:cs="Tahoma"/>
          <w:i/>
          <w:iCs/>
          <w:szCs w:val="20"/>
          <w:lang w:val="fr-CH"/>
        </w:rPr>
        <w:t>« tout État partie assure à toute personne qui prétend avoir été soumise à la torture sur tout territoire sous sa juridiction le droit de porter plainte devant les autorités compétentes dudit État qui procéderont immédiatement et impartialement à l’examen de sa cause. Des mesures seront prises pour assurer la protection du plaignant et des témoins contre tout mauvais traitement ou toute intimidation en raison de la plainte déposée ou de toute déposition faite. » </w:t>
      </w:r>
    </w:p>
    <w:p w:rsidR="00E61F2A" w:rsidRPr="00E342DC" w:rsidRDefault="00E61F2A" w:rsidP="00DA0ABA">
      <w:pPr>
        <w:rPr>
          <w:rFonts w:cs="Tahoma"/>
          <w:color w:val="000000"/>
          <w:szCs w:val="20"/>
          <w:lang w:val="fr-CH"/>
        </w:rPr>
      </w:pPr>
    </w:p>
    <w:p w:rsidR="00DE3032" w:rsidRPr="00E342DC" w:rsidRDefault="002E6D81" w:rsidP="00241C80">
      <w:pPr>
        <w:rPr>
          <w:rFonts w:cs="Tahoma"/>
          <w:color w:val="000000"/>
          <w:szCs w:val="20"/>
          <w:lang w:val="fr-CH"/>
        </w:rPr>
      </w:pPr>
      <w:r w:rsidRPr="00E342DC">
        <w:rPr>
          <w:rFonts w:cs="Tahoma"/>
          <w:color w:val="000000"/>
          <w:szCs w:val="20"/>
          <w:lang w:val="fr-CH"/>
        </w:rPr>
        <w:t xml:space="preserve">Le droit interne tunisien garantit à toute victime de torture ou de mauvais traitements sur le sol tunisien le droit de porter plainte directement, ou par l’intermédiaire de ses proches ou son conseil, auprès de la police, de la garde nationale ou du procureur de la république. L’individu qui allègue des faits de torture dont il aurait été victime peut saisir le procureur de la république et se constituer partie civile. </w:t>
      </w:r>
    </w:p>
    <w:p w:rsidR="00801668" w:rsidRPr="00E342DC" w:rsidRDefault="00801668">
      <w:pPr>
        <w:rPr>
          <w:rFonts w:cs="Tahoma"/>
          <w:color w:val="000000"/>
          <w:szCs w:val="20"/>
          <w:lang w:val="fr-CH"/>
        </w:rPr>
      </w:pPr>
    </w:p>
    <w:p w:rsidR="00801668" w:rsidRPr="00E342DC" w:rsidRDefault="002E6D81">
      <w:pPr>
        <w:rPr>
          <w:rFonts w:cs="Tahoma"/>
          <w:color w:val="000000"/>
          <w:szCs w:val="20"/>
          <w:lang w:val="fr-CH"/>
        </w:rPr>
      </w:pPr>
      <w:r w:rsidRPr="00E342DC">
        <w:rPr>
          <w:rFonts w:cs="Tahoma"/>
          <w:color w:val="000000"/>
          <w:szCs w:val="20"/>
          <w:lang w:val="fr-CH"/>
        </w:rPr>
        <w:t xml:space="preserve">Selon les articles 30 et 31 du code de Procédure Pénale, le Procureur de la république saisi d’une plainte ou d’informations rapportant un crime ou un délit peut ordonner une enquête. Le parquet reste cependant maitre de l’opportunité de l’action publique et il dispose de la faculté de classer une affaire qui lui est soumise. Même si l’article 36 qui prévoit la possibilité de la plainte avec constitution de partie civile en cas de classement de la plainte par le parquet ne constitue pas une garantie suffisante dans la pratique pour poursuivre des actes de torture. En effet, des avocats tunisiens rapportent qu’en pratique toutes les plaintes engagées dans des cas de torture avérés envers leurs clients devant les autorités, sont systématiquement entravés par l’inertie du parquet, la lenteur excessive dans leur traitement et également par des mesures de représailles à l’encontre des plaignants. </w:t>
      </w:r>
    </w:p>
    <w:p w:rsidR="00AC597C" w:rsidRPr="00E342DC" w:rsidRDefault="00AC597C" w:rsidP="00E30253">
      <w:pPr>
        <w:rPr>
          <w:rFonts w:cs="Tahoma"/>
          <w:color w:val="000000"/>
          <w:szCs w:val="20"/>
          <w:lang w:val="fr-CH"/>
        </w:rPr>
      </w:pPr>
    </w:p>
    <w:p w:rsidR="00801668" w:rsidRPr="00E342DC" w:rsidRDefault="002E6D81">
      <w:pPr>
        <w:rPr>
          <w:rFonts w:cs="Tahoma"/>
          <w:color w:val="000000"/>
          <w:szCs w:val="20"/>
          <w:lang w:val="fr-CH"/>
        </w:rPr>
      </w:pPr>
      <w:r w:rsidRPr="00E342DC">
        <w:rPr>
          <w:rFonts w:cs="Tahoma"/>
          <w:color w:val="000000"/>
          <w:szCs w:val="20"/>
          <w:lang w:val="fr-CH"/>
        </w:rPr>
        <w:t xml:space="preserve">De plus, dans les cas de </w:t>
      </w:r>
      <w:r w:rsidR="00DE3032" w:rsidRPr="00E342DC">
        <w:rPr>
          <w:rFonts w:cs="Tahoma"/>
          <w:color w:val="000000"/>
          <w:szCs w:val="20"/>
          <w:lang w:val="fr-CH"/>
        </w:rPr>
        <w:t>morts suspectes</w:t>
      </w:r>
      <w:r w:rsidRPr="00E342DC">
        <w:rPr>
          <w:rFonts w:cs="Tahoma"/>
          <w:color w:val="000000"/>
          <w:szCs w:val="20"/>
          <w:lang w:val="fr-CH"/>
        </w:rPr>
        <w:t xml:space="preserve"> en détention,</w:t>
      </w:r>
      <w:r w:rsidR="002914BC" w:rsidRPr="00E342DC">
        <w:rPr>
          <w:rFonts w:cs="Tahoma"/>
          <w:color w:val="000000"/>
          <w:szCs w:val="20"/>
          <w:lang w:val="fr-CH"/>
        </w:rPr>
        <w:t xml:space="preserve"> il a été rapporté par</w:t>
      </w:r>
      <w:r w:rsidRPr="00E342DC">
        <w:rPr>
          <w:rFonts w:cs="Tahoma"/>
          <w:color w:val="000000"/>
          <w:szCs w:val="20"/>
          <w:lang w:val="fr-CH"/>
        </w:rPr>
        <w:t xml:space="preserve"> </w:t>
      </w:r>
      <w:r w:rsidR="002914BC" w:rsidRPr="00E342DC">
        <w:rPr>
          <w:rFonts w:cs="Tahoma"/>
          <w:color w:val="000000"/>
          <w:szCs w:val="20"/>
          <w:lang w:val="fr-CH"/>
        </w:rPr>
        <w:t xml:space="preserve">les avocats </w:t>
      </w:r>
      <w:r w:rsidRPr="00E342DC">
        <w:rPr>
          <w:rFonts w:cs="Tahoma"/>
          <w:color w:val="000000"/>
          <w:szCs w:val="20"/>
          <w:lang w:val="fr-CH"/>
        </w:rPr>
        <w:t>les familles de</w:t>
      </w:r>
      <w:r w:rsidR="00DE3032" w:rsidRPr="00E342DC">
        <w:rPr>
          <w:rFonts w:cs="Tahoma"/>
          <w:color w:val="000000"/>
          <w:szCs w:val="20"/>
          <w:lang w:val="fr-CH"/>
        </w:rPr>
        <w:t>s</w:t>
      </w:r>
      <w:r w:rsidRPr="00E342DC">
        <w:rPr>
          <w:rFonts w:cs="Tahoma"/>
          <w:color w:val="000000"/>
          <w:szCs w:val="20"/>
          <w:lang w:val="fr-CH"/>
        </w:rPr>
        <w:t xml:space="preserve"> </w:t>
      </w:r>
      <w:r w:rsidR="00DE3032" w:rsidRPr="00E342DC">
        <w:rPr>
          <w:rFonts w:cs="Tahoma"/>
          <w:color w:val="000000"/>
          <w:szCs w:val="20"/>
          <w:lang w:val="fr-CH"/>
        </w:rPr>
        <w:t>victimes</w:t>
      </w:r>
      <w:r w:rsidRPr="00E342DC">
        <w:rPr>
          <w:rFonts w:cs="Tahoma"/>
          <w:color w:val="000000"/>
          <w:szCs w:val="20"/>
          <w:lang w:val="fr-CH"/>
        </w:rPr>
        <w:t xml:space="preserve"> </w:t>
      </w:r>
      <w:r w:rsidR="002914BC" w:rsidRPr="00E342DC">
        <w:rPr>
          <w:rFonts w:cs="Tahoma"/>
          <w:color w:val="000000"/>
          <w:szCs w:val="20"/>
          <w:lang w:val="fr-CH"/>
        </w:rPr>
        <w:t>que lorsque celles-ci se</w:t>
      </w:r>
      <w:r w:rsidR="00DE3032" w:rsidRPr="00E342DC">
        <w:rPr>
          <w:rFonts w:cs="Tahoma"/>
          <w:color w:val="000000"/>
          <w:szCs w:val="20"/>
          <w:lang w:val="fr-CH"/>
        </w:rPr>
        <w:t xml:space="preserve"> </w:t>
      </w:r>
      <w:r w:rsidRPr="00E342DC">
        <w:rPr>
          <w:rFonts w:cs="Tahoma"/>
          <w:color w:val="000000"/>
          <w:szCs w:val="20"/>
          <w:lang w:val="fr-CH"/>
        </w:rPr>
        <w:t>constit</w:t>
      </w:r>
      <w:r w:rsidR="002914BC" w:rsidRPr="00E342DC">
        <w:rPr>
          <w:rFonts w:cs="Tahoma"/>
          <w:color w:val="000000"/>
          <w:szCs w:val="20"/>
          <w:lang w:val="fr-CH"/>
        </w:rPr>
        <w:t>uaient</w:t>
      </w:r>
      <w:r w:rsidRPr="00E342DC">
        <w:rPr>
          <w:rFonts w:cs="Tahoma"/>
          <w:color w:val="000000"/>
          <w:szCs w:val="20"/>
          <w:lang w:val="fr-CH"/>
        </w:rPr>
        <w:t xml:space="preserve"> partie civile </w:t>
      </w:r>
      <w:r w:rsidR="002914BC" w:rsidRPr="00E342DC">
        <w:rPr>
          <w:rFonts w:cs="Tahoma"/>
          <w:color w:val="000000"/>
          <w:szCs w:val="20"/>
          <w:lang w:val="fr-CH"/>
        </w:rPr>
        <w:t xml:space="preserve">pour avoir accès </w:t>
      </w:r>
      <w:r w:rsidRPr="00E342DC">
        <w:rPr>
          <w:rFonts w:cs="Tahoma"/>
          <w:color w:val="000000"/>
          <w:szCs w:val="20"/>
          <w:lang w:val="fr-CH"/>
        </w:rPr>
        <w:t>au dossier d’instruction</w:t>
      </w:r>
      <w:r w:rsidR="002914BC" w:rsidRPr="00E342DC">
        <w:rPr>
          <w:rFonts w:cs="Tahoma"/>
          <w:color w:val="000000"/>
          <w:szCs w:val="20"/>
          <w:lang w:val="fr-CH"/>
        </w:rPr>
        <w:t>,</w:t>
      </w:r>
      <w:r w:rsidRPr="00E342DC">
        <w:rPr>
          <w:rFonts w:cs="Tahoma"/>
          <w:color w:val="000000"/>
          <w:szCs w:val="20"/>
          <w:lang w:val="fr-CH"/>
        </w:rPr>
        <w:t xml:space="preserve"> l</w:t>
      </w:r>
      <w:r w:rsidR="002914BC" w:rsidRPr="00E342DC">
        <w:rPr>
          <w:rFonts w:cs="Tahoma"/>
          <w:color w:val="000000"/>
          <w:szCs w:val="20"/>
          <w:lang w:val="fr-CH"/>
        </w:rPr>
        <w:t>eurs</w:t>
      </w:r>
      <w:r w:rsidRPr="00E342DC">
        <w:rPr>
          <w:rFonts w:cs="Tahoma"/>
          <w:color w:val="000000"/>
          <w:szCs w:val="20"/>
          <w:lang w:val="fr-CH"/>
        </w:rPr>
        <w:t xml:space="preserve"> demande</w:t>
      </w:r>
      <w:r w:rsidR="002914BC" w:rsidRPr="00E342DC">
        <w:rPr>
          <w:rFonts w:cs="Tahoma"/>
          <w:color w:val="000000"/>
          <w:szCs w:val="20"/>
          <w:lang w:val="fr-CH"/>
        </w:rPr>
        <w:t>s</w:t>
      </w:r>
      <w:r w:rsidRPr="00E342DC">
        <w:rPr>
          <w:rFonts w:cs="Tahoma"/>
          <w:color w:val="000000"/>
          <w:szCs w:val="20"/>
          <w:lang w:val="fr-CH"/>
        </w:rPr>
        <w:t xml:space="preserve"> ét</w:t>
      </w:r>
      <w:r w:rsidR="002914BC" w:rsidRPr="00E342DC">
        <w:rPr>
          <w:rFonts w:cs="Tahoma"/>
          <w:color w:val="000000"/>
          <w:szCs w:val="20"/>
          <w:lang w:val="fr-CH"/>
        </w:rPr>
        <w:t>aient</w:t>
      </w:r>
      <w:r w:rsidRPr="00E342DC">
        <w:rPr>
          <w:rFonts w:cs="Tahoma"/>
          <w:color w:val="000000"/>
          <w:szCs w:val="20"/>
          <w:lang w:val="fr-CH"/>
        </w:rPr>
        <w:t xml:space="preserve"> presque toujours rejetée. </w:t>
      </w:r>
      <w:r w:rsidR="002914BC" w:rsidRPr="00E342DC">
        <w:rPr>
          <w:rFonts w:cs="Tahoma"/>
          <w:color w:val="000000"/>
          <w:szCs w:val="20"/>
          <w:lang w:val="fr-CH"/>
        </w:rPr>
        <w:t xml:space="preserve">Ainsi, les </w:t>
      </w:r>
      <w:r w:rsidRPr="00E342DC">
        <w:rPr>
          <w:rFonts w:cs="Tahoma"/>
          <w:color w:val="000000"/>
          <w:szCs w:val="20"/>
          <w:lang w:val="fr-CH"/>
        </w:rPr>
        <w:t xml:space="preserve">proches de </w:t>
      </w:r>
      <w:r w:rsidRPr="00E342DC">
        <w:rPr>
          <w:rFonts w:cs="Tahoma"/>
          <w:b/>
          <w:bCs/>
          <w:color w:val="000000"/>
          <w:szCs w:val="20"/>
          <w:lang w:val="fr-CH"/>
        </w:rPr>
        <w:t>Walid Denguir</w:t>
      </w:r>
      <w:r w:rsidRPr="00E342DC">
        <w:rPr>
          <w:rFonts w:cs="Tahoma"/>
          <w:color w:val="000000"/>
          <w:szCs w:val="20"/>
          <w:lang w:val="fr-CH"/>
        </w:rPr>
        <w:t xml:space="preserve">, décédé le 2 novembre 2014 lors de son interrogatoire au poste de police de Sidi </w:t>
      </w:r>
      <w:proofErr w:type="spellStart"/>
      <w:r w:rsidRPr="00E342DC">
        <w:rPr>
          <w:rFonts w:cs="Tahoma"/>
          <w:color w:val="000000"/>
          <w:szCs w:val="20"/>
          <w:lang w:val="fr-CH"/>
        </w:rPr>
        <w:t>Bechir</w:t>
      </w:r>
      <w:proofErr w:type="spellEnd"/>
      <w:r w:rsidRPr="00E342DC">
        <w:rPr>
          <w:rFonts w:cs="Tahoma"/>
          <w:color w:val="000000"/>
          <w:szCs w:val="20"/>
          <w:lang w:val="fr-CH"/>
        </w:rPr>
        <w:t xml:space="preserve"> à Tunis</w:t>
      </w:r>
      <w:r w:rsidR="002914BC" w:rsidRPr="00E342DC">
        <w:rPr>
          <w:rFonts w:cs="Tahoma"/>
          <w:color w:val="000000"/>
          <w:szCs w:val="20"/>
          <w:lang w:val="fr-CH"/>
        </w:rPr>
        <w:t>,</w:t>
      </w:r>
      <w:r w:rsidR="00BF513F">
        <w:rPr>
          <w:rFonts w:cs="Tahoma"/>
          <w:color w:val="000000"/>
          <w:szCs w:val="20"/>
          <w:lang w:val="fr-CH"/>
        </w:rPr>
        <w:t xml:space="preserve"> </w:t>
      </w:r>
      <w:r w:rsidR="002914BC" w:rsidRPr="00E342DC">
        <w:rPr>
          <w:rFonts w:cs="Tahoma"/>
          <w:color w:val="000000"/>
          <w:szCs w:val="20"/>
          <w:lang w:val="fr-CH"/>
        </w:rPr>
        <w:t xml:space="preserve">décédé </w:t>
      </w:r>
      <w:r w:rsidRPr="00E342DC">
        <w:rPr>
          <w:rFonts w:cs="Tahoma"/>
          <w:color w:val="000000"/>
          <w:szCs w:val="20"/>
          <w:lang w:val="fr-CH"/>
        </w:rPr>
        <w:t>environ une heure après son arrestation</w:t>
      </w:r>
      <w:r w:rsidR="002914BC" w:rsidRPr="00E342DC">
        <w:rPr>
          <w:rFonts w:cs="Tahoma"/>
          <w:color w:val="000000"/>
          <w:szCs w:val="20"/>
          <w:lang w:val="fr-CH"/>
        </w:rPr>
        <w:t xml:space="preserve"> et dont le corps portait</w:t>
      </w:r>
      <w:r w:rsidRPr="00E342DC">
        <w:rPr>
          <w:rFonts w:cs="Tahoma"/>
          <w:color w:val="000000"/>
          <w:szCs w:val="20"/>
          <w:lang w:val="fr-CH"/>
        </w:rPr>
        <w:t xml:space="preserve"> des traces</w:t>
      </w:r>
      <w:r w:rsidR="002914BC" w:rsidRPr="00E342DC">
        <w:rPr>
          <w:rFonts w:cs="Tahoma"/>
          <w:color w:val="000000"/>
          <w:szCs w:val="20"/>
          <w:lang w:val="fr-CH"/>
        </w:rPr>
        <w:t xml:space="preserve"> évidentes de torture, n’ont jamais pu avoir accès au dossier d’instruction et ignorent si une enquête a réellement été initiée. </w:t>
      </w:r>
    </w:p>
    <w:p w:rsidR="002914BC" w:rsidRPr="00E342DC" w:rsidRDefault="002914BC" w:rsidP="00DA0ABA">
      <w:pPr>
        <w:rPr>
          <w:rFonts w:cs="Tahoma"/>
          <w:szCs w:val="20"/>
          <w:lang w:val="fr-CH"/>
        </w:rPr>
      </w:pPr>
    </w:p>
    <w:p w:rsidR="00801668" w:rsidRPr="00E342DC" w:rsidRDefault="00BD1A00">
      <w:pPr>
        <w:pStyle w:val="Default"/>
        <w:jc w:val="both"/>
        <w:rPr>
          <w:rFonts w:ascii="Tahoma" w:hAnsi="Tahoma" w:cs="Tahoma"/>
          <w:sz w:val="20"/>
          <w:szCs w:val="20"/>
          <w:lang w:val="fr-CH"/>
        </w:rPr>
      </w:pPr>
      <w:r w:rsidRPr="00E342DC">
        <w:rPr>
          <w:rFonts w:ascii="Tahoma" w:hAnsi="Tahoma" w:cs="Tahoma"/>
          <w:sz w:val="20"/>
          <w:szCs w:val="20"/>
          <w:lang w:val="fr-CH"/>
        </w:rPr>
        <w:t>Après avoir été écroué, un détenu peut également saisir le juge d’application des peines en vertu de l’article 342 para. 2 du CPP lorsque ce dernier effectue une visite dans les établissements pénitentiaires. Ce dernier doit ensuite saisir le procureur. Dans la pratique, une telle procédure de saisine est rendue difficile eu égard aux pressions et menaces exercées à l’encontre de détenus qui souhaiteraient ou qui ont porté plainte pour torture ou mauvais traitement</w:t>
      </w:r>
      <w:r w:rsidR="002914BC" w:rsidRPr="00E342DC">
        <w:rPr>
          <w:rFonts w:ascii="Tahoma" w:hAnsi="Tahoma" w:cs="Tahoma"/>
          <w:sz w:val="20"/>
          <w:szCs w:val="20"/>
          <w:lang w:val="fr-CH"/>
        </w:rPr>
        <w:t xml:space="preserve">. Les cas </w:t>
      </w:r>
      <w:r w:rsidR="005404E9" w:rsidRPr="00E342DC">
        <w:rPr>
          <w:rFonts w:ascii="Tahoma" w:hAnsi="Tahoma" w:cs="Tahoma"/>
          <w:sz w:val="20"/>
          <w:szCs w:val="20"/>
          <w:lang w:val="fr-CH"/>
        </w:rPr>
        <w:t>d’Ali</w:t>
      </w:r>
      <w:r w:rsidR="002E6D81" w:rsidRPr="00E342DC">
        <w:rPr>
          <w:rFonts w:ascii="Tahoma" w:hAnsi="Tahoma" w:cs="Tahoma"/>
          <w:sz w:val="20"/>
          <w:szCs w:val="20"/>
          <w:lang w:val="fr-CH"/>
        </w:rPr>
        <w:t xml:space="preserve"> Khémais Louati et d’Abdelmajid Jedday</w:t>
      </w:r>
      <w:r w:rsidR="002914BC" w:rsidRPr="00E342DC">
        <w:rPr>
          <w:rFonts w:ascii="Tahoma" w:hAnsi="Tahoma" w:cs="Tahoma"/>
          <w:sz w:val="20"/>
          <w:szCs w:val="20"/>
          <w:lang w:val="fr-CH"/>
        </w:rPr>
        <w:t xml:space="preserve"> illustrent cette crainte de représailles</w:t>
      </w:r>
      <w:r w:rsidR="002E6D81" w:rsidRPr="00E342DC">
        <w:rPr>
          <w:rFonts w:ascii="Tahoma" w:hAnsi="Tahoma" w:cs="Tahoma"/>
          <w:sz w:val="20"/>
          <w:szCs w:val="20"/>
          <w:lang w:val="fr-CH"/>
        </w:rPr>
        <w:t>:</w:t>
      </w:r>
    </w:p>
    <w:p w:rsidR="00E17A63" w:rsidRPr="00E342DC" w:rsidRDefault="00E17A63" w:rsidP="00DA0ABA">
      <w:pPr>
        <w:rPr>
          <w:rFonts w:cs="Tahoma"/>
          <w:szCs w:val="20"/>
          <w:lang w:val="fr-CH" w:eastAsia="fr-FR"/>
        </w:rPr>
      </w:pPr>
    </w:p>
    <w:p w:rsidR="00801668" w:rsidRPr="00E342DC" w:rsidRDefault="002E6D81" w:rsidP="00A46D92">
      <w:pPr>
        <w:ind w:left="720"/>
        <w:rPr>
          <w:rFonts w:cs="Tahoma"/>
          <w:szCs w:val="20"/>
          <w:lang w:val="fr-CH"/>
        </w:rPr>
      </w:pPr>
      <w:r w:rsidRPr="00E342DC">
        <w:rPr>
          <w:rFonts w:cs="Tahoma"/>
          <w:b/>
          <w:bCs/>
          <w:szCs w:val="20"/>
          <w:lang w:val="fr-CH"/>
        </w:rPr>
        <w:t>Ali</w:t>
      </w:r>
      <w:r w:rsidRPr="00E342DC">
        <w:rPr>
          <w:rFonts w:cs="Tahoma"/>
          <w:b/>
          <w:bCs/>
          <w:szCs w:val="20"/>
          <w:lang w:val="fr-CH" w:eastAsia="fr-FR"/>
        </w:rPr>
        <w:t xml:space="preserve"> Khémais Louati</w:t>
      </w:r>
      <w:r w:rsidRPr="00E342DC">
        <w:rPr>
          <w:rFonts w:cs="Tahoma"/>
          <w:szCs w:val="20"/>
          <w:lang w:val="fr-CH" w:eastAsia="fr-FR"/>
        </w:rPr>
        <w:t xml:space="preserve"> est</w:t>
      </w:r>
      <w:r w:rsidR="003D777B" w:rsidRPr="00E342DC">
        <w:rPr>
          <w:rFonts w:cs="Tahoma"/>
          <w:szCs w:val="20"/>
          <w:lang w:val="fr-CH" w:eastAsia="fr-FR"/>
        </w:rPr>
        <w:t> d</w:t>
      </w:r>
      <w:r w:rsidR="00EA2DBE" w:rsidRPr="00E342DC">
        <w:rPr>
          <w:rFonts w:cs="Tahoma"/>
          <w:szCs w:val="20"/>
          <w:lang w:val="fr-CH" w:eastAsia="fr-FR"/>
        </w:rPr>
        <w:t xml:space="preserve">écédé le 24 septembre 2014, </w:t>
      </w:r>
      <w:r w:rsidR="00E17A63" w:rsidRPr="00E342DC">
        <w:rPr>
          <w:rFonts w:cs="Tahoma"/>
          <w:szCs w:val="20"/>
          <w:lang w:val="fr-CH" w:eastAsia="fr-FR"/>
        </w:rPr>
        <w:t xml:space="preserve">après avoir </w:t>
      </w:r>
      <w:r w:rsidR="00A46D92" w:rsidRPr="00E342DC">
        <w:rPr>
          <w:rFonts w:cs="Tahoma"/>
          <w:szCs w:val="20"/>
          <w:lang w:val="fr-CH" w:eastAsia="fr-FR"/>
        </w:rPr>
        <w:t xml:space="preserve">affirmé </w:t>
      </w:r>
      <w:r w:rsidR="00EA2DBE" w:rsidRPr="00E342DC">
        <w:rPr>
          <w:rFonts w:cs="Tahoma"/>
          <w:szCs w:val="20"/>
          <w:lang w:val="fr-CH" w:eastAsia="fr-FR"/>
        </w:rPr>
        <w:t xml:space="preserve">avant sa mort </w:t>
      </w:r>
      <w:r w:rsidR="00BD1A00" w:rsidRPr="00E342DC">
        <w:rPr>
          <w:rFonts w:cs="Tahoma"/>
          <w:szCs w:val="20"/>
          <w:lang w:val="fr-CH" w:eastAsia="fr-FR"/>
        </w:rPr>
        <w:t xml:space="preserve">avoir </w:t>
      </w:r>
      <w:r w:rsidR="00EA2DBE" w:rsidRPr="00E342DC">
        <w:rPr>
          <w:rFonts w:cs="Tahoma"/>
          <w:szCs w:val="20"/>
          <w:lang w:val="fr-CH" w:eastAsia="fr-FR"/>
        </w:rPr>
        <w:t>être victime de torture, de mauvais traitements et de menaces</w:t>
      </w:r>
      <w:r w:rsidR="00A46D92" w:rsidRPr="00E342DC">
        <w:rPr>
          <w:rFonts w:cs="Tahoma"/>
          <w:szCs w:val="20"/>
          <w:lang w:val="fr-CH" w:eastAsia="fr-FR"/>
        </w:rPr>
        <w:t xml:space="preserve"> de la part d’agents de </w:t>
      </w:r>
      <w:r w:rsidR="00A46D92" w:rsidRPr="00E342DC">
        <w:rPr>
          <w:rFonts w:cs="Tahoma"/>
          <w:szCs w:val="20"/>
          <w:lang w:val="fr-CH" w:eastAsia="fr-FR"/>
        </w:rPr>
        <w:lastRenderedPageBreak/>
        <w:t>l’Etat</w:t>
      </w:r>
      <w:r w:rsidR="00EA2DBE" w:rsidRPr="00E342DC">
        <w:rPr>
          <w:rFonts w:cs="Tahoma"/>
          <w:szCs w:val="20"/>
          <w:lang w:val="fr-CH" w:eastAsia="fr-FR"/>
        </w:rPr>
        <w:t xml:space="preserve">. L’administration </w:t>
      </w:r>
      <w:r w:rsidR="00A46D92" w:rsidRPr="00E342DC">
        <w:rPr>
          <w:rFonts w:cs="Tahoma"/>
          <w:szCs w:val="20"/>
          <w:lang w:val="fr-CH" w:eastAsia="fr-FR"/>
        </w:rPr>
        <w:t>pénitentiaire</w:t>
      </w:r>
      <w:r w:rsidR="00EA2DBE" w:rsidRPr="00E342DC">
        <w:rPr>
          <w:rFonts w:cs="Tahoma"/>
          <w:szCs w:val="20"/>
          <w:lang w:val="fr-CH" w:eastAsia="fr-FR"/>
        </w:rPr>
        <w:t xml:space="preserve"> de Borj Al Amri lui avait </w:t>
      </w:r>
      <w:r w:rsidR="00BD1A00" w:rsidRPr="00E342DC">
        <w:rPr>
          <w:rFonts w:cs="Tahoma"/>
          <w:szCs w:val="20"/>
          <w:lang w:val="fr-CH" w:eastAsia="fr-FR"/>
        </w:rPr>
        <w:t xml:space="preserve">d’ailleurs </w:t>
      </w:r>
      <w:r w:rsidR="00EA2DBE" w:rsidRPr="00E342DC">
        <w:rPr>
          <w:rFonts w:cs="Tahoma"/>
          <w:szCs w:val="20"/>
          <w:lang w:val="fr-CH" w:eastAsia="fr-FR"/>
        </w:rPr>
        <w:t xml:space="preserve">refusé </w:t>
      </w:r>
      <w:r w:rsidR="00A46D92" w:rsidRPr="00E342DC">
        <w:rPr>
          <w:rFonts w:cs="Tahoma"/>
          <w:szCs w:val="20"/>
          <w:lang w:val="fr-CH" w:eastAsia="fr-FR"/>
        </w:rPr>
        <w:t>toute assistance médicale.</w:t>
      </w:r>
    </w:p>
    <w:p w:rsidR="00801668" w:rsidRPr="00E342DC" w:rsidRDefault="00801668">
      <w:pPr>
        <w:ind w:left="720"/>
        <w:rPr>
          <w:rFonts w:cs="Tahoma"/>
          <w:szCs w:val="20"/>
          <w:lang w:val="fr-CH"/>
        </w:rPr>
      </w:pPr>
    </w:p>
    <w:p w:rsidR="00801668" w:rsidRPr="00E342DC" w:rsidRDefault="00EA2DBE" w:rsidP="00A46D92">
      <w:pPr>
        <w:ind w:left="720"/>
        <w:rPr>
          <w:rFonts w:cs="Tahoma"/>
          <w:szCs w:val="20"/>
          <w:lang w:val="fr-CH" w:bidi="ar-TN"/>
        </w:rPr>
      </w:pPr>
      <w:r w:rsidRPr="00E342DC">
        <w:rPr>
          <w:rFonts w:cs="Tahoma"/>
          <w:b/>
          <w:bCs/>
          <w:szCs w:val="20"/>
          <w:lang w:val="fr-CH" w:eastAsia="fr-FR"/>
        </w:rPr>
        <w:t>Abdelmajid Jedday</w:t>
      </w:r>
      <w:r w:rsidR="00BB0A37" w:rsidRPr="00E342DC">
        <w:rPr>
          <w:rFonts w:cs="Tahoma"/>
          <w:szCs w:val="20"/>
          <w:lang w:val="fr-CH" w:eastAsia="fr-FR"/>
        </w:rPr>
        <w:t xml:space="preserve"> est </w:t>
      </w:r>
      <w:r w:rsidR="003D777B" w:rsidRPr="00E342DC">
        <w:rPr>
          <w:rFonts w:cs="Tahoma"/>
          <w:szCs w:val="20"/>
          <w:lang w:val="fr-CH" w:eastAsia="fr-FR"/>
        </w:rPr>
        <w:t>d</w:t>
      </w:r>
      <w:r w:rsidRPr="00E342DC">
        <w:rPr>
          <w:rFonts w:cs="Tahoma"/>
          <w:szCs w:val="20"/>
          <w:lang w:val="fr-CH" w:eastAsia="fr-FR"/>
        </w:rPr>
        <w:t xml:space="preserve">écédé le 13 mai 2015, </w:t>
      </w:r>
      <w:r w:rsidR="003D777B" w:rsidRPr="00E342DC">
        <w:rPr>
          <w:rFonts w:cs="Tahoma"/>
          <w:szCs w:val="20"/>
          <w:lang w:val="fr-CH" w:eastAsia="fr-FR"/>
        </w:rPr>
        <w:t xml:space="preserve">le </w:t>
      </w:r>
      <w:r w:rsidRPr="00E342DC">
        <w:rPr>
          <w:rFonts w:cs="Tahoma"/>
          <w:szCs w:val="20"/>
          <w:lang w:val="fr-CH" w:eastAsia="fr-FR"/>
        </w:rPr>
        <w:t xml:space="preserve">jour suivant son arrestation </w:t>
      </w:r>
      <w:r w:rsidR="00A46D92" w:rsidRPr="00E342DC">
        <w:rPr>
          <w:rFonts w:cs="Tahoma"/>
          <w:szCs w:val="20"/>
          <w:lang w:val="fr-CH" w:eastAsia="fr-FR"/>
        </w:rPr>
        <w:t xml:space="preserve">et sa détention dans les locaux </w:t>
      </w:r>
      <w:r w:rsidRPr="00E342DC">
        <w:rPr>
          <w:rFonts w:cs="Tahoma"/>
          <w:szCs w:val="20"/>
          <w:lang w:val="fr-CH" w:eastAsia="fr-FR"/>
        </w:rPr>
        <w:t>de la Garde nationale à Sidi Bouzid. Un mois plus tôt</w:t>
      </w:r>
      <w:r w:rsidR="00A46D92" w:rsidRPr="00E342DC">
        <w:rPr>
          <w:rFonts w:cs="Tahoma"/>
          <w:szCs w:val="20"/>
          <w:lang w:val="fr-CH" w:eastAsia="fr-FR"/>
        </w:rPr>
        <w:t xml:space="preserve"> et à la suite d’une arrestation,</w:t>
      </w:r>
      <w:r w:rsidRPr="00E342DC">
        <w:rPr>
          <w:rFonts w:cs="Tahoma"/>
          <w:szCs w:val="20"/>
          <w:lang w:val="fr-CH" w:eastAsia="fr-FR"/>
        </w:rPr>
        <w:t xml:space="preserve"> il avait déposé une plainte contre </w:t>
      </w:r>
      <w:r w:rsidR="00A46D92" w:rsidRPr="00E342DC">
        <w:rPr>
          <w:rFonts w:cs="Tahoma"/>
          <w:szCs w:val="20"/>
          <w:lang w:val="fr-CH" w:eastAsia="fr-FR"/>
        </w:rPr>
        <w:t>les mêmes agents</w:t>
      </w:r>
      <w:r w:rsidRPr="00E342DC">
        <w:rPr>
          <w:rFonts w:cs="Tahoma"/>
          <w:szCs w:val="20"/>
          <w:lang w:val="fr-CH" w:eastAsia="fr-FR"/>
        </w:rPr>
        <w:t xml:space="preserve"> de la garde nationale pour violences et mauvais traitements.</w:t>
      </w:r>
    </w:p>
    <w:p w:rsidR="00856A50" w:rsidRPr="00E342DC" w:rsidRDefault="00856A50" w:rsidP="00DA0ABA">
      <w:pPr>
        <w:rPr>
          <w:rFonts w:cs="Tahoma"/>
          <w:szCs w:val="20"/>
          <w:lang w:val="fr-CH" w:eastAsia="fr-FR" w:bidi="ar-TN"/>
        </w:rPr>
      </w:pPr>
    </w:p>
    <w:p w:rsidR="00801668" w:rsidRPr="00E342DC" w:rsidRDefault="00E05360" w:rsidP="003271C2">
      <w:pPr>
        <w:rPr>
          <w:rFonts w:eastAsia="Arial Unicode MS" w:cs="Tahoma"/>
          <w:szCs w:val="20"/>
          <w:lang w:val="fr-CH"/>
        </w:rPr>
      </w:pPr>
      <w:r w:rsidRPr="00E342DC">
        <w:rPr>
          <w:rFonts w:cs="Tahoma"/>
          <w:szCs w:val="20"/>
          <w:lang w:val="fr-CH" w:eastAsia="fr-FR"/>
        </w:rPr>
        <w:t xml:space="preserve">Ces </w:t>
      </w:r>
      <w:r w:rsidR="003D777B" w:rsidRPr="00E342DC">
        <w:rPr>
          <w:rFonts w:cs="Tahoma"/>
          <w:szCs w:val="20"/>
          <w:lang w:val="fr-CH" w:eastAsia="fr-FR"/>
        </w:rPr>
        <w:t xml:space="preserve">deux </w:t>
      </w:r>
      <w:r w:rsidRPr="00E342DC">
        <w:rPr>
          <w:rFonts w:cs="Tahoma"/>
          <w:szCs w:val="20"/>
          <w:lang w:val="fr-CH" w:eastAsia="fr-FR"/>
        </w:rPr>
        <w:t xml:space="preserve">cas révèlent </w:t>
      </w:r>
      <w:r w:rsidR="00FC034C" w:rsidRPr="00E342DC">
        <w:rPr>
          <w:rFonts w:cs="Tahoma"/>
          <w:szCs w:val="20"/>
          <w:lang w:val="fr-CH" w:eastAsia="fr-FR"/>
        </w:rPr>
        <w:t xml:space="preserve">une violation manifeste de l’article 13 </w:t>
      </w:r>
      <w:r w:rsidR="00BB0A37" w:rsidRPr="00E342DC">
        <w:rPr>
          <w:rFonts w:cs="Tahoma"/>
          <w:szCs w:val="20"/>
          <w:lang w:val="fr-CH" w:eastAsia="fr-FR"/>
        </w:rPr>
        <w:t xml:space="preserve">de la Convention </w:t>
      </w:r>
      <w:r w:rsidR="00FC034C" w:rsidRPr="00E342DC">
        <w:rPr>
          <w:rFonts w:cs="Tahoma"/>
          <w:szCs w:val="20"/>
          <w:lang w:val="fr-CH" w:eastAsia="fr-FR"/>
        </w:rPr>
        <w:t>en ce que les autorités compétentes n’</w:t>
      </w:r>
      <w:r w:rsidR="00BD1A00" w:rsidRPr="00E342DC">
        <w:rPr>
          <w:rFonts w:cs="Tahoma"/>
          <w:szCs w:val="20"/>
          <w:lang w:val="fr-CH" w:eastAsia="fr-FR"/>
        </w:rPr>
        <w:t>avaient</w:t>
      </w:r>
      <w:r w:rsidR="00FC034C" w:rsidRPr="00E342DC">
        <w:rPr>
          <w:rFonts w:cs="Tahoma"/>
          <w:szCs w:val="20"/>
          <w:lang w:val="fr-CH" w:eastAsia="fr-FR"/>
        </w:rPr>
        <w:t xml:space="preserve"> pas pris les mesures </w:t>
      </w:r>
      <w:r w:rsidR="006D40DF" w:rsidRPr="00E342DC">
        <w:rPr>
          <w:rFonts w:cs="Tahoma"/>
          <w:szCs w:val="20"/>
          <w:lang w:val="fr-CH" w:eastAsia="fr-FR"/>
        </w:rPr>
        <w:t>nécessaires</w:t>
      </w:r>
      <w:r w:rsidR="00FC034C" w:rsidRPr="00E342DC">
        <w:rPr>
          <w:rFonts w:cs="Tahoma"/>
          <w:szCs w:val="20"/>
          <w:lang w:val="fr-CH" w:eastAsia="fr-FR"/>
        </w:rPr>
        <w:t xml:space="preserve"> pour assurer la protection des </w:t>
      </w:r>
      <w:r w:rsidR="00BD1A00" w:rsidRPr="00E342DC">
        <w:rPr>
          <w:rFonts w:cs="Tahoma"/>
          <w:szCs w:val="20"/>
          <w:lang w:val="fr-CH" w:eastAsia="fr-FR"/>
        </w:rPr>
        <w:t xml:space="preserve">victimes </w:t>
      </w:r>
      <w:r w:rsidR="00A46D92" w:rsidRPr="00E342DC">
        <w:rPr>
          <w:rFonts w:cs="Tahoma"/>
          <w:szCs w:val="20"/>
          <w:lang w:val="fr-CH" w:eastAsia="fr-FR"/>
        </w:rPr>
        <w:t xml:space="preserve">qui avait déposé des plaintes à la suite desquelles ils ont fait l’objet de graves </w:t>
      </w:r>
      <w:r w:rsidR="003D777B" w:rsidRPr="00E342DC">
        <w:rPr>
          <w:rFonts w:cs="Tahoma"/>
          <w:szCs w:val="20"/>
          <w:lang w:val="fr-CH" w:eastAsia="fr-FR"/>
        </w:rPr>
        <w:t xml:space="preserve">représailles </w:t>
      </w:r>
      <w:r w:rsidR="00A46D92" w:rsidRPr="00E342DC">
        <w:rPr>
          <w:rFonts w:cs="Tahoma"/>
          <w:szCs w:val="20"/>
          <w:lang w:val="fr-CH" w:eastAsia="fr-FR"/>
        </w:rPr>
        <w:t xml:space="preserve">allant jusqu’à entrainer le </w:t>
      </w:r>
      <w:r w:rsidR="003D777B" w:rsidRPr="00E342DC">
        <w:rPr>
          <w:rFonts w:cs="Tahoma"/>
          <w:szCs w:val="20"/>
          <w:lang w:val="fr-CH" w:eastAsia="fr-FR"/>
        </w:rPr>
        <w:t>décès</w:t>
      </w:r>
      <w:r w:rsidR="00A46D92" w:rsidRPr="00E342DC">
        <w:rPr>
          <w:rFonts w:cs="Tahoma"/>
          <w:szCs w:val="20"/>
          <w:lang w:val="fr-CH" w:eastAsia="fr-FR"/>
        </w:rPr>
        <w:t xml:space="preserve"> de certaines d’entre elles</w:t>
      </w:r>
      <w:r w:rsidR="003D777B" w:rsidRPr="00E342DC">
        <w:rPr>
          <w:rFonts w:cs="Tahoma"/>
          <w:szCs w:val="20"/>
          <w:lang w:val="fr-CH" w:eastAsia="fr-FR"/>
        </w:rPr>
        <w:t>.</w:t>
      </w:r>
      <w:r w:rsidR="00157544" w:rsidRPr="00E342DC">
        <w:rPr>
          <w:rFonts w:cs="Tahoma"/>
          <w:szCs w:val="20"/>
          <w:lang w:val="fr-CH" w:eastAsia="fr-FR"/>
        </w:rPr>
        <w:t xml:space="preserve"> Cette pratique </w:t>
      </w:r>
      <w:r w:rsidR="00A46D92" w:rsidRPr="00E342DC">
        <w:rPr>
          <w:rFonts w:cs="Tahoma"/>
          <w:szCs w:val="20"/>
          <w:lang w:val="fr-CH" w:eastAsia="fr-FR"/>
        </w:rPr>
        <w:t>avait d’ailleurs</w:t>
      </w:r>
      <w:r w:rsidR="00157544" w:rsidRPr="00E342DC">
        <w:rPr>
          <w:rFonts w:cs="Tahoma"/>
          <w:szCs w:val="20"/>
          <w:lang w:val="fr-CH" w:eastAsia="fr-FR"/>
        </w:rPr>
        <w:t xml:space="preserve"> également été relevée par le Rappo</w:t>
      </w:r>
      <w:r w:rsidR="00894FB9" w:rsidRPr="00E342DC">
        <w:rPr>
          <w:rFonts w:cs="Tahoma"/>
          <w:szCs w:val="20"/>
          <w:lang w:val="fr-CH" w:eastAsia="fr-FR"/>
        </w:rPr>
        <w:t>rteur spécial sur la torture</w:t>
      </w:r>
      <w:r w:rsidR="00BF513F">
        <w:rPr>
          <w:rFonts w:cs="Tahoma"/>
          <w:szCs w:val="20"/>
          <w:lang w:val="fr-CH" w:eastAsia="fr-FR"/>
        </w:rPr>
        <w:t xml:space="preserve"> qui avait affirmé</w:t>
      </w:r>
      <w:r w:rsidR="00894FB9" w:rsidRPr="00E342DC">
        <w:rPr>
          <w:rFonts w:cs="Tahoma"/>
          <w:szCs w:val="20"/>
          <w:lang w:val="fr-CH" w:eastAsia="fr-FR"/>
        </w:rPr>
        <w:t xml:space="preserve"> avoir reçu des informations crédibles </w:t>
      </w:r>
      <w:r w:rsidR="00A46D92" w:rsidRPr="00E342DC">
        <w:rPr>
          <w:rFonts w:cs="Tahoma"/>
          <w:szCs w:val="20"/>
          <w:lang w:val="fr-CH" w:eastAsia="fr-FR"/>
        </w:rPr>
        <w:t>sur des cas similaires</w:t>
      </w:r>
      <w:r w:rsidR="00BD1A00" w:rsidRPr="00E342DC">
        <w:rPr>
          <w:rFonts w:eastAsia="Arial Unicode MS" w:cs="Tahoma"/>
          <w:szCs w:val="20"/>
          <w:lang w:val="fr-CH"/>
        </w:rPr>
        <w:t xml:space="preserve">. </w:t>
      </w:r>
      <w:r w:rsidR="00A46D92" w:rsidRPr="00E342DC">
        <w:rPr>
          <w:rFonts w:eastAsia="Arial Unicode MS" w:cs="Tahoma"/>
          <w:szCs w:val="20"/>
          <w:lang w:val="fr-CH"/>
        </w:rPr>
        <w:t xml:space="preserve">Des avocats ont eux-mêmes déposé des plaintes pénales pour torture au nom de leurs clients ont eux-mêmes fait l’objet de représailles sous forme de poursuite judiciaire (voir notamment le cas </w:t>
      </w:r>
      <w:r w:rsidR="00A46D92" w:rsidRPr="00E342DC">
        <w:rPr>
          <w:rFonts w:cs="Tahoma"/>
          <w:bCs/>
          <w:szCs w:val="20"/>
          <w:lang w:val="fr-CH"/>
        </w:rPr>
        <w:t>« Barraket Essahel » cité plus bas).</w:t>
      </w:r>
      <w:r w:rsidR="00A46D92" w:rsidRPr="00E342DC">
        <w:rPr>
          <w:rFonts w:eastAsia="Arial Unicode MS" w:cs="Tahoma"/>
          <w:szCs w:val="20"/>
          <w:lang w:val="fr-CH"/>
        </w:rPr>
        <w:t xml:space="preserve"> </w:t>
      </w:r>
      <w:r w:rsidR="00BD1A00" w:rsidRPr="00E342DC">
        <w:rPr>
          <w:rFonts w:eastAsia="Arial Unicode MS" w:cs="Tahoma"/>
          <w:szCs w:val="20"/>
          <w:lang w:val="fr-CH"/>
        </w:rPr>
        <w:t>Dans certains cas</w:t>
      </w:r>
      <w:r w:rsidR="00A46D92" w:rsidRPr="00E342DC">
        <w:rPr>
          <w:rFonts w:eastAsia="Arial Unicode MS" w:cs="Tahoma"/>
          <w:szCs w:val="20"/>
          <w:lang w:val="fr-CH"/>
        </w:rPr>
        <w:t>, d</w:t>
      </w:r>
      <w:r w:rsidR="00BD1A00" w:rsidRPr="00E342DC">
        <w:rPr>
          <w:rFonts w:eastAsia="Arial Unicode MS" w:cs="Tahoma"/>
          <w:szCs w:val="20"/>
          <w:lang w:val="fr-CH"/>
        </w:rPr>
        <w:t xml:space="preserve">es </w:t>
      </w:r>
      <w:r w:rsidR="00A46D92" w:rsidRPr="00E342DC">
        <w:rPr>
          <w:rFonts w:eastAsia="Arial Unicode MS" w:cs="Tahoma"/>
          <w:szCs w:val="20"/>
          <w:lang w:val="fr-CH"/>
        </w:rPr>
        <w:t xml:space="preserve">mesures de </w:t>
      </w:r>
      <w:r w:rsidR="00BD1A00" w:rsidRPr="00E342DC">
        <w:rPr>
          <w:rFonts w:eastAsia="Arial Unicode MS" w:cs="Tahoma"/>
          <w:szCs w:val="20"/>
          <w:lang w:val="fr-CH"/>
        </w:rPr>
        <w:t>représailles avaient été exercées à l’encontre de</w:t>
      </w:r>
      <w:r w:rsidR="00A46D92" w:rsidRPr="00E342DC">
        <w:rPr>
          <w:rFonts w:eastAsia="Arial Unicode MS" w:cs="Tahoma"/>
          <w:szCs w:val="20"/>
          <w:lang w:val="fr-CH"/>
        </w:rPr>
        <w:t xml:space="preserve">s </w:t>
      </w:r>
      <w:r w:rsidR="00894FB9" w:rsidRPr="00E342DC">
        <w:rPr>
          <w:rFonts w:eastAsia="Arial Unicode MS" w:cs="Tahoma"/>
          <w:szCs w:val="20"/>
          <w:lang w:val="fr-CH"/>
        </w:rPr>
        <w:t>familles</w:t>
      </w:r>
      <w:r w:rsidR="00A46D92" w:rsidRPr="00E342DC">
        <w:rPr>
          <w:rFonts w:eastAsia="Arial Unicode MS" w:cs="Tahoma"/>
          <w:szCs w:val="20"/>
          <w:lang w:val="fr-CH"/>
        </w:rPr>
        <w:t xml:space="preserve"> des victimes</w:t>
      </w:r>
      <w:r w:rsidR="00894FB9" w:rsidRPr="00E342DC">
        <w:rPr>
          <w:rFonts w:eastAsia="Arial Unicode MS" w:cs="Tahoma"/>
          <w:szCs w:val="20"/>
          <w:lang w:val="fr-CH"/>
        </w:rPr>
        <w:t>.</w:t>
      </w:r>
      <w:r w:rsidR="00894FB9" w:rsidRPr="00E342DC">
        <w:rPr>
          <w:rStyle w:val="FootnoteReference"/>
          <w:rFonts w:cs="Tahoma"/>
          <w:szCs w:val="20"/>
          <w:lang w:val="fr-CH" w:eastAsia="fr-FR"/>
        </w:rPr>
        <w:t xml:space="preserve"> </w:t>
      </w:r>
      <w:r w:rsidR="00894FB9" w:rsidRPr="00E342DC">
        <w:rPr>
          <w:rFonts w:cs="Tahoma"/>
          <w:szCs w:val="20"/>
          <w:lang w:val="fr-CH" w:eastAsia="fr-FR"/>
        </w:rPr>
        <w:t>D’autre part</w:t>
      </w:r>
      <w:r w:rsidR="003271C2" w:rsidRPr="00E342DC">
        <w:rPr>
          <w:rFonts w:cs="Tahoma"/>
          <w:szCs w:val="20"/>
          <w:lang w:val="fr-CH" w:eastAsia="fr-FR"/>
        </w:rPr>
        <w:t xml:space="preserve"> le Rapporteur Spécial sur la torture avait exprimé sa préoccupation sur la fait que </w:t>
      </w:r>
      <w:r w:rsidR="00894FB9" w:rsidRPr="00E342DC">
        <w:rPr>
          <w:rFonts w:cs="Tahoma"/>
          <w:szCs w:val="20"/>
          <w:lang w:val="fr-CH" w:eastAsia="fr-FR"/>
        </w:rPr>
        <w:t>« </w:t>
      </w:r>
      <w:r w:rsidR="00894FB9" w:rsidRPr="00E342DC">
        <w:rPr>
          <w:rFonts w:eastAsia="Arial Unicode MS" w:cs="Tahoma"/>
          <w:szCs w:val="20"/>
          <w:lang w:val="fr-CH"/>
        </w:rPr>
        <w:t>plusieurs rapports ont indiqué que certaines personnes qui se plaignaient de la torture et de mauvais traitements ont ensuite été victimes d'intimidation, de pression et d'harcèlement de la police, et le Rapporteur spécial a appris que les victimes ont souvent peur de porter plainte auprès des autorités. »</w:t>
      </w:r>
      <w:r w:rsidR="00157544" w:rsidRPr="00E342DC">
        <w:rPr>
          <w:rStyle w:val="FootnoteReference"/>
          <w:rFonts w:cs="Tahoma"/>
          <w:szCs w:val="20"/>
          <w:lang w:val="fr-CH" w:eastAsia="fr-FR"/>
        </w:rPr>
        <w:footnoteReference w:id="44"/>
      </w:r>
    </w:p>
    <w:p w:rsidR="00641620" w:rsidRPr="00E342DC" w:rsidRDefault="00641620" w:rsidP="00DA0ABA">
      <w:pPr>
        <w:rPr>
          <w:rFonts w:eastAsia="Arial Unicode MS" w:cs="Tahoma"/>
          <w:szCs w:val="20"/>
          <w:lang w:val="fr-CH"/>
        </w:rPr>
      </w:pPr>
    </w:p>
    <w:p w:rsidR="00801668" w:rsidRPr="00E342DC" w:rsidRDefault="00F77FD2" w:rsidP="003271C2">
      <w:pPr>
        <w:rPr>
          <w:rFonts w:cs="Tahoma"/>
          <w:szCs w:val="20"/>
          <w:lang w:val="fr-CH" w:eastAsia="fr-FR"/>
        </w:rPr>
      </w:pPr>
      <w:r w:rsidRPr="00E342DC">
        <w:rPr>
          <w:rFonts w:cs="Tahoma"/>
          <w:szCs w:val="20"/>
          <w:lang w:val="fr-CH" w:eastAsia="fr-FR"/>
        </w:rPr>
        <w:t>L</w:t>
      </w:r>
      <w:r w:rsidR="00CA65A1" w:rsidRPr="00E342DC">
        <w:rPr>
          <w:rFonts w:cs="Tahoma"/>
          <w:szCs w:val="20"/>
          <w:lang w:val="fr-CH" w:eastAsia="fr-FR"/>
        </w:rPr>
        <w:t>e rapport complémentaire</w:t>
      </w:r>
      <w:r w:rsidRPr="00E342DC">
        <w:rPr>
          <w:rFonts w:cs="Tahoma"/>
          <w:szCs w:val="20"/>
          <w:lang w:val="fr-CH" w:eastAsia="fr-FR"/>
        </w:rPr>
        <w:t xml:space="preserve"> </w:t>
      </w:r>
      <w:r w:rsidR="00CA65A1" w:rsidRPr="00E342DC">
        <w:rPr>
          <w:rFonts w:cs="Tahoma"/>
          <w:szCs w:val="20"/>
          <w:lang w:val="fr-CH" w:eastAsia="fr-FR"/>
        </w:rPr>
        <w:t xml:space="preserve">de l’Etat partie </w:t>
      </w:r>
      <w:r w:rsidR="003271C2" w:rsidRPr="00E342DC">
        <w:rPr>
          <w:rFonts w:cs="Tahoma"/>
          <w:szCs w:val="20"/>
          <w:lang w:val="fr-CH" w:eastAsia="fr-FR"/>
        </w:rPr>
        <w:t>présente</w:t>
      </w:r>
      <w:r w:rsidR="00641620" w:rsidRPr="00E342DC">
        <w:rPr>
          <w:rFonts w:cs="Tahoma"/>
          <w:szCs w:val="20"/>
          <w:lang w:val="fr-CH" w:eastAsia="fr-FR"/>
        </w:rPr>
        <w:t xml:space="preserve"> le nombre de plaintes déposées entre 2010 et 2013 contre des agents de la Direction des prisons ainsi que </w:t>
      </w:r>
      <w:r w:rsidR="003271C2" w:rsidRPr="00E342DC">
        <w:rPr>
          <w:rFonts w:cs="Tahoma"/>
          <w:szCs w:val="20"/>
          <w:lang w:val="fr-CH" w:eastAsia="fr-FR"/>
        </w:rPr>
        <w:t xml:space="preserve">le nombre </w:t>
      </w:r>
      <w:r w:rsidR="00641620" w:rsidRPr="00E342DC">
        <w:rPr>
          <w:rFonts w:cs="Tahoma"/>
          <w:szCs w:val="20"/>
          <w:lang w:val="fr-CH" w:eastAsia="fr-FR"/>
        </w:rPr>
        <w:t>de</w:t>
      </w:r>
      <w:r w:rsidR="003271C2" w:rsidRPr="00E342DC">
        <w:rPr>
          <w:rFonts w:cs="Tahoma"/>
          <w:szCs w:val="20"/>
          <w:lang w:val="fr-CH" w:eastAsia="fr-FR"/>
        </w:rPr>
        <w:t xml:space="preserve"> </w:t>
      </w:r>
      <w:r w:rsidR="00641620" w:rsidRPr="00E342DC">
        <w:rPr>
          <w:rFonts w:cs="Tahoma"/>
          <w:szCs w:val="20"/>
          <w:lang w:val="fr-CH" w:eastAsia="fr-FR"/>
        </w:rPr>
        <w:t>cas de décès dans les centres de garde à vue pour cette même période.</w:t>
      </w:r>
      <w:r w:rsidR="00641620" w:rsidRPr="00E342DC">
        <w:rPr>
          <w:rStyle w:val="FootnoteReference"/>
          <w:rFonts w:cs="Tahoma"/>
          <w:szCs w:val="20"/>
          <w:lang w:val="fr-CH" w:eastAsia="fr-FR"/>
        </w:rPr>
        <w:footnoteReference w:id="45"/>
      </w:r>
      <w:r w:rsidR="00641620" w:rsidRPr="00E342DC">
        <w:rPr>
          <w:rFonts w:cs="Tahoma"/>
          <w:szCs w:val="20"/>
          <w:lang w:val="fr-CH" w:eastAsia="fr-FR"/>
        </w:rPr>
        <w:t xml:space="preserve"> </w:t>
      </w:r>
      <w:r w:rsidR="003271C2" w:rsidRPr="00E342DC">
        <w:rPr>
          <w:rFonts w:cs="Tahoma"/>
          <w:szCs w:val="20"/>
          <w:lang w:val="fr-CH" w:eastAsia="fr-FR"/>
        </w:rPr>
        <w:t>L</w:t>
      </w:r>
      <w:r w:rsidR="00964CC6" w:rsidRPr="00E342DC">
        <w:rPr>
          <w:rFonts w:cs="Tahoma"/>
          <w:szCs w:val="20"/>
          <w:lang w:val="fr-CH" w:eastAsia="fr-FR"/>
        </w:rPr>
        <w:t>’</w:t>
      </w:r>
      <w:r w:rsidR="0070261E" w:rsidRPr="00E342DC">
        <w:rPr>
          <w:rFonts w:cs="Tahoma"/>
          <w:szCs w:val="20"/>
          <w:lang w:val="fr-CH" w:eastAsia="fr-FR"/>
        </w:rPr>
        <w:t>État</w:t>
      </w:r>
      <w:r w:rsidR="00964CC6" w:rsidRPr="00E342DC">
        <w:rPr>
          <w:rFonts w:cs="Tahoma"/>
          <w:szCs w:val="20"/>
          <w:lang w:val="fr-CH" w:eastAsia="fr-FR"/>
        </w:rPr>
        <w:t xml:space="preserve"> parti </w:t>
      </w:r>
      <w:r w:rsidR="003271C2" w:rsidRPr="00E342DC">
        <w:rPr>
          <w:rFonts w:cs="Tahoma"/>
          <w:szCs w:val="20"/>
          <w:lang w:val="fr-CH" w:eastAsia="fr-FR"/>
        </w:rPr>
        <w:t>s’est abstenu de fournir des chiffres pour les années 2014 et 2015.</w:t>
      </w:r>
      <w:r w:rsidR="00964CC6" w:rsidRPr="00E342DC">
        <w:rPr>
          <w:rFonts w:cs="Tahoma"/>
          <w:szCs w:val="20"/>
          <w:lang w:val="fr-CH" w:eastAsia="fr-FR"/>
        </w:rPr>
        <w:t xml:space="preserve"> </w:t>
      </w:r>
      <w:r w:rsidR="00641620" w:rsidRPr="00E342DC">
        <w:rPr>
          <w:rFonts w:cs="Tahoma"/>
          <w:szCs w:val="20"/>
          <w:lang w:val="fr-CH" w:eastAsia="fr-FR"/>
        </w:rPr>
        <w:t xml:space="preserve">Ainsi, il fait état </w:t>
      </w:r>
      <w:r w:rsidR="003271C2" w:rsidRPr="00E342DC">
        <w:rPr>
          <w:rFonts w:cs="Tahoma"/>
          <w:szCs w:val="20"/>
          <w:lang w:val="fr-CH" w:eastAsia="fr-FR"/>
        </w:rPr>
        <w:t xml:space="preserve">de </w:t>
      </w:r>
      <w:r w:rsidR="00641620" w:rsidRPr="00E342DC">
        <w:rPr>
          <w:rFonts w:cs="Tahoma"/>
          <w:szCs w:val="20"/>
          <w:lang w:val="fr-CH" w:eastAsia="fr-FR"/>
        </w:rPr>
        <w:t>41 cas en trois ans</w:t>
      </w:r>
      <w:r w:rsidR="003271C2" w:rsidRPr="00E342DC">
        <w:rPr>
          <w:rFonts w:cs="Tahoma"/>
          <w:szCs w:val="20"/>
          <w:lang w:val="fr-CH" w:eastAsia="fr-FR"/>
        </w:rPr>
        <w:t xml:space="preserve"> </w:t>
      </w:r>
      <w:r w:rsidR="00641620" w:rsidRPr="00E342DC">
        <w:rPr>
          <w:rFonts w:cs="Tahoma"/>
          <w:szCs w:val="20"/>
          <w:lang w:val="fr-CH" w:eastAsia="fr-FR"/>
        </w:rPr>
        <w:t>dans lesquels des agents de police auraient été sanctionnés pour « abus</w:t>
      </w:r>
      <w:r w:rsidR="00BF513F">
        <w:rPr>
          <w:rFonts w:cs="Tahoma"/>
          <w:szCs w:val="20"/>
          <w:lang w:val="fr-CH" w:eastAsia="fr-FR"/>
        </w:rPr>
        <w:t xml:space="preserve"> </w:t>
      </w:r>
      <w:r w:rsidR="00641620" w:rsidRPr="00E342DC">
        <w:rPr>
          <w:rFonts w:cs="Tahoma"/>
          <w:szCs w:val="20"/>
          <w:lang w:val="fr-CH" w:eastAsia="fr-FR"/>
        </w:rPr>
        <w:t>contre des citoyens</w:t>
      </w:r>
      <w:r w:rsidR="00BD1A00" w:rsidRPr="00E342DC">
        <w:rPr>
          <w:rFonts w:cs="Tahoma"/>
          <w:szCs w:val="20"/>
          <w:lang w:val="fr-CH" w:eastAsia="fr-FR"/>
        </w:rPr>
        <w:t> »</w:t>
      </w:r>
      <w:r w:rsidR="003271C2" w:rsidRPr="00E342DC">
        <w:rPr>
          <w:rFonts w:cs="Tahoma"/>
          <w:szCs w:val="20"/>
          <w:lang w:val="fr-CH" w:eastAsia="fr-FR"/>
        </w:rPr>
        <w:t>, sans préciser la nature de ces sanctions</w:t>
      </w:r>
      <w:r w:rsidR="00641620" w:rsidRPr="00E342DC">
        <w:rPr>
          <w:rFonts w:cs="Tahoma"/>
          <w:szCs w:val="20"/>
          <w:lang w:val="fr-CH" w:eastAsia="fr-FR"/>
        </w:rPr>
        <w:t>. L</w:t>
      </w:r>
      <w:r w:rsidR="00CA65A1" w:rsidRPr="00E342DC">
        <w:rPr>
          <w:rFonts w:cs="Tahoma"/>
          <w:szCs w:val="20"/>
          <w:lang w:val="fr-CH" w:eastAsia="fr-FR"/>
        </w:rPr>
        <w:t>e rapport complémentaire</w:t>
      </w:r>
      <w:r w:rsidR="00641620" w:rsidRPr="00E342DC">
        <w:rPr>
          <w:rFonts w:cs="Tahoma"/>
          <w:szCs w:val="20"/>
          <w:lang w:val="fr-CH" w:eastAsia="fr-FR"/>
        </w:rPr>
        <w:t xml:space="preserve"> affirme</w:t>
      </w:r>
      <w:r w:rsidR="003271C2" w:rsidRPr="00E342DC">
        <w:rPr>
          <w:rFonts w:cs="Tahoma"/>
          <w:szCs w:val="20"/>
          <w:lang w:val="fr-CH" w:eastAsia="fr-FR"/>
        </w:rPr>
        <w:t xml:space="preserve"> de plus</w:t>
      </w:r>
      <w:r w:rsidR="00641620" w:rsidRPr="00E342DC">
        <w:rPr>
          <w:rFonts w:cs="Tahoma"/>
          <w:szCs w:val="20"/>
          <w:lang w:val="fr-CH" w:eastAsia="fr-FR"/>
        </w:rPr>
        <w:t xml:space="preserve"> que durant cette période </w:t>
      </w:r>
      <w:r w:rsidR="00641620" w:rsidRPr="00E342DC">
        <w:rPr>
          <w:rFonts w:cs="Tahoma"/>
          <w:szCs w:val="20"/>
          <w:lang w:val="fr-CH"/>
        </w:rPr>
        <w:t xml:space="preserve">des mesures disciplinaires avait été prises dans </w:t>
      </w:r>
      <w:r w:rsidR="003271C2" w:rsidRPr="00E342DC">
        <w:rPr>
          <w:rFonts w:cs="Tahoma"/>
          <w:szCs w:val="20"/>
          <w:lang w:val="fr-CH"/>
        </w:rPr>
        <w:t>seulement</w:t>
      </w:r>
      <w:r w:rsidR="00641620" w:rsidRPr="00E342DC">
        <w:rPr>
          <w:rFonts w:cs="Tahoma"/>
          <w:szCs w:val="20"/>
          <w:lang w:val="fr-CH"/>
        </w:rPr>
        <w:t xml:space="preserve"> 17 % des cas en précisant que les </w:t>
      </w:r>
      <w:r w:rsidR="00641620" w:rsidRPr="00E342DC">
        <w:rPr>
          <w:rFonts w:cs="Tahoma"/>
          <w:szCs w:val="20"/>
          <w:lang w:val="fr-CH" w:eastAsia="fr-FR"/>
        </w:rPr>
        <w:t xml:space="preserve">autres affaires avaient été portées par des personnes </w:t>
      </w:r>
      <w:r w:rsidR="00BD1A00" w:rsidRPr="00E342DC">
        <w:rPr>
          <w:rFonts w:cs="Tahoma"/>
          <w:szCs w:val="20"/>
          <w:lang w:val="fr-CH" w:eastAsia="fr-FR"/>
        </w:rPr>
        <w:t>« </w:t>
      </w:r>
      <w:r w:rsidR="00641620" w:rsidRPr="00E342DC">
        <w:rPr>
          <w:rFonts w:cs="Tahoma"/>
          <w:szCs w:val="20"/>
          <w:lang w:val="fr-CH" w:eastAsia="fr-FR"/>
        </w:rPr>
        <w:t>voulant échapper à la justice</w:t>
      </w:r>
      <w:r w:rsidR="00BD1A00" w:rsidRPr="00E342DC">
        <w:rPr>
          <w:rFonts w:cs="Tahoma"/>
          <w:szCs w:val="20"/>
          <w:lang w:val="fr-CH" w:eastAsia="fr-FR"/>
        </w:rPr>
        <w:t> »</w:t>
      </w:r>
      <w:r w:rsidR="00641620" w:rsidRPr="00E342DC">
        <w:rPr>
          <w:rFonts w:cs="Tahoma"/>
          <w:szCs w:val="20"/>
          <w:lang w:val="fr-CH" w:eastAsia="fr-FR"/>
        </w:rPr>
        <w:t>.</w:t>
      </w:r>
      <w:r w:rsidR="00BD1A00" w:rsidRPr="00E342DC">
        <w:rPr>
          <w:rFonts w:cs="Tahoma"/>
          <w:szCs w:val="20"/>
          <w:lang w:val="fr-CH" w:eastAsia="fr-FR"/>
        </w:rPr>
        <w:t xml:space="preserve"> Nous soulignons ici</w:t>
      </w:r>
      <w:r w:rsidR="00641620" w:rsidRPr="00E342DC">
        <w:rPr>
          <w:rFonts w:cs="Tahoma"/>
          <w:szCs w:val="20"/>
          <w:lang w:val="fr-CH" w:eastAsia="fr-FR"/>
        </w:rPr>
        <w:t xml:space="preserve"> </w:t>
      </w:r>
      <w:r w:rsidR="00BD1A00" w:rsidRPr="00E342DC">
        <w:rPr>
          <w:rFonts w:cs="Tahoma"/>
          <w:szCs w:val="20"/>
          <w:lang w:val="fr-CH" w:eastAsia="fr-FR"/>
        </w:rPr>
        <w:t>que nulle excuse ne peut justifier le manquement à l’obligation de prendre en considération les plaintes introduites par les</w:t>
      </w:r>
      <w:r w:rsidR="00BF513F">
        <w:rPr>
          <w:rFonts w:cs="Tahoma"/>
          <w:szCs w:val="20"/>
          <w:lang w:val="fr-CH" w:eastAsia="fr-FR"/>
        </w:rPr>
        <w:t xml:space="preserve"> </w:t>
      </w:r>
      <w:r w:rsidR="00BD1A00" w:rsidRPr="00E342DC">
        <w:rPr>
          <w:rFonts w:cs="Tahoma"/>
          <w:szCs w:val="20"/>
          <w:lang w:val="fr-CH" w:eastAsia="fr-FR"/>
        </w:rPr>
        <w:t>victimes. Toute plainte</w:t>
      </w:r>
      <w:r w:rsidR="003271C2" w:rsidRPr="00E342DC">
        <w:rPr>
          <w:rFonts w:cs="Tahoma"/>
          <w:szCs w:val="20"/>
          <w:lang w:val="fr-CH" w:eastAsia="fr-FR"/>
        </w:rPr>
        <w:t xml:space="preserve">, </w:t>
      </w:r>
      <w:r w:rsidR="00BD1A00" w:rsidRPr="00E342DC">
        <w:rPr>
          <w:rFonts w:cs="Tahoma"/>
          <w:szCs w:val="20"/>
          <w:lang w:val="fr-CH" w:eastAsia="fr-FR"/>
        </w:rPr>
        <w:t>particulièrement pour des actes aussi graves que la torture</w:t>
      </w:r>
      <w:r w:rsidR="003271C2" w:rsidRPr="00E342DC">
        <w:rPr>
          <w:rFonts w:cs="Tahoma"/>
          <w:szCs w:val="20"/>
          <w:lang w:val="fr-CH" w:eastAsia="fr-FR"/>
        </w:rPr>
        <w:t>,</w:t>
      </w:r>
      <w:r w:rsidR="00BD1A00" w:rsidRPr="00E342DC">
        <w:rPr>
          <w:rFonts w:cs="Tahoma"/>
          <w:szCs w:val="20"/>
          <w:lang w:val="fr-CH" w:eastAsia="fr-FR"/>
        </w:rPr>
        <w:t xml:space="preserve"> doit être prise</w:t>
      </w:r>
      <w:r w:rsidR="003271C2" w:rsidRPr="00E342DC">
        <w:rPr>
          <w:rFonts w:cs="Tahoma"/>
          <w:szCs w:val="20"/>
          <w:lang w:val="fr-CH" w:eastAsia="fr-FR"/>
        </w:rPr>
        <w:t xml:space="preserve"> en compte</w:t>
      </w:r>
      <w:r w:rsidR="00BD1A00" w:rsidRPr="00E342DC">
        <w:rPr>
          <w:rFonts w:cs="Tahoma"/>
          <w:szCs w:val="20"/>
          <w:lang w:val="fr-CH" w:eastAsia="fr-FR"/>
        </w:rPr>
        <w:t xml:space="preserve"> sérieusemen</w:t>
      </w:r>
      <w:r w:rsidR="003271C2" w:rsidRPr="00E342DC">
        <w:rPr>
          <w:rFonts w:cs="Tahoma"/>
          <w:szCs w:val="20"/>
          <w:lang w:val="fr-CH" w:eastAsia="fr-FR"/>
        </w:rPr>
        <w:t xml:space="preserve">t, </w:t>
      </w:r>
      <w:r w:rsidR="00BD1A00" w:rsidRPr="00E342DC">
        <w:rPr>
          <w:rFonts w:cs="Tahoma"/>
          <w:szCs w:val="20"/>
          <w:lang w:val="fr-CH" w:eastAsia="fr-FR"/>
        </w:rPr>
        <w:t xml:space="preserve">l’Etat partie </w:t>
      </w:r>
      <w:r w:rsidR="003271C2" w:rsidRPr="00E342DC">
        <w:rPr>
          <w:rFonts w:cs="Tahoma"/>
          <w:szCs w:val="20"/>
          <w:lang w:val="fr-CH" w:eastAsia="fr-FR"/>
        </w:rPr>
        <w:t xml:space="preserve">devant en tout état de cause, </w:t>
      </w:r>
      <w:r w:rsidR="00BD1A00" w:rsidRPr="00E342DC">
        <w:rPr>
          <w:rFonts w:cs="Tahoma"/>
          <w:szCs w:val="20"/>
          <w:lang w:val="fr-CH" w:eastAsia="fr-FR"/>
        </w:rPr>
        <w:t xml:space="preserve">garantir </w:t>
      </w:r>
      <w:r w:rsidR="003271C2" w:rsidRPr="00E342DC">
        <w:rPr>
          <w:rFonts w:cs="Tahoma"/>
          <w:szCs w:val="20"/>
          <w:lang w:val="fr-CH" w:eastAsia="fr-FR"/>
        </w:rPr>
        <w:t xml:space="preserve">un </w:t>
      </w:r>
      <w:r w:rsidR="00BD1A00" w:rsidRPr="00E342DC">
        <w:rPr>
          <w:rFonts w:cs="Tahoma"/>
          <w:szCs w:val="20"/>
          <w:lang w:val="fr-CH" w:eastAsia="fr-FR"/>
        </w:rPr>
        <w:t xml:space="preserve">accès égal </w:t>
      </w:r>
      <w:r w:rsidR="003271C2" w:rsidRPr="00E342DC">
        <w:rPr>
          <w:rFonts w:cs="Tahoma"/>
          <w:szCs w:val="20"/>
          <w:lang w:val="fr-CH" w:eastAsia="fr-FR"/>
        </w:rPr>
        <w:t>au recours effectif à</w:t>
      </w:r>
      <w:r w:rsidR="00BD1A00" w:rsidRPr="00E342DC">
        <w:rPr>
          <w:rFonts w:cs="Tahoma"/>
          <w:szCs w:val="20"/>
          <w:lang w:val="fr-CH" w:eastAsia="fr-FR"/>
        </w:rPr>
        <w:t xml:space="preserve"> toute personne sous sa juridiction.</w:t>
      </w:r>
      <w:r w:rsidR="00BF513F">
        <w:rPr>
          <w:rFonts w:cs="Tahoma"/>
          <w:szCs w:val="20"/>
          <w:lang w:val="fr-CH" w:eastAsia="fr-FR"/>
        </w:rPr>
        <w:t xml:space="preserve"> </w:t>
      </w:r>
    </w:p>
    <w:p w:rsidR="00641620" w:rsidRPr="00E342DC" w:rsidRDefault="00641620" w:rsidP="00DA0ABA">
      <w:pPr>
        <w:rPr>
          <w:rFonts w:cs="Tahoma"/>
          <w:szCs w:val="20"/>
          <w:lang w:val="fr-CH" w:eastAsia="fr-FR"/>
        </w:rPr>
      </w:pPr>
    </w:p>
    <w:p w:rsidR="00801668" w:rsidRPr="00E342DC" w:rsidRDefault="00641620" w:rsidP="00CA65A1">
      <w:pPr>
        <w:rPr>
          <w:rFonts w:cs="Tahoma"/>
          <w:color w:val="000000"/>
          <w:szCs w:val="20"/>
          <w:lang w:val="fr-CH"/>
        </w:rPr>
      </w:pPr>
      <w:r w:rsidRPr="00E342DC">
        <w:rPr>
          <w:rFonts w:cs="Tahoma"/>
          <w:szCs w:val="20"/>
          <w:lang w:val="fr-CH" w:eastAsia="fr-FR"/>
        </w:rPr>
        <w:t>Les statistiques mentionnées aux paragraphes 213-214 d</w:t>
      </w:r>
      <w:r w:rsidR="00CA65A1" w:rsidRPr="00E342DC">
        <w:rPr>
          <w:rFonts w:cs="Tahoma"/>
          <w:szCs w:val="20"/>
          <w:lang w:val="fr-CH" w:eastAsia="fr-FR"/>
        </w:rPr>
        <w:t xml:space="preserve">u </w:t>
      </w:r>
      <w:r w:rsidR="00CA65A1" w:rsidRPr="00E342DC">
        <w:rPr>
          <w:rFonts w:cs="Tahoma"/>
          <w:i/>
          <w:iCs/>
          <w:szCs w:val="20"/>
          <w:lang w:val="fr-CH" w:eastAsia="fr-FR"/>
        </w:rPr>
        <w:t>rapport complémentaire</w:t>
      </w:r>
      <w:r w:rsidRPr="00E342DC">
        <w:rPr>
          <w:rFonts w:cs="Tahoma"/>
          <w:szCs w:val="20"/>
          <w:lang w:val="fr-CH" w:eastAsia="fr-FR"/>
        </w:rPr>
        <w:t xml:space="preserve"> ne permettent pas d’évaluer le sérieux du travail accompli par la justice pour enquêter sur les plaintes </w:t>
      </w:r>
      <w:r w:rsidR="003271C2" w:rsidRPr="00E342DC">
        <w:rPr>
          <w:rFonts w:cs="Tahoma"/>
          <w:szCs w:val="20"/>
          <w:lang w:val="fr-CH" w:eastAsia="fr-FR"/>
        </w:rPr>
        <w:t xml:space="preserve">relatives à des actes de </w:t>
      </w:r>
      <w:r w:rsidRPr="00E342DC">
        <w:rPr>
          <w:rFonts w:cs="Tahoma"/>
          <w:szCs w:val="20"/>
          <w:lang w:val="fr-CH" w:eastAsia="fr-FR"/>
        </w:rPr>
        <w:t xml:space="preserve">torture. En effet, il faudrait pour cela pouvoir comparer les faits allégués avec la qualification juridique </w:t>
      </w:r>
      <w:r w:rsidR="003271C2" w:rsidRPr="00E342DC">
        <w:rPr>
          <w:rFonts w:cs="Tahoma"/>
          <w:szCs w:val="20"/>
          <w:lang w:val="fr-CH" w:eastAsia="fr-FR"/>
        </w:rPr>
        <w:t xml:space="preserve">retenue par le parquet et le juge d’instruction et </w:t>
      </w:r>
      <w:r w:rsidRPr="00E342DC">
        <w:rPr>
          <w:rFonts w:cs="Tahoma"/>
          <w:szCs w:val="20"/>
          <w:lang w:val="fr-CH" w:eastAsia="fr-FR"/>
        </w:rPr>
        <w:t>enfin par les juges du fond. Il est ainsi probable que des faits aient été simplement qualifiés par les magistrats de « violences » sur le fondement de l’artic</w:t>
      </w:r>
      <w:r w:rsidR="00E8180B" w:rsidRPr="00E342DC">
        <w:rPr>
          <w:rFonts w:cs="Tahoma"/>
          <w:szCs w:val="20"/>
          <w:lang w:val="fr-CH" w:eastAsia="fr-FR"/>
        </w:rPr>
        <w:t>le 101 ou 103 du Code pénal</w:t>
      </w:r>
      <w:r w:rsidRPr="00E342DC">
        <w:rPr>
          <w:rFonts w:cs="Tahoma"/>
          <w:szCs w:val="20"/>
          <w:lang w:val="fr-CH" w:eastAsia="fr-FR"/>
        </w:rPr>
        <w:t>,</w:t>
      </w:r>
      <w:r w:rsidR="003271C2" w:rsidRPr="00E342DC">
        <w:rPr>
          <w:rFonts w:cs="Tahoma"/>
          <w:szCs w:val="20"/>
          <w:lang w:val="fr-CH" w:eastAsia="fr-FR"/>
        </w:rPr>
        <w:t xml:space="preserve"> comme dans l’affaire </w:t>
      </w:r>
      <w:r w:rsidR="003271C2" w:rsidRPr="00E342DC">
        <w:rPr>
          <w:rFonts w:cs="Tahoma"/>
          <w:bCs/>
          <w:szCs w:val="20"/>
          <w:lang w:val="fr-CH"/>
        </w:rPr>
        <w:t>« Barraket Essahel »,</w:t>
      </w:r>
      <w:r w:rsidRPr="00E342DC">
        <w:rPr>
          <w:rFonts w:cs="Tahoma"/>
          <w:szCs w:val="20"/>
          <w:lang w:val="fr-CH" w:eastAsia="fr-FR"/>
        </w:rPr>
        <w:t xml:space="preserve"> alors qu’ils auraient dû être qualifiés de « torture » sur le fond</w:t>
      </w:r>
      <w:r w:rsidR="00E8180B" w:rsidRPr="00E342DC">
        <w:rPr>
          <w:rFonts w:cs="Tahoma"/>
          <w:szCs w:val="20"/>
          <w:lang w:val="fr-CH" w:eastAsia="fr-FR"/>
        </w:rPr>
        <w:t xml:space="preserve">ement de l’article 101 </w:t>
      </w:r>
      <w:r w:rsidR="00E8180B" w:rsidRPr="00E342DC">
        <w:rPr>
          <w:rFonts w:cs="Tahoma"/>
          <w:i/>
          <w:iCs/>
          <w:szCs w:val="20"/>
          <w:lang w:val="fr-CH" w:eastAsia="fr-FR"/>
        </w:rPr>
        <w:t>bis</w:t>
      </w:r>
      <w:r w:rsidR="00E8180B" w:rsidRPr="00E342DC">
        <w:rPr>
          <w:rFonts w:cs="Tahoma"/>
          <w:szCs w:val="20"/>
          <w:lang w:val="fr-CH" w:eastAsia="fr-FR"/>
        </w:rPr>
        <w:t xml:space="preserve"> de ce même code</w:t>
      </w:r>
      <w:r w:rsidRPr="00E342DC">
        <w:rPr>
          <w:rFonts w:cs="Tahoma"/>
          <w:szCs w:val="20"/>
          <w:lang w:val="fr-CH" w:eastAsia="fr-FR"/>
        </w:rPr>
        <w:t xml:space="preserve"> et être ainsi passibles d’une plus lourde peine</w:t>
      </w:r>
      <w:r w:rsidRPr="00E342DC">
        <w:rPr>
          <w:rFonts w:cs="Tahoma"/>
          <w:color w:val="000000"/>
          <w:szCs w:val="20"/>
          <w:lang w:val="fr-CH"/>
        </w:rPr>
        <w:t xml:space="preserve">. </w:t>
      </w:r>
    </w:p>
    <w:p w:rsidR="00641620" w:rsidRPr="00E342DC" w:rsidRDefault="00641620" w:rsidP="00DA0ABA">
      <w:pPr>
        <w:rPr>
          <w:rFonts w:cs="Tahoma"/>
          <w:szCs w:val="20"/>
          <w:lang w:val="fr-CH" w:eastAsia="fr-FR"/>
        </w:rPr>
      </w:pPr>
    </w:p>
    <w:p w:rsidR="00A048B6" w:rsidRPr="002E00C1" w:rsidRDefault="00A048B6" w:rsidP="00DA0ABA">
      <w:pPr>
        <w:rPr>
          <w:rFonts w:cs="Tahoma"/>
          <w:i/>
          <w:iCs/>
          <w:szCs w:val="20"/>
          <w:lang w:val="fr-CH" w:eastAsia="fr-FR"/>
        </w:rPr>
      </w:pPr>
      <w:r w:rsidRPr="002E00C1">
        <w:rPr>
          <w:rFonts w:cs="Tahoma"/>
          <w:i/>
          <w:iCs/>
          <w:szCs w:val="20"/>
          <w:lang w:val="fr-CH" w:eastAsia="fr-FR"/>
        </w:rPr>
        <w:t xml:space="preserve">Mécanismes de plaintes contre les agents du </w:t>
      </w:r>
      <w:r w:rsidR="003271C2" w:rsidRPr="002E00C1">
        <w:rPr>
          <w:rFonts w:cs="Tahoma"/>
          <w:i/>
          <w:iCs/>
          <w:szCs w:val="20"/>
          <w:lang w:val="fr-CH" w:eastAsia="fr-FR"/>
        </w:rPr>
        <w:t>M</w:t>
      </w:r>
      <w:r w:rsidRPr="002E00C1">
        <w:rPr>
          <w:rFonts w:cs="Tahoma"/>
          <w:i/>
          <w:iCs/>
          <w:szCs w:val="20"/>
          <w:lang w:val="fr-CH" w:eastAsia="fr-FR"/>
        </w:rPr>
        <w:t xml:space="preserve">inistère de l’intérieur </w:t>
      </w:r>
    </w:p>
    <w:p w:rsidR="00A048B6" w:rsidRPr="00E342DC" w:rsidRDefault="00A048B6" w:rsidP="00DA0ABA">
      <w:pPr>
        <w:rPr>
          <w:rFonts w:cs="Tahoma"/>
          <w:szCs w:val="20"/>
          <w:lang w:val="fr-CH" w:eastAsia="fr-FR"/>
        </w:rPr>
      </w:pPr>
    </w:p>
    <w:p w:rsidR="00801668" w:rsidRPr="00E342DC" w:rsidRDefault="00964CC6">
      <w:pPr>
        <w:rPr>
          <w:rFonts w:cs="Tahoma"/>
          <w:szCs w:val="20"/>
          <w:lang w:val="fr-CH" w:eastAsia="fr-FR"/>
        </w:rPr>
      </w:pPr>
      <w:r w:rsidRPr="00E342DC">
        <w:rPr>
          <w:rFonts w:cs="Tahoma"/>
          <w:szCs w:val="20"/>
          <w:lang w:val="fr-CH" w:eastAsia="fr-FR"/>
        </w:rPr>
        <w:t>Enfin nous notons que l’</w:t>
      </w:r>
      <w:r w:rsidR="0070261E" w:rsidRPr="00E342DC">
        <w:rPr>
          <w:rFonts w:cs="Tahoma"/>
          <w:szCs w:val="20"/>
          <w:lang w:val="fr-CH" w:eastAsia="fr-FR"/>
        </w:rPr>
        <w:t>État</w:t>
      </w:r>
      <w:r w:rsidRPr="00E342DC">
        <w:rPr>
          <w:rFonts w:cs="Tahoma"/>
          <w:szCs w:val="20"/>
          <w:lang w:val="fr-CH" w:eastAsia="fr-FR"/>
        </w:rPr>
        <w:t xml:space="preserve"> partie affirme dans sa réponse à la question du Comité sur les cas de mauvais traitements en prison que </w:t>
      </w:r>
      <w:r w:rsidR="00A048B6" w:rsidRPr="00E342DC">
        <w:rPr>
          <w:rFonts w:cs="Tahoma"/>
          <w:szCs w:val="20"/>
          <w:lang w:val="fr-CH" w:eastAsia="fr-FR"/>
        </w:rPr>
        <w:t xml:space="preserve">la </w:t>
      </w:r>
      <w:r w:rsidR="00AB238C" w:rsidRPr="00E342DC">
        <w:rPr>
          <w:rFonts w:cs="Tahoma"/>
          <w:szCs w:val="20"/>
          <w:lang w:val="fr-CH" w:eastAsia="fr-FR"/>
        </w:rPr>
        <w:t>C</w:t>
      </w:r>
      <w:r w:rsidR="00A048B6" w:rsidRPr="00E342DC">
        <w:rPr>
          <w:rFonts w:cs="Tahoma"/>
          <w:szCs w:val="20"/>
          <w:lang w:val="fr-CH" w:eastAsia="fr-FR"/>
        </w:rPr>
        <w:t xml:space="preserve">ellule des droits de l’homme au sein du Ministère de l’Intérieur joue le rôle </w:t>
      </w:r>
      <w:r w:rsidR="00A048B6" w:rsidRPr="00E342DC">
        <w:rPr>
          <w:rFonts w:cs="Tahoma"/>
          <w:i/>
          <w:iCs/>
          <w:szCs w:val="20"/>
          <w:lang w:val="fr-CH" w:eastAsia="fr-FR"/>
        </w:rPr>
        <w:t>d’ « ombudsman »</w:t>
      </w:r>
      <w:r w:rsidR="00A048B6" w:rsidRPr="00E342DC">
        <w:rPr>
          <w:rFonts w:cs="Tahoma"/>
          <w:szCs w:val="20"/>
          <w:lang w:val="fr-CH" w:eastAsia="fr-FR"/>
        </w:rPr>
        <w:t xml:space="preserve"> et à ce titre reçoit les plaintes et requêtes relatives à des violations des droits de l’homme commises par ses agents. Ces plaintes peuvent être introduites soit par les victimes elles-mêmes soit par des organisations de droits de l’homme. </w:t>
      </w:r>
      <w:r w:rsidR="00A912A1" w:rsidRPr="00E342DC">
        <w:rPr>
          <w:rFonts w:cs="Tahoma"/>
          <w:szCs w:val="20"/>
          <w:lang w:val="fr-CH" w:eastAsia="fr-FR"/>
        </w:rPr>
        <w:t>L’</w:t>
      </w:r>
      <w:r w:rsidR="0070261E" w:rsidRPr="00E342DC">
        <w:rPr>
          <w:rFonts w:cs="Tahoma"/>
          <w:szCs w:val="20"/>
          <w:lang w:val="fr-CH" w:eastAsia="fr-FR"/>
        </w:rPr>
        <w:t>État</w:t>
      </w:r>
      <w:r w:rsidR="00A912A1" w:rsidRPr="00E342DC">
        <w:rPr>
          <w:rFonts w:cs="Tahoma"/>
          <w:szCs w:val="20"/>
          <w:lang w:val="fr-CH" w:eastAsia="fr-FR"/>
        </w:rPr>
        <w:t xml:space="preserve"> partie indique que ces plaintes sont étudiées par le Ministère de l’intérieur afin de déterminer les suites à leur donner, </w:t>
      </w:r>
      <w:r w:rsidR="00AB238C" w:rsidRPr="00E342DC">
        <w:rPr>
          <w:rFonts w:cs="Tahoma"/>
          <w:szCs w:val="20"/>
          <w:lang w:val="fr-CH" w:eastAsia="fr-FR"/>
        </w:rPr>
        <w:t xml:space="preserve">qui peuvent </w:t>
      </w:r>
      <w:r w:rsidR="00AB238C" w:rsidRPr="00E342DC">
        <w:rPr>
          <w:rFonts w:cs="Tahoma"/>
          <w:szCs w:val="20"/>
          <w:lang w:val="fr-CH" w:eastAsia="fr-FR"/>
        </w:rPr>
        <w:lastRenderedPageBreak/>
        <w:t xml:space="preserve">prendre la forme de </w:t>
      </w:r>
      <w:r w:rsidR="00A912A1" w:rsidRPr="00E342DC">
        <w:rPr>
          <w:rFonts w:cs="Tahoma"/>
          <w:szCs w:val="20"/>
          <w:lang w:val="fr-CH" w:eastAsia="fr-FR"/>
        </w:rPr>
        <w:t xml:space="preserve">mesures administratives </w:t>
      </w:r>
      <w:r w:rsidR="00AB238C" w:rsidRPr="00E342DC">
        <w:rPr>
          <w:rFonts w:cs="Tahoma"/>
          <w:szCs w:val="20"/>
          <w:lang w:val="fr-CH" w:eastAsia="fr-FR"/>
        </w:rPr>
        <w:t>et/</w:t>
      </w:r>
      <w:r w:rsidR="00A912A1" w:rsidRPr="00E342DC">
        <w:rPr>
          <w:rFonts w:cs="Tahoma"/>
          <w:szCs w:val="20"/>
          <w:lang w:val="fr-CH" w:eastAsia="fr-FR"/>
        </w:rPr>
        <w:t xml:space="preserve">ou </w:t>
      </w:r>
      <w:r w:rsidR="00AB238C" w:rsidRPr="00E342DC">
        <w:rPr>
          <w:rFonts w:cs="Tahoma"/>
          <w:szCs w:val="20"/>
          <w:lang w:val="fr-CH" w:eastAsia="fr-FR"/>
        </w:rPr>
        <w:t>d’</w:t>
      </w:r>
      <w:r w:rsidR="00A912A1" w:rsidRPr="00E342DC">
        <w:rPr>
          <w:rFonts w:cs="Tahoma"/>
          <w:szCs w:val="20"/>
          <w:lang w:val="fr-CH" w:eastAsia="fr-FR"/>
        </w:rPr>
        <w:t>un renvoi de l’affaire devant une juridiction pénale</w:t>
      </w:r>
      <w:r w:rsidR="00A912A1" w:rsidRPr="00E342DC">
        <w:rPr>
          <w:rStyle w:val="FootnoteReference"/>
          <w:rFonts w:cs="Tahoma"/>
          <w:szCs w:val="20"/>
          <w:lang w:val="fr-CH" w:eastAsia="fr-FR"/>
        </w:rPr>
        <w:footnoteReference w:id="46"/>
      </w:r>
      <w:r w:rsidR="00A912A1" w:rsidRPr="00E342DC">
        <w:rPr>
          <w:rFonts w:cs="Tahoma"/>
          <w:szCs w:val="20"/>
          <w:lang w:val="fr-CH" w:eastAsia="fr-FR"/>
        </w:rPr>
        <w:t>.</w:t>
      </w:r>
    </w:p>
    <w:p w:rsidR="00A912A1" w:rsidRPr="00E342DC" w:rsidRDefault="00A912A1" w:rsidP="00A912A1">
      <w:pPr>
        <w:rPr>
          <w:rFonts w:cs="Tahoma"/>
          <w:szCs w:val="20"/>
          <w:lang w:val="fr-CH" w:eastAsia="fr-FR"/>
        </w:rPr>
      </w:pPr>
    </w:p>
    <w:p w:rsidR="00801668" w:rsidRPr="00E342DC" w:rsidRDefault="00A048B6" w:rsidP="00782280">
      <w:pPr>
        <w:rPr>
          <w:rFonts w:cs="Tahoma"/>
          <w:szCs w:val="20"/>
          <w:lang w:val="fr-CH" w:eastAsia="fr-FR"/>
        </w:rPr>
      </w:pPr>
      <w:r w:rsidRPr="00E342DC">
        <w:rPr>
          <w:rFonts w:cs="Tahoma"/>
          <w:szCs w:val="20"/>
          <w:lang w:val="fr-CH" w:eastAsia="fr-FR"/>
        </w:rPr>
        <w:t xml:space="preserve">Alkarama rappelle à cet égard que l’État partie doit veiller à ce que les mécanismes de plainte soient impartiaux et efficaces. </w:t>
      </w:r>
      <w:r w:rsidR="00AB238C" w:rsidRPr="00E342DC">
        <w:rPr>
          <w:rFonts w:cs="Tahoma"/>
          <w:szCs w:val="20"/>
          <w:lang w:val="fr-CH" w:eastAsia="fr-FR"/>
        </w:rPr>
        <w:t>A ce titre, il faut rappeler que l</w:t>
      </w:r>
      <w:r w:rsidRPr="00E342DC">
        <w:rPr>
          <w:rFonts w:cs="Tahoma"/>
          <w:szCs w:val="20"/>
          <w:lang w:val="fr-CH" w:eastAsia="fr-FR"/>
        </w:rPr>
        <w:t>e Comité recommande la mise en place d’un organe indépendant chargé d’enquêter sur les allégations de torture commises par des agents de l’État</w:t>
      </w:r>
      <w:r w:rsidR="00AB238C" w:rsidRPr="00E342DC">
        <w:rPr>
          <w:rFonts w:cs="Tahoma"/>
          <w:szCs w:val="20"/>
          <w:lang w:val="fr-CH" w:eastAsia="fr-FR"/>
        </w:rPr>
        <w:t>.</w:t>
      </w:r>
      <w:r w:rsidR="00A912A1" w:rsidRPr="00E342DC">
        <w:rPr>
          <w:rFonts w:cs="Tahoma"/>
          <w:szCs w:val="20"/>
          <w:lang w:val="fr-CH" w:eastAsia="fr-FR"/>
        </w:rPr>
        <w:t xml:space="preserve"> </w:t>
      </w:r>
      <w:r w:rsidR="00AB238C" w:rsidRPr="00E342DC">
        <w:rPr>
          <w:rFonts w:cs="Tahoma"/>
          <w:szCs w:val="20"/>
          <w:lang w:val="fr-CH" w:eastAsia="fr-FR"/>
        </w:rPr>
        <w:t xml:space="preserve">Partant, </w:t>
      </w:r>
      <w:r w:rsidR="00A912A1" w:rsidRPr="00E342DC">
        <w:rPr>
          <w:rFonts w:cs="Tahoma"/>
          <w:szCs w:val="20"/>
          <w:lang w:val="fr-CH" w:eastAsia="fr-FR"/>
        </w:rPr>
        <w:t>le mécanisme auquel l’</w:t>
      </w:r>
      <w:r w:rsidR="0070261E" w:rsidRPr="00E342DC">
        <w:rPr>
          <w:rFonts w:cs="Tahoma"/>
          <w:szCs w:val="20"/>
          <w:lang w:val="fr-CH" w:eastAsia="fr-FR"/>
        </w:rPr>
        <w:t>État</w:t>
      </w:r>
      <w:r w:rsidR="00A912A1" w:rsidRPr="00E342DC">
        <w:rPr>
          <w:rFonts w:cs="Tahoma"/>
          <w:szCs w:val="20"/>
          <w:lang w:val="fr-CH" w:eastAsia="fr-FR"/>
        </w:rPr>
        <w:t xml:space="preserve"> partie fait référence ne semble pas remplir </w:t>
      </w:r>
      <w:r w:rsidR="00782280" w:rsidRPr="00E342DC">
        <w:rPr>
          <w:rFonts w:cs="Tahoma"/>
          <w:szCs w:val="20"/>
          <w:lang w:val="fr-CH" w:eastAsia="fr-FR"/>
        </w:rPr>
        <w:t xml:space="preserve">ces </w:t>
      </w:r>
      <w:r w:rsidR="00A912A1" w:rsidRPr="00E342DC">
        <w:rPr>
          <w:rFonts w:cs="Tahoma"/>
          <w:szCs w:val="20"/>
          <w:lang w:val="fr-CH" w:eastAsia="fr-FR"/>
        </w:rPr>
        <w:t>critères</w:t>
      </w:r>
      <w:r w:rsidR="00AB238C" w:rsidRPr="00E342DC">
        <w:rPr>
          <w:rFonts w:cs="Tahoma"/>
          <w:szCs w:val="20"/>
          <w:lang w:val="fr-CH" w:eastAsia="fr-FR"/>
        </w:rPr>
        <w:t xml:space="preserve"> </w:t>
      </w:r>
      <w:r w:rsidR="00782280" w:rsidRPr="00E342DC">
        <w:rPr>
          <w:rFonts w:cs="Tahoma"/>
          <w:szCs w:val="20"/>
          <w:lang w:val="fr-CH" w:eastAsia="fr-FR"/>
        </w:rPr>
        <w:t xml:space="preserve">d’indépendance et d’impartialité, </w:t>
      </w:r>
      <w:r w:rsidR="00AB238C" w:rsidRPr="00E342DC">
        <w:rPr>
          <w:rFonts w:cs="Tahoma"/>
          <w:szCs w:val="20"/>
          <w:lang w:val="fr-CH" w:eastAsia="fr-FR"/>
        </w:rPr>
        <w:t xml:space="preserve">et ce d’autant plus </w:t>
      </w:r>
      <w:r w:rsidR="00A912A1" w:rsidRPr="00E342DC">
        <w:rPr>
          <w:rFonts w:cs="Tahoma"/>
          <w:szCs w:val="20"/>
          <w:lang w:val="fr-CH" w:eastAsia="fr-FR"/>
        </w:rPr>
        <w:t>que la décision quant à la suite à donner à la plainte</w:t>
      </w:r>
      <w:r w:rsidR="00AB238C" w:rsidRPr="00E342DC">
        <w:rPr>
          <w:rFonts w:cs="Tahoma"/>
          <w:szCs w:val="20"/>
          <w:lang w:val="fr-CH" w:eastAsia="fr-FR"/>
        </w:rPr>
        <w:t xml:space="preserve"> soumise à cette </w:t>
      </w:r>
      <w:r w:rsidR="00782280" w:rsidRPr="00E342DC">
        <w:rPr>
          <w:rFonts w:cs="Tahoma"/>
          <w:szCs w:val="20"/>
          <w:lang w:val="fr-CH" w:eastAsia="fr-FR"/>
        </w:rPr>
        <w:t>c</w:t>
      </w:r>
      <w:r w:rsidR="00AB238C" w:rsidRPr="00E342DC">
        <w:rPr>
          <w:rFonts w:cs="Tahoma"/>
          <w:szCs w:val="20"/>
          <w:lang w:val="fr-CH" w:eastAsia="fr-FR"/>
        </w:rPr>
        <w:t>ellule</w:t>
      </w:r>
      <w:r w:rsidR="00A912A1" w:rsidRPr="00E342DC">
        <w:rPr>
          <w:rFonts w:cs="Tahoma"/>
          <w:szCs w:val="20"/>
          <w:lang w:val="fr-CH" w:eastAsia="fr-FR"/>
        </w:rPr>
        <w:t xml:space="preserve"> demeure une prérogative</w:t>
      </w:r>
      <w:r w:rsidR="00AB238C" w:rsidRPr="00E342DC">
        <w:rPr>
          <w:rFonts w:cs="Tahoma"/>
          <w:szCs w:val="20"/>
          <w:lang w:val="fr-CH" w:eastAsia="fr-FR"/>
        </w:rPr>
        <w:t xml:space="preserve"> exclusive</w:t>
      </w:r>
      <w:r w:rsidR="00A912A1" w:rsidRPr="00E342DC">
        <w:rPr>
          <w:rFonts w:cs="Tahoma"/>
          <w:szCs w:val="20"/>
          <w:lang w:val="fr-CH" w:eastAsia="fr-FR"/>
        </w:rPr>
        <w:t xml:space="preserve"> du Ministère de l’intérieur.</w:t>
      </w:r>
    </w:p>
    <w:p w:rsidR="00E61F2A" w:rsidRPr="00E342DC" w:rsidRDefault="00E61F2A" w:rsidP="00DA0ABA">
      <w:pPr>
        <w:rPr>
          <w:rFonts w:cs="Tahoma"/>
          <w:szCs w:val="20"/>
          <w:lang w:val="fr-CH" w:eastAsia="fr-FR"/>
        </w:rPr>
      </w:pPr>
    </w:p>
    <w:p w:rsidR="00E61F2A" w:rsidRPr="00E342DC" w:rsidRDefault="00E61F2A" w:rsidP="00DA0ABA">
      <w:pPr>
        <w:pStyle w:val="Heading2"/>
        <w:rPr>
          <w:rFonts w:cs="Tahoma"/>
          <w:szCs w:val="20"/>
          <w:lang w:val="fr-CH"/>
        </w:rPr>
      </w:pPr>
      <w:bookmarkStart w:id="27" w:name="_Toc447008735"/>
      <w:r w:rsidRPr="00E342DC">
        <w:rPr>
          <w:rFonts w:cs="Tahoma"/>
          <w:szCs w:val="20"/>
          <w:lang w:val="fr-CH"/>
        </w:rPr>
        <w:t>Le droit d’obtenir réparation</w:t>
      </w:r>
      <w:bookmarkEnd w:id="27"/>
      <w:r w:rsidRPr="00E342DC">
        <w:rPr>
          <w:rFonts w:cs="Tahoma"/>
          <w:szCs w:val="20"/>
          <w:lang w:val="fr-CH"/>
        </w:rPr>
        <w:t xml:space="preserve"> </w:t>
      </w:r>
    </w:p>
    <w:p w:rsidR="004E3CB6" w:rsidRPr="00E342DC" w:rsidRDefault="004E3CB6" w:rsidP="00DA0ABA">
      <w:pPr>
        <w:rPr>
          <w:rFonts w:cs="Tahoma"/>
          <w:szCs w:val="20"/>
          <w:lang w:val="fr-CH" w:eastAsia="fr-FR"/>
        </w:rPr>
      </w:pPr>
    </w:p>
    <w:p w:rsidR="00B537A2" w:rsidRPr="00E342DC" w:rsidRDefault="00B537A2" w:rsidP="00782280">
      <w:pPr>
        <w:rPr>
          <w:rFonts w:cs="Tahoma"/>
          <w:szCs w:val="20"/>
          <w:lang w:val="fr-CH"/>
        </w:rPr>
      </w:pPr>
      <w:r w:rsidRPr="00E342DC">
        <w:rPr>
          <w:rFonts w:cs="Tahoma"/>
          <w:szCs w:val="20"/>
          <w:lang w:val="fr-CH"/>
        </w:rPr>
        <w:t>L’article 14</w:t>
      </w:r>
      <w:r w:rsidR="00AB238C" w:rsidRPr="00E342DC">
        <w:rPr>
          <w:rFonts w:cs="Tahoma"/>
          <w:szCs w:val="20"/>
          <w:lang w:val="fr-CH"/>
        </w:rPr>
        <w:t xml:space="preserve">, </w:t>
      </w:r>
      <w:r w:rsidRPr="00E342DC">
        <w:rPr>
          <w:rFonts w:cs="Tahoma"/>
          <w:szCs w:val="20"/>
          <w:lang w:val="fr-CH"/>
        </w:rPr>
        <w:t>para</w:t>
      </w:r>
      <w:r w:rsidR="00AB238C" w:rsidRPr="00E342DC">
        <w:rPr>
          <w:rFonts w:cs="Tahoma"/>
          <w:szCs w:val="20"/>
          <w:lang w:val="fr-CH"/>
        </w:rPr>
        <w:t>graphe</w:t>
      </w:r>
      <w:r w:rsidRPr="00E342DC">
        <w:rPr>
          <w:rFonts w:cs="Tahoma"/>
          <w:szCs w:val="20"/>
          <w:lang w:val="fr-CH"/>
        </w:rPr>
        <w:t xml:space="preserve"> 1 de la Convention stipule que </w:t>
      </w:r>
      <w:r w:rsidR="00AB238C" w:rsidRPr="00E342DC">
        <w:rPr>
          <w:rFonts w:cs="Tahoma"/>
          <w:szCs w:val="20"/>
          <w:lang w:val="fr-CH"/>
        </w:rPr>
        <w:t>t</w:t>
      </w:r>
      <w:r w:rsidRPr="00E342DC">
        <w:rPr>
          <w:rFonts w:cs="Tahoma"/>
          <w:szCs w:val="20"/>
          <w:lang w:val="fr-CH"/>
        </w:rPr>
        <w:t xml:space="preserve">out </w:t>
      </w:r>
      <w:r w:rsidR="0070261E" w:rsidRPr="00E342DC">
        <w:rPr>
          <w:rFonts w:cs="Tahoma"/>
          <w:szCs w:val="20"/>
          <w:lang w:val="fr-CH"/>
        </w:rPr>
        <w:t>État</w:t>
      </w:r>
      <w:r w:rsidRPr="00E342DC">
        <w:rPr>
          <w:rFonts w:cs="Tahoma"/>
          <w:szCs w:val="20"/>
          <w:lang w:val="fr-CH"/>
        </w:rPr>
        <w:t xml:space="preserve"> partie garantit, dans son système juridique, à la victime d’un acte de torture, le droit d’obtenir réparation et d’être indemnisée équitablement et de</w:t>
      </w:r>
      <w:r w:rsidR="009A4D91" w:rsidRPr="00E342DC">
        <w:rPr>
          <w:rFonts w:cs="Tahoma"/>
          <w:szCs w:val="20"/>
          <w:lang w:val="fr-CH"/>
        </w:rPr>
        <w:t xml:space="preserve"> </w:t>
      </w:r>
      <w:r w:rsidRPr="00E342DC">
        <w:rPr>
          <w:rFonts w:cs="Tahoma"/>
          <w:szCs w:val="20"/>
          <w:lang w:val="fr-CH"/>
        </w:rPr>
        <w:t>manière adéquate, y compris</w:t>
      </w:r>
      <w:r w:rsidR="00AB238C" w:rsidRPr="00E342DC">
        <w:rPr>
          <w:rFonts w:cs="Tahoma"/>
          <w:szCs w:val="20"/>
          <w:lang w:val="fr-CH"/>
        </w:rPr>
        <w:t xml:space="preserve"> en prenant</w:t>
      </w:r>
      <w:r w:rsidRPr="00E342DC">
        <w:rPr>
          <w:rFonts w:cs="Tahoma"/>
          <w:szCs w:val="20"/>
          <w:lang w:val="fr-CH"/>
        </w:rPr>
        <w:t xml:space="preserve"> les moyens nécessaires à sa </w:t>
      </w:r>
      <w:r w:rsidR="00782280" w:rsidRPr="00E342DC">
        <w:rPr>
          <w:rFonts w:cs="Tahoma"/>
          <w:szCs w:val="20"/>
          <w:lang w:val="fr-CH"/>
        </w:rPr>
        <w:t xml:space="preserve">réhabilitation </w:t>
      </w:r>
      <w:r w:rsidRPr="00E342DC">
        <w:rPr>
          <w:rFonts w:cs="Tahoma"/>
          <w:szCs w:val="20"/>
          <w:lang w:val="fr-CH"/>
        </w:rPr>
        <w:t>la plus complète possible. En cas de mort de la victime</w:t>
      </w:r>
      <w:r w:rsidR="00AB238C" w:rsidRPr="00E342DC">
        <w:rPr>
          <w:rFonts w:cs="Tahoma"/>
          <w:szCs w:val="20"/>
          <w:lang w:val="fr-CH"/>
        </w:rPr>
        <w:t xml:space="preserve">, le droit à la réparation doit être accordé à ses ayants-droit. </w:t>
      </w:r>
    </w:p>
    <w:p w:rsidR="00150CC9" w:rsidRPr="00E342DC" w:rsidRDefault="00150CC9" w:rsidP="00DA0ABA">
      <w:pPr>
        <w:widowControl w:val="0"/>
        <w:autoSpaceDE w:val="0"/>
        <w:autoSpaceDN w:val="0"/>
        <w:adjustRightInd w:val="0"/>
        <w:rPr>
          <w:rFonts w:cs="Tahoma"/>
          <w:szCs w:val="20"/>
          <w:lang w:val="fr-CH"/>
        </w:rPr>
      </w:pPr>
    </w:p>
    <w:p w:rsidR="00801668" w:rsidRPr="00E342DC" w:rsidRDefault="001F631B" w:rsidP="00782280">
      <w:pPr>
        <w:widowControl w:val="0"/>
        <w:autoSpaceDE w:val="0"/>
        <w:autoSpaceDN w:val="0"/>
        <w:adjustRightInd w:val="0"/>
        <w:rPr>
          <w:rFonts w:cs="Tahoma"/>
          <w:szCs w:val="20"/>
          <w:lang w:val="fr-CH"/>
        </w:rPr>
      </w:pPr>
      <w:r w:rsidRPr="00E342DC">
        <w:rPr>
          <w:rFonts w:cs="Tahoma"/>
          <w:szCs w:val="20"/>
          <w:lang w:val="fr-CH"/>
        </w:rPr>
        <w:t>Alkarama a pris note des chiffres relatifs au nombre d’affaire</w:t>
      </w:r>
      <w:r w:rsidR="00AB238C" w:rsidRPr="00E342DC">
        <w:rPr>
          <w:rFonts w:cs="Tahoma"/>
          <w:szCs w:val="20"/>
          <w:lang w:val="fr-CH"/>
        </w:rPr>
        <w:t>s</w:t>
      </w:r>
      <w:r w:rsidRPr="00E342DC">
        <w:rPr>
          <w:rFonts w:cs="Tahoma"/>
          <w:szCs w:val="20"/>
          <w:lang w:val="fr-CH"/>
        </w:rPr>
        <w:t xml:space="preserve"> de torture portées devant la justice</w:t>
      </w:r>
      <w:r w:rsidR="00AB238C" w:rsidRPr="00E342DC">
        <w:rPr>
          <w:rFonts w:cs="Tahoma"/>
          <w:szCs w:val="20"/>
          <w:lang w:val="fr-CH"/>
        </w:rPr>
        <w:t xml:space="preserve">, fournis </w:t>
      </w:r>
      <w:r w:rsidR="009A4D91" w:rsidRPr="00E342DC">
        <w:rPr>
          <w:rFonts w:cs="Tahoma"/>
          <w:szCs w:val="20"/>
          <w:lang w:val="fr-CH"/>
        </w:rPr>
        <w:t>par l’</w:t>
      </w:r>
      <w:r w:rsidR="0070261E" w:rsidRPr="00E342DC">
        <w:rPr>
          <w:rFonts w:cs="Tahoma"/>
          <w:szCs w:val="20"/>
          <w:lang w:val="fr-CH"/>
        </w:rPr>
        <w:t>État</w:t>
      </w:r>
      <w:r w:rsidR="009A4D91" w:rsidRPr="00E342DC">
        <w:rPr>
          <w:rFonts w:cs="Tahoma"/>
          <w:szCs w:val="20"/>
          <w:lang w:val="fr-CH"/>
        </w:rPr>
        <w:t xml:space="preserve"> partie</w:t>
      </w:r>
      <w:r w:rsidR="00782280" w:rsidRPr="00E342DC">
        <w:rPr>
          <w:rFonts w:cs="Tahoma"/>
          <w:szCs w:val="20"/>
          <w:lang w:val="fr-CH"/>
        </w:rPr>
        <w:t xml:space="preserve"> dans son </w:t>
      </w:r>
      <w:r w:rsidR="00CA65A1" w:rsidRPr="00E342DC">
        <w:rPr>
          <w:rFonts w:cs="Tahoma"/>
          <w:i/>
          <w:iCs/>
          <w:szCs w:val="20"/>
          <w:lang w:val="fr-CH"/>
        </w:rPr>
        <w:t>rapport complémentaire</w:t>
      </w:r>
      <w:r w:rsidRPr="00E342DC">
        <w:rPr>
          <w:rFonts w:cs="Tahoma"/>
          <w:szCs w:val="20"/>
          <w:lang w:val="fr-CH"/>
        </w:rPr>
        <w:t>. Nous notons que seule</w:t>
      </w:r>
      <w:r w:rsidR="00AB238C" w:rsidRPr="00E342DC">
        <w:rPr>
          <w:rFonts w:cs="Tahoma"/>
          <w:szCs w:val="20"/>
          <w:lang w:val="fr-CH"/>
        </w:rPr>
        <w:t>s</w:t>
      </w:r>
      <w:r w:rsidRPr="00E342DC">
        <w:rPr>
          <w:rFonts w:cs="Tahoma"/>
          <w:szCs w:val="20"/>
          <w:lang w:val="fr-CH"/>
        </w:rPr>
        <w:t xml:space="preserve"> cinq affaires sur les 230 mentionnées ont abouti à des condamnations, dont deux avec sursis et trois par contumace</w:t>
      </w:r>
      <w:r w:rsidR="00AB238C" w:rsidRPr="00E342DC">
        <w:rPr>
          <w:rFonts w:cs="Tahoma"/>
          <w:szCs w:val="20"/>
          <w:lang w:val="fr-CH"/>
        </w:rPr>
        <w:t>.</w:t>
      </w:r>
      <w:r w:rsidRPr="00E342DC">
        <w:rPr>
          <w:rFonts w:cs="Tahoma"/>
          <w:szCs w:val="20"/>
          <w:lang w:val="fr-CH"/>
        </w:rPr>
        <w:t xml:space="preserve"> L’</w:t>
      </w:r>
      <w:r w:rsidR="0070261E" w:rsidRPr="00E342DC">
        <w:rPr>
          <w:rFonts w:cs="Tahoma"/>
          <w:szCs w:val="20"/>
          <w:lang w:val="fr-CH"/>
        </w:rPr>
        <w:t>État</w:t>
      </w:r>
      <w:r w:rsidRPr="00E342DC">
        <w:rPr>
          <w:rFonts w:cs="Tahoma"/>
          <w:szCs w:val="20"/>
          <w:lang w:val="fr-CH"/>
        </w:rPr>
        <w:t xml:space="preserve"> partie reconnait dans le paragraphe 117 de son </w:t>
      </w:r>
      <w:r w:rsidR="00CA65A1" w:rsidRPr="00E342DC">
        <w:rPr>
          <w:rFonts w:cs="Tahoma"/>
          <w:i/>
          <w:iCs/>
          <w:szCs w:val="20"/>
          <w:lang w:val="fr-CH"/>
        </w:rPr>
        <w:t>rapport complémentaire</w:t>
      </w:r>
      <w:r w:rsidRPr="00E342DC">
        <w:rPr>
          <w:rFonts w:cs="Tahoma"/>
          <w:szCs w:val="20"/>
          <w:lang w:val="fr-CH"/>
        </w:rPr>
        <w:t xml:space="preserve"> </w:t>
      </w:r>
      <w:r w:rsidR="00AB238C" w:rsidRPr="00E342DC">
        <w:rPr>
          <w:rFonts w:cs="Tahoma"/>
          <w:szCs w:val="20"/>
          <w:lang w:val="fr-CH"/>
        </w:rPr>
        <w:t>la</w:t>
      </w:r>
      <w:r w:rsidRPr="00E342DC">
        <w:rPr>
          <w:rFonts w:cs="Tahoma"/>
          <w:szCs w:val="20"/>
          <w:lang w:val="fr-CH"/>
        </w:rPr>
        <w:t xml:space="preserve"> lenteur </w:t>
      </w:r>
      <w:r w:rsidR="00AB238C" w:rsidRPr="00E342DC">
        <w:rPr>
          <w:rFonts w:cs="Tahoma"/>
          <w:szCs w:val="20"/>
          <w:lang w:val="fr-CH"/>
        </w:rPr>
        <w:t xml:space="preserve">de son administration judicaire </w:t>
      </w:r>
      <w:r w:rsidRPr="00E342DC">
        <w:rPr>
          <w:rFonts w:cs="Tahoma"/>
          <w:szCs w:val="20"/>
          <w:lang w:val="fr-CH"/>
        </w:rPr>
        <w:t xml:space="preserve">dans l’examen des affaires de torture, </w:t>
      </w:r>
      <w:r w:rsidR="00AB238C" w:rsidRPr="00E342DC">
        <w:rPr>
          <w:rFonts w:cs="Tahoma"/>
          <w:szCs w:val="20"/>
          <w:lang w:val="fr-CH"/>
        </w:rPr>
        <w:t xml:space="preserve">laissant ainsi aux justiciables </w:t>
      </w:r>
      <w:r w:rsidR="00782280" w:rsidRPr="00E342DC">
        <w:rPr>
          <w:rFonts w:cs="Tahoma"/>
          <w:szCs w:val="20"/>
          <w:lang w:val="fr-CH"/>
        </w:rPr>
        <w:t>un sentiment</w:t>
      </w:r>
      <w:r w:rsidR="00AB238C" w:rsidRPr="00E342DC">
        <w:rPr>
          <w:rFonts w:cs="Tahoma"/>
          <w:szCs w:val="20"/>
          <w:lang w:val="fr-CH"/>
        </w:rPr>
        <w:t xml:space="preserve"> d’impunité. </w:t>
      </w:r>
      <w:r w:rsidR="00782280" w:rsidRPr="00E342DC">
        <w:rPr>
          <w:rFonts w:cs="Tahoma"/>
          <w:szCs w:val="20"/>
          <w:lang w:val="fr-CH"/>
        </w:rPr>
        <w:t>Sur la base des chiffres fournis par l’Etat partie, i</w:t>
      </w:r>
      <w:r w:rsidR="00F23AD8" w:rsidRPr="00E342DC">
        <w:rPr>
          <w:rFonts w:cs="Tahoma"/>
          <w:szCs w:val="20"/>
          <w:lang w:val="fr-CH"/>
        </w:rPr>
        <w:t xml:space="preserve">l est estimé que sur les 500 plaintes </w:t>
      </w:r>
      <w:r w:rsidR="00782280" w:rsidRPr="00E342DC">
        <w:rPr>
          <w:rFonts w:cs="Tahoma"/>
          <w:szCs w:val="20"/>
          <w:lang w:val="fr-CH"/>
        </w:rPr>
        <w:t xml:space="preserve">concernant </w:t>
      </w:r>
      <w:r w:rsidR="00F23AD8" w:rsidRPr="00E342DC">
        <w:rPr>
          <w:rFonts w:cs="Tahoma"/>
          <w:szCs w:val="20"/>
          <w:lang w:val="fr-CH"/>
        </w:rPr>
        <w:t xml:space="preserve">des </w:t>
      </w:r>
      <w:r w:rsidR="00782280" w:rsidRPr="00E342DC">
        <w:rPr>
          <w:rFonts w:cs="Tahoma"/>
          <w:szCs w:val="20"/>
          <w:lang w:val="fr-CH"/>
        </w:rPr>
        <w:t xml:space="preserve">actes </w:t>
      </w:r>
      <w:r w:rsidR="00F23AD8" w:rsidRPr="00E342DC">
        <w:rPr>
          <w:rFonts w:cs="Tahoma"/>
          <w:szCs w:val="20"/>
          <w:lang w:val="fr-CH"/>
        </w:rPr>
        <w:t>violences</w:t>
      </w:r>
      <w:r w:rsidR="00782280" w:rsidRPr="00E342DC">
        <w:rPr>
          <w:rFonts w:cs="Tahoma"/>
          <w:szCs w:val="20"/>
          <w:lang w:val="fr-CH"/>
        </w:rPr>
        <w:t xml:space="preserve"> commis</w:t>
      </w:r>
      <w:r w:rsidR="00F23AD8" w:rsidRPr="00E342DC">
        <w:rPr>
          <w:rFonts w:cs="Tahoma"/>
          <w:szCs w:val="20"/>
          <w:lang w:val="fr-CH"/>
        </w:rPr>
        <w:t xml:space="preserve"> par des fonctionnaires de l’</w:t>
      </w:r>
      <w:r w:rsidR="0070261E" w:rsidRPr="00E342DC">
        <w:rPr>
          <w:rFonts w:cs="Tahoma"/>
          <w:szCs w:val="20"/>
          <w:lang w:val="fr-CH"/>
        </w:rPr>
        <w:t>État</w:t>
      </w:r>
      <w:r w:rsidR="00F23AD8" w:rsidRPr="00E342DC">
        <w:rPr>
          <w:rFonts w:cs="Tahoma"/>
          <w:szCs w:val="20"/>
          <w:lang w:val="fr-CH"/>
        </w:rPr>
        <w:t xml:space="preserve"> entre 2011 et 2015, 70</w:t>
      </w:r>
      <w:r w:rsidR="00150CC9" w:rsidRPr="00E342DC">
        <w:rPr>
          <w:rFonts w:cs="Tahoma"/>
          <w:szCs w:val="20"/>
          <w:lang w:val="fr-CH"/>
        </w:rPr>
        <w:t xml:space="preserve">% ont été classées sans suite. </w:t>
      </w:r>
    </w:p>
    <w:p w:rsidR="00DC4CDB" w:rsidRPr="00E342DC" w:rsidRDefault="00DC4CDB" w:rsidP="00DA0ABA">
      <w:pPr>
        <w:widowControl w:val="0"/>
        <w:autoSpaceDE w:val="0"/>
        <w:autoSpaceDN w:val="0"/>
        <w:adjustRightInd w:val="0"/>
        <w:rPr>
          <w:rFonts w:cs="Tahoma"/>
          <w:szCs w:val="20"/>
          <w:lang w:val="fr-CH"/>
        </w:rPr>
      </w:pPr>
    </w:p>
    <w:p w:rsidR="005B3D45" w:rsidRPr="00E342DC" w:rsidRDefault="00DC4CDB" w:rsidP="00DA0ABA">
      <w:pPr>
        <w:widowControl w:val="0"/>
        <w:autoSpaceDE w:val="0"/>
        <w:autoSpaceDN w:val="0"/>
        <w:adjustRightInd w:val="0"/>
        <w:rPr>
          <w:rFonts w:cs="Tahoma"/>
          <w:szCs w:val="20"/>
          <w:lang w:val="fr-CH"/>
        </w:rPr>
      </w:pPr>
      <w:r w:rsidRPr="00E342DC">
        <w:rPr>
          <w:rFonts w:cs="Tahoma"/>
          <w:szCs w:val="20"/>
          <w:lang w:val="fr-CH"/>
        </w:rPr>
        <w:t xml:space="preserve">Le Comité contre la torture a considéré, dans la communication </w:t>
      </w:r>
      <w:r w:rsidR="00782280" w:rsidRPr="00E342DC">
        <w:rPr>
          <w:rFonts w:cs="Tahoma"/>
          <w:szCs w:val="20"/>
          <w:lang w:val="fr-CH"/>
        </w:rPr>
        <w:t xml:space="preserve">relative à l’affaire </w:t>
      </w:r>
      <w:r w:rsidRPr="00E342DC">
        <w:rPr>
          <w:rFonts w:cs="Tahoma"/>
          <w:szCs w:val="20"/>
          <w:lang w:val="fr-CH"/>
        </w:rPr>
        <w:t xml:space="preserve">Ben Salem c. Tunisie, que le fait de ne pas donner suite aux plaintes des victimes et de ne pas procéder immédiatement à </w:t>
      </w:r>
      <w:r w:rsidR="00AB238C" w:rsidRPr="00E342DC">
        <w:rPr>
          <w:rFonts w:cs="Tahoma"/>
          <w:szCs w:val="20"/>
          <w:lang w:val="fr-CH"/>
        </w:rPr>
        <w:t xml:space="preserve">une </w:t>
      </w:r>
      <w:r w:rsidRPr="00E342DC">
        <w:rPr>
          <w:rFonts w:cs="Tahoma"/>
          <w:szCs w:val="20"/>
          <w:lang w:val="fr-CH"/>
        </w:rPr>
        <w:t>enquête publique</w:t>
      </w:r>
      <w:r w:rsidR="00AB238C" w:rsidRPr="00E342DC">
        <w:rPr>
          <w:rFonts w:cs="Tahoma"/>
          <w:szCs w:val="20"/>
          <w:lang w:val="fr-CH"/>
        </w:rPr>
        <w:t xml:space="preserve"> impartiale et exhaustive</w:t>
      </w:r>
      <w:r w:rsidRPr="00E342DC">
        <w:rPr>
          <w:rFonts w:cs="Tahoma"/>
          <w:szCs w:val="20"/>
          <w:lang w:val="fr-CH"/>
        </w:rPr>
        <w:t>, constitue une violation de l’article 14 de la Convention.</w:t>
      </w:r>
      <w:r w:rsidRPr="00E342DC">
        <w:rPr>
          <w:rStyle w:val="FootnoteReference"/>
          <w:rFonts w:cs="Tahoma"/>
          <w:szCs w:val="20"/>
          <w:lang w:val="fr-CH"/>
        </w:rPr>
        <w:footnoteReference w:id="47"/>
      </w:r>
      <w:r w:rsidRPr="00E342DC">
        <w:rPr>
          <w:rFonts w:cs="Tahoma"/>
          <w:szCs w:val="20"/>
          <w:lang w:val="fr-CH"/>
        </w:rPr>
        <w:t xml:space="preserve"> </w:t>
      </w:r>
    </w:p>
    <w:p w:rsidR="00801668" w:rsidRPr="00E342DC" w:rsidRDefault="00801668">
      <w:pPr>
        <w:widowControl w:val="0"/>
        <w:autoSpaceDE w:val="0"/>
        <w:autoSpaceDN w:val="0"/>
        <w:adjustRightInd w:val="0"/>
        <w:rPr>
          <w:rFonts w:cs="Tahoma"/>
          <w:szCs w:val="20"/>
          <w:lang w:val="fr-CH"/>
        </w:rPr>
      </w:pPr>
    </w:p>
    <w:p w:rsidR="00383D43" w:rsidRPr="00E342DC" w:rsidRDefault="00383D43" w:rsidP="00383D43">
      <w:pPr>
        <w:pStyle w:val="Heading2"/>
        <w:rPr>
          <w:rFonts w:cs="Tahoma"/>
          <w:szCs w:val="20"/>
          <w:lang w:val="fr-CH"/>
        </w:rPr>
      </w:pPr>
      <w:bookmarkStart w:id="28" w:name="_Toc447008736"/>
      <w:r w:rsidRPr="00E342DC">
        <w:rPr>
          <w:rFonts w:cs="Tahoma"/>
          <w:szCs w:val="20"/>
          <w:lang w:val="fr-CH"/>
        </w:rPr>
        <w:t>Poursuite des personnes responsables d’actes de torture</w:t>
      </w:r>
      <w:bookmarkEnd w:id="28"/>
    </w:p>
    <w:p w:rsidR="00B537A2" w:rsidRPr="00E342DC" w:rsidRDefault="00B537A2" w:rsidP="00DA0ABA">
      <w:pPr>
        <w:rPr>
          <w:rFonts w:cs="Tahoma"/>
          <w:szCs w:val="20"/>
          <w:lang w:val="fr-CH"/>
        </w:rPr>
      </w:pPr>
    </w:p>
    <w:p w:rsidR="00801668" w:rsidRPr="00E342DC" w:rsidRDefault="002E6D81">
      <w:pPr>
        <w:rPr>
          <w:rFonts w:cs="Tahoma"/>
          <w:szCs w:val="20"/>
          <w:lang w:val="fr-CH"/>
        </w:rPr>
      </w:pPr>
      <w:r w:rsidRPr="00E342DC">
        <w:rPr>
          <w:rFonts w:cs="Tahoma"/>
          <w:szCs w:val="20"/>
          <w:lang w:val="fr-CH"/>
        </w:rPr>
        <w:t xml:space="preserve">Alkarama a relevé dans les réponses de l’État partie à la liste de questions du </w:t>
      </w:r>
      <w:r w:rsidR="00782280" w:rsidRPr="00E342DC">
        <w:rPr>
          <w:rFonts w:cs="Tahoma"/>
          <w:szCs w:val="20"/>
          <w:lang w:val="fr-CH"/>
        </w:rPr>
        <w:t>C</w:t>
      </w:r>
      <w:r w:rsidRPr="00E342DC">
        <w:rPr>
          <w:rFonts w:cs="Tahoma"/>
          <w:szCs w:val="20"/>
          <w:lang w:val="fr-CH"/>
        </w:rPr>
        <w:t xml:space="preserve">omité de nombreux éléments préoccupants qui selon </w:t>
      </w:r>
      <w:r w:rsidR="00AB238C" w:rsidRPr="00E342DC">
        <w:rPr>
          <w:rFonts w:cs="Tahoma"/>
          <w:szCs w:val="20"/>
          <w:lang w:val="fr-CH"/>
        </w:rPr>
        <w:t>nous risque</w:t>
      </w:r>
      <w:r w:rsidR="00782280" w:rsidRPr="00E342DC">
        <w:rPr>
          <w:rFonts w:cs="Tahoma"/>
          <w:szCs w:val="20"/>
          <w:lang w:val="fr-CH"/>
        </w:rPr>
        <w:t>nt</w:t>
      </w:r>
      <w:r w:rsidR="00AB238C" w:rsidRPr="00E342DC">
        <w:rPr>
          <w:rFonts w:cs="Tahoma"/>
          <w:szCs w:val="20"/>
          <w:lang w:val="fr-CH"/>
        </w:rPr>
        <w:t xml:space="preserve"> de perpétuer</w:t>
      </w:r>
      <w:r w:rsidRPr="00E342DC">
        <w:rPr>
          <w:rFonts w:cs="Tahoma"/>
          <w:szCs w:val="20"/>
          <w:lang w:val="fr-CH"/>
        </w:rPr>
        <w:t xml:space="preserve"> l’impunité </w:t>
      </w:r>
      <w:r w:rsidR="00AB238C" w:rsidRPr="00E342DC">
        <w:rPr>
          <w:rFonts w:cs="Tahoma"/>
          <w:szCs w:val="20"/>
          <w:lang w:val="fr-CH"/>
        </w:rPr>
        <w:t>des personnes responsables d’</w:t>
      </w:r>
      <w:r w:rsidRPr="00E342DC">
        <w:rPr>
          <w:rFonts w:cs="Tahoma"/>
          <w:szCs w:val="20"/>
          <w:lang w:val="fr-CH"/>
        </w:rPr>
        <w:t xml:space="preserve">actes de torture. </w:t>
      </w:r>
    </w:p>
    <w:p w:rsidR="007A496D" w:rsidRPr="00E342DC" w:rsidRDefault="007A496D" w:rsidP="00383D43">
      <w:pPr>
        <w:rPr>
          <w:rFonts w:cs="Tahoma"/>
          <w:szCs w:val="20"/>
          <w:lang w:val="fr-CH"/>
        </w:rPr>
      </w:pPr>
    </w:p>
    <w:p w:rsidR="00801668" w:rsidRPr="00E342DC" w:rsidRDefault="002E6D81" w:rsidP="00782280">
      <w:pPr>
        <w:rPr>
          <w:rFonts w:cs="Tahoma"/>
          <w:szCs w:val="20"/>
          <w:lang w:val="fr-CH"/>
        </w:rPr>
      </w:pPr>
      <w:r w:rsidRPr="00E342DC">
        <w:rPr>
          <w:rFonts w:cs="Tahoma"/>
          <w:szCs w:val="20"/>
          <w:lang w:val="fr-CH"/>
        </w:rPr>
        <w:t>Tout d’abord en réponse à la question du Comité sur les cas de torture mentionnés ci-dessus et documentés par Alkarama</w:t>
      </w:r>
      <w:r w:rsidRPr="00E342DC">
        <w:rPr>
          <w:rStyle w:val="FootnoteReference"/>
          <w:rFonts w:cs="Tahoma"/>
          <w:szCs w:val="20"/>
          <w:lang w:val="fr-CH"/>
        </w:rPr>
        <w:footnoteReference w:id="48"/>
      </w:r>
      <w:r w:rsidRPr="00E342DC">
        <w:rPr>
          <w:rFonts w:cs="Tahoma"/>
          <w:szCs w:val="20"/>
          <w:lang w:val="fr-CH"/>
        </w:rPr>
        <w:t xml:space="preserve">, l’État a </w:t>
      </w:r>
      <w:r w:rsidR="00AB238C" w:rsidRPr="00E342DC">
        <w:rPr>
          <w:rFonts w:cs="Tahoma"/>
          <w:szCs w:val="20"/>
          <w:lang w:val="fr-CH"/>
        </w:rPr>
        <w:t xml:space="preserve">purement et simplement </w:t>
      </w:r>
      <w:r w:rsidRPr="00E342DC">
        <w:rPr>
          <w:rFonts w:cs="Tahoma"/>
          <w:szCs w:val="20"/>
          <w:lang w:val="fr-CH"/>
        </w:rPr>
        <w:t>nié l’existence de tels cas et de telles pratiques</w:t>
      </w:r>
      <w:r w:rsidRPr="00E342DC">
        <w:rPr>
          <w:rStyle w:val="FootnoteReference"/>
          <w:rFonts w:cs="Tahoma"/>
          <w:szCs w:val="20"/>
          <w:lang w:val="fr-CH"/>
        </w:rPr>
        <w:footnoteReference w:id="49"/>
      </w:r>
      <w:r w:rsidR="00AB238C" w:rsidRPr="00E342DC">
        <w:rPr>
          <w:rFonts w:cs="Tahoma"/>
          <w:szCs w:val="20"/>
          <w:lang w:val="fr-CH"/>
        </w:rPr>
        <w:t>.</w:t>
      </w:r>
      <w:r w:rsidRPr="00E342DC">
        <w:rPr>
          <w:rFonts w:cs="Tahoma"/>
          <w:szCs w:val="20"/>
          <w:lang w:val="fr-CH"/>
        </w:rPr>
        <w:t xml:space="preserve"> </w:t>
      </w:r>
      <w:r w:rsidR="00AB238C" w:rsidRPr="00E342DC">
        <w:rPr>
          <w:rFonts w:cs="Tahoma"/>
          <w:szCs w:val="20"/>
          <w:lang w:val="fr-CH"/>
        </w:rPr>
        <w:t xml:space="preserve">Il </w:t>
      </w:r>
      <w:r w:rsidRPr="00E342DC">
        <w:rPr>
          <w:rFonts w:cs="Tahoma"/>
          <w:szCs w:val="20"/>
          <w:lang w:val="fr-CH"/>
        </w:rPr>
        <w:t xml:space="preserve">ajoute que le contrôle administratif des lieux de détentions a été </w:t>
      </w:r>
      <w:r w:rsidR="00AB238C" w:rsidRPr="00E342DC">
        <w:rPr>
          <w:rFonts w:cs="Tahoma"/>
          <w:szCs w:val="20"/>
          <w:lang w:val="fr-CH"/>
        </w:rPr>
        <w:t>« </w:t>
      </w:r>
      <w:r w:rsidRPr="00E342DC">
        <w:rPr>
          <w:rFonts w:cs="Tahoma"/>
          <w:szCs w:val="20"/>
          <w:lang w:val="fr-CH"/>
        </w:rPr>
        <w:t>intensifié</w:t>
      </w:r>
      <w:r w:rsidR="00AB238C" w:rsidRPr="00E342DC">
        <w:rPr>
          <w:rFonts w:cs="Tahoma"/>
          <w:szCs w:val="20"/>
          <w:lang w:val="fr-CH"/>
        </w:rPr>
        <w:t xml:space="preserve"> », </w:t>
      </w:r>
      <w:r w:rsidRPr="00E342DC">
        <w:rPr>
          <w:rFonts w:cs="Tahoma"/>
          <w:szCs w:val="20"/>
          <w:lang w:val="fr-CH"/>
        </w:rPr>
        <w:t xml:space="preserve">que des mesures disciplinaires pouvaient être imposées et que les responsables pouvaient être </w:t>
      </w:r>
      <w:r w:rsidR="00782280" w:rsidRPr="00E342DC">
        <w:rPr>
          <w:rFonts w:cs="Tahoma"/>
          <w:szCs w:val="20"/>
          <w:lang w:val="fr-CH"/>
        </w:rPr>
        <w:t xml:space="preserve">déférés devant </w:t>
      </w:r>
      <w:r w:rsidRPr="00E342DC">
        <w:rPr>
          <w:rFonts w:cs="Tahoma"/>
          <w:szCs w:val="20"/>
          <w:lang w:val="fr-CH"/>
        </w:rPr>
        <w:t xml:space="preserve">la justice </w:t>
      </w:r>
      <w:r w:rsidR="00782280" w:rsidRPr="00E342DC">
        <w:rPr>
          <w:rFonts w:cs="Tahoma"/>
          <w:szCs w:val="20"/>
          <w:lang w:val="fr-CH"/>
        </w:rPr>
        <w:t>« </w:t>
      </w:r>
      <w:r w:rsidRPr="00E342DC">
        <w:rPr>
          <w:rFonts w:cs="Tahoma"/>
          <w:szCs w:val="20"/>
          <w:lang w:val="fr-CH"/>
        </w:rPr>
        <w:t>si nécessaire</w:t>
      </w:r>
      <w:r w:rsidR="00782280" w:rsidRPr="00E342DC">
        <w:rPr>
          <w:rFonts w:cs="Tahoma"/>
          <w:szCs w:val="20"/>
          <w:lang w:val="fr-CH"/>
        </w:rPr>
        <w:t> »</w:t>
      </w:r>
      <w:r w:rsidRPr="00E342DC">
        <w:rPr>
          <w:rFonts w:cs="Tahoma"/>
          <w:szCs w:val="20"/>
          <w:lang w:val="fr-CH"/>
        </w:rPr>
        <w:t>. Toutefois, en pratique et sur les cas que nous avons documentés, les personnes responsables des actes de torture décrits ci-dessus n’ont pas fait l’objet de poursuites judiciaires, malgré les plaintes des victimes. L’État partie indique par ailleurs que les sanctions contre les auteurs d’actes « violant l’intégrité physique des détenus » vont de l’ « avertissement » au renvoi temporaire et au licenciement »</w:t>
      </w:r>
      <w:r w:rsidRPr="00E342DC">
        <w:rPr>
          <w:rStyle w:val="FootnoteReference"/>
          <w:rFonts w:cs="Tahoma"/>
          <w:szCs w:val="20"/>
          <w:lang w:val="fr-CH"/>
        </w:rPr>
        <w:footnoteReference w:id="50"/>
      </w:r>
      <w:r w:rsidR="00782280" w:rsidRPr="00E342DC">
        <w:rPr>
          <w:rFonts w:cs="Tahoma"/>
          <w:szCs w:val="20"/>
          <w:lang w:val="fr-CH"/>
        </w:rPr>
        <w:t>.</w:t>
      </w:r>
      <w:r w:rsidR="002E00C1">
        <w:rPr>
          <w:rFonts w:cs="Tahoma"/>
          <w:szCs w:val="20"/>
          <w:lang w:val="fr-CH"/>
        </w:rPr>
        <w:t xml:space="preserve"> </w:t>
      </w:r>
      <w:r w:rsidR="00782280" w:rsidRPr="00E342DC">
        <w:rPr>
          <w:rFonts w:cs="Tahoma"/>
          <w:szCs w:val="20"/>
          <w:lang w:val="fr-CH"/>
        </w:rPr>
        <w:t xml:space="preserve">Ces sanctions demeurent de </w:t>
      </w:r>
      <w:r w:rsidR="00E342DC" w:rsidRPr="00E342DC">
        <w:rPr>
          <w:rFonts w:cs="Tahoma"/>
          <w:szCs w:val="20"/>
          <w:lang w:val="fr-CH"/>
        </w:rPr>
        <w:t>nature administrative</w:t>
      </w:r>
      <w:r w:rsidR="00782280" w:rsidRPr="00E342DC">
        <w:rPr>
          <w:rFonts w:cs="Tahoma"/>
          <w:szCs w:val="20"/>
          <w:lang w:val="fr-CH"/>
        </w:rPr>
        <w:t xml:space="preserve"> et ne sauraient se substituer à des sanctions pénales </w:t>
      </w:r>
      <w:r w:rsidR="00AB238C" w:rsidRPr="00E342DC">
        <w:rPr>
          <w:rFonts w:cs="Tahoma"/>
          <w:szCs w:val="20"/>
          <w:lang w:val="fr-CH"/>
        </w:rPr>
        <w:t>approprié</w:t>
      </w:r>
      <w:r w:rsidR="00782280" w:rsidRPr="00E342DC">
        <w:rPr>
          <w:rFonts w:cs="Tahoma"/>
          <w:szCs w:val="20"/>
          <w:lang w:val="fr-CH"/>
        </w:rPr>
        <w:t>e</w:t>
      </w:r>
      <w:r w:rsidR="00AB238C" w:rsidRPr="00E342DC">
        <w:rPr>
          <w:rFonts w:cs="Tahoma"/>
          <w:szCs w:val="20"/>
          <w:lang w:val="fr-CH"/>
        </w:rPr>
        <w:t>s requises par la Convention.</w:t>
      </w:r>
      <w:r w:rsidR="00BF513F">
        <w:rPr>
          <w:rFonts w:cs="Tahoma"/>
          <w:szCs w:val="20"/>
          <w:lang w:val="fr-CH"/>
        </w:rPr>
        <w:t xml:space="preserve"> </w:t>
      </w:r>
    </w:p>
    <w:p w:rsidR="007D34D2" w:rsidRPr="00E342DC" w:rsidRDefault="007D34D2" w:rsidP="00383D43">
      <w:pPr>
        <w:rPr>
          <w:rFonts w:cs="Tahoma"/>
          <w:szCs w:val="20"/>
          <w:lang w:val="fr-CH"/>
        </w:rPr>
      </w:pPr>
    </w:p>
    <w:p w:rsidR="00801668" w:rsidRPr="00E342DC" w:rsidRDefault="00AC07CC" w:rsidP="00782280">
      <w:pPr>
        <w:rPr>
          <w:rFonts w:cs="Tahoma"/>
          <w:szCs w:val="20"/>
          <w:lang w:val="fr-CH"/>
        </w:rPr>
      </w:pPr>
      <w:r w:rsidRPr="00E342DC">
        <w:rPr>
          <w:rFonts w:cs="Tahoma"/>
          <w:szCs w:val="20"/>
          <w:lang w:val="fr-CH"/>
        </w:rPr>
        <w:t>De plus, n</w:t>
      </w:r>
      <w:r w:rsidR="002E6D81" w:rsidRPr="00E342DC">
        <w:rPr>
          <w:rFonts w:cs="Tahoma"/>
          <w:szCs w:val="20"/>
          <w:lang w:val="fr-CH"/>
        </w:rPr>
        <w:t xml:space="preserve">ous relevons que l’article 101 </w:t>
      </w:r>
      <w:r w:rsidR="002E6D81" w:rsidRPr="00E342DC">
        <w:rPr>
          <w:rFonts w:cs="Tahoma"/>
          <w:i/>
          <w:iCs/>
          <w:szCs w:val="20"/>
          <w:lang w:val="fr-CH"/>
        </w:rPr>
        <w:t>quater</w:t>
      </w:r>
      <w:r w:rsidR="002E6D81" w:rsidRPr="00E342DC">
        <w:rPr>
          <w:rFonts w:cs="Tahoma"/>
          <w:szCs w:val="20"/>
          <w:lang w:val="fr-CH"/>
        </w:rPr>
        <w:t xml:space="preserve"> du C</w:t>
      </w:r>
      <w:r w:rsidRPr="00E342DC">
        <w:rPr>
          <w:rFonts w:cs="Tahoma"/>
          <w:szCs w:val="20"/>
          <w:lang w:val="fr-CH"/>
        </w:rPr>
        <w:t>P</w:t>
      </w:r>
      <w:r w:rsidR="002E6D81" w:rsidRPr="00E342DC">
        <w:rPr>
          <w:rFonts w:cs="Tahoma"/>
          <w:szCs w:val="20"/>
          <w:lang w:val="fr-CH"/>
        </w:rPr>
        <w:t xml:space="preserve"> permet dans certains cas d’exempter </w:t>
      </w:r>
      <w:r w:rsidRPr="00E342DC">
        <w:rPr>
          <w:rFonts w:cs="Tahoma"/>
          <w:szCs w:val="20"/>
          <w:lang w:val="fr-CH"/>
        </w:rPr>
        <w:t>des</w:t>
      </w:r>
      <w:r w:rsidR="002E6D81" w:rsidRPr="00E342DC">
        <w:rPr>
          <w:rFonts w:cs="Tahoma"/>
          <w:szCs w:val="20"/>
          <w:lang w:val="fr-CH"/>
        </w:rPr>
        <w:t xml:space="preserve"> peines pénales prévues pour la commission ou la participation à des actes de torture les agents qui, ayant reçu un ordre de commettre de tels actes ou ayant pris connaissance de tels actes, les dénoncent </w:t>
      </w:r>
      <w:r w:rsidR="002E6D81" w:rsidRPr="00E342DC">
        <w:rPr>
          <w:rFonts w:cs="Tahoma"/>
          <w:szCs w:val="20"/>
          <w:lang w:val="fr-CH"/>
        </w:rPr>
        <w:lastRenderedPageBreak/>
        <w:t>devant les autorités de poursuite. Toutefois l’alinéa 2 du même article semble contredire cette première disposition e</w:t>
      </w:r>
      <w:r w:rsidRPr="00E342DC">
        <w:rPr>
          <w:rFonts w:cs="Tahoma"/>
          <w:szCs w:val="20"/>
          <w:lang w:val="fr-CH"/>
        </w:rPr>
        <w:t>n</w:t>
      </w:r>
      <w:r w:rsidR="002E6D81" w:rsidRPr="00E342DC">
        <w:rPr>
          <w:rFonts w:cs="Tahoma"/>
          <w:szCs w:val="20"/>
          <w:lang w:val="fr-CH"/>
        </w:rPr>
        <w:t xml:space="preserve"> énonçant simplement une réduction de moitié de la peine prévue </w:t>
      </w:r>
      <w:r w:rsidRPr="00E342DC">
        <w:rPr>
          <w:rFonts w:cs="Tahoma"/>
          <w:szCs w:val="20"/>
          <w:lang w:val="fr-CH"/>
        </w:rPr>
        <w:t>alors que</w:t>
      </w:r>
      <w:r w:rsidR="002E6D81" w:rsidRPr="00E342DC">
        <w:rPr>
          <w:rFonts w:cs="Tahoma"/>
          <w:szCs w:val="20"/>
          <w:lang w:val="fr-CH"/>
        </w:rPr>
        <w:t xml:space="preserve"> l’alinéa 4 ajoute à la confusion en prévoyant</w:t>
      </w:r>
      <w:r w:rsidR="002E6D81" w:rsidRPr="00E342DC">
        <w:rPr>
          <w:rFonts w:cs="Tahoma"/>
          <w:szCs w:val="20"/>
        </w:rPr>
        <w:t xml:space="preserve"> que « celui qui a signalé de </w:t>
      </w:r>
      <w:r w:rsidR="002E6D81" w:rsidRPr="00E342DC">
        <w:rPr>
          <w:rFonts w:cs="Tahoma"/>
          <w:i/>
          <w:iCs/>
          <w:szCs w:val="20"/>
        </w:rPr>
        <w:t>bonne foi</w:t>
      </w:r>
      <w:r w:rsidRPr="00E342DC">
        <w:rPr>
          <w:rStyle w:val="FootnoteReference"/>
          <w:rFonts w:cs="Tahoma"/>
          <w:i/>
          <w:iCs/>
          <w:szCs w:val="20"/>
        </w:rPr>
        <w:footnoteReference w:id="51"/>
      </w:r>
      <w:r w:rsidR="002E6D81" w:rsidRPr="00E342DC">
        <w:rPr>
          <w:rFonts w:cs="Tahoma"/>
          <w:szCs w:val="20"/>
        </w:rPr>
        <w:t>, ne peut ni faire l'objet d'une action en réparation ni être reconnu coupable »</w:t>
      </w:r>
      <w:r w:rsidR="002E6D81" w:rsidRPr="00E342DC">
        <w:rPr>
          <w:rStyle w:val="FootnoteReference"/>
          <w:rFonts w:cs="Tahoma"/>
          <w:szCs w:val="20"/>
          <w:lang w:val="fr-CH"/>
        </w:rPr>
        <w:footnoteReference w:id="52"/>
      </w:r>
      <w:r w:rsidR="002E6D81" w:rsidRPr="00E342DC">
        <w:rPr>
          <w:rFonts w:cs="Tahoma"/>
          <w:szCs w:val="20"/>
          <w:lang w:val="fr-CH"/>
        </w:rPr>
        <w:t xml:space="preserve">. Enfin, il apparait à la lumière des réponses apportées par l’État partie que les critères permettant au juge de définir la « bonne foi » dans ce contexte </w:t>
      </w:r>
      <w:r w:rsidR="00782280" w:rsidRPr="00E342DC">
        <w:rPr>
          <w:rFonts w:cs="Tahoma"/>
          <w:szCs w:val="20"/>
          <w:lang w:val="fr-CH"/>
        </w:rPr>
        <w:t>ne sont pas définis</w:t>
      </w:r>
      <w:r w:rsidR="002E6D81" w:rsidRPr="00E342DC">
        <w:rPr>
          <w:rStyle w:val="FootnoteReference"/>
          <w:rFonts w:cs="Tahoma"/>
          <w:szCs w:val="20"/>
          <w:lang w:val="fr-CH"/>
        </w:rPr>
        <w:footnoteReference w:id="53"/>
      </w:r>
      <w:r w:rsidR="002E6D81" w:rsidRPr="00E342DC">
        <w:rPr>
          <w:rFonts w:cs="Tahoma"/>
          <w:szCs w:val="20"/>
          <w:lang w:val="fr-CH"/>
        </w:rPr>
        <w:t xml:space="preserve">. </w:t>
      </w:r>
      <w:r w:rsidRPr="00E342DC">
        <w:rPr>
          <w:rFonts w:cs="Tahoma"/>
          <w:szCs w:val="20"/>
          <w:lang w:val="fr-CH"/>
        </w:rPr>
        <w:t xml:space="preserve">Alkarama craint que cette disposition ne serve à absoudre les responsables d’actes de torture. </w:t>
      </w:r>
    </w:p>
    <w:p w:rsidR="000E6DE0" w:rsidRPr="00E342DC" w:rsidRDefault="000E6DE0" w:rsidP="00383D43">
      <w:pPr>
        <w:rPr>
          <w:rFonts w:cs="Tahoma"/>
          <w:szCs w:val="20"/>
          <w:lang w:val="fr-CH"/>
        </w:rPr>
      </w:pPr>
    </w:p>
    <w:p w:rsidR="000E6DE0" w:rsidRPr="00E342DC" w:rsidRDefault="000E6DE0" w:rsidP="000E6DE0">
      <w:pPr>
        <w:spacing w:after="120"/>
        <w:rPr>
          <w:rFonts w:cs="Tahoma"/>
          <w:bCs/>
          <w:szCs w:val="20"/>
          <w:lang w:val="fr-CH"/>
        </w:rPr>
      </w:pPr>
      <w:r w:rsidRPr="00E342DC">
        <w:rPr>
          <w:rFonts w:cs="Tahoma"/>
          <w:b/>
          <w:szCs w:val="20"/>
          <w:lang w:val="fr-CH"/>
        </w:rPr>
        <w:t>Recommandations</w:t>
      </w:r>
      <w:r w:rsidR="002E00C1">
        <w:rPr>
          <w:rFonts w:cs="Tahoma"/>
          <w:b/>
          <w:szCs w:val="20"/>
          <w:lang w:val="fr-CH"/>
        </w:rPr>
        <w:t> :</w:t>
      </w:r>
      <w:r w:rsidRPr="00E342DC">
        <w:rPr>
          <w:rFonts w:cs="Tahoma"/>
          <w:bCs/>
          <w:szCs w:val="20"/>
          <w:lang w:val="fr-CH"/>
        </w:rPr>
        <w:t xml:space="preserve"> </w:t>
      </w:r>
    </w:p>
    <w:p w:rsidR="000E6DE0" w:rsidRPr="00E342DC" w:rsidRDefault="000E6DE0" w:rsidP="000E6DE0">
      <w:pPr>
        <w:pStyle w:val="ListParagraph"/>
        <w:numPr>
          <w:ilvl w:val="0"/>
          <w:numId w:val="34"/>
        </w:numPr>
        <w:rPr>
          <w:rFonts w:cs="Tahoma"/>
          <w:szCs w:val="20"/>
        </w:rPr>
      </w:pPr>
      <w:r w:rsidRPr="00E342DC">
        <w:rPr>
          <w:rFonts w:cs="Tahoma"/>
          <w:szCs w:val="20"/>
        </w:rPr>
        <w:t>Instaurer un mécanisme de traitement des plaintes indépendant et efficace dans tous les lieux de détention</w:t>
      </w:r>
      <w:r w:rsidR="00AC07CC" w:rsidRPr="00E342DC">
        <w:rPr>
          <w:rFonts w:cs="Tahoma"/>
          <w:szCs w:val="20"/>
        </w:rPr>
        <w:t> ;</w:t>
      </w:r>
    </w:p>
    <w:p w:rsidR="000E6DE0" w:rsidRPr="00E342DC" w:rsidRDefault="000E6DE0" w:rsidP="00EF508C">
      <w:pPr>
        <w:pStyle w:val="ListParagraph"/>
        <w:numPr>
          <w:ilvl w:val="0"/>
          <w:numId w:val="34"/>
        </w:numPr>
        <w:rPr>
          <w:rFonts w:cs="Tahoma"/>
          <w:szCs w:val="20"/>
        </w:rPr>
      </w:pPr>
      <w:r w:rsidRPr="00E342DC">
        <w:rPr>
          <w:rFonts w:cs="Tahoma"/>
          <w:szCs w:val="20"/>
        </w:rPr>
        <w:t xml:space="preserve">Veiller à ce que toute plainte soit suivie d’une enquête indépendante </w:t>
      </w:r>
      <w:r w:rsidR="00EF508C" w:rsidRPr="00E342DC">
        <w:rPr>
          <w:rFonts w:cs="Tahoma"/>
          <w:szCs w:val="20"/>
        </w:rPr>
        <w:t xml:space="preserve">et impartiale </w:t>
      </w:r>
      <w:r w:rsidRPr="00E342DC">
        <w:rPr>
          <w:rFonts w:cs="Tahoma"/>
          <w:szCs w:val="20"/>
        </w:rPr>
        <w:t xml:space="preserve">et que les </w:t>
      </w:r>
      <w:r w:rsidR="00EF508C" w:rsidRPr="00E342DC">
        <w:rPr>
          <w:rFonts w:cs="Tahoma"/>
          <w:szCs w:val="20"/>
        </w:rPr>
        <w:t xml:space="preserve">que les plaignants, </w:t>
      </w:r>
      <w:r w:rsidR="00E342DC" w:rsidRPr="00E342DC">
        <w:rPr>
          <w:rFonts w:cs="Tahoma"/>
          <w:szCs w:val="20"/>
        </w:rPr>
        <w:t>ainsi</w:t>
      </w:r>
      <w:r w:rsidR="00EF508C" w:rsidRPr="00E342DC">
        <w:rPr>
          <w:rFonts w:cs="Tahoma"/>
          <w:szCs w:val="20"/>
        </w:rPr>
        <w:t xml:space="preserve"> que leurs familles et leurs avocats,</w:t>
      </w:r>
      <w:r w:rsidRPr="00E342DC">
        <w:rPr>
          <w:rFonts w:cs="Tahoma"/>
          <w:szCs w:val="20"/>
        </w:rPr>
        <w:t xml:space="preserve"> ne </w:t>
      </w:r>
      <w:r w:rsidR="00EF508C" w:rsidRPr="00E342DC">
        <w:rPr>
          <w:rFonts w:cs="Tahoma"/>
          <w:szCs w:val="20"/>
        </w:rPr>
        <w:t>fassent pas l’objet de</w:t>
      </w:r>
      <w:r w:rsidRPr="00E342DC">
        <w:rPr>
          <w:rFonts w:cs="Tahoma"/>
          <w:szCs w:val="20"/>
        </w:rPr>
        <w:t xml:space="preserve"> représailles</w:t>
      </w:r>
      <w:r w:rsidR="00AC07CC" w:rsidRPr="00E342DC">
        <w:rPr>
          <w:rFonts w:cs="Tahoma"/>
          <w:szCs w:val="20"/>
        </w:rPr>
        <w:t> ;</w:t>
      </w:r>
    </w:p>
    <w:p w:rsidR="000E6DE0" w:rsidRPr="00E342DC" w:rsidRDefault="000E6DE0" w:rsidP="00EF508C">
      <w:pPr>
        <w:pStyle w:val="ListParagraph"/>
        <w:numPr>
          <w:ilvl w:val="0"/>
          <w:numId w:val="34"/>
        </w:numPr>
        <w:rPr>
          <w:rFonts w:cs="Tahoma"/>
          <w:szCs w:val="20"/>
        </w:rPr>
      </w:pPr>
      <w:r w:rsidRPr="00E342DC">
        <w:rPr>
          <w:rFonts w:cs="Tahoma"/>
          <w:szCs w:val="20"/>
        </w:rPr>
        <w:t xml:space="preserve">Faire la lumière sur les cas de décès </w:t>
      </w:r>
      <w:r w:rsidR="00EF508C" w:rsidRPr="00E342DC">
        <w:rPr>
          <w:rFonts w:cs="Tahoma"/>
          <w:szCs w:val="20"/>
        </w:rPr>
        <w:t xml:space="preserve">de toutes les personnes </w:t>
      </w:r>
      <w:r w:rsidRPr="00E342DC">
        <w:rPr>
          <w:rFonts w:cs="Tahoma"/>
          <w:szCs w:val="20"/>
        </w:rPr>
        <w:t xml:space="preserve">survenus en détention </w:t>
      </w:r>
      <w:r w:rsidR="00EF508C" w:rsidRPr="00E342DC">
        <w:rPr>
          <w:rFonts w:cs="Tahoma"/>
          <w:szCs w:val="20"/>
        </w:rPr>
        <w:t>et notamment les cas cités ci-dessus et tenir les familles informées de l’avancement et des résultats de l’enquête</w:t>
      </w:r>
      <w:r w:rsidR="00AC07CC" w:rsidRPr="00E342DC">
        <w:rPr>
          <w:rFonts w:cs="Tahoma"/>
          <w:szCs w:val="20"/>
        </w:rPr>
        <w:t> ;</w:t>
      </w:r>
      <w:r w:rsidRPr="00E342DC">
        <w:rPr>
          <w:rFonts w:cs="Tahoma"/>
          <w:szCs w:val="20"/>
        </w:rPr>
        <w:t xml:space="preserve"> </w:t>
      </w:r>
    </w:p>
    <w:p w:rsidR="000E6DE0" w:rsidRPr="00E342DC" w:rsidRDefault="000E6DE0" w:rsidP="00EF508C">
      <w:pPr>
        <w:pStyle w:val="ListParagraph"/>
        <w:numPr>
          <w:ilvl w:val="0"/>
          <w:numId w:val="34"/>
        </w:numPr>
        <w:rPr>
          <w:rFonts w:cs="Tahoma"/>
          <w:szCs w:val="20"/>
        </w:rPr>
      </w:pPr>
      <w:r w:rsidRPr="00E342DC">
        <w:rPr>
          <w:rFonts w:cs="Tahoma"/>
          <w:szCs w:val="20"/>
        </w:rPr>
        <w:t xml:space="preserve">Prendre des mesures concrètes afin de réduire le délai de traitement des plaintes </w:t>
      </w:r>
      <w:r w:rsidR="00EF508C" w:rsidRPr="00E342DC">
        <w:rPr>
          <w:rFonts w:cs="Tahoma"/>
          <w:szCs w:val="20"/>
        </w:rPr>
        <w:t xml:space="preserve">concernant des actes de </w:t>
      </w:r>
      <w:r w:rsidRPr="00E342DC">
        <w:rPr>
          <w:rFonts w:cs="Tahoma"/>
          <w:szCs w:val="20"/>
        </w:rPr>
        <w:t>torture</w:t>
      </w:r>
      <w:r w:rsidR="00AC07CC" w:rsidRPr="00E342DC">
        <w:rPr>
          <w:rFonts w:cs="Tahoma"/>
          <w:szCs w:val="20"/>
        </w:rPr>
        <w:t>;</w:t>
      </w:r>
    </w:p>
    <w:p w:rsidR="000E6DE0" w:rsidRPr="00E342DC" w:rsidRDefault="00EF508C" w:rsidP="00EF508C">
      <w:pPr>
        <w:pStyle w:val="ListParagraph"/>
        <w:numPr>
          <w:ilvl w:val="0"/>
          <w:numId w:val="34"/>
        </w:numPr>
        <w:rPr>
          <w:rFonts w:cs="Tahoma"/>
          <w:szCs w:val="20"/>
          <w:lang w:val="fr-CH"/>
        </w:rPr>
      </w:pPr>
      <w:r w:rsidRPr="00E342DC">
        <w:rPr>
          <w:rFonts w:cs="Tahoma"/>
          <w:szCs w:val="20"/>
        </w:rPr>
        <w:t>Procéder au réexamen de toutes les affaires dans lesquelles des condamnations ont été prononcées sur la base de procès verbaux d’enquête préliminaire contenant des aveux extorqués sous la torture </w:t>
      </w:r>
      <w:r w:rsidR="00E342DC" w:rsidRPr="00E342DC">
        <w:rPr>
          <w:rFonts w:cs="Tahoma"/>
          <w:szCs w:val="20"/>
        </w:rPr>
        <w:t>;</w:t>
      </w:r>
    </w:p>
    <w:p w:rsidR="00383D43" w:rsidRPr="00E342DC" w:rsidRDefault="00383D43" w:rsidP="00DA0ABA">
      <w:pPr>
        <w:rPr>
          <w:rFonts w:cs="Tahoma"/>
          <w:szCs w:val="20"/>
          <w:lang w:val="fr-CH"/>
        </w:rPr>
      </w:pPr>
    </w:p>
    <w:p w:rsidR="004E3CB6" w:rsidRPr="00E342DC" w:rsidRDefault="00A0049E" w:rsidP="000E6DE0">
      <w:pPr>
        <w:pStyle w:val="Heading1"/>
        <w:rPr>
          <w:rFonts w:cs="Tahoma"/>
          <w:lang w:val="fr-CH"/>
        </w:rPr>
      </w:pPr>
      <w:bookmarkStart w:id="29" w:name="_Toc447008737"/>
      <w:r w:rsidRPr="00E342DC">
        <w:rPr>
          <w:rFonts w:cs="Tahoma"/>
          <w:lang w:val="fr-CH"/>
        </w:rPr>
        <w:t>Problématiques spécifiques à la j</w:t>
      </w:r>
      <w:r w:rsidR="004E3CB6" w:rsidRPr="00E342DC">
        <w:rPr>
          <w:rFonts w:cs="Tahoma"/>
          <w:lang w:val="fr-CH"/>
        </w:rPr>
        <w:t>ustice transitionnelle</w:t>
      </w:r>
      <w:bookmarkEnd w:id="29"/>
      <w:r w:rsidR="004E3CB6" w:rsidRPr="00E342DC">
        <w:rPr>
          <w:rFonts w:cs="Tahoma"/>
          <w:lang w:val="fr-CH"/>
        </w:rPr>
        <w:t xml:space="preserve"> </w:t>
      </w:r>
    </w:p>
    <w:p w:rsidR="00DC4CDB" w:rsidRPr="00E342DC" w:rsidRDefault="00DC4CDB" w:rsidP="00DA0ABA">
      <w:pPr>
        <w:rPr>
          <w:rFonts w:cs="Tahoma"/>
          <w:szCs w:val="20"/>
          <w:lang w:val="fr-CH"/>
        </w:rPr>
      </w:pPr>
    </w:p>
    <w:p w:rsidR="007D34D2" w:rsidRPr="00E342DC" w:rsidRDefault="007D34D2" w:rsidP="00A0049E">
      <w:pPr>
        <w:pStyle w:val="Heading2"/>
        <w:numPr>
          <w:ilvl w:val="1"/>
          <w:numId w:val="41"/>
        </w:numPr>
        <w:rPr>
          <w:rFonts w:cs="Tahoma"/>
          <w:szCs w:val="20"/>
          <w:lang w:val="fr-CH"/>
        </w:rPr>
      </w:pPr>
      <w:bookmarkStart w:id="30" w:name="_Toc447008738"/>
      <w:r w:rsidRPr="00E342DC">
        <w:rPr>
          <w:rFonts w:cs="Tahoma"/>
          <w:szCs w:val="20"/>
          <w:lang w:val="fr-CH"/>
        </w:rPr>
        <w:t>Fonctionnement de la justice transitionnelle</w:t>
      </w:r>
      <w:bookmarkEnd w:id="30"/>
      <w:r w:rsidRPr="00E342DC">
        <w:rPr>
          <w:rFonts w:cs="Tahoma"/>
          <w:szCs w:val="20"/>
          <w:lang w:val="fr-CH"/>
        </w:rPr>
        <w:t xml:space="preserve"> </w:t>
      </w:r>
    </w:p>
    <w:p w:rsidR="007D34D2" w:rsidRPr="00E342DC" w:rsidRDefault="007D34D2" w:rsidP="007D34D2">
      <w:pPr>
        <w:rPr>
          <w:rFonts w:cs="Tahoma"/>
          <w:szCs w:val="20"/>
          <w:lang w:val="fr-CH"/>
        </w:rPr>
      </w:pPr>
    </w:p>
    <w:p w:rsidR="007D34D2" w:rsidRPr="00E342DC" w:rsidRDefault="007D34D2" w:rsidP="007D34D2">
      <w:pPr>
        <w:rPr>
          <w:rFonts w:cs="Tahoma"/>
          <w:szCs w:val="20"/>
          <w:lang w:val="fr-CH"/>
        </w:rPr>
      </w:pPr>
      <w:r w:rsidRPr="00E342DC">
        <w:rPr>
          <w:rFonts w:cs="Tahoma"/>
          <w:szCs w:val="20"/>
          <w:lang w:val="fr-CH"/>
        </w:rPr>
        <w:t>L’article 11 de la loi n° 2013/53 relative à l’instauration de la justice transitionnelle et à son organisation garantit le droit de saisir les tribunaux pour obtenir réparation du préjudice subi tant aux victimes d’actes de torture qu’à leurs ayants</w:t>
      </w:r>
      <w:r w:rsidR="00EF508C" w:rsidRPr="00E342DC">
        <w:rPr>
          <w:rFonts w:cs="Tahoma"/>
          <w:szCs w:val="20"/>
          <w:lang w:val="fr-CH"/>
        </w:rPr>
        <w:t>-</w:t>
      </w:r>
      <w:r w:rsidRPr="00E342DC">
        <w:rPr>
          <w:rFonts w:cs="Tahoma"/>
          <w:szCs w:val="20"/>
          <w:lang w:val="fr-CH"/>
        </w:rPr>
        <w:t>droit.</w:t>
      </w:r>
    </w:p>
    <w:p w:rsidR="007D34D2" w:rsidRPr="00E342DC" w:rsidRDefault="007D34D2" w:rsidP="007D34D2">
      <w:pPr>
        <w:pStyle w:val="Default"/>
        <w:jc w:val="both"/>
        <w:rPr>
          <w:rFonts w:ascii="Tahoma" w:hAnsi="Tahoma" w:cs="Tahoma"/>
          <w:sz w:val="20"/>
          <w:szCs w:val="20"/>
          <w:lang w:val="fr-CH"/>
        </w:rPr>
      </w:pPr>
    </w:p>
    <w:p w:rsidR="007D34D2" w:rsidRPr="00E342DC" w:rsidRDefault="007D34D2" w:rsidP="007D34D2">
      <w:pPr>
        <w:pStyle w:val="Default"/>
        <w:jc w:val="both"/>
        <w:rPr>
          <w:rFonts w:ascii="Tahoma" w:hAnsi="Tahoma" w:cs="Tahoma"/>
          <w:i/>
          <w:iCs/>
          <w:sz w:val="20"/>
          <w:szCs w:val="20"/>
          <w:lang w:val="fr-CH"/>
        </w:rPr>
      </w:pPr>
      <w:r w:rsidRPr="00E342DC">
        <w:rPr>
          <w:rFonts w:ascii="Tahoma" w:hAnsi="Tahoma" w:cs="Tahoma"/>
          <w:sz w:val="20"/>
          <w:szCs w:val="20"/>
          <w:lang w:val="fr-CH"/>
        </w:rPr>
        <w:t xml:space="preserve">Concernant les cas de torture commis avant la révolution de 2011, l’article 8 de la loi n° 2013/53 prévoit la création chambres spécialisées au sein des tribunaux de premières instances habilitées à statuer sur les affaires relatives aux atteintes graves aux droits de l'homme </w:t>
      </w:r>
      <w:r w:rsidR="00AC07CC" w:rsidRPr="00E342DC">
        <w:rPr>
          <w:rFonts w:ascii="Tahoma" w:hAnsi="Tahoma" w:cs="Tahoma"/>
          <w:sz w:val="20"/>
          <w:szCs w:val="20"/>
          <w:lang w:val="fr-CH"/>
        </w:rPr>
        <w:t>« </w:t>
      </w:r>
      <w:r w:rsidRPr="00E342DC">
        <w:rPr>
          <w:rFonts w:ascii="Tahoma" w:hAnsi="Tahoma" w:cs="Tahoma"/>
          <w:sz w:val="20"/>
          <w:szCs w:val="20"/>
          <w:lang w:val="fr-CH"/>
        </w:rPr>
        <w:t>au sens des conventions internationales ratifiées et des dispositions de la présente loi</w:t>
      </w:r>
      <w:r w:rsidR="00AC07CC" w:rsidRPr="00E342DC">
        <w:rPr>
          <w:rFonts w:ascii="Tahoma" w:hAnsi="Tahoma" w:cs="Tahoma"/>
          <w:sz w:val="20"/>
          <w:szCs w:val="20"/>
          <w:lang w:val="fr-CH"/>
        </w:rPr>
        <w:t> »</w:t>
      </w:r>
      <w:r w:rsidRPr="00E342DC">
        <w:rPr>
          <w:rFonts w:ascii="Tahoma" w:hAnsi="Tahoma" w:cs="Tahoma"/>
          <w:sz w:val="20"/>
          <w:szCs w:val="20"/>
          <w:lang w:val="fr-CH"/>
        </w:rPr>
        <w:t xml:space="preserve">, dont </w:t>
      </w:r>
      <w:r w:rsidRPr="00E342DC">
        <w:rPr>
          <w:rFonts w:ascii="Tahoma" w:hAnsi="Tahoma" w:cs="Tahoma"/>
          <w:i/>
          <w:iCs/>
          <w:sz w:val="20"/>
          <w:szCs w:val="20"/>
          <w:lang w:val="fr-CH"/>
        </w:rPr>
        <w:t>inter alia :</w:t>
      </w:r>
      <w:r w:rsidRPr="00E342DC">
        <w:rPr>
          <w:rFonts w:ascii="Tahoma" w:hAnsi="Tahoma" w:cs="Tahoma"/>
          <w:sz w:val="20"/>
          <w:szCs w:val="20"/>
          <w:lang w:val="fr-CH"/>
        </w:rPr>
        <w:t xml:space="preserve"> la torture et la disparition forcée</w:t>
      </w:r>
      <w:r w:rsidRPr="00E342DC">
        <w:rPr>
          <w:rFonts w:ascii="Tahoma" w:hAnsi="Tahoma" w:cs="Tahoma"/>
          <w:i/>
          <w:iCs/>
          <w:sz w:val="20"/>
          <w:szCs w:val="20"/>
          <w:lang w:val="fr-CH"/>
        </w:rPr>
        <w:t xml:space="preserve">. </w:t>
      </w:r>
    </w:p>
    <w:p w:rsidR="007D34D2" w:rsidRPr="00E342DC" w:rsidRDefault="007D34D2" w:rsidP="007D34D2">
      <w:pPr>
        <w:pStyle w:val="Default"/>
        <w:jc w:val="both"/>
        <w:rPr>
          <w:rFonts w:ascii="Tahoma" w:hAnsi="Tahoma" w:cs="Tahoma"/>
          <w:i/>
          <w:iCs/>
          <w:sz w:val="20"/>
          <w:szCs w:val="20"/>
          <w:lang w:val="fr-CH"/>
        </w:rPr>
      </w:pPr>
    </w:p>
    <w:p w:rsidR="00801668" w:rsidRPr="00E342DC" w:rsidRDefault="007D34D2" w:rsidP="00EF508C">
      <w:pPr>
        <w:pStyle w:val="Default"/>
        <w:jc w:val="both"/>
        <w:rPr>
          <w:rFonts w:ascii="Tahoma" w:hAnsi="Tahoma" w:cs="Tahoma"/>
          <w:color w:val="auto"/>
          <w:sz w:val="20"/>
          <w:szCs w:val="20"/>
          <w:lang w:val="fr-CH"/>
        </w:rPr>
      </w:pPr>
      <w:r w:rsidRPr="00E342DC">
        <w:rPr>
          <w:rFonts w:ascii="Tahoma" w:hAnsi="Tahoma" w:cs="Tahoma"/>
          <w:sz w:val="20"/>
          <w:szCs w:val="20"/>
          <w:lang w:val="fr-CH"/>
        </w:rPr>
        <w:t xml:space="preserve">La loi </w:t>
      </w:r>
      <w:r w:rsidR="002E00C1">
        <w:rPr>
          <w:rFonts w:ascii="Tahoma" w:hAnsi="Tahoma" w:cs="Tahoma"/>
          <w:sz w:val="20"/>
          <w:szCs w:val="20"/>
          <w:lang w:val="fr-CH"/>
        </w:rPr>
        <w:t>n°</w:t>
      </w:r>
      <w:r w:rsidR="00AC07CC" w:rsidRPr="00E342DC">
        <w:rPr>
          <w:rFonts w:ascii="Tahoma" w:hAnsi="Tahoma" w:cs="Tahoma"/>
          <w:sz w:val="20"/>
          <w:szCs w:val="20"/>
          <w:lang w:val="fr-CH"/>
        </w:rPr>
        <w:t xml:space="preserve">2013/53 créé </w:t>
      </w:r>
      <w:r w:rsidRPr="00E342DC">
        <w:rPr>
          <w:rFonts w:ascii="Tahoma" w:hAnsi="Tahoma" w:cs="Tahoma"/>
          <w:sz w:val="20"/>
          <w:szCs w:val="20"/>
          <w:lang w:val="fr-CH"/>
        </w:rPr>
        <w:t>l’</w:t>
      </w:r>
      <w:r w:rsidRPr="00E342DC">
        <w:rPr>
          <w:rFonts w:ascii="Tahoma" w:hAnsi="Tahoma" w:cs="Tahoma"/>
          <w:color w:val="auto"/>
          <w:sz w:val="20"/>
          <w:szCs w:val="20"/>
          <w:lang w:val="fr-CH"/>
        </w:rPr>
        <w:t xml:space="preserve">Instance de la vérité et de dignité (IVD) dont le rôle est notamment d’enquêter sur les crimes commis entre </w:t>
      </w:r>
      <w:r w:rsidRPr="00E342DC">
        <w:rPr>
          <w:rFonts w:ascii="Tahoma" w:hAnsi="Tahoma" w:cs="Tahoma"/>
          <w:sz w:val="20"/>
          <w:szCs w:val="20"/>
          <w:lang w:val="fr-CH"/>
        </w:rPr>
        <w:t xml:space="preserve">le </w:t>
      </w:r>
      <w:r w:rsidRPr="00E342DC">
        <w:rPr>
          <w:rFonts w:ascii="Tahoma" w:hAnsi="Tahoma" w:cs="Tahoma"/>
          <w:color w:val="auto"/>
          <w:sz w:val="20"/>
          <w:szCs w:val="20"/>
          <w:lang w:val="fr-CH"/>
        </w:rPr>
        <w:t xml:space="preserve">1er juillet 1955 jusqu’à </w:t>
      </w:r>
      <w:r w:rsidR="00EF508C" w:rsidRPr="00E342DC">
        <w:rPr>
          <w:rFonts w:ascii="Tahoma" w:hAnsi="Tahoma" w:cs="Tahoma"/>
          <w:color w:val="auto"/>
          <w:sz w:val="20"/>
          <w:szCs w:val="20"/>
          <w:lang w:val="fr-CH"/>
        </w:rPr>
        <w:t>la</w:t>
      </w:r>
      <w:r w:rsidRPr="00E342DC">
        <w:rPr>
          <w:rFonts w:ascii="Tahoma" w:hAnsi="Tahoma" w:cs="Tahoma"/>
          <w:color w:val="auto"/>
          <w:sz w:val="20"/>
          <w:szCs w:val="20"/>
          <w:lang w:val="fr-CH"/>
        </w:rPr>
        <w:t xml:space="preserve"> date de </w:t>
      </w:r>
      <w:r w:rsidR="00EF508C" w:rsidRPr="00E342DC">
        <w:rPr>
          <w:rFonts w:ascii="Tahoma" w:hAnsi="Tahoma" w:cs="Tahoma"/>
          <w:color w:val="auto"/>
          <w:sz w:val="20"/>
          <w:szCs w:val="20"/>
          <w:lang w:val="fr-CH"/>
        </w:rPr>
        <w:t xml:space="preserve">sa </w:t>
      </w:r>
      <w:r w:rsidRPr="00E342DC">
        <w:rPr>
          <w:rFonts w:ascii="Tahoma" w:hAnsi="Tahoma" w:cs="Tahoma"/>
          <w:color w:val="auto"/>
          <w:sz w:val="20"/>
          <w:szCs w:val="20"/>
          <w:lang w:val="fr-CH"/>
        </w:rPr>
        <w:t xml:space="preserve">promulgation. Une fois son travail d’enquête terminé, il est prévu que </w:t>
      </w:r>
      <w:r w:rsidR="00EF508C" w:rsidRPr="00E342DC">
        <w:rPr>
          <w:rFonts w:ascii="Tahoma" w:hAnsi="Tahoma" w:cs="Tahoma"/>
          <w:color w:val="auto"/>
          <w:sz w:val="20"/>
          <w:szCs w:val="20"/>
          <w:lang w:val="fr-CH"/>
        </w:rPr>
        <w:t xml:space="preserve">cette </w:t>
      </w:r>
      <w:r w:rsidRPr="00E342DC">
        <w:rPr>
          <w:rFonts w:ascii="Tahoma" w:hAnsi="Tahoma" w:cs="Tahoma"/>
          <w:color w:val="auto"/>
          <w:sz w:val="20"/>
          <w:szCs w:val="20"/>
          <w:lang w:val="fr-CH"/>
        </w:rPr>
        <w:t>instance transf</w:t>
      </w:r>
      <w:r w:rsidR="00AC07CC" w:rsidRPr="00E342DC">
        <w:rPr>
          <w:rFonts w:ascii="Tahoma" w:hAnsi="Tahoma" w:cs="Tahoma"/>
          <w:color w:val="auto"/>
          <w:sz w:val="20"/>
          <w:szCs w:val="20"/>
          <w:lang w:val="fr-CH"/>
        </w:rPr>
        <w:t>ère</w:t>
      </w:r>
      <w:r w:rsidRPr="00E342DC">
        <w:rPr>
          <w:rFonts w:ascii="Tahoma" w:hAnsi="Tahoma" w:cs="Tahoma"/>
          <w:color w:val="auto"/>
          <w:sz w:val="20"/>
          <w:szCs w:val="20"/>
          <w:lang w:val="fr-CH"/>
        </w:rPr>
        <w:t xml:space="preserve"> les </w:t>
      </w:r>
      <w:r w:rsidR="00EF508C" w:rsidRPr="00E342DC">
        <w:rPr>
          <w:rFonts w:ascii="Tahoma" w:hAnsi="Tahoma" w:cs="Tahoma"/>
          <w:color w:val="auto"/>
          <w:sz w:val="20"/>
          <w:szCs w:val="20"/>
          <w:lang w:val="fr-CH"/>
        </w:rPr>
        <w:t xml:space="preserve">cas de violations </w:t>
      </w:r>
      <w:r w:rsidRPr="00E342DC">
        <w:rPr>
          <w:rFonts w:ascii="Tahoma" w:hAnsi="Tahoma" w:cs="Tahoma"/>
          <w:color w:val="auto"/>
          <w:sz w:val="20"/>
          <w:szCs w:val="20"/>
          <w:lang w:val="fr-CH"/>
        </w:rPr>
        <w:t>aux chambres spécialisées. L’IVD assume également la responsabilité d’</w:t>
      </w:r>
      <w:r w:rsidRPr="00E342DC">
        <w:rPr>
          <w:rFonts w:ascii="Tahoma" w:hAnsi="Tahoma" w:cs="Tahoma"/>
          <w:sz w:val="20"/>
          <w:szCs w:val="20"/>
          <w:lang w:val="fr-CH"/>
        </w:rPr>
        <w:t xml:space="preserve">assurer la réparation des victimes, </w:t>
      </w:r>
      <w:r w:rsidR="00AC07CC" w:rsidRPr="00E342DC">
        <w:rPr>
          <w:rFonts w:ascii="Tahoma" w:hAnsi="Tahoma" w:cs="Tahoma"/>
          <w:sz w:val="20"/>
          <w:szCs w:val="20"/>
          <w:lang w:val="fr-CH"/>
        </w:rPr>
        <w:t xml:space="preserve">de </w:t>
      </w:r>
      <w:r w:rsidRPr="00E342DC">
        <w:rPr>
          <w:rFonts w:ascii="Tahoma" w:hAnsi="Tahoma" w:cs="Tahoma"/>
          <w:sz w:val="20"/>
          <w:szCs w:val="20"/>
          <w:lang w:val="fr-CH"/>
        </w:rPr>
        <w:t xml:space="preserve">collecter et </w:t>
      </w:r>
      <w:r w:rsidR="00AC07CC" w:rsidRPr="00E342DC">
        <w:rPr>
          <w:rFonts w:ascii="Tahoma" w:hAnsi="Tahoma" w:cs="Tahoma"/>
          <w:sz w:val="20"/>
          <w:szCs w:val="20"/>
          <w:lang w:val="fr-CH"/>
        </w:rPr>
        <w:t xml:space="preserve">de </w:t>
      </w:r>
      <w:r w:rsidRPr="00E342DC">
        <w:rPr>
          <w:rFonts w:ascii="Tahoma" w:hAnsi="Tahoma" w:cs="Tahoma"/>
          <w:sz w:val="20"/>
          <w:szCs w:val="20"/>
          <w:lang w:val="fr-CH"/>
        </w:rPr>
        <w:t xml:space="preserve">protéger les archives et </w:t>
      </w:r>
      <w:r w:rsidR="00AC07CC" w:rsidRPr="00E342DC">
        <w:rPr>
          <w:rFonts w:ascii="Tahoma" w:hAnsi="Tahoma" w:cs="Tahoma"/>
          <w:sz w:val="20"/>
          <w:szCs w:val="20"/>
          <w:lang w:val="fr-CH"/>
        </w:rPr>
        <w:t xml:space="preserve">de </w:t>
      </w:r>
      <w:r w:rsidRPr="00E342DC">
        <w:rPr>
          <w:rFonts w:ascii="Tahoma" w:hAnsi="Tahoma" w:cs="Tahoma"/>
          <w:sz w:val="20"/>
          <w:szCs w:val="20"/>
          <w:lang w:val="fr-CH"/>
        </w:rPr>
        <w:t>suggérer des réformes en vue de prévenir la répétition de</w:t>
      </w:r>
      <w:r w:rsidR="00AC07CC" w:rsidRPr="00E342DC">
        <w:rPr>
          <w:rFonts w:ascii="Tahoma" w:hAnsi="Tahoma" w:cs="Tahoma"/>
          <w:sz w:val="20"/>
          <w:szCs w:val="20"/>
          <w:lang w:val="fr-CH"/>
        </w:rPr>
        <w:t>s</w:t>
      </w:r>
      <w:r w:rsidRPr="00E342DC">
        <w:rPr>
          <w:rFonts w:ascii="Tahoma" w:hAnsi="Tahoma" w:cs="Tahoma"/>
          <w:sz w:val="20"/>
          <w:szCs w:val="20"/>
          <w:lang w:val="fr-CH"/>
        </w:rPr>
        <w:t xml:space="preserve"> </w:t>
      </w:r>
      <w:r w:rsidR="00AC07CC" w:rsidRPr="00E342DC">
        <w:rPr>
          <w:rFonts w:ascii="Tahoma" w:hAnsi="Tahoma" w:cs="Tahoma"/>
          <w:sz w:val="20"/>
          <w:szCs w:val="20"/>
          <w:lang w:val="fr-CH"/>
        </w:rPr>
        <w:t>violations commises par l’ancien régime</w:t>
      </w:r>
      <w:r w:rsidRPr="00E342DC">
        <w:rPr>
          <w:rFonts w:ascii="Tahoma" w:hAnsi="Tahoma" w:cs="Tahoma"/>
          <w:sz w:val="20"/>
          <w:szCs w:val="20"/>
          <w:lang w:val="fr-CH"/>
        </w:rPr>
        <w:t>.</w:t>
      </w:r>
    </w:p>
    <w:p w:rsidR="007D34D2" w:rsidRPr="00E342DC" w:rsidRDefault="007D34D2" w:rsidP="007D34D2">
      <w:pPr>
        <w:pStyle w:val="Default"/>
        <w:jc w:val="both"/>
        <w:rPr>
          <w:rFonts w:ascii="Tahoma" w:hAnsi="Tahoma" w:cs="Tahoma"/>
          <w:color w:val="auto"/>
          <w:sz w:val="20"/>
          <w:szCs w:val="20"/>
          <w:lang w:val="fr-CH"/>
        </w:rPr>
      </w:pPr>
    </w:p>
    <w:p w:rsidR="007D34D2" w:rsidRPr="00E342DC" w:rsidRDefault="007D34D2" w:rsidP="00EC7DF6">
      <w:pPr>
        <w:pStyle w:val="Default"/>
        <w:jc w:val="both"/>
        <w:rPr>
          <w:rFonts w:ascii="Tahoma" w:hAnsi="Tahoma" w:cs="Tahoma"/>
          <w:sz w:val="20"/>
          <w:szCs w:val="20"/>
          <w:lang w:val="fr-CH"/>
        </w:rPr>
      </w:pPr>
      <w:r w:rsidRPr="00E342DC">
        <w:rPr>
          <w:rFonts w:ascii="Tahoma" w:hAnsi="Tahoma" w:cs="Tahoma"/>
          <w:color w:val="auto"/>
          <w:sz w:val="20"/>
          <w:szCs w:val="20"/>
          <w:lang w:val="fr-CH"/>
        </w:rPr>
        <w:lastRenderedPageBreak/>
        <w:t xml:space="preserve">Il est encore prématuré </w:t>
      </w:r>
      <w:r w:rsidR="00EF508C" w:rsidRPr="00E342DC">
        <w:rPr>
          <w:rFonts w:ascii="Tahoma" w:hAnsi="Tahoma" w:cs="Tahoma"/>
          <w:color w:val="auto"/>
          <w:sz w:val="20"/>
          <w:szCs w:val="20"/>
          <w:lang w:val="fr-CH"/>
        </w:rPr>
        <w:t>de dire</w:t>
      </w:r>
      <w:r w:rsidRPr="00E342DC">
        <w:rPr>
          <w:rFonts w:ascii="Tahoma" w:hAnsi="Tahoma" w:cs="Tahoma"/>
          <w:color w:val="auto"/>
          <w:sz w:val="20"/>
          <w:szCs w:val="20"/>
          <w:lang w:val="fr-CH"/>
        </w:rPr>
        <w:t xml:space="preserve"> si l’Instance a atteint les objectifs énoncés dans la loi </w:t>
      </w:r>
      <w:r w:rsidRPr="00E342DC">
        <w:rPr>
          <w:rFonts w:ascii="Tahoma" w:hAnsi="Tahoma" w:cs="Tahoma"/>
          <w:sz w:val="20"/>
          <w:szCs w:val="20"/>
          <w:lang w:val="fr-CH"/>
        </w:rPr>
        <w:t xml:space="preserve">2013/53 étant donné que cette dernière est toujours dans </w:t>
      </w:r>
      <w:r w:rsidR="00EF508C" w:rsidRPr="00E342DC">
        <w:rPr>
          <w:rFonts w:ascii="Tahoma" w:hAnsi="Tahoma" w:cs="Tahoma"/>
          <w:sz w:val="20"/>
          <w:szCs w:val="20"/>
          <w:lang w:val="fr-CH"/>
        </w:rPr>
        <w:t xml:space="preserve">la </w:t>
      </w:r>
      <w:r w:rsidRPr="00E342DC">
        <w:rPr>
          <w:rFonts w:ascii="Tahoma" w:hAnsi="Tahoma" w:cs="Tahoma"/>
          <w:sz w:val="20"/>
          <w:szCs w:val="20"/>
          <w:lang w:val="fr-CH"/>
        </w:rPr>
        <w:t>phase d’enquête et de collecte de données. Néanmoins, Alkarama estime qu’il existe un manque d’adéquation entre le mandat ambitieux de l’IVD et les moyens matériels et humains</w:t>
      </w:r>
      <w:r w:rsidR="00EC7DF6" w:rsidRPr="00E342DC">
        <w:rPr>
          <w:rFonts w:ascii="Tahoma" w:hAnsi="Tahoma" w:cs="Tahoma"/>
          <w:sz w:val="20"/>
          <w:szCs w:val="20"/>
          <w:lang w:val="fr-CH"/>
        </w:rPr>
        <w:t xml:space="preserve"> qui lui sont</w:t>
      </w:r>
      <w:r w:rsidRPr="00E342DC">
        <w:rPr>
          <w:rFonts w:ascii="Tahoma" w:hAnsi="Tahoma" w:cs="Tahoma"/>
          <w:sz w:val="20"/>
          <w:szCs w:val="20"/>
          <w:lang w:val="fr-CH"/>
        </w:rPr>
        <w:t xml:space="preserve"> alloués. </w:t>
      </w:r>
      <w:r w:rsidR="00AC07CC" w:rsidRPr="00E342DC">
        <w:rPr>
          <w:rFonts w:ascii="Tahoma" w:hAnsi="Tahoma" w:cs="Tahoma"/>
          <w:sz w:val="20"/>
          <w:szCs w:val="20"/>
          <w:lang w:val="fr-CH"/>
        </w:rPr>
        <w:t>En effet, c</w:t>
      </w:r>
      <w:r w:rsidRPr="00E342DC">
        <w:rPr>
          <w:rFonts w:ascii="Tahoma" w:hAnsi="Tahoma" w:cs="Tahoma"/>
          <w:sz w:val="20"/>
          <w:szCs w:val="20"/>
          <w:lang w:val="fr-CH"/>
        </w:rPr>
        <w:t>ette dernière, composée de 15 membres dispose d’un mandat de cinq ans pour faire la lumière sur plus d’un demi-siècle de violations des droits de l’homme.</w:t>
      </w:r>
    </w:p>
    <w:p w:rsidR="007D34D2" w:rsidRPr="00E342DC" w:rsidRDefault="007D34D2" w:rsidP="007D34D2">
      <w:pPr>
        <w:rPr>
          <w:rFonts w:cs="Tahoma"/>
          <w:szCs w:val="20"/>
          <w:lang w:val="fr-CH"/>
        </w:rPr>
      </w:pPr>
    </w:p>
    <w:p w:rsidR="000E6DE0" w:rsidRPr="00E342DC" w:rsidRDefault="000E6DE0" w:rsidP="00A0049E">
      <w:pPr>
        <w:pStyle w:val="Heading2"/>
        <w:numPr>
          <w:ilvl w:val="1"/>
          <w:numId w:val="41"/>
        </w:numPr>
        <w:rPr>
          <w:rFonts w:cs="Tahoma"/>
          <w:szCs w:val="20"/>
          <w:lang w:val="fr-CH"/>
        </w:rPr>
      </w:pPr>
      <w:bookmarkStart w:id="31" w:name="_Toc447008739"/>
      <w:r w:rsidRPr="00E342DC">
        <w:rPr>
          <w:rFonts w:cs="Tahoma"/>
          <w:szCs w:val="20"/>
          <w:lang w:val="fr-CH"/>
        </w:rPr>
        <w:t>Problématiques liées aux compétences des tribunaux</w:t>
      </w:r>
      <w:bookmarkEnd w:id="31"/>
      <w:r w:rsidRPr="00E342DC">
        <w:rPr>
          <w:rFonts w:cs="Tahoma"/>
          <w:szCs w:val="20"/>
          <w:lang w:val="fr-CH"/>
        </w:rPr>
        <w:t xml:space="preserve"> </w:t>
      </w:r>
    </w:p>
    <w:p w:rsidR="00E30253" w:rsidRPr="00E342DC" w:rsidRDefault="00E30253" w:rsidP="00DA0ABA">
      <w:pPr>
        <w:pStyle w:val="Default"/>
        <w:jc w:val="both"/>
        <w:rPr>
          <w:rFonts w:ascii="Tahoma" w:hAnsi="Tahoma" w:cs="Tahoma"/>
          <w:sz w:val="20"/>
          <w:szCs w:val="20"/>
          <w:lang w:val="fr-CH"/>
        </w:rPr>
      </w:pPr>
    </w:p>
    <w:p w:rsidR="00801668" w:rsidRPr="00E342DC" w:rsidRDefault="00F57B59" w:rsidP="00EC7DF6">
      <w:pPr>
        <w:rPr>
          <w:rFonts w:cs="Tahoma"/>
          <w:bCs/>
          <w:szCs w:val="20"/>
          <w:lang w:val="fr-CH"/>
        </w:rPr>
      </w:pPr>
      <w:r w:rsidRPr="00E342DC">
        <w:rPr>
          <w:rFonts w:cs="Tahoma"/>
          <w:bCs/>
          <w:szCs w:val="20"/>
          <w:lang w:val="fr-CH"/>
        </w:rPr>
        <w:t>Alkarama a relevé que les conflits de compétences entre tribunaux militaire</w:t>
      </w:r>
      <w:r w:rsidR="00EC7DF6" w:rsidRPr="00E342DC">
        <w:rPr>
          <w:rFonts w:cs="Tahoma"/>
          <w:bCs/>
          <w:szCs w:val="20"/>
          <w:lang w:val="fr-CH"/>
        </w:rPr>
        <w:t>s</w:t>
      </w:r>
      <w:r w:rsidRPr="00E342DC">
        <w:rPr>
          <w:rFonts w:cs="Tahoma"/>
          <w:bCs/>
          <w:szCs w:val="20"/>
          <w:lang w:val="fr-CH"/>
        </w:rPr>
        <w:t xml:space="preserve"> et civils d’un côté et entre tribunaux civils « ordinaire » et les chambres spécialisées d’</w:t>
      </w:r>
      <w:r w:rsidR="00EC7DF6" w:rsidRPr="00E342DC">
        <w:rPr>
          <w:rFonts w:cs="Tahoma"/>
          <w:bCs/>
          <w:szCs w:val="20"/>
          <w:lang w:val="fr-CH"/>
        </w:rPr>
        <w:t xml:space="preserve">un </w:t>
      </w:r>
      <w:r w:rsidRPr="00E342DC">
        <w:rPr>
          <w:rFonts w:cs="Tahoma"/>
          <w:bCs/>
          <w:szCs w:val="20"/>
          <w:lang w:val="fr-CH"/>
        </w:rPr>
        <w:t xml:space="preserve">autre côté ont pour conséquence pratique d’obstruer l’accès à un recours effectif pour les victimes d’actes de torture </w:t>
      </w:r>
      <w:r w:rsidR="00E30253" w:rsidRPr="00E342DC">
        <w:rPr>
          <w:rFonts w:cs="Tahoma"/>
          <w:bCs/>
          <w:szCs w:val="20"/>
          <w:lang w:val="fr-CH"/>
        </w:rPr>
        <w:t xml:space="preserve">commis </w:t>
      </w:r>
      <w:r w:rsidR="00EC7DF6" w:rsidRPr="00E342DC">
        <w:rPr>
          <w:rFonts w:cs="Tahoma"/>
          <w:bCs/>
          <w:szCs w:val="20"/>
          <w:lang w:val="fr-CH"/>
        </w:rPr>
        <w:t>durant la période couverte par la loi de 2013.</w:t>
      </w:r>
    </w:p>
    <w:p w:rsidR="005E4563" w:rsidRPr="00E342DC" w:rsidRDefault="005E4563" w:rsidP="00F57B59">
      <w:pPr>
        <w:rPr>
          <w:rFonts w:cs="Tahoma"/>
          <w:szCs w:val="20"/>
          <w:lang w:val="fr-CH"/>
        </w:rPr>
      </w:pPr>
    </w:p>
    <w:p w:rsidR="00801668" w:rsidRPr="00E342DC" w:rsidRDefault="00806155" w:rsidP="00EC7DF6">
      <w:pPr>
        <w:spacing w:after="120"/>
        <w:rPr>
          <w:rFonts w:cs="Tahoma"/>
          <w:bCs/>
          <w:szCs w:val="20"/>
          <w:lang w:val="fr-CH"/>
        </w:rPr>
      </w:pPr>
      <w:r w:rsidRPr="00E342DC">
        <w:rPr>
          <w:rFonts w:cs="Tahoma"/>
          <w:bCs/>
          <w:szCs w:val="20"/>
          <w:lang w:val="fr-CH"/>
        </w:rPr>
        <w:t xml:space="preserve">La marge de manœuvre de l’IVD est limitée par </w:t>
      </w:r>
      <w:r w:rsidR="00DC4CDB" w:rsidRPr="00E342DC">
        <w:rPr>
          <w:rFonts w:cs="Tahoma"/>
          <w:bCs/>
          <w:szCs w:val="20"/>
          <w:lang w:val="fr-CH"/>
        </w:rPr>
        <w:t xml:space="preserve">l’absence de séparation nette entre justice militaire et justice </w:t>
      </w:r>
      <w:r w:rsidR="00EC7DF6" w:rsidRPr="00E342DC">
        <w:rPr>
          <w:rFonts w:cs="Tahoma"/>
          <w:bCs/>
          <w:szCs w:val="20"/>
          <w:lang w:val="fr-CH"/>
        </w:rPr>
        <w:t xml:space="preserve">civile </w:t>
      </w:r>
      <w:r w:rsidR="00DC4CDB" w:rsidRPr="00E342DC">
        <w:rPr>
          <w:rFonts w:cs="Tahoma"/>
          <w:bCs/>
          <w:szCs w:val="20"/>
          <w:lang w:val="fr-CH"/>
        </w:rPr>
        <w:t xml:space="preserve">pour des faits commis avant l’entrée en vigueur de la loi </w:t>
      </w:r>
      <w:r w:rsidR="00DC4CDB" w:rsidRPr="00E342DC">
        <w:rPr>
          <w:rFonts w:cs="Tahoma"/>
          <w:szCs w:val="20"/>
          <w:lang w:val="fr-CH"/>
        </w:rPr>
        <w:t>n° 2013/53.</w:t>
      </w:r>
      <w:r w:rsidR="00BF513F">
        <w:rPr>
          <w:rFonts w:cs="Tahoma"/>
          <w:szCs w:val="20"/>
          <w:lang w:val="fr-CH"/>
        </w:rPr>
        <w:t xml:space="preserve"> </w:t>
      </w:r>
    </w:p>
    <w:p w:rsidR="00604373" w:rsidRPr="00E342DC" w:rsidRDefault="00350CD8" w:rsidP="00EC7DF6">
      <w:pPr>
        <w:spacing w:after="120"/>
        <w:rPr>
          <w:rFonts w:cs="Tahoma"/>
          <w:bCs/>
          <w:szCs w:val="20"/>
          <w:lang w:val="fr-CH"/>
        </w:rPr>
      </w:pPr>
      <w:r w:rsidRPr="00E342DC">
        <w:rPr>
          <w:rFonts w:cs="Tahoma"/>
          <w:bCs/>
          <w:szCs w:val="20"/>
          <w:lang w:val="fr-CH"/>
        </w:rPr>
        <w:t xml:space="preserve">S’agissant </w:t>
      </w:r>
      <w:r w:rsidRPr="00E342DC">
        <w:rPr>
          <w:rFonts w:cs="Tahoma"/>
          <w:szCs w:val="20"/>
          <w:lang w:val="fr-CH"/>
        </w:rPr>
        <w:t xml:space="preserve">des violations graves des droits de l’homme commises sous l’administration de Ben Ali, </w:t>
      </w:r>
      <w:r w:rsidR="00BF0C54" w:rsidRPr="00E342DC">
        <w:rPr>
          <w:rFonts w:cs="Tahoma"/>
          <w:szCs w:val="20"/>
          <w:lang w:val="fr-CH"/>
        </w:rPr>
        <w:t>certaines affaires ont été portées devant les tribunaux militaires à l’instar de l</w:t>
      </w:r>
      <w:r w:rsidR="00604373" w:rsidRPr="00E342DC">
        <w:rPr>
          <w:rFonts w:cs="Tahoma"/>
          <w:color w:val="000000"/>
          <w:szCs w:val="20"/>
          <w:lang w:val="fr-CH"/>
        </w:rPr>
        <w:t xml:space="preserve">’affaire </w:t>
      </w:r>
      <w:r w:rsidR="00DC4CDB" w:rsidRPr="00E342DC">
        <w:rPr>
          <w:rFonts w:cs="Tahoma"/>
          <w:color w:val="000000"/>
          <w:szCs w:val="20"/>
          <w:lang w:val="fr-CH"/>
        </w:rPr>
        <w:t xml:space="preserve">dite </w:t>
      </w:r>
      <w:r w:rsidRPr="00E342DC">
        <w:rPr>
          <w:rFonts w:cs="Tahoma"/>
          <w:bCs/>
          <w:szCs w:val="20"/>
          <w:lang w:val="fr-CH"/>
        </w:rPr>
        <w:t>« </w:t>
      </w:r>
      <w:proofErr w:type="spellStart"/>
      <w:r w:rsidR="00E342DC" w:rsidRPr="00E342DC">
        <w:rPr>
          <w:rFonts w:cs="Tahoma"/>
          <w:bCs/>
          <w:szCs w:val="20"/>
          <w:lang w:val="fr-CH"/>
        </w:rPr>
        <w:t>Barraket</w:t>
      </w:r>
      <w:proofErr w:type="spellEnd"/>
      <w:r w:rsidRPr="00E342DC">
        <w:rPr>
          <w:rFonts w:cs="Tahoma"/>
          <w:bCs/>
          <w:szCs w:val="20"/>
          <w:lang w:val="fr-CH"/>
        </w:rPr>
        <w:t xml:space="preserve"> </w:t>
      </w:r>
      <w:proofErr w:type="spellStart"/>
      <w:r w:rsidRPr="00E342DC">
        <w:rPr>
          <w:rFonts w:cs="Tahoma"/>
          <w:bCs/>
          <w:szCs w:val="20"/>
          <w:lang w:val="fr-CH"/>
        </w:rPr>
        <w:t>Essahel</w:t>
      </w:r>
      <w:proofErr w:type="spellEnd"/>
      <w:r w:rsidRPr="00E342DC">
        <w:rPr>
          <w:rFonts w:cs="Tahoma"/>
          <w:bCs/>
          <w:szCs w:val="20"/>
          <w:lang w:val="fr-CH"/>
        </w:rPr>
        <w:t> »</w:t>
      </w:r>
      <w:r w:rsidR="00BF0C54" w:rsidRPr="00E342DC">
        <w:rPr>
          <w:rFonts w:cs="Tahoma"/>
          <w:bCs/>
          <w:szCs w:val="20"/>
          <w:lang w:val="fr-CH"/>
        </w:rPr>
        <w:t>. Cette affaire</w:t>
      </w:r>
      <w:r w:rsidRPr="00E342DC">
        <w:rPr>
          <w:rFonts w:cs="Tahoma"/>
          <w:bCs/>
          <w:szCs w:val="20"/>
          <w:lang w:val="fr-CH"/>
        </w:rPr>
        <w:t xml:space="preserve"> fait référence à l’arrestation de </w:t>
      </w:r>
      <w:r w:rsidR="00604373" w:rsidRPr="00E342DC">
        <w:rPr>
          <w:rFonts w:cs="Tahoma"/>
          <w:bCs/>
          <w:szCs w:val="20"/>
          <w:lang w:val="fr-CH"/>
        </w:rPr>
        <w:t>près de 244</w:t>
      </w:r>
      <w:r w:rsidR="0097034D" w:rsidRPr="00E342DC">
        <w:rPr>
          <w:rFonts w:cs="Tahoma"/>
          <w:bCs/>
          <w:szCs w:val="20"/>
          <w:lang w:val="fr-CH"/>
        </w:rPr>
        <w:t xml:space="preserve"> militaires en 1991</w:t>
      </w:r>
      <w:r w:rsidR="00DC4CDB" w:rsidRPr="00E342DC">
        <w:rPr>
          <w:rFonts w:cs="Tahoma"/>
          <w:bCs/>
          <w:szCs w:val="20"/>
          <w:lang w:val="fr-CH"/>
        </w:rPr>
        <w:t xml:space="preserve"> accusés de préparer un coup d’état</w:t>
      </w:r>
      <w:r w:rsidRPr="00E342DC">
        <w:rPr>
          <w:rFonts w:cs="Tahoma"/>
          <w:bCs/>
          <w:szCs w:val="20"/>
          <w:lang w:val="fr-CH"/>
        </w:rPr>
        <w:t xml:space="preserve">. </w:t>
      </w:r>
      <w:r w:rsidR="00EC7DF6" w:rsidRPr="00E342DC">
        <w:rPr>
          <w:rFonts w:cs="Tahoma"/>
          <w:bCs/>
          <w:szCs w:val="20"/>
          <w:lang w:val="fr-CH"/>
        </w:rPr>
        <w:t xml:space="preserve">L’ensemble de personnes arrêtées </w:t>
      </w:r>
      <w:r w:rsidRPr="00E342DC">
        <w:rPr>
          <w:rFonts w:cs="Tahoma"/>
          <w:bCs/>
          <w:szCs w:val="20"/>
          <w:lang w:val="fr-CH"/>
        </w:rPr>
        <w:t>avaient</w:t>
      </w:r>
      <w:r w:rsidR="00BF0C54" w:rsidRPr="00E342DC">
        <w:rPr>
          <w:rFonts w:cs="Tahoma"/>
          <w:bCs/>
          <w:szCs w:val="20"/>
          <w:lang w:val="fr-CH"/>
        </w:rPr>
        <w:t xml:space="preserve"> alors</w:t>
      </w:r>
      <w:r w:rsidRPr="00E342DC">
        <w:rPr>
          <w:rFonts w:cs="Tahoma"/>
          <w:bCs/>
          <w:szCs w:val="20"/>
          <w:lang w:val="fr-CH"/>
        </w:rPr>
        <w:t xml:space="preserve"> été </w:t>
      </w:r>
      <w:r w:rsidR="00EC7DF6" w:rsidRPr="00E342DC">
        <w:rPr>
          <w:rFonts w:cs="Tahoma"/>
          <w:bCs/>
          <w:szCs w:val="20"/>
          <w:lang w:val="fr-CH"/>
        </w:rPr>
        <w:t xml:space="preserve">gravement </w:t>
      </w:r>
      <w:r w:rsidR="0097034D" w:rsidRPr="00E342DC">
        <w:rPr>
          <w:rFonts w:cs="Tahoma"/>
          <w:bCs/>
          <w:szCs w:val="20"/>
          <w:lang w:val="fr-CH"/>
        </w:rPr>
        <w:t xml:space="preserve">torturés </w:t>
      </w:r>
      <w:r w:rsidR="0097034D" w:rsidRPr="00E342DC">
        <w:rPr>
          <w:rFonts w:cs="Tahoma"/>
          <w:szCs w:val="20"/>
          <w:lang w:val="fr-CH"/>
        </w:rPr>
        <w:t>dans les locaux de la Direction de la sécurité de l’</w:t>
      </w:r>
      <w:r w:rsidR="0070261E" w:rsidRPr="00E342DC">
        <w:rPr>
          <w:rFonts w:cs="Tahoma"/>
          <w:szCs w:val="20"/>
          <w:lang w:val="fr-CH"/>
        </w:rPr>
        <w:t>État</w:t>
      </w:r>
      <w:r w:rsidR="0097034D" w:rsidRPr="00E342DC">
        <w:rPr>
          <w:rFonts w:cs="Tahoma"/>
          <w:szCs w:val="20"/>
          <w:lang w:val="fr-CH"/>
        </w:rPr>
        <w:t xml:space="preserve"> (DSE)</w:t>
      </w:r>
      <w:r w:rsidR="0097034D" w:rsidRPr="00E342DC">
        <w:rPr>
          <w:rFonts w:cs="Tahoma"/>
          <w:bCs/>
          <w:szCs w:val="20"/>
          <w:lang w:val="fr-CH"/>
        </w:rPr>
        <w:t xml:space="preserve">, causant le décès d’au moins trois des victimes et des séquelles irréversibles pour les autres. </w:t>
      </w:r>
    </w:p>
    <w:p w:rsidR="00801668" w:rsidRPr="00E342DC" w:rsidRDefault="00BF0C54" w:rsidP="003030EE">
      <w:pPr>
        <w:rPr>
          <w:rFonts w:eastAsia="Times New Roman" w:cs="Tahoma"/>
          <w:szCs w:val="20"/>
          <w:lang w:val="fr-CH" w:eastAsia="fr-CH"/>
        </w:rPr>
      </w:pPr>
      <w:r w:rsidRPr="00E342DC">
        <w:rPr>
          <w:rFonts w:cs="Tahoma"/>
          <w:szCs w:val="20"/>
          <w:lang w:val="fr-CH"/>
        </w:rPr>
        <w:t>L</w:t>
      </w:r>
      <w:r w:rsidR="00604373" w:rsidRPr="00E342DC">
        <w:rPr>
          <w:rFonts w:cs="Tahoma"/>
          <w:szCs w:val="20"/>
          <w:lang w:val="fr-CH"/>
        </w:rPr>
        <w:t xml:space="preserve">e 29 novembre 2011, le tribunal militaire a condamné les </w:t>
      </w:r>
      <w:r w:rsidR="00DC4CDB" w:rsidRPr="00E342DC">
        <w:rPr>
          <w:rFonts w:cs="Tahoma"/>
          <w:szCs w:val="20"/>
          <w:lang w:val="fr-CH"/>
        </w:rPr>
        <w:t xml:space="preserve">auteurs </w:t>
      </w:r>
      <w:r w:rsidR="003030EE" w:rsidRPr="00E342DC">
        <w:rPr>
          <w:rFonts w:cs="Tahoma"/>
          <w:szCs w:val="20"/>
          <w:lang w:val="fr-CH"/>
        </w:rPr>
        <w:t xml:space="preserve">et commendataires de </w:t>
      </w:r>
      <w:r w:rsidR="00DC4CDB" w:rsidRPr="00E342DC">
        <w:rPr>
          <w:rFonts w:cs="Tahoma"/>
          <w:szCs w:val="20"/>
          <w:lang w:val="fr-CH"/>
        </w:rPr>
        <w:t xml:space="preserve">ces </w:t>
      </w:r>
      <w:r w:rsidR="003030EE" w:rsidRPr="00E342DC">
        <w:rPr>
          <w:rFonts w:cs="Tahoma"/>
          <w:szCs w:val="20"/>
          <w:lang w:val="fr-CH"/>
        </w:rPr>
        <w:t xml:space="preserve">actes de torture </w:t>
      </w:r>
      <w:r w:rsidR="00604373" w:rsidRPr="00E342DC">
        <w:rPr>
          <w:rFonts w:cs="Tahoma"/>
          <w:szCs w:val="20"/>
          <w:lang w:val="fr-CH"/>
        </w:rPr>
        <w:t>à des peines allant de trois à quatre an</w:t>
      </w:r>
      <w:r w:rsidR="003030EE" w:rsidRPr="00E342DC">
        <w:rPr>
          <w:rFonts w:cs="Tahoma"/>
          <w:szCs w:val="20"/>
          <w:lang w:val="fr-CH"/>
        </w:rPr>
        <w:t>née</w:t>
      </w:r>
      <w:r w:rsidR="00604373" w:rsidRPr="00E342DC">
        <w:rPr>
          <w:rFonts w:cs="Tahoma"/>
          <w:szCs w:val="20"/>
          <w:lang w:val="fr-CH"/>
        </w:rPr>
        <w:t xml:space="preserve">s d’emprisonnement pour </w:t>
      </w:r>
      <w:r w:rsidR="00AC07CC" w:rsidRPr="00E342DC">
        <w:rPr>
          <w:rFonts w:cs="Tahoma"/>
          <w:szCs w:val="20"/>
          <w:lang w:val="fr-CH"/>
        </w:rPr>
        <w:t>ceux qui étaient</w:t>
      </w:r>
      <w:r w:rsidR="00604373" w:rsidRPr="00E342DC">
        <w:rPr>
          <w:rFonts w:cs="Tahoma"/>
          <w:szCs w:val="20"/>
          <w:lang w:val="fr-CH"/>
        </w:rPr>
        <w:t xml:space="preserve"> en état d’arrestation et à cinq ans</w:t>
      </w:r>
      <w:r w:rsidR="00AC07CC" w:rsidRPr="00E342DC">
        <w:rPr>
          <w:rFonts w:cs="Tahoma"/>
          <w:szCs w:val="20"/>
          <w:lang w:val="fr-CH"/>
        </w:rPr>
        <w:t xml:space="preserve"> </w:t>
      </w:r>
      <w:r w:rsidR="002E6D81" w:rsidRPr="00E342DC">
        <w:rPr>
          <w:rFonts w:cs="Tahoma"/>
          <w:i/>
          <w:iCs/>
          <w:szCs w:val="20"/>
          <w:lang w:val="fr-CH"/>
        </w:rPr>
        <w:t>in absentia</w:t>
      </w:r>
      <w:r w:rsidR="00604373" w:rsidRPr="00E342DC">
        <w:rPr>
          <w:rFonts w:cs="Tahoma"/>
          <w:szCs w:val="20"/>
          <w:lang w:val="fr-CH"/>
        </w:rPr>
        <w:t xml:space="preserve"> pour ceux qui étaient en fuit</w:t>
      </w:r>
      <w:r w:rsidR="00AC07CC" w:rsidRPr="00E342DC">
        <w:rPr>
          <w:rFonts w:cs="Tahoma"/>
          <w:szCs w:val="20"/>
          <w:lang w:val="fr-CH"/>
        </w:rPr>
        <w:t>e</w:t>
      </w:r>
      <w:r w:rsidR="00604373" w:rsidRPr="00E342DC">
        <w:rPr>
          <w:rFonts w:cs="Tahoma"/>
          <w:szCs w:val="20"/>
          <w:lang w:val="fr-CH"/>
        </w:rPr>
        <w:t xml:space="preserve">. Le 7 avril 2012, la chambre correctionnelle de la cour d’appel militaire a réduit à deux ans les peines prononcées à l’encontre des accusés en détention. </w:t>
      </w:r>
      <w:r w:rsidRPr="00E342DC">
        <w:rPr>
          <w:rFonts w:cs="Tahoma"/>
          <w:szCs w:val="20"/>
          <w:lang w:val="fr-CH"/>
        </w:rPr>
        <w:t>Les verdicts</w:t>
      </w:r>
      <w:r w:rsidR="00DC4CDB" w:rsidRPr="00E342DC">
        <w:rPr>
          <w:rFonts w:cs="Tahoma"/>
          <w:szCs w:val="20"/>
          <w:lang w:val="fr-CH"/>
        </w:rPr>
        <w:t xml:space="preserve"> prononcés</w:t>
      </w:r>
      <w:r w:rsidR="003030EE" w:rsidRPr="00E342DC">
        <w:rPr>
          <w:rFonts w:cs="Tahoma"/>
          <w:szCs w:val="20"/>
          <w:lang w:val="fr-CH"/>
        </w:rPr>
        <w:t xml:space="preserve">, qui sont des peines délictuelles et non criminelles, </w:t>
      </w:r>
      <w:r w:rsidRPr="00E342DC">
        <w:rPr>
          <w:rFonts w:cs="Tahoma"/>
          <w:szCs w:val="20"/>
          <w:lang w:val="fr-CH"/>
        </w:rPr>
        <w:t xml:space="preserve">soulèvent des questions légitimes quant à la proportionnalité de la peine par rapport </w:t>
      </w:r>
      <w:r w:rsidR="003030EE" w:rsidRPr="00E342DC">
        <w:rPr>
          <w:rFonts w:cs="Tahoma"/>
          <w:szCs w:val="20"/>
          <w:lang w:val="fr-CH"/>
        </w:rPr>
        <w:t>à la gravité de l’acte</w:t>
      </w:r>
      <w:r w:rsidR="00DC4CDB" w:rsidRPr="00E342DC">
        <w:rPr>
          <w:rFonts w:cs="Tahoma"/>
          <w:szCs w:val="20"/>
          <w:lang w:val="fr-CH"/>
        </w:rPr>
        <w:t xml:space="preserve"> ainsi qu’au bien fondé du recours aux</w:t>
      </w:r>
      <w:r w:rsidRPr="00E342DC">
        <w:rPr>
          <w:rFonts w:cs="Tahoma"/>
          <w:szCs w:val="20"/>
          <w:lang w:val="fr-CH"/>
        </w:rPr>
        <w:t xml:space="preserve"> tribunaux militaire</w:t>
      </w:r>
      <w:r w:rsidR="00DC4CDB" w:rsidRPr="00E342DC">
        <w:rPr>
          <w:rFonts w:cs="Tahoma"/>
          <w:szCs w:val="20"/>
          <w:lang w:val="fr-CH"/>
        </w:rPr>
        <w:t>s</w:t>
      </w:r>
      <w:r w:rsidRPr="00E342DC">
        <w:rPr>
          <w:rFonts w:cs="Tahoma"/>
          <w:szCs w:val="20"/>
          <w:lang w:val="fr-CH"/>
        </w:rPr>
        <w:t xml:space="preserve"> </w:t>
      </w:r>
      <w:r w:rsidR="003030EE" w:rsidRPr="00E342DC">
        <w:rPr>
          <w:rFonts w:cs="Tahoma"/>
          <w:szCs w:val="20"/>
          <w:lang w:val="fr-CH"/>
        </w:rPr>
        <w:t>pour juger ses actes de torture</w:t>
      </w:r>
      <w:r w:rsidRPr="00E342DC">
        <w:rPr>
          <w:rFonts w:cs="Tahoma"/>
          <w:szCs w:val="20"/>
          <w:lang w:val="fr-CH"/>
        </w:rPr>
        <w:t xml:space="preserve">. </w:t>
      </w:r>
      <w:r w:rsidR="00AC07CC" w:rsidRPr="00E342DC">
        <w:rPr>
          <w:rFonts w:cs="Tahoma"/>
          <w:szCs w:val="20"/>
          <w:lang w:val="fr-CH"/>
        </w:rPr>
        <w:t>Il convient à ce titre de rappeler que si</w:t>
      </w:r>
      <w:r w:rsidR="002E6D81" w:rsidRPr="00E342DC">
        <w:rPr>
          <w:rFonts w:cs="Tahoma"/>
          <w:szCs w:val="20"/>
          <w:lang w:val="fr-CH"/>
        </w:rPr>
        <w:t xml:space="preserve"> aucune norme officielle ne précise la durée d’une peine d’emprisonnement qui soit conforme à l’obligation de sanctionner sévèrement le crime de torture, en 2002, le Comité a recommandé l’imposition de peines allant de six à vingt ans d’emprisonnement</w:t>
      </w:r>
      <w:r w:rsidR="002E6D81" w:rsidRPr="00E342DC">
        <w:rPr>
          <w:rFonts w:cs="Tahoma"/>
          <w:szCs w:val="20"/>
          <w:vertAlign w:val="superscript"/>
        </w:rPr>
        <w:footnoteReference w:id="54"/>
      </w:r>
      <w:r w:rsidR="002E6D81" w:rsidRPr="00E342DC">
        <w:rPr>
          <w:rFonts w:cs="Tahoma"/>
          <w:szCs w:val="20"/>
          <w:lang w:val="fr-CH"/>
        </w:rPr>
        <w:t>.</w:t>
      </w:r>
    </w:p>
    <w:p w:rsidR="00801668" w:rsidRPr="00E342DC" w:rsidRDefault="00801668">
      <w:pPr>
        <w:rPr>
          <w:rFonts w:eastAsia="Times New Roman" w:cs="Tahoma"/>
          <w:szCs w:val="20"/>
          <w:lang w:val="fr-CH" w:eastAsia="fr-CH"/>
        </w:rPr>
      </w:pPr>
    </w:p>
    <w:p w:rsidR="00801668" w:rsidRPr="00E342DC" w:rsidRDefault="00604373" w:rsidP="003030EE">
      <w:pPr>
        <w:spacing w:after="120"/>
        <w:rPr>
          <w:rFonts w:cs="Tahoma"/>
          <w:bCs/>
          <w:szCs w:val="20"/>
          <w:lang w:val="fr-CH"/>
        </w:rPr>
      </w:pPr>
      <w:r w:rsidRPr="00E342DC">
        <w:rPr>
          <w:rFonts w:cs="Tahoma"/>
          <w:bCs/>
          <w:szCs w:val="20"/>
          <w:lang w:val="fr-CH"/>
        </w:rPr>
        <w:t>Bien</w:t>
      </w:r>
      <w:r w:rsidR="00BF0C54" w:rsidRPr="00E342DC">
        <w:rPr>
          <w:rFonts w:cs="Tahoma"/>
          <w:bCs/>
          <w:szCs w:val="20"/>
          <w:lang w:val="fr-CH"/>
        </w:rPr>
        <w:t xml:space="preserve"> que </w:t>
      </w:r>
      <w:r w:rsidR="00BF0C54" w:rsidRPr="00E342DC">
        <w:rPr>
          <w:rFonts w:cs="Tahoma"/>
          <w:szCs w:val="20"/>
          <w:lang w:val="fr-CH"/>
        </w:rPr>
        <w:t>l’article 22 de la loi portant statut général des forces de sécurité intérieures prévoit que les tribunaux militaires sont habilités à connaître des infractions commises par des agents des forces de sécurité dans l’exercice de leurs fonctions</w:t>
      </w:r>
      <w:r w:rsidRPr="00E342DC">
        <w:rPr>
          <w:rFonts w:cs="Tahoma"/>
          <w:bCs/>
          <w:szCs w:val="20"/>
          <w:lang w:val="fr-CH"/>
        </w:rPr>
        <w:t>,</w:t>
      </w:r>
      <w:r w:rsidR="00925346" w:rsidRPr="00E342DC">
        <w:rPr>
          <w:rFonts w:cs="Tahoma"/>
          <w:bCs/>
          <w:szCs w:val="20"/>
          <w:lang w:val="fr-CH"/>
        </w:rPr>
        <w:t xml:space="preserve"> </w:t>
      </w:r>
      <w:r w:rsidR="005E38E1" w:rsidRPr="00E342DC">
        <w:rPr>
          <w:rFonts w:cs="Tahoma"/>
          <w:bCs/>
          <w:szCs w:val="20"/>
          <w:lang w:val="fr-CH"/>
        </w:rPr>
        <w:t>les standards internationaux en matière d’</w:t>
      </w:r>
      <w:r w:rsidRPr="00E342DC">
        <w:rPr>
          <w:rFonts w:cs="Tahoma"/>
          <w:bCs/>
          <w:szCs w:val="20"/>
          <w:lang w:val="fr-CH"/>
        </w:rPr>
        <w:t xml:space="preserve">enquêtes et </w:t>
      </w:r>
      <w:r w:rsidR="005E38E1" w:rsidRPr="00E342DC">
        <w:rPr>
          <w:rFonts w:cs="Tahoma"/>
          <w:bCs/>
          <w:szCs w:val="20"/>
          <w:lang w:val="fr-CH"/>
        </w:rPr>
        <w:t xml:space="preserve">de </w:t>
      </w:r>
      <w:r w:rsidRPr="00E342DC">
        <w:rPr>
          <w:rFonts w:cs="Tahoma"/>
          <w:bCs/>
          <w:szCs w:val="20"/>
          <w:lang w:val="fr-CH"/>
        </w:rPr>
        <w:t>poursuites concernant des affaires de violations graves des droits de l’homme</w:t>
      </w:r>
      <w:r w:rsidR="00BF0C54" w:rsidRPr="00E342DC">
        <w:rPr>
          <w:rFonts w:cs="Tahoma"/>
          <w:bCs/>
          <w:szCs w:val="20"/>
          <w:lang w:val="fr-CH"/>
        </w:rPr>
        <w:t xml:space="preserve"> </w:t>
      </w:r>
      <w:r w:rsidR="005E38E1" w:rsidRPr="00E342DC">
        <w:rPr>
          <w:rFonts w:cs="Tahoma"/>
          <w:bCs/>
          <w:szCs w:val="20"/>
          <w:lang w:val="fr-CH"/>
        </w:rPr>
        <w:t>recommandent que de telles violations ne soient pas soumises à des tribunaux militaires</w:t>
      </w:r>
      <w:r w:rsidR="005E38E1" w:rsidRPr="00E342DC">
        <w:rPr>
          <w:rStyle w:val="FootnoteReference"/>
          <w:rFonts w:cs="Tahoma"/>
          <w:bCs/>
          <w:szCs w:val="20"/>
          <w:lang w:val="fr-CH"/>
        </w:rPr>
        <w:footnoteReference w:id="55"/>
      </w:r>
      <w:r w:rsidR="005E38E1" w:rsidRPr="00E342DC">
        <w:rPr>
          <w:rFonts w:cs="Tahoma"/>
          <w:bCs/>
          <w:szCs w:val="20"/>
          <w:lang w:val="fr-CH"/>
        </w:rPr>
        <w:t xml:space="preserve">. Ainsi il aurait plus opportun de confier les enquêtes et poursuites </w:t>
      </w:r>
      <w:r w:rsidR="00BF0C54" w:rsidRPr="00E342DC">
        <w:rPr>
          <w:rFonts w:cs="Tahoma"/>
          <w:bCs/>
          <w:szCs w:val="20"/>
          <w:lang w:val="fr-CH"/>
        </w:rPr>
        <w:t>commises au temps de l’ancien régime</w:t>
      </w:r>
      <w:r w:rsidRPr="00E342DC">
        <w:rPr>
          <w:rFonts w:cs="Tahoma"/>
          <w:bCs/>
          <w:szCs w:val="20"/>
          <w:lang w:val="fr-CH"/>
        </w:rPr>
        <w:t xml:space="preserve">, y compris celles impliquant les forces de </w:t>
      </w:r>
      <w:r w:rsidR="00DC4CDB" w:rsidRPr="00E342DC">
        <w:rPr>
          <w:rFonts w:cs="Tahoma"/>
          <w:bCs/>
          <w:szCs w:val="20"/>
          <w:lang w:val="fr-CH"/>
        </w:rPr>
        <w:t>sécurité et les forces armées,</w:t>
      </w:r>
      <w:r w:rsidRPr="00E342DC">
        <w:rPr>
          <w:rFonts w:cs="Tahoma"/>
          <w:bCs/>
          <w:szCs w:val="20"/>
          <w:lang w:val="fr-CH"/>
        </w:rPr>
        <w:t xml:space="preserve"> </w:t>
      </w:r>
      <w:r w:rsidR="00DC4CDB" w:rsidRPr="00E342DC">
        <w:rPr>
          <w:rFonts w:cs="Tahoma"/>
          <w:bCs/>
          <w:szCs w:val="20"/>
          <w:lang w:val="fr-CH"/>
        </w:rPr>
        <w:t xml:space="preserve">à la </w:t>
      </w:r>
      <w:r w:rsidRPr="00E342DC">
        <w:rPr>
          <w:rFonts w:cs="Tahoma"/>
          <w:bCs/>
          <w:szCs w:val="20"/>
          <w:lang w:val="fr-CH"/>
        </w:rPr>
        <w:t xml:space="preserve">justice </w:t>
      </w:r>
      <w:r w:rsidR="00925346" w:rsidRPr="00E342DC">
        <w:rPr>
          <w:rFonts w:cs="Tahoma"/>
          <w:bCs/>
          <w:szCs w:val="20"/>
          <w:lang w:val="fr-CH"/>
        </w:rPr>
        <w:t xml:space="preserve">pénale </w:t>
      </w:r>
      <w:r w:rsidRPr="00E342DC">
        <w:rPr>
          <w:rFonts w:cs="Tahoma"/>
          <w:bCs/>
          <w:szCs w:val="20"/>
          <w:lang w:val="fr-CH"/>
        </w:rPr>
        <w:t>ordinaire</w:t>
      </w:r>
      <w:r w:rsidR="003030EE" w:rsidRPr="00E342DC">
        <w:rPr>
          <w:rFonts w:cs="Tahoma"/>
          <w:bCs/>
          <w:szCs w:val="20"/>
          <w:lang w:val="fr-CH"/>
        </w:rPr>
        <w:t>.</w:t>
      </w:r>
      <w:r w:rsidR="00925346" w:rsidRPr="00E342DC">
        <w:rPr>
          <w:rFonts w:cs="Tahoma"/>
          <w:bCs/>
          <w:szCs w:val="20"/>
          <w:lang w:val="fr-CH"/>
        </w:rPr>
        <w:t xml:space="preserve"> </w:t>
      </w:r>
    </w:p>
    <w:p w:rsidR="00801668" w:rsidRPr="00E342DC" w:rsidRDefault="00925346" w:rsidP="003030EE">
      <w:pPr>
        <w:spacing w:after="120"/>
        <w:rPr>
          <w:rFonts w:cs="Tahoma"/>
          <w:bCs/>
          <w:szCs w:val="20"/>
          <w:lang w:val="fr-CH"/>
        </w:rPr>
      </w:pPr>
      <w:r w:rsidRPr="00E342DC">
        <w:rPr>
          <w:rFonts w:cs="Tahoma"/>
          <w:bCs/>
          <w:szCs w:val="20"/>
          <w:lang w:val="fr-CH"/>
        </w:rPr>
        <w:t>En</w:t>
      </w:r>
      <w:r w:rsidR="005E38E1" w:rsidRPr="00E342DC">
        <w:rPr>
          <w:rFonts w:cs="Tahoma"/>
          <w:bCs/>
          <w:szCs w:val="20"/>
          <w:lang w:val="fr-CH"/>
        </w:rPr>
        <w:t xml:space="preserve"> effet, n</w:t>
      </w:r>
      <w:r w:rsidRPr="00E342DC">
        <w:rPr>
          <w:rFonts w:cs="Tahoma"/>
          <w:bCs/>
          <w:szCs w:val="20"/>
          <w:lang w:val="fr-CH"/>
        </w:rPr>
        <w:t>ous sommes d’avis que les tribunaux militaires ne peuvent garantir la même indépendance et impartialité que les tribunaux pénaux ordinaires</w:t>
      </w:r>
      <w:r w:rsidR="003030EE" w:rsidRPr="00E342DC">
        <w:rPr>
          <w:rFonts w:cs="Tahoma"/>
          <w:bCs/>
          <w:szCs w:val="20"/>
          <w:lang w:val="fr-CH"/>
        </w:rPr>
        <w:t>.</w:t>
      </w:r>
      <w:r w:rsidRPr="00E342DC">
        <w:rPr>
          <w:rFonts w:cs="Tahoma"/>
          <w:bCs/>
          <w:szCs w:val="20"/>
          <w:lang w:val="fr-CH"/>
        </w:rPr>
        <w:t xml:space="preserve"> </w:t>
      </w:r>
      <w:r w:rsidR="003030EE" w:rsidRPr="00E342DC">
        <w:rPr>
          <w:rFonts w:cs="Tahoma"/>
          <w:bCs/>
          <w:szCs w:val="20"/>
          <w:lang w:val="fr-CH"/>
        </w:rPr>
        <w:t>D</w:t>
      </w:r>
      <w:r w:rsidRPr="00E342DC">
        <w:rPr>
          <w:rFonts w:cs="Tahoma"/>
          <w:bCs/>
          <w:szCs w:val="20"/>
          <w:lang w:val="fr-CH"/>
        </w:rPr>
        <w:t>e ce fait, les conditions d’impartialité et d’indépendance de l’enquête et de la poursuite des auteurs de violations graves d</w:t>
      </w:r>
      <w:r w:rsidR="005E38E1" w:rsidRPr="00E342DC">
        <w:rPr>
          <w:rFonts w:cs="Tahoma"/>
          <w:bCs/>
          <w:szCs w:val="20"/>
          <w:lang w:val="fr-CH"/>
        </w:rPr>
        <w:t>e</w:t>
      </w:r>
      <w:r w:rsidRPr="00E342DC">
        <w:rPr>
          <w:rFonts w:cs="Tahoma"/>
          <w:bCs/>
          <w:szCs w:val="20"/>
          <w:lang w:val="fr-CH"/>
        </w:rPr>
        <w:t xml:space="preserve">s droits de l’homme </w:t>
      </w:r>
      <w:r w:rsidR="005E38E1" w:rsidRPr="00E342DC">
        <w:rPr>
          <w:rFonts w:cs="Tahoma"/>
          <w:bCs/>
          <w:szCs w:val="20"/>
          <w:lang w:val="fr-CH"/>
        </w:rPr>
        <w:t xml:space="preserve">ne peuvent </w:t>
      </w:r>
      <w:r w:rsidRPr="00E342DC">
        <w:rPr>
          <w:rFonts w:cs="Tahoma"/>
          <w:bCs/>
          <w:szCs w:val="20"/>
          <w:lang w:val="fr-CH"/>
        </w:rPr>
        <w:t xml:space="preserve">par principe pas être </w:t>
      </w:r>
      <w:r w:rsidR="005E38E1" w:rsidRPr="00E342DC">
        <w:rPr>
          <w:rFonts w:cs="Tahoma"/>
          <w:bCs/>
          <w:szCs w:val="20"/>
          <w:lang w:val="fr-CH"/>
        </w:rPr>
        <w:t xml:space="preserve">remplies par les </w:t>
      </w:r>
      <w:r w:rsidRPr="00E342DC">
        <w:rPr>
          <w:rFonts w:cs="Tahoma"/>
          <w:bCs/>
          <w:szCs w:val="20"/>
          <w:lang w:val="fr-CH"/>
        </w:rPr>
        <w:t xml:space="preserve">tribunaux militaires. Ce manque d’indépendance et d’impartialité a par ailleurs pu être relevé lors </w:t>
      </w:r>
      <w:r w:rsidR="00DC7ECB" w:rsidRPr="00E342DC">
        <w:rPr>
          <w:rFonts w:cs="Tahoma"/>
          <w:bCs/>
          <w:szCs w:val="20"/>
          <w:lang w:val="fr-CH"/>
        </w:rPr>
        <w:t>du procès du cas</w:t>
      </w:r>
      <w:r w:rsidRPr="00E342DC">
        <w:rPr>
          <w:rFonts w:cs="Tahoma"/>
          <w:bCs/>
          <w:szCs w:val="20"/>
          <w:lang w:val="fr-CH"/>
        </w:rPr>
        <w:t xml:space="preserve"> </w:t>
      </w:r>
      <w:r w:rsidR="00DC7ECB" w:rsidRPr="00E342DC">
        <w:rPr>
          <w:rFonts w:cs="Tahoma"/>
          <w:bCs/>
          <w:szCs w:val="20"/>
          <w:lang w:val="fr-CH"/>
        </w:rPr>
        <w:t xml:space="preserve">« Barraket Essahel » mentionnés plus haut dont la procédure fut entachée d’irrégularités. </w:t>
      </w:r>
      <w:r w:rsidR="003030EE" w:rsidRPr="00E342DC">
        <w:rPr>
          <w:rFonts w:cs="Tahoma"/>
          <w:bCs/>
          <w:szCs w:val="20"/>
          <w:lang w:val="fr-CH"/>
        </w:rPr>
        <w:t xml:space="preserve">Parmi les irrégularités à relever, il faut notamment mentionner </w:t>
      </w:r>
      <w:r w:rsidR="003030EE" w:rsidRPr="00E342DC">
        <w:rPr>
          <w:rFonts w:cs="Tahoma"/>
          <w:szCs w:val="20"/>
          <w:lang w:eastAsia="fr-CH"/>
        </w:rPr>
        <w:t xml:space="preserve">l’absence de citation à comparaitre de nombreux responsables ou encore le refus d’ordonner des expertises médicales permettant l’évaluation des </w:t>
      </w:r>
      <w:r w:rsidR="003030EE" w:rsidRPr="00E342DC">
        <w:rPr>
          <w:rFonts w:cs="Tahoma"/>
          <w:bCs/>
          <w:szCs w:val="20"/>
          <w:lang w:val="fr-CH"/>
        </w:rPr>
        <w:t>taux d’incapacité permanente des victimes.</w:t>
      </w:r>
    </w:p>
    <w:p w:rsidR="00801668" w:rsidRPr="00E342DC" w:rsidRDefault="003030EE" w:rsidP="005E4563">
      <w:pPr>
        <w:spacing w:after="120"/>
        <w:rPr>
          <w:rFonts w:cs="Tahoma"/>
          <w:bCs/>
          <w:szCs w:val="20"/>
          <w:lang w:val="fr-CH"/>
        </w:rPr>
      </w:pPr>
      <w:r w:rsidRPr="00E342DC">
        <w:rPr>
          <w:rFonts w:cs="Tahoma"/>
          <w:szCs w:val="20"/>
          <w:lang w:eastAsia="fr-CH"/>
        </w:rPr>
        <w:t>De plus, l</w:t>
      </w:r>
      <w:r w:rsidR="00DC7ECB" w:rsidRPr="00E342DC">
        <w:rPr>
          <w:rFonts w:cs="Tahoma"/>
          <w:szCs w:val="20"/>
          <w:lang w:eastAsia="fr-CH"/>
        </w:rPr>
        <w:t xml:space="preserve">e 26 novembre 2015, </w:t>
      </w:r>
      <w:r w:rsidR="00DC7ECB" w:rsidRPr="00E342DC">
        <w:rPr>
          <w:rFonts w:cs="Tahoma"/>
          <w:bCs/>
          <w:szCs w:val="20"/>
          <w:lang w:val="fr-CH"/>
        </w:rPr>
        <w:t>Me Najet Laabidi et Me Abderraouf Ayadi</w:t>
      </w:r>
      <w:r w:rsidR="00DC7ECB" w:rsidRPr="00E342DC">
        <w:rPr>
          <w:rFonts w:cs="Tahoma"/>
          <w:szCs w:val="20"/>
          <w:lang w:eastAsia="fr-CH"/>
        </w:rPr>
        <w:t xml:space="preserve">, </w:t>
      </w:r>
      <w:r w:rsidRPr="00E342DC">
        <w:rPr>
          <w:rFonts w:cs="Tahoma"/>
          <w:szCs w:val="20"/>
          <w:lang w:eastAsia="fr-CH"/>
        </w:rPr>
        <w:t xml:space="preserve">principaux </w:t>
      </w:r>
      <w:r w:rsidR="00DC7ECB" w:rsidRPr="00E342DC">
        <w:rPr>
          <w:rFonts w:cs="Tahoma"/>
          <w:szCs w:val="20"/>
          <w:lang w:eastAsia="fr-CH"/>
        </w:rPr>
        <w:t>avocats des victimes</w:t>
      </w:r>
      <w:r w:rsidR="005E38E1" w:rsidRPr="00E342DC">
        <w:rPr>
          <w:rFonts w:cs="Tahoma"/>
          <w:szCs w:val="20"/>
          <w:lang w:eastAsia="fr-CH"/>
        </w:rPr>
        <w:t xml:space="preserve"> d</w:t>
      </w:r>
      <w:r w:rsidRPr="00E342DC">
        <w:rPr>
          <w:rFonts w:cs="Tahoma"/>
          <w:szCs w:val="20"/>
          <w:lang w:eastAsia="fr-CH"/>
        </w:rPr>
        <w:t xml:space="preserve">e ce </w:t>
      </w:r>
      <w:r w:rsidR="005E38E1" w:rsidRPr="00E342DC">
        <w:rPr>
          <w:rFonts w:cs="Tahoma"/>
          <w:szCs w:val="20"/>
          <w:lang w:eastAsia="fr-CH"/>
        </w:rPr>
        <w:t xml:space="preserve">procès </w:t>
      </w:r>
      <w:r w:rsidR="00DC7ECB" w:rsidRPr="00E342DC">
        <w:rPr>
          <w:rFonts w:cs="Tahoma"/>
          <w:szCs w:val="20"/>
          <w:lang w:eastAsia="fr-CH"/>
        </w:rPr>
        <w:t xml:space="preserve">avaient </w:t>
      </w:r>
      <w:r w:rsidR="005E4563" w:rsidRPr="00E342DC">
        <w:rPr>
          <w:rFonts w:cs="Tahoma"/>
          <w:szCs w:val="20"/>
          <w:lang w:eastAsia="fr-CH"/>
        </w:rPr>
        <w:t xml:space="preserve">fermement dénoncé les vices de procédures dans ce procès. </w:t>
      </w:r>
      <w:r w:rsidR="00DC7ECB" w:rsidRPr="00E342DC">
        <w:rPr>
          <w:rFonts w:cs="Tahoma"/>
          <w:bCs/>
          <w:szCs w:val="20"/>
          <w:lang w:val="fr-CH"/>
        </w:rPr>
        <w:t>Suite à ce</w:t>
      </w:r>
      <w:r w:rsidR="005E38E1" w:rsidRPr="00E342DC">
        <w:rPr>
          <w:rFonts w:cs="Tahoma"/>
          <w:bCs/>
          <w:szCs w:val="20"/>
          <w:lang w:val="fr-CH"/>
        </w:rPr>
        <w:t>la</w:t>
      </w:r>
      <w:r w:rsidR="00DC7ECB" w:rsidRPr="00E342DC">
        <w:rPr>
          <w:rFonts w:cs="Tahoma"/>
          <w:bCs/>
          <w:szCs w:val="20"/>
          <w:lang w:val="fr-CH"/>
        </w:rPr>
        <w:t xml:space="preserve">, ils furent </w:t>
      </w:r>
      <w:r w:rsidR="00DC7ECB" w:rsidRPr="00E342DC">
        <w:rPr>
          <w:rFonts w:cs="Tahoma"/>
          <w:szCs w:val="20"/>
          <w:lang w:eastAsia="fr-CH"/>
        </w:rPr>
        <w:t xml:space="preserve">traduits </w:t>
      </w:r>
      <w:r w:rsidR="005E4563" w:rsidRPr="00E342DC">
        <w:rPr>
          <w:rFonts w:cs="Tahoma"/>
          <w:szCs w:val="20"/>
          <w:lang w:eastAsia="fr-CH"/>
        </w:rPr>
        <w:t>le 17 décembre 2015</w:t>
      </w:r>
      <w:r w:rsidR="00DC7ECB" w:rsidRPr="00E342DC">
        <w:rPr>
          <w:rFonts w:cs="Tahoma"/>
          <w:szCs w:val="20"/>
          <w:lang w:eastAsia="fr-CH"/>
        </w:rPr>
        <w:t>devant la justice militaire pour « outrage à un fonctionnaire de l’ordre judiciaire</w:t>
      </w:r>
      <w:r w:rsidR="005E4563" w:rsidRPr="00E342DC">
        <w:rPr>
          <w:rFonts w:cs="Tahoma"/>
          <w:szCs w:val="20"/>
          <w:lang w:eastAsia="fr-CH"/>
        </w:rPr>
        <w:t xml:space="preserve"> ». Depuis lors, ils font l’objet de harcèlement judicaire en raison de </w:t>
      </w:r>
      <w:r w:rsidR="005E4563" w:rsidRPr="00E342DC">
        <w:rPr>
          <w:rFonts w:cs="Tahoma"/>
          <w:szCs w:val="20"/>
          <w:lang w:eastAsia="fr-CH"/>
        </w:rPr>
        <w:lastRenderedPageBreak/>
        <w:t xml:space="preserve">leurs engagements à dénoncer la torture et la violation des droits de l’homme commises par les autorités. </w:t>
      </w:r>
    </w:p>
    <w:p w:rsidR="00801668" w:rsidRPr="00E342DC" w:rsidRDefault="002E6D81" w:rsidP="00852FA2">
      <w:pPr>
        <w:rPr>
          <w:rFonts w:cs="Tahoma"/>
          <w:color w:val="000000"/>
          <w:szCs w:val="20"/>
          <w:lang w:val="fr-CH"/>
        </w:rPr>
      </w:pPr>
      <w:r w:rsidRPr="00E342DC">
        <w:rPr>
          <w:rFonts w:cs="Tahoma"/>
          <w:bCs/>
          <w:szCs w:val="20"/>
          <w:lang w:val="fr-CH"/>
        </w:rPr>
        <w:t xml:space="preserve">Enfin, </w:t>
      </w:r>
      <w:r w:rsidRPr="00E342DC">
        <w:rPr>
          <w:rFonts w:cs="Tahoma"/>
          <w:color w:val="000000"/>
          <w:szCs w:val="20"/>
          <w:lang w:val="fr-CH"/>
        </w:rPr>
        <w:t>pour des faits ayant été commis avant 2011, certains procureurs ont refusé de délivrer au</w:t>
      </w:r>
      <w:r w:rsidR="005E4563" w:rsidRPr="00E342DC">
        <w:rPr>
          <w:rFonts w:cs="Tahoma"/>
          <w:color w:val="000000"/>
          <w:szCs w:val="20"/>
          <w:lang w:val="fr-CH"/>
        </w:rPr>
        <w:t>x</w:t>
      </w:r>
      <w:r w:rsidRPr="00E342DC">
        <w:rPr>
          <w:rFonts w:cs="Tahoma"/>
          <w:color w:val="000000"/>
          <w:szCs w:val="20"/>
          <w:lang w:val="fr-CH"/>
        </w:rPr>
        <w:t xml:space="preserve"> plaignant</w:t>
      </w:r>
      <w:r w:rsidR="005E4563" w:rsidRPr="00E342DC">
        <w:rPr>
          <w:rFonts w:cs="Tahoma"/>
          <w:color w:val="000000"/>
          <w:szCs w:val="20"/>
          <w:lang w:val="fr-CH"/>
        </w:rPr>
        <w:t>s</w:t>
      </w:r>
      <w:r w:rsidRPr="00E342DC">
        <w:rPr>
          <w:rFonts w:cs="Tahoma"/>
          <w:color w:val="000000"/>
          <w:szCs w:val="20"/>
          <w:lang w:val="fr-CH"/>
        </w:rPr>
        <w:t xml:space="preserve"> ou </w:t>
      </w:r>
      <w:r w:rsidR="005E4563" w:rsidRPr="00E342DC">
        <w:rPr>
          <w:rFonts w:cs="Tahoma"/>
          <w:color w:val="000000"/>
          <w:szCs w:val="20"/>
          <w:lang w:val="fr-CH"/>
        </w:rPr>
        <w:t>à leurs avocats</w:t>
      </w:r>
      <w:r w:rsidRPr="00E342DC">
        <w:rPr>
          <w:rFonts w:cs="Tahoma"/>
          <w:color w:val="000000"/>
          <w:szCs w:val="20"/>
          <w:lang w:val="fr-CH"/>
        </w:rPr>
        <w:t xml:space="preserve"> un numéro d’enregistrement</w:t>
      </w:r>
      <w:r w:rsidR="00F443B1" w:rsidRPr="00E342DC">
        <w:rPr>
          <w:rFonts w:cs="Tahoma"/>
          <w:color w:val="000000"/>
          <w:szCs w:val="20"/>
          <w:lang w:val="fr-CH"/>
        </w:rPr>
        <w:t xml:space="preserve"> </w:t>
      </w:r>
      <w:r w:rsidR="005E4563" w:rsidRPr="00E342DC">
        <w:rPr>
          <w:rFonts w:cs="Tahoma"/>
          <w:color w:val="000000"/>
          <w:szCs w:val="20"/>
          <w:lang w:val="fr-CH"/>
        </w:rPr>
        <w:t xml:space="preserve">de la plainte </w:t>
      </w:r>
      <w:r w:rsidR="00F443B1" w:rsidRPr="00E342DC">
        <w:rPr>
          <w:rFonts w:cs="Tahoma"/>
          <w:color w:val="000000"/>
          <w:szCs w:val="20"/>
          <w:lang w:val="fr-CH"/>
        </w:rPr>
        <w:t>en prétextant que ces cas relevaient de l’Instance Vérité et Dignité (IVD), alors même que cette instance n’a pas de pouvoir judicaire</w:t>
      </w:r>
      <w:r w:rsidR="005E38E1" w:rsidRPr="00E342DC">
        <w:rPr>
          <w:rFonts w:cs="Tahoma"/>
          <w:color w:val="000000"/>
          <w:szCs w:val="20"/>
          <w:lang w:val="fr-CH"/>
        </w:rPr>
        <w:t>. Ce fut le cas</w:t>
      </w:r>
      <w:r w:rsidRPr="00E342DC">
        <w:rPr>
          <w:rFonts w:cs="Tahoma"/>
          <w:color w:val="000000"/>
          <w:szCs w:val="20"/>
          <w:lang w:val="fr-CH"/>
        </w:rPr>
        <w:t xml:space="preserve"> </w:t>
      </w:r>
      <w:r w:rsidR="00F443B1" w:rsidRPr="00E342DC">
        <w:rPr>
          <w:rFonts w:cs="Tahoma"/>
          <w:color w:val="000000"/>
          <w:szCs w:val="20"/>
          <w:lang w:val="fr-CH"/>
        </w:rPr>
        <w:t xml:space="preserve">à </w:t>
      </w:r>
      <w:proofErr w:type="spellStart"/>
      <w:r w:rsidRPr="00E342DC">
        <w:rPr>
          <w:rFonts w:cs="Tahoma"/>
          <w:b/>
          <w:bCs/>
          <w:color w:val="000000"/>
          <w:szCs w:val="20"/>
          <w:lang w:val="fr-CH"/>
        </w:rPr>
        <w:t>Moudhafer</w:t>
      </w:r>
      <w:proofErr w:type="spellEnd"/>
      <w:r w:rsidRPr="00E342DC">
        <w:rPr>
          <w:rFonts w:cs="Tahoma"/>
          <w:b/>
          <w:bCs/>
          <w:color w:val="000000"/>
          <w:szCs w:val="20"/>
          <w:lang w:val="fr-CH"/>
        </w:rPr>
        <w:t xml:space="preserve"> </w:t>
      </w:r>
      <w:proofErr w:type="spellStart"/>
      <w:r w:rsidRPr="00E342DC">
        <w:rPr>
          <w:rFonts w:cs="Tahoma"/>
          <w:b/>
          <w:bCs/>
          <w:color w:val="000000"/>
          <w:szCs w:val="20"/>
          <w:lang w:val="fr-CH"/>
        </w:rPr>
        <w:t>Labidi</w:t>
      </w:r>
      <w:proofErr w:type="spellEnd"/>
      <w:r w:rsidR="002E00C1">
        <w:rPr>
          <w:rFonts w:cs="Tahoma"/>
          <w:color w:val="000000"/>
          <w:szCs w:val="20"/>
          <w:lang w:val="fr-CH"/>
        </w:rPr>
        <w:t xml:space="preserve"> </w:t>
      </w:r>
      <w:r w:rsidR="002E00C1" w:rsidRPr="00E342DC">
        <w:rPr>
          <w:rFonts w:cs="Tahoma"/>
          <w:color w:val="000000"/>
          <w:szCs w:val="20"/>
          <w:lang w:val="fr-CH"/>
        </w:rPr>
        <w:t>–</w:t>
      </w:r>
      <w:r w:rsidR="00F443B1" w:rsidRPr="00E342DC">
        <w:rPr>
          <w:rFonts w:cs="Tahoma"/>
          <w:color w:val="000000"/>
          <w:szCs w:val="20"/>
          <w:lang w:val="fr-CH"/>
        </w:rPr>
        <w:t xml:space="preserve"> arrêté et torturé en 2008 – auquel le</w:t>
      </w:r>
      <w:r w:rsidRPr="00E342DC">
        <w:rPr>
          <w:rFonts w:cs="Tahoma"/>
          <w:color w:val="000000"/>
          <w:szCs w:val="20"/>
          <w:lang w:val="fr-CH"/>
        </w:rPr>
        <w:t xml:space="preserve"> procureur du tribunal de première instance a refusé de délivrer un numéro d’enregistrement </w:t>
      </w:r>
      <w:r w:rsidR="00F443B1" w:rsidRPr="00E342DC">
        <w:rPr>
          <w:rFonts w:cs="Tahoma"/>
          <w:color w:val="000000"/>
          <w:szCs w:val="20"/>
          <w:lang w:val="fr-CH"/>
        </w:rPr>
        <w:t xml:space="preserve">de </w:t>
      </w:r>
      <w:r w:rsidRPr="00E342DC">
        <w:rPr>
          <w:rFonts w:cs="Tahoma"/>
          <w:color w:val="000000"/>
          <w:szCs w:val="20"/>
          <w:lang w:val="fr-CH"/>
        </w:rPr>
        <w:t xml:space="preserve">la plainte déposée par son </w:t>
      </w:r>
      <w:r w:rsidR="005E38E1" w:rsidRPr="00E342DC">
        <w:rPr>
          <w:rFonts w:cs="Tahoma"/>
          <w:color w:val="000000"/>
          <w:szCs w:val="20"/>
          <w:lang w:val="fr-CH"/>
        </w:rPr>
        <w:t>avocat</w:t>
      </w:r>
      <w:r w:rsidRPr="00E342DC">
        <w:rPr>
          <w:rFonts w:cs="Tahoma"/>
          <w:color w:val="000000"/>
          <w:szCs w:val="20"/>
          <w:lang w:val="fr-CH"/>
        </w:rPr>
        <w:t xml:space="preserve"> en mai 2013</w:t>
      </w:r>
      <w:r w:rsidR="005E4563" w:rsidRPr="00E342DC">
        <w:rPr>
          <w:rFonts w:cs="Tahoma"/>
          <w:color w:val="000000"/>
          <w:szCs w:val="20"/>
          <w:lang w:val="fr-CH"/>
        </w:rPr>
        <w:t>, sous ce prétexte</w:t>
      </w:r>
      <w:r w:rsidR="00F443B1" w:rsidRPr="00E342DC">
        <w:rPr>
          <w:rFonts w:cs="Tahoma"/>
          <w:color w:val="000000"/>
          <w:szCs w:val="20"/>
          <w:lang w:val="fr-CH"/>
        </w:rPr>
        <w:t>.</w:t>
      </w:r>
      <w:r w:rsidRPr="00E342DC">
        <w:rPr>
          <w:rFonts w:cs="Tahoma"/>
          <w:color w:val="000000"/>
          <w:szCs w:val="20"/>
          <w:lang w:val="fr-CH"/>
        </w:rPr>
        <w:t xml:space="preserve"> </w:t>
      </w:r>
      <w:r w:rsidR="005E4563" w:rsidRPr="00E342DC">
        <w:rPr>
          <w:rFonts w:cs="Tahoma"/>
          <w:color w:val="000000"/>
          <w:szCs w:val="20"/>
          <w:lang w:val="fr-CH"/>
        </w:rPr>
        <w:t xml:space="preserve">Cela traduit une violation du droit à un recours effectif. </w:t>
      </w:r>
    </w:p>
    <w:p w:rsidR="00801668" w:rsidRPr="00E342DC" w:rsidRDefault="00801668">
      <w:pPr>
        <w:rPr>
          <w:rFonts w:cs="Tahoma"/>
          <w:bCs/>
          <w:szCs w:val="20"/>
          <w:lang w:val="fr-CH"/>
        </w:rPr>
      </w:pPr>
    </w:p>
    <w:p w:rsidR="000E6DE0" w:rsidRPr="00E342DC" w:rsidRDefault="005E4563" w:rsidP="00A0049E">
      <w:pPr>
        <w:pStyle w:val="Heading2"/>
        <w:rPr>
          <w:rFonts w:cs="Tahoma"/>
          <w:szCs w:val="20"/>
          <w:lang w:val="fr-CH"/>
        </w:rPr>
      </w:pPr>
      <w:bookmarkStart w:id="32" w:name="_Toc447008740"/>
      <w:r w:rsidRPr="00E342DC">
        <w:rPr>
          <w:rFonts w:cs="Tahoma"/>
          <w:szCs w:val="20"/>
          <w:lang w:val="fr-CH"/>
        </w:rPr>
        <w:t>La question de la d</w:t>
      </w:r>
      <w:r w:rsidR="000E6DE0" w:rsidRPr="00E342DC">
        <w:rPr>
          <w:rFonts w:cs="Tahoma"/>
          <w:szCs w:val="20"/>
          <w:lang w:val="fr-CH"/>
        </w:rPr>
        <w:t xml:space="preserve">éfinition de la torture </w:t>
      </w:r>
      <w:r w:rsidRPr="00E342DC">
        <w:rPr>
          <w:rFonts w:cs="Tahoma"/>
          <w:szCs w:val="20"/>
          <w:lang w:val="fr-CH"/>
        </w:rPr>
        <w:t xml:space="preserve">dans les </w:t>
      </w:r>
      <w:r w:rsidR="00852FA2" w:rsidRPr="00E342DC">
        <w:rPr>
          <w:rFonts w:cs="Tahoma"/>
          <w:szCs w:val="20"/>
          <w:lang w:val="fr-CH"/>
        </w:rPr>
        <w:t>législations</w:t>
      </w:r>
      <w:r w:rsidRPr="00E342DC">
        <w:rPr>
          <w:rFonts w:cs="Tahoma"/>
          <w:szCs w:val="20"/>
          <w:lang w:val="fr-CH"/>
        </w:rPr>
        <w:t xml:space="preserve"> successives</w:t>
      </w:r>
      <w:bookmarkEnd w:id="32"/>
    </w:p>
    <w:p w:rsidR="00A0049E" w:rsidRPr="00E342DC" w:rsidRDefault="00A0049E" w:rsidP="00A0049E">
      <w:pPr>
        <w:rPr>
          <w:rFonts w:cs="Tahoma"/>
          <w:szCs w:val="20"/>
          <w:lang w:val="fr-CH"/>
        </w:rPr>
      </w:pPr>
    </w:p>
    <w:p w:rsidR="00852FA2" w:rsidRPr="00E342DC" w:rsidRDefault="007462ED" w:rsidP="005E4563">
      <w:pPr>
        <w:rPr>
          <w:rFonts w:cs="Tahoma"/>
          <w:szCs w:val="20"/>
        </w:rPr>
      </w:pPr>
      <w:r w:rsidRPr="00E342DC">
        <w:rPr>
          <w:rFonts w:cs="Tahoma"/>
          <w:szCs w:val="20"/>
          <w:lang w:val="fr-CH"/>
        </w:rPr>
        <w:t xml:space="preserve">Bien que la </w:t>
      </w:r>
      <w:r w:rsidRPr="00E342DC">
        <w:rPr>
          <w:rFonts w:cs="Tahoma"/>
          <w:szCs w:val="20"/>
        </w:rPr>
        <w:t>Tunisie soit partie à la Convention contre la torture depuis le 23 septembre 1988, le crime de torture n’a</w:t>
      </w:r>
      <w:r w:rsidR="005E4563" w:rsidRPr="00E342DC">
        <w:rPr>
          <w:rFonts w:cs="Tahoma"/>
          <w:szCs w:val="20"/>
        </w:rPr>
        <w:t>vait pas été</w:t>
      </w:r>
      <w:r w:rsidRPr="00E342DC">
        <w:rPr>
          <w:rFonts w:cs="Tahoma"/>
          <w:szCs w:val="20"/>
        </w:rPr>
        <w:t xml:space="preserve"> érigé en tant que crime </w:t>
      </w:r>
      <w:r w:rsidR="005E4563" w:rsidRPr="00E342DC">
        <w:rPr>
          <w:rFonts w:cs="Tahoma"/>
          <w:szCs w:val="20"/>
        </w:rPr>
        <w:t xml:space="preserve">autonome </w:t>
      </w:r>
      <w:r w:rsidRPr="00E342DC">
        <w:rPr>
          <w:rFonts w:cs="Tahoma"/>
          <w:szCs w:val="20"/>
        </w:rPr>
        <w:t xml:space="preserve">dans le Code Pénal </w:t>
      </w:r>
      <w:r w:rsidR="005E4563" w:rsidRPr="00E342DC">
        <w:rPr>
          <w:rFonts w:cs="Tahoma"/>
          <w:szCs w:val="20"/>
        </w:rPr>
        <w:t xml:space="preserve">avant </w:t>
      </w:r>
      <w:r w:rsidRPr="00E342DC">
        <w:rPr>
          <w:rFonts w:cs="Tahoma"/>
          <w:szCs w:val="20"/>
        </w:rPr>
        <w:t xml:space="preserve">1999. </w:t>
      </w:r>
    </w:p>
    <w:p w:rsidR="00801668" w:rsidRPr="00E342DC" w:rsidRDefault="005E4563" w:rsidP="00852FA2">
      <w:pPr>
        <w:rPr>
          <w:rFonts w:cs="Tahoma"/>
          <w:szCs w:val="20"/>
        </w:rPr>
      </w:pPr>
      <w:r w:rsidRPr="00E342DC">
        <w:rPr>
          <w:rFonts w:cs="Tahoma"/>
          <w:szCs w:val="20"/>
        </w:rPr>
        <w:t>L’Etat partie affirme que s</w:t>
      </w:r>
      <w:r w:rsidR="007462ED" w:rsidRPr="00E342DC">
        <w:rPr>
          <w:rFonts w:cs="Tahoma"/>
          <w:szCs w:val="20"/>
        </w:rPr>
        <w:t xml:space="preserve">elon </w:t>
      </w:r>
      <w:r w:rsidR="00852FA2" w:rsidRPr="00E342DC">
        <w:rPr>
          <w:rFonts w:cs="Tahoma"/>
          <w:szCs w:val="20"/>
        </w:rPr>
        <w:t xml:space="preserve">le </w:t>
      </w:r>
      <w:r w:rsidR="007462ED" w:rsidRPr="00E342DC">
        <w:rPr>
          <w:rFonts w:cs="Tahoma"/>
          <w:szCs w:val="20"/>
        </w:rPr>
        <w:t xml:space="preserve">principe de non-rétroactivité de la loi pénale, l’article 101 </w:t>
      </w:r>
      <w:r w:rsidR="007462ED" w:rsidRPr="00E342DC">
        <w:rPr>
          <w:rFonts w:cs="Tahoma"/>
          <w:i/>
          <w:iCs/>
          <w:szCs w:val="20"/>
        </w:rPr>
        <w:t>bis</w:t>
      </w:r>
      <w:r w:rsidR="007462ED" w:rsidRPr="00E342DC">
        <w:rPr>
          <w:rFonts w:cs="Tahoma"/>
          <w:szCs w:val="20"/>
        </w:rPr>
        <w:t xml:space="preserve"> s’applique uniquement aux actes de torture commis après 1999. Avant l’introduction de cet article, les actes de torture étaient qualifiés de « délit de violence » passibles de cinq ans d’emprisonnement maximum et de 120 dinars d’amende sur la base de l’article 101 du C</w:t>
      </w:r>
      <w:r w:rsidR="00F443B1" w:rsidRPr="00E342DC">
        <w:rPr>
          <w:rFonts w:cs="Tahoma"/>
          <w:szCs w:val="20"/>
        </w:rPr>
        <w:t>P</w:t>
      </w:r>
      <w:r w:rsidR="007462ED" w:rsidRPr="00E342DC">
        <w:rPr>
          <w:rFonts w:cs="Tahoma"/>
          <w:szCs w:val="20"/>
        </w:rPr>
        <w:t>.</w:t>
      </w:r>
      <w:r w:rsidR="00F443B1" w:rsidRPr="00E342DC">
        <w:rPr>
          <w:rFonts w:cs="Tahoma"/>
          <w:szCs w:val="20"/>
        </w:rPr>
        <w:t xml:space="preserve"> </w:t>
      </w:r>
      <w:r w:rsidR="007462ED" w:rsidRPr="00E342DC">
        <w:rPr>
          <w:rFonts w:cs="Tahoma"/>
          <w:szCs w:val="20"/>
        </w:rPr>
        <w:t xml:space="preserve">Pour cette raison, le juge d’instruction militaire de l’affaire dite « Barraket Essahel » a jugé que les actes de torture commis en 1991 ne pouvaient être qualifiés sur la base de l’article 101 </w:t>
      </w:r>
      <w:r w:rsidR="007462ED" w:rsidRPr="00E342DC">
        <w:rPr>
          <w:rFonts w:cs="Tahoma"/>
          <w:i/>
          <w:iCs/>
          <w:szCs w:val="20"/>
        </w:rPr>
        <w:t>bis</w:t>
      </w:r>
      <w:r w:rsidR="007462ED" w:rsidRPr="00E342DC">
        <w:rPr>
          <w:rFonts w:cs="Tahoma"/>
          <w:szCs w:val="20"/>
        </w:rPr>
        <w:t xml:space="preserve"> compte tenu du principe </w:t>
      </w:r>
      <w:r w:rsidR="007462ED" w:rsidRPr="00E342DC">
        <w:rPr>
          <w:rStyle w:val="Emphasis"/>
          <w:rFonts w:cs="Tahoma"/>
          <w:szCs w:val="20"/>
        </w:rPr>
        <w:t>nullum crimen nulla poena sine lege</w:t>
      </w:r>
      <w:r w:rsidR="007462ED" w:rsidRPr="00E342DC">
        <w:rPr>
          <w:rFonts w:cs="Tahoma"/>
          <w:szCs w:val="20"/>
        </w:rPr>
        <w:t xml:space="preserve">. </w:t>
      </w:r>
      <w:r w:rsidRPr="00E342DC">
        <w:rPr>
          <w:rFonts w:cs="Tahoma"/>
          <w:szCs w:val="20"/>
        </w:rPr>
        <w:t>Ainsi les juges n’ont pas qualifié les faits imputés aux accusés de crime de torture mais</w:t>
      </w:r>
      <w:r w:rsidR="007462ED" w:rsidRPr="00E342DC">
        <w:rPr>
          <w:rFonts w:cs="Tahoma"/>
          <w:szCs w:val="20"/>
        </w:rPr>
        <w:t xml:space="preserve"> « d’acte de violence » </w:t>
      </w:r>
      <w:r w:rsidR="00F443B1" w:rsidRPr="00E342DC">
        <w:rPr>
          <w:rFonts w:cs="Tahoma"/>
          <w:szCs w:val="20"/>
        </w:rPr>
        <w:t>sur la base de l’article 101 du CP</w:t>
      </w:r>
      <w:r w:rsidRPr="00E342DC">
        <w:rPr>
          <w:rFonts w:cs="Tahoma"/>
          <w:szCs w:val="20"/>
        </w:rPr>
        <w:t>, qui constitue un délit. Il a prononcé en conséquence des peines de nature délictuelle</w:t>
      </w:r>
      <w:r w:rsidR="007462ED" w:rsidRPr="00E342DC">
        <w:rPr>
          <w:rFonts w:cs="Tahoma"/>
          <w:szCs w:val="20"/>
        </w:rPr>
        <w:t>.</w:t>
      </w:r>
    </w:p>
    <w:p w:rsidR="007462ED" w:rsidRPr="00E342DC" w:rsidRDefault="007462ED" w:rsidP="007462ED">
      <w:pPr>
        <w:rPr>
          <w:rFonts w:cs="Tahoma"/>
          <w:szCs w:val="20"/>
        </w:rPr>
      </w:pPr>
    </w:p>
    <w:p w:rsidR="00801668" w:rsidRPr="00E342DC" w:rsidRDefault="007462ED" w:rsidP="00745082">
      <w:pPr>
        <w:rPr>
          <w:rFonts w:cs="Tahoma"/>
          <w:szCs w:val="20"/>
        </w:rPr>
      </w:pPr>
      <w:r w:rsidRPr="00E342DC">
        <w:rPr>
          <w:rFonts w:cs="Tahoma"/>
          <w:szCs w:val="20"/>
        </w:rPr>
        <w:t xml:space="preserve">Néanmoins, l’article 8 de la loi organique n° 2013-53 du 24 décembre 2013 relative à l'instauration de la justice transitionnelle et à son organisation nuance le principe de non-rétroactivité. </w:t>
      </w:r>
      <w:r w:rsidR="00F443B1" w:rsidRPr="00E342DC">
        <w:rPr>
          <w:rFonts w:cs="Tahoma"/>
          <w:szCs w:val="20"/>
        </w:rPr>
        <w:t xml:space="preserve">Cette </w:t>
      </w:r>
      <w:r w:rsidRPr="00E342DC">
        <w:rPr>
          <w:rFonts w:cs="Tahoma"/>
          <w:szCs w:val="20"/>
        </w:rPr>
        <w:t xml:space="preserve">loi prévoit en effet des chambres spécialisées </w:t>
      </w:r>
      <w:r w:rsidR="00852FA2" w:rsidRPr="00E342DC">
        <w:rPr>
          <w:rFonts w:cs="Tahoma"/>
          <w:szCs w:val="20"/>
        </w:rPr>
        <w:t>au sein des</w:t>
      </w:r>
      <w:r w:rsidRPr="00E342DC">
        <w:rPr>
          <w:rFonts w:cs="Tahoma"/>
          <w:szCs w:val="20"/>
        </w:rPr>
        <w:t xml:space="preserve"> tribunaux de première instance </w:t>
      </w:r>
      <w:r w:rsidR="00852FA2" w:rsidRPr="00E342DC">
        <w:rPr>
          <w:rFonts w:cs="Tahoma"/>
          <w:szCs w:val="20"/>
        </w:rPr>
        <w:t xml:space="preserve">compétentes pour connaître des </w:t>
      </w:r>
      <w:r w:rsidRPr="00E342DC">
        <w:rPr>
          <w:rFonts w:cs="Tahoma"/>
          <w:szCs w:val="20"/>
        </w:rPr>
        <w:t xml:space="preserve">atteintes graves aux droits de l’homme, </w:t>
      </w:r>
      <w:r w:rsidR="00852FA2" w:rsidRPr="00E342DC">
        <w:rPr>
          <w:rFonts w:cs="Tahoma"/>
          <w:szCs w:val="20"/>
        </w:rPr>
        <w:t xml:space="preserve">et </w:t>
      </w:r>
      <w:r w:rsidRPr="00E342DC">
        <w:rPr>
          <w:rFonts w:cs="Tahoma"/>
          <w:szCs w:val="20"/>
        </w:rPr>
        <w:t xml:space="preserve">notamment les </w:t>
      </w:r>
      <w:r w:rsidR="00852FA2" w:rsidRPr="00E342DC">
        <w:rPr>
          <w:rFonts w:cs="Tahoma"/>
          <w:szCs w:val="20"/>
        </w:rPr>
        <w:t xml:space="preserve">faits </w:t>
      </w:r>
      <w:r w:rsidRPr="00E342DC">
        <w:rPr>
          <w:rFonts w:cs="Tahoma"/>
          <w:szCs w:val="20"/>
        </w:rPr>
        <w:t>de torture et disparitions forcées commis entre le 1</w:t>
      </w:r>
      <w:r w:rsidRPr="00E342DC">
        <w:rPr>
          <w:rFonts w:cs="Tahoma"/>
          <w:szCs w:val="20"/>
          <w:vertAlign w:val="superscript"/>
        </w:rPr>
        <w:t>er</w:t>
      </w:r>
      <w:r w:rsidRPr="00E342DC">
        <w:rPr>
          <w:rFonts w:cs="Tahoma"/>
          <w:szCs w:val="20"/>
        </w:rPr>
        <w:t xml:space="preserve"> juillet 1955</w:t>
      </w:r>
      <w:r w:rsidR="00BF513F">
        <w:rPr>
          <w:rFonts w:cs="Tahoma"/>
          <w:szCs w:val="20"/>
        </w:rPr>
        <w:t xml:space="preserve"> </w:t>
      </w:r>
      <w:r w:rsidRPr="00E342DC">
        <w:rPr>
          <w:rFonts w:cs="Tahoma"/>
          <w:szCs w:val="20"/>
        </w:rPr>
        <w:t xml:space="preserve">jusqu’à la date de promulgation de la loi. Selon les dispositions de l’article 8, le terme </w:t>
      </w:r>
      <w:r w:rsidR="00745082" w:rsidRPr="00E342DC">
        <w:rPr>
          <w:rFonts w:cs="Tahoma"/>
          <w:szCs w:val="20"/>
        </w:rPr>
        <w:t>« </w:t>
      </w:r>
      <w:r w:rsidRPr="00E342DC">
        <w:rPr>
          <w:rFonts w:cs="Tahoma"/>
          <w:szCs w:val="20"/>
        </w:rPr>
        <w:t>torture</w:t>
      </w:r>
      <w:r w:rsidR="00745082" w:rsidRPr="00E342DC">
        <w:rPr>
          <w:rFonts w:cs="Tahoma"/>
          <w:szCs w:val="20"/>
        </w:rPr>
        <w:t> »</w:t>
      </w:r>
      <w:r w:rsidRPr="00E342DC">
        <w:rPr>
          <w:rFonts w:cs="Tahoma"/>
          <w:szCs w:val="20"/>
        </w:rPr>
        <w:t xml:space="preserve"> </w:t>
      </w:r>
      <w:r w:rsidR="00F443B1" w:rsidRPr="00E342DC">
        <w:rPr>
          <w:rFonts w:cs="Tahoma"/>
          <w:szCs w:val="20"/>
        </w:rPr>
        <w:t xml:space="preserve">devrait </w:t>
      </w:r>
      <w:r w:rsidRPr="00E342DC">
        <w:rPr>
          <w:rFonts w:cs="Tahoma"/>
          <w:szCs w:val="20"/>
        </w:rPr>
        <w:t>être compris au sens de l’article 1</w:t>
      </w:r>
      <w:r w:rsidRPr="00E342DC">
        <w:rPr>
          <w:rFonts w:cs="Tahoma"/>
          <w:szCs w:val="20"/>
          <w:vertAlign w:val="superscript"/>
        </w:rPr>
        <w:t>er</w:t>
      </w:r>
      <w:r w:rsidRPr="00E342DC">
        <w:rPr>
          <w:rFonts w:cs="Tahoma"/>
          <w:szCs w:val="20"/>
        </w:rPr>
        <w:t xml:space="preserve"> de la Convention</w:t>
      </w:r>
      <w:r w:rsidR="00F443B1" w:rsidRPr="00E342DC">
        <w:rPr>
          <w:rStyle w:val="FootnoteReference"/>
          <w:rFonts w:cs="Tahoma"/>
          <w:szCs w:val="20"/>
        </w:rPr>
        <w:footnoteReference w:id="56"/>
      </w:r>
      <w:r w:rsidRPr="00E342DC">
        <w:rPr>
          <w:rFonts w:cs="Tahoma"/>
          <w:szCs w:val="20"/>
        </w:rPr>
        <w:t xml:space="preserve">. </w:t>
      </w:r>
    </w:p>
    <w:p w:rsidR="007462ED" w:rsidRPr="00E342DC" w:rsidRDefault="007462ED" w:rsidP="007462ED">
      <w:pPr>
        <w:rPr>
          <w:rFonts w:cs="Tahoma"/>
          <w:szCs w:val="20"/>
        </w:rPr>
      </w:pPr>
    </w:p>
    <w:p w:rsidR="00801668" w:rsidRPr="00E342DC" w:rsidRDefault="007462ED" w:rsidP="00745082">
      <w:pPr>
        <w:rPr>
          <w:rFonts w:cs="Tahoma"/>
          <w:szCs w:val="20"/>
        </w:rPr>
      </w:pPr>
      <w:r w:rsidRPr="00E342DC">
        <w:rPr>
          <w:rFonts w:cs="Tahoma"/>
          <w:szCs w:val="20"/>
        </w:rPr>
        <w:t>En vertu de ce qui précède, l’</w:t>
      </w:r>
      <w:r w:rsidR="0070261E" w:rsidRPr="00E342DC">
        <w:rPr>
          <w:rFonts w:cs="Tahoma"/>
          <w:szCs w:val="20"/>
        </w:rPr>
        <w:t>État</w:t>
      </w:r>
      <w:r w:rsidRPr="00E342DC">
        <w:rPr>
          <w:rFonts w:cs="Tahoma"/>
          <w:szCs w:val="20"/>
        </w:rPr>
        <w:t xml:space="preserve"> partie est tenu de qualifier les actes de torture</w:t>
      </w:r>
      <w:r w:rsidR="00745082" w:rsidRPr="00E342DC">
        <w:rPr>
          <w:rFonts w:cs="Tahoma"/>
          <w:szCs w:val="20"/>
        </w:rPr>
        <w:t xml:space="preserve"> </w:t>
      </w:r>
      <w:r w:rsidRPr="00E342DC">
        <w:rPr>
          <w:rFonts w:cs="Tahoma"/>
          <w:szCs w:val="20"/>
        </w:rPr>
        <w:t>commis avant 1999 conformément à l’article 1 de la Convention dans</w:t>
      </w:r>
      <w:r w:rsidR="00F443B1" w:rsidRPr="00E342DC">
        <w:rPr>
          <w:rFonts w:cs="Tahoma"/>
          <w:szCs w:val="20"/>
        </w:rPr>
        <w:t xml:space="preserve"> </w:t>
      </w:r>
      <w:r w:rsidRPr="00E342DC">
        <w:rPr>
          <w:rFonts w:cs="Tahoma"/>
          <w:szCs w:val="20"/>
        </w:rPr>
        <w:t xml:space="preserve">les affaires </w:t>
      </w:r>
      <w:r w:rsidR="00F443B1" w:rsidRPr="00E342DC">
        <w:rPr>
          <w:rFonts w:cs="Tahoma"/>
          <w:szCs w:val="20"/>
        </w:rPr>
        <w:t xml:space="preserve">entrant dans le cadre de la </w:t>
      </w:r>
      <w:r w:rsidRPr="00E342DC">
        <w:rPr>
          <w:rFonts w:cs="Tahoma"/>
          <w:szCs w:val="20"/>
        </w:rPr>
        <w:t xml:space="preserve">justice transitionnelle et </w:t>
      </w:r>
      <w:r w:rsidR="00F443B1" w:rsidRPr="00E342DC">
        <w:rPr>
          <w:rFonts w:cs="Tahoma"/>
          <w:szCs w:val="20"/>
        </w:rPr>
        <w:t xml:space="preserve">par conséquent </w:t>
      </w:r>
      <w:r w:rsidRPr="00E342DC">
        <w:rPr>
          <w:rFonts w:cs="Tahoma"/>
          <w:szCs w:val="20"/>
        </w:rPr>
        <w:t xml:space="preserve">de prévoir des peines appropriées qui tiennent compte de la gravité du crime. Or la loi n° 2013-53 ne précise pas expressément la définition à adopter par les chambres spécialisées et ne précisent pas non plus les peines appropriées et les modes de participation au crime. </w:t>
      </w:r>
      <w:r w:rsidR="00745082" w:rsidRPr="00E342DC">
        <w:rPr>
          <w:rFonts w:cs="Tahoma"/>
          <w:szCs w:val="20"/>
        </w:rPr>
        <w:t xml:space="preserve">Cette situation laisse une grande marge d’appréciation au juge quant à la qualification des faits qui sont soumis par l’IVD. </w:t>
      </w:r>
      <w:r w:rsidR="0037349D" w:rsidRPr="00E342DC">
        <w:rPr>
          <w:rFonts w:cs="Tahoma"/>
          <w:szCs w:val="20"/>
        </w:rPr>
        <w:t>Nous rappelons à ce titre que le Comité avait précisé que: «Si la définition de la torture en droit interne est trop éloignée de celle énoncée dans la Convention, le vide juridique réel ou potentiel qui en découle peut ouvrir la voie à l’impunité»</w:t>
      </w:r>
      <w:r w:rsidR="0037349D" w:rsidRPr="00E342DC">
        <w:rPr>
          <w:rStyle w:val="FootnoteReference"/>
          <w:rFonts w:cs="Tahoma"/>
          <w:szCs w:val="20"/>
        </w:rPr>
        <w:footnoteReference w:id="57"/>
      </w:r>
      <w:r w:rsidR="0037349D" w:rsidRPr="00E342DC">
        <w:rPr>
          <w:rFonts w:cs="Tahoma"/>
          <w:szCs w:val="20"/>
        </w:rPr>
        <w:t>.</w:t>
      </w:r>
    </w:p>
    <w:p w:rsidR="000E6DE0" w:rsidRPr="00E342DC" w:rsidRDefault="000E6DE0" w:rsidP="001E14BD">
      <w:pPr>
        <w:spacing w:after="120"/>
        <w:rPr>
          <w:rFonts w:cs="Tahoma"/>
          <w:bCs/>
          <w:szCs w:val="20"/>
          <w:lang w:val="fr-CH"/>
        </w:rPr>
      </w:pPr>
    </w:p>
    <w:p w:rsidR="007D2935" w:rsidRPr="00E342DC" w:rsidRDefault="007D2935" w:rsidP="00745082">
      <w:pPr>
        <w:pStyle w:val="ListParagraph"/>
        <w:numPr>
          <w:ilvl w:val="0"/>
          <w:numId w:val="34"/>
        </w:numPr>
        <w:rPr>
          <w:rFonts w:cs="Tahoma"/>
          <w:szCs w:val="20"/>
        </w:rPr>
      </w:pPr>
      <w:r w:rsidRPr="00E342DC">
        <w:rPr>
          <w:rFonts w:cs="Tahoma"/>
          <w:szCs w:val="20"/>
        </w:rPr>
        <w:t xml:space="preserve">Faciliter le travail et l'efficacité de l'Instance Vérité et Dignité (IVD), en lui permettant de mener à bien </w:t>
      </w:r>
      <w:r w:rsidR="00745082" w:rsidRPr="00E342DC">
        <w:rPr>
          <w:rFonts w:cs="Tahoma"/>
          <w:szCs w:val="20"/>
        </w:rPr>
        <w:t>son mandat</w:t>
      </w:r>
      <w:r w:rsidRPr="00E342DC">
        <w:rPr>
          <w:rFonts w:cs="Tahoma"/>
          <w:szCs w:val="20"/>
        </w:rPr>
        <w:t xml:space="preserve"> </w:t>
      </w:r>
      <w:r w:rsidR="00745082" w:rsidRPr="00E342DC">
        <w:rPr>
          <w:rFonts w:cs="Tahoma"/>
          <w:szCs w:val="20"/>
        </w:rPr>
        <w:t xml:space="preserve">et </w:t>
      </w:r>
      <w:r w:rsidRPr="00E342DC">
        <w:rPr>
          <w:rFonts w:cs="Tahoma"/>
          <w:szCs w:val="20"/>
        </w:rPr>
        <w:t xml:space="preserve">en lui </w:t>
      </w:r>
      <w:r w:rsidR="00745082" w:rsidRPr="00E342DC">
        <w:rPr>
          <w:rFonts w:cs="Tahoma"/>
          <w:szCs w:val="20"/>
        </w:rPr>
        <w:t xml:space="preserve">octroyant </w:t>
      </w:r>
      <w:r w:rsidRPr="00E342DC">
        <w:rPr>
          <w:rFonts w:cs="Tahoma"/>
          <w:szCs w:val="20"/>
        </w:rPr>
        <w:t>les moyens financiers et humains nécessaires à son fonctionnement</w:t>
      </w:r>
      <w:r w:rsidR="007462ED" w:rsidRPr="00E342DC">
        <w:rPr>
          <w:rFonts w:cs="Tahoma"/>
          <w:szCs w:val="20"/>
        </w:rPr>
        <w:t> ;</w:t>
      </w:r>
    </w:p>
    <w:p w:rsidR="007D2935" w:rsidRPr="00E342DC" w:rsidRDefault="007D2935" w:rsidP="00745082">
      <w:pPr>
        <w:pStyle w:val="ListParagraph"/>
        <w:numPr>
          <w:ilvl w:val="0"/>
          <w:numId w:val="34"/>
        </w:numPr>
        <w:rPr>
          <w:rFonts w:cs="Tahoma"/>
          <w:szCs w:val="20"/>
        </w:rPr>
      </w:pPr>
      <w:r w:rsidRPr="00E342DC">
        <w:rPr>
          <w:rFonts w:cs="Tahoma"/>
          <w:szCs w:val="20"/>
        </w:rPr>
        <w:t xml:space="preserve">Tenir dûment informées les familles </w:t>
      </w:r>
      <w:r w:rsidR="00745082" w:rsidRPr="00E342DC">
        <w:rPr>
          <w:rFonts w:cs="Tahoma"/>
          <w:szCs w:val="20"/>
        </w:rPr>
        <w:t xml:space="preserve">des victimes des </w:t>
      </w:r>
      <w:r w:rsidRPr="00E342DC">
        <w:rPr>
          <w:rFonts w:cs="Tahoma"/>
          <w:szCs w:val="20"/>
        </w:rPr>
        <w:t>activités de l’IVD</w:t>
      </w:r>
      <w:r w:rsidR="007462ED" w:rsidRPr="00E342DC">
        <w:rPr>
          <w:rFonts w:cs="Tahoma"/>
          <w:szCs w:val="20"/>
        </w:rPr>
        <w:t> </w:t>
      </w:r>
      <w:r w:rsidR="00745082" w:rsidRPr="00E342DC">
        <w:rPr>
          <w:rFonts w:cs="Tahoma"/>
          <w:szCs w:val="20"/>
        </w:rPr>
        <w:t>et de l’avancement des enquêtes</w:t>
      </w:r>
      <w:r w:rsidR="007462ED" w:rsidRPr="00E342DC">
        <w:rPr>
          <w:rFonts w:cs="Tahoma"/>
          <w:szCs w:val="20"/>
        </w:rPr>
        <w:t>;</w:t>
      </w:r>
    </w:p>
    <w:p w:rsidR="00745082" w:rsidRPr="00E342DC" w:rsidRDefault="00745082" w:rsidP="00745082">
      <w:pPr>
        <w:pStyle w:val="ListParagraph"/>
        <w:numPr>
          <w:ilvl w:val="0"/>
          <w:numId w:val="34"/>
        </w:numPr>
        <w:rPr>
          <w:rFonts w:cs="Tahoma"/>
          <w:bCs/>
          <w:szCs w:val="20"/>
        </w:rPr>
      </w:pPr>
      <w:r w:rsidRPr="00E342DC">
        <w:rPr>
          <w:rFonts w:cs="Tahoma"/>
          <w:szCs w:val="20"/>
        </w:rPr>
        <w:t xml:space="preserve">Exclure la compétence des tribunaux militaires pour connaître des violations des droits de l’homme ; </w:t>
      </w:r>
    </w:p>
    <w:p w:rsidR="004514CF" w:rsidRPr="00E342DC" w:rsidRDefault="004514CF" w:rsidP="00DA0ABA">
      <w:pPr>
        <w:pStyle w:val="ListParagraph"/>
        <w:numPr>
          <w:ilvl w:val="0"/>
          <w:numId w:val="34"/>
        </w:numPr>
        <w:rPr>
          <w:rFonts w:cs="Tahoma"/>
          <w:bCs/>
          <w:szCs w:val="20"/>
        </w:rPr>
      </w:pPr>
      <w:r w:rsidRPr="00E342DC">
        <w:rPr>
          <w:rFonts w:cs="Tahoma"/>
          <w:szCs w:val="20"/>
        </w:rPr>
        <w:t xml:space="preserve">Garantir les poursuites de tous les auteurs d’actes de torture commis </w:t>
      </w:r>
      <w:r w:rsidR="007462ED" w:rsidRPr="00E342DC">
        <w:rPr>
          <w:rFonts w:cs="Tahoma"/>
          <w:szCs w:val="20"/>
        </w:rPr>
        <w:t>sous l’ancien régime</w:t>
      </w:r>
      <w:r w:rsidRPr="00E342DC">
        <w:rPr>
          <w:rFonts w:cs="Tahoma"/>
          <w:szCs w:val="20"/>
        </w:rPr>
        <w:t> ;</w:t>
      </w:r>
    </w:p>
    <w:p w:rsidR="004514CF" w:rsidRPr="00E342DC" w:rsidRDefault="004514CF" w:rsidP="00DA0ABA">
      <w:pPr>
        <w:pStyle w:val="ListParagraph"/>
        <w:numPr>
          <w:ilvl w:val="0"/>
          <w:numId w:val="34"/>
        </w:numPr>
        <w:rPr>
          <w:rFonts w:cs="Tahoma"/>
          <w:bCs/>
          <w:szCs w:val="20"/>
        </w:rPr>
      </w:pPr>
      <w:r w:rsidRPr="00E342DC">
        <w:rPr>
          <w:rFonts w:cs="Tahoma"/>
          <w:szCs w:val="20"/>
        </w:rPr>
        <w:t>S’abstenir d’invoquer la compétence exclusive de l’IVD pour exclure les plaintes des victimes d’actes de torture commis durant l’ancien régime</w:t>
      </w:r>
    </w:p>
    <w:p w:rsidR="00035B24" w:rsidRPr="00E342DC" w:rsidRDefault="00035B24" w:rsidP="004514CF">
      <w:pPr>
        <w:pStyle w:val="ListParagraph"/>
        <w:rPr>
          <w:rFonts w:cs="Tahoma"/>
          <w:szCs w:val="20"/>
          <w:lang w:eastAsia="fr-FR"/>
        </w:rPr>
      </w:pPr>
    </w:p>
    <w:p w:rsidR="00A521A7" w:rsidRPr="00E342DC" w:rsidRDefault="00A521A7" w:rsidP="00DA0ABA">
      <w:pPr>
        <w:pStyle w:val="Heading1"/>
        <w:rPr>
          <w:rFonts w:cs="Tahoma"/>
          <w:szCs w:val="20"/>
          <w:lang w:val="fr-CH"/>
        </w:rPr>
      </w:pPr>
      <w:bookmarkStart w:id="33" w:name="_Toc447008741"/>
      <w:r w:rsidRPr="00E342DC">
        <w:rPr>
          <w:rFonts w:cs="Tahoma"/>
          <w:szCs w:val="20"/>
          <w:lang w:val="fr-CH"/>
        </w:rPr>
        <w:t>Traitement</w:t>
      </w:r>
      <w:r w:rsidR="00BF513F">
        <w:rPr>
          <w:rFonts w:cs="Tahoma"/>
          <w:szCs w:val="20"/>
          <w:lang w:val="fr-CH"/>
        </w:rPr>
        <w:t>s</w:t>
      </w:r>
      <w:r w:rsidRPr="00E342DC">
        <w:rPr>
          <w:rFonts w:cs="Tahoma"/>
          <w:szCs w:val="20"/>
          <w:lang w:val="fr-CH"/>
        </w:rPr>
        <w:t xml:space="preserve"> cruel</w:t>
      </w:r>
      <w:r w:rsidR="00BF513F">
        <w:rPr>
          <w:rFonts w:cs="Tahoma"/>
          <w:szCs w:val="20"/>
          <w:lang w:val="fr-CH"/>
        </w:rPr>
        <w:t>s</w:t>
      </w:r>
      <w:r w:rsidRPr="00E342DC">
        <w:rPr>
          <w:rFonts w:cs="Tahoma"/>
          <w:szCs w:val="20"/>
          <w:lang w:val="fr-CH"/>
        </w:rPr>
        <w:t>, inhumain</w:t>
      </w:r>
      <w:r w:rsidR="00BF513F">
        <w:rPr>
          <w:rFonts w:cs="Tahoma"/>
          <w:szCs w:val="20"/>
          <w:lang w:val="fr-CH"/>
        </w:rPr>
        <w:t>s</w:t>
      </w:r>
      <w:r w:rsidRPr="00E342DC">
        <w:rPr>
          <w:rFonts w:cs="Tahoma"/>
          <w:szCs w:val="20"/>
          <w:lang w:val="fr-CH"/>
        </w:rPr>
        <w:t xml:space="preserve"> et dégradant</w:t>
      </w:r>
      <w:r w:rsidR="00BF513F">
        <w:rPr>
          <w:rFonts w:cs="Tahoma"/>
          <w:szCs w:val="20"/>
          <w:lang w:val="fr-CH"/>
        </w:rPr>
        <w:t>s</w:t>
      </w:r>
      <w:bookmarkEnd w:id="33"/>
      <w:r w:rsidRPr="00E342DC">
        <w:rPr>
          <w:rFonts w:cs="Tahoma"/>
          <w:szCs w:val="20"/>
          <w:lang w:val="fr-CH"/>
        </w:rPr>
        <w:t xml:space="preserve"> </w:t>
      </w:r>
    </w:p>
    <w:p w:rsidR="00BF0ED1" w:rsidRPr="00E342DC" w:rsidRDefault="00BF0ED1" w:rsidP="00BF0ED1">
      <w:pPr>
        <w:rPr>
          <w:rFonts w:cs="Tahoma"/>
          <w:szCs w:val="20"/>
          <w:lang w:val="fr-CH"/>
        </w:rPr>
      </w:pPr>
    </w:p>
    <w:p w:rsidR="00801668" w:rsidRPr="00E342DC" w:rsidRDefault="002E6D81">
      <w:pPr>
        <w:pStyle w:val="Heading2"/>
        <w:numPr>
          <w:ilvl w:val="1"/>
          <w:numId w:val="42"/>
        </w:numPr>
        <w:rPr>
          <w:rFonts w:cs="Tahoma"/>
          <w:szCs w:val="20"/>
          <w:lang w:val="fr-CH"/>
        </w:rPr>
      </w:pPr>
      <w:bookmarkStart w:id="34" w:name="_Toc447008742"/>
      <w:r w:rsidRPr="00E342DC">
        <w:rPr>
          <w:rFonts w:cs="Tahoma"/>
          <w:szCs w:val="20"/>
          <w:lang w:val="fr-CH"/>
        </w:rPr>
        <w:lastRenderedPageBreak/>
        <w:t>Mise en œuvre de l’article 16 de la Convention dans le droit interne</w:t>
      </w:r>
      <w:bookmarkEnd w:id="34"/>
      <w:r w:rsidRPr="00E342DC">
        <w:rPr>
          <w:rFonts w:cs="Tahoma"/>
          <w:szCs w:val="20"/>
          <w:lang w:val="fr-CH"/>
        </w:rPr>
        <w:t xml:space="preserve"> </w:t>
      </w:r>
    </w:p>
    <w:p w:rsidR="00F443B1" w:rsidRPr="00E342DC" w:rsidRDefault="00F443B1" w:rsidP="00BF0ED1">
      <w:pPr>
        <w:rPr>
          <w:rFonts w:cs="Tahoma"/>
          <w:szCs w:val="20"/>
          <w:lang w:val="fr-CH"/>
        </w:rPr>
      </w:pPr>
    </w:p>
    <w:p w:rsidR="00BF0ED1" w:rsidRPr="00E342DC" w:rsidRDefault="00BF0ED1" w:rsidP="00BF0ED1">
      <w:pPr>
        <w:rPr>
          <w:rFonts w:cs="Tahoma"/>
          <w:i/>
          <w:iCs/>
          <w:szCs w:val="20"/>
          <w:lang w:val="fr-CH"/>
        </w:rPr>
      </w:pPr>
      <w:r w:rsidRPr="00E342DC">
        <w:rPr>
          <w:rFonts w:cs="Tahoma"/>
          <w:szCs w:val="20"/>
          <w:lang w:val="fr-CH"/>
        </w:rPr>
        <w:t>Les mauvais traite</w:t>
      </w:r>
      <w:r w:rsidRPr="00E342DC">
        <w:rPr>
          <w:rFonts w:cs="Tahoma"/>
          <w:szCs w:val="20"/>
          <w:lang w:val="fr-CH" w:eastAsia="fr-FR"/>
        </w:rPr>
        <w:t>m</w:t>
      </w:r>
      <w:r w:rsidRPr="00E342DC">
        <w:rPr>
          <w:rFonts w:cs="Tahoma"/>
          <w:szCs w:val="20"/>
          <w:lang w:val="fr-CH"/>
        </w:rPr>
        <w:t xml:space="preserve">ents sont incriminés dans l’article 103 du Code pénal de l’État partie cité plus haut qui prévoit </w:t>
      </w:r>
      <w:r w:rsidRPr="00E342DC">
        <w:rPr>
          <w:rFonts w:cs="Tahoma"/>
          <w:i/>
          <w:iCs/>
          <w:szCs w:val="20"/>
          <w:lang w:val="fr-CH"/>
        </w:rPr>
        <w:t>« cinq ans d’emprisonnement et de cent vingt dinars d’amende tout fonctionnaire public qui, sans motif légitime, aura porté atteinte à la liberté individuelle d’autrui ou usé ou fait user de violences ou de mauvais traitements envers un accusé, un témoin ou un expert, pour en obtenir des aveux ou déclarations. La peine est réduite à six mois d’emprisonnement s’il y a eu seulement menaces de violences ou de mauvais traitements. »</w:t>
      </w:r>
    </w:p>
    <w:p w:rsidR="00BF0ED1" w:rsidRPr="00E342DC" w:rsidRDefault="00BF0ED1" w:rsidP="00BF0ED1">
      <w:pPr>
        <w:rPr>
          <w:rFonts w:cs="Tahoma"/>
          <w:i/>
          <w:iCs/>
          <w:szCs w:val="20"/>
          <w:lang w:val="fr-CH"/>
        </w:rPr>
      </w:pPr>
    </w:p>
    <w:p w:rsidR="00BF0ED1" w:rsidRPr="00E342DC" w:rsidRDefault="00BF0ED1" w:rsidP="00BF0ED1">
      <w:pPr>
        <w:rPr>
          <w:rFonts w:cs="Tahoma"/>
          <w:szCs w:val="20"/>
          <w:lang w:val="fr-CH"/>
        </w:rPr>
      </w:pPr>
      <w:r w:rsidRPr="00E342DC">
        <w:rPr>
          <w:rFonts w:cs="Tahoma"/>
          <w:szCs w:val="20"/>
          <w:lang w:val="fr-CH"/>
        </w:rPr>
        <w:t>Nous notons que tout comme la définition de la torture, la définition des mauvais traitements est aussi limitative quant à l’élément de la</w:t>
      </w:r>
      <w:r w:rsidRPr="00E342DC">
        <w:rPr>
          <w:rFonts w:cs="Tahoma"/>
          <w:i/>
          <w:iCs/>
          <w:szCs w:val="20"/>
          <w:lang w:val="fr-CH"/>
        </w:rPr>
        <w:t xml:space="preserve"> mens rea.</w:t>
      </w:r>
      <w:r w:rsidRPr="00E342DC">
        <w:rPr>
          <w:rFonts w:cs="Tahoma"/>
          <w:szCs w:val="20"/>
          <w:lang w:val="fr-CH"/>
        </w:rPr>
        <w:t xml:space="preserve"> Seuls les mauvais traitements qui ont pour but d’ « </w:t>
      </w:r>
      <w:r w:rsidRPr="00E342DC">
        <w:rPr>
          <w:rFonts w:cs="Tahoma"/>
          <w:i/>
          <w:iCs/>
          <w:szCs w:val="20"/>
          <w:lang w:val="fr-CH"/>
        </w:rPr>
        <w:t xml:space="preserve">obtenir des aveux ou déclarations » </w:t>
      </w:r>
      <w:r w:rsidRPr="00E342DC">
        <w:rPr>
          <w:rFonts w:cs="Tahoma"/>
          <w:szCs w:val="20"/>
          <w:lang w:val="fr-CH"/>
        </w:rPr>
        <w:t xml:space="preserve">sont incriminées excluant les mauvais traitements ayant un but punitif ou basés sur une discrimination quelle qu’elle soit. </w:t>
      </w:r>
    </w:p>
    <w:p w:rsidR="00852FA2" w:rsidRPr="00E342DC" w:rsidRDefault="00852FA2" w:rsidP="00BF0ED1">
      <w:pPr>
        <w:rPr>
          <w:rFonts w:cs="Tahoma"/>
          <w:szCs w:val="20"/>
          <w:lang w:val="fr-CH"/>
        </w:rPr>
      </w:pPr>
    </w:p>
    <w:p w:rsidR="00801668" w:rsidRPr="00E342DC" w:rsidRDefault="002E6D81" w:rsidP="004514CF">
      <w:pPr>
        <w:pStyle w:val="Heading2"/>
        <w:numPr>
          <w:ilvl w:val="1"/>
          <w:numId w:val="42"/>
        </w:numPr>
        <w:rPr>
          <w:rFonts w:cs="Tahoma"/>
          <w:szCs w:val="20"/>
          <w:lang w:val="fr-CH"/>
        </w:rPr>
      </w:pPr>
      <w:bookmarkStart w:id="35" w:name="_Toc447008743"/>
      <w:r w:rsidRPr="00E342DC">
        <w:rPr>
          <w:rFonts w:cs="Tahoma"/>
          <w:szCs w:val="20"/>
          <w:lang w:val="fr-CH"/>
        </w:rPr>
        <w:t>Conditions de détention et surpopulation carcérale</w:t>
      </w:r>
      <w:bookmarkEnd w:id="35"/>
    </w:p>
    <w:p w:rsidR="00F22129" w:rsidRPr="00E342DC" w:rsidRDefault="00F22129" w:rsidP="00DA0ABA">
      <w:pPr>
        <w:rPr>
          <w:rFonts w:cs="Tahoma"/>
          <w:szCs w:val="20"/>
          <w:lang w:val="fr-CH" w:eastAsia="fr-FR"/>
        </w:rPr>
      </w:pPr>
    </w:p>
    <w:p w:rsidR="00423993" w:rsidRPr="00E342DC" w:rsidRDefault="004514CF" w:rsidP="004514CF">
      <w:pPr>
        <w:rPr>
          <w:rFonts w:cs="Tahoma"/>
          <w:szCs w:val="20"/>
          <w:lang w:val="fr-CH" w:eastAsia="fr-FR"/>
        </w:rPr>
      </w:pPr>
      <w:r w:rsidRPr="00E342DC">
        <w:rPr>
          <w:rFonts w:cs="Tahoma"/>
          <w:szCs w:val="20"/>
          <w:lang w:val="fr-CH" w:eastAsia="fr-FR"/>
        </w:rPr>
        <w:t>L</w:t>
      </w:r>
      <w:r w:rsidR="000B6455" w:rsidRPr="00E342DC">
        <w:rPr>
          <w:rFonts w:cs="Tahoma"/>
          <w:szCs w:val="20"/>
          <w:lang w:val="fr-CH" w:eastAsia="fr-FR"/>
        </w:rPr>
        <w:t xml:space="preserve">'article 30 de la Constitution </w:t>
      </w:r>
      <w:r w:rsidRPr="00E342DC">
        <w:rPr>
          <w:rFonts w:cs="Tahoma"/>
          <w:szCs w:val="20"/>
          <w:lang w:val="fr-CH" w:eastAsia="fr-FR"/>
        </w:rPr>
        <w:t xml:space="preserve">prévoit </w:t>
      </w:r>
      <w:r w:rsidR="000B6455" w:rsidRPr="00E342DC">
        <w:rPr>
          <w:rFonts w:cs="Tahoma"/>
          <w:szCs w:val="20"/>
          <w:lang w:val="fr-CH" w:eastAsia="fr-FR"/>
        </w:rPr>
        <w:t>le droit de chaque détenu à un traitement humain qui préserve sa dignité</w:t>
      </w:r>
      <w:r w:rsidR="00E342DC" w:rsidRPr="00E342DC">
        <w:rPr>
          <w:rFonts w:cs="Tahoma"/>
          <w:szCs w:val="20"/>
          <w:lang w:val="fr-CH" w:eastAsia="fr-FR"/>
        </w:rPr>
        <w:t>.</w:t>
      </w:r>
      <w:r w:rsidRPr="00E342DC">
        <w:rPr>
          <w:rFonts w:cs="Tahoma"/>
          <w:szCs w:val="20"/>
          <w:lang w:val="fr-CH" w:eastAsia="fr-FR"/>
        </w:rPr>
        <w:t xml:space="preserve"> Toutefois, dans la pratique,</w:t>
      </w:r>
      <w:r w:rsidR="00204456" w:rsidRPr="00E342DC">
        <w:rPr>
          <w:rFonts w:cs="Tahoma"/>
          <w:szCs w:val="20"/>
          <w:lang w:val="fr-CH" w:eastAsia="fr-FR"/>
        </w:rPr>
        <w:t xml:space="preserve"> </w:t>
      </w:r>
      <w:r w:rsidRPr="00E342DC">
        <w:rPr>
          <w:rFonts w:cs="Tahoma"/>
          <w:szCs w:val="20"/>
          <w:lang w:val="fr-CH" w:eastAsia="fr-FR"/>
        </w:rPr>
        <w:t xml:space="preserve">les conditions de détention dans les prisons en Tunisie restent problématiques. Ainsi, </w:t>
      </w:r>
      <w:r w:rsidR="00204456" w:rsidRPr="00E342DC">
        <w:rPr>
          <w:rFonts w:cs="Tahoma"/>
          <w:szCs w:val="20"/>
          <w:lang w:val="fr-CH" w:eastAsia="fr-FR"/>
        </w:rPr>
        <w:t>les cellules surpeuplées où plusieurs détenus s’alternent pour dormir en raison du manque de place</w:t>
      </w:r>
      <w:r w:rsidR="00423993" w:rsidRPr="00E342DC">
        <w:rPr>
          <w:rStyle w:val="FootnoteReference"/>
          <w:rFonts w:cs="Tahoma"/>
          <w:szCs w:val="20"/>
          <w:lang w:val="fr-CH" w:eastAsia="fr-FR"/>
        </w:rPr>
        <w:footnoteReference w:id="58"/>
      </w:r>
      <w:r w:rsidR="00204456" w:rsidRPr="00E342DC">
        <w:rPr>
          <w:rFonts w:cs="Tahoma"/>
          <w:szCs w:val="20"/>
          <w:lang w:val="fr-CH" w:eastAsia="fr-FR"/>
        </w:rPr>
        <w:t>, l’interdiction de sortie</w:t>
      </w:r>
      <w:r w:rsidR="00A76568" w:rsidRPr="00E342DC">
        <w:rPr>
          <w:rFonts w:cs="Tahoma"/>
          <w:szCs w:val="20"/>
          <w:lang w:val="fr-CH" w:eastAsia="fr-FR"/>
        </w:rPr>
        <w:t xml:space="preserve"> dans la cour</w:t>
      </w:r>
      <w:r w:rsidR="00204456" w:rsidRPr="00E342DC">
        <w:rPr>
          <w:rFonts w:cs="Tahoma"/>
          <w:szCs w:val="20"/>
          <w:lang w:val="fr-CH" w:eastAsia="fr-FR"/>
        </w:rPr>
        <w:t>, la détention en isolement, la privation d</w:t>
      </w:r>
      <w:r w:rsidR="00423993" w:rsidRPr="00E342DC">
        <w:rPr>
          <w:rFonts w:cs="Tahoma"/>
          <w:szCs w:val="20"/>
          <w:lang w:val="fr-CH" w:eastAsia="fr-FR"/>
        </w:rPr>
        <w:t>e soins urgents</w:t>
      </w:r>
      <w:r w:rsidR="00423993" w:rsidRPr="00E342DC">
        <w:rPr>
          <w:rStyle w:val="FootnoteReference"/>
          <w:rFonts w:cs="Tahoma"/>
          <w:szCs w:val="20"/>
          <w:lang w:val="fr-CH" w:eastAsia="fr-FR"/>
        </w:rPr>
        <w:footnoteReference w:id="59"/>
      </w:r>
      <w:r w:rsidR="00423993" w:rsidRPr="00E342DC">
        <w:rPr>
          <w:rFonts w:cs="Tahoma"/>
          <w:szCs w:val="20"/>
          <w:lang w:val="fr-CH" w:eastAsia="fr-FR"/>
        </w:rPr>
        <w:t xml:space="preserve"> ou d’un traitement médical, les sévices sexuels ou menaces de viol</w:t>
      </w:r>
      <w:r w:rsidR="00423993" w:rsidRPr="00E342DC">
        <w:rPr>
          <w:rStyle w:val="FootnoteReference"/>
          <w:rFonts w:cs="Tahoma"/>
          <w:szCs w:val="20"/>
          <w:lang w:val="fr-CH" w:eastAsia="fr-FR"/>
        </w:rPr>
        <w:footnoteReference w:id="60"/>
      </w:r>
      <w:r w:rsidR="00423993" w:rsidRPr="00E342DC">
        <w:rPr>
          <w:rFonts w:cs="Tahoma"/>
          <w:szCs w:val="20"/>
          <w:lang w:val="fr-CH" w:eastAsia="fr-FR"/>
        </w:rPr>
        <w:t xml:space="preserve"> </w:t>
      </w:r>
      <w:r w:rsidRPr="00E342DC">
        <w:rPr>
          <w:rFonts w:cs="Tahoma"/>
          <w:szCs w:val="20"/>
          <w:lang w:val="fr-CH" w:eastAsia="fr-FR"/>
        </w:rPr>
        <w:t xml:space="preserve">constituent des </w:t>
      </w:r>
      <w:r w:rsidR="00A25360" w:rsidRPr="00E342DC">
        <w:rPr>
          <w:rFonts w:cs="Tahoma"/>
          <w:szCs w:val="20"/>
          <w:lang w:val="fr-CH" w:eastAsia="fr-FR"/>
        </w:rPr>
        <w:t xml:space="preserve">traitements </w:t>
      </w:r>
      <w:r w:rsidRPr="00E342DC">
        <w:rPr>
          <w:rFonts w:cs="Tahoma"/>
          <w:szCs w:val="20"/>
          <w:lang w:val="fr-CH" w:eastAsia="fr-FR"/>
        </w:rPr>
        <w:t xml:space="preserve">courants </w:t>
      </w:r>
      <w:r w:rsidR="00A25360" w:rsidRPr="00E342DC">
        <w:rPr>
          <w:rFonts w:cs="Tahoma"/>
          <w:szCs w:val="20"/>
          <w:lang w:val="fr-CH" w:eastAsia="fr-FR"/>
        </w:rPr>
        <w:t>en violation de l’</w:t>
      </w:r>
      <w:r w:rsidR="00423993" w:rsidRPr="00E342DC">
        <w:rPr>
          <w:rFonts w:cs="Tahoma"/>
          <w:szCs w:val="20"/>
          <w:lang w:val="fr-CH" w:eastAsia="fr-FR"/>
        </w:rPr>
        <w:t>article 16 de la Convention</w:t>
      </w:r>
      <w:r w:rsidRPr="00E342DC">
        <w:rPr>
          <w:rFonts w:cs="Tahoma"/>
          <w:szCs w:val="20"/>
          <w:lang w:val="fr-CH" w:eastAsia="fr-FR"/>
        </w:rPr>
        <w:t xml:space="preserve">. </w:t>
      </w:r>
    </w:p>
    <w:p w:rsidR="00A25360" w:rsidRPr="00E342DC" w:rsidRDefault="00A25360" w:rsidP="00DA0ABA">
      <w:pPr>
        <w:rPr>
          <w:rFonts w:cs="Tahoma"/>
          <w:szCs w:val="20"/>
          <w:lang w:val="fr-CH" w:eastAsia="fr-FR"/>
        </w:rPr>
      </w:pPr>
    </w:p>
    <w:p w:rsidR="004D3503" w:rsidRPr="00E342DC" w:rsidRDefault="002F17BA" w:rsidP="00B4710B">
      <w:pPr>
        <w:rPr>
          <w:rFonts w:cs="Tahoma"/>
          <w:szCs w:val="20"/>
          <w:lang w:val="fr-CH"/>
        </w:rPr>
      </w:pPr>
      <w:r w:rsidRPr="00E342DC">
        <w:rPr>
          <w:rFonts w:cs="Tahoma"/>
          <w:szCs w:val="20"/>
          <w:lang w:val="fr-CH"/>
        </w:rPr>
        <w:t xml:space="preserve">En 2011, le Rapporteur spécial sur la torture avait fait état </w:t>
      </w:r>
      <w:r w:rsidR="00967FBF" w:rsidRPr="00E342DC">
        <w:rPr>
          <w:rFonts w:cs="Tahoma"/>
          <w:szCs w:val="20"/>
          <w:lang w:val="fr-CH"/>
        </w:rPr>
        <w:t>de la surpopulation carcérale</w:t>
      </w:r>
      <w:r w:rsidRPr="00E342DC">
        <w:rPr>
          <w:rFonts w:cs="Tahoma"/>
          <w:szCs w:val="20"/>
          <w:lang w:val="fr-CH"/>
        </w:rPr>
        <w:t xml:space="preserve"> dans les prisons et autres lieux de détention de l’</w:t>
      </w:r>
      <w:r w:rsidR="0070261E" w:rsidRPr="00E342DC">
        <w:rPr>
          <w:rFonts w:cs="Tahoma"/>
          <w:szCs w:val="20"/>
          <w:lang w:val="fr-CH"/>
        </w:rPr>
        <w:t>État</w:t>
      </w:r>
      <w:r w:rsidRPr="00E342DC">
        <w:rPr>
          <w:rFonts w:cs="Tahoma"/>
          <w:szCs w:val="20"/>
          <w:lang w:val="fr-CH"/>
        </w:rPr>
        <w:t xml:space="preserve"> partie</w:t>
      </w:r>
      <w:r w:rsidR="00967FBF" w:rsidRPr="00E342DC">
        <w:rPr>
          <w:rFonts w:cs="Tahoma"/>
          <w:szCs w:val="20"/>
          <w:lang w:val="fr-CH"/>
        </w:rPr>
        <w:t xml:space="preserve">. </w:t>
      </w:r>
      <w:r w:rsidRPr="00E342DC">
        <w:rPr>
          <w:rFonts w:cs="Tahoma"/>
          <w:szCs w:val="20"/>
          <w:lang w:val="fr-CH"/>
        </w:rPr>
        <w:t xml:space="preserve">Alkarama </w:t>
      </w:r>
      <w:r w:rsidR="00967FBF" w:rsidRPr="00E342DC">
        <w:rPr>
          <w:rFonts w:cs="Tahoma"/>
          <w:szCs w:val="20"/>
          <w:lang w:val="fr-CH"/>
        </w:rPr>
        <w:t xml:space="preserve">constate que la situation ne s’est pas améliorée dans les années qui ont suivi. </w:t>
      </w:r>
      <w:r w:rsidR="004514CF" w:rsidRPr="00E342DC">
        <w:rPr>
          <w:rFonts w:cs="Tahoma"/>
          <w:szCs w:val="20"/>
          <w:lang w:val="fr-CH"/>
        </w:rPr>
        <w:t>De plus, selon</w:t>
      </w:r>
      <w:r w:rsidR="00967FBF" w:rsidRPr="00E342DC">
        <w:rPr>
          <w:rFonts w:cs="Tahoma"/>
          <w:szCs w:val="20"/>
          <w:lang w:val="fr-CH"/>
        </w:rPr>
        <w:t xml:space="preserve"> le Centre international d’études pénitentiaire le nombre de personnes détenues dans les établissements pénitentiaires, y compris avant jugement, s</w:t>
      </w:r>
      <w:r w:rsidR="00B4710B" w:rsidRPr="00E342DC">
        <w:rPr>
          <w:rFonts w:cs="Tahoma"/>
          <w:szCs w:val="20"/>
          <w:lang w:val="fr-CH"/>
        </w:rPr>
        <w:t xml:space="preserve">’élevait </w:t>
      </w:r>
      <w:r w:rsidR="00967FBF" w:rsidRPr="00E342DC">
        <w:rPr>
          <w:rFonts w:cs="Tahoma"/>
          <w:szCs w:val="20"/>
          <w:lang w:val="fr-CH"/>
        </w:rPr>
        <w:t>en 2014 à 23 686 pour une capacité totale de 18 000 places constituant un taux d’occupation de 131%.</w:t>
      </w:r>
      <w:r w:rsidR="00967FBF" w:rsidRPr="00E342DC">
        <w:rPr>
          <w:rStyle w:val="FootnoteReference"/>
          <w:rFonts w:cs="Tahoma"/>
          <w:szCs w:val="20"/>
          <w:lang w:val="fr-CH"/>
        </w:rPr>
        <w:footnoteReference w:id="61"/>
      </w:r>
      <w:r w:rsidR="00E14DA6" w:rsidRPr="00E342DC">
        <w:rPr>
          <w:rFonts w:cs="Tahoma"/>
          <w:szCs w:val="20"/>
          <w:lang w:val="fr-CH"/>
        </w:rPr>
        <w:t>Le Bureau du Haut Commissariat au Droits de l’Homme basé en Tunisie a estimé quant à lui un taux d’occupation de 150% dans certains établissements pénitentiaires pour l’année 2014 en particulier dans les prisons de Jendouba, Messaadine-Sousse, Kairouan et Kasserine</w:t>
      </w:r>
      <w:r w:rsidR="00E14DA6" w:rsidRPr="00E342DC">
        <w:rPr>
          <w:rStyle w:val="FootnoteReference"/>
          <w:rFonts w:cs="Tahoma"/>
          <w:szCs w:val="20"/>
          <w:lang w:val="fr-CH"/>
        </w:rPr>
        <w:footnoteReference w:id="62"/>
      </w:r>
      <w:r w:rsidR="004C04BF" w:rsidRPr="00E342DC">
        <w:rPr>
          <w:rFonts w:cs="Tahoma"/>
          <w:szCs w:val="20"/>
          <w:lang w:val="fr-CH"/>
        </w:rPr>
        <w:t>.</w:t>
      </w:r>
      <w:r w:rsidR="00E14DA6" w:rsidRPr="00E342DC">
        <w:rPr>
          <w:rFonts w:cs="Tahoma"/>
          <w:szCs w:val="20"/>
          <w:lang w:val="fr-CH"/>
        </w:rPr>
        <w:t xml:space="preserve"> </w:t>
      </w:r>
      <w:r w:rsidR="00B4710B" w:rsidRPr="00E342DC">
        <w:rPr>
          <w:rFonts w:cs="Tahoma"/>
          <w:szCs w:val="20"/>
          <w:lang w:val="fr-CH"/>
        </w:rPr>
        <w:t xml:space="preserve">Depuis, la situation s’est détériorée ces deux dernières années. </w:t>
      </w:r>
      <w:r w:rsidR="00BD1A00" w:rsidRPr="00E342DC">
        <w:rPr>
          <w:rFonts w:cs="Tahoma"/>
          <w:szCs w:val="20"/>
          <w:lang w:val="fr-CH"/>
        </w:rPr>
        <w:t>L’Etat partie reconnait à ce propos que « l’espace consacré</w:t>
      </w:r>
      <w:r w:rsidR="002E00C1">
        <w:rPr>
          <w:rFonts w:cs="Tahoma"/>
          <w:szCs w:val="20"/>
          <w:lang w:val="fr-CH"/>
        </w:rPr>
        <w:t xml:space="preserve"> à chaque prisonnier a diminué.</w:t>
      </w:r>
      <w:r w:rsidR="00BD1A00" w:rsidRPr="00E342DC">
        <w:rPr>
          <w:rFonts w:cs="Tahoma"/>
          <w:szCs w:val="20"/>
          <w:lang w:val="fr-CH"/>
        </w:rPr>
        <w:t>»</w:t>
      </w:r>
      <w:r w:rsidR="00BD1A00" w:rsidRPr="00E342DC">
        <w:rPr>
          <w:rStyle w:val="FootnoteReference"/>
          <w:rFonts w:cs="Tahoma"/>
          <w:szCs w:val="20"/>
          <w:lang w:val="fr-CH"/>
        </w:rPr>
        <w:footnoteReference w:id="63"/>
      </w:r>
    </w:p>
    <w:p w:rsidR="00D9565E" w:rsidRPr="00E342DC" w:rsidRDefault="00D9565E" w:rsidP="00DA0ABA">
      <w:pPr>
        <w:rPr>
          <w:rFonts w:cs="Tahoma"/>
          <w:szCs w:val="20"/>
          <w:lang w:val="fr-CH"/>
        </w:rPr>
      </w:pPr>
    </w:p>
    <w:p w:rsidR="00A521A7" w:rsidRPr="00E342DC" w:rsidRDefault="004E3CB6" w:rsidP="00112281">
      <w:pPr>
        <w:pStyle w:val="Heading2"/>
        <w:numPr>
          <w:ilvl w:val="1"/>
          <w:numId w:val="25"/>
        </w:numPr>
        <w:rPr>
          <w:rFonts w:cs="Tahoma"/>
          <w:szCs w:val="20"/>
          <w:lang w:val="fr-CH"/>
        </w:rPr>
      </w:pPr>
      <w:r w:rsidRPr="00E342DC">
        <w:rPr>
          <w:rFonts w:cs="Tahoma"/>
          <w:szCs w:val="20"/>
          <w:lang w:val="fr-CH"/>
        </w:rPr>
        <w:t xml:space="preserve"> </w:t>
      </w:r>
      <w:bookmarkStart w:id="36" w:name="_Toc447008744"/>
      <w:r w:rsidR="000B6455" w:rsidRPr="00E342DC">
        <w:rPr>
          <w:rFonts w:cs="Tahoma"/>
          <w:szCs w:val="20"/>
          <w:lang w:val="fr-CH"/>
        </w:rPr>
        <w:t xml:space="preserve">Violences policières </w:t>
      </w:r>
      <w:r w:rsidR="00FA23F5" w:rsidRPr="00E342DC">
        <w:rPr>
          <w:rFonts w:cs="Tahoma"/>
          <w:szCs w:val="20"/>
          <w:lang w:val="fr-CH"/>
        </w:rPr>
        <w:t>et mauvais traitements en marge de manifestation</w:t>
      </w:r>
      <w:r w:rsidR="002E00C1">
        <w:rPr>
          <w:rFonts w:cs="Tahoma"/>
          <w:szCs w:val="20"/>
          <w:lang w:val="fr-CH"/>
        </w:rPr>
        <w:t>s</w:t>
      </w:r>
      <w:bookmarkEnd w:id="36"/>
      <w:r w:rsidR="00FA23F5" w:rsidRPr="00E342DC">
        <w:rPr>
          <w:rFonts w:cs="Tahoma"/>
          <w:szCs w:val="20"/>
          <w:lang w:val="fr-CH"/>
        </w:rPr>
        <w:t xml:space="preserve"> </w:t>
      </w:r>
    </w:p>
    <w:p w:rsidR="00A521A7" w:rsidRPr="00E342DC" w:rsidRDefault="00A521A7" w:rsidP="00DA0ABA">
      <w:pPr>
        <w:rPr>
          <w:rFonts w:cs="Tahoma"/>
          <w:szCs w:val="20"/>
          <w:lang w:val="fr-CH"/>
        </w:rPr>
      </w:pPr>
    </w:p>
    <w:p w:rsidR="00112281" w:rsidRPr="00E342DC" w:rsidRDefault="00112281" w:rsidP="00B4710B">
      <w:pPr>
        <w:rPr>
          <w:rFonts w:cs="Tahoma"/>
          <w:szCs w:val="20"/>
          <w:lang w:val="fr-CH"/>
        </w:rPr>
      </w:pPr>
      <w:r w:rsidRPr="00E342DC">
        <w:rPr>
          <w:rFonts w:cs="Tahoma"/>
          <w:szCs w:val="20"/>
          <w:lang w:val="fr-CH"/>
        </w:rPr>
        <w:t>A</w:t>
      </w:r>
      <w:r w:rsidR="00A521A7" w:rsidRPr="00E342DC">
        <w:rPr>
          <w:rFonts w:cs="Tahoma"/>
          <w:szCs w:val="20"/>
          <w:lang w:val="fr-CH"/>
        </w:rPr>
        <w:t xml:space="preserve"> l’issue de sa visite, le Rapporteur spécial sur la torture avait recommandé à l’</w:t>
      </w:r>
      <w:r w:rsidR="0070261E" w:rsidRPr="00E342DC">
        <w:rPr>
          <w:rFonts w:cs="Tahoma"/>
          <w:szCs w:val="20"/>
          <w:lang w:val="fr-CH"/>
        </w:rPr>
        <w:t>État</w:t>
      </w:r>
      <w:r w:rsidR="00A521A7" w:rsidRPr="00E342DC">
        <w:rPr>
          <w:rFonts w:cs="Tahoma"/>
          <w:szCs w:val="20"/>
          <w:lang w:val="fr-CH"/>
        </w:rPr>
        <w:t xml:space="preserve"> partie de modifier la législation en vigueur </w:t>
      </w:r>
      <w:r w:rsidR="00E731B3" w:rsidRPr="00E342DC">
        <w:rPr>
          <w:rFonts w:cs="Tahoma"/>
          <w:szCs w:val="20"/>
          <w:lang w:val="fr-CH"/>
        </w:rPr>
        <w:t>régissant l’usage de la force</w:t>
      </w:r>
      <w:r w:rsidRPr="00E342DC">
        <w:rPr>
          <w:rFonts w:cs="Tahoma"/>
          <w:szCs w:val="20"/>
          <w:lang w:val="fr-CH"/>
        </w:rPr>
        <w:t xml:space="preserve"> afin </w:t>
      </w:r>
      <w:r w:rsidR="00BC3DFB" w:rsidRPr="00E342DC">
        <w:rPr>
          <w:rFonts w:cs="Tahoma"/>
          <w:szCs w:val="20"/>
          <w:lang w:val="fr-CH"/>
        </w:rPr>
        <w:t xml:space="preserve">d’assurer </w:t>
      </w:r>
      <w:r w:rsidRPr="00E342DC">
        <w:rPr>
          <w:rFonts w:cs="Tahoma"/>
          <w:szCs w:val="20"/>
          <w:lang w:val="fr-CH"/>
        </w:rPr>
        <w:t>s</w:t>
      </w:r>
      <w:r w:rsidR="00BC3DFB" w:rsidRPr="00E342DC">
        <w:rPr>
          <w:rFonts w:cs="Tahoma"/>
          <w:szCs w:val="20"/>
          <w:lang w:val="fr-CH"/>
        </w:rPr>
        <w:t xml:space="preserve">a mise en conformité avec </w:t>
      </w:r>
      <w:r w:rsidR="00B4710B" w:rsidRPr="00E342DC">
        <w:rPr>
          <w:rFonts w:cs="Tahoma"/>
          <w:szCs w:val="20"/>
          <w:lang w:val="fr-CH"/>
        </w:rPr>
        <w:t>les « </w:t>
      </w:r>
      <w:r w:rsidR="00BC3DFB" w:rsidRPr="00E342DC">
        <w:rPr>
          <w:rFonts w:cs="Tahoma"/>
          <w:szCs w:val="20"/>
          <w:lang w:val="fr-CH"/>
        </w:rPr>
        <w:t>Principes de base des Nations Unies sur le recours à la force et l'utilisation des armes à feu</w:t>
      </w:r>
      <w:r w:rsidR="00B4710B" w:rsidRPr="00E342DC">
        <w:rPr>
          <w:rFonts w:cs="Tahoma"/>
          <w:szCs w:val="20"/>
          <w:lang w:val="fr-CH"/>
        </w:rPr>
        <w:t> »</w:t>
      </w:r>
      <w:r w:rsidRPr="00E342DC">
        <w:rPr>
          <w:rFonts w:cs="Tahoma"/>
          <w:szCs w:val="20"/>
          <w:lang w:val="fr-CH"/>
        </w:rPr>
        <w:t xml:space="preserve">. Ces principes </w:t>
      </w:r>
      <w:r w:rsidR="00BC3DFB" w:rsidRPr="00E342DC">
        <w:rPr>
          <w:rFonts w:cs="Tahoma"/>
          <w:szCs w:val="20"/>
          <w:lang w:val="fr-CH"/>
        </w:rPr>
        <w:t>prévoient notamment que les forces de l’ordre « auront recours autant que possible à des moyens non violents avant de faire usage de la force » et ne peuvent faire usage de la force « que si les autres moyens restent sans effet ». Lorsque l'usage de la force est inévitable, les responsables de l'application des lois « en useront avec modération et leur action sera proportionnelle à la gravité de l'infraction</w:t>
      </w:r>
      <w:r w:rsidR="00BF513F">
        <w:rPr>
          <w:rFonts w:cs="Tahoma"/>
          <w:szCs w:val="20"/>
          <w:lang w:val="fr-CH"/>
        </w:rPr>
        <w:t>. »</w:t>
      </w:r>
      <w:r w:rsidR="00BC3DFB" w:rsidRPr="00E342DC">
        <w:rPr>
          <w:rStyle w:val="FootnoteReference"/>
          <w:rFonts w:cs="Tahoma"/>
          <w:szCs w:val="20"/>
          <w:lang w:val="fr-CH"/>
        </w:rPr>
        <w:footnoteReference w:id="64"/>
      </w:r>
      <w:r w:rsidR="00BF513F">
        <w:rPr>
          <w:rFonts w:cs="Tahoma"/>
          <w:szCs w:val="20"/>
          <w:lang w:val="fr-CH"/>
        </w:rPr>
        <w:t xml:space="preserve"> </w:t>
      </w:r>
    </w:p>
    <w:p w:rsidR="00A521A7" w:rsidRPr="00E342DC" w:rsidRDefault="00A521A7" w:rsidP="00DA0ABA">
      <w:pPr>
        <w:rPr>
          <w:rFonts w:cs="Tahoma"/>
          <w:szCs w:val="20"/>
          <w:lang w:val="fr-CH"/>
        </w:rPr>
      </w:pPr>
    </w:p>
    <w:p w:rsidR="00112281" w:rsidRPr="00E342DC" w:rsidRDefault="00112281" w:rsidP="00B4710B">
      <w:pPr>
        <w:rPr>
          <w:rFonts w:cs="Tahoma"/>
          <w:szCs w:val="20"/>
          <w:lang w:val="fr-CH"/>
        </w:rPr>
      </w:pPr>
      <w:r w:rsidRPr="00E342DC">
        <w:rPr>
          <w:rFonts w:cs="Tahoma"/>
          <w:szCs w:val="20"/>
          <w:lang w:val="fr-CH"/>
        </w:rPr>
        <w:t>Ce</w:t>
      </w:r>
      <w:r w:rsidR="007A496D" w:rsidRPr="00E342DC">
        <w:rPr>
          <w:rFonts w:cs="Tahoma"/>
          <w:szCs w:val="20"/>
          <w:lang w:val="fr-CH"/>
        </w:rPr>
        <w:t>c</w:t>
      </w:r>
      <w:r w:rsidRPr="00E342DC">
        <w:rPr>
          <w:rFonts w:cs="Tahoma"/>
          <w:szCs w:val="20"/>
          <w:lang w:val="fr-CH"/>
        </w:rPr>
        <w:t xml:space="preserve">i est d’autant plus </w:t>
      </w:r>
      <w:r w:rsidR="007A496D" w:rsidRPr="00E342DC">
        <w:rPr>
          <w:rFonts w:cs="Tahoma"/>
          <w:szCs w:val="20"/>
          <w:lang w:val="fr-CH"/>
        </w:rPr>
        <w:t>préoccupant</w:t>
      </w:r>
      <w:r w:rsidRPr="00E342DC">
        <w:rPr>
          <w:rFonts w:cs="Tahoma"/>
          <w:szCs w:val="20"/>
          <w:lang w:val="fr-CH"/>
        </w:rPr>
        <w:t xml:space="preserve"> que depuis 2011, de nombreuses manifestations ont été </w:t>
      </w:r>
      <w:r w:rsidR="007A496D" w:rsidRPr="00E342DC">
        <w:rPr>
          <w:rFonts w:cs="Tahoma"/>
          <w:szCs w:val="20"/>
          <w:lang w:val="fr-CH"/>
        </w:rPr>
        <w:t xml:space="preserve">réprimées avec </w:t>
      </w:r>
      <w:r w:rsidRPr="00E342DC">
        <w:rPr>
          <w:rFonts w:cs="Tahoma"/>
          <w:szCs w:val="20"/>
          <w:lang w:val="fr-CH"/>
        </w:rPr>
        <w:t>un usage excessif de la force exercé par les forces de l’ordre</w:t>
      </w:r>
      <w:r w:rsidR="00B4710B" w:rsidRPr="00E342DC">
        <w:rPr>
          <w:rFonts w:cs="Tahoma"/>
          <w:szCs w:val="20"/>
          <w:lang w:val="fr-CH"/>
        </w:rPr>
        <w:t xml:space="preserve">, </w:t>
      </w:r>
      <w:r w:rsidRPr="00E342DC">
        <w:rPr>
          <w:rFonts w:cs="Tahoma"/>
          <w:szCs w:val="20"/>
          <w:lang w:val="fr-CH"/>
        </w:rPr>
        <w:t xml:space="preserve">à l’image des manifestations qui ont eu lieu 27 et 28 novembre 2012 à Siliana. Les heurts entre les manifestants et les membres des Brigades de l’ordre public (BOP) </w:t>
      </w:r>
      <w:r w:rsidR="00B4710B" w:rsidRPr="00E342DC">
        <w:rPr>
          <w:rFonts w:cs="Tahoma"/>
          <w:szCs w:val="20"/>
          <w:lang w:val="fr-CH"/>
        </w:rPr>
        <w:t>avait alors fait</w:t>
      </w:r>
      <w:r w:rsidRPr="00E342DC">
        <w:rPr>
          <w:rFonts w:cs="Tahoma"/>
          <w:szCs w:val="20"/>
          <w:lang w:val="fr-CH"/>
        </w:rPr>
        <w:t xml:space="preserve"> 210 blessés après que la police ait procédé à des tirs de grenaille sur les contestataires. De nombreux manifestants ont du être transféré à l’hôpital en raison de lésions oculaires </w:t>
      </w:r>
      <w:r w:rsidR="00B4710B" w:rsidRPr="00E342DC">
        <w:rPr>
          <w:rFonts w:cs="Tahoma"/>
          <w:szCs w:val="20"/>
          <w:lang w:val="fr-CH"/>
        </w:rPr>
        <w:t>graves</w:t>
      </w:r>
      <w:r w:rsidRPr="00E342DC">
        <w:rPr>
          <w:rFonts w:cs="Tahoma"/>
          <w:szCs w:val="20"/>
          <w:lang w:val="fr-CH"/>
        </w:rPr>
        <w:t xml:space="preserve">. </w:t>
      </w:r>
    </w:p>
    <w:p w:rsidR="00112281" w:rsidRPr="00E342DC" w:rsidRDefault="00112281" w:rsidP="00112281">
      <w:pPr>
        <w:rPr>
          <w:rFonts w:cs="Tahoma"/>
          <w:szCs w:val="20"/>
          <w:lang w:val="fr-CH"/>
        </w:rPr>
      </w:pPr>
    </w:p>
    <w:p w:rsidR="00E731B3" w:rsidRPr="00E342DC" w:rsidRDefault="00112281" w:rsidP="00DA0ABA">
      <w:pPr>
        <w:rPr>
          <w:rFonts w:cs="Tahoma"/>
          <w:szCs w:val="20"/>
        </w:rPr>
      </w:pPr>
      <w:r w:rsidRPr="00E342DC">
        <w:rPr>
          <w:rFonts w:cs="Tahoma"/>
          <w:szCs w:val="20"/>
          <w:lang w:val="fr-CH"/>
        </w:rPr>
        <w:t>D</w:t>
      </w:r>
      <w:r w:rsidR="00E731B3" w:rsidRPr="00E342DC">
        <w:rPr>
          <w:rFonts w:cs="Tahoma"/>
          <w:szCs w:val="20"/>
          <w:lang w:val="fr-CH"/>
        </w:rPr>
        <w:t>ans sa liste de questions, le Comité a demandé à l’</w:t>
      </w:r>
      <w:r w:rsidR="0070261E" w:rsidRPr="00E342DC">
        <w:rPr>
          <w:rFonts w:cs="Tahoma"/>
          <w:szCs w:val="20"/>
          <w:lang w:val="fr-CH"/>
        </w:rPr>
        <w:t>État</w:t>
      </w:r>
      <w:r w:rsidR="00E731B3" w:rsidRPr="00E342DC">
        <w:rPr>
          <w:rFonts w:cs="Tahoma"/>
          <w:szCs w:val="20"/>
          <w:lang w:val="fr-CH"/>
        </w:rPr>
        <w:t xml:space="preserve"> partie d’</w:t>
      </w:r>
      <w:r w:rsidRPr="00E342DC">
        <w:rPr>
          <w:rFonts w:cs="Tahoma"/>
          <w:szCs w:val="20"/>
          <w:lang w:val="fr-CH"/>
        </w:rPr>
        <w:t>apporter</w:t>
      </w:r>
      <w:r w:rsidR="00E731B3" w:rsidRPr="00E342DC">
        <w:rPr>
          <w:rFonts w:cs="Tahoma"/>
          <w:szCs w:val="20"/>
          <w:lang w:val="fr-CH"/>
        </w:rPr>
        <w:t xml:space="preserve"> des éléments de réponse sur les enquête</w:t>
      </w:r>
      <w:r w:rsidR="00B4710B" w:rsidRPr="00E342DC">
        <w:rPr>
          <w:rFonts w:cs="Tahoma"/>
          <w:szCs w:val="20"/>
          <w:lang w:val="fr-CH"/>
        </w:rPr>
        <w:t>s</w:t>
      </w:r>
      <w:r w:rsidR="00E731B3" w:rsidRPr="00E342DC">
        <w:rPr>
          <w:rFonts w:cs="Tahoma"/>
          <w:szCs w:val="20"/>
          <w:lang w:val="fr-CH"/>
        </w:rPr>
        <w:t xml:space="preserve"> et poursuites menées suite à plusieurs évènements dans lesquels les forces de l’ordre avait fait un usage excessif de la force et notamment : la fusillade de Kasserine le 23 Aout 2015 qui </w:t>
      </w:r>
      <w:r w:rsidR="00E731B3" w:rsidRPr="00E342DC">
        <w:rPr>
          <w:rFonts w:cs="Tahoma"/>
          <w:szCs w:val="20"/>
        </w:rPr>
        <w:t>avait entraîné la mort de deux femmes, lors de la Journée des martyrs à Tunis le 9 avril 2012, lors des manifestations à Sidi Bouzid en 2012, à Siliana en novembre 2012 et à Tunis en mai 2013.</w:t>
      </w:r>
    </w:p>
    <w:p w:rsidR="00E731B3" w:rsidRPr="00E342DC" w:rsidRDefault="00E731B3" w:rsidP="00112281">
      <w:pPr>
        <w:rPr>
          <w:rFonts w:cs="Tahoma"/>
          <w:szCs w:val="20"/>
          <w:lang w:val="fr-CH"/>
        </w:rPr>
      </w:pPr>
      <w:r w:rsidRPr="00E342DC">
        <w:rPr>
          <w:rFonts w:cs="Tahoma"/>
          <w:szCs w:val="20"/>
          <w:lang w:val="fr-CH"/>
        </w:rPr>
        <w:t xml:space="preserve"> </w:t>
      </w:r>
    </w:p>
    <w:p w:rsidR="00A521A7" w:rsidRPr="00E342DC" w:rsidRDefault="009520D2" w:rsidP="00B4710B">
      <w:pPr>
        <w:rPr>
          <w:rFonts w:cs="Tahoma"/>
          <w:szCs w:val="20"/>
          <w:lang w:val="fr-CH"/>
        </w:rPr>
      </w:pPr>
      <w:r w:rsidRPr="00E342DC">
        <w:rPr>
          <w:rFonts w:cs="Tahoma"/>
          <w:szCs w:val="20"/>
          <w:lang w:val="fr-CH"/>
        </w:rPr>
        <w:t>L’</w:t>
      </w:r>
      <w:r w:rsidR="0070261E" w:rsidRPr="00E342DC">
        <w:rPr>
          <w:rFonts w:cs="Tahoma"/>
          <w:szCs w:val="20"/>
          <w:lang w:val="fr-CH"/>
        </w:rPr>
        <w:t>État</w:t>
      </w:r>
      <w:r w:rsidRPr="00E342DC">
        <w:rPr>
          <w:rFonts w:cs="Tahoma"/>
          <w:szCs w:val="20"/>
          <w:lang w:val="fr-CH"/>
        </w:rPr>
        <w:t xml:space="preserve"> partie n’a répondu au Comité que sur le cas de Siliana sans apporter d’éléments de réponse sur les autres cas mentionnés, notamment </w:t>
      </w:r>
      <w:r w:rsidR="00D37AF4" w:rsidRPr="00E342DC">
        <w:rPr>
          <w:rFonts w:cs="Tahoma"/>
          <w:szCs w:val="20"/>
          <w:lang w:val="fr-CH"/>
        </w:rPr>
        <w:t xml:space="preserve">sur les mesures prises après la mort des deux femmes lors de </w:t>
      </w:r>
      <w:r w:rsidRPr="00E342DC">
        <w:rPr>
          <w:rFonts w:cs="Tahoma"/>
          <w:szCs w:val="20"/>
          <w:lang w:val="fr-CH"/>
        </w:rPr>
        <w:t xml:space="preserve">la fusillade de Kasserine. Dans le cas de Siliana, l’enquête ne semble pas avoir abouti sur des résultats et sur des sanctions. Il </w:t>
      </w:r>
      <w:r w:rsidR="00D37AF4" w:rsidRPr="00E342DC">
        <w:rPr>
          <w:rFonts w:cs="Tahoma"/>
          <w:szCs w:val="20"/>
          <w:lang w:val="fr-CH"/>
        </w:rPr>
        <w:t>convient</w:t>
      </w:r>
      <w:r w:rsidRPr="00E342DC">
        <w:rPr>
          <w:rFonts w:cs="Tahoma"/>
          <w:szCs w:val="20"/>
          <w:lang w:val="fr-CH"/>
        </w:rPr>
        <w:t xml:space="preserve"> aussi de mentionner que selon la réponse de l’</w:t>
      </w:r>
      <w:r w:rsidR="0070261E" w:rsidRPr="00E342DC">
        <w:rPr>
          <w:rFonts w:cs="Tahoma"/>
          <w:szCs w:val="20"/>
          <w:lang w:val="fr-CH"/>
        </w:rPr>
        <w:t>État</w:t>
      </w:r>
      <w:r w:rsidRPr="00E342DC">
        <w:rPr>
          <w:rFonts w:cs="Tahoma"/>
          <w:szCs w:val="20"/>
          <w:lang w:val="fr-CH"/>
        </w:rPr>
        <w:t xml:space="preserve"> l’enquête et les poursuites sont menées par le procureur militaire. </w:t>
      </w:r>
    </w:p>
    <w:p w:rsidR="00A521A7" w:rsidRPr="00E342DC" w:rsidRDefault="00A521A7" w:rsidP="00DA0ABA">
      <w:pPr>
        <w:rPr>
          <w:rFonts w:cs="Tahoma"/>
          <w:szCs w:val="20"/>
          <w:lang w:val="fr-CH"/>
        </w:rPr>
      </w:pPr>
    </w:p>
    <w:p w:rsidR="00A62E08" w:rsidRPr="00E342DC" w:rsidRDefault="00801668" w:rsidP="00211E58">
      <w:pPr>
        <w:rPr>
          <w:rFonts w:cs="Tahoma"/>
          <w:szCs w:val="20"/>
        </w:rPr>
      </w:pPr>
      <w:r w:rsidRPr="00E342DC">
        <w:rPr>
          <w:rFonts w:cs="Tahoma"/>
          <w:szCs w:val="20"/>
          <w:lang w:val="fr-CH"/>
        </w:rPr>
        <w:t xml:space="preserve">Dans ses réponses aux questions soulevées par le Comité, l’Etat partie indique que le Ministère de l’Intérieur a renforcé la formation de ses agents aux règles de conduite des forces de l’ordre et aux règles de base sur l’utilisation des armes à feu. Il admet toutefois que la </w:t>
      </w:r>
      <w:r w:rsidR="00B4710B" w:rsidRPr="00E342DC">
        <w:rPr>
          <w:rFonts w:cs="Tahoma"/>
          <w:szCs w:val="20"/>
          <w:lang w:val="fr-CH"/>
        </w:rPr>
        <w:t>l</w:t>
      </w:r>
      <w:r w:rsidRPr="00E342DC">
        <w:rPr>
          <w:rFonts w:cs="Tahoma"/>
          <w:szCs w:val="20"/>
          <w:lang w:val="fr-CH"/>
        </w:rPr>
        <w:t xml:space="preserve">oi </w:t>
      </w:r>
      <w:r w:rsidR="00211E58" w:rsidRPr="00E342DC">
        <w:rPr>
          <w:rFonts w:cs="Tahoma"/>
          <w:szCs w:val="20"/>
          <w:lang w:val="fr-CH"/>
        </w:rPr>
        <w:t xml:space="preserve">N° 4 de 1969 </w:t>
      </w:r>
      <w:r w:rsidRPr="00E342DC">
        <w:rPr>
          <w:rFonts w:cs="Tahoma"/>
          <w:szCs w:val="20"/>
          <w:lang w:val="fr-CH"/>
        </w:rPr>
        <w:t xml:space="preserve">actuellement applicable au maintien de l’ordre, régissant les procédures relatives aux rassemblements publics, manifestations, processions et parades, n’est pas conforme aux standards internationaux, notamment en ce qu’elle </w:t>
      </w:r>
      <w:r w:rsidR="00211E58" w:rsidRPr="00E342DC">
        <w:rPr>
          <w:rFonts w:cs="Tahoma"/>
          <w:szCs w:val="20"/>
          <w:lang w:val="fr-CH"/>
        </w:rPr>
        <w:t>« </w:t>
      </w:r>
      <w:r w:rsidRPr="00E342DC">
        <w:rPr>
          <w:rFonts w:cs="Tahoma"/>
          <w:szCs w:val="20"/>
          <w:lang w:val="fr-CH"/>
        </w:rPr>
        <w:t>permet l’usage des armes à feu</w:t>
      </w:r>
      <w:r w:rsidR="00211E58" w:rsidRPr="00E342DC">
        <w:rPr>
          <w:rFonts w:cs="Tahoma"/>
          <w:szCs w:val="20"/>
          <w:lang w:val="fr-CH"/>
        </w:rPr>
        <w:t> »</w:t>
      </w:r>
      <w:r w:rsidRPr="00E342DC">
        <w:rPr>
          <w:rFonts w:cs="Tahoma"/>
          <w:szCs w:val="20"/>
          <w:lang w:val="fr-CH"/>
        </w:rPr>
        <w:t xml:space="preserve">. </w:t>
      </w:r>
      <w:r w:rsidR="00211E58" w:rsidRPr="00E342DC">
        <w:rPr>
          <w:rFonts w:cs="Tahoma"/>
          <w:szCs w:val="20"/>
          <w:lang w:val="fr-CH"/>
        </w:rPr>
        <w:t>L’Etat partie</w:t>
      </w:r>
      <w:r w:rsidRPr="00E342DC">
        <w:rPr>
          <w:rFonts w:cs="Tahoma"/>
          <w:szCs w:val="20"/>
          <w:lang w:val="fr-CH"/>
        </w:rPr>
        <w:t xml:space="preserve"> ajoute qu’il </w:t>
      </w:r>
      <w:r w:rsidR="00211E58" w:rsidRPr="00E342DC">
        <w:rPr>
          <w:rFonts w:cs="Tahoma"/>
          <w:szCs w:val="20"/>
          <w:lang w:val="fr-CH"/>
        </w:rPr>
        <w:t xml:space="preserve">prévoit la </w:t>
      </w:r>
      <w:r w:rsidRPr="00E342DC">
        <w:rPr>
          <w:rFonts w:cs="Tahoma"/>
          <w:szCs w:val="20"/>
          <w:lang w:val="fr-CH"/>
        </w:rPr>
        <w:t xml:space="preserve">révision </w:t>
      </w:r>
      <w:r w:rsidR="00211E58" w:rsidRPr="00E342DC">
        <w:rPr>
          <w:rFonts w:cs="Tahoma"/>
          <w:szCs w:val="20"/>
          <w:lang w:val="fr-CH"/>
        </w:rPr>
        <w:t xml:space="preserve">de cette loi </w:t>
      </w:r>
      <w:r w:rsidRPr="00E342DC">
        <w:rPr>
          <w:rFonts w:cs="Tahoma"/>
          <w:szCs w:val="20"/>
          <w:lang w:val="fr-CH"/>
        </w:rPr>
        <w:t xml:space="preserve">sans préciser </w:t>
      </w:r>
      <w:r w:rsidR="00211E58" w:rsidRPr="00E342DC">
        <w:rPr>
          <w:rFonts w:cs="Tahoma"/>
          <w:szCs w:val="20"/>
          <w:lang w:val="fr-CH"/>
        </w:rPr>
        <w:t>son</w:t>
      </w:r>
      <w:r w:rsidRPr="00E342DC">
        <w:rPr>
          <w:rFonts w:cs="Tahoma"/>
          <w:szCs w:val="20"/>
          <w:lang w:val="fr-CH"/>
        </w:rPr>
        <w:t xml:space="preserve"> contenu et </w:t>
      </w:r>
      <w:r w:rsidR="00211E58" w:rsidRPr="00E342DC">
        <w:rPr>
          <w:rFonts w:cs="Tahoma"/>
          <w:szCs w:val="20"/>
          <w:lang w:val="fr-CH"/>
        </w:rPr>
        <w:t xml:space="preserve">son </w:t>
      </w:r>
      <w:r w:rsidRPr="00E342DC">
        <w:rPr>
          <w:rFonts w:cs="Tahoma"/>
          <w:szCs w:val="20"/>
          <w:lang w:val="fr-CH"/>
        </w:rPr>
        <w:t>échéance</w:t>
      </w:r>
      <w:r w:rsidR="00211E58" w:rsidRPr="00E342DC">
        <w:rPr>
          <w:rFonts w:cs="Tahoma"/>
          <w:szCs w:val="20"/>
          <w:lang w:val="fr-CH"/>
        </w:rPr>
        <w:t xml:space="preserve">. </w:t>
      </w:r>
      <w:r w:rsidR="00A62E08" w:rsidRPr="00E342DC">
        <w:rPr>
          <w:rFonts w:cs="Tahoma"/>
          <w:szCs w:val="20"/>
          <w:lang w:val="fr-CH"/>
        </w:rPr>
        <w:t xml:space="preserve">Toutefois, </w:t>
      </w:r>
      <w:r w:rsidR="00211E58" w:rsidRPr="00E342DC">
        <w:rPr>
          <w:rFonts w:cs="Tahoma"/>
          <w:szCs w:val="20"/>
          <w:lang w:val="fr-CH"/>
        </w:rPr>
        <w:t xml:space="preserve">dans la pratique </w:t>
      </w:r>
      <w:r w:rsidR="00A62E08" w:rsidRPr="00E342DC">
        <w:rPr>
          <w:rFonts w:cs="Tahoma"/>
          <w:szCs w:val="20"/>
          <w:lang w:val="fr-CH"/>
        </w:rPr>
        <w:t xml:space="preserve">Alkarama a relevé que les </w:t>
      </w:r>
      <w:r w:rsidR="00A62E08" w:rsidRPr="00E342DC">
        <w:rPr>
          <w:rFonts w:cs="Tahoma"/>
          <w:szCs w:val="20"/>
        </w:rPr>
        <w:t>Principes de base des Nations Unies sur le recours à la force et l'utilisation des armes à feu ne sont pas respectés</w:t>
      </w:r>
      <w:r w:rsidR="00211E58" w:rsidRPr="00E342DC">
        <w:rPr>
          <w:rFonts w:cs="Tahoma"/>
          <w:szCs w:val="20"/>
        </w:rPr>
        <w:t xml:space="preserve"> et souligne </w:t>
      </w:r>
      <w:r w:rsidR="00A62E08" w:rsidRPr="00E342DC">
        <w:rPr>
          <w:rFonts w:cs="Tahoma"/>
          <w:szCs w:val="20"/>
        </w:rPr>
        <w:t xml:space="preserve">l’urgence de la mise en place d’un nouveau cadre juridique applicable au maintien de l’ordre </w:t>
      </w:r>
      <w:r w:rsidR="00211E58" w:rsidRPr="00E342DC">
        <w:rPr>
          <w:rFonts w:cs="Tahoma"/>
          <w:szCs w:val="20"/>
        </w:rPr>
        <w:t>en adéquation</w:t>
      </w:r>
      <w:r w:rsidR="00A62E08" w:rsidRPr="00E342DC">
        <w:rPr>
          <w:rFonts w:cs="Tahoma"/>
          <w:szCs w:val="20"/>
        </w:rPr>
        <w:t xml:space="preserve"> </w:t>
      </w:r>
      <w:r w:rsidR="00211E58" w:rsidRPr="00E342DC">
        <w:rPr>
          <w:rFonts w:cs="Tahoma"/>
          <w:szCs w:val="20"/>
        </w:rPr>
        <w:t xml:space="preserve">avec les </w:t>
      </w:r>
      <w:r w:rsidR="00A62E08" w:rsidRPr="00E342DC">
        <w:rPr>
          <w:rFonts w:cs="Tahoma"/>
          <w:szCs w:val="20"/>
        </w:rPr>
        <w:t>standards internationaux</w:t>
      </w:r>
      <w:r w:rsidR="00211E58" w:rsidRPr="00E342DC">
        <w:rPr>
          <w:rFonts w:cs="Tahoma"/>
          <w:szCs w:val="20"/>
        </w:rPr>
        <w:t>.</w:t>
      </w:r>
    </w:p>
    <w:p w:rsidR="00801668" w:rsidRPr="00E342DC" w:rsidRDefault="00801668" w:rsidP="00DA0ABA">
      <w:pPr>
        <w:rPr>
          <w:rFonts w:cs="Tahoma"/>
          <w:szCs w:val="20"/>
          <w:lang w:val="fr-CH"/>
        </w:rPr>
      </w:pPr>
    </w:p>
    <w:p w:rsidR="00005435" w:rsidRPr="00E342DC" w:rsidRDefault="00A62E08" w:rsidP="00211E58">
      <w:pPr>
        <w:rPr>
          <w:rFonts w:cs="Tahoma"/>
          <w:szCs w:val="20"/>
          <w:lang w:val="fr-CH"/>
        </w:rPr>
      </w:pPr>
      <w:r w:rsidRPr="00E342DC">
        <w:rPr>
          <w:rFonts w:cs="Tahoma"/>
          <w:szCs w:val="20"/>
          <w:lang w:val="fr-CH"/>
        </w:rPr>
        <w:t>E</w:t>
      </w:r>
      <w:r w:rsidR="009520D2" w:rsidRPr="00E342DC">
        <w:rPr>
          <w:rFonts w:cs="Tahoma"/>
          <w:szCs w:val="20"/>
          <w:lang w:val="fr-CH"/>
        </w:rPr>
        <w:t xml:space="preserve">nfin, </w:t>
      </w:r>
      <w:r w:rsidR="00611CE1" w:rsidRPr="00E342DC">
        <w:rPr>
          <w:rFonts w:cs="Tahoma"/>
          <w:szCs w:val="20"/>
          <w:lang w:val="fr-CH"/>
        </w:rPr>
        <w:t xml:space="preserve">l'état d'urgence </w:t>
      </w:r>
      <w:r w:rsidR="009520D2" w:rsidRPr="00E342DC">
        <w:rPr>
          <w:rFonts w:cs="Tahoma"/>
          <w:szCs w:val="20"/>
          <w:lang w:val="fr-CH"/>
        </w:rPr>
        <w:t xml:space="preserve">entré en vigueur </w:t>
      </w:r>
      <w:r w:rsidR="00611CE1" w:rsidRPr="00E342DC">
        <w:rPr>
          <w:rFonts w:cs="Tahoma"/>
          <w:szCs w:val="20"/>
          <w:lang w:val="fr-CH"/>
        </w:rPr>
        <w:t>le 24 novembre 2015</w:t>
      </w:r>
      <w:r w:rsidR="009520D2" w:rsidRPr="00E342DC">
        <w:rPr>
          <w:rFonts w:cs="Tahoma"/>
          <w:szCs w:val="20"/>
          <w:lang w:val="fr-CH"/>
        </w:rPr>
        <w:t xml:space="preserve"> a depuis été prolongé plusieurs fois</w:t>
      </w:r>
      <w:r w:rsidR="00211E58" w:rsidRPr="00E342DC">
        <w:rPr>
          <w:rFonts w:cs="Tahoma"/>
          <w:szCs w:val="20"/>
          <w:lang w:val="fr-CH"/>
        </w:rPr>
        <w:t>, la dernière prolongation</w:t>
      </w:r>
      <w:r w:rsidR="009520D2" w:rsidRPr="00E342DC">
        <w:rPr>
          <w:rFonts w:cs="Tahoma"/>
          <w:szCs w:val="20"/>
          <w:lang w:val="fr-CH"/>
        </w:rPr>
        <w:t> </w:t>
      </w:r>
      <w:r w:rsidR="00211E58" w:rsidRPr="00E342DC">
        <w:rPr>
          <w:rFonts w:cs="Tahoma"/>
          <w:szCs w:val="20"/>
          <w:lang w:val="fr-CH"/>
        </w:rPr>
        <w:t>ayant pris</w:t>
      </w:r>
      <w:r w:rsidR="009520D2" w:rsidRPr="00E342DC">
        <w:rPr>
          <w:rFonts w:cs="Tahoma"/>
          <w:szCs w:val="20"/>
          <w:lang w:val="fr-CH"/>
        </w:rPr>
        <w:t xml:space="preserve"> </w:t>
      </w:r>
      <w:r w:rsidR="00211E58" w:rsidRPr="00E342DC">
        <w:rPr>
          <w:rFonts w:cs="Tahoma"/>
          <w:szCs w:val="20"/>
          <w:lang w:val="fr-CH"/>
        </w:rPr>
        <w:t xml:space="preserve">le 23 mars 2016, pour </w:t>
      </w:r>
      <w:r w:rsidR="009520D2" w:rsidRPr="00E342DC">
        <w:rPr>
          <w:rFonts w:cs="Tahoma"/>
          <w:szCs w:val="20"/>
          <w:lang w:val="fr-CH"/>
        </w:rPr>
        <w:t>une période de 3 mois</w:t>
      </w:r>
      <w:r w:rsidR="00E342DC" w:rsidRPr="00E342DC">
        <w:rPr>
          <w:rFonts w:cs="Tahoma"/>
          <w:szCs w:val="20"/>
          <w:lang w:val="fr-CH"/>
        </w:rPr>
        <w:t>.</w:t>
      </w:r>
      <w:r w:rsidR="009520D2" w:rsidRPr="00E342DC">
        <w:rPr>
          <w:rFonts w:cs="Tahoma"/>
          <w:szCs w:val="20"/>
          <w:lang w:val="fr-CH"/>
        </w:rPr>
        <w:t xml:space="preserve"> Il convient de rappeler que </w:t>
      </w:r>
      <w:r w:rsidR="00611CE1" w:rsidRPr="00E342DC">
        <w:rPr>
          <w:rFonts w:cs="Tahoma"/>
          <w:szCs w:val="20"/>
          <w:lang w:val="fr-CH"/>
        </w:rPr>
        <w:t xml:space="preserve">les autorités ont régulièrement invoqué </w:t>
      </w:r>
      <w:r w:rsidR="00BC3DFB" w:rsidRPr="00E342DC">
        <w:rPr>
          <w:rFonts w:cs="Tahoma"/>
          <w:szCs w:val="20"/>
          <w:lang w:val="fr-CH"/>
        </w:rPr>
        <w:t>l’état d’urgence</w:t>
      </w:r>
      <w:r w:rsidR="009520D2" w:rsidRPr="00E342DC">
        <w:rPr>
          <w:rFonts w:cs="Tahoma"/>
          <w:szCs w:val="20"/>
          <w:lang w:val="fr-CH"/>
        </w:rPr>
        <w:t xml:space="preserve"> </w:t>
      </w:r>
      <w:r w:rsidR="00BC3DFB" w:rsidRPr="00E342DC">
        <w:rPr>
          <w:rFonts w:cs="Tahoma"/>
          <w:szCs w:val="20"/>
          <w:lang w:val="fr-CH"/>
        </w:rPr>
        <w:t>pour interdire et réprimer tout rassemblement pacifique</w:t>
      </w:r>
      <w:r w:rsidR="00611CE1" w:rsidRPr="00E342DC">
        <w:rPr>
          <w:rStyle w:val="FootnoteReference"/>
          <w:rFonts w:cs="Tahoma"/>
          <w:szCs w:val="20"/>
          <w:lang w:val="fr-CH"/>
        </w:rPr>
        <w:footnoteReference w:id="65"/>
      </w:r>
      <w:r w:rsidR="00211E58" w:rsidRPr="00E342DC">
        <w:rPr>
          <w:rFonts w:cs="Tahoma"/>
          <w:szCs w:val="20"/>
          <w:lang w:val="fr-CH"/>
        </w:rPr>
        <w:t xml:space="preserve">. Alkarama exprime ses craintes que cette situation </w:t>
      </w:r>
      <w:r w:rsidR="00E342DC" w:rsidRPr="00E342DC">
        <w:rPr>
          <w:rFonts w:cs="Tahoma"/>
          <w:szCs w:val="20"/>
          <w:lang w:val="fr-CH"/>
        </w:rPr>
        <w:t>exceptionnelle</w:t>
      </w:r>
      <w:r w:rsidR="00211E58" w:rsidRPr="00E342DC">
        <w:rPr>
          <w:rFonts w:cs="Tahoma"/>
          <w:szCs w:val="20"/>
          <w:lang w:val="fr-CH"/>
        </w:rPr>
        <w:t xml:space="preserve"> ne devienne la norme.</w:t>
      </w:r>
    </w:p>
    <w:p w:rsidR="00611CE1" w:rsidRPr="00E342DC" w:rsidRDefault="00611CE1" w:rsidP="007A496D">
      <w:pPr>
        <w:rPr>
          <w:rFonts w:cs="Tahoma"/>
          <w:szCs w:val="20"/>
          <w:lang w:val="fr-CH"/>
        </w:rPr>
      </w:pPr>
    </w:p>
    <w:p w:rsidR="00D9565E" w:rsidRPr="00E342DC" w:rsidRDefault="00D9565E" w:rsidP="00DA0ABA">
      <w:pPr>
        <w:rPr>
          <w:rFonts w:cs="Tahoma"/>
          <w:b/>
          <w:bCs/>
          <w:szCs w:val="20"/>
          <w:lang w:val="fr-CH"/>
        </w:rPr>
      </w:pPr>
      <w:r w:rsidRPr="00E342DC">
        <w:rPr>
          <w:rFonts w:cs="Tahoma"/>
          <w:b/>
          <w:bCs/>
          <w:szCs w:val="20"/>
          <w:lang w:val="fr-CH"/>
        </w:rPr>
        <w:t>Recommandations</w:t>
      </w:r>
      <w:r w:rsidR="002E00C1">
        <w:rPr>
          <w:rFonts w:cs="Tahoma"/>
          <w:b/>
          <w:bCs/>
          <w:szCs w:val="20"/>
          <w:lang w:val="fr-CH"/>
        </w:rPr>
        <w:t> :</w:t>
      </w:r>
    </w:p>
    <w:p w:rsidR="00F443B1" w:rsidRPr="00E342DC" w:rsidRDefault="00F443B1" w:rsidP="00DA0ABA">
      <w:pPr>
        <w:rPr>
          <w:rFonts w:cs="Tahoma"/>
          <w:b/>
          <w:bCs/>
          <w:szCs w:val="20"/>
          <w:lang w:val="fr-CH"/>
        </w:rPr>
      </w:pPr>
    </w:p>
    <w:p w:rsidR="00801668" w:rsidRPr="00E342DC" w:rsidRDefault="00F443B1">
      <w:pPr>
        <w:pStyle w:val="ListParagraph"/>
        <w:numPr>
          <w:ilvl w:val="0"/>
          <w:numId w:val="34"/>
        </w:numPr>
        <w:rPr>
          <w:rFonts w:cs="Tahoma"/>
          <w:szCs w:val="20"/>
        </w:rPr>
      </w:pPr>
      <w:r w:rsidRPr="00E342DC">
        <w:rPr>
          <w:rFonts w:cs="Tahoma"/>
          <w:szCs w:val="20"/>
        </w:rPr>
        <w:t>Incriminer les actes de punitions et traitements cruels inhumains et dégradant</w:t>
      </w:r>
      <w:r w:rsidR="00211E58" w:rsidRPr="00E342DC">
        <w:rPr>
          <w:rFonts w:cs="Tahoma"/>
          <w:szCs w:val="20"/>
        </w:rPr>
        <w:t xml:space="preserve"> dans les </w:t>
      </w:r>
      <w:r w:rsidR="00E342DC" w:rsidRPr="00E342DC">
        <w:rPr>
          <w:rFonts w:cs="Tahoma"/>
          <w:szCs w:val="20"/>
        </w:rPr>
        <w:t>lieux</w:t>
      </w:r>
      <w:r w:rsidR="00211E58" w:rsidRPr="00E342DC">
        <w:rPr>
          <w:rFonts w:cs="Tahoma"/>
          <w:szCs w:val="20"/>
        </w:rPr>
        <w:t xml:space="preserve"> de privation de liberté</w:t>
      </w:r>
      <w:r w:rsidRPr="00E342DC">
        <w:rPr>
          <w:rFonts w:cs="Tahoma"/>
          <w:szCs w:val="20"/>
        </w:rPr>
        <w:t xml:space="preserve"> conformément à l’article 16 de la Convention ;</w:t>
      </w:r>
    </w:p>
    <w:p w:rsidR="00211E58" w:rsidRPr="00E342DC" w:rsidRDefault="00F443B1" w:rsidP="00211E58">
      <w:pPr>
        <w:pStyle w:val="ListParagraph"/>
        <w:numPr>
          <w:ilvl w:val="0"/>
          <w:numId w:val="34"/>
        </w:numPr>
        <w:rPr>
          <w:rFonts w:cs="Tahoma"/>
          <w:szCs w:val="20"/>
          <w:lang w:val="fr-CH"/>
        </w:rPr>
      </w:pPr>
      <w:r w:rsidRPr="00E342DC">
        <w:rPr>
          <w:rFonts w:cs="Tahoma"/>
          <w:szCs w:val="20"/>
        </w:rPr>
        <w:t>Prendre les mesures nécessaires afin d’améliorer les conditions de détentions dans les prisons de l’État partie </w:t>
      </w:r>
      <w:r w:rsidR="00211E58" w:rsidRPr="00E342DC">
        <w:rPr>
          <w:rFonts w:cs="Tahoma"/>
          <w:szCs w:val="20"/>
        </w:rPr>
        <w:t xml:space="preserve">et notamment en réduisant la </w:t>
      </w:r>
      <w:r w:rsidRPr="00E342DC">
        <w:rPr>
          <w:rFonts w:cs="Tahoma"/>
          <w:szCs w:val="20"/>
        </w:rPr>
        <w:t xml:space="preserve">surpopulation carcérale </w:t>
      </w:r>
      <w:r w:rsidR="00211E58" w:rsidRPr="00E342DC">
        <w:rPr>
          <w:rFonts w:cs="Tahoma"/>
          <w:szCs w:val="20"/>
        </w:rPr>
        <w:t xml:space="preserve">dans les </w:t>
      </w:r>
      <w:r w:rsidRPr="00E342DC">
        <w:rPr>
          <w:rFonts w:cs="Tahoma"/>
          <w:szCs w:val="20"/>
        </w:rPr>
        <w:t>établissements pénitentiaires</w:t>
      </w:r>
      <w:r w:rsidR="00211E58" w:rsidRPr="00E342DC">
        <w:rPr>
          <w:rFonts w:cs="Tahoma"/>
          <w:szCs w:val="20"/>
        </w:rPr>
        <w:t xml:space="preserve"> et en limitant le recours systématique à la détention provisoire ; </w:t>
      </w:r>
    </w:p>
    <w:p w:rsidR="00801668" w:rsidRPr="00E342DC" w:rsidRDefault="00112281" w:rsidP="00211E58">
      <w:pPr>
        <w:pStyle w:val="ListParagraph"/>
        <w:numPr>
          <w:ilvl w:val="0"/>
          <w:numId w:val="34"/>
        </w:numPr>
        <w:rPr>
          <w:rFonts w:cs="Tahoma"/>
          <w:szCs w:val="20"/>
        </w:rPr>
      </w:pPr>
      <w:r w:rsidRPr="00E342DC">
        <w:rPr>
          <w:rFonts w:cs="Tahoma"/>
          <w:szCs w:val="20"/>
        </w:rPr>
        <w:t xml:space="preserve">Réviser </w:t>
      </w:r>
      <w:r w:rsidR="00A62E08" w:rsidRPr="00E342DC">
        <w:rPr>
          <w:rFonts w:cs="Tahoma"/>
          <w:szCs w:val="20"/>
          <w:lang w:val="fr-CH"/>
        </w:rPr>
        <w:t xml:space="preserve">la Loi N° 4 de 1969 </w:t>
      </w:r>
      <w:r w:rsidRPr="00E342DC">
        <w:rPr>
          <w:rFonts w:cs="Tahoma"/>
          <w:szCs w:val="20"/>
        </w:rPr>
        <w:t>afin de l</w:t>
      </w:r>
      <w:r w:rsidR="00A62E08" w:rsidRPr="00E342DC">
        <w:rPr>
          <w:rFonts w:cs="Tahoma"/>
          <w:szCs w:val="20"/>
        </w:rPr>
        <w:t>a</w:t>
      </w:r>
      <w:r w:rsidRPr="00E342DC">
        <w:rPr>
          <w:rFonts w:cs="Tahoma"/>
          <w:szCs w:val="20"/>
        </w:rPr>
        <w:t xml:space="preserve"> mettre en conformité avec </w:t>
      </w:r>
      <w:r w:rsidR="00211E58" w:rsidRPr="00E342DC">
        <w:rPr>
          <w:rFonts w:cs="Tahoma"/>
          <w:szCs w:val="20"/>
        </w:rPr>
        <w:t>les « </w:t>
      </w:r>
      <w:r w:rsidRPr="00E342DC">
        <w:rPr>
          <w:rFonts w:cs="Tahoma"/>
          <w:szCs w:val="20"/>
          <w:lang w:val="fr-CH"/>
        </w:rPr>
        <w:t>Principes de base des Nations Unies sur le recours à la force et l'utilisation des armes à feu</w:t>
      </w:r>
      <w:r w:rsidR="00211E58" w:rsidRPr="00E342DC">
        <w:rPr>
          <w:rFonts w:cs="Tahoma"/>
          <w:szCs w:val="20"/>
          <w:lang w:val="fr-CH"/>
        </w:rPr>
        <w:t> » et</w:t>
      </w:r>
      <w:r w:rsidRPr="00E342DC">
        <w:rPr>
          <w:rFonts w:cs="Tahoma"/>
          <w:szCs w:val="20"/>
          <w:lang w:val="fr-CH"/>
        </w:rPr>
        <w:t xml:space="preserve"> </w:t>
      </w:r>
      <w:r w:rsidR="00211E58" w:rsidRPr="00E342DC">
        <w:rPr>
          <w:rFonts w:cs="Tahoma"/>
          <w:szCs w:val="20"/>
        </w:rPr>
        <w:t>veiller à ce que les forces de sécurité soient formés au respect de ces principes ;</w:t>
      </w:r>
    </w:p>
    <w:p w:rsidR="006F15DF" w:rsidRPr="00E342DC" w:rsidRDefault="00C10682" w:rsidP="005317B7">
      <w:pPr>
        <w:pStyle w:val="ListParagraph"/>
        <w:numPr>
          <w:ilvl w:val="0"/>
          <w:numId w:val="34"/>
        </w:numPr>
        <w:rPr>
          <w:rFonts w:cs="Tahoma"/>
          <w:szCs w:val="20"/>
        </w:rPr>
      </w:pPr>
      <w:r w:rsidRPr="00E342DC">
        <w:rPr>
          <w:rFonts w:cs="Tahoma"/>
          <w:szCs w:val="20"/>
        </w:rPr>
        <w:t>Conduire une enquête indépendante</w:t>
      </w:r>
      <w:r w:rsidR="005317B7" w:rsidRPr="00E342DC">
        <w:rPr>
          <w:rFonts w:cs="Tahoma"/>
          <w:szCs w:val="20"/>
        </w:rPr>
        <w:t xml:space="preserve">, </w:t>
      </w:r>
      <w:r w:rsidR="00211E58" w:rsidRPr="00E342DC">
        <w:rPr>
          <w:rFonts w:cs="Tahoma"/>
          <w:szCs w:val="20"/>
        </w:rPr>
        <w:t xml:space="preserve">impartiale </w:t>
      </w:r>
      <w:r w:rsidRPr="00E342DC">
        <w:rPr>
          <w:rFonts w:cs="Tahoma"/>
          <w:szCs w:val="20"/>
        </w:rPr>
        <w:t xml:space="preserve">et </w:t>
      </w:r>
      <w:r w:rsidR="00112281" w:rsidRPr="00E342DC">
        <w:rPr>
          <w:rFonts w:cs="Tahoma"/>
          <w:szCs w:val="20"/>
        </w:rPr>
        <w:t xml:space="preserve">exhaustive </w:t>
      </w:r>
      <w:r w:rsidRPr="00E342DC">
        <w:rPr>
          <w:rFonts w:cs="Tahoma"/>
          <w:szCs w:val="20"/>
        </w:rPr>
        <w:t xml:space="preserve">sur l’usage </w:t>
      </w:r>
      <w:r w:rsidR="00112281" w:rsidRPr="00E342DC">
        <w:rPr>
          <w:rFonts w:cs="Tahoma"/>
          <w:szCs w:val="20"/>
        </w:rPr>
        <w:t xml:space="preserve">excessif </w:t>
      </w:r>
      <w:r w:rsidRPr="00E342DC">
        <w:rPr>
          <w:rFonts w:cs="Tahoma"/>
          <w:szCs w:val="20"/>
        </w:rPr>
        <w:t>de la force employé par les forces de l’ordre</w:t>
      </w:r>
      <w:r w:rsidR="00112281" w:rsidRPr="00E342DC">
        <w:rPr>
          <w:rFonts w:cs="Tahoma"/>
          <w:szCs w:val="20"/>
        </w:rPr>
        <w:t>;</w:t>
      </w:r>
    </w:p>
    <w:sectPr w:rsidR="006F15DF" w:rsidRPr="00E342DC" w:rsidSect="000270C2">
      <w:headerReference w:type="default" r:id="rId10"/>
      <w:footerReference w:type="default" r:id="rId11"/>
      <w:footerReference w:type="first" r:id="rId12"/>
      <w:pgSz w:w="11906" w:h="16838"/>
      <w:pgMar w:top="1417" w:right="1417" w:bottom="1417" w:left="1417" w:header="567" w:footer="39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13F" w:rsidRDefault="00BF513F" w:rsidP="00035E42">
      <w:r>
        <w:separator/>
      </w:r>
    </w:p>
  </w:endnote>
  <w:endnote w:type="continuationSeparator" w:id="0">
    <w:p w:rsidR="00BF513F" w:rsidRDefault="00BF513F" w:rsidP="00035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aux ProRegular">
    <w:altName w:val="Aaux ProRegular"/>
    <w:panose1 w:val="00000000000000000000"/>
    <w:charset w:val="00"/>
    <w:family w:val="swiss"/>
    <w:notTrueType/>
    <w:pitch w:val="default"/>
    <w:sig w:usb0="00000003" w:usb1="00000000" w:usb2="00000000" w:usb3="00000000" w:csb0="00000001" w:csb1="00000000"/>
  </w:font>
  <w:font w:name="Gravur Condensed">
    <w:altName w:val="Gravur Condensed"/>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13F" w:rsidRDefault="00C67CAD">
    <w:pPr>
      <w:pStyle w:val="Footer"/>
      <w:jc w:val="right"/>
    </w:pPr>
    <w:r>
      <w:fldChar w:fldCharType="begin"/>
    </w:r>
    <w:r>
      <w:instrText xml:space="preserve"> PAGE   \* MERGEFORMAT </w:instrText>
    </w:r>
    <w:r>
      <w:fldChar w:fldCharType="separate"/>
    </w:r>
    <w:r>
      <w:rPr>
        <w:noProof/>
      </w:rPr>
      <w:t>26</w:t>
    </w:r>
    <w:r>
      <w:rPr>
        <w:noProof/>
      </w:rPr>
      <w:fldChar w:fldCharType="end"/>
    </w:r>
  </w:p>
  <w:p w:rsidR="00BF513F" w:rsidRDefault="00BF513F" w:rsidP="001B504D">
    <w:pPr>
      <w:pStyle w:val="Header"/>
      <w:spacing w:before="20"/>
      <w:jc w:val="center"/>
      <w:rPr>
        <w:rFonts w:ascii="Arial" w:hAnsi="Arial" w:cs="Arial"/>
        <w:lang w:val="fr-CH"/>
      </w:rPr>
    </w:pPr>
    <w:r>
      <w:rPr>
        <w:rFonts w:ascii="Arial" w:hAnsi="Arial" w:cs="Arial"/>
        <w:lang w:val="fr-CH"/>
      </w:rPr>
      <w:t xml:space="preserve">Alkarama Foundation – 150 route de Ferney, C.P. 2100 CH – 1211 Genève 2 – </w:t>
    </w:r>
    <w:proofErr w:type="spellStart"/>
    <w:r>
      <w:rPr>
        <w:rFonts w:ascii="Arial" w:hAnsi="Arial" w:cs="Arial"/>
        <w:lang w:val="fr-CH"/>
      </w:rPr>
      <w:t>Switzerland</w:t>
    </w:r>
    <w:proofErr w:type="spellEnd"/>
  </w:p>
  <w:p w:rsidR="00BF513F" w:rsidRDefault="00BF513F" w:rsidP="001B504D">
    <w:pPr>
      <w:pStyle w:val="Header"/>
      <w:spacing w:before="20"/>
      <w:jc w:val="center"/>
      <w:rPr>
        <w:rFonts w:ascii="Arial" w:hAnsi="Arial" w:cs="Arial"/>
        <w:lang w:val="fr-CH"/>
      </w:rPr>
    </w:pPr>
    <w:r>
      <w:rPr>
        <w:rFonts w:ascii="Arial Narrow" w:hAnsi="Arial Narrow"/>
        <w:szCs w:val="22"/>
      </w:rPr>
      <w:sym w:font="Wingdings" w:char="0028"/>
    </w:r>
    <w:r>
      <w:rPr>
        <w:rFonts w:ascii="Arial" w:hAnsi="Arial" w:cs="Arial"/>
        <w:lang w:val="fr-CH"/>
      </w:rPr>
      <w:t xml:space="preserve"> +41 22 734 10 06 – </w:t>
    </w:r>
    <w:r>
      <w:rPr>
        <w:rFonts w:ascii="Arial Narrow" w:hAnsi="Arial Narrow"/>
        <w:szCs w:val="22"/>
      </w:rPr>
      <w:sym w:font="Wingdings 2" w:char="0037"/>
    </w:r>
    <w:r>
      <w:rPr>
        <w:rFonts w:ascii="Arial" w:hAnsi="Arial" w:cs="Arial"/>
        <w:lang w:val="fr-CH"/>
      </w:rPr>
      <w:t xml:space="preserve"> +41 22 734 10 34 – </w:t>
    </w:r>
    <w:r>
      <w:rPr>
        <w:rFonts w:ascii="Arial" w:hAnsi="Arial" w:cs="Arial"/>
      </w:rPr>
      <w:sym w:font="Wingdings" w:char="002A"/>
    </w:r>
    <w:r>
      <w:rPr>
        <w:rFonts w:ascii="Arial" w:hAnsi="Arial" w:cs="Arial"/>
        <w:lang w:val="fr-CH"/>
      </w:rPr>
      <w:t xml:space="preserve"> info@alkarama.org – </w:t>
    </w:r>
    <w:r>
      <w:rPr>
        <w:rFonts w:ascii="Arial" w:hAnsi="Arial" w:cs="Arial"/>
      </w:rPr>
      <w:sym w:font="Wingdings" w:char="0038"/>
    </w:r>
    <w:r>
      <w:rPr>
        <w:rFonts w:ascii="Arial" w:hAnsi="Arial" w:cs="Arial"/>
        <w:lang w:val="fr-CH"/>
      </w:rPr>
      <w:t xml:space="preserve"> www.alkarama.org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13F" w:rsidRDefault="00BF513F" w:rsidP="001B504D">
    <w:pPr>
      <w:pStyle w:val="Header"/>
      <w:spacing w:before="20"/>
      <w:jc w:val="center"/>
      <w:rPr>
        <w:rFonts w:ascii="Arial" w:hAnsi="Arial" w:cs="Arial"/>
        <w:lang w:val="fr-CH"/>
      </w:rPr>
    </w:pPr>
    <w:r>
      <w:rPr>
        <w:rFonts w:ascii="Arial" w:hAnsi="Arial" w:cs="Arial"/>
        <w:lang w:val="fr-CH"/>
      </w:rPr>
      <w:t xml:space="preserve">Alkarama Foundation – 150 route de Ferney, C.P. 2100 CH – 1211 Genève 2 – </w:t>
    </w:r>
    <w:proofErr w:type="spellStart"/>
    <w:r>
      <w:rPr>
        <w:rFonts w:ascii="Arial" w:hAnsi="Arial" w:cs="Arial"/>
        <w:lang w:val="fr-CH"/>
      </w:rPr>
      <w:t>Switzerland</w:t>
    </w:r>
    <w:proofErr w:type="spellEnd"/>
  </w:p>
  <w:p w:rsidR="00BF513F" w:rsidRDefault="00BF513F" w:rsidP="00B92F3A">
    <w:pPr>
      <w:pStyle w:val="Header"/>
      <w:spacing w:before="20"/>
      <w:jc w:val="center"/>
      <w:rPr>
        <w:rFonts w:ascii="Arial" w:hAnsi="Arial" w:cs="Arial"/>
        <w:lang w:val="fr-CH"/>
      </w:rPr>
    </w:pPr>
    <w:r>
      <w:rPr>
        <w:rFonts w:ascii="Arial Narrow" w:hAnsi="Arial Narrow"/>
        <w:szCs w:val="22"/>
      </w:rPr>
      <w:sym w:font="Wingdings" w:char="0028"/>
    </w:r>
    <w:r>
      <w:rPr>
        <w:rFonts w:ascii="Arial" w:hAnsi="Arial" w:cs="Arial"/>
        <w:lang w:val="fr-CH"/>
      </w:rPr>
      <w:t xml:space="preserve"> +41 22 734 10 06 – </w:t>
    </w:r>
    <w:r>
      <w:rPr>
        <w:rFonts w:ascii="Arial Narrow" w:hAnsi="Arial Narrow"/>
        <w:szCs w:val="22"/>
      </w:rPr>
      <w:sym w:font="Wingdings 2" w:char="0037"/>
    </w:r>
    <w:r>
      <w:rPr>
        <w:rFonts w:ascii="Arial" w:hAnsi="Arial" w:cs="Arial"/>
        <w:lang w:val="fr-CH"/>
      </w:rPr>
      <w:t xml:space="preserve"> +41 22 734 10 34– </w:t>
    </w:r>
    <w:r>
      <w:rPr>
        <w:rFonts w:ascii="Arial" w:hAnsi="Arial" w:cs="Arial"/>
      </w:rPr>
      <w:sym w:font="Wingdings" w:char="002A"/>
    </w:r>
    <w:r>
      <w:rPr>
        <w:rFonts w:ascii="Arial" w:hAnsi="Arial" w:cs="Arial"/>
        <w:lang w:val="fr-CH"/>
      </w:rPr>
      <w:t xml:space="preserve"> info@alkarama.org – </w:t>
    </w:r>
    <w:r>
      <w:rPr>
        <w:rFonts w:ascii="Arial" w:hAnsi="Arial" w:cs="Arial"/>
      </w:rPr>
      <w:sym w:font="Wingdings" w:char="0038"/>
    </w:r>
    <w:r>
      <w:rPr>
        <w:rFonts w:ascii="Arial" w:hAnsi="Arial" w:cs="Arial"/>
        <w:lang w:val="fr-CH"/>
      </w:rPr>
      <w:t xml:space="preserve"> www.alkarama.org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13F" w:rsidRDefault="00BF513F" w:rsidP="00035E42">
      <w:r>
        <w:separator/>
      </w:r>
    </w:p>
  </w:footnote>
  <w:footnote w:type="continuationSeparator" w:id="0">
    <w:p w:rsidR="00BF513F" w:rsidRDefault="00BF513F" w:rsidP="00035E42">
      <w:r>
        <w:continuationSeparator/>
      </w:r>
    </w:p>
  </w:footnote>
  <w:footnote w:id="1">
    <w:p w:rsidR="00BF513F" w:rsidRPr="00E342DC" w:rsidRDefault="00BF513F">
      <w:pPr>
        <w:pStyle w:val="FootnoteText"/>
        <w:rPr>
          <w:rFonts w:cs="Tahoma"/>
          <w:szCs w:val="16"/>
          <w:lang w:val="fr-CH"/>
        </w:rPr>
      </w:pPr>
      <w:r w:rsidRPr="00E342DC">
        <w:rPr>
          <w:rStyle w:val="FootnoteReference"/>
          <w:rFonts w:cs="Tahoma"/>
          <w:szCs w:val="16"/>
        </w:rPr>
        <w:footnoteRef/>
      </w:r>
      <w:r w:rsidRPr="00E342DC">
        <w:rPr>
          <w:rFonts w:cs="Tahoma"/>
          <w:szCs w:val="16"/>
        </w:rPr>
        <w:t xml:space="preserve"> Loi organique n° 2013-43 du 21 octobre 2013, relative à l’Instance nationale pour la prévention de la torture.</w:t>
      </w:r>
    </w:p>
  </w:footnote>
  <w:footnote w:id="2">
    <w:p w:rsidR="00BF513F" w:rsidRPr="00E342DC" w:rsidRDefault="00BF513F">
      <w:pPr>
        <w:rPr>
          <w:rFonts w:cs="Tahoma"/>
          <w:sz w:val="16"/>
          <w:szCs w:val="16"/>
          <w:lang w:val="fr-CH"/>
        </w:rPr>
      </w:pPr>
      <w:r w:rsidRPr="00E342DC">
        <w:rPr>
          <w:rStyle w:val="FootnoteReference"/>
          <w:rFonts w:cs="Tahoma"/>
          <w:sz w:val="16"/>
          <w:szCs w:val="16"/>
        </w:rPr>
        <w:footnoteRef/>
      </w:r>
      <w:r w:rsidRPr="00E342DC">
        <w:rPr>
          <w:rFonts w:cs="Tahoma"/>
          <w:sz w:val="16"/>
          <w:szCs w:val="16"/>
        </w:rPr>
        <w:t xml:space="preserve"> CAT, Observations finales du Comité contre la torture sur la Bosnie-Herzégovine (20 janvier 2011), Doc. ONU CAT/C/BIH/CO/2-5, § 8</w:t>
      </w:r>
    </w:p>
  </w:footnote>
  <w:footnote w:id="3">
    <w:p w:rsidR="00BF513F" w:rsidRPr="00E342DC" w:rsidRDefault="00BF513F" w:rsidP="00132435">
      <w:pPr>
        <w:pStyle w:val="FootnoteText"/>
        <w:rPr>
          <w:rFonts w:cs="Tahoma"/>
          <w:szCs w:val="16"/>
          <w:lang w:val="fr-CH"/>
        </w:rPr>
      </w:pPr>
      <w:r w:rsidRPr="00E342DC">
        <w:rPr>
          <w:rStyle w:val="FootnoteReference"/>
          <w:rFonts w:cs="Tahoma"/>
          <w:szCs w:val="16"/>
        </w:rPr>
        <w:footnoteRef/>
      </w:r>
      <w:r w:rsidRPr="00E342DC">
        <w:rPr>
          <w:rFonts w:cs="Tahoma"/>
          <w:szCs w:val="16"/>
        </w:rPr>
        <w:t xml:space="preserve"> CAT, Observation générale N°2, op. cit. 1, § 8.</w:t>
      </w:r>
    </w:p>
  </w:footnote>
  <w:footnote w:id="4">
    <w:p w:rsidR="00BF513F" w:rsidRPr="00E342DC" w:rsidRDefault="00BF513F" w:rsidP="00CA65A1">
      <w:pPr>
        <w:pStyle w:val="FootnoteText"/>
        <w:rPr>
          <w:rFonts w:cs="Tahoma"/>
          <w:szCs w:val="16"/>
          <w:lang w:val="en-GB"/>
        </w:rPr>
      </w:pPr>
      <w:r w:rsidRPr="00E342DC">
        <w:rPr>
          <w:rStyle w:val="FootnoteReference"/>
          <w:rFonts w:cs="Tahoma"/>
          <w:szCs w:val="16"/>
        </w:rPr>
        <w:footnoteRef/>
      </w:r>
      <w:r w:rsidRPr="00E342DC">
        <w:rPr>
          <w:rFonts w:cs="Tahoma"/>
          <w:szCs w:val="16"/>
          <w:lang w:val="en-GB"/>
        </w:rPr>
        <w:t xml:space="preserve"> List of issues in relation to the third periodic report of Tunisia, </w:t>
      </w:r>
      <w:r w:rsidRPr="00E342DC">
        <w:rPr>
          <w:rFonts w:cs="Tahoma"/>
          <w:i/>
          <w:iCs/>
          <w:szCs w:val="16"/>
          <w:lang w:val="en-GB"/>
        </w:rPr>
        <w:t>Addendum</w:t>
      </w:r>
      <w:r>
        <w:rPr>
          <w:rFonts w:cs="Tahoma"/>
          <w:i/>
          <w:iCs/>
          <w:szCs w:val="16"/>
          <w:lang w:val="en-GB"/>
        </w:rPr>
        <w:t xml:space="preserve"> </w:t>
      </w:r>
      <w:r w:rsidRPr="00E342DC">
        <w:rPr>
          <w:rFonts w:cs="Tahoma"/>
          <w:szCs w:val="16"/>
          <w:lang w:val="en-GB"/>
        </w:rPr>
        <w:t>Replies of Tunisia to the list of issues, CAT</w:t>
      </w:r>
    </w:p>
    <w:p w:rsidR="00BF513F" w:rsidRPr="00E342DC" w:rsidRDefault="00BF513F" w:rsidP="005C4B6E">
      <w:pPr>
        <w:pStyle w:val="FootnoteText"/>
        <w:rPr>
          <w:rFonts w:cs="Tahoma"/>
          <w:szCs w:val="16"/>
          <w:lang w:val="fr-CH"/>
        </w:rPr>
      </w:pPr>
      <w:r w:rsidRPr="00E342DC">
        <w:rPr>
          <w:rFonts w:cs="Tahoma"/>
          <w:szCs w:val="16"/>
          <w:lang w:val="fr-CH"/>
        </w:rPr>
        <w:t>/C/TUN/Q/3/Add.1 ,8 Février 2013, para 1. (Ci-après « Réponses de la Tunisie à la liste des points à traiter »)</w:t>
      </w:r>
    </w:p>
  </w:footnote>
  <w:footnote w:id="5">
    <w:p w:rsidR="00BF513F" w:rsidRPr="00E342DC" w:rsidRDefault="00BF513F" w:rsidP="005C4B6E">
      <w:pPr>
        <w:pStyle w:val="FootnoteText"/>
        <w:rPr>
          <w:rFonts w:cs="Tahoma"/>
          <w:szCs w:val="16"/>
          <w:lang w:val="fr-CH"/>
        </w:rPr>
      </w:pPr>
      <w:r w:rsidRPr="00E342DC">
        <w:rPr>
          <w:rStyle w:val="FootnoteReference"/>
          <w:rFonts w:cs="Tahoma"/>
          <w:szCs w:val="16"/>
        </w:rPr>
        <w:footnoteRef/>
      </w:r>
      <w:r w:rsidRPr="00E342DC">
        <w:rPr>
          <w:rFonts w:cs="Tahoma"/>
          <w:szCs w:val="16"/>
          <w:lang w:val="fr-CH"/>
        </w:rPr>
        <w:t xml:space="preserve"> </w:t>
      </w:r>
      <w:r w:rsidRPr="00E342DC">
        <w:rPr>
          <w:lang w:val="fr-CH"/>
        </w:rPr>
        <w:t>Comité contre la torture, A/45/44 para</w:t>
      </w:r>
      <w:r>
        <w:rPr>
          <w:lang w:val="fr-CH"/>
        </w:rPr>
        <w:t>.</w:t>
      </w:r>
      <w:r w:rsidRPr="00E342DC">
        <w:rPr>
          <w:lang w:val="fr-CH"/>
        </w:rPr>
        <w:t xml:space="preserve"> 190</w:t>
      </w:r>
      <w:r>
        <w:rPr>
          <w:lang w:val="fr-CH"/>
        </w:rPr>
        <w:t>.</w:t>
      </w:r>
    </w:p>
  </w:footnote>
  <w:footnote w:id="6">
    <w:p w:rsidR="00BF513F" w:rsidRPr="00E342DC" w:rsidRDefault="00BF513F">
      <w:pPr>
        <w:pStyle w:val="FootnoteText"/>
        <w:rPr>
          <w:rFonts w:cs="Tahoma"/>
          <w:szCs w:val="16"/>
        </w:rPr>
      </w:pPr>
      <w:r w:rsidRPr="00E342DC">
        <w:rPr>
          <w:rStyle w:val="FootnoteReference"/>
          <w:rFonts w:cs="Tahoma"/>
          <w:szCs w:val="16"/>
        </w:rPr>
        <w:footnoteRef/>
      </w:r>
      <w:r w:rsidRPr="00E342DC">
        <w:rPr>
          <w:rFonts w:cs="Tahoma"/>
          <w:szCs w:val="16"/>
        </w:rPr>
        <w:t xml:space="preserve"> Nous faisons référence au standard de la responsabilité du supérieur hiérarchique contenue dans l’article 29 du Statut de Rome</w:t>
      </w:r>
      <w:r>
        <w:rPr>
          <w:rFonts w:cs="Tahoma"/>
          <w:szCs w:val="16"/>
        </w:rPr>
        <w:t>.</w:t>
      </w:r>
    </w:p>
  </w:footnote>
  <w:footnote w:id="7">
    <w:p w:rsidR="00BF513F" w:rsidRPr="00E342DC" w:rsidRDefault="00BF513F" w:rsidP="00CA65A1">
      <w:pPr>
        <w:pStyle w:val="FootnoteText"/>
        <w:rPr>
          <w:rFonts w:cs="Tahoma"/>
          <w:i/>
          <w:iCs/>
          <w:szCs w:val="16"/>
        </w:rPr>
      </w:pPr>
      <w:r w:rsidRPr="00E342DC">
        <w:rPr>
          <w:rStyle w:val="FootnoteReference"/>
          <w:rFonts w:cs="Tahoma"/>
          <w:szCs w:val="16"/>
        </w:rPr>
        <w:footnoteRef/>
      </w:r>
      <w:r w:rsidRPr="00E342DC">
        <w:rPr>
          <w:rFonts w:cs="Tahoma"/>
          <w:szCs w:val="16"/>
        </w:rPr>
        <w:t xml:space="preserve"> </w:t>
      </w:r>
      <w:r w:rsidRPr="00E342DC">
        <w:rPr>
          <w:rFonts w:cs="Tahoma"/>
          <w:i/>
          <w:iCs/>
          <w:szCs w:val="16"/>
        </w:rPr>
        <w:t xml:space="preserve">Troisième rapport périodique présenté par la Tunisie au Comité contre la torture en application de l’article 19 de la Convention </w:t>
      </w:r>
    </w:p>
    <w:p w:rsidR="00BF513F" w:rsidRPr="00E342DC" w:rsidRDefault="00BF513F" w:rsidP="00CA65A1">
      <w:pPr>
        <w:pStyle w:val="FootnoteText"/>
        <w:rPr>
          <w:rFonts w:cs="Tahoma"/>
          <w:szCs w:val="16"/>
          <w:lang w:val="fr-CH"/>
        </w:rPr>
      </w:pPr>
      <w:r w:rsidRPr="00E342DC">
        <w:rPr>
          <w:rFonts w:cs="Tahoma"/>
          <w:i/>
          <w:iCs/>
          <w:szCs w:val="16"/>
        </w:rPr>
        <w:t>en 1997</w:t>
      </w:r>
      <w:r w:rsidRPr="00E342DC">
        <w:rPr>
          <w:rFonts w:cs="Tahoma"/>
          <w:szCs w:val="16"/>
        </w:rPr>
        <w:t xml:space="preserve">, </w:t>
      </w:r>
      <w:r w:rsidRPr="00E342DC">
        <w:rPr>
          <w:rFonts w:cs="Tahoma"/>
          <w:i/>
          <w:iCs/>
          <w:szCs w:val="16"/>
        </w:rPr>
        <w:t>Rapport complémentaire</w:t>
      </w:r>
      <w:r w:rsidRPr="00E342DC">
        <w:rPr>
          <w:rFonts w:cs="Tahoma"/>
          <w:szCs w:val="16"/>
        </w:rPr>
        <w:t xml:space="preserve"> CAT/C/TUN/3/Add.1), 5 novembre 2014, para. </w:t>
      </w:r>
      <w:r w:rsidRPr="00E342DC">
        <w:rPr>
          <w:rFonts w:cs="Tahoma"/>
          <w:szCs w:val="16"/>
          <w:lang w:val="fr-CH"/>
        </w:rPr>
        <w:t>44. (Ci-après « </w:t>
      </w:r>
      <w:r w:rsidRPr="00E342DC">
        <w:rPr>
          <w:rFonts w:cs="Tahoma"/>
          <w:i/>
          <w:iCs/>
          <w:szCs w:val="16"/>
        </w:rPr>
        <w:t>Troisième rapport pério</w:t>
      </w:r>
      <w:r>
        <w:rPr>
          <w:rFonts w:cs="Tahoma"/>
          <w:i/>
          <w:iCs/>
          <w:szCs w:val="16"/>
        </w:rPr>
        <w:t>dique, Rapport complémentaire »</w:t>
      </w:r>
      <w:r w:rsidRPr="00E342DC">
        <w:rPr>
          <w:rFonts w:cs="Tahoma"/>
          <w:i/>
          <w:iCs/>
          <w:szCs w:val="16"/>
        </w:rPr>
        <w:t>)</w:t>
      </w:r>
      <w:r>
        <w:rPr>
          <w:rFonts w:cs="Tahoma"/>
          <w:i/>
          <w:iCs/>
          <w:szCs w:val="16"/>
        </w:rPr>
        <w:t>.</w:t>
      </w:r>
    </w:p>
  </w:footnote>
  <w:footnote w:id="8">
    <w:p w:rsidR="00BF513F" w:rsidRPr="00E342DC" w:rsidRDefault="00BF513F" w:rsidP="000B02C7">
      <w:pPr>
        <w:pStyle w:val="FootnoteText"/>
        <w:rPr>
          <w:rFonts w:cs="Tahoma"/>
          <w:szCs w:val="16"/>
        </w:rPr>
      </w:pPr>
      <w:r w:rsidRPr="00E342DC">
        <w:rPr>
          <w:rStyle w:val="FootnoteReference"/>
          <w:rFonts w:cs="Tahoma"/>
          <w:szCs w:val="16"/>
        </w:rPr>
        <w:footnoteRef/>
      </w:r>
      <w:r w:rsidRPr="00CC02BA">
        <w:rPr>
          <w:rFonts w:cs="Tahoma"/>
          <w:szCs w:val="16"/>
        </w:rPr>
        <w:t xml:space="preserve"> </w:t>
      </w:r>
      <w:r w:rsidRPr="00CC02BA">
        <w:rPr>
          <w:rFonts w:cs="Tahoma"/>
          <w:i/>
          <w:iCs/>
          <w:szCs w:val="16"/>
        </w:rPr>
        <w:t>Prosecutor v. Anto Furundzija (Trial Judgement)</w:t>
      </w:r>
      <w:r w:rsidRPr="00CC02BA">
        <w:rPr>
          <w:rFonts w:cs="Tahoma"/>
          <w:szCs w:val="16"/>
        </w:rPr>
        <w:t xml:space="preserve">, IT-95-17/1-T, International Criminal Tribunal for the former Yugoslavia (ICTY), 10 December 1998, para. </w:t>
      </w:r>
      <w:r w:rsidRPr="00E342DC">
        <w:rPr>
          <w:rFonts w:cs="Tahoma"/>
          <w:szCs w:val="16"/>
        </w:rPr>
        <w:t>157.</w:t>
      </w:r>
    </w:p>
  </w:footnote>
  <w:footnote w:id="9">
    <w:p w:rsidR="00BF513F" w:rsidRPr="00E342DC" w:rsidRDefault="00BF513F">
      <w:pPr>
        <w:pStyle w:val="FootnoteText"/>
        <w:rPr>
          <w:rFonts w:cs="Tahoma"/>
          <w:szCs w:val="16"/>
        </w:rPr>
      </w:pPr>
      <w:r w:rsidRPr="00E342DC">
        <w:rPr>
          <w:rStyle w:val="FootnoteReference"/>
          <w:rFonts w:cs="Tahoma"/>
          <w:szCs w:val="16"/>
        </w:rPr>
        <w:footnoteRef/>
      </w:r>
      <w:r w:rsidRPr="00E342DC">
        <w:rPr>
          <w:rFonts w:cs="Tahoma"/>
          <w:szCs w:val="16"/>
        </w:rPr>
        <w:t xml:space="preserve"> </w:t>
      </w:r>
      <w:r w:rsidRPr="00E342DC">
        <w:rPr>
          <w:szCs w:val="16"/>
          <w:lang w:val="fr-CH"/>
        </w:rPr>
        <w:t>« Principes fondamentaux et directives concernant le droit à un recours et à réparation des victimes de violations flagrantes du droit international des droits de l’homme et de violations graves du droit international humanitaire » Résolution 60/147 adoptée par l’Assemblée générale le 16 décembre 2005. Principe II, b).</w:t>
      </w:r>
    </w:p>
  </w:footnote>
  <w:footnote w:id="10">
    <w:p w:rsidR="00BF513F" w:rsidRPr="00E342DC" w:rsidRDefault="00BF513F">
      <w:pPr>
        <w:pStyle w:val="FootnoteText"/>
        <w:rPr>
          <w:rFonts w:cs="Tahoma"/>
          <w:szCs w:val="16"/>
        </w:rPr>
      </w:pPr>
      <w:r w:rsidRPr="00E342DC">
        <w:rPr>
          <w:rStyle w:val="FootnoteReference"/>
          <w:rFonts w:cs="Tahoma"/>
          <w:szCs w:val="16"/>
        </w:rPr>
        <w:footnoteRef/>
      </w:r>
      <w:r w:rsidRPr="00E342DC">
        <w:rPr>
          <w:rFonts w:cs="Tahoma"/>
          <w:szCs w:val="16"/>
        </w:rPr>
        <w:t xml:space="preserve"> Comité contre la torture, Observations générales n° 2, Application de l’article 2 par les États parties, (CAT/C/GC/2), adoptée le 24 janvier 2008, para. 13</w:t>
      </w:r>
      <w:r>
        <w:rPr>
          <w:rFonts w:cs="Tahoma"/>
          <w:szCs w:val="16"/>
        </w:rPr>
        <w:t>.</w:t>
      </w:r>
    </w:p>
  </w:footnote>
  <w:footnote w:id="11">
    <w:p w:rsidR="00BF513F" w:rsidRPr="00E342DC" w:rsidRDefault="00BF513F" w:rsidP="00813844">
      <w:pPr>
        <w:pStyle w:val="FootnoteText"/>
        <w:rPr>
          <w:rFonts w:cs="Tahoma"/>
          <w:szCs w:val="16"/>
        </w:rPr>
      </w:pPr>
      <w:r w:rsidRPr="00E342DC">
        <w:rPr>
          <w:rStyle w:val="FootnoteReference"/>
          <w:rFonts w:cs="Tahoma"/>
          <w:szCs w:val="16"/>
        </w:rPr>
        <w:footnoteRef/>
      </w:r>
      <w:r w:rsidRPr="00E342DC">
        <w:rPr>
          <w:rFonts w:cs="Tahoma"/>
          <w:szCs w:val="16"/>
        </w:rPr>
        <w:t xml:space="preserve"> Comité des droits de l’homme</w:t>
      </w:r>
      <w:r w:rsidRPr="00E342DC">
        <w:rPr>
          <w:rFonts w:cs="Tahoma"/>
          <w:i/>
          <w:iCs/>
          <w:szCs w:val="16"/>
        </w:rPr>
        <w:t>, observations générales n°35, article 9 (Liberté et sécurité de la personne)</w:t>
      </w:r>
      <w:r w:rsidRPr="00E342DC">
        <w:rPr>
          <w:rFonts w:cs="Tahoma"/>
          <w:szCs w:val="16"/>
        </w:rPr>
        <w:t xml:space="preserve"> (CCPR/C/GC/35), adoptée le 16 décembre 2014, para. 33.</w:t>
      </w:r>
    </w:p>
  </w:footnote>
  <w:footnote w:id="12">
    <w:p w:rsidR="00BF513F" w:rsidRPr="00E342DC" w:rsidRDefault="00BF513F" w:rsidP="005C4B6E">
      <w:pPr>
        <w:pStyle w:val="FootnoteText"/>
        <w:rPr>
          <w:rFonts w:cs="Tahoma"/>
          <w:szCs w:val="16"/>
          <w:lang w:val="fr-CH"/>
        </w:rPr>
      </w:pPr>
      <w:r w:rsidRPr="00E342DC">
        <w:rPr>
          <w:rStyle w:val="FootnoteReference"/>
          <w:rFonts w:cs="Tahoma"/>
          <w:szCs w:val="16"/>
        </w:rPr>
        <w:footnoteRef/>
      </w:r>
      <w:r w:rsidRPr="00E342DC">
        <w:rPr>
          <w:rFonts w:cs="Tahoma"/>
          <w:szCs w:val="16"/>
        </w:rPr>
        <w:t xml:space="preserve"> </w:t>
      </w:r>
      <w:r w:rsidRPr="00E342DC">
        <w:rPr>
          <w:rFonts w:cs="Tahoma"/>
          <w:szCs w:val="16"/>
          <w:lang w:val="fr-CH"/>
        </w:rPr>
        <w:t>Réponses de la Tunisie à la liste des points à traiter, CAT/C/TUN/Q/3/Add.1,</w:t>
      </w:r>
      <w:r w:rsidRPr="00E342DC">
        <w:rPr>
          <w:rFonts w:cs="Tahoma"/>
          <w:szCs w:val="16"/>
        </w:rPr>
        <w:t>Para 3</w:t>
      </w:r>
      <w:r>
        <w:rPr>
          <w:rFonts w:cs="Tahoma"/>
          <w:szCs w:val="16"/>
        </w:rPr>
        <w:t>.</w:t>
      </w:r>
      <w:r w:rsidRPr="00E342DC">
        <w:rPr>
          <w:rFonts w:cs="Tahoma"/>
          <w:szCs w:val="16"/>
        </w:rPr>
        <w:t xml:space="preserve"> </w:t>
      </w:r>
    </w:p>
  </w:footnote>
  <w:footnote w:id="13">
    <w:p w:rsidR="00BF513F" w:rsidRPr="00E342DC" w:rsidRDefault="00BF513F" w:rsidP="005C4B6E">
      <w:pPr>
        <w:pStyle w:val="FootnoteText"/>
        <w:rPr>
          <w:rFonts w:cs="Tahoma"/>
          <w:szCs w:val="16"/>
          <w:lang w:val="fr-CH"/>
        </w:rPr>
      </w:pPr>
      <w:r w:rsidRPr="00E342DC">
        <w:rPr>
          <w:rStyle w:val="FootnoteReference"/>
          <w:rFonts w:cs="Tahoma"/>
          <w:szCs w:val="16"/>
        </w:rPr>
        <w:footnoteRef/>
      </w:r>
      <w:r w:rsidRPr="00E342DC">
        <w:rPr>
          <w:rFonts w:cs="Tahoma"/>
          <w:szCs w:val="16"/>
        </w:rPr>
        <w:t xml:space="preserve"> </w:t>
      </w:r>
      <w:r w:rsidRPr="00E342DC">
        <w:rPr>
          <w:rFonts w:cs="Tahoma"/>
          <w:szCs w:val="16"/>
          <w:lang w:val="fr-CH"/>
        </w:rPr>
        <w:t>Réponses de la Tunisie à la liste des points à traiter, CAT/C/TUN/Q/3/Add.1Para 3 a)</w:t>
      </w:r>
      <w:r>
        <w:rPr>
          <w:rFonts w:cs="Tahoma"/>
          <w:szCs w:val="16"/>
          <w:lang w:val="fr-CH"/>
        </w:rPr>
        <w:t>.</w:t>
      </w:r>
    </w:p>
  </w:footnote>
  <w:footnote w:id="14">
    <w:p w:rsidR="00BF513F" w:rsidRPr="00CC02BA" w:rsidRDefault="00BF513F">
      <w:pPr>
        <w:pStyle w:val="FootnoteText"/>
        <w:rPr>
          <w:rFonts w:cs="Tahoma"/>
          <w:szCs w:val="16"/>
          <w:lang w:val="en-GB"/>
        </w:rPr>
      </w:pPr>
      <w:r w:rsidRPr="00E342DC">
        <w:rPr>
          <w:rStyle w:val="FootnoteReference"/>
          <w:rFonts w:cs="Tahoma"/>
          <w:szCs w:val="16"/>
        </w:rPr>
        <w:footnoteRef/>
      </w:r>
      <w:r w:rsidRPr="00CC02BA">
        <w:rPr>
          <w:rFonts w:cs="Tahoma"/>
          <w:szCs w:val="16"/>
          <w:lang w:val="en-GB"/>
        </w:rPr>
        <w:t xml:space="preserve"> </w:t>
      </w:r>
      <w:proofErr w:type="spellStart"/>
      <w:proofErr w:type="gramStart"/>
      <w:r w:rsidRPr="00CC02BA">
        <w:rPr>
          <w:rFonts w:cs="Tahoma"/>
          <w:i/>
          <w:iCs/>
          <w:szCs w:val="16"/>
          <w:lang w:val="en-GB"/>
        </w:rPr>
        <w:t>Ibidem</w:t>
      </w:r>
      <w:proofErr w:type="spellEnd"/>
      <w:r>
        <w:rPr>
          <w:rFonts w:cs="Tahoma"/>
          <w:i/>
          <w:iCs/>
          <w:szCs w:val="16"/>
          <w:lang w:val="en-GB"/>
        </w:rPr>
        <w:t>.</w:t>
      </w:r>
      <w:proofErr w:type="gramEnd"/>
    </w:p>
  </w:footnote>
  <w:footnote w:id="15">
    <w:p w:rsidR="00BF513F" w:rsidRPr="00CC02BA" w:rsidRDefault="00BF513F">
      <w:pPr>
        <w:pStyle w:val="FootnoteText"/>
        <w:rPr>
          <w:rFonts w:cs="Tahoma"/>
          <w:szCs w:val="16"/>
          <w:lang w:val="en-GB"/>
        </w:rPr>
      </w:pPr>
      <w:r w:rsidRPr="00E342DC">
        <w:rPr>
          <w:rStyle w:val="FootnoteReference"/>
          <w:rFonts w:cs="Tahoma"/>
          <w:szCs w:val="16"/>
        </w:rPr>
        <w:footnoteRef/>
      </w:r>
      <w:r w:rsidRPr="00CC02BA">
        <w:rPr>
          <w:rFonts w:cs="Tahoma"/>
          <w:szCs w:val="16"/>
          <w:lang w:val="en-GB"/>
        </w:rPr>
        <w:t xml:space="preserve"> </w:t>
      </w:r>
      <w:proofErr w:type="spellStart"/>
      <w:proofErr w:type="gramStart"/>
      <w:r w:rsidRPr="00CC02BA">
        <w:rPr>
          <w:rFonts w:cs="Tahoma"/>
          <w:i/>
          <w:iCs/>
          <w:szCs w:val="16"/>
          <w:lang w:val="en-GB"/>
        </w:rPr>
        <w:t>Ibidem</w:t>
      </w:r>
      <w:proofErr w:type="spellEnd"/>
      <w:r>
        <w:rPr>
          <w:rFonts w:cs="Tahoma"/>
          <w:i/>
          <w:iCs/>
          <w:szCs w:val="16"/>
          <w:lang w:val="en-GB"/>
        </w:rPr>
        <w:t>.</w:t>
      </w:r>
      <w:proofErr w:type="gramEnd"/>
    </w:p>
  </w:footnote>
  <w:footnote w:id="16">
    <w:p w:rsidR="00BF513F" w:rsidRPr="00E342DC" w:rsidRDefault="00BF513F">
      <w:pPr>
        <w:pStyle w:val="FootnoteText"/>
        <w:rPr>
          <w:rFonts w:cs="Tahoma"/>
          <w:i/>
          <w:iCs/>
          <w:szCs w:val="16"/>
          <w:lang w:val="fr-CH"/>
        </w:rPr>
      </w:pPr>
      <w:r w:rsidRPr="00E342DC">
        <w:rPr>
          <w:rStyle w:val="FootnoteReference"/>
          <w:rFonts w:cs="Tahoma"/>
          <w:szCs w:val="16"/>
        </w:rPr>
        <w:footnoteRef/>
      </w:r>
      <w:r w:rsidRPr="00E342DC">
        <w:rPr>
          <w:rFonts w:cs="Tahoma"/>
          <w:szCs w:val="16"/>
          <w:lang w:val="en-GB"/>
        </w:rPr>
        <w:t xml:space="preserve"> </w:t>
      </w:r>
      <w:proofErr w:type="gramStart"/>
      <w:r w:rsidRPr="00E342DC">
        <w:rPr>
          <w:rFonts w:cs="Tahoma"/>
          <w:szCs w:val="16"/>
          <w:lang w:val="en-GB"/>
        </w:rPr>
        <w:t xml:space="preserve">Comité des disparitions forcées, </w:t>
      </w:r>
      <w:r w:rsidRPr="00E342DC">
        <w:rPr>
          <w:rFonts w:cs="Tahoma"/>
          <w:i/>
          <w:iCs/>
          <w:szCs w:val="16"/>
          <w:lang w:val="en-GB"/>
        </w:rPr>
        <w:t xml:space="preserve">Concluding Observations on the Report Submitted by Tunisia under Article 29 (1) of the Convention, </w:t>
      </w:r>
      <w:r w:rsidRPr="00E342DC">
        <w:rPr>
          <w:rFonts w:cs="Tahoma"/>
          <w:szCs w:val="16"/>
          <w:lang w:val="en-GB"/>
        </w:rPr>
        <w:t>para.</w:t>
      </w:r>
      <w:proofErr w:type="gramEnd"/>
      <w:r w:rsidRPr="00E342DC">
        <w:rPr>
          <w:rFonts w:cs="Tahoma"/>
          <w:szCs w:val="16"/>
          <w:lang w:val="en-GB"/>
        </w:rPr>
        <w:t xml:space="preserve"> </w:t>
      </w:r>
      <w:r w:rsidRPr="00E342DC">
        <w:rPr>
          <w:rFonts w:cs="Tahoma"/>
          <w:szCs w:val="16"/>
          <w:lang w:val="fr-CH"/>
        </w:rPr>
        <w:t>29.</w:t>
      </w:r>
      <w:r w:rsidRPr="00E342DC">
        <w:rPr>
          <w:rFonts w:cs="Tahoma"/>
          <w:i/>
          <w:iCs/>
          <w:szCs w:val="16"/>
          <w:lang w:val="fr-CH"/>
        </w:rPr>
        <w:t xml:space="preserve"> </w:t>
      </w:r>
    </w:p>
  </w:footnote>
  <w:footnote w:id="17">
    <w:p w:rsidR="00BF513F" w:rsidRPr="00E342DC" w:rsidRDefault="00BF513F">
      <w:pPr>
        <w:pStyle w:val="FootnoteText"/>
        <w:rPr>
          <w:rFonts w:cs="Tahoma"/>
          <w:szCs w:val="16"/>
          <w:lang w:val="fr-CH"/>
        </w:rPr>
      </w:pPr>
      <w:r w:rsidRPr="00E342DC">
        <w:rPr>
          <w:rStyle w:val="FootnoteReference"/>
          <w:rFonts w:cs="Tahoma"/>
          <w:szCs w:val="16"/>
        </w:rPr>
        <w:footnoteRef/>
      </w:r>
      <w:r w:rsidRPr="00E342DC">
        <w:rPr>
          <w:rFonts w:cs="Tahoma"/>
          <w:szCs w:val="16"/>
          <w:lang w:val="fr-CH"/>
        </w:rPr>
        <w:t xml:space="preserve"> Réponses de la Tunisie à la liste des points à traiter, CAT/C/TUN/Q/3/Add.1,Para 3 f)</w:t>
      </w:r>
      <w:r>
        <w:rPr>
          <w:rFonts w:cs="Tahoma"/>
          <w:szCs w:val="16"/>
          <w:lang w:val="fr-CH"/>
        </w:rPr>
        <w:t>.</w:t>
      </w:r>
    </w:p>
  </w:footnote>
  <w:footnote w:id="18">
    <w:p w:rsidR="00BF513F" w:rsidRPr="00E342DC" w:rsidRDefault="00BF513F" w:rsidP="00E342DC">
      <w:pPr>
        <w:pStyle w:val="FootnoteText"/>
        <w:rPr>
          <w:rFonts w:cs="Tahoma"/>
          <w:szCs w:val="16"/>
        </w:rPr>
      </w:pPr>
      <w:r w:rsidRPr="00E342DC">
        <w:rPr>
          <w:rStyle w:val="FootnoteReference"/>
          <w:rFonts w:cs="Tahoma"/>
          <w:szCs w:val="16"/>
        </w:rPr>
        <w:footnoteRef/>
      </w:r>
      <w:r w:rsidRPr="00E342DC">
        <w:rPr>
          <w:rFonts w:cs="Tahoma"/>
          <w:szCs w:val="16"/>
          <w:lang w:val="fr-CH"/>
        </w:rPr>
        <w:t>Rapport du Rapporteur Spécial sur la torture et autres traitements cruels inhumains et dégradants</w:t>
      </w:r>
      <w:r w:rsidRPr="00E342DC">
        <w:rPr>
          <w:rFonts w:cs="Tahoma"/>
          <w:i/>
          <w:iCs/>
          <w:szCs w:val="16"/>
          <w:lang w:val="fr-CH"/>
        </w:rPr>
        <w:t>, Juan E. Méndez - Addendum – Rapport de suivi: visites en république du Tadjikistan et en Tunisie,</w:t>
      </w:r>
      <w:r w:rsidRPr="00E342DC">
        <w:rPr>
          <w:rFonts w:cs="Tahoma"/>
          <w:szCs w:val="16"/>
        </w:rPr>
        <w:t xml:space="preserve"> A/HRC/19/61/Add.1, 18 Janvier 2012, (Ci-après « Rapport de la visite en Tunisie</w:t>
      </w:r>
      <w:r>
        <w:rPr>
          <w:rFonts w:cs="Tahoma"/>
          <w:szCs w:val="16"/>
        </w:rPr>
        <w:t xml:space="preserve"> </w:t>
      </w:r>
      <w:r w:rsidRPr="00E342DC">
        <w:rPr>
          <w:rFonts w:cs="Tahoma"/>
          <w:szCs w:val="16"/>
        </w:rPr>
        <w:t>du Rapporteur spécial sur la Torture»),</w:t>
      </w:r>
      <w:r w:rsidRPr="00E342DC">
        <w:rPr>
          <w:rFonts w:cs="Tahoma"/>
          <w:szCs w:val="16"/>
          <w:lang w:val="fr-CH"/>
        </w:rPr>
        <w:t xml:space="preserve"> para. </w:t>
      </w:r>
      <w:r w:rsidRPr="00E342DC">
        <w:rPr>
          <w:rFonts w:cs="Tahoma"/>
          <w:szCs w:val="16"/>
        </w:rPr>
        <w:t>73.</w:t>
      </w:r>
    </w:p>
  </w:footnote>
  <w:footnote w:id="19">
    <w:p w:rsidR="00BF513F" w:rsidRPr="00E342DC" w:rsidRDefault="00BF513F">
      <w:pPr>
        <w:pStyle w:val="FootnoteText"/>
        <w:rPr>
          <w:rFonts w:cs="Tahoma"/>
          <w:szCs w:val="16"/>
          <w:lang w:val="fr-CH"/>
        </w:rPr>
      </w:pPr>
      <w:r w:rsidRPr="00E342DC">
        <w:rPr>
          <w:rStyle w:val="FootnoteReference"/>
          <w:rFonts w:cs="Tahoma"/>
          <w:szCs w:val="16"/>
        </w:rPr>
        <w:footnoteRef/>
      </w:r>
      <w:r w:rsidRPr="00E342DC">
        <w:rPr>
          <w:rFonts w:cs="Tahoma"/>
          <w:szCs w:val="16"/>
        </w:rPr>
        <w:t xml:space="preserve"> </w:t>
      </w:r>
      <w:r w:rsidRPr="00E342DC">
        <w:rPr>
          <w:rFonts w:cs="Tahoma"/>
          <w:szCs w:val="16"/>
          <w:lang w:val="fr-CH"/>
        </w:rPr>
        <w:t>Réponses de la Tunisie à la liste des points à traiter, CAT/C/TUN/Q/3/Add.1,Para 3 f)</w:t>
      </w:r>
      <w:r w:rsidRPr="00E342DC">
        <w:rPr>
          <w:rFonts w:cs="Tahoma"/>
          <w:szCs w:val="16"/>
        </w:rPr>
        <w:t xml:space="preserve"> </w:t>
      </w:r>
    </w:p>
  </w:footnote>
  <w:footnote w:id="20">
    <w:p w:rsidR="00BF513F" w:rsidRPr="00E342DC" w:rsidRDefault="00BF513F" w:rsidP="00814F09">
      <w:pPr>
        <w:pStyle w:val="FootnoteText"/>
        <w:rPr>
          <w:rFonts w:cs="Tahoma"/>
          <w:szCs w:val="16"/>
          <w:lang w:val="fr-CH"/>
        </w:rPr>
      </w:pPr>
      <w:r w:rsidRPr="00E342DC">
        <w:rPr>
          <w:rStyle w:val="FootnoteReference"/>
          <w:rFonts w:cs="Tahoma"/>
          <w:szCs w:val="16"/>
        </w:rPr>
        <w:footnoteRef/>
      </w:r>
      <w:r w:rsidRPr="00E342DC">
        <w:rPr>
          <w:rFonts w:cs="Tahoma"/>
          <w:szCs w:val="16"/>
          <w:lang w:val="fr-CH"/>
        </w:rPr>
        <w:t xml:space="preserve"> Voir partie 5 de ce rapport</w:t>
      </w:r>
      <w:r>
        <w:rPr>
          <w:rFonts w:cs="Tahoma"/>
          <w:szCs w:val="16"/>
          <w:lang w:val="fr-CH"/>
        </w:rPr>
        <w:t>.</w:t>
      </w:r>
    </w:p>
  </w:footnote>
  <w:footnote w:id="21">
    <w:p w:rsidR="00BF513F" w:rsidRPr="00E342DC" w:rsidRDefault="00BF513F" w:rsidP="00814F09">
      <w:pPr>
        <w:pStyle w:val="FootnoteText"/>
        <w:rPr>
          <w:rFonts w:cs="Tahoma"/>
          <w:szCs w:val="16"/>
          <w:lang w:val="fr-CH"/>
        </w:rPr>
      </w:pPr>
      <w:r w:rsidRPr="00E342DC">
        <w:rPr>
          <w:rStyle w:val="FootnoteReference"/>
          <w:rFonts w:cs="Tahoma"/>
          <w:szCs w:val="16"/>
        </w:rPr>
        <w:footnoteRef/>
      </w:r>
      <w:r w:rsidRPr="00E342DC">
        <w:rPr>
          <w:rFonts w:cs="Tahoma"/>
          <w:szCs w:val="16"/>
        </w:rPr>
        <w:t xml:space="preserve"> CAT, Liste des points concernant le troisième rapport périodique de la Tunisie, </w:t>
      </w:r>
      <w:r w:rsidRPr="00E342DC">
        <w:rPr>
          <w:rFonts w:cs="Tahoma"/>
          <w:szCs w:val="16"/>
          <w:lang w:val="fr-CH"/>
        </w:rPr>
        <w:t>CAT/C/TUN/Q/3, 6 Janvier 2016</w:t>
      </w:r>
      <w:r>
        <w:rPr>
          <w:rFonts w:cs="Tahoma"/>
          <w:szCs w:val="16"/>
          <w:lang w:val="fr-CH"/>
        </w:rPr>
        <w:t xml:space="preserve"> </w:t>
      </w:r>
      <w:r w:rsidRPr="00E342DC">
        <w:rPr>
          <w:rFonts w:cs="Tahoma"/>
          <w:szCs w:val="16"/>
          <w:lang w:val="fr-CH"/>
        </w:rPr>
        <w:t>para 3, e) (Ci-après « Liste des points »)</w:t>
      </w:r>
      <w:r>
        <w:rPr>
          <w:rFonts w:cs="Tahoma"/>
          <w:szCs w:val="16"/>
          <w:lang w:val="fr-CH"/>
        </w:rPr>
        <w:t>.</w:t>
      </w:r>
    </w:p>
  </w:footnote>
  <w:footnote w:id="22">
    <w:p w:rsidR="00BF513F" w:rsidRPr="00E342DC" w:rsidRDefault="00BF513F" w:rsidP="00E342DC">
      <w:pPr>
        <w:pStyle w:val="FootnoteText"/>
        <w:rPr>
          <w:rFonts w:cs="Tahoma"/>
          <w:szCs w:val="16"/>
        </w:rPr>
      </w:pPr>
      <w:r w:rsidRPr="00E342DC">
        <w:rPr>
          <w:rStyle w:val="FootnoteReference"/>
          <w:rFonts w:cs="Tahoma"/>
          <w:szCs w:val="16"/>
        </w:rPr>
        <w:footnoteRef/>
      </w:r>
      <w:r w:rsidRPr="00E342DC">
        <w:rPr>
          <w:rFonts w:cs="Tahoma"/>
          <w:szCs w:val="16"/>
        </w:rPr>
        <w:t xml:space="preserve"> Rapport de la visite en Tunisie</w:t>
      </w:r>
      <w:r>
        <w:rPr>
          <w:rFonts w:cs="Tahoma"/>
          <w:szCs w:val="16"/>
        </w:rPr>
        <w:t xml:space="preserve"> </w:t>
      </w:r>
      <w:r w:rsidRPr="00E342DC">
        <w:rPr>
          <w:rFonts w:cs="Tahoma"/>
          <w:szCs w:val="16"/>
        </w:rPr>
        <w:t xml:space="preserve">du Rapporteur spécial sur la Torture, para. </w:t>
      </w:r>
      <w:r w:rsidRPr="00E342DC">
        <w:rPr>
          <w:rFonts w:cs="Tahoma"/>
          <w:szCs w:val="16"/>
          <w:lang w:val="fr-CH"/>
        </w:rPr>
        <w:t>17.</w:t>
      </w:r>
    </w:p>
  </w:footnote>
  <w:footnote w:id="23">
    <w:p w:rsidR="00BF513F" w:rsidRPr="00E342DC" w:rsidRDefault="00BF513F" w:rsidP="00D00218">
      <w:pPr>
        <w:pStyle w:val="FootnoteText"/>
        <w:rPr>
          <w:rFonts w:cs="Tahoma"/>
          <w:szCs w:val="16"/>
          <w:lang w:val="fr-CH"/>
        </w:rPr>
      </w:pPr>
      <w:r w:rsidRPr="00E342DC">
        <w:rPr>
          <w:rStyle w:val="FootnoteReference"/>
          <w:rFonts w:cs="Tahoma"/>
          <w:szCs w:val="16"/>
        </w:rPr>
        <w:footnoteRef/>
      </w:r>
      <w:r w:rsidRPr="00E342DC">
        <w:rPr>
          <w:rFonts w:cs="Tahoma"/>
          <w:szCs w:val="16"/>
          <w:lang w:val="fr-CH"/>
        </w:rPr>
        <w:t xml:space="preserve"> </w:t>
      </w:r>
      <w:r w:rsidRPr="00E342DC">
        <w:rPr>
          <w:rFonts w:cs="Tahoma"/>
          <w:i/>
          <w:iCs/>
          <w:szCs w:val="16"/>
          <w:lang w:val="fr-CH"/>
        </w:rPr>
        <w:t xml:space="preserve">Ibidem. </w:t>
      </w:r>
      <w:r w:rsidRPr="00E342DC">
        <w:rPr>
          <w:rFonts w:cs="Tahoma"/>
          <w:szCs w:val="16"/>
          <w:lang w:val="fr-CH"/>
        </w:rPr>
        <w:t xml:space="preserve">para. 75. </w:t>
      </w:r>
    </w:p>
  </w:footnote>
  <w:footnote w:id="24">
    <w:p w:rsidR="00BF513F" w:rsidRPr="00E342DC" w:rsidRDefault="00BF513F">
      <w:pPr>
        <w:rPr>
          <w:rFonts w:eastAsia="Times New Roman" w:cs="Tahoma"/>
          <w:sz w:val="16"/>
          <w:szCs w:val="16"/>
          <w:lang w:val="fr-CH" w:eastAsia="fr-CH"/>
        </w:rPr>
      </w:pPr>
      <w:r w:rsidRPr="00E342DC">
        <w:rPr>
          <w:rStyle w:val="FootnoteReference"/>
          <w:rFonts w:cs="Tahoma"/>
          <w:sz w:val="16"/>
          <w:szCs w:val="16"/>
        </w:rPr>
        <w:footnoteRef/>
      </w:r>
      <w:r w:rsidRPr="00E342DC">
        <w:rPr>
          <w:rFonts w:cs="Tahoma"/>
          <w:sz w:val="16"/>
          <w:szCs w:val="16"/>
        </w:rPr>
        <w:t xml:space="preserve"> « </w:t>
      </w:r>
      <w:r w:rsidRPr="00E342DC">
        <w:rPr>
          <w:rFonts w:eastAsia="Times New Roman" w:cs="Tahoma"/>
          <w:sz w:val="16"/>
          <w:szCs w:val="16"/>
          <w:lang w:val="fr-CH" w:eastAsia="fr-CH"/>
        </w:rPr>
        <w:t>Le Conseil de sécurité, dans sa résolution 1566 (2004), a évoqué «les actes criminels, notamment ceux dirigés contre des civils dans l’intention de causer la mort ou des blessures graves ou la prise d’otages dans le but de semer la terreur parmi la population, un groupe de personnes ou chez des particuliers, d’intimider une population ou de contraindre un gouvernement ou une organisation internationale à accomplir un acte ou à s’abstenir de le faire». La même année, le Groupe de personnalités de haut niveau sur les menaces, les défis et le changement établi par le Secrétaire général a décrit le terrorisme comme étant tout acte «commis dans l’intention de causer la mort ou des blessures graves à des civils ou à des non-combattants, qui a pour objet, par sa nature ou son contexte, d’intimider une population ou de contraindre un gouvernement ou une organisation internationale à accomplir un acte ou à s’abstenir de le faire» et a défini un certain nombre d’éléments clefs, renvoyant aux définitions figurant dans la Convention internationale de 1999 pour la répression du financement du terrorisme et à la résolution 1566 (2004) du Conseil de sécurité » Voir Un monde plus sûr: notre affaire à tous</w:t>
      </w:r>
      <w:r>
        <w:rPr>
          <w:rFonts w:eastAsia="Times New Roman" w:cs="Tahoma"/>
          <w:sz w:val="16"/>
          <w:szCs w:val="16"/>
          <w:lang w:val="fr-CH" w:eastAsia="fr-CH"/>
        </w:rPr>
        <w:t xml:space="preserve"> </w:t>
      </w:r>
      <w:r w:rsidRPr="00E342DC">
        <w:rPr>
          <w:rFonts w:eastAsia="Times New Roman" w:cs="Tahoma"/>
          <w:sz w:val="16"/>
          <w:szCs w:val="16"/>
          <w:lang w:val="fr-CH" w:eastAsia="fr-CH"/>
        </w:rPr>
        <w:t>(Publication des Nations Unies, numéro de vente F.05.I.5)</w:t>
      </w:r>
      <w:r>
        <w:rPr>
          <w:rFonts w:eastAsia="Times New Roman" w:cs="Tahoma"/>
          <w:sz w:val="16"/>
          <w:szCs w:val="16"/>
          <w:lang w:val="fr-CH" w:eastAsia="fr-CH"/>
        </w:rPr>
        <w:t>.</w:t>
      </w:r>
    </w:p>
  </w:footnote>
  <w:footnote w:id="25">
    <w:p w:rsidR="00BF513F" w:rsidRPr="00E342DC" w:rsidRDefault="00BF513F" w:rsidP="00CA65A1">
      <w:pPr>
        <w:pStyle w:val="FootnoteText"/>
        <w:rPr>
          <w:rFonts w:cs="Tahoma"/>
          <w:i/>
          <w:iCs/>
          <w:szCs w:val="16"/>
        </w:rPr>
      </w:pPr>
      <w:r w:rsidRPr="00E342DC">
        <w:rPr>
          <w:rStyle w:val="FootnoteReference"/>
          <w:rFonts w:cs="Tahoma"/>
          <w:szCs w:val="16"/>
        </w:rPr>
        <w:footnoteRef/>
      </w:r>
      <w:r w:rsidRPr="00E342DC">
        <w:rPr>
          <w:rFonts w:cs="Tahoma"/>
          <w:szCs w:val="16"/>
        </w:rPr>
        <w:t xml:space="preserve"> </w:t>
      </w:r>
      <w:r w:rsidRPr="00E342DC">
        <w:rPr>
          <w:rFonts w:cs="Tahoma"/>
          <w:i/>
          <w:iCs/>
          <w:szCs w:val="16"/>
        </w:rPr>
        <w:t xml:space="preserve">Troisième rapport périodique, Rapport complémentaire, </w:t>
      </w:r>
      <w:r w:rsidRPr="00E342DC">
        <w:rPr>
          <w:rFonts w:cs="Tahoma"/>
          <w:szCs w:val="16"/>
        </w:rPr>
        <w:t>CAT/C/TUN/3/Add.1, para. 91.</w:t>
      </w:r>
    </w:p>
  </w:footnote>
  <w:footnote w:id="26">
    <w:p w:rsidR="00BF513F" w:rsidRPr="00E342DC" w:rsidRDefault="00BF513F" w:rsidP="001B480D">
      <w:pPr>
        <w:pStyle w:val="FootnoteText"/>
        <w:rPr>
          <w:rFonts w:cs="Tahoma"/>
          <w:szCs w:val="16"/>
        </w:rPr>
      </w:pPr>
      <w:r w:rsidRPr="00E342DC">
        <w:rPr>
          <w:rStyle w:val="FootnoteReference"/>
          <w:rFonts w:cs="Tahoma"/>
          <w:szCs w:val="16"/>
        </w:rPr>
        <w:footnoteRef/>
      </w:r>
      <w:r w:rsidRPr="00E342DC">
        <w:rPr>
          <w:rFonts w:cs="Tahoma"/>
          <w:szCs w:val="16"/>
        </w:rPr>
        <w:t xml:space="preserve"> Rapport du Rapporteur spécial sur la torture présenté à la 19</w:t>
      </w:r>
      <w:r w:rsidRPr="00E342DC">
        <w:rPr>
          <w:rFonts w:cs="Tahoma"/>
          <w:szCs w:val="16"/>
          <w:vertAlign w:val="superscript"/>
        </w:rPr>
        <w:t>ème</w:t>
      </w:r>
      <w:r w:rsidRPr="00E342DC">
        <w:rPr>
          <w:rFonts w:cs="Tahoma"/>
          <w:szCs w:val="16"/>
        </w:rPr>
        <w:t xml:space="preserve"> session du Conseil des droits de l’homme, 2 février 2012, (A/HRC/19/61/Add.1), p 28.</w:t>
      </w:r>
    </w:p>
  </w:footnote>
  <w:footnote w:id="27">
    <w:p w:rsidR="00BF513F" w:rsidRPr="00E342DC" w:rsidRDefault="00BF513F">
      <w:pPr>
        <w:pStyle w:val="FootnoteText"/>
        <w:ind w:left="142" w:hanging="142"/>
        <w:jc w:val="left"/>
        <w:rPr>
          <w:rFonts w:cs="Tahoma"/>
          <w:szCs w:val="16"/>
          <w:lang w:val="fr-CH"/>
        </w:rPr>
      </w:pPr>
      <w:r w:rsidRPr="00E342DC">
        <w:rPr>
          <w:rStyle w:val="FootnoteReference"/>
          <w:rFonts w:cs="Tahoma"/>
          <w:szCs w:val="16"/>
        </w:rPr>
        <w:footnoteRef/>
      </w:r>
      <w:r w:rsidRPr="00E342DC">
        <w:rPr>
          <w:rFonts w:cs="Tahoma"/>
          <w:szCs w:val="16"/>
        </w:rPr>
        <w:t xml:space="preserve"> Témoignage de Samir Dilou, ancien ministre de la justice et président du Comité de soutien aux prisonniers politiques (ONG tunisienne), à Alkarama.</w:t>
      </w:r>
    </w:p>
  </w:footnote>
  <w:footnote w:id="28">
    <w:p w:rsidR="00BF513F" w:rsidRPr="00E342DC" w:rsidRDefault="00BF513F" w:rsidP="002D4BBD">
      <w:pPr>
        <w:pStyle w:val="FootnoteText"/>
        <w:rPr>
          <w:rFonts w:cs="Tahoma"/>
          <w:szCs w:val="16"/>
        </w:rPr>
      </w:pPr>
      <w:r w:rsidRPr="00E342DC">
        <w:rPr>
          <w:rStyle w:val="FootnoteReference"/>
          <w:rFonts w:cs="Tahoma"/>
          <w:szCs w:val="16"/>
        </w:rPr>
        <w:footnoteRef/>
      </w:r>
      <w:r w:rsidRPr="00E342DC">
        <w:rPr>
          <w:rFonts w:cs="Tahoma"/>
          <w:szCs w:val="16"/>
        </w:rPr>
        <w:t xml:space="preserve"> </w:t>
      </w:r>
      <w:r w:rsidRPr="00E342DC">
        <w:rPr>
          <w:rFonts w:cs="Tahoma"/>
          <w:i/>
          <w:iCs/>
          <w:szCs w:val="16"/>
        </w:rPr>
        <w:t>Rapport du Rapporteur spécial sur la promotion de la protection des droits de l’homme et des libertés fondamentales dans le cadre de la lutte contre le terrorisme présenté à la 63</w:t>
      </w:r>
      <w:r w:rsidRPr="00E342DC">
        <w:rPr>
          <w:rFonts w:cs="Tahoma"/>
          <w:i/>
          <w:iCs/>
          <w:szCs w:val="16"/>
          <w:vertAlign w:val="superscript"/>
        </w:rPr>
        <w:t>ème</w:t>
      </w:r>
      <w:r w:rsidRPr="00E342DC">
        <w:rPr>
          <w:rFonts w:cs="Tahoma"/>
          <w:i/>
          <w:iCs/>
          <w:szCs w:val="16"/>
        </w:rPr>
        <w:t xml:space="preserve"> session de la Commission des droits de l’homme</w:t>
      </w:r>
      <w:r w:rsidRPr="00E342DC">
        <w:rPr>
          <w:rFonts w:cs="Tahoma"/>
          <w:szCs w:val="16"/>
        </w:rPr>
        <w:t>, 6 août 2008, (A/63/223), para. 40.</w:t>
      </w:r>
    </w:p>
  </w:footnote>
  <w:footnote w:id="29">
    <w:p w:rsidR="00BF513F" w:rsidRPr="00E342DC" w:rsidRDefault="00BF513F">
      <w:pPr>
        <w:pStyle w:val="FootnoteText"/>
        <w:rPr>
          <w:rFonts w:cs="Tahoma"/>
          <w:szCs w:val="16"/>
        </w:rPr>
      </w:pPr>
      <w:r w:rsidRPr="00E342DC">
        <w:rPr>
          <w:rStyle w:val="FootnoteReference"/>
          <w:rFonts w:cs="Tahoma"/>
          <w:szCs w:val="16"/>
        </w:rPr>
        <w:footnoteRef/>
      </w:r>
      <w:r w:rsidRPr="00E342DC">
        <w:rPr>
          <w:rFonts w:cs="Tahoma"/>
          <w:szCs w:val="16"/>
        </w:rPr>
        <w:t xml:space="preserve"> CAT, Liste des points, CAT/C/TUN/Q/3, Para 3 g)</w:t>
      </w:r>
      <w:r>
        <w:rPr>
          <w:rFonts w:cs="Tahoma"/>
          <w:szCs w:val="16"/>
        </w:rPr>
        <w:t>.</w:t>
      </w:r>
    </w:p>
  </w:footnote>
  <w:footnote w:id="30">
    <w:p w:rsidR="00BF513F" w:rsidRPr="00E342DC" w:rsidRDefault="00BF513F" w:rsidP="00814F09">
      <w:pPr>
        <w:pStyle w:val="FootnoteText"/>
        <w:rPr>
          <w:rFonts w:cs="Tahoma"/>
          <w:szCs w:val="16"/>
        </w:rPr>
      </w:pPr>
      <w:r w:rsidRPr="00E342DC">
        <w:rPr>
          <w:rStyle w:val="FootnoteReference"/>
          <w:rFonts w:cs="Tahoma"/>
          <w:szCs w:val="16"/>
        </w:rPr>
        <w:footnoteRef/>
      </w:r>
      <w:r w:rsidRPr="00E342DC">
        <w:rPr>
          <w:rFonts w:cs="Tahoma"/>
          <w:szCs w:val="16"/>
        </w:rPr>
        <w:t xml:space="preserve"> Cette technique de torture de la police tunisienne consiste à immobiliser la victime en coinçant un bâton derrière ses genoux. Les chevilles et les poignets sont liés.</w:t>
      </w:r>
    </w:p>
  </w:footnote>
  <w:footnote w:id="31">
    <w:p w:rsidR="00BF513F" w:rsidRPr="00E342DC" w:rsidRDefault="00BF513F" w:rsidP="00D00218">
      <w:pPr>
        <w:pStyle w:val="FootnoteText"/>
        <w:rPr>
          <w:rFonts w:cs="Tahoma"/>
          <w:szCs w:val="16"/>
        </w:rPr>
      </w:pPr>
      <w:r w:rsidRPr="00E342DC">
        <w:rPr>
          <w:rStyle w:val="FootnoteReference"/>
          <w:rFonts w:cs="Tahoma"/>
          <w:szCs w:val="16"/>
        </w:rPr>
        <w:footnoteRef/>
      </w:r>
      <w:r w:rsidRPr="00E342DC">
        <w:rPr>
          <w:rFonts w:cs="Tahoma"/>
          <w:szCs w:val="16"/>
        </w:rPr>
        <w:t xml:space="preserve"> Rapport de la visite en Tunisie</w:t>
      </w:r>
      <w:r>
        <w:rPr>
          <w:rFonts w:cs="Tahoma"/>
          <w:szCs w:val="16"/>
        </w:rPr>
        <w:t xml:space="preserve"> </w:t>
      </w:r>
      <w:r w:rsidRPr="00E342DC">
        <w:rPr>
          <w:rFonts w:cs="Tahoma"/>
          <w:szCs w:val="16"/>
        </w:rPr>
        <w:t>du Rapporteur spécial sur la Torture,</w:t>
      </w:r>
      <w:r w:rsidRPr="00E342DC">
        <w:rPr>
          <w:rFonts w:cs="Tahoma"/>
          <w:i/>
          <w:iCs/>
          <w:szCs w:val="16"/>
        </w:rPr>
        <w:t xml:space="preserve"> </w:t>
      </w:r>
      <w:r w:rsidRPr="00BF513F">
        <w:rPr>
          <w:rFonts w:cs="Tahoma"/>
          <w:szCs w:val="16"/>
        </w:rPr>
        <w:t>para</w:t>
      </w:r>
      <w:r>
        <w:rPr>
          <w:rFonts w:cs="Tahoma"/>
          <w:szCs w:val="16"/>
        </w:rPr>
        <w:t>.</w:t>
      </w:r>
      <w:r w:rsidRPr="00BF513F">
        <w:rPr>
          <w:rFonts w:cs="Tahoma"/>
          <w:szCs w:val="16"/>
        </w:rPr>
        <w:t xml:space="preserve"> 82.</w:t>
      </w:r>
      <w:r w:rsidRPr="00E342DC">
        <w:rPr>
          <w:rFonts w:cs="Tahoma"/>
          <w:i/>
          <w:iCs/>
          <w:szCs w:val="16"/>
        </w:rPr>
        <w:t xml:space="preserve"> </w:t>
      </w:r>
    </w:p>
  </w:footnote>
  <w:footnote w:id="32">
    <w:p w:rsidR="00BF513F" w:rsidRPr="00E342DC" w:rsidRDefault="00BF513F" w:rsidP="00ED73C3">
      <w:pPr>
        <w:pStyle w:val="FootnoteText"/>
        <w:rPr>
          <w:rFonts w:cs="Tahoma"/>
          <w:szCs w:val="16"/>
        </w:rPr>
      </w:pPr>
      <w:r w:rsidRPr="00E342DC">
        <w:rPr>
          <w:rStyle w:val="FootnoteReference"/>
          <w:rFonts w:cs="Tahoma"/>
          <w:szCs w:val="16"/>
        </w:rPr>
        <w:footnoteRef/>
      </w:r>
      <w:r w:rsidRPr="00E342DC">
        <w:rPr>
          <w:rFonts w:cs="Tahoma"/>
          <w:szCs w:val="16"/>
        </w:rPr>
        <w:t xml:space="preserve"> Fondation Alkarama, </w:t>
      </w:r>
      <w:hyperlink r:id="rId1" w:history="1">
        <w:r w:rsidRPr="00E342DC">
          <w:rPr>
            <w:rStyle w:val="Hyperlink"/>
            <w:rFonts w:cs="Tahoma"/>
            <w:szCs w:val="16"/>
          </w:rPr>
          <w:t>Soumission de la liste des questions dans le cadre de l'examen du premier rapport périodique de la Tunisie par le Comité des disparitions forcées</w:t>
        </w:r>
      </w:hyperlink>
      <w:r w:rsidRPr="00E342DC">
        <w:rPr>
          <w:rFonts w:cs="Tahoma"/>
          <w:szCs w:val="16"/>
        </w:rPr>
        <w:t>, 12 juin 2015</w:t>
      </w:r>
      <w:r>
        <w:rPr>
          <w:rFonts w:cs="Tahoma"/>
          <w:szCs w:val="16"/>
        </w:rPr>
        <w:t>.</w:t>
      </w:r>
    </w:p>
  </w:footnote>
  <w:footnote w:id="33">
    <w:p w:rsidR="00BF513F" w:rsidRPr="00E342DC" w:rsidRDefault="00BF513F" w:rsidP="006D3A9A">
      <w:pPr>
        <w:pStyle w:val="FootnoteText"/>
        <w:rPr>
          <w:rFonts w:eastAsia="Times New Roman" w:cs="Tahoma"/>
          <w:szCs w:val="16"/>
          <w:lang w:val="fr-CH"/>
        </w:rPr>
      </w:pPr>
      <w:r w:rsidRPr="00E342DC">
        <w:rPr>
          <w:rStyle w:val="FootnoteReference"/>
          <w:rFonts w:cs="Tahoma"/>
          <w:szCs w:val="16"/>
        </w:rPr>
        <w:footnoteRef/>
      </w:r>
      <w:r w:rsidRPr="00E342DC">
        <w:rPr>
          <w:rFonts w:cs="Tahoma"/>
          <w:szCs w:val="16"/>
          <w:lang w:val="fr-CH"/>
        </w:rPr>
        <w:t xml:space="preserve"> Article 7 di PIDCP « Nul ne sera soumis à la torture ni à des peines ou traitements cruels, inhumains ou dégradants. » Voir notamment Basilio Laureano Atachahua. Pérou, communication 540/93, 25 mars 1996.</w:t>
      </w:r>
    </w:p>
  </w:footnote>
  <w:footnote w:id="34">
    <w:p w:rsidR="00BF513F" w:rsidRPr="00E342DC" w:rsidRDefault="00BF513F" w:rsidP="00765D10">
      <w:pPr>
        <w:pStyle w:val="FootnoteText"/>
        <w:rPr>
          <w:rFonts w:cs="Tahoma"/>
          <w:szCs w:val="16"/>
          <w:lang w:val="fr-CH"/>
        </w:rPr>
      </w:pPr>
      <w:r w:rsidRPr="00E342DC">
        <w:rPr>
          <w:rStyle w:val="FootnoteReference"/>
          <w:rFonts w:cs="Tahoma"/>
          <w:szCs w:val="16"/>
        </w:rPr>
        <w:footnoteRef/>
      </w:r>
      <w:r w:rsidRPr="00E342DC">
        <w:rPr>
          <w:rFonts w:cs="Tahoma"/>
          <w:szCs w:val="16"/>
          <w:lang w:val="fr-CH"/>
        </w:rPr>
        <w:t xml:space="preserve"> Youssef El-Megreisi c. Jamahiriya arabe de Libye, comm. 440/1990, 24 mars 1994, §5.4 ; Louisa </w:t>
      </w:r>
      <w:proofErr w:type="spellStart"/>
      <w:r w:rsidRPr="00E342DC">
        <w:rPr>
          <w:rFonts w:cs="Tahoma"/>
          <w:szCs w:val="16"/>
          <w:lang w:val="fr-CH"/>
        </w:rPr>
        <w:t>Bousroual</w:t>
      </w:r>
      <w:proofErr w:type="spellEnd"/>
      <w:r w:rsidRPr="00E342DC">
        <w:rPr>
          <w:rFonts w:cs="Tahoma"/>
          <w:szCs w:val="16"/>
          <w:lang w:val="fr-CH"/>
        </w:rPr>
        <w:t xml:space="preserve"> </w:t>
      </w:r>
      <w:proofErr w:type="spellStart"/>
      <w:r w:rsidRPr="00E342DC">
        <w:rPr>
          <w:rFonts w:cs="Tahoma"/>
          <w:szCs w:val="16"/>
          <w:lang w:val="fr-CH"/>
        </w:rPr>
        <w:t>c.Algérie</w:t>
      </w:r>
      <w:proofErr w:type="spellEnd"/>
      <w:r w:rsidRPr="00E342DC">
        <w:rPr>
          <w:rFonts w:cs="Tahoma"/>
          <w:szCs w:val="16"/>
          <w:lang w:val="fr-CH"/>
        </w:rPr>
        <w:t xml:space="preserve">, </w:t>
      </w:r>
      <w:proofErr w:type="spellStart"/>
      <w:r w:rsidRPr="00E342DC">
        <w:rPr>
          <w:rFonts w:cs="Tahoma"/>
          <w:szCs w:val="16"/>
          <w:lang w:val="fr-CH"/>
        </w:rPr>
        <w:t>comm</w:t>
      </w:r>
      <w:proofErr w:type="spellEnd"/>
      <w:r w:rsidRPr="00E342DC">
        <w:rPr>
          <w:rFonts w:cs="Tahoma"/>
          <w:szCs w:val="16"/>
          <w:lang w:val="fr-CH"/>
        </w:rPr>
        <w:t>. 992/2001, 30 mars 2006. Barbarin Mojica c. République dominicaine, 15 juillet 1994, communication No. 449/1991.</w:t>
      </w:r>
    </w:p>
  </w:footnote>
  <w:footnote w:id="35">
    <w:p w:rsidR="00BF513F" w:rsidRPr="00E342DC" w:rsidRDefault="00BF513F">
      <w:pPr>
        <w:pStyle w:val="FootnoteText"/>
        <w:rPr>
          <w:rFonts w:cs="Tahoma"/>
          <w:szCs w:val="16"/>
        </w:rPr>
      </w:pPr>
      <w:r w:rsidRPr="00E342DC">
        <w:rPr>
          <w:rStyle w:val="FootnoteReference"/>
          <w:rFonts w:cs="Tahoma"/>
          <w:szCs w:val="16"/>
        </w:rPr>
        <w:footnoteRef/>
      </w:r>
      <w:r w:rsidRPr="00E342DC">
        <w:rPr>
          <w:rFonts w:cs="Tahoma"/>
          <w:szCs w:val="16"/>
        </w:rPr>
        <w:t xml:space="preserve"> CAT, Liste des points, CAT/C/TUN/Q/3, para 4. </w:t>
      </w:r>
    </w:p>
  </w:footnote>
  <w:footnote w:id="36">
    <w:p w:rsidR="00BF513F" w:rsidRPr="00E342DC" w:rsidRDefault="00BF513F" w:rsidP="00D00218">
      <w:pPr>
        <w:pStyle w:val="FootnoteText"/>
        <w:rPr>
          <w:rFonts w:cs="Tahoma"/>
          <w:szCs w:val="16"/>
        </w:rPr>
      </w:pPr>
      <w:r w:rsidRPr="00E342DC">
        <w:rPr>
          <w:rStyle w:val="FootnoteReference"/>
          <w:rFonts w:cs="Tahoma"/>
          <w:szCs w:val="16"/>
        </w:rPr>
        <w:footnoteRef/>
      </w:r>
      <w:r w:rsidRPr="00E342DC">
        <w:rPr>
          <w:rFonts w:cs="Tahoma"/>
          <w:szCs w:val="16"/>
        </w:rPr>
        <w:t xml:space="preserve"> Ces registres devraient au minimum intégrer l’ensemble des éléments requis par l’article 17 (3) de la Convention internationale pour la protection de toutes les personnes contre les disparitions forcées à savoir : Tout État partie s'assure de l'établissement et de la tenue à jour d'un ou de plusieurs registres officiels et/ou dossiers officiels des personnes privées de liberté, qui sont, sur demande, rapidement mis à la disposition de toute autorité judiciaire ou de toute autre autorité ou institution compétente habilitée par la législation de l'État partie concerné ou par tout instrument juridique international pertinent auquel l'État concerné est partie. Parmi les informations figurent au moins :</w:t>
      </w:r>
    </w:p>
    <w:p w:rsidR="00BF513F" w:rsidRPr="00E342DC" w:rsidRDefault="00BF513F" w:rsidP="00D00218">
      <w:pPr>
        <w:pStyle w:val="FootnoteText"/>
        <w:rPr>
          <w:rFonts w:cs="Tahoma"/>
          <w:szCs w:val="16"/>
        </w:rPr>
      </w:pPr>
      <w:r w:rsidRPr="00E342DC">
        <w:rPr>
          <w:rFonts w:cs="Tahoma"/>
          <w:szCs w:val="16"/>
        </w:rPr>
        <w:t>a) L'identité de la personne privée de liberté ;</w:t>
      </w:r>
    </w:p>
    <w:p w:rsidR="00BF513F" w:rsidRPr="00E342DC" w:rsidRDefault="00BF513F" w:rsidP="00D00218">
      <w:pPr>
        <w:pStyle w:val="FootnoteText"/>
        <w:rPr>
          <w:rFonts w:cs="Tahoma"/>
          <w:szCs w:val="16"/>
        </w:rPr>
      </w:pPr>
      <w:r w:rsidRPr="00E342DC">
        <w:rPr>
          <w:rFonts w:cs="Tahoma"/>
          <w:szCs w:val="16"/>
        </w:rPr>
        <w:t>b) La date, l'heure et l'endroit où la personne a été privée de liberté et l'autorité qui a procédé à la privation de liberté ;</w:t>
      </w:r>
    </w:p>
    <w:p w:rsidR="00BF513F" w:rsidRPr="00E342DC" w:rsidRDefault="00BF513F" w:rsidP="00D00218">
      <w:pPr>
        <w:pStyle w:val="FootnoteText"/>
        <w:rPr>
          <w:rFonts w:cs="Tahoma"/>
          <w:szCs w:val="16"/>
        </w:rPr>
      </w:pPr>
      <w:r w:rsidRPr="00E342DC">
        <w:rPr>
          <w:rFonts w:cs="Tahoma"/>
          <w:szCs w:val="16"/>
        </w:rPr>
        <w:t>c) L'autorité ayant décidé la privation de liberté et les motifs de la privation de liberté ;</w:t>
      </w:r>
    </w:p>
    <w:p w:rsidR="00BF513F" w:rsidRPr="00E342DC" w:rsidRDefault="00BF513F" w:rsidP="00D00218">
      <w:pPr>
        <w:pStyle w:val="FootnoteText"/>
        <w:rPr>
          <w:rFonts w:cs="Tahoma"/>
          <w:szCs w:val="16"/>
        </w:rPr>
      </w:pPr>
      <w:r w:rsidRPr="00E342DC">
        <w:rPr>
          <w:rFonts w:cs="Tahoma"/>
          <w:szCs w:val="16"/>
        </w:rPr>
        <w:t>d) L'autorité contrôlant la privation de liberté ;</w:t>
      </w:r>
    </w:p>
    <w:p w:rsidR="00BF513F" w:rsidRPr="00E342DC" w:rsidRDefault="00BF513F" w:rsidP="00D00218">
      <w:pPr>
        <w:pStyle w:val="FootnoteText"/>
        <w:rPr>
          <w:rFonts w:cs="Tahoma"/>
          <w:szCs w:val="16"/>
        </w:rPr>
      </w:pPr>
      <w:r w:rsidRPr="00E342DC">
        <w:rPr>
          <w:rFonts w:cs="Tahoma"/>
          <w:szCs w:val="16"/>
        </w:rPr>
        <w:t>e) Le lieu de privation de liberté, la date et l'heure de l'admission dans le lieu de privation de liberté et l'autorité responsable du lieu de privation de liberté ;</w:t>
      </w:r>
    </w:p>
    <w:p w:rsidR="00BF513F" w:rsidRPr="00E342DC" w:rsidRDefault="00BF513F" w:rsidP="00D00218">
      <w:pPr>
        <w:pStyle w:val="FootnoteText"/>
        <w:rPr>
          <w:rFonts w:cs="Tahoma"/>
          <w:szCs w:val="16"/>
        </w:rPr>
      </w:pPr>
      <w:r w:rsidRPr="00E342DC">
        <w:rPr>
          <w:rFonts w:cs="Tahoma"/>
          <w:szCs w:val="16"/>
        </w:rPr>
        <w:t>f) Les éléments relatifs à l'état de santé de la personne privée de liberté ;</w:t>
      </w:r>
    </w:p>
    <w:p w:rsidR="00BF513F" w:rsidRPr="00E342DC" w:rsidRDefault="00BF513F" w:rsidP="00D00218">
      <w:pPr>
        <w:pStyle w:val="FootnoteText"/>
        <w:rPr>
          <w:rFonts w:cs="Tahoma"/>
          <w:szCs w:val="16"/>
        </w:rPr>
      </w:pPr>
      <w:r w:rsidRPr="00E342DC">
        <w:rPr>
          <w:rFonts w:cs="Tahoma"/>
          <w:szCs w:val="16"/>
        </w:rPr>
        <w:t xml:space="preserve">g) En cas de décès pendant la privation de liberté, les circonstances et les causes du décès et la destination des restes de la personne </w:t>
      </w:r>
      <w:proofErr w:type="gramStart"/>
      <w:r w:rsidRPr="00E342DC">
        <w:rPr>
          <w:rFonts w:cs="Tahoma"/>
          <w:szCs w:val="16"/>
        </w:rPr>
        <w:t>décédée</w:t>
      </w:r>
      <w:r>
        <w:rPr>
          <w:rFonts w:cs="Tahoma"/>
          <w:szCs w:val="16"/>
        </w:rPr>
        <w:t xml:space="preserve"> </w:t>
      </w:r>
      <w:r w:rsidRPr="00E342DC">
        <w:rPr>
          <w:rFonts w:cs="Tahoma"/>
          <w:szCs w:val="16"/>
        </w:rPr>
        <w:t xml:space="preserve"> ;</w:t>
      </w:r>
      <w:proofErr w:type="gramEnd"/>
    </w:p>
    <w:p w:rsidR="00BF513F" w:rsidRPr="00E342DC" w:rsidRDefault="00BF513F" w:rsidP="00D00218">
      <w:pPr>
        <w:pStyle w:val="FootnoteText"/>
        <w:rPr>
          <w:rFonts w:cs="Tahoma"/>
          <w:szCs w:val="16"/>
        </w:rPr>
      </w:pPr>
      <w:r w:rsidRPr="00E342DC">
        <w:rPr>
          <w:rFonts w:cs="Tahoma"/>
          <w:szCs w:val="16"/>
        </w:rPr>
        <w:t xml:space="preserve">h) La date et l'heure de la libération ou du transfert vers un autre lieu de détention, la destination et l'autorité chargée du transfert. </w:t>
      </w:r>
    </w:p>
  </w:footnote>
  <w:footnote w:id="37">
    <w:p w:rsidR="00BF513F" w:rsidRPr="00E342DC" w:rsidRDefault="00BF513F" w:rsidP="00CA65A1">
      <w:pPr>
        <w:pStyle w:val="FootnoteText"/>
        <w:rPr>
          <w:rFonts w:cs="Tahoma"/>
          <w:szCs w:val="16"/>
          <w:lang w:val="es-UY"/>
        </w:rPr>
      </w:pPr>
      <w:r w:rsidRPr="00E342DC">
        <w:rPr>
          <w:rStyle w:val="FootnoteReference"/>
          <w:rFonts w:cs="Tahoma"/>
          <w:szCs w:val="16"/>
        </w:rPr>
        <w:footnoteRef/>
      </w:r>
      <w:r w:rsidRPr="00E342DC">
        <w:rPr>
          <w:rFonts w:cs="Tahoma"/>
          <w:szCs w:val="16"/>
          <w:lang w:val="es-UY"/>
        </w:rPr>
        <w:t xml:space="preserve"> </w:t>
      </w:r>
      <w:r w:rsidRPr="00E342DC">
        <w:rPr>
          <w:rFonts w:cs="Tahoma"/>
          <w:i/>
          <w:iCs/>
          <w:szCs w:val="16"/>
        </w:rPr>
        <w:t>Troisième rapport, Rapport complémentaire</w:t>
      </w:r>
      <w:r w:rsidRPr="00E342DC">
        <w:rPr>
          <w:rFonts w:cs="Tahoma"/>
          <w:szCs w:val="16"/>
        </w:rPr>
        <w:t xml:space="preserve">, </w:t>
      </w:r>
      <w:r w:rsidRPr="00E342DC">
        <w:rPr>
          <w:rFonts w:cs="Tahoma"/>
          <w:szCs w:val="16"/>
          <w:lang w:val="es-UY"/>
        </w:rPr>
        <w:t>para. 166.</w:t>
      </w:r>
    </w:p>
  </w:footnote>
  <w:footnote w:id="38">
    <w:p w:rsidR="00BF513F" w:rsidRPr="00E342DC" w:rsidRDefault="00BF513F" w:rsidP="00772F34">
      <w:pPr>
        <w:pStyle w:val="FootnoteText"/>
        <w:rPr>
          <w:rFonts w:cs="Tahoma"/>
          <w:szCs w:val="16"/>
        </w:rPr>
      </w:pPr>
      <w:r w:rsidRPr="00E342DC">
        <w:rPr>
          <w:rStyle w:val="FootnoteReference"/>
          <w:rFonts w:cs="Tahoma"/>
          <w:szCs w:val="16"/>
        </w:rPr>
        <w:footnoteRef/>
      </w:r>
      <w:r w:rsidRPr="00E342DC">
        <w:rPr>
          <w:rFonts w:cs="Tahoma"/>
          <w:szCs w:val="16"/>
        </w:rPr>
        <w:t xml:space="preserve"> </w:t>
      </w:r>
      <w:r w:rsidRPr="00E342DC">
        <w:rPr>
          <w:rFonts w:cs="Tahoma"/>
          <w:i/>
          <w:iCs/>
          <w:szCs w:val="16"/>
        </w:rPr>
        <w:t>Premier rapport périodique présenté par la Tunisie au Comité des disparitions forcées en</w:t>
      </w:r>
      <w:r>
        <w:rPr>
          <w:rFonts w:cs="Tahoma"/>
          <w:i/>
          <w:iCs/>
          <w:szCs w:val="16"/>
        </w:rPr>
        <w:t xml:space="preserve"> </w:t>
      </w:r>
      <w:r w:rsidRPr="00E342DC">
        <w:rPr>
          <w:rFonts w:cs="Tahoma"/>
          <w:i/>
          <w:iCs/>
          <w:szCs w:val="16"/>
        </w:rPr>
        <w:t>application du paragraphe 1 de l’article 29 de la Convention des disparitions forcées,</w:t>
      </w:r>
      <w:r>
        <w:rPr>
          <w:rFonts w:cs="Tahoma"/>
          <w:i/>
          <w:iCs/>
          <w:szCs w:val="16"/>
        </w:rPr>
        <w:t xml:space="preserve"> </w:t>
      </w:r>
      <w:r w:rsidRPr="00E342DC">
        <w:rPr>
          <w:rFonts w:cs="Tahoma"/>
          <w:szCs w:val="16"/>
        </w:rPr>
        <w:t>para</w:t>
      </w:r>
      <w:r>
        <w:rPr>
          <w:rFonts w:cs="Tahoma"/>
          <w:szCs w:val="16"/>
        </w:rPr>
        <w:t>.</w:t>
      </w:r>
      <w:r w:rsidRPr="00E342DC">
        <w:rPr>
          <w:rFonts w:cs="Tahoma"/>
          <w:szCs w:val="16"/>
        </w:rPr>
        <w:t xml:space="preserve"> 240.</w:t>
      </w:r>
    </w:p>
  </w:footnote>
  <w:footnote w:id="39">
    <w:p w:rsidR="00BF513F" w:rsidRPr="00E342DC" w:rsidRDefault="00BF513F" w:rsidP="00983ED1">
      <w:pPr>
        <w:pStyle w:val="FootnoteText"/>
        <w:rPr>
          <w:rFonts w:cs="Tahoma"/>
          <w:szCs w:val="16"/>
        </w:rPr>
      </w:pPr>
      <w:r w:rsidRPr="00E342DC">
        <w:rPr>
          <w:rStyle w:val="FootnoteReference"/>
          <w:rFonts w:cs="Tahoma"/>
          <w:szCs w:val="16"/>
        </w:rPr>
        <w:footnoteRef/>
      </w:r>
      <w:r w:rsidRPr="00E342DC">
        <w:rPr>
          <w:rFonts w:cs="Tahoma"/>
          <w:szCs w:val="16"/>
        </w:rPr>
        <w:t xml:space="preserve"> Voir Protocole facultatif se rapportant à la Convention contre la torture et autres peines ou traitements cruels, inhumains ou dégradant, article 18 para. 4.</w:t>
      </w:r>
    </w:p>
  </w:footnote>
  <w:footnote w:id="40">
    <w:p w:rsidR="00BF513F" w:rsidRPr="00E342DC" w:rsidRDefault="00BF513F" w:rsidP="008D22BF">
      <w:pPr>
        <w:pStyle w:val="FootnoteText"/>
        <w:rPr>
          <w:rFonts w:cs="Tahoma"/>
          <w:szCs w:val="16"/>
        </w:rPr>
      </w:pPr>
      <w:r w:rsidRPr="00E342DC">
        <w:rPr>
          <w:rStyle w:val="FootnoteReference"/>
          <w:rFonts w:cs="Tahoma"/>
          <w:szCs w:val="16"/>
        </w:rPr>
        <w:footnoteRef/>
      </w:r>
      <w:r w:rsidRPr="00E342DC">
        <w:rPr>
          <w:rFonts w:cs="Tahoma"/>
          <w:szCs w:val="16"/>
        </w:rPr>
        <w:t xml:space="preserve"> Comité contre la torture, Communication no. 187/2001 : </w:t>
      </w:r>
      <w:r w:rsidRPr="00E342DC">
        <w:rPr>
          <w:rFonts w:cs="Tahoma"/>
          <w:i/>
          <w:iCs/>
          <w:szCs w:val="16"/>
        </w:rPr>
        <w:t>Thabti c. Tunisie</w:t>
      </w:r>
      <w:r w:rsidRPr="00E342DC">
        <w:rPr>
          <w:rFonts w:cs="Tahoma"/>
          <w:szCs w:val="16"/>
        </w:rPr>
        <w:t>, 14 novembre 2003, para. 10.4.</w:t>
      </w:r>
    </w:p>
  </w:footnote>
  <w:footnote w:id="41">
    <w:p w:rsidR="00BF513F" w:rsidRPr="00E342DC" w:rsidRDefault="00BF513F" w:rsidP="00FC034C">
      <w:pPr>
        <w:pStyle w:val="FootnoteText"/>
        <w:rPr>
          <w:rFonts w:cs="Tahoma"/>
          <w:szCs w:val="16"/>
        </w:rPr>
      </w:pPr>
      <w:r w:rsidRPr="00E342DC">
        <w:rPr>
          <w:rStyle w:val="FootnoteReference"/>
          <w:rFonts w:cs="Tahoma"/>
          <w:szCs w:val="16"/>
        </w:rPr>
        <w:footnoteRef/>
      </w:r>
      <w:r w:rsidRPr="00E342DC">
        <w:rPr>
          <w:rFonts w:cs="Tahoma"/>
          <w:szCs w:val="16"/>
        </w:rPr>
        <w:t xml:space="preserve"> Conseil des droits de l’homme, 29</w:t>
      </w:r>
      <w:r w:rsidRPr="00E342DC">
        <w:rPr>
          <w:rFonts w:cs="Tahoma"/>
          <w:szCs w:val="16"/>
          <w:vertAlign w:val="superscript"/>
        </w:rPr>
        <w:t>ème</w:t>
      </w:r>
      <w:r w:rsidRPr="00E342DC">
        <w:rPr>
          <w:rFonts w:cs="Tahoma"/>
          <w:szCs w:val="16"/>
        </w:rPr>
        <w:t xml:space="preserve"> session, Rapport de la Rapporteuse spéciale sur l’indépendance des juges et des avocats sur sa mission en Tunisie, 26 mai 2015, para. 59.</w:t>
      </w:r>
    </w:p>
  </w:footnote>
  <w:footnote w:id="42">
    <w:p w:rsidR="00BF513F" w:rsidRPr="00E342DC" w:rsidRDefault="00BF513F" w:rsidP="00E5143C">
      <w:pPr>
        <w:pStyle w:val="FootnoteText"/>
        <w:rPr>
          <w:rFonts w:cs="Tahoma"/>
          <w:szCs w:val="16"/>
        </w:rPr>
      </w:pPr>
      <w:r w:rsidRPr="00E342DC">
        <w:rPr>
          <w:rStyle w:val="FootnoteReference"/>
          <w:rFonts w:cs="Tahoma"/>
          <w:szCs w:val="16"/>
        </w:rPr>
        <w:footnoteRef/>
      </w:r>
      <w:r w:rsidRPr="00E342DC">
        <w:rPr>
          <w:rFonts w:cs="Tahoma"/>
          <w:szCs w:val="16"/>
        </w:rPr>
        <w:t xml:space="preserve"> Comité contre la torture, </w:t>
      </w:r>
      <w:r w:rsidRPr="00E342DC">
        <w:rPr>
          <w:rFonts w:cs="Tahoma"/>
          <w:i/>
          <w:szCs w:val="16"/>
        </w:rPr>
        <w:t>Communication no. 257/2004 : Keremedchiev c. Bulgarie</w:t>
      </w:r>
      <w:r w:rsidRPr="00E342DC">
        <w:rPr>
          <w:rFonts w:cs="Tahoma"/>
          <w:szCs w:val="16"/>
        </w:rPr>
        <w:t xml:space="preserve">, 21 novembre 2008, para 9.4. </w:t>
      </w:r>
    </w:p>
  </w:footnote>
  <w:footnote w:id="43">
    <w:p w:rsidR="00BF513F" w:rsidRPr="00E342DC" w:rsidRDefault="00BF513F" w:rsidP="00CA65A1">
      <w:pPr>
        <w:pStyle w:val="FootnoteText"/>
        <w:rPr>
          <w:rFonts w:cs="Tahoma"/>
          <w:szCs w:val="16"/>
        </w:rPr>
      </w:pPr>
      <w:r w:rsidRPr="00E342DC">
        <w:rPr>
          <w:rStyle w:val="FootnoteReference"/>
          <w:rFonts w:cs="Tahoma"/>
          <w:szCs w:val="16"/>
        </w:rPr>
        <w:footnoteRef/>
      </w:r>
      <w:r w:rsidRPr="00E342DC">
        <w:rPr>
          <w:rFonts w:cs="Tahoma"/>
          <w:szCs w:val="16"/>
        </w:rPr>
        <w:t xml:space="preserve"> Conseil des droits de l’homme, </w:t>
      </w:r>
      <w:r w:rsidRPr="00E342DC">
        <w:rPr>
          <w:rFonts w:cs="Tahoma"/>
          <w:i/>
          <w:iCs/>
          <w:szCs w:val="16"/>
        </w:rPr>
        <w:t xml:space="preserve">Rapport du Rapporteur Spécial sur la Torture et autres traitements cruels, inhumains et dégradants, Addendum, </w:t>
      </w:r>
      <w:r w:rsidRPr="00E342DC">
        <w:rPr>
          <w:rFonts w:cs="Tahoma"/>
          <w:szCs w:val="16"/>
        </w:rPr>
        <w:t xml:space="preserve">27 février 2015, </w:t>
      </w:r>
      <w:r w:rsidRPr="00E342DC">
        <w:rPr>
          <w:rFonts w:eastAsia="Arial Unicode MS" w:cs="Tahoma"/>
          <w:szCs w:val="16"/>
        </w:rPr>
        <w:t>(</w:t>
      </w:r>
      <w:r w:rsidRPr="00E342DC">
        <w:rPr>
          <w:rFonts w:cs="Tahoma"/>
          <w:szCs w:val="16"/>
        </w:rPr>
        <w:t>A/HRC/28/68/Add.2), para. 91.</w:t>
      </w:r>
    </w:p>
  </w:footnote>
  <w:footnote w:id="44">
    <w:p w:rsidR="00BF513F" w:rsidRPr="00E342DC" w:rsidRDefault="00BF513F" w:rsidP="00E342DC">
      <w:pPr>
        <w:pStyle w:val="FootnoteText"/>
        <w:rPr>
          <w:rFonts w:cs="Tahoma"/>
          <w:szCs w:val="16"/>
        </w:rPr>
      </w:pPr>
      <w:r w:rsidRPr="00E342DC">
        <w:rPr>
          <w:rStyle w:val="FootnoteReference"/>
          <w:rFonts w:cs="Tahoma"/>
          <w:szCs w:val="16"/>
        </w:rPr>
        <w:footnoteRef/>
      </w:r>
      <w:r w:rsidRPr="00E342DC">
        <w:rPr>
          <w:rFonts w:cs="Tahoma"/>
          <w:szCs w:val="16"/>
        </w:rPr>
        <w:t xml:space="preserve"> Conseil des droits de l’homme, </w:t>
      </w:r>
      <w:r w:rsidRPr="00E342DC">
        <w:rPr>
          <w:rFonts w:cs="Tahoma"/>
          <w:i/>
          <w:iCs/>
          <w:szCs w:val="16"/>
        </w:rPr>
        <w:t xml:space="preserve">Rapport du Rapporteur Spécial sur la Torture, Addendum, </w:t>
      </w:r>
      <w:r w:rsidRPr="00E342DC">
        <w:rPr>
          <w:rFonts w:cs="Tahoma"/>
          <w:szCs w:val="16"/>
        </w:rPr>
        <w:t xml:space="preserve">27 février 2015, </w:t>
      </w:r>
      <w:r w:rsidRPr="00E342DC">
        <w:rPr>
          <w:rFonts w:eastAsia="Arial Unicode MS" w:cs="Tahoma"/>
          <w:szCs w:val="16"/>
        </w:rPr>
        <w:t>(</w:t>
      </w:r>
      <w:r w:rsidRPr="00E342DC">
        <w:rPr>
          <w:rFonts w:cs="Tahoma"/>
          <w:szCs w:val="16"/>
        </w:rPr>
        <w:t>A/HRC/28/68/Add.2), para. 56.</w:t>
      </w:r>
      <w:r w:rsidRPr="00E342DC">
        <w:rPr>
          <w:rFonts w:cs="Tahoma"/>
          <w:i/>
          <w:iCs/>
          <w:szCs w:val="16"/>
        </w:rPr>
        <w:t xml:space="preserve"> </w:t>
      </w:r>
    </w:p>
  </w:footnote>
  <w:footnote w:id="45">
    <w:p w:rsidR="00BF513F" w:rsidRPr="00E342DC" w:rsidRDefault="00BF513F" w:rsidP="00CA65A1">
      <w:pPr>
        <w:pStyle w:val="FootnoteText"/>
        <w:rPr>
          <w:rFonts w:cs="Tahoma"/>
          <w:i/>
          <w:iCs/>
          <w:szCs w:val="16"/>
        </w:rPr>
      </w:pPr>
      <w:r w:rsidRPr="00E342DC">
        <w:rPr>
          <w:rStyle w:val="FootnoteReference"/>
          <w:rFonts w:cs="Tahoma"/>
          <w:szCs w:val="16"/>
        </w:rPr>
        <w:footnoteRef/>
      </w:r>
      <w:r w:rsidRPr="00E342DC">
        <w:rPr>
          <w:rFonts w:cs="Tahoma"/>
          <w:szCs w:val="16"/>
        </w:rPr>
        <w:t xml:space="preserve"> </w:t>
      </w:r>
      <w:r w:rsidRPr="00E342DC">
        <w:rPr>
          <w:rFonts w:cs="Tahoma"/>
          <w:i/>
          <w:iCs/>
          <w:szCs w:val="16"/>
        </w:rPr>
        <w:t>Troisième rapport périodique, Rapport complémentaire</w:t>
      </w:r>
      <w:r w:rsidRPr="00E342DC">
        <w:rPr>
          <w:rFonts w:cs="Tahoma"/>
          <w:szCs w:val="16"/>
          <w:lang w:val="fr-CH" w:eastAsia="fr-FR"/>
        </w:rPr>
        <w:t>, para. 213-214.</w:t>
      </w:r>
    </w:p>
  </w:footnote>
  <w:footnote w:id="46">
    <w:p w:rsidR="00BF513F" w:rsidRPr="00E342DC" w:rsidRDefault="00BF513F" w:rsidP="00CA65A1">
      <w:pPr>
        <w:pStyle w:val="FootnoteText"/>
        <w:rPr>
          <w:rFonts w:cs="Tahoma"/>
          <w:szCs w:val="16"/>
        </w:rPr>
      </w:pPr>
      <w:r w:rsidRPr="00E342DC">
        <w:rPr>
          <w:rStyle w:val="FootnoteReference"/>
          <w:rFonts w:cs="Tahoma"/>
          <w:szCs w:val="16"/>
        </w:rPr>
        <w:footnoteRef/>
      </w:r>
      <w:r w:rsidRPr="00E342DC">
        <w:rPr>
          <w:rFonts w:cs="Tahoma"/>
          <w:szCs w:val="16"/>
        </w:rPr>
        <w:t xml:space="preserve"> </w:t>
      </w:r>
      <w:r w:rsidRPr="00E342DC">
        <w:rPr>
          <w:rFonts w:cs="Tahoma"/>
          <w:szCs w:val="16"/>
          <w:lang w:val="fr-CH"/>
        </w:rPr>
        <w:t>Réponses de la Tunisie à la liste des points à traiter, CAT/C/TUN/Q/3/Add.1</w:t>
      </w:r>
      <w:r w:rsidRPr="00E342DC">
        <w:rPr>
          <w:rFonts w:cs="Tahoma"/>
          <w:szCs w:val="16"/>
        </w:rPr>
        <w:t>, para 3 a)</w:t>
      </w:r>
      <w:r>
        <w:rPr>
          <w:rFonts w:cs="Tahoma"/>
          <w:szCs w:val="16"/>
        </w:rPr>
        <w:t>.</w:t>
      </w:r>
    </w:p>
  </w:footnote>
  <w:footnote w:id="47">
    <w:p w:rsidR="00BF513F" w:rsidRPr="00E342DC" w:rsidRDefault="00BF513F" w:rsidP="00E5143C">
      <w:pPr>
        <w:pStyle w:val="FootnoteText"/>
        <w:rPr>
          <w:rFonts w:cs="Tahoma"/>
          <w:b/>
          <w:szCs w:val="16"/>
        </w:rPr>
      </w:pPr>
      <w:r w:rsidRPr="00E342DC">
        <w:rPr>
          <w:rStyle w:val="FootnoteReference"/>
          <w:rFonts w:cs="Tahoma"/>
          <w:szCs w:val="16"/>
        </w:rPr>
        <w:footnoteRef/>
      </w:r>
      <w:r w:rsidRPr="00E342DC">
        <w:rPr>
          <w:rFonts w:cs="Tahoma"/>
          <w:szCs w:val="16"/>
        </w:rPr>
        <w:t xml:space="preserve"> CAT, </w:t>
      </w:r>
      <w:r w:rsidRPr="00E342DC">
        <w:rPr>
          <w:rFonts w:cs="Tahoma"/>
          <w:i/>
          <w:szCs w:val="16"/>
        </w:rPr>
        <w:t>Communication no. 341/2008: Hanafi c. Algérie</w:t>
      </w:r>
      <w:r w:rsidRPr="00E342DC">
        <w:rPr>
          <w:rFonts w:cs="Tahoma"/>
          <w:szCs w:val="16"/>
        </w:rPr>
        <w:t xml:space="preserve">, 4 juillet 2011, § 9.7 ; CAT, </w:t>
      </w:r>
      <w:r w:rsidRPr="00E342DC">
        <w:rPr>
          <w:rFonts w:cs="Tahoma"/>
          <w:i/>
          <w:szCs w:val="16"/>
        </w:rPr>
        <w:t>Communication no. 269/2005: Ben Salem c. Tunisie</w:t>
      </w:r>
      <w:r w:rsidRPr="00E342DC">
        <w:rPr>
          <w:rFonts w:cs="Tahoma"/>
          <w:szCs w:val="16"/>
        </w:rPr>
        <w:t>, 22 novembre 2007, para. 16.8.</w:t>
      </w:r>
    </w:p>
  </w:footnote>
  <w:footnote w:id="48">
    <w:p w:rsidR="00BF513F" w:rsidRPr="00E342DC" w:rsidRDefault="00BF513F">
      <w:pPr>
        <w:pStyle w:val="FootnoteText"/>
        <w:rPr>
          <w:rFonts w:cs="Tahoma"/>
          <w:szCs w:val="16"/>
        </w:rPr>
      </w:pPr>
      <w:r w:rsidRPr="00E342DC">
        <w:rPr>
          <w:rStyle w:val="FootnoteReference"/>
          <w:rFonts w:cs="Tahoma"/>
          <w:szCs w:val="16"/>
        </w:rPr>
        <w:footnoteRef/>
      </w:r>
      <w:r w:rsidRPr="00E342DC">
        <w:rPr>
          <w:rFonts w:cs="Tahoma"/>
          <w:szCs w:val="16"/>
        </w:rPr>
        <w:t xml:space="preserve"> CAT/C/TUN/Q/3, Para 3 g)</w:t>
      </w:r>
      <w:r>
        <w:rPr>
          <w:rFonts w:cs="Tahoma"/>
          <w:szCs w:val="16"/>
        </w:rPr>
        <w:t>.</w:t>
      </w:r>
    </w:p>
  </w:footnote>
  <w:footnote w:id="49">
    <w:p w:rsidR="00BF513F" w:rsidRPr="00E342DC" w:rsidRDefault="00BF513F" w:rsidP="00CA65A1">
      <w:pPr>
        <w:pStyle w:val="FootnoteText"/>
        <w:rPr>
          <w:rFonts w:cs="Tahoma"/>
          <w:szCs w:val="16"/>
        </w:rPr>
      </w:pPr>
      <w:r w:rsidRPr="00E342DC">
        <w:rPr>
          <w:rStyle w:val="FootnoteReference"/>
          <w:rFonts w:cs="Tahoma"/>
          <w:szCs w:val="16"/>
        </w:rPr>
        <w:footnoteRef/>
      </w:r>
      <w:r w:rsidRPr="00E342DC">
        <w:rPr>
          <w:rFonts w:cs="Tahoma"/>
          <w:szCs w:val="16"/>
        </w:rPr>
        <w:t xml:space="preserve"> </w:t>
      </w:r>
      <w:r w:rsidRPr="00E342DC">
        <w:rPr>
          <w:rFonts w:cs="Tahoma"/>
          <w:szCs w:val="16"/>
          <w:lang w:val="fr-CH"/>
        </w:rPr>
        <w:t>Réponses de la Tunisie à la liste des points à traiter, CAT/C/TUN/Q/3/Add.1</w:t>
      </w:r>
      <w:r>
        <w:rPr>
          <w:rFonts w:cs="Tahoma"/>
          <w:szCs w:val="16"/>
          <w:lang w:val="fr-CH"/>
        </w:rPr>
        <w:t xml:space="preserve">, </w:t>
      </w:r>
      <w:r>
        <w:rPr>
          <w:rFonts w:cs="Tahoma"/>
          <w:szCs w:val="16"/>
        </w:rPr>
        <w:t>Para 3 g).</w:t>
      </w:r>
    </w:p>
  </w:footnote>
  <w:footnote w:id="50">
    <w:p w:rsidR="00BF513F" w:rsidRPr="00E342DC" w:rsidRDefault="00BF513F" w:rsidP="00CA65A1">
      <w:pPr>
        <w:pStyle w:val="FootnoteText"/>
        <w:rPr>
          <w:rFonts w:cs="Tahoma"/>
          <w:szCs w:val="16"/>
        </w:rPr>
      </w:pPr>
      <w:r w:rsidRPr="00E342DC">
        <w:rPr>
          <w:rStyle w:val="FootnoteReference"/>
          <w:rFonts w:cs="Tahoma"/>
          <w:szCs w:val="16"/>
        </w:rPr>
        <w:footnoteRef/>
      </w:r>
      <w:r w:rsidRPr="00E342DC">
        <w:rPr>
          <w:rFonts w:cs="Tahoma"/>
          <w:szCs w:val="16"/>
        </w:rPr>
        <w:t xml:space="preserve"> </w:t>
      </w:r>
      <w:r w:rsidRPr="00E342DC">
        <w:rPr>
          <w:rFonts w:cs="Tahoma"/>
          <w:szCs w:val="16"/>
          <w:lang w:val="fr-CH"/>
        </w:rPr>
        <w:t xml:space="preserve">Réponses de la Tunisie à la liste des points à traiter, CAT/C/TUN/Q/3/Add.1, </w:t>
      </w:r>
      <w:r w:rsidRPr="00E342DC">
        <w:rPr>
          <w:rFonts w:cs="Tahoma"/>
          <w:szCs w:val="16"/>
        </w:rPr>
        <w:t>Para 3 g)</w:t>
      </w:r>
      <w:r>
        <w:rPr>
          <w:rFonts w:cs="Tahoma"/>
          <w:szCs w:val="16"/>
        </w:rPr>
        <w:t>.</w:t>
      </w:r>
    </w:p>
  </w:footnote>
  <w:footnote w:id="51">
    <w:p w:rsidR="00BF513F" w:rsidRPr="00E342DC" w:rsidRDefault="00BF513F">
      <w:pPr>
        <w:pStyle w:val="FootnoteText"/>
        <w:rPr>
          <w:rFonts w:cs="Tahoma"/>
          <w:szCs w:val="16"/>
        </w:rPr>
      </w:pPr>
      <w:r w:rsidRPr="00E342DC">
        <w:rPr>
          <w:rStyle w:val="FootnoteReference"/>
          <w:rFonts w:cs="Tahoma"/>
          <w:szCs w:val="16"/>
        </w:rPr>
        <w:footnoteRef/>
      </w:r>
      <w:r w:rsidRPr="00E342DC">
        <w:rPr>
          <w:rFonts w:cs="Tahoma"/>
          <w:szCs w:val="16"/>
        </w:rPr>
        <w:t xml:space="preserve"> Nous soulignons</w:t>
      </w:r>
      <w:r>
        <w:rPr>
          <w:rFonts w:cs="Tahoma"/>
          <w:szCs w:val="16"/>
        </w:rPr>
        <w:t>.</w:t>
      </w:r>
    </w:p>
  </w:footnote>
  <w:footnote w:id="52">
    <w:p w:rsidR="00BF513F" w:rsidRPr="00E342DC" w:rsidRDefault="00BF513F" w:rsidP="00383D43">
      <w:pPr>
        <w:pStyle w:val="FootnoteText"/>
        <w:rPr>
          <w:rFonts w:cs="Tahoma"/>
          <w:szCs w:val="16"/>
        </w:rPr>
      </w:pPr>
      <w:r w:rsidRPr="00E342DC">
        <w:rPr>
          <w:rStyle w:val="FootnoteReference"/>
          <w:rFonts w:cs="Tahoma"/>
          <w:szCs w:val="16"/>
        </w:rPr>
        <w:footnoteRef/>
      </w:r>
      <w:r w:rsidRPr="00E342DC">
        <w:rPr>
          <w:rFonts w:cs="Tahoma"/>
          <w:szCs w:val="16"/>
        </w:rPr>
        <w:t xml:space="preserve"> Art. 101 </w:t>
      </w:r>
      <w:r w:rsidRPr="00E342DC">
        <w:rPr>
          <w:rFonts w:cs="Tahoma"/>
          <w:i/>
          <w:iCs/>
          <w:szCs w:val="16"/>
        </w:rPr>
        <w:t>quater</w:t>
      </w:r>
      <w:r w:rsidRPr="00E342DC">
        <w:rPr>
          <w:rFonts w:cs="Tahoma"/>
          <w:szCs w:val="16"/>
        </w:rPr>
        <w:t xml:space="preserve"> – Est exempt des peines encourues pour les actes mentionnés à l'article 101 bis du présent code, le fonctionnaire public ou assimilé qui ayant pris l'initiative, avant que les autorités compétentes ne prennent connaissance de l'affaire, et après qu'il a reçu l'ordre de torture ou a été incité à le commettre ou en a pris connaissance, de signaler aux autorités administratives ou judiciaires les informations et renseignements, il a permis de dévoiler l'infraction ou d'éviter sa perpétration.</w:t>
      </w:r>
    </w:p>
    <w:p w:rsidR="00BF513F" w:rsidRPr="00E342DC" w:rsidRDefault="00BF513F" w:rsidP="00383D43">
      <w:pPr>
        <w:pStyle w:val="FootnoteText"/>
        <w:rPr>
          <w:rFonts w:cs="Tahoma"/>
          <w:szCs w:val="16"/>
        </w:rPr>
      </w:pPr>
      <w:r w:rsidRPr="00E342DC">
        <w:rPr>
          <w:rFonts w:cs="Tahoma"/>
          <w:szCs w:val="16"/>
        </w:rPr>
        <w:t>La peine encourue pour l'infraction est réduite à moitié, si le signalement des informations et renseignements aurait permis de faire cesser la torture ou d'identifier et d'arrêter ses auteurs ou certains d'entre eux, ou aurait permis d'éviter un dommage ou un meurtre d'une personne.</w:t>
      </w:r>
    </w:p>
    <w:p w:rsidR="00BF513F" w:rsidRPr="00E342DC" w:rsidRDefault="00BF513F" w:rsidP="00383D43">
      <w:pPr>
        <w:pStyle w:val="FootnoteText"/>
        <w:rPr>
          <w:rFonts w:cs="Tahoma"/>
          <w:szCs w:val="16"/>
        </w:rPr>
      </w:pPr>
      <w:r w:rsidRPr="00E342DC">
        <w:rPr>
          <w:rFonts w:cs="Tahoma"/>
          <w:szCs w:val="16"/>
        </w:rPr>
        <w:t>La peine d'emprisonnement à vie prévue pour l'infraction de torture qui a entraîné la mort, mentionnée au dernier alinéa de l'article 101 ter du présent code, est remplacée par vingt ans d'emprisonnement.</w:t>
      </w:r>
    </w:p>
    <w:p w:rsidR="00BF513F" w:rsidRPr="00E342DC" w:rsidRDefault="00BF513F" w:rsidP="00383D43">
      <w:pPr>
        <w:pStyle w:val="FootnoteText"/>
        <w:rPr>
          <w:rFonts w:cs="Tahoma"/>
          <w:szCs w:val="16"/>
        </w:rPr>
      </w:pPr>
      <w:r w:rsidRPr="00E342DC">
        <w:rPr>
          <w:rFonts w:cs="Tahoma"/>
          <w:szCs w:val="16"/>
        </w:rPr>
        <w:t>Il n'est pas tenu compte du signalement fait après découverte de la torture ou après que l'enquête a été entamée.</w:t>
      </w:r>
    </w:p>
    <w:p w:rsidR="00BF513F" w:rsidRPr="00E342DC" w:rsidRDefault="00BF513F" w:rsidP="00383D43">
      <w:pPr>
        <w:pStyle w:val="FootnoteText"/>
        <w:rPr>
          <w:rFonts w:cs="Tahoma"/>
          <w:szCs w:val="16"/>
        </w:rPr>
      </w:pPr>
      <w:r w:rsidRPr="00E342DC">
        <w:rPr>
          <w:rFonts w:cs="Tahoma"/>
          <w:szCs w:val="16"/>
        </w:rPr>
        <w:t>Celui qui a signalé de bonne foi, ne peut ni faire l'objet d'une action en réparation ni être reconnu coupable.</w:t>
      </w:r>
    </w:p>
  </w:footnote>
  <w:footnote w:id="53">
    <w:p w:rsidR="00BF513F" w:rsidRPr="00E342DC" w:rsidRDefault="00BF513F" w:rsidP="00383D43">
      <w:pPr>
        <w:pStyle w:val="FootnoteText"/>
        <w:rPr>
          <w:rFonts w:cs="Tahoma"/>
          <w:szCs w:val="16"/>
        </w:rPr>
      </w:pPr>
      <w:r w:rsidRPr="00E342DC">
        <w:rPr>
          <w:rStyle w:val="FootnoteReference"/>
          <w:rFonts w:cs="Tahoma"/>
          <w:szCs w:val="16"/>
        </w:rPr>
        <w:footnoteRef/>
      </w:r>
      <w:r w:rsidRPr="00E342DC">
        <w:rPr>
          <w:rFonts w:cs="Tahoma"/>
          <w:szCs w:val="16"/>
        </w:rPr>
        <w:t xml:space="preserve"> </w:t>
      </w:r>
      <w:r w:rsidRPr="00E342DC">
        <w:rPr>
          <w:rFonts w:cs="Tahoma"/>
          <w:szCs w:val="16"/>
          <w:lang w:val="fr-CH"/>
        </w:rPr>
        <w:t>Réponses de la Tunisie à la liste des points à traiter, CAT/C/TUN/Q/3/Add.1</w:t>
      </w:r>
      <w:r>
        <w:rPr>
          <w:rFonts w:cs="Tahoma"/>
          <w:szCs w:val="16"/>
          <w:lang w:val="fr-CH"/>
        </w:rPr>
        <w:t xml:space="preserve">, </w:t>
      </w:r>
      <w:r w:rsidRPr="00E342DC">
        <w:rPr>
          <w:rFonts w:cs="Tahoma"/>
          <w:szCs w:val="16"/>
        </w:rPr>
        <w:t>Para 2</w:t>
      </w:r>
    </w:p>
  </w:footnote>
  <w:footnote w:id="54">
    <w:p w:rsidR="00BF513F" w:rsidRPr="00E342DC" w:rsidRDefault="00BF513F" w:rsidP="00745082">
      <w:r w:rsidRPr="00E342DC">
        <w:rPr>
          <w:rStyle w:val="FootnoteReference"/>
          <w:rFonts w:cs="Tahoma"/>
          <w:sz w:val="16"/>
          <w:szCs w:val="16"/>
        </w:rPr>
        <w:footnoteRef/>
      </w:r>
      <w:r w:rsidRPr="00E342DC">
        <w:rPr>
          <w:rFonts w:cs="Tahoma"/>
          <w:sz w:val="16"/>
          <w:szCs w:val="16"/>
        </w:rPr>
        <w:t xml:space="preserve"> </w:t>
      </w:r>
      <w:r w:rsidRPr="00E342DC">
        <w:rPr>
          <w:rFonts w:eastAsia="Times New Roman" w:cs="Tahoma"/>
          <w:sz w:val="16"/>
          <w:szCs w:val="16"/>
          <w:lang w:val="fr-CH" w:eastAsia="fr-CH"/>
        </w:rPr>
        <w:t>CAT, Compte-rendu analytique de la 93eme séance du Comité, Doc. ONU CAT/C/SR.93</w:t>
      </w:r>
      <w:r>
        <w:rPr>
          <w:rFonts w:eastAsia="Times New Roman" w:cs="Tahoma"/>
          <w:sz w:val="16"/>
          <w:szCs w:val="16"/>
          <w:lang w:val="fr-CH" w:eastAsia="fr-CH"/>
        </w:rPr>
        <w:t>.</w:t>
      </w:r>
    </w:p>
  </w:footnote>
  <w:footnote w:id="55">
    <w:p w:rsidR="00BF513F" w:rsidRPr="00E342DC" w:rsidRDefault="00BF513F">
      <w:pPr>
        <w:rPr>
          <w:rFonts w:cs="Tahoma"/>
          <w:sz w:val="16"/>
          <w:szCs w:val="16"/>
        </w:rPr>
      </w:pPr>
      <w:r w:rsidRPr="00E342DC">
        <w:rPr>
          <w:rStyle w:val="FootnoteReference"/>
          <w:rFonts w:cs="Tahoma"/>
          <w:sz w:val="16"/>
          <w:szCs w:val="16"/>
        </w:rPr>
        <w:footnoteRef/>
      </w:r>
      <w:r w:rsidRPr="00E342DC">
        <w:rPr>
          <w:rFonts w:cs="Tahoma"/>
          <w:sz w:val="16"/>
          <w:szCs w:val="16"/>
        </w:rPr>
        <w:t xml:space="preserve"> Rapport de la Rapporteuse spéciale sur l’indépendance des juges et des avocats, </w:t>
      </w:r>
      <w:r w:rsidRPr="00E342DC">
        <w:rPr>
          <w:rFonts w:eastAsia="Times New Roman" w:cs="Tahoma"/>
          <w:sz w:val="16"/>
          <w:szCs w:val="16"/>
          <w:lang w:val="fr-CH" w:eastAsia="fr-CH"/>
        </w:rPr>
        <w:t xml:space="preserve">A/68/285, 7 août 2013, </w:t>
      </w:r>
      <w:r w:rsidRPr="00E342DC">
        <w:rPr>
          <w:rFonts w:cs="Tahoma"/>
          <w:sz w:val="16"/>
          <w:szCs w:val="16"/>
        </w:rPr>
        <w:t xml:space="preserve">Para 69 à para 71. </w:t>
      </w:r>
    </w:p>
  </w:footnote>
  <w:footnote w:id="56">
    <w:p w:rsidR="00BF513F" w:rsidRPr="00E342DC" w:rsidRDefault="00BF513F">
      <w:pPr>
        <w:pStyle w:val="FootnoteText"/>
        <w:rPr>
          <w:rFonts w:cs="Tahoma"/>
          <w:szCs w:val="16"/>
        </w:rPr>
      </w:pPr>
      <w:r w:rsidRPr="00E342DC">
        <w:rPr>
          <w:rStyle w:val="FootnoteReference"/>
          <w:rFonts w:cs="Tahoma"/>
          <w:szCs w:val="16"/>
        </w:rPr>
        <w:footnoteRef/>
      </w:r>
      <w:r w:rsidRPr="00E342DC">
        <w:rPr>
          <w:rFonts w:cs="Tahoma"/>
          <w:szCs w:val="16"/>
        </w:rPr>
        <w:t xml:space="preserve"> </w:t>
      </w:r>
      <w:r w:rsidRPr="00E342DC">
        <w:rPr>
          <w:rFonts w:cs="Tahoma"/>
        </w:rPr>
        <w:t xml:space="preserve">Il convient également de rappeler, que le Tribunal pénal international pour l'ex-Yougoslavie (TPIY) a jugé dans les affaires </w:t>
      </w:r>
      <w:r w:rsidRPr="00E342DC">
        <w:rPr>
          <w:rStyle w:val="Normal1"/>
          <w:rFonts w:cs="Tahoma"/>
          <w:i/>
        </w:rPr>
        <w:t xml:space="preserve">Delalić et Furundžija que </w:t>
      </w:r>
      <w:r w:rsidRPr="00E342DC">
        <w:rPr>
          <w:rFonts w:cs="Tahoma"/>
        </w:rPr>
        <w:t>l’article 1</w:t>
      </w:r>
      <w:r w:rsidRPr="00E342DC">
        <w:rPr>
          <w:rFonts w:cs="Tahoma"/>
          <w:vertAlign w:val="superscript"/>
        </w:rPr>
        <w:t>er</w:t>
      </w:r>
      <w:r w:rsidRPr="00E342DC">
        <w:rPr>
          <w:rFonts w:cs="Tahoma"/>
        </w:rPr>
        <w:t xml:space="preserve"> contenait faisait également partie du droit international coutumier</w:t>
      </w:r>
      <w:r>
        <w:rPr>
          <w:rFonts w:cs="Tahoma"/>
        </w:rPr>
        <w:t>.</w:t>
      </w:r>
    </w:p>
  </w:footnote>
  <w:footnote w:id="57">
    <w:p w:rsidR="00BF513F" w:rsidRPr="00E342DC" w:rsidRDefault="00BF513F">
      <w:pPr>
        <w:pStyle w:val="FootnoteText"/>
        <w:rPr>
          <w:rFonts w:cs="Tahoma"/>
          <w:szCs w:val="16"/>
        </w:rPr>
      </w:pPr>
      <w:r w:rsidRPr="00E342DC">
        <w:rPr>
          <w:rStyle w:val="FootnoteReference"/>
          <w:rFonts w:cs="Tahoma"/>
          <w:szCs w:val="16"/>
        </w:rPr>
        <w:footnoteRef/>
      </w:r>
      <w:r w:rsidRPr="00E342DC">
        <w:rPr>
          <w:rFonts w:cs="Tahoma"/>
          <w:szCs w:val="16"/>
        </w:rPr>
        <w:t xml:space="preserve"> Voir aussi CAT, Observation générale N°2, op. cit. 1, § 9.</w:t>
      </w:r>
    </w:p>
  </w:footnote>
  <w:footnote w:id="58">
    <w:p w:rsidR="00BF513F" w:rsidRPr="00E342DC" w:rsidRDefault="00BF513F" w:rsidP="00E5143C">
      <w:pPr>
        <w:pStyle w:val="FootnoteText"/>
        <w:rPr>
          <w:rFonts w:cs="Tahoma"/>
          <w:szCs w:val="16"/>
        </w:rPr>
      </w:pPr>
      <w:r w:rsidRPr="00E342DC">
        <w:rPr>
          <w:rStyle w:val="FootnoteReference"/>
          <w:rFonts w:cs="Tahoma"/>
          <w:szCs w:val="16"/>
        </w:rPr>
        <w:footnoteRef/>
      </w:r>
      <w:r w:rsidRPr="00E342DC">
        <w:rPr>
          <w:rFonts w:cs="Tahoma"/>
          <w:szCs w:val="16"/>
        </w:rPr>
        <w:t xml:space="preserve"> </w:t>
      </w:r>
      <w:r w:rsidRPr="00E342DC">
        <w:rPr>
          <w:rFonts w:cs="Tahoma"/>
          <w:szCs w:val="16"/>
          <w:lang w:val="fr-CH"/>
        </w:rPr>
        <w:t xml:space="preserve">Alkarama, </w:t>
      </w:r>
      <w:r w:rsidRPr="00E342DC">
        <w:rPr>
          <w:rFonts w:cs="Tahoma"/>
          <w:i/>
          <w:iCs/>
          <w:szCs w:val="16"/>
          <w:lang w:val="fr-CH"/>
        </w:rPr>
        <w:t>Tu</w:t>
      </w:r>
      <w:r w:rsidRPr="00E342DC">
        <w:rPr>
          <w:rFonts w:cs="Tahoma"/>
          <w:i/>
          <w:iCs/>
          <w:szCs w:val="16"/>
        </w:rPr>
        <w:t>nisie : Mehdi Ben Kram arrêté à l'aéroport de Carthage et torturé par la police à Gorjani</w:t>
      </w:r>
      <w:r w:rsidRPr="00E342DC">
        <w:rPr>
          <w:rFonts w:cs="Tahoma"/>
          <w:szCs w:val="16"/>
        </w:rPr>
        <w:t xml:space="preserve">, 7 juillet 2015, </w:t>
      </w:r>
      <w:hyperlink r:id="rId2" w:history="1">
        <w:r w:rsidRPr="00E342DC">
          <w:rPr>
            <w:rStyle w:val="Hyperlink"/>
            <w:rFonts w:cs="Tahoma"/>
            <w:szCs w:val="16"/>
          </w:rPr>
          <w:t>http://fr.alkarama.org/item/1917-tunisie-mehdi-ben-kram-arrete-a-l-aeroport-de-carthage-et-torture-par-la-police-a-gorjani</w:t>
        </w:r>
      </w:hyperlink>
      <w:r w:rsidRPr="00E342DC">
        <w:rPr>
          <w:rFonts w:cs="Tahoma"/>
          <w:szCs w:val="16"/>
        </w:rPr>
        <w:t xml:space="preserve"> (consulté le 15 mars 2016).</w:t>
      </w:r>
    </w:p>
  </w:footnote>
  <w:footnote w:id="59">
    <w:p w:rsidR="00BF513F" w:rsidRPr="00E342DC" w:rsidRDefault="00BF513F" w:rsidP="00E5143C">
      <w:pPr>
        <w:pStyle w:val="FootnoteText"/>
        <w:rPr>
          <w:rFonts w:cs="Tahoma"/>
          <w:szCs w:val="16"/>
          <w:lang w:val="fr-CH"/>
        </w:rPr>
      </w:pPr>
      <w:r w:rsidRPr="00E342DC">
        <w:rPr>
          <w:rStyle w:val="FootnoteReference"/>
          <w:rFonts w:cs="Tahoma"/>
          <w:szCs w:val="16"/>
        </w:rPr>
        <w:footnoteRef/>
      </w:r>
      <w:r w:rsidRPr="00E342DC">
        <w:rPr>
          <w:rFonts w:cs="Tahoma"/>
          <w:szCs w:val="16"/>
        </w:rPr>
        <w:t xml:space="preserve"> Alkarama, </w:t>
      </w:r>
      <w:r w:rsidRPr="00E342DC">
        <w:rPr>
          <w:rFonts w:cs="Tahoma"/>
          <w:i/>
          <w:iCs/>
          <w:szCs w:val="16"/>
        </w:rPr>
        <w:t>Tunisie : Passivité de l’administration pénitentiaire face à l’état de santé déplorable d’un détenu</w:t>
      </w:r>
      <w:r w:rsidRPr="00E342DC">
        <w:rPr>
          <w:rFonts w:cs="Tahoma"/>
          <w:szCs w:val="16"/>
        </w:rPr>
        <w:t xml:space="preserve">, 23 décembre 2014, </w:t>
      </w:r>
      <w:hyperlink r:id="rId3" w:history="1">
        <w:r w:rsidRPr="00E342DC">
          <w:rPr>
            <w:rStyle w:val="Hyperlink"/>
            <w:rFonts w:cs="Tahoma"/>
            <w:szCs w:val="16"/>
          </w:rPr>
          <w:t>http://fr.alkarama.org/tunisie/communiques/item/1724-tunisie-passivite-de-l-administration-penitentiaire-face-a-l-État-de-sante-deplorable-d-un-detenu</w:t>
        </w:r>
      </w:hyperlink>
      <w:r w:rsidRPr="00E342DC">
        <w:rPr>
          <w:rFonts w:cs="Tahoma"/>
          <w:szCs w:val="16"/>
        </w:rPr>
        <w:t xml:space="preserve"> (consulté le 15 mars 2016). </w:t>
      </w:r>
    </w:p>
  </w:footnote>
  <w:footnote w:id="60">
    <w:p w:rsidR="00BF513F" w:rsidRPr="00E342DC" w:rsidRDefault="00BF513F" w:rsidP="00E5143C">
      <w:pPr>
        <w:pStyle w:val="FootnoteText"/>
        <w:rPr>
          <w:rFonts w:cs="Tahoma"/>
          <w:szCs w:val="16"/>
          <w:lang w:val="fr-CH"/>
        </w:rPr>
      </w:pPr>
      <w:r w:rsidRPr="00E342DC">
        <w:rPr>
          <w:rStyle w:val="FootnoteReference"/>
          <w:rFonts w:cs="Tahoma"/>
          <w:szCs w:val="16"/>
        </w:rPr>
        <w:footnoteRef/>
      </w:r>
      <w:r w:rsidRPr="00E342DC">
        <w:rPr>
          <w:rFonts w:cs="Tahoma"/>
          <w:szCs w:val="16"/>
        </w:rPr>
        <w:t xml:space="preserve"> Alkarama, </w:t>
      </w:r>
      <w:r w:rsidRPr="00E342DC">
        <w:rPr>
          <w:rFonts w:cs="Tahoma"/>
          <w:i/>
          <w:iCs/>
          <w:szCs w:val="16"/>
        </w:rPr>
        <w:t>Tunisie : Une jeune femme de vingt ans arrêtée et torturée en raison de son compte facebook</w:t>
      </w:r>
      <w:r w:rsidRPr="00E342DC">
        <w:rPr>
          <w:rFonts w:cs="Tahoma"/>
          <w:szCs w:val="16"/>
        </w:rPr>
        <w:t xml:space="preserve">, 24 décembre 2014, </w:t>
      </w:r>
      <w:hyperlink r:id="rId4" w:history="1">
        <w:r w:rsidRPr="00E342DC">
          <w:rPr>
            <w:rStyle w:val="Hyperlink"/>
            <w:rFonts w:cs="Tahoma"/>
            <w:szCs w:val="16"/>
          </w:rPr>
          <w:t>http://fr.alkarama.org/tunisie/communiques/item/1733-tunisie-une-jeune-femme-de-vingt-ans-arretee-et-torturee-en-raison-de-son-compte-facebook</w:t>
        </w:r>
      </w:hyperlink>
      <w:r w:rsidRPr="00E342DC">
        <w:rPr>
          <w:rFonts w:cs="Tahoma"/>
          <w:szCs w:val="16"/>
        </w:rPr>
        <w:t xml:space="preserve"> (consulté le 15 mars 2016).</w:t>
      </w:r>
    </w:p>
  </w:footnote>
  <w:footnote w:id="61">
    <w:p w:rsidR="00BF513F" w:rsidRPr="00E342DC" w:rsidRDefault="00BF513F" w:rsidP="00BF513F">
      <w:pPr>
        <w:pStyle w:val="FootnoteText"/>
        <w:rPr>
          <w:rFonts w:cs="Tahoma"/>
          <w:szCs w:val="16"/>
        </w:rPr>
      </w:pPr>
      <w:r w:rsidRPr="00E342DC">
        <w:rPr>
          <w:rStyle w:val="FootnoteReference"/>
          <w:rFonts w:cs="Tahoma"/>
          <w:szCs w:val="16"/>
        </w:rPr>
        <w:footnoteRef/>
      </w:r>
      <w:r w:rsidRPr="00E342DC">
        <w:rPr>
          <w:rFonts w:cs="Tahoma"/>
          <w:szCs w:val="16"/>
        </w:rPr>
        <w:t xml:space="preserve"> Institute for Criminal Policy Research, in Prison Studies, octobre 2014, </w:t>
      </w:r>
      <w:hyperlink r:id="rId5" w:history="1">
        <w:r w:rsidRPr="00E342DC">
          <w:rPr>
            <w:rStyle w:val="Hyperlink"/>
            <w:rFonts w:cs="Tahoma"/>
            <w:szCs w:val="16"/>
          </w:rPr>
          <w:t>http://www.prisonstudies.org/country/tunisia</w:t>
        </w:r>
      </w:hyperlink>
      <w:r w:rsidRPr="00E342DC">
        <w:rPr>
          <w:rFonts w:cs="Tahoma"/>
          <w:szCs w:val="16"/>
        </w:rPr>
        <w:t xml:space="preserve"> (</w:t>
      </w:r>
      <w:r>
        <w:rPr>
          <w:rFonts w:cs="Tahoma"/>
          <w:szCs w:val="16"/>
        </w:rPr>
        <w:t>c</w:t>
      </w:r>
      <w:r w:rsidRPr="00E342DC">
        <w:rPr>
          <w:rFonts w:cs="Tahoma"/>
          <w:szCs w:val="16"/>
        </w:rPr>
        <w:t>onsulté le 14 mars 2016).</w:t>
      </w:r>
    </w:p>
  </w:footnote>
  <w:footnote w:id="62">
    <w:p w:rsidR="00BF513F" w:rsidRPr="00E342DC" w:rsidRDefault="00BF513F" w:rsidP="00E14DA6">
      <w:pPr>
        <w:pStyle w:val="FootnoteText"/>
        <w:rPr>
          <w:rFonts w:cs="Tahoma"/>
          <w:szCs w:val="16"/>
        </w:rPr>
      </w:pPr>
      <w:r w:rsidRPr="00E342DC">
        <w:rPr>
          <w:rStyle w:val="FootnoteReference"/>
          <w:rFonts w:cs="Tahoma"/>
          <w:szCs w:val="16"/>
        </w:rPr>
        <w:footnoteRef/>
      </w:r>
      <w:r w:rsidRPr="00E342DC">
        <w:rPr>
          <w:rFonts w:cs="Tahoma"/>
          <w:szCs w:val="16"/>
        </w:rPr>
        <w:t xml:space="preserve"> Voir le rapport publié par le Bureau du Haut-commissaire aux droits de l'homme des Nations Unies sur l'état des prisons en Tunisie, le 25 avril 2014, disponible sur: </w:t>
      </w:r>
      <w:hyperlink r:id="rId6" w:history="1">
        <w:r w:rsidRPr="00E342DC">
          <w:rPr>
            <w:rStyle w:val="Hyperlink"/>
            <w:rFonts w:cs="Tahoma"/>
            <w:szCs w:val="16"/>
          </w:rPr>
          <w:t>http://www.ohchr.org/EN/NewsEvents/Pages/ReportsOnStateOfPrisonsInTunisia.aspx</w:t>
        </w:r>
      </w:hyperlink>
      <w:r w:rsidRPr="00E342DC">
        <w:rPr>
          <w:rFonts w:cs="Tahoma"/>
          <w:szCs w:val="16"/>
        </w:rPr>
        <w:t xml:space="preserve"> (consulté le 15 mars 2016).</w:t>
      </w:r>
    </w:p>
  </w:footnote>
  <w:footnote w:id="63">
    <w:p w:rsidR="00BF513F" w:rsidRPr="00E342DC" w:rsidRDefault="00BF513F" w:rsidP="00CA65A1">
      <w:pPr>
        <w:pStyle w:val="FootnoteText"/>
        <w:rPr>
          <w:rFonts w:cs="Tahoma"/>
          <w:i/>
          <w:iCs/>
          <w:szCs w:val="16"/>
          <w:lang w:val="fr-CH"/>
        </w:rPr>
      </w:pPr>
      <w:r w:rsidRPr="00E342DC">
        <w:rPr>
          <w:rStyle w:val="FootnoteReference"/>
          <w:rFonts w:cs="Tahoma"/>
          <w:szCs w:val="16"/>
        </w:rPr>
        <w:footnoteRef/>
      </w:r>
      <w:r w:rsidRPr="00E342DC">
        <w:rPr>
          <w:rFonts w:cs="Tahoma"/>
          <w:szCs w:val="16"/>
        </w:rPr>
        <w:t xml:space="preserve"> </w:t>
      </w:r>
      <w:r w:rsidRPr="00E342DC">
        <w:rPr>
          <w:rFonts w:cs="Tahoma"/>
          <w:i/>
          <w:iCs/>
          <w:szCs w:val="16"/>
        </w:rPr>
        <w:t xml:space="preserve">Troisième rapport périodique, Rapport complémentaire, </w:t>
      </w:r>
      <w:r w:rsidRPr="000E100C">
        <w:rPr>
          <w:rFonts w:cs="Tahoma"/>
          <w:szCs w:val="16"/>
        </w:rPr>
        <w:t xml:space="preserve">para. </w:t>
      </w:r>
      <w:r w:rsidRPr="000E100C">
        <w:rPr>
          <w:rFonts w:cs="Tahoma"/>
          <w:szCs w:val="16"/>
          <w:lang w:val="fr-CH"/>
        </w:rPr>
        <w:t>251.</w:t>
      </w:r>
    </w:p>
  </w:footnote>
  <w:footnote w:id="64">
    <w:p w:rsidR="00BF513F" w:rsidRPr="00E342DC" w:rsidRDefault="00BF513F" w:rsidP="00BC3DFB">
      <w:pPr>
        <w:pStyle w:val="FootnoteText"/>
        <w:rPr>
          <w:rFonts w:cs="Tahoma"/>
          <w:szCs w:val="16"/>
        </w:rPr>
      </w:pPr>
      <w:r w:rsidRPr="00E342DC">
        <w:rPr>
          <w:rStyle w:val="FootnoteReference"/>
          <w:rFonts w:cs="Tahoma"/>
          <w:szCs w:val="16"/>
        </w:rPr>
        <w:footnoteRef/>
      </w:r>
      <w:r w:rsidRPr="00E342DC">
        <w:rPr>
          <w:rFonts w:cs="Tahoma"/>
          <w:szCs w:val="16"/>
        </w:rPr>
        <w:t xml:space="preserve"> Voir A/HRC/28/68/Add.2, par. 86 </w:t>
      </w:r>
    </w:p>
  </w:footnote>
  <w:footnote w:id="65">
    <w:p w:rsidR="00BF513F" w:rsidRPr="00400132" w:rsidRDefault="00BF513F" w:rsidP="00400132">
      <w:pPr>
        <w:pStyle w:val="FootnoteText"/>
        <w:rPr>
          <w:rFonts w:cs="Tahoma"/>
          <w:szCs w:val="16"/>
        </w:rPr>
      </w:pPr>
      <w:r w:rsidRPr="00E342DC">
        <w:rPr>
          <w:rStyle w:val="FootnoteReference"/>
          <w:rFonts w:cs="Tahoma"/>
          <w:szCs w:val="16"/>
        </w:rPr>
        <w:footnoteRef/>
      </w:r>
      <w:r w:rsidR="002E00C1">
        <w:rPr>
          <w:rFonts w:cs="Tahoma"/>
          <w:szCs w:val="16"/>
        </w:rPr>
        <w:t xml:space="preserve"> </w:t>
      </w:r>
      <w:r w:rsidRPr="00E342DC">
        <w:rPr>
          <w:rFonts w:cs="Tahoma"/>
          <w:szCs w:val="16"/>
        </w:rPr>
        <w:t>Agence Tunis Af</w:t>
      </w:r>
      <w:r>
        <w:rPr>
          <w:rFonts w:cs="Tahoma"/>
          <w:szCs w:val="16"/>
        </w:rPr>
        <w:t xml:space="preserve">rique Presse, 8 septembre 2015, </w:t>
      </w:r>
      <w:hyperlink r:id="rId7" w:history="1">
        <w:r w:rsidRPr="00400132">
          <w:rPr>
            <w:rFonts w:cs="Tahoma"/>
            <w:szCs w:val="16"/>
            <w:u w:val="single"/>
          </w:rPr>
          <w:t>http://www.tap.info.tn/fr/index.php/politique/49820-toute-manifestation-pacifique-ou-de-protestation-est-contraire-a-l-État-d-urgence-selon-gharsalli</w:t>
        </w:r>
      </w:hyperlink>
      <w:r>
        <w:rPr>
          <w:rFonts w:cs="Tahoma"/>
          <w:szCs w:val="16"/>
        </w:rPr>
        <w:t xml:space="preserve"> </w:t>
      </w:r>
      <w:r w:rsidRPr="00E342DC">
        <w:rPr>
          <w:rFonts w:cs="Tahoma"/>
          <w:szCs w:val="16"/>
        </w:rPr>
        <w:t>(consulté le 17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13F" w:rsidRDefault="00BF513F">
    <w:pPr>
      <w:pStyle w:val="Header"/>
      <w:jc w:val="right"/>
    </w:pPr>
  </w:p>
  <w:p w:rsidR="00BF513F" w:rsidRPr="006F2A9F" w:rsidRDefault="00BF513F" w:rsidP="006F057F">
    <w:pPr>
      <w:pStyle w:val="Header"/>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60A26"/>
    <w:multiLevelType w:val="hybridMultilevel"/>
    <w:tmpl w:val="12B2B6A0"/>
    <w:lvl w:ilvl="0" w:tplc="349A490E">
      <w:start w:val="1"/>
      <w:numFmt w:val="decimal"/>
      <w:lvlText w:val="%1."/>
      <w:lvlJc w:val="left"/>
      <w:pPr>
        <w:ind w:left="785" w:hanging="360"/>
      </w:pPr>
      <w:rPr>
        <w:b/>
        <w:bCs/>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1">
    <w:nsid w:val="05455B0D"/>
    <w:multiLevelType w:val="hybridMultilevel"/>
    <w:tmpl w:val="7BA4A4FE"/>
    <w:lvl w:ilvl="0" w:tplc="1256C974">
      <w:start w:val="56"/>
      <w:numFmt w:val="decimal"/>
      <w:lvlText w:val="%1."/>
      <w:lvlJc w:val="left"/>
      <w:pPr>
        <w:tabs>
          <w:tab w:val="num" w:pos="1702"/>
        </w:tabs>
        <w:ind w:left="1135" w:firstLine="0"/>
      </w:pPr>
      <w:rPr>
        <w:rFonts w:hint="default"/>
        <w:b w:val="0"/>
        <w:bCs w:val="0"/>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8115C0"/>
    <w:multiLevelType w:val="hybridMultilevel"/>
    <w:tmpl w:val="08703460"/>
    <w:lvl w:ilvl="0" w:tplc="ECC848A4">
      <w:start w:val="1"/>
      <w:numFmt w:val="decimal"/>
      <w:lvlText w:val="%1."/>
      <w:lvlJc w:val="left"/>
      <w:pPr>
        <w:ind w:left="720" w:hanging="360"/>
      </w:pPr>
      <w:rPr>
        <w:rFonts w:ascii="Tahoma" w:hAnsi="Tahoma" w:cs="Tahoma" w:hint="default"/>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E83702C"/>
    <w:multiLevelType w:val="hybridMultilevel"/>
    <w:tmpl w:val="D37E1FEE"/>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
    <w:nsid w:val="180E0C2D"/>
    <w:multiLevelType w:val="hybridMultilevel"/>
    <w:tmpl w:val="958CC7AE"/>
    <w:lvl w:ilvl="0" w:tplc="8E6A05F2">
      <w:numFmt w:val="bullet"/>
      <w:lvlText w:val=""/>
      <w:lvlJc w:val="left"/>
      <w:pPr>
        <w:ind w:left="720" w:hanging="360"/>
      </w:pPr>
      <w:rPr>
        <w:rFonts w:ascii="Wingdings" w:eastAsia="Calibri" w:hAnsi="Wingdings" w:cs="Helvetic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D1D063C"/>
    <w:multiLevelType w:val="hybridMultilevel"/>
    <w:tmpl w:val="B3A8C44C"/>
    <w:lvl w:ilvl="0" w:tplc="E560231C">
      <w:start w:val="18"/>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FD4463B"/>
    <w:multiLevelType w:val="hybridMultilevel"/>
    <w:tmpl w:val="B6183BB8"/>
    <w:lvl w:ilvl="0" w:tplc="040C000F">
      <w:start w:val="1"/>
      <w:numFmt w:val="decimal"/>
      <w:lvlText w:val="%1."/>
      <w:lvlJc w:val="left"/>
      <w:pPr>
        <w:ind w:left="1077" w:hanging="360"/>
      </w:pPr>
    </w:lvl>
    <w:lvl w:ilvl="1" w:tplc="040C0019" w:tentative="1">
      <w:start w:val="1"/>
      <w:numFmt w:val="lowerLetter"/>
      <w:lvlText w:val="%2."/>
      <w:lvlJc w:val="left"/>
      <w:pPr>
        <w:ind w:left="1797" w:hanging="360"/>
      </w:pPr>
    </w:lvl>
    <w:lvl w:ilvl="2" w:tplc="040C001B" w:tentative="1">
      <w:start w:val="1"/>
      <w:numFmt w:val="lowerRoman"/>
      <w:lvlText w:val="%3."/>
      <w:lvlJc w:val="right"/>
      <w:pPr>
        <w:ind w:left="2517" w:hanging="180"/>
      </w:pPr>
    </w:lvl>
    <w:lvl w:ilvl="3" w:tplc="040C000F" w:tentative="1">
      <w:start w:val="1"/>
      <w:numFmt w:val="decimal"/>
      <w:lvlText w:val="%4."/>
      <w:lvlJc w:val="left"/>
      <w:pPr>
        <w:ind w:left="3237" w:hanging="360"/>
      </w:pPr>
    </w:lvl>
    <w:lvl w:ilvl="4" w:tplc="040C0019" w:tentative="1">
      <w:start w:val="1"/>
      <w:numFmt w:val="lowerLetter"/>
      <w:lvlText w:val="%5."/>
      <w:lvlJc w:val="left"/>
      <w:pPr>
        <w:ind w:left="3957" w:hanging="360"/>
      </w:pPr>
    </w:lvl>
    <w:lvl w:ilvl="5" w:tplc="040C001B" w:tentative="1">
      <w:start w:val="1"/>
      <w:numFmt w:val="lowerRoman"/>
      <w:lvlText w:val="%6."/>
      <w:lvlJc w:val="right"/>
      <w:pPr>
        <w:ind w:left="4677" w:hanging="180"/>
      </w:pPr>
    </w:lvl>
    <w:lvl w:ilvl="6" w:tplc="040C000F" w:tentative="1">
      <w:start w:val="1"/>
      <w:numFmt w:val="decimal"/>
      <w:lvlText w:val="%7."/>
      <w:lvlJc w:val="left"/>
      <w:pPr>
        <w:ind w:left="5397" w:hanging="360"/>
      </w:pPr>
    </w:lvl>
    <w:lvl w:ilvl="7" w:tplc="040C0019" w:tentative="1">
      <w:start w:val="1"/>
      <w:numFmt w:val="lowerLetter"/>
      <w:lvlText w:val="%8."/>
      <w:lvlJc w:val="left"/>
      <w:pPr>
        <w:ind w:left="6117" w:hanging="360"/>
      </w:pPr>
    </w:lvl>
    <w:lvl w:ilvl="8" w:tplc="040C001B" w:tentative="1">
      <w:start w:val="1"/>
      <w:numFmt w:val="lowerRoman"/>
      <w:lvlText w:val="%9."/>
      <w:lvlJc w:val="right"/>
      <w:pPr>
        <w:ind w:left="6837" w:hanging="180"/>
      </w:pPr>
    </w:lvl>
  </w:abstractNum>
  <w:abstractNum w:abstractNumId="8">
    <w:nsid w:val="203B3D19"/>
    <w:multiLevelType w:val="hybridMultilevel"/>
    <w:tmpl w:val="50DEBB02"/>
    <w:lvl w:ilvl="0" w:tplc="040C000F">
      <w:start w:val="1"/>
      <w:numFmt w:val="decimal"/>
      <w:lvlText w:val="%1."/>
      <w:lvlJc w:val="lef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9">
    <w:nsid w:val="28F16F68"/>
    <w:multiLevelType w:val="hybridMultilevel"/>
    <w:tmpl w:val="A23A39D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C724CD9"/>
    <w:multiLevelType w:val="hybridMultilevel"/>
    <w:tmpl w:val="C9264EDE"/>
    <w:lvl w:ilvl="0" w:tplc="F6FCA42A">
      <w:start w:val="24"/>
      <w:numFmt w:val="decimal"/>
      <w:lvlText w:val="%1."/>
      <w:lvlJc w:val="left"/>
      <w:pPr>
        <w:ind w:left="360" w:hanging="360"/>
      </w:pPr>
      <w:rPr>
        <w:rFonts w:hint="default"/>
        <w:b/>
        <w:bCs/>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nsid w:val="2E01216F"/>
    <w:multiLevelType w:val="hybridMultilevel"/>
    <w:tmpl w:val="C3B20122"/>
    <w:lvl w:ilvl="0" w:tplc="C7A23EC4">
      <w:start w:val="1"/>
      <w:numFmt w:val="decimal"/>
      <w:lvlText w:val="4.%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nsid w:val="3A5353AA"/>
    <w:multiLevelType w:val="hybridMultilevel"/>
    <w:tmpl w:val="746499E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C8A2780"/>
    <w:multiLevelType w:val="hybridMultilevel"/>
    <w:tmpl w:val="DAD6C8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3DDA1624"/>
    <w:multiLevelType w:val="hybridMultilevel"/>
    <w:tmpl w:val="B27CC4B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8C74068"/>
    <w:multiLevelType w:val="hybridMultilevel"/>
    <w:tmpl w:val="FB8A9EBC"/>
    <w:lvl w:ilvl="0" w:tplc="0C0A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5396778F"/>
    <w:multiLevelType w:val="hybridMultilevel"/>
    <w:tmpl w:val="2960A372"/>
    <w:lvl w:ilvl="0" w:tplc="ECC848A4">
      <w:start w:val="1"/>
      <w:numFmt w:val="decimal"/>
      <w:lvlText w:val="%1."/>
      <w:lvlJc w:val="left"/>
      <w:pPr>
        <w:ind w:left="720" w:hanging="360"/>
      </w:pPr>
      <w:rPr>
        <w:rFonts w:ascii="Tahoma" w:hAnsi="Tahoma" w:cs="Tahoma" w:hint="default"/>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57A05616"/>
    <w:multiLevelType w:val="hybridMultilevel"/>
    <w:tmpl w:val="97C88300"/>
    <w:lvl w:ilvl="0" w:tplc="8DE64FD2">
      <w:start w:val="20"/>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5AA7097F"/>
    <w:multiLevelType w:val="hybridMultilevel"/>
    <w:tmpl w:val="12B2B6A0"/>
    <w:lvl w:ilvl="0" w:tplc="349A490E">
      <w:start w:val="1"/>
      <w:numFmt w:val="decimal"/>
      <w:lvlText w:val="%1."/>
      <w:lvlJc w:val="left"/>
      <w:pPr>
        <w:ind w:left="785" w:hanging="360"/>
      </w:pPr>
      <w:rPr>
        <w:b/>
        <w:bCs/>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19">
    <w:nsid w:val="679E5D2B"/>
    <w:multiLevelType w:val="hybridMultilevel"/>
    <w:tmpl w:val="28D4AC28"/>
    <w:lvl w:ilvl="0" w:tplc="1F72B0B0">
      <w:start w:val="19"/>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68166A26"/>
    <w:multiLevelType w:val="hybridMultilevel"/>
    <w:tmpl w:val="B6183BB8"/>
    <w:lvl w:ilvl="0" w:tplc="040C000F">
      <w:start w:val="1"/>
      <w:numFmt w:val="decimal"/>
      <w:lvlText w:val="%1."/>
      <w:lvlJc w:val="left"/>
      <w:pPr>
        <w:ind w:left="1077" w:hanging="360"/>
      </w:pPr>
    </w:lvl>
    <w:lvl w:ilvl="1" w:tplc="040C0019">
      <w:start w:val="1"/>
      <w:numFmt w:val="lowerLetter"/>
      <w:lvlText w:val="%2."/>
      <w:lvlJc w:val="left"/>
      <w:pPr>
        <w:ind w:left="1797" w:hanging="360"/>
      </w:pPr>
    </w:lvl>
    <w:lvl w:ilvl="2" w:tplc="040C001B">
      <w:start w:val="1"/>
      <w:numFmt w:val="lowerRoman"/>
      <w:lvlText w:val="%3."/>
      <w:lvlJc w:val="right"/>
      <w:pPr>
        <w:ind w:left="2517" w:hanging="180"/>
      </w:pPr>
    </w:lvl>
    <w:lvl w:ilvl="3" w:tplc="040C000F" w:tentative="1">
      <w:start w:val="1"/>
      <w:numFmt w:val="decimal"/>
      <w:lvlText w:val="%4."/>
      <w:lvlJc w:val="left"/>
      <w:pPr>
        <w:ind w:left="3237" w:hanging="360"/>
      </w:pPr>
    </w:lvl>
    <w:lvl w:ilvl="4" w:tplc="040C0019" w:tentative="1">
      <w:start w:val="1"/>
      <w:numFmt w:val="lowerLetter"/>
      <w:lvlText w:val="%5."/>
      <w:lvlJc w:val="left"/>
      <w:pPr>
        <w:ind w:left="3957" w:hanging="360"/>
      </w:pPr>
    </w:lvl>
    <w:lvl w:ilvl="5" w:tplc="040C001B" w:tentative="1">
      <w:start w:val="1"/>
      <w:numFmt w:val="lowerRoman"/>
      <w:lvlText w:val="%6."/>
      <w:lvlJc w:val="right"/>
      <w:pPr>
        <w:ind w:left="4677" w:hanging="180"/>
      </w:pPr>
    </w:lvl>
    <w:lvl w:ilvl="6" w:tplc="040C000F" w:tentative="1">
      <w:start w:val="1"/>
      <w:numFmt w:val="decimal"/>
      <w:lvlText w:val="%7."/>
      <w:lvlJc w:val="left"/>
      <w:pPr>
        <w:ind w:left="5397" w:hanging="360"/>
      </w:pPr>
    </w:lvl>
    <w:lvl w:ilvl="7" w:tplc="040C0019" w:tentative="1">
      <w:start w:val="1"/>
      <w:numFmt w:val="lowerLetter"/>
      <w:lvlText w:val="%8."/>
      <w:lvlJc w:val="left"/>
      <w:pPr>
        <w:ind w:left="6117" w:hanging="360"/>
      </w:pPr>
    </w:lvl>
    <w:lvl w:ilvl="8" w:tplc="040C001B" w:tentative="1">
      <w:start w:val="1"/>
      <w:numFmt w:val="lowerRoman"/>
      <w:lvlText w:val="%9."/>
      <w:lvlJc w:val="right"/>
      <w:pPr>
        <w:ind w:left="6837" w:hanging="180"/>
      </w:pPr>
    </w:lvl>
  </w:abstractNum>
  <w:abstractNum w:abstractNumId="21">
    <w:nsid w:val="6C1769D5"/>
    <w:multiLevelType w:val="hybridMultilevel"/>
    <w:tmpl w:val="59847094"/>
    <w:lvl w:ilvl="0" w:tplc="91AA88C8">
      <w:start w:val="17"/>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74F07A40"/>
    <w:multiLevelType w:val="multilevel"/>
    <w:tmpl w:val="DA64BC24"/>
    <w:lvl w:ilvl="0">
      <w:start w:val="1"/>
      <w:numFmt w:val="decimal"/>
      <w:pStyle w:val="Heading1"/>
      <w:lvlText w:val="%1."/>
      <w:lvlJc w:val="left"/>
      <w:pPr>
        <w:ind w:left="720" w:hanging="360"/>
      </w:pPr>
      <w:rPr>
        <w:rFonts w:hint="default"/>
      </w:rPr>
    </w:lvl>
    <w:lvl w:ilvl="1">
      <w:start w:val="2"/>
      <w:numFmt w:val="decimal"/>
      <w:pStyle w:val="Heading2"/>
      <w:isLgl/>
      <w:lvlText w:val="%1.%2"/>
      <w:lvlJc w:val="left"/>
      <w:pPr>
        <w:ind w:left="720" w:hanging="720"/>
      </w:pPr>
      <w:rPr>
        <w:rFonts w:ascii="Tahoma" w:hAnsi="Tahoma" w:cs="Tahoma" w:hint="default"/>
        <w:sz w:val="20"/>
        <w:szCs w:val="20"/>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7C620C41"/>
    <w:multiLevelType w:val="hybridMultilevel"/>
    <w:tmpl w:val="B6183BB8"/>
    <w:lvl w:ilvl="0" w:tplc="040C000F">
      <w:start w:val="1"/>
      <w:numFmt w:val="decimal"/>
      <w:lvlText w:val="%1."/>
      <w:lvlJc w:val="left"/>
      <w:pPr>
        <w:ind w:left="1077" w:hanging="360"/>
      </w:pPr>
    </w:lvl>
    <w:lvl w:ilvl="1" w:tplc="040C0019">
      <w:start w:val="1"/>
      <w:numFmt w:val="lowerLetter"/>
      <w:lvlText w:val="%2."/>
      <w:lvlJc w:val="left"/>
      <w:pPr>
        <w:ind w:left="1797" w:hanging="360"/>
      </w:pPr>
    </w:lvl>
    <w:lvl w:ilvl="2" w:tplc="040C001B" w:tentative="1">
      <w:start w:val="1"/>
      <w:numFmt w:val="lowerRoman"/>
      <w:lvlText w:val="%3."/>
      <w:lvlJc w:val="right"/>
      <w:pPr>
        <w:ind w:left="2517" w:hanging="180"/>
      </w:pPr>
    </w:lvl>
    <w:lvl w:ilvl="3" w:tplc="040C000F" w:tentative="1">
      <w:start w:val="1"/>
      <w:numFmt w:val="decimal"/>
      <w:lvlText w:val="%4."/>
      <w:lvlJc w:val="left"/>
      <w:pPr>
        <w:ind w:left="3237" w:hanging="360"/>
      </w:pPr>
    </w:lvl>
    <w:lvl w:ilvl="4" w:tplc="040C0019" w:tentative="1">
      <w:start w:val="1"/>
      <w:numFmt w:val="lowerLetter"/>
      <w:lvlText w:val="%5."/>
      <w:lvlJc w:val="left"/>
      <w:pPr>
        <w:ind w:left="3957" w:hanging="360"/>
      </w:pPr>
    </w:lvl>
    <w:lvl w:ilvl="5" w:tplc="040C001B" w:tentative="1">
      <w:start w:val="1"/>
      <w:numFmt w:val="lowerRoman"/>
      <w:lvlText w:val="%6."/>
      <w:lvlJc w:val="right"/>
      <w:pPr>
        <w:ind w:left="4677" w:hanging="180"/>
      </w:pPr>
    </w:lvl>
    <w:lvl w:ilvl="6" w:tplc="040C000F" w:tentative="1">
      <w:start w:val="1"/>
      <w:numFmt w:val="decimal"/>
      <w:lvlText w:val="%7."/>
      <w:lvlJc w:val="left"/>
      <w:pPr>
        <w:ind w:left="5397" w:hanging="360"/>
      </w:pPr>
    </w:lvl>
    <w:lvl w:ilvl="7" w:tplc="040C0019" w:tentative="1">
      <w:start w:val="1"/>
      <w:numFmt w:val="lowerLetter"/>
      <w:lvlText w:val="%8."/>
      <w:lvlJc w:val="left"/>
      <w:pPr>
        <w:ind w:left="6117" w:hanging="360"/>
      </w:pPr>
    </w:lvl>
    <w:lvl w:ilvl="8" w:tplc="040C001B" w:tentative="1">
      <w:start w:val="1"/>
      <w:numFmt w:val="lowerRoman"/>
      <w:lvlText w:val="%9."/>
      <w:lvlJc w:val="right"/>
      <w:pPr>
        <w:ind w:left="6837" w:hanging="180"/>
      </w:pPr>
    </w:lvl>
  </w:abstractNum>
  <w:num w:numId="1">
    <w:abstractNumId w:val="22"/>
  </w:num>
  <w:num w:numId="2">
    <w:abstractNumId w:val="22"/>
    <w:lvlOverride w:ilvl="0">
      <w:startOverride w:val="3"/>
    </w:lvlOverride>
    <w:lvlOverride w:ilvl="1">
      <w:startOverride w:val="1"/>
    </w:lvlOverride>
  </w:num>
  <w:num w:numId="3">
    <w:abstractNumId w:val="23"/>
  </w:num>
  <w:num w:numId="4">
    <w:abstractNumId w:val="7"/>
  </w:num>
  <w:num w:numId="5">
    <w:abstractNumId w:val="20"/>
  </w:num>
  <w:num w:numId="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3"/>
  </w:num>
  <w:num w:numId="12">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6"/>
  </w:num>
  <w:num w:numId="16">
    <w:abstractNumId w:val="0"/>
  </w:num>
  <w:num w:numId="17">
    <w:abstractNumId w:val="18"/>
  </w:num>
  <w:num w:numId="18">
    <w:abstractNumId w:val="10"/>
  </w:num>
  <w:num w:numId="19">
    <w:abstractNumId w:val="19"/>
  </w:num>
  <w:num w:numId="20">
    <w:abstractNumId w:val="17"/>
  </w:num>
  <w:num w:numId="21">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2"/>
  </w:num>
  <w:num w:numId="25">
    <w:abstractNumId w:val="22"/>
  </w:num>
  <w:num w:numId="26">
    <w:abstractNumId w:val="22"/>
  </w:num>
  <w:num w:numId="27">
    <w:abstractNumId w:val="22"/>
  </w:num>
  <w:num w:numId="28">
    <w:abstractNumId w:val="22"/>
  </w:num>
  <w:num w:numId="29">
    <w:abstractNumId w:val="22"/>
  </w:num>
  <w:num w:numId="30">
    <w:abstractNumId w:val="14"/>
  </w:num>
  <w:num w:numId="31">
    <w:abstractNumId w:val="12"/>
  </w:num>
  <w:num w:numId="32">
    <w:abstractNumId w:val="4"/>
  </w:num>
  <w:num w:numId="33">
    <w:abstractNumId w:val="13"/>
  </w:num>
  <w:num w:numId="34">
    <w:abstractNumId w:val="2"/>
  </w:num>
  <w:num w:numId="35">
    <w:abstractNumId w:val="9"/>
  </w:num>
  <w:num w:numId="36">
    <w:abstractNumId w:val="8"/>
  </w:num>
  <w:num w:numId="37">
    <w:abstractNumId w:val="22"/>
  </w:num>
  <w:num w:numId="38">
    <w:abstractNumId w:val="22"/>
  </w:num>
  <w:num w:numId="39">
    <w:abstractNumId w:val="22"/>
  </w:num>
  <w:num w:numId="40">
    <w:abstractNumId w:val="15"/>
  </w:num>
  <w:num w:numId="41">
    <w:abstractNumId w:val="22"/>
    <w:lvlOverride w:ilvl="0">
      <w:startOverride w:val="8"/>
    </w:lvlOverride>
    <w:lvlOverride w:ilvl="1">
      <w:startOverride w:val="1"/>
    </w:lvlOverride>
  </w:num>
  <w:num w:numId="42">
    <w:abstractNumId w:val="22"/>
    <w:lvlOverride w:ilvl="0">
      <w:startOverride w:val="9"/>
    </w:lvlOverride>
    <w:lvlOverride w:ilvl="1">
      <w:startOverride w:val="1"/>
    </w:lvlOverride>
  </w:num>
  <w:num w:numId="43">
    <w:abstractNumId w:val="16"/>
  </w:num>
  <w:num w:numId="44">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A8"/>
    <w:rsid w:val="0000395E"/>
    <w:rsid w:val="00003DE7"/>
    <w:rsid w:val="00005435"/>
    <w:rsid w:val="00006D90"/>
    <w:rsid w:val="0001117A"/>
    <w:rsid w:val="00012DE5"/>
    <w:rsid w:val="0001404A"/>
    <w:rsid w:val="00016BE7"/>
    <w:rsid w:val="00024BDC"/>
    <w:rsid w:val="000270C2"/>
    <w:rsid w:val="00031C69"/>
    <w:rsid w:val="00033D11"/>
    <w:rsid w:val="00034481"/>
    <w:rsid w:val="00035B24"/>
    <w:rsid w:val="00035E42"/>
    <w:rsid w:val="00044F3D"/>
    <w:rsid w:val="0004724A"/>
    <w:rsid w:val="000478E7"/>
    <w:rsid w:val="00065EC0"/>
    <w:rsid w:val="00070F00"/>
    <w:rsid w:val="00082000"/>
    <w:rsid w:val="00086878"/>
    <w:rsid w:val="0009237D"/>
    <w:rsid w:val="000936BD"/>
    <w:rsid w:val="000952A6"/>
    <w:rsid w:val="00095C4F"/>
    <w:rsid w:val="000A3B53"/>
    <w:rsid w:val="000A5918"/>
    <w:rsid w:val="000B02C7"/>
    <w:rsid w:val="000B1195"/>
    <w:rsid w:val="000B30D7"/>
    <w:rsid w:val="000B493E"/>
    <w:rsid w:val="000B6455"/>
    <w:rsid w:val="000C0A0E"/>
    <w:rsid w:val="000C6B7E"/>
    <w:rsid w:val="000D2A92"/>
    <w:rsid w:val="000D79BE"/>
    <w:rsid w:val="000E100C"/>
    <w:rsid w:val="000E294A"/>
    <w:rsid w:val="000E6DE0"/>
    <w:rsid w:val="000F6B53"/>
    <w:rsid w:val="0010674F"/>
    <w:rsid w:val="001068B6"/>
    <w:rsid w:val="00112281"/>
    <w:rsid w:val="001139F3"/>
    <w:rsid w:val="0011429D"/>
    <w:rsid w:val="00117E1C"/>
    <w:rsid w:val="001212AF"/>
    <w:rsid w:val="00121E78"/>
    <w:rsid w:val="00124A72"/>
    <w:rsid w:val="0012743E"/>
    <w:rsid w:val="001315C1"/>
    <w:rsid w:val="00132435"/>
    <w:rsid w:val="00132E76"/>
    <w:rsid w:val="001356F3"/>
    <w:rsid w:val="00136B06"/>
    <w:rsid w:val="001458D1"/>
    <w:rsid w:val="00150CC9"/>
    <w:rsid w:val="001522FF"/>
    <w:rsid w:val="00157544"/>
    <w:rsid w:val="0016447E"/>
    <w:rsid w:val="00170FE5"/>
    <w:rsid w:val="0017367D"/>
    <w:rsid w:val="00175F8B"/>
    <w:rsid w:val="00177412"/>
    <w:rsid w:val="001775BA"/>
    <w:rsid w:val="001A325C"/>
    <w:rsid w:val="001A4F69"/>
    <w:rsid w:val="001A4F78"/>
    <w:rsid w:val="001A645C"/>
    <w:rsid w:val="001B0A51"/>
    <w:rsid w:val="001B4351"/>
    <w:rsid w:val="001B480D"/>
    <w:rsid w:val="001B504D"/>
    <w:rsid w:val="001B7ADD"/>
    <w:rsid w:val="001C290E"/>
    <w:rsid w:val="001C444E"/>
    <w:rsid w:val="001D4D56"/>
    <w:rsid w:val="001D6E9A"/>
    <w:rsid w:val="001D7FE5"/>
    <w:rsid w:val="001E14BD"/>
    <w:rsid w:val="001F631B"/>
    <w:rsid w:val="00204456"/>
    <w:rsid w:val="00204AEF"/>
    <w:rsid w:val="00211D6F"/>
    <w:rsid w:val="00211E58"/>
    <w:rsid w:val="00211F2B"/>
    <w:rsid w:val="0023169B"/>
    <w:rsid w:val="00235821"/>
    <w:rsid w:val="00236EC0"/>
    <w:rsid w:val="00240E9A"/>
    <w:rsid w:val="00241C80"/>
    <w:rsid w:val="00247542"/>
    <w:rsid w:val="00250A2D"/>
    <w:rsid w:val="00255322"/>
    <w:rsid w:val="00260113"/>
    <w:rsid w:val="00264388"/>
    <w:rsid w:val="00266A7B"/>
    <w:rsid w:val="00267E60"/>
    <w:rsid w:val="00271072"/>
    <w:rsid w:val="00272700"/>
    <w:rsid w:val="00286FFC"/>
    <w:rsid w:val="00287438"/>
    <w:rsid w:val="002914BC"/>
    <w:rsid w:val="00292220"/>
    <w:rsid w:val="0029673F"/>
    <w:rsid w:val="002A123B"/>
    <w:rsid w:val="002A261E"/>
    <w:rsid w:val="002B5C24"/>
    <w:rsid w:val="002C187D"/>
    <w:rsid w:val="002C644B"/>
    <w:rsid w:val="002C6C53"/>
    <w:rsid w:val="002D4BBD"/>
    <w:rsid w:val="002D56CA"/>
    <w:rsid w:val="002E00C1"/>
    <w:rsid w:val="002E1728"/>
    <w:rsid w:val="002E2EDB"/>
    <w:rsid w:val="002E2F48"/>
    <w:rsid w:val="002E56C5"/>
    <w:rsid w:val="002E6D81"/>
    <w:rsid w:val="002F09C7"/>
    <w:rsid w:val="002F17BA"/>
    <w:rsid w:val="002F4A2F"/>
    <w:rsid w:val="0030110D"/>
    <w:rsid w:val="0030148B"/>
    <w:rsid w:val="00301C92"/>
    <w:rsid w:val="00302844"/>
    <w:rsid w:val="003030EE"/>
    <w:rsid w:val="003047A1"/>
    <w:rsid w:val="003050E0"/>
    <w:rsid w:val="00306A1A"/>
    <w:rsid w:val="00311425"/>
    <w:rsid w:val="00314574"/>
    <w:rsid w:val="00320103"/>
    <w:rsid w:val="0032152D"/>
    <w:rsid w:val="00321C8B"/>
    <w:rsid w:val="00324494"/>
    <w:rsid w:val="003266EB"/>
    <w:rsid w:val="003271C2"/>
    <w:rsid w:val="00330962"/>
    <w:rsid w:val="00331C45"/>
    <w:rsid w:val="00336055"/>
    <w:rsid w:val="003378AB"/>
    <w:rsid w:val="00337F5B"/>
    <w:rsid w:val="003417F2"/>
    <w:rsid w:val="00346C79"/>
    <w:rsid w:val="00347171"/>
    <w:rsid w:val="00350CD8"/>
    <w:rsid w:val="00352EB6"/>
    <w:rsid w:val="003568E0"/>
    <w:rsid w:val="00361BE5"/>
    <w:rsid w:val="00362927"/>
    <w:rsid w:val="0036313C"/>
    <w:rsid w:val="00372A45"/>
    <w:rsid w:val="0037349D"/>
    <w:rsid w:val="00373F0B"/>
    <w:rsid w:val="00380B8B"/>
    <w:rsid w:val="00383D43"/>
    <w:rsid w:val="00384D74"/>
    <w:rsid w:val="00392D4E"/>
    <w:rsid w:val="00394083"/>
    <w:rsid w:val="00394090"/>
    <w:rsid w:val="00394963"/>
    <w:rsid w:val="00395733"/>
    <w:rsid w:val="00395ABF"/>
    <w:rsid w:val="00395B53"/>
    <w:rsid w:val="00396156"/>
    <w:rsid w:val="003967C6"/>
    <w:rsid w:val="00397D3E"/>
    <w:rsid w:val="003A0382"/>
    <w:rsid w:val="003A03B4"/>
    <w:rsid w:val="003A0EF6"/>
    <w:rsid w:val="003A6DF4"/>
    <w:rsid w:val="003A7B68"/>
    <w:rsid w:val="003B0593"/>
    <w:rsid w:val="003C0206"/>
    <w:rsid w:val="003C3ADF"/>
    <w:rsid w:val="003C4AA2"/>
    <w:rsid w:val="003C6ABB"/>
    <w:rsid w:val="003C6C97"/>
    <w:rsid w:val="003D1B0C"/>
    <w:rsid w:val="003D1CC9"/>
    <w:rsid w:val="003D51ED"/>
    <w:rsid w:val="003D777B"/>
    <w:rsid w:val="003E56A1"/>
    <w:rsid w:val="003E7BAA"/>
    <w:rsid w:val="003F0211"/>
    <w:rsid w:val="003F34F0"/>
    <w:rsid w:val="003F7C90"/>
    <w:rsid w:val="00400132"/>
    <w:rsid w:val="00402931"/>
    <w:rsid w:val="00405A53"/>
    <w:rsid w:val="00410C87"/>
    <w:rsid w:val="0041130F"/>
    <w:rsid w:val="00413567"/>
    <w:rsid w:val="004173EF"/>
    <w:rsid w:val="00423993"/>
    <w:rsid w:val="004329D9"/>
    <w:rsid w:val="00433398"/>
    <w:rsid w:val="00434727"/>
    <w:rsid w:val="0043591E"/>
    <w:rsid w:val="00442F89"/>
    <w:rsid w:val="004514CF"/>
    <w:rsid w:val="00451AD0"/>
    <w:rsid w:val="00455EEF"/>
    <w:rsid w:val="00457E0B"/>
    <w:rsid w:val="00463BEA"/>
    <w:rsid w:val="004744C7"/>
    <w:rsid w:val="00476F4E"/>
    <w:rsid w:val="00491E88"/>
    <w:rsid w:val="0049204C"/>
    <w:rsid w:val="004962EC"/>
    <w:rsid w:val="00496658"/>
    <w:rsid w:val="00496EB8"/>
    <w:rsid w:val="004A0DA2"/>
    <w:rsid w:val="004A1876"/>
    <w:rsid w:val="004A2ED5"/>
    <w:rsid w:val="004A5DAC"/>
    <w:rsid w:val="004A5F46"/>
    <w:rsid w:val="004B32E0"/>
    <w:rsid w:val="004B3791"/>
    <w:rsid w:val="004C0097"/>
    <w:rsid w:val="004C04BF"/>
    <w:rsid w:val="004C146C"/>
    <w:rsid w:val="004C1CEA"/>
    <w:rsid w:val="004C3695"/>
    <w:rsid w:val="004C4CE6"/>
    <w:rsid w:val="004C6D2E"/>
    <w:rsid w:val="004D3503"/>
    <w:rsid w:val="004D48F4"/>
    <w:rsid w:val="004E12AD"/>
    <w:rsid w:val="004E3CB6"/>
    <w:rsid w:val="004F0017"/>
    <w:rsid w:val="004F508E"/>
    <w:rsid w:val="004F7303"/>
    <w:rsid w:val="0050546D"/>
    <w:rsid w:val="005119F7"/>
    <w:rsid w:val="0051418B"/>
    <w:rsid w:val="005206BA"/>
    <w:rsid w:val="00522875"/>
    <w:rsid w:val="0052607E"/>
    <w:rsid w:val="005317B7"/>
    <w:rsid w:val="00532386"/>
    <w:rsid w:val="00537F17"/>
    <w:rsid w:val="005404E9"/>
    <w:rsid w:val="005408F9"/>
    <w:rsid w:val="00541815"/>
    <w:rsid w:val="00541E57"/>
    <w:rsid w:val="00542101"/>
    <w:rsid w:val="00546781"/>
    <w:rsid w:val="00547B5A"/>
    <w:rsid w:val="00557088"/>
    <w:rsid w:val="00560DDF"/>
    <w:rsid w:val="00563E38"/>
    <w:rsid w:val="0056570D"/>
    <w:rsid w:val="00571151"/>
    <w:rsid w:val="0057121E"/>
    <w:rsid w:val="005729EE"/>
    <w:rsid w:val="00581E6D"/>
    <w:rsid w:val="0058673B"/>
    <w:rsid w:val="00594FEE"/>
    <w:rsid w:val="00597544"/>
    <w:rsid w:val="00597585"/>
    <w:rsid w:val="00597F10"/>
    <w:rsid w:val="00597FD6"/>
    <w:rsid w:val="005A0A7E"/>
    <w:rsid w:val="005B3D45"/>
    <w:rsid w:val="005B7D7F"/>
    <w:rsid w:val="005C18DE"/>
    <w:rsid w:val="005C4B6E"/>
    <w:rsid w:val="005D6AF7"/>
    <w:rsid w:val="005E0F48"/>
    <w:rsid w:val="005E38E1"/>
    <w:rsid w:val="005E4563"/>
    <w:rsid w:val="005F46E9"/>
    <w:rsid w:val="005F71DD"/>
    <w:rsid w:val="0060081B"/>
    <w:rsid w:val="00604373"/>
    <w:rsid w:val="006054D8"/>
    <w:rsid w:val="0060790C"/>
    <w:rsid w:val="0060797B"/>
    <w:rsid w:val="00611CE1"/>
    <w:rsid w:val="0061397E"/>
    <w:rsid w:val="00614225"/>
    <w:rsid w:val="00614812"/>
    <w:rsid w:val="00623783"/>
    <w:rsid w:val="00632C28"/>
    <w:rsid w:val="00641620"/>
    <w:rsid w:val="00645C91"/>
    <w:rsid w:val="00651412"/>
    <w:rsid w:val="00651794"/>
    <w:rsid w:val="00652E57"/>
    <w:rsid w:val="00653464"/>
    <w:rsid w:val="00655C2C"/>
    <w:rsid w:val="00661C06"/>
    <w:rsid w:val="00664CB2"/>
    <w:rsid w:val="006704FF"/>
    <w:rsid w:val="006838BE"/>
    <w:rsid w:val="00690926"/>
    <w:rsid w:val="00692BFC"/>
    <w:rsid w:val="006A20F0"/>
    <w:rsid w:val="006A213F"/>
    <w:rsid w:val="006A624C"/>
    <w:rsid w:val="006B036F"/>
    <w:rsid w:val="006B4918"/>
    <w:rsid w:val="006C7E1A"/>
    <w:rsid w:val="006D3A9A"/>
    <w:rsid w:val="006D40DF"/>
    <w:rsid w:val="006D4DDC"/>
    <w:rsid w:val="006E011A"/>
    <w:rsid w:val="006E7D8C"/>
    <w:rsid w:val="006F057F"/>
    <w:rsid w:val="006F15DF"/>
    <w:rsid w:val="006F1D6A"/>
    <w:rsid w:val="006F1DAE"/>
    <w:rsid w:val="006F271B"/>
    <w:rsid w:val="006F3027"/>
    <w:rsid w:val="0070261E"/>
    <w:rsid w:val="007062E2"/>
    <w:rsid w:val="00706663"/>
    <w:rsid w:val="007128E1"/>
    <w:rsid w:val="00713283"/>
    <w:rsid w:val="0071360F"/>
    <w:rsid w:val="00721DF3"/>
    <w:rsid w:val="00721F6E"/>
    <w:rsid w:val="00723289"/>
    <w:rsid w:val="00724A52"/>
    <w:rsid w:val="0072548F"/>
    <w:rsid w:val="00725529"/>
    <w:rsid w:val="00726DC7"/>
    <w:rsid w:val="00730760"/>
    <w:rsid w:val="00732AF6"/>
    <w:rsid w:val="0074127C"/>
    <w:rsid w:val="007425CB"/>
    <w:rsid w:val="00745082"/>
    <w:rsid w:val="007462ED"/>
    <w:rsid w:val="007524F6"/>
    <w:rsid w:val="00754302"/>
    <w:rsid w:val="007547A1"/>
    <w:rsid w:val="00761ED1"/>
    <w:rsid w:val="00761F1E"/>
    <w:rsid w:val="0076295B"/>
    <w:rsid w:val="00764114"/>
    <w:rsid w:val="00764119"/>
    <w:rsid w:val="007654D8"/>
    <w:rsid w:val="00765D10"/>
    <w:rsid w:val="007662FE"/>
    <w:rsid w:val="00767352"/>
    <w:rsid w:val="00767420"/>
    <w:rsid w:val="00772F34"/>
    <w:rsid w:val="00775888"/>
    <w:rsid w:val="007804CB"/>
    <w:rsid w:val="00782280"/>
    <w:rsid w:val="007962E3"/>
    <w:rsid w:val="0079729E"/>
    <w:rsid w:val="007A07D0"/>
    <w:rsid w:val="007A1BC5"/>
    <w:rsid w:val="007A2A8E"/>
    <w:rsid w:val="007A496D"/>
    <w:rsid w:val="007B009B"/>
    <w:rsid w:val="007B0468"/>
    <w:rsid w:val="007B2E4C"/>
    <w:rsid w:val="007B412A"/>
    <w:rsid w:val="007B7672"/>
    <w:rsid w:val="007C2E57"/>
    <w:rsid w:val="007C3CC6"/>
    <w:rsid w:val="007C716D"/>
    <w:rsid w:val="007D13C5"/>
    <w:rsid w:val="007D1D7C"/>
    <w:rsid w:val="007D2935"/>
    <w:rsid w:val="007D2A63"/>
    <w:rsid w:val="007D34D2"/>
    <w:rsid w:val="007D70F0"/>
    <w:rsid w:val="007E1ABC"/>
    <w:rsid w:val="007E66FD"/>
    <w:rsid w:val="007E6C22"/>
    <w:rsid w:val="007F231B"/>
    <w:rsid w:val="007F2EE9"/>
    <w:rsid w:val="007F5F92"/>
    <w:rsid w:val="007F7E2C"/>
    <w:rsid w:val="008007BA"/>
    <w:rsid w:val="00801625"/>
    <w:rsid w:val="00801668"/>
    <w:rsid w:val="0080590A"/>
    <w:rsid w:val="00806155"/>
    <w:rsid w:val="008101DB"/>
    <w:rsid w:val="00813844"/>
    <w:rsid w:val="00814F09"/>
    <w:rsid w:val="00817893"/>
    <w:rsid w:val="00820655"/>
    <w:rsid w:val="0083635F"/>
    <w:rsid w:val="008379CE"/>
    <w:rsid w:val="008422A4"/>
    <w:rsid w:val="008450CC"/>
    <w:rsid w:val="00852FA2"/>
    <w:rsid w:val="00856A50"/>
    <w:rsid w:val="008662EC"/>
    <w:rsid w:val="008665EC"/>
    <w:rsid w:val="00870FDE"/>
    <w:rsid w:val="008771D2"/>
    <w:rsid w:val="008807FD"/>
    <w:rsid w:val="00881223"/>
    <w:rsid w:val="00881EEC"/>
    <w:rsid w:val="00882F13"/>
    <w:rsid w:val="00892553"/>
    <w:rsid w:val="00894EDD"/>
    <w:rsid w:val="00894FB9"/>
    <w:rsid w:val="00895C2B"/>
    <w:rsid w:val="008A2B19"/>
    <w:rsid w:val="008A436A"/>
    <w:rsid w:val="008A4636"/>
    <w:rsid w:val="008A4DAC"/>
    <w:rsid w:val="008B1023"/>
    <w:rsid w:val="008B56F6"/>
    <w:rsid w:val="008C0703"/>
    <w:rsid w:val="008D22BF"/>
    <w:rsid w:val="008D2636"/>
    <w:rsid w:val="008D38B7"/>
    <w:rsid w:val="008D44EB"/>
    <w:rsid w:val="008E0EB2"/>
    <w:rsid w:val="0090474B"/>
    <w:rsid w:val="0091079C"/>
    <w:rsid w:val="00912607"/>
    <w:rsid w:val="009156B4"/>
    <w:rsid w:val="00917344"/>
    <w:rsid w:val="00917744"/>
    <w:rsid w:val="00920983"/>
    <w:rsid w:val="00921197"/>
    <w:rsid w:val="0092245E"/>
    <w:rsid w:val="00925346"/>
    <w:rsid w:val="009312B1"/>
    <w:rsid w:val="00934285"/>
    <w:rsid w:val="0093574B"/>
    <w:rsid w:val="00935EF1"/>
    <w:rsid w:val="0094158A"/>
    <w:rsid w:val="009520D2"/>
    <w:rsid w:val="00957846"/>
    <w:rsid w:val="00964CC6"/>
    <w:rsid w:val="00967C75"/>
    <w:rsid w:val="00967FBF"/>
    <w:rsid w:val="0097034D"/>
    <w:rsid w:val="00975544"/>
    <w:rsid w:val="00975F3B"/>
    <w:rsid w:val="00983ED1"/>
    <w:rsid w:val="00984763"/>
    <w:rsid w:val="009860CE"/>
    <w:rsid w:val="00990184"/>
    <w:rsid w:val="0099350E"/>
    <w:rsid w:val="00996ED5"/>
    <w:rsid w:val="009A1EE4"/>
    <w:rsid w:val="009A4D91"/>
    <w:rsid w:val="009A5DD5"/>
    <w:rsid w:val="009B382F"/>
    <w:rsid w:val="009B4ABB"/>
    <w:rsid w:val="009B4CA1"/>
    <w:rsid w:val="009B61B7"/>
    <w:rsid w:val="009C04BD"/>
    <w:rsid w:val="009C1CCB"/>
    <w:rsid w:val="009C76B7"/>
    <w:rsid w:val="009C7DBD"/>
    <w:rsid w:val="009D3B56"/>
    <w:rsid w:val="009E3217"/>
    <w:rsid w:val="009E5CEF"/>
    <w:rsid w:val="009E7D16"/>
    <w:rsid w:val="009F09BF"/>
    <w:rsid w:val="009F5153"/>
    <w:rsid w:val="009F55AF"/>
    <w:rsid w:val="009F6428"/>
    <w:rsid w:val="009F7C00"/>
    <w:rsid w:val="00A0049E"/>
    <w:rsid w:val="00A0289A"/>
    <w:rsid w:val="00A02E87"/>
    <w:rsid w:val="00A048B6"/>
    <w:rsid w:val="00A050A8"/>
    <w:rsid w:val="00A1235B"/>
    <w:rsid w:val="00A14F78"/>
    <w:rsid w:val="00A15191"/>
    <w:rsid w:val="00A24B31"/>
    <w:rsid w:val="00A25360"/>
    <w:rsid w:val="00A33095"/>
    <w:rsid w:val="00A33967"/>
    <w:rsid w:val="00A36D18"/>
    <w:rsid w:val="00A44EC5"/>
    <w:rsid w:val="00A46D92"/>
    <w:rsid w:val="00A521A7"/>
    <w:rsid w:val="00A528AC"/>
    <w:rsid w:val="00A60F99"/>
    <w:rsid w:val="00A61FD4"/>
    <w:rsid w:val="00A62E08"/>
    <w:rsid w:val="00A6715E"/>
    <w:rsid w:val="00A673AE"/>
    <w:rsid w:val="00A76568"/>
    <w:rsid w:val="00A8020A"/>
    <w:rsid w:val="00A85411"/>
    <w:rsid w:val="00A87BD4"/>
    <w:rsid w:val="00A912A1"/>
    <w:rsid w:val="00AA0122"/>
    <w:rsid w:val="00AB238C"/>
    <w:rsid w:val="00AB4AF9"/>
    <w:rsid w:val="00AB736A"/>
    <w:rsid w:val="00AC07CC"/>
    <w:rsid w:val="00AC3E3B"/>
    <w:rsid w:val="00AC4B87"/>
    <w:rsid w:val="00AC597C"/>
    <w:rsid w:val="00AD3F7E"/>
    <w:rsid w:val="00AD4558"/>
    <w:rsid w:val="00AE064A"/>
    <w:rsid w:val="00AE374F"/>
    <w:rsid w:val="00B03263"/>
    <w:rsid w:val="00B139F6"/>
    <w:rsid w:val="00B1498E"/>
    <w:rsid w:val="00B2008A"/>
    <w:rsid w:val="00B20569"/>
    <w:rsid w:val="00B20F04"/>
    <w:rsid w:val="00B2328E"/>
    <w:rsid w:val="00B24EF7"/>
    <w:rsid w:val="00B26664"/>
    <w:rsid w:val="00B33D7D"/>
    <w:rsid w:val="00B4125A"/>
    <w:rsid w:val="00B46EAB"/>
    <w:rsid w:val="00B4710B"/>
    <w:rsid w:val="00B537A2"/>
    <w:rsid w:val="00B64B00"/>
    <w:rsid w:val="00B6664D"/>
    <w:rsid w:val="00B73981"/>
    <w:rsid w:val="00B74F14"/>
    <w:rsid w:val="00B82924"/>
    <w:rsid w:val="00B829A3"/>
    <w:rsid w:val="00B84CCF"/>
    <w:rsid w:val="00B8655F"/>
    <w:rsid w:val="00B87CEC"/>
    <w:rsid w:val="00B91ECE"/>
    <w:rsid w:val="00B92081"/>
    <w:rsid w:val="00B92F3A"/>
    <w:rsid w:val="00B93485"/>
    <w:rsid w:val="00BA0607"/>
    <w:rsid w:val="00BA5D13"/>
    <w:rsid w:val="00BB0A37"/>
    <w:rsid w:val="00BC03BE"/>
    <w:rsid w:val="00BC2626"/>
    <w:rsid w:val="00BC3231"/>
    <w:rsid w:val="00BC3BF2"/>
    <w:rsid w:val="00BC3DFB"/>
    <w:rsid w:val="00BD05A4"/>
    <w:rsid w:val="00BD05B6"/>
    <w:rsid w:val="00BD1A00"/>
    <w:rsid w:val="00BD5CFC"/>
    <w:rsid w:val="00BD7D07"/>
    <w:rsid w:val="00BD7F49"/>
    <w:rsid w:val="00BE2710"/>
    <w:rsid w:val="00BE3B6E"/>
    <w:rsid w:val="00BF0083"/>
    <w:rsid w:val="00BF0C54"/>
    <w:rsid w:val="00BF0D8D"/>
    <w:rsid w:val="00BF0ED1"/>
    <w:rsid w:val="00BF513F"/>
    <w:rsid w:val="00BF5FB5"/>
    <w:rsid w:val="00C01D13"/>
    <w:rsid w:val="00C01EB7"/>
    <w:rsid w:val="00C03F33"/>
    <w:rsid w:val="00C0497C"/>
    <w:rsid w:val="00C053F1"/>
    <w:rsid w:val="00C05DDA"/>
    <w:rsid w:val="00C07058"/>
    <w:rsid w:val="00C0762C"/>
    <w:rsid w:val="00C10682"/>
    <w:rsid w:val="00C161D3"/>
    <w:rsid w:val="00C16E23"/>
    <w:rsid w:val="00C16F1F"/>
    <w:rsid w:val="00C17AE7"/>
    <w:rsid w:val="00C22CE5"/>
    <w:rsid w:val="00C27983"/>
    <w:rsid w:val="00C30A3D"/>
    <w:rsid w:val="00C33486"/>
    <w:rsid w:val="00C33701"/>
    <w:rsid w:val="00C366AD"/>
    <w:rsid w:val="00C37738"/>
    <w:rsid w:val="00C4167D"/>
    <w:rsid w:val="00C475BD"/>
    <w:rsid w:val="00C554B1"/>
    <w:rsid w:val="00C579E5"/>
    <w:rsid w:val="00C615F7"/>
    <w:rsid w:val="00C62141"/>
    <w:rsid w:val="00C6611A"/>
    <w:rsid w:val="00C678FF"/>
    <w:rsid w:val="00C67CAD"/>
    <w:rsid w:val="00C67D89"/>
    <w:rsid w:val="00C728D5"/>
    <w:rsid w:val="00C74DA4"/>
    <w:rsid w:val="00C76805"/>
    <w:rsid w:val="00C809E6"/>
    <w:rsid w:val="00C8173E"/>
    <w:rsid w:val="00C912B3"/>
    <w:rsid w:val="00C91CD4"/>
    <w:rsid w:val="00C9481B"/>
    <w:rsid w:val="00C97070"/>
    <w:rsid w:val="00C97184"/>
    <w:rsid w:val="00C97E70"/>
    <w:rsid w:val="00CA29CC"/>
    <w:rsid w:val="00CA38E7"/>
    <w:rsid w:val="00CA4FD1"/>
    <w:rsid w:val="00CA65A1"/>
    <w:rsid w:val="00CB310A"/>
    <w:rsid w:val="00CB32F3"/>
    <w:rsid w:val="00CB73FB"/>
    <w:rsid w:val="00CC02BA"/>
    <w:rsid w:val="00CC2542"/>
    <w:rsid w:val="00CC6E19"/>
    <w:rsid w:val="00CD04FB"/>
    <w:rsid w:val="00CD1A01"/>
    <w:rsid w:val="00CD5681"/>
    <w:rsid w:val="00CD643B"/>
    <w:rsid w:val="00CD7E0F"/>
    <w:rsid w:val="00CF449B"/>
    <w:rsid w:val="00CF6020"/>
    <w:rsid w:val="00D0010F"/>
    <w:rsid w:val="00D00218"/>
    <w:rsid w:val="00D003DE"/>
    <w:rsid w:val="00D01A99"/>
    <w:rsid w:val="00D0488D"/>
    <w:rsid w:val="00D101BD"/>
    <w:rsid w:val="00D12023"/>
    <w:rsid w:val="00D13799"/>
    <w:rsid w:val="00D22E90"/>
    <w:rsid w:val="00D23E84"/>
    <w:rsid w:val="00D25B41"/>
    <w:rsid w:val="00D37AF4"/>
    <w:rsid w:val="00D40DE5"/>
    <w:rsid w:val="00D41B95"/>
    <w:rsid w:val="00D50A84"/>
    <w:rsid w:val="00D5509E"/>
    <w:rsid w:val="00D56CA3"/>
    <w:rsid w:val="00D60113"/>
    <w:rsid w:val="00D64476"/>
    <w:rsid w:val="00D66A92"/>
    <w:rsid w:val="00D707EF"/>
    <w:rsid w:val="00D76782"/>
    <w:rsid w:val="00D7708D"/>
    <w:rsid w:val="00D77D42"/>
    <w:rsid w:val="00D83566"/>
    <w:rsid w:val="00D850DC"/>
    <w:rsid w:val="00D863A0"/>
    <w:rsid w:val="00D901A5"/>
    <w:rsid w:val="00D90418"/>
    <w:rsid w:val="00D9117F"/>
    <w:rsid w:val="00D9565E"/>
    <w:rsid w:val="00D96AAC"/>
    <w:rsid w:val="00DA0ABA"/>
    <w:rsid w:val="00DA0C67"/>
    <w:rsid w:val="00DA5573"/>
    <w:rsid w:val="00DA6670"/>
    <w:rsid w:val="00DA6A0A"/>
    <w:rsid w:val="00DA7990"/>
    <w:rsid w:val="00DB189B"/>
    <w:rsid w:val="00DB5217"/>
    <w:rsid w:val="00DB7918"/>
    <w:rsid w:val="00DC0DEC"/>
    <w:rsid w:val="00DC3F81"/>
    <w:rsid w:val="00DC4CDB"/>
    <w:rsid w:val="00DC5266"/>
    <w:rsid w:val="00DC7ECB"/>
    <w:rsid w:val="00DD4520"/>
    <w:rsid w:val="00DE3032"/>
    <w:rsid w:val="00DE66CB"/>
    <w:rsid w:val="00DE797F"/>
    <w:rsid w:val="00E015D7"/>
    <w:rsid w:val="00E05360"/>
    <w:rsid w:val="00E05DF7"/>
    <w:rsid w:val="00E06112"/>
    <w:rsid w:val="00E14DA6"/>
    <w:rsid w:val="00E16B9E"/>
    <w:rsid w:val="00E172B0"/>
    <w:rsid w:val="00E17A63"/>
    <w:rsid w:val="00E23697"/>
    <w:rsid w:val="00E24E82"/>
    <w:rsid w:val="00E30253"/>
    <w:rsid w:val="00E32998"/>
    <w:rsid w:val="00E32A4D"/>
    <w:rsid w:val="00E342DC"/>
    <w:rsid w:val="00E421CC"/>
    <w:rsid w:val="00E42F0C"/>
    <w:rsid w:val="00E44297"/>
    <w:rsid w:val="00E45E64"/>
    <w:rsid w:val="00E478AD"/>
    <w:rsid w:val="00E5143C"/>
    <w:rsid w:val="00E5228A"/>
    <w:rsid w:val="00E54331"/>
    <w:rsid w:val="00E60222"/>
    <w:rsid w:val="00E60EA9"/>
    <w:rsid w:val="00E61F2A"/>
    <w:rsid w:val="00E63355"/>
    <w:rsid w:val="00E63D6A"/>
    <w:rsid w:val="00E731B3"/>
    <w:rsid w:val="00E7369A"/>
    <w:rsid w:val="00E74808"/>
    <w:rsid w:val="00E75A07"/>
    <w:rsid w:val="00E8180B"/>
    <w:rsid w:val="00E8461E"/>
    <w:rsid w:val="00E86016"/>
    <w:rsid w:val="00E91DEF"/>
    <w:rsid w:val="00EA19EC"/>
    <w:rsid w:val="00EA2DBE"/>
    <w:rsid w:val="00EB0C37"/>
    <w:rsid w:val="00EB6743"/>
    <w:rsid w:val="00EC4EDF"/>
    <w:rsid w:val="00EC7DF6"/>
    <w:rsid w:val="00ED2D42"/>
    <w:rsid w:val="00ED5BB4"/>
    <w:rsid w:val="00ED73C3"/>
    <w:rsid w:val="00ED7E4E"/>
    <w:rsid w:val="00EE36FD"/>
    <w:rsid w:val="00EE4E1C"/>
    <w:rsid w:val="00EE7361"/>
    <w:rsid w:val="00EF1BCD"/>
    <w:rsid w:val="00EF200E"/>
    <w:rsid w:val="00EF508C"/>
    <w:rsid w:val="00F05718"/>
    <w:rsid w:val="00F07751"/>
    <w:rsid w:val="00F077D9"/>
    <w:rsid w:val="00F0798B"/>
    <w:rsid w:val="00F144D8"/>
    <w:rsid w:val="00F16BF3"/>
    <w:rsid w:val="00F22129"/>
    <w:rsid w:val="00F23AD8"/>
    <w:rsid w:val="00F23EE9"/>
    <w:rsid w:val="00F26E56"/>
    <w:rsid w:val="00F350B7"/>
    <w:rsid w:val="00F35E2F"/>
    <w:rsid w:val="00F36568"/>
    <w:rsid w:val="00F41C8C"/>
    <w:rsid w:val="00F423BA"/>
    <w:rsid w:val="00F443B1"/>
    <w:rsid w:val="00F4694B"/>
    <w:rsid w:val="00F55F9E"/>
    <w:rsid w:val="00F57B59"/>
    <w:rsid w:val="00F733D9"/>
    <w:rsid w:val="00F75B05"/>
    <w:rsid w:val="00F76646"/>
    <w:rsid w:val="00F76E32"/>
    <w:rsid w:val="00F77FD2"/>
    <w:rsid w:val="00F806FE"/>
    <w:rsid w:val="00F81BE8"/>
    <w:rsid w:val="00F85579"/>
    <w:rsid w:val="00F86A8F"/>
    <w:rsid w:val="00F875E9"/>
    <w:rsid w:val="00F93B1D"/>
    <w:rsid w:val="00F97358"/>
    <w:rsid w:val="00FA23F5"/>
    <w:rsid w:val="00FA3D52"/>
    <w:rsid w:val="00FA67AA"/>
    <w:rsid w:val="00FB048E"/>
    <w:rsid w:val="00FC034C"/>
    <w:rsid w:val="00FD4560"/>
    <w:rsid w:val="00FD4FB8"/>
    <w:rsid w:val="00FE39D5"/>
    <w:rsid w:val="00FE4033"/>
    <w:rsid w:val="00FE63BA"/>
    <w:rsid w:val="00FE699D"/>
    <w:rsid w:val="00FF1635"/>
    <w:rsid w:val="00FF2F3F"/>
    <w:rsid w:val="00FF39FD"/>
    <w:rsid w:val="00FF4B4C"/>
    <w:rsid w:val="00FF4D9F"/>
    <w:rsid w:val="00FF5F69"/>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E42"/>
    <w:pPr>
      <w:jc w:val="both"/>
    </w:pPr>
    <w:rPr>
      <w:rFonts w:ascii="Tahoma" w:hAnsi="Tahoma" w:cs="Helvetica"/>
      <w:szCs w:val="22"/>
      <w:lang w:eastAsia="en-US"/>
    </w:rPr>
  </w:style>
  <w:style w:type="paragraph" w:styleId="Heading1">
    <w:name w:val="heading 1"/>
    <w:basedOn w:val="Normal"/>
    <w:next w:val="Normal"/>
    <w:link w:val="Heading1Char"/>
    <w:uiPriority w:val="9"/>
    <w:qFormat/>
    <w:rsid w:val="00035B24"/>
    <w:pPr>
      <w:keepNext/>
      <w:numPr>
        <w:numId w:val="1"/>
      </w:numPr>
      <w:pBdr>
        <w:bottom w:val="single" w:sz="12" w:space="1" w:color="auto"/>
      </w:pBdr>
      <w:shd w:val="clear" w:color="auto" w:fill="FFFFFF"/>
      <w:outlineLvl w:val="0"/>
    </w:pPr>
    <w:rPr>
      <w:rFonts w:eastAsia="Times New Roman" w:cs="Times New Roman"/>
      <w:b/>
      <w:bCs/>
      <w:kern w:val="32"/>
      <w:sz w:val="22"/>
      <w:szCs w:val="32"/>
      <w:lang w:val="en-US"/>
    </w:rPr>
  </w:style>
  <w:style w:type="paragraph" w:styleId="Heading2">
    <w:name w:val="heading 2"/>
    <w:basedOn w:val="Normal"/>
    <w:next w:val="Normal"/>
    <w:link w:val="Heading2Char"/>
    <w:uiPriority w:val="9"/>
    <w:qFormat/>
    <w:rsid w:val="00035E42"/>
    <w:pPr>
      <w:keepNext/>
      <w:numPr>
        <w:ilvl w:val="1"/>
        <w:numId w:val="1"/>
      </w:numPr>
      <w:shd w:val="clear" w:color="auto" w:fill="FFFFFF"/>
      <w:outlineLvl w:val="1"/>
    </w:pPr>
    <w:rPr>
      <w:rFonts w:eastAsia="Times New Roman" w:cs="Times New Roman"/>
      <w:b/>
      <w:bCs/>
      <w:iCs/>
      <w:szCs w:val="28"/>
    </w:rPr>
  </w:style>
  <w:style w:type="paragraph" w:styleId="Heading3">
    <w:name w:val="heading 3"/>
    <w:basedOn w:val="Normal"/>
    <w:next w:val="Normal"/>
    <w:link w:val="Heading3Char"/>
    <w:uiPriority w:val="9"/>
    <w:qFormat/>
    <w:rsid w:val="00035E42"/>
    <w:pPr>
      <w:keepNext/>
      <w:numPr>
        <w:ilvl w:val="2"/>
        <w:numId w:val="1"/>
      </w:numPr>
      <w:outlineLvl w:val="2"/>
    </w:pPr>
    <w:rPr>
      <w:rFonts w:eastAsia="Times New Roman" w:cs="Times New Roman"/>
      <w:b/>
      <w:szCs w:val="2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5B24"/>
    <w:rPr>
      <w:rFonts w:ascii="Tahoma" w:eastAsia="Times New Roman" w:hAnsi="Tahoma" w:cs="Times New Roman"/>
      <w:b/>
      <w:bCs/>
      <w:kern w:val="32"/>
      <w:sz w:val="22"/>
      <w:szCs w:val="32"/>
      <w:shd w:val="clear" w:color="auto" w:fill="FFFFFF"/>
      <w:lang w:val="en-US" w:eastAsia="en-US"/>
    </w:rPr>
  </w:style>
  <w:style w:type="character" w:customStyle="1" w:styleId="Heading2Char">
    <w:name w:val="Heading 2 Char"/>
    <w:link w:val="Heading2"/>
    <w:uiPriority w:val="9"/>
    <w:rsid w:val="00035E42"/>
    <w:rPr>
      <w:rFonts w:ascii="Tahoma" w:eastAsia="Times New Roman" w:hAnsi="Tahoma" w:cs="Times New Roman"/>
      <w:b/>
      <w:bCs/>
      <w:iCs/>
      <w:szCs w:val="28"/>
      <w:shd w:val="clear" w:color="auto" w:fill="FFFFFF"/>
      <w:lang w:eastAsia="en-US"/>
    </w:rPr>
  </w:style>
  <w:style w:type="character" w:customStyle="1" w:styleId="Heading3Char">
    <w:name w:val="Heading 3 Char"/>
    <w:link w:val="Heading3"/>
    <w:uiPriority w:val="9"/>
    <w:rsid w:val="00035E42"/>
    <w:rPr>
      <w:rFonts w:ascii="Tahoma" w:eastAsia="Times New Roman" w:hAnsi="Tahoma" w:cs="Times New Roman"/>
      <w:b/>
      <w:szCs w:val="26"/>
    </w:rPr>
  </w:style>
  <w:style w:type="paragraph" w:styleId="Header">
    <w:name w:val="header"/>
    <w:basedOn w:val="Normal"/>
    <w:link w:val="HeaderChar"/>
    <w:unhideWhenUsed/>
    <w:rsid w:val="00035E42"/>
    <w:pPr>
      <w:tabs>
        <w:tab w:val="center" w:pos="4536"/>
        <w:tab w:val="right" w:pos="9072"/>
      </w:tabs>
    </w:pPr>
    <w:rPr>
      <w:rFonts w:cs="Times New Roman"/>
      <w:szCs w:val="20"/>
    </w:rPr>
  </w:style>
  <w:style w:type="character" w:customStyle="1" w:styleId="HeaderChar">
    <w:name w:val="Header Char"/>
    <w:link w:val="Header"/>
    <w:rsid w:val="00035E42"/>
    <w:rPr>
      <w:rFonts w:ascii="Tahoma" w:eastAsia="Calibri" w:hAnsi="Tahoma" w:cs="Arial"/>
      <w:sz w:val="20"/>
      <w:lang w:val="fr-FR"/>
    </w:rPr>
  </w:style>
  <w:style w:type="paragraph" w:styleId="Footer">
    <w:name w:val="footer"/>
    <w:basedOn w:val="Normal"/>
    <w:link w:val="FooterChar"/>
    <w:uiPriority w:val="99"/>
    <w:unhideWhenUsed/>
    <w:rsid w:val="00035E42"/>
    <w:pPr>
      <w:tabs>
        <w:tab w:val="center" w:pos="4536"/>
        <w:tab w:val="right" w:pos="9072"/>
      </w:tabs>
    </w:pPr>
    <w:rPr>
      <w:rFonts w:cs="Times New Roman"/>
      <w:szCs w:val="20"/>
    </w:rPr>
  </w:style>
  <w:style w:type="character" w:customStyle="1" w:styleId="FooterChar">
    <w:name w:val="Footer Char"/>
    <w:link w:val="Footer"/>
    <w:uiPriority w:val="99"/>
    <w:rsid w:val="00035E42"/>
    <w:rPr>
      <w:rFonts w:ascii="Tahoma" w:eastAsia="Calibri" w:hAnsi="Tahoma" w:cs="Helvetica"/>
      <w:sz w:val="20"/>
      <w:lang w:val="fr-FR"/>
    </w:rPr>
  </w:style>
  <w:style w:type="paragraph" w:styleId="TOC1">
    <w:name w:val="toc 1"/>
    <w:basedOn w:val="Normal"/>
    <w:next w:val="Normal"/>
    <w:autoRedefine/>
    <w:uiPriority w:val="39"/>
    <w:unhideWhenUsed/>
    <w:qFormat/>
    <w:rsid w:val="00035E42"/>
    <w:pPr>
      <w:spacing w:before="120" w:after="120"/>
      <w:jc w:val="left"/>
    </w:pPr>
    <w:rPr>
      <w:rFonts w:ascii="Calibri" w:hAnsi="Calibri" w:cs="Times New Roman"/>
      <w:b/>
      <w:bCs/>
      <w:caps/>
      <w:szCs w:val="24"/>
    </w:rPr>
  </w:style>
  <w:style w:type="paragraph" w:styleId="TOC2">
    <w:name w:val="toc 2"/>
    <w:basedOn w:val="Normal"/>
    <w:next w:val="Normal"/>
    <w:autoRedefine/>
    <w:uiPriority w:val="39"/>
    <w:unhideWhenUsed/>
    <w:qFormat/>
    <w:rsid w:val="00035E42"/>
    <w:pPr>
      <w:ind w:left="200"/>
      <w:jc w:val="left"/>
    </w:pPr>
    <w:rPr>
      <w:rFonts w:ascii="Calibri" w:hAnsi="Calibri" w:cs="Times New Roman"/>
      <w:smallCaps/>
      <w:szCs w:val="24"/>
    </w:rPr>
  </w:style>
  <w:style w:type="character" w:styleId="Hyperlink">
    <w:name w:val="Hyperlink"/>
    <w:uiPriority w:val="99"/>
    <w:unhideWhenUsed/>
    <w:rsid w:val="00035E42"/>
    <w:rPr>
      <w:color w:val="0000FF"/>
      <w:u w:val="single"/>
    </w:rPr>
  </w:style>
  <w:style w:type="paragraph" w:styleId="FootnoteText">
    <w:name w:val="footnote text"/>
    <w:aliases w:val="Car"/>
    <w:basedOn w:val="Normal"/>
    <w:link w:val="FootnoteTextChar"/>
    <w:qFormat/>
    <w:rsid w:val="00035E42"/>
    <w:rPr>
      <w:rFonts w:cs="Times New Roman"/>
      <w:sz w:val="16"/>
      <w:szCs w:val="20"/>
    </w:rPr>
  </w:style>
  <w:style w:type="character" w:customStyle="1" w:styleId="FootnoteTextChar">
    <w:name w:val="Footnote Text Char"/>
    <w:aliases w:val="Car Char"/>
    <w:link w:val="FootnoteText"/>
    <w:rsid w:val="00035E42"/>
    <w:rPr>
      <w:rFonts w:ascii="Tahoma" w:eastAsia="Calibri" w:hAnsi="Tahoma" w:cs="Helvetica"/>
      <w:sz w:val="16"/>
      <w:szCs w:val="20"/>
      <w:lang w:val="fr-FR"/>
    </w:rPr>
  </w:style>
  <w:style w:type="character" w:styleId="FootnoteReference">
    <w:name w:val="footnote reference"/>
    <w:aliases w:val="Footnote number"/>
    <w:semiHidden/>
    <w:unhideWhenUsed/>
    <w:rsid w:val="00035E42"/>
    <w:rPr>
      <w:vertAlign w:val="superscript"/>
    </w:rPr>
  </w:style>
  <w:style w:type="paragraph" w:styleId="TOC3">
    <w:name w:val="toc 3"/>
    <w:basedOn w:val="Normal"/>
    <w:next w:val="Normal"/>
    <w:autoRedefine/>
    <w:uiPriority w:val="39"/>
    <w:unhideWhenUsed/>
    <w:qFormat/>
    <w:rsid w:val="00035E42"/>
    <w:pPr>
      <w:ind w:left="400"/>
      <w:jc w:val="left"/>
    </w:pPr>
    <w:rPr>
      <w:rFonts w:ascii="Calibri" w:hAnsi="Calibri" w:cs="Times New Roman"/>
      <w:i/>
      <w:iCs/>
      <w:szCs w:val="24"/>
    </w:rPr>
  </w:style>
  <w:style w:type="paragraph" w:styleId="BalloonText">
    <w:name w:val="Balloon Text"/>
    <w:basedOn w:val="Normal"/>
    <w:link w:val="BalloonTextChar"/>
    <w:uiPriority w:val="99"/>
    <w:semiHidden/>
    <w:unhideWhenUsed/>
    <w:rsid w:val="00035E42"/>
    <w:rPr>
      <w:rFonts w:cs="Times New Roman"/>
      <w:sz w:val="16"/>
      <w:szCs w:val="16"/>
    </w:rPr>
  </w:style>
  <w:style w:type="character" w:customStyle="1" w:styleId="BalloonTextChar">
    <w:name w:val="Balloon Text Char"/>
    <w:link w:val="BalloonText"/>
    <w:uiPriority w:val="99"/>
    <w:semiHidden/>
    <w:rsid w:val="00035E42"/>
    <w:rPr>
      <w:rFonts w:ascii="Tahoma" w:eastAsia="Calibri" w:hAnsi="Tahoma" w:cs="Tahoma"/>
      <w:sz w:val="16"/>
      <w:szCs w:val="16"/>
      <w:lang w:val="fr-FR"/>
    </w:rPr>
  </w:style>
  <w:style w:type="paragraph" w:styleId="ListParagraph">
    <w:name w:val="List Paragraph"/>
    <w:basedOn w:val="Normal"/>
    <w:uiPriority w:val="34"/>
    <w:qFormat/>
    <w:rsid w:val="008A4DAC"/>
    <w:pPr>
      <w:ind w:left="720"/>
      <w:contextualSpacing/>
    </w:pPr>
  </w:style>
  <w:style w:type="character" w:styleId="CommentReference">
    <w:name w:val="annotation reference"/>
    <w:basedOn w:val="DefaultParagraphFont"/>
    <w:unhideWhenUsed/>
    <w:rsid w:val="00C91CD4"/>
    <w:rPr>
      <w:sz w:val="16"/>
      <w:szCs w:val="16"/>
    </w:rPr>
  </w:style>
  <w:style w:type="paragraph" w:styleId="CommentText">
    <w:name w:val="annotation text"/>
    <w:basedOn w:val="Normal"/>
    <w:link w:val="CommentTextChar"/>
    <w:unhideWhenUsed/>
    <w:rsid w:val="00C91CD4"/>
    <w:rPr>
      <w:szCs w:val="20"/>
    </w:rPr>
  </w:style>
  <w:style w:type="character" w:customStyle="1" w:styleId="CommentTextChar">
    <w:name w:val="Comment Text Char"/>
    <w:basedOn w:val="DefaultParagraphFont"/>
    <w:link w:val="CommentText"/>
    <w:rsid w:val="00C91CD4"/>
    <w:rPr>
      <w:rFonts w:ascii="Tahoma" w:hAnsi="Tahoma" w:cs="Helvetica"/>
      <w:lang w:eastAsia="en-US"/>
    </w:rPr>
  </w:style>
  <w:style w:type="paragraph" w:styleId="CommentSubject">
    <w:name w:val="annotation subject"/>
    <w:basedOn w:val="CommentText"/>
    <w:next w:val="CommentText"/>
    <w:link w:val="CommentSubjectChar"/>
    <w:uiPriority w:val="99"/>
    <w:semiHidden/>
    <w:unhideWhenUsed/>
    <w:rsid w:val="00C91CD4"/>
    <w:rPr>
      <w:b/>
      <w:bCs/>
    </w:rPr>
  </w:style>
  <w:style w:type="character" w:customStyle="1" w:styleId="CommentSubjectChar">
    <w:name w:val="Comment Subject Char"/>
    <w:basedOn w:val="CommentTextChar"/>
    <w:link w:val="CommentSubject"/>
    <w:uiPriority w:val="99"/>
    <w:semiHidden/>
    <w:rsid w:val="00C91CD4"/>
    <w:rPr>
      <w:rFonts w:ascii="Tahoma" w:hAnsi="Tahoma" w:cs="Helvetica"/>
      <w:b/>
      <w:bCs/>
      <w:lang w:eastAsia="en-US"/>
    </w:rPr>
  </w:style>
  <w:style w:type="character" w:styleId="Emphasis">
    <w:name w:val="Emphasis"/>
    <w:basedOn w:val="DefaultParagraphFont"/>
    <w:uiPriority w:val="20"/>
    <w:qFormat/>
    <w:rsid w:val="00491E88"/>
    <w:rPr>
      <w:i/>
      <w:iCs/>
    </w:rPr>
  </w:style>
  <w:style w:type="character" w:customStyle="1" w:styleId="st">
    <w:name w:val="st"/>
    <w:basedOn w:val="DefaultParagraphFont"/>
    <w:rsid w:val="0083635F"/>
  </w:style>
  <w:style w:type="paragraph" w:customStyle="1" w:styleId="Default">
    <w:name w:val="Default"/>
    <w:rsid w:val="00394083"/>
    <w:pPr>
      <w:autoSpaceDE w:val="0"/>
      <w:autoSpaceDN w:val="0"/>
      <w:adjustRightInd w:val="0"/>
    </w:pPr>
    <w:rPr>
      <w:rFonts w:ascii="Times New Roman" w:hAnsi="Times New Roman" w:cs="Times New Roman"/>
      <w:color w:val="000000"/>
      <w:sz w:val="24"/>
      <w:szCs w:val="24"/>
    </w:rPr>
  </w:style>
  <w:style w:type="character" w:customStyle="1" w:styleId="A12">
    <w:name w:val="A12"/>
    <w:uiPriority w:val="99"/>
    <w:rsid w:val="00EB0C37"/>
    <w:rPr>
      <w:rFonts w:cs="Aaux ProRegular"/>
      <w:color w:val="000000"/>
      <w:sz w:val="19"/>
      <w:szCs w:val="19"/>
    </w:rPr>
  </w:style>
  <w:style w:type="paragraph" w:customStyle="1" w:styleId="SingleTxtG">
    <w:name w:val="_ Single Txt_G"/>
    <w:basedOn w:val="Normal"/>
    <w:link w:val="SingleTxtGChar"/>
    <w:qFormat/>
    <w:rsid w:val="00C01D13"/>
    <w:pPr>
      <w:suppressAutoHyphens/>
      <w:spacing w:after="120" w:line="240" w:lineRule="atLeast"/>
      <w:ind w:left="1134" w:right="1134"/>
    </w:pPr>
    <w:rPr>
      <w:rFonts w:ascii="Times New Roman" w:eastAsia="Times New Roman" w:hAnsi="Times New Roman" w:cs="Times New Roman"/>
      <w:szCs w:val="20"/>
      <w:lang w:val="en-GB"/>
    </w:rPr>
  </w:style>
  <w:style w:type="character" w:customStyle="1" w:styleId="SingleTxtGChar">
    <w:name w:val="_ Single Txt_G Char"/>
    <w:link w:val="SingleTxtG"/>
    <w:rsid w:val="00C01D13"/>
    <w:rPr>
      <w:rFonts w:ascii="Times New Roman" w:eastAsia="Times New Roman" w:hAnsi="Times New Roman" w:cs="Times New Roman"/>
      <w:lang w:val="en-GB" w:eastAsia="en-US"/>
    </w:rPr>
  </w:style>
  <w:style w:type="paragraph" w:customStyle="1" w:styleId="ParNoG">
    <w:name w:val="_ParNo_G"/>
    <w:basedOn w:val="SingleTxtG"/>
    <w:qFormat/>
    <w:rsid w:val="00581E6D"/>
    <w:pPr>
      <w:numPr>
        <w:numId w:val="11"/>
      </w:numPr>
      <w:kinsoku w:val="0"/>
      <w:overflowPunct w:val="0"/>
      <w:autoSpaceDE w:val="0"/>
      <w:autoSpaceDN w:val="0"/>
      <w:adjustRightInd w:val="0"/>
      <w:snapToGrid w:val="0"/>
    </w:pPr>
    <w:rPr>
      <w:lang w:val="fr-CH"/>
    </w:rPr>
  </w:style>
  <w:style w:type="paragraph" w:customStyle="1" w:styleId="Pa8">
    <w:name w:val="Pa8"/>
    <w:basedOn w:val="Default"/>
    <w:next w:val="Default"/>
    <w:uiPriority w:val="99"/>
    <w:rsid w:val="00881EEC"/>
    <w:pPr>
      <w:spacing w:line="191" w:lineRule="atLeast"/>
    </w:pPr>
    <w:rPr>
      <w:rFonts w:ascii="Aaux ProRegular" w:hAnsi="Aaux ProRegular" w:cs="Arial"/>
      <w:color w:val="auto"/>
    </w:rPr>
  </w:style>
  <w:style w:type="character" w:customStyle="1" w:styleId="hps">
    <w:name w:val="hps"/>
    <w:basedOn w:val="DefaultParagraphFont"/>
    <w:rsid w:val="00B03263"/>
  </w:style>
  <w:style w:type="character" w:styleId="FollowedHyperlink">
    <w:name w:val="FollowedHyperlink"/>
    <w:basedOn w:val="DefaultParagraphFont"/>
    <w:uiPriority w:val="99"/>
    <w:semiHidden/>
    <w:unhideWhenUsed/>
    <w:rsid w:val="00E14DA6"/>
    <w:rPr>
      <w:color w:val="800080" w:themeColor="followedHyperlink"/>
      <w:u w:val="single"/>
    </w:rPr>
  </w:style>
  <w:style w:type="character" w:customStyle="1" w:styleId="book-title">
    <w:name w:val="book-title"/>
    <w:basedOn w:val="DefaultParagraphFont"/>
    <w:rsid w:val="0097034D"/>
  </w:style>
  <w:style w:type="character" w:customStyle="1" w:styleId="A14">
    <w:name w:val="A14"/>
    <w:uiPriority w:val="99"/>
    <w:rsid w:val="00235821"/>
    <w:rPr>
      <w:rFonts w:ascii="Gravur Condensed" w:hAnsi="Gravur Condensed" w:cs="Gravur Condensed"/>
      <w:color w:val="000000"/>
      <w:sz w:val="11"/>
      <w:szCs w:val="11"/>
    </w:rPr>
  </w:style>
  <w:style w:type="character" w:customStyle="1" w:styleId="highlight">
    <w:name w:val="highlight"/>
    <w:basedOn w:val="DefaultParagraphFont"/>
    <w:rsid w:val="00EF1BCD"/>
  </w:style>
  <w:style w:type="paragraph" w:styleId="NoSpacing">
    <w:name w:val="No Spacing"/>
    <w:uiPriority w:val="1"/>
    <w:qFormat/>
    <w:rsid w:val="00070F00"/>
    <w:pPr>
      <w:jc w:val="both"/>
    </w:pPr>
    <w:rPr>
      <w:rFonts w:ascii="Tahoma" w:hAnsi="Tahoma" w:cs="Helvetica"/>
      <w:szCs w:val="22"/>
      <w:lang w:eastAsia="en-US"/>
    </w:rPr>
  </w:style>
  <w:style w:type="character" w:customStyle="1" w:styleId="Normal1">
    <w:name w:val="Normal1"/>
    <w:basedOn w:val="DefaultParagraphFont"/>
    <w:rsid w:val="007462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E42"/>
    <w:pPr>
      <w:jc w:val="both"/>
    </w:pPr>
    <w:rPr>
      <w:rFonts w:ascii="Tahoma" w:hAnsi="Tahoma" w:cs="Helvetica"/>
      <w:szCs w:val="22"/>
      <w:lang w:eastAsia="en-US"/>
    </w:rPr>
  </w:style>
  <w:style w:type="paragraph" w:styleId="Heading1">
    <w:name w:val="heading 1"/>
    <w:basedOn w:val="Normal"/>
    <w:next w:val="Normal"/>
    <w:link w:val="Heading1Char"/>
    <w:uiPriority w:val="9"/>
    <w:qFormat/>
    <w:rsid w:val="00035B24"/>
    <w:pPr>
      <w:keepNext/>
      <w:numPr>
        <w:numId w:val="1"/>
      </w:numPr>
      <w:pBdr>
        <w:bottom w:val="single" w:sz="12" w:space="1" w:color="auto"/>
      </w:pBdr>
      <w:shd w:val="clear" w:color="auto" w:fill="FFFFFF"/>
      <w:outlineLvl w:val="0"/>
    </w:pPr>
    <w:rPr>
      <w:rFonts w:eastAsia="Times New Roman" w:cs="Times New Roman"/>
      <w:b/>
      <w:bCs/>
      <w:kern w:val="32"/>
      <w:sz w:val="22"/>
      <w:szCs w:val="32"/>
      <w:lang w:val="en-US"/>
    </w:rPr>
  </w:style>
  <w:style w:type="paragraph" w:styleId="Heading2">
    <w:name w:val="heading 2"/>
    <w:basedOn w:val="Normal"/>
    <w:next w:val="Normal"/>
    <w:link w:val="Heading2Char"/>
    <w:uiPriority w:val="9"/>
    <w:qFormat/>
    <w:rsid w:val="00035E42"/>
    <w:pPr>
      <w:keepNext/>
      <w:numPr>
        <w:ilvl w:val="1"/>
        <w:numId w:val="1"/>
      </w:numPr>
      <w:shd w:val="clear" w:color="auto" w:fill="FFFFFF"/>
      <w:outlineLvl w:val="1"/>
    </w:pPr>
    <w:rPr>
      <w:rFonts w:eastAsia="Times New Roman" w:cs="Times New Roman"/>
      <w:b/>
      <w:bCs/>
      <w:iCs/>
      <w:szCs w:val="28"/>
    </w:rPr>
  </w:style>
  <w:style w:type="paragraph" w:styleId="Heading3">
    <w:name w:val="heading 3"/>
    <w:basedOn w:val="Normal"/>
    <w:next w:val="Normal"/>
    <w:link w:val="Heading3Char"/>
    <w:uiPriority w:val="9"/>
    <w:qFormat/>
    <w:rsid w:val="00035E42"/>
    <w:pPr>
      <w:keepNext/>
      <w:numPr>
        <w:ilvl w:val="2"/>
        <w:numId w:val="1"/>
      </w:numPr>
      <w:outlineLvl w:val="2"/>
    </w:pPr>
    <w:rPr>
      <w:rFonts w:eastAsia="Times New Roman" w:cs="Times New Roman"/>
      <w:b/>
      <w:szCs w:val="2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5B24"/>
    <w:rPr>
      <w:rFonts w:ascii="Tahoma" w:eastAsia="Times New Roman" w:hAnsi="Tahoma" w:cs="Times New Roman"/>
      <w:b/>
      <w:bCs/>
      <w:kern w:val="32"/>
      <w:sz w:val="22"/>
      <w:szCs w:val="32"/>
      <w:shd w:val="clear" w:color="auto" w:fill="FFFFFF"/>
      <w:lang w:val="en-US" w:eastAsia="en-US"/>
    </w:rPr>
  </w:style>
  <w:style w:type="character" w:customStyle="1" w:styleId="Heading2Char">
    <w:name w:val="Heading 2 Char"/>
    <w:link w:val="Heading2"/>
    <w:uiPriority w:val="9"/>
    <w:rsid w:val="00035E42"/>
    <w:rPr>
      <w:rFonts w:ascii="Tahoma" w:eastAsia="Times New Roman" w:hAnsi="Tahoma" w:cs="Times New Roman"/>
      <w:b/>
      <w:bCs/>
      <w:iCs/>
      <w:szCs w:val="28"/>
      <w:shd w:val="clear" w:color="auto" w:fill="FFFFFF"/>
      <w:lang w:eastAsia="en-US"/>
    </w:rPr>
  </w:style>
  <w:style w:type="character" w:customStyle="1" w:styleId="Heading3Char">
    <w:name w:val="Heading 3 Char"/>
    <w:link w:val="Heading3"/>
    <w:uiPriority w:val="9"/>
    <w:rsid w:val="00035E42"/>
    <w:rPr>
      <w:rFonts w:ascii="Tahoma" w:eastAsia="Times New Roman" w:hAnsi="Tahoma" w:cs="Times New Roman"/>
      <w:b/>
      <w:szCs w:val="26"/>
    </w:rPr>
  </w:style>
  <w:style w:type="paragraph" w:styleId="Header">
    <w:name w:val="header"/>
    <w:basedOn w:val="Normal"/>
    <w:link w:val="HeaderChar"/>
    <w:unhideWhenUsed/>
    <w:rsid w:val="00035E42"/>
    <w:pPr>
      <w:tabs>
        <w:tab w:val="center" w:pos="4536"/>
        <w:tab w:val="right" w:pos="9072"/>
      </w:tabs>
    </w:pPr>
    <w:rPr>
      <w:rFonts w:cs="Times New Roman"/>
      <w:szCs w:val="20"/>
    </w:rPr>
  </w:style>
  <w:style w:type="character" w:customStyle="1" w:styleId="HeaderChar">
    <w:name w:val="Header Char"/>
    <w:link w:val="Header"/>
    <w:rsid w:val="00035E42"/>
    <w:rPr>
      <w:rFonts w:ascii="Tahoma" w:eastAsia="Calibri" w:hAnsi="Tahoma" w:cs="Arial"/>
      <w:sz w:val="20"/>
      <w:lang w:val="fr-FR"/>
    </w:rPr>
  </w:style>
  <w:style w:type="paragraph" w:styleId="Footer">
    <w:name w:val="footer"/>
    <w:basedOn w:val="Normal"/>
    <w:link w:val="FooterChar"/>
    <w:uiPriority w:val="99"/>
    <w:unhideWhenUsed/>
    <w:rsid w:val="00035E42"/>
    <w:pPr>
      <w:tabs>
        <w:tab w:val="center" w:pos="4536"/>
        <w:tab w:val="right" w:pos="9072"/>
      </w:tabs>
    </w:pPr>
    <w:rPr>
      <w:rFonts w:cs="Times New Roman"/>
      <w:szCs w:val="20"/>
    </w:rPr>
  </w:style>
  <w:style w:type="character" w:customStyle="1" w:styleId="FooterChar">
    <w:name w:val="Footer Char"/>
    <w:link w:val="Footer"/>
    <w:uiPriority w:val="99"/>
    <w:rsid w:val="00035E42"/>
    <w:rPr>
      <w:rFonts w:ascii="Tahoma" w:eastAsia="Calibri" w:hAnsi="Tahoma" w:cs="Helvetica"/>
      <w:sz w:val="20"/>
      <w:lang w:val="fr-FR"/>
    </w:rPr>
  </w:style>
  <w:style w:type="paragraph" w:styleId="TOC1">
    <w:name w:val="toc 1"/>
    <w:basedOn w:val="Normal"/>
    <w:next w:val="Normal"/>
    <w:autoRedefine/>
    <w:uiPriority w:val="39"/>
    <w:unhideWhenUsed/>
    <w:qFormat/>
    <w:rsid w:val="00035E42"/>
    <w:pPr>
      <w:spacing w:before="120" w:after="120"/>
      <w:jc w:val="left"/>
    </w:pPr>
    <w:rPr>
      <w:rFonts w:ascii="Calibri" w:hAnsi="Calibri" w:cs="Times New Roman"/>
      <w:b/>
      <w:bCs/>
      <w:caps/>
      <w:szCs w:val="24"/>
    </w:rPr>
  </w:style>
  <w:style w:type="paragraph" w:styleId="TOC2">
    <w:name w:val="toc 2"/>
    <w:basedOn w:val="Normal"/>
    <w:next w:val="Normal"/>
    <w:autoRedefine/>
    <w:uiPriority w:val="39"/>
    <w:unhideWhenUsed/>
    <w:qFormat/>
    <w:rsid w:val="00035E42"/>
    <w:pPr>
      <w:ind w:left="200"/>
      <w:jc w:val="left"/>
    </w:pPr>
    <w:rPr>
      <w:rFonts w:ascii="Calibri" w:hAnsi="Calibri" w:cs="Times New Roman"/>
      <w:smallCaps/>
      <w:szCs w:val="24"/>
    </w:rPr>
  </w:style>
  <w:style w:type="character" w:styleId="Hyperlink">
    <w:name w:val="Hyperlink"/>
    <w:uiPriority w:val="99"/>
    <w:unhideWhenUsed/>
    <w:rsid w:val="00035E42"/>
    <w:rPr>
      <w:color w:val="0000FF"/>
      <w:u w:val="single"/>
    </w:rPr>
  </w:style>
  <w:style w:type="paragraph" w:styleId="FootnoteText">
    <w:name w:val="footnote text"/>
    <w:aliases w:val="Car"/>
    <w:basedOn w:val="Normal"/>
    <w:link w:val="FootnoteTextChar"/>
    <w:qFormat/>
    <w:rsid w:val="00035E42"/>
    <w:rPr>
      <w:rFonts w:cs="Times New Roman"/>
      <w:sz w:val="16"/>
      <w:szCs w:val="20"/>
    </w:rPr>
  </w:style>
  <w:style w:type="character" w:customStyle="1" w:styleId="FootnoteTextChar">
    <w:name w:val="Footnote Text Char"/>
    <w:aliases w:val="Car Char"/>
    <w:link w:val="FootnoteText"/>
    <w:rsid w:val="00035E42"/>
    <w:rPr>
      <w:rFonts w:ascii="Tahoma" w:eastAsia="Calibri" w:hAnsi="Tahoma" w:cs="Helvetica"/>
      <w:sz w:val="16"/>
      <w:szCs w:val="20"/>
      <w:lang w:val="fr-FR"/>
    </w:rPr>
  </w:style>
  <w:style w:type="character" w:styleId="FootnoteReference">
    <w:name w:val="footnote reference"/>
    <w:aliases w:val="Footnote number"/>
    <w:semiHidden/>
    <w:unhideWhenUsed/>
    <w:rsid w:val="00035E42"/>
    <w:rPr>
      <w:vertAlign w:val="superscript"/>
    </w:rPr>
  </w:style>
  <w:style w:type="paragraph" w:styleId="TOC3">
    <w:name w:val="toc 3"/>
    <w:basedOn w:val="Normal"/>
    <w:next w:val="Normal"/>
    <w:autoRedefine/>
    <w:uiPriority w:val="39"/>
    <w:unhideWhenUsed/>
    <w:qFormat/>
    <w:rsid w:val="00035E42"/>
    <w:pPr>
      <w:ind w:left="400"/>
      <w:jc w:val="left"/>
    </w:pPr>
    <w:rPr>
      <w:rFonts w:ascii="Calibri" w:hAnsi="Calibri" w:cs="Times New Roman"/>
      <w:i/>
      <w:iCs/>
      <w:szCs w:val="24"/>
    </w:rPr>
  </w:style>
  <w:style w:type="paragraph" w:styleId="BalloonText">
    <w:name w:val="Balloon Text"/>
    <w:basedOn w:val="Normal"/>
    <w:link w:val="BalloonTextChar"/>
    <w:uiPriority w:val="99"/>
    <w:semiHidden/>
    <w:unhideWhenUsed/>
    <w:rsid w:val="00035E42"/>
    <w:rPr>
      <w:rFonts w:cs="Times New Roman"/>
      <w:sz w:val="16"/>
      <w:szCs w:val="16"/>
    </w:rPr>
  </w:style>
  <w:style w:type="character" w:customStyle="1" w:styleId="BalloonTextChar">
    <w:name w:val="Balloon Text Char"/>
    <w:link w:val="BalloonText"/>
    <w:uiPriority w:val="99"/>
    <w:semiHidden/>
    <w:rsid w:val="00035E42"/>
    <w:rPr>
      <w:rFonts w:ascii="Tahoma" w:eastAsia="Calibri" w:hAnsi="Tahoma" w:cs="Tahoma"/>
      <w:sz w:val="16"/>
      <w:szCs w:val="16"/>
      <w:lang w:val="fr-FR"/>
    </w:rPr>
  </w:style>
  <w:style w:type="paragraph" w:styleId="ListParagraph">
    <w:name w:val="List Paragraph"/>
    <w:basedOn w:val="Normal"/>
    <w:uiPriority w:val="34"/>
    <w:qFormat/>
    <w:rsid w:val="008A4DAC"/>
    <w:pPr>
      <w:ind w:left="720"/>
      <w:contextualSpacing/>
    </w:pPr>
  </w:style>
  <w:style w:type="character" w:styleId="CommentReference">
    <w:name w:val="annotation reference"/>
    <w:basedOn w:val="DefaultParagraphFont"/>
    <w:unhideWhenUsed/>
    <w:rsid w:val="00C91CD4"/>
    <w:rPr>
      <w:sz w:val="16"/>
      <w:szCs w:val="16"/>
    </w:rPr>
  </w:style>
  <w:style w:type="paragraph" w:styleId="CommentText">
    <w:name w:val="annotation text"/>
    <w:basedOn w:val="Normal"/>
    <w:link w:val="CommentTextChar"/>
    <w:unhideWhenUsed/>
    <w:rsid w:val="00C91CD4"/>
    <w:rPr>
      <w:szCs w:val="20"/>
    </w:rPr>
  </w:style>
  <w:style w:type="character" w:customStyle="1" w:styleId="CommentTextChar">
    <w:name w:val="Comment Text Char"/>
    <w:basedOn w:val="DefaultParagraphFont"/>
    <w:link w:val="CommentText"/>
    <w:rsid w:val="00C91CD4"/>
    <w:rPr>
      <w:rFonts w:ascii="Tahoma" w:hAnsi="Tahoma" w:cs="Helvetica"/>
      <w:lang w:eastAsia="en-US"/>
    </w:rPr>
  </w:style>
  <w:style w:type="paragraph" w:styleId="CommentSubject">
    <w:name w:val="annotation subject"/>
    <w:basedOn w:val="CommentText"/>
    <w:next w:val="CommentText"/>
    <w:link w:val="CommentSubjectChar"/>
    <w:uiPriority w:val="99"/>
    <w:semiHidden/>
    <w:unhideWhenUsed/>
    <w:rsid w:val="00C91CD4"/>
    <w:rPr>
      <w:b/>
      <w:bCs/>
    </w:rPr>
  </w:style>
  <w:style w:type="character" w:customStyle="1" w:styleId="CommentSubjectChar">
    <w:name w:val="Comment Subject Char"/>
    <w:basedOn w:val="CommentTextChar"/>
    <w:link w:val="CommentSubject"/>
    <w:uiPriority w:val="99"/>
    <w:semiHidden/>
    <w:rsid w:val="00C91CD4"/>
    <w:rPr>
      <w:rFonts w:ascii="Tahoma" w:hAnsi="Tahoma" w:cs="Helvetica"/>
      <w:b/>
      <w:bCs/>
      <w:lang w:eastAsia="en-US"/>
    </w:rPr>
  </w:style>
  <w:style w:type="character" w:styleId="Emphasis">
    <w:name w:val="Emphasis"/>
    <w:basedOn w:val="DefaultParagraphFont"/>
    <w:uiPriority w:val="20"/>
    <w:qFormat/>
    <w:rsid w:val="00491E88"/>
    <w:rPr>
      <w:i/>
      <w:iCs/>
    </w:rPr>
  </w:style>
  <w:style w:type="character" w:customStyle="1" w:styleId="st">
    <w:name w:val="st"/>
    <w:basedOn w:val="DefaultParagraphFont"/>
    <w:rsid w:val="0083635F"/>
  </w:style>
  <w:style w:type="paragraph" w:customStyle="1" w:styleId="Default">
    <w:name w:val="Default"/>
    <w:rsid w:val="00394083"/>
    <w:pPr>
      <w:autoSpaceDE w:val="0"/>
      <w:autoSpaceDN w:val="0"/>
      <w:adjustRightInd w:val="0"/>
    </w:pPr>
    <w:rPr>
      <w:rFonts w:ascii="Times New Roman" w:hAnsi="Times New Roman" w:cs="Times New Roman"/>
      <w:color w:val="000000"/>
      <w:sz w:val="24"/>
      <w:szCs w:val="24"/>
    </w:rPr>
  </w:style>
  <w:style w:type="character" w:customStyle="1" w:styleId="A12">
    <w:name w:val="A12"/>
    <w:uiPriority w:val="99"/>
    <w:rsid w:val="00EB0C37"/>
    <w:rPr>
      <w:rFonts w:cs="Aaux ProRegular"/>
      <w:color w:val="000000"/>
      <w:sz w:val="19"/>
      <w:szCs w:val="19"/>
    </w:rPr>
  </w:style>
  <w:style w:type="paragraph" w:customStyle="1" w:styleId="SingleTxtG">
    <w:name w:val="_ Single Txt_G"/>
    <w:basedOn w:val="Normal"/>
    <w:link w:val="SingleTxtGChar"/>
    <w:qFormat/>
    <w:rsid w:val="00C01D13"/>
    <w:pPr>
      <w:suppressAutoHyphens/>
      <w:spacing w:after="120" w:line="240" w:lineRule="atLeast"/>
      <w:ind w:left="1134" w:right="1134"/>
    </w:pPr>
    <w:rPr>
      <w:rFonts w:ascii="Times New Roman" w:eastAsia="Times New Roman" w:hAnsi="Times New Roman" w:cs="Times New Roman"/>
      <w:szCs w:val="20"/>
      <w:lang w:val="en-GB"/>
    </w:rPr>
  </w:style>
  <w:style w:type="character" w:customStyle="1" w:styleId="SingleTxtGChar">
    <w:name w:val="_ Single Txt_G Char"/>
    <w:link w:val="SingleTxtG"/>
    <w:rsid w:val="00C01D13"/>
    <w:rPr>
      <w:rFonts w:ascii="Times New Roman" w:eastAsia="Times New Roman" w:hAnsi="Times New Roman" w:cs="Times New Roman"/>
      <w:lang w:val="en-GB" w:eastAsia="en-US"/>
    </w:rPr>
  </w:style>
  <w:style w:type="paragraph" w:customStyle="1" w:styleId="ParNoG">
    <w:name w:val="_ParNo_G"/>
    <w:basedOn w:val="SingleTxtG"/>
    <w:qFormat/>
    <w:rsid w:val="00581E6D"/>
    <w:pPr>
      <w:numPr>
        <w:numId w:val="11"/>
      </w:numPr>
      <w:kinsoku w:val="0"/>
      <w:overflowPunct w:val="0"/>
      <w:autoSpaceDE w:val="0"/>
      <w:autoSpaceDN w:val="0"/>
      <w:adjustRightInd w:val="0"/>
      <w:snapToGrid w:val="0"/>
    </w:pPr>
    <w:rPr>
      <w:lang w:val="fr-CH"/>
    </w:rPr>
  </w:style>
  <w:style w:type="paragraph" w:customStyle="1" w:styleId="Pa8">
    <w:name w:val="Pa8"/>
    <w:basedOn w:val="Default"/>
    <w:next w:val="Default"/>
    <w:uiPriority w:val="99"/>
    <w:rsid w:val="00881EEC"/>
    <w:pPr>
      <w:spacing w:line="191" w:lineRule="atLeast"/>
    </w:pPr>
    <w:rPr>
      <w:rFonts w:ascii="Aaux ProRegular" w:hAnsi="Aaux ProRegular" w:cs="Arial"/>
      <w:color w:val="auto"/>
    </w:rPr>
  </w:style>
  <w:style w:type="character" w:customStyle="1" w:styleId="hps">
    <w:name w:val="hps"/>
    <w:basedOn w:val="DefaultParagraphFont"/>
    <w:rsid w:val="00B03263"/>
  </w:style>
  <w:style w:type="character" w:styleId="FollowedHyperlink">
    <w:name w:val="FollowedHyperlink"/>
    <w:basedOn w:val="DefaultParagraphFont"/>
    <w:uiPriority w:val="99"/>
    <w:semiHidden/>
    <w:unhideWhenUsed/>
    <w:rsid w:val="00E14DA6"/>
    <w:rPr>
      <w:color w:val="800080" w:themeColor="followedHyperlink"/>
      <w:u w:val="single"/>
    </w:rPr>
  </w:style>
  <w:style w:type="character" w:customStyle="1" w:styleId="book-title">
    <w:name w:val="book-title"/>
    <w:basedOn w:val="DefaultParagraphFont"/>
    <w:rsid w:val="0097034D"/>
  </w:style>
  <w:style w:type="character" w:customStyle="1" w:styleId="A14">
    <w:name w:val="A14"/>
    <w:uiPriority w:val="99"/>
    <w:rsid w:val="00235821"/>
    <w:rPr>
      <w:rFonts w:ascii="Gravur Condensed" w:hAnsi="Gravur Condensed" w:cs="Gravur Condensed"/>
      <w:color w:val="000000"/>
      <w:sz w:val="11"/>
      <w:szCs w:val="11"/>
    </w:rPr>
  </w:style>
  <w:style w:type="character" w:customStyle="1" w:styleId="highlight">
    <w:name w:val="highlight"/>
    <w:basedOn w:val="DefaultParagraphFont"/>
    <w:rsid w:val="00EF1BCD"/>
  </w:style>
  <w:style w:type="paragraph" w:styleId="NoSpacing">
    <w:name w:val="No Spacing"/>
    <w:uiPriority w:val="1"/>
    <w:qFormat/>
    <w:rsid w:val="00070F00"/>
    <w:pPr>
      <w:jc w:val="both"/>
    </w:pPr>
    <w:rPr>
      <w:rFonts w:ascii="Tahoma" w:hAnsi="Tahoma" w:cs="Helvetica"/>
      <w:szCs w:val="22"/>
      <w:lang w:eastAsia="en-US"/>
    </w:rPr>
  </w:style>
  <w:style w:type="character" w:customStyle="1" w:styleId="Normal1">
    <w:name w:val="Normal1"/>
    <w:basedOn w:val="DefaultParagraphFont"/>
    <w:rsid w:val="00746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46925">
      <w:bodyDiv w:val="1"/>
      <w:marLeft w:val="0"/>
      <w:marRight w:val="0"/>
      <w:marTop w:val="0"/>
      <w:marBottom w:val="0"/>
      <w:divBdr>
        <w:top w:val="none" w:sz="0" w:space="0" w:color="auto"/>
        <w:left w:val="none" w:sz="0" w:space="0" w:color="auto"/>
        <w:bottom w:val="none" w:sz="0" w:space="0" w:color="auto"/>
        <w:right w:val="none" w:sz="0" w:space="0" w:color="auto"/>
      </w:divBdr>
    </w:div>
    <w:div w:id="99566767">
      <w:bodyDiv w:val="1"/>
      <w:marLeft w:val="0"/>
      <w:marRight w:val="0"/>
      <w:marTop w:val="0"/>
      <w:marBottom w:val="0"/>
      <w:divBdr>
        <w:top w:val="none" w:sz="0" w:space="0" w:color="auto"/>
        <w:left w:val="none" w:sz="0" w:space="0" w:color="auto"/>
        <w:bottom w:val="none" w:sz="0" w:space="0" w:color="auto"/>
        <w:right w:val="none" w:sz="0" w:space="0" w:color="auto"/>
      </w:divBdr>
      <w:divsChild>
        <w:div w:id="581793198">
          <w:marLeft w:val="0"/>
          <w:marRight w:val="0"/>
          <w:marTop w:val="0"/>
          <w:marBottom w:val="0"/>
          <w:divBdr>
            <w:top w:val="none" w:sz="0" w:space="0" w:color="auto"/>
            <w:left w:val="none" w:sz="0" w:space="0" w:color="auto"/>
            <w:bottom w:val="none" w:sz="0" w:space="0" w:color="auto"/>
            <w:right w:val="none" w:sz="0" w:space="0" w:color="auto"/>
          </w:divBdr>
        </w:div>
        <w:div w:id="811026781">
          <w:marLeft w:val="0"/>
          <w:marRight w:val="0"/>
          <w:marTop w:val="0"/>
          <w:marBottom w:val="0"/>
          <w:divBdr>
            <w:top w:val="none" w:sz="0" w:space="0" w:color="auto"/>
            <w:left w:val="none" w:sz="0" w:space="0" w:color="auto"/>
            <w:bottom w:val="none" w:sz="0" w:space="0" w:color="auto"/>
            <w:right w:val="none" w:sz="0" w:space="0" w:color="auto"/>
          </w:divBdr>
        </w:div>
      </w:divsChild>
    </w:div>
    <w:div w:id="112136733">
      <w:bodyDiv w:val="1"/>
      <w:marLeft w:val="0"/>
      <w:marRight w:val="0"/>
      <w:marTop w:val="0"/>
      <w:marBottom w:val="0"/>
      <w:divBdr>
        <w:top w:val="none" w:sz="0" w:space="0" w:color="auto"/>
        <w:left w:val="none" w:sz="0" w:space="0" w:color="auto"/>
        <w:bottom w:val="none" w:sz="0" w:space="0" w:color="auto"/>
        <w:right w:val="none" w:sz="0" w:space="0" w:color="auto"/>
      </w:divBdr>
    </w:div>
    <w:div w:id="127666760">
      <w:bodyDiv w:val="1"/>
      <w:marLeft w:val="0"/>
      <w:marRight w:val="0"/>
      <w:marTop w:val="0"/>
      <w:marBottom w:val="0"/>
      <w:divBdr>
        <w:top w:val="none" w:sz="0" w:space="0" w:color="auto"/>
        <w:left w:val="none" w:sz="0" w:space="0" w:color="auto"/>
        <w:bottom w:val="none" w:sz="0" w:space="0" w:color="auto"/>
        <w:right w:val="none" w:sz="0" w:space="0" w:color="auto"/>
      </w:divBdr>
    </w:div>
    <w:div w:id="151721189">
      <w:bodyDiv w:val="1"/>
      <w:marLeft w:val="0"/>
      <w:marRight w:val="0"/>
      <w:marTop w:val="0"/>
      <w:marBottom w:val="0"/>
      <w:divBdr>
        <w:top w:val="none" w:sz="0" w:space="0" w:color="auto"/>
        <w:left w:val="none" w:sz="0" w:space="0" w:color="auto"/>
        <w:bottom w:val="none" w:sz="0" w:space="0" w:color="auto"/>
        <w:right w:val="none" w:sz="0" w:space="0" w:color="auto"/>
      </w:divBdr>
    </w:div>
    <w:div w:id="166677460">
      <w:bodyDiv w:val="1"/>
      <w:marLeft w:val="0"/>
      <w:marRight w:val="0"/>
      <w:marTop w:val="0"/>
      <w:marBottom w:val="0"/>
      <w:divBdr>
        <w:top w:val="none" w:sz="0" w:space="0" w:color="auto"/>
        <w:left w:val="none" w:sz="0" w:space="0" w:color="auto"/>
        <w:bottom w:val="none" w:sz="0" w:space="0" w:color="auto"/>
        <w:right w:val="none" w:sz="0" w:space="0" w:color="auto"/>
      </w:divBdr>
      <w:divsChild>
        <w:div w:id="478151916">
          <w:marLeft w:val="0"/>
          <w:marRight w:val="0"/>
          <w:marTop w:val="0"/>
          <w:marBottom w:val="0"/>
          <w:divBdr>
            <w:top w:val="none" w:sz="0" w:space="0" w:color="auto"/>
            <w:left w:val="none" w:sz="0" w:space="0" w:color="auto"/>
            <w:bottom w:val="none" w:sz="0" w:space="0" w:color="auto"/>
            <w:right w:val="none" w:sz="0" w:space="0" w:color="auto"/>
          </w:divBdr>
        </w:div>
        <w:div w:id="1299530285">
          <w:marLeft w:val="0"/>
          <w:marRight w:val="0"/>
          <w:marTop w:val="0"/>
          <w:marBottom w:val="0"/>
          <w:divBdr>
            <w:top w:val="none" w:sz="0" w:space="0" w:color="auto"/>
            <w:left w:val="none" w:sz="0" w:space="0" w:color="auto"/>
            <w:bottom w:val="none" w:sz="0" w:space="0" w:color="auto"/>
            <w:right w:val="none" w:sz="0" w:space="0" w:color="auto"/>
          </w:divBdr>
        </w:div>
        <w:div w:id="1256093893">
          <w:marLeft w:val="0"/>
          <w:marRight w:val="0"/>
          <w:marTop w:val="0"/>
          <w:marBottom w:val="0"/>
          <w:divBdr>
            <w:top w:val="none" w:sz="0" w:space="0" w:color="auto"/>
            <w:left w:val="none" w:sz="0" w:space="0" w:color="auto"/>
            <w:bottom w:val="none" w:sz="0" w:space="0" w:color="auto"/>
            <w:right w:val="none" w:sz="0" w:space="0" w:color="auto"/>
          </w:divBdr>
        </w:div>
        <w:div w:id="1486510712">
          <w:marLeft w:val="0"/>
          <w:marRight w:val="0"/>
          <w:marTop w:val="0"/>
          <w:marBottom w:val="0"/>
          <w:divBdr>
            <w:top w:val="none" w:sz="0" w:space="0" w:color="auto"/>
            <w:left w:val="none" w:sz="0" w:space="0" w:color="auto"/>
            <w:bottom w:val="none" w:sz="0" w:space="0" w:color="auto"/>
            <w:right w:val="none" w:sz="0" w:space="0" w:color="auto"/>
          </w:divBdr>
        </w:div>
        <w:div w:id="1040126896">
          <w:marLeft w:val="0"/>
          <w:marRight w:val="0"/>
          <w:marTop w:val="0"/>
          <w:marBottom w:val="0"/>
          <w:divBdr>
            <w:top w:val="none" w:sz="0" w:space="0" w:color="auto"/>
            <w:left w:val="none" w:sz="0" w:space="0" w:color="auto"/>
            <w:bottom w:val="none" w:sz="0" w:space="0" w:color="auto"/>
            <w:right w:val="none" w:sz="0" w:space="0" w:color="auto"/>
          </w:divBdr>
        </w:div>
        <w:div w:id="1113868194">
          <w:marLeft w:val="0"/>
          <w:marRight w:val="0"/>
          <w:marTop w:val="0"/>
          <w:marBottom w:val="0"/>
          <w:divBdr>
            <w:top w:val="none" w:sz="0" w:space="0" w:color="auto"/>
            <w:left w:val="none" w:sz="0" w:space="0" w:color="auto"/>
            <w:bottom w:val="none" w:sz="0" w:space="0" w:color="auto"/>
            <w:right w:val="none" w:sz="0" w:space="0" w:color="auto"/>
          </w:divBdr>
        </w:div>
        <w:div w:id="832524537">
          <w:marLeft w:val="0"/>
          <w:marRight w:val="0"/>
          <w:marTop w:val="0"/>
          <w:marBottom w:val="0"/>
          <w:divBdr>
            <w:top w:val="none" w:sz="0" w:space="0" w:color="auto"/>
            <w:left w:val="none" w:sz="0" w:space="0" w:color="auto"/>
            <w:bottom w:val="none" w:sz="0" w:space="0" w:color="auto"/>
            <w:right w:val="none" w:sz="0" w:space="0" w:color="auto"/>
          </w:divBdr>
        </w:div>
        <w:div w:id="1932738786">
          <w:marLeft w:val="0"/>
          <w:marRight w:val="0"/>
          <w:marTop w:val="0"/>
          <w:marBottom w:val="0"/>
          <w:divBdr>
            <w:top w:val="none" w:sz="0" w:space="0" w:color="auto"/>
            <w:left w:val="none" w:sz="0" w:space="0" w:color="auto"/>
            <w:bottom w:val="none" w:sz="0" w:space="0" w:color="auto"/>
            <w:right w:val="none" w:sz="0" w:space="0" w:color="auto"/>
          </w:divBdr>
        </w:div>
        <w:div w:id="995306605">
          <w:marLeft w:val="0"/>
          <w:marRight w:val="0"/>
          <w:marTop w:val="0"/>
          <w:marBottom w:val="0"/>
          <w:divBdr>
            <w:top w:val="none" w:sz="0" w:space="0" w:color="auto"/>
            <w:left w:val="none" w:sz="0" w:space="0" w:color="auto"/>
            <w:bottom w:val="none" w:sz="0" w:space="0" w:color="auto"/>
            <w:right w:val="none" w:sz="0" w:space="0" w:color="auto"/>
          </w:divBdr>
        </w:div>
        <w:div w:id="1951427808">
          <w:marLeft w:val="0"/>
          <w:marRight w:val="0"/>
          <w:marTop w:val="0"/>
          <w:marBottom w:val="0"/>
          <w:divBdr>
            <w:top w:val="none" w:sz="0" w:space="0" w:color="auto"/>
            <w:left w:val="none" w:sz="0" w:space="0" w:color="auto"/>
            <w:bottom w:val="none" w:sz="0" w:space="0" w:color="auto"/>
            <w:right w:val="none" w:sz="0" w:space="0" w:color="auto"/>
          </w:divBdr>
        </w:div>
        <w:div w:id="1923220153">
          <w:marLeft w:val="0"/>
          <w:marRight w:val="0"/>
          <w:marTop w:val="0"/>
          <w:marBottom w:val="0"/>
          <w:divBdr>
            <w:top w:val="none" w:sz="0" w:space="0" w:color="auto"/>
            <w:left w:val="none" w:sz="0" w:space="0" w:color="auto"/>
            <w:bottom w:val="none" w:sz="0" w:space="0" w:color="auto"/>
            <w:right w:val="none" w:sz="0" w:space="0" w:color="auto"/>
          </w:divBdr>
        </w:div>
        <w:div w:id="1820994560">
          <w:marLeft w:val="0"/>
          <w:marRight w:val="0"/>
          <w:marTop w:val="0"/>
          <w:marBottom w:val="0"/>
          <w:divBdr>
            <w:top w:val="none" w:sz="0" w:space="0" w:color="auto"/>
            <w:left w:val="none" w:sz="0" w:space="0" w:color="auto"/>
            <w:bottom w:val="none" w:sz="0" w:space="0" w:color="auto"/>
            <w:right w:val="none" w:sz="0" w:space="0" w:color="auto"/>
          </w:divBdr>
        </w:div>
      </w:divsChild>
    </w:div>
    <w:div w:id="260921091">
      <w:bodyDiv w:val="1"/>
      <w:marLeft w:val="0"/>
      <w:marRight w:val="0"/>
      <w:marTop w:val="0"/>
      <w:marBottom w:val="0"/>
      <w:divBdr>
        <w:top w:val="none" w:sz="0" w:space="0" w:color="auto"/>
        <w:left w:val="none" w:sz="0" w:space="0" w:color="auto"/>
        <w:bottom w:val="none" w:sz="0" w:space="0" w:color="auto"/>
        <w:right w:val="none" w:sz="0" w:space="0" w:color="auto"/>
      </w:divBdr>
    </w:div>
    <w:div w:id="283318093">
      <w:bodyDiv w:val="1"/>
      <w:marLeft w:val="0"/>
      <w:marRight w:val="0"/>
      <w:marTop w:val="0"/>
      <w:marBottom w:val="0"/>
      <w:divBdr>
        <w:top w:val="none" w:sz="0" w:space="0" w:color="auto"/>
        <w:left w:val="none" w:sz="0" w:space="0" w:color="auto"/>
        <w:bottom w:val="none" w:sz="0" w:space="0" w:color="auto"/>
        <w:right w:val="none" w:sz="0" w:space="0" w:color="auto"/>
      </w:divBdr>
      <w:divsChild>
        <w:div w:id="1392267113">
          <w:marLeft w:val="0"/>
          <w:marRight w:val="0"/>
          <w:marTop w:val="0"/>
          <w:marBottom w:val="0"/>
          <w:divBdr>
            <w:top w:val="none" w:sz="0" w:space="0" w:color="auto"/>
            <w:left w:val="none" w:sz="0" w:space="0" w:color="auto"/>
            <w:bottom w:val="none" w:sz="0" w:space="0" w:color="auto"/>
            <w:right w:val="none" w:sz="0" w:space="0" w:color="auto"/>
          </w:divBdr>
        </w:div>
        <w:div w:id="325212997">
          <w:marLeft w:val="0"/>
          <w:marRight w:val="0"/>
          <w:marTop w:val="0"/>
          <w:marBottom w:val="0"/>
          <w:divBdr>
            <w:top w:val="none" w:sz="0" w:space="0" w:color="auto"/>
            <w:left w:val="none" w:sz="0" w:space="0" w:color="auto"/>
            <w:bottom w:val="none" w:sz="0" w:space="0" w:color="auto"/>
            <w:right w:val="none" w:sz="0" w:space="0" w:color="auto"/>
          </w:divBdr>
        </w:div>
        <w:div w:id="468863938">
          <w:marLeft w:val="0"/>
          <w:marRight w:val="0"/>
          <w:marTop w:val="0"/>
          <w:marBottom w:val="0"/>
          <w:divBdr>
            <w:top w:val="none" w:sz="0" w:space="0" w:color="auto"/>
            <w:left w:val="none" w:sz="0" w:space="0" w:color="auto"/>
            <w:bottom w:val="none" w:sz="0" w:space="0" w:color="auto"/>
            <w:right w:val="none" w:sz="0" w:space="0" w:color="auto"/>
          </w:divBdr>
        </w:div>
        <w:div w:id="2069497399">
          <w:marLeft w:val="0"/>
          <w:marRight w:val="0"/>
          <w:marTop w:val="0"/>
          <w:marBottom w:val="0"/>
          <w:divBdr>
            <w:top w:val="none" w:sz="0" w:space="0" w:color="auto"/>
            <w:left w:val="none" w:sz="0" w:space="0" w:color="auto"/>
            <w:bottom w:val="none" w:sz="0" w:space="0" w:color="auto"/>
            <w:right w:val="none" w:sz="0" w:space="0" w:color="auto"/>
          </w:divBdr>
        </w:div>
        <w:div w:id="2011322501">
          <w:marLeft w:val="0"/>
          <w:marRight w:val="0"/>
          <w:marTop w:val="0"/>
          <w:marBottom w:val="0"/>
          <w:divBdr>
            <w:top w:val="none" w:sz="0" w:space="0" w:color="auto"/>
            <w:left w:val="none" w:sz="0" w:space="0" w:color="auto"/>
            <w:bottom w:val="none" w:sz="0" w:space="0" w:color="auto"/>
            <w:right w:val="none" w:sz="0" w:space="0" w:color="auto"/>
          </w:divBdr>
        </w:div>
        <w:div w:id="2097289819">
          <w:marLeft w:val="0"/>
          <w:marRight w:val="0"/>
          <w:marTop w:val="0"/>
          <w:marBottom w:val="0"/>
          <w:divBdr>
            <w:top w:val="none" w:sz="0" w:space="0" w:color="auto"/>
            <w:left w:val="none" w:sz="0" w:space="0" w:color="auto"/>
            <w:bottom w:val="none" w:sz="0" w:space="0" w:color="auto"/>
            <w:right w:val="none" w:sz="0" w:space="0" w:color="auto"/>
          </w:divBdr>
        </w:div>
        <w:div w:id="493951987">
          <w:marLeft w:val="0"/>
          <w:marRight w:val="0"/>
          <w:marTop w:val="0"/>
          <w:marBottom w:val="0"/>
          <w:divBdr>
            <w:top w:val="none" w:sz="0" w:space="0" w:color="auto"/>
            <w:left w:val="none" w:sz="0" w:space="0" w:color="auto"/>
            <w:bottom w:val="none" w:sz="0" w:space="0" w:color="auto"/>
            <w:right w:val="none" w:sz="0" w:space="0" w:color="auto"/>
          </w:divBdr>
        </w:div>
        <w:div w:id="929848976">
          <w:marLeft w:val="0"/>
          <w:marRight w:val="0"/>
          <w:marTop w:val="0"/>
          <w:marBottom w:val="0"/>
          <w:divBdr>
            <w:top w:val="none" w:sz="0" w:space="0" w:color="auto"/>
            <w:left w:val="none" w:sz="0" w:space="0" w:color="auto"/>
            <w:bottom w:val="none" w:sz="0" w:space="0" w:color="auto"/>
            <w:right w:val="none" w:sz="0" w:space="0" w:color="auto"/>
          </w:divBdr>
        </w:div>
        <w:div w:id="1490636332">
          <w:marLeft w:val="0"/>
          <w:marRight w:val="0"/>
          <w:marTop w:val="0"/>
          <w:marBottom w:val="0"/>
          <w:divBdr>
            <w:top w:val="none" w:sz="0" w:space="0" w:color="auto"/>
            <w:left w:val="none" w:sz="0" w:space="0" w:color="auto"/>
            <w:bottom w:val="none" w:sz="0" w:space="0" w:color="auto"/>
            <w:right w:val="none" w:sz="0" w:space="0" w:color="auto"/>
          </w:divBdr>
        </w:div>
        <w:div w:id="526480564">
          <w:marLeft w:val="0"/>
          <w:marRight w:val="0"/>
          <w:marTop w:val="0"/>
          <w:marBottom w:val="0"/>
          <w:divBdr>
            <w:top w:val="none" w:sz="0" w:space="0" w:color="auto"/>
            <w:left w:val="none" w:sz="0" w:space="0" w:color="auto"/>
            <w:bottom w:val="none" w:sz="0" w:space="0" w:color="auto"/>
            <w:right w:val="none" w:sz="0" w:space="0" w:color="auto"/>
          </w:divBdr>
        </w:div>
        <w:div w:id="989479625">
          <w:marLeft w:val="0"/>
          <w:marRight w:val="0"/>
          <w:marTop w:val="0"/>
          <w:marBottom w:val="0"/>
          <w:divBdr>
            <w:top w:val="none" w:sz="0" w:space="0" w:color="auto"/>
            <w:left w:val="none" w:sz="0" w:space="0" w:color="auto"/>
            <w:bottom w:val="none" w:sz="0" w:space="0" w:color="auto"/>
            <w:right w:val="none" w:sz="0" w:space="0" w:color="auto"/>
          </w:divBdr>
        </w:div>
        <w:div w:id="584846841">
          <w:marLeft w:val="0"/>
          <w:marRight w:val="0"/>
          <w:marTop w:val="0"/>
          <w:marBottom w:val="0"/>
          <w:divBdr>
            <w:top w:val="none" w:sz="0" w:space="0" w:color="auto"/>
            <w:left w:val="none" w:sz="0" w:space="0" w:color="auto"/>
            <w:bottom w:val="none" w:sz="0" w:space="0" w:color="auto"/>
            <w:right w:val="none" w:sz="0" w:space="0" w:color="auto"/>
          </w:divBdr>
        </w:div>
      </w:divsChild>
    </w:div>
    <w:div w:id="294067015">
      <w:bodyDiv w:val="1"/>
      <w:marLeft w:val="0"/>
      <w:marRight w:val="0"/>
      <w:marTop w:val="0"/>
      <w:marBottom w:val="0"/>
      <w:divBdr>
        <w:top w:val="none" w:sz="0" w:space="0" w:color="auto"/>
        <w:left w:val="none" w:sz="0" w:space="0" w:color="auto"/>
        <w:bottom w:val="none" w:sz="0" w:space="0" w:color="auto"/>
        <w:right w:val="none" w:sz="0" w:space="0" w:color="auto"/>
      </w:divBdr>
      <w:divsChild>
        <w:div w:id="49424951">
          <w:marLeft w:val="0"/>
          <w:marRight w:val="0"/>
          <w:marTop w:val="0"/>
          <w:marBottom w:val="0"/>
          <w:divBdr>
            <w:top w:val="none" w:sz="0" w:space="0" w:color="auto"/>
            <w:left w:val="none" w:sz="0" w:space="0" w:color="auto"/>
            <w:bottom w:val="none" w:sz="0" w:space="0" w:color="auto"/>
            <w:right w:val="none" w:sz="0" w:space="0" w:color="auto"/>
          </w:divBdr>
        </w:div>
        <w:div w:id="335621638">
          <w:marLeft w:val="0"/>
          <w:marRight w:val="0"/>
          <w:marTop w:val="0"/>
          <w:marBottom w:val="0"/>
          <w:divBdr>
            <w:top w:val="none" w:sz="0" w:space="0" w:color="auto"/>
            <w:left w:val="none" w:sz="0" w:space="0" w:color="auto"/>
            <w:bottom w:val="none" w:sz="0" w:space="0" w:color="auto"/>
            <w:right w:val="none" w:sz="0" w:space="0" w:color="auto"/>
          </w:divBdr>
        </w:div>
        <w:div w:id="1049651352">
          <w:marLeft w:val="0"/>
          <w:marRight w:val="0"/>
          <w:marTop w:val="0"/>
          <w:marBottom w:val="0"/>
          <w:divBdr>
            <w:top w:val="none" w:sz="0" w:space="0" w:color="auto"/>
            <w:left w:val="none" w:sz="0" w:space="0" w:color="auto"/>
            <w:bottom w:val="none" w:sz="0" w:space="0" w:color="auto"/>
            <w:right w:val="none" w:sz="0" w:space="0" w:color="auto"/>
          </w:divBdr>
        </w:div>
        <w:div w:id="1185171723">
          <w:marLeft w:val="0"/>
          <w:marRight w:val="0"/>
          <w:marTop w:val="0"/>
          <w:marBottom w:val="0"/>
          <w:divBdr>
            <w:top w:val="none" w:sz="0" w:space="0" w:color="auto"/>
            <w:left w:val="none" w:sz="0" w:space="0" w:color="auto"/>
            <w:bottom w:val="none" w:sz="0" w:space="0" w:color="auto"/>
            <w:right w:val="none" w:sz="0" w:space="0" w:color="auto"/>
          </w:divBdr>
        </w:div>
        <w:div w:id="908537451">
          <w:marLeft w:val="0"/>
          <w:marRight w:val="0"/>
          <w:marTop w:val="0"/>
          <w:marBottom w:val="0"/>
          <w:divBdr>
            <w:top w:val="none" w:sz="0" w:space="0" w:color="auto"/>
            <w:left w:val="none" w:sz="0" w:space="0" w:color="auto"/>
            <w:bottom w:val="none" w:sz="0" w:space="0" w:color="auto"/>
            <w:right w:val="none" w:sz="0" w:space="0" w:color="auto"/>
          </w:divBdr>
        </w:div>
        <w:div w:id="1507985816">
          <w:marLeft w:val="0"/>
          <w:marRight w:val="0"/>
          <w:marTop w:val="0"/>
          <w:marBottom w:val="0"/>
          <w:divBdr>
            <w:top w:val="none" w:sz="0" w:space="0" w:color="auto"/>
            <w:left w:val="none" w:sz="0" w:space="0" w:color="auto"/>
            <w:bottom w:val="none" w:sz="0" w:space="0" w:color="auto"/>
            <w:right w:val="none" w:sz="0" w:space="0" w:color="auto"/>
          </w:divBdr>
        </w:div>
        <w:div w:id="384373300">
          <w:marLeft w:val="0"/>
          <w:marRight w:val="0"/>
          <w:marTop w:val="0"/>
          <w:marBottom w:val="0"/>
          <w:divBdr>
            <w:top w:val="none" w:sz="0" w:space="0" w:color="auto"/>
            <w:left w:val="none" w:sz="0" w:space="0" w:color="auto"/>
            <w:bottom w:val="none" w:sz="0" w:space="0" w:color="auto"/>
            <w:right w:val="none" w:sz="0" w:space="0" w:color="auto"/>
          </w:divBdr>
        </w:div>
        <w:div w:id="1590697466">
          <w:marLeft w:val="0"/>
          <w:marRight w:val="0"/>
          <w:marTop w:val="0"/>
          <w:marBottom w:val="0"/>
          <w:divBdr>
            <w:top w:val="none" w:sz="0" w:space="0" w:color="auto"/>
            <w:left w:val="none" w:sz="0" w:space="0" w:color="auto"/>
            <w:bottom w:val="none" w:sz="0" w:space="0" w:color="auto"/>
            <w:right w:val="none" w:sz="0" w:space="0" w:color="auto"/>
          </w:divBdr>
        </w:div>
      </w:divsChild>
    </w:div>
    <w:div w:id="362443253">
      <w:bodyDiv w:val="1"/>
      <w:marLeft w:val="0"/>
      <w:marRight w:val="0"/>
      <w:marTop w:val="0"/>
      <w:marBottom w:val="0"/>
      <w:divBdr>
        <w:top w:val="none" w:sz="0" w:space="0" w:color="auto"/>
        <w:left w:val="none" w:sz="0" w:space="0" w:color="auto"/>
        <w:bottom w:val="none" w:sz="0" w:space="0" w:color="auto"/>
        <w:right w:val="none" w:sz="0" w:space="0" w:color="auto"/>
      </w:divBdr>
      <w:divsChild>
        <w:div w:id="1653099769">
          <w:marLeft w:val="0"/>
          <w:marRight w:val="0"/>
          <w:marTop w:val="0"/>
          <w:marBottom w:val="0"/>
          <w:divBdr>
            <w:top w:val="none" w:sz="0" w:space="0" w:color="auto"/>
            <w:left w:val="none" w:sz="0" w:space="0" w:color="auto"/>
            <w:bottom w:val="none" w:sz="0" w:space="0" w:color="auto"/>
            <w:right w:val="none" w:sz="0" w:space="0" w:color="auto"/>
          </w:divBdr>
        </w:div>
        <w:div w:id="2242159">
          <w:marLeft w:val="0"/>
          <w:marRight w:val="0"/>
          <w:marTop w:val="0"/>
          <w:marBottom w:val="0"/>
          <w:divBdr>
            <w:top w:val="none" w:sz="0" w:space="0" w:color="auto"/>
            <w:left w:val="none" w:sz="0" w:space="0" w:color="auto"/>
            <w:bottom w:val="none" w:sz="0" w:space="0" w:color="auto"/>
            <w:right w:val="none" w:sz="0" w:space="0" w:color="auto"/>
          </w:divBdr>
        </w:div>
        <w:div w:id="1794014672">
          <w:marLeft w:val="0"/>
          <w:marRight w:val="0"/>
          <w:marTop w:val="0"/>
          <w:marBottom w:val="0"/>
          <w:divBdr>
            <w:top w:val="none" w:sz="0" w:space="0" w:color="auto"/>
            <w:left w:val="none" w:sz="0" w:space="0" w:color="auto"/>
            <w:bottom w:val="none" w:sz="0" w:space="0" w:color="auto"/>
            <w:right w:val="none" w:sz="0" w:space="0" w:color="auto"/>
          </w:divBdr>
        </w:div>
        <w:div w:id="1000037589">
          <w:marLeft w:val="0"/>
          <w:marRight w:val="0"/>
          <w:marTop w:val="0"/>
          <w:marBottom w:val="0"/>
          <w:divBdr>
            <w:top w:val="none" w:sz="0" w:space="0" w:color="auto"/>
            <w:left w:val="none" w:sz="0" w:space="0" w:color="auto"/>
            <w:bottom w:val="none" w:sz="0" w:space="0" w:color="auto"/>
            <w:right w:val="none" w:sz="0" w:space="0" w:color="auto"/>
          </w:divBdr>
        </w:div>
        <w:div w:id="2052613568">
          <w:marLeft w:val="0"/>
          <w:marRight w:val="0"/>
          <w:marTop w:val="0"/>
          <w:marBottom w:val="0"/>
          <w:divBdr>
            <w:top w:val="none" w:sz="0" w:space="0" w:color="auto"/>
            <w:left w:val="none" w:sz="0" w:space="0" w:color="auto"/>
            <w:bottom w:val="none" w:sz="0" w:space="0" w:color="auto"/>
            <w:right w:val="none" w:sz="0" w:space="0" w:color="auto"/>
          </w:divBdr>
        </w:div>
      </w:divsChild>
    </w:div>
    <w:div w:id="380590705">
      <w:bodyDiv w:val="1"/>
      <w:marLeft w:val="0"/>
      <w:marRight w:val="0"/>
      <w:marTop w:val="0"/>
      <w:marBottom w:val="0"/>
      <w:divBdr>
        <w:top w:val="none" w:sz="0" w:space="0" w:color="auto"/>
        <w:left w:val="none" w:sz="0" w:space="0" w:color="auto"/>
        <w:bottom w:val="none" w:sz="0" w:space="0" w:color="auto"/>
        <w:right w:val="none" w:sz="0" w:space="0" w:color="auto"/>
      </w:divBdr>
      <w:divsChild>
        <w:div w:id="1697536523">
          <w:marLeft w:val="0"/>
          <w:marRight w:val="0"/>
          <w:marTop w:val="0"/>
          <w:marBottom w:val="0"/>
          <w:divBdr>
            <w:top w:val="none" w:sz="0" w:space="0" w:color="auto"/>
            <w:left w:val="none" w:sz="0" w:space="0" w:color="auto"/>
            <w:bottom w:val="none" w:sz="0" w:space="0" w:color="auto"/>
            <w:right w:val="none" w:sz="0" w:space="0" w:color="auto"/>
          </w:divBdr>
        </w:div>
        <w:div w:id="1986817045">
          <w:marLeft w:val="0"/>
          <w:marRight w:val="0"/>
          <w:marTop w:val="0"/>
          <w:marBottom w:val="0"/>
          <w:divBdr>
            <w:top w:val="none" w:sz="0" w:space="0" w:color="auto"/>
            <w:left w:val="none" w:sz="0" w:space="0" w:color="auto"/>
            <w:bottom w:val="none" w:sz="0" w:space="0" w:color="auto"/>
            <w:right w:val="none" w:sz="0" w:space="0" w:color="auto"/>
          </w:divBdr>
        </w:div>
        <w:div w:id="2125613085">
          <w:marLeft w:val="0"/>
          <w:marRight w:val="0"/>
          <w:marTop w:val="0"/>
          <w:marBottom w:val="0"/>
          <w:divBdr>
            <w:top w:val="none" w:sz="0" w:space="0" w:color="auto"/>
            <w:left w:val="none" w:sz="0" w:space="0" w:color="auto"/>
            <w:bottom w:val="none" w:sz="0" w:space="0" w:color="auto"/>
            <w:right w:val="none" w:sz="0" w:space="0" w:color="auto"/>
          </w:divBdr>
        </w:div>
      </w:divsChild>
    </w:div>
    <w:div w:id="435322871">
      <w:bodyDiv w:val="1"/>
      <w:marLeft w:val="0"/>
      <w:marRight w:val="0"/>
      <w:marTop w:val="0"/>
      <w:marBottom w:val="0"/>
      <w:divBdr>
        <w:top w:val="none" w:sz="0" w:space="0" w:color="auto"/>
        <w:left w:val="none" w:sz="0" w:space="0" w:color="auto"/>
        <w:bottom w:val="none" w:sz="0" w:space="0" w:color="auto"/>
        <w:right w:val="none" w:sz="0" w:space="0" w:color="auto"/>
      </w:divBdr>
    </w:div>
    <w:div w:id="443505200">
      <w:bodyDiv w:val="1"/>
      <w:marLeft w:val="0"/>
      <w:marRight w:val="0"/>
      <w:marTop w:val="0"/>
      <w:marBottom w:val="0"/>
      <w:divBdr>
        <w:top w:val="none" w:sz="0" w:space="0" w:color="auto"/>
        <w:left w:val="none" w:sz="0" w:space="0" w:color="auto"/>
        <w:bottom w:val="none" w:sz="0" w:space="0" w:color="auto"/>
        <w:right w:val="none" w:sz="0" w:space="0" w:color="auto"/>
      </w:divBdr>
      <w:divsChild>
        <w:div w:id="1446851615">
          <w:marLeft w:val="0"/>
          <w:marRight w:val="0"/>
          <w:marTop w:val="0"/>
          <w:marBottom w:val="0"/>
          <w:divBdr>
            <w:top w:val="none" w:sz="0" w:space="0" w:color="auto"/>
            <w:left w:val="none" w:sz="0" w:space="0" w:color="auto"/>
            <w:bottom w:val="none" w:sz="0" w:space="0" w:color="auto"/>
            <w:right w:val="none" w:sz="0" w:space="0" w:color="auto"/>
          </w:divBdr>
        </w:div>
      </w:divsChild>
    </w:div>
    <w:div w:id="443884066">
      <w:bodyDiv w:val="1"/>
      <w:marLeft w:val="0"/>
      <w:marRight w:val="0"/>
      <w:marTop w:val="0"/>
      <w:marBottom w:val="0"/>
      <w:divBdr>
        <w:top w:val="none" w:sz="0" w:space="0" w:color="auto"/>
        <w:left w:val="none" w:sz="0" w:space="0" w:color="auto"/>
        <w:bottom w:val="none" w:sz="0" w:space="0" w:color="auto"/>
        <w:right w:val="none" w:sz="0" w:space="0" w:color="auto"/>
      </w:divBdr>
    </w:div>
    <w:div w:id="462191685">
      <w:bodyDiv w:val="1"/>
      <w:marLeft w:val="0"/>
      <w:marRight w:val="0"/>
      <w:marTop w:val="0"/>
      <w:marBottom w:val="0"/>
      <w:divBdr>
        <w:top w:val="none" w:sz="0" w:space="0" w:color="auto"/>
        <w:left w:val="none" w:sz="0" w:space="0" w:color="auto"/>
        <w:bottom w:val="none" w:sz="0" w:space="0" w:color="auto"/>
        <w:right w:val="none" w:sz="0" w:space="0" w:color="auto"/>
      </w:divBdr>
      <w:divsChild>
        <w:div w:id="273556219">
          <w:marLeft w:val="0"/>
          <w:marRight w:val="0"/>
          <w:marTop w:val="0"/>
          <w:marBottom w:val="0"/>
          <w:divBdr>
            <w:top w:val="none" w:sz="0" w:space="0" w:color="auto"/>
            <w:left w:val="none" w:sz="0" w:space="0" w:color="auto"/>
            <w:bottom w:val="none" w:sz="0" w:space="0" w:color="auto"/>
            <w:right w:val="none" w:sz="0" w:space="0" w:color="auto"/>
          </w:divBdr>
          <w:divsChild>
            <w:div w:id="1635216920">
              <w:marLeft w:val="0"/>
              <w:marRight w:val="0"/>
              <w:marTop w:val="0"/>
              <w:marBottom w:val="0"/>
              <w:divBdr>
                <w:top w:val="none" w:sz="0" w:space="0" w:color="auto"/>
                <w:left w:val="none" w:sz="0" w:space="0" w:color="auto"/>
                <w:bottom w:val="none" w:sz="0" w:space="0" w:color="auto"/>
                <w:right w:val="none" w:sz="0" w:space="0" w:color="auto"/>
              </w:divBdr>
            </w:div>
            <w:div w:id="935595508">
              <w:marLeft w:val="0"/>
              <w:marRight w:val="0"/>
              <w:marTop w:val="0"/>
              <w:marBottom w:val="0"/>
              <w:divBdr>
                <w:top w:val="none" w:sz="0" w:space="0" w:color="auto"/>
                <w:left w:val="none" w:sz="0" w:space="0" w:color="auto"/>
                <w:bottom w:val="none" w:sz="0" w:space="0" w:color="auto"/>
                <w:right w:val="none" w:sz="0" w:space="0" w:color="auto"/>
              </w:divBdr>
            </w:div>
            <w:div w:id="1535271174">
              <w:marLeft w:val="0"/>
              <w:marRight w:val="0"/>
              <w:marTop w:val="0"/>
              <w:marBottom w:val="0"/>
              <w:divBdr>
                <w:top w:val="none" w:sz="0" w:space="0" w:color="auto"/>
                <w:left w:val="none" w:sz="0" w:space="0" w:color="auto"/>
                <w:bottom w:val="none" w:sz="0" w:space="0" w:color="auto"/>
                <w:right w:val="none" w:sz="0" w:space="0" w:color="auto"/>
              </w:divBdr>
            </w:div>
            <w:div w:id="1278827037">
              <w:marLeft w:val="0"/>
              <w:marRight w:val="0"/>
              <w:marTop w:val="0"/>
              <w:marBottom w:val="0"/>
              <w:divBdr>
                <w:top w:val="none" w:sz="0" w:space="0" w:color="auto"/>
                <w:left w:val="none" w:sz="0" w:space="0" w:color="auto"/>
                <w:bottom w:val="none" w:sz="0" w:space="0" w:color="auto"/>
                <w:right w:val="none" w:sz="0" w:space="0" w:color="auto"/>
              </w:divBdr>
            </w:div>
            <w:div w:id="873078914">
              <w:marLeft w:val="0"/>
              <w:marRight w:val="0"/>
              <w:marTop w:val="0"/>
              <w:marBottom w:val="0"/>
              <w:divBdr>
                <w:top w:val="none" w:sz="0" w:space="0" w:color="auto"/>
                <w:left w:val="none" w:sz="0" w:space="0" w:color="auto"/>
                <w:bottom w:val="none" w:sz="0" w:space="0" w:color="auto"/>
                <w:right w:val="none" w:sz="0" w:space="0" w:color="auto"/>
              </w:divBdr>
            </w:div>
            <w:div w:id="932058060">
              <w:marLeft w:val="0"/>
              <w:marRight w:val="0"/>
              <w:marTop w:val="0"/>
              <w:marBottom w:val="0"/>
              <w:divBdr>
                <w:top w:val="none" w:sz="0" w:space="0" w:color="auto"/>
                <w:left w:val="none" w:sz="0" w:space="0" w:color="auto"/>
                <w:bottom w:val="none" w:sz="0" w:space="0" w:color="auto"/>
                <w:right w:val="none" w:sz="0" w:space="0" w:color="auto"/>
              </w:divBdr>
            </w:div>
            <w:div w:id="113446154">
              <w:marLeft w:val="0"/>
              <w:marRight w:val="0"/>
              <w:marTop w:val="0"/>
              <w:marBottom w:val="0"/>
              <w:divBdr>
                <w:top w:val="none" w:sz="0" w:space="0" w:color="auto"/>
                <w:left w:val="none" w:sz="0" w:space="0" w:color="auto"/>
                <w:bottom w:val="none" w:sz="0" w:space="0" w:color="auto"/>
                <w:right w:val="none" w:sz="0" w:space="0" w:color="auto"/>
              </w:divBdr>
            </w:div>
            <w:div w:id="1339700351">
              <w:marLeft w:val="0"/>
              <w:marRight w:val="0"/>
              <w:marTop w:val="0"/>
              <w:marBottom w:val="0"/>
              <w:divBdr>
                <w:top w:val="none" w:sz="0" w:space="0" w:color="auto"/>
                <w:left w:val="none" w:sz="0" w:space="0" w:color="auto"/>
                <w:bottom w:val="none" w:sz="0" w:space="0" w:color="auto"/>
                <w:right w:val="none" w:sz="0" w:space="0" w:color="auto"/>
              </w:divBdr>
            </w:div>
            <w:div w:id="1961447813">
              <w:marLeft w:val="0"/>
              <w:marRight w:val="0"/>
              <w:marTop w:val="0"/>
              <w:marBottom w:val="0"/>
              <w:divBdr>
                <w:top w:val="none" w:sz="0" w:space="0" w:color="auto"/>
                <w:left w:val="none" w:sz="0" w:space="0" w:color="auto"/>
                <w:bottom w:val="none" w:sz="0" w:space="0" w:color="auto"/>
                <w:right w:val="none" w:sz="0" w:space="0" w:color="auto"/>
              </w:divBdr>
            </w:div>
            <w:div w:id="1907452378">
              <w:marLeft w:val="0"/>
              <w:marRight w:val="0"/>
              <w:marTop w:val="0"/>
              <w:marBottom w:val="0"/>
              <w:divBdr>
                <w:top w:val="none" w:sz="0" w:space="0" w:color="auto"/>
                <w:left w:val="none" w:sz="0" w:space="0" w:color="auto"/>
                <w:bottom w:val="none" w:sz="0" w:space="0" w:color="auto"/>
                <w:right w:val="none" w:sz="0" w:space="0" w:color="auto"/>
              </w:divBdr>
            </w:div>
            <w:div w:id="103769102">
              <w:marLeft w:val="0"/>
              <w:marRight w:val="0"/>
              <w:marTop w:val="0"/>
              <w:marBottom w:val="0"/>
              <w:divBdr>
                <w:top w:val="none" w:sz="0" w:space="0" w:color="auto"/>
                <w:left w:val="none" w:sz="0" w:space="0" w:color="auto"/>
                <w:bottom w:val="none" w:sz="0" w:space="0" w:color="auto"/>
                <w:right w:val="none" w:sz="0" w:space="0" w:color="auto"/>
              </w:divBdr>
            </w:div>
            <w:div w:id="93089875">
              <w:marLeft w:val="0"/>
              <w:marRight w:val="0"/>
              <w:marTop w:val="0"/>
              <w:marBottom w:val="0"/>
              <w:divBdr>
                <w:top w:val="none" w:sz="0" w:space="0" w:color="auto"/>
                <w:left w:val="none" w:sz="0" w:space="0" w:color="auto"/>
                <w:bottom w:val="none" w:sz="0" w:space="0" w:color="auto"/>
                <w:right w:val="none" w:sz="0" w:space="0" w:color="auto"/>
              </w:divBdr>
            </w:div>
            <w:div w:id="1491410408">
              <w:marLeft w:val="0"/>
              <w:marRight w:val="0"/>
              <w:marTop w:val="0"/>
              <w:marBottom w:val="0"/>
              <w:divBdr>
                <w:top w:val="none" w:sz="0" w:space="0" w:color="auto"/>
                <w:left w:val="none" w:sz="0" w:space="0" w:color="auto"/>
                <w:bottom w:val="none" w:sz="0" w:space="0" w:color="auto"/>
                <w:right w:val="none" w:sz="0" w:space="0" w:color="auto"/>
              </w:divBdr>
            </w:div>
            <w:div w:id="1575552484">
              <w:marLeft w:val="0"/>
              <w:marRight w:val="0"/>
              <w:marTop w:val="0"/>
              <w:marBottom w:val="0"/>
              <w:divBdr>
                <w:top w:val="none" w:sz="0" w:space="0" w:color="auto"/>
                <w:left w:val="none" w:sz="0" w:space="0" w:color="auto"/>
                <w:bottom w:val="none" w:sz="0" w:space="0" w:color="auto"/>
                <w:right w:val="none" w:sz="0" w:space="0" w:color="auto"/>
              </w:divBdr>
            </w:div>
            <w:div w:id="2022900688">
              <w:marLeft w:val="0"/>
              <w:marRight w:val="0"/>
              <w:marTop w:val="0"/>
              <w:marBottom w:val="0"/>
              <w:divBdr>
                <w:top w:val="none" w:sz="0" w:space="0" w:color="auto"/>
                <w:left w:val="none" w:sz="0" w:space="0" w:color="auto"/>
                <w:bottom w:val="none" w:sz="0" w:space="0" w:color="auto"/>
                <w:right w:val="none" w:sz="0" w:space="0" w:color="auto"/>
              </w:divBdr>
            </w:div>
            <w:div w:id="1222405873">
              <w:marLeft w:val="0"/>
              <w:marRight w:val="0"/>
              <w:marTop w:val="0"/>
              <w:marBottom w:val="0"/>
              <w:divBdr>
                <w:top w:val="none" w:sz="0" w:space="0" w:color="auto"/>
                <w:left w:val="none" w:sz="0" w:space="0" w:color="auto"/>
                <w:bottom w:val="none" w:sz="0" w:space="0" w:color="auto"/>
                <w:right w:val="none" w:sz="0" w:space="0" w:color="auto"/>
              </w:divBdr>
            </w:div>
            <w:div w:id="773985346">
              <w:marLeft w:val="0"/>
              <w:marRight w:val="0"/>
              <w:marTop w:val="0"/>
              <w:marBottom w:val="0"/>
              <w:divBdr>
                <w:top w:val="none" w:sz="0" w:space="0" w:color="auto"/>
                <w:left w:val="none" w:sz="0" w:space="0" w:color="auto"/>
                <w:bottom w:val="none" w:sz="0" w:space="0" w:color="auto"/>
                <w:right w:val="none" w:sz="0" w:space="0" w:color="auto"/>
              </w:divBdr>
            </w:div>
            <w:div w:id="1159543118">
              <w:marLeft w:val="0"/>
              <w:marRight w:val="0"/>
              <w:marTop w:val="0"/>
              <w:marBottom w:val="0"/>
              <w:divBdr>
                <w:top w:val="none" w:sz="0" w:space="0" w:color="auto"/>
                <w:left w:val="none" w:sz="0" w:space="0" w:color="auto"/>
                <w:bottom w:val="none" w:sz="0" w:space="0" w:color="auto"/>
                <w:right w:val="none" w:sz="0" w:space="0" w:color="auto"/>
              </w:divBdr>
            </w:div>
            <w:div w:id="2111773909">
              <w:marLeft w:val="0"/>
              <w:marRight w:val="0"/>
              <w:marTop w:val="0"/>
              <w:marBottom w:val="0"/>
              <w:divBdr>
                <w:top w:val="none" w:sz="0" w:space="0" w:color="auto"/>
                <w:left w:val="none" w:sz="0" w:space="0" w:color="auto"/>
                <w:bottom w:val="none" w:sz="0" w:space="0" w:color="auto"/>
                <w:right w:val="none" w:sz="0" w:space="0" w:color="auto"/>
              </w:divBdr>
            </w:div>
            <w:div w:id="987397758">
              <w:marLeft w:val="0"/>
              <w:marRight w:val="0"/>
              <w:marTop w:val="0"/>
              <w:marBottom w:val="0"/>
              <w:divBdr>
                <w:top w:val="none" w:sz="0" w:space="0" w:color="auto"/>
                <w:left w:val="none" w:sz="0" w:space="0" w:color="auto"/>
                <w:bottom w:val="none" w:sz="0" w:space="0" w:color="auto"/>
                <w:right w:val="none" w:sz="0" w:space="0" w:color="auto"/>
              </w:divBdr>
            </w:div>
            <w:div w:id="1376079475">
              <w:marLeft w:val="0"/>
              <w:marRight w:val="0"/>
              <w:marTop w:val="0"/>
              <w:marBottom w:val="0"/>
              <w:divBdr>
                <w:top w:val="none" w:sz="0" w:space="0" w:color="auto"/>
                <w:left w:val="none" w:sz="0" w:space="0" w:color="auto"/>
                <w:bottom w:val="none" w:sz="0" w:space="0" w:color="auto"/>
                <w:right w:val="none" w:sz="0" w:space="0" w:color="auto"/>
              </w:divBdr>
            </w:div>
            <w:div w:id="829641030">
              <w:marLeft w:val="0"/>
              <w:marRight w:val="0"/>
              <w:marTop w:val="0"/>
              <w:marBottom w:val="0"/>
              <w:divBdr>
                <w:top w:val="none" w:sz="0" w:space="0" w:color="auto"/>
                <w:left w:val="none" w:sz="0" w:space="0" w:color="auto"/>
                <w:bottom w:val="none" w:sz="0" w:space="0" w:color="auto"/>
                <w:right w:val="none" w:sz="0" w:space="0" w:color="auto"/>
              </w:divBdr>
            </w:div>
            <w:div w:id="311253809">
              <w:marLeft w:val="0"/>
              <w:marRight w:val="0"/>
              <w:marTop w:val="0"/>
              <w:marBottom w:val="0"/>
              <w:divBdr>
                <w:top w:val="none" w:sz="0" w:space="0" w:color="auto"/>
                <w:left w:val="none" w:sz="0" w:space="0" w:color="auto"/>
                <w:bottom w:val="none" w:sz="0" w:space="0" w:color="auto"/>
                <w:right w:val="none" w:sz="0" w:space="0" w:color="auto"/>
              </w:divBdr>
            </w:div>
            <w:div w:id="2092506909">
              <w:marLeft w:val="0"/>
              <w:marRight w:val="0"/>
              <w:marTop w:val="0"/>
              <w:marBottom w:val="0"/>
              <w:divBdr>
                <w:top w:val="none" w:sz="0" w:space="0" w:color="auto"/>
                <w:left w:val="none" w:sz="0" w:space="0" w:color="auto"/>
                <w:bottom w:val="none" w:sz="0" w:space="0" w:color="auto"/>
                <w:right w:val="none" w:sz="0" w:space="0" w:color="auto"/>
              </w:divBdr>
            </w:div>
            <w:div w:id="1007052112">
              <w:marLeft w:val="0"/>
              <w:marRight w:val="0"/>
              <w:marTop w:val="0"/>
              <w:marBottom w:val="0"/>
              <w:divBdr>
                <w:top w:val="none" w:sz="0" w:space="0" w:color="auto"/>
                <w:left w:val="none" w:sz="0" w:space="0" w:color="auto"/>
                <w:bottom w:val="none" w:sz="0" w:space="0" w:color="auto"/>
                <w:right w:val="none" w:sz="0" w:space="0" w:color="auto"/>
              </w:divBdr>
            </w:div>
            <w:div w:id="1673140507">
              <w:marLeft w:val="0"/>
              <w:marRight w:val="0"/>
              <w:marTop w:val="0"/>
              <w:marBottom w:val="0"/>
              <w:divBdr>
                <w:top w:val="none" w:sz="0" w:space="0" w:color="auto"/>
                <w:left w:val="none" w:sz="0" w:space="0" w:color="auto"/>
                <w:bottom w:val="none" w:sz="0" w:space="0" w:color="auto"/>
                <w:right w:val="none" w:sz="0" w:space="0" w:color="auto"/>
              </w:divBdr>
            </w:div>
            <w:div w:id="1088116944">
              <w:marLeft w:val="0"/>
              <w:marRight w:val="0"/>
              <w:marTop w:val="0"/>
              <w:marBottom w:val="0"/>
              <w:divBdr>
                <w:top w:val="none" w:sz="0" w:space="0" w:color="auto"/>
                <w:left w:val="none" w:sz="0" w:space="0" w:color="auto"/>
                <w:bottom w:val="none" w:sz="0" w:space="0" w:color="auto"/>
                <w:right w:val="none" w:sz="0" w:space="0" w:color="auto"/>
              </w:divBdr>
            </w:div>
            <w:div w:id="1260262624">
              <w:marLeft w:val="0"/>
              <w:marRight w:val="0"/>
              <w:marTop w:val="0"/>
              <w:marBottom w:val="0"/>
              <w:divBdr>
                <w:top w:val="none" w:sz="0" w:space="0" w:color="auto"/>
                <w:left w:val="none" w:sz="0" w:space="0" w:color="auto"/>
                <w:bottom w:val="none" w:sz="0" w:space="0" w:color="auto"/>
                <w:right w:val="none" w:sz="0" w:space="0" w:color="auto"/>
              </w:divBdr>
            </w:div>
            <w:div w:id="1889804581">
              <w:marLeft w:val="0"/>
              <w:marRight w:val="0"/>
              <w:marTop w:val="0"/>
              <w:marBottom w:val="0"/>
              <w:divBdr>
                <w:top w:val="none" w:sz="0" w:space="0" w:color="auto"/>
                <w:left w:val="none" w:sz="0" w:space="0" w:color="auto"/>
                <w:bottom w:val="none" w:sz="0" w:space="0" w:color="auto"/>
                <w:right w:val="none" w:sz="0" w:space="0" w:color="auto"/>
              </w:divBdr>
            </w:div>
            <w:div w:id="235437825">
              <w:marLeft w:val="0"/>
              <w:marRight w:val="0"/>
              <w:marTop w:val="0"/>
              <w:marBottom w:val="0"/>
              <w:divBdr>
                <w:top w:val="none" w:sz="0" w:space="0" w:color="auto"/>
                <w:left w:val="none" w:sz="0" w:space="0" w:color="auto"/>
                <w:bottom w:val="none" w:sz="0" w:space="0" w:color="auto"/>
                <w:right w:val="none" w:sz="0" w:space="0" w:color="auto"/>
              </w:divBdr>
            </w:div>
            <w:div w:id="2015566435">
              <w:marLeft w:val="0"/>
              <w:marRight w:val="0"/>
              <w:marTop w:val="0"/>
              <w:marBottom w:val="0"/>
              <w:divBdr>
                <w:top w:val="none" w:sz="0" w:space="0" w:color="auto"/>
                <w:left w:val="none" w:sz="0" w:space="0" w:color="auto"/>
                <w:bottom w:val="none" w:sz="0" w:space="0" w:color="auto"/>
                <w:right w:val="none" w:sz="0" w:space="0" w:color="auto"/>
              </w:divBdr>
            </w:div>
            <w:div w:id="1329937700">
              <w:marLeft w:val="0"/>
              <w:marRight w:val="0"/>
              <w:marTop w:val="0"/>
              <w:marBottom w:val="0"/>
              <w:divBdr>
                <w:top w:val="none" w:sz="0" w:space="0" w:color="auto"/>
                <w:left w:val="none" w:sz="0" w:space="0" w:color="auto"/>
                <w:bottom w:val="none" w:sz="0" w:space="0" w:color="auto"/>
                <w:right w:val="none" w:sz="0" w:space="0" w:color="auto"/>
              </w:divBdr>
            </w:div>
            <w:div w:id="489449555">
              <w:marLeft w:val="0"/>
              <w:marRight w:val="0"/>
              <w:marTop w:val="0"/>
              <w:marBottom w:val="0"/>
              <w:divBdr>
                <w:top w:val="none" w:sz="0" w:space="0" w:color="auto"/>
                <w:left w:val="none" w:sz="0" w:space="0" w:color="auto"/>
                <w:bottom w:val="none" w:sz="0" w:space="0" w:color="auto"/>
                <w:right w:val="none" w:sz="0" w:space="0" w:color="auto"/>
              </w:divBdr>
            </w:div>
            <w:div w:id="1326321903">
              <w:marLeft w:val="0"/>
              <w:marRight w:val="0"/>
              <w:marTop w:val="0"/>
              <w:marBottom w:val="0"/>
              <w:divBdr>
                <w:top w:val="none" w:sz="0" w:space="0" w:color="auto"/>
                <w:left w:val="none" w:sz="0" w:space="0" w:color="auto"/>
                <w:bottom w:val="none" w:sz="0" w:space="0" w:color="auto"/>
                <w:right w:val="none" w:sz="0" w:space="0" w:color="auto"/>
              </w:divBdr>
            </w:div>
            <w:div w:id="675960197">
              <w:marLeft w:val="0"/>
              <w:marRight w:val="0"/>
              <w:marTop w:val="0"/>
              <w:marBottom w:val="0"/>
              <w:divBdr>
                <w:top w:val="none" w:sz="0" w:space="0" w:color="auto"/>
                <w:left w:val="none" w:sz="0" w:space="0" w:color="auto"/>
                <w:bottom w:val="none" w:sz="0" w:space="0" w:color="auto"/>
                <w:right w:val="none" w:sz="0" w:space="0" w:color="auto"/>
              </w:divBdr>
            </w:div>
            <w:div w:id="1792363288">
              <w:marLeft w:val="0"/>
              <w:marRight w:val="0"/>
              <w:marTop w:val="0"/>
              <w:marBottom w:val="0"/>
              <w:divBdr>
                <w:top w:val="none" w:sz="0" w:space="0" w:color="auto"/>
                <w:left w:val="none" w:sz="0" w:space="0" w:color="auto"/>
                <w:bottom w:val="none" w:sz="0" w:space="0" w:color="auto"/>
                <w:right w:val="none" w:sz="0" w:space="0" w:color="auto"/>
              </w:divBdr>
            </w:div>
            <w:div w:id="80570308">
              <w:marLeft w:val="0"/>
              <w:marRight w:val="0"/>
              <w:marTop w:val="0"/>
              <w:marBottom w:val="0"/>
              <w:divBdr>
                <w:top w:val="none" w:sz="0" w:space="0" w:color="auto"/>
                <w:left w:val="none" w:sz="0" w:space="0" w:color="auto"/>
                <w:bottom w:val="none" w:sz="0" w:space="0" w:color="auto"/>
                <w:right w:val="none" w:sz="0" w:space="0" w:color="auto"/>
              </w:divBdr>
            </w:div>
            <w:div w:id="1678070391">
              <w:marLeft w:val="0"/>
              <w:marRight w:val="0"/>
              <w:marTop w:val="0"/>
              <w:marBottom w:val="0"/>
              <w:divBdr>
                <w:top w:val="none" w:sz="0" w:space="0" w:color="auto"/>
                <w:left w:val="none" w:sz="0" w:space="0" w:color="auto"/>
                <w:bottom w:val="none" w:sz="0" w:space="0" w:color="auto"/>
                <w:right w:val="none" w:sz="0" w:space="0" w:color="auto"/>
              </w:divBdr>
            </w:div>
            <w:div w:id="1090926763">
              <w:marLeft w:val="0"/>
              <w:marRight w:val="0"/>
              <w:marTop w:val="0"/>
              <w:marBottom w:val="0"/>
              <w:divBdr>
                <w:top w:val="none" w:sz="0" w:space="0" w:color="auto"/>
                <w:left w:val="none" w:sz="0" w:space="0" w:color="auto"/>
                <w:bottom w:val="none" w:sz="0" w:space="0" w:color="auto"/>
                <w:right w:val="none" w:sz="0" w:space="0" w:color="auto"/>
              </w:divBdr>
            </w:div>
            <w:div w:id="228656599">
              <w:marLeft w:val="0"/>
              <w:marRight w:val="0"/>
              <w:marTop w:val="0"/>
              <w:marBottom w:val="0"/>
              <w:divBdr>
                <w:top w:val="none" w:sz="0" w:space="0" w:color="auto"/>
                <w:left w:val="none" w:sz="0" w:space="0" w:color="auto"/>
                <w:bottom w:val="none" w:sz="0" w:space="0" w:color="auto"/>
                <w:right w:val="none" w:sz="0" w:space="0" w:color="auto"/>
              </w:divBdr>
            </w:div>
            <w:div w:id="138035215">
              <w:marLeft w:val="0"/>
              <w:marRight w:val="0"/>
              <w:marTop w:val="0"/>
              <w:marBottom w:val="0"/>
              <w:divBdr>
                <w:top w:val="none" w:sz="0" w:space="0" w:color="auto"/>
                <w:left w:val="none" w:sz="0" w:space="0" w:color="auto"/>
                <w:bottom w:val="none" w:sz="0" w:space="0" w:color="auto"/>
                <w:right w:val="none" w:sz="0" w:space="0" w:color="auto"/>
              </w:divBdr>
            </w:div>
            <w:div w:id="407461443">
              <w:marLeft w:val="0"/>
              <w:marRight w:val="0"/>
              <w:marTop w:val="0"/>
              <w:marBottom w:val="0"/>
              <w:divBdr>
                <w:top w:val="none" w:sz="0" w:space="0" w:color="auto"/>
                <w:left w:val="none" w:sz="0" w:space="0" w:color="auto"/>
                <w:bottom w:val="none" w:sz="0" w:space="0" w:color="auto"/>
                <w:right w:val="none" w:sz="0" w:space="0" w:color="auto"/>
              </w:divBdr>
            </w:div>
            <w:div w:id="1136987857">
              <w:marLeft w:val="0"/>
              <w:marRight w:val="0"/>
              <w:marTop w:val="0"/>
              <w:marBottom w:val="0"/>
              <w:divBdr>
                <w:top w:val="none" w:sz="0" w:space="0" w:color="auto"/>
                <w:left w:val="none" w:sz="0" w:space="0" w:color="auto"/>
                <w:bottom w:val="none" w:sz="0" w:space="0" w:color="auto"/>
                <w:right w:val="none" w:sz="0" w:space="0" w:color="auto"/>
              </w:divBdr>
            </w:div>
            <w:div w:id="1866626570">
              <w:marLeft w:val="0"/>
              <w:marRight w:val="0"/>
              <w:marTop w:val="0"/>
              <w:marBottom w:val="0"/>
              <w:divBdr>
                <w:top w:val="none" w:sz="0" w:space="0" w:color="auto"/>
                <w:left w:val="none" w:sz="0" w:space="0" w:color="auto"/>
                <w:bottom w:val="none" w:sz="0" w:space="0" w:color="auto"/>
                <w:right w:val="none" w:sz="0" w:space="0" w:color="auto"/>
              </w:divBdr>
            </w:div>
            <w:div w:id="2067797972">
              <w:marLeft w:val="0"/>
              <w:marRight w:val="0"/>
              <w:marTop w:val="0"/>
              <w:marBottom w:val="0"/>
              <w:divBdr>
                <w:top w:val="none" w:sz="0" w:space="0" w:color="auto"/>
                <w:left w:val="none" w:sz="0" w:space="0" w:color="auto"/>
                <w:bottom w:val="none" w:sz="0" w:space="0" w:color="auto"/>
                <w:right w:val="none" w:sz="0" w:space="0" w:color="auto"/>
              </w:divBdr>
            </w:div>
            <w:div w:id="1107458567">
              <w:marLeft w:val="0"/>
              <w:marRight w:val="0"/>
              <w:marTop w:val="0"/>
              <w:marBottom w:val="0"/>
              <w:divBdr>
                <w:top w:val="none" w:sz="0" w:space="0" w:color="auto"/>
                <w:left w:val="none" w:sz="0" w:space="0" w:color="auto"/>
                <w:bottom w:val="none" w:sz="0" w:space="0" w:color="auto"/>
                <w:right w:val="none" w:sz="0" w:space="0" w:color="auto"/>
              </w:divBdr>
            </w:div>
            <w:div w:id="168061556">
              <w:marLeft w:val="0"/>
              <w:marRight w:val="0"/>
              <w:marTop w:val="0"/>
              <w:marBottom w:val="0"/>
              <w:divBdr>
                <w:top w:val="none" w:sz="0" w:space="0" w:color="auto"/>
                <w:left w:val="none" w:sz="0" w:space="0" w:color="auto"/>
                <w:bottom w:val="none" w:sz="0" w:space="0" w:color="auto"/>
                <w:right w:val="none" w:sz="0" w:space="0" w:color="auto"/>
              </w:divBdr>
            </w:div>
            <w:div w:id="231815923">
              <w:marLeft w:val="0"/>
              <w:marRight w:val="0"/>
              <w:marTop w:val="0"/>
              <w:marBottom w:val="0"/>
              <w:divBdr>
                <w:top w:val="none" w:sz="0" w:space="0" w:color="auto"/>
                <w:left w:val="none" w:sz="0" w:space="0" w:color="auto"/>
                <w:bottom w:val="none" w:sz="0" w:space="0" w:color="auto"/>
                <w:right w:val="none" w:sz="0" w:space="0" w:color="auto"/>
              </w:divBdr>
            </w:div>
            <w:div w:id="660236797">
              <w:marLeft w:val="0"/>
              <w:marRight w:val="0"/>
              <w:marTop w:val="0"/>
              <w:marBottom w:val="0"/>
              <w:divBdr>
                <w:top w:val="none" w:sz="0" w:space="0" w:color="auto"/>
                <w:left w:val="none" w:sz="0" w:space="0" w:color="auto"/>
                <w:bottom w:val="none" w:sz="0" w:space="0" w:color="auto"/>
                <w:right w:val="none" w:sz="0" w:space="0" w:color="auto"/>
              </w:divBdr>
            </w:div>
            <w:div w:id="986787619">
              <w:marLeft w:val="0"/>
              <w:marRight w:val="0"/>
              <w:marTop w:val="0"/>
              <w:marBottom w:val="0"/>
              <w:divBdr>
                <w:top w:val="none" w:sz="0" w:space="0" w:color="auto"/>
                <w:left w:val="none" w:sz="0" w:space="0" w:color="auto"/>
                <w:bottom w:val="none" w:sz="0" w:space="0" w:color="auto"/>
                <w:right w:val="none" w:sz="0" w:space="0" w:color="auto"/>
              </w:divBdr>
            </w:div>
            <w:div w:id="1922132023">
              <w:marLeft w:val="0"/>
              <w:marRight w:val="0"/>
              <w:marTop w:val="0"/>
              <w:marBottom w:val="0"/>
              <w:divBdr>
                <w:top w:val="none" w:sz="0" w:space="0" w:color="auto"/>
                <w:left w:val="none" w:sz="0" w:space="0" w:color="auto"/>
                <w:bottom w:val="none" w:sz="0" w:space="0" w:color="auto"/>
                <w:right w:val="none" w:sz="0" w:space="0" w:color="auto"/>
              </w:divBdr>
            </w:div>
            <w:div w:id="1077508516">
              <w:marLeft w:val="0"/>
              <w:marRight w:val="0"/>
              <w:marTop w:val="0"/>
              <w:marBottom w:val="0"/>
              <w:divBdr>
                <w:top w:val="none" w:sz="0" w:space="0" w:color="auto"/>
                <w:left w:val="none" w:sz="0" w:space="0" w:color="auto"/>
                <w:bottom w:val="none" w:sz="0" w:space="0" w:color="auto"/>
                <w:right w:val="none" w:sz="0" w:space="0" w:color="auto"/>
              </w:divBdr>
            </w:div>
            <w:div w:id="852380114">
              <w:marLeft w:val="0"/>
              <w:marRight w:val="0"/>
              <w:marTop w:val="0"/>
              <w:marBottom w:val="0"/>
              <w:divBdr>
                <w:top w:val="none" w:sz="0" w:space="0" w:color="auto"/>
                <w:left w:val="none" w:sz="0" w:space="0" w:color="auto"/>
                <w:bottom w:val="none" w:sz="0" w:space="0" w:color="auto"/>
                <w:right w:val="none" w:sz="0" w:space="0" w:color="auto"/>
              </w:divBdr>
            </w:div>
            <w:div w:id="353460222">
              <w:marLeft w:val="0"/>
              <w:marRight w:val="0"/>
              <w:marTop w:val="0"/>
              <w:marBottom w:val="0"/>
              <w:divBdr>
                <w:top w:val="none" w:sz="0" w:space="0" w:color="auto"/>
                <w:left w:val="none" w:sz="0" w:space="0" w:color="auto"/>
                <w:bottom w:val="none" w:sz="0" w:space="0" w:color="auto"/>
                <w:right w:val="none" w:sz="0" w:space="0" w:color="auto"/>
              </w:divBdr>
            </w:div>
            <w:div w:id="1132795938">
              <w:marLeft w:val="0"/>
              <w:marRight w:val="0"/>
              <w:marTop w:val="0"/>
              <w:marBottom w:val="0"/>
              <w:divBdr>
                <w:top w:val="none" w:sz="0" w:space="0" w:color="auto"/>
                <w:left w:val="none" w:sz="0" w:space="0" w:color="auto"/>
                <w:bottom w:val="none" w:sz="0" w:space="0" w:color="auto"/>
                <w:right w:val="none" w:sz="0" w:space="0" w:color="auto"/>
              </w:divBdr>
            </w:div>
            <w:div w:id="1305311252">
              <w:marLeft w:val="0"/>
              <w:marRight w:val="0"/>
              <w:marTop w:val="0"/>
              <w:marBottom w:val="0"/>
              <w:divBdr>
                <w:top w:val="none" w:sz="0" w:space="0" w:color="auto"/>
                <w:left w:val="none" w:sz="0" w:space="0" w:color="auto"/>
                <w:bottom w:val="none" w:sz="0" w:space="0" w:color="auto"/>
                <w:right w:val="none" w:sz="0" w:space="0" w:color="auto"/>
              </w:divBdr>
            </w:div>
            <w:div w:id="108272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495578">
      <w:bodyDiv w:val="1"/>
      <w:marLeft w:val="0"/>
      <w:marRight w:val="0"/>
      <w:marTop w:val="0"/>
      <w:marBottom w:val="0"/>
      <w:divBdr>
        <w:top w:val="none" w:sz="0" w:space="0" w:color="auto"/>
        <w:left w:val="none" w:sz="0" w:space="0" w:color="auto"/>
        <w:bottom w:val="none" w:sz="0" w:space="0" w:color="auto"/>
        <w:right w:val="none" w:sz="0" w:space="0" w:color="auto"/>
      </w:divBdr>
      <w:divsChild>
        <w:div w:id="166755123">
          <w:marLeft w:val="0"/>
          <w:marRight w:val="0"/>
          <w:marTop w:val="0"/>
          <w:marBottom w:val="0"/>
          <w:divBdr>
            <w:top w:val="none" w:sz="0" w:space="0" w:color="auto"/>
            <w:left w:val="none" w:sz="0" w:space="0" w:color="auto"/>
            <w:bottom w:val="none" w:sz="0" w:space="0" w:color="auto"/>
            <w:right w:val="none" w:sz="0" w:space="0" w:color="auto"/>
          </w:divBdr>
        </w:div>
        <w:div w:id="2049330446">
          <w:marLeft w:val="0"/>
          <w:marRight w:val="0"/>
          <w:marTop w:val="0"/>
          <w:marBottom w:val="0"/>
          <w:divBdr>
            <w:top w:val="none" w:sz="0" w:space="0" w:color="auto"/>
            <w:left w:val="none" w:sz="0" w:space="0" w:color="auto"/>
            <w:bottom w:val="none" w:sz="0" w:space="0" w:color="auto"/>
            <w:right w:val="none" w:sz="0" w:space="0" w:color="auto"/>
          </w:divBdr>
        </w:div>
        <w:div w:id="684209930">
          <w:marLeft w:val="0"/>
          <w:marRight w:val="0"/>
          <w:marTop w:val="0"/>
          <w:marBottom w:val="0"/>
          <w:divBdr>
            <w:top w:val="none" w:sz="0" w:space="0" w:color="auto"/>
            <w:left w:val="none" w:sz="0" w:space="0" w:color="auto"/>
            <w:bottom w:val="none" w:sz="0" w:space="0" w:color="auto"/>
            <w:right w:val="none" w:sz="0" w:space="0" w:color="auto"/>
          </w:divBdr>
        </w:div>
        <w:div w:id="117920641">
          <w:marLeft w:val="0"/>
          <w:marRight w:val="0"/>
          <w:marTop w:val="0"/>
          <w:marBottom w:val="0"/>
          <w:divBdr>
            <w:top w:val="none" w:sz="0" w:space="0" w:color="auto"/>
            <w:left w:val="none" w:sz="0" w:space="0" w:color="auto"/>
            <w:bottom w:val="none" w:sz="0" w:space="0" w:color="auto"/>
            <w:right w:val="none" w:sz="0" w:space="0" w:color="auto"/>
          </w:divBdr>
        </w:div>
        <w:div w:id="749011181">
          <w:marLeft w:val="0"/>
          <w:marRight w:val="0"/>
          <w:marTop w:val="0"/>
          <w:marBottom w:val="0"/>
          <w:divBdr>
            <w:top w:val="none" w:sz="0" w:space="0" w:color="auto"/>
            <w:left w:val="none" w:sz="0" w:space="0" w:color="auto"/>
            <w:bottom w:val="none" w:sz="0" w:space="0" w:color="auto"/>
            <w:right w:val="none" w:sz="0" w:space="0" w:color="auto"/>
          </w:divBdr>
        </w:div>
        <w:div w:id="518933133">
          <w:marLeft w:val="0"/>
          <w:marRight w:val="0"/>
          <w:marTop w:val="0"/>
          <w:marBottom w:val="0"/>
          <w:divBdr>
            <w:top w:val="none" w:sz="0" w:space="0" w:color="auto"/>
            <w:left w:val="none" w:sz="0" w:space="0" w:color="auto"/>
            <w:bottom w:val="none" w:sz="0" w:space="0" w:color="auto"/>
            <w:right w:val="none" w:sz="0" w:space="0" w:color="auto"/>
          </w:divBdr>
        </w:div>
        <w:div w:id="425616068">
          <w:marLeft w:val="0"/>
          <w:marRight w:val="0"/>
          <w:marTop w:val="0"/>
          <w:marBottom w:val="0"/>
          <w:divBdr>
            <w:top w:val="none" w:sz="0" w:space="0" w:color="auto"/>
            <w:left w:val="none" w:sz="0" w:space="0" w:color="auto"/>
            <w:bottom w:val="none" w:sz="0" w:space="0" w:color="auto"/>
            <w:right w:val="none" w:sz="0" w:space="0" w:color="auto"/>
          </w:divBdr>
        </w:div>
      </w:divsChild>
    </w:div>
    <w:div w:id="572397776">
      <w:bodyDiv w:val="1"/>
      <w:marLeft w:val="0"/>
      <w:marRight w:val="0"/>
      <w:marTop w:val="0"/>
      <w:marBottom w:val="0"/>
      <w:divBdr>
        <w:top w:val="none" w:sz="0" w:space="0" w:color="auto"/>
        <w:left w:val="none" w:sz="0" w:space="0" w:color="auto"/>
        <w:bottom w:val="none" w:sz="0" w:space="0" w:color="auto"/>
        <w:right w:val="none" w:sz="0" w:space="0" w:color="auto"/>
      </w:divBdr>
      <w:divsChild>
        <w:div w:id="1548831977">
          <w:marLeft w:val="0"/>
          <w:marRight w:val="0"/>
          <w:marTop w:val="0"/>
          <w:marBottom w:val="0"/>
          <w:divBdr>
            <w:top w:val="none" w:sz="0" w:space="0" w:color="auto"/>
            <w:left w:val="none" w:sz="0" w:space="0" w:color="auto"/>
            <w:bottom w:val="none" w:sz="0" w:space="0" w:color="auto"/>
            <w:right w:val="none" w:sz="0" w:space="0" w:color="auto"/>
          </w:divBdr>
        </w:div>
        <w:div w:id="566308311">
          <w:marLeft w:val="0"/>
          <w:marRight w:val="0"/>
          <w:marTop w:val="0"/>
          <w:marBottom w:val="0"/>
          <w:divBdr>
            <w:top w:val="none" w:sz="0" w:space="0" w:color="auto"/>
            <w:left w:val="none" w:sz="0" w:space="0" w:color="auto"/>
            <w:bottom w:val="none" w:sz="0" w:space="0" w:color="auto"/>
            <w:right w:val="none" w:sz="0" w:space="0" w:color="auto"/>
          </w:divBdr>
        </w:div>
        <w:div w:id="803811990">
          <w:marLeft w:val="0"/>
          <w:marRight w:val="0"/>
          <w:marTop w:val="0"/>
          <w:marBottom w:val="0"/>
          <w:divBdr>
            <w:top w:val="none" w:sz="0" w:space="0" w:color="auto"/>
            <w:left w:val="none" w:sz="0" w:space="0" w:color="auto"/>
            <w:bottom w:val="none" w:sz="0" w:space="0" w:color="auto"/>
            <w:right w:val="none" w:sz="0" w:space="0" w:color="auto"/>
          </w:divBdr>
        </w:div>
        <w:div w:id="915820564">
          <w:marLeft w:val="0"/>
          <w:marRight w:val="0"/>
          <w:marTop w:val="0"/>
          <w:marBottom w:val="0"/>
          <w:divBdr>
            <w:top w:val="none" w:sz="0" w:space="0" w:color="auto"/>
            <w:left w:val="none" w:sz="0" w:space="0" w:color="auto"/>
            <w:bottom w:val="none" w:sz="0" w:space="0" w:color="auto"/>
            <w:right w:val="none" w:sz="0" w:space="0" w:color="auto"/>
          </w:divBdr>
        </w:div>
      </w:divsChild>
    </w:div>
    <w:div w:id="579025886">
      <w:bodyDiv w:val="1"/>
      <w:marLeft w:val="0"/>
      <w:marRight w:val="0"/>
      <w:marTop w:val="0"/>
      <w:marBottom w:val="0"/>
      <w:divBdr>
        <w:top w:val="none" w:sz="0" w:space="0" w:color="auto"/>
        <w:left w:val="none" w:sz="0" w:space="0" w:color="auto"/>
        <w:bottom w:val="none" w:sz="0" w:space="0" w:color="auto"/>
        <w:right w:val="none" w:sz="0" w:space="0" w:color="auto"/>
      </w:divBdr>
    </w:div>
    <w:div w:id="580022777">
      <w:bodyDiv w:val="1"/>
      <w:marLeft w:val="0"/>
      <w:marRight w:val="0"/>
      <w:marTop w:val="0"/>
      <w:marBottom w:val="0"/>
      <w:divBdr>
        <w:top w:val="none" w:sz="0" w:space="0" w:color="auto"/>
        <w:left w:val="none" w:sz="0" w:space="0" w:color="auto"/>
        <w:bottom w:val="none" w:sz="0" w:space="0" w:color="auto"/>
        <w:right w:val="none" w:sz="0" w:space="0" w:color="auto"/>
      </w:divBdr>
      <w:divsChild>
        <w:div w:id="123430294">
          <w:marLeft w:val="0"/>
          <w:marRight w:val="0"/>
          <w:marTop w:val="0"/>
          <w:marBottom w:val="0"/>
          <w:divBdr>
            <w:top w:val="none" w:sz="0" w:space="0" w:color="auto"/>
            <w:left w:val="none" w:sz="0" w:space="0" w:color="auto"/>
            <w:bottom w:val="none" w:sz="0" w:space="0" w:color="auto"/>
            <w:right w:val="none" w:sz="0" w:space="0" w:color="auto"/>
          </w:divBdr>
        </w:div>
        <w:div w:id="1407265281">
          <w:marLeft w:val="0"/>
          <w:marRight w:val="0"/>
          <w:marTop w:val="0"/>
          <w:marBottom w:val="0"/>
          <w:divBdr>
            <w:top w:val="none" w:sz="0" w:space="0" w:color="auto"/>
            <w:left w:val="none" w:sz="0" w:space="0" w:color="auto"/>
            <w:bottom w:val="none" w:sz="0" w:space="0" w:color="auto"/>
            <w:right w:val="none" w:sz="0" w:space="0" w:color="auto"/>
          </w:divBdr>
        </w:div>
        <w:div w:id="231430681">
          <w:marLeft w:val="0"/>
          <w:marRight w:val="0"/>
          <w:marTop w:val="0"/>
          <w:marBottom w:val="0"/>
          <w:divBdr>
            <w:top w:val="none" w:sz="0" w:space="0" w:color="auto"/>
            <w:left w:val="none" w:sz="0" w:space="0" w:color="auto"/>
            <w:bottom w:val="none" w:sz="0" w:space="0" w:color="auto"/>
            <w:right w:val="none" w:sz="0" w:space="0" w:color="auto"/>
          </w:divBdr>
        </w:div>
      </w:divsChild>
    </w:div>
    <w:div w:id="596795871">
      <w:bodyDiv w:val="1"/>
      <w:marLeft w:val="0"/>
      <w:marRight w:val="0"/>
      <w:marTop w:val="0"/>
      <w:marBottom w:val="0"/>
      <w:divBdr>
        <w:top w:val="none" w:sz="0" w:space="0" w:color="auto"/>
        <w:left w:val="none" w:sz="0" w:space="0" w:color="auto"/>
        <w:bottom w:val="none" w:sz="0" w:space="0" w:color="auto"/>
        <w:right w:val="none" w:sz="0" w:space="0" w:color="auto"/>
      </w:divBdr>
    </w:div>
    <w:div w:id="650721292">
      <w:bodyDiv w:val="1"/>
      <w:marLeft w:val="0"/>
      <w:marRight w:val="0"/>
      <w:marTop w:val="0"/>
      <w:marBottom w:val="0"/>
      <w:divBdr>
        <w:top w:val="none" w:sz="0" w:space="0" w:color="auto"/>
        <w:left w:val="none" w:sz="0" w:space="0" w:color="auto"/>
        <w:bottom w:val="none" w:sz="0" w:space="0" w:color="auto"/>
        <w:right w:val="none" w:sz="0" w:space="0" w:color="auto"/>
      </w:divBdr>
      <w:divsChild>
        <w:div w:id="572471390">
          <w:marLeft w:val="0"/>
          <w:marRight w:val="0"/>
          <w:marTop w:val="0"/>
          <w:marBottom w:val="0"/>
          <w:divBdr>
            <w:top w:val="none" w:sz="0" w:space="0" w:color="auto"/>
            <w:left w:val="none" w:sz="0" w:space="0" w:color="auto"/>
            <w:bottom w:val="none" w:sz="0" w:space="0" w:color="auto"/>
            <w:right w:val="none" w:sz="0" w:space="0" w:color="auto"/>
          </w:divBdr>
        </w:div>
        <w:div w:id="2016422479">
          <w:marLeft w:val="0"/>
          <w:marRight w:val="0"/>
          <w:marTop w:val="0"/>
          <w:marBottom w:val="0"/>
          <w:divBdr>
            <w:top w:val="none" w:sz="0" w:space="0" w:color="auto"/>
            <w:left w:val="none" w:sz="0" w:space="0" w:color="auto"/>
            <w:bottom w:val="none" w:sz="0" w:space="0" w:color="auto"/>
            <w:right w:val="none" w:sz="0" w:space="0" w:color="auto"/>
          </w:divBdr>
        </w:div>
        <w:div w:id="904340286">
          <w:marLeft w:val="0"/>
          <w:marRight w:val="0"/>
          <w:marTop w:val="0"/>
          <w:marBottom w:val="0"/>
          <w:divBdr>
            <w:top w:val="none" w:sz="0" w:space="0" w:color="auto"/>
            <w:left w:val="none" w:sz="0" w:space="0" w:color="auto"/>
            <w:bottom w:val="none" w:sz="0" w:space="0" w:color="auto"/>
            <w:right w:val="none" w:sz="0" w:space="0" w:color="auto"/>
          </w:divBdr>
        </w:div>
        <w:div w:id="629047259">
          <w:marLeft w:val="0"/>
          <w:marRight w:val="0"/>
          <w:marTop w:val="0"/>
          <w:marBottom w:val="0"/>
          <w:divBdr>
            <w:top w:val="none" w:sz="0" w:space="0" w:color="auto"/>
            <w:left w:val="none" w:sz="0" w:space="0" w:color="auto"/>
            <w:bottom w:val="none" w:sz="0" w:space="0" w:color="auto"/>
            <w:right w:val="none" w:sz="0" w:space="0" w:color="auto"/>
          </w:divBdr>
        </w:div>
      </w:divsChild>
    </w:div>
    <w:div w:id="664481635">
      <w:bodyDiv w:val="1"/>
      <w:marLeft w:val="0"/>
      <w:marRight w:val="0"/>
      <w:marTop w:val="0"/>
      <w:marBottom w:val="0"/>
      <w:divBdr>
        <w:top w:val="none" w:sz="0" w:space="0" w:color="auto"/>
        <w:left w:val="none" w:sz="0" w:space="0" w:color="auto"/>
        <w:bottom w:val="none" w:sz="0" w:space="0" w:color="auto"/>
        <w:right w:val="none" w:sz="0" w:space="0" w:color="auto"/>
      </w:divBdr>
      <w:divsChild>
        <w:div w:id="1758863355">
          <w:marLeft w:val="0"/>
          <w:marRight w:val="0"/>
          <w:marTop w:val="0"/>
          <w:marBottom w:val="0"/>
          <w:divBdr>
            <w:top w:val="none" w:sz="0" w:space="0" w:color="auto"/>
            <w:left w:val="none" w:sz="0" w:space="0" w:color="auto"/>
            <w:bottom w:val="none" w:sz="0" w:space="0" w:color="auto"/>
            <w:right w:val="none" w:sz="0" w:space="0" w:color="auto"/>
          </w:divBdr>
        </w:div>
        <w:div w:id="1643845519">
          <w:marLeft w:val="0"/>
          <w:marRight w:val="0"/>
          <w:marTop w:val="0"/>
          <w:marBottom w:val="0"/>
          <w:divBdr>
            <w:top w:val="none" w:sz="0" w:space="0" w:color="auto"/>
            <w:left w:val="none" w:sz="0" w:space="0" w:color="auto"/>
            <w:bottom w:val="none" w:sz="0" w:space="0" w:color="auto"/>
            <w:right w:val="none" w:sz="0" w:space="0" w:color="auto"/>
          </w:divBdr>
        </w:div>
        <w:div w:id="1679841495">
          <w:marLeft w:val="0"/>
          <w:marRight w:val="0"/>
          <w:marTop w:val="0"/>
          <w:marBottom w:val="0"/>
          <w:divBdr>
            <w:top w:val="none" w:sz="0" w:space="0" w:color="auto"/>
            <w:left w:val="none" w:sz="0" w:space="0" w:color="auto"/>
            <w:bottom w:val="none" w:sz="0" w:space="0" w:color="auto"/>
            <w:right w:val="none" w:sz="0" w:space="0" w:color="auto"/>
          </w:divBdr>
        </w:div>
        <w:div w:id="1356661180">
          <w:marLeft w:val="0"/>
          <w:marRight w:val="0"/>
          <w:marTop w:val="0"/>
          <w:marBottom w:val="0"/>
          <w:divBdr>
            <w:top w:val="none" w:sz="0" w:space="0" w:color="auto"/>
            <w:left w:val="none" w:sz="0" w:space="0" w:color="auto"/>
            <w:bottom w:val="none" w:sz="0" w:space="0" w:color="auto"/>
            <w:right w:val="none" w:sz="0" w:space="0" w:color="auto"/>
          </w:divBdr>
        </w:div>
        <w:div w:id="140855856">
          <w:marLeft w:val="0"/>
          <w:marRight w:val="0"/>
          <w:marTop w:val="0"/>
          <w:marBottom w:val="0"/>
          <w:divBdr>
            <w:top w:val="none" w:sz="0" w:space="0" w:color="auto"/>
            <w:left w:val="none" w:sz="0" w:space="0" w:color="auto"/>
            <w:bottom w:val="none" w:sz="0" w:space="0" w:color="auto"/>
            <w:right w:val="none" w:sz="0" w:space="0" w:color="auto"/>
          </w:divBdr>
        </w:div>
      </w:divsChild>
    </w:div>
    <w:div w:id="740829987">
      <w:bodyDiv w:val="1"/>
      <w:marLeft w:val="0"/>
      <w:marRight w:val="0"/>
      <w:marTop w:val="0"/>
      <w:marBottom w:val="0"/>
      <w:divBdr>
        <w:top w:val="none" w:sz="0" w:space="0" w:color="auto"/>
        <w:left w:val="none" w:sz="0" w:space="0" w:color="auto"/>
        <w:bottom w:val="none" w:sz="0" w:space="0" w:color="auto"/>
        <w:right w:val="none" w:sz="0" w:space="0" w:color="auto"/>
      </w:divBdr>
    </w:div>
    <w:div w:id="759103587">
      <w:bodyDiv w:val="1"/>
      <w:marLeft w:val="0"/>
      <w:marRight w:val="0"/>
      <w:marTop w:val="0"/>
      <w:marBottom w:val="0"/>
      <w:divBdr>
        <w:top w:val="none" w:sz="0" w:space="0" w:color="auto"/>
        <w:left w:val="none" w:sz="0" w:space="0" w:color="auto"/>
        <w:bottom w:val="none" w:sz="0" w:space="0" w:color="auto"/>
        <w:right w:val="none" w:sz="0" w:space="0" w:color="auto"/>
      </w:divBdr>
    </w:div>
    <w:div w:id="784276357">
      <w:bodyDiv w:val="1"/>
      <w:marLeft w:val="0"/>
      <w:marRight w:val="0"/>
      <w:marTop w:val="0"/>
      <w:marBottom w:val="0"/>
      <w:divBdr>
        <w:top w:val="none" w:sz="0" w:space="0" w:color="auto"/>
        <w:left w:val="none" w:sz="0" w:space="0" w:color="auto"/>
        <w:bottom w:val="none" w:sz="0" w:space="0" w:color="auto"/>
        <w:right w:val="none" w:sz="0" w:space="0" w:color="auto"/>
      </w:divBdr>
      <w:divsChild>
        <w:div w:id="1100031456">
          <w:marLeft w:val="0"/>
          <w:marRight w:val="0"/>
          <w:marTop w:val="0"/>
          <w:marBottom w:val="0"/>
          <w:divBdr>
            <w:top w:val="none" w:sz="0" w:space="0" w:color="auto"/>
            <w:left w:val="none" w:sz="0" w:space="0" w:color="auto"/>
            <w:bottom w:val="none" w:sz="0" w:space="0" w:color="auto"/>
            <w:right w:val="none" w:sz="0" w:space="0" w:color="auto"/>
          </w:divBdr>
        </w:div>
        <w:div w:id="580255931">
          <w:marLeft w:val="0"/>
          <w:marRight w:val="0"/>
          <w:marTop w:val="0"/>
          <w:marBottom w:val="0"/>
          <w:divBdr>
            <w:top w:val="none" w:sz="0" w:space="0" w:color="auto"/>
            <w:left w:val="none" w:sz="0" w:space="0" w:color="auto"/>
            <w:bottom w:val="none" w:sz="0" w:space="0" w:color="auto"/>
            <w:right w:val="none" w:sz="0" w:space="0" w:color="auto"/>
          </w:divBdr>
        </w:div>
        <w:div w:id="344094915">
          <w:marLeft w:val="0"/>
          <w:marRight w:val="0"/>
          <w:marTop w:val="0"/>
          <w:marBottom w:val="0"/>
          <w:divBdr>
            <w:top w:val="none" w:sz="0" w:space="0" w:color="auto"/>
            <w:left w:val="none" w:sz="0" w:space="0" w:color="auto"/>
            <w:bottom w:val="none" w:sz="0" w:space="0" w:color="auto"/>
            <w:right w:val="none" w:sz="0" w:space="0" w:color="auto"/>
          </w:divBdr>
        </w:div>
        <w:div w:id="110129687">
          <w:marLeft w:val="0"/>
          <w:marRight w:val="0"/>
          <w:marTop w:val="0"/>
          <w:marBottom w:val="0"/>
          <w:divBdr>
            <w:top w:val="none" w:sz="0" w:space="0" w:color="auto"/>
            <w:left w:val="none" w:sz="0" w:space="0" w:color="auto"/>
            <w:bottom w:val="none" w:sz="0" w:space="0" w:color="auto"/>
            <w:right w:val="none" w:sz="0" w:space="0" w:color="auto"/>
          </w:divBdr>
        </w:div>
        <w:div w:id="30814369">
          <w:marLeft w:val="0"/>
          <w:marRight w:val="0"/>
          <w:marTop w:val="0"/>
          <w:marBottom w:val="0"/>
          <w:divBdr>
            <w:top w:val="none" w:sz="0" w:space="0" w:color="auto"/>
            <w:left w:val="none" w:sz="0" w:space="0" w:color="auto"/>
            <w:bottom w:val="none" w:sz="0" w:space="0" w:color="auto"/>
            <w:right w:val="none" w:sz="0" w:space="0" w:color="auto"/>
          </w:divBdr>
        </w:div>
      </w:divsChild>
    </w:div>
    <w:div w:id="840853625">
      <w:bodyDiv w:val="1"/>
      <w:marLeft w:val="0"/>
      <w:marRight w:val="0"/>
      <w:marTop w:val="0"/>
      <w:marBottom w:val="0"/>
      <w:divBdr>
        <w:top w:val="none" w:sz="0" w:space="0" w:color="auto"/>
        <w:left w:val="none" w:sz="0" w:space="0" w:color="auto"/>
        <w:bottom w:val="none" w:sz="0" w:space="0" w:color="auto"/>
        <w:right w:val="none" w:sz="0" w:space="0" w:color="auto"/>
      </w:divBdr>
      <w:divsChild>
        <w:div w:id="122624684">
          <w:marLeft w:val="0"/>
          <w:marRight w:val="0"/>
          <w:marTop w:val="0"/>
          <w:marBottom w:val="0"/>
          <w:divBdr>
            <w:top w:val="none" w:sz="0" w:space="0" w:color="auto"/>
            <w:left w:val="none" w:sz="0" w:space="0" w:color="auto"/>
            <w:bottom w:val="none" w:sz="0" w:space="0" w:color="auto"/>
            <w:right w:val="none" w:sz="0" w:space="0" w:color="auto"/>
          </w:divBdr>
        </w:div>
        <w:div w:id="1534805025">
          <w:marLeft w:val="0"/>
          <w:marRight w:val="0"/>
          <w:marTop w:val="0"/>
          <w:marBottom w:val="0"/>
          <w:divBdr>
            <w:top w:val="none" w:sz="0" w:space="0" w:color="auto"/>
            <w:left w:val="none" w:sz="0" w:space="0" w:color="auto"/>
            <w:bottom w:val="none" w:sz="0" w:space="0" w:color="auto"/>
            <w:right w:val="none" w:sz="0" w:space="0" w:color="auto"/>
          </w:divBdr>
        </w:div>
      </w:divsChild>
    </w:div>
    <w:div w:id="850218792">
      <w:bodyDiv w:val="1"/>
      <w:marLeft w:val="0"/>
      <w:marRight w:val="0"/>
      <w:marTop w:val="0"/>
      <w:marBottom w:val="0"/>
      <w:divBdr>
        <w:top w:val="none" w:sz="0" w:space="0" w:color="auto"/>
        <w:left w:val="none" w:sz="0" w:space="0" w:color="auto"/>
        <w:bottom w:val="none" w:sz="0" w:space="0" w:color="auto"/>
        <w:right w:val="none" w:sz="0" w:space="0" w:color="auto"/>
      </w:divBdr>
    </w:div>
    <w:div w:id="854611122">
      <w:bodyDiv w:val="1"/>
      <w:marLeft w:val="0"/>
      <w:marRight w:val="0"/>
      <w:marTop w:val="0"/>
      <w:marBottom w:val="0"/>
      <w:divBdr>
        <w:top w:val="none" w:sz="0" w:space="0" w:color="auto"/>
        <w:left w:val="none" w:sz="0" w:space="0" w:color="auto"/>
        <w:bottom w:val="none" w:sz="0" w:space="0" w:color="auto"/>
        <w:right w:val="none" w:sz="0" w:space="0" w:color="auto"/>
      </w:divBdr>
    </w:div>
    <w:div w:id="860050326">
      <w:bodyDiv w:val="1"/>
      <w:marLeft w:val="0"/>
      <w:marRight w:val="0"/>
      <w:marTop w:val="0"/>
      <w:marBottom w:val="0"/>
      <w:divBdr>
        <w:top w:val="none" w:sz="0" w:space="0" w:color="auto"/>
        <w:left w:val="none" w:sz="0" w:space="0" w:color="auto"/>
        <w:bottom w:val="none" w:sz="0" w:space="0" w:color="auto"/>
        <w:right w:val="none" w:sz="0" w:space="0" w:color="auto"/>
      </w:divBdr>
      <w:divsChild>
        <w:div w:id="421876317">
          <w:marLeft w:val="0"/>
          <w:marRight w:val="0"/>
          <w:marTop w:val="0"/>
          <w:marBottom w:val="0"/>
          <w:divBdr>
            <w:top w:val="none" w:sz="0" w:space="0" w:color="auto"/>
            <w:left w:val="none" w:sz="0" w:space="0" w:color="auto"/>
            <w:bottom w:val="none" w:sz="0" w:space="0" w:color="auto"/>
            <w:right w:val="none" w:sz="0" w:space="0" w:color="auto"/>
          </w:divBdr>
        </w:div>
        <w:div w:id="1667128625">
          <w:marLeft w:val="0"/>
          <w:marRight w:val="0"/>
          <w:marTop w:val="0"/>
          <w:marBottom w:val="0"/>
          <w:divBdr>
            <w:top w:val="none" w:sz="0" w:space="0" w:color="auto"/>
            <w:left w:val="none" w:sz="0" w:space="0" w:color="auto"/>
            <w:bottom w:val="none" w:sz="0" w:space="0" w:color="auto"/>
            <w:right w:val="none" w:sz="0" w:space="0" w:color="auto"/>
          </w:divBdr>
        </w:div>
      </w:divsChild>
    </w:div>
    <w:div w:id="903491294">
      <w:bodyDiv w:val="1"/>
      <w:marLeft w:val="0"/>
      <w:marRight w:val="0"/>
      <w:marTop w:val="0"/>
      <w:marBottom w:val="0"/>
      <w:divBdr>
        <w:top w:val="none" w:sz="0" w:space="0" w:color="auto"/>
        <w:left w:val="none" w:sz="0" w:space="0" w:color="auto"/>
        <w:bottom w:val="none" w:sz="0" w:space="0" w:color="auto"/>
        <w:right w:val="none" w:sz="0" w:space="0" w:color="auto"/>
      </w:divBdr>
      <w:divsChild>
        <w:div w:id="2017687125">
          <w:marLeft w:val="0"/>
          <w:marRight w:val="0"/>
          <w:marTop w:val="0"/>
          <w:marBottom w:val="0"/>
          <w:divBdr>
            <w:top w:val="none" w:sz="0" w:space="0" w:color="auto"/>
            <w:left w:val="none" w:sz="0" w:space="0" w:color="auto"/>
            <w:bottom w:val="none" w:sz="0" w:space="0" w:color="auto"/>
            <w:right w:val="none" w:sz="0" w:space="0" w:color="auto"/>
          </w:divBdr>
          <w:divsChild>
            <w:div w:id="158812545">
              <w:marLeft w:val="0"/>
              <w:marRight w:val="0"/>
              <w:marTop w:val="0"/>
              <w:marBottom w:val="0"/>
              <w:divBdr>
                <w:top w:val="none" w:sz="0" w:space="0" w:color="auto"/>
                <w:left w:val="none" w:sz="0" w:space="0" w:color="auto"/>
                <w:bottom w:val="none" w:sz="0" w:space="0" w:color="auto"/>
                <w:right w:val="none" w:sz="0" w:space="0" w:color="auto"/>
              </w:divBdr>
              <w:divsChild>
                <w:div w:id="838693196">
                  <w:marLeft w:val="0"/>
                  <w:marRight w:val="0"/>
                  <w:marTop w:val="0"/>
                  <w:marBottom w:val="0"/>
                  <w:divBdr>
                    <w:top w:val="none" w:sz="0" w:space="0" w:color="auto"/>
                    <w:left w:val="none" w:sz="0" w:space="0" w:color="auto"/>
                    <w:bottom w:val="none" w:sz="0" w:space="0" w:color="auto"/>
                    <w:right w:val="none" w:sz="0" w:space="0" w:color="auto"/>
                  </w:divBdr>
                  <w:divsChild>
                    <w:div w:id="54902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856837">
      <w:bodyDiv w:val="1"/>
      <w:marLeft w:val="0"/>
      <w:marRight w:val="0"/>
      <w:marTop w:val="0"/>
      <w:marBottom w:val="0"/>
      <w:divBdr>
        <w:top w:val="none" w:sz="0" w:space="0" w:color="auto"/>
        <w:left w:val="none" w:sz="0" w:space="0" w:color="auto"/>
        <w:bottom w:val="none" w:sz="0" w:space="0" w:color="auto"/>
        <w:right w:val="none" w:sz="0" w:space="0" w:color="auto"/>
      </w:divBdr>
    </w:div>
    <w:div w:id="1016347070">
      <w:bodyDiv w:val="1"/>
      <w:marLeft w:val="0"/>
      <w:marRight w:val="0"/>
      <w:marTop w:val="0"/>
      <w:marBottom w:val="0"/>
      <w:divBdr>
        <w:top w:val="none" w:sz="0" w:space="0" w:color="auto"/>
        <w:left w:val="none" w:sz="0" w:space="0" w:color="auto"/>
        <w:bottom w:val="none" w:sz="0" w:space="0" w:color="auto"/>
        <w:right w:val="none" w:sz="0" w:space="0" w:color="auto"/>
      </w:divBdr>
      <w:divsChild>
        <w:div w:id="2118910444">
          <w:marLeft w:val="0"/>
          <w:marRight w:val="0"/>
          <w:marTop w:val="0"/>
          <w:marBottom w:val="0"/>
          <w:divBdr>
            <w:top w:val="none" w:sz="0" w:space="0" w:color="auto"/>
            <w:left w:val="none" w:sz="0" w:space="0" w:color="auto"/>
            <w:bottom w:val="none" w:sz="0" w:space="0" w:color="auto"/>
            <w:right w:val="none" w:sz="0" w:space="0" w:color="auto"/>
          </w:divBdr>
          <w:divsChild>
            <w:div w:id="1056243972">
              <w:marLeft w:val="0"/>
              <w:marRight w:val="0"/>
              <w:marTop w:val="0"/>
              <w:marBottom w:val="0"/>
              <w:divBdr>
                <w:top w:val="none" w:sz="0" w:space="0" w:color="auto"/>
                <w:left w:val="none" w:sz="0" w:space="0" w:color="auto"/>
                <w:bottom w:val="none" w:sz="0" w:space="0" w:color="auto"/>
                <w:right w:val="none" w:sz="0" w:space="0" w:color="auto"/>
              </w:divBdr>
            </w:div>
            <w:div w:id="2076783367">
              <w:marLeft w:val="0"/>
              <w:marRight w:val="0"/>
              <w:marTop w:val="0"/>
              <w:marBottom w:val="0"/>
              <w:divBdr>
                <w:top w:val="none" w:sz="0" w:space="0" w:color="auto"/>
                <w:left w:val="none" w:sz="0" w:space="0" w:color="auto"/>
                <w:bottom w:val="none" w:sz="0" w:space="0" w:color="auto"/>
                <w:right w:val="none" w:sz="0" w:space="0" w:color="auto"/>
              </w:divBdr>
            </w:div>
            <w:div w:id="826364299">
              <w:marLeft w:val="0"/>
              <w:marRight w:val="0"/>
              <w:marTop w:val="0"/>
              <w:marBottom w:val="0"/>
              <w:divBdr>
                <w:top w:val="none" w:sz="0" w:space="0" w:color="auto"/>
                <w:left w:val="none" w:sz="0" w:space="0" w:color="auto"/>
                <w:bottom w:val="none" w:sz="0" w:space="0" w:color="auto"/>
                <w:right w:val="none" w:sz="0" w:space="0" w:color="auto"/>
              </w:divBdr>
            </w:div>
            <w:div w:id="1543589939">
              <w:marLeft w:val="0"/>
              <w:marRight w:val="0"/>
              <w:marTop w:val="0"/>
              <w:marBottom w:val="0"/>
              <w:divBdr>
                <w:top w:val="none" w:sz="0" w:space="0" w:color="auto"/>
                <w:left w:val="none" w:sz="0" w:space="0" w:color="auto"/>
                <w:bottom w:val="none" w:sz="0" w:space="0" w:color="auto"/>
                <w:right w:val="none" w:sz="0" w:space="0" w:color="auto"/>
              </w:divBdr>
            </w:div>
            <w:div w:id="1631858007">
              <w:marLeft w:val="0"/>
              <w:marRight w:val="0"/>
              <w:marTop w:val="0"/>
              <w:marBottom w:val="0"/>
              <w:divBdr>
                <w:top w:val="none" w:sz="0" w:space="0" w:color="auto"/>
                <w:left w:val="none" w:sz="0" w:space="0" w:color="auto"/>
                <w:bottom w:val="none" w:sz="0" w:space="0" w:color="auto"/>
                <w:right w:val="none" w:sz="0" w:space="0" w:color="auto"/>
              </w:divBdr>
            </w:div>
            <w:div w:id="2050252080">
              <w:marLeft w:val="0"/>
              <w:marRight w:val="0"/>
              <w:marTop w:val="0"/>
              <w:marBottom w:val="0"/>
              <w:divBdr>
                <w:top w:val="none" w:sz="0" w:space="0" w:color="auto"/>
                <w:left w:val="none" w:sz="0" w:space="0" w:color="auto"/>
                <w:bottom w:val="none" w:sz="0" w:space="0" w:color="auto"/>
                <w:right w:val="none" w:sz="0" w:space="0" w:color="auto"/>
              </w:divBdr>
            </w:div>
            <w:div w:id="821890394">
              <w:marLeft w:val="0"/>
              <w:marRight w:val="0"/>
              <w:marTop w:val="0"/>
              <w:marBottom w:val="0"/>
              <w:divBdr>
                <w:top w:val="none" w:sz="0" w:space="0" w:color="auto"/>
                <w:left w:val="none" w:sz="0" w:space="0" w:color="auto"/>
                <w:bottom w:val="none" w:sz="0" w:space="0" w:color="auto"/>
                <w:right w:val="none" w:sz="0" w:space="0" w:color="auto"/>
              </w:divBdr>
            </w:div>
            <w:div w:id="1360089582">
              <w:marLeft w:val="0"/>
              <w:marRight w:val="0"/>
              <w:marTop w:val="0"/>
              <w:marBottom w:val="0"/>
              <w:divBdr>
                <w:top w:val="none" w:sz="0" w:space="0" w:color="auto"/>
                <w:left w:val="none" w:sz="0" w:space="0" w:color="auto"/>
                <w:bottom w:val="none" w:sz="0" w:space="0" w:color="auto"/>
                <w:right w:val="none" w:sz="0" w:space="0" w:color="auto"/>
              </w:divBdr>
            </w:div>
            <w:div w:id="1204707338">
              <w:marLeft w:val="0"/>
              <w:marRight w:val="0"/>
              <w:marTop w:val="0"/>
              <w:marBottom w:val="0"/>
              <w:divBdr>
                <w:top w:val="none" w:sz="0" w:space="0" w:color="auto"/>
                <w:left w:val="none" w:sz="0" w:space="0" w:color="auto"/>
                <w:bottom w:val="none" w:sz="0" w:space="0" w:color="auto"/>
                <w:right w:val="none" w:sz="0" w:space="0" w:color="auto"/>
              </w:divBdr>
            </w:div>
            <w:div w:id="2052269202">
              <w:marLeft w:val="0"/>
              <w:marRight w:val="0"/>
              <w:marTop w:val="0"/>
              <w:marBottom w:val="0"/>
              <w:divBdr>
                <w:top w:val="none" w:sz="0" w:space="0" w:color="auto"/>
                <w:left w:val="none" w:sz="0" w:space="0" w:color="auto"/>
                <w:bottom w:val="none" w:sz="0" w:space="0" w:color="auto"/>
                <w:right w:val="none" w:sz="0" w:space="0" w:color="auto"/>
              </w:divBdr>
            </w:div>
            <w:div w:id="233659887">
              <w:marLeft w:val="0"/>
              <w:marRight w:val="0"/>
              <w:marTop w:val="0"/>
              <w:marBottom w:val="0"/>
              <w:divBdr>
                <w:top w:val="none" w:sz="0" w:space="0" w:color="auto"/>
                <w:left w:val="none" w:sz="0" w:space="0" w:color="auto"/>
                <w:bottom w:val="none" w:sz="0" w:space="0" w:color="auto"/>
                <w:right w:val="none" w:sz="0" w:space="0" w:color="auto"/>
              </w:divBdr>
            </w:div>
            <w:div w:id="921832976">
              <w:marLeft w:val="0"/>
              <w:marRight w:val="0"/>
              <w:marTop w:val="0"/>
              <w:marBottom w:val="0"/>
              <w:divBdr>
                <w:top w:val="none" w:sz="0" w:space="0" w:color="auto"/>
                <w:left w:val="none" w:sz="0" w:space="0" w:color="auto"/>
                <w:bottom w:val="none" w:sz="0" w:space="0" w:color="auto"/>
                <w:right w:val="none" w:sz="0" w:space="0" w:color="auto"/>
              </w:divBdr>
            </w:div>
            <w:div w:id="209095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876172">
      <w:bodyDiv w:val="1"/>
      <w:marLeft w:val="0"/>
      <w:marRight w:val="0"/>
      <w:marTop w:val="0"/>
      <w:marBottom w:val="0"/>
      <w:divBdr>
        <w:top w:val="none" w:sz="0" w:space="0" w:color="auto"/>
        <w:left w:val="none" w:sz="0" w:space="0" w:color="auto"/>
        <w:bottom w:val="none" w:sz="0" w:space="0" w:color="auto"/>
        <w:right w:val="none" w:sz="0" w:space="0" w:color="auto"/>
      </w:divBdr>
      <w:divsChild>
        <w:div w:id="1867059842">
          <w:marLeft w:val="0"/>
          <w:marRight w:val="0"/>
          <w:marTop w:val="0"/>
          <w:marBottom w:val="0"/>
          <w:divBdr>
            <w:top w:val="none" w:sz="0" w:space="0" w:color="auto"/>
            <w:left w:val="none" w:sz="0" w:space="0" w:color="auto"/>
            <w:bottom w:val="none" w:sz="0" w:space="0" w:color="auto"/>
            <w:right w:val="none" w:sz="0" w:space="0" w:color="auto"/>
          </w:divBdr>
        </w:div>
        <w:div w:id="501628316">
          <w:marLeft w:val="0"/>
          <w:marRight w:val="0"/>
          <w:marTop w:val="0"/>
          <w:marBottom w:val="0"/>
          <w:divBdr>
            <w:top w:val="none" w:sz="0" w:space="0" w:color="auto"/>
            <w:left w:val="none" w:sz="0" w:space="0" w:color="auto"/>
            <w:bottom w:val="none" w:sz="0" w:space="0" w:color="auto"/>
            <w:right w:val="none" w:sz="0" w:space="0" w:color="auto"/>
          </w:divBdr>
        </w:div>
        <w:div w:id="432165755">
          <w:marLeft w:val="0"/>
          <w:marRight w:val="0"/>
          <w:marTop w:val="0"/>
          <w:marBottom w:val="0"/>
          <w:divBdr>
            <w:top w:val="none" w:sz="0" w:space="0" w:color="auto"/>
            <w:left w:val="none" w:sz="0" w:space="0" w:color="auto"/>
            <w:bottom w:val="none" w:sz="0" w:space="0" w:color="auto"/>
            <w:right w:val="none" w:sz="0" w:space="0" w:color="auto"/>
          </w:divBdr>
        </w:div>
        <w:div w:id="797646396">
          <w:marLeft w:val="0"/>
          <w:marRight w:val="0"/>
          <w:marTop w:val="0"/>
          <w:marBottom w:val="0"/>
          <w:divBdr>
            <w:top w:val="none" w:sz="0" w:space="0" w:color="auto"/>
            <w:left w:val="none" w:sz="0" w:space="0" w:color="auto"/>
            <w:bottom w:val="none" w:sz="0" w:space="0" w:color="auto"/>
            <w:right w:val="none" w:sz="0" w:space="0" w:color="auto"/>
          </w:divBdr>
        </w:div>
        <w:div w:id="1996645723">
          <w:marLeft w:val="0"/>
          <w:marRight w:val="0"/>
          <w:marTop w:val="0"/>
          <w:marBottom w:val="0"/>
          <w:divBdr>
            <w:top w:val="none" w:sz="0" w:space="0" w:color="auto"/>
            <w:left w:val="none" w:sz="0" w:space="0" w:color="auto"/>
            <w:bottom w:val="none" w:sz="0" w:space="0" w:color="auto"/>
            <w:right w:val="none" w:sz="0" w:space="0" w:color="auto"/>
          </w:divBdr>
        </w:div>
        <w:div w:id="2147235312">
          <w:marLeft w:val="0"/>
          <w:marRight w:val="0"/>
          <w:marTop w:val="0"/>
          <w:marBottom w:val="0"/>
          <w:divBdr>
            <w:top w:val="none" w:sz="0" w:space="0" w:color="auto"/>
            <w:left w:val="none" w:sz="0" w:space="0" w:color="auto"/>
            <w:bottom w:val="none" w:sz="0" w:space="0" w:color="auto"/>
            <w:right w:val="none" w:sz="0" w:space="0" w:color="auto"/>
          </w:divBdr>
        </w:div>
      </w:divsChild>
    </w:div>
    <w:div w:id="1088698044">
      <w:bodyDiv w:val="1"/>
      <w:marLeft w:val="0"/>
      <w:marRight w:val="0"/>
      <w:marTop w:val="0"/>
      <w:marBottom w:val="0"/>
      <w:divBdr>
        <w:top w:val="none" w:sz="0" w:space="0" w:color="auto"/>
        <w:left w:val="none" w:sz="0" w:space="0" w:color="auto"/>
        <w:bottom w:val="none" w:sz="0" w:space="0" w:color="auto"/>
        <w:right w:val="none" w:sz="0" w:space="0" w:color="auto"/>
      </w:divBdr>
      <w:divsChild>
        <w:div w:id="1433671973">
          <w:marLeft w:val="0"/>
          <w:marRight w:val="0"/>
          <w:marTop w:val="0"/>
          <w:marBottom w:val="0"/>
          <w:divBdr>
            <w:top w:val="none" w:sz="0" w:space="0" w:color="auto"/>
            <w:left w:val="none" w:sz="0" w:space="0" w:color="auto"/>
            <w:bottom w:val="none" w:sz="0" w:space="0" w:color="auto"/>
            <w:right w:val="none" w:sz="0" w:space="0" w:color="auto"/>
          </w:divBdr>
          <w:divsChild>
            <w:div w:id="134278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825952">
      <w:bodyDiv w:val="1"/>
      <w:marLeft w:val="0"/>
      <w:marRight w:val="0"/>
      <w:marTop w:val="0"/>
      <w:marBottom w:val="0"/>
      <w:divBdr>
        <w:top w:val="none" w:sz="0" w:space="0" w:color="auto"/>
        <w:left w:val="none" w:sz="0" w:space="0" w:color="auto"/>
        <w:bottom w:val="none" w:sz="0" w:space="0" w:color="auto"/>
        <w:right w:val="none" w:sz="0" w:space="0" w:color="auto"/>
      </w:divBdr>
      <w:divsChild>
        <w:div w:id="981039308">
          <w:marLeft w:val="0"/>
          <w:marRight w:val="0"/>
          <w:marTop w:val="0"/>
          <w:marBottom w:val="0"/>
          <w:divBdr>
            <w:top w:val="none" w:sz="0" w:space="0" w:color="auto"/>
            <w:left w:val="none" w:sz="0" w:space="0" w:color="auto"/>
            <w:bottom w:val="none" w:sz="0" w:space="0" w:color="auto"/>
            <w:right w:val="none" w:sz="0" w:space="0" w:color="auto"/>
          </w:divBdr>
        </w:div>
        <w:div w:id="1536625700">
          <w:marLeft w:val="0"/>
          <w:marRight w:val="0"/>
          <w:marTop w:val="0"/>
          <w:marBottom w:val="0"/>
          <w:divBdr>
            <w:top w:val="none" w:sz="0" w:space="0" w:color="auto"/>
            <w:left w:val="none" w:sz="0" w:space="0" w:color="auto"/>
            <w:bottom w:val="none" w:sz="0" w:space="0" w:color="auto"/>
            <w:right w:val="none" w:sz="0" w:space="0" w:color="auto"/>
          </w:divBdr>
        </w:div>
        <w:div w:id="1071460354">
          <w:marLeft w:val="0"/>
          <w:marRight w:val="0"/>
          <w:marTop w:val="0"/>
          <w:marBottom w:val="0"/>
          <w:divBdr>
            <w:top w:val="none" w:sz="0" w:space="0" w:color="auto"/>
            <w:left w:val="none" w:sz="0" w:space="0" w:color="auto"/>
            <w:bottom w:val="none" w:sz="0" w:space="0" w:color="auto"/>
            <w:right w:val="none" w:sz="0" w:space="0" w:color="auto"/>
          </w:divBdr>
        </w:div>
        <w:div w:id="1089694909">
          <w:marLeft w:val="0"/>
          <w:marRight w:val="0"/>
          <w:marTop w:val="0"/>
          <w:marBottom w:val="0"/>
          <w:divBdr>
            <w:top w:val="none" w:sz="0" w:space="0" w:color="auto"/>
            <w:left w:val="none" w:sz="0" w:space="0" w:color="auto"/>
            <w:bottom w:val="none" w:sz="0" w:space="0" w:color="auto"/>
            <w:right w:val="none" w:sz="0" w:space="0" w:color="auto"/>
          </w:divBdr>
        </w:div>
        <w:div w:id="1138260862">
          <w:marLeft w:val="0"/>
          <w:marRight w:val="0"/>
          <w:marTop w:val="0"/>
          <w:marBottom w:val="0"/>
          <w:divBdr>
            <w:top w:val="none" w:sz="0" w:space="0" w:color="auto"/>
            <w:left w:val="none" w:sz="0" w:space="0" w:color="auto"/>
            <w:bottom w:val="none" w:sz="0" w:space="0" w:color="auto"/>
            <w:right w:val="none" w:sz="0" w:space="0" w:color="auto"/>
          </w:divBdr>
        </w:div>
      </w:divsChild>
    </w:div>
    <w:div w:id="1216041590">
      <w:bodyDiv w:val="1"/>
      <w:marLeft w:val="0"/>
      <w:marRight w:val="0"/>
      <w:marTop w:val="0"/>
      <w:marBottom w:val="0"/>
      <w:divBdr>
        <w:top w:val="none" w:sz="0" w:space="0" w:color="auto"/>
        <w:left w:val="none" w:sz="0" w:space="0" w:color="auto"/>
        <w:bottom w:val="none" w:sz="0" w:space="0" w:color="auto"/>
        <w:right w:val="none" w:sz="0" w:space="0" w:color="auto"/>
      </w:divBdr>
      <w:divsChild>
        <w:div w:id="985861952">
          <w:marLeft w:val="0"/>
          <w:marRight w:val="0"/>
          <w:marTop w:val="0"/>
          <w:marBottom w:val="0"/>
          <w:divBdr>
            <w:top w:val="none" w:sz="0" w:space="0" w:color="auto"/>
            <w:left w:val="none" w:sz="0" w:space="0" w:color="auto"/>
            <w:bottom w:val="none" w:sz="0" w:space="0" w:color="auto"/>
            <w:right w:val="none" w:sz="0" w:space="0" w:color="auto"/>
          </w:divBdr>
        </w:div>
        <w:div w:id="509024156">
          <w:marLeft w:val="0"/>
          <w:marRight w:val="0"/>
          <w:marTop w:val="0"/>
          <w:marBottom w:val="0"/>
          <w:divBdr>
            <w:top w:val="none" w:sz="0" w:space="0" w:color="auto"/>
            <w:left w:val="none" w:sz="0" w:space="0" w:color="auto"/>
            <w:bottom w:val="none" w:sz="0" w:space="0" w:color="auto"/>
            <w:right w:val="none" w:sz="0" w:space="0" w:color="auto"/>
          </w:divBdr>
        </w:div>
      </w:divsChild>
    </w:div>
    <w:div w:id="1291012822">
      <w:bodyDiv w:val="1"/>
      <w:marLeft w:val="0"/>
      <w:marRight w:val="0"/>
      <w:marTop w:val="0"/>
      <w:marBottom w:val="0"/>
      <w:divBdr>
        <w:top w:val="none" w:sz="0" w:space="0" w:color="auto"/>
        <w:left w:val="none" w:sz="0" w:space="0" w:color="auto"/>
        <w:bottom w:val="none" w:sz="0" w:space="0" w:color="auto"/>
        <w:right w:val="none" w:sz="0" w:space="0" w:color="auto"/>
      </w:divBdr>
      <w:divsChild>
        <w:div w:id="1115052564">
          <w:marLeft w:val="0"/>
          <w:marRight w:val="0"/>
          <w:marTop w:val="0"/>
          <w:marBottom w:val="0"/>
          <w:divBdr>
            <w:top w:val="none" w:sz="0" w:space="0" w:color="auto"/>
            <w:left w:val="none" w:sz="0" w:space="0" w:color="auto"/>
            <w:bottom w:val="none" w:sz="0" w:space="0" w:color="auto"/>
            <w:right w:val="none" w:sz="0" w:space="0" w:color="auto"/>
          </w:divBdr>
        </w:div>
        <w:div w:id="1370497903">
          <w:marLeft w:val="0"/>
          <w:marRight w:val="0"/>
          <w:marTop w:val="0"/>
          <w:marBottom w:val="0"/>
          <w:divBdr>
            <w:top w:val="none" w:sz="0" w:space="0" w:color="auto"/>
            <w:left w:val="none" w:sz="0" w:space="0" w:color="auto"/>
            <w:bottom w:val="none" w:sz="0" w:space="0" w:color="auto"/>
            <w:right w:val="none" w:sz="0" w:space="0" w:color="auto"/>
          </w:divBdr>
        </w:div>
        <w:div w:id="1997301580">
          <w:marLeft w:val="0"/>
          <w:marRight w:val="0"/>
          <w:marTop w:val="0"/>
          <w:marBottom w:val="0"/>
          <w:divBdr>
            <w:top w:val="none" w:sz="0" w:space="0" w:color="auto"/>
            <w:left w:val="none" w:sz="0" w:space="0" w:color="auto"/>
            <w:bottom w:val="none" w:sz="0" w:space="0" w:color="auto"/>
            <w:right w:val="none" w:sz="0" w:space="0" w:color="auto"/>
          </w:divBdr>
        </w:div>
        <w:div w:id="1809787775">
          <w:marLeft w:val="0"/>
          <w:marRight w:val="0"/>
          <w:marTop w:val="0"/>
          <w:marBottom w:val="0"/>
          <w:divBdr>
            <w:top w:val="none" w:sz="0" w:space="0" w:color="auto"/>
            <w:left w:val="none" w:sz="0" w:space="0" w:color="auto"/>
            <w:bottom w:val="none" w:sz="0" w:space="0" w:color="auto"/>
            <w:right w:val="none" w:sz="0" w:space="0" w:color="auto"/>
          </w:divBdr>
        </w:div>
      </w:divsChild>
    </w:div>
    <w:div w:id="1306934987">
      <w:bodyDiv w:val="1"/>
      <w:marLeft w:val="0"/>
      <w:marRight w:val="0"/>
      <w:marTop w:val="0"/>
      <w:marBottom w:val="0"/>
      <w:divBdr>
        <w:top w:val="none" w:sz="0" w:space="0" w:color="auto"/>
        <w:left w:val="none" w:sz="0" w:space="0" w:color="auto"/>
        <w:bottom w:val="none" w:sz="0" w:space="0" w:color="auto"/>
        <w:right w:val="none" w:sz="0" w:space="0" w:color="auto"/>
      </w:divBdr>
      <w:divsChild>
        <w:div w:id="1775594953">
          <w:marLeft w:val="0"/>
          <w:marRight w:val="0"/>
          <w:marTop w:val="0"/>
          <w:marBottom w:val="0"/>
          <w:divBdr>
            <w:top w:val="none" w:sz="0" w:space="0" w:color="auto"/>
            <w:left w:val="none" w:sz="0" w:space="0" w:color="auto"/>
            <w:bottom w:val="none" w:sz="0" w:space="0" w:color="auto"/>
            <w:right w:val="none" w:sz="0" w:space="0" w:color="auto"/>
          </w:divBdr>
        </w:div>
        <w:div w:id="1856991612">
          <w:marLeft w:val="0"/>
          <w:marRight w:val="0"/>
          <w:marTop w:val="0"/>
          <w:marBottom w:val="0"/>
          <w:divBdr>
            <w:top w:val="none" w:sz="0" w:space="0" w:color="auto"/>
            <w:left w:val="none" w:sz="0" w:space="0" w:color="auto"/>
            <w:bottom w:val="none" w:sz="0" w:space="0" w:color="auto"/>
            <w:right w:val="none" w:sz="0" w:space="0" w:color="auto"/>
          </w:divBdr>
        </w:div>
        <w:div w:id="1059746382">
          <w:marLeft w:val="0"/>
          <w:marRight w:val="0"/>
          <w:marTop w:val="0"/>
          <w:marBottom w:val="0"/>
          <w:divBdr>
            <w:top w:val="none" w:sz="0" w:space="0" w:color="auto"/>
            <w:left w:val="none" w:sz="0" w:space="0" w:color="auto"/>
            <w:bottom w:val="none" w:sz="0" w:space="0" w:color="auto"/>
            <w:right w:val="none" w:sz="0" w:space="0" w:color="auto"/>
          </w:divBdr>
        </w:div>
        <w:div w:id="874542290">
          <w:marLeft w:val="0"/>
          <w:marRight w:val="0"/>
          <w:marTop w:val="0"/>
          <w:marBottom w:val="0"/>
          <w:divBdr>
            <w:top w:val="none" w:sz="0" w:space="0" w:color="auto"/>
            <w:left w:val="none" w:sz="0" w:space="0" w:color="auto"/>
            <w:bottom w:val="none" w:sz="0" w:space="0" w:color="auto"/>
            <w:right w:val="none" w:sz="0" w:space="0" w:color="auto"/>
          </w:divBdr>
        </w:div>
      </w:divsChild>
    </w:div>
    <w:div w:id="1329674382">
      <w:bodyDiv w:val="1"/>
      <w:marLeft w:val="0"/>
      <w:marRight w:val="0"/>
      <w:marTop w:val="0"/>
      <w:marBottom w:val="0"/>
      <w:divBdr>
        <w:top w:val="none" w:sz="0" w:space="0" w:color="auto"/>
        <w:left w:val="none" w:sz="0" w:space="0" w:color="auto"/>
        <w:bottom w:val="none" w:sz="0" w:space="0" w:color="auto"/>
        <w:right w:val="none" w:sz="0" w:space="0" w:color="auto"/>
      </w:divBdr>
    </w:div>
    <w:div w:id="1377777188">
      <w:bodyDiv w:val="1"/>
      <w:marLeft w:val="0"/>
      <w:marRight w:val="0"/>
      <w:marTop w:val="0"/>
      <w:marBottom w:val="0"/>
      <w:divBdr>
        <w:top w:val="none" w:sz="0" w:space="0" w:color="auto"/>
        <w:left w:val="none" w:sz="0" w:space="0" w:color="auto"/>
        <w:bottom w:val="none" w:sz="0" w:space="0" w:color="auto"/>
        <w:right w:val="none" w:sz="0" w:space="0" w:color="auto"/>
      </w:divBdr>
      <w:divsChild>
        <w:div w:id="1530987402">
          <w:marLeft w:val="0"/>
          <w:marRight w:val="0"/>
          <w:marTop w:val="0"/>
          <w:marBottom w:val="0"/>
          <w:divBdr>
            <w:top w:val="none" w:sz="0" w:space="0" w:color="auto"/>
            <w:left w:val="none" w:sz="0" w:space="0" w:color="auto"/>
            <w:bottom w:val="none" w:sz="0" w:space="0" w:color="auto"/>
            <w:right w:val="none" w:sz="0" w:space="0" w:color="auto"/>
          </w:divBdr>
        </w:div>
        <w:div w:id="1165781947">
          <w:marLeft w:val="0"/>
          <w:marRight w:val="0"/>
          <w:marTop w:val="0"/>
          <w:marBottom w:val="0"/>
          <w:divBdr>
            <w:top w:val="none" w:sz="0" w:space="0" w:color="auto"/>
            <w:left w:val="none" w:sz="0" w:space="0" w:color="auto"/>
            <w:bottom w:val="none" w:sz="0" w:space="0" w:color="auto"/>
            <w:right w:val="none" w:sz="0" w:space="0" w:color="auto"/>
          </w:divBdr>
        </w:div>
        <w:div w:id="320012537">
          <w:marLeft w:val="0"/>
          <w:marRight w:val="0"/>
          <w:marTop w:val="0"/>
          <w:marBottom w:val="0"/>
          <w:divBdr>
            <w:top w:val="none" w:sz="0" w:space="0" w:color="auto"/>
            <w:left w:val="none" w:sz="0" w:space="0" w:color="auto"/>
            <w:bottom w:val="none" w:sz="0" w:space="0" w:color="auto"/>
            <w:right w:val="none" w:sz="0" w:space="0" w:color="auto"/>
          </w:divBdr>
        </w:div>
      </w:divsChild>
    </w:div>
    <w:div w:id="1465654917">
      <w:bodyDiv w:val="1"/>
      <w:marLeft w:val="0"/>
      <w:marRight w:val="0"/>
      <w:marTop w:val="0"/>
      <w:marBottom w:val="0"/>
      <w:divBdr>
        <w:top w:val="none" w:sz="0" w:space="0" w:color="auto"/>
        <w:left w:val="none" w:sz="0" w:space="0" w:color="auto"/>
        <w:bottom w:val="none" w:sz="0" w:space="0" w:color="auto"/>
        <w:right w:val="none" w:sz="0" w:space="0" w:color="auto"/>
      </w:divBdr>
    </w:div>
    <w:div w:id="1480196977">
      <w:bodyDiv w:val="1"/>
      <w:marLeft w:val="0"/>
      <w:marRight w:val="0"/>
      <w:marTop w:val="0"/>
      <w:marBottom w:val="0"/>
      <w:divBdr>
        <w:top w:val="none" w:sz="0" w:space="0" w:color="auto"/>
        <w:left w:val="none" w:sz="0" w:space="0" w:color="auto"/>
        <w:bottom w:val="none" w:sz="0" w:space="0" w:color="auto"/>
        <w:right w:val="none" w:sz="0" w:space="0" w:color="auto"/>
      </w:divBdr>
      <w:divsChild>
        <w:div w:id="551503793">
          <w:marLeft w:val="0"/>
          <w:marRight w:val="0"/>
          <w:marTop w:val="0"/>
          <w:marBottom w:val="0"/>
          <w:divBdr>
            <w:top w:val="none" w:sz="0" w:space="0" w:color="auto"/>
            <w:left w:val="none" w:sz="0" w:space="0" w:color="auto"/>
            <w:bottom w:val="none" w:sz="0" w:space="0" w:color="auto"/>
            <w:right w:val="none" w:sz="0" w:space="0" w:color="auto"/>
          </w:divBdr>
        </w:div>
        <w:div w:id="2065716576">
          <w:marLeft w:val="0"/>
          <w:marRight w:val="0"/>
          <w:marTop w:val="0"/>
          <w:marBottom w:val="0"/>
          <w:divBdr>
            <w:top w:val="none" w:sz="0" w:space="0" w:color="auto"/>
            <w:left w:val="none" w:sz="0" w:space="0" w:color="auto"/>
            <w:bottom w:val="none" w:sz="0" w:space="0" w:color="auto"/>
            <w:right w:val="none" w:sz="0" w:space="0" w:color="auto"/>
          </w:divBdr>
        </w:div>
        <w:div w:id="1854880904">
          <w:marLeft w:val="0"/>
          <w:marRight w:val="0"/>
          <w:marTop w:val="0"/>
          <w:marBottom w:val="0"/>
          <w:divBdr>
            <w:top w:val="none" w:sz="0" w:space="0" w:color="auto"/>
            <w:left w:val="none" w:sz="0" w:space="0" w:color="auto"/>
            <w:bottom w:val="none" w:sz="0" w:space="0" w:color="auto"/>
            <w:right w:val="none" w:sz="0" w:space="0" w:color="auto"/>
          </w:divBdr>
        </w:div>
      </w:divsChild>
    </w:div>
    <w:div w:id="1541017492">
      <w:bodyDiv w:val="1"/>
      <w:marLeft w:val="0"/>
      <w:marRight w:val="0"/>
      <w:marTop w:val="0"/>
      <w:marBottom w:val="0"/>
      <w:divBdr>
        <w:top w:val="none" w:sz="0" w:space="0" w:color="auto"/>
        <w:left w:val="none" w:sz="0" w:space="0" w:color="auto"/>
        <w:bottom w:val="none" w:sz="0" w:space="0" w:color="auto"/>
        <w:right w:val="none" w:sz="0" w:space="0" w:color="auto"/>
      </w:divBdr>
      <w:divsChild>
        <w:div w:id="1980259602">
          <w:marLeft w:val="0"/>
          <w:marRight w:val="0"/>
          <w:marTop w:val="0"/>
          <w:marBottom w:val="0"/>
          <w:divBdr>
            <w:top w:val="none" w:sz="0" w:space="0" w:color="auto"/>
            <w:left w:val="none" w:sz="0" w:space="0" w:color="auto"/>
            <w:bottom w:val="none" w:sz="0" w:space="0" w:color="auto"/>
            <w:right w:val="none" w:sz="0" w:space="0" w:color="auto"/>
          </w:divBdr>
        </w:div>
        <w:div w:id="646520603">
          <w:marLeft w:val="0"/>
          <w:marRight w:val="0"/>
          <w:marTop w:val="0"/>
          <w:marBottom w:val="0"/>
          <w:divBdr>
            <w:top w:val="none" w:sz="0" w:space="0" w:color="auto"/>
            <w:left w:val="none" w:sz="0" w:space="0" w:color="auto"/>
            <w:bottom w:val="none" w:sz="0" w:space="0" w:color="auto"/>
            <w:right w:val="none" w:sz="0" w:space="0" w:color="auto"/>
          </w:divBdr>
        </w:div>
        <w:div w:id="1626423723">
          <w:marLeft w:val="0"/>
          <w:marRight w:val="0"/>
          <w:marTop w:val="0"/>
          <w:marBottom w:val="0"/>
          <w:divBdr>
            <w:top w:val="none" w:sz="0" w:space="0" w:color="auto"/>
            <w:left w:val="none" w:sz="0" w:space="0" w:color="auto"/>
            <w:bottom w:val="none" w:sz="0" w:space="0" w:color="auto"/>
            <w:right w:val="none" w:sz="0" w:space="0" w:color="auto"/>
          </w:divBdr>
        </w:div>
        <w:div w:id="1294286826">
          <w:marLeft w:val="0"/>
          <w:marRight w:val="0"/>
          <w:marTop w:val="0"/>
          <w:marBottom w:val="0"/>
          <w:divBdr>
            <w:top w:val="none" w:sz="0" w:space="0" w:color="auto"/>
            <w:left w:val="none" w:sz="0" w:space="0" w:color="auto"/>
            <w:bottom w:val="none" w:sz="0" w:space="0" w:color="auto"/>
            <w:right w:val="none" w:sz="0" w:space="0" w:color="auto"/>
          </w:divBdr>
        </w:div>
        <w:div w:id="181170788">
          <w:marLeft w:val="0"/>
          <w:marRight w:val="0"/>
          <w:marTop w:val="0"/>
          <w:marBottom w:val="0"/>
          <w:divBdr>
            <w:top w:val="none" w:sz="0" w:space="0" w:color="auto"/>
            <w:left w:val="none" w:sz="0" w:space="0" w:color="auto"/>
            <w:bottom w:val="none" w:sz="0" w:space="0" w:color="auto"/>
            <w:right w:val="none" w:sz="0" w:space="0" w:color="auto"/>
          </w:divBdr>
        </w:div>
        <w:div w:id="80221308">
          <w:marLeft w:val="0"/>
          <w:marRight w:val="0"/>
          <w:marTop w:val="0"/>
          <w:marBottom w:val="0"/>
          <w:divBdr>
            <w:top w:val="none" w:sz="0" w:space="0" w:color="auto"/>
            <w:left w:val="none" w:sz="0" w:space="0" w:color="auto"/>
            <w:bottom w:val="none" w:sz="0" w:space="0" w:color="auto"/>
            <w:right w:val="none" w:sz="0" w:space="0" w:color="auto"/>
          </w:divBdr>
        </w:div>
        <w:div w:id="1591501490">
          <w:marLeft w:val="0"/>
          <w:marRight w:val="0"/>
          <w:marTop w:val="0"/>
          <w:marBottom w:val="0"/>
          <w:divBdr>
            <w:top w:val="none" w:sz="0" w:space="0" w:color="auto"/>
            <w:left w:val="none" w:sz="0" w:space="0" w:color="auto"/>
            <w:bottom w:val="none" w:sz="0" w:space="0" w:color="auto"/>
            <w:right w:val="none" w:sz="0" w:space="0" w:color="auto"/>
          </w:divBdr>
        </w:div>
      </w:divsChild>
    </w:div>
    <w:div w:id="1597714368">
      <w:bodyDiv w:val="1"/>
      <w:marLeft w:val="0"/>
      <w:marRight w:val="0"/>
      <w:marTop w:val="0"/>
      <w:marBottom w:val="0"/>
      <w:divBdr>
        <w:top w:val="none" w:sz="0" w:space="0" w:color="auto"/>
        <w:left w:val="none" w:sz="0" w:space="0" w:color="auto"/>
        <w:bottom w:val="none" w:sz="0" w:space="0" w:color="auto"/>
        <w:right w:val="none" w:sz="0" w:space="0" w:color="auto"/>
      </w:divBdr>
    </w:div>
    <w:div w:id="1626886251">
      <w:bodyDiv w:val="1"/>
      <w:marLeft w:val="0"/>
      <w:marRight w:val="0"/>
      <w:marTop w:val="0"/>
      <w:marBottom w:val="0"/>
      <w:divBdr>
        <w:top w:val="none" w:sz="0" w:space="0" w:color="auto"/>
        <w:left w:val="none" w:sz="0" w:space="0" w:color="auto"/>
        <w:bottom w:val="none" w:sz="0" w:space="0" w:color="auto"/>
        <w:right w:val="none" w:sz="0" w:space="0" w:color="auto"/>
      </w:divBdr>
      <w:divsChild>
        <w:div w:id="1509443431">
          <w:marLeft w:val="0"/>
          <w:marRight w:val="0"/>
          <w:marTop w:val="0"/>
          <w:marBottom w:val="0"/>
          <w:divBdr>
            <w:top w:val="none" w:sz="0" w:space="0" w:color="auto"/>
            <w:left w:val="none" w:sz="0" w:space="0" w:color="auto"/>
            <w:bottom w:val="none" w:sz="0" w:space="0" w:color="auto"/>
            <w:right w:val="none" w:sz="0" w:space="0" w:color="auto"/>
          </w:divBdr>
        </w:div>
        <w:div w:id="1564026682">
          <w:marLeft w:val="0"/>
          <w:marRight w:val="0"/>
          <w:marTop w:val="0"/>
          <w:marBottom w:val="0"/>
          <w:divBdr>
            <w:top w:val="none" w:sz="0" w:space="0" w:color="auto"/>
            <w:left w:val="none" w:sz="0" w:space="0" w:color="auto"/>
            <w:bottom w:val="none" w:sz="0" w:space="0" w:color="auto"/>
            <w:right w:val="none" w:sz="0" w:space="0" w:color="auto"/>
          </w:divBdr>
        </w:div>
        <w:div w:id="1819302020">
          <w:marLeft w:val="0"/>
          <w:marRight w:val="0"/>
          <w:marTop w:val="0"/>
          <w:marBottom w:val="0"/>
          <w:divBdr>
            <w:top w:val="none" w:sz="0" w:space="0" w:color="auto"/>
            <w:left w:val="none" w:sz="0" w:space="0" w:color="auto"/>
            <w:bottom w:val="none" w:sz="0" w:space="0" w:color="auto"/>
            <w:right w:val="none" w:sz="0" w:space="0" w:color="auto"/>
          </w:divBdr>
        </w:div>
      </w:divsChild>
    </w:div>
    <w:div w:id="1632513519">
      <w:bodyDiv w:val="1"/>
      <w:marLeft w:val="0"/>
      <w:marRight w:val="0"/>
      <w:marTop w:val="0"/>
      <w:marBottom w:val="0"/>
      <w:divBdr>
        <w:top w:val="none" w:sz="0" w:space="0" w:color="auto"/>
        <w:left w:val="none" w:sz="0" w:space="0" w:color="auto"/>
        <w:bottom w:val="none" w:sz="0" w:space="0" w:color="auto"/>
        <w:right w:val="none" w:sz="0" w:space="0" w:color="auto"/>
      </w:divBdr>
      <w:divsChild>
        <w:div w:id="914709161">
          <w:marLeft w:val="0"/>
          <w:marRight w:val="0"/>
          <w:marTop w:val="0"/>
          <w:marBottom w:val="0"/>
          <w:divBdr>
            <w:top w:val="none" w:sz="0" w:space="0" w:color="auto"/>
            <w:left w:val="none" w:sz="0" w:space="0" w:color="auto"/>
            <w:bottom w:val="none" w:sz="0" w:space="0" w:color="auto"/>
            <w:right w:val="none" w:sz="0" w:space="0" w:color="auto"/>
          </w:divBdr>
        </w:div>
        <w:div w:id="361129523">
          <w:marLeft w:val="0"/>
          <w:marRight w:val="0"/>
          <w:marTop w:val="0"/>
          <w:marBottom w:val="0"/>
          <w:divBdr>
            <w:top w:val="none" w:sz="0" w:space="0" w:color="auto"/>
            <w:left w:val="none" w:sz="0" w:space="0" w:color="auto"/>
            <w:bottom w:val="none" w:sz="0" w:space="0" w:color="auto"/>
            <w:right w:val="none" w:sz="0" w:space="0" w:color="auto"/>
          </w:divBdr>
        </w:div>
        <w:div w:id="1722904353">
          <w:marLeft w:val="0"/>
          <w:marRight w:val="0"/>
          <w:marTop w:val="0"/>
          <w:marBottom w:val="0"/>
          <w:divBdr>
            <w:top w:val="none" w:sz="0" w:space="0" w:color="auto"/>
            <w:left w:val="none" w:sz="0" w:space="0" w:color="auto"/>
            <w:bottom w:val="none" w:sz="0" w:space="0" w:color="auto"/>
            <w:right w:val="none" w:sz="0" w:space="0" w:color="auto"/>
          </w:divBdr>
        </w:div>
        <w:div w:id="1736464654">
          <w:marLeft w:val="0"/>
          <w:marRight w:val="0"/>
          <w:marTop w:val="0"/>
          <w:marBottom w:val="0"/>
          <w:divBdr>
            <w:top w:val="none" w:sz="0" w:space="0" w:color="auto"/>
            <w:left w:val="none" w:sz="0" w:space="0" w:color="auto"/>
            <w:bottom w:val="none" w:sz="0" w:space="0" w:color="auto"/>
            <w:right w:val="none" w:sz="0" w:space="0" w:color="auto"/>
          </w:divBdr>
        </w:div>
        <w:div w:id="117919890">
          <w:marLeft w:val="0"/>
          <w:marRight w:val="0"/>
          <w:marTop w:val="0"/>
          <w:marBottom w:val="0"/>
          <w:divBdr>
            <w:top w:val="none" w:sz="0" w:space="0" w:color="auto"/>
            <w:left w:val="none" w:sz="0" w:space="0" w:color="auto"/>
            <w:bottom w:val="none" w:sz="0" w:space="0" w:color="auto"/>
            <w:right w:val="none" w:sz="0" w:space="0" w:color="auto"/>
          </w:divBdr>
        </w:div>
        <w:div w:id="477383004">
          <w:marLeft w:val="0"/>
          <w:marRight w:val="0"/>
          <w:marTop w:val="0"/>
          <w:marBottom w:val="0"/>
          <w:divBdr>
            <w:top w:val="none" w:sz="0" w:space="0" w:color="auto"/>
            <w:left w:val="none" w:sz="0" w:space="0" w:color="auto"/>
            <w:bottom w:val="none" w:sz="0" w:space="0" w:color="auto"/>
            <w:right w:val="none" w:sz="0" w:space="0" w:color="auto"/>
          </w:divBdr>
        </w:div>
        <w:div w:id="1670522169">
          <w:marLeft w:val="0"/>
          <w:marRight w:val="0"/>
          <w:marTop w:val="0"/>
          <w:marBottom w:val="0"/>
          <w:divBdr>
            <w:top w:val="none" w:sz="0" w:space="0" w:color="auto"/>
            <w:left w:val="none" w:sz="0" w:space="0" w:color="auto"/>
            <w:bottom w:val="none" w:sz="0" w:space="0" w:color="auto"/>
            <w:right w:val="none" w:sz="0" w:space="0" w:color="auto"/>
          </w:divBdr>
        </w:div>
        <w:div w:id="356858292">
          <w:marLeft w:val="0"/>
          <w:marRight w:val="0"/>
          <w:marTop w:val="0"/>
          <w:marBottom w:val="0"/>
          <w:divBdr>
            <w:top w:val="none" w:sz="0" w:space="0" w:color="auto"/>
            <w:left w:val="none" w:sz="0" w:space="0" w:color="auto"/>
            <w:bottom w:val="none" w:sz="0" w:space="0" w:color="auto"/>
            <w:right w:val="none" w:sz="0" w:space="0" w:color="auto"/>
          </w:divBdr>
        </w:div>
        <w:div w:id="1139494655">
          <w:marLeft w:val="0"/>
          <w:marRight w:val="0"/>
          <w:marTop w:val="0"/>
          <w:marBottom w:val="0"/>
          <w:divBdr>
            <w:top w:val="none" w:sz="0" w:space="0" w:color="auto"/>
            <w:left w:val="none" w:sz="0" w:space="0" w:color="auto"/>
            <w:bottom w:val="none" w:sz="0" w:space="0" w:color="auto"/>
            <w:right w:val="none" w:sz="0" w:space="0" w:color="auto"/>
          </w:divBdr>
        </w:div>
        <w:div w:id="1054937394">
          <w:marLeft w:val="0"/>
          <w:marRight w:val="0"/>
          <w:marTop w:val="0"/>
          <w:marBottom w:val="0"/>
          <w:divBdr>
            <w:top w:val="none" w:sz="0" w:space="0" w:color="auto"/>
            <w:left w:val="none" w:sz="0" w:space="0" w:color="auto"/>
            <w:bottom w:val="none" w:sz="0" w:space="0" w:color="auto"/>
            <w:right w:val="none" w:sz="0" w:space="0" w:color="auto"/>
          </w:divBdr>
        </w:div>
        <w:div w:id="995182978">
          <w:marLeft w:val="0"/>
          <w:marRight w:val="0"/>
          <w:marTop w:val="0"/>
          <w:marBottom w:val="0"/>
          <w:divBdr>
            <w:top w:val="none" w:sz="0" w:space="0" w:color="auto"/>
            <w:left w:val="none" w:sz="0" w:space="0" w:color="auto"/>
            <w:bottom w:val="none" w:sz="0" w:space="0" w:color="auto"/>
            <w:right w:val="none" w:sz="0" w:space="0" w:color="auto"/>
          </w:divBdr>
        </w:div>
        <w:div w:id="781727000">
          <w:marLeft w:val="0"/>
          <w:marRight w:val="0"/>
          <w:marTop w:val="0"/>
          <w:marBottom w:val="0"/>
          <w:divBdr>
            <w:top w:val="none" w:sz="0" w:space="0" w:color="auto"/>
            <w:left w:val="none" w:sz="0" w:space="0" w:color="auto"/>
            <w:bottom w:val="none" w:sz="0" w:space="0" w:color="auto"/>
            <w:right w:val="none" w:sz="0" w:space="0" w:color="auto"/>
          </w:divBdr>
        </w:div>
        <w:div w:id="1730036381">
          <w:marLeft w:val="0"/>
          <w:marRight w:val="0"/>
          <w:marTop w:val="0"/>
          <w:marBottom w:val="0"/>
          <w:divBdr>
            <w:top w:val="none" w:sz="0" w:space="0" w:color="auto"/>
            <w:left w:val="none" w:sz="0" w:space="0" w:color="auto"/>
            <w:bottom w:val="none" w:sz="0" w:space="0" w:color="auto"/>
            <w:right w:val="none" w:sz="0" w:space="0" w:color="auto"/>
          </w:divBdr>
        </w:div>
        <w:div w:id="675305268">
          <w:marLeft w:val="0"/>
          <w:marRight w:val="0"/>
          <w:marTop w:val="0"/>
          <w:marBottom w:val="0"/>
          <w:divBdr>
            <w:top w:val="none" w:sz="0" w:space="0" w:color="auto"/>
            <w:left w:val="none" w:sz="0" w:space="0" w:color="auto"/>
            <w:bottom w:val="none" w:sz="0" w:space="0" w:color="auto"/>
            <w:right w:val="none" w:sz="0" w:space="0" w:color="auto"/>
          </w:divBdr>
        </w:div>
        <w:div w:id="297758663">
          <w:marLeft w:val="0"/>
          <w:marRight w:val="0"/>
          <w:marTop w:val="0"/>
          <w:marBottom w:val="0"/>
          <w:divBdr>
            <w:top w:val="none" w:sz="0" w:space="0" w:color="auto"/>
            <w:left w:val="none" w:sz="0" w:space="0" w:color="auto"/>
            <w:bottom w:val="none" w:sz="0" w:space="0" w:color="auto"/>
            <w:right w:val="none" w:sz="0" w:space="0" w:color="auto"/>
          </w:divBdr>
        </w:div>
        <w:div w:id="1485392821">
          <w:marLeft w:val="0"/>
          <w:marRight w:val="0"/>
          <w:marTop w:val="0"/>
          <w:marBottom w:val="0"/>
          <w:divBdr>
            <w:top w:val="none" w:sz="0" w:space="0" w:color="auto"/>
            <w:left w:val="none" w:sz="0" w:space="0" w:color="auto"/>
            <w:bottom w:val="none" w:sz="0" w:space="0" w:color="auto"/>
            <w:right w:val="none" w:sz="0" w:space="0" w:color="auto"/>
          </w:divBdr>
        </w:div>
        <w:div w:id="1850027310">
          <w:marLeft w:val="0"/>
          <w:marRight w:val="0"/>
          <w:marTop w:val="0"/>
          <w:marBottom w:val="0"/>
          <w:divBdr>
            <w:top w:val="none" w:sz="0" w:space="0" w:color="auto"/>
            <w:left w:val="none" w:sz="0" w:space="0" w:color="auto"/>
            <w:bottom w:val="none" w:sz="0" w:space="0" w:color="auto"/>
            <w:right w:val="none" w:sz="0" w:space="0" w:color="auto"/>
          </w:divBdr>
        </w:div>
        <w:div w:id="1164052301">
          <w:marLeft w:val="0"/>
          <w:marRight w:val="0"/>
          <w:marTop w:val="0"/>
          <w:marBottom w:val="0"/>
          <w:divBdr>
            <w:top w:val="none" w:sz="0" w:space="0" w:color="auto"/>
            <w:left w:val="none" w:sz="0" w:space="0" w:color="auto"/>
            <w:bottom w:val="none" w:sz="0" w:space="0" w:color="auto"/>
            <w:right w:val="none" w:sz="0" w:space="0" w:color="auto"/>
          </w:divBdr>
        </w:div>
        <w:div w:id="201982859">
          <w:marLeft w:val="0"/>
          <w:marRight w:val="0"/>
          <w:marTop w:val="0"/>
          <w:marBottom w:val="0"/>
          <w:divBdr>
            <w:top w:val="none" w:sz="0" w:space="0" w:color="auto"/>
            <w:left w:val="none" w:sz="0" w:space="0" w:color="auto"/>
            <w:bottom w:val="none" w:sz="0" w:space="0" w:color="auto"/>
            <w:right w:val="none" w:sz="0" w:space="0" w:color="auto"/>
          </w:divBdr>
        </w:div>
        <w:div w:id="1873154835">
          <w:marLeft w:val="0"/>
          <w:marRight w:val="0"/>
          <w:marTop w:val="0"/>
          <w:marBottom w:val="0"/>
          <w:divBdr>
            <w:top w:val="none" w:sz="0" w:space="0" w:color="auto"/>
            <w:left w:val="none" w:sz="0" w:space="0" w:color="auto"/>
            <w:bottom w:val="none" w:sz="0" w:space="0" w:color="auto"/>
            <w:right w:val="none" w:sz="0" w:space="0" w:color="auto"/>
          </w:divBdr>
        </w:div>
        <w:div w:id="1239949210">
          <w:marLeft w:val="0"/>
          <w:marRight w:val="0"/>
          <w:marTop w:val="0"/>
          <w:marBottom w:val="0"/>
          <w:divBdr>
            <w:top w:val="none" w:sz="0" w:space="0" w:color="auto"/>
            <w:left w:val="none" w:sz="0" w:space="0" w:color="auto"/>
            <w:bottom w:val="none" w:sz="0" w:space="0" w:color="auto"/>
            <w:right w:val="none" w:sz="0" w:space="0" w:color="auto"/>
          </w:divBdr>
        </w:div>
        <w:div w:id="2034647692">
          <w:marLeft w:val="0"/>
          <w:marRight w:val="0"/>
          <w:marTop w:val="0"/>
          <w:marBottom w:val="0"/>
          <w:divBdr>
            <w:top w:val="none" w:sz="0" w:space="0" w:color="auto"/>
            <w:left w:val="none" w:sz="0" w:space="0" w:color="auto"/>
            <w:bottom w:val="none" w:sz="0" w:space="0" w:color="auto"/>
            <w:right w:val="none" w:sz="0" w:space="0" w:color="auto"/>
          </w:divBdr>
        </w:div>
        <w:div w:id="554003916">
          <w:marLeft w:val="0"/>
          <w:marRight w:val="0"/>
          <w:marTop w:val="0"/>
          <w:marBottom w:val="0"/>
          <w:divBdr>
            <w:top w:val="none" w:sz="0" w:space="0" w:color="auto"/>
            <w:left w:val="none" w:sz="0" w:space="0" w:color="auto"/>
            <w:bottom w:val="none" w:sz="0" w:space="0" w:color="auto"/>
            <w:right w:val="none" w:sz="0" w:space="0" w:color="auto"/>
          </w:divBdr>
        </w:div>
        <w:div w:id="1348680727">
          <w:marLeft w:val="0"/>
          <w:marRight w:val="0"/>
          <w:marTop w:val="0"/>
          <w:marBottom w:val="0"/>
          <w:divBdr>
            <w:top w:val="none" w:sz="0" w:space="0" w:color="auto"/>
            <w:left w:val="none" w:sz="0" w:space="0" w:color="auto"/>
            <w:bottom w:val="none" w:sz="0" w:space="0" w:color="auto"/>
            <w:right w:val="none" w:sz="0" w:space="0" w:color="auto"/>
          </w:divBdr>
        </w:div>
        <w:div w:id="1210144783">
          <w:marLeft w:val="0"/>
          <w:marRight w:val="0"/>
          <w:marTop w:val="0"/>
          <w:marBottom w:val="0"/>
          <w:divBdr>
            <w:top w:val="none" w:sz="0" w:space="0" w:color="auto"/>
            <w:left w:val="none" w:sz="0" w:space="0" w:color="auto"/>
            <w:bottom w:val="none" w:sz="0" w:space="0" w:color="auto"/>
            <w:right w:val="none" w:sz="0" w:space="0" w:color="auto"/>
          </w:divBdr>
        </w:div>
        <w:div w:id="1699089271">
          <w:marLeft w:val="0"/>
          <w:marRight w:val="0"/>
          <w:marTop w:val="0"/>
          <w:marBottom w:val="0"/>
          <w:divBdr>
            <w:top w:val="none" w:sz="0" w:space="0" w:color="auto"/>
            <w:left w:val="none" w:sz="0" w:space="0" w:color="auto"/>
            <w:bottom w:val="none" w:sz="0" w:space="0" w:color="auto"/>
            <w:right w:val="none" w:sz="0" w:space="0" w:color="auto"/>
          </w:divBdr>
        </w:div>
      </w:divsChild>
    </w:div>
    <w:div w:id="1635329000">
      <w:bodyDiv w:val="1"/>
      <w:marLeft w:val="0"/>
      <w:marRight w:val="0"/>
      <w:marTop w:val="0"/>
      <w:marBottom w:val="0"/>
      <w:divBdr>
        <w:top w:val="none" w:sz="0" w:space="0" w:color="auto"/>
        <w:left w:val="none" w:sz="0" w:space="0" w:color="auto"/>
        <w:bottom w:val="none" w:sz="0" w:space="0" w:color="auto"/>
        <w:right w:val="none" w:sz="0" w:space="0" w:color="auto"/>
      </w:divBdr>
      <w:divsChild>
        <w:div w:id="1580628242">
          <w:marLeft w:val="0"/>
          <w:marRight w:val="0"/>
          <w:marTop w:val="0"/>
          <w:marBottom w:val="0"/>
          <w:divBdr>
            <w:top w:val="none" w:sz="0" w:space="0" w:color="auto"/>
            <w:left w:val="none" w:sz="0" w:space="0" w:color="auto"/>
            <w:bottom w:val="none" w:sz="0" w:space="0" w:color="auto"/>
            <w:right w:val="none" w:sz="0" w:space="0" w:color="auto"/>
          </w:divBdr>
          <w:divsChild>
            <w:div w:id="140884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097429">
      <w:bodyDiv w:val="1"/>
      <w:marLeft w:val="0"/>
      <w:marRight w:val="0"/>
      <w:marTop w:val="0"/>
      <w:marBottom w:val="0"/>
      <w:divBdr>
        <w:top w:val="none" w:sz="0" w:space="0" w:color="auto"/>
        <w:left w:val="none" w:sz="0" w:space="0" w:color="auto"/>
        <w:bottom w:val="none" w:sz="0" w:space="0" w:color="auto"/>
        <w:right w:val="none" w:sz="0" w:space="0" w:color="auto"/>
      </w:divBdr>
      <w:divsChild>
        <w:div w:id="585310311">
          <w:marLeft w:val="0"/>
          <w:marRight w:val="0"/>
          <w:marTop w:val="0"/>
          <w:marBottom w:val="0"/>
          <w:divBdr>
            <w:top w:val="none" w:sz="0" w:space="0" w:color="auto"/>
            <w:left w:val="none" w:sz="0" w:space="0" w:color="auto"/>
            <w:bottom w:val="none" w:sz="0" w:space="0" w:color="auto"/>
            <w:right w:val="none" w:sz="0" w:space="0" w:color="auto"/>
          </w:divBdr>
        </w:div>
        <w:div w:id="616958316">
          <w:marLeft w:val="0"/>
          <w:marRight w:val="0"/>
          <w:marTop w:val="0"/>
          <w:marBottom w:val="0"/>
          <w:divBdr>
            <w:top w:val="none" w:sz="0" w:space="0" w:color="auto"/>
            <w:left w:val="none" w:sz="0" w:space="0" w:color="auto"/>
            <w:bottom w:val="none" w:sz="0" w:space="0" w:color="auto"/>
            <w:right w:val="none" w:sz="0" w:space="0" w:color="auto"/>
          </w:divBdr>
        </w:div>
        <w:div w:id="111369558">
          <w:marLeft w:val="0"/>
          <w:marRight w:val="0"/>
          <w:marTop w:val="0"/>
          <w:marBottom w:val="0"/>
          <w:divBdr>
            <w:top w:val="none" w:sz="0" w:space="0" w:color="auto"/>
            <w:left w:val="none" w:sz="0" w:space="0" w:color="auto"/>
            <w:bottom w:val="none" w:sz="0" w:space="0" w:color="auto"/>
            <w:right w:val="none" w:sz="0" w:space="0" w:color="auto"/>
          </w:divBdr>
        </w:div>
      </w:divsChild>
    </w:div>
    <w:div w:id="1669360352">
      <w:bodyDiv w:val="1"/>
      <w:marLeft w:val="0"/>
      <w:marRight w:val="0"/>
      <w:marTop w:val="0"/>
      <w:marBottom w:val="0"/>
      <w:divBdr>
        <w:top w:val="none" w:sz="0" w:space="0" w:color="auto"/>
        <w:left w:val="none" w:sz="0" w:space="0" w:color="auto"/>
        <w:bottom w:val="none" w:sz="0" w:space="0" w:color="auto"/>
        <w:right w:val="none" w:sz="0" w:space="0" w:color="auto"/>
      </w:divBdr>
      <w:divsChild>
        <w:div w:id="1476216126">
          <w:marLeft w:val="0"/>
          <w:marRight w:val="0"/>
          <w:marTop w:val="0"/>
          <w:marBottom w:val="0"/>
          <w:divBdr>
            <w:top w:val="none" w:sz="0" w:space="0" w:color="auto"/>
            <w:left w:val="none" w:sz="0" w:space="0" w:color="auto"/>
            <w:bottom w:val="none" w:sz="0" w:space="0" w:color="auto"/>
            <w:right w:val="none" w:sz="0" w:space="0" w:color="auto"/>
          </w:divBdr>
        </w:div>
        <w:div w:id="1700662498">
          <w:marLeft w:val="0"/>
          <w:marRight w:val="0"/>
          <w:marTop w:val="0"/>
          <w:marBottom w:val="0"/>
          <w:divBdr>
            <w:top w:val="none" w:sz="0" w:space="0" w:color="auto"/>
            <w:left w:val="none" w:sz="0" w:space="0" w:color="auto"/>
            <w:bottom w:val="none" w:sz="0" w:space="0" w:color="auto"/>
            <w:right w:val="none" w:sz="0" w:space="0" w:color="auto"/>
          </w:divBdr>
        </w:div>
        <w:div w:id="1075858530">
          <w:marLeft w:val="0"/>
          <w:marRight w:val="0"/>
          <w:marTop w:val="0"/>
          <w:marBottom w:val="0"/>
          <w:divBdr>
            <w:top w:val="none" w:sz="0" w:space="0" w:color="auto"/>
            <w:left w:val="none" w:sz="0" w:space="0" w:color="auto"/>
            <w:bottom w:val="none" w:sz="0" w:space="0" w:color="auto"/>
            <w:right w:val="none" w:sz="0" w:space="0" w:color="auto"/>
          </w:divBdr>
        </w:div>
        <w:div w:id="2011181431">
          <w:marLeft w:val="0"/>
          <w:marRight w:val="0"/>
          <w:marTop w:val="0"/>
          <w:marBottom w:val="0"/>
          <w:divBdr>
            <w:top w:val="none" w:sz="0" w:space="0" w:color="auto"/>
            <w:left w:val="none" w:sz="0" w:space="0" w:color="auto"/>
            <w:bottom w:val="none" w:sz="0" w:space="0" w:color="auto"/>
            <w:right w:val="none" w:sz="0" w:space="0" w:color="auto"/>
          </w:divBdr>
        </w:div>
        <w:div w:id="782574388">
          <w:marLeft w:val="0"/>
          <w:marRight w:val="0"/>
          <w:marTop w:val="0"/>
          <w:marBottom w:val="0"/>
          <w:divBdr>
            <w:top w:val="none" w:sz="0" w:space="0" w:color="auto"/>
            <w:left w:val="none" w:sz="0" w:space="0" w:color="auto"/>
            <w:bottom w:val="none" w:sz="0" w:space="0" w:color="auto"/>
            <w:right w:val="none" w:sz="0" w:space="0" w:color="auto"/>
          </w:divBdr>
        </w:div>
        <w:div w:id="374892623">
          <w:marLeft w:val="0"/>
          <w:marRight w:val="0"/>
          <w:marTop w:val="0"/>
          <w:marBottom w:val="0"/>
          <w:divBdr>
            <w:top w:val="none" w:sz="0" w:space="0" w:color="auto"/>
            <w:left w:val="none" w:sz="0" w:space="0" w:color="auto"/>
            <w:bottom w:val="none" w:sz="0" w:space="0" w:color="auto"/>
            <w:right w:val="none" w:sz="0" w:space="0" w:color="auto"/>
          </w:divBdr>
        </w:div>
        <w:div w:id="1072587152">
          <w:marLeft w:val="0"/>
          <w:marRight w:val="0"/>
          <w:marTop w:val="0"/>
          <w:marBottom w:val="0"/>
          <w:divBdr>
            <w:top w:val="none" w:sz="0" w:space="0" w:color="auto"/>
            <w:left w:val="none" w:sz="0" w:space="0" w:color="auto"/>
            <w:bottom w:val="none" w:sz="0" w:space="0" w:color="auto"/>
            <w:right w:val="none" w:sz="0" w:space="0" w:color="auto"/>
          </w:divBdr>
        </w:div>
        <w:div w:id="1831828011">
          <w:marLeft w:val="0"/>
          <w:marRight w:val="0"/>
          <w:marTop w:val="0"/>
          <w:marBottom w:val="0"/>
          <w:divBdr>
            <w:top w:val="none" w:sz="0" w:space="0" w:color="auto"/>
            <w:left w:val="none" w:sz="0" w:space="0" w:color="auto"/>
            <w:bottom w:val="none" w:sz="0" w:space="0" w:color="auto"/>
            <w:right w:val="none" w:sz="0" w:space="0" w:color="auto"/>
          </w:divBdr>
        </w:div>
        <w:div w:id="2069262728">
          <w:marLeft w:val="0"/>
          <w:marRight w:val="0"/>
          <w:marTop w:val="0"/>
          <w:marBottom w:val="0"/>
          <w:divBdr>
            <w:top w:val="none" w:sz="0" w:space="0" w:color="auto"/>
            <w:left w:val="none" w:sz="0" w:space="0" w:color="auto"/>
            <w:bottom w:val="none" w:sz="0" w:space="0" w:color="auto"/>
            <w:right w:val="none" w:sz="0" w:space="0" w:color="auto"/>
          </w:divBdr>
        </w:div>
        <w:div w:id="280572572">
          <w:marLeft w:val="0"/>
          <w:marRight w:val="0"/>
          <w:marTop w:val="0"/>
          <w:marBottom w:val="0"/>
          <w:divBdr>
            <w:top w:val="none" w:sz="0" w:space="0" w:color="auto"/>
            <w:left w:val="none" w:sz="0" w:space="0" w:color="auto"/>
            <w:bottom w:val="none" w:sz="0" w:space="0" w:color="auto"/>
            <w:right w:val="none" w:sz="0" w:space="0" w:color="auto"/>
          </w:divBdr>
        </w:div>
        <w:div w:id="385878022">
          <w:marLeft w:val="0"/>
          <w:marRight w:val="0"/>
          <w:marTop w:val="0"/>
          <w:marBottom w:val="0"/>
          <w:divBdr>
            <w:top w:val="none" w:sz="0" w:space="0" w:color="auto"/>
            <w:left w:val="none" w:sz="0" w:space="0" w:color="auto"/>
            <w:bottom w:val="none" w:sz="0" w:space="0" w:color="auto"/>
            <w:right w:val="none" w:sz="0" w:space="0" w:color="auto"/>
          </w:divBdr>
        </w:div>
        <w:div w:id="1254241069">
          <w:marLeft w:val="0"/>
          <w:marRight w:val="0"/>
          <w:marTop w:val="0"/>
          <w:marBottom w:val="0"/>
          <w:divBdr>
            <w:top w:val="none" w:sz="0" w:space="0" w:color="auto"/>
            <w:left w:val="none" w:sz="0" w:space="0" w:color="auto"/>
            <w:bottom w:val="none" w:sz="0" w:space="0" w:color="auto"/>
            <w:right w:val="none" w:sz="0" w:space="0" w:color="auto"/>
          </w:divBdr>
        </w:div>
        <w:div w:id="1857576649">
          <w:marLeft w:val="0"/>
          <w:marRight w:val="0"/>
          <w:marTop w:val="0"/>
          <w:marBottom w:val="0"/>
          <w:divBdr>
            <w:top w:val="none" w:sz="0" w:space="0" w:color="auto"/>
            <w:left w:val="none" w:sz="0" w:space="0" w:color="auto"/>
            <w:bottom w:val="none" w:sz="0" w:space="0" w:color="auto"/>
            <w:right w:val="none" w:sz="0" w:space="0" w:color="auto"/>
          </w:divBdr>
        </w:div>
      </w:divsChild>
    </w:div>
    <w:div w:id="1792168598">
      <w:bodyDiv w:val="1"/>
      <w:marLeft w:val="0"/>
      <w:marRight w:val="0"/>
      <w:marTop w:val="0"/>
      <w:marBottom w:val="0"/>
      <w:divBdr>
        <w:top w:val="none" w:sz="0" w:space="0" w:color="auto"/>
        <w:left w:val="none" w:sz="0" w:space="0" w:color="auto"/>
        <w:bottom w:val="none" w:sz="0" w:space="0" w:color="auto"/>
        <w:right w:val="none" w:sz="0" w:space="0" w:color="auto"/>
      </w:divBdr>
    </w:div>
    <w:div w:id="1810324578">
      <w:bodyDiv w:val="1"/>
      <w:marLeft w:val="0"/>
      <w:marRight w:val="0"/>
      <w:marTop w:val="0"/>
      <w:marBottom w:val="0"/>
      <w:divBdr>
        <w:top w:val="none" w:sz="0" w:space="0" w:color="auto"/>
        <w:left w:val="none" w:sz="0" w:space="0" w:color="auto"/>
        <w:bottom w:val="none" w:sz="0" w:space="0" w:color="auto"/>
        <w:right w:val="none" w:sz="0" w:space="0" w:color="auto"/>
      </w:divBdr>
      <w:divsChild>
        <w:div w:id="1476295882">
          <w:marLeft w:val="0"/>
          <w:marRight w:val="0"/>
          <w:marTop w:val="0"/>
          <w:marBottom w:val="0"/>
          <w:divBdr>
            <w:top w:val="none" w:sz="0" w:space="0" w:color="auto"/>
            <w:left w:val="none" w:sz="0" w:space="0" w:color="auto"/>
            <w:bottom w:val="none" w:sz="0" w:space="0" w:color="auto"/>
            <w:right w:val="none" w:sz="0" w:space="0" w:color="auto"/>
          </w:divBdr>
        </w:div>
        <w:div w:id="64912312">
          <w:marLeft w:val="0"/>
          <w:marRight w:val="0"/>
          <w:marTop w:val="0"/>
          <w:marBottom w:val="0"/>
          <w:divBdr>
            <w:top w:val="none" w:sz="0" w:space="0" w:color="auto"/>
            <w:left w:val="none" w:sz="0" w:space="0" w:color="auto"/>
            <w:bottom w:val="none" w:sz="0" w:space="0" w:color="auto"/>
            <w:right w:val="none" w:sz="0" w:space="0" w:color="auto"/>
          </w:divBdr>
        </w:div>
      </w:divsChild>
    </w:div>
    <w:div w:id="1847984870">
      <w:bodyDiv w:val="1"/>
      <w:marLeft w:val="0"/>
      <w:marRight w:val="0"/>
      <w:marTop w:val="0"/>
      <w:marBottom w:val="0"/>
      <w:divBdr>
        <w:top w:val="none" w:sz="0" w:space="0" w:color="auto"/>
        <w:left w:val="none" w:sz="0" w:space="0" w:color="auto"/>
        <w:bottom w:val="none" w:sz="0" w:space="0" w:color="auto"/>
        <w:right w:val="none" w:sz="0" w:space="0" w:color="auto"/>
      </w:divBdr>
      <w:divsChild>
        <w:div w:id="1731538297">
          <w:marLeft w:val="0"/>
          <w:marRight w:val="0"/>
          <w:marTop w:val="0"/>
          <w:marBottom w:val="0"/>
          <w:divBdr>
            <w:top w:val="none" w:sz="0" w:space="0" w:color="auto"/>
            <w:left w:val="none" w:sz="0" w:space="0" w:color="auto"/>
            <w:bottom w:val="none" w:sz="0" w:space="0" w:color="auto"/>
            <w:right w:val="none" w:sz="0" w:space="0" w:color="auto"/>
          </w:divBdr>
        </w:div>
        <w:div w:id="362874830">
          <w:marLeft w:val="0"/>
          <w:marRight w:val="0"/>
          <w:marTop w:val="0"/>
          <w:marBottom w:val="0"/>
          <w:divBdr>
            <w:top w:val="none" w:sz="0" w:space="0" w:color="auto"/>
            <w:left w:val="none" w:sz="0" w:space="0" w:color="auto"/>
            <w:bottom w:val="none" w:sz="0" w:space="0" w:color="auto"/>
            <w:right w:val="none" w:sz="0" w:space="0" w:color="auto"/>
          </w:divBdr>
        </w:div>
        <w:div w:id="1642424830">
          <w:marLeft w:val="0"/>
          <w:marRight w:val="0"/>
          <w:marTop w:val="0"/>
          <w:marBottom w:val="0"/>
          <w:divBdr>
            <w:top w:val="none" w:sz="0" w:space="0" w:color="auto"/>
            <w:left w:val="none" w:sz="0" w:space="0" w:color="auto"/>
            <w:bottom w:val="none" w:sz="0" w:space="0" w:color="auto"/>
            <w:right w:val="none" w:sz="0" w:space="0" w:color="auto"/>
          </w:divBdr>
        </w:div>
        <w:div w:id="1293364764">
          <w:marLeft w:val="0"/>
          <w:marRight w:val="0"/>
          <w:marTop w:val="0"/>
          <w:marBottom w:val="0"/>
          <w:divBdr>
            <w:top w:val="none" w:sz="0" w:space="0" w:color="auto"/>
            <w:left w:val="none" w:sz="0" w:space="0" w:color="auto"/>
            <w:bottom w:val="none" w:sz="0" w:space="0" w:color="auto"/>
            <w:right w:val="none" w:sz="0" w:space="0" w:color="auto"/>
          </w:divBdr>
        </w:div>
      </w:divsChild>
    </w:div>
    <w:div w:id="1873417576">
      <w:bodyDiv w:val="1"/>
      <w:marLeft w:val="0"/>
      <w:marRight w:val="0"/>
      <w:marTop w:val="0"/>
      <w:marBottom w:val="0"/>
      <w:divBdr>
        <w:top w:val="none" w:sz="0" w:space="0" w:color="auto"/>
        <w:left w:val="none" w:sz="0" w:space="0" w:color="auto"/>
        <w:bottom w:val="none" w:sz="0" w:space="0" w:color="auto"/>
        <w:right w:val="none" w:sz="0" w:space="0" w:color="auto"/>
      </w:divBdr>
      <w:divsChild>
        <w:div w:id="1582837876">
          <w:marLeft w:val="0"/>
          <w:marRight w:val="0"/>
          <w:marTop w:val="0"/>
          <w:marBottom w:val="0"/>
          <w:divBdr>
            <w:top w:val="none" w:sz="0" w:space="0" w:color="auto"/>
            <w:left w:val="none" w:sz="0" w:space="0" w:color="auto"/>
            <w:bottom w:val="none" w:sz="0" w:space="0" w:color="auto"/>
            <w:right w:val="none" w:sz="0" w:space="0" w:color="auto"/>
          </w:divBdr>
          <w:divsChild>
            <w:div w:id="44565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624577">
      <w:bodyDiv w:val="1"/>
      <w:marLeft w:val="0"/>
      <w:marRight w:val="0"/>
      <w:marTop w:val="0"/>
      <w:marBottom w:val="0"/>
      <w:divBdr>
        <w:top w:val="none" w:sz="0" w:space="0" w:color="auto"/>
        <w:left w:val="none" w:sz="0" w:space="0" w:color="auto"/>
        <w:bottom w:val="none" w:sz="0" w:space="0" w:color="auto"/>
        <w:right w:val="none" w:sz="0" w:space="0" w:color="auto"/>
      </w:divBdr>
      <w:divsChild>
        <w:div w:id="1150441135">
          <w:marLeft w:val="0"/>
          <w:marRight w:val="0"/>
          <w:marTop w:val="0"/>
          <w:marBottom w:val="0"/>
          <w:divBdr>
            <w:top w:val="none" w:sz="0" w:space="0" w:color="auto"/>
            <w:left w:val="none" w:sz="0" w:space="0" w:color="auto"/>
            <w:bottom w:val="none" w:sz="0" w:space="0" w:color="auto"/>
            <w:right w:val="none" w:sz="0" w:space="0" w:color="auto"/>
          </w:divBdr>
        </w:div>
        <w:div w:id="374276733">
          <w:marLeft w:val="0"/>
          <w:marRight w:val="0"/>
          <w:marTop w:val="0"/>
          <w:marBottom w:val="0"/>
          <w:divBdr>
            <w:top w:val="none" w:sz="0" w:space="0" w:color="auto"/>
            <w:left w:val="none" w:sz="0" w:space="0" w:color="auto"/>
            <w:bottom w:val="none" w:sz="0" w:space="0" w:color="auto"/>
            <w:right w:val="none" w:sz="0" w:space="0" w:color="auto"/>
          </w:divBdr>
        </w:div>
      </w:divsChild>
    </w:div>
    <w:div w:id="1895460723">
      <w:bodyDiv w:val="1"/>
      <w:marLeft w:val="0"/>
      <w:marRight w:val="0"/>
      <w:marTop w:val="0"/>
      <w:marBottom w:val="0"/>
      <w:divBdr>
        <w:top w:val="none" w:sz="0" w:space="0" w:color="auto"/>
        <w:left w:val="none" w:sz="0" w:space="0" w:color="auto"/>
        <w:bottom w:val="none" w:sz="0" w:space="0" w:color="auto"/>
        <w:right w:val="none" w:sz="0" w:space="0" w:color="auto"/>
      </w:divBdr>
      <w:divsChild>
        <w:div w:id="896085177">
          <w:marLeft w:val="0"/>
          <w:marRight w:val="0"/>
          <w:marTop w:val="0"/>
          <w:marBottom w:val="0"/>
          <w:divBdr>
            <w:top w:val="none" w:sz="0" w:space="0" w:color="auto"/>
            <w:left w:val="none" w:sz="0" w:space="0" w:color="auto"/>
            <w:bottom w:val="none" w:sz="0" w:space="0" w:color="auto"/>
            <w:right w:val="none" w:sz="0" w:space="0" w:color="auto"/>
          </w:divBdr>
        </w:div>
        <w:div w:id="1361474084">
          <w:marLeft w:val="0"/>
          <w:marRight w:val="0"/>
          <w:marTop w:val="0"/>
          <w:marBottom w:val="0"/>
          <w:divBdr>
            <w:top w:val="none" w:sz="0" w:space="0" w:color="auto"/>
            <w:left w:val="none" w:sz="0" w:space="0" w:color="auto"/>
            <w:bottom w:val="none" w:sz="0" w:space="0" w:color="auto"/>
            <w:right w:val="none" w:sz="0" w:space="0" w:color="auto"/>
          </w:divBdr>
        </w:div>
      </w:divsChild>
    </w:div>
    <w:div w:id="1922375197">
      <w:bodyDiv w:val="1"/>
      <w:marLeft w:val="0"/>
      <w:marRight w:val="0"/>
      <w:marTop w:val="0"/>
      <w:marBottom w:val="0"/>
      <w:divBdr>
        <w:top w:val="none" w:sz="0" w:space="0" w:color="auto"/>
        <w:left w:val="none" w:sz="0" w:space="0" w:color="auto"/>
        <w:bottom w:val="none" w:sz="0" w:space="0" w:color="auto"/>
        <w:right w:val="none" w:sz="0" w:space="0" w:color="auto"/>
      </w:divBdr>
      <w:divsChild>
        <w:div w:id="1198085009">
          <w:marLeft w:val="0"/>
          <w:marRight w:val="0"/>
          <w:marTop w:val="0"/>
          <w:marBottom w:val="0"/>
          <w:divBdr>
            <w:top w:val="none" w:sz="0" w:space="0" w:color="auto"/>
            <w:left w:val="none" w:sz="0" w:space="0" w:color="auto"/>
            <w:bottom w:val="none" w:sz="0" w:space="0" w:color="auto"/>
            <w:right w:val="none" w:sz="0" w:space="0" w:color="auto"/>
          </w:divBdr>
        </w:div>
        <w:div w:id="169954550">
          <w:marLeft w:val="0"/>
          <w:marRight w:val="0"/>
          <w:marTop w:val="0"/>
          <w:marBottom w:val="0"/>
          <w:divBdr>
            <w:top w:val="none" w:sz="0" w:space="0" w:color="auto"/>
            <w:left w:val="none" w:sz="0" w:space="0" w:color="auto"/>
            <w:bottom w:val="none" w:sz="0" w:space="0" w:color="auto"/>
            <w:right w:val="none" w:sz="0" w:space="0" w:color="auto"/>
          </w:divBdr>
        </w:div>
        <w:div w:id="424111255">
          <w:marLeft w:val="0"/>
          <w:marRight w:val="0"/>
          <w:marTop w:val="0"/>
          <w:marBottom w:val="0"/>
          <w:divBdr>
            <w:top w:val="none" w:sz="0" w:space="0" w:color="auto"/>
            <w:left w:val="none" w:sz="0" w:space="0" w:color="auto"/>
            <w:bottom w:val="none" w:sz="0" w:space="0" w:color="auto"/>
            <w:right w:val="none" w:sz="0" w:space="0" w:color="auto"/>
          </w:divBdr>
        </w:div>
      </w:divsChild>
    </w:div>
    <w:div w:id="1929389996">
      <w:bodyDiv w:val="1"/>
      <w:marLeft w:val="0"/>
      <w:marRight w:val="0"/>
      <w:marTop w:val="0"/>
      <w:marBottom w:val="0"/>
      <w:divBdr>
        <w:top w:val="none" w:sz="0" w:space="0" w:color="auto"/>
        <w:left w:val="none" w:sz="0" w:space="0" w:color="auto"/>
        <w:bottom w:val="none" w:sz="0" w:space="0" w:color="auto"/>
        <w:right w:val="none" w:sz="0" w:space="0" w:color="auto"/>
      </w:divBdr>
      <w:divsChild>
        <w:div w:id="229118284">
          <w:marLeft w:val="0"/>
          <w:marRight w:val="0"/>
          <w:marTop w:val="0"/>
          <w:marBottom w:val="0"/>
          <w:divBdr>
            <w:top w:val="none" w:sz="0" w:space="0" w:color="auto"/>
            <w:left w:val="none" w:sz="0" w:space="0" w:color="auto"/>
            <w:bottom w:val="none" w:sz="0" w:space="0" w:color="auto"/>
            <w:right w:val="none" w:sz="0" w:space="0" w:color="auto"/>
          </w:divBdr>
        </w:div>
        <w:div w:id="576403147">
          <w:marLeft w:val="0"/>
          <w:marRight w:val="0"/>
          <w:marTop w:val="0"/>
          <w:marBottom w:val="0"/>
          <w:divBdr>
            <w:top w:val="none" w:sz="0" w:space="0" w:color="auto"/>
            <w:left w:val="none" w:sz="0" w:space="0" w:color="auto"/>
            <w:bottom w:val="none" w:sz="0" w:space="0" w:color="auto"/>
            <w:right w:val="none" w:sz="0" w:space="0" w:color="auto"/>
          </w:divBdr>
        </w:div>
        <w:div w:id="651566937">
          <w:marLeft w:val="0"/>
          <w:marRight w:val="0"/>
          <w:marTop w:val="0"/>
          <w:marBottom w:val="0"/>
          <w:divBdr>
            <w:top w:val="none" w:sz="0" w:space="0" w:color="auto"/>
            <w:left w:val="none" w:sz="0" w:space="0" w:color="auto"/>
            <w:bottom w:val="none" w:sz="0" w:space="0" w:color="auto"/>
            <w:right w:val="none" w:sz="0" w:space="0" w:color="auto"/>
          </w:divBdr>
        </w:div>
        <w:div w:id="395324843">
          <w:marLeft w:val="0"/>
          <w:marRight w:val="0"/>
          <w:marTop w:val="0"/>
          <w:marBottom w:val="0"/>
          <w:divBdr>
            <w:top w:val="none" w:sz="0" w:space="0" w:color="auto"/>
            <w:left w:val="none" w:sz="0" w:space="0" w:color="auto"/>
            <w:bottom w:val="none" w:sz="0" w:space="0" w:color="auto"/>
            <w:right w:val="none" w:sz="0" w:space="0" w:color="auto"/>
          </w:divBdr>
        </w:div>
        <w:div w:id="2111274302">
          <w:marLeft w:val="0"/>
          <w:marRight w:val="0"/>
          <w:marTop w:val="0"/>
          <w:marBottom w:val="0"/>
          <w:divBdr>
            <w:top w:val="none" w:sz="0" w:space="0" w:color="auto"/>
            <w:left w:val="none" w:sz="0" w:space="0" w:color="auto"/>
            <w:bottom w:val="none" w:sz="0" w:space="0" w:color="auto"/>
            <w:right w:val="none" w:sz="0" w:space="0" w:color="auto"/>
          </w:divBdr>
        </w:div>
      </w:divsChild>
    </w:div>
    <w:div w:id="1949121030">
      <w:bodyDiv w:val="1"/>
      <w:marLeft w:val="0"/>
      <w:marRight w:val="0"/>
      <w:marTop w:val="0"/>
      <w:marBottom w:val="0"/>
      <w:divBdr>
        <w:top w:val="none" w:sz="0" w:space="0" w:color="auto"/>
        <w:left w:val="none" w:sz="0" w:space="0" w:color="auto"/>
        <w:bottom w:val="none" w:sz="0" w:space="0" w:color="auto"/>
        <w:right w:val="none" w:sz="0" w:space="0" w:color="auto"/>
      </w:divBdr>
      <w:divsChild>
        <w:div w:id="1347099145">
          <w:marLeft w:val="0"/>
          <w:marRight w:val="0"/>
          <w:marTop w:val="0"/>
          <w:marBottom w:val="0"/>
          <w:divBdr>
            <w:top w:val="none" w:sz="0" w:space="0" w:color="auto"/>
            <w:left w:val="none" w:sz="0" w:space="0" w:color="auto"/>
            <w:bottom w:val="none" w:sz="0" w:space="0" w:color="auto"/>
            <w:right w:val="none" w:sz="0" w:space="0" w:color="auto"/>
          </w:divBdr>
        </w:div>
        <w:div w:id="1235581147">
          <w:marLeft w:val="0"/>
          <w:marRight w:val="0"/>
          <w:marTop w:val="0"/>
          <w:marBottom w:val="0"/>
          <w:divBdr>
            <w:top w:val="none" w:sz="0" w:space="0" w:color="auto"/>
            <w:left w:val="none" w:sz="0" w:space="0" w:color="auto"/>
            <w:bottom w:val="none" w:sz="0" w:space="0" w:color="auto"/>
            <w:right w:val="none" w:sz="0" w:space="0" w:color="auto"/>
          </w:divBdr>
        </w:div>
        <w:div w:id="322469387">
          <w:marLeft w:val="0"/>
          <w:marRight w:val="0"/>
          <w:marTop w:val="0"/>
          <w:marBottom w:val="0"/>
          <w:divBdr>
            <w:top w:val="none" w:sz="0" w:space="0" w:color="auto"/>
            <w:left w:val="none" w:sz="0" w:space="0" w:color="auto"/>
            <w:bottom w:val="none" w:sz="0" w:space="0" w:color="auto"/>
            <w:right w:val="none" w:sz="0" w:space="0" w:color="auto"/>
          </w:divBdr>
        </w:div>
        <w:div w:id="569581110">
          <w:marLeft w:val="0"/>
          <w:marRight w:val="0"/>
          <w:marTop w:val="0"/>
          <w:marBottom w:val="0"/>
          <w:divBdr>
            <w:top w:val="none" w:sz="0" w:space="0" w:color="auto"/>
            <w:left w:val="none" w:sz="0" w:space="0" w:color="auto"/>
            <w:bottom w:val="none" w:sz="0" w:space="0" w:color="auto"/>
            <w:right w:val="none" w:sz="0" w:space="0" w:color="auto"/>
          </w:divBdr>
        </w:div>
        <w:div w:id="127012818">
          <w:marLeft w:val="0"/>
          <w:marRight w:val="0"/>
          <w:marTop w:val="0"/>
          <w:marBottom w:val="0"/>
          <w:divBdr>
            <w:top w:val="none" w:sz="0" w:space="0" w:color="auto"/>
            <w:left w:val="none" w:sz="0" w:space="0" w:color="auto"/>
            <w:bottom w:val="none" w:sz="0" w:space="0" w:color="auto"/>
            <w:right w:val="none" w:sz="0" w:space="0" w:color="auto"/>
          </w:divBdr>
        </w:div>
      </w:divsChild>
    </w:div>
    <w:div w:id="1952200596">
      <w:bodyDiv w:val="1"/>
      <w:marLeft w:val="0"/>
      <w:marRight w:val="0"/>
      <w:marTop w:val="0"/>
      <w:marBottom w:val="0"/>
      <w:divBdr>
        <w:top w:val="none" w:sz="0" w:space="0" w:color="auto"/>
        <w:left w:val="none" w:sz="0" w:space="0" w:color="auto"/>
        <w:bottom w:val="none" w:sz="0" w:space="0" w:color="auto"/>
        <w:right w:val="none" w:sz="0" w:space="0" w:color="auto"/>
      </w:divBdr>
      <w:divsChild>
        <w:div w:id="1546679591">
          <w:marLeft w:val="0"/>
          <w:marRight w:val="0"/>
          <w:marTop w:val="0"/>
          <w:marBottom w:val="0"/>
          <w:divBdr>
            <w:top w:val="none" w:sz="0" w:space="0" w:color="auto"/>
            <w:left w:val="none" w:sz="0" w:space="0" w:color="auto"/>
            <w:bottom w:val="none" w:sz="0" w:space="0" w:color="auto"/>
            <w:right w:val="none" w:sz="0" w:space="0" w:color="auto"/>
          </w:divBdr>
        </w:div>
        <w:div w:id="104350783">
          <w:marLeft w:val="0"/>
          <w:marRight w:val="0"/>
          <w:marTop w:val="0"/>
          <w:marBottom w:val="0"/>
          <w:divBdr>
            <w:top w:val="none" w:sz="0" w:space="0" w:color="auto"/>
            <w:left w:val="none" w:sz="0" w:space="0" w:color="auto"/>
            <w:bottom w:val="none" w:sz="0" w:space="0" w:color="auto"/>
            <w:right w:val="none" w:sz="0" w:space="0" w:color="auto"/>
          </w:divBdr>
        </w:div>
        <w:div w:id="1281107486">
          <w:marLeft w:val="0"/>
          <w:marRight w:val="0"/>
          <w:marTop w:val="0"/>
          <w:marBottom w:val="0"/>
          <w:divBdr>
            <w:top w:val="none" w:sz="0" w:space="0" w:color="auto"/>
            <w:left w:val="none" w:sz="0" w:space="0" w:color="auto"/>
            <w:bottom w:val="none" w:sz="0" w:space="0" w:color="auto"/>
            <w:right w:val="none" w:sz="0" w:space="0" w:color="auto"/>
          </w:divBdr>
        </w:div>
        <w:div w:id="1666127116">
          <w:marLeft w:val="0"/>
          <w:marRight w:val="0"/>
          <w:marTop w:val="0"/>
          <w:marBottom w:val="0"/>
          <w:divBdr>
            <w:top w:val="none" w:sz="0" w:space="0" w:color="auto"/>
            <w:left w:val="none" w:sz="0" w:space="0" w:color="auto"/>
            <w:bottom w:val="none" w:sz="0" w:space="0" w:color="auto"/>
            <w:right w:val="none" w:sz="0" w:space="0" w:color="auto"/>
          </w:divBdr>
        </w:div>
      </w:divsChild>
    </w:div>
    <w:div w:id="1980112257">
      <w:bodyDiv w:val="1"/>
      <w:marLeft w:val="0"/>
      <w:marRight w:val="0"/>
      <w:marTop w:val="0"/>
      <w:marBottom w:val="0"/>
      <w:divBdr>
        <w:top w:val="none" w:sz="0" w:space="0" w:color="auto"/>
        <w:left w:val="none" w:sz="0" w:space="0" w:color="auto"/>
        <w:bottom w:val="none" w:sz="0" w:space="0" w:color="auto"/>
        <w:right w:val="none" w:sz="0" w:space="0" w:color="auto"/>
      </w:divBdr>
      <w:divsChild>
        <w:div w:id="1588080466">
          <w:marLeft w:val="0"/>
          <w:marRight w:val="0"/>
          <w:marTop w:val="0"/>
          <w:marBottom w:val="0"/>
          <w:divBdr>
            <w:top w:val="none" w:sz="0" w:space="0" w:color="auto"/>
            <w:left w:val="none" w:sz="0" w:space="0" w:color="auto"/>
            <w:bottom w:val="none" w:sz="0" w:space="0" w:color="auto"/>
            <w:right w:val="none" w:sz="0" w:space="0" w:color="auto"/>
          </w:divBdr>
        </w:div>
        <w:div w:id="1951618921">
          <w:marLeft w:val="0"/>
          <w:marRight w:val="0"/>
          <w:marTop w:val="0"/>
          <w:marBottom w:val="0"/>
          <w:divBdr>
            <w:top w:val="none" w:sz="0" w:space="0" w:color="auto"/>
            <w:left w:val="none" w:sz="0" w:space="0" w:color="auto"/>
            <w:bottom w:val="none" w:sz="0" w:space="0" w:color="auto"/>
            <w:right w:val="none" w:sz="0" w:space="0" w:color="auto"/>
          </w:divBdr>
        </w:div>
        <w:div w:id="57821459">
          <w:marLeft w:val="0"/>
          <w:marRight w:val="0"/>
          <w:marTop w:val="0"/>
          <w:marBottom w:val="0"/>
          <w:divBdr>
            <w:top w:val="none" w:sz="0" w:space="0" w:color="auto"/>
            <w:left w:val="none" w:sz="0" w:space="0" w:color="auto"/>
            <w:bottom w:val="none" w:sz="0" w:space="0" w:color="auto"/>
            <w:right w:val="none" w:sz="0" w:space="0" w:color="auto"/>
          </w:divBdr>
        </w:div>
        <w:div w:id="232618370">
          <w:marLeft w:val="0"/>
          <w:marRight w:val="0"/>
          <w:marTop w:val="0"/>
          <w:marBottom w:val="0"/>
          <w:divBdr>
            <w:top w:val="none" w:sz="0" w:space="0" w:color="auto"/>
            <w:left w:val="none" w:sz="0" w:space="0" w:color="auto"/>
            <w:bottom w:val="none" w:sz="0" w:space="0" w:color="auto"/>
            <w:right w:val="none" w:sz="0" w:space="0" w:color="auto"/>
          </w:divBdr>
        </w:div>
        <w:div w:id="695811311">
          <w:marLeft w:val="0"/>
          <w:marRight w:val="0"/>
          <w:marTop w:val="0"/>
          <w:marBottom w:val="0"/>
          <w:divBdr>
            <w:top w:val="none" w:sz="0" w:space="0" w:color="auto"/>
            <w:left w:val="none" w:sz="0" w:space="0" w:color="auto"/>
            <w:bottom w:val="none" w:sz="0" w:space="0" w:color="auto"/>
            <w:right w:val="none" w:sz="0" w:space="0" w:color="auto"/>
          </w:divBdr>
        </w:div>
        <w:div w:id="910316217">
          <w:marLeft w:val="0"/>
          <w:marRight w:val="0"/>
          <w:marTop w:val="0"/>
          <w:marBottom w:val="0"/>
          <w:divBdr>
            <w:top w:val="none" w:sz="0" w:space="0" w:color="auto"/>
            <w:left w:val="none" w:sz="0" w:space="0" w:color="auto"/>
            <w:bottom w:val="none" w:sz="0" w:space="0" w:color="auto"/>
            <w:right w:val="none" w:sz="0" w:space="0" w:color="auto"/>
          </w:divBdr>
        </w:div>
        <w:div w:id="754789832">
          <w:marLeft w:val="0"/>
          <w:marRight w:val="0"/>
          <w:marTop w:val="0"/>
          <w:marBottom w:val="0"/>
          <w:divBdr>
            <w:top w:val="none" w:sz="0" w:space="0" w:color="auto"/>
            <w:left w:val="none" w:sz="0" w:space="0" w:color="auto"/>
            <w:bottom w:val="none" w:sz="0" w:space="0" w:color="auto"/>
            <w:right w:val="none" w:sz="0" w:space="0" w:color="auto"/>
          </w:divBdr>
        </w:div>
      </w:divsChild>
    </w:div>
    <w:div w:id="1993825381">
      <w:bodyDiv w:val="1"/>
      <w:marLeft w:val="0"/>
      <w:marRight w:val="0"/>
      <w:marTop w:val="0"/>
      <w:marBottom w:val="0"/>
      <w:divBdr>
        <w:top w:val="none" w:sz="0" w:space="0" w:color="auto"/>
        <w:left w:val="none" w:sz="0" w:space="0" w:color="auto"/>
        <w:bottom w:val="none" w:sz="0" w:space="0" w:color="auto"/>
        <w:right w:val="none" w:sz="0" w:space="0" w:color="auto"/>
      </w:divBdr>
      <w:divsChild>
        <w:div w:id="1795900194">
          <w:marLeft w:val="0"/>
          <w:marRight w:val="0"/>
          <w:marTop w:val="0"/>
          <w:marBottom w:val="0"/>
          <w:divBdr>
            <w:top w:val="none" w:sz="0" w:space="0" w:color="auto"/>
            <w:left w:val="none" w:sz="0" w:space="0" w:color="auto"/>
            <w:bottom w:val="none" w:sz="0" w:space="0" w:color="auto"/>
            <w:right w:val="none" w:sz="0" w:space="0" w:color="auto"/>
          </w:divBdr>
        </w:div>
        <w:div w:id="68696888">
          <w:marLeft w:val="0"/>
          <w:marRight w:val="0"/>
          <w:marTop w:val="0"/>
          <w:marBottom w:val="0"/>
          <w:divBdr>
            <w:top w:val="none" w:sz="0" w:space="0" w:color="auto"/>
            <w:left w:val="none" w:sz="0" w:space="0" w:color="auto"/>
            <w:bottom w:val="none" w:sz="0" w:space="0" w:color="auto"/>
            <w:right w:val="none" w:sz="0" w:space="0" w:color="auto"/>
          </w:divBdr>
        </w:div>
      </w:divsChild>
    </w:div>
    <w:div w:id="2008288019">
      <w:bodyDiv w:val="1"/>
      <w:marLeft w:val="0"/>
      <w:marRight w:val="0"/>
      <w:marTop w:val="0"/>
      <w:marBottom w:val="0"/>
      <w:divBdr>
        <w:top w:val="none" w:sz="0" w:space="0" w:color="auto"/>
        <w:left w:val="none" w:sz="0" w:space="0" w:color="auto"/>
        <w:bottom w:val="none" w:sz="0" w:space="0" w:color="auto"/>
        <w:right w:val="none" w:sz="0" w:space="0" w:color="auto"/>
      </w:divBdr>
      <w:divsChild>
        <w:div w:id="360667752">
          <w:marLeft w:val="0"/>
          <w:marRight w:val="0"/>
          <w:marTop w:val="0"/>
          <w:marBottom w:val="0"/>
          <w:divBdr>
            <w:top w:val="none" w:sz="0" w:space="0" w:color="auto"/>
            <w:left w:val="none" w:sz="0" w:space="0" w:color="auto"/>
            <w:bottom w:val="none" w:sz="0" w:space="0" w:color="auto"/>
            <w:right w:val="none" w:sz="0" w:space="0" w:color="auto"/>
          </w:divBdr>
        </w:div>
        <w:div w:id="1595702789">
          <w:marLeft w:val="0"/>
          <w:marRight w:val="0"/>
          <w:marTop w:val="0"/>
          <w:marBottom w:val="0"/>
          <w:divBdr>
            <w:top w:val="none" w:sz="0" w:space="0" w:color="auto"/>
            <w:left w:val="none" w:sz="0" w:space="0" w:color="auto"/>
            <w:bottom w:val="none" w:sz="0" w:space="0" w:color="auto"/>
            <w:right w:val="none" w:sz="0" w:space="0" w:color="auto"/>
          </w:divBdr>
        </w:div>
        <w:div w:id="825513666">
          <w:marLeft w:val="0"/>
          <w:marRight w:val="0"/>
          <w:marTop w:val="0"/>
          <w:marBottom w:val="0"/>
          <w:divBdr>
            <w:top w:val="none" w:sz="0" w:space="0" w:color="auto"/>
            <w:left w:val="none" w:sz="0" w:space="0" w:color="auto"/>
            <w:bottom w:val="none" w:sz="0" w:space="0" w:color="auto"/>
            <w:right w:val="none" w:sz="0" w:space="0" w:color="auto"/>
          </w:divBdr>
        </w:div>
        <w:div w:id="67962352">
          <w:marLeft w:val="0"/>
          <w:marRight w:val="0"/>
          <w:marTop w:val="0"/>
          <w:marBottom w:val="0"/>
          <w:divBdr>
            <w:top w:val="none" w:sz="0" w:space="0" w:color="auto"/>
            <w:left w:val="none" w:sz="0" w:space="0" w:color="auto"/>
            <w:bottom w:val="none" w:sz="0" w:space="0" w:color="auto"/>
            <w:right w:val="none" w:sz="0" w:space="0" w:color="auto"/>
          </w:divBdr>
        </w:div>
        <w:div w:id="1344362736">
          <w:marLeft w:val="0"/>
          <w:marRight w:val="0"/>
          <w:marTop w:val="0"/>
          <w:marBottom w:val="0"/>
          <w:divBdr>
            <w:top w:val="none" w:sz="0" w:space="0" w:color="auto"/>
            <w:left w:val="none" w:sz="0" w:space="0" w:color="auto"/>
            <w:bottom w:val="none" w:sz="0" w:space="0" w:color="auto"/>
            <w:right w:val="none" w:sz="0" w:space="0" w:color="auto"/>
          </w:divBdr>
        </w:div>
        <w:div w:id="243881439">
          <w:marLeft w:val="0"/>
          <w:marRight w:val="0"/>
          <w:marTop w:val="0"/>
          <w:marBottom w:val="0"/>
          <w:divBdr>
            <w:top w:val="none" w:sz="0" w:space="0" w:color="auto"/>
            <w:left w:val="none" w:sz="0" w:space="0" w:color="auto"/>
            <w:bottom w:val="none" w:sz="0" w:space="0" w:color="auto"/>
            <w:right w:val="none" w:sz="0" w:space="0" w:color="auto"/>
          </w:divBdr>
        </w:div>
        <w:div w:id="1784349378">
          <w:marLeft w:val="0"/>
          <w:marRight w:val="0"/>
          <w:marTop w:val="0"/>
          <w:marBottom w:val="0"/>
          <w:divBdr>
            <w:top w:val="none" w:sz="0" w:space="0" w:color="auto"/>
            <w:left w:val="none" w:sz="0" w:space="0" w:color="auto"/>
            <w:bottom w:val="none" w:sz="0" w:space="0" w:color="auto"/>
            <w:right w:val="none" w:sz="0" w:space="0" w:color="auto"/>
          </w:divBdr>
        </w:div>
        <w:div w:id="1560019071">
          <w:marLeft w:val="0"/>
          <w:marRight w:val="0"/>
          <w:marTop w:val="0"/>
          <w:marBottom w:val="0"/>
          <w:divBdr>
            <w:top w:val="none" w:sz="0" w:space="0" w:color="auto"/>
            <w:left w:val="none" w:sz="0" w:space="0" w:color="auto"/>
            <w:bottom w:val="none" w:sz="0" w:space="0" w:color="auto"/>
            <w:right w:val="none" w:sz="0" w:space="0" w:color="auto"/>
          </w:divBdr>
        </w:div>
        <w:div w:id="284234194">
          <w:marLeft w:val="0"/>
          <w:marRight w:val="0"/>
          <w:marTop w:val="0"/>
          <w:marBottom w:val="0"/>
          <w:divBdr>
            <w:top w:val="none" w:sz="0" w:space="0" w:color="auto"/>
            <w:left w:val="none" w:sz="0" w:space="0" w:color="auto"/>
            <w:bottom w:val="none" w:sz="0" w:space="0" w:color="auto"/>
            <w:right w:val="none" w:sz="0" w:space="0" w:color="auto"/>
          </w:divBdr>
        </w:div>
        <w:div w:id="804158434">
          <w:marLeft w:val="0"/>
          <w:marRight w:val="0"/>
          <w:marTop w:val="0"/>
          <w:marBottom w:val="0"/>
          <w:divBdr>
            <w:top w:val="none" w:sz="0" w:space="0" w:color="auto"/>
            <w:left w:val="none" w:sz="0" w:space="0" w:color="auto"/>
            <w:bottom w:val="none" w:sz="0" w:space="0" w:color="auto"/>
            <w:right w:val="none" w:sz="0" w:space="0" w:color="auto"/>
          </w:divBdr>
        </w:div>
        <w:div w:id="828253309">
          <w:marLeft w:val="0"/>
          <w:marRight w:val="0"/>
          <w:marTop w:val="0"/>
          <w:marBottom w:val="0"/>
          <w:divBdr>
            <w:top w:val="none" w:sz="0" w:space="0" w:color="auto"/>
            <w:left w:val="none" w:sz="0" w:space="0" w:color="auto"/>
            <w:bottom w:val="none" w:sz="0" w:space="0" w:color="auto"/>
            <w:right w:val="none" w:sz="0" w:space="0" w:color="auto"/>
          </w:divBdr>
        </w:div>
        <w:div w:id="1676835430">
          <w:marLeft w:val="0"/>
          <w:marRight w:val="0"/>
          <w:marTop w:val="0"/>
          <w:marBottom w:val="0"/>
          <w:divBdr>
            <w:top w:val="none" w:sz="0" w:space="0" w:color="auto"/>
            <w:left w:val="none" w:sz="0" w:space="0" w:color="auto"/>
            <w:bottom w:val="none" w:sz="0" w:space="0" w:color="auto"/>
            <w:right w:val="none" w:sz="0" w:space="0" w:color="auto"/>
          </w:divBdr>
        </w:div>
        <w:div w:id="1428229883">
          <w:marLeft w:val="0"/>
          <w:marRight w:val="0"/>
          <w:marTop w:val="0"/>
          <w:marBottom w:val="0"/>
          <w:divBdr>
            <w:top w:val="none" w:sz="0" w:space="0" w:color="auto"/>
            <w:left w:val="none" w:sz="0" w:space="0" w:color="auto"/>
            <w:bottom w:val="none" w:sz="0" w:space="0" w:color="auto"/>
            <w:right w:val="none" w:sz="0" w:space="0" w:color="auto"/>
          </w:divBdr>
        </w:div>
        <w:div w:id="1249192587">
          <w:marLeft w:val="0"/>
          <w:marRight w:val="0"/>
          <w:marTop w:val="0"/>
          <w:marBottom w:val="0"/>
          <w:divBdr>
            <w:top w:val="none" w:sz="0" w:space="0" w:color="auto"/>
            <w:left w:val="none" w:sz="0" w:space="0" w:color="auto"/>
            <w:bottom w:val="none" w:sz="0" w:space="0" w:color="auto"/>
            <w:right w:val="none" w:sz="0" w:space="0" w:color="auto"/>
          </w:divBdr>
        </w:div>
        <w:div w:id="902762523">
          <w:marLeft w:val="0"/>
          <w:marRight w:val="0"/>
          <w:marTop w:val="0"/>
          <w:marBottom w:val="0"/>
          <w:divBdr>
            <w:top w:val="none" w:sz="0" w:space="0" w:color="auto"/>
            <w:left w:val="none" w:sz="0" w:space="0" w:color="auto"/>
            <w:bottom w:val="none" w:sz="0" w:space="0" w:color="auto"/>
            <w:right w:val="none" w:sz="0" w:space="0" w:color="auto"/>
          </w:divBdr>
        </w:div>
        <w:div w:id="1555776908">
          <w:marLeft w:val="0"/>
          <w:marRight w:val="0"/>
          <w:marTop w:val="0"/>
          <w:marBottom w:val="0"/>
          <w:divBdr>
            <w:top w:val="none" w:sz="0" w:space="0" w:color="auto"/>
            <w:left w:val="none" w:sz="0" w:space="0" w:color="auto"/>
            <w:bottom w:val="none" w:sz="0" w:space="0" w:color="auto"/>
            <w:right w:val="none" w:sz="0" w:space="0" w:color="auto"/>
          </w:divBdr>
        </w:div>
        <w:div w:id="572786388">
          <w:marLeft w:val="0"/>
          <w:marRight w:val="0"/>
          <w:marTop w:val="0"/>
          <w:marBottom w:val="0"/>
          <w:divBdr>
            <w:top w:val="none" w:sz="0" w:space="0" w:color="auto"/>
            <w:left w:val="none" w:sz="0" w:space="0" w:color="auto"/>
            <w:bottom w:val="none" w:sz="0" w:space="0" w:color="auto"/>
            <w:right w:val="none" w:sz="0" w:space="0" w:color="auto"/>
          </w:divBdr>
        </w:div>
      </w:divsChild>
    </w:div>
    <w:div w:id="2054227049">
      <w:bodyDiv w:val="1"/>
      <w:marLeft w:val="0"/>
      <w:marRight w:val="0"/>
      <w:marTop w:val="0"/>
      <w:marBottom w:val="0"/>
      <w:divBdr>
        <w:top w:val="none" w:sz="0" w:space="0" w:color="auto"/>
        <w:left w:val="none" w:sz="0" w:space="0" w:color="auto"/>
        <w:bottom w:val="none" w:sz="0" w:space="0" w:color="auto"/>
        <w:right w:val="none" w:sz="0" w:space="0" w:color="auto"/>
      </w:divBdr>
      <w:divsChild>
        <w:div w:id="531726264">
          <w:marLeft w:val="0"/>
          <w:marRight w:val="0"/>
          <w:marTop w:val="0"/>
          <w:marBottom w:val="0"/>
          <w:divBdr>
            <w:top w:val="none" w:sz="0" w:space="0" w:color="auto"/>
            <w:left w:val="none" w:sz="0" w:space="0" w:color="auto"/>
            <w:bottom w:val="none" w:sz="0" w:space="0" w:color="auto"/>
            <w:right w:val="none" w:sz="0" w:space="0" w:color="auto"/>
          </w:divBdr>
        </w:div>
        <w:div w:id="1866823400">
          <w:marLeft w:val="0"/>
          <w:marRight w:val="0"/>
          <w:marTop w:val="0"/>
          <w:marBottom w:val="0"/>
          <w:divBdr>
            <w:top w:val="none" w:sz="0" w:space="0" w:color="auto"/>
            <w:left w:val="none" w:sz="0" w:space="0" w:color="auto"/>
            <w:bottom w:val="none" w:sz="0" w:space="0" w:color="auto"/>
            <w:right w:val="none" w:sz="0" w:space="0" w:color="auto"/>
          </w:divBdr>
        </w:div>
        <w:div w:id="1372266535">
          <w:marLeft w:val="0"/>
          <w:marRight w:val="0"/>
          <w:marTop w:val="0"/>
          <w:marBottom w:val="0"/>
          <w:divBdr>
            <w:top w:val="none" w:sz="0" w:space="0" w:color="auto"/>
            <w:left w:val="none" w:sz="0" w:space="0" w:color="auto"/>
            <w:bottom w:val="none" w:sz="0" w:space="0" w:color="auto"/>
            <w:right w:val="none" w:sz="0" w:space="0" w:color="auto"/>
          </w:divBdr>
        </w:div>
      </w:divsChild>
    </w:div>
    <w:div w:id="2065131550">
      <w:bodyDiv w:val="1"/>
      <w:marLeft w:val="0"/>
      <w:marRight w:val="0"/>
      <w:marTop w:val="0"/>
      <w:marBottom w:val="0"/>
      <w:divBdr>
        <w:top w:val="none" w:sz="0" w:space="0" w:color="auto"/>
        <w:left w:val="none" w:sz="0" w:space="0" w:color="auto"/>
        <w:bottom w:val="none" w:sz="0" w:space="0" w:color="auto"/>
        <w:right w:val="none" w:sz="0" w:space="0" w:color="auto"/>
      </w:divBdr>
      <w:divsChild>
        <w:div w:id="867331094">
          <w:marLeft w:val="0"/>
          <w:marRight w:val="0"/>
          <w:marTop w:val="0"/>
          <w:marBottom w:val="0"/>
          <w:divBdr>
            <w:top w:val="none" w:sz="0" w:space="0" w:color="auto"/>
            <w:left w:val="none" w:sz="0" w:space="0" w:color="auto"/>
            <w:bottom w:val="none" w:sz="0" w:space="0" w:color="auto"/>
            <w:right w:val="none" w:sz="0" w:space="0" w:color="auto"/>
          </w:divBdr>
        </w:div>
        <w:div w:id="637344571">
          <w:marLeft w:val="0"/>
          <w:marRight w:val="0"/>
          <w:marTop w:val="0"/>
          <w:marBottom w:val="0"/>
          <w:divBdr>
            <w:top w:val="none" w:sz="0" w:space="0" w:color="auto"/>
            <w:left w:val="none" w:sz="0" w:space="0" w:color="auto"/>
            <w:bottom w:val="none" w:sz="0" w:space="0" w:color="auto"/>
            <w:right w:val="none" w:sz="0" w:space="0" w:color="auto"/>
          </w:divBdr>
        </w:div>
        <w:div w:id="719327561">
          <w:marLeft w:val="0"/>
          <w:marRight w:val="0"/>
          <w:marTop w:val="0"/>
          <w:marBottom w:val="0"/>
          <w:divBdr>
            <w:top w:val="none" w:sz="0" w:space="0" w:color="auto"/>
            <w:left w:val="none" w:sz="0" w:space="0" w:color="auto"/>
            <w:bottom w:val="none" w:sz="0" w:space="0" w:color="auto"/>
            <w:right w:val="none" w:sz="0" w:space="0" w:color="auto"/>
          </w:divBdr>
        </w:div>
        <w:div w:id="775563839">
          <w:marLeft w:val="0"/>
          <w:marRight w:val="0"/>
          <w:marTop w:val="0"/>
          <w:marBottom w:val="0"/>
          <w:divBdr>
            <w:top w:val="none" w:sz="0" w:space="0" w:color="auto"/>
            <w:left w:val="none" w:sz="0" w:space="0" w:color="auto"/>
            <w:bottom w:val="none" w:sz="0" w:space="0" w:color="auto"/>
            <w:right w:val="none" w:sz="0" w:space="0" w:color="auto"/>
          </w:divBdr>
        </w:div>
        <w:div w:id="1061832868">
          <w:marLeft w:val="0"/>
          <w:marRight w:val="0"/>
          <w:marTop w:val="0"/>
          <w:marBottom w:val="0"/>
          <w:divBdr>
            <w:top w:val="none" w:sz="0" w:space="0" w:color="auto"/>
            <w:left w:val="none" w:sz="0" w:space="0" w:color="auto"/>
            <w:bottom w:val="none" w:sz="0" w:space="0" w:color="auto"/>
            <w:right w:val="none" w:sz="0" w:space="0" w:color="auto"/>
          </w:divBdr>
        </w:div>
        <w:div w:id="1385134879">
          <w:marLeft w:val="0"/>
          <w:marRight w:val="0"/>
          <w:marTop w:val="0"/>
          <w:marBottom w:val="0"/>
          <w:divBdr>
            <w:top w:val="none" w:sz="0" w:space="0" w:color="auto"/>
            <w:left w:val="none" w:sz="0" w:space="0" w:color="auto"/>
            <w:bottom w:val="none" w:sz="0" w:space="0" w:color="auto"/>
            <w:right w:val="none" w:sz="0" w:space="0" w:color="auto"/>
          </w:divBdr>
        </w:div>
        <w:div w:id="1976793323">
          <w:marLeft w:val="0"/>
          <w:marRight w:val="0"/>
          <w:marTop w:val="0"/>
          <w:marBottom w:val="0"/>
          <w:divBdr>
            <w:top w:val="none" w:sz="0" w:space="0" w:color="auto"/>
            <w:left w:val="none" w:sz="0" w:space="0" w:color="auto"/>
            <w:bottom w:val="none" w:sz="0" w:space="0" w:color="auto"/>
            <w:right w:val="none" w:sz="0" w:space="0" w:color="auto"/>
          </w:divBdr>
        </w:div>
        <w:div w:id="1917402071">
          <w:marLeft w:val="0"/>
          <w:marRight w:val="0"/>
          <w:marTop w:val="0"/>
          <w:marBottom w:val="0"/>
          <w:divBdr>
            <w:top w:val="none" w:sz="0" w:space="0" w:color="auto"/>
            <w:left w:val="none" w:sz="0" w:space="0" w:color="auto"/>
            <w:bottom w:val="none" w:sz="0" w:space="0" w:color="auto"/>
            <w:right w:val="none" w:sz="0" w:space="0" w:color="auto"/>
          </w:divBdr>
        </w:div>
        <w:div w:id="1124736398">
          <w:marLeft w:val="0"/>
          <w:marRight w:val="0"/>
          <w:marTop w:val="0"/>
          <w:marBottom w:val="0"/>
          <w:divBdr>
            <w:top w:val="none" w:sz="0" w:space="0" w:color="auto"/>
            <w:left w:val="none" w:sz="0" w:space="0" w:color="auto"/>
            <w:bottom w:val="none" w:sz="0" w:space="0" w:color="auto"/>
            <w:right w:val="none" w:sz="0" w:space="0" w:color="auto"/>
          </w:divBdr>
        </w:div>
        <w:div w:id="1525289302">
          <w:marLeft w:val="0"/>
          <w:marRight w:val="0"/>
          <w:marTop w:val="0"/>
          <w:marBottom w:val="0"/>
          <w:divBdr>
            <w:top w:val="none" w:sz="0" w:space="0" w:color="auto"/>
            <w:left w:val="none" w:sz="0" w:space="0" w:color="auto"/>
            <w:bottom w:val="none" w:sz="0" w:space="0" w:color="auto"/>
            <w:right w:val="none" w:sz="0" w:space="0" w:color="auto"/>
          </w:divBdr>
        </w:div>
        <w:div w:id="753206780">
          <w:marLeft w:val="0"/>
          <w:marRight w:val="0"/>
          <w:marTop w:val="0"/>
          <w:marBottom w:val="0"/>
          <w:divBdr>
            <w:top w:val="none" w:sz="0" w:space="0" w:color="auto"/>
            <w:left w:val="none" w:sz="0" w:space="0" w:color="auto"/>
            <w:bottom w:val="none" w:sz="0" w:space="0" w:color="auto"/>
            <w:right w:val="none" w:sz="0" w:space="0" w:color="auto"/>
          </w:divBdr>
        </w:div>
        <w:div w:id="230118659">
          <w:marLeft w:val="0"/>
          <w:marRight w:val="0"/>
          <w:marTop w:val="0"/>
          <w:marBottom w:val="0"/>
          <w:divBdr>
            <w:top w:val="none" w:sz="0" w:space="0" w:color="auto"/>
            <w:left w:val="none" w:sz="0" w:space="0" w:color="auto"/>
            <w:bottom w:val="none" w:sz="0" w:space="0" w:color="auto"/>
            <w:right w:val="none" w:sz="0" w:space="0" w:color="auto"/>
          </w:divBdr>
        </w:div>
        <w:div w:id="2009213438">
          <w:marLeft w:val="0"/>
          <w:marRight w:val="0"/>
          <w:marTop w:val="0"/>
          <w:marBottom w:val="0"/>
          <w:divBdr>
            <w:top w:val="none" w:sz="0" w:space="0" w:color="auto"/>
            <w:left w:val="none" w:sz="0" w:space="0" w:color="auto"/>
            <w:bottom w:val="none" w:sz="0" w:space="0" w:color="auto"/>
            <w:right w:val="none" w:sz="0" w:space="0" w:color="auto"/>
          </w:divBdr>
        </w:div>
        <w:div w:id="352272086">
          <w:marLeft w:val="0"/>
          <w:marRight w:val="0"/>
          <w:marTop w:val="0"/>
          <w:marBottom w:val="0"/>
          <w:divBdr>
            <w:top w:val="none" w:sz="0" w:space="0" w:color="auto"/>
            <w:left w:val="none" w:sz="0" w:space="0" w:color="auto"/>
            <w:bottom w:val="none" w:sz="0" w:space="0" w:color="auto"/>
            <w:right w:val="none" w:sz="0" w:space="0" w:color="auto"/>
          </w:divBdr>
        </w:div>
        <w:div w:id="833572315">
          <w:marLeft w:val="0"/>
          <w:marRight w:val="0"/>
          <w:marTop w:val="0"/>
          <w:marBottom w:val="0"/>
          <w:divBdr>
            <w:top w:val="none" w:sz="0" w:space="0" w:color="auto"/>
            <w:left w:val="none" w:sz="0" w:space="0" w:color="auto"/>
            <w:bottom w:val="none" w:sz="0" w:space="0" w:color="auto"/>
            <w:right w:val="none" w:sz="0" w:space="0" w:color="auto"/>
          </w:divBdr>
        </w:div>
        <w:div w:id="1740471562">
          <w:marLeft w:val="0"/>
          <w:marRight w:val="0"/>
          <w:marTop w:val="0"/>
          <w:marBottom w:val="0"/>
          <w:divBdr>
            <w:top w:val="none" w:sz="0" w:space="0" w:color="auto"/>
            <w:left w:val="none" w:sz="0" w:space="0" w:color="auto"/>
            <w:bottom w:val="none" w:sz="0" w:space="0" w:color="auto"/>
            <w:right w:val="none" w:sz="0" w:space="0" w:color="auto"/>
          </w:divBdr>
        </w:div>
        <w:div w:id="261886712">
          <w:marLeft w:val="0"/>
          <w:marRight w:val="0"/>
          <w:marTop w:val="0"/>
          <w:marBottom w:val="0"/>
          <w:divBdr>
            <w:top w:val="none" w:sz="0" w:space="0" w:color="auto"/>
            <w:left w:val="none" w:sz="0" w:space="0" w:color="auto"/>
            <w:bottom w:val="none" w:sz="0" w:space="0" w:color="auto"/>
            <w:right w:val="none" w:sz="0" w:space="0" w:color="auto"/>
          </w:divBdr>
        </w:div>
        <w:div w:id="857231958">
          <w:marLeft w:val="0"/>
          <w:marRight w:val="0"/>
          <w:marTop w:val="0"/>
          <w:marBottom w:val="0"/>
          <w:divBdr>
            <w:top w:val="none" w:sz="0" w:space="0" w:color="auto"/>
            <w:left w:val="none" w:sz="0" w:space="0" w:color="auto"/>
            <w:bottom w:val="none" w:sz="0" w:space="0" w:color="auto"/>
            <w:right w:val="none" w:sz="0" w:space="0" w:color="auto"/>
          </w:divBdr>
        </w:div>
        <w:div w:id="1084108774">
          <w:marLeft w:val="0"/>
          <w:marRight w:val="0"/>
          <w:marTop w:val="0"/>
          <w:marBottom w:val="0"/>
          <w:divBdr>
            <w:top w:val="none" w:sz="0" w:space="0" w:color="auto"/>
            <w:left w:val="none" w:sz="0" w:space="0" w:color="auto"/>
            <w:bottom w:val="none" w:sz="0" w:space="0" w:color="auto"/>
            <w:right w:val="none" w:sz="0" w:space="0" w:color="auto"/>
          </w:divBdr>
        </w:div>
        <w:div w:id="659114045">
          <w:marLeft w:val="0"/>
          <w:marRight w:val="0"/>
          <w:marTop w:val="0"/>
          <w:marBottom w:val="0"/>
          <w:divBdr>
            <w:top w:val="none" w:sz="0" w:space="0" w:color="auto"/>
            <w:left w:val="none" w:sz="0" w:space="0" w:color="auto"/>
            <w:bottom w:val="none" w:sz="0" w:space="0" w:color="auto"/>
            <w:right w:val="none" w:sz="0" w:space="0" w:color="auto"/>
          </w:divBdr>
        </w:div>
        <w:div w:id="1741173966">
          <w:marLeft w:val="0"/>
          <w:marRight w:val="0"/>
          <w:marTop w:val="0"/>
          <w:marBottom w:val="0"/>
          <w:divBdr>
            <w:top w:val="none" w:sz="0" w:space="0" w:color="auto"/>
            <w:left w:val="none" w:sz="0" w:space="0" w:color="auto"/>
            <w:bottom w:val="none" w:sz="0" w:space="0" w:color="auto"/>
            <w:right w:val="none" w:sz="0" w:space="0" w:color="auto"/>
          </w:divBdr>
        </w:div>
        <w:div w:id="1773740142">
          <w:marLeft w:val="0"/>
          <w:marRight w:val="0"/>
          <w:marTop w:val="0"/>
          <w:marBottom w:val="0"/>
          <w:divBdr>
            <w:top w:val="none" w:sz="0" w:space="0" w:color="auto"/>
            <w:left w:val="none" w:sz="0" w:space="0" w:color="auto"/>
            <w:bottom w:val="none" w:sz="0" w:space="0" w:color="auto"/>
            <w:right w:val="none" w:sz="0" w:space="0" w:color="auto"/>
          </w:divBdr>
        </w:div>
        <w:div w:id="896942254">
          <w:marLeft w:val="0"/>
          <w:marRight w:val="0"/>
          <w:marTop w:val="0"/>
          <w:marBottom w:val="0"/>
          <w:divBdr>
            <w:top w:val="none" w:sz="0" w:space="0" w:color="auto"/>
            <w:left w:val="none" w:sz="0" w:space="0" w:color="auto"/>
            <w:bottom w:val="none" w:sz="0" w:space="0" w:color="auto"/>
            <w:right w:val="none" w:sz="0" w:space="0" w:color="auto"/>
          </w:divBdr>
        </w:div>
        <w:div w:id="1875074414">
          <w:marLeft w:val="0"/>
          <w:marRight w:val="0"/>
          <w:marTop w:val="0"/>
          <w:marBottom w:val="0"/>
          <w:divBdr>
            <w:top w:val="none" w:sz="0" w:space="0" w:color="auto"/>
            <w:left w:val="none" w:sz="0" w:space="0" w:color="auto"/>
            <w:bottom w:val="none" w:sz="0" w:space="0" w:color="auto"/>
            <w:right w:val="none" w:sz="0" w:space="0" w:color="auto"/>
          </w:divBdr>
        </w:div>
        <w:div w:id="1451124903">
          <w:marLeft w:val="0"/>
          <w:marRight w:val="0"/>
          <w:marTop w:val="0"/>
          <w:marBottom w:val="0"/>
          <w:divBdr>
            <w:top w:val="none" w:sz="0" w:space="0" w:color="auto"/>
            <w:left w:val="none" w:sz="0" w:space="0" w:color="auto"/>
            <w:bottom w:val="none" w:sz="0" w:space="0" w:color="auto"/>
            <w:right w:val="none" w:sz="0" w:space="0" w:color="auto"/>
          </w:divBdr>
        </w:div>
        <w:div w:id="142043801">
          <w:marLeft w:val="0"/>
          <w:marRight w:val="0"/>
          <w:marTop w:val="0"/>
          <w:marBottom w:val="0"/>
          <w:divBdr>
            <w:top w:val="none" w:sz="0" w:space="0" w:color="auto"/>
            <w:left w:val="none" w:sz="0" w:space="0" w:color="auto"/>
            <w:bottom w:val="none" w:sz="0" w:space="0" w:color="auto"/>
            <w:right w:val="none" w:sz="0" w:space="0" w:color="auto"/>
          </w:divBdr>
        </w:div>
        <w:div w:id="326172782">
          <w:marLeft w:val="0"/>
          <w:marRight w:val="0"/>
          <w:marTop w:val="0"/>
          <w:marBottom w:val="0"/>
          <w:divBdr>
            <w:top w:val="none" w:sz="0" w:space="0" w:color="auto"/>
            <w:left w:val="none" w:sz="0" w:space="0" w:color="auto"/>
            <w:bottom w:val="none" w:sz="0" w:space="0" w:color="auto"/>
            <w:right w:val="none" w:sz="0" w:space="0" w:color="auto"/>
          </w:divBdr>
        </w:div>
        <w:div w:id="2085487329">
          <w:marLeft w:val="0"/>
          <w:marRight w:val="0"/>
          <w:marTop w:val="0"/>
          <w:marBottom w:val="0"/>
          <w:divBdr>
            <w:top w:val="none" w:sz="0" w:space="0" w:color="auto"/>
            <w:left w:val="none" w:sz="0" w:space="0" w:color="auto"/>
            <w:bottom w:val="none" w:sz="0" w:space="0" w:color="auto"/>
            <w:right w:val="none" w:sz="0" w:space="0" w:color="auto"/>
          </w:divBdr>
        </w:div>
        <w:div w:id="2063476630">
          <w:marLeft w:val="0"/>
          <w:marRight w:val="0"/>
          <w:marTop w:val="0"/>
          <w:marBottom w:val="0"/>
          <w:divBdr>
            <w:top w:val="none" w:sz="0" w:space="0" w:color="auto"/>
            <w:left w:val="none" w:sz="0" w:space="0" w:color="auto"/>
            <w:bottom w:val="none" w:sz="0" w:space="0" w:color="auto"/>
            <w:right w:val="none" w:sz="0" w:space="0" w:color="auto"/>
          </w:divBdr>
        </w:div>
        <w:div w:id="1144665250">
          <w:marLeft w:val="0"/>
          <w:marRight w:val="0"/>
          <w:marTop w:val="0"/>
          <w:marBottom w:val="0"/>
          <w:divBdr>
            <w:top w:val="none" w:sz="0" w:space="0" w:color="auto"/>
            <w:left w:val="none" w:sz="0" w:space="0" w:color="auto"/>
            <w:bottom w:val="none" w:sz="0" w:space="0" w:color="auto"/>
            <w:right w:val="none" w:sz="0" w:space="0" w:color="auto"/>
          </w:divBdr>
        </w:div>
        <w:div w:id="938953734">
          <w:marLeft w:val="0"/>
          <w:marRight w:val="0"/>
          <w:marTop w:val="0"/>
          <w:marBottom w:val="0"/>
          <w:divBdr>
            <w:top w:val="none" w:sz="0" w:space="0" w:color="auto"/>
            <w:left w:val="none" w:sz="0" w:space="0" w:color="auto"/>
            <w:bottom w:val="none" w:sz="0" w:space="0" w:color="auto"/>
            <w:right w:val="none" w:sz="0" w:space="0" w:color="auto"/>
          </w:divBdr>
        </w:div>
        <w:div w:id="782379337">
          <w:marLeft w:val="0"/>
          <w:marRight w:val="0"/>
          <w:marTop w:val="0"/>
          <w:marBottom w:val="0"/>
          <w:divBdr>
            <w:top w:val="none" w:sz="0" w:space="0" w:color="auto"/>
            <w:left w:val="none" w:sz="0" w:space="0" w:color="auto"/>
            <w:bottom w:val="none" w:sz="0" w:space="0" w:color="auto"/>
            <w:right w:val="none" w:sz="0" w:space="0" w:color="auto"/>
          </w:divBdr>
        </w:div>
        <w:div w:id="1902516297">
          <w:marLeft w:val="0"/>
          <w:marRight w:val="0"/>
          <w:marTop w:val="0"/>
          <w:marBottom w:val="0"/>
          <w:divBdr>
            <w:top w:val="none" w:sz="0" w:space="0" w:color="auto"/>
            <w:left w:val="none" w:sz="0" w:space="0" w:color="auto"/>
            <w:bottom w:val="none" w:sz="0" w:space="0" w:color="auto"/>
            <w:right w:val="none" w:sz="0" w:space="0" w:color="auto"/>
          </w:divBdr>
        </w:div>
        <w:div w:id="1255287844">
          <w:marLeft w:val="0"/>
          <w:marRight w:val="0"/>
          <w:marTop w:val="0"/>
          <w:marBottom w:val="0"/>
          <w:divBdr>
            <w:top w:val="none" w:sz="0" w:space="0" w:color="auto"/>
            <w:left w:val="none" w:sz="0" w:space="0" w:color="auto"/>
            <w:bottom w:val="none" w:sz="0" w:space="0" w:color="auto"/>
            <w:right w:val="none" w:sz="0" w:space="0" w:color="auto"/>
          </w:divBdr>
        </w:div>
        <w:div w:id="1889418303">
          <w:marLeft w:val="0"/>
          <w:marRight w:val="0"/>
          <w:marTop w:val="0"/>
          <w:marBottom w:val="0"/>
          <w:divBdr>
            <w:top w:val="none" w:sz="0" w:space="0" w:color="auto"/>
            <w:left w:val="none" w:sz="0" w:space="0" w:color="auto"/>
            <w:bottom w:val="none" w:sz="0" w:space="0" w:color="auto"/>
            <w:right w:val="none" w:sz="0" w:space="0" w:color="auto"/>
          </w:divBdr>
        </w:div>
        <w:div w:id="1360007488">
          <w:marLeft w:val="0"/>
          <w:marRight w:val="0"/>
          <w:marTop w:val="0"/>
          <w:marBottom w:val="0"/>
          <w:divBdr>
            <w:top w:val="none" w:sz="0" w:space="0" w:color="auto"/>
            <w:left w:val="none" w:sz="0" w:space="0" w:color="auto"/>
            <w:bottom w:val="none" w:sz="0" w:space="0" w:color="auto"/>
            <w:right w:val="none" w:sz="0" w:space="0" w:color="auto"/>
          </w:divBdr>
        </w:div>
        <w:div w:id="1130709719">
          <w:marLeft w:val="0"/>
          <w:marRight w:val="0"/>
          <w:marTop w:val="0"/>
          <w:marBottom w:val="0"/>
          <w:divBdr>
            <w:top w:val="none" w:sz="0" w:space="0" w:color="auto"/>
            <w:left w:val="none" w:sz="0" w:space="0" w:color="auto"/>
            <w:bottom w:val="none" w:sz="0" w:space="0" w:color="auto"/>
            <w:right w:val="none" w:sz="0" w:space="0" w:color="auto"/>
          </w:divBdr>
        </w:div>
        <w:div w:id="1487092179">
          <w:marLeft w:val="0"/>
          <w:marRight w:val="0"/>
          <w:marTop w:val="0"/>
          <w:marBottom w:val="0"/>
          <w:divBdr>
            <w:top w:val="none" w:sz="0" w:space="0" w:color="auto"/>
            <w:left w:val="none" w:sz="0" w:space="0" w:color="auto"/>
            <w:bottom w:val="none" w:sz="0" w:space="0" w:color="auto"/>
            <w:right w:val="none" w:sz="0" w:space="0" w:color="auto"/>
          </w:divBdr>
        </w:div>
      </w:divsChild>
    </w:div>
    <w:div w:id="2135059158">
      <w:bodyDiv w:val="1"/>
      <w:marLeft w:val="0"/>
      <w:marRight w:val="0"/>
      <w:marTop w:val="0"/>
      <w:marBottom w:val="0"/>
      <w:divBdr>
        <w:top w:val="none" w:sz="0" w:space="0" w:color="auto"/>
        <w:left w:val="none" w:sz="0" w:space="0" w:color="auto"/>
        <w:bottom w:val="none" w:sz="0" w:space="0" w:color="auto"/>
        <w:right w:val="none" w:sz="0" w:space="0" w:color="auto"/>
      </w:divBdr>
      <w:divsChild>
        <w:div w:id="234555077">
          <w:marLeft w:val="0"/>
          <w:marRight w:val="0"/>
          <w:marTop w:val="0"/>
          <w:marBottom w:val="0"/>
          <w:divBdr>
            <w:top w:val="none" w:sz="0" w:space="0" w:color="auto"/>
            <w:left w:val="none" w:sz="0" w:space="0" w:color="auto"/>
            <w:bottom w:val="none" w:sz="0" w:space="0" w:color="auto"/>
            <w:right w:val="none" w:sz="0" w:space="0" w:color="auto"/>
          </w:divBdr>
        </w:div>
        <w:div w:id="1044796816">
          <w:marLeft w:val="0"/>
          <w:marRight w:val="0"/>
          <w:marTop w:val="0"/>
          <w:marBottom w:val="0"/>
          <w:divBdr>
            <w:top w:val="none" w:sz="0" w:space="0" w:color="auto"/>
            <w:left w:val="none" w:sz="0" w:space="0" w:color="auto"/>
            <w:bottom w:val="none" w:sz="0" w:space="0" w:color="auto"/>
            <w:right w:val="none" w:sz="0" w:space="0" w:color="auto"/>
          </w:divBdr>
        </w:div>
        <w:div w:id="161286621">
          <w:marLeft w:val="0"/>
          <w:marRight w:val="0"/>
          <w:marTop w:val="0"/>
          <w:marBottom w:val="0"/>
          <w:divBdr>
            <w:top w:val="none" w:sz="0" w:space="0" w:color="auto"/>
            <w:left w:val="none" w:sz="0" w:space="0" w:color="auto"/>
            <w:bottom w:val="none" w:sz="0" w:space="0" w:color="auto"/>
            <w:right w:val="none" w:sz="0" w:space="0" w:color="auto"/>
          </w:divBdr>
        </w:div>
        <w:div w:id="1761172304">
          <w:marLeft w:val="0"/>
          <w:marRight w:val="0"/>
          <w:marTop w:val="0"/>
          <w:marBottom w:val="0"/>
          <w:divBdr>
            <w:top w:val="none" w:sz="0" w:space="0" w:color="auto"/>
            <w:left w:val="none" w:sz="0" w:space="0" w:color="auto"/>
            <w:bottom w:val="none" w:sz="0" w:space="0" w:color="auto"/>
            <w:right w:val="none" w:sz="0" w:space="0" w:color="auto"/>
          </w:divBdr>
        </w:div>
        <w:div w:id="601763418">
          <w:marLeft w:val="0"/>
          <w:marRight w:val="0"/>
          <w:marTop w:val="0"/>
          <w:marBottom w:val="0"/>
          <w:divBdr>
            <w:top w:val="none" w:sz="0" w:space="0" w:color="auto"/>
            <w:left w:val="none" w:sz="0" w:space="0" w:color="auto"/>
            <w:bottom w:val="none" w:sz="0" w:space="0" w:color="auto"/>
            <w:right w:val="none" w:sz="0" w:space="0" w:color="auto"/>
          </w:divBdr>
        </w:div>
        <w:div w:id="1449659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fr.alkarama.org/tunisie/communiques/item/1724-tunisie-passivite-de-l-administration-penitentiaire-face-a-l-etat-de-sante-deplorable-d-un-detenu" TargetMode="External"/><Relationship Id="rId7" Type="http://schemas.openxmlformats.org/officeDocument/2006/relationships/hyperlink" Target="http://www.tap.info.tn/fr/index.php/politique/49820-toute-manifestation-pacifique-ou-de-protestation-est-contraire-a-l-etat-d-urgence-selon-gharsalli" TargetMode="External"/><Relationship Id="rId2" Type="http://schemas.openxmlformats.org/officeDocument/2006/relationships/hyperlink" Target="http://fr.alkarama.org/item/1917-tunisie-mehdi-ben-kram-arrete-a-l-aeroport-de-carthage-et-torture-par-la-police-a-gorjani" TargetMode="External"/><Relationship Id="rId1" Type="http://schemas.openxmlformats.org/officeDocument/2006/relationships/hyperlink" Target="http://tbinternet.ohchr.org/Treaties/CED/Shared%20Documents/TUN/INT_CED_ICO_TUN_21213_F.pdf" TargetMode="External"/><Relationship Id="rId6" Type="http://schemas.openxmlformats.org/officeDocument/2006/relationships/hyperlink" Target="http://www.ohchr.org/EN/NewsEvents/Pages/ReportsOnStateOfPrisonsInTunisia.aspx" TargetMode="External"/><Relationship Id="rId5" Type="http://schemas.openxmlformats.org/officeDocument/2006/relationships/hyperlink" Target="http://www.prisonstudies.org/country/tunisia" TargetMode="External"/><Relationship Id="rId4" Type="http://schemas.openxmlformats.org/officeDocument/2006/relationships/hyperlink" Target="http://fr.alkarama.org/tunisie/communiques/item/1733-tunisie-une-jeune-femme-de-vingt-ans-arretee-et-torturee-en-raison-de-son-compte-faceboo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Z:\1.Shared\Questionnaires%20and%20templates\Templates\FR\Rapports\TB_Liste%20des%20questions.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C79C39-4CCA-4EF0-AD6F-8B07EADF1382}"/>
</file>

<file path=customXml/itemProps2.xml><?xml version="1.0" encoding="utf-8"?>
<ds:datastoreItem xmlns:ds="http://schemas.openxmlformats.org/officeDocument/2006/customXml" ds:itemID="{B5E94E3F-8BE1-44A6-9D30-6D6F980B2158}"/>
</file>

<file path=customXml/itemProps3.xml><?xml version="1.0" encoding="utf-8"?>
<ds:datastoreItem xmlns:ds="http://schemas.openxmlformats.org/officeDocument/2006/customXml" ds:itemID="{64D53FA5-4AEA-45A9-B0CB-CB38391D3DD4}"/>
</file>

<file path=customXml/itemProps4.xml><?xml version="1.0" encoding="utf-8"?>
<ds:datastoreItem xmlns:ds="http://schemas.openxmlformats.org/officeDocument/2006/customXml" ds:itemID="{A9E8A882-945C-4BE0-9BAC-41923D8DF563}"/>
</file>

<file path=docProps/app.xml><?xml version="1.0" encoding="utf-8"?>
<Properties xmlns="http://schemas.openxmlformats.org/officeDocument/2006/extended-properties" xmlns:vt="http://schemas.openxmlformats.org/officeDocument/2006/docPropsVTypes">
  <Template>TB_Liste des questions</Template>
  <TotalTime>0</TotalTime>
  <Pages>26</Pages>
  <Words>14830</Words>
  <Characters>81570</Characters>
  <Application>Microsoft Office Word</Application>
  <DocSecurity>0</DocSecurity>
  <Lines>679</Lines>
  <Paragraphs>192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96208</CharactersWithSpaces>
  <SharedDoc>false</SharedDoc>
  <HLinks>
    <vt:vector size="72" baseType="variant">
      <vt:variant>
        <vt:i4>1900597</vt:i4>
      </vt:variant>
      <vt:variant>
        <vt:i4>68</vt:i4>
      </vt:variant>
      <vt:variant>
        <vt:i4>0</vt:i4>
      </vt:variant>
      <vt:variant>
        <vt:i4>5</vt:i4>
      </vt:variant>
      <vt:variant>
        <vt:lpwstr/>
      </vt:variant>
      <vt:variant>
        <vt:lpwstr>_Toc224967561</vt:lpwstr>
      </vt:variant>
      <vt:variant>
        <vt:i4>1900597</vt:i4>
      </vt:variant>
      <vt:variant>
        <vt:i4>62</vt:i4>
      </vt:variant>
      <vt:variant>
        <vt:i4>0</vt:i4>
      </vt:variant>
      <vt:variant>
        <vt:i4>5</vt:i4>
      </vt:variant>
      <vt:variant>
        <vt:lpwstr/>
      </vt:variant>
      <vt:variant>
        <vt:lpwstr>_Toc224967560</vt:lpwstr>
      </vt:variant>
      <vt:variant>
        <vt:i4>1966133</vt:i4>
      </vt:variant>
      <vt:variant>
        <vt:i4>56</vt:i4>
      </vt:variant>
      <vt:variant>
        <vt:i4>0</vt:i4>
      </vt:variant>
      <vt:variant>
        <vt:i4>5</vt:i4>
      </vt:variant>
      <vt:variant>
        <vt:lpwstr/>
      </vt:variant>
      <vt:variant>
        <vt:lpwstr>_Toc224967559</vt:lpwstr>
      </vt:variant>
      <vt:variant>
        <vt:i4>1966133</vt:i4>
      </vt:variant>
      <vt:variant>
        <vt:i4>50</vt:i4>
      </vt:variant>
      <vt:variant>
        <vt:i4>0</vt:i4>
      </vt:variant>
      <vt:variant>
        <vt:i4>5</vt:i4>
      </vt:variant>
      <vt:variant>
        <vt:lpwstr/>
      </vt:variant>
      <vt:variant>
        <vt:lpwstr>_Toc224967558</vt:lpwstr>
      </vt:variant>
      <vt:variant>
        <vt:i4>1966133</vt:i4>
      </vt:variant>
      <vt:variant>
        <vt:i4>44</vt:i4>
      </vt:variant>
      <vt:variant>
        <vt:i4>0</vt:i4>
      </vt:variant>
      <vt:variant>
        <vt:i4>5</vt:i4>
      </vt:variant>
      <vt:variant>
        <vt:lpwstr/>
      </vt:variant>
      <vt:variant>
        <vt:lpwstr>_Toc224967557</vt:lpwstr>
      </vt:variant>
      <vt:variant>
        <vt:i4>1966133</vt:i4>
      </vt:variant>
      <vt:variant>
        <vt:i4>38</vt:i4>
      </vt:variant>
      <vt:variant>
        <vt:i4>0</vt:i4>
      </vt:variant>
      <vt:variant>
        <vt:i4>5</vt:i4>
      </vt:variant>
      <vt:variant>
        <vt:lpwstr/>
      </vt:variant>
      <vt:variant>
        <vt:lpwstr>_Toc224967556</vt:lpwstr>
      </vt:variant>
      <vt:variant>
        <vt:i4>1966133</vt:i4>
      </vt:variant>
      <vt:variant>
        <vt:i4>32</vt:i4>
      </vt:variant>
      <vt:variant>
        <vt:i4>0</vt:i4>
      </vt:variant>
      <vt:variant>
        <vt:i4>5</vt:i4>
      </vt:variant>
      <vt:variant>
        <vt:lpwstr/>
      </vt:variant>
      <vt:variant>
        <vt:lpwstr>_Toc224967555</vt:lpwstr>
      </vt:variant>
      <vt:variant>
        <vt:i4>1966133</vt:i4>
      </vt:variant>
      <vt:variant>
        <vt:i4>26</vt:i4>
      </vt:variant>
      <vt:variant>
        <vt:i4>0</vt:i4>
      </vt:variant>
      <vt:variant>
        <vt:i4>5</vt:i4>
      </vt:variant>
      <vt:variant>
        <vt:lpwstr/>
      </vt:variant>
      <vt:variant>
        <vt:lpwstr>_Toc224967554</vt:lpwstr>
      </vt:variant>
      <vt:variant>
        <vt:i4>1966133</vt:i4>
      </vt:variant>
      <vt:variant>
        <vt:i4>20</vt:i4>
      </vt:variant>
      <vt:variant>
        <vt:i4>0</vt:i4>
      </vt:variant>
      <vt:variant>
        <vt:i4>5</vt:i4>
      </vt:variant>
      <vt:variant>
        <vt:lpwstr/>
      </vt:variant>
      <vt:variant>
        <vt:lpwstr>_Toc224967553</vt:lpwstr>
      </vt:variant>
      <vt:variant>
        <vt:i4>1966133</vt:i4>
      </vt:variant>
      <vt:variant>
        <vt:i4>14</vt:i4>
      </vt:variant>
      <vt:variant>
        <vt:i4>0</vt:i4>
      </vt:variant>
      <vt:variant>
        <vt:i4>5</vt:i4>
      </vt:variant>
      <vt:variant>
        <vt:lpwstr/>
      </vt:variant>
      <vt:variant>
        <vt:lpwstr>_Toc224967552</vt:lpwstr>
      </vt:variant>
      <vt:variant>
        <vt:i4>1966133</vt:i4>
      </vt:variant>
      <vt:variant>
        <vt:i4>8</vt:i4>
      </vt:variant>
      <vt:variant>
        <vt:i4>0</vt:i4>
      </vt:variant>
      <vt:variant>
        <vt:i4>5</vt:i4>
      </vt:variant>
      <vt:variant>
        <vt:lpwstr/>
      </vt:variant>
      <vt:variant>
        <vt:lpwstr>_Toc224967551</vt:lpwstr>
      </vt:variant>
      <vt:variant>
        <vt:i4>1966133</vt:i4>
      </vt:variant>
      <vt:variant>
        <vt:i4>2</vt:i4>
      </vt:variant>
      <vt:variant>
        <vt:i4>0</vt:i4>
      </vt:variant>
      <vt:variant>
        <vt:i4>5</vt:i4>
      </vt:variant>
      <vt:variant>
        <vt:lpwstr/>
      </vt:variant>
      <vt:variant>
        <vt:lpwstr>_Toc224967550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Imène</dc:creator>
  <cp:lastModifiedBy>Liliana Trillo Diaz</cp:lastModifiedBy>
  <cp:revision>2</cp:revision>
  <cp:lastPrinted>2016-03-29T07:54:00Z</cp:lastPrinted>
  <dcterms:created xsi:type="dcterms:W3CDTF">2016-03-30T13:25:00Z</dcterms:created>
  <dcterms:modified xsi:type="dcterms:W3CDTF">2016-03-30T13:25:00Z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