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20514" w:rsidRPr="00DB58B5" w:rsidTr="00155095">
        <w:trPr>
          <w:trHeight w:hRule="exact" w:val="851"/>
        </w:trPr>
        <w:tc>
          <w:tcPr>
            <w:tcW w:w="1276" w:type="dxa"/>
            <w:tcBorders>
              <w:bottom w:val="single" w:sz="4" w:space="0" w:color="auto"/>
            </w:tcBorders>
          </w:tcPr>
          <w:p w:rsidR="00F20514" w:rsidRPr="00DB58B5" w:rsidRDefault="00F20514" w:rsidP="00155095">
            <w:bookmarkStart w:id="0" w:name="_GoBack"/>
            <w:bookmarkEnd w:id="0"/>
          </w:p>
        </w:tc>
        <w:tc>
          <w:tcPr>
            <w:tcW w:w="2268" w:type="dxa"/>
            <w:tcBorders>
              <w:bottom w:val="single" w:sz="4" w:space="0" w:color="auto"/>
            </w:tcBorders>
            <w:vAlign w:val="bottom"/>
          </w:tcPr>
          <w:p w:rsidR="00F20514" w:rsidRPr="00DB58B5" w:rsidRDefault="00F20514" w:rsidP="0015509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20514" w:rsidRPr="00AA175F" w:rsidRDefault="00155095" w:rsidP="00155095">
            <w:pPr>
              <w:jc w:val="right"/>
            </w:pPr>
            <w:r w:rsidRPr="00155095">
              <w:rPr>
                <w:sz w:val="40"/>
              </w:rPr>
              <w:t>CAT</w:t>
            </w:r>
            <w:r>
              <w:t>/C/SR.1398</w:t>
            </w:r>
          </w:p>
        </w:tc>
      </w:tr>
      <w:tr w:rsidR="00F20514" w:rsidRPr="00DB58B5" w:rsidTr="00155095">
        <w:trPr>
          <w:trHeight w:hRule="exact" w:val="2835"/>
        </w:trPr>
        <w:tc>
          <w:tcPr>
            <w:tcW w:w="1276" w:type="dxa"/>
            <w:tcBorders>
              <w:top w:val="single" w:sz="4" w:space="0" w:color="auto"/>
              <w:bottom w:val="single" w:sz="12" w:space="0" w:color="auto"/>
            </w:tcBorders>
          </w:tcPr>
          <w:p w:rsidR="00F20514" w:rsidRPr="00DB58B5" w:rsidRDefault="00F20514" w:rsidP="00155095">
            <w:pPr>
              <w:spacing w:before="120"/>
              <w:jc w:val="center"/>
            </w:pPr>
            <w:r>
              <w:rPr>
                <w:noProof/>
                <w:lang w:val="en-GB" w:eastAsia="en-GB"/>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20514" w:rsidRPr="0089028E" w:rsidRDefault="00F20514" w:rsidP="00155095">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F20514" w:rsidRDefault="00F20514" w:rsidP="00155095">
            <w:pPr>
              <w:spacing w:before="240"/>
            </w:pPr>
            <w:r>
              <w:t>Distr. générale</w:t>
            </w:r>
          </w:p>
          <w:p w:rsidR="00155095" w:rsidRDefault="00155095" w:rsidP="00155095">
            <w:r>
              <w:t>20 mai 2016</w:t>
            </w:r>
          </w:p>
          <w:p w:rsidR="00155095" w:rsidRDefault="00155095" w:rsidP="00155095"/>
          <w:p w:rsidR="00155095" w:rsidRPr="00DB58B5" w:rsidRDefault="00155095" w:rsidP="00155095">
            <w:r>
              <w:t>Original : français</w:t>
            </w:r>
          </w:p>
        </w:tc>
      </w:tr>
    </w:tbl>
    <w:p w:rsidR="003937B4" w:rsidRPr="006E35EC" w:rsidRDefault="003937B4" w:rsidP="003937B4">
      <w:pPr>
        <w:spacing w:before="120"/>
        <w:rPr>
          <w:b/>
          <w:sz w:val="24"/>
          <w:szCs w:val="24"/>
        </w:rPr>
      </w:pPr>
      <w:r w:rsidRPr="006E35EC">
        <w:rPr>
          <w:b/>
          <w:sz w:val="24"/>
          <w:szCs w:val="24"/>
        </w:rPr>
        <w:t>Comité contre la torture</w:t>
      </w:r>
    </w:p>
    <w:p w:rsidR="003937B4" w:rsidRPr="00155095" w:rsidRDefault="00155095" w:rsidP="003937B4">
      <w:pPr>
        <w:spacing w:after="120"/>
        <w:rPr>
          <w:b/>
        </w:rPr>
      </w:pPr>
      <w:r>
        <w:rPr>
          <w:b/>
        </w:rPr>
        <w:t>Cinquante-septième</w:t>
      </w:r>
      <w:r w:rsidR="003937B4" w:rsidRPr="00155095">
        <w:rPr>
          <w:b/>
        </w:rPr>
        <w:t xml:space="preserve"> session</w:t>
      </w:r>
    </w:p>
    <w:p w:rsidR="003937B4" w:rsidRPr="006E35EC" w:rsidRDefault="003937B4" w:rsidP="003937B4">
      <w:pPr>
        <w:rPr>
          <w:b/>
        </w:rPr>
      </w:pPr>
      <w:r w:rsidRPr="006E35EC">
        <w:rPr>
          <w:b/>
        </w:rPr>
        <w:t xml:space="preserve">Compte rendu analytique de la </w:t>
      </w:r>
      <w:r w:rsidR="00155095">
        <w:rPr>
          <w:b/>
        </w:rPr>
        <w:t>1398</w:t>
      </w:r>
      <w:r w:rsidRPr="006E35EC">
        <w:rPr>
          <w:b/>
          <w:vertAlign w:val="superscript"/>
        </w:rPr>
        <w:t>e</w:t>
      </w:r>
      <w:r w:rsidR="00155095">
        <w:rPr>
          <w:b/>
        </w:rPr>
        <w:t> </w:t>
      </w:r>
      <w:r w:rsidRPr="006E35EC">
        <w:rPr>
          <w:b/>
        </w:rPr>
        <w:t>séance</w:t>
      </w:r>
    </w:p>
    <w:p w:rsidR="003937B4" w:rsidRDefault="003937B4" w:rsidP="003937B4">
      <w:pPr>
        <w:spacing w:after="120"/>
      </w:pPr>
      <w:r>
        <w:t xml:space="preserve">Tenue au Palais </w:t>
      </w:r>
      <w:r w:rsidR="00155095">
        <w:t>Wilson</w:t>
      </w:r>
      <w:r>
        <w:t xml:space="preserve">, à Genève, le </w:t>
      </w:r>
      <w:r w:rsidR="00155095">
        <w:t>mercredi 20 avril 2016, à 10 heures</w:t>
      </w:r>
    </w:p>
    <w:p w:rsidR="003937B4" w:rsidRDefault="003937B4" w:rsidP="003937B4">
      <w:pPr>
        <w:tabs>
          <w:tab w:val="right" w:pos="851"/>
          <w:tab w:val="left" w:pos="1134"/>
          <w:tab w:val="right" w:leader="dot" w:pos="8505"/>
        </w:tabs>
        <w:spacing w:after="120"/>
      </w:pPr>
      <w:r>
        <w:rPr>
          <w:i/>
        </w:rPr>
        <w:tab/>
      </w:r>
      <w:r w:rsidRPr="006E35EC">
        <w:rPr>
          <w:i/>
        </w:rPr>
        <w:t>Président</w:t>
      </w:r>
      <w:r>
        <w:rPr>
          <w:i/>
        </w:rPr>
        <w:t>(e)</w:t>
      </w:r>
      <w:r w:rsidR="003E61EC">
        <w:rPr>
          <w:i/>
        </w:rPr>
        <w:t> </w:t>
      </w:r>
      <w:r w:rsidR="002101C5">
        <w:t>:</w:t>
      </w:r>
      <w:r w:rsidR="002101C5">
        <w:tab/>
        <w:t>M. Modvig</w:t>
      </w:r>
    </w:p>
    <w:p w:rsidR="003937B4" w:rsidRDefault="003937B4" w:rsidP="003937B4">
      <w:pPr>
        <w:spacing w:before="360" w:after="240"/>
        <w:rPr>
          <w:sz w:val="28"/>
          <w:szCs w:val="28"/>
        </w:rPr>
      </w:pPr>
      <w:r w:rsidRPr="006E35EC">
        <w:rPr>
          <w:sz w:val="28"/>
          <w:szCs w:val="28"/>
        </w:rPr>
        <w:t>Sommaire</w:t>
      </w:r>
    </w:p>
    <w:p w:rsidR="002101C5" w:rsidRPr="002101C5" w:rsidRDefault="002101C5" w:rsidP="00014212">
      <w:pPr>
        <w:pStyle w:val="SingleTxtG"/>
        <w:jc w:val="left"/>
        <w:rPr>
          <w:lang w:val="fr-FR"/>
        </w:rPr>
      </w:pPr>
      <w:r w:rsidRPr="002101C5">
        <w:rPr>
          <w:lang w:val="fr-FR"/>
        </w:rPr>
        <w:t>Examen des rapports soumis par les États parties en application de l</w:t>
      </w:r>
      <w:r>
        <w:rPr>
          <w:lang w:val="fr-FR"/>
        </w:rPr>
        <w:t xml:space="preserve">’article </w:t>
      </w:r>
      <w:r w:rsidRPr="002101C5">
        <w:rPr>
          <w:lang w:val="fr-FR"/>
        </w:rPr>
        <w:t xml:space="preserve">19 </w:t>
      </w:r>
      <w:r w:rsidR="00014212">
        <w:rPr>
          <w:lang w:val="fr-FR"/>
        </w:rPr>
        <w:br/>
      </w:r>
      <w:r w:rsidRPr="002101C5">
        <w:rPr>
          <w:lang w:val="fr-FR"/>
        </w:rPr>
        <w:t>de la Convention</w:t>
      </w:r>
      <w:r>
        <w:rPr>
          <w:lang w:val="fr-FR"/>
        </w:rPr>
        <w:t xml:space="preserve"> (</w:t>
      </w:r>
      <w:r>
        <w:rPr>
          <w:i/>
          <w:lang w:val="fr-FR"/>
        </w:rPr>
        <w:t>suite</w:t>
      </w:r>
      <w:r>
        <w:rPr>
          <w:lang w:val="fr-FR"/>
        </w:rPr>
        <w:t>)</w:t>
      </w:r>
    </w:p>
    <w:p w:rsidR="002101C5" w:rsidRPr="002101C5" w:rsidRDefault="002101C5" w:rsidP="00014212">
      <w:pPr>
        <w:pStyle w:val="SingleTxtG"/>
        <w:ind w:left="1701"/>
        <w:jc w:val="left"/>
        <w:rPr>
          <w:i/>
          <w:lang w:val="fr-FR"/>
        </w:rPr>
      </w:pPr>
      <w:r w:rsidRPr="002101C5">
        <w:rPr>
          <w:i/>
          <w:lang w:val="fr-FR"/>
        </w:rPr>
        <w:t>Troisième rapport périodique de la Tunisie</w:t>
      </w:r>
    </w:p>
    <w:p w:rsidR="00155095" w:rsidRPr="00014212" w:rsidRDefault="002101C5" w:rsidP="00014212">
      <w:pPr>
        <w:pStyle w:val="SingleTxtG"/>
        <w:rPr>
          <w:i/>
          <w:lang w:val="fr-FR"/>
        </w:rPr>
      </w:pPr>
      <w:r>
        <w:rPr>
          <w:lang w:val="fr-FR"/>
        </w:rPr>
        <w:br w:type="page"/>
      </w:r>
      <w:r w:rsidR="00155095" w:rsidRPr="00014212">
        <w:rPr>
          <w:i/>
          <w:lang w:val="fr-FR"/>
        </w:rPr>
        <w:lastRenderedPageBreak/>
        <w:t>La séance est ouverte à 10</w:t>
      </w:r>
      <w:r w:rsidR="00014212">
        <w:rPr>
          <w:i/>
          <w:lang w:val="fr-FR"/>
        </w:rPr>
        <w:t> </w:t>
      </w:r>
      <w:r w:rsidR="00155095" w:rsidRPr="00014212">
        <w:rPr>
          <w:i/>
          <w:lang w:val="fr-FR"/>
        </w:rPr>
        <w:t>h</w:t>
      </w:r>
      <w:r w:rsidR="00014212">
        <w:rPr>
          <w:i/>
          <w:lang w:val="fr-FR"/>
        </w:rPr>
        <w:t> </w:t>
      </w:r>
      <w:r w:rsidR="00155095" w:rsidRPr="00014212">
        <w:rPr>
          <w:i/>
          <w:lang w:val="fr-FR"/>
        </w:rPr>
        <w:t>5.</w:t>
      </w:r>
    </w:p>
    <w:p w:rsidR="00155095" w:rsidRPr="00014212" w:rsidRDefault="00014212" w:rsidP="00014212">
      <w:pPr>
        <w:pStyle w:val="H23G"/>
        <w:rPr>
          <w:b w:val="0"/>
          <w:lang w:val="fr-FR"/>
        </w:rPr>
      </w:pPr>
      <w:r>
        <w:rPr>
          <w:lang w:val="fr-FR"/>
        </w:rPr>
        <w:tab/>
      </w:r>
      <w:r>
        <w:rPr>
          <w:lang w:val="fr-FR"/>
        </w:rPr>
        <w:tab/>
      </w:r>
      <w:r w:rsidR="00155095" w:rsidRPr="00155095">
        <w:rPr>
          <w:lang w:val="fr-FR"/>
        </w:rPr>
        <w:t xml:space="preserve">Examen des rapports soumis par les États parties en application de l’article 19 </w:t>
      </w:r>
      <w:r>
        <w:rPr>
          <w:lang w:val="fr-FR"/>
        </w:rPr>
        <w:br/>
      </w:r>
      <w:r w:rsidR="00155095" w:rsidRPr="00155095">
        <w:rPr>
          <w:lang w:val="fr-FR"/>
        </w:rPr>
        <w:t>de la Convention</w:t>
      </w:r>
      <w:r>
        <w:rPr>
          <w:lang w:val="fr-FR"/>
        </w:rPr>
        <w:t xml:space="preserve"> </w:t>
      </w:r>
      <w:r>
        <w:rPr>
          <w:b w:val="0"/>
          <w:lang w:val="fr-FR"/>
        </w:rPr>
        <w:t>(</w:t>
      </w:r>
      <w:r>
        <w:rPr>
          <w:b w:val="0"/>
          <w:i/>
          <w:lang w:val="fr-FR"/>
        </w:rPr>
        <w:t>suite</w:t>
      </w:r>
      <w:r>
        <w:rPr>
          <w:b w:val="0"/>
          <w:lang w:val="fr-FR"/>
        </w:rPr>
        <w:t>)</w:t>
      </w:r>
    </w:p>
    <w:p w:rsidR="00155095" w:rsidRPr="00155095" w:rsidRDefault="00155095" w:rsidP="00014212">
      <w:pPr>
        <w:pStyle w:val="SingleTxtG"/>
        <w:jc w:val="left"/>
      </w:pPr>
      <w:r w:rsidRPr="00014212">
        <w:rPr>
          <w:i/>
          <w:lang w:val="fr-FR"/>
        </w:rPr>
        <w:t>Troisième rapport périodique de la Tunisie</w:t>
      </w:r>
      <w:r w:rsidRPr="00155095">
        <w:rPr>
          <w:lang w:val="fr-FR"/>
        </w:rPr>
        <w:t xml:space="preserve"> (CAT/C/TUN/3</w:t>
      </w:r>
      <w:r w:rsidR="00014212">
        <w:rPr>
          <w:lang w:val="fr-FR"/>
        </w:rPr>
        <w:t> </w:t>
      </w:r>
      <w:r w:rsidRPr="00155095">
        <w:rPr>
          <w:lang w:val="fr-FR"/>
        </w:rPr>
        <w:t>; CAT/C/TUN/3/Add.1</w:t>
      </w:r>
      <w:r w:rsidR="00014212">
        <w:rPr>
          <w:lang w:val="fr-FR"/>
        </w:rPr>
        <w:t> </w:t>
      </w:r>
      <w:r w:rsidRPr="00155095">
        <w:rPr>
          <w:lang w:val="fr-FR"/>
        </w:rPr>
        <w:t>; CAT/C/TUN/Q/3</w:t>
      </w:r>
      <w:r w:rsidR="00014212">
        <w:rPr>
          <w:lang w:val="fr-FR"/>
        </w:rPr>
        <w:t> </w:t>
      </w:r>
      <w:r w:rsidRPr="00155095">
        <w:rPr>
          <w:lang w:val="fr-FR"/>
        </w:rPr>
        <w:t>; CAT/C/TUN/Q/3/Add.1</w:t>
      </w:r>
      <w:r w:rsidR="00014212">
        <w:rPr>
          <w:lang w:val="fr-FR"/>
        </w:rPr>
        <w:t> </w:t>
      </w:r>
      <w:r w:rsidRPr="00155095">
        <w:rPr>
          <w:lang w:val="fr-FR"/>
        </w:rPr>
        <w:t>; HRI/CORE/1/Add.46)</w:t>
      </w:r>
    </w:p>
    <w:p w:rsidR="00155095" w:rsidRPr="00155095" w:rsidRDefault="00155095" w:rsidP="00014212">
      <w:pPr>
        <w:pStyle w:val="SingleTxtG"/>
        <w:numPr>
          <w:ilvl w:val="0"/>
          <w:numId w:val="14"/>
        </w:numPr>
        <w:ind w:left="1134" w:firstLine="0"/>
      </w:pPr>
      <w:r w:rsidRPr="00155095">
        <w:t>Sur l’invitation du Président, la délégation tunisienne prend place à la table du Comité.</w:t>
      </w:r>
    </w:p>
    <w:p w:rsidR="00155095" w:rsidRPr="00155095" w:rsidRDefault="00155095" w:rsidP="00014212">
      <w:pPr>
        <w:pStyle w:val="SingleTxtG"/>
        <w:numPr>
          <w:ilvl w:val="0"/>
          <w:numId w:val="14"/>
        </w:numPr>
        <w:ind w:left="1134" w:firstLine="0"/>
      </w:pPr>
      <w:r w:rsidRPr="00155095">
        <w:rPr>
          <w:b/>
        </w:rPr>
        <w:t>M.</w:t>
      </w:r>
      <w:r w:rsidR="00014212">
        <w:rPr>
          <w:b/>
        </w:rPr>
        <w:t> </w:t>
      </w:r>
      <w:r w:rsidRPr="00155095">
        <w:rPr>
          <w:b/>
        </w:rPr>
        <w:t>Jendoubi</w:t>
      </w:r>
      <w:r w:rsidRPr="00155095">
        <w:t xml:space="preserve"> (Tunisie) rappelle que </w:t>
      </w:r>
      <w:r w:rsidR="006300B6">
        <w:t>la Tunisie</w:t>
      </w:r>
      <w:r w:rsidRPr="00155095">
        <w:t>, qui a ratifié la Convention contre la torture et autres peines ou traitements cruels, inhumains ou dégradants en 1988, a incorporé le crime de torture dans sa législation en 1989. La Tunisie a confirmé sa volonté de lutter contre la torture en adhérant en 1991 au Protocole facultatif à la Convention contre la torture et autres peines ou traitements cruels, inhumains ou dégradants, qu’elle a ratifié en vertu de la loi organique n</w:t>
      </w:r>
      <w:r w:rsidRPr="00155095">
        <w:rPr>
          <w:vertAlign w:val="superscript"/>
        </w:rPr>
        <w:t>o</w:t>
      </w:r>
      <w:r w:rsidRPr="00155095">
        <w:t xml:space="preserve"> 2013-43 du 21 octobre 2013. En outre, la nouvelle Constitution adoptée en janvier 2014 par l’Assemblée nationale constituante contient plusieurs dispositions qui renforcent la protection des droits de l’homme, notamment l’article 2 qui consacre le droit à la vie et au respect de la dignité de la personne et de son intégrité physique et l’article 23 qui établit le caractère imprescriptible du crime de torture. </w:t>
      </w:r>
      <w:r w:rsidR="006300B6">
        <w:t>La Tunisie a adressé d</w:t>
      </w:r>
      <w:r w:rsidRPr="00155095">
        <w:t>es invitations ouvertes aux titulaires de mandat au titre des procédures spéciales</w:t>
      </w:r>
      <w:r w:rsidR="006300B6">
        <w:t>. De plus, u</w:t>
      </w:r>
      <w:r w:rsidRPr="00155095">
        <w:t>n bureau du Haut-Commissariat des Nations Unies aux droits de l’homme a été ouvert dans le pays en vertu d’un décret-loi de 2011.</w:t>
      </w:r>
    </w:p>
    <w:p w:rsidR="00155095" w:rsidRPr="00155095" w:rsidRDefault="00155095" w:rsidP="00014212">
      <w:pPr>
        <w:pStyle w:val="SingleTxtG"/>
        <w:numPr>
          <w:ilvl w:val="0"/>
          <w:numId w:val="14"/>
        </w:numPr>
        <w:ind w:left="1134" w:firstLine="0"/>
      </w:pPr>
      <w:r w:rsidRPr="00155095">
        <w:t xml:space="preserve">Au niveau national, </w:t>
      </w:r>
      <w:r w:rsidRPr="00155095">
        <w:rPr>
          <w:lang w:val="fr-FR"/>
        </w:rPr>
        <w:t>conformément à la politique de réformes engagées par la Tunisie depuis</w:t>
      </w:r>
      <w:r w:rsidR="006300B6">
        <w:rPr>
          <w:lang w:val="fr-FR"/>
        </w:rPr>
        <w:t xml:space="preserve"> </w:t>
      </w:r>
      <w:r w:rsidRPr="00155095">
        <w:rPr>
          <w:lang w:val="fr-FR"/>
        </w:rPr>
        <w:t xml:space="preserve">1987, le Code de procédure pénale a été révisé en 1999, ce qui a permis, notamment, d’harmoniser la définition de la torture avec celle énoncée dans la Convention, comme recommandé par le Comité contre la torture en 1998 à l’issue de l’examen du deuxième rapport périodique de la Tunisie. D’autre part, différentes mesures ont été prises pour renforcer et étoffer les mécanismes de protection des droits de l’homme. </w:t>
      </w:r>
      <w:r w:rsidR="006300B6">
        <w:rPr>
          <w:lang w:val="fr-FR"/>
        </w:rPr>
        <w:t>L</w:t>
      </w:r>
      <w:r w:rsidRPr="00155095">
        <w:t xml:space="preserve">e </w:t>
      </w:r>
      <w:r w:rsidRPr="00155095">
        <w:rPr>
          <w:lang w:val="fr-FR"/>
        </w:rPr>
        <w:t>Comité supérieur des droits de l’homme et des libertés fondamentales</w:t>
      </w:r>
      <w:r w:rsidR="006300B6">
        <w:rPr>
          <w:lang w:val="fr-FR"/>
        </w:rPr>
        <w:t xml:space="preserve"> </w:t>
      </w:r>
      <w:r w:rsidRPr="00155095">
        <w:rPr>
          <w:lang w:val="fr-FR"/>
        </w:rPr>
        <w:t>a été élevé au rang d’institution nationale dotée de la personnalité juridique et d’une autonomie financière</w:t>
      </w:r>
      <w:r w:rsidR="006300B6">
        <w:rPr>
          <w:lang w:val="fr-FR"/>
        </w:rPr>
        <w:t xml:space="preserve"> et ses compétences </w:t>
      </w:r>
      <w:r w:rsidRPr="00155095">
        <w:rPr>
          <w:lang w:val="fr-FR"/>
        </w:rPr>
        <w:t>ont été renforcées</w:t>
      </w:r>
      <w:r w:rsidR="006300B6">
        <w:rPr>
          <w:lang w:val="fr-FR"/>
        </w:rPr>
        <w:t xml:space="preserve">. Il </w:t>
      </w:r>
      <w:r w:rsidRPr="00155095">
        <w:rPr>
          <w:lang w:val="fr-FR"/>
        </w:rPr>
        <w:t xml:space="preserve">est désormais habilité à s’occuper de toute question relative </w:t>
      </w:r>
      <w:r w:rsidR="006300B6">
        <w:rPr>
          <w:lang w:val="fr-FR"/>
        </w:rPr>
        <w:t xml:space="preserve">à la promotion et la protection </w:t>
      </w:r>
      <w:r w:rsidRPr="00155095">
        <w:rPr>
          <w:lang w:val="fr-FR"/>
        </w:rPr>
        <w:t>des droits de l’homm</w:t>
      </w:r>
      <w:r w:rsidR="006300B6">
        <w:rPr>
          <w:lang w:val="fr-FR"/>
        </w:rPr>
        <w:t>e et des libertés fondamentales</w:t>
      </w:r>
      <w:r w:rsidRPr="00155095">
        <w:rPr>
          <w:lang w:val="fr-FR"/>
        </w:rPr>
        <w:t>. Le Gouvernement met aussi la dernière main à un p</w:t>
      </w:r>
      <w:r w:rsidRPr="00155095">
        <w:t>rojet de loi relatif aux droits de l’homme qui prévoit de renforcer le respect et le cadre de protection des droits de l’homme. Le texte sera transmis en mai 2016 au Cabinet pour examen et adoption.</w:t>
      </w:r>
    </w:p>
    <w:p w:rsidR="00155095" w:rsidRPr="00155095" w:rsidRDefault="00155095" w:rsidP="00014212">
      <w:pPr>
        <w:pStyle w:val="SingleTxtG"/>
        <w:numPr>
          <w:ilvl w:val="0"/>
          <w:numId w:val="14"/>
        </w:numPr>
        <w:ind w:left="1134" w:firstLine="0"/>
      </w:pPr>
      <w:r w:rsidRPr="00155095">
        <w:t xml:space="preserve">L’Instance nationale pour la prévention de la torture a été créée en 2013. C’est un organe indépendant qui est composé de 16 membres choisis parmi des personnes connues pour leur intégrité, leur indépendance et leur neutralité. Six d’entre eux sont des représentants d’organisations et d’associations de la société civile actives dans le domaine de la défense des droits de l’homme. Les autres membres de l’Instance sont des spécialistes de différents domaines, notamment </w:t>
      </w:r>
      <w:r w:rsidR="001C38F7">
        <w:t>des juristes mais aussi des médecins</w:t>
      </w:r>
      <w:r w:rsidRPr="00155095">
        <w:t xml:space="preserve"> et </w:t>
      </w:r>
      <w:r w:rsidR="001C38F7">
        <w:t>psychiatr</w:t>
      </w:r>
      <w:r w:rsidRPr="00155095">
        <w:t>e</w:t>
      </w:r>
      <w:r w:rsidR="001C38F7">
        <w:t>s</w:t>
      </w:r>
      <w:r w:rsidRPr="00155095">
        <w:t xml:space="preserve">, qui sont à même de déceler les traces physiques et psychologiques de la torture. Ils ont été élus par le Parlement en mars 2016. L’Instance est habilitée à réaliser des visites inopinées dans tous les lieux de détention. Malgré les retards accumulés dans la mise en place de cet organe, différentes mesures seront prises pour </w:t>
      </w:r>
      <w:r w:rsidR="001C38F7">
        <w:t>consolider celui-ci</w:t>
      </w:r>
      <w:r w:rsidRPr="00155095">
        <w:t>, faciliter ses travaux et lui allouer les ressources nécessaires à l’exécution de son mandat. Le Sous-Comité des Nations</w:t>
      </w:r>
      <w:r w:rsidR="00E61F5D">
        <w:t> </w:t>
      </w:r>
      <w:r w:rsidRPr="00155095">
        <w:t>Unies pour la prévention de la torture</w:t>
      </w:r>
      <w:r w:rsidR="001C38F7">
        <w:t xml:space="preserve">, dont plusieurs membres se sont </w:t>
      </w:r>
      <w:r w:rsidRPr="00155095">
        <w:t>rendu</w:t>
      </w:r>
      <w:r w:rsidR="001C38F7">
        <w:t>s</w:t>
      </w:r>
      <w:r w:rsidRPr="00155095">
        <w:t xml:space="preserve"> en Tunisie du 12 au 14</w:t>
      </w:r>
      <w:r w:rsidR="006300B6">
        <w:t> </w:t>
      </w:r>
      <w:r w:rsidRPr="00155095">
        <w:t>avril 2016</w:t>
      </w:r>
      <w:r w:rsidR="001C38F7">
        <w:t xml:space="preserve"> et y </w:t>
      </w:r>
      <w:r w:rsidRPr="00155095">
        <w:t>ont rencontré des représentants du Gouvernement et de la société civile, s</w:t>
      </w:r>
      <w:r w:rsidR="001C38F7">
        <w:t>’</w:t>
      </w:r>
      <w:r w:rsidRPr="00155095">
        <w:t>est dit convaincu que la Tunisie était sur la bonne voie et l’</w:t>
      </w:r>
      <w:r w:rsidR="001C38F7">
        <w:t>a</w:t>
      </w:r>
      <w:r w:rsidRPr="00155095">
        <w:t xml:space="preserve"> engagée à </w:t>
      </w:r>
      <w:r w:rsidRPr="001C38F7">
        <w:rPr>
          <w:bCs/>
        </w:rPr>
        <w:t xml:space="preserve">poursuivre </w:t>
      </w:r>
      <w:r w:rsidR="001C38F7" w:rsidRPr="001C38F7">
        <w:rPr>
          <w:bCs/>
        </w:rPr>
        <w:t xml:space="preserve">son action </w:t>
      </w:r>
      <w:r w:rsidRPr="001C38F7">
        <w:rPr>
          <w:bCs/>
        </w:rPr>
        <w:t>en matière de prévention de la torture.</w:t>
      </w:r>
      <w:r w:rsidRPr="00155095">
        <w:t xml:space="preserve"> Le pays se heurte certes à des écueils mais tous les efforts nécessaires seront faits pour progresser davantage </w:t>
      </w:r>
      <w:r w:rsidR="001C38F7">
        <w:t xml:space="preserve">encore dans </w:t>
      </w:r>
      <w:r w:rsidR="001C38F7">
        <w:lastRenderedPageBreak/>
        <w:t xml:space="preserve">ce domaine. </w:t>
      </w:r>
      <w:r w:rsidRPr="00155095">
        <w:t>Le Gouvernement est conscient que des mesures devront parallèlement être prises pour changer les comportements et lutter implacablement contre l’impunité.</w:t>
      </w:r>
    </w:p>
    <w:p w:rsidR="00155095" w:rsidRPr="00155095" w:rsidRDefault="00155095" w:rsidP="00014212">
      <w:pPr>
        <w:pStyle w:val="SingleTxtG"/>
        <w:numPr>
          <w:ilvl w:val="0"/>
          <w:numId w:val="14"/>
        </w:numPr>
        <w:ind w:left="1134" w:firstLine="0"/>
      </w:pPr>
      <w:r w:rsidRPr="00155095">
        <w:t xml:space="preserve">Un organe créé en décembre 2015 est spécialement chargé de mettre en œuvre les recommandations du Comité contre la torture et d’introduire les réformes jugées nécessaires. Le Gouvernement est résolu à lever tous les obstacles accumulés au fil des ans et à poursuivre le train de réformes engagées. Il écoute attentivement les préoccupations de la société civile et tient compte des propositions constructives. </w:t>
      </w:r>
    </w:p>
    <w:p w:rsidR="00155095" w:rsidRPr="00155095" w:rsidRDefault="006300B6" w:rsidP="00014212">
      <w:pPr>
        <w:pStyle w:val="SingleTxtG"/>
        <w:numPr>
          <w:ilvl w:val="0"/>
          <w:numId w:val="14"/>
        </w:numPr>
        <w:ind w:left="1134" w:firstLine="0"/>
      </w:pPr>
      <w:r w:rsidRPr="001C38F7">
        <w:rPr>
          <w:b/>
        </w:rPr>
        <w:t>M</w:t>
      </w:r>
      <w:r w:rsidRPr="001C38F7">
        <w:rPr>
          <w:b/>
          <w:vertAlign w:val="superscript"/>
        </w:rPr>
        <w:t>me</w:t>
      </w:r>
      <w:r w:rsidRPr="001C38F7">
        <w:rPr>
          <w:b/>
        </w:rPr>
        <w:t> </w:t>
      </w:r>
      <w:r w:rsidR="00155095" w:rsidRPr="001C38F7">
        <w:rPr>
          <w:b/>
        </w:rPr>
        <w:t>Belmir</w:t>
      </w:r>
      <w:r w:rsidR="00155095" w:rsidRPr="00155095">
        <w:t xml:space="preserve"> (Rapporteuse pour la Tunisie) note que </w:t>
      </w:r>
      <w:r w:rsidR="001C38F7">
        <w:t xml:space="preserve">la définition de la torture incorporée au </w:t>
      </w:r>
      <w:r w:rsidR="00155095" w:rsidRPr="00155095">
        <w:t>Code pénal tunisien en 1999 est assez proche de celle figurant à l’article premier de la Con</w:t>
      </w:r>
      <w:r w:rsidR="001C38F7">
        <w:t>vention mais qu’elle omet dans l</w:t>
      </w:r>
      <w:r w:rsidR="00155095" w:rsidRPr="00155095">
        <w:t>es motivations l’objectif de puni</w:t>
      </w:r>
      <w:r w:rsidR="001C38F7">
        <w:t xml:space="preserve">tion et </w:t>
      </w:r>
      <w:r w:rsidR="00155095" w:rsidRPr="00155095">
        <w:t>limite le motif de discrimination à la discrimination raciale</w:t>
      </w:r>
      <w:r w:rsidR="001C38F7">
        <w:t>. Elle invite donc la Tunisie à envisager de</w:t>
      </w:r>
      <w:r w:rsidR="00155095" w:rsidRPr="00155095">
        <w:t xml:space="preserve"> modifier </w:t>
      </w:r>
      <w:r w:rsidR="001C38F7">
        <w:t>cette</w:t>
      </w:r>
      <w:r w:rsidR="00155095" w:rsidRPr="00155095">
        <w:t xml:space="preserve"> définition </w:t>
      </w:r>
      <w:r w:rsidR="001C38F7">
        <w:t>afin de la rendre pleinement conforme à l’article premier. En ce qui concerne la révision des dispositi</w:t>
      </w:r>
      <w:r w:rsidR="004606C7">
        <w:t>o</w:t>
      </w:r>
      <w:r w:rsidR="001C38F7">
        <w:t xml:space="preserve">ns du Code pénal, elle souhaiterait connaître </w:t>
      </w:r>
      <w:r w:rsidR="00155095" w:rsidRPr="00155095">
        <w:t>l’ét</w:t>
      </w:r>
      <w:r w:rsidR="001C38F7">
        <w:t>at d’avancement des travaux du c</w:t>
      </w:r>
      <w:r w:rsidR="00155095" w:rsidRPr="00155095">
        <w:t xml:space="preserve">omité multisectoriel élargi qui a été créé </w:t>
      </w:r>
      <w:r w:rsidR="001C38F7">
        <w:t xml:space="preserve">à cet effet </w:t>
      </w:r>
      <w:r w:rsidR="00155095" w:rsidRPr="00155095">
        <w:t xml:space="preserve">au sein du Ministère de la justice </w:t>
      </w:r>
      <w:r w:rsidR="001C38F7">
        <w:t xml:space="preserve">en 2014. </w:t>
      </w:r>
      <w:r w:rsidR="00155095" w:rsidRPr="00155095">
        <w:t xml:space="preserve">Elle demande </w:t>
      </w:r>
      <w:r w:rsidR="00456524">
        <w:t xml:space="preserve">par ailleurs </w:t>
      </w:r>
      <w:r w:rsidR="00155095" w:rsidRPr="00155095">
        <w:t xml:space="preserve">à la délégation d’expliquer ce que signifie juridiquement une dénonciation </w:t>
      </w:r>
      <w:r>
        <w:t>« </w:t>
      </w:r>
      <w:r w:rsidR="00155095" w:rsidRPr="00155095">
        <w:t>de bonne foi</w:t>
      </w:r>
      <w:r>
        <w:t> »</w:t>
      </w:r>
      <w:r w:rsidR="00155095" w:rsidRPr="00155095">
        <w:t xml:space="preserve"> des actes de torture, comme il est indiqué au paragraphe 2 des réponses </w:t>
      </w:r>
      <w:r w:rsidR="00456524">
        <w:t>à la liste de points</w:t>
      </w:r>
      <w:r w:rsidR="00155095" w:rsidRPr="001C38F7">
        <w:rPr>
          <w:lang w:val="fr-FR"/>
        </w:rPr>
        <w:t xml:space="preserve">, et si cette dénonciation doit être faite avant la commission des faits ou après. </w:t>
      </w:r>
    </w:p>
    <w:p w:rsidR="00155095" w:rsidRPr="00155095" w:rsidRDefault="00155095" w:rsidP="00923E72">
      <w:pPr>
        <w:pStyle w:val="SingleTxtG"/>
        <w:numPr>
          <w:ilvl w:val="0"/>
          <w:numId w:val="14"/>
        </w:numPr>
        <w:ind w:left="1134" w:firstLine="0"/>
      </w:pPr>
      <w:r w:rsidRPr="00155095">
        <w:t xml:space="preserve">La Rapporteuse remarque que le Ministère de l’intérieur exerce une action prépondérante en matière d’applicabilité des normes internationales relatives aux droits de l’homme, notamment la Convention, au détriment du Ministère de la justice. Elle </w:t>
      </w:r>
      <w:r w:rsidR="00456524">
        <w:t xml:space="preserve">souhaiterait savoir </w:t>
      </w:r>
      <w:r w:rsidRPr="00155095">
        <w:t xml:space="preserve">si ce sont les juges qui, en Tunisie, délivrent les commissions rogatoires aux fins de l’ouverte d’enquêtes ou bien, comme certaines informations le laissent penser, les agents du Ministère de l’intérieur, lesquels ne dépendent pas du pouvoir judiciaire mais du pouvoir exécutif. Elle se demande si cette situation est due aux événements qui se sont produits récemment dans l’État partie ou si elle est appelée à durer, ce qui serait problématique. </w:t>
      </w:r>
      <w:r w:rsidR="00923E72">
        <w:t xml:space="preserve">Notant que la loi </w:t>
      </w:r>
      <w:r w:rsidR="00923E72" w:rsidRPr="002D76F4">
        <w:rPr>
          <w:rFonts w:eastAsia="MS Mincho"/>
          <w:szCs w:val="22"/>
        </w:rPr>
        <w:t>n</w:t>
      </w:r>
      <w:r w:rsidR="00923E72" w:rsidRPr="002D76F4">
        <w:rPr>
          <w:rFonts w:eastAsia="MS Mincho"/>
          <w:szCs w:val="22"/>
          <w:vertAlign w:val="superscript"/>
        </w:rPr>
        <w:t>o</w:t>
      </w:r>
      <w:r w:rsidR="00923E72">
        <w:t xml:space="preserve"> 2013-13 modifiant </w:t>
      </w:r>
      <w:r w:rsidRPr="00155095">
        <w:t xml:space="preserve">le Code de procédure pénale </w:t>
      </w:r>
      <w:r w:rsidR="00923E72">
        <w:t xml:space="preserve">prévoit la possibilité de bénéficier de l’assistance d’un avocat </w:t>
      </w:r>
      <w:r w:rsidRPr="00155095">
        <w:t xml:space="preserve">pendant la durée de la garde à vue, </w:t>
      </w:r>
      <w:r w:rsidR="00923E72">
        <w:t xml:space="preserve">la Rapporteuse demande à la délégation d’indiquer </w:t>
      </w:r>
      <w:r w:rsidRPr="00155095">
        <w:t xml:space="preserve">à quel moment précis débute la garde à vue, c’est-à-dire si elle commence </w:t>
      </w:r>
      <w:r w:rsidR="00923E72">
        <w:t xml:space="preserve">dès </w:t>
      </w:r>
      <w:r w:rsidRPr="00155095">
        <w:t xml:space="preserve">l’interpellation ou </w:t>
      </w:r>
      <w:r w:rsidR="00923E72">
        <w:t xml:space="preserve">seulement à compter </w:t>
      </w:r>
      <w:r w:rsidRPr="00155095">
        <w:t xml:space="preserve">de l’inculpation. Elle relève également que la durée </w:t>
      </w:r>
      <w:r w:rsidR="00923E72">
        <w:t xml:space="preserve">maximale </w:t>
      </w:r>
      <w:r w:rsidRPr="00155095">
        <w:t>de la garde à vue</w:t>
      </w:r>
      <w:r w:rsidR="00923E72">
        <w:t xml:space="preserve"> </w:t>
      </w:r>
      <w:r w:rsidRPr="00155095">
        <w:t xml:space="preserve">a été ramenée à deux jours </w:t>
      </w:r>
      <w:r w:rsidR="00923E72">
        <w:t xml:space="preserve">au lieu de trois </w:t>
      </w:r>
      <w:r w:rsidRPr="00155095">
        <w:t>mais qu’elle est portée à cinq jours</w:t>
      </w:r>
      <w:r w:rsidR="00923E72">
        <w:t>,</w:t>
      </w:r>
      <w:r w:rsidRPr="00155095">
        <w:t xml:space="preserve"> renouvelables deux fois</w:t>
      </w:r>
      <w:r w:rsidR="00923E72">
        <w:t>,</w:t>
      </w:r>
      <w:r w:rsidRPr="00155095">
        <w:t xml:space="preserve"> pour les personnes soupçonnées de terrorisme. De nombreuses sources affirment que des policiers commettraient des abus </w:t>
      </w:r>
      <w:r w:rsidR="00923E72">
        <w:t xml:space="preserve">à l’égard des </w:t>
      </w:r>
      <w:r w:rsidRPr="00155095">
        <w:t>prévenus durant leur garde à vue et les maltraiteraient au moment de l’interpellation et durant leur interrogatoire. D’autres sources affirment également que de nombreux gardés à vue ne connaissent pas les infractions qui leur sont reprochées et que leur famille n</w:t>
      </w:r>
      <w:r w:rsidR="00E61F5D">
        <w:t>’est</w:t>
      </w:r>
      <w:r w:rsidRPr="00155095">
        <w:t xml:space="preserve"> souvent pas informée du lieu où ils se trouvent. </w:t>
      </w:r>
      <w:r w:rsidR="00923E72">
        <w:t xml:space="preserve">Enfin, </w:t>
      </w:r>
      <w:r w:rsidRPr="00155095">
        <w:t xml:space="preserve">même si les personnes gardées à vue ont le droit, en vertu de la loi, de bénéficier d’un examen médical, celles-ci ne peuvent pas être examinées par le médecin de leur choix car il est fait appel aux médecins de l’administration et non pas à ceux sous tutelle du Ministère de la santé. </w:t>
      </w:r>
      <w:r w:rsidR="00923E72">
        <w:t>Les commentaires de la délégation sur ces points seront les bienvenus</w:t>
      </w:r>
      <w:r w:rsidRPr="00155095">
        <w:t>.</w:t>
      </w:r>
    </w:p>
    <w:p w:rsidR="00155095" w:rsidRPr="00155095" w:rsidRDefault="00155095" w:rsidP="00923E72">
      <w:pPr>
        <w:pStyle w:val="SingleTxtG"/>
        <w:numPr>
          <w:ilvl w:val="0"/>
          <w:numId w:val="14"/>
        </w:numPr>
        <w:ind w:left="1134" w:firstLine="0"/>
      </w:pPr>
      <w:r w:rsidRPr="00155095">
        <w:t xml:space="preserve">La Rapporteuse </w:t>
      </w:r>
      <w:r w:rsidR="00923E72">
        <w:t xml:space="preserve">souhaiterait des éclaircissements sur la position de l’État partie concernant la définition du terrorisme. Elle souhaiterait par ailleurs savoir </w:t>
      </w:r>
      <w:r w:rsidRPr="00155095">
        <w:t xml:space="preserve">ce qui </w:t>
      </w:r>
      <w:r w:rsidR="00923E72">
        <w:t xml:space="preserve">fait obstacle </w:t>
      </w:r>
      <w:r w:rsidRPr="00155095">
        <w:t xml:space="preserve">à l’adoption du projet de loi sur l’asile, qui est </w:t>
      </w:r>
      <w:r w:rsidR="00923E72">
        <w:t>à l’</w:t>
      </w:r>
      <w:r w:rsidRPr="00155095">
        <w:t>exame</w:t>
      </w:r>
      <w:r w:rsidR="00923E72">
        <w:t>n</w:t>
      </w:r>
      <w:r w:rsidRPr="00155095">
        <w:t xml:space="preserve"> depuis </w:t>
      </w:r>
      <w:r w:rsidR="00923E72">
        <w:t xml:space="preserve">plusieurs années. </w:t>
      </w:r>
      <w:r w:rsidRPr="00155095">
        <w:t xml:space="preserve">Elle relève que la Tunisie a </w:t>
      </w:r>
      <w:r w:rsidR="00923E72">
        <w:t xml:space="preserve">signé un </w:t>
      </w:r>
      <w:r w:rsidRPr="00155095">
        <w:t xml:space="preserve">accord de coopération </w:t>
      </w:r>
      <w:r w:rsidR="00923E72">
        <w:t xml:space="preserve">avec </w:t>
      </w:r>
      <w:r w:rsidRPr="00155095">
        <w:t xml:space="preserve">le Haut-Commissariat des Nations Unies pour les réfugiés </w:t>
      </w:r>
      <w:r w:rsidR="00923E72">
        <w:t xml:space="preserve">(HCR) </w:t>
      </w:r>
      <w:r w:rsidRPr="00155095">
        <w:t>relatif à l’établissement d</w:t>
      </w:r>
      <w:r w:rsidR="00923E72">
        <w:t>’</w:t>
      </w:r>
      <w:r w:rsidRPr="00155095">
        <w:t>u</w:t>
      </w:r>
      <w:r w:rsidR="00923E72">
        <w:t>n</w:t>
      </w:r>
      <w:r w:rsidRPr="00155095">
        <w:t xml:space="preserve"> bureau du HC</w:t>
      </w:r>
      <w:r w:rsidR="00923E72">
        <w:t>R</w:t>
      </w:r>
      <w:r w:rsidRPr="00155095">
        <w:t xml:space="preserve"> en Tunisie </w:t>
      </w:r>
      <w:r w:rsidR="00923E72">
        <w:t xml:space="preserve">en 2011 </w:t>
      </w:r>
      <w:r w:rsidRPr="00155095">
        <w:t xml:space="preserve">mais qu’elle ne dispose pas de cadre législatif réglementant l’asile. Elle aimerait savoir si l’État partie entend se doter d’un cadre juridique national dans ce domaine et confier l’examen des demandes d’asile à une instance nationale plutôt qu’au </w:t>
      </w:r>
      <w:r w:rsidR="00923E72">
        <w:t>HCR</w:t>
      </w:r>
      <w:r w:rsidRPr="00155095">
        <w:t>, comme cela est le cas aujourd’hui.</w:t>
      </w:r>
    </w:p>
    <w:p w:rsidR="00446FE5" w:rsidRDefault="00155095" w:rsidP="00014212">
      <w:pPr>
        <w:pStyle w:val="SingleTxtG"/>
        <w:numPr>
          <w:ilvl w:val="0"/>
          <w:numId w:val="14"/>
        </w:numPr>
        <w:ind w:left="1134" w:firstLine="0"/>
      </w:pPr>
      <w:r w:rsidRPr="00155095">
        <w:lastRenderedPageBreak/>
        <w:t xml:space="preserve">La Rapporteuse se dit préoccupée par les expulsions de migrants sans papiers et par l’impossibilité des personnes visées par un arrêté d’expulsion d’avoir accès à des voies de recours, y compris lorsqu’il existe des motifs sérieux de croire qu’elles risquent d’être soumises à la torture dans le pays de renvoi. Elle cite à cet égard le cas d’un homme expulsé </w:t>
      </w:r>
      <w:r w:rsidR="00923E72">
        <w:t>vers la</w:t>
      </w:r>
      <w:r w:rsidRPr="00155095">
        <w:t xml:space="preserve"> Libye en vertu d’un accord </w:t>
      </w:r>
      <w:r w:rsidR="00923E72">
        <w:t xml:space="preserve">bilatéral et </w:t>
      </w:r>
      <w:r w:rsidRPr="00155095">
        <w:t xml:space="preserve">condamné à mort en </w:t>
      </w:r>
      <w:r w:rsidR="00923E72">
        <w:t>L</w:t>
      </w:r>
      <w:r w:rsidR="00E61F5D">
        <w:t>i</w:t>
      </w:r>
      <w:r w:rsidR="00923E72">
        <w:t>b</w:t>
      </w:r>
      <w:r w:rsidR="00E61F5D">
        <w:t>y</w:t>
      </w:r>
      <w:r w:rsidR="00923E72">
        <w:t xml:space="preserve">e en </w:t>
      </w:r>
      <w:r w:rsidRPr="00155095">
        <w:t xml:space="preserve">juillet 2015 à l’issue d’un procès qui ne semble pas avoir respecté les garanties internationales relatives à un procès équitable. </w:t>
      </w:r>
      <w:r w:rsidR="00923E72">
        <w:t xml:space="preserve">Elle invite la délégation à formuler des </w:t>
      </w:r>
      <w:r w:rsidR="003E61EC">
        <w:t>commentaires</w:t>
      </w:r>
      <w:r w:rsidR="00923E72">
        <w:t xml:space="preserve"> à ce sujet et </w:t>
      </w:r>
      <w:r w:rsidRPr="00155095">
        <w:t xml:space="preserve">sur le régime de rétention administrative des migrants sans papiers. La Rapporteuse s’inquiète </w:t>
      </w:r>
      <w:r w:rsidR="00923E72">
        <w:t xml:space="preserve">également </w:t>
      </w:r>
      <w:r w:rsidRPr="00155095">
        <w:t xml:space="preserve">des nombreux dysfonctionnements observés au sein du système judiciaire, tels que le manque de formation des juges, la pénurie d’auxiliaires de justice et </w:t>
      </w:r>
      <w:r w:rsidR="00923E72">
        <w:t>l</w:t>
      </w:r>
      <w:r w:rsidRPr="00155095">
        <w:t>es arrestations effectuées en l’absence de mandat</w:t>
      </w:r>
      <w:r w:rsidR="00923E72">
        <w:t xml:space="preserve">, ainsi que de </w:t>
      </w:r>
      <w:r w:rsidRPr="00155095">
        <w:t>la mainmise du pouvoir exécuti</w:t>
      </w:r>
      <w:r w:rsidR="00923E72">
        <w:t>f sur le pouvoir judiciaire et d</w:t>
      </w:r>
      <w:r w:rsidRPr="00155095">
        <w:t xml:space="preserve">es chevauchements entre les attributions des juridictions militaires et des juridictions civiles. Elle demande à la délégation d’expliquer pour quelles raisons depuis la </w:t>
      </w:r>
      <w:r w:rsidR="00ED1B50">
        <w:t>R</w:t>
      </w:r>
      <w:r w:rsidRPr="00155095">
        <w:t>évolution tunisienne la justice civile s’est désistée au profit de la juridiction militaire et d’indiquer si les textes législatifs permettent une telle situation.</w:t>
      </w:r>
    </w:p>
    <w:p w:rsidR="00155095" w:rsidRPr="00155095" w:rsidRDefault="00155095" w:rsidP="00014212">
      <w:pPr>
        <w:pStyle w:val="SingleTxtG"/>
        <w:numPr>
          <w:ilvl w:val="0"/>
          <w:numId w:val="14"/>
        </w:numPr>
        <w:ind w:left="1134" w:firstLine="0"/>
      </w:pPr>
      <w:r w:rsidRPr="00155095">
        <w:rPr>
          <w:b/>
        </w:rPr>
        <w:t>M. Zhang</w:t>
      </w:r>
      <w:r w:rsidRPr="00155095">
        <w:t xml:space="preserve"> Kening (Corapporteur pour la Tunisie) prend acte avec satisfaction des nombreuses mesures adoptées pour donner effet à l’article</w:t>
      </w:r>
      <w:r w:rsidR="008917F2">
        <w:t xml:space="preserve"> </w:t>
      </w:r>
      <w:r w:rsidRPr="00155095">
        <w:t>10 de la Convention qui sont décrites</w:t>
      </w:r>
      <w:r w:rsidR="008917F2">
        <w:t xml:space="preserve"> dans le rapport complémentaire</w:t>
      </w:r>
      <w:r w:rsidRPr="00155095">
        <w:t xml:space="preserve">. Il note toutefois que, d’après des informations émanant d’ONG, depuis la </w:t>
      </w:r>
      <w:r w:rsidR="00ED1B50">
        <w:t>R</w:t>
      </w:r>
      <w:r w:rsidRPr="00155095">
        <w:t>évolution de 2011, la torture et les mauvais traitements ne sont plus un thème tabou mais les autorités ont tendance à minimiser l’ampleur de ce phénomène et à réfuter les allégations de la société civile à ce sujet. La délégation est invitée à commenter ces observations et à donner des renseignements complémentaires sur la teneur du Code de bonne conduite des forces de sécurité intérieures dans leurs rapports avec les journalistes, du Code de déontologie des forces de sécurité de 2003, tel que révisé en 2011, du Modèle tunisien de police de proximité, des règles générales de discipline des forces armées et du Code des bonnes pratiques en matière de traitement des détenus, et à en fournir des exemplaires en arabe et en français au Comité. À ce propos, il serait intéressant de savoir combien d’activités de formation ont eu lieu depuis 2011 sur les questions traitées dans ces documents, combien d’ateliers et de cours de sensibilisation à l’interdiction de la torture et des mauvais traitements ont été organisés à l’intention des membres des forces de sécurité et de la police, des magistrats et des membres de l’armée et combien d’activités de formation sur le Manuel pour enquêter efficacement sur la torture et autres peines ou traitements cruels, inhumains ou dégradants (Protocole d’Istanbul) ont été organisées à l’intention du personnel médical travaillant dans les lieux de privation de liberté. Enfin, la délégation voudra bien décrire l’état d’avancement du projet de guide pour les visites dans les lieux de déte</w:t>
      </w:r>
      <w:r w:rsidR="00E61F5D">
        <w:t>ntion.</w:t>
      </w:r>
    </w:p>
    <w:p w:rsidR="00155095" w:rsidRPr="00155095" w:rsidRDefault="008917F2" w:rsidP="00014212">
      <w:pPr>
        <w:pStyle w:val="SingleTxtG"/>
        <w:numPr>
          <w:ilvl w:val="0"/>
          <w:numId w:val="14"/>
        </w:numPr>
        <w:ind w:left="1134" w:firstLine="0"/>
      </w:pPr>
      <w:r>
        <w:t>L</w:t>
      </w:r>
      <w:r w:rsidR="00155095" w:rsidRPr="00155095">
        <w:t>e Corapporteur s</w:t>
      </w:r>
      <w:r>
        <w:t xml:space="preserve">alue </w:t>
      </w:r>
      <w:r w:rsidR="00155095" w:rsidRPr="00155095">
        <w:t xml:space="preserve">l’adoption de la </w:t>
      </w:r>
      <w:r w:rsidR="00155095" w:rsidRPr="00155095">
        <w:rPr>
          <w:lang w:val="fr-FR"/>
        </w:rPr>
        <w:t>loi n</w:t>
      </w:r>
      <w:r w:rsidR="00155095" w:rsidRPr="00155095">
        <w:rPr>
          <w:vertAlign w:val="superscript"/>
          <w:lang w:val="fr-FR"/>
        </w:rPr>
        <w:t>o</w:t>
      </w:r>
      <w:r w:rsidR="00155095" w:rsidRPr="00155095">
        <w:rPr>
          <w:lang w:val="fr-FR"/>
        </w:rPr>
        <w:t> 68 du 12 août 2009</w:t>
      </w:r>
      <w:r>
        <w:rPr>
          <w:lang w:val="fr-FR"/>
        </w:rPr>
        <w:t>,</w:t>
      </w:r>
      <w:r w:rsidR="00155095" w:rsidRPr="00155095">
        <w:rPr>
          <w:lang w:val="fr-FR"/>
        </w:rPr>
        <w:t xml:space="preserve"> relative à l’instauration de la peine de réparation pénale et à la modernisation des procédés </w:t>
      </w:r>
      <w:r>
        <w:rPr>
          <w:lang w:val="fr-FR"/>
        </w:rPr>
        <w:t xml:space="preserve">alternatifs à </w:t>
      </w:r>
      <w:r w:rsidR="00155095" w:rsidRPr="00155095">
        <w:rPr>
          <w:lang w:val="fr-FR"/>
        </w:rPr>
        <w:t>l’emprisonnement</w:t>
      </w:r>
      <w:r w:rsidR="00155095" w:rsidRPr="00155095">
        <w:t xml:space="preserve">, et </w:t>
      </w:r>
      <w:r>
        <w:t>le</w:t>
      </w:r>
      <w:r w:rsidR="00155095" w:rsidRPr="00155095">
        <w:t xml:space="preserve"> lancement en 2013 du programme d’amélioration du traitement des détenus. Toutefois, le surpeuplement dans les lieux de détention continue d’être un motif de préoccupation et, d’après des ONG, le taux d’occupation dans certains établissements atteindrait 150</w:t>
      </w:r>
      <w:r>
        <w:t> </w:t>
      </w:r>
      <w:r w:rsidR="00155095" w:rsidRPr="00155095">
        <w:t>% de l</w:t>
      </w:r>
      <w:r>
        <w:t>a</w:t>
      </w:r>
      <w:r w:rsidR="00155095" w:rsidRPr="00155095">
        <w:t xml:space="preserve"> capacité d’accueil, les mesures de substitution à la privation de liberté seraient très rarement prononcées et l’engorgement des lieux de détention créerait un climat de tension propice aux violences, à la discrimination et à la corruption et empêcherait les détenus d’avoir accès au travail. En outre, les conditions d’hygiène seraient déplorables et les repas seraient de mauvaise qualité et servis en quantité insuffisante et il n’y aurait pas assez de lits pour tous les détenus</w:t>
      </w:r>
      <w:r>
        <w:t xml:space="preserve">, ce qui les contraindrait à </w:t>
      </w:r>
      <w:r w:rsidR="00155095" w:rsidRPr="00155095">
        <w:t xml:space="preserve">les partager. La délégation voudra bien commenter ces observations et fournir une réponse aux questions posées aux alinéas b) et d) du paragraphe 21 de la liste de points </w:t>
      </w:r>
      <w:r>
        <w:t>concernant les mesures visant à lutter contre le surpeuplement carcéral</w:t>
      </w:r>
      <w:r w:rsidR="006300B6">
        <w:t>.</w:t>
      </w:r>
    </w:p>
    <w:p w:rsidR="00155095" w:rsidRPr="00155095" w:rsidRDefault="00155095" w:rsidP="00014212">
      <w:pPr>
        <w:pStyle w:val="SingleTxtG"/>
        <w:numPr>
          <w:ilvl w:val="0"/>
          <w:numId w:val="14"/>
        </w:numPr>
        <w:ind w:left="1134" w:firstLine="0"/>
      </w:pPr>
      <w:r w:rsidRPr="00155095">
        <w:t xml:space="preserve">Tout en relevant avec satisfaction que l’article 13 de la loi </w:t>
      </w:r>
      <w:r w:rsidR="00E61F5D" w:rsidRPr="002D76F4">
        <w:rPr>
          <w:rFonts w:eastAsia="MS Mincho"/>
          <w:szCs w:val="22"/>
        </w:rPr>
        <w:t>n</w:t>
      </w:r>
      <w:r w:rsidR="00E61F5D" w:rsidRPr="002D76F4">
        <w:rPr>
          <w:rFonts w:eastAsia="MS Mincho"/>
          <w:szCs w:val="22"/>
          <w:vertAlign w:val="superscript"/>
        </w:rPr>
        <w:t>o</w:t>
      </w:r>
      <w:r w:rsidR="00E61F5D">
        <w:t> </w:t>
      </w:r>
      <w:r w:rsidRPr="00155095">
        <w:t xml:space="preserve">2001-52 relative à l’organisation des prisons prévoit l’obligation de soumettre le détenu à un examen médical </w:t>
      </w:r>
      <w:r w:rsidRPr="00155095">
        <w:lastRenderedPageBreak/>
        <w:t xml:space="preserve">dès son incarcération, le Corapporteur note que, d’après des ONG, l’examen médical a souvent lieu bien après les </w:t>
      </w:r>
      <w:r w:rsidR="00E61F5D">
        <w:t>quarante-huit</w:t>
      </w:r>
      <w:r w:rsidRPr="00155095">
        <w:t xml:space="preserve"> heures qui suivent l’arrestation</w:t>
      </w:r>
      <w:r w:rsidR="00E61F5D">
        <w:t>,</w:t>
      </w:r>
      <w:r w:rsidRPr="00155095">
        <w:t xml:space="preserve"> et les dossiers médicaux ne sont pas établis conformément au Protocole d’Istanbul. En conséquence, les séquelles de tortures infligées au cours de la garde à vue ne sont pas automatiquement signalées à un juge d’instruction ou au conseil du détenu. De plus, les examens médico</w:t>
      </w:r>
      <w:r w:rsidR="003E61EC">
        <w:t>-</w:t>
      </w:r>
      <w:r w:rsidRPr="00155095">
        <w:t>légaux ne sont effectués qu’à la demande du procureur ou du juge d’instruction, ce qui signifie qu’à moins qu’un tel examen ait été ordonné par ces magistrats, les détenus n’ont pas la possibilité d’obtenir un certificat médical susceptible d’étayer leurs allégations de torture. En outre, lors de la garde à vue, les examens médicaux, qui doivent en principe être effectués par des médecins indépendants, seraient parfois réalisés par des médecins relevant du Ministère de l’intérieur. La délégation est invitée à commenter ces informations et indiquer ce qui est fait pour remédier au problème du non-respect de la durée légale de la détention provisoire, étant donné que, d’après des informations, 58</w:t>
      </w:r>
      <w:r w:rsidR="00E61F5D">
        <w:t> </w:t>
      </w:r>
      <w:r w:rsidRPr="00155095">
        <w:t xml:space="preserve">% des prévenus sont maintenus pendant plus de </w:t>
      </w:r>
      <w:r w:rsidR="00E61F5D">
        <w:t>quatorze</w:t>
      </w:r>
      <w:r w:rsidRPr="00155095">
        <w:t xml:space="preserve"> mois en détention, cette durée pouvant atteindre trois</w:t>
      </w:r>
      <w:r w:rsidR="00E61F5D">
        <w:t> </w:t>
      </w:r>
      <w:r w:rsidRPr="00155095">
        <w:t xml:space="preserve">ans dans certains cas. </w:t>
      </w:r>
    </w:p>
    <w:p w:rsidR="00155095" w:rsidRPr="00155095" w:rsidRDefault="00155095" w:rsidP="00014212">
      <w:pPr>
        <w:pStyle w:val="SingleTxtG"/>
        <w:numPr>
          <w:ilvl w:val="0"/>
          <w:numId w:val="14"/>
        </w:numPr>
        <w:ind w:left="1134" w:firstLine="0"/>
      </w:pPr>
      <w:r w:rsidRPr="00155095">
        <w:t xml:space="preserve">Le Corapporteur note avec satisfaction que des accords autorisant diverses entités dont l’institution nationale des droits de l’homme, le CICR et des ONG à effectuer des visites dans les prisons ont été conclus mais relève que le Rapporteur spécial sur la torture et autres peines ou traitements cruels, inhumains ou dégradants, de même que l’institution nationale des droits de l’homme et des organisations de la société civile se sont vu refuser l’accès au centre de la police judiciaire d’El </w:t>
      </w:r>
      <w:r w:rsidR="00E61F5D">
        <w:rPr>
          <w:lang w:val="en-US"/>
        </w:rPr>
        <w:t>Gorjani</w:t>
      </w:r>
      <w:r w:rsidRPr="00155095">
        <w:t>, ce qui appelle des explications. Il souhaiterait en outre un complément d’information sur les décès en détention survenus depuis 2013, en particulier sur la suite donnée au</w:t>
      </w:r>
      <w:r w:rsidR="00E61F5D">
        <w:t xml:space="preserve">x affaires citées au paragraphe </w:t>
      </w:r>
      <w:r w:rsidRPr="00155095">
        <w:t>24 de la liste de points, et prie la délégation de fournir les renseignements demandés aux paragraphes 25 et 26 de ce document</w:t>
      </w:r>
      <w:r w:rsidR="008917F2">
        <w:t xml:space="preserve"> concernant l’isolement en cellule </w:t>
      </w:r>
      <w:r w:rsidR="00E61F5D">
        <w:t>disciplinaire et la surveillanc</w:t>
      </w:r>
      <w:r w:rsidR="008917F2">
        <w:t>e des interrogatoires.</w:t>
      </w:r>
    </w:p>
    <w:p w:rsidR="00155095" w:rsidRPr="00155095" w:rsidRDefault="008917F2" w:rsidP="00014212">
      <w:pPr>
        <w:pStyle w:val="SingleTxtG"/>
        <w:numPr>
          <w:ilvl w:val="0"/>
          <w:numId w:val="14"/>
        </w:numPr>
        <w:ind w:left="1134" w:firstLine="0"/>
      </w:pPr>
      <w:r>
        <w:t>L</w:t>
      </w:r>
      <w:r w:rsidR="00155095" w:rsidRPr="00155095">
        <w:t xml:space="preserve">e Corapporteur invite la délégation à commenter des informations émanant d’ONG qui affirment que la police et la garde nationale recourent souvent à la torture, en particulier dans les locaux de la brigade antiterroriste d’El Gorjani, et à </w:t>
      </w:r>
      <w:r>
        <w:t>fournir l</w:t>
      </w:r>
      <w:r w:rsidR="00155095" w:rsidRPr="00155095">
        <w:t>es statistiques sur les affaires de torture demandées au paragraphe 28 de la liste de points. D’après certaines sources, entre janvier et juillet 2014, 230 plaintes pour torture auraient été déposées et 165 d’entre elles auraient fait l’objet d’une enquête. La délégation voudra bien indiquer ce qu’il est advenu des 65 plaintes restantes et fournir des renseignements récents sur le nombre de plaintes pour violation de l’article 101 </w:t>
      </w:r>
      <w:r w:rsidR="00155095" w:rsidRPr="00155095">
        <w:rPr>
          <w:i/>
        </w:rPr>
        <w:t xml:space="preserve">bis </w:t>
      </w:r>
      <w:r w:rsidR="00155095" w:rsidRPr="00155095">
        <w:t xml:space="preserve">du Code pénal déposées depuis 2011, ventilées par année, en précisant combien d’enquêtes ont été ouvertes, combien d’affaires ont donné lieu à l’ouverture de poursuites et ont été portées devant les tribunaux, </w:t>
      </w:r>
      <w:r>
        <w:t xml:space="preserve">et </w:t>
      </w:r>
      <w:r w:rsidR="00155095" w:rsidRPr="00155095">
        <w:t xml:space="preserve">combien de condamnations et quelles peines ont été prononcées. Par ailleurs, il serait utile de savoir si, dans l’affaire </w:t>
      </w:r>
      <w:r w:rsidR="00155095" w:rsidRPr="00E61F5D">
        <w:rPr>
          <w:i/>
          <w:lang w:val="en-US"/>
        </w:rPr>
        <w:t>Barraket Essahel</w:t>
      </w:r>
      <w:r w:rsidR="00155095" w:rsidRPr="00155095">
        <w:rPr>
          <w:lang w:val="en-US"/>
        </w:rPr>
        <w:t xml:space="preserve"> citée par </w:t>
      </w:r>
      <w:r w:rsidR="00155095" w:rsidRPr="00155095">
        <w:t>le Rapporteur spécial sur la question de la torture dans son rapport (</w:t>
      </w:r>
      <w:r w:rsidR="00155095" w:rsidRPr="00155095">
        <w:rPr>
          <w:lang w:val="en-US"/>
        </w:rPr>
        <w:t xml:space="preserve">A/HRC/28/68/Add.2), </w:t>
      </w:r>
      <w:r w:rsidR="00155095" w:rsidRPr="00155095">
        <w:rPr>
          <w:lang w:val="fr-FR"/>
        </w:rPr>
        <w:t>l’intéressé, qui a été jugé</w:t>
      </w:r>
      <w:r w:rsidR="00155095" w:rsidRPr="00155095">
        <w:rPr>
          <w:lang w:val="en-US"/>
        </w:rPr>
        <w:t xml:space="preserve"> pour violation de </w:t>
      </w:r>
      <w:r w:rsidR="00155095" w:rsidRPr="00155095">
        <w:t>l’article</w:t>
      </w:r>
      <w:r w:rsidR="00E61F5D">
        <w:t> </w:t>
      </w:r>
      <w:r w:rsidR="00155095" w:rsidRPr="00155095">
        <w:t>101 </w:t>
      </w:r>
      <w:r w:rsidR="00155095" w:rsidRPr="00155095">
        <w:rPr>
          <w:i/>
        </w:rPr>
        <w:t>bis</w:t>
      </w:r>
      <w:r w:rsidR="00155095" w:rsidRPr="00155095">
        <w:t xml:space="preserve"> du Code pénal, a été condamné et si l’initiative tendant à ce que la police judiciaire ne relève plus du Ministère de l’intérieur et soit placée sous l’autorité du Ministère d</w:t>
      </w:r>
      <w:r w:rsidR="006300B6">
        <w:t>e la justice s’est concrétisée.</w:t>
      </w:r>
    </w:p>
    <w:p w:rsidR="00155095" w:rsidRPr="00155095" w:rsidRDefault="008917F2" w:rsidP="00014212">
      <w:pPr>
        <w:pStyle w:val="SingleTxtG"/>
        <w:numPr>
          <w:ilvl w:val="0"/>
          <w:numId w:val="14"/>
        </w:numPr>
        <w:ind w:left="1134" w:firstLine="0"/>
      </w:pPr>
      <w:r>
        <w:t>L</w:t>
      </w:r>
      <w:r w:rsidR="00155095" w:rsidRPr="00155095">
        <w:t xml:space="preserve">e Corapporteur </w:t>
      </w:r>
      <w:r>
        <w:t xml:space="preserve">prend </w:t>
      </w:r>
      <w:r w:rsidR="00155095" w:rsidRPr="00155095">
        <w:t xml:space="preserve">note avec satisfaction </w:t>
      </w:r>
      <w:r>
        <w:t xml:space="preserve">de l’adoption de </w:t>
      </w:r>
      <w:r w:rsidR="00155095" w:rsidRPr="00155095">
        <w:t xml:space="preserve">la loi organique </w:t>
      </w:r>
      <w:r w:rsidR="00E61F5D" w:rsidRPr="002D76F4">
        <w:rPr>
          <w:rFonts w:eastAsia="MS Mincho"/>
          <w:szCs w:val="22"/>
        </w:rPr>
        <w:t>n</w:t>
      </w:r>
      <w:r w:rsidR="00E61F5D" w:rsidRPr="002D76F4">
        <w:rPr>
          <w:rFonts w:eastAsia="MS Mincho"/>
          <w:szCs w:val="22"/>
          <w:vertAlign w:val="superscript"/>
        </w:rPr>
        <w:t>o</w:t>
      </w:r>
      <w:r w:rsidR="00E61F5D">
        <w:t> </w:t>
      </w:r>
      <w:r w:rsidR="00155095" w:rsidRPr="00155095">
        <w:t xml:space="preserve">2013-53 sur l’instauration et l’organisation de la justice transitionnelle </w:t>
      </w:r>
      <w:r>
        <w:t xml:space="preserve">en 2013 et de la création de </w:t>
      </w:r>
      <w:r w:rsidR="00155095" w:rsidRPr="00155095">
        <w:t xml:space="preserve">l’Instance de la vérité et de la dignité </w:t>
      </w:r>
      <w:r>
        <w:t>en 2014</w:t>
      </w:r>
      <w:r w:rsidR="00155095" w:rsidRPr="00155095">
        <w:t>. Relevant que cette dernière a un mandat extrêmement vaste et qu</w:t>
      </w:r>
      <w:r>
        <w:t>’</w:t>
      </w:r>
      <w:r w:rsidR="00155095" w:rsidRPr="00155095">
        <w:t>e</w:t>
      </w:r>
      <w:r>
        <w:t>lle</w:t>
      </w:r>
      <w:r w:rsidR="00155095" w:rsidRPr="00155095">
        <w:t xml:space="preserve"> a déjà reçu plus de 28 000 plaintes, il aimerait savoir si des ressources suffisantes </w:t>
      </w:r>
      <w:r>
        <w:t xml:space="preserve">lui </w:t>
      </w:r>
      <w:r w:rsidR="00155095" w:rsidRPr="00155095">
        <w:t>ont été allouées pour qu’</w:t>
      </w:r>
      <w:r>
        <w:t>el</w:t>
      </w:r>
      <w:r w:rsidR="00155095" w:rsidRPr="00155095">
        <w:t>l</w:t>
      </w:r>
      <w:r>
        <w:t>e</w:t>
      </w:r>
      <w:r w:rsidR="00155095" w:rsidRPr="00155095">
        <w:t xml:space="preserve"> puisse s’acquitter efficacement de ses tâches. Notant que, dans ses réponses écrites, l’État partie ne cite qu’une seule affaire dans laquelle la police a fait un usage excessif de la force, le Corapporteur prie la délégation de fournir un complément d’information sur les questions évoquées au paragraphe 38 de la liste de points, sachant que, d’après certaines sources, 210 personnes auraient été blessées par balle par la police lors des manifestations qui ont eu lieu à Siliana </w:t>
      </w:r>
      <w:r w:rsidR="00155095" w:rsidRPr="00155095">
        <w:lastRenderedPageBreak/>
        <w:t xml:space="preserve">en 2012. En outre, selon des ONG, la police soumettrait les lesbiennes, gays, bisexuels, transsexuels et intersexués à des examens des cavités internes considérés par les personnes qui les subissent comme des actes de torture en raison de la violence avec laquelle ils sont pratiqués. La délégation voudra bien indiquer si l’État partie envisage d’abolir les lois en vigueur érigeant l’homosexualité en infraction. </w:t>
      </w:r>
    </w:p>
    <w:p w:rsidR="00155095" w:rsidRDefault="00155095" w:rsidP="00014212">
      <w:pPr>
        <w:pStyle w:val="SingleTxtG"/>
        <w:numPr>
          <w:ilvl w:val="0"/>
          <w:numId w:val="14"/>
        </w:numPr>
        <w:ind w:left="1134" w:firstLine="0"/>
      </w:pPr>
      <w:r w:rsidRPr="008917F2">
        <w:rPr>
          <w:b/>
        </w:rPr>
        <w:t>M. Bruni</w:t>
      </w:r>
      <w:r w:rsidRPr="00155095">
        <w:t xml:space="preserve"> demande s’il est prévu que le Comité des droits de l’homme et des libertés fondamentales et l’Instance nationale pour la prévention de la torture mènent leur</w:t>
      </w:r>
      <w:r w:rsidR="003E61EC">
        <w:t>s</w:t>
      </w:r>
      <w:r w:rsidRPr="00155095">
        <w:t xml:space="preserve"> activités futures en collaboration, étant donné qu’ils sont tous deux habilités à se rendre dans les lieux de détention, et quelle forme pourrait prendre cette collaboration. En outre, il souhaiterait des renseignements sur le</w:t>
      </w:r>
      <w:r w:rsidR="008917F2">
        <w:t xml:space="preserve"> nombre de</w:t>
      </w:r>
      <w:r w:rsidRPr="00155095">
        <w:t xml:space="preserve"> visites de prisons effectuées par le Comité supérieur des droits de l’homme et des libertés fondamentales, les recommandations formulées par celui-ci et la suite qui y </w:t>
      </w:r>
      <w:r w:rsidR="008917F2">
        <w:t xml:space="preserve">a été </w:t>
      </w:r>
      <w:r w:rsidRPr="00155095">
        <w:t xml:space="preserve">donnée. </w:t>
      </w:r>
      <w:r w:rsidR="008917F2">
        <w:t xml:space="preserve">La délégation voudra bien indiquer si cet </w:t>
      </w:r>
      <w:r w:rsidRPr="00155095">
        <w:t xml:space="preserve">organe a reçu des plaintes pour torture ou mauvais traitements et, le cas échéant, </w:t>
      </w:r>
      <w:r w:rsidR="008917F2">
        <w:t xml:space="preserve">si celles-ci </w:t>
      </w:r>
      <w:r w:rsidRPr="00155095">
        <w:t>ont donné lieu à une enquête et à des poursuites</w:t>
      </w:r>
      <w:r w:rsidR="008917F2">
        <w:t xml:space="preserve">. </w:t>
      </w:r>
      <w:r w:rsidRPr="00155095">
        <w:t xml:space="preserve">D’après des informations, des cas de torture et de décès suspects en détention survenus en 2015 et en 2016 auraient été signalés non seulement par des ONG, dont l’Observatoire tunisien pour l’indépendance de la magistrature, mais aussi par le juge d’instruction de la chambre antiterroriste du tribunal de première instance de Tunis, Ahmed Rahmouni. Tous ces acteurs s’accordent à dire que, dans le cadre de la lutte contre le terrorisme, les méthodes de répression brutales de l’ancien régime ont réapparu et qu’il est à craindre que la résurgence de ces pratiques ne fasse retomber la Tunisie dans la situation dans laquelle </w:t>
      </w:r>
      <w:r w:rsidR="009A396C">
        <w:t xml:space="preserve">elle </w:t>
      </w:r>
      <w:r w:rsidR="00ED1B50">
        <w:t>se trouvait avant la R</w:t>
      </w:r>
      <w:r w:rsidRPr="00155095">
        <w:t>évolution. La délégation est invitée à formuler des observations sur ces allégations. Notant que l’article 101 </w:t>
      </w:r>
      <w:r w:rsidRPr="008917F2">
        <w:rPr>
          <w:i/>
        </w:rPr>
        <w:t>quater</w:t>
      </w:r>
      <w:r w:rsidRPr="00155095">
        <w:t xml:space="preserve"> du Code pénal permet aux auteurs d’actes de torture qui collaborent avec la justice d’échapper à une peine d’emprisonnement à vie et d’être condamnés à une peine de réclusion criminelle de </w:t>
      </w:r>
      <w:r w:rsidR="00E61F5D">
        <w:t>vingt</w:t>
      </w:r>
      <w:r w:rsidRPr="00155095">
        <w:t xml:space="preserve"> ans d’emprisonnement, M. Bruni demande à la délégation d’expliquer comment un crime aussi grave que des actes de torture ayant entraîné la mort peut faire l’objet d’une réduction de peine.</w:t>
      </w:r>
    </w:p>
    <w:p w:rsidR="00155095" w:rsidRPr="00155095" w:rsidRDefault="00155095" w:rsidP="009A396C">
      <w:pPr>
        <w:pStyle w:val="SingleTxtG"/>
        <w:numPr>
          <w:ilvl w:val="0"/>
          <w:numId w:val="14"/>
        </w:numPr>
        <w:ind w:left="1134" w:firstLine="0"/>
        <w:rPr>
          <w:lang w:val="fr-FR"/>
        </w:rPr>
      </w:pPr>
      <w:r w:rsidRPr="00155095">
        <w:rPr>
          <w:lang w:val="fr-FR"/>
        </w:rPr>
        <w:t xml:space="preserve">Se référant </w:t>
      </w:r>
      <w:r w:rsidR="009A396C">
        <w:rPr>
          <w:lang w:val="fr-FR"/>
        </w:rPr>
        <w:t>au</w:t>
      </w:r>
      <w:r w:rsidRPr="00155095">
        <w:rPr>
          <w:lang w:val="fr-FR"/>
        </w:rPr>
        <w:t xml:space="preserve"> rapport du Haut-Commissariat aux droits de l’homme intitulé « Les prisons tunisiennes entre normes internationales et réalité</w:t>
      </w:r>
      <w:r w:rsidR="003E61EC">
        <w:rPr>
          <w:lang w:val="fr-FR"/>
        </w:rPr>
        <w:t> »</w:t>
      </w:r>
      <w:r w:rsidRPr="00155095">
        <w:rPr>
          <w:lang w:val="fr-FR"/>
        </w:rPr>
        <w:t>, M.</w:t>
      </w:r>
      <w:r w:rsidR="003E61EC">
        <w:rPr>
          <w:lang w:val="fr-FR"/>
        </w:rPr>
        <w:t> </w:t>
      </w:r>
      <w:r w:rsidRPr="00155095">
        <w:rPr>
          <w:lang w:val="fr-FR"/>
        </w:rPr>
        <w:t>Bruni demande à la délégation de fournir des informations au sujet de la durée de l’isolement cel</w:t>
      </w:r>
      <w:r w:rsidR="00E61F5D">
        <w:rPr>
          <w:lang w:val="fr-FR"/>
        </w:rPr>
        <w:t>lulaire, qui serait limitée à dix</w:t>
      </w:r>
      <w:r w:rsidRPr="00155095">
        <w:rPr>
          <w:lang w:val="fr-FR"/>
        </w:rPr>
        <w:t xml:space="preserve"> jours par la loi sur l’organisation des prisons mais serait imposée pendant </w:t>
      </w:r>
      <w:r w:rsidR="009A396C">
        <w:rPr>
          <w:lang w:val="fr-FR"/>
        </w:rPr>
        <w:t xml:space="preserve">des périodes </w:t>
      </w:r>
      <w:r w:rsidRPr="00155095">
        <w:rPr>
          <w:lang w:val="fr-FR"/>
        </w:rPr>
        <w:t>bien plus long</w:t>
      </w:r>
      <w:r w:rsidR="009A396C">
        <w:rPr>
          <w:lang w:val="fr-FR"/>
        </w:rPr>
        <w:t>ue</w:t>
      </w:r>
      <w:r w:rsidRPr="00155095">
        <w:rPr>
          <w:lang w:val="fr-FR"/>
        </w:rPr>
        <w:t>s dans la pratique.</w:t>
      </w:r>
      <w:r w:rsidR="009A396C">
        <w:rPr>
          <w:lang w:val="fr-FR"/>
        </w:rPr>
        <w:t xml:space="preserve"> Il </w:t>
      </w:r>
      <w:r w:rsidR="009A396C" w:rsidRPr="00155095">
        <w:rPr>
          <w:lang w:val="fr-FR"/>
        </w:rPr>
        <w:t xml:space="preserve">invite </w:t>
      </w:r>
      <w:r w:rsidR="009A396C">
        <w:rPr>
          <w:lang w:val="fr-FR"/>
        </w:rPr>
        <w:t xml:space="preserve">par ailleurs </w:t>
      </w:r>
      <w:r w:rsidR="009A396C" w:rsidRPr="00155095">
        <w:rPr>
          <w:lang w:val="fr-FR"/>
        </w:rPr>
        <w:t>la délégation à fournir des explications au sujet de la diminution d’environ 15</w:t>
      </w:r>
      <w:r w:rsidR="009A396C">
        <w:rPr>
          <w:lang w:val="fr-FR"/>
        </w:rPr>
        <w:t> </w:t>
      </w:r>
      <w:r w:rsidR="009A396C" w:rsidRPr="00155095">
        <w:rPr>
          <w:lang w:val="fr-FR"/>
        </w:rPr>
        <w:t>% des dépenses d’alimentation et des dépenses d’infrastructure</w:t>
      </w:r>
      <w:r w:rsidR="0066365B">
        <w:rPr>
          <w:lang w:val="fr-FR"/>
        </w:rPr>
        <w:t xml:space="preserve"> que</w:t>
      </w:r>
      <w:r w:rsidR="009A396C">
        <w:rPr>
          <w:lang w:val="fr-FR"/>
        </w:rPr>
        <w:t xml:space="preserve"> font apparaître les </w:t>
      </w:r>
      <w:r w:rsidRPr="00155095">
        <w:rPr>
          <w:lang w:val="fr-FR"/>
        </w:rPr>
        <w:t xml:space="preserve">chiffres concernant l’évolution des ressources financières consacrées aux établissements pénitentiaires entre 2013 et 2014 qui figurent dans le rapport </w:t>
      </w:r>
      <w:r w:rsidR="009A396C">
        <w:rPr>
          <w:lang w:val="fr-FR"/>
        </w:rPr>
        <w:t xml:space="preserve">complémentaire de l’État partie. Notant </w:t>
      </w:r>
      <w:r w:rsidRPr="00155095">
        <w:rPr>
          <w:lang w:val="fr-FR"/>
        </w:rPr>
        <w:t xml:space="preserve">que </w:t>
      </w:r>
      <w:r w:rsidR="009A396C">
        <w:rPr>
          <w:lang w:val="fr-FR"/>
        </w:rPr>
        <w:t xml:space="preserve">d’après ce même rapport, </w:t>
      </w:r>
      <w:r w:rsidRPr="00155095">
        <w:rPr>
          <w:lang w:val="fr-FR"/>
        </w:rPr>
        <w:t xml:space="preserve">l’espace consacré à chaque détenu est </w:t>
      </w:r>
      <w:r w:rsidR="009A396C">
        <w:rPr>
          <w:lang w:val="fr-FR"/>
        </w:rPr>
        <w:t xml:space="preserve">actuellement de </w:t>
      </w:r>
      <w:r w:rsidRPr="00155095">
        <w:rPr>
          <w:lang w:val="fr-FR"/>
        </w:rPr>
        <w:t>2,1 m</w:t>
      </w:r>
      <w:r w:rsidR="009A396C">
        <w:rPr>
          <w:lang w:val="fr-FR"/>
        </w:rPr>
        <w:t>ètres carrés,</w:t>
      </w:r>
      <w:r w:rsidRPr="00155095">
        <w:rPr>
          <w:lang w:val="fr-FR"/>
        </w:rPr>
        <w:t xml:space="preserve"> ce qui est inférieur à la superficie de 4</w:t>
      </w:r>
      <w:r w:rsidR="009A396C">
        <w:rPr>
          <w:lang w:val="fr-FR"/>
        </w:rPr>
        <w:t> mètres carrés</w:t>
      </w:r>
      <w:r w:rsidRPr="00155095">
        <w:rPr>
          <w:lang w:val="fr-FR"/>
        </w:rPr>
        <w:t xml:space="preserve"> prévue </w:t>
      </w:r>
      <w:r w:rsidR="009A396C">
        <w:rPr>
          <w:lang w:val="fr-FR"/>
        </w:rPr>
        <w:t>par</w:t>
      </w:r>
      <w:r w:rsidRPr="00155095">
        <w:rPr>
          <w:lang w:val="fr-FR"/>
        </w:rPr>
        <w:t xml:space="preserve"> les normes internationales</w:t>
      </w:r>
      <w:r w:rsidR="009A396C">
        <w:rPr>
          <w:lang w:val="fr-FR"/>
        </w:rPr>
        <w:t xml:space="preserve">, il </w:t>
      </w:r>
      <w:r w:rsidRPr="00155095">
        <w:rPr>
          <w:lang w:val="fr-FR"/>
        </w:rPr>
        <w:t xml:space="preserve">demande si les autorités tunisiennes ont l’intention de remédier à cette situation. </w:t>
      </w:r>
      <w:r w:rsidR="009A396C">
        <w:rPr>
          <w:lang w:val="fr-FR"/>
        </w:rPr>
        <w:t xml:space="preserve">Il souhaiterait également savoir </w:t>
      </w:r>
      <w:r w:rsidRPr="00155095">
        <w:rPr>
          <w:lang w:val="fr-FR"/>
        </w:rPr>
        <w:t xml:space="preserve">quelles mesures ont été prises par les autorités tunisiennes pour remédier à </w:t>
      </w:r>
      <w:r w:rsidR="009A396C">
        <w:rPr>
          <w:lang w:val="fr-FR"/>
        </w:rPr>
        <w:t>la carence en personnel d’encadrement et en personnel médical à la prison de Mo</w:t>
      </w:r>
      <w:r w:rsidR="00ED1B50">
        <w:rPr>
          <w:lang w:val="fr-FR"/>
        </w:rPr>
        <w:t>r</w:t>
      </w:r>
      <w:r w:rsidR="009A396C">
        <w:rPr>
          <w:lang w:val="fr-FR"/>
        </w:rPr>
        <w:t>naguia</w:t>
      </w:r>
      <w:r w:rsidRPr="00155095">
        <w:rPr>
          <w:lang w:val="fr-FR"/>
        </w:rPr>
        <w:t xml:space="preserve"> pour réduire la surpopulation carcérale. </w:t>
      </w:r>
      <w:r w:rsidR="009A396C">
        <w:rPr>
          <w:lang w:val="fr-FR"/>
        </w:rPr>
        <w:t>D</w:t>
      </w:r>
      <w:r w:rsidRPr="00155095">
        <w:rPr>
          <w:lang w:val="fr-FR"/>
        </w:rPr>
        <w:t xml:space="preserve">es précisions sur les projets de construction de locaux qui devaient avoir lieu en 2014 et en 2015 </w:t>
      </w:r>
      <w:r w:rsidR="009A396C">
        <w:rPr>
          <w:lang w:val="fr-FR"/>
        </w:rPr>
        <w:t>seraient en outre les bienvenues.</w:t>
      </w:r>
    </w:p>
    <w:p w:rsidR="00155095" w:rsidRPr="00155095" w:rsidRDefault="00155095" w:rsidP="00014212">
      <w:pPr>
        <w:pStyle w:val="SingleTxtG"/>
        <w:numPr>
          <w:ilvl w:val="0"/>
          <w:numId w:val="14"/>
        </w:numPr>
        <w:ind w:left="1134" w:firstLine="0"/>
        <w:rPr>
          <w:lang w:val="fr-FR"/>
        </w:rPr>
      </w:pPr>
      <w:r w:rsidRPr="00155095">
        <w:rPr>
          <w:lang w:val="fr-FR"/>
        </w:rPr>
        <w:t xml:space="preserve">Prenant note de la réouverture des affaires classées </w:t>
      </w:r>
      <w:r w:rsidR="001F7651">
        <w:rPr>
          <w:lang w:val="fr-FR"/>
        </w:rPr>
        <w:t>concernant</w:t>
      </w:r>
      <w:r w:rsidRPr="00155095">
        <w:rPr>
          <w:lang w:val="fr-FR"/>
        </w:rPr>
        <w:t xml:space="preserve"> </w:t>
      </w:r>
      <w:r w:rsidRPr="00ED1B50">
        <w:rPr>
          <w:i/>
          <w:lang w:val="fr-FR"/>
        </w:rPr>
        <w:t>Rachid Chammakhi</w:t>
      </w:r>
      <w:r w:rsidRPr="00155095">
        <w:rPr>
          <w:lang w:val="fr-FR"/>
        </w:rPr>
        <w:t xml:space="preserve"> et </w:t>
      </w:r>
      <w:r w:rsidRPr="00ED1B50">
        <w:rPr>
          <w:i/>
          <w:lang w:val="fr-FR"/>
        </w:rPr>
        <w:t>Fayçal Baraket</w:t>
      </w:r>
      <w:r w:rsidRPr="00155095">
        <w:rPr>
          <w:lang w:val="fr-FR"/>
        </w:rPr>
        <w:t>, décédés sous la torture, M.</w:t>
      </w:r>
      <w:r w:rsidR="003E61EC">
        <w:rPr>
          <w:lang w:val="fr-FR"/>
        </w:rPr>
        <w:t> </w:t>
      </w:r>
      <w:r w:rsidRPr="00155095">
        <w:rPr>
          <w:lang w:val="fr-FR"/>
        </w:rPr>
        <w:t>Bruni demande des informations actualisées sur l’avancement de ces procédures judiciaires</w:t>
      </w:r>
      <w:r w:rsidR="001F7651">
        <w:rPr>
          <w:lang w:val="fr-FR"/>
        </w:rPr>
        <w:t xml:space="preserve">. </w:t>
      </w:r>
      <w:r w:rsidRPr="00155095">
        <w:rPr>
          <w:lang w:val="fr-FR"/>
        </w:rPr>
        <w:t>Il rappelle que le cas de Fayçal Baraket avait fait l’objet d’une plainte devant le Comité contre la torture (communication n</w:t>
      </w:r>
      <w:r w:rsidRPr="00155095">
        <w:rPr>
          <w:vertAlign w:val="superscript"/>
          <w:lang w:val="fr-FR"/>
        </w:rPr>
        <w:t>o</w:t>
      </w:r>
      <w:r w:rsidRPr="00155095">
        <w:rPr>
          <w:lang w:val="fr-FR"/>
        </w:rPr>
        <w:t> 60/1996), qui avait notamment conclu que la Tunisie n’avait pas honoré l’obligation de mener dans les meilleurs délais une enquête impartiale en violation des articles 12 et 13 de la Convention.</w:t>
      </w:r>
    </w:p>
    <w:p w:rsidR="00155095" w:rsidRPr="00155095" w:rsidRDefault="00155095" w:rsidP="001F7651">
      <w:pPr>
        <w:pStyle w:val="SingleTxtG"/>
        <w:numPr>
          <w:ilvl w:val="0"/>
          <w:numId w:val="14"/>
        </w:numPr>
        <w:ind w:left="1134" w:firstLine="0"/>
        <w:rPr>
          <w:lang w:val="fr-FR"/>
        </w:rPr>
      </w:pPr>
      <w:r w:rsidRPr="001F7651">
        <w:rPr>
          <w:b/>
          <w:lang w:val="fr-FR"/>
        </w:rPr>
        <w:lastRenderedPageBreak/>
        <w:t>M.</w:t>
      </w:r>
      <w:r w:rsidR="006300B6" w:rsidRPr="001F7651">
        <w:rPr>
          <w:b/>
          <w:lang w:val="fr-FR"/>
        </w:rPr>
        <w:t> </w:t>
      </w:r>
      <w:r w:rsidRPr="001F7651">
        <w:rPr>
          <w:b/>
          <w:lang w:val="fr-FR"/>
        </w:rPr>
        <w:t>Touze</w:t>
      </w:r>
      <w:r w:rsidR="001F7651" w:rsidRPr="001F7651">
        <w:rPr>
          <w:lang w:val="fr-FR"/>
        </w:rPr>
        <w:t>,</w:t>
      </w:r>
      <w:r w:rsidRPr="001F7651">
        <w:rPr>
          <w:lang w:val="fr-FR"/>
        </w:rPr>
        <w:t xml:space="preserve"> notant que l</w:t>
      </w:r>
      <w:r w:rsidR="001F7651">
        <w:rPr>
          <w:lang w:val="fr-FR"/>
        </w:rPr>
        <w:t>a</w:t>
      </w:r>
      <w:r w:rsidRPr="001F7651">
        <w:rPr>
          <w:lang w:val="fr-FR"/>
        </w:rPr>
        <w:t xml:space="preserve"> principal</w:t>
      </w:r>
      <w:r w:rsidR="001F7651">
        <w:rPr>
          <w:lang w:val="fr-FR"/>
        </w:rPr>
        <w:t>e</w:t>
      </w:r>
      <w:r w:rsidRPr="001F7651">
        <w:rPr>
          <w:lang w:val="fr-FR"/>
        </w:rPr>
        <w:t xml:space="preserve"> cause</w:t>
      </w:r>
      <w:r w:rsidR="001F7651">
        <w:rPr>
          <w:lang w:val="fr-FR"/>
        </w:rPr>
        <w:t xml:space="preserve"> du grave </w:t>
      </w:r>
      <w:r w:rsidRPr="001F7651">
        <w:rPr>
          <w:lang w:val="fr-FR"/>
        </w:rPr>
        <w:t xml:space="preserve">problème </w:t>
      </w:r>
      <w:r w:rsidR="001F7651">
        <w:rPr>
          <w:lang w:val="fr-FR"/>
        </w:rPr>
        <w:t xml:space="preserve">de surpopulation carcérale dans l’État partie est </w:t>
      </w:r>
      <w:r w:rsidR="00ED1B50">
        <w:rPr>
          <w:lang w:val="fr-FR"/>
        </w:rPr>
        <w:t>l’</w:t>
      </w:r>
      <w:r w:rsidRPr="001F7651">
        <w:rPr>
          <w:lang w:val="fr-FR"/>
        </w:rPr>
        <w:t>insuffisance et l</w:t>
      </w:r>
      <w:r w:rsidR="001F7651">
        <w:rPr>
          <w:lang w:val="fr-FR"/>
        </w:rPr>
        <w:t>’in</w:t>
      </w:r>
      <w:r w:rsidRPr="001F7651">
        <w:rPr>
          <w:lang w:val="fr-FR"/>
        </w:rPr>
        <w:t>ad</w:t>
      </w:r>
      <w:r w:rsidR="00ED1B50">
        <w:rPr>
          <w:lang w:val="fr-FR"/>
        </w:rPr>
        <w:t>équ</w:t>
      </w:r>
      <w:r w:rsidRPr="001F7651">
        <w:rPr>
          <w:lang w:val="fr-FR"/>
        </w:rPr>
        <w:t xml:space="preserve">ation des infrastructures </w:t>
      </w:r>
      <w:r w:rsidR="001F7651">
        <w:rPr>
          <w:lang w:val="fr-FR"/>
        </w:rPr>
        <w:t>existantes</w:t>
      </w:r>
      <w:r w:rsidRPr="001F7651">
        <w:rPr>
          <w:lang w:val="fr-FR"/>
        </w:rPr>
        <w:t xml:space="preserve">, demande si les </w:t>
      </w:r>
      <w:r w:rsidR="001F7651">
        <w:rPr>
          <w:lang w:val="fr-FR"/>
        </w:rPr>
        <w:t xml:space="preserve">locaux d’une capacité totale de </w:t>
      </w:r>
      <w:r w:rsidRPr="001F7651">
        <w:rPr>
          <w:lang w:val="fr-FR"/>
        </w:rPr>
        <w:t>4</w:t>
      </w:r>
      <w:r w:rsidR="001F7651">
        <w:rPr>
          <w:lang w:val="fr-FR"/>
        </w:rPr>
        <w:t> </w:t>
      </w:r>
      <w:r w:rsidRPr="001F7651">
        <w:rPr>
          <w:lang w:val="fr-FR"/>
        </w:rPr>
        <w:t xml:space="preserve">350 places dont la construction était annoncée </w:t>
      </w:r>
      <w:r w:rsidR="001F7651">
        <w:rPr>
          <w:lang w:val="fr-FR"/>
        </w:rPr>
        <w:t xml:space="preserve">pour 2014 et 2013 </w:t>
      </w:r>
      <w:r w:rsidRPr="001F7651">
        <w:rPr>
          <w:lang w:val="fr-FR"/>
        </w:rPr>
        <w:t xml:space="preserve">dans le rapport </w:t>
      </w:r>
      <w:r w:rsidR="001F7651">
        <w:rPr>
          <w:lang w:val="fr-FR"/>
        </w:rPr>
        <w:t xml:space="preserve">complémentaire </w:t>
      </w:r>
      <w:r w:rsidRPr="001F7651">
        <w:rPr>
          <w:lang w:val="fr-FR"/>
        </w:rPr>
        <w:t xml:space="preserve">ont effectivement </w:t>
      </w:r>
      <w:r w:rsidR="001F7651">
        <w:rPr>
          <w:lang w:val="fr-FR"/>
        </w:rPr>
        <w:t xml:space="preserve">ouvert. Il souhaite également savoir </w:t>
      </w:r>
      <w:r w:rsidRPr="001F7651">
        <w:rPr>
          <w:lang w:val="fr-FR"/>
        </w:rPr>
        <w:t xml:space="preserve">si les autorités de l’État partie ont envisagé d’autres solutions que la construction de prisons pour remédier à la surpopulation carcérale, </w:t>
      </w:r>
      <w:r w:rsidR="001F7651">
        <w:rPr>
          <w:lang w:val="fr-FR"/>
        </w:rPr>
        <w:t xml:space="preserve">comme </w:t>
      </w:r>
      <w:r w:rsidRPr="001F7651">
        <w:rPr>
          <w:lang w:val="fr-FR"/>
        </w:rPr>
        <w:t>la libération des détenus placés en détention pr</w:t>
      </w:r>
      <w:r w:rsidR="001F7651">
        <w:rPr>
          <w:lang w:val="fr-FR"/>
        </w:rPr>
        <w:t>ovisoire, qui représenteraient plus de la moitié de la population carcérale</w:t>
      </w:r>
      <w:r w:rsidRPr="001F7651">
        <w:rPr>
          <w:lang w:val="fr-FR"/>
        </w:rPr>
        <w:t>.</w:t>
      </w:r>
      <w:r w:rsidR="001F7651">
        <w:rPr>
          <w:lang w:val="fr-FR"/>
        </w:rPr>
        <w:t xml:space="preserve"> I</w:t>
      </w:r>
      <w:r w:rsidRPr="00155095">
        <w:rPr>
          <w:lang w:val="fr-FR"/>
        </w:rPr>
        <w:t xml:space="preserve">l demande </w:t>
      </w:r>
      <w:r w:rsidR="001F7651">
        <w:rPr>
          <w:lang w:val="fr-FR"/>
        </w:rPr>
        <w:t xml:space="preserve">à ce sujet </w:t>
      </w:r>
      <w:r w:rsidRPr="00155095">
        <w:rPr>
          <w:lang w:val="fr-FR"/>
        </w:rPr>
        <w:t xml:space="preserve">si les acteurs judiciaires ont été sensibilisés </w:t>
      </w:r>
      <w:r w:rsidR="001F7651">
        <w:rPr>
          <w:lang w:val="fr-FR"/>
        </w:rPr>
        <w:t>au</w:t>
      </w:r>
      <w:r w:rsidRPr="00155095">
        <w:rPr>
          <w:lang w:val="fr-FR"/>
        </w:rPr>
        <w:t xml:space="preserve"> problème </w:t>
      </w:r>
      <w:r w:rsidR="001F7651">
        <w:rPr>
          <w:lang w:val="fr-FR"/>
        </w:rPr>
        <w:t>de la détention provisoire prolongé</w:t>
      </w:r>
      <w:r w:rsidR="00ED1B50">
        <w:rPr>
          <w:lang w:val="fr-FR"/>
        </w:rPr>
        <w:t>e</w:t>
      </w:r>
      <w:r w:rsidR="001F7651">
        <w:rPr>
          <w:lang w:val="fr-FR"/>
        </w:rPr>
        <w:t xml:space="preserve"> </w:t>
      </w:r>
      <w:r w:rsidRPr="00155095">
        <w:rPr>
          <w:lang w:val="fr-FR"/>
        </w:rPr>
        <w:t xml:space="preserve">et dans quelle mesure ceux-ci ont modifié leurs pratiques, notamment dans le cas des personnes soupçonnées de délits mineurs. </w:t>
      </w:r>
    </w:p>
    <w:p w:rsidR="00155095" w:rsidRPr="00155095" w:rsidRDefault="001F7651" w:rsidP="006300B6">
      <w:pPr>
        <w:pStyle w:val="SingleTxtG"/>
        <w:numPr>
          <w:ilvl w:val="0"/>
          <w:numId w:val="14"/>
        </w:numPr>
        <w:ind w:left="1134" w:firstLine="0"/>
        <w:rPr>
          <w:lang w:val="fr-FR"/>
        </w:rPr>
      </w:pPr>
      <w:r>
        <w:rPr>
          <w:lang w:val="fr-FR"/>
        </w:rPr>
        <w:t xml:space="preserve">M. Touze s’inquiète des </w:t>
      </w:r>
      <w:r w:rsidR="00155095" w:rsidRPr="00155095">
        <w:rPr>
          <w:lang w:val="fr-FR"/>
        </w:rPr>
        <w:t xml:space="preserve">conséquences de la mise en œuvre de la législation pénale de l’État partie concernant certaines pratiques sexuelles, </w:t>
      </w:r>
      <w:r>
        <w:rPr>
          <w:lang w:val="fr-FR"/>
        </w:rPr>
        <w:t>qui s</w:t>
      </w:r>
      <w:r w:rsidR="00ED1B50">
        <w:rPr>
          <w:lang w:val="fr-FR"/>
        </w:rPr>
        <w:t>on</w:t>
      </w:r>
      <w:r>
        <w:rPr>
          <w:lang w:val="fr-FR"/>
        </w:rPr>
        <w:t xml:space="preserve">t </w:t>
      </w:r>
      <w:r w:rsidR="00155095" w:rsidRPr="00155095">
        <w:rPr>
          <w:lang w:val="fr-FR"/>
        </w:rPr>
        <w:t xml:space="preserve">source de persécutions, de harcèlement et de mauvais traitements. Il demande quelle est la fréquence des examens médicaux forcés effectués en application de </w:t>
      </w:r>
      <w:r>
        <w:rPr>
          <w:lang w:val="fr-FR"/>
        </w:rPr>
        <w:t>cette législation</w:t>
      </w:r>
      <w:r w:rsidR="00155095" w:rsidRPr="00155095">
        <w:rPr>
          <w:lang w:val="fr-FR"/>
        </w:rPr>
        <w:t xml:space="preserve">, si les résultats </w:t>
      </w:r>
      <w:r>
        <w:rPr>
          <w:lang w:val="fr-FR"/>
        </w:rPr>
        <w:t xml:space="preserve">de ces examens </w:t>
      </w:r>
      <w:r w:rsidR="00155095" w:rsidRPr="00155095">
        <w:rPr>
          <w:lang w:val="fr-FR"/>
        </w:rPr>
        <w:t>sont utilisés dans le cadre de procédures pénales menées contre les personnes concernées et si un processus de réforme a été entamé afin d’abroger les dispositions pénales en cause et d’interdire définitivement les examens forcés.</w:t>
      </w:r>
    </w:p>
    <w:p w:rsidR="00155095" w:rsidRPr="000A7C46" w:rsidRDefault="00155095" w:rsidP="00014212">
      <w:pPr>
        <w:pStyle w:val="SingleTxtG"/>
        <w:numPr>
          <w:ilvl w:val="0"/>
          <w:numId w:val="14"/>
        </w:numPr>
        <w:ind w:left="1134" w:firstLine="0"/>
        <w:rPr>
          <w:lang w:val="fr-FR"/>
        </w:rPr>
      </w:pPr>
      <w:r w:rsidRPr="000A7C46">
        <w:rPr>
          <w:b/>
          <w:lang w:val="fr-FR"/>
        </w:rPr>
        <w:t>M.</w:t>
      </w:r>
      <w:r w:rsidR="006300B6" w:rsidRPr="000A7C46">
        <w:rPr>
          <w:b/>
          <w:lang w:val="fr-FR"/>
        </w:rPr>
        <w:t> </w:t>
      </w:r>
      <w:r w:rsidRPr="000A7C46">
        <w:rPr>
          <w:b/>
          <w:lang w:val="fr-FR"/>
        </w:rPr>
        <w:t xml:space="preserve">Heller Rouassant </w:t>
      </w:r>
      <w:r w:rsidRPr="000A7C46">
        <w:rPr>
          <w:lang w:val="fr-FR"/>
        </w:rPr>
        <w:t>dit qu</w:t>
      </w:r>
      <w:r w:rsidR="001F7651" w:rsidRPr="000A7C46">
        <w:rPr>
          <w:lang w:val="fr-FR"/>
        </w:rPr>
        <w:t xml:space="preserve">’aux </w:t>
      </w:r>
      <w:r w:rsidRPr="000A7C46">
        <w:rPr>
          <w:lang w:val="fr-FR"/>
        </w:rPr>
        <w:t xml:space="preserve">facteurs et difficultés pouvant entraver l’exécution des engagements découlant de la Convention qui sont énumérés au paragraphe 50 du rapport </w:t>
      </w:r>
      <w:r w:rsidR="001F7651" w:rsidRPr="000A7C46">
        <w:rPr>
          <w:lang w:val="fr-FR"/>
        </w:rPr>
        <w:t xml:space="preserve">complémentaire </w:t>
      </w:r>
      <w:r w:rsidRPr="000A7C46">
        <w:rPr>
          <w:lang w:val="fr-FR"/>
        </w:rPr>
        <w:t xml:space="preserve">de la Tunisie, il convient d’ajouter l’évolution de la situation géopolitique de cet État, marquée par le terrorisme. </w:t>
      </w:r>
      <w:r w:rsidR="000A7C46" w:rsidRPr="000A7C46">
        <w:rPr>
          <w:lang w:val="fr-FR"/>
        </w:rPr>
        <w:t xml:space="preserve">Il se </w:t>
      </w:r>
      <w:r w:rsidRPr="000A7C46">
        <w:rPr>
          <w:lang w:val="fr-FR"/>
        </w:rPr>
        <w:t>demande de quelle manière la Tunisie prévoit de mener de front la lutte contre le terrorisme et la reconstruction du système des droits de l’homme.</w:t>
      </w:r>
      <w:r w:rsidR="000A7C46" w:rsidRPr="000A7C46">
        <w:rPr>
          <w:lang w:val="fr-FR"/>
        </w:rPr>
        <w:t xml:space="preserve"> </w:t>
      </w:r>
      <w:r w:rsidRPr="000A7C46">
        <w:rPr>
          <w:lang w:val="fr-FR"/>
        </w:rPr>
        <w:t xml:space="preserve">Notant avec préoccupation que le terrorisme a eu des effets très dommageables sur la société et l’économie tunisiennes, il souligne qu’un État doit disposer de ressources économiques, humaines et financières suffisantes pour pouvoir mettre en œuvre une politique des droits de l’homme. Il </w:t>
      </w:r>
      <w:r w:rsidR="000A7C46" w:rsidRPr="000A7C46">
        <w:rPr>
          <w:lang w:val="fr-FR"/>
        </w:rPr>
        <w:t xml:space="preserve">invite donc la délégation à indiquer </w:t>
      </w:r>
      <w:r w:rsidRPr="000A7C46">
        <w:rPr>
          <w:lang w:val="fr-FR"/>
        </w:rPr>
        <w:t>quelle proportion du budget de l’État est consacrée à la cons</w:t>
      </w:r>
      <w:r w:rsidR="000A7C46" w:rsidRPr="000A7C46">
        <w:rPr>
          <w:lang w:val="fr-FR"/>
        </w:rPr>
        <w:t>olida</w:t>
      </w:r>
      <w:r w:rsidRPr="000A7C46">
        <w:rPr>
          <w:lang w:val="fr-FR"/>
        </w:rPr>
        <w:t>tion du système des droits de l’homme, notamment du système judiciaire et des mécanismes publics des droits de l’homme.</w:t>
      </w:r>
      <w:r w:rsidR="000A7C46" w:rsidRPr="000A7C46">
        <w:rPr>
          <w:lang w:val="fr-FR"/>
        </w:rPr>
        <w:t xml:space="preserve"> </w:t>
      </w:r>
      <w:r w:rsidRPr="000A7C46">
        <w:rPr>
          <w:lang w:val="fr-FR"/>
        </w:rPr>
        <w:t xml:space="preserve">En outre, la délégation est invitée à décrire les résultats obtenus dans le cadre de la coopération </w:t>
      </w:r>
      <w:r w:rsidR="000A7C46">
        <w:rPr>
          <w:lang w:val="fr-FR"/>
        </w:rPr>
        <w:t>avec l</w:t>
      </w:r>
      <w:r w:rsidRPr="000A7C46">
        <w:rPr>
          <w:lang w:val="fr-FR"/>
        </w:rPr>
        <w:t>es organisations e</w:t>
      </w:r>
      <w:r w:rsidR="000A7C46">
        <w:rPr>
          <w:lang w:val="fr-FR"/>
        </w:rPr>
        <w:t>t organismes internationaux et l</w:t>
      </w:r>
      <w:r w:rsidRPr="000A7C46">
        <w:rPr>
          <w:lang w:val="fr-FR"/>
        </w:rPr>
        <w:t xml:space="preserve">es ONG depuis la </w:t>
      </w:r>
      <w:r w:rsidR="00ED1B50">
        <w:rPr>
          <w:lang w:val="fr-FR"/>
        </w:rPr>
        <w:t>R</w:t>
      </w:r>
      <w:r w:rsidRPr="000A7C46">
        <w:rPr>
          <w:lang w:val="fr-FR"/>
        </w:rPr>
        <w:t xml:space="preserve">évolution de 2011. </w:t>
      </w:r>
      <w:r w:rsidR="000A7C46">
        <w:rPr>
          <w:lang w:val="fr-FR"/>
        </w:rPr>
        <w:t xml:space="preserve">Il serait intéressant de savoir en particulier </w:t>
      </w:r>
      <w:r w:rsidRPr="000A7C46">
        <w:rPr>
          <w:lang w:val="fr-FR"/>
        </w:rPr>
        <w:t xml:space="preserve">dans quels secteurs cette coopération pourrait intervenir pour favoriser davantage le développement des institutions et de la culture des droits de l’homme. </w:t>
      </w:r>
    </w:p>
    <w:p w:rsidR="00155095" w:rsidRPr="00155095" w:rsidRDefault="006300B6" w:rsidP="00014212">
      <w:pPr>
        <w:pStyle w:val="SingleTxtG"/>
        <w:numPr>
          <w:ilvl w:val="0"/>
          <w:numId w:val="14"/>
        </w:numPr>
        <w:ind w:left="1134" w:firstLine="0"/>
        <w:rPr>
          <w:lang w:val="fr-FR"/>
        </w:rPr>
      </w:pPr>
      <w:r w:rsidRPr="006300B6">
        <w:rPr>
          <w:b/>
          <w:lang w:val="fr-FR"/>
        </w:rPr>
        <w:t>M</w:t>
      </w:r>
      <w:r w:rsidRPr="006300B6">
        <w:rPr>
          <w:b/>
          <w:vertAlign w:val="superscript"/>
          <w:lang w:val="fr-FR"/>
        </w:rPr>
        <w:t>me</w:t>
      </w:r>
      <w:r w:rsidRPr="006300B6">
        <w:rPr>
          <w:b/>
          <w:lang w:val="fr-FR"/>
        </w:rPr>
        <w:t> </w:t>
      </w:r>
      <w:r w:rsidR="00155095" w:rsidRPr="00155095">
        <w:rPr>
          <w:b/>
          <w:lang w:val="fr-FR"/>
        </w:rPr>
        <w:t>Gaer</w:t>
      </w:r>
      <w:r w:rsidR="00155095" w:rsidRPr="00155095">
        <w:rPr>
          <w:lang w:val="fr-FR"/>
        </w:rPr>
        <w:t xml:space="preserve"> note que la Tunisie n’a apporté aucune réponse à la questi</w:t>
      </w:r>
      <w:r w:rsidR="000A7C46">
        <w:rPr>
          <w:lang w:val="fr-FR"/>
        </w:rPr>
        <w:t>on posée par le Comité dans la l</w:t>
      </w:r>
      <w:r w:rsidR="00155095" w:rsidRPr="00155095">
        <w:rPr>
          <w:lang w:val="fr-FR"/>
        </w:rPr>
        <w:t xml:space="preserve">iste de points concernant les allégations selon lesquelles des agents de l’État ne seraient pas intervenus suffisamment rapidement dans plusieurs cas où des groupes religieux extrémistes avaient agressé des artistes, des avocats, des défenseurs des droits de l’homme et des écrivains. Depuis 2011, le Comité a demandé à plusieurs reprises à la Tunisie de lui fournir des renseignements sur ces allégations et sur des cas spécifiques, dont ceux de Héla Boujenah, Ahmed Kaâniche, Lina Ben Mhenni et son père, et Sadok Ben Mhenni. </w:t>
      </w:r>
      <w:r w:rsidR="000A7C46">
        <w:rPr>
          <w:lang w:val="fr-FR"/>
        </w:rPr>
        <w:t>Les commentaires de la délégation à ce sujet seront les bienvenus.</w:t>
      </w:r>
    </w:p>
    <w:p w:rsidR="00155095" w:rsidRPr="00FA76ED" w:rsidRDefault="000A7C46" w:rsidP="00014212">
      <w:pPr>
        <w:pStyle w:val="SingleTxtG"/>
        <w:numPr>
          <w:ilvl w:val="0"/>
          <w:numId w:val="14"/>
        </w:numPr>
        <w:ind w:left="1134" w:firstLine="0"/>
        <w:rPr>
          <w:lang w:val="fr-FR"/>
        </w:rPr>
      </w:pPr>
      <w:r w:rsidRPr="00FA76ED">
        <w:rPr>
          <w:lang w:val="fr-FR"/>
        </w:rPr>
        <w:t xml:space="preserve">Relevant </w:t>
      </w:r>
      <w:r w:rsidR="00155095" w:rsidRPr="00FA76ED">
        <w:rPr>
          <w:lang w:val="fr-FR"/>
        </w:rPr>
        <w:t>que la réponse de la Tunisie aux questions du Comité concernant les violences faites aux femmes est très succincte</w:t>
      </w:r>
      <w:r w:rsidRPr="00FA76ED">
        <w:rPr>
          <w:lang w:val="fr-FR"/>
        </w:rPr>
        <w:t>, M</w:t>
      </w:r>
      <w:r w:rsidRPr="00FA76ED">
        <w:rPr>
          <w:vertAlign w:val="superscript"/>
          <w:lang w:val="fr-FR"/>
        </w:rPr>
        <w:t>me</w:t>
      </w:r>
      <w:r w:rsidRPr="00FA76ED">
        <w:rPr>
          <w:lang w:val="fr-FR"/>
        </w:rPr>
        <w:t xml:space="preserve"> Gaer demande </w:t>
      </w:r>
      <w:r w:rsidR="00155095" w:rsidRPr="00FA76ED">
        <w:rPr>
          <w:lang w:val="fr-FR"/>
        </w:rPr>
        <w:t xml:space="preserve">des données statistiques à jour sur les cas de violence </w:t>
      </w:r>
      <w:r w:rsidRPr="00FA76ED">
        <w:rPr>
          <w:lang w:val="fr-FR"/>
        </w:rPr>
        <w:t xml:space="preserve">à l’égard des </w:t>
      </w:r>
      <w:r w:rsidR="00155095" w:rsidRPr="00FA76ED">
        <w:rPr>
          <w:lang w:val="fr-FR"/>
        </w:rPr>
        <w:t xml:space="preserve">femmes et une description des mesures prises pour modifier les articles 218, 227 </w:t>
      </w:r>
      <w:r w:rsidR="00155095" w:rsidRPr="00FA76ED">
        <w:rPr>
          <w:i/>
          <w:lang w:val="fr-FR"/>
        </w:rPr>
        <w:t>bis</w:t>
      </w:r>
      <w:r w:rsidR="00155095" w:rsidRPr="00FA76ED">
        <w:rPr>
          <w:lang w:val="fr-FR"/>
        </w:rPr>
        <w:t xml:space="preserve"> et 239 du Code pénal, qui </w:t>
      </w:r>
      <w:r w:rsidRPr="00FA76ED">
        <w:rPr>
          <w:lang w:val="fr-FR"/>
        </w:rPr>
        <w:t xml:space="preserve">sont source </w:t>
      </w:r>
      <w:r w:rsidR="00155095" w:rsidRPr="00FA76ED">
        <w:rPr>
          <w:lang w:val="fr-FR"/>
        </w:rPr>
        <w:t xml:space="preserve">d’impunité pour les auteurs de </w:t>
      </w:r>
      <w:r w:rsidRPr="00FA76ED">
        <w:rPr>
          <w:lang w:val="fr-FR"/>
        </w:rPr>
        <w:t xml:space="preserve">telles </w:t>
      </w:r>
      <w:r w:rsidR="00155095" w:rsidRPr="00FA76ED">
        <w:rPr>
          <w:lang w:val="fr-FR"/>
        </w:rPr>
        <w:t>violences</w:t>
      </w:r>
      <w:r w:rsidRPr="00FA76ED">
        <w:rPr>
          <w:lang w:val="fr-FR"/>
        </w:rPr>
        <w:t xml:space="preserve">, pour permettre </w:t>
      </w:r>
      <w:r w:rsidR="00155095" w:rsidRPr="00FA76ED">
        <w:rPr>
          <w:lang w:val="fr-FR"/>
        </w:rPr>
        <w:t>l’indemnisation des victimes</w:t>
      </w:r>
      <w:r w:rsidRPr="00FA76ED">
        <w:rPr>
          <w:lang w:val="fr-FR"/>
        </w:rPr>
        <w:t>,</w:t>
      </w:r>
      <w:r w:rsidR="00155095" w:rsidRPr="00FA76ED">
        <w:rPr>
          <w:lang w:val="fr-FR"/>
        </w:rPr>
        <w:t xml:space="preserve"> </w:t>
      </w:r>
      <w:r w:rsidRPr="00FA76ED">
        <w:rPr>
          <w:lang w:val="fr-FR"/>
        </w:rPr>
        <w:t>pour</w:t>
      </w:r>
      <w:r w:rsidR="003E61EC">
        <w:rPr>
          <w:lang w:val="fr-FR"/>
        </w:rPr>
        <w:t xml:space="preserve"> </w:t>
      </w:r>
      <w:r w:rsidR="00155095" w:rsidRPr="00FA76ED">
        <w:rPr>
          <w:lang w:val="fr-FR"/>
        </w:rPr>
        <w:t>lutter contre la stigmatisation, le harcèlement, les menaces et les violences à l’</w:t>
      </w:r>
      <w:r w:rsidRPr="00FA76ED">
        <w:rPr>
          <w:lang w:val="fr-FR"/>
        </w:rPr>
        <w:t xml:space="preserve">égard </w:t>
      </w:r>
      <w:r w:rsidR="00155095" w:rsidRPr="00FA76ED">
        <w:rPr>
          <w:lang w:val="fr-FR"/>
        </w:rPr>
        <w:t>des défenseurs des droits de la femme</w:t>
      </w:r>
      <w:r w:rsidR="00FA76ED" w:rsidRPr="00FA76ED">
        <w:rPr>
          <w:lang w:val="fr-FR"/>
        </w:rPr>
        <w:t xml:space="preserve"> et pour</w:t>
      </w:r>
      <w:r w:rsidR="00155095" w:rsidRPr="00FA76ED">
        <w:rPr>
          <w:lang w:val="fr-FR"/>
        </w:rPr>
        <w:t xml:space="preserve"> endiguer les violences conjugales, notamment par la mise en place de programmes de sensibilisation</w:t>
      </w:r>
      <w:r w:rsidR="00FA76ED" w:rsidRPr="00FA76ED">
        <w:rPr>
          <w:lang w:val="fr-FR"/>
        </w:rPr>
        <w:t xml:space="preserve">. En ce qui concerne l’application de l’article 227 </w:t>
      </w:r>
      <w:r w:rsidR="00FA76ED" w:rsidRPr="00FA76ED">
        <w:rPr>
          <w:i/>
          <w:lang w:val="fr-FR"/>
        </w:rPr>
        <w:t>bis</w:t>
      </w:r>
      <w:r w:rsidR="00FA76ED" w:rsidRPr="00FA76ED">
        <w:rPr>
          <w:lang w:val="fr-FR"/>
        </w:rPr>
        <w:t xml:space="preserve"> du Code pénal, qui permet à l’auteur d’un viol d’être </w:t>
      </w:r>
      <w:r w:rsidR="00155095" w:rsidRPr="00FA76ED">
        <w:rPr>
          <w:lang w:val="fr-FR"/>
        </w:rPr>
        <w:t>exempté de poursuites pénales s’il épouse sa victime</w:t>
      </w:r>
      <w:r w:rsidR="00FA76ED" w:rsidRPr="00FA76ED">
        <w:rPr>
          <w:lang w:val="fr-FR"/>
        </w:rPr>
        <w:t>, e</w:t>
      </w:r>
      <w:r w:rsidR="00155095" w:rsidRPr="00FA76ED">
        <w:rPr>
          <w:lang w:val="fr-FR"/>
        </w:rPr>
        <w:t xml:space="preserve">lle demande combien de personnes ont échappé à des </w:t>
      </w:r>
      <w:r w:rsidR="00155095" w:rsidRPr="00FA76ED">
        <w:rPr>
          <w:lang w:val="fr-FR"/>
        </w:rPr>
        <w:lastRenderedPageBreak/>
        <w:t>sanctions pénales en invoquant ce</w:t>
      </w:r>
      <w:r w:rsidR="00FA76ED" w:rsidRPr="00FA76ED">
        <w:rPr>
          <w:lang w:val="fr-FR"/>
        </w:rPr>
        <w:t>tte</w:t>
      </w:r>
      <w:r w:rsidR="00155095" w:rsidRPr="00FA76ED">
        <w:rPr>
          <w:lang w:val="fr-FR"/>
        </w:rPr>
        <w:t xml:space="preserve"> disposition. Elle demande également quelle aide est fournie aux femmes qui, ayant d</w:t>
      </w:r>
      <w:r w:rsidR="00ED1B50">
        <w:rPr>
          <w:lang w:val="fr-FR"/>
        </w:rPr>
        <w:t>û</w:t>
      </w:r>
      <w:r w:rsidR="00155095" w:rsidRPr="00FA76ED">
        <w:rPr>
          <w:lang w:val="fr-FR"/>
        </w:rPr>
        <w:t xml:space="preserve"> épouser l’homme qui les avait violées, sont </w:t>
      </w:r>
      <w:r w:rsidR="006300B6" w:rsidRPr="00FA76ED">
        <w:rPr>
          <w:lang w:val="fr-FR"/>
        </w:rPr>
        <w:t>« </w:t>
      </w:r>
      <w:r w:rsidR="00155095" w:rsidRPr="00FA76ED">
        <w:rPr>
          <w:lang w:val="fr-FR"/>
        </w:rPr>
        <w:t>condamnées à vie</w:t>
      </w:r>
      <w:r w:rsidR="006300B6" w:rsidRPr="00FA76ED">
        <w:rPr>
          <w:lang w:val="fr-FR"/>
        </w:rPr>
        <w:t> ».</w:t>
      </w:r>
      <w:r w:rsidR="00FA76ED" w:rsidRPr="00FA76ED">
        <w:rPr>
          <w:lang w:val="fr-FR"/>
        </w:rPr>
        <w:t xml:space="preserve"> </w:t>
      </w:r>
      <w:r w:rsidR="00155095" w:rsidRPr="00014212">
        <w:t>La</w:t>
      </w:r>
      <w:r w:rsidR="00155095" w:rsidRPr="00FA76ED">
        <w:rPr>
          <w:lang w:val="fr-FR"/>
        </w:rPr>
        <w:t xml:space="preserve"> délégation est </w:t>
      </w:r>
      <w:r w:rsidR="00FA76ED">
        <w:rPr>
          <w:lang w:val="fr-FR"/>
        </w:rPr>
        <w:t xml:space="preserve">en outre </w:t>
      </w:r>
      <w:r w:rsidR="00155095" w:rsidRPr="00FA76ED">
        <w:rPr>
          <w:lang w:val="fr-FR"/>
        </w:rPr>
        <w:t xml:space="preserve">invitée à décrire les mesures qui sont prises, notamment sur le plan de la formation, pour s’assurer que la police fait le nécessaire pour que des enquêtes </w:t>
      </w:r>
      <w:r w:rsidR="00FA76ED" w:rsidRPr="00FA76ED">
        <w:rPr>
          <w:lang w:val="fr-FR"/>
        </w:rPr>
        <w:t xml:space="preserve">soient ouvertes </w:t>
      </w:r>
      <w:r w:rsidR="00155095" w:rsidRPr="00FA76ED">
        <w:rPr>
          <w:lang w:val="fr-FR"/>
        </w:rPr>
        <w:t xml:space="preserve">et, </w:t>
      </w:r>
      <w:r w:rsidR="00FA76ED">
        <w:rPr>
          <w:lang w:val="fr-FR"/>
        </w:rPr>
        <w:t>s’il y a lieu</w:t>
      </w:r>
      <w:r w:rsidR="00155095" w:rsidRPr="00FA76ED">
        <w:rPr>
          <w:lang w:val="fr-FR"/>
        </w:rPr>
        <w:t xml:space="preserve">, des poursuites </w:t>
      </w:r>
      <w:r w:rsidR="00FA76ED">
        <w:rPr>
          <w:lang w:val="fr-FR"/>
        </w:rPr>
        <w:t xml:space="preserve">engagées </w:t>
      </w:r>
      <w:r w:rsidR="00155095" w:rsidRPr="00FA76ED">
        <w:rPr>
          <w:lang w:val="fr-FR"/>
        </w:rPr>
        <w:t>en cas de violences, d’actes de torture ou de violences intrafamiliales visant des femmes. Elle est également invitée à décrire les mesures prises pour donner suite aux décisions rendues par le Comité en vertu de l’article 22 de la Convention, notamment dans les six affaires</w:t>
      </w:r>
      <w:r w:rsidR="00FA76ED">
        <w:rPr>
          <w:lang w:val="fr-FR"/>
        </w:rPr>
        <w:t xml:space="preserve"> citées au paragraphe 35 de la l</w:t>
      </w:r>
      <w:r w:rsidR="00155095" w:rsidRPr="00FA76ED">
        <w:rPr>
          <w:lang w:val="fr-FR"/>
        </w:rPr>
        <w:t>iste de points.</w:t>
      </w:r>
    </w:p>
    <w:p w:rsidR="00155095" w:rsidRPr="00155095" w:rsidRDefault="006300B6" w:rsidP="00014212">
      <w:pPr>
        <w:pStyle w:val="SingleTxtG"/>
        <w:numPr>
          <w:ilvl w:val="0"/>
          <w:numId w:val="14"/>
        </w:numPr>
        <w:ind w:left="1134" w:firstLine="0"/>
        <w:rPr>
          <w:lang w:val="fr-FR"/>
        </w:rPr>
      </w:pPr>
      <w:r>
        <w:t>M</w:t>
      </w:r>
      <w:r w:rsidRPr="00D91DA2">
        <w:rPr>
          <w:vertAlign w:val="superscript"/>
        </w:rPr>
        <w:t>me</w:t>
      </w:r>
      <w:r>
        <w:t> </w:t>
      </w:r>
      <w:r w:rsidR="00155095" w:rsidRPr="00014212">
        <w:t xml:space="preserve">Gaer demande à la délégation de commenter les allégations de </w:t>
      </w:r>
      <w:r w:rsidR="00FA76ED">
        <w:t>plusieurs ONG</w:t>
      </w:r>
      <w:r w:rsidR="00FA76ED">
        <w:rPr>
          <w:lang w:val="fr-FR"/>
        </w:rPr>
        <w:t xml:space="preserve"> selon lesquelles </w:t>
      </w:r>
      <w:r w:rsidR="00155095" w:rsidRPr="00155095">
        <w:rPr>
          <w:lang w:val="fr-FR"/>
        </w:rPr>
        <w:t xml:space="preserve">les tribunaux sous l’ancien régime refusaient généralement d’enregistrer des plaintes pour torture </w:t>
      </w:r>
      <w:r w:rsidR="00FA76ED">
        <w:rPr>
          <w:lang w:val="fr-FR"/>
        </w:rPr>
        <w:t xml:space="preserve">et lorsque les obstacles à la </w:t>
      </w:r>
      <w:r w:rsidR="00155095" w:rsidRPr="00155095">
        <w:rPr>
          <w:lang w:val="fr-FR"/>
        </w:rPr>
        <w:t xml:space="preserve">saisine de la justice </w:t>
      </w:r>
      <w:r w:rsidR="00911338">
        <w:rPr>
          <w:lang w:val="fr-FR"/>
        </w:rPr>
        <w:t xml:space="preserve">ont </w:t>
      </w:r>
      <w:r w:rsidR="00155095" w:rsidRPr="00155095">
        <w:rPr>
          <w:lang w:val="fr-FR"/>
        </w:rPr>
        <w:t>été levé</w:t>
      </w:r>
      <w:r w:rsidR="00911338">
        <w:rPr>
          <w:lang w:val="fr-FR"/>
        </w:rPr>
        <w:t xml:space="preserve">s après la révolution </w:t>
      </w:r>
      <w:r w:rsidR="00155095" w:rsidRPr="00155095">
        <w:rPr>
          <w:lang w:val="fr-FR"/>
        </w:rPr>
        <w:t xml:space="preserve">des centaines de plaintes pour torture ont été enregistrées par les tribunaux mais la plupart n’ont pas donné lieu à des actes d’instruction les plus élémentaires tendant à la recherche de la vérité et nombre de victimes </w:t>
      </w:r>
      <w:r w:rsidR="00911338">
        <w:rPr>
          <w:lang w:val="fr-FR"/>
        </w:rPr>
        <w:t xml:space="preserve">se sont désistées </w:t>
      </w:r>
      <w:r w:rsidR="00ED1B50">
        <w:rPr>
          <w:lang w:val="fr-FR"/>
        </w:rPr>
        <w:t>notamment en raison du non-</w:t>
      </w:r>
      <w:r w:rsidR="00155095" w:rsidRPr="00155095">
        <w:rPr>
          <w:lang w:val="fr-FR"/>
        </w:rPr>
        <w:t>sérieux des enquêtes et/ou des harcèlements et représailles des agents de sécurité. La délégation est invitée à fournir des statistiques sur le nombre d’affaires ayant donné lieu à une enquête et à indiquer si des agents de la police ou des forces de sécurité ont été sanctionnés ou poursuivis pour des actes de harcèlement ou des représailles.</w:t>
      </w:r>
      <w:r w:rsidR="003E61EC">
        <w:rPr>
          <w:lang w:val="fr-FR"/>
        </w:rPr>
        <w:t xml:space="preserve"> </w:t>
      </w:r>
      <w:r w:rsidR="00155095" w:rsidRPr="00155095">
        <w:rPr>
          <w:lang w:val="fr-FR"/>
        </w:rPr>
        <w:t xml:space="preserve">En outre, </w:t>
      </w:r>
      <w:r w:rsidR="003E61EC" w:rsidRPr="003E61EC">
        <w:rPr>
          <w:lang w:val="fr-FR"/>
        </w:rPr>
        <w:t>M</w:t>
      </w:r>
      <w:r w:rsidR="003E61EC" w:rsidRPr="003E61EC">
        <w:rPr>
          <w:vertAlign w:val="superscript"/>
          <w:lang w:val="fr-FR"/>
        </w:rPr>
        <w:t>me</w:t>
      </w:r>
      <w:r w:rsidR="003E61EC" w:rsidRPr="003E61EC">
        <w:rPr>
          <w:lang w:val="fr-FR"/>
        </w:rPr>
        <w:t> </w:t>
      </w:r>
      <w:r w:rsidR="00155095" w:rsidRPr="00155095">
        <w:rPr>
          <w:lang w:val="fr-FR"/>
        </w:rPr>
        <w:t>Gaer demande à la délégation de commenter les allégations</w:t>
      </w:r>
      <w:r w:rsidR="00911338">
        <w:rPr>
          <w:lang w:val="fr-FR"/>
        </w:rPr>
        <w:t xml:space="preserve"> </w:t>
      </w:r>
      <w:r w:rsidR="00155095" w:rsidRPr="00155095">
        <w:rPr>
          <w:lang w:val="fr-FR"/>
        </w:rPr>
        <w:t xml:space="preserve">selon lesquelles </w:t>
      </w:r>
      <w:r w:rsidR="00155095" w:rsidRPr="00155095">
        <w:rPr>
          <w:bCs/>
          <w:lang w:val="fr-FR"/>
        </w:rPr>
        <w:t xml:space="preserve">lorsque le magistrat ordonne une expertise médicale, celle-ci n’est pas réalisée ou l’est plusieurs semaines, </w:t>
      </w:r>
      <w:r w:rsidR="00ED1B50">
        <w:rPr>
          <w:bCs/>
          <w:lang w:val="fr-FR"/>
        </w:rPr>
        <w:t>voire plusieurs mois plus tard,</w:t>
      </w:r>
      <w:r w:rsidR="00155095" w:rsidRPr="00155095">
        <w:rPr>
          <w:bCs/>
          <w:lang w:val="fr-FR"/>
        </w:rPr>
        <w:t xml:space="preserve"> et les traces ont ainsi tout le temps de s’estomper. Des données chiffrées sur le nombre de cas dans lesquels des magistrats ont enregistré les éléments de preuve qui leur étaient présentés et dans lesquels des poursuites ont été </w:t>
      </w:r>
      <w:r w:rsidR="00911338">
        <w:rPr>
          <w:bCs/>
          <w:lang w:val="fr-FR"/>
        </w:rPr>
        <w:t>engagées</w:t>
      </w:r>
      <w:r w:rsidR="00155095" w:rsidRPr="00155095">
        <w:rPr>
          <w:bCs/>
          <w:lang w:val="fr-FR"/>
        </w:rPr>
        <w:t xml:space="preserve"> seraient les bienvenues. La délégation est aussi invitée à donner des exemples concrets de cas dans lesquels des victimes ont obtenu </w:t>
      </w:r>
      <w:r w:rsidR="00911338">
        <w:rPr>
          <w:bCs/>
          <w:lang w:val="fr-FR"/>
        </w:rPr>
        <w:t>réparation</w:t>
      </w:r>
      <w:r w:rsidR="00155095" w:rsidRPr="00155095">
        <w:rPr>
          <w:bCs/>
          <w:lang w:val="fr-FR"/>
        </w:rPr>
        <w:t>.</w:t>
      </w:r>
    </w:p>
    <w:p w:rsidR="00155095" w:rsidRDefault="00155095" w:rsidP="00014212">
      <w:pPr>
        <w:pStyle w:val="SingleTxtG"/>
        <w:numPr>
          <w:ilvl w:val="0"/>
          <w:numId w:val="14"/>
        </w:numPr>
        <w:ind w:left="1134" w:firstLine="0"/>
        <w:rPr>
          <w:lang w:val="fr-FR"/>
        </w:rPr>
      </w:pPr>
      <w:r w:rsidRPr="00155095">
        <w:rPr>
          <w:b/>
          <w:lang w:val="fr-FR"/>
        </w:rPr>
        <w:t>Le Président</w:t>
      </w:r>
      <w:r w:rsidRPr="00155095">
        <w:rPr>
          <w:lang w:val="fr-FR"/>
        </w:rPr>
        <w:t xml:space="preserve"> dit que la torture faisait partie de la politique de l’État pendant la dictature et qu’un tel problème ne se règle pas du jour au lendemain mais qu’un message clair des plus hautes instances de l’État sur l’interdiction de la torture et sur les sanctions encourues par les responsables pourrait contribuer à </w:t>
      </w:r>
      <w:r w:rsidR="00911338">
        <w:rPr>
          <w:lang w:val="fr-FR"/>
        </w:rPr>
        <w:t xml:space="preserve">changer </w:t>
      </w:r>
      <w:r w:rsidRPr="00155095">
        <w:rPr>
          <w:lang w:val="fr-FR"/>
        </w:rPr>
        <w:t xml:space="preserve">les mentalités et les pratiques. Un nouveau mécanisme national de prévention ayant été mis en place, </w:t>
      </w:r>
      <w:r w:rsidR="00911338">
        <w:rPr>
          <w:lang w:val="fr-FR"/>
        </w:rPr>
        <w:t xml:space="preserve">la question se pose de savoir si </w:t>
      </w:r>
      <w:r w:rsidRPr="00155095">
        <w:rPr>
          <w:lang w:val="fr-FR"/>
        </w:rPr>
        <w:t xml:space="preserve">les ONG conserveront la possibilité d’accéder aux lieux de détention. Notant que des enquêtes administratives et judiciaires ont été ouvertes dans certains cas de décès suspects en garde à vue, le Président demande </w:t>
      </w:r>
      <w:r w:rsidR="00911338">
        <w:rPr>
          <w:lang w:val="fr-FR"/>
        </w:rPr>
        <w:t xml:space="preserve">sur quel fondement est prise la décision d’ouvrir une enquête, en d’autres termes s’il existe des critères permettant de qualifier un décès de suspect </w:t>
      </w:r>
      <w:r w:rsidRPr="00155095">
        <w:rPr>
          <w:lang w:val="fr-FR"/>
        </w:rPr>
        <w:t>ou s’il est prévu d’ouvrir une enquête indépendante sur tous les décès en garde à vue. S’agissant des examens médicaux internes effectués sans le consentement des patients, le Président rappelle le d</w:t>
      </w:r>
      <w:r w:rsidR="00ED1B50">
        <w:rPr>
          <w:lang w:val="fr-FR"/>
        </w:rPr>
        <w:t>r</w:t>
      </w:r>
      <w:r w:rsidRPr="00155095">
        <w:rPr>
          <w:lang w:val="fr-FR"/>
        </w:rPr>
        <w:t>oit fondamental des personnes à disposer d’elles-mêmes et demande s’il existe en Tunisie un code de déontologie médicale interdisant aux médecins de procéder à un examen forcé, quel qu’il soit.</w:t>
      </w:r>
    </w:p>
    <w:p w:rsidR="00155095" w:rsidRPr="00155095" w:rsidRDefault="006300B6" w:rsidP="00014212">
      <w:pPr>
        <w:pStyle w:val="SingleTxtG"/>
        <w:numPr>
          <w:ilvl w:val="0"/>
          <w:numId w:val="14"/>
        </w:numPr>
        <w:ind w:left="1134" w:firstLine="0"/>
      </w:pPr>
      <w:r w:rsidRPr="006300B6">
        <w:rPr>
          <w:b/>
        </w:rPr>
        <w:t>M</w:t>
      </w:r>
      <w:r w:rsidRPr="006300B6">
        <w:rPr>
          <w:b/>
          <w:vertAlign w:val="superscript"/>
        </w:rPr>
        <w:t>me</w:t>
      </w:r>
      <w:r w:rsidRPr="006300B6">
        <w:rPr>
          <w:b/>
        </w:rPr>
        <w:t> </w:t>
      </w:r>
      <w:r w:rsidR="00155095" w:rsidRPr="00155095">
        <w:rPr>
          <w:b/>
        </w:rPr>
        <w:t>Belmir</w:t>
      </w:r>
      <w:r w:rsidR="00155095" w:rsidRPr="00155095">
        <w:t xml:space="preserve"> (Rapporteuse pour la Tunisie) fait observer que</w:t>
      </w:r>
      <w:r w:rsidR="00911338">
        <w:t xml:space="preserve"> le refus d</w:t>
      </w:r>
      <w:r w:rsidR="00155095" w:rsidRPr="00155095">
        <w:t>es tribunaux de se saisir des affaires de torture</w:t>
      </w:r>
      <w:r w:rsidR="00911338" w:rsidRPr="00155095">
        <w:t xml:space="preserve"> sous l’ancien régime</w:t>
      </w:r>
      <w:r w:rsidR="00911338">
        <w:t xml:space="preserve"> </w:t>
      </w:r>
      <w:r w:rsidR="00155095" w:rsidRPr="00155095">
        <w:t>expliqu</w:t>
      </w:r>
      <w:r w:rsidR="00911338">
        <w:t>e</w:t>
      </w:r>
      <w:r w:rsidR="00155095" w:rsidRPr="00155095">
        <w:t xml:space="preserve"> que le Comité </w:t>
      </w:r>
      <w:r w:rsidR="00911338">
        <w:t>a</w:t>
      </w:r>
      <w:r w:rsidR="00155095" w:rsidRPr="00155095">
        <w:t xml:space="preserve">it </w:t>
      </w:r>
      <w:r w:rsidR="00911338">
        <w:t xml:space="preserve">reçu </w:t>
      </w:r>
      <w:r w:rsidR="00155095" w:rsidRPr="00155095">
        <w:t xml:space="preserve">un nombre aussi considérable de communications, parmi lesquelles celles </w:t>
      </w:r>
      <w:r w:rsidR="00911338">
        <w:t xml:space="preserve">concernant </w:t>
      </w:r>
      <w:r w:rsidR="00155095" w:rsidRPr="00ED1B50">
        <w:rPr>
          <w:i/>
        </w:rPr>
        <w:t>Saadia Ali</w:t>
      </w:r>
      <w:r w:rsidR="00155095" w:rsidRPr="00155095">
        <w:t xml:space="preserve">, </w:t>
      </w:r>
      <w:r w:rsidR="00155095" w:rsidRPr="00ED1B50">
        <w:rPr>
          <w:i/>
        </w:rPr>
        <w:t>Ali Ben Salem</w:t>
      </w:r>
      <w:r w:rsidR="00155095" w:rsidRPr="00155095">
        <w:t xml:space="preserve">, </w:t>
      </w:r>
      <w:r w:rsidR="00155095" w:rsidRPr="00ED1B50">
        <w:rPr>
          <w:i/>
        </w:rPr>
        <w:t>Dhaou Belgacem Thabti</w:t>
      </w:r>
      <w:r w:rsidR="00155095" w:rsidRPr="00155095">
        <w:t xml:space="preserve">, </w:t>
      </w:r>
      <w:r w:rsidR="00155095" w:rsidRPr="00ED1B50">
        <w:rPr>
          <w:i/>
        </w:rPr>
        <w:t>Bouabdallah Ltaïef</w:t>
      </w:r>
      <w:r w:rsidR="00155095" w:rsidRPr="00155095">
        <w:t xml:space="preserve">, </w:t>
      </w:r>
      <w:r w:rsidR="00155095" w:rsidRPr="00ED1B50">
        <w:rPr>
          <w:i/>
        </w:rPr>
        <w:t>Imed Abdelli</w:t>
      </w:r>
      <w:r w:rsidR="00155095" w:rsidRPr="00155095">
        <w:t xml:space="preserve"> ou encore </w:t>
      </w:r>
      <w:r w:rsidR="00155095" w:rsidRPr="00ED1B50">
        <w:rPr>
          <w:i/>
        </w:rPr>
        <w:t>Fayçal Baraket</w:t>
      </w:r>
      <w:r w:rsidR="00155095" w:rsidRPr="00155095">
        <w:t>. Elle note que</w:t>
      </w:r>
      <w:r w:rsidR="00911338">
        <w:t xml:space="preserve"> les affaires de ce type sont désormais examinées par les </w:t>
      </w:r>
      <w:r w:rsidR="00155095" w:rsidRPr="00155095">
        <w:t xml:space="preserve">tribunaux </w:t>
      </w:r>
      <w:r w:rsidR="00911338">
        <w:t xml:space="preserve">mais sont souvent </w:t>
      </w:r>
      <w:r w:rsidR="00155095" w:rsidRPr="00155095">
        <w:t>class</w:t>
      </w:r>
      <w:r w:rsidR="00911338">
        <w:t>é</w:t>
      </w:r>
      <w:r w:rsidR="00155095" w:rsidRPr="00155095">
        <w:t>e</w:t>
      </w:r>
      <w:r w:rsidR="00911338">
        <w:t>s</w:t>
      </w:r>
      <w:r w:rsidR="00155095" w:rsidRPr="00155095">
        <w:t xml:space="preserve"> sans suite</w:t>
      </w:r>
      <w:r w:rsidR="00911338">
        <w:t xml:space="preserve"> </w:t>
      </w:r>
      <w:r w:rsidR="00155095" w:rsidRPr="00155095">
        <w:t>et que les victimes</w:t>
      </w:r>
      <w:r w:rsidR="00911338">
        <w:t xml:space="preserve"> − </w:t>
      </w:r>
      <w:r w:rsidR="00155095" w:rsidRPr="00155095">
        <w:t>ou leurs proches</w:t>
      </w:r>
      <w:r w:rsidR="00911338">
        <w:t xml:space="preserve"> − </w:t>
      </w:r>
      <w:r w:rsidR="00155095" w:rsidRPr="00155095">
        <w:t xml:space="preserve">font l’objet de représailles ou sont poursuivies pour des infractions diverses après avoir porté plainte pour </w:t>
      </w:r>
      <w:r w:rsidR="00911338">
        <w:t xml:space="preserve">torture ou </w:t>
      </w:r>
      <w:r w:rsidR="00155095" w:rsidRPr="00155095">
        <w:t xml:space="preserve">mauvais traitements, comme cela a été le cas dans les </w:t>
      </w:r>
      <w:r>
        <w:t xml:space="preserve">affaires </w:t>
      </w:r>
      <w:r w:rsidRPr="00ED1B50">
        <w:rPr>
          <w:i/>
        </w:rPr>
        <w:t>Walid Denguir</w:t>
      </w:r>
      <w:r>
        <w:t xml:space="preserve"> et </w:t>
      </w:r>
      <w:r w:rsidRPr="00ED1B50">
        <w:rPr>
          <w:i/>
        </w:rPr>
        <w:t xml:space="preserve">Samir </w:t>
      </w:r>
      <w:r w:rsidR="00155095" w:rsidRPr="00ED1B50">
        <w:rPr>
          <w:i/>
        </w:rPr>
        <w:t>Metoui</w:t>
      </w:r>
      <w:r w:rsidR="00155095" w:rsidRPr="00155095">
        <w:t xml:space="preserve">. </w:t>
      </w:r>
      <w:r w:rsidR="00911338">
        <w:t>La Rapporteuse</w:t>
      </w:r>
      <w:r w:rsidR="00155095" w:rsidRPr="00155095">
        <w:t xml:space="preserve"> cite aussi l’affaire médiatisée de </w:t>
      </w:r>
      <w:r w:rsidR="00155095" w:rsidRPr="00ED1B50">
        <w:rPr>
          <w:i/>
        </w:rPr>
        <w:t>Ons</w:t>
      </w:r>
      <w:r w:rsidR="00155095" w:rsidRPr="00155095">
        <w:t xml:space="preserve"> et </w:t>
      </w:r>
      <w:r w:rsidR="00155095" w:rsidRPr="00ED1B50">
        <w:rPr>
          <w:i/>
        </w:rPr>
        <w:t>Ahlem Dalhoumi</w:t>
      </w:r>
      <w:r w:rsidR="00155095" w:rsidRPr="00155095">
        <w:t>, décédé</w:t>
      </w:r>
      <w:r w:rsidR="00424F85">
        <w:t>e</w:t>
      </w:r>
      <w:r w:rsidR="00155095" w:rsidRPr="00155095">
        <w:t xml:space="preserve">s à la suite de </w:t>
      </w:r>
      <w:r w:rsidR="00424F85">
        <w:t xml:space="preserve">tirs de la police, </w:t>
      </w:r>
      <w:r w:rsidR="00155095" w:rsidRPr="00155095">
        <w:t xml:space="preserve">dans laquelle les 13 auteurs présumés ont tous fini par être libérés sous la pression des syndicats des forces de l’ordre. Elle </w:t>
      </w:r>
      <w:r w:rsidR="00424F85">
        <w:t xml:space="preserve">relève en outre </w:t>
      </w:r>
      <w:r w:rsidR="00155095" w:rsidRPr="00155095">
        <w:t xml:space="preserve">avec préoccupation </w:t>
      </w:r>
      <w:r w:rsidR="00424F85">
        <w:t xml:space="preserve">les informations faisant état d’un </w:t>
      </w:r>
      <w:r w:rsidR="00155095" w:rsidRPr="00155095">
        <w:t xml:space="preserve">grand nombre de </w:t>
      </w:r>
      <w:r w:rsidR="00155095" w:rsidRPr="00155095">
        <w:lastRenderedPageBreak/>
        <w:t xml:space="preserve">décès en détention </w:t>
      </w:r>
      <w:r w:rsidR="00424F85">
        <w:t>(</w:t>
      </w:r>
      <w:r w:rsidR="00155095" w:rsidRPr="00155095">
        <w:t>dont celui de Riadh Bouslama en 2000 et ceux de Abderraouf Khammassi, Mohamed Ali Snoussi, Walid Denguir, Makram El Chérif, Sofiène Dridi et Kais Berrhouma</w:t>
      </w:r>
      <w:r w:rsidR="003E61EC">
        <w:t xml:space="preserve"> </w:t>
      </w:r>
      <w:r w:rsidR="00155095" w:rsidRPr="00155095">
        <w:t>entre 2012 et 2015, qui n’ont toujours pas donné lieu à l’ouverture d’une enquête</w:t>
      </w:r>
      <w:r w:rsidR="00424F85">
        <w:t xml:space="preserve">) et de pratiques </w:t>
      </w:r>
      <w:r w:rsidR="00155095" w:rsidRPr="00155095">
        <w:t>portant atteinte à l</w:t>
      </w:r>
      <w:r w:rsidR="00424F85">
        <w:t>a</w:t>
      </w:r>
      <w:r w:rsidR="00155095" w:rsidRPr="00155095">
        <w:t xml:space="preserve"> dignité humaine et à l</w:t>
      </w:r>
      <w:r w:rsidR="00424F85">
        <w:t>’</w:t>
      </w:r>
      <w:r w:rsidR="00155095" w:rsidRPr="00155095">
        <w:t>intégrité physique</w:t>
      </w:r>
      <w:r w:rsidR="00424F85">
        <w:t xml:space="preserve">, comme l’application de </w:t>
      </w:r>
      <w:r w:rsidR="00155095" w:rsidRPr="00155095">
        <w:t xml:space="preserve">décharges électriques et l’introduction d’objets dans le rectum, </w:t>
      </w:r>
      <w:r w:rsidR="00424F85">
        <w:t xml:space="preserve">dans le cadre de la détention au secret. Elle en </w:t>
      </w:r>
      <w:r w:rsidR="00155095" w:rsidRPr="00155095">
        <w:t>conclut que le système judiciaire tunisien doit être réformé en profondeur</w:t>
      </w:r>
      <w:r w:rsidR="00ED1B50">
        <w:t>,</w:t>
      </w:r>
      <w:r w:rsidR="00155095" w:rsidRPr="00155095">
        <w:t xml:space="preserve"> que la police politique doit être dissoute et les sous</w:t>
      </w:r>
      <w:r w:rsidR="00ED1B50">
        <w:t>-</w:t>
      </w:r>
      <w:r w:rsidR="00155095" w:rsidRPr="00155095">
        <w:t xml:space="preserve">sols des unités d’investigation des crimes terroristes fermés, et </w:t>
      </w:r>
      <w:r w:rsidR="00424F85">
        <w:t>attend les commentaires de la délégation sur ces points.</w:t>
      </w:r>
    </w:p>
    <w:p w:rsidR="00424F85" w:rsidRDefault="00155095" w:rsidP="00014212">
      <w:pPr>
        <w:pStyle w:val="SingleTxtG"/>
        <w:numPr>
          <w:ilvl w:val="0"/>
          <w:numId w:val="14"/>
        </w:numPr>
        <w:ind w:left="1134" w:firstLine="0"/>
      </w:pPr>
      <w:r w:rsidRPr="00155095">
        <w:rPr>
          <w:b/>
          <w:lang w:val="fr-FR"/>
        </w:rPr>
        <w:t>M.</w:t>
      </w:r>
      <w:r w:rsidR="006300B6">
        <w:rPr>
          <w:lang w:val="fr-FR"/>
        </w:rPr>
        <w:t> </w:t>
      </w:r>
      <w:r w:rsidRPr="00155095">
        <w:rPr>
          <w:b/>
          <w:lang w:val="fr-FR"/>
        </w:rPr>
        <w:t xml:space="preserve">Zhang </w:t>
      </w:r>
      <w:r w:rsidRPr="00155095">
        <w:rPr>
          <w:lang w:val="fr-FR"/>
        </w:rPr>
        <w:t>Kening (Corapporteur pour la Tunisie) note avec préoccupation que, dans l’État partie, le droit d</w:t>
      </w:r>
      <w:r w:rsidR="00424F85">
        <w:rPr>
          <w:lang w:val="fr-FR"/>
        </w:rPr>
        <w:t>es</w:t>
      </w:r>
      <w:r w:rsidRPr="00155095">
        <w:rPr>
          <w:lang w:val="fr-FR"/>
        </w:rPr>
        <w:t xml:space="preserve"> détenu</w:t>
      </w:r>
      <w:r w:rsidR="00424F85">
        <w:rPr>
          <w:lang w:val="fr-FR"/>
        </w:rPr>
        <w:t>s</w:t>
      </w:r>
      <w:r w:rsidRPr="00155095">
        <w:rPr>
          <w:lang w:val="fr-FR"/>
        </w:rPr>
        <w:t xml:space="preserve"> de communiquer avec un avocat est restrein</w:t>
      </w:r>
      <w:r w:rsidR="00424F85">
        <w:rPr>
          <w:lang w:val="fr-FR"/>
        </w:rPr>
        <w:t>t dans un certain nombre de cas,</w:t>
      </w:r>
      <w:r w:rsidRPr="00155095">
        <w:rPr>
          <w:lang w:val="fr-FR"/>
        </w:rPr>
        <w:t xml:space="preserve"> </w:t>
      </w:r>
      <w:r w:rsidR="00424F85">
        <w:rPr>
          <w:lang w:val="fr-FR"/>
        </w:rPr>
        <w:t xml:space="preserve">notamment </w:t>
      </w:r>
      <w:r w:rsidRPr="00155095">
        <w:rPr>
          <w:lang w:val="fr-FR"/>
        </w:rPr>
        <w:t xml:space="preserve">lorsque l’intéressé se trouve en détention provisoire, auquel cas l’avocat doit faire une demande pour obtenir un droit de visite, </w:t>
      </w:r>
      <w:r w:rsidR="00424F85">
        <w:rPr>
          <w:lang w:val="fr-FR"/>
        </w:rPr>
        <w:t xml:space="preserve">et </w:t>
      </w:r>
      <w:r w:rsidRPr="00155095">
        <w:rPr>
          <w:lang w:val="fr-FR"/>
        </w:rPr>
        <w:t>lorsque l’affaire fait l’objet d’un recours, auquel cas l’avocat ne peut pas rencontrer son client entre le moment où le recours est formé et l’audience devant la chambre d’accusation de la Cour d’appel</w:t>
      </w:r>
      <w:r w:rsidR="00424F85">
        <w:rPr>
          <w:lang w:val="fr-FR"/>
        </w:rPr>
        <w:t xml:space="preserve">. Le Corapporteur </w:t>
      </w:r>
      <w:r w:rsidRPr="00155095">
        <w:rPr>
          <w:lang w:val="fr-FR"/>
        </w:rPr>
        <w:t>relève en outre que, en vertu de l’article 17.6 de la loi de 2001 relative à l’organisation des prisons, le détenu a droit à la</w:t>
      </w:r>
      <w:r w:rsidRPr="00155095">
        <w:t xml:space="preserve"> visite d’un avocat « en présence d’un agent de la prison », ce qui est contraire au principe de </w:t>
      </w:r>
      <w:r w:rsidR="00424F85">
        <w:t xml:space="preserve">la </w:t>
      </w:r>
      <w:r w:rsidRPr="00155095">
        <w:t xml:space="preserve">confidentialité des échanges entre un avocat et son client. </w:t>
      </w:r>
      <w:r w:rsidR="00424F85">
        <w:t xml:space="preserve">Il invite la délégation à formuler des commentaires à ces sujets. </w:t>
      </w:r>
    </w:p>
    <w:p w:rsidR="00155095" w:rsidRPr="00155095" w:rsidRDefault="00424F85" w:rsidP="00014212">
      <w:pPr>
        <w:pStyle w:val="SingleTxtG"/>
        <w:numPr>
          <w:ilvl w:val="0"/>
          <w:numId w:val="14"/>
        </w:numPr>
        <w:ind w:left="1134" w:firstLine="0"/>
      </w:pPr>
      <w:r>
        <w:t xml:space="preserve">Le Corapporteur </w:t>
      </w:r>
      <w:r w:rsidR="00155095" w:rsidRPr="00155095">
        <w:t xml:space="preserve">demande un complément d’information sur l’affaire </w:t>
      </w:r>
      <w:r w:rsidR="00155095" w:rsidRPr="00ED1B50">
        <w:rPr>
          <w:i/>
        </w:rPr>
        <w:t>Abdelmajid Jedday</w:t>
      </w:r>
      <w:r w:rsidR="00155095" w:rsidRPr="00155095">
        <w:t xml:space="preserve">, mort en détention, qui avait affirmé quelque temps avant son décès être victime de mauvais traitements et d’intimidation, ainsi que sur l’affaire </w:t>
      </w:r>
      <w:r w:rsidR="00155095" w:rsidRPr="00ED1B50">
        <w:rPr>
          <w:i/>
        </w:rPr>
        <w:t>Barraket Essahel</w:t>
      </w:r>
      <w:r w:rsidR="00155095" w:rsidRPr="00155095">
        <w:t xml:space="preserve">, </w:t>
      </w:r>
      <w:r>
        <w:t>dans laquelle</w:t>
      </w:r>
      <w:r w:rsidR="00155095" w:rsidRPr="00155095">
        <w:t xml:space="preserve"> les victimes e</w:t>
      </w:r>
      <w:r w:rsidR="00ED1B50">
        <w:t xml:space="preserve">t leurs avocats ont eux </w:t>
      </w:r>
      <w:r w:rsidR="00155095" w:rsidRPr="00155095">
        <w:t>aussi indiqué avoir été soumis à des pressions. Il aimerait savoir ce qu’il est advenu des plaintes dont était saisi le Ministère de la justice, des droits de l’homme et de la justice transitionnelle</w:t>
      </w:r>
      <w:r>
        <w:t xml:space="preserve"> qui n’existe plus</w:t>
      </w:r>
      <w:r w:rsidR="00155095" w:rsidRPr="00155095">
        <w:t>, et notamment si ces plaintes ont été transmises à un autre ministère ou service chargé d’y donner suite. Enfin, il demande quel est le rôle du Secrétariat d’État chargé des questions relatives aux blessés et aux familles des martyrs de la Révolution et quelles mesures ont été prises pour appuyer le proces</w:t>
      </w:r>
      <w:r w:rsidR="006300B6">
        <w:t>sus de justice transitionnelle.</w:t>
      </w:r>
    </w:p>
    <w:p w:rsidR="00155095" w:rsidRPr="00155095" w:rsidRDefault="00155095" w:rsidP="00155095">
      <w:pPr>
        <w:pStyle w:val="SingleTxtG"/>
        <w:rPr>
          <w:i/>
        </w:rPr>
      </w:pPr>
      <w:r w:rsidRPr="00155095">
        <w:rPr>
          <w:i/>
        </w:rPr>
        <w:t>La séance est suspendue à 12</w:t>
      </w:r>
      <w:r w:rsidR="006300B6">
        <w:rPr>
          <w:i/>
        </w:rPr>
        <w:t> </w:t>
      </w:r>
      <w:r w:rsidRPr="00155095">
        <w:rPr>
          <w:i/>
        </w:rPr>
        <w:t>h</w:t>
      </w:r>
      <w:r w:rsidR="006300B6">
        <w:rPr>
          <w:i/>
        </w:rPr>
        <w:t> </w:t>
      </w:r>
      <w:r w:rsidRPr="00155095">
        <w:rPr>
          <w:i/>
        </w:rPr>
        <w:t>25 ; elle est reprise à 12</w:t>
      </w:r>
      <w:r w:rsidR="006300B6">
        <w:rPr>
          <w:i/>
        </w:rPr>
        <w:t> </w:t>
      </w:r>
      <w:r w:rsidRPr="00155095">
        <w:rPr>
          <w:i/>
        </w:rPr>
        <w:t>h</w:t>
      </w:r>
      <w:r w:rsidR="006300B6">
        <w:rPr>
          <w:i/>
        </w:rPr>
        <w:t> </w:t>
      </w:r>
      <w:r w:rsidRPr="00155095">
        <w:rPr>
          <w:i/>
        </w:rPr>
        <w:t>35.</w:t>
      </w:r>
    </w:p>
    <w:p w:rsidR="00424F85" w:rsidRDefault="00155095" w:rsidP="00014212">
      <w:pPr>
        <w:pStyle w:val="SingleTxtG"/>
        <w:numPr>
          <w:ilvl w:val="0"/>
          <w:numId w:val="14"/>
        </w:numPr>
        <w:ind w:left="1134" w:firstLine="0"/>
      </w:pPr>
      <w:r w:rsidRPr="00155095">
        <w:rPr>
          <w:b/>
        </w:rPr>
        <w:t>M.</w:t>
      </w:r>
      <w:r w:rsidR="006300B6">
        <w:rPr>
          <w:b/>
        </w:rPr>
        <w:t> </w:t>
      </w:r>
      <w:r w:rsidRPr="00155095">
        <w:rPr>
          <w:b/>
        </w:rPr>
        <w:t>Jendoubi</w:t>
      </w:r>
      <w:r w:rsidRPr="00155095">
        <w:t xml:space="preserve"> (Tunisie) dit que le rapport périodique et son additif soumis en novembre 2014 couvrent à la fois les années qui ont précédé la </w:t>
      </w:r>
      <w:r w:rsidR="00ED1B50">
        <w:t>R</w:t>
      </w:r>
      <w:r w:rsidRPr="00155095">
        <w:t>évolution et celles qui l’ont suivie. Force est de reconnaître que, avant 2011, la torture était au cœur d’un système qui avait comme finalité de faire taire les Tunisiens, quelles que soient leur</w:t>
      </w:r>
      <w:r w:rsidR="00ED1B50">
        <w:t>s</w:t>
      </w:r>
      <w:r w:rsidRPr="00155095">
        <w:t xml:space="preserve"> convictions politiques, religieuses ou personnelles. Le pouvoir exécutif était alors centralisé en la personne du Président, qui avait la mainmise sur le pouvoir législatif et l’appareil judiciaire. Ce n’est qu’après la </w:t>
      </w:r>
      <w:r w:rsidR="00ED1B50">
        <w:t>R</w:t>
      </w:r>
      <w:r w:rsidRPr="00155095">
        <w:t>évolution que la population s’est libérée de la peur et que le peuple a pu commencer à s’exprimer et à s’organiser librement, notamment depuis l’adoption de décrets-lois réglementant la liberté d’association, la liberté de former des partis politiques ou encore les élections et les médias</w:t>
      </w:r>
      <w:r w:rsidR="00424F85">
        <w:t>,</w:t>
      </w:r>
      <w:r w:rsidRPr="00155095">
        <w:t xml:space="preserve"> puis de la Constitution en 2014. Il reste encore à réformer en profondeur les institutions de l’État, ce qui nécessitera du temps et des moyens. Une réforme de la législation s’impose aussi pour abroger les lois liberticides désormais en contradiction avec les dispositions constitutionnelles et protéger les droits et les libertés individuels. </w:t>
      </w:r>
    </w:p>
    <w:p w:rsidR="00155095" w:rsidRPr="00155095" w:rsidRDefault="00155095" w:rsidP="00014212">
      <w:pPr>
        <w:pStyle w:val="SingleTxtG"/>
        <w:numPr>
          <w:ilvl w:val="0"/>
          <w:numId w:val="14"/>
        </w:numPr>
        <w:ind w:left="1134" w:firstLine="0"/>
      </w:pPr>
      <w:r w:rsidRPr="00155095">
        <w:t xml:space="preserve">L’interdiction de la torture a été inscrite dans la Constitution et le Gouvernement </w:t>
      </w:r>
      <w:r w:rsidR="00ED1B50">
        <w:t>tunisien</w:t>
      </w:r>
      <w:r w:rsidRPr="00155095">
        <w:t xml:space="preserve"> ne ménagera aucun effort pour bannir dans les faits les actes de cette nature ainsi que les mauvais traitements. L’appareil judiciaire est désormais totalement indépendant et procède depuis quelques années à la mise en place du Conseil supérieur de la magistrature et de la Cour constitutionnelle. À cela s’ajoute</w:t>
      </w:r>
      <w:r w:rsidR="00ED1B50">
        <w:t>nt</w:t>
      </w:r>
      <w:r w:rsidRPr="00155095">
        <w:t xml:space="preserve"> le pouvoir local, inscrit dans la Constitution, et cinq instances constitutionnelles indépendantes : l’Instance des élections, </w:t>
      </w:r>
      <w:r w:rsidRPr="00155095">
        <w:lastRenderedPageBreak/>
        <w:t xml:space="preserve">l’Instance de la communication audiovisuelle, l’Instance des droits de l’homme, l’Instance du développement durable et des droits des générations futures et l’Instance de la bonne gouvernance et de la lutte contre la corruption. D’autres instances encore, créées en application de lois organiques, comme l’Instance de la vérité et de la dignité et l’Instance nationale pour la prévention de la torture sont pleinement indépendantes du pouvoir exécutif. Le Gouvernement a en outre engagé un processus de consultation des organisations de la société civile. Toutes ces réformes nécessitent des ressources et, à cet égard, la question du terrorisme a des répercussions considérables sur les échanges que la Tunisie peut avoir avec ses partenaires dans le cadre de la coopération internationale. Le Gouvernement tunisien compte toutefois beaucoup sur eux pour mener à bien ses réformes et instaurer durablement un État démocratique et respectueux des droits de l’homme, conformément à ses engagements internationaux. </w:t>
      </w:r>
    </w:p>
    <w:p w:rsidR="00155095" w:rsidRPr="00155095" w:rsidRDefault="00155095" w:rsidP="00014212">
      <w:pPr>
        <w:pStyle w:val="SingleTxtG"/>
        <w:numPr>
          <w:ilvl w:val="0"/>
          <w:numId w:val="14"/>
        </w:numPr>
        <w:ind w:left="1134" w:firstLine="0"/>
      </w:pPr>
      <w:r w:rsidRPr="00155095">
        <w:t xml:space="preserve">Les questions relatives aux droits de l’homme, qui relevaient auparavant du Ministère de la justice, des droits de l’homme et de la justice transitionnelle, sont désormais du ressort de la </w:t>
      </w:r>
      <w:r w:rsidR="00ED1B50">
        <w:t>p</w:t>
      </w:r>
      <w:r w:rsidRPr="00155095">
        <w:t>résidence du Gouvernement</w:t>
      </w:r>
      <w:r w:rsidR="003E61EC">
        <w:t>,</w:t>
      </w:r>
      <w:r w:rsidRPr="00155095">
        <w:t xml:space="preserve"> tandis qu’un autre ministère, le Ministère chargé des relations avec les instances constitutionnelles et la société civile et des droits de l’homme, a été créé. Certains dossiers emblématiques, comme ceux qui ont trait aux blessés et aux familles des martyrs de la Révolution, sont gérés directement par la </w:t>
      </w:r>
      <w:r w:rsidR="00ED1B50">
        <w:t>p</w:t>
      </w:r>
      <w:r w:rsidRPr="00155095">
        <w:t xml:space="preserve">résidence du Gouvernement, ce qui </w:t>
      </w:r>
      <w:r w:rsidR="003E61EC">
        <w:t>témoigne de</w:t>
      </w:r>
      <w:r w:rsidRPr="00155095">
        <w:t xml:space="preserve"> la fidélité </w:t>
      </w:r>
      <w:r w:rsidR="003E61EC">
        <w:t xml:space="preserve">du </w:t>
      </w:r>
      <w:r w:rsidRPr="00155095">
        <w:t>Gouvernement à l</w:t>
      </w:r>
      <w:r w:rsidR="003E61EC">
        <w:t>’</w:t>
      </w:r>
      <w:r w:rsidRPr="00155095">
        <w:t>égard</w:t>
      </w:r>
      <w:r w:rsidR="003E61EC">
        <w:t xml:space="preserve"> de ces personnes</w:t>
      </w:r>
      <w:r w:rsidRPr="00155095">
        <w:t>. Du point de vue administratif, ces dossiers relèvent du Ministère des affaires sociales. Créée en vertu de la loi organique relative à l’instauration de la justice transitionnelle et à son organisation, l’Instance de la vérité et de la dignité est pleinement indépendante et a voté son propre budget, qu’elle a soumis à l’Assemblée constituante</w:t>
      </w:r>
      <w:r w:rsidR="003E61EC">
        <w:t xml:space="preserve"> pour approbation</w:t>
      </w:r>
      <w:r w:rsidRPr="00155095">
        <w:t>. Les dossiers des personnes amnistiées, hautement emblématiques eux</w:t>
      </w:r>
      <w:r w:rsidR="00ED1B50">
        <w:t xml:space="preserve"> </w:t>
      </w:r>
      <w:r w:rsidRPr="00155095">
        <w:t xml:space="preserve">aussi, sont également du ressort de la </w:t>
      </w:r>
      <w:r w:rsidR="00ED1B50">
        <w:t>p</w:t>
      </w:r>
      <w:r w:rsidRPr="00155095">
        <w:t xml:space="preserve">résidence du Gouvernement. </w:t>
      </w:r>
    </w:p>
    <w:p w:rsidR="00155095" w:rsidRPr="009C4D45" w:rsidRDefault="00155095" w:rsidP="00155095">
      <w:pPr>
        <w:pStyle w:val="SingleTxtG"/>
      </w:pPr>
      <w:r w:rsidRPr="00155095">
        <w:rPr>
          <w:i/>
        </w:rPr>
        <w:t>La séance est levée à 13</w:t>
      </w:r>
      <w:r w:rsidR="006300B6">
        <w:rPr>
          <w:i/>
        </w:rPr>
        <w:t> </w:t>
      </w:r>
      <w:r w:rsidRPr="00155095">
        <w:rPr>
          <w:i/>
        </w:rPr>
        <w:t>heures.</w:t>
      </w:r>
    </w:p>
    <w:sectPr w:rsidR="00155095" w:rsidRPr="009C4D45" w:rsidSect="0015509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095" w:rsidRPr="009C4D45" w:rsidRDefault="00155095" w:rsidP="009C4D45">
      <w:pPr>
        <w:pStyle w:val="Footer"/>
      </w:pPr>
    </w:p>
  </w:endnote>
  <w:endnote w:type="continuationSeparator" w:id="0">
    <w:p w:rsidR="00155095" w:rsidRPr="009C4D45" w:rsidRDefault="00155095" w:rsidP="009C4D45">
      <w:pPr>
        <w:pStyle w:val="Footer"/>
      </w:pPr>
    </w:p>
  </w:endnote>
  <w:endnote w:type="continuationNotice" w:id="1">
    <w:p w:rsidR="00155095" w:rsidRDefault="001550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095" w:rsidRPr="00155095" w:rsidRDefault="00155095" w:rsidP="00155095">
    <w:pPr>
      <w:pStyle w:val="Footer"/>
      <w:tabs>
        <w:tab w:val="right" w:pos="9638"/>
      </w:tabs>
    </w:pPr>
    <w:r w:rsidRPr="00155095">
      <w:rPr>
        <w:b/>
        <w:sz w:val="18"/>
      </w:rPr>
      <w:fldChar w:fldCharType="begin"/>
    </w:r>
    <w:r w:rsidRPr="00155095">
      <w:rPr>
        <w:b/>
        <w:sz w:val="18"/>
      </w:rPr>
      <w:instrText xml:space="preserve"> PAGE  \* MERGEFORMAT </w:instrText>
    </w:r>
    <w:r w:rsidRPr="00155095">
      <w:rPr>
        <w:b/>
        <w:sz w:val="18"/>
      </w:rPr>
      <w:fldChar w:fldCharType="separate"/>
    </w:r>
    <w:r w:rsidR="0059105F">
      <w:rPr>
        <w:b/>
        <w:noProof/>
        <w:sz w:val="18"/>
      </w:rPr>
      <w:t>10</w:t>
    </w:r>
    <w:r w:rsidRPr="00155095">
      <w:rPr>
        <w:b/>
        <w:sz w:val="18"/>
      </w:rPr>
      <w:fldChar w:fldCharType="end"/>
    </w:r>
    <w:r>
      <w:rPr>
        <w:b/>
        <w:sz w:val="18"/>
      </w:rPr>
      <w:tab/>
    </w:r>
    <w:r>
      <w:t>GE.16-07603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095" w:rsidRPr="00155095" w:rsidRDefault="00155095" w:rsidP="00155095">
    <w:pPr>
      <w:pStyle w:val="Footer"/>
      <w:tabs>
        <w:tab w:val="right" w:pos="9638"/>
      </w:tabs>
      <w:rPr>
        <w:b/>
        <w:sz w:val="18"/>
      </w:rPr>
    </w:pPr>
    <w:r>
      <w:t>GE.16-07603</w:t>
    </w:r>
    <w:r>
      <w:tab/>
    </w:r>
    <w:r w:rsidRPr="00155095">
      <w:rPr>
        <w:b/>
        <w:sz w:val="18"/>
      </w:rPr>
      <w:fldChar w:fldCharType="begin"/>
    </w:r>
    <w:r w:rsidRPr="00155095">
      <w:rPr>
        <w:b/>
        <w:sz w:val="18"/>
      </w:rPr>
      <w:instrText xml:space="preserve"> PAGE  \* MERGEFORMAT </w:instrText>
    </w:r>
    <w:r w:rsidRPr="00155095">
      <w:rPr>
        <w:b/>
        <w:sz w:val="18"/>
      </w:rPr>
      <w:fldChar w:fldCharType="separate"/>
    </w:r>
    <w:r w:rsidR="0059105F">
      <w:rPr>
        <w:b/>
        <w:noProof/>
        <w:sz w:val="18"/>
      </w:rPr>
      <w:t>9</w:t>
    </w:r>
    <w:r w:rsidRPr="001550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095" w:rsidRDefault="00155095" w:rsidP="003937B4">
    <w:pPr>
      <w:pStyle w:val="Footer"/>
      <w:pBdr>
        <w:bottom w:val="single" w:sz="4" w:space="1" w:color="auto"/>
      </w:pBdr>
    </w:pPr>
  </w:p>
  <w:p w:rsidR="00155095" w:rsidRDefault="00155095" w:rsidP="003937B4">
    <w:pPr>
      <w:pStyle w:val="FootnoteText"/>
      <w:tabs>
        <w:tab w:val="clear" w:pos="1021"/>
      </w:tabs>
      <w:spacing w:after="120"/>
      <w:ind w:firstLine="0"/>
    </w:pPr>
    <w:r>
      <w:t>Le présent compte rendu est sujet à rectifications.</w:t>
    </w:r>
  </w:p>
  <w:p w:rsidR="00155095" w:rsidRDefault="00155095" w:rsidP="003937B4">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71388D">
      <w:rPr>
        <w:i/>
      </w:rPr>
      <w:t>une semaine au pl</w:t>
    </w:r>
    <w:r>
      <w:rPr>
        <w:i/>
      </w:rPr>
      <w:t xml:space="preserve">us tard à compter de la date du </w:t>
    </w:r>
    <w:r w:rsidRPr="0071388D">
      <w:rPr>
        <w:i/>
      </w:rPr>
      <w:t>présent document</w:t>
    </w:r>
    <w:r>
      <w:t>, à la Section d’édition, bureau E.5108, Palais des Nations, Genève.</w:t>
    </w:r>
  </w:p>
  <w:p w:rsidR="00155095" w:rsidRDefault="00155095" w:rsidP="003937B4">
    <w:pPr>
      <w:pStyle w:val="FootnoteText"/>
      <w:tabs>
        <w:tab w:val="clear" w:pos="1021"/>
      </w:tabs>
      <w:spacing w:after="240"/>
      <w:ind w:firstLine="0"/>
    </w:pPr>
    <w:r>
      <w:t>Les rectifications aux comptes rendus des séances du Sous</w:t>
    </w:r>
    <w:r>
      <w:noBreakHyphen/>
      <w:t>Comité seront groupées dans un rectificatif unique qui sera publié peu après la session.</w:t>
    </w:r>
  </w:p>
  <w:p w:rsidR="00155095" w:rsidRPr="00155095" w:rsidRDefault="00155095" w:rsidP="00155095">
    <w:pPr>
      <w:spacing w:before="120" w:line="240" w:lineRule="auto"/>
    </w:pPr>
    <w:r>
      <w:t>GE.</w:t>
    </w:r>
    <w:r>
      <w:rPr>
        <w:noProof/>
        <w:lang w:val="en-GB" w:eastAsia="en-GB"/>
      </w:rPr>
      <w:drawing>
        <wp:anchor distT="0" distB="0" distL="114300" distR="114300" simplePos="0" relativeHeight="251659264" behindDoc="0" locked="0" layoutInCell="1" allowOverlap="1" wp14:anchorId="1F0F44AF" wp14:editId="27CAAA58">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16-07603  (F)</w:t>
    </w:r>
    <w:r w:rsidR="002101C5">
      <w:t xml:space="preserve">    190516    200516</w:t>
    </w:r>
    <w:r>
      <w:br/>
    </w:r>
    <w:r w:rsidRPr="00155095">
      <w:rPr>
        <w:rFonts w:ascii="C39T30Lfz" w:hAnsi="C39T30Lfz"/>
        <w:sz w:val="56"/>
      </w:rPr>
      <w:t></w:t>
    </w:r>
    <w:r w:rsidRPr="00155095">
      <w:rPr>
        <w:rFonts w:ascii="C39T30Lfz" w:hAnsi="C39T30Lfz"/>
        <w:sz w:val="56"/>
      </w:rPr>
      <w:t></w:t>
    </w:r>
    <w:r w:rsidRPr="00155095">
      <w:rPr>
        <w:rFonts w:ascii="C39T30Lfz" w:hAnsi="C39T30Lfz"/>
        <w:sz w:val="56"/>
      </w:rPr>
      <w:t></w:t>
    </w:r>
    <w:r w:rsidRPr="00155095">
      <w:rPr>
        <w:rFonts w:ascii="C39T30Lfz" w:hAnsi="C39T30Lfz"/>
        <w:sz w:val="56"/>
      </w:rPr>
      <w:t></w:t>
    </w:r>
    <w:r w:rsidRPr="00155095">
      <w:rPr>
        <w:rFonts w:ascii="C39T30Lfz" w:hAnsi="C39T30Lfz"/>
        <w:sz w:val="56"/>
      </w:rPr>
      <w:t></w:t>
    </w:r>
    <w:r w:rsidRPr="00155095">
      <w:rPr>
        <w:rFonts w:ascii="C39T30Lfz" w:hAnsi="C39T30Lfz"/>
        <w:sz w:val="56"/>
      </w:rPr>
      <w:t></w:t>
    </w:r>
    <w:r w:rsidRPr="00155095">
      <w:rPr>
        <w:rFonts w:ascii="C39T30Lfz" w:hAnsi="C39T30Lfz"/>
        <w:sz w:val="56"/>
      </w:rPr>
      <w:t></w:t>
    </w:r>
    <w:r w:rsidRPr="00155095">
      <w:rPr>
        <w:rFonts w:ascii="C39T30Lfz" w:hAnsi="C39T30Lfz"/>
        <w:sz w:val="56"/>
      </w:rPr>
      <w:t></w:t>
    </w:r>
    <w:r w:rsidRPr="00155095">
      <w:rPr>
        <w:rFonts w:ascii="C39T30Lfz" w:hAnsi="C39T30Lfz"/>
        <w:sz w:val="56"/>
      </w:rPr>
      <w:t></w:t>
    </w:r>
    <w:r>
      <w:rPr>
        <w:noProof/>
        <w:lang w:val="en-GB" w:eastAsia="en-GB"/>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AT/C/SR.139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39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095" w:rsidRPr="009C4D45" w:rsidRDefault="00155095" w:rsidP="009C4D45">
      <w:pPr>
        <w:pStyle w:val="Footer"/>
        <w:tabs>
          <w:tab w:val="right" w:pos="2155"/>
        </w:tabs>
        <w:spacing w:after="80" w:line="240" w:lineRule="atLeast"/>
        <w:ind w:left="680"/>
        <w:rPr>
          <w:u w:val="single"/>
        </w:rPr>
      </w:pPr>
      <w:r>
        <w:rPr>
          <w:u w:val="single"/>
        </w:rPr>
        <w:tab/>
      </w:r>
    </w:p>
  </w:footnote>
  <w:footnote w:type="continuationSeparator" w:id="0">
    <w:p w:rsidR="00155095" w:rsidRPr="00873A84" w:rsidRDefault="00155095" w:rsidP="00873A84">
      <w:pPr>
        <w:pStyle w:val="Footer"/>
        <w:tabs>
          <w:tab w:val="right" w:pos="2155"/>
        </w:tabs>
        <w:spacing w:after="80" w:line="240" w:lineRule="atLeast"/>
        <w:ind w:left="680"/>
        <w:rPr>
          <w:u w:val="single"/>
        </w:rPr>
      </w:pPr>
      <w:r>
        <w:rPr>
          <w:u w:val="single"/>
        </w:rPr>
        <w:tab/>
      </w:r>
    </w:p>
  </w:footnote>
  <w:footnote w:type="continuationNotice" w:id="1">
    <w:p w:rsidR="00155095" w:rsidRPr="00873A84" w:rsidRDefault="0015509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095" w:rsidRPr="00155095" w:rsidRDefault="00155095">
    <w:pPr>
      <w:pStyle w:val="Header"/>
    </w:pPr>
    <w:r>
      <w:t>CAT/C/SR.1398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095" w:rsidRPr="00155095" w:rsidRDefault="00155095" w:rsidP="00155095">
    <w:pPr>
      <w:pStyle w:val="Header"/>
      <w:jc w:val="right"/>
    </w:pPr>
    <w:r>
      <w:t>CAT/C/SR.1398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C4C7F34"/>
    <w:multiLevelType w:val="hybridMultilevel"/>
    <w:tmpl w:val="7C9A9192"/>
    <w:lvl w:ilvl="0" w:tplc="100C000F">
      <w:start w:val="1"/>
      <w:numFmt w:val="decimal"/>
      <w:lvlText w:val="%1."/>
      <w:lvlJc w:val="left"/>
      <w:pPr>
        <w:ind w:left="1637" w:hanging="360"/>
      </w:pPr>
    </w:lvl>
    <w:lvl w:ilvl="1" w:tplc="100C0019" w:tentative="1">
      <w:start w:val="1"/>
      <w:numFmt w:val="lowerLetter"/>
      <w:lvlText w:val="%2."/>
      <w:lvlJc w:val="left"/>
      <w:pPr>
        <w:ind w:left="3135" w:hanging="360"/>
      </w:pPr>
    </w:lvl>
    <w:lvl w:ilvl="2" w:tplc="100C001B" w:tentative="1">
      <w:start w:val="1"/>
      <w:numFmt w:val="lowerRoman"/>
      <w:lvlText w:val="%3."/>
      <w:lvlJc w:val="right"/>
      <w:pPr>
        <w:ind w:left="3855" w:hanging="180"/>
      </w:pPr>
    </w:lvl>
    <w:lvl w:ilvl="3" w:tplc="100C000F" w:tentative="1">
      <w:start w:val="1"/>
      <w:numFmt w:val="decimal"/>
      <w:lvlText w:val="%4."/>
      <w:lvlJc w:val="left"/>
      <w:pPr>
        <w:ind w:left="4575" w:hanging="360"/>
      </w:pPr>
    </w:lvl>
    <w:lvl w:ilvl="4" w:tplc="100C0019" w:tentative="1">
      <w:start w:val="1"/>
      <w:numFmt w:val="lowerLetter"/>
      <w:lvlText w:val="%5."/>
      <w:lvlJc w:val="left"/>
      <w:pPr>
        <w:ind w:left="5295" w:hanging="360"/>
      </w:pPr>
    </w:lvl>
    <w:lvl w:ilvl="5" w:tplc="100C001B" w:tentative="1">
      <w:start w:val="1"/>
      <w:numFmt w:val="lowerRoman"/>
      <w:lvlText w:val="%6."/>
      <w:lvlJc w:val="right"/>
      <w:pPr>
        <w:ind w:left="6015" w:hanging="180"/>
      </w:pPr>
    </w:lvl>
    <w:lvl w:ilvl="6" w:tplc="100C000F" w:tentative="1">
      <w:start w:val="1"/>
      <w:numFmt w:val="decimal"/>
      <w:lvlText w:val="%7."/>
      <w:lvlJc w:val="left"/>
      <w:pPr>
        <w:ind w:left="6735" w:hanging="360"/>
      </w:pPr>
    </w:lvl>
    <w:lvl w:ilvl="7" w:tplc="100C0019" w:tentative="1">
      <w:start w:val="1"/>
      <w:numFmt w:val="lowerLetter"/>
      <w:lvlText w:val="%8."/>
      <w:lvlJc w:val="left"/>
      <w:pPr>
        <w:ind w:left="7455" w:hanging="360"/>
      </w:pPr>
    </w:lvl>
    <w:lvl w:ilvl="8" w:tplc="100C001B" w:tentative="1">
      <w:start w:val="1"/>
      <w:numFmt w:val="lowerRoman"/>
      <w:lvlText w:val="%9."/>
      <w:lvlJc w:val="right"/>
      <w:pPr>
        <w:ind w:left="8175"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437"/>
    <w:rsid w:val="00014212"/>
    <w:rsid w:val="00023842"/>
    <w:rsid w:val="0007796D"/>
    <w:rsid w:val="000A7C46"/>
    <w:rsid w:val="000D13A3"/>
    <w:rsid w:val="00111F2F"/>
    <w:rsid w:val="0014365E"/>
    <w:rsid w:val="00155095"/>
    <w:rsid w:val="00176178"/>
    <w:rsid w:val="001C38F7"/>
    <w:rsid w:val="001F525A"/>
    <w:rsid w:val="001F7651"/>
    <w:rsid w:val="002101C5"/>
    <w:rsid w:val="003937B4"/>
    <w:rsid w:val="003E61EC"/>
    <w:rsid w:val="00424F85"/>
    <w:rsid w:val="00446FE5"/>
    <w:rsid w:val="00456524"/>
    <w:rsid w:val="004606C7"/>
    <w:rsid w:val="00573BE5"/>
    <w:rsid w:val="00586ED3"/>
    <w:rsid w:val="00587A52"/>
    <w:rsid w:val="0059105F"/>
    <w:rsid w:val="005B4E23"/>
    <w:rsid w:val="00621B64"/>
    <w:rsid w:val="006300B6"/>
    <w:rsid w:val="0066365B"/>
    <w:rsid w:val="0071601D"/>
    <w:rsid w:val="0080684C"/>
    <w:rsid w:val="00871C75"/>
    <w:rsid w:val="00873A84"/>
    <w:rsid w:val="008776DC"/>
    <w:rsid w:val="008917F2"/>
    <w:rsid w:val="00911338"/>
    <w:rsid w:val="00923E72"/>
    <w:rsid w:val="009705C8"/>
    <w:rsid w:val="009A396C"/>
    <w:rsid w:val="009C4D45"/>
    <w:rsid w:val="00A85437"/>
    <w:rsid w:val="00AA0CD3"/>
    <w:rsid w:val="00AD6E8E"/>
    <w:rsid w:val="00AE323C"/>
    <w:rsid w:val="00C02897"/>
    <w:rsid w:val="00C24564"/>
    <w:rsid w:val="00D36558"/>
    <w:rsid w:val="00DB1831"/>
    <w:rsid w:val="00DD3BFD"/>
    <w:rsid w:val="00E105CF"/>
    <w:rsid w:val="00E61F5D"/>
    <w:rsid w:val="00ED1B50"/>
    <w:rsid w:val="00F20514"/>
    <w:rsid w:val="00F660DF"/>
    <w:rsid w:val="00F95C08"/>
    <w:rsid w:val="00FA76E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
    <w:basedOn w:val="DefaultParagraphFont"/>
    <w:rsid w:val="00023842"/>
    <w:rPr>
      <w:rFonts w:ascii="Times New Roman" w:hAnsi="Times New Roman"/>
      <w:sz w:val="18"/>
      <w:vertAlign w:val="superscript"/>
      <w:lang w:val="fr-CH"/>
    </w:rPr>
  </w:style>
  <w:style w:type="character" w:styleId="EndnoteReference">
    <w:name w:val="endnote reference"/>
    <w:aliases w:val="1_G"/>
    <w:basedOn w:val="FootnoteReference"/>
    <w:rsid w:val="00023842"/>
    <w:rPr>
      <w:rFonts w:ascii="Times New Roman" w:hAnsi="Times New Roman"/>
      <w:sz w:val="18"/>
      <w:vertAlign w:val="superscript"/>
      <w:lang w:val="fr-CH"/>
    </w:rPr>
  </w:style>
  <w:style w:type="table" w:styleId="TableGrid">
    <w:name w:val="Table Grid"/>
    <w:basedOn w:val="Table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D6E8E"/>
    <w:rPr>
      <w:color w:val="0000FF"/>
      <w:u w:val="none"/>
    </w:rPr>
  </w:style>
  <w:style w:type="character" w:styleId="FollowedHyperlink">
    <w:name w:val="FollowedHyperlink"/>
    <w:basedOn w:val="DefaultParagraphFont"/>
    <w:unhideWhenUsed/>
    <w:rsid w:val="00AD6E8E"/>
    <w:rPr>
      <w:color w:val="0000FF"/>
      <w:u w:val="none"/>
    </w:rPr>
  </w:style>
  <w:style w:type="paragraph" w:styleId="FootnoteText">
    <w:name w:val="footnote text"/>
    <w:aliases w:val="5_G"/>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F205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51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
    <w:basedOn w:val="DefaultParagraphFont"/>
    <w:rsid w:val="00023842"/>
    <w:rPr>
      <w:rFonts w:ascii="Times New Roman" w:hAnsi="Times New Roman"/>
      <w:sz w:val="18"/>
      <w:vertAlign w:val="superscript"/>
      <w:lang w:val="fr-CH"/>
    </w:rPr>
  </w:style>
  <w:style w:type="character" w:styleId="EndnoteReference">
    <w:name w:val="endnote reference"/>
    <w:aliases w:val="1_G"/>
    <w:basedOn w:val="FootnoteReference"/>
    <w:rsid w:val="00023842"/>
    <w:rPr>
      <w:rFonts w:ascii="Times New Roman" w:hAnsi="Times New Roman"/>
      <w:sz w:val="18"/>
      <w:vertAlign w:val="superscript"/>
      <w:lang w:val="fr-CH"/>
    </w:rPr>
  </w:style>
  <w:style w:type="table" w:styleId="TableGrid">
    <w:name w:val="Table Grid"/>
    <w:basedOn w:val="Table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D6E8E"/>
    <w:rPr>
      <w:color w:val="0000FF"/>
      <w:u w:val="none"/>
    </w:rPr>
  </w:style>
  <w:style w:type="character" w:styleId="FollowedHyperlink">
    <w:name w:val="FollowedHyperlink"/>
    <w:basedOn w:val="DefaultParagraphFont"/>
    <w:unhideWhenUsed/>
    <w:rsid w:val="00AD6E8E"/>
    <w:rPr>
      <w:color w:val="0000FF"/>
      <w:u w:val="none"/>
    </w:rPr>
  </w:style>
  <w:style w:type="paragraph" w:styleId="FootnoteText">
    <w:name w:val="footnote text"/>
    <w:aliases w:val="5_G"/>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F205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51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CATOP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551F2A-4DB2-4849-A25D-10C76492DC3A}"/>
</file>

<file path=customXml/itemProps2.xml><?xml version="1.0" encoding="utf-8"?>
<ds:datastoreItem xmlns:ds="http://schemas.openxmlformats.org/officeDocument/2006/customXml" ds:itemID="{2ED49B1E-A61F-44B0-B328-C9A667D7E077}"/>
</file>

<file path=customXml/itemProps3.xml><?xml version="1.0" encoding="utf-8"?>
<ds:datastoreItem xmlns:ds="http://schemas.openxmlformats.org/officeDocument/2006/customXml" ds:itemID="{13EB1F2D-304B-41C9-A9C4-03A5A4B80C55}"/>
</file>

<file path=docProps/app.xml><?xml version="1.0" encoding="utf-8"?>
<Properties xmlns="http://schemas.openxmlformats.org/officeDocument/2006/extended-properties" xmlns:vt="http://schemas.openxmlformats.org/officeDocument/2006/docPropsVTypes">
  <Template>CATOP1.dotm</Template>
  <TotalTime>1</TotalTime>
  <Pages>10</Pages>
  <Words>5650</Words>
  <Characters>32207</Characters>
  <Application>Microsoft Office Word</Application>
  <DocSecurity>0</DocSecurity>
  <Lines>268</Lines>
  <Paragraphs>75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CAT/C/SR.1398</vt:lpstr>
      <vt:lpstr>CAT/C/SR.1398</vt:lpstr>
    </vt:vector>
  </TitlesOfParts>
  <Company>DCM</Company>
  <LinksUpToDate>false</LinksUpToDate>
  <CharactersWithSpaces>37782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CAT/C/SR.1398</dc:title>
  <dc:subject>Final</dc:subject>
  <dc:creator>Fabienne Crelier</dc:creator>
  <cp:lastModifiedBy>Patrice GILLIBERT</cp:lastModifiedBy>
  <cp:revision>2</cp:revision>
  <cp:lastPrinted>2016-05-20T08:50:00Z</cp:lastPrinted>
  <dcterms:created xsi:type="dcterms:W3CDTF">2016-07-15T08:45:00Z</dcterms:created>
  <dcterms:modified xsi:type="dcterms:W3CDTF">2016-07-15T08:45:00Z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