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document.xml" ContentType="application/vnd.openxmlformats-officedocument.wordprocessingml.document.main+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65EAB83" w:rsidP="24383DD1" w:rsidRDefault="065EAB83" w14:paraId="723700DA" w14:textId="62055333">
      <w:pPr>
        <w:pStyle w:val="Normal"/>
        <w:spacing w:after="0" w:afterAutospacing="off" w:line="240" w:lineRule="auto"/>
        <w:jc w:val="center"/>
        <w:rPr>
          <w:b w:val="1"/>
          <w:bCs w:val="1"/>
          <w:sz w:val="24"/>
          <w:szCs w:val="24"/>
        </w:rPr>
      </w:pPr>
      <w:r w:rsidRPr="24383DD1" w:rsidR="065EAB83">
        <w:rPr>
          <w:b w:val="1"/>
          <w:bCs w:val="1"/>
          <w:sz w:val="24"/>
          <w:szCs w:val="24"/>
        </w:rPr>
        <w:t>Defensa</w:t>
      </w:r>
      <w:r w:rsidRPr="24383DD1" w:rsidR="065EAB83">
        <w:rPr>
          <w:b w:val="1"/>
          <w:bCs w:val="1"/>
          <w:sz w:val="24"/>
          <w:szCs w:val="24"/>
        </w:rPr>
        <w:t xml:space="preserve"> del </w:t>
      </w:r>
      <w:r w:rsidRPr="24383DD1" w:rsidR="065EAB83">
        <w:rPr>
          <w:b w:val="1"/>
          <w:bCs w:val="1"/>
          <w:sz w:val="24"/>
          <w:szCs w:val="24"/>
        </w:rPr>
        <w:t>tercer</w:t>
      </w:r>
      <w:r w:rsidRPr="24383DD1" w:rsidR="065EAB83">
        <w:rPr>
          <w:b w:val="1"/>
          <w:bCs w:val="1"/>
          <w:sz w:val="24"/>
          <w:szCs w:val="24"/>
        </w:rPr>
        <w:t xml:space="preserve"> y </w:t>
      </w:r>
      <w:r w:rsidRPr="24383DD1" w:rsidR="065EAB83">
        <w:rPr>
          <w:b w:val="1"/>
          <w:bCs w:val="1"/>
          <w:sz w:val="24"/>
          <w:szCs w:val="24"/>
        </w:rPr>
        <w:t>cuarto</w:t>
      </w:r>
      <w:r w:rsidRPr="24383DD1" w:rsidR="065EAB83">
        <w:rPr>
          <w:b w:val="1"/>
          <w:bCs w:val="1"/>
          <w:sz w:val="24"/>
          <w:szCs w:val="24"/>
        </w:rPr>
        <w:t xml:space="preserve"> </w:t>
      </w:r>
      <w:r w:rsidRPr="24383DD1" w:rsidR="065EAB83">
        <w:rPr>
          <w:b w:val="1"/>
          <w:bCs w:val="1"/>
          <w:sz w:val="24"/>
          <w:szCs w:val="24"/>
        </w:rPr>
        <w:t>informe</w:t>
      </w:r>
      <w:r w:rsidRPr="24383DD1" w:rsidR="065EAB83">
        <w:rPr>
          <w:b w:val="1"/>
          <w:bCs w:val="1"/>
          <w:sz w:val="24"/>
          <w:szCs w:val="24"/>
        </w:rPr>
        <w:t xml:space="preserve"> </w:t>
      </w:r>
      <w:r w:rsidRPr="24383DD1" w:rsidR="065EAB83">
        <w:rPr>
          <w:b w:val="1"/>
          <w:bCs w:val="1"/>
          <w:sz w:val="24"/>
          <w:szCs w:val="24"/>
        </w:rPr>
        <w:t>peri</w:t>
      </w:r>
      <w:r w:rsidRPr="24383DD1" w:rsidR="7E3B7F6D">
        <w:rPr>
          <w:b w:val="1"/>
          <w:bCs w:val="1"/>
          <w:sz w:val="24"/>
          <w:szCs w:val="24"/>
        </w:rPr>
        <w:t>ó</w:t>
      </w:r>
      <w:r w:rsidRPr="24383DD1" w:rsidR="065EAB83">
        <w:rPr>
          <w:b w:val="1"/>
          <w:bCs w:val="1"/>
          <w:sz w:val="24"/>
          <w:szCs w:val="24"/>
        </w:rPr>
        <w:t>dico</w:t>
      </w:r>
      <w:r w:rsidRPr="24383DD1" w:rsidR="065EAB83">
        <w:rPr>
          <w:b w:val="1"/>
          <w:bCs w:val="1"/>
          <w:sz w:val="24"/>
          <w:szCs w:val="24"/>
        </w:rPr>
        <w:t xml:space="preserve"> de Costa Rica </w:t>
      </w:r>
    </w:p>
    <w:p w:rsidR="065EAB83" w:rsidP="24383DD1" w:rsidRDefault="065EAB83" w14:paraId="5CB22756" w14:textId="4DBB4577">
      <w:pPr>
        <w:pStyle w:val="Normal"/>
        <w:spacing w:after="0" w:afterAutospacing="off" w:line="240" w:lineRule="auto"/>
        <w:jc w:val="center"/>
        <w:rPr>
          <w:b w:val="1"/>
          <w:bCs w:val="1"/>
          <w:sz w:val="24"/>
          <w:szCs w:val="24"/>
        </w:rPr>
      </w:pPr>
      <w:r w:rsidRPr="24383DD1" w:rsidR="065EAB83">
        <w:rPr>
          <w:b w:val="1"/>
          <w:bCs w:val="1"/>
          <w:sz w:val="24"/>
          <w:szCs w:val="24"/>
        </w:rPr>
        <w:t>Comité</w:t>
      </w:r>
      <w:r w:rsidRPr="24383DD1" w:rsidR="065EAB83">
        <w:rPr>
          <w:b w:val="1"/>
          <w:bCs w:val="1"/>
          <w:sz w:val="24"/>
          <w:szCs w:val="24"/>
        </w:rPr>
        <w:t xml:space="preserve"> contra la </w:t>
      </w:r>
      <w:r w:rsidRPr="24383DD1" w:rsidR="065EAB83">
        <w:rPr>
          <w:b w:val="1"/>
          <w:bCs w:val="1"/>
          <w:sz w:val="24"/>
          <w:szCs w:val="24"/>
        </w:rPr>
        <w:t>Tortura</w:t>
      </w:r>
      <w:r w:rsidRPr="24383DD1" w:rsidR="065EAB83">
        <w:rPr>
          <w:b w:val="1"/>
          <w:bCs w:val="1"/>
          <w:sz w:val="24"/>
          <w:szCs w:val="24"/>
        </w:rPr>
        <w:t xml:space="preserve"> – CAT</w:t>
      </w:r>
    </w:p>
    <w:p w:rsidR="24383DD1" w:rsidP="24383DD1" w:rsidRDefault="24383DD1" w14:paraId="4F7276DF" w14:textId="30CC499D">
      <w:pPr>
        <w:pStyle w:val="Normal"/>
        <w:spacing w:after="0" w:afterAutospacing="off" w:line="240" w:lineRule="auto"/>
        <w:jc w:val="center"/>
        <w:rPr>
          <w:b w:val="1"/>
          <w:bCs w:val="1"/>
          <w:sz w:val="24"/>
          <w:szCs w:val="24"/>
        </w:rPr>
      </w:pPr>
    </w:p>
    <w:p w:rsidR="065EAB83" w:rsidP="24383DD1" w:rsidRDefault="065EAB83" w14:paraId="41BA75EA" w14:textId="6C13D777">
      <w:pPr>
        <w:pStyle w:val="Normal"/>
        <w:spacing w:after="0" w:afterAutospacing="off" w:line="240" w:lineRule="auto"/>
        <w:jc w:val="center"/>
        <w:rPr>
          <w:b w:val="1"/>
          <w:bCs w:val="1"/>
          <w:sz w:val="24"/>
          <w:szCs w:val="24"/>
        </w:rPr>
      </w:pPr>
      <w:r w:rsidRPr="24383DD1" w:rsidR="065EAB83">
        <w:rPr>
          <w:b w:val="1"/>
          <w:bCs w:val="1"/>
          <w:sz w:val="24"/>
          <w:szCs w:val="24"/>
        </w:rPr>
        <w:t xml:space="preserve">Sr. Christian </w:t>
      </w:r>
      <w:r w:rsidRPr="24383DD1" w:rsidR="065EAB83">
        <w:rPr>
          <w:b w:val="1"/>
          <w:bCs w:val="1"/>
          <w:sz w:val="24"/>
          <w:szCs w:val="24"/>
        </w:rPr>
        <w:t>Guillermet</w:t>
      </w:r>
      <w:r w:rsidRPr="24383DD1" w:rsidR="065EAB83">
        <w:rPr>
          <w:b w:val="1"/>
          <w:bCs w:val="1"/>
          <w:sz w:val="24"/>
          <w:szCs w:val="24"/>
        </w:rPr>
        <w:t xml:space="preserve"> Fernández</w:t>
      </w:r>
    </w:p>
    <w:p w:rsidR="065EAB83" w:rsidP="24383DD1" w:rsidRDefault="065EAB83" w14:paraId="2168085C" w14:textId="00B439C5">
      <w:pPr>
        <w:pStyle w:val="Normal"/>
        <w:spacing w:after="0" w:afterAutospacing="off" w:line="240" w:lineRule="auto"/>
        <w:jc w:val="center"/>
        <w:rPr>
          <w:b w:val="1"/>
          <w:bCs w:val="1"/>
          <w:sz w:val="24"/>
          <w:szCs w:val="24"/>
        </w:rPr>
      </w:pPr>
      <w:r w:rsidRPr="24383DD1" w:rsidR="065EAB83">
        <w:rPr>
          <w:b w:val="1"/>
          <w:bCs w:val="1"/>
          <w:sz w:val="24"/>
          <w:szCs w:val="24"/>
        </w:rPr>
        <w:t>Embajador</w:t>
      </w:r>
      <w:r w:rsidRPr="24383DD1" w:rsidR="065EAB83">
        <w:rPr>
          <w:b w:val="1"/>
          <w:bCs w:val="1"/>
          <w:sz w:val="24"/>
          <w:szCs w:val="24"/>
        </w:rPr>
        <w:t xml:space="preserve">, </w:t>
      </w:r>
      <w:r w:rsidRPr="24383DD1" w:rsidR="065EAB83">
        <w:rPr>
          <w:b w:val="1"/>
          <w:bCs w:val="1"/>
          <w:sz w:val="24"/>
          <w:szCs w:val="24"/>
        </w:rPr>
        <w:t>Representante</w:t>
      </w:r>
      <w:r w:rsidRPr="24383DD1" w:rsidR="065EAB83">
        <w:rPr>
          <w:b w:val="1"/>
          <w:bCs w:val="1"/>
          <w:sz w:val="24"/>
          <w:szCs w:val="24"/>
        </w:rPr>
        <w:t xml:space="preserve"> Permanente de Costa Rica ante </w:t>
      </w:r>
      <w:r w:rsidRPr="24383DD1" w:rsidR="065EAB83">
        <w:rPr>
          <w:b w:val="1"/>
          <w:bCs w:val="1"/>
          <w:sz w:val="24"/>
          <w:szCs w:val="24"/>
        </w:rPr>
        <w:t>Naciones</w:t>
      </w:r>
      <w:r w:rsidRPr="24383DD1" w:rsidR="065EAB83">
        <w:rPr>
          <w:b w:val="1"/>
          <w:bCs w:val="1"/>
          <w:sz w:val="24"/>
          <w:szCs w:val="24"/>
        </w:rPr>
        <w:t xml:space="preserve"> Unidas </w:t>
      </w:r>
      <w:r w:rsidRPr="24383DD1" w:rsidR="065EAB83">
        <w:rPr>
          <w:b w:val="1"/>
          <w:bCs w:val="1"/>
          <w:sz w:val="24"/>
          <w:szCs w:val="24"/>
        </w:rPr>
        <w:t>en</w:t>
      </w:r>
      <w:r w:rsidRPr="24383DD1" w:rsidR="065EAB83">
        <w:rPr>
          <w:b w:val="1"/>
          <w:bCs w:val="1"/>
          <w:sz w:val="24"/>
          <w:szCs w:val="24"/>
        </w:rPr>
        <w:t xml:space="preserve"> Ginebra</w:t>
      </w:r>
    </w:p>
    <w:p w:rsidR="065EAB83" w:rsidP="24383DD1" w:rsidRDefault="065EAB83" w14:paraId="3E7AECC0" w14:textId="141CB9F3">
      <w:pPr>
        <w:pStyle w:val="Normal"/>
        <w:spacing w:after="0" w:afterAutospacing="off" w:line="240" w:lineRule="auto"/>
        <w:jc w:val="center"/>
        <w:rPr>
          <w:b w:val="1"/>
          <w:bCs w:val="1"/>
          <w:sz w:val="24"/>
          <w:szCs w:val="24"/>
        </w:rPr>
      </w:pPr>
      <w:r w:rsidRPr="24383DD1" w:rsidR="065EAB83">
        <w:rPr>
          <w:b w:val="1"/>
          <w:bCs w:val="1"/>
          <w:sz w:val="24"/>
          <w:szCs w:val="24"/>
        </w:rPr>
        <w:t xml:space="preserve">1 de </w:t>
      </w:r>
      <w:r w:rsidRPr="24383DD1" w:rsidR="065EAB83">
        <w:rPr>
          <w:b w:val="1"/>
          <w:bCs w:val="1"/>
          <w:sz w:val="24"/>
          <w:szCs w:val="24"/>
        </w:rPr>
        <w:t>noviembre</w:t>
      </w:r>
      <w:r w:rsidRPr="24383DD1" w:rsidR="065EAB83">
        <w:rPr>
          <w:b w:val="1"/>
          <w:bCs w:val="1"/>
          <w:sz w:val="24"/>
          <w:szCs w:val="24"/>
        </w:rPr>
        <w:t xml:space="preserve"> de 2023</w:t>
      </w:r>
    </w:p>
    <w:p w:rsidR="24383DD1" w:rsidP="24383DD1" w:rsidRDefault="24383DD1" w14:paraId="321C0003" w14:textId="107EC96D">
      <w:pPr>
        <w:pStyle w:val="Normal"/>
        <w:spacing w:after="0" w:afterAutospacing="off" w:line="240" w:lineRule="auto"/>
        <w:jc w:val="center"/>
        <w:rPr>
          <w:b w:val="1"/>
          <w:bCs w:val="1"/>
          <w:sz w:val="24"/>
          <w:szCs w:val="24"/>
        </w:rPr>
      </w:pPr>
    </w:p>
    <w:p w:rsidR="34FF6777" w:rsidP="24383DD1" w:rsidRDefault="34FF6777" w14:paraId="27EF7545" w14:textId="259C0676">
      <w:pPr>
        <w:pStyle w:val="Normal"/>
        <w:spacing w:after="0" w:afterAutospacing="off" w:line="240" w:lineRule="auto"/>
        <w:jc w:val="center"/>
        <w:rPr>
          <w:b w:val="1"/>
          <w:bCs w:val="1"/>
          <w:sz w:val="24"/>
          <w:szCs w:val="24"/>
        </w:rPr>
      </w:pPr>
      <w:r w:rsidRPr="24383DD1" w:rsidR="34FF6777">
        <w:rPr>
          <w:b w:val="1"/>
          <w:bCs w:val="1"/>
          <w:sz w:val="24"/>
          <w:szCs w:val="24"/>
        </w:rPr>
        <w:t xml:space="preserve">(check </w:t>
      </w:r>
      <w:r w:rsidRPr="24383DD1" w:rsidR="34FF6777">
        <w:rPr>
          <w:b w:val="1"/>
          <w:bCs w:val="1"/>
          <w:sz w:val="24"/>
          <w:szCs w:val="24"/>
        </w:rPr>
        <w:t>agains</w:t>
      </w:r>
      <w:r w:rsidRPr="24383DD1" w:rsidR="34FF6777">
        <w:rPr>
          <w:b w:val="1"/>
          <w:bCs w:val="1"/>
          <w:sz w:val="24"/>
          <w:szCs w:val="24"/>
        </w:rPr>
        <w:t>t delivery)</w:t>
      </w:r>
    </w:p>
    <w:p w:rsidR="24383DD1" w:rsidP="24383DD1" w:rsidRDefault="24383DD1" w14:paraId="540CB720" w14:textId="48821CB8">
      <w:pPr>
        <w:pStyle w:val="Normal"/>
        <w:spacing w:after="0" w:afterAutospacing="off" w:line="240" w:lineRule="auto"/>
        <w:jc w:val="center"/>
        <w:rPr>
          <w:b w:val="1"/>
          <w:bCs w:val="1"/>
          <w:sz w:val="24"/>
          <w:szCs w:val="24"/>
        </w:rPr>
      </w:pPr>
    </w:p>
    <w:p w:rsidR="24383DD1" w:rsidP="24383DD1" w:rsidRDefault="24383DD1" w14:paraId="12F051A8" w14:textId="1866526D">
      <w:pPr>
        <w:pStyle w:val="Normal"/>
        <w:spacing w:after="0" w:afterAutospacing="off" w:line="240" w:lineRule="auto"/>
        <w:jc w:val="both"/>
        <w:rPr>
          <w:b w:val="1"/>
          <w:bCs w:val="1"/>
          <w:sz w:val="24"/>
          <w:szCs w:val="24"/>
        </w:rPr>
      </w:pPr>
    </w:p>
    <w:p w:rsidR="065EAB83" w:rsidP="24383DD1" w:rsidRDefault="065EAB83" w14:paraId="19014C52" w14:textId="3DD6EB05">
      <w:pPr>
        <w:pStyle w:val="Normal"/>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sz w:val="24"/>
          <w:szCs w:val="24"/>
        </w:rPr>
      </w:pPr>
      <w:r w:rsidRPr="24383DD1" w:rsidR="065EAB83">
        <w:rPr>
          <w:rFonts w:ascii="Calibri" w:hAnsi="Calibri" w:eastAsia="Calibri" w:cs="Calibri" w:asciiTheme="minorAscii" w:hAnsiTheme="minorAscii" w:eastAsiaTheme="minorAscii" w:cstheme="minorAscii"/>
          <w:b w:val="0"/>
          <w:bCs w:val="0"/>
          <w:sz w:val="24"/>
          <w:szCs w:val="24"/>
        </w:rPr>
        <w:t>Señoras</w:t>
      </w:r>
      <w:r w:rsidRPr="24383DD1" w:rsidR="065EAB83">
        <w:rPr>
          <w:rFonts w:ascii="Calibri" w:hAnsi="Calibri" w:eastAsia="Calibri" w:cs="Calibri" w:asciiTheme="minorAscii" w:hAnsiTheme="minorAscii" w:eastAsiaTheme="minorAscii" w:cstheme="minorAscii"/>
          <w:b w:val="0"/>
          <w:bCs w:val="0"/>
          <w:sz w:val="24"/>
          <w:szCs w:val="24"/>
        </w:rPr>
        <w:t xml:space="preserve"> y </w:t>
      </w:r>
      <w:r w:rsidRPr="24383DD1" w:rsidR="065EAB83">
        <w:rPr>
          <w:rFonts w:ascii="Calibri" w:hAnsi="Calibri" w:eastAsia="Calibri" w:cs="Calibri" w:asciiTheme="minorAscii" w:hAnsiTheme="minorAscii" w:eastAsiaTheme="minorAscii" w:cstheme="minorAscii"/>
          <w:b w:val="0"/>
          <w:bCs w:val="0"/>
          <w:sz w:val="24"/>
          <w:szCs w:val="24"/>
        </w:rPr>
        <w:t>señores</w:t>
      </w:r>
      <w:r w:rsidRPr="24383DD1" w:rsidR="065EAB83">
        <w:rPr>
          <w:rFonts w:ascii="Calibri" w:hAnsi="Calibri" w:eastAsia="Calibri" w:cs="Calibri" w:asciiTheme="minorAscii" w:hAnsiTheme="minorAscii" w:eastAsiaTheme="minorAscii" w:cstheme="minorAscii"/>
          <w:b w:val="0"/>
          <w:bCs w:val="0"/>
          <w:sz w:val="24"/>
          <w:szCs w:val="24"/>
        </w:rPr>
        <w:t xml:space="preserve"> </w:t>
      </w:r>
      <w:r w:rsidRPr="24383DD1" w:rsidR="065EAB83">
        <w:rPr>
          <w:rFonts w:ascii="Calibri" w:hAnsi="Calibri" w:eastAsia="Calibri" w:cs="Calibri" w:asciiTheme="minorAscii" w:hAnsiTheme="minorAscii" w:eastAsiaTheme="minorAscii" w:cstheme="minorAscii"/>
          <w:b w:val="0"/>
          <w:bCs w:val="0"/>
          <w:sz w:val="24"/>
          <w:szCs w:val="24"/>
        </w:rPr>
        <w:t>miembros</w:t>
      </w:r>
      <w:r w:rsidRPr="24383DD1" w:rsidR="065EAB83">
        <w:rPr>
          <w:rFonts w:ascii="Calibri" w:hAnsi="Calibri" w:eastAsia="Calibri" w:cs="Calibri" w:asciiTheme="minorAscii" w:hAnsiTheme="minorAscii" w:eastAsiaTheme="minorAscii" w:cstheme="minorAscii"/>
          <w:b w:val="0"/>
          <w:bCs w:val="0"/>
          <w:sz w:val="24"/>
          <w:szCs w:val="24"/>
        </w:rPr>
        <w:t xml:space="preserve"> del </w:t>
      </w:r>
      <w:r w:rsidRPr="24383DD1" w:rsidR="065EAB83">
        <w:rPr>
          <w:rFonts w:ascii="Calibri" w:hAnsi="Calibri" w:eastAsia="Calibri" w:cs="Calibri" w:asciiTheme="minorAscii" w:hAnsiTheme="minorAscii" w:eastAsiaTheme="minorAscii" w:cstheme="minorAscii"/>
          <w:b w:val="0"/>
          <w:bCs w:val="0"/>
          <w:sz w:val="24"/>
          <w:szCs w:val="24"/>
        </w:rPr>
        <w:t>Comité</w:t>
      </w:r>
      <w:r w:rsidRPr="24383DD1" w:rsidR="065EAB83">
        <w:rPr>
          <w:rFonts w:ascii="Calibri" w:hAnsi="Calibri" w:eastAsia="Calibri" w:cs="Calibri" w:asciiTheme="minorAscii" w:hAnsiTheme="minorAscii" w:eastAsiaTheme="minorAscii" w:cstheme="minorAscii"/>
          <w:b w:val="0"/>
          <w:bCs w:val="0"/>
          <w:sz w:val="24"/>
          <w:szCs w:val="24"/>
        </w:rPr>
        <w:t xml:space="preserve"> contra la </w:t>
      </w:r>
      <w:r w:rsidRPr="24383DD1" w:rsidR="065EAB83">
        <w:rPr>
          <w:rFonts w:ascii="Calibri" w:hAnsi="Calibri" w:eastAsia="Calibri" w:cs="Calibri" w:asciiTheme="minorAscii" w:hAnsiTheme="minorAscii" w:eastAsiaTheme="minorAscii" w:cstheme="minorAscii"/>
          <w:b w:val="0"/>
          <w:bCs w:val="0"/>
          <w:sz w:val="24"/>
          <w:szCs w:val="24"/>
        </w:rPr>
        <w:t>Tortura</w:t>
      </w:r>
    </w:p>
    <w:p w:rsidR="24383DD1" w:rsidP="24383DD1" w:rsidRDefault="24383DD1" w14:paraId="2249C89F" w14:textId="3DD6EB05">
      <w:pPr>
        <w:pStyle w:val="Normal"/>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sz w:val="24"/>
          <w:szCs w:val="24"/>
        </w:rPr>
      </w:pPr>
    </w:p>
    <w:p w:rsidR="065EAB83" w:rsidP="24383DD1" w:rsidRDefault="065EAB83" w14:paraId="15FA5F1C" w14:textId="3D981D32">
      <w:pPr>
        <w:pStyle w:val="Normal"/>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sz w:val="24"/>
          <w:szCs w:val="24"/>
        </w:rPr>
      </w:pPr>
      <w:r w:rsidRPr="24383DD1" w:rsidR="065EAB83">
        <w:rPr>
          <w:rFonts w:ascii="Calibri" w:hAnsi="Calibri" w:eastAsia="Calibri" w:cs="Calibri" w:asciiTheme="minorAscii" w:hAnsiTheme="minorAscii" w:eastAsiaTheme="minorAscii" w:cstheme="minorAscii"/>
          <w:b w:val="0"/>
          <w:bCs w:val="0"/>
          <w:sz w:val="24"/>
          <w:szCs w:val="24"/>
        </w:rPr>
        <w:t>S</w:t>
      </w:r>
      <w:r w:rsidRPr="24383DD1" w:rsidR="065EAB83">
        <w:rPr>
          <w:rFonts w:ascii="Calibri" w:hAnsi="Calibri" w:eastAsia="Calibri" w:cs="Calibri" w:asciiTheme="minorAscii" w:hAnsiTheme="minorAscii" w:eastAsiaTheme="minorAscii" w:cstheme="minorAscii"/>
          <w:b w:val="0"/>
          <w:bCs w:val="0"/>
          <w:sz w:val="24"/>
          <w:szCs w:val="24"/>
        </w:rPr>
        <w:t>e</w:t>
      </w:r>
      <w:r w:rsidRPr="24383DD1" w:rsidR="065EAB83">
        <w:rPr>
          <w:rFonts w:ascii="Calibri" w:hAnsi="Calibri" w:eastAsia="Calibri" w:cs="Calibri" w:asciiTheme="minorAscii" w:hAnsiTheme="minorAscii" w:eastAsiaTheme="minorAscii" w:cstheme="minorAscii"/>
          <w:b w:val="0"/>
          <w:bCs w:val="0"/>
          <w:sz w:val="24"/>
          <w:szCs w:val="24"/>
        </w:rPr>
        <w:t>ñoras</w:t>
      </w:r>
      <w:r w:rsidRPr="24383DD1" w:rsidR="065EAB83">
        <w:rPr>
          <w:rFonts w:ascii="Calibri" w:hAnsi="Calibri" w:eastAsia="Calibri" w:cs="Calibri" w:asciiTheme="minorAscii" w:hAnsiTheme="minorAscii" w:eastAsiaTheme="minorAscii" w:cstheme="minorAscii"/>
          <w:b w:val="0"/>
          <w:bCs w:val="0"/>
          <w:sz w:val="24"/>
          <w:szCs w:val="24"/>
        </w:rPr>
        <w:t xml:space="preserve"> y </w:t>
      </w:r>
      <w:r w:rsidRPr="24383DD1" w:rsidR="065EAB83">
        <w:rPr>
          <w:rFonts w:ascii="Calibri" w:hAnsi="Calibri" w:eastAsia="Calibri" w:cs="Calibri" w:asciiTheme="minorAscii" w:hAnsiTheme="minorAscii" w:eastAsiaTheme="minorAscii" w:cstheme="minorAscii"/>
          <w:b w:val="0"/>
          <w:bCs w:val="0"/>
          <w:sz w:val="24"/>
          <w:szCs w:val="24"/>
        </w:rPr>
        <w:t>señores</w:t>
      </w:r>
      <w:r w:rsidRPr="24383DD1" w:rsidR="065EAB83">
        <w:rPr>
          <w:rFonts w:ascii="Calibri" w:hAnsi="Calibri" w:eastAsia="Calibri" w:cs="Calibri" w:asciiTheme="minorAscii" w:hAnsiTheme="minorAscii" w:eastAsiaTheme="minorAscii" w:cstheme="minorAscii"/>
          <w:b w:val="0"/>
          <w:bCs w:val="0"/>
          <w:sz w:val="24"/>
          <w:szCs w:val="24"/>
        </w:rPr>
        <w:t xml:space="preserve"> </w:t>
      </w:r>
      <w:r w:rsidRPr="24383DD1" w:rsidR="065EAB83">
        <w:rPr>
          <w:rFonts w:ascii="Calibri" w:hAnsi="Calibri" w:eastAsia="Calibri" w:cs="Calibri" w:asciiTheme="minorAscii" w:hAnsiTheme="minorAscii" w:eastAsiaTheme="minorAscii" w:cstheme="minorAscii"/>
          <w:b w:val="0"/>
          <w:bCs w:val="0"/>
          <w:sz w:val="24"/>
          <w:szCs w:val="24"/>
        </w:rPr>
        <w:t>Relatores</w:t>
      </w:r>
      <w:r w:rsidRPr="24383DD1" w:rsidR="065EAB83">
        <w:rPr>
          <w:rFonts w:ascii="Calibri" w:hAnsi="Calibri" w:eastAsia="Calibri" w:cs="Calibri" w:asciiTheme="minorAscii" w:hAnsiTheme="minorAscii" w:eastAsiaTheme="minorAscii" w:cstheme="minorAscii"/>
          <w:b w:val="0"/>
          <w:bCs w:val="0"/>
          <w:sz w:val="24"/>
          <w:szCs w:val="24"/>
        </w:rPr>
        <w:t xml:space="preserve"> Especiale</w:t>
      </w:r>
      <w:r w:rsidRPr="24383DD1" w:rsidR="065EAB83">
        <w:rPr>
          <w:rFonts w:ascii="Calibri" w:hAnsi="Calibri" w:eastAsia="Calibri" w:cs="Calibri" w:asciiTheme="minorAscii" w:hAnsiTheme="minorAscii" w:eastAsiaTheme="minorAscii" w:cstheme="minorAscii"/>
          <w:b w:val="0"/>
          <w:bCs w:val="0"/>
          <w:sz w:val="24"/>
          <w:szCs w:val="24"/>
        </w:rPr>
        <w:t>s</w:t>
      </w:r>
    </w:p>
    <w:p w:rsidR="24383DD1" w:rsidP="24383DD1" w:rsidRDefault="24383DD1" w14:paraId="707AF914" w14:textId="17C0EF15">
      <w:pPr>
        <w:pStyle w:val="Normal"/>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sz w:val="24"/>
          <w:szCs w:val="24"/>
        </w:rPr>
      </w:pPr>
    </w:p>
    <w:p w:rsidR="089CBC02" w:rsidP="24383DD1" w:rsidRDefault="089CBC02" w14:paraId="2052CDA3" w14:textId="60F12CC5">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Mi país agradece al Comité contra la Tortura por la consideración pública del Tercer y cuarto Informe Periódico de Costa Rica, presentado el 17 de diciembre de 2019 y que comprende las medidas tomadas por el Estado costarricense en el período 2008-2016, a fin de dar cumplimiento a las obligaciones emanadas de la Convención contra la Tortura y otros Tratos o Penas Crueles, Inhumanos o Degradantes.</w:t>
      </w:r>
    </w:p>
    <w:p w:rsidR="24383DD1" w:rsidP="24383DD1" w:rsidRDefault="24383DD1" w14:paraId="43A63828" w14:textId="1B5EF476">
      <w:pPr>
        <w:pStyle w:val="Normal"/>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881798"/>
          <w:sz w:val="24"/>
          <w:szCs w:val="24"/>
          <w:lang w:val="es-ES"/>
        </w:rPr>
      </w:pPr>
    </w:p>
    <w:p w:rsidR="089CBC02" w:rsidP="24383DD1" w:rsidRDefault="089CBC02" w14:paraId="0593CAC2" w14:textId="049A2BDE">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El Estado costarricense tiene como uno de sus ejes principales de acción la protección de los derechos humanos y el respeto a la dignidad de todas las personas, y nuestro marco jurídico da fe de ello. Como todas las sociedades democráticas, tenemos desafíos, pero nuestra institucionalidad sólida es testamento de los esfuerzos que se han llevado a cabo en más de 100 años de democracia y en ser la democracia más sólida, estable y longeva de la región.  </w:t>
      </w:r>
    </w:p>
    <w:p w:rsidR="24383DD1" w:rsidP="24383DD1" w:rsidRDefault="24383DD1" w14:paraId="6438F67C" w14:textId="47D621A6">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p>
    <w:p w:rsidR="089CBC02" w:rsidP="24383DD1" w:rsidRDefault="089CBC02" w14:paraId="3115CAB2" w14:textId="6D468049">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24383DD1" w:rsidR="089CBC02">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Costa Rica cuenta con un amplio marco constitucional y legal que garantiza la protección y plena igualdad de derechos para todas las personas, incluyendo el derecho a la integridad física y moral y el derecho a no ser “sometido a tratamientos crueles y degradantes ni a penas perpetuas, ni a la pena de confiscación”, tal como lo establece el Artículo 40 de la Constitución Política del 7 de noviembre de 1949. Ese mismo artículo determina que “toda declaración obtenida por medio de la violencia será nula”.</w:t>
      </w:r>
      <w:r w:rsidRPr="24383DD1" w:rsidR="089CBC02">
        <w:rPr>
          <w:rStyle w:val="eop"/>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CR"/>
        </w:rPr>
        <w:t> </w:t>
      </w:r>
    </w:p>
    <w:p w:rsidR="24383DD1" w:rsidP="24383DD1" w:rsidRDefault="24383DD1" w14:paraId="193CB9D6" w14:textId="548F3163">
      <w:pPr>
        <w:pStyle w:val="Normal"/>
        <w:bidi w:val="0"/>
        <w:spacing w:before="0" w:beforeAutospacing="off" w:after="0" w:afterAutospacing="off" w:line="240" w:lineRule="auto"/>
        <w:jc w:val="both"/>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p>
    <w:p w:rsidR="089CBC02" w:rsidP="24383DD1" w:rsidRDefault="089CBC02" w14:paraId="2ECBDC64" w14:textId="4A98FAA7">
      <w:pPr>
        <w:pStyle w:val="Normal"/>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24383DD1" w:rsidR="089CBC02">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También a nivel constitucional, el artículo 48 dispone sobre el derecho de toda persona al recurso de habeas corpus, “para garantizar su libertad e integridad personales, y al recurso de amparo para mantener el goce de los otros derechos consagrados en esta Constitución, así como los de carácter fundamental establecidos en los instrumentos internacionales sobre derechos humanos, aplicables a la República”.</w:t>
      </w:r>
      <w:r w:rsidRPr="24383DD1" w:rsidR="089CBC02">
        <w:rPr>
          <w:rStyle w:val="eop"/>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CR"/>
        </w:rPr>
        <w:t> </w:t>
      </w:r>
    </w:p>
    <w:p w:rsidR="24383DD1" w:rsidP="24383DD1" w:rsidRDefault="24383DD1" w14:paraId="60F5002A" w14:textId="15B4CD65">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p>
    <w:p w:rsidR="089CBC02" w:rsidP="24383DD1" w:rsidRDefault="089CBC02" w14:paraId="130401C5" w14:textId="6CAB50B9">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24383DD1" w:rsidR="089CBC02">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El artículo 48 constitucional, a su vez, está vinculado al artículo 10 de la Carta Magna, cuyo objeto es la creación de una Sala especializada de la Corte Suprema de Justicia, dedicada a dirimir una serie de asuntos de Constitucionalidad, entre los cuales se encuentran los recursos de amparo y los de hábeas corpus </w:t>
      </w:r>
      <w:r w:rsidRPr="24383DD1" w:rsidR="4741A133">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que,</w:t>
      </w:r>
      <w:r w:rsidRPr="24383DD1" w:rsidR="089CBC02">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además, son recursos informales, gratuitos y para los que las personas costarricenses no necesitan un abogado. La Sala Constitucional representa en este sentido un pilar esencial del Estado de Derecho y en particular del sistema de protección de derechos humanos en Costa Rica.</w:t>
      </w:r>
      <w:r w:rsidRPr="24383DD1" w:rsidR="089CBC02">
        <w:rPr>
          <w:rStyle w:val="eop"/>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CR"/>
        </w:rPr>
        <w:t> </w:t>
      </w:r>
    </w:p>
    <w:p w:rsidR="24383DD1" w:rsidP="24383DD1" w:rsidRDefault="24383DD1" w14:paraId="3171532C" w14:textId="2D172296">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p>
    <w:p w:rsidR="089CBC02" w:rsidP="24383DD1" w:rsidRDefault="089CBC02" w14:paraId="0E974B27" w14:textId="10A9A510">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24383DD1" w:rsidR="089CBC02">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El Artículo 7 de la Constitución establece que los tratados internacionales tienen un rango de jerarquía superior a la ley, mientras que reiterados antecedentes jurisprudenciales de la Sala Constitucional han establecido de manera firme la interpretación según la cual, los tratados de derechos humanos, en tanto garanticen mayores libertades y derechos, prevalecerán sobre la propia Constitución Política. </w:t>
      </w:r>
      <w:r w:rsidRPr="24383DD1" w:rsidR="089CBC02">
        <w:rPr>
          <w:rStyle w:val="eop"/>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CR"/>
        </w:rPr>
        <w:t> </w:t>
      </w:r>
    </w:p>
    <w:p w:rsidR="24383DD1" w:rsidP="24383DD1" w:rsidRDefault="24383DD1" w14:paraId="41BD89AD" w14:textId="6E73C717">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p>
    <w:p w:rsidR="089CBC02" w:rsidP="24383DD1" w:rsidRDefault="089CBC02" w14:paraId="298192C4" w14:textId="0B94D5CA">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24383DD1" w:rsidR="089CBC02">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Coherente con su trayectoria en materia de protección y garantía de derechos, Costa Rica ha ratificado un amplio número de instrumentos internacionales y regionales de Derechos Humanos, particularmente la Convención contra la Tortura desde 1993, la Convención Interamericana para Prevenir y Sancionar la Tortura desde 1999; y el Protocolo Facultativo de la Convención contra la Tortura en el año 2005.</w:t>
      </w:r>
    </w:p>
    <w:p w:rsidR="24383DD1" w:rsidP="24383DD1" w:rsidRDefault="24383DD1" w14:paraId="52AFFAE3" w14:textId="529F1CAF">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p>
    <w:p w:rsidR="089CBC02" w:rsidP="24383DD1" w:rsidRDefault="089CBC02" w14:paraId="3DA1423B" w14:textId="3ED5200A">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24383DD1" w:rsidR="089CBC02">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El país presenta en este período avances importantes para garantizar el artículo 4 de la Convención y otras garantías emanadas de los instrumentos enumerados anteriormente. El Decreto Ejecutivo 33568 del 19 de febrero de 2007, reconoció a la Defensoría de los Habitantes, las funciones provisionales de realizar las visitas de prevención de la tortura y otros tratos o penas crueles, inhumanos o degradantes en centros penitenciarios, de detención o de aprehensión administrativa, comprendiendo los adscritos al Ministerio de Justicia y Paz y al Ministerio de Seguridad Pública.</w:t>
      </w:r>
    </w:p>
    <w:p w:rsidR="24383DD1" w:rsidP="24383DD1" w:rsidRDefault="24383DD1" w14:paraId="1863852D" w14:textId="53B79FD0">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089CBC02" w:rsidP="24383DD1" w:rsidRDefault="089CBC02" w14:paraId="03957D3C" w14:textId="3FB49A06">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24383DD1" w:rsidR="089CBC02">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Es importante señalar que.</w:t>
      </w:r>
      <w:r w:rsidRPr="24383DD1" w:rsidR="089CBC02">
        <w:rPr>
          <w:rStyle w:val="tabcha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CR"/>
        </w:rPr>
        <w:t xml:space="preserve"> e</w:t>
      </w:r>
      <w:r w:rsidRPr="24383DD1" w:rsidR="089CBC02">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n el año 2014, por medio de la Ley 9204 del 10 de febrero, se crea el Mecanismo Nacional para la Prevención de la Tortura, con la finalidad de “proteger los derechos fundamentales y humanos de las personas que se encuentren sometidas a cualquier forma de privación de libertad y prevenir cualquier acto de tortura y otros tratos o penas crueles, inhumanos y degradantes, mediante la ejecución de inspecciones regulares a los centros de aprehensión, detención y privación de libertad”. </w:t>
      </w:r>
      <w:r w:rsidRPr="24383DD1" w:rsidR="089CBC02">
        <w:rPr>
          <w:rStyle w:val="eop"/>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CR"/>
        </w:rPr>
        <w:t> </w:t>
      </w:r>
    </w:p>
    <w:p w:rsidR="24383DD1" w:rsidP="24383DD1" w:rsidRDefault="24383DD1" w14:paraId="2AD64000" w14:textId="4D622AF2">
      <w:pPr>
        <w:bidi w:val="0"/>
        <w:spacing w:before="0" w:beforeAutospacing="off" w:after="0" w:afterAutospacing="off" w:line="240" w:lineRule="auto"/>
        <w:jc w:val="both"/>
        <w:rPr>
          <w:rStyle w:val="eop"/>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CR"/>
        </w:rPr>
      </w:pPr>
    </w:p>
    <w:p w:rsidR="089CBC02" w:rsidP="24383DD1" w:rsidRDefault="089CBC02" w14:paraId="0FAA0B3B" w14:textId="3ECF17DE">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24383DD1" w:rsidR="089CBC02">
        <w:rPr>
          <w:rStyle w:val="eop"/>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CR"/>
        </w:rPr>
        <w:t xml:space="preserve">El Mecanismo está encargado de examinar </w:t>
      </w:r>
      <w:r w:rsidRPr="24383DD1" w:rsidR="089CBC02">
        <w:rPr>
          <w:rStyle w:val="normaltextrun"/>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periódicamente el trato de las personas privadas de su libertad en lugares de privación de libertad, mediante las inspecciones e investigaciones que considere necesarias; realizar recomendaciones a las autoridades estatales con el objeto de mejorar el trato y las condiciones de las personas privadas de su libertad y de prevenir la tortura y otros tratos o penas crueles, inhumanos o degradantes; y hacer propuestas y observaciones acerca de la legislación vigente o de proyectos de ley; y sus recomendaciones son de acatamiento obligatorio.</w:t>
      </w:r>
    </w:p>
    <w:p w:rsidR="24383DD1" w:rsidP="24383DD1" w:rsidRDefault="24383DD1" w14:paraId="559EE487" w14:textId="4E1DE357">
      <w:pPr>
        <w:bidi w:val="0"/>
        <w:spacing w:before="0" w:beforeAutospacing="off" w:after="0" w:afterAutospacing="off" w:line="240" w:lineRule="auto"/>
        <w:ind w:left="1125" w:right="1125"/>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p>
    <w:p w:rsidR="089CBC02" w:rsidP="24383DD1" w:rsidRDefault="089CBC02" w14:paraId="0C82223E" w14:textId="46A32875">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Con respecto a la aplicación de los artículos 1 al 16 de la Convención, en particular con respecto a las recomendaciones anteriores del Comité, se resaltan las siguientes acciones </w:t>
      </w:r>
      <w:r w:rsidRPr="24383DD1" w:rsidR="0D6D128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específicas desarrolladas</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desde la presentación del informe en el año 2019</w:t>
      </w:r>
      <w:r w:rsidRPr="24383DD1" w:rsidR="089CBC0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s-ES"/>
        </w:rPr>
        <w:t xml:space="preserve">: </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w:t>
      </w:r>
    </w:p>
    <w:p w:rsidR="24383DD1" w:rsidP="24383DD1" w:rsidRDefault="24383DD1" w14:paraId="5B0B0438" w14:textId="0AE74E5F">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089CBC02" w:rsidP="24383DD1" w:rsidRDefault="089CBC02" w14:paraId="5FB37407" w14:textId="233EA7EE">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vertAlign w:val="superscript"/>
          <w:lang w:val="es-CR"/>
        </w:rPr>
      </w:pP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El Poder Judicial de Costa Rica participó en el proceso de abordaje y diagnóstico de los fenómenos de violencia en el Sistema Penitenciario y espacios de detención, como parte de la Asociación Interamericana de Defensorías Públicas en el año 2018, un proyecto desarrollado en conjunto con </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EurosociAL</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Como producto de estas acciones se publicó el Diagnóstico de la violencia institucional carcelaria en América Latina, que si bien reconoce los desafíos que el Estado costarricense tiene en este tema, también “</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CR"/>
        </w:rPr>
        <w:t xml:space="preserve">destacó las medidas impulsadas …. por el Ministerio de Justicia (…) para garantizar los derechos humanos de las personas privadas de libertad. En particular, la reducción del uso de regímenes cerrados y la reubicación en el programa semiinstitucional o en la aplicación de una medida alternativa, la humanización de los centros penales, mediante la construcción y remodelación de alojamiento y creación de la oficina de reinserción </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CR"/>
        </w:rPr>
        <w:t>pospenitenciaria</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CR"/>
        </w:rPr>
        <w:t>.</w:t>
      </w:r>
    </w:p>
    <w:p w:rsidR="24383DD1" w:rsidP="24383DD1" w:rsidRDefault="24383DD1" w14:paraId="65433AA7" w14:textId="188A1023">
      <w:pPr>
        <w:bidi w:val="0"/>
        <w:spacing w:before="0" w:beforeAutospacing="off" w:after="0" w:afterAutospacing="off" w:line="240" w:lineRule="auto"/>
        <w:ind w:lef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p>
    <w:p w:rsidR="089CBC02" w:rsidP="24383DD1" w:rsidRDefault="089CBC02" w14:paraId="6F79B933" w14:textId="429C2E2B">
      <w:pPr>
        <w:bidi w:val="0"/>
        <w:spacing w:before="0" w:beforeAutospacing="off" w:after="0" w:afterAutospacing="off" w:line="240" w:lineRule="auto"/>
        <w:ind w:lef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Costa Rica también ha avanzado en la Implementación del “</w:t>
      </w:r>
      <w:r w:rsidRPr="24383DD1" w:rsidR="089CBC02">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s-ES"/>
        </w:rPr>
        <w:t>Sistema de registro, comunicación y atención integral a víctimas de violencia institucional carcelaria – SIRCAIVI</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en el año 2022. El Sistema desarrollado con la colaboración de la Unión Europea, de acuerdo con las 100 Reglas de Brasilia para el acceso a la justicia de las poblaciones en situación de vulnerabilidad y los Objetivos de Desarrollo Sostenible, tiene como</w:t>
      </w:r>
      <w:r w:rsidRPr="24383DD1" w:rsidR="1811E5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objetivo</w:t>
      </w:r>
      <w:r w:rsidRPr="24383DD1" w:rsidR="12A226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la protección de los derechos fundamentales de las personas que se encuentren sometidas a cualquier forma de privación de libertad en el Sistema Penitenciario Costarricense y</w:t>
      </w:r>
      <w:r w:rsidRPr="24383DD1" w:rsidR="426E9E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se encuentra asentado en la Defensa Pública de Costa Rica y permite la detección, prevención, denuncia, coordinación y atención de personas privadas de la libertad, frente a actos de tortura y otros tratos o penas crueles, inhumanos y degradantes a través de siete acciones estratégicas:  Conocimiento del caso, visita al centro penitenciario, adopción de medidas urgentes (judiciales, administrativas y médicas) adopción de medidas por parte de las Unidades de Atención denominadas </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UNAIVIs</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seguimiento y monitoreo, comunicación intersectorial y rendición de informes, mapeo y registro de casos de violencia institucional </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carcelaria.</w:t>
      </w:r>
      <w:r w:rsidRPr="24383DD1" w:rsidR="10F2219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w:t>
      </w:r>
    </w:p>
    <w:p w:rsidR="24383DD1" w:rsidP="24383DD1" w:rsidRDefault="24383DD1" w14:paraId="04B206E5" w14:textId="50A4F35D">
      <w:pPr>
        <w:bidi w:val="0"/>
        <w:spacing w:before="0" w:beforeAutospacing="off" w:after="0" w:afterAutospacing="off" w:line="240" w:lineRule="auto"/>
        <w:ind w:lef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p>
    <w:p w:rsidR="089CBC02" w:rsidP="24383DD1" w:rsidRDefault="089CBC02" w14:paraId="133F2EE4" w14:textId="387803CB">
      <w:pPr>
        <w:bidi w:val="0"/>
        <w:spacing w:before="0" w:beforeAutospacing="off" w:after="0" w:afterAutospacing="off" w:line="240" w:lineRule="auto"/>
        <w:ind w:lef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Este</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modelo cuenta además con una Mesa de Diálogo Intersectorial (MEDAI) que está integrada por la Defensa Pública, el Ministerio Público, el OIJ, Ministerio de Justicia y Paz, el Mecanismo Nacional para la Prevención contra la Tortura, Oficina de Atención de Víctimas del Delito y el INAMU, que desarrolla desde sus competencias legales, las acciones necesarias y articuladas para la atención integral de las víctimas de violencia institucional carcelaria. </w:t>
      </w:r>
    </w:p>
    <w:p w:rsidR="24383DD1" w:rsidP="24383DD1" w:rsidRDefault="24383DD1" w14:paraId="3FE9F9D9" w14:textId="61680CE7">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p>
    <w:p w:rsidR="089CBC02" w:rsidP="24383DD1" w:rsidRDefault="089CBC02" w14:paraId="5E1CC53A" w14:textId="5E46E88B">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Otro avance significativo se ha dado en el área de acceso a la justicia de las poblaciones indígenas, con la aprobación de la Ley 9593, Ley de Acceso a la justicia para pueblos indígenas, a partir de la cual la Defensa Pública amplió su atención a todas las personas indígenas en la asesoría y representación en procesos judiciales, en todas las materias, garantizando un patrocinio técnico, especializado, intercultural y respetuoso de la cosmovisión de cada pueblo y territorio. Esta atención implica la prestación del servicio in situ, previa consulta y acuerdo sobre la forma y condiciones en que el territorio dispone recibir los servicios. Tratándose de población indígena migrante- transfronteriza, se han potenciado las capacidades para brindar atención y acompañamiento en los territorios con mayor presencia de personas </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ngäbe</w:t>
      </w:r>
      <w:r w:rsidRPr="24383DD1" w:rsidR="495814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en la zona sur del país</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w:t>
      </w:r>
    </w:p>
    <w:p w:rsidR="24383DD1" w:rsidP="24383DD1" w:rsidRDefault="24383DD1" w14:paraId="4C02893B" w14:textId="71DDA1E6">
      <w:pPr>
        <w:bidi w:val="0"/>
        <w:spacing w:before="0" w:beforeAutospacing="off" w:after="0" w:afterAutospacing="off" w:line="240" w:lineRule="auto"/>
        <w:ind w:left="36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p>
    <w:p w:rsidR="089CBC02" w:rsidP="24383DD1" w:rsidRDefault="089CBC02" w14:paraId="6F530BC0" w14:textId="12E2EF89">
      <w:pPr>
        <w:bidi w:val="0"/>
        <w:spacing w:before="0" w:beforeAutospacing="off" w:after="0" w:afterAutospacing="off" w:line="240" w:lineRule="auto"/>
        <w:ind w:lef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Además, la Defensa Pública ha desarrollado un Proyecto de Estaciones Virtuales, que garantiza la atención de personas usuarias ubicadas en cualquier parte del país, con personas profesionales en todas las materias que requieran servicios, de manera inmediata, sin trasladarse de modo que el uso de herramientas tecnológicas permita eliminar barreras geográficas y materialice la garantía de acceso a la justicia. </w:t>
      </w:r>
    </w:p>
    <w:p w:rsidR="24383DD1" w:rsidP="24383DD1" w:rsidRDefault="24383DD1" w14:paraId="3D72B40B" w14:textId="4FAA46B9">
      <w:pPr>
        <w:bidi w:val="0"/>
        <w:spacing w:before="0" w:beforeAutospacing="off" w:after="0" w:afterAutospacing="off" w:line="240" w:lineRule="auto"/>
        <w:ind w:left="0"/>
        <w:jc w:val="both"/>
        <w:rPr>
          <w:rFonts w:ascii="Calibri" w:hAnsi="Calibri" w:eastAsia="Calibri" w:cs="Calibri" w:asciiTheme="minorAscii" w:hAnsiTheme="minorAscii" w:eastAsiaTheme="minorAscii" w:cstheme="minorAscii"/>
          <w:b w:val="0"/>
          <w:bCs w:val="0"/>
          <w:i w:val="0"/>
          <w:iCs w:val="0"/>
          <w:caps w:val="0"/>
          <w:smallCaps w:val="0"/>
          <w:noProof w:val="0"/>
          <w:color w:val="0078D4"/>
          <w:sz w:val="24"/>
          <w:szCs w:val="24"/>
          <w:lang w:val="en-US"/>
        </w:rPr>
      </w:pPr>
    </w:p>
    <w:p w:rsidR="089CBC02" w:rsidP="24383DD1" w:rsidRDefault="089CBC02" w14:paraId="2A79208D" w14:textId="395E03A8">
      <w:pPr>
        <w:bidi w:val="0"/>
        <w:spacing w:before="0" w:beforeAutospacing="off" w:after="0" w:afterAutospacing="off" w:line="240" w:lineRule="auto"/>
        <w:ind w:lef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Nuestro país participó por medio de la Defensa Pública a través de la figura del </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Amicus</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Curiae</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en la solicitud de Opinión Consultiva sobre Enfoques diferenciados en materia de personas privadas de la libertad solicitada a la Corte Interamericana de Derechos Humanos, que versa sobre los derechos de las personas privadas de la libertad en situaciones </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vulnerabilizantes</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(OC-29-22 </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del 30</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de mayo de 2022).</w:t>
      </w:r>
    </w:p>
    <w:p w:rsidR="24383DD1" w:rsidP="24383DD1" w:rsidRDefault="24383DD1" w14:paraId="37298B8E" w14:textId="7AA0EA32">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p>
    <w:p w:rsidR="089CBC02" w:rsidP="24383DD1" w:rsidRDefault="089CBC02" w14:paraId="38504AF5" w14:textId="57E1185B">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Además, el Poder Judicial de Costa Rica tuvo un papel importante en la redacción y actualización del instrumento de </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SoftLaw</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w:t>
      </w:r>
      <w:r w:rsidRPr="24383DD1" w:rsidR="089CBC0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s-ES"/>
        </w:rPr>
        <w:t>Regla de Brasilia sobre el acceso a la Justicia de Personas en Condición de Vulnerabilidad</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este instrumento pretende garantizar el acceso a la justicia de grupos históricamente </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vulnerabilizados</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por diversas condiciones personales </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como</w:t>
      </w:r>
      <w:r w:rsidRPr="24383DD1" w:rsidR="542C27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la</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edad, el sexo, la orientación sexual y la identidad de género, la discapacidad, prácticas religiosas o la ausencia de ellas, afrodescendientes, , privación de libertad, condición migratoria, entre otras. Esto conllevó a la creación de la Comisión de Acceso a la Justicia y sus subcomisiones, así como la Unidad de Acceso a la Justicia como órgano técnico en materia de vulnerabilidad dentro del Poder Judicial, espacios que sirven de análisis especializado para la propuesta de lineamientos oportunos con perspectiva de DDHH.</w:t>
      </w:r>
    </w:p>
    <w:p w:rsidR="24383DD1" w:rsidP="24383DD1" w:rsidRDefault="24383DD1" w14:paraId="7A79806C" w14:textId="24510236">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089CBC02" w:rsidP="24383DD1" w:rsidRDefault="089CBC02" w14:paraId="6C39EF55" w14:textId="785B6AFA">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Además, se aprobaron dos leyes de suma importancia: La ley para el acceso a la justicia de Pueblos Indígenas costarricenses y la Adición a un Capítulo de la Ley 7600, sobre los derechos de las personas con discapacidad sobre “Acceso a la Justicia”, mismas que generan obligaciones directas al Poder Judicial para que la persona perteneciente a esos colectivos pueda ejercitar sus derechos y tener tutela efectiva de parte del Estado.</w:t>
      </w:r>
    </w:p>
    <w:p w:rsidR="24383DD1" w:rsidP="24383DD1" w:rsidRDefault="24383DD1" w14:paraId="230A6CB6" w14:textId="6642165E">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p>
    <w:p w:rsidR="44073974" w:rsidP="24383DD1" w:rsidRDefault="44073974" w14:paraId="66A2A758" w14:textId="7CEA0ECC">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24383DD1" w:rsidR="440739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Además, se </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ap</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robó</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el decreto ejecutivo que reconoce los Pueblos Afrodescendientes como tribales, con lo cual se les otorga protección especial como pueblo tribal, según c el Convenio 169 de la OIT, de acuerdo con el reconocimiento en el artículo 1 de la Constitución Política de que nuestro país es una República democrática, libre, independiente, multiétnica y pluricultural</w:t>
      </w:r>
      <w:r w:rsidRPr="24383DD1" w:rsidR="089CBC0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D13438"/>
          <w:sz w:val="24"/>
          <w:szCs w:val="24"/>
          <w:u w:val="single"/>
          <w:lang w:val="es-ES"/>
        </w:rPr>
        <w:t xml:space="preserve"> </w:t>
      </w:r>
    </w:p>
    <w:p w:rsidR="089CBC02" w:rsidP="24383DD1" w:rsidRDefault="089CBC02" w14:paraId="55AC576E" w14:textId="62D26659">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Además, se brinda capacitación en materia de derechos humanos por parte de la Unidad de Acceso a la Justicia, así como la coadyuvancia para la creación de módulos de aprendizaje en materia de acceso a la justicia, </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afrodescendencia</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personas menores de edad, discapacidad, entre otros.</w:t>
      </w:r>
    </w:p>
    <w:p w:rsidR="24383DD1" w:rsidP="24383DD1" w:rsidRDefault="24383DD1" w14:paraId="435C62D2" w14:textId="189E57B9">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p>
    <w:p w:rsidR="089CBC02" w:rsidP="24383DD1" w:rsidRDefault="089CBC02" w14:paraId="58D8E2ED" w14:textId="1E08B7A6">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Asimismo, la Escuela Judicial ha venido aplicando en todos sus procesos formativos, la transversalización de la formación en derechos humanos, género, indígenas, familias, entre otros </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y</w:t>
      </w:r>
      <w:r w:rsidRPr="24383DD1" w:rsidR="171674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la</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incorporación de las políticas institucionales, tales como acceso a la justicia, género, derechos humanos y lenguaje inclusivo, en los diseños curriculares de las actividades académicas.</w:t>
      </w:r>
    </w:p>
    <w:p w:rsidR="24383DD1" w:rsidP="24383DD1" w:rsidRDefault="24383DD1" w14:paraId="53D1E6B5" w14:textId="796D6504">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p>
    <w:p w:rsidR="089CBC02" w:rsidP="24383DD1" w:rsidRDefault="089CBC02" w14:paraId="24AF8E5D" w14:textId="7C27109A">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Los temas transversales que </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integra</w:t>
      </w:r>
      <w:r w:rsidRPr="24383DD1" w:rsidR="046D20B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n</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los</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contenidos que se abordan en las programaciones de las actividades formativas; son parte consustancial e indivisible de ellas. Para lograr su coadyuvancia en la formación, se involucran en las actitudes, metodología y estrategias que se plantea desarrollar</w:t>
      </w:r>
    </w:p>
    <w:p w:rsidR="24383DD1" w:rsidP="24383DD1" w:rsidRDefault="24383DD1" w14:paraId="6D99D8E0" w14:textId="34D0BF85">
      <w:pPr>
        <w:pStyle w:val="Normal"/>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p>
    <w:p w:rsidR="089CBC02" w:rsidP="24383DD1" w:rsidRDefault="089CBC02" w14:paraId="788A4C42" w14:textId="49F8284A">
      <w:pPr>
        <w:pStyle w:val="Normal"/>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La Dirección de Planificación del Poder Judicial ha puesto a disposición del público, una herramienta digital con las estadísticas más recientes, que constituye un paso importante hacia la transparencia del quehacer del Poder Judicial, y la rendición de cuentas ante la ciudadanía. </w:t>
      </w:r>
    </w:p>
    <w:p w:rsidR="24383DD1" w:rsidP="24383DD1" w:rsidRDefault="24383DD1" w14:paraId="4E11931B" w14:textId="0D45B7BE">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p>
    <w:p w:rsidR="089CBC02" w:rsidP="24383DD1" w:rsidRDefault="089CBC02" w14:paraId="497FFDBB" w14:textId="3C445102">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Por otra parte, y para efectos de la información correspondiente a los años anteriores al 2020, se puso a la disposición una página Web, que contiene, entre otros insumos, los anuarios de estadísticas judiciales y policiales desde el 2001 hasta el 2019, donde se puede observar el movimiento de trabajo de todos los despachos judiciales y auxiliares de justicia del país, así como sus respectivas variables.</w:t>
      </w:r>
    </w:p>
    <w:p w:rsidR="24383DD1" w:rsidP="24383DD1" w:rsidRDefault="24383DD1" w14:paraId="2FAA12BA" w14:textId="3B3875BF">
      <w:pPr>
        <w:bidi w:val="0"/>
        <w:spacing w:before="0" w:beforeAutospacing="off"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p>
    <w:p w:rsidR="089CBC02" w:rsidP="24383DD1" w:rsidRDefault="089CBC02" w14:paraId="302953A1" w14:textId="3EE2FCFB">
      <w:pPr>
        <w:pStyle w:val="Normal"/>
        <w:bidi w:val="0"/>
        <w:spacing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Con respecto a género, Costa Rica implementa actualmente la Política nacional para la atención y la prevención de la violencia contra las mujeres de todas las edades (PLANOVI) al periodo que comprende los años 2017 al 2032. La elaboración de la política fue de carácter participativo en la que se involucraron a diferentes actores en la discusión y en la definición de 6 ejes estratégicos </w:t>
      </w:r>
      <w:r w:rsidRPr="24383DD1" w:rsidR="110980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a saber: promoción de una cultura no machista</w:t>
      </w:r>
      <w:r w:rsidRPr="24383DD1" w:rsidR="110980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w:t>
      </w:r>
      <w:r w:rsidRPr="24383DD1" w:rsidR="110980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promoción de masculinidades para la igualdad y la no violencia, articulación de iniciativas público-privadas de desarrollo social para desvincular pobreza </w:t>
      </w:r>
      <w:r w:rsidRPr="24383DD1" w:rsidR="110980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multi-dimensional</w:t>
      </w:r>
      <w:r w:rsidRPr="24383DD1" w:rsidR="110980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exclusión y violencia contra las mujeres, protección efectiva, acceso real, debida diligencia, sanción y no </w:t>
      </w:r>
      <w:r w:rsidRPr="24383DD1" w:rsidR="110980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re-victimización</w:t>
      </w:r>
      <w:r w:rsidRPr="24383DD1" w:rsidR="110980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prevención, atención integral y no-revictimización frente a la violencia sexual y la prevención del femicidio.</w:t>
      </w:r>
    </w:p>
    <w:p w:rsidR="110980AC" w:rsidP="24383DD1" w:rsidRDefault="110980AC" w14:paraId="3AF5D2A0" w14:textId="73BAE0F7">
      <w:pPr>
        <w:pStyle w:val="Normal"/>
        <w:bidi w:val="0"/>
        <w:spacing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24383DD1" w:rsidR="110980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El modelo de gestión de la política tiene su asidero en el mandato legal para la coordinación y gestión del PLANOVI 2017- 2032 por parte del Sistema Nacional para la Atención y la Prevención de la Violencia contra las Mujeres y la Violencia Intrafamiliar, conocido como (SISTEMA). Las diferentes instituciones que lo conforman tienen sus propias responsabilidades desde su ámbito de particular competencia.</w:t>
      </w:r>
    </w:p>
    <w:p w:rsidR="089CBC02" w:rsidP="24383DD1" w:rsidRDefault="089CBC02" w14:paraId="4E6EDD6B" w14:textId="04F29387">
      <w:pPr>
        <w:bidi w:val="0"/>
        <w:spacing w:before="0" w:beforeAutospacing="off" w:after="0" w:afterAutospacing="off" w:line="240" w:lineRule="auto"/>
        <w:ind w:lef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También hemos promulgado la RUTA DE GÉNERO 2023-2026 que es</w:t>
      </w:r>
      <w:r w:rsidRPr="24383DD1" w:rsidR="37F67A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la Estrategia Nacional y de interés público para el combate del acoso y hostigamiento sexual contra las mujeres, como un instrumento para el fortalecimiento de las acciones de información, orientación y acompañamiento para las mujeres víctimas de acoso y hostigamiento sexual. El lanzamiento fue en octubre de 2022 y permitirá fortalecer los mecanismos de seguridad. Garantizar mayor acceso a la justicia por parte de las mujeres</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w:t>
      </w:r>
    </w:p>
    <w:p w:rsidR="24383DD1" w:rsidP="24383DD1" w:rsidRDefault="24383DD1" w14:paraId="4E60B649" w14:textId="6537BCD0">
      <w:pPr>
        <w:pStyle w:val="Normal"/>
        <w:bidi w:val="0"/>
        <w:spacing w:before="0" w:beforeAutospacing="off" w:after="0" w:afterAutospacing="off" w:line="240" w:lineRule="auto"/>
        <w:ind w:left="5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p>
    <w:p w:rsidR="3026D8D5" w:rsidP="24383DD1" w:rsidRDefault="3026D8D5" w14:paraId="6BAA56DF" w14:textId="3085A023">
      <w:pPr>
        <w:pStyle w:val="Normal"/>
        <w:bidi w:val="0"/>
        <w:spacing w:before="0" w:beforeAutospacing="off" w:after="0" w:afterAutospacing="off" w:line="240" w:lineRule="auto"/>
        <w:ind w:lef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24383DD1" w:rsidR="3026D8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C</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on respecto a las personas migrantes, el Estado ha activado protocolos de abordaje y traslado de manera segura. Aparte, se ha realizado una campaña de prevención liderada por la Oficina de Igualdad y Equidad de entre las que involucra la creación del Protocolo Contra la Discriminación Hacia Poblaciones LGTBIQ+ dirigido al Personal del Ministerio de Seguridad Pública, en el cual </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se enfatiza</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entre otras, el abordaje adecuado y con dignidad de las personas trans.</w:t>
      </w:r>
    </w:p>
    <w:p w:rsidR="24383DD1" w:rsidP="24383DD1" w:rsidRDefault="24383DD1" w14:paraId="145322A1" w14:textId="2D95A2AF">
      <w:pPr>
        <w:pStyle w:val="Normal"/>
        <w:bidi w:val="0"/>
        <w:spacing w:before="0" w:beforeAutospacing="off" w:after="0" w:afterAutospacing="off" w:line="240" w:lineRule="auto"/>
        <w:ind w:lef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p>
    <w:p w:rsidR="089CBC02" w:rsidP="24383DD1" w:rsidRDefault="089CBC02" w14:paraId="56C69B73" w14:textId="7B552D5E">
      <w:pPr>
        <w:pStyle w:val="Normal"/>
        <w:bidi w:val="0"/>
        <w:spacing w:before="0" w:beforeAutospacing="off" w:after="0" w:afterAutospacing="off" w:line="240" w:lineRule="auto"/>
        <w:ind w:lef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Además, a través de la Academia Nacional de </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Policía,</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se realizan </w:t>
      </w:r>
      <w:r w:rsidRPr="24383DD1" w:rsidR="2F910F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c</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apacitaciones al personal en materia de Derechos Humanos y las obligaciones estatales, en procura de que los abordajes realizados por el personal se den con respeto a las obligaciones internacionales y nacionales de Costa Rica en la materia.</w:t>
      </w:r>
    </w:p>
    <w:p w:rsidR="24383DD1" w:rsidP="24383DD1" w:rsidRDefault="24383DD1" w14:paraId="328361AC" w14:textId="023F7B26">
      <w:pPr>
        <w:bidi w:val="0"/>
        <w:spacing w:before="0" w:beforeAutospacing="off" w:after="0" w:afterAutospacing="off" w:line="240" w:lineRule="auto"/>
        <w:ind w:left="72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p>
    <w:p w:rsidR="089CBC02" w:rsidP="24383DD1" w:rsidRDefault="089CBC02" w14:paraId="6DBEB3B0" w14:textId="596002AE">
      <w:pPr>
        <w:bidi w:val="0"/>
        <w:spacing w:before="0" w:beforeAutospacing="off" w:after="0" w:afterAutospacing="off" w:line="240"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Un trabajo importante que estamos desarrollando, es el cambio de paradigma y de mentalidad en los cuerpos policiales, mediante programas que permitan un cambio en el abordaje de los riesgos sociales de interés particular para las juventudes, garantizando que la intervención de los cuerpos policiales sea bajo un enfoque de prevención, utilizando la práctica de actividades y valores deportivos para educar y fomentar una cultura de paz en poblaciones en condición de vulnerabilidad.</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Dos ejemplos de estos programas son las Ligas Atléticas Policiales (bajo la Estrategia Sembremos Seguridad) y el Programa de Educación y Entrenamiento en Resistencia a las Pandillas (GREAT). </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Con ambos programas se busca, por un lado, el involucramiento de la Policía en la sociedad, </w:t>
      </w:r>
      <w:r w:rsidRPr="24383DD1" w:rsidR="089CB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más allá de sus funciones tradicionales, con lo cual los agentes son sensibilizados de la realidad de las comunidades, y por el otro, se refuerzan en ambos sentidos, las relaciones de confianza.</w:t>
      </w:r>
    </w:p>
    <w:p w:rsidR="24383DD1" w:rsidP="24383DD1" w:rsidRDefault="24383DD1" w14:paraId="320FAD3D" w14:textId="40215BDE">
      <w:pPr>
        <w:pStyle w:val="Normal"/>
        <w:bidi w:val="0"/>
        <w:spacing w:before="0" w:beforeAutospacing="off" w:after="0" w:afterAutospacing="off" w:line="240" w:lineRule="auto"/>
        <w:ind w:left="0" w:right="0"/>
        <w:jc w:val="both"/>
        <w:rPr>
          <w:rFonts w:ascii="Calibri" w:hAnsi="Calibri" w:eastAsia="Calibri" w:cs="Calibri" w:asciiTheme="minorAscii" w:hAnsiTheme="minorAscii" w:eastAsiaTheme="minorAscii" w:cstheme="minorAscii"/>
          <w:b w:val="0"/>
          <w:bCs w:val="0"/>
          <w:noProof w:val="0"/>
          <w:sz w:val="24"/>
          <w:szCs w:val="24"/>
          <w:lang w:val="es-ES"/>
        </w:rPr>
      </w:pPr>
    </w:p>
    <w:p w:rsidR="5EA28B4D" w:rsidP="24383DD1" w:rsidRDefault="5EA28B4D" w14:paraId="7FBE4040" w14:textId="39B60C11">
      <w:pPr>
        <w:bidi w:val="0"/>
        <w:spacing w:after="0" w:afterAutospacing="off" w:line="240" w:lineRule="auto"/>
        <w:jc w:val="both"/>
        <w:rPr>
          <w:rFonts w:ascii="Calibri" w:hAnsi="Calibri" w:eastAsia="Calibri" w:cs="Calibri" w:asciiTheme="minorAscii" w:hAnsiTheme="minorAscii" w:eastAsiaTheme="minorAscii" w:cstheme="minorAscii"/>
          <w:noProof w:val="0"/>
          <w:sz w:val="24"/>
          <w:szCs w:val="24"/>
          <w:lang w:val="es-ES"/>
        </w:rPr>
      </w:pPr>
      <w:r w:rsidRPr="24383DD1" w:rsidR="5EA28B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Al cerrar estas palabras deseo reafirmar el compromiso de Costa Rica</w:t>
      </w:r>
      <w:r w:rsidRPr="24383DD1" w:rsidR="5EA28B4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881798"/>
          <w:sz w:val="24"/>
          <w:szCs w:val="24"/>
          <w:u w:val="single"/>
          <w:lang w:val="es-ES"/>
        </w:rPr>
        <w:t xml:space="preserve"> </w:t>
      </w:r>
      <w:r w:rsidRPr="24383DD1" w:rsidR="5EA28B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con la promoción y protección de los Derechos Humanos, fomentando entre otros, el compromiso con la erradicación de la tortura, otros tratos o penas crueles, inhumanos o degradantes. Mi país agradece la invitación para participar en este diálogo constructivo con el comité</w:t>
      </w:r>
      <w:r w:rsidRPr="24383DD1" w:rsidR="10FE75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 xml:space="preserve">, </w:t>
      </w:r>
      <w:r w:rsidRPr="24383DD1" w:rsidR="5EA28B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y estamos atentos a sus preguntas</w:t>
      </w:r>
      <w:r w:rsidRPr="24383DD1" w:rsidR="6008285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w:t>
      </w:r>
    </w:p>
    <w:p w:rsidR="24383DD1" w:rsidP="24383DD1" w:rsidRDefault="24383DD1" w14:paraId="04355997" w14:textId="274E13DC">
      <w:pPr>
        <w:pStyle w:val="Normal"/>
        <w:bidi w:val="0"/>
        <w:spacing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p>
    <w:p w:rsidR="60082851" w:rsidP="24383DD1" w:rsidRDefault="60082851" w14:paraId="4CE22801" w14:textId="4061731A">
      <w:pPr>
        <w:pStyle w:val="Normal"/>
        <w:bidi w:val="0"/>
        <w:spacing w:after="0" w:afterAutospacing="off"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pPr>
      <w:r w:rsidRPr="24383DD1" w:rsidR="6008285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s-ES"/>
        </w:rPr>
        <w:t>Muchas gracias.</w:t>
      </w:r>
    </w:p>
    <w:p w:rsidR="24383DD1" w:rsidP="24383DD1" w:rsidRDefault="24383DD1" w14:paraId="0D62F970" w14:textId="73B1C55B">
      <w:pPr>
        <w:pStyle w:val="Normal"/>
        <w:bidi w:val="0"/>
        <w:spacing w:before="0" w:beforeAutospacing="off" w:after="0" w:afterAutospacing="off" w:line="240" w:lineRule="auto"/>
        <w:ind w:left="0" w:right="0"/>
        <w:jc w:val="both"/>
        <w:rPr>
          <w:b w:val="0"/>
          <w:bCs w:val="0"/>
          <w:noProof w:val="0"/>
          <w:sz w:val="24"/>
          <w:szCs w:val="24"/>
          <w:lang w:val="es-E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0">
    <w:nsid w:val="266d27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a056e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c1cf1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5e75e99"/>
    <w:multiLevelType xmlns:w="http://schemas.openxmlformats.org/wordprocessingml/2006/main" w:val="hybridMultilevel"/>
    <w:lvl xmlns:w="http://schemas.openxmlformats.org/wordprocessingml/2006/main" w:ilvl="0">
      <w:start w:val="1"/>
      <w:numFmt w:val="decimal"/>
      <w:lvlText w:val="%1."/>
      <w:lvlJc w:val="left"/>
      <w:pPr>
        <w:ind w:left="77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bde84f9"/>
    <w:multiLevelType xmlns:w="http://schemas.openxmlformats.org/wordprocessingml/2006/main" w:val="hybridMultilevel"/>
    <w:lvl xmlns:w="http://schemas.openxmlformats.org/wordprocessingml/2006/main" w:ilvl="0">
      <w:start w:val="2"/>
      <w:numFmt w:val="decimal"/>
      <w:lvlText w:val="%1)"/>
      <w:lvlJc w:val="left"/>
      <w:pPr>
        <w:ind w:left="77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1764296d"/>
    <w:multiLevelType xmlns:w="http://schemas.openxmlformats.org/wordprocessingml/2006/main" w:val="hybridMultilevel"/>
    <w:lvl xmlns:w="http://schemas.openxmlformats.org/wordprocessingml/2006/main" w:ilvl="0">
      <w:start w:val="1"/>
      <w:numFmt w:val="decimal"/>
      <w:lvlText w:val="%1)"/>
      <w:lvlJc w:val="left"/>
      <w:pPr>
        <w:ind w:left="77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18faad6"/>
    <w:multiLevelType xmlns:w="http://schemas.openxmlformats.org/wordprocessingml/2006/main" w:val="hybridMultilevel"/>
    <w:lvl xmlns:w="http://schemas.openxmlformats.org/wordprocessingml/2006/main" w:ilvl="0">
      <w:start w:val="1"/>
      <w:numFmt w:val="bullet"/>
      <w:lvlText w:val=""/>
      <w:lvlJc w:val="left"/>
      <w:pPr>
        <w:ind w:left="502"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a3e12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83130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0ae8a09"/>
    <w:multiLevelType xmlns:w="http://schemas.openxmlformats.org/wordprocessingml/2006/main" w:val="hybridMultilevel"/>
    <w:lvl xmlns:w="http://schemas.openxmlformats.org/wordprocessingml/2006/main" w:ilvl="0">
      <w:start w:val="1"/>
      <w:numFmt w:val="decimal"/>
      <w:lvlText w:val="%1."/>
      <w:lvlJc w:val="left"/>
      <w:pPr>
        <w:ind w:left="1069"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E8931C"/>
    <w:rsid w:val="046D20BB"/>
    <w:rsid w:val="065EAB83"/>
    <w:rsid w:val="087629C3"/>
    <w:rsid w:val="089CBC02"/>
    <w:rsid w:val="09964C45"/>
    <w:rsid w:val="09A09D2B"/>
    <w:rsid w:val="0D6D1289"/>
    <w:rsid w:val="0E5603EE"/>
    <w:rsid w:val="0E6F2C4B"/>
    <w:rsid w:val="0ED1797C"/>
    <w:rsid w:val="0FF1D44F"/>
    <w:rsid w:val="10F22192"/>
    <w:rsid w:val="10FE75D9"/>
    <w:rsid w:val="110980AC"/>
    <w:rsid w:val="12A226E9"/>
    <w:rsid w:val="13297511"/>
    <w:rsid w:val="14C54572"/>
    <w:rsid w:val="1500BC3F"/>
    <w:rsid w:val="17167425"/>
    <w:rsid w:val="1811E54D"/>
    <w:rsid w:val="1D7747CB"/>
    <w:rsid w:val="1F037C97"/>
    <w:rsid w:val="20F64C29"/>
    <w:rsid w:val="225D9724"/>
    <w:rsid w:val="24383DD1"/>
    <w:rsid w:val="2897C245"/>
    <w:rsid w:val="2BA1E059"/>
    <w:rsid w:val="2EFF9A62"/>
    <w:rsid w:val="2F910F15"/>
    <w:rsid w:val="3026D8D5"/>
    <w:rsid w:val="3332677E"/>
    <w:rsid w:val="34A7DC4D"/>
    <w:rsid w:val="34FF6777"/>
    <w:rsid w:val="37F67A67"/>
    <w:rsid w:val="38EAE9F8"/>
    <w:rsid w:val="397B4D70"/>
    <w:rsid w:val="3A86BA59"/>
    <w:rsid w:val="3AA78645"/>
    <w:rsid w:val="3F251519"/>
    <w:rsid w:val="3F7AF768"/>
    <w:rsid w:val="426E9EC1"/>
    <w:rsid w:val="43DF5DDF"/>
    <w:rsid w:val="43E8931C"/>
    <w:rsid w:val="44073974"/>
    <w:rsid w:val="4716FEA1"/>
    <w:rsid w:val="4741A133"/>
    <w:rsid w:val="495814E5"/>
    <w:rsid w:val="4A6C0BD0"/>
    <w:rsid w:val="4C07DC31"/>
    <w:rsid w:val="4F3F7CF3"/>
    <w:rsid w:val="50DB4D54"/>
    <w:rsid w:val="542C27A3"/>
    <w:rsid w:val="58A3A984"/>
    <w:rsid w:val="59BCB5BF"/>
    <w:rsid w:val="5E49C7B7"/>
    <w:rsid w:val="5EA28B4D"/>
    <w:rsid w:val="5EE60931"/>
    <w:rsid w:val="60082851"/>
    <w:rsid w:val="61816879"/>
    <w:rsid w:val="621DA9F3"/>
    <w:rsid w:val="6360378B"/>
    <w:rsid w:val="65554AB5"/>
    <w:rsid w:val="681DE0CB"/>
    <w:rsid w:val="723BBB43"/>
    <w:rsid w:val="72B1FA3F"/>
    <w:rsid w:val="7342ADAB"/>
    <w:rsid w:val="73CA620C"/>
    <w:rsid w:val="7439D8D5"/>
    <w:rsid w:val="74D71A8B"/>
    <w:rsid w:val="76817FE2"/>
    <w:rsid w:val="78AAFCC7"/>
    <w:rsid w:val="7AF12668"/>
    <w:rsid w:val="7B7392DD"/>
    <w:rsid w:val="7BB0379F"/>
    <w:rsid w:val="7E3B7F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8931C"/>
  <w15:chartTrackingRefBased/>
  <w15:docId w15:val="{2E51EC18-F420-46DA-ABEA-B9CD4BF844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xmsonormal" w:customStyle="true">
    <w:uiPriority w:val="1"/>
    <w:name w:val="x_msonormal"/>
    <w:basedOn w:val="Normal"/>
    <w:qFormat/>
    <w:rsid w:val="24383DD1"/>
    <w:rPr>
      <w:rFonts w:ascii="Calibri" w:hAnsi="Calibri" w:eastAsia="Calibri" w:cs="Calibri" w:eastAsiaTheme="minorAscii"/>
      <w:sz w:val="22"/>
      <w:szCs w:val="22"/>
      <w:lang w:val="es-CR" w:eastAsia="es-CR"/>
    </w:rPr>
  </w:style>
  <w:style w:type="character" w:styleId="normaltextrun" w:customStyle="true">
    <w:uiPriority w:val="1"/>
    <w:name w:val="normaltextrun"/>
    <w:basedOn w:val="DefaultParagraphFont"/>
    <w:rsid w:val="24383DD1"/>
  </w:style>
  <w:style w:type="character" w:styleId="eop" w:customStyle="true">
    <w:uiPriority w:val="1"/>
    <w:name w:val="eop"/>
    <w:basedOn w:val="DefaultParagraphFont"/>
    <w:rsid w:val="24383DD1"/>
  </w:style>
  <w:style w:type="character" w:styleId="tabchar" w:customStyle="true">
    <w:uiPriority w:val="1"/>
    <w:name w:val="tabchar"/>
    <w:basedOn w:val="DefaultParagraphFont"/>
    <w:rsid w:val="24383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 Id="R232a497a924f4ce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0A06F24416D1843AB2AD152077B5073" ma:contentTypeVersion="17" ma:contentTypeDescription="Crear nuevo documento." ma:contentTypeScope="" ma:versionID="0278fcddc64483d50ba616d9eef5591e">
  <xsd:schema xmlns:xsd="http://www.w3.org/2001/XMLSchema" xmlns:xs="http://www.w3.org/2001/XMLSchema" xmlns:p="http://schemas.microsoft.com/office/2006/metadata/properties" xmlns:ns2="09fe413b-f208-4d1c-9e46-0df3927cd327" xmlns:ns3="f815ce06-2df1-4d3a-abfc-b8f15e149c81" targetNamespace="http://schemas.microsoft.com/office/2006/metadata/properties" ma:root="true" ma:fieldsID="a936c82bf605f997727f15640ad884d6" ns2:_="" ns3:_="">
    <xsd:import namespace="09fe413b-f208-4d1c-9e46-0df3927cd327"/>
    <xsd:import namespace="f815ce06-2df1-4d3a-abfc-b8f15e149c8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fe413b-f208-4d1c-9e46-0df3927cd3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4fe68fe0-f16e-4198-8e5f-6b651f58461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15ce06-2df1-4d3a-abfc-b8f15e149c81"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cf437bbf-04f1-4361-96ee-dd8bfa2209f9}" ma:internalName="TaxCatchAll" ma:showField="CatchAllData" ma:web="f815ce06-2df1-4d3a-abfc-b8f15e149c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9fe413b-f208-4d1c-9e46-0df3927cd327">
      <Terms xmlns="http://schemas.microsoft.com/office/infopath/2007/PartnerControls"/>
    </lcf76f155ced4ddcb4097134ff3c332f>
    <TaxCatchAll xmlns="f815ce06-2df1-4d3a-abfc-b8f15e149c81" xsi:nil="true"/>
  </documentManagement>
</p:properties>
</file>

<file path=customXml/itemProps1.xml><?xml version="1.0" encoding="utf-8"?>
<ds:datastoreItem xmlns:ds="http://schemas.openxmlformats.org/officeDocument/2006/customXml" ds:itemID="{81D5CF4D-59A8-404A-ADA2-403C2CB10099}"/>
</file>

<file path=customXml/itemProps2.xml><?xml version="1.0" encoding="utf-8"?>
<ds:datastoreItem xmlns:ds="http://schemas.openxmlformats.org/officeDocument/2006/customXml" ds:itemID="{6C82072E-8C3A-4B9C-8912-5364B135B6ED}"/>
</file>

<file path=customXml/itemProps3.xml><?xml version="1.0" encoding="utf-8"?>
<ds:datastoreItem xmlns:ds="http://schemas.openxmlformats.org/officeDocument/2006/customXml" ds:itemID="{02C7ACFD-75D9-4482-8A24-1E7CE689B62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Viviana Tinoco Monge</dc:creator>
  <cp:keywords/>
  <dc:description/>
  <cp:lastModifiedBy>Viviana Tinoco Monge</cp:lastModifiedBy>
  <dcterms:created xsi:type="dcterms:W3CDTF">2023-10-31T13:19:02Z</dcterms:created>
  <dcterms:modified xsi:type="dcterms:W3CDTF">2023-10-31T16:33:46Z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0x010100F0A06F24416D1843AB2AD152077B5073</vt:lpwstr>
  </property>
</Properties>
</file>