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jc w:val="center"/>
        <w:rPr>
          <w:rFonts w:ascii="Times New Roman" w:cs="Times New Roman" w:eastAsia="Times New Roman" w:hAnsi="Times New Roman"/>
          <w:b w:val="1"/>
          <w:bCs w:val="1"/>
          <w:sz w:val="30"/>
          <w:szCs w:val="30"/>
        </w:rPr>
      </w:pPr>
      <w:bookmarkStart w:colFirst="0" w:colLast="0" w:name="_t6oq1hnsqg9q" w:id="0"/>
      <w:bookmarkEnd w:id="0"/>
      <w:r w:rsidDel="00000000" w:rsidR="00000000" w:rsidRPr="00000000">
        <w:rPr>
          <w:rtl w:val="0"/>
        </w:rPr>
      </w:r>
    </w:p>
    <w:p w:rsidR="00000000" w:rsidDel="00000000" w:rsidP="00000000" w:rsidRDefault="00000000" w:rsidRPr="00000000" w14:paraId="00000002">
      <w:pPr>
        <w:pStyle w:val="Heading1"/>
        <w:keepNext w:val="0"/>
        <w:keepLines w:val="0"/>
        <w:spacing w:before="480" w:lineRule="auto"/>
        <w:jc w:val="center"/>
        <w:rPr>
          <w:rFonts w:ascii="Times New Roman" w:cs="Times New Roman" w:eastAsia="Times New Roman" w:hAnsi="Times New Roman"/>
          <w:b w:val="1"/>
          <w:bCs w:val="1"/>
          <w:sz w:val="30"/>
          <w:szCs w:val="30"/>
        </w:rPr>
      </w:pPr>
      <w:bookmarkStart w:colFirst="0" w:colLast="0" w:name="_lpkkr51sbhs7" w:id="1"/>
      <w:bookmarkEnd w:id="1"/>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jc w:val="center"/>
        <w:rPr>
          <w:rFonts w:ascii="Times New Roman" w:cs="Times New Roman" w:eastAsia="Times New Roman" w:hAnsi="Times New Roman"/>
          <w:b w:val="1"/>
          <w:bCs w:val="1"/>
          <w:sz w:val="30"/>
          <w:szCs w:val="30"/>
        </w:rPr>
      </w:pPr>
      <w:bookmarkStart w:colFirst="0" w:colLast="0" w:name="_lo5wgg20o4dx" w:id="2"/>
      <w:bookmarkEnd w:id="2"/>
      <w:r w:rsidDel="00000000" w:rsidR="00000000" w:rsidRPr="00000000">
        <w:rPr>
          <w:rtl w:val="0"/>
        </w:rPr>
      </w:r>
    </w:p>
    <w:p w:rsidR="00000000" w:rsidDel="00000000" w:rsidP="00000000" w:rsidRDefault="00000000" w:rsidRPr="00000000" w14:paraId="00000004">
      <w:pPr>
        <w:pStyle w:val="Heading1"/>
        <w:keepNext w:val="0"/>
        <w:keepLines w:val="0"/>
        <w:spacing w:before="480" w:lineRule="auto"/>
        <w:jc w:val="center"/>
        <w:rPr>
          <w:rFonts w:ascii="Times New Roman" w:cs="Times New Roman" w:eastAsia="Times New Roman" w:hAnsi="Times New Roman"/>
          <w:b w:val="1"/>
          <w:bCs w:val="1"/>
          <w:sz w:val="30"/>
          <w:szCs w:val="30"/>
        </w:rPr>
      </w:pPr>
      <w:bookmarkStart w:colFirst="0" w:colLast="0" w:name="_7jkn2l3wktct" w:id="3"/>
      <w:bookmarkEnd w:id="3"/>
      <w:r w:rsidDel="00000000" w:rsidR="00000000" w:rsidRPr="00000000">
        <w:rPr>
          <w:rFonts w:ascii="Times New Roman" w:cs="Times New Roman" w:eastAsia="Times New Roman" w:hAnsi="Times New Roman"/>
          <w:b w:val="1"/>
          <w:bCs w:val="1"/>
          <w:sz w:val="30"/>
          <w:szCs w:val="30"/>
          <w:rtl w:val="0"/>
        </w:rPr>
        <w:t xml:space="preserve">SHADOW REPORT</w:t>
      </w:r>
    </w:p>
    <w:p w:rsidR="00000000" w:rsidDel="00000000" w:rsidP="00000000" w:rsidRDefault="00000000" w:rsidRPr="00000000" w14:paraId="00000005">
      <w:pPr>
        <w:pStyle w:val="Heading2"/>
        <w:keepNext w:val="0"/>
        <w:keepLines w:val="0"/>
        <w:spacing w:after="80" w:lineRule="auto"/>
        <w:jc w:val="center"/>
        <w:rPr>
          <w:rFonts w:ascii="Times New Roman" w:cs="Times New Roman" w:eastAsia="Times New Roman" w:hAnsi="Times New Roman"/>
          <w:b w:val="1"/>
          <w:bCs w:val="1"/>
          <w:sz w:val="30"/>
          <w:szCs w:val="30"/>
        </w:rPr>
      </w:pPr>
      <w:bookmarkStart w:colFirst="0" w:colLast="0" w:name="_zi711agywnc5" w:id="4"/>
      <w:bookmarkEnd w:id="4"/>
      <w:r w:rsidDel="00000000" w:rsidR="00000000" w:rsidRPr="00000000">
        <w:rPr>
          <w:rFonts w:ascii="Times New Roman" w:cs="Times New Roman" w:eastAsia="Times New Roman" w:hAnsi="Times New Roman"/>
          <w:b w:val="1"/>
          <w:bCs w:val="1"/>
          <w:sz w:val="30"/>
          <w:szCs w:val="30"/>
          <w:rtl w:val="0"/>
        </w:rPr>
        <w:t xml:space="preserve">ON THE IMPLEMENTATION OF ARTICLE 10 OF THE CONVENTION ON THE ELIMINATION OF ALL FORMS OF DISCRIMINATION AGAINST WOMEN (CEDAW)</w:t>
      </w:r>
    </w:p>
    <w:p w:rsidR="00000000" w:rsidDel="00000000" w:rsidP="00000000" w:rsidRDefault="00000000" w:rsidRPr="00000000" w14:paraId="00000006">
      <w:pPr>
        <w:pStyle w:val="Heading3"/>
        <w:keepNext w:val="0"/>
        <w:keepLines w:val="0"/>
        <w:spacing w:before="280" w:lineRule="auto"/>
        <w:jc w:val="center"/>
        <w:rPr>
          <w:rFonts w:ascii="Times New Roman" w:cs="Times New Roman" w:eastAsia="Times New Roman" w:hAnsi="Times New Roman"/>
          <w:b w:val="1"/>
          <w:bCs w:val="1"/>
          <w:color w:val="000000"/>
          <w:sz w:val="30"/>
          <w:szCs w:val="30"/>
        </w:rPr>
      </w:pPr>
      <w:bookmarkStart w:colFirst="0" w:colLast="0" w:name="_hgqadhrg5ku3" w:id="5"/>
      <w:bookmarkEnd w:id="5"/>
      <w:r w:rsidDel="00000000" w:rsidR="00000000" w:rsidRPr="00000000">
        <w:rPr>
          <w:rFonts w:ascii="Times New Roman" w:cs="Times New Roman" w:eastAsia="Times New Roman" w:hAnsi="Times New Roman"/>
          <w:b w:val="1"/>
          <w:bCs w:val="1"/>
          <w:color w:val="000000"/>
          <w:sz w:val="30"/>
          <w:szCs w:val="30"/>
          <w:rtl w:val="0"/>
        </w:rPr>
        <w:t xml:space="preserve">THE RIGHT TO EDUCATION OF WOMEN AND GIRLS IN THE CONTEXT OF DIGITAL TRANSFORMATION IN VIET NAM</w:t>
      </w:r>
    </w:p>
    <w:p w:rsidR="00000000" w:rsidDel="00000000" w:rsidP="00000000" w:rsidRDefault="00000000" w:rsidRPr="00000000" w14:paraId="00000007">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240" w:befor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Submitted by:</w:t>
        <w:br w:type="textWrapping"/>
      </w:r>
      <w:r w:rsidDel="00000000" w:rsidR="00000000" w:rsidRPr="00000000">
        <w:rPr>
          <w:rFonts w:ascii="Times New Roman" w:cs="Times New Roman" w:eastAsia="Times New Roman" w:hAnsi="Times New Roman"/>
          <w:b w:val="1"/>
          <w:bCs w:val="1"/>
          <w:sz w:val="24"/>
          <w:szCs w:val="24"/>
          <w:rtl w:val="0"/>
        </w:rPr>
        <w:t xml:space="preserve">Association BATIK International</w:t>
      </w:r>
    </w:p>
    <w:p w:rsidR="00000000" w:rsidDel="00000000" w:rsidP="00000000" w:rsidRDefault="00000000" w:rsidRPr="00000000" w14:paraId="00000009">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240" w:befor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240" w:before="240" w:lineRule="auto"/>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Hà Nội, 31 December 2025</w:t>
      </w:r>
    </w:p>
    <w:p w:rsidR="00000000" w:rsidDel="00000000" w:rsidP="00000000" w:rsidRDefault="00000000" w:rsidRPr="00000000" w14:paraId="00000012">
      <w:pPr>
        <w:pStyle w:val="Heading3"/>
        <w:keepNext w:val="0"/>
        <w:keepLines w:val="0"/>
        <w:spacing w:before="280" w:lineRule="auto"/>
        <w:jc w:val="both"/>
        <w:rPr>
          <w:rFonts w:ascii="Times New Roman" w:cs="Times New Roman" w:eastAsia="Times New Roman" w:hAnsi="Times New Roman"/>
          <w:b w:val="1"/>
          <w:bCs w:val="1"/>
          <w:color w:val="000000"/>
          <w:sz w:val="24"/>
          <w:szCs w:val="24"/>
        </w:rPr>
      </w:pPr>
      <w:bookmarkStart w:colFirst="0" w:colLast="0" w:name="_q1ni0en0ivt8" w:id="6"/>
      <w:bookmarkEnd w:id="6"/>
      <w:r w:rsidDel="00000000" w:rsidR="00000000" w:rsidRPr="00000000">
        <w:rPr>
          <w:rFonts w:ascii="Times New Roman" w:cs="Times New Roman" w:eastAsia="Times New Roman" w:hAnsi="Times New Roman"/>
          <w:b w:val="1"/>
          <w:bCs w:val="1"/>
          <w:color w:val="000000"/>
          <w:sz w:val="24"/>
          <w:szCs w:val="24"/>
          <w:rtl w:val="0"/>
        </w:rPr>
        <w:t xml:space="preserve">1. SUBMITTING ORGANIZATION</w:t>
      </w:r>
    </w:p>
    <w:p w:rsidR="00000000" w:rsidDel="00000000" w:rsidP="00000000" w:rsidRDefault="00000000" w:rsidRPr="00000000" w14:paraId="0000001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Association BATIK International is a non-profit organization established in France in 1998 and operating in Viet Nam since 2002, with the aim of supporting vulnerable groups, particularly women and youth, in accessing employment opportunities, education, and improved living conditions. The organization promotes sustainable development through projects focusing on gender equality, labour rights, and skills development for workers in partner countries.</w:t>
      </w:r>
    </w:p>
    <w:p w:rsidR="00000000" w:rsidDel="00000000" w:rsidP="00000000" w:rsidRDefault="00000000" w:rsidRPr="00000000" w14:paraId="0000001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BATIK International has implemented and continues to implement numerous international cooperation programmes to strengthen the capacity of vulnerable communities, particularly in the fields of digital skills and economic development.</w:t>
      </w:r>
    </w:p>
    <w:p w:rsidR="00000000" w:rsidDel="00000000" w:rsidP="00000000" w:rsidRDefault="00000000" w:rsidRPr="00000000" w14:paraId="00000015">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pStyle w:val="Heading3"/>
        <w:keepNext w:val="0"/>
        <w:keepLines w:val="0"/>
        <w:spacing w:before="280" w:lineRule="auto"/>
        <w:jc w:val="both"/>
        <w:rPr>
          <w:rFonts w:ascii="Times New Roman" w:cs="Times New Roman" w:eastAsia="Times New Roman" w:hAnsi="Times New Roman"/>
          <w:b w:val="1"/>
          <w:bCs w:val="1"/>
          <w:color w:val="000000"/>
          <w:sz w:val="24"/>
          <w:szCs w:val="24"/>
        </w:rPr>
      </w:pPr>
      <w:bookmarkStart w:colFirst="0" w:colLast="0" w:name="_3v36r7g4ud04" w:id="7"/>
      <w:bookmarkEnd w:id="7"/>
      <w:r w:rsidDel="00000000" w:rsidR="00000000" w:rsidRPr="00000000">
        <w:rPr>
          <w:rFonts w:ascii="Times New Roman" w:cs="Times New Roman" w:eastAsia="Times New Roman" w:hAnsi="Times New Roman"/>
          <w:b w:val="1"/>
          <w:bCs w:val="1"/>
          <w:color w:val="000000"/>
          <w:sz w:val="24"/>
          <w:szCs w:val="24"/>
          <w:rtl w:val="0"/>
        </w:rPr>
        <w:t xml:space="preserve">2. SUMMARY </w:t>
      </w:r>
    </w:p>
    <w:p w:rsidR="00000000" w:rsidDel="00000000" w:rsidP="00000000" w:rsidRDefault="00000000" w:rsidRPr="00000000" w14:paraId="0000001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was developed to review the implementation of Article 10 of the Convention on the Elimination of all forms of Discrimination Against Women (CEDAW) relating to the right to education of women and girls in Viet Nam, particularly in the context of the expanding digital transformation.</w:t>
      </w:r>
    </w:p>
    <w:p w:rsidR="00000000" w:rsidDel="00000000" w:rsidP="00000000" w:rsidRDefault="00000000" w:rsidRPr="00000000" w14:paraId="0000001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a synthesis and analysis of Viet Nam’s official reports, as well as reports submitted to the CEDAW Committee by international organizations and civil society organizations, it is observed that Viet Nam has made efforts and achieved significant progress in ensuring access to basic education for women and girls, gradually narrowing gender gaps across educational levels. At the same time, digital transformation has opened up flexible and diverse forms of learning with the potential to implement Article 10 of the Convention more effectively. However, digital transformation has also introduced new challenges, particularly regarding access to technology and the safety of women and girls in digital spaces.</w:t>
      </w:r>
    </w:p>
    <w:p w:rsidR="00000000" w:rsidDel="00000000" w:rsidP="00000000" w:rsidRDefault="00000000" w:rsidRPr="00000000" w14:paraId="0000001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context, the Government of Viet Nam has introduced support models enabling women and girls to access safe and effective digital spaces through policy instruments such as the Cybersecurity Law 2018 and the Law on Children 2016. This report emphasizes that Viet Nam has adopted appropriate policies and orientations for implementing the Convention in the digital era, while also proposing several recommendations to further improve policies to ensure equal educational rights for women and girls.</w:t>
      </w:r>
    </w:p>
    <w:p w:rsidR="00000000" w:rsidDel="00000000" w:rsidP="00000000" w:rsidRDefault="00000000" w:rsidRPr="00000000" w14:paraId="0000001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pStyle w:val="Heading3"/>
        <w:keepNext w:val="0"/>
        <w:keepLines w:val="0"/>
        <w:spacing w:before="280" w:lineRule="auto"/>
        <w:jc w:val="both"/>
        <w:rPr>
          <w:rFonts w:ascii="Times New Roman" w:cs="Times New Roman" w:eastAsia="Times New Roman" w:hAnsi="Times New Roman"/>
          <w:b w:val="1"/>
          <w:bCs w:val="1"/>
          <w:color w:val="000000"/>
          <w:sz w:val="24"/>
          <w:szCs w:val="24"/>
        </w:rPr>
      </w:pPr>
      <w:bookmarkStart w:colFirst="0" w:colLast="0" w:name="_ntqb56igiki" w:id="8"/>
      <w:bookmarkEnd w:id="8"/>
      <w:r w:rsidDel="00000000" w:rsidR="00000000" w:rsidRPr="00000000">
        <w:rPr>
          <w:rFonts w:ascii="Times New Roman" w:cs="Times New Roman" w:eastAsia="Times New Roman" w:hAnsi="Times New Roman"/>
          <w:b w:val="1"/>
          <w:bCs w:val="1"/>
          <w:color w:val="000000"/>
          <w:sz w:val="24"/>
          <w:szCs w:val="24"/>
          <w:rtl w:val="0"/>
        </w:rPr>
        <w:t xml:space="preserve">3. INTRODUCTION AND SCOPE OF THE SHADOW REPORT</w:t>
      </w:r>
    </w:p>
    <w:p w:rsidR="00000000" w:rsidDel="00000000" w:rsidP="00000000" w:rsidRDefault="00000000" w:rsidRPr="00000000" w14:paraId="0000001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equality and the protection of the fundamental rights of women and girls have been affirmed as universal principles within the international human rights legal framework. The right of women to equal access to and enjoyment of education is clearly recognized in international conventions, notably the Convention on the Elimination of All Forms of Discrimination against Women, General Comment No. 36 on the right to education of women and girls, the Beijing Platform for Action, and the Millennium Development Goals.</w:t>
      </w:r>
    </w:p>
    <w:p w:rsidR="00000000" w:rsidDel="00000000" w:rsidP="00000000" w:rsidRDefault="00000000" w:rsidRPr="00000000" w14:paraId="0000001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periodic reports of Viet Nam, it can be observed that the country has made clear progress in universalizing education and narrowing gender gaps, particularly in the context of digital transformation. Viet Nam’s Ninth Periodic Report (CEDAW/C/VNM/9) indicates that in 2019, the female literacy rate (ages 12–60) reached 94.6%, nearly equivalent to the male literacy rate of 97.98%</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Article 10 of the CEDAW Convention focuses on the right to education, ensuring that women and girls can access education equally at all levels regardless of age and free from gender stereotypes. Education is both a right and a means to enhance women’s and girls’ agency, employment opportunities, and resilience. At the same time, digital transformation has generated new barriers, including lack of devices, insufficient digital skills, and online safety risks. These barriers may cause inequalities to re-emerge in different forms, particularly for young women and girls in disadvantaged areas.</w:t>
      </w:r>
    </w:p>
    <w:p w:rsidR="00000000" w:rsidDel="00000000" w:rsidP="00000000" w:rsidRDefault="00000000" w:rsidRPr="00000000" w14:paraId="0000001E">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pStyle w:val="Heading3"/>
        <w:keepNext w:val="0"/>
        <w:keepLines w:val="0"/>
        <w:spacing w:before="280" w:lineRule="auto"/>
        <w:jc w:val="both"/>
        <w:rPr>
          <w:rFonts w:ascii="Times New Roman" w:cs="Times New Roman" w:eastAsia="Times New Roman" w:hAnsi="Times New Roman"/>
          <w:b w:val="1"/>
          <w:bCs w:val="1"/>
          <w:color w:val="000000"/>
          <w:sz w:val="24"/>
          <w:szCs w:val="24"/>
        </w:rPr>
      </w:pPr>
      <w:bookmarkStart w:colFirst="0" w:colLast="0" w:name="_6bz2x24qlu86" w:id="9"/>
      <w:bookmarkEnd w:id="9"/>
      <w:r w:rsidDel="00000000" w:rsidR="00000000" w:rsidRPr="00000000">
        <w:rPr>
          <w:rFonts w:ascii="Times New Roman" w:cs="Times New Roman" w:eastAsia="Times New Roman" w:hAnsi="Times New Roman"/>
          <w:b w:val="1"/>
          <w:bCs w:val="1"/>
          <w:color w:val="000000"/>
          <w:sz w:val="24"/>
          <w:szCs w:val="24"/>
          <w:rtl w:val="0"/>
        </w:rPr>
        <w:t xml:space="preserve">4. OVERVIEW OF VIET NAM’S IMPLEMENTATION OF ARTICLE 10 OF THE CEDAW CONVENTION</w:t>
      </w:r>
    </w:p>
    <w:p w:rsidR="00000000" w:rsidDel="00000000" w:rsidP="00000000" w:rsidRDefault="00000000" w:rsidRPr="00000000" w14:paraId="0000002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Viet Nam ratified the CEDAW Convention in 1982. In its Ninth Periodic Report, Viet Nam reaffirmed gender equality as a cross-cutting orientation, with education positioned as a foundation for improving human resource quality. Viet Nam’s commitments demonstrate continued emphasis on mainstreaming gender equality into the legal and policy framework, in which education remains a key pillar.</w:t>
      </w:r>
    </w:p>
    <w:p w:rsidR="00000000" w:rsidDel="00000000" w:rsidP="00000000" w:rsidRDefault="00000000" w:rsidRPr="00000000" w14:paraId="00000021">
      <w:pPr>
        <w:pStyle w:val="Heading4"/>
        <w:keepNext w:val="0"/>
        <w:keepLines w:val="0"/>
        <w:spacing w:after="40" w:before="240" w:lineRule="auto"/>
        <w:jc w:val="both"/>
        <w:rPr>
          <w:rFonts w:ascii="Times New Roman" w:cs="Times New Roman" w:eastAsia="Times New Roman" w:hAnsi="Times New Roman"/>
          <w:b w:val="1"/>
          <w:bCs w:val="1"/>
          <w:color w:val="000000"/>
        </w:rPr>
      </w:pPr>
      <w:bookmarkStart w:colFirst="0" w:colLast="0" w:name="_j8js8lp0ae8c" w:id="10"/>
      <w:bookmarkEnd w:id="10"/>
      <w:r w:rsidDel="00000000" w:rsidR="00000000" w:rsidRPr="00000000">
        <w:rPr>
          <w:rFonts w:ascii="Times New Roman" w:cs="Times New Roman" w:eastAsia="Times New Roman" w:hAnsi="Times New Roman"/>
          <w:b w:val="1"/>
          <w:bCs w:val="1"/>
          <w:color w:val="000000"/>
          <w:rtl w:val="0"/>
        </w:rPr>
        <w:t xml:space="preserve">4.1. Outcomes in Universal Education and Literacy</w:t>
      </w:r>
    </w:p>
    <w:p w:rsidR="00000000" w:rsidDel="00000000" w:rsidP="00000000" w:rsidRDefault="00000000" w:rsidRPr="00000000" w14:paraId="0000002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CEDAW/C/VNM/9 states that Viet Nam achieved a primary education enrolment rate of 96% by the mid-2000s, increasing to 99% by 2014, with no significant gender differences in literacy rates or completion of educational levels. Overall, gender disparities in literacy have been substantially reduced; however, minor disparities persist among certain groups, such as ethnic minority populations compared to the national average. Although these disparities are not significant in scale, continued geographical based support remains necessary.</w:t>
      </w:r>
    </w:p>
    <w:p w:rsidR="00000000" w:rsidDel="00000000" w:rsidP="00000000" w:rsidRDefault="00000000" w:rsidRPr="00000000" w14:paraId="00000023">
      <w:pPr>
        <w:pStyle w:val="Heading4"/>
        <w:keepNext w:val="0"/>
        <w:keepLines w:val="0"/>
        <w:spacing w:after="40" w:before="240" w:lineRule="auto"/>
        <w:jc w:val="both"/>
        <w:rPr>
          <w:rFonts w:ascii="Times New Roman" w:cs="Times New Roman" w:eastAsia="Times New Roman" w:hAnsi="Times New Roman"/>
          <w:b w:val="1"/>
          <w:bCs w:val="1"/>
          <w:color w:val="000000"/>
        </w:rPr>
      </w:pPr>
      <w:bookmarkStart w:colFirst="0" w:colLast="0" w:name="_zfffad1s79ou" w:id="11"/>
      <w:bookmarkEnd w:id="11"/>
      <w:r w:rsidDel="00000000" w:rsidR="00000000" w:rsidRPr="00000000">
        <w:rPr>
          <w:rFonts w:ascii="Times New Roman" w:cs="Times New Roman" w:eastAsia="Times New Roman" w:hAnsi="Times New Roman"/>
          <w:b w:val="1"/>
          <w:bCs w:val="1"/>
          <w:color w:val="000000"/>
          <w:rtl w:val="0"/>
        </w:rPr>
        <w:t xml:space="preserve">4.2. Vocational Education and Training for Rural Labour</w:t>
      </w:r>
    </w:p>
    <w:p w:rsidR="00000000" w:rsidDel="00000000" w:rsidP="00000000" w:rsidRDefault="00000000" w:rsidRPr="00000000" w14:paraId="0000002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on Education 2019, Article 13, reaffirms learning as both a right and an obligation of citizens, while ensuring the principle of equality in access to learning opportunities without discrimination based on gender or other personal and social characteristics. Similarly, the Law on Vocational Education and Training 2014, Clause 7, Article 6, requires the implementation of gender equality throughout the vocational education and training system. The Ninth Periodic Report notes that during the period 2016–2019, 4.9 million rural workers received vocational training, and 2.85 million people were supported with elementary-level training or training courses of under three months. The post-training employment rate reached 81.4%, exceeding the target by 1.4% (CEDAW/C/VNM/9).</w:t>
      </w:r>
    </w:p>
    <w:p w:rsidR="00000000" w:rsidDel="00000000" w:rsidP="00000000" w:rsidRDefault="00000000" w:rsidRPr="00000000" w14:paraId="00000025">
      <w:pPr>
        <w:pStyle w:val="Heading4"/>
        <w:keepNext w:val="0"/>
        <w:keepLines w:val="0"/>
        <w:spacing w:after="40" w:before="240" w:lineRule="auto"/>
        <w:jc w:val="both"/>
        <w:rPr>
          <w:rFonts w:ascii="Times New Roman" w:cs="Times New Roman" w:eastAsia="Times New Roman" w:hAnsi="Times New Roman"/>
          <w:b w:val="1"/>
          <w:bCs w:val="1"/>
          <w:color w:val="000000"/>
        </w:rPr>
      </w:pPr>
      <w:bookmarkStart w:colFirst="0" w:colLast="0" w:name="_viyzj5ca7qq8" w:id="12"/>
      <w:bookmarkEnd w:id="12"/>
      <w:r w:rsidDel="00000000" w:rsidR="00000000" w:rsidRPr="00000000">
        <w:rPr>
          <w:rFonts w:ascii="Times New Roman" w:cs="Times New Roman" w:eastAsia="Times New Roman" w:hAnsi="Times New Roman"/>
          <w:b w:val="1"/>
          <w:bCs w:val="1"/>
          <w:color w:val="000000"/>
          <w:rtl w:val="0"/>
        </w:rPr>
        <w:t xml:space="preserve">4.3. Geographic and Group-Based Disparities</w:t>
      </w:r>
    </w:p>
    <w:p w:rsidR="00000000" w:rsidDel="00000000" w:rsidP="00000000" w:rsidRDefault="00000000" w:rsidRPr="00000000" w14:paraId="0000002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report by non-governmental organizations on the implementation of the CEDAW</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Convention describes certain barriers in ethnic minority areas, including gender bias that may lead to low female enrollment in ethnic boarding schools. For example, at Đam Rông District Ethnic Boarding School (Lâm Đồng Province) in the 2008–2009 academic year, Class 6A had 0% female students, while Class 6B had 16% female students (4 out of 25). The reports also document that many girls drop out of school to support their families or due to early marriage, with an average dropout rate of 3–4% per academic year. These findings indicate that, beyond general policies, targeted measures are needed to address gender barriers rooted in stereotypes, language, and household labour division in order to improve girls’ retention in education and participation in the workforce.</w:t>
      </w:r>
    </w:p>
    <w:p w:rsidR="00000000" w:rsidDel="00000000" w:rsidP="00000000" w:rsidRDefault="00000000" w:rsidRPr="00000000" w14:paraId="0000002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project </w:t>
      </w:r>
      <w:r w:rsidDel="00000000" w:rsidR="00000000" w:rsidRPr="00000000">
        <w:rPr>
          <w:rFonts w:ascii="Times New Roman" w:cs="Times New Roman" w:eastAsia="Times New Roman" w:hAnsi="Times New Roman"/>
          <w:i w:val="1"/>
          <w:iCs w:val="1"/>
          <w:sz w:val="24"/>
          <w:szCs w:val="24"/>
          <w:rtl w:val="0"/>
        </w:rPr>
        <w:t xml:space="preserve">“Industrial Workers Go Digital”</w:t>
      </w:r>
      <w:r w:rsidDel="00000000" w:rsidR="00000000" w:rsidRPr="00000000">
        <w:rPr>
          <w:rFonts w:ascii="Times New Roman" w:cs="Times New Roman" w:eastAsia="Times New Roman" w:hAnsi="Times New Roman"/>
          <w:sz w:val="24"/>
          <w:szCs w:val="24"/>
          <w:rtl w:val="0"/>
        </w:rPr>
        <w:t xml:space="preserve">, co-implemented by BATIK International in the former Quảng Nam province and now Đà Nẵng city, baseline assessments also identified challenges in teaching and accessing information technology in mountainous schools due to limited teacher capacity and inadequate equipment. Digital safety content has not received sufficient attention, and updated training materials for students remain limited. The project’s baseline survey, conducted among students of Tố Hữu High School in Thạnh Mỹ Commune (162 respondents) and students enrolled in college and intermediate-level programmes at Quảng Nam Vocational School in Hương Trà Ward (85 respondents), within Đà Nẵng City, indicates that 57% of female students have witnessed or experienced gender-based violence on social media. In addition, gender-based discrimination in science and technology education remains a clear reality, with 40% of male students and 45% of female students participating in the survey perceiving that male students are favored in science and technical subjects. This context highlights the relevance of prioritizing digital skills and digital safety as integral components of girls’ right to education.</w:t>
      </w:r>
    </w:p>
    <w:p w:rsidR="00000000" w:rsidDel="00000000" w:rsidP="00000000" w:rsidRDefault="00000000" w:rsidRPr="00000000" w14:paraId="0000002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CEDAW Convention also emphasizes the interlinkage between gender equality in education and the elimination of gender-based barriers and stereotypes. Several documents indicate that UNESCO</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focuses on promoting gender equality and girls’ education in Viet Nam by increasing learning opportunities and access to resources. UNICEF</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interprets Article 10 of the Convention by emphasizing equality in access, elimination of gender stereotypes, and the assurance of a safe learning environment.</w:t>
      </w:r>
    </w:p>
    <w:p w:rsidR="00000000" w:rsidDel="00000000" w:rsidP="00000000" w:rsidRDefault="00000000" w:rsidRPr="00000000" w14:paraId="0000002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compared with Viet Nam’s official documents, it is evident that Viet Nam has favourable conditions to promote universal education and reduce gender gaps among children and youth.</w:t>
      </w:r>
    </w:p>
    <w:p w:rsidR="00000000" w:rsidDel="00000000" w:rsidP="00000000" w:rsidRDefault="00000000" w:rsidRPr="00000000" w14:paraId="0000002A">
      <w:pPr>
        <w:pStyle w:val="Heading3"/>
        <w:keepNext w:val="0"/>
        <w:keepLines w:val="0"/>
        <w:spacing w:before="280" w:lineRule="auto"/>
        <w:jc w:val="both"/>
        <w:rPr>
          <w:rFonts w:ascii="Times New Roman" w:cs="Times New Roman" w:eastAsia="Times New Roman" w:hAnsi="Times New Roman"/>
          <w:sz w:val="24"/>
          <w:szCs w:val="24"/>
        </w:rPr>
      </w:pPr>
      <w:bookmarkStart w:colFirst="0" w:colLast="0" w:name="_6j14dj2w6ss0" w:id="13"/>
      <w:bookmarkEnd w:id="13"/>
      <w:r w:rsidDel="00000000" w:rsidR="00000000" w:rsidRPr="00000000">
        <w:rPr>
          <w:rFonts w:ascii="Times New Roman" w:cs="Times New Roman" w:eastAsia="Times New Roman" w:hAnsi="Times New Roman"/>
          <w:b w:val="1"/>
          <w:bCs w:val="1"/>
          <w:color w:val="000000"/>
          <w:sz w:val="24"/>
          <w:szCs w:val="24"/>
          <w:rtl w:val="0"/>
        </w:rPr>
        <w:t xml:space="preserve">5. THE ROLE OF NON-GOVERNMENTAL AND INTERNATIONAL ORGANIZATIONS IN VIET NAM</w:t>
      </w:r>
      <w:r w:rsidDel="00000000" w:rsidR="00000000" w:rsidRPr="00000000">
        <w:rPr>
          <w:rtl w:val="0"/>
        </w:rPr>
      </w:r>
    </w:p>
    <w:p w:rsidR="00000000" w:rsidDel="00000000" w:rsidP="00000000" w:rsidRDefault="00000000" w:rsidRPr="00000000" w14:paraId="0000002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number of non-governmental and international organizations operating in Viet Nam have implemented context-appropriate programmes at the local level, serving as practical reference models. These programmes focus on raising awareness of digital skills and digital safety through coordination with local stakeholders, including:</w:t>
      </w:r>
    </w:p>
    <w:p w:rsidR="00000000" w:rsidDel="00000000" w:rsidP="00000000" w:rsidRDefault="00000000" w:rsidRPr="00000000" w14:paraId="0000002C">
      <w:pPr>
        <w:numPr>
          <w:ilvl w:val="0"/>
          <w:numId w:val="5"/>
        </w:numPr>
        <w:spacing w:after="0" w:afterAutospacing="0" w:befor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Ensuring access to vocational training:</w:t>
      </w:r>
      <w:r w:rsidDel="00000000" w:rsidR="00000000" w:rsidRPr="00000000">
        <w:rPr>
          <w:rFonts w:ascii="Times New Roman" w:cs="Times New Roman" w:eastAsia="Times New Roman" w:hAnsi="Times New Roman"/>
          <w:sz w:val="24"/>
          <w:szCs w:val="24"/>
          <w:rtl w:val="0"/>
        </w:rPr>
        <w:t xml:space="preserve"> Focusing on strengthening digital skills for young women in rural and mountainous areas before and after entering the labour force, thereby directly supporting women’s access to better employment opportunities in the digital era.</w:t>
      </w:r>
    </w:p>
    <w:p w:rsidR="00000000" w:rsidDel="00000000" w:rsidP="00000000" w:rsidRDefault="00000000" w:rsidRPr="00000000" w14:paraId="0000002D">
      <w:pPr>
        <w:numPr>
          <w:ilvl w:val="0"/>
          <w:numId w:val="5"/>
        </w:numPr>
        <w:spacing w:after="0" w:afterAutospacing="0" w:before="0" w:before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Improving teaching content and methodologies:</w:t>
      </w:r>
      <w:r w:rsidDel="00000000" w:rsidR="00000000" w:rsidRPr="00000000">
        <w:rPr>
          <w:rFonts w:ascii="Times New Roman" w:cs="Times New Roman" w:eastAsia="Times New Roman" w:hAnsi="Times New Roman"/>
          <w:sz w:val="24"/>
          <w:szCs w:val="24"/>
          <w:rtl w:val="0"/>
        </w:rPr>
        <w:t xml:space="preserve"> Project activities collaborate with upper secondary schools and vocational colleges to integrate digital safety, security, and privacy, etc into existing curricula. These activities modernize education for female students and ensure they are not left behind in technological development. Core teachers are trained in digital skills and participatory, gender-responsive teaching methods. This contributes to expanding access to digital technology for all students, particularly female students, and helps address gender stereotypes in the pedagogy.</w:t>
      </w:r>
    </w:p>
    <w:p w:rsidR="00000000" w:rsidDel="00000000" w:rsidP="00000000" w:rsidRDefault="00000000" w:rsidRPr="00000000" w14:paraId="0000002E">
      <w:pPr>
        <w:numPr>
          <w:ilvl w:val="0"/>
          <w:numId w:val="5"/>
        </w:numPr>
        <w:spacing w:after="240" w:before="0" w:before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bCs w:val="1"/>
          <w:sz w:val="24"/>
          <w:szCs w:val="24"/>
          <w:rtl w:val="0"/>
        </w:rPr>
        <w:t xml:space="preserve">Supporting vulnerable groups of women:</w:t>
      </w:r>
      <w:r w:rsidDel="00000000" w:rsidR="00000000" w:rsidRPr="00000000">
        <w:rPr>
          <w:rFonts w:ascii="Times New Roman" w:cs="Times New Roman" w:eastAsia="Times New Roman" w:hAnsi="Times New Roman"/>
          <w:sz w:val="24"/>
          <w:szCs w:val="24"/>
          <w:rtl w:val="0"/>
        </w:rPr>
        <w:t xml:space="preserve"> CEDAW places particular emphasis on rural women and ethnic minority women. Projects implemented in areas with a high proportion of ethnic minority students constitute efforts to promote digital knowledge and skills in education for women, especially girls.</w:t>
      </w:r>
    </w:p>
    <w:p w:rsidR="00000000" w:rsidDel="00000000" w:rsidP="00000000" w:rsidRDefault="00000000" w:rsidRPr="00000000" w14:paraId="0000002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Alongside these activities, project implementation has revealed persistent gender stereotypes in career guidance, with women still less likely to choose Science, Technology, Engineering, and Mathematics (STEM) fields due to textbook content and social norms associating technical fields with men. Another issue relates to disparities in digital competence: although women and girls use the internet daily, their awareness of online risks remains limited. Issues such as online fraud and gender-based violence in digital spaces are not clearly understood, and many individuals do not know how to seek assistance when experiencing online harassment or sexual abuse.</w:t>
      </w:r>
    </w:p>
    <w:p w:rsidR="00000000" w:rsidDel="00000000" w:rsidP="00000000" w:rsidRDefault="00000000" w:rsidRPr="00000000" w14:paraId="0000003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Teaching and learning of Technology subjects in mountainous areas remain ineffective due to lack of equipment and limited teacher capacity. Some teachers also acknowledge difficulties in technology application in teaching and lack a clear understanding of the importance and necessity of integrating gender perspectives into teaching activities.</w:t>
      </w:r>
    </w:p>
    <w:p w:rsidR="00000000" w:rsidDel="00000000" w:rsidP="00000000" w:rsidRDefault="00000000" w:rsidRPr="00000000" w14:paraId="0000003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Accordingly, the activities of non-governmental and international organizations are viewed as supportive models for the implementation of State policies. They do not replace the role of the State, but rather work closely with competent authorities to scale up interventions across different local contexts, ensuring equal educational rights for all women and girls throughout Viet Nam.</w:t>
      </w:r>
    </w:p>
    <w:p w:rsidR="00000000" w:rsidDel="00000000" w:rsidP="00000000" w:rsidRDefault="00000000" w:rsidRPr="00000000" w14:paraId="00000032">
      <w:pPr>
        <w:pStyle w:val="Heading3"/>
        <w:keepNext w:val="0"/>
        <w:keepLines w:val="0"/>
        <w:spacing w:before="280" w:lineRule="auto"/>
        <w:jc w:val="both"/>
        <w:rPr>
          <w:rFonts w:ascii="Times New Roman" w:cs="Times New Roman" w:eastAsia="Times New Roman" w:hAnsi="Times New Roman"/>
          <w:b w:val="1"/>
          <w:bCs w:val="1"/>
          <w:color w:val="000000"/>
          <w:sz w:val="24"/>
          <w:szCs w:val="24"/>
        </w:rPr>
      </w:pPr>
      <w:bookmarkStart w:colFirst="0" w:colLast="0" w:name="_bc3rcx349r1q" w:id="14"/>
      <w:bookmarkEnd w:id="14"/>
      <w:r w:rsidDel="00000000" w:rsidR="00000000" w:rsidRPr="00000000">
        <w:rPr>
          <w:rFonts w:ascii="Times New Roman" w:cs="Times New Roman" w:eastAsia="Times New Roman" w:hAnsi="Times New Roman"/>
          <w:b w:val="1"/>
          <w:bCs w:val="1"/>
          <w:color w:val="000000"/>
          <w:sz w:val="24"/>
          <w:szCs w:val="24"/>
          <w:rtl w:val="0"/>
        </w:rPr>
        <w:t xml:space="preserve">6. RECOMMENDATIONS TO THE STATE PARTY</w:t>
      </w:r>
    </w:p>
    <w:p w:rsidR="00000000" w:rsidDel="00000000" w:rsidP="00000000" w:rsidRDefault="00000000" w:rsidRPr="00000000" w14:paraId="0000003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a review of Viet Nam’s documents and implemented activities, several issues should be addressed in line with international development trajectory:</w:t>
      </w:r>
    </w:p>
    <w:p w:rsidR="00000000" w:rsidDel="00000000" w:rsidP="00000000" w:rsidRDefault="00000000" w:rsidRPr="00000000" w14:paraId="00000034">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Ministry of Home Affairs in coordination with the General Office:</w:t>
      </w:r>
    </w:p>
    <w:p w:rsidR="00000000" w:rsidDel="00000000" w:rsidP="00000000" w:rsidRDefault="00000000" w:rsidRPr="00000000" w14:paraId="00000035">
      <w:pPr>
        <w:numPr>
          <w:ilvl w:val="0"/>
          <w:numId w:val="1"/>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promoting in-depth research on women’s access to digital skills by demographic, particularly among vulnerable women such as ethnic minorities, persons with disabilities, and people living in poverty, in order to design equitable policies and measure changes.</w:t>
      </w:r>
    </w:p>
    <w:p w:rsidR="00000000" w:rsidDel="00000000" w:rsidP="00000000" w:rsidRDefault="00000000" w:rsidRPr="00000000" w14:paraId="00000036">
      <w:pPr>
        <w:numPr>
          <w:ilvl w:val="0"/>
          <w:numId w:val="1"/>
        </w:numPr>
        <w:spacing w:after="240" w:before="0" w:beforeAutospacing="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Consider promoting the synthesis and effective use of research findings based on adequately sized samples, as referencing such results can contribute to supporting policy formulation and improvement.</w:t>
      </w:r>
    </w:p>
    <w:p w:rsidR="00000000" w:rsidDel="00000000" w:rsidP="00000000" w:rsidRDefault="00000000" w:rsidRPr="00000000" w14:paraId="0000003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Ministry of Education and Training:</w:t>
      </w:r>
      <w:r w:rsidDel="00000000" w:rsidR="00000000" w:rsidRPr="00000000">
        <w:rPr>
          <w:rtl w:val="0"/>
        </w:rPr>
      </w:r>
    </w:p>
    <w:p w:rsidR="00000000" w:rsidDel="00000000" w:rsidP="00000000" w:rsidRDefault="00000000" w:rsidRPr="00000000" w14:paraId="00000038">
      <w:pPr>
        <w:numPr>
          <w:ilvl w:val="0"/>
          <w:numId w:val="4"/>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 strengthening the integration of basic digital skills and gender-responsive approaches in online learning environments within general education, continuing education, and vocational programmes.</w:t>
      </w:r>
    </w:p>
    <w:p w:rsidR="00000000" w:rsidDel="00000000" w:rsidP="00000000" w:rsidRDefault="00000000" w:rsidRPr="00000000" w14:paraId="00000039">
      <w:pPr>
        <w:numPr>
          <w:ilvl w:val="0"/>
          <w:numId w:val="4"/>
        </w:numPr>
        <w:spacing w:after="0" w:afterAutospacing="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Incorporate content on privacy, security, and prevention of online harassment and violence into curricula and teaching guidelines, in line with the principle of ensuring a safe learning environment (UNICEF 2024)</w:t>
      </w:r>
    </w:p>
    <w:p w:rsidR="00000000" w:rsidDel="00000000" w:rsidP="00000000" w:rsidRDefault="00000000" w:rsidRPr="00000000" w14:paraId="0000003A">
      <w:pPr>
        <w:numPr>
          <w:ilvl w:val="0"/>
          <w:numId w:val="4"/>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 teacher capacity and provide digital learning resources in remote and disadvantaged areas, prioritizing short, effective training formats, practical case-based materials, and technical support to ensure digital skills and digital safety education is inclusive and accessible.</w:t>
      </w:r>
    </w:p>
    <w:p w:rsidR="00000000" w:rsidDel="00000000" w:rsidP="00000000" w:rsidRDefault="00000000" w:rsidRPr="00000000" w14:paraId="0000003B">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Provincial and local authorities:</w:t>
      </w:r>
    </w:p>
    <w:p w:rsidR="00000000" w:rsidDel="00000000" w:rsidP="00000000" w:rsidRDefault="00000000" w:rsidRPr="00000000" w14:paraId="0000003C">
      <w:pPr>
        <w:numPr>
          <w:ilvl w:val="0"/>
          <w:numId w:val="3"/>
        </w:numPr>
        <w:spacing w:after="0" w:afterAutospacing="0" w:befor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Continue to mainstream gender equality and digital safety objectives into community-level communication programmes, drawing on lessons learned and practical experiences from projects and programmes implemented by civil society organizations and development partners, in order to achieve a more comprehensive and holistic perspective.</w:t>
      </w:r>
    </w:p>
    <w:p w:rsidR="00000000" w:rsidDel="00000000" w:rsidP="00000000" w:rsidRDefault="00000000" w:rsidRPr="00000000" w14:paraId="0000003D">
      <w:pPr>
        <w:numPr>
          <w:ilvl w:val="0"/>
          <w:numId w:val="3"/>
        </w:numPr>
        <w:spacing w:after="240" w:before="0" w:beforeAutospacing="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Reduce social barriers to girls’ continued education, enhance linguistic diversity in access (for example, for young women with disabilities or those in ethnic minority areas), and provide additional resource support.</w:t>
      </w:r>
    </w:p>
    <w:p w:rsidR="00000000" w:rsidDel="00000000" w:rsidP="00000000" w:rsidRDefault="00000000" w:rsidRPr="00000000" w14:paraId="0000003E">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pStyle w:val="Heading3"/>
        <w:keepNext w:val="0"/>
        <w:keepLines w:val="0"/>
        <w:spacing w:before="280" w:lineRule="auto"/>
        <w:jc w:val="both"/>
        <w:rPr>
          <w:rFonts w:ascii="Times New Roman" w:cs="Times New Roman" w:eastAsia="Times New Roman" w:hAnsi="Times New Roman"/>
          <w:b w:val="1"/>
          <w:bCs w:val="1"/>
          <w:color w:val="000000"/>
          <w:sz w:val="24"/>
          <w:szCs w:val="24"/>
        </w:rPr>
      </w:pPr>
      <w:bookmarkStart w:colFirst="0" w:colLast="0" w:name="_p52b1bc445f7" w:id="15"/>
      <w:bookmarkEnd w:id="15"/>
      <w:r w:rsidDel="00000000" w:rsidR="00000000" w:rsidRPr="00000000">
        <w:rPr>
          <w:rFonts w:ascii="Times New Roman" w:cs="Times New Roman" w:eastAsia="Times New Roman" w:hAnsi="Times New Roman"/>
          <w:b w:val="1"/>
          <w:bCs w:val="1"/>
          <w:color w:val="000000"/>
          <w:sz w:val="24"/>
          <w:szCs w:val="24"/>
          <w:rtl w:val="0"/>
        </w:rPr>
        <w:t xml:space="preserve">7. CONCLUSIONS</w:t>
      </w:r>
    </w:p>
    <w:p w:rsidR="00000000" w:rsidDel="00000000" w:rsidP="00000000" w:rsidRDefault="00000000" w:rsidRPr="00000000" w14:paraId="0000004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Viet Nam has achieved significant progress in implementing the CEDAW Convention, particularly Article 10 on the right to education of women and girls. Digital transformation presents new opportunities but also requires inclusive and equitable approaches with strong attention to digital skills and digital safety. Coordination among the State, ministries,  organizations, and local authorities will play a critical role in the effective implementation of the Convention. Continued policy development in the evolving context will contribute to ensuring equal educational rights for women and girls in the digital era.</w:t>
      </w:r>
    </w:p>
    <w:p w:rsidR="00000000" w:rsidDel="00000000" w:rsidP="00000000" w:rsidRDefault="00000000" w:rsidRPr="00000000" w14:paraId="00000041">
      <w:pPr>
        <w:pStyle w:val="Heading3"/>
        <w:keepNext w:val="0"/>
        <w:keepLines w:val="0"/>
        <w:spacing w:before="280" w:lineRule="auto"/>
        <w:rPr>
          <w:rFonts w:ascii="Times New Roman" w:cs="Times New Roman" w:eastAsia="Times New Roman" w:hAnsi="Times New Roman"/>
          <w:b w:val="1"/>
          <w:bCs w:val="1"/>
          <w:color w:val="000000"/>
          <w:sz w:val="24"/>
          <w:szCs w:val="24"/>
        </w:rPr>
      </w:pPr>
      <w:bookmarkStart w:colFirst="0" w:colLast="0" w:name="_268qb14thj4q" w:id="16"/>
      <w:bookmarkEnd w:id="16"/>
      <w:r w:rsidDel="00000000" w:rsidR="00000000" w:rsidRPr="00000000">
        <w:rPr>
          <w:rtl w:val="0"/>
        </w:rPr>
      </w:r>
    </w:p>
    <w:p w:rsidR="00000000" w:rsidDel="00000000" w:rsidP="00000000" w:rsidRDefault="00000000" w:rsidRPr="00000000" w14:paraId="00000042">
      <w:pPr>
        <w:pStyle w:val="Heading3"/>
        <w:keepNext w:val="0"/>
        <w:keepLines w:val="0"/>
        <w:spacing w:before="280" w:lineRule="auto"/>
        <w:rPr>
          <w:rFonts w:ascii="Times New Roman" w:cs="Times New Roman" w:eastAsia="Times New Roman" w:hAnsi="Times New Roman"/>
          <w:b w:val="1"/>
          <w:bCs w:val="1"/>
          <w:color w:val="000000"/>
          <w:sz w:val="24"/>
          <w:szCs w:val="24"/>
        </w:rPr>
      </w:pPr>
      <w:bookmarkStart w:colFirst="0" w:colLast="0" w:name="_lece1tqfzt58" w:id="17"/>
      <w:bookmarkEnd w:id="17"/>
      <w:r w:rsidDel="00000000" w:rsidR="00000000" w:rsidRPr="00000000">
        <w:rPr>
          <w:rFonts w:ascii="Times New Roman" w:cs="Times New Roman" w:eastAsia="Times New Roman" w:hAnsi="Times New Roman"/>
          <w:b w:val="1"/>
          <w:bCs w:val="1"/>
          <w:color w:val="000000"/>
          <w:sz w:val="24"/>
          <w:szCs w:val="24"/>
          <w:rtl w:val="0"/>
        </w:rPr>
        <w:t xml:space="preserve">REFERENCES</w:t>
      </w:r>
    </w:p>
    <w:p w:rsidR="00000000" w:rsidDel="00000000" w:rsidP="00000000" w:rsidRDefault="00000000" w:rsidRPr="00000000" w14:paraId="00000043">
      <w:pPr>
        <w:numPr>
          <w:ilvl w:val="0"/>
          <w:numId w:val="2"/>
        </w:numPr>
        <w:spacing w:after="0" w:afterAutospacing="0" w:befor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United Nations. (1979). </w:t>
      </w:r>
      <w:r w:rsidDel="00000000" w:rsidR="00000000" w:rsidRPr="00000000">
        <w:rPr>
          <w:rFonts w:ascii="Times New Roman" w:cs="Times New Roman" w:eastAsia="Times New Roman" w:hAnsi="Times New Roman"/>
          <w:i w:val="1"/>
          <w:iCs w:val="1"/>
          <w:sz w:val="24"/>
          <w:szCs w:val="24"/>
          <w:rtl w:val="0"/>
        </w:rPr>
        <w:t xml:space="preserve">Convention on the Elimination of All Forms of Discrimination against Women</w:t>
      </w:r>
      <w:r w:rsidDel="00000000" w:rsidR="00000000" w:rsidRPr="00000000">
        <w:rPr>
          <w:rFonts w:ascii="Times New Roman" w:cs="Times New Roman" w:eastAsia="Times New Roman" w:hAnsi="Times New Roman"/>
          <w:sz w:val="24"/>
          <w:szCs w:val="24"/>
          <w:rtl w:val="0"/>
        </w:rPr>
        <w:t xml:space="preserve"> (Vietnamese translation).</w:t>
      </w:r>
    </w:p>
    <w:p w:rsidR="00000000" w:rsidDel="00000000" w:rsidP="00000000" w:rsidRDefault="00000000" w:rsidRPr="00000000" w14:paraId="00000044">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United Nations. (2025). </w:t>
      </w:r>
      <w:r w:rsidDel="00000000" w:rsidR="00000000" w:rsidRPr="00000000">
        <w:rPr>
          <w:rFonts w:ascii="Times New Roman" w:cs="Times New Roman" w:eastAsia="Times New Roman" w:hAnsi="Times New Roman"/>
          <w:i w:val="1"/>
          <w:iCs w:val="1"/>
          <w:sz w:val="24"/>
          <w:szCs w:val="24"/>
          <w:rtl w:val="0"/>
        </w:rPr>
        <w:t xml:space="preserve">CEDAW/C/90/2: Convention on the Elimination of All Forms of Discrimination against Women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5">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Viet Nam. (2023). </w:t>
      </w:r>
      <w:r w:rsidDel="00000000" w:rsidR="00000000" w:rsidRPr="00000000">
        <w:rPr>
          <w:rFonts w:ascii="Times New Roman" w:cs="Times New Roman" w:eastAsia="Times New Roman" w:hAnsi="Times New Roman"/>
          <w:i w:val="1"/>
          <w:iCs w:val="1"/>
          <w:sz w:val="24"/>
          <w:szCs w:val="24"/>
          <w:rtl w:val="0"/>
        </w:rPr>
        <w:t xml:space="preserve">Ninth periodic report submitted by Viet Nam (CEDAW/C/VNM/9).</w:t>
      </w:r>
    </w:p>
    <w:p w:rsidR="00000000" w:rsidDel="00000000" w:rsidP="00000000" w:rsidRDefault="00000000" w:rsidRPr="00000000" w14:paraId="00000046">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United Nations &amp; Viet Nam. (2021). </w:t>
      </w:r>
      <w:r w:rsidDel="00000000" w:rsidR="00000000" w:rsidRPr="00000000">
        <w:rPr>
          <w:rFonts w:ascii="Times New Roman" w:cs="Times New Roman" w:eastAsia="Times New Roman" w:hAnsi="Times New Roman"/>
          <w:i w:val="1"/>
          <w:iCs w:val="1"/>
          <w:sz w:val="24"/>
          <w:szCs w:val="24"/>
          <w:rtl w:val="0"/>
        </w:rPr>
        <w:t xml:space="preserve">Country Gender Equality Profile — Viet Nam (CGEP).</w:t>
      </w:r>
    </w:p>
    <w:p w:rsidR="00000000" w:rsidDel="00000000" w:rsidP="00000000" w:rsidRDefault="00000000" w:rsidRPr="00000000" w14:paraId="00000047">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UNESCO. (2018). </w:t>
      </w:r>
      <w:r w:rsidDel="00000000" w:rsidR="00000000" w:rsidRPr="00000000">
        <w:rPr>
          <w:rFonts w:ascii="Times New Roman" w:cs="Times New Roman" w:eastAsia="Times New Roman" w:hAnsi="Times New Roman"/>
          <w:i w:val="1"/>
          <w:iCs w:val="1"/>
          <w:sz w:val="24"/>
          <w:szCs w:val="24"/>
          <w:rtl w:val="0"/>
        </w:rPr>
        <w:t xml:space="preserve">Gender Equality and Girls’ Education Initiative in Viet Nam Final Evaluation report.</w:t>
      </w:r>
    </w:p>
    <w:p w:rsidR="00000000" w:rsidDel="00000000" w:rsidP="00000000" w:rsidRDefault="00000000" w:rsidRPr="00000000" w14:paraId="00000048">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UNICEF. (2024). </w:t>
      </w:r>
      <w:r w:rsidDel="00000000" w:rsidR="00000000" w:rsidRPr="00000000">
        <w:rPr>
          <w:rFonts w:ascii="Times New Roman" w:cs="Times New Roman" w:eastAsia="Times New Roman" w:hAnsi="Times New Roman"/>
          <w:i w:val="1"/>
          <w:iCs w:val="1"/>
          <w:sz w:val="24"/>
          <w:szCs w:val="24"/>
          <w:rtl w:val="0"/>
        </w:rPr>
        <w:t xml:space="preserve">Convention on the Elimination of All Forms of Discrimination against Women — overview (Article 10).</w:t>
      </w:r>
    </w:p>
    <w:p w:rsidR="00000000" w:rsidDel="00000000" w:rsidP="00000000" w:rsidRDefault="00000000" w:rsidRPr="00000000" w14:paraId="00000049">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International Labour Organization. (2025). </w:t>
      </w:r>
      <w:r w:rsidDel="00000000" w:rsidR="00000000" w:rsidRPr="00000000">
        <w:rPr>
          <w:rFonts w:ascii="Times New Roman" w:cs="Times New Roman" w:eastAsia="Times New Roman" w:hAnsi="Times New Roman"/>
          <w:i w:val="1"/>
          <w:iCs w:val="1"/>
          <w:sz w:val="24"/>
          <w:szCs w:val="24"/>
          <w:rtl w:val="0"/>
        </w:rPr>
        <w:t xml:space="preserve">Country Gender Equality Profile – Viet Nam.</w:t>
      </w:r>
    </w:p>
    <w:p w:rsidR="00000000" w:rsidDel="00000000" w:rsidP="00000000" w:rsidRDefault="00000000" w:rsidRPr="00000000" w14:paraId="0000004A">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Ministry of Labour – Invalids and Social Affairs of Viet Nam. (2025). </w:t>
      </w:r>
      <w:r w:rsidDel="00000000" w:rsidR="00000000" w:rsidRPr="00000000">
        <w:rPr>
          <w:rFonts w:ascii="Times New Roman" w:cs="Times New Roman" w:eastAsia="Times New Roman" w:hAnsi="Times New Roman"/>
          <w:i w:val="1"/>
          <w:iCs w:val="1"/>
          <w:sz w:val="24"/>
          <w:szCs w:val="24"/>
          <w:rtl w:val="0"/>
        </w:rPr>
        <w:t xml:space="preserve">CEDAW Convention and legislation on gender equality.</w:t>
      </w:r>
    </w:p>
    <w:p w:rsidR="00000000" w:rsidDel="00000000" w:rsidP="00000000" w:rsidRDefault="00000000" w:rsidRPr="00000000" w14:paraId="0000004B">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Viet Nam Plus. (2024). </w:t>
      </w:r>
      <w:r w:rsidDel="00000000" w:rsidR="00000000" w:rsidRPr="00000000">
        <w:rPr>
          <w:rFonts w:ascii="Times New Roman" w:cs="Times New Roman" w:eastAsia="Times New Roman" w:hAnsi="Times New Roman"/>
          <w:i w:val="1"/>
          <w:iCs w:val="1"/>
          <w:sz w:val="24"/>
          <w:szCs w:val="24"/>
          <w:rtl w:val="0"/>
        </w:rPr>
        <w:t xml:space="preserve">Awareness &amp; girls' rights education event.</w:t>
      </w:r>
    </w:p>
    <w:p w:rsidR="00000000" w:rsidDel="00000000" w:rsidP="00000000" w:rsidRDefault="00000000" w:rsidRPr="00000000" w14:paraId="0000004C">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UNSDG. (2025). </w:t>
      </w:r>
      <w:r w:rsidDel="00000000" w:rsidR="00000000" w:rsidRPr="00000000">
        <w:rPr>
          <w:rFonts w:ascii="Times New Roman" w:cs="Times New Roman" w:eastAsia="Times New Roman" w:hAnsi="Times New Roman"/>
          <w:i w:val="1"/>
          <w:iCs w:val="1"/>
          <w:sz w:val="24"/>
          <w:szCs w:val="24"/>
          <w:rtl w:val="0"/>
        </w:rPr>
        <w:t xml:space="preserve">Viet Nam closes learning gaps towards education for all.</w:t>
      </w:r>
    </w:p>
    <w:p w:rsidR="00000000" w:rsidDel="00000000" w:rsidP="00000000" w:rsidRDefault="00000000" w:rsidRPr="00000000" w14:paraId="0000004D">
      <w:pPr>
        <w:numPr>
          <w:ilvl w:val="0"/>
          <w:numId w:val="2"/>
        </w:numPr>
        <w:spacing w:after="0" w:afterAutospacing="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GENCOMNET, et al. (2010). </w:t>
      </w:r>
      <w:r w:rsidDel="00000000" w:rsidR="00000000" w:rsidRPr="00000000">
        <w:rPr>
          <w:rFonts w:ascii="Times New Roman" w:cs="Times New Roman" w:eastAsia="Times New Roman" w:hAnsi="Times New Roman"/>
          <w:i w:val="1"/>
          <w:iCs w:val="1"/>
          <w:sz w:val="24"/>
          <w:szCs w:val="24"/>
          <w:rtl w:val="0"/>
        </w:rPr>
        <w:t xml:space="preserve">Reports by non-governmental organizations on the implementation of CEDAW in Viet Nam.</w:t>
      </w:r>
    </w:p>
    <w:p w:rsidR="00000000" w:rsidDel="00000000" w:rsidP="00000000" w:rsidRDefault="00000000" w:rsidRPr="00000000" w14:paraId="0000004E">
      <w:pPr>
        <w:numPr>
          <w:ilvl w:val="0"/>
          <w:numId w:val="2"/>
        </w:numPr>
        <w:spacing w:after="240" w:before="0" w:beforeAutospacing="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iCs w:val="1"/>
          <w:sz w:val="24"/>
          <w:szCs w:val="24"/>
          <w:rtl w:val="0"/>
        </w:rPr>
        <w:t xml:space="preserve">Viet Nam CEDAW compliance indicators</w:t>
      </w:r>
      <w:r w:rsidDel="00000000" w:rsidR="00000000" w:rsidRPr="00000000">
        <w:rPr>
          <w:rFonts w:ascii="Times New Roman" w:cs="Times New Roman" w:eastAsia="Times New Roman" w:hAnsi="Times New Roman"/>
          <w:sz w:val="24"/>
          <w:szCs w:val="24"/>
          <w:rtl w:val="0"/>
        </w:rPr>
        <w:t xml:space="preserve"> (Vietnamese).</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tl w:val="0"/>
        </w:rPr>
      </w:r>
    </w:p>
    <w:sectPr>
      <w:headerReference r:id="rId7" w:type="default"/>
      <w:headerReference r:id="rId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Committee on the Elimination of Discrimination against Women-</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18"/>
          <w:szCs w:val="18"/>
          <w:rtl w:val="0"/>
        </w:rPr>
        <w:t xml:space="preserve">Ninth periodic report submitted by Viet Nam under article 18 of the Convention</w:t>
      </w:r>
      <w:r w:rsidDel="00000000" w:rsidR="00000000" w:rsidRPr="00000000">
        <w:rPr>
          <w:rtl w:val="0"/>
        </w:rPr>
      </w:r>
    </w:p>
  </w:footnote>
  <w:footnote w:id="1">
    <w:p w:rsidR="00000000" w:rsidDel="00000000" w:rsidP="00000000" w:rsidRDefault="00000000" w:rsidRPr="00000000" w14:paraId="0000005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Times New Roman" w:cs="Times New Roman" w:eastAsia="Times New Roman" w:hAnsi="Times New Roman"/>
          <w:sz w:val="18"/>
          <w:szCs w:val="18"/>
          <w:rtl w:val="0"/>
        </w:rPr>
        <w:t xml:space="preserve">GENCOMNET, et al. (2010). </w:t>
      </w:r>
      <w:r w:rsidDel="00000000" w:rsidR="00000000" w:rsidRPr="00000000">
        <w:rPr>
          <w:rFonts w:ascii="Times New Roman" w:cs="Times New Roman" w:eastAsia="Times New Roman" w:hAnsi="Times New Roman"/>
          <w:i w:val="1"/>
          <w:iCs w:val="1"/>
          <w:sz w:val="18"/>
          <w:szCs w:val="18"/>
          <w:rtl w:val="0"/>
        </w:rPr>
        <w:t xml:space="preserve">Reports by non-governmental organizations on the implementation of CEDAW in Viet Nam.</w:t>
      </w:r>
      <w:r w:rsidDel="00000000" w:rsidR="00000000" w:rsidRPr="00000000">
        <w:rPr>
          <w:rtl w:val="0"/>
        </w:rPr>
      </w:r>
    </w:p>
  </w:footnote>
  <w:footnote w:id="2">
    <w:p w:rsidR="00000000" w:rsidDel="00000000" w:rsidP="00000000" w:rsidRDefault="00000000" w:rsidRPr="00000000" w14:paraId="00000052">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18"/>
          <w:szCs w:val="18"/>
          <w:rtl w:val="0"/>
        </w:rPr>
        <w:t xml:space="preserve">UNESCO. (2018). </w:t>
      </w:r>
      <w:r w:rsidDel="00000000" w:rsidR="00000000" w:rsidRPr="00000000">
        <w:rPr>
          <w:rFonts w:ascii="Times New Roman" w:cs="Times New Roman" w:eastAsia="Times New Roman" w:hAnsi="Times New Roman"/>
          <w:i w:val="1"/>
          <w:iCs w:val="1"/>
          <w:sz w:val="18"/>
          <w:szCs w:val="18"/>
          <w:rtl w:val="0"/>
        </w:rPr>
        <w:t xml:space="preserve">Gender Equality and Girls’ Education Initiative in Viet Nam Final Evaluation report.</w:t>
      </w:r>
      <w:r w:rsidDel="00000000" w:rsidR="00000000" w:rsidRPr="00000000">
        <w:rPr>
          <w:rtl w:val="0"/>
        </w:rPr>
      </w:r>
    </w:p>
  </w:footnote>
  <w:footnote w:id="3">
    <w:p w:rsidR="00000000" w:rsidDel="00000000" w:rsidP="00000000" w:rsidRDefault="00000000" w:rsidRPr="00000000" w14:paraId="0000005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Times New Roman" w:cs="Times New Roman" w:eastAsia="Times New Roman" w:hAnsi="Times New Roman"/>
          <w:sz w:val="18"/>
          <w:szCs w:val="18"/>
          <w:rtl w:val="0"/>
        </w:rPr>
        <w:t xml:space="preserve">UNICEF. (2024). </w:t>
      </w:r>
      <w:r w:rsidDel="00000000" w:rsidR="00000000" w:rsidRPr="00000000">
        <w:rPr>
          <w:rFonts w:ascii="Times New Roman" w:cs="Times New Roman" w:eastAsia="Times New Roman" w:hAnsi="Times New Roman"/>
          <w:i w:val="1"/>
          <w:iCs w:val="1"/>
          <w:sz w:val="18"/>
          <w:szCs w:val="18"/>
          <w:rtl w:val="0"/>
        </w:rPr>
        <w:t xml:space="preserve">Convention on the Elimination of All Forms of Discrimination against Women — overview (Article 10).</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