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412DF" w14:textId="47A55E87" w:rsidR="009D1048" w:rsidRPr="00A21F5E" w:rsidRDefault="002F2ADC">
      <w:pPr>
        <w:pStyle w:val="Heading1"/>
        <w:jc w:val="center"/>
        <w:rPr>
          <w:rFonts w:ascii="Calibri" w:hAnsi="Calibri" w:cs="Calibri"/>
          <w:color w:val="auto"/>
          <w:sz w:val="28"/>
          <w:szCs w:val="28"/>
          <w:lang w:val="en-GB"/>
        </w:rPr>
      </w:pPr>
      <w:r w:rsidRPr="00A21F5E">
        <w:rPr>
          <w:rFonts w:ascii="Calibri" w:hAnsi="Calibri" w:cs="Calibri"/>
          <w:color w:val="auto"/>
          <w:sz w:val="28"/>
          <w:szCs w:val="28"/>
          <w:lang w:val="en-GB"/>
        </w:rPr>
        <w:t xml:space="preserve">Alternative Report on Guinea-Bissau for the CEDAW Committee Session </w:t>
      </w:r>
    </w:p>
    <w:p w14:paraId="33C4E149" w14:textId="77777777" w:rsidR="009D1048" w:rsidRPr="00A21F5E" w:rsidRDefault="002F2ADC">
      <w:pPr>
        <w:jc w:val="center"/>
        <w:rPr>
          <w:rFonts w:ascii="Calibri" w:hAnsi="Calibri" w:cs="Calibri"/>
          <w:b/>
          <w:sz w:val="32"/>
          <w:szCs w:val="32"/>
          <w:lang w:val="en-GB"/>
        </w:rPr>
      </w:pPr>
      <w:r w:rsidRPr="00A21F5E">
        <w:rPr>
          <w:rFonts w:ascii="Calibri" w:hAnsi="Calibri" w:cs="Calibri"/>
          <w:b/>
          <w:sz w:val="32"/>
          <w:szCs w:val="32"/>
          <w:lang w:val="en-GB"/>
        </w:rPr>
        <w:t xml:space="preserve">Economic and social rights of women in Guinea-Bissau - Article 10 to 16 of CEDAW </w:t>
      </w:r>
    </w:p>
    <w:p w14:paraId="2303730E" w14:textId="77777777" w:rsidR="009D1048" w:rsidRPr="00A21F5E" w:rsidRDefault="009D1048">
      <w:pPr>
        <w:jc w:val="center"/>
        <w:rPr>
          <w:rFonts w:ascii="Calibri" w:hAnsi="Calibri" w:cs="Calibri"/>
          <w:b/>
          <w:lang w:val="en-GB"/>
        </w:rPr>
      </w:pPr>
    </w:p>
    <w:p w14:paraId="5661A924" w14:textId="77777777" w:rsidR="009D1048" w:rsidRPr="00A21F5E" w:rsidRDefault="002F2ADC">
      <w:pPr>
        <w:jc w:val="center"/>
        <w:rPr>
          <w:rFonts w:ascii="Calibri" w:hAnsi="Calibri" w:cs="Calibri"/>
          <w:b/>
          <w:lang w:val="en-GB"/>
        </w:rPr>
      </w:pPr>
      <w:r w:rsidRPr="00A21F5E">
        <w:rPr>
          <w:rFonts w:ascii="Calibri" w:hAnsi="Calibri" w:cs="Calibri"/>
          <w:b/>
          <w:lang w:val="en-GB"/>
        </w:rPr>
        <w:t xml:space="preserve">May 19, 2025 </w:t>
      </w:r>
    </w:p>
    <w:p w14:paraId="7BA2A7BC" w14:textId="77777777" w:rsidR="009D1048" w:rsidRPr="00A21F5E" w:rsidRDefault="009D1048">
      <w:pPr>
        <w:jc w:val="both"/>
        <w:rPr>
          <w:rFonts w:ascii="Calibri" w:eastAsia="Times New Roman" w:hAnsi="Calibri" w:cs="Calibri"/>
          <w:sz w:val="24"/>
          <w:szCs w:val="24"/>
          <w:lang w:val="en-GB"/>
        </w:rPr>
      </w:pPr>
    </w:p>
    <w:p w14:paraId="2A09D973" w14:textId="77777777"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We thank the Committee on the Elimination of Discrimination against Women for this opportunity to address them during the second Guinea-Bissau Review. The focus of this report is on women's rights to education, work and employment, as well as rights related to economic and social life, legal capacity and those related to marriage and family relations, i.e. those provided for in articles 10 to 16 of CEDAW. In addition, it is about the specific reality of women in rural areas in accessing the rights provided for in the Convention.  </w:t>
      </w:r>
    </w:p>
    <w:p w14:paraId="56E7D7E2" w14:textId="77777777"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Our key recommendations to the Committee are respectfully noted at the end of each topic and highlighted within a box, as well as suggestions for questions to be asked to the State during the review.</w:t>
      </w:r>
    </w:p>
    <w:p w14:paraId="1751E168" w14:textId="77777777" w:rsidR="009D1048" w:rsidRPr="00A21F5E" w:rsidRDefault="009D1048">
      <w:pPr>
        <w:rPr>
          <w:rFonts w:ascii="Calibri" w:eastAsia="Times New Roman" w:hAnsi="Calibri" w:cs="Calibri"/>
          <w:sz w:val="24"/>
          <w:szCs w:val="24"/>
          <w:lang w:val="en-GB"/>
        </w:rPr>
      </w:pPr>
    </w:p>
    <w:p w14:paraId="47B3EDFF" w14:textId="77777777" w:rsidR="009D1048" w:rsidRPr="00A21F5E" w:rsidRDefault="002F2ADC">
      <w:pPr>
        <w:pStyle w:val="Heading3"/>
        <w:spacing w:before="240" w:after="240" w:line="288" w:lineRule="auto"/>
        <w:jc w:val="both"/>
        <w:rPr>
          <w:rFonts w:ascii="Calibri" w:hAnsi="Calibri" w:cs="Calibri"/>
          <w:color w:val="auto"/>
          <w:lang w:val="en-GB"/>
        </w:rPr>
      </w:pPr>
      <w:r w:rsidRPr="00A21F5E">
        <w:rPr>
          <w:rFonts w:ascii="Calibri" w:hAnsi="Calibri" w:cs="Calibri"/>
          <w:color w:val="auto"/>
          <w:lang w:val="en-GB"/>
        </w:rPr>
        <w:t xml:space="preserve">Methodology </w:t>
      </w:r>
    </w:p>
    <w:p w14:paraId="5CBE1971" w14:textId="5EBE4D80"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This Alternative Report was prepared by the organizations listed below, based on a Workshop promoted by the United Nations</w:t>
      </w:r>
      <w:r w:rsidR="002272CA" w:rsidRPr="00A21F5E">
        <w:rPr>
          <w:rFonts w:ascii="Calibri" w:eastAsia="Times New Roman" w:hAnsi="Calibri" w:cs="Calibri"/>
          <w:sz w:val="24"/>
          <w:szCs w:val="24"/>
          <w:lang w:val="en-GB"/>
        </w:rPr>
        <w:t xml:space="preserve"> Office of the</w:t>
      </w:r>
      <w:r w:rsidRPr="00A21F5E">
        <w:rPr>
          <w:rFonts w:ascii="Calibri" w:eastAsia="Times New Roman" w:hAnsi="Calibri" w:cs="Calibri"/>
          <w:sz w:val="24"/>
          <w:szCs w:val="24"/>
          <w:lang w:val="en-GB"/>
        </w:rPr>
        <w:t xml:space="preserve"> High Commissioner for Human Rights in Bissau/Guinea-Bissau, within the framework of the project "</w:t>
      </w:r>
      <w:r w:rsidR="002272CA" w:rsidRPr="00A21F5E">
        <w:rPr>
          <w:rFonts w:ascii="Calibri" w:eastAsia="Times New Roman" w:hAnsi="Calibri" w:cs="Calibri"/>
          <w:sz w:val="24"/>
          <w:szCs w:val="24"/>
          <w:lang w:val="en-GB"/>
        </w:rPr>
        <w:t>Enhancing</w:t>
      </w:r>
      <w:r w:rsidRPr="00A21F5E">
        <w:rPr>
          <w:rFonts w:ascii="Calibri" w:eastAsia="Times New Roman" w:hAnsi="Calibri" w:cs="Calibri"/>
          <w:sz w:val="24"/>
          <w:szCs w:val="24"/>
          <w:lang w:val="en-GB"/>
        </w:rPr>
        <w:t xml:space="preserve"> the Human Rights Protection System in Guinea-Bissau", financed by the Peacebuilding Fund and implemented by </w:t>
      </w:r>
      <w:r w:rsidR="002272CA" w:rsidRPr="00A21F5E">
        <w:rPr>
          <w:rFonts w:ascii="Calibri" w:eastAsia="Times New Roman" w:hAnsi="Calibri" w:cs="Calibri"/>
          <w:sz w:val="24"/>
          <w:szCs w:val="24"/>
          <w:lang w:val="en-GB"/>
        </w:rPr>
        <w:t>OHCHR,</w:t>
      </w:r>
      <w:r w:rsidRPr="00A21F5E">
        <w:rPr>
          <w:rFonts w:ascii="Calibri" w:eastAsia="Times New Roman" w:hAnsi="Calibri" w:cs="Calibri"/>
          <w:sz w:val="24"/>
          <w:szCs w:val="24"/>
          <w:lang w:val="en-GB"/>
        </w:rPr>
        <w:t xml:space="preserve"> UNDP and UNICEF. The workshop, held between May 7 and 9, 2025, involved 19 local organizations and networks and its main objective</w:t>
      </w:r>
      <w:r w:rsidR="002272CA" w:rsidRPr="00A21F5E">
        <w:rPr>
          <w:rFonts w:ascii="Calibri" w:eastAsia="Times New Roman" w:hAnsi="Calibri" w:cs="Calibri"/>
          <w:sz w:val="24"/>
          <w:szCs w:val="24"/>
          <w:lang w:val="en-GB"/>
        </w:rPr>
        <w:t xml:space="preserve"> was</w:t>
      </w:r>
      <w:r w:rsidRPr="00A21F5E">
        <w:rPr>
          <w:rFonts w:ascii="Calibri" w:eastAsia="Times New Roman" w:hAnsi="Calibri" w:cs="Calibri"/>
          <w:sz w:val="24"/>
          <w:szCs w:val="24"/>
          <w:lang w:val="en-GB"/>
        </w:rPr>
        <w:t xml:space="preserve"> to strengthen the capacity of civil society organizations in the country to effectively influence the CEDAW Committee, contributing to the process of periodic review of the State. </w:t>
      </w:r>
    </w:p>
    <w:p w14:paraId="03E2DAAC"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information presented here was widely discussed by the participating organisations </w:t>
      </w:r>
      <w:proofErr w:type="gramStart"/>
      <w:r w:rsidRPr="00A21F5E">
        <w:rPr>
          <w:rFonts w:ascii="Calibri" w:eastAsia="Times New Roman" w:hAnsi="Calibri" w:cs="Calibri"/>
          <w:sz w:val="24"/>
          <w:szCs w:val="24"/>
          <w:lang w:val="en-GB"/>
        </w:rPr>
        <w:t>in order to</w:t>
      </w:r>
      <w:proofErr w:type="gramEnd"/>
      <w:r w:rsidRPr="00A21F5E">
        <w:rPr>
          <w:rFonts w:ascii="Calibri" w:eastAsia="Times New Roman" w:hAnsi="Calibri" w:cs="Calibri"/>
          <w:sz w:val="24"/>
          <w:szCs w:val="24"/>
          <w:lang w:val="en-GB"/>
        </w:rPr>
        <w:t xml:space="preserve"> choose the best way to address each of the themes, as well as the priority issues. In addition, they are based on the daily work of organizations in </w:t>
      </w:r>
      <w:proofErr w:type="spellStart"/>
      <w:r w:rsidRPr="00A21F5E">
        <w:rPr>
          <w:rFonts w:ascii="Calibri" w:eastAsia="Times New Roman" w:hAnsi="Calibri" w:cs="Calibri"/>
          <w:sz w:val="24"/>
          <w:szCs w:val="24"/>
          <w:lang w:val="en-GB"/>
        </w:rPr>
        <w:t>favor</w:t>
      </w:r>
      <w:proofErr w:type="spellEnd"/>
      <w:r w:rsidRPr="00A21F5E">
        <w:rPr>
          <w:rFonts w:ascii="Calibri" w:eastAsia="Times New Roman" w:hAnsi="Calibri" w:cs="Calibri"/>
          <w:sz w:val="24"/>
          <w:szCs w:val="24"/>
          <w:lang w:val="en-GB"/>
        </w:rPr>
        <w:t xml:space="preserve"> of the rights of women and girls in the country, in their reports, research and complaints. </w:t>
      </w:r>
    </w:p>
    <w:p w14:paraId="30EBAB10" w14:textId="77777777" w:rsidR="009D1048" w:rsidRPr="00A21F5E" w:rsidRDefault="009D1048">
      <w:pPr>
        <w:spacing w:before="240" w:after="240" w:line="288" w:lineRule="auto"/>
        <w:jc w:val="both"/>
        <w:rPr>
          <w:rFonts w:ascii="Calibri" w:hAnsi="Calibri" w:cs="Calibri"/>
          <w:b/>
          <w:lang w:val="en-GB"/>
        </w:rPr>
      </w:pPr>
    </w:p>
    <w:p w14:paraId="5C0E4F97" w14:textId="77777777" w:rsidR="009D1048" w:rsidRPr="00A21F5E" w:rsidRDefault="002F2ADC">
      <w:pPr>
        <w:pStyle w:val="Heading3"/>
        <w:spacing w:before="240" w:after="240" w:line="288" w:lineRule="auto"/>
        <w:jc w:val="both"/>
        <w:rPr>
          <w:rFonts w:ascii="Calibri" w:hAnsi="Calibri" w:cs="Calibri"/>
          <w:color w:val="auto"/>
          <w:lang w:val="en-GB"/>
        </w:rPr>
      </w:pPr>
      <w:r w:rsidRPr="00A21F5E">
        <w:rPr>
          <w:rFonts w:ascii="Calibri" w:hAnsi="Calibri" w:cs="Calibri"/>
          <w:color w:val="auto"/>
          <w:lang w:val="en-GB"/>
        </w:rPr>
        <w:lastRenderedPageBreak/>
        <w:t xml:space="preserve">Signatory organizations </w:t>
      </w:r>
    </w:p>
    <w:p w14:paraId="2C103856" w14:textId="77777777" w:rsidR="009D1048" w:rsidRPr="00A21F5E" w:rsidRDefault="002F2ADC">
      <w:pPr>
        <w:spacing w:before="240" w:after="240" w:line="288" w:lineRule="auto"/>
        <w:jc w:val="both"/>
        <w:rPr>
          <w:rFonts w:ascii="Calibri" w:eastAsia="Times New Roman" w:hAnsi="Calibri" w:cs="Calibri"/>
          <w:sz w:val="24"/>
          <w:szCs w:val="24"/>
          <w:lang w:val="en-GB"/>
        </w:rPr>
      </w:pPr>
      <w:bookmarkStart w:id="0" w:name="_heading=h.qu50skt4ry8i" w:colFirst="0" w:colLast="0"/>
      <w:bookmarkEnd w:id="0"/>
      <w:r w:rsidRPr="00A21F5E">
        <w:rPr>
          <w:rFonts w:ascii="Calibri" w:eastAsia="Times New Roman" w:hAnsi="Calibri" w:cs="Calibri"/>
          <w:b/>
          <w:sz w:val="24"/>
          <w:szCs w:val="24"/>
          <w:lang w:val="en-GB"/>
        </w:rPr>
        <w:t xml:space="preserve">ASSOCIATION FOR LOCAL URBAN DEVELOPMENT (NADEL): </w:t>
      </w:r>
      <w:r w:rsidRPr="00A21F5E">
        <w:rPr>
          <w:rFonts w:ascii="Calibri" w:eastAsia="Times New Roman" w:hAnsi="Calibri" w:cs="Calibri"/>
          <w:sz w:val="24"/>
          <w:szCs w:val="24"/>
          <w:lang w:val="en-GB"/>
        </w:rPr>
        <w:t xml:space="preserve">is a Guinean non-profit civil society organization that works with the objective of reducing urban poverty and promoting sustainable development in the peripheral communities of Guinea-Bissau. Focusing especially on disadvantaged </w:t>
      </w:r>
      <w:proofErr w:type="spellStart"/>
      <w:r w:rsidRPr="00A21F5E">
        <w:rPr>
          <w:rFonts w:ascii="Calibri" w:eastAsia="Times New Roman" w:hAnsi="Calibri" w:cs="Calibri"/>
          <w:sz w:val="24"/>
          <w:szCs w:val="24"/>
          <w:lang w:val="en-GB"/>
        </w:rPr>
        <w:t>neighborhoods</w:t>
      </w:r>
      <w:proofErr w:type="spellEnd"/>
      <w:r w:rsidRPr="00A21F5E">
        <w:rPr>
          <w:rFonts w:ascii="Calibri" w:eastAsia="Times New Roman" w:hAnsi="Calibri" w:cs="Calibri"/>
          <w:sz w:val="24"/>
          <w:szCs w:val="24"/>
          <w:lang w:val="en-GB"/>
        </w:rPr>
        <w:t xml:space="preserve">, NADEL works to strengthen community organization, with special attention to the protagonism of women, young people and other vulnerable groups. The association promotes training actions, social mobilization and support for local initiatives aimed at improving living conditions, encouraging active citizenship and expanding popular participation in urban development processes. By encouraging community self-management and the strengthening of local networks, NADEL contributes to the construction of more resilient, supportive communities committed to social justice. </w:t>
      </w:r>
    </w:p>
    <w:p w14:paraId="054E04FA"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b/>
          <w:sz w:val="24"/>
          <w:szCs w:val="24"/>
          <w:lang w:val="en-GB"/>
        </w:rPr>
        <w:t>MÃE VERDE:</w:t>
      </w:r>
      <w:r w:rsidRPr="00A21F5E">
        <w:rPr>
          <w:rFonts w:ascii="Calibri" w:eastAsia="Times New Roman" w:hAnsi="Calibri" w:cs="Calibri"/>
          <w:sz w:val="24"/>
          <w:szCs w:val="24"/>
          <w:lang w:val="en-GB"/>
        </w:rPr>
        <w:t xml:space="preserve"> is a civil society organization in Guinea-Bissau that defines itself as an expression of hope for the Guinean people, acting comprehensively in various social areas at the national level. With a commitment to promoting collective well-being, the organization develops initiatives that aim to improve the quality of life of communities, especially in contexts of vulnerability. Its areas of expertise include education, community health, environment, empowerment of women and youth, as well as actions aimed at social cohesion and sustainable development. </w:t>
      </w:r>
      <w:proofErr w:type="spellStart"/>
      <w:r w:rsidRPr="00A21F5E">
        <w:rPr>
          <w:rFonts w:ascii="Calibri" w:eastAsia="Times New Roman" w:hAnsi="Calibri" w:cs="Calibri"/>
          <w:b/>
          <w:sz w:val="24"/>
          <w:szCs w:val="24"/>
          <w:lang w:val="en-GB"/>
        </w:rPr>
        <w:t>Mãe</w:t>
      </w:r>
      <w:proofErr w:type="spellEnd"/>
      <w:r w:rsidRPr="00A21F5E">
        <w:rPr>
          <w:rFonts w:ascii="Calibri" w:eastAsia="Times New Roman" w:hAnsi="Calibri" w:cs="Calibri"/>
          <w:b/>
          <w:sz w:val="24"/>
          <w:szCs w:val="24"/>
          <w:lang w:val="en-GB"/>
        </w:rPr>
        <w:t xml:space="preserve"> Verde</w:t>
      </w:r>
      <w:r w:rsidRPr="00A21F5E">
        <w:rPr>
          <w:rFonts w:ascii="Calibri" w:eastAsia="Times New Roman" w:hAnsi="Calibri" w:cs="Calibri"/>
          <w:sz w:val="24"/>
          <w:szCs w:val="24"/>
          <w:lang w:val="en-GB"/>
        </w:rPr>
        <w:t xml:space="preserve"> stands out for its humanistic and integrative approach, promoting solidarity, citizen participation and social transformation throughout the national territory. </w:t>
      </w:r>
    </w:p>
    <w:p w14:paraId="1D21941C" w14:textId="58113865"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b/>
          <w:sz w:val="24"/>
          <w:szCs w:val="24"/>
          <w:lang w:val="en-GB"/>
        </w:rPr>
        <w:t xml:space="preserve">WOMEN TRAINERS FOR CITIZENSHIP: </w:t>
      </w:r>
      <w:r w:rsidRPr="00A21F5E">
        <w:rPr>
          <w:rFonts w:ascii="Calibri" w:eastAsia="Times New Roman" w:hAnsi="Calibri" w:cs="Calibri"/>
          <w:sz w:val="24"/>
          <w:szCs w:val="24"/>
          <w:lang w:val="en-GB"/>
        </w:rPr>
        <w:t>an organization created in 2010 and formalized in 2017, its mission is to promote the rights of women and girls through education, community training, and social activism. Its main areas of action include combating gender-based violence, promoting girls</w:t>
      </w:r>
      <w:r w:rsidR="00972C28" w:rsidRPr="00A21F5E">
        <w:rPr>
          <w:rFonts w:ascii="Calibri" w:eastAsia="Times New Roman" w:hAnsi="Calibri" w:cs="Calibri"/>
          <w:sz w:val="24"/>
          <w:szCs w:val="24"/>
          <w:lang w:val="en-GB"/>
        </w:rPr>
        <w:t>’</w:t>
      </w:r>
      <w:r w:rsidRPr="00A21F5E">
        <w:rPr>
          <w:rFonts w:ascii="Calibri" w:eastAsia="Times New Roman" w:hAnsi="Calibri" w:cs="Calibri"/>
          <w:sz w:val="24"/>
          <w:szCs w:val="24"/>
          <w:lang w:val="en-GB"/>
        </w:rPr>
        <w:t xml:space="preserve"> schooling, and raising awareness about active citizenship, gender equality, and social cohesion. The organization conducts workshops, community dialogues, and training actions aimed at empowering women at different levels, especially in rural and peripheral communities. With an educational and transformative approach, Women Trainers for Citizenship contributes to strengthening local capacities and building a culture of peace and respect for human rights. </w:t>
      </w:r>
    </w:p>
    <w:p w14:paraId="2C3BACDF"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b/>
          <w:sz w:val="24"/>
          <w:szCs w:val="24"/>
          <w:lang w:val="en-GB"/>
        </w:rPr>
        <w:t>WOMEN'S EMPOWERMENT CENTER FOR TEACHER TRAINING SCHOOLS (NEFESFORP):</w:t>
      </w:r>
      <w:r w:rsidRPr="00A21F5E">
        <w:rPr>
          <w:rFonts w:ascii="Calibri" w:eastAsia="Times New Roman" w:hAnsi="Calibri" w:cs="Calibri"/>
          <w:sz w:val="24"/>
          <w:szCs w:val="24"/>
          <w:lang w:val="en-GB"/>
        </w:rPr>
        <w:t xml:space="preserve"> is a Guinean civil society organization whose main mission is to promote gender equality and female empowerment within the educational context, specifically in teacher training schools. Through training programs and activities, NEFESFORP seeks to strengthen the presence and leadership of women in the education sector, contributing to the construction of a more inclusive and equitable learning environment. In addition, the organization works to sensitize the academic community about the importance of </w:t>
      </w:r>
      <w:r w:rsidRPr="00A21F5E">
        <w:rPr>
          <w:rFonts w:ascii="Calibri" w:eastAsia="Times New Roman" w:hAnsi="Calibri" w:cs="Calibri"/>
          <w:sz w:val="24"/>
          <w:szCs w:val="24"/>
          <w:lang w:val="en-GB"/>
        </w:rPr>
        <w:lastRenderedPageBreak/>
        <w:t>education for social transformation, focusing on valuing women in the educational field and promoting education free of discrimination. By empowering future educators, NEFESFORP also strengthens the foundation for a more equitable and representative education system in Guinea-Bissau.</w:t>
      </w:r>
    </w:p>
    <w:p w14:paraId="0863B16B" w14:textId="77777777" w:rsidR="009D1048" w:rsidRPr="00A21F5E" w:rsidRDefault="002F2ADC">
      <w:pPr>
        <w:spacing w:before="240" w:after="240" w:line="288" w:lineRule="auto"/>
        <w:jc w:val="both"/>
        <w:rPr>
          <w:rFonts w:ascii="Calibri" w:eastAsia="Times New Roman" w:hAnsi="Calibri" w:cs="Calibri"/>
          <w:b/>
          <w:sz w:val="24"/>
          <w:szCs w:val="24"/>
          <w:lang w:val="en-GB"/>
        </w:rPr>
      </w:pPr>
      <w:r w:rsidRPr="00A21F5E">
        <w:rPr>
          <w:rFonts w:ascii="Calibri" w:eastAsia="Times New Roman" w:hAnsi="Calibri" w:cs="Calibri"/>
          <w:b/>
          <w:sz w:val="24"/>
          <w:szCs w:val="24"/>
          <w:lang w:val="en-GB"/>
        </w:rPr>
        <w:t xml:space="preserve">NATIONAL NETWORK OF WOMEN WITH DISABILITIES:  </w:t>
      </w:r>
      <w:r w:rsidRPr="00A21F5E">
        <w:rPr>
          <w:rFonts w:ascii="Calibri" w:eastAsia="Times New Roman" w:hAnsi="Calibri" w:cs="Calibri"/>
          <w:sz w:val="24"/>
          <w:szCs w:val="24"/>
          <w:lang w:val="en-GB"/>
        </w:rPr>
        <w:t xml:space="preserve">This network is made up of women with disabilities who seek to promote the inclusion and rights of women with disabilities in the country. The network works to raise awareness about the issues faced by these women, to promote their full and effective participation in society, and to advocate for public policies that guarantee their rights, including access to education, health, employment, and political participation. </w:t>
      </w:r>
    </w:p>
    <w:p w14:paraId="739A1781" w14:textId="13D6F8D5"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b/>
          <w:sz w:val="24"/>
          <w:szCs w:val="24"/>
          <w:lang w:val="en-GB"/>
        </w:rPr>
        <w:t xml:space="preserve">NATIONAL NETWORK OF WOMEN PROOFESSORAS AND EDUCATORS OF GUINEA-BISSAU (RENAMPE-GB): </w:t>
      </w:r>
      <w:r w:rsidRPr="00A21F5E">
        <w:rPr>
          <w:rFonts w:ascii="Calibri" w:eastAsia="Times New Roman" w:hAnsi="Calibri" w:cs="Calibri"/>
          <w:sz w:val="24"/>
          <w:szCs w:val="24"/>
          <w:lang w:val="en-GB"/>
        </w:rPr>
        <w:t xml:space="preserve"> is an organization committed to the promotion of education, with an emphasis on the schooling of girls, especially in the most peripheral regions of Guinea-Bissau. RENAMPE-GB works to ensure the permanence of girls in school, combating harmful practices such as dropping out of school during the cashew nut harvesting season and early and forced marriage, which directly affect the educational future of young women. In addition, the organization works to strengthen the social inclusion of teachers, using its position in the pacification and awareness of the student layer. </w:t>
      </w:r>
      <w:r w:rsidR="00310971" w:rsidRPr="00A21F5E">
        <w:rPr>
          <w:rFonts w:ascii="Calibri" w:eastAsia="Times New Roman" w:hAnsi="Calibri" w:cs="Calibri"/>
          <w:sz w:val="24"/>
          <w:szCs w:val="24"/>
          <w:lang w:val="en-GB"/>
        </w:rPr>
        <w:t>T</w:t>
      </w:r>
      <w:r w:rsidRPr="00A21F5E">
        <w:rPr>
          <w:rFonts w:ascii="Calibri" w:eastAsia="Times New Roman" w:hAnsi="Calibri" w:cs="Calibri"/>
          <w:sz w:val="24"/>
          <w:szCs w:val="24"/>
          <w:lang w:val="en-GB"/>
        </w:rPr>
        <w:t>hrough its actions, RENAMPE-GB seeks to create a more inclusive school environment where girls can complete their education without discrimination and without being forced to give up their educational opportunities. The network's work also involves raising awareness about the importance of women's education and building a more just and egalitarian society.</w:t>
      </w:r>
    </w:p>
    <w:p w14:paraId="730FC629" w14:textId="77777777" w:rsidR="009D1048" w:rsidRPr="00A21F5E" w:rsidRDefault="002F2ADC">
      <w:pPr>
        <w:pStyle w:val="Heading2"/>
        <w:jc w:val="both"/>
        <w:rPr>
          <w:rFonts w:ascii="Calibri" w:hAnsi="Calibri" w:cs="Calibri"/>
          <w:color w:val="auto"/>
          <w:lang w:val="en-GB"/>
        </w:rPr>
      </w:pPr>
      <w:r w:rsidRPr="00A21F5E">
        <w:rPr>
          <w:rFonts w:ascii="Calibri" w:hAnsi="Calibri" w:cs="Calibri"/>
          <w:color w:val="auto"/>
          <w:lang w:val="en-GB"/>
        </w:rPr>
        <w:t>1) Right to education (Art. 10)</w:t>
      </w:r>
    </w:p>
    <w:p w14:paraId="3F32089B"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Within Guinean society, including organized civil society, there is a widespread perception that state action in the field of education is precarious, poorly managed and does not reach all children and young people.</w:t>
      </w:r>
    </w:p>
    <w:p w14:paraId="5A66F7AE" w14:textId="77777777" w:rsidR="009D1048" w:rsidRPr="00A21F5E" w:rsidRDefault="002F2ADC">
      <w:pPr>
        <w:keepNext/>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Questions about public spending on education </w:t>
      </w:r>
    </w:p>
    <w:p w14:paraId="3B38B0BE"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In its report, the State indicates the increase in spending on education (par. 82). In this sense, it states that: "</w:t>
      </w:r>
      <w:r w:rsidRPr="00A21F5E">
        <w:rPr>
          <w:rFonts w:ascii="Calibri" w:eastAsia="Times New Roman" w:hAnsi="Calibri" w:cs="Calibri"/>
          <w:i/>
          <w:sz w:val="24"/>
          <w:szCs w:val="24"/>
          <w:lang w:val="en-GB"/>
        </w:rPr>
        <w:t xml:space="preserve">In 2021, the total expenditure of the Ministry of National Education and Higher Education reached 14.0% of State expenditure. In 2022, in line with the Committee's recommendations, expenditure covered an amount of FCFA 29,667 million </w:t>
      </w:r>
      <w:r w:rsidRPr="00A21F5E">
        <w:rPr>
          <w:rFonts w:ascii="Calibri" w:eastAsia="Times New Roman" w:hAnsi="Calibri" w:cs="Calibri"/>
          <w:i/>
          <w:sz w:val="24"/>
          <w:szCs w:val="24"/>
          <w:lang w:val="en-GB"/>
        </w:rPr>
        <w:lastRenderedPageBreak/>
        <w:t>and represents 18.3% of total current State expenditure. Compared to 2021, this is an increase of 25.7%.</w:t>
      </w:r>
      <w:r w:rsidRPr="00A21F5E">
        <w:rPr>
          <w:rFonts w:ascii="Calibri" w:eastAsia="Times New Roman" w:hAnsi="Calibri" w:cs="Calibri"/>
          <w:i/>
          <w:sz w:val="24"/>
          <w:szCs w:val="24"/>
          <w:vertAlign w:val="superscript"/>
          <w:lang w:val="en-GB"/>
        </w:rPr>
        <w:footnoteReference w:id="1"/>
      </w:r>
      <w:r w:rsidRPr="00A21F5E">
        <w:rPr>
          <w:rFonts w:ascii="Calibri" w:eastAsia="Times New Roman" w:hAnsi="Calibri" w:cs="Calibri"/>
          <w:i/>
          <w:sz w:val="24"/>
          <w:szCs w:val="24"/>
          <w:lang w:val="en-GB"/>
        </w:rPr>
        <w:t xml:space="preserve"> This demonstrates the State's commitment to improving education</w:t>
      </w:r>
      <w:r w:rsidRPr="00A21F5E">
        <w:rPr>
          <w:rFonts w:ascii="Calibri" w:eastAsia="Times New Roman" w:hAnsi="Calibri" w:cs="Calibri"/>
          <w:sz w:val="24"/>
          <w:szCs w:val="24"/>
          <w:lang w:val="en-GB"/>
        </w:rPr>
        <w:t xml:space="preserve">."  </w:t>
      </w:r>
    </w:p>
    <w:p w14:paraId="08E13D65"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The increase in public spending on education is very welcome, especially in the context of Guinea Bissau where spending on education is at a percentage below the world reference value.</w:t>
      </w:r>
      <w:r w:rsidRPr="00A21F5E">
        <w:rPr>
          <w:rFonts w:ascii="Calibri" w:eastAsia="Times New Roman" w:hAnsi="Calibri" w:cs="Calibri"/>
          <w:sz w:val="24"/>
          <w:szCs w:val="24"/>
          <w:vertAlign w:val="superscript"/>
          <w:lang w:val="en-GB"/>
        </w:rPr>
        <w:footnoteReference w:id="2"/>
      </w:r>
      <w:r w:rsidRPr="00A21F5E">
        <w:rPr>
          <w:rFonts w:ascii="Calibri" w:eastAsia="Times New Roman" w:hAnsi="Calibri" w:cs="Calibri"/>
          <w:sz w:val="24"/>
          <w:szCs w:val="24"/>
          <w:lang w:val="en-GB"/>
        </w:rPr>
        <w:t xml:space="preserve"> </w:t>
      </w:r>
    </w:p>
    <w:p w14:paraId="43FD1366"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However, it is necessary to make some considerations in relation to the information on the increase in expenses from 2022 to 2023. </w:t>
      </w:r>
    </w:p>
    <w:p w14:paraId="5EDE0360" w14:textId="6056F55D" w:rsidR="009D1048" w:rsidRPr="00A21F5E" w:rsidRDefault="00E97D1D">
      <w:pPr>
        <w:numPr>
          <w:ilvl w:val="0"/>
          <w:numId w:val="2"/>
        </w:numPr>
        <w:pBdr>
          <w:top w:val="nil"/>
          <w:left w:val="nil"/>
          <w:bottom w:val="nil"/>
          <w:right w:val="nil"/>
          <w:between w:val="nil"/>
        </w:pBdr>
        <w:spacing w:before="240" w:after="240" w:line="288" w:lineRule="auto"/>
        <w:jc w:val="both"/>
        <w:rPr>
          <w:rFonts w:ascii="Calibri" w:eastAsia="Times New Roman" w:hAnsi="Calibri" w:cs="Calibri"/>
          <w:b/>
          <w:sz w:val="24"/>
          <w:szCs w:val="24"/>
          <w:lang w:val="en-GB"/>
        </w:rPr>
      </w:pPr>
      <w:r w:rsidRPr="00A21F5E">
        <w:rPr>
          <w:rFonts w:ascii="Calibri" w:eastAsia="Times New Roman" w:hAnsi="Calibri" w:cs="Calibri"/>
          <w:b/>
          <w:sz w:val="24"/>
          <w:szCs w:val="24"/>
          <w:lang w:val="en-GB"/>
        </w:rPr>
        <w:t xml:space="preserve">It is important to highlight that the nominal increase presented did not imply a real increase. With the correction in inflation, there is a decrease in percentage terms in the amounts of the budget allocated to the ministry. </w:t>
      </w:r>
    </w:p>
    <w:p w14:paraId="0634531E" w14:textId="77777777"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b/>
          <w:sz w:val="24"/>
          <w:szCs w:val="24"/>
          <w:lang w:val="en-GB"/>
        </w:rPr>
      </w:pPr>
      <w:r w:rsidRPr="00A21F5E">
        <w:rPr>
          <w:rFonts w:ascii="Calibri" w:eastAsia="Times New Roman" w:hAnsi="Calibri" w:cs="Calibri"/>
          <w:b/>
          <w:sz w:val="24"/>
          <w:szCs w:val="24"/>
          <w:lang w:val="en-GB"/>
        </w:rPr>
        <w:t xml:space="preserve">Education spending accounts for 9% of the total budget, which falls short of the global benchmark of 20%.  </w:t>
      </w:r>
    </w:p>
    <w:p w14:paraId="20656630" w14:textId="77777777"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b/>
          <w:sz w:val="24"/>
          <w:szCs w:val="24"/>
          <w:lang w:val="en-GB"/>
        </w:rPr>
      </w:pPr>
      <w:r w:rsidRPr="00A21F5E">
        <w:rPr>
          <w:rFonts w:ascii="Calibri" w:eastAsia="Times New Roman" w:hAnsi="Calibri" w:cs="Calibri"/>
          <w:b/>
          <w:sz w:val="24"/>
          <w:szCs w:val="24"/>
          <w:lang w:val="en-GB"/>
        </w:rPr>
        <w:t xml:space="preserve">Expenditure in the education sector is almost entirely absorbed by staff salaries, which account for between 97% and 99% of total current expenditure. </w:t>
      </w:r>
    </w:p>
    <w:p w14:paraId="6D0E136E" w14:textId="649F4C0C" w:rsidR="009D1048" w:rsidRPr="00A21F5E" w:rsidRDefault="002F2ADC" w:rsidP="0033035D">
      <w:p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This has several consequences</w:t>
      </w:r>
      <w:r w:rsidR="00310971" w:rsidRPr="00A21F5E">
        <w:rPr>
          <w:rFonts w:ascii="Calibri" w:eastAsia="Times New Roman" w:hAnsi="Calibri" w:cs="Calibri"/>
          <w:sz w:val="24"/>
          <w:szCs w:val="24"/>
          <w:lang w:val="en-GB"/>
        </w:rPr>
        <w:t>, which are important</w:t>
      </w:r>
      <w:r w:rsidRPr="00A21F5E">
        <w:rPr>
          <w:rFonts w:ascii="Calibri" w:eastAsia="Times New Roman" w:hAnsi="Calibri" w:cs="Calibri"/>
          <w:sz w:val="24"/>
          <w:szCs w:val="24"/>
          <w:lang w:val="en-GB"/>
        </w:rPr>
        <w:t xml:space="preserve"> to be </w:t>
      </w:r>
      <w:proofErr w:type="spellStart"/>
      <w:r w:rsidRPr="00A21F5E">
        <w:rPr>
          <w:rFonts w:ascii="Calibri" w:eastAsia="Times New Roman" w:hAnsi="Calibri" w:cs="Calibri"/>
          <w:sz w:val="24"/>
          <w:szCs w:val="24"/>
          <w:lang w:val="en-GB"/>
        </w:rPr>
        <w:t>analyzed</w:t>
      </w:r>
      <w:proofErr w:type="spellEnd"/>
      <w:r w:rsidRPr="00A21F5E">
        <w:rPr>
          <w:rFonts w:ascii="Calibri" w:eastAsia="Times New Roman" w:hAnsi="Calibri" w:cs="Calibri"/>
          <w:sz w:val="24"/>
          <w:szCs w:val="24"/>
          <w:lang w:val="en-GB"/>
        </w:rPr>
        <w:t xml:space="preserve"> by the CEDAW Committee. </w:t>
      </w:r>
      <w:proofErr w:type="gramStart"/>
      <w:r w:rsidRPr="00A21F5E">
        <w:rPr>
          <w:rFonts w:ascii="Calibri" w:eastAsia="Times New Roman" w:hAnsi="Calibri" w:cs="Calibri"/>
          <w:sz w:val="24"/>
          <w:szCs w:val="24"/>
          <w:lang w:val="en-GB"/>
        </w:rPr>
        <w:t>First of all</w:t>
      </w:r>
      <w:proofErr w:type="gramEnd"/>
      <w:r w:rsidRPr="00A21F5E">
        <w:rPr>
          <w:rFonts w:ascii="Calibri" w:eastAsia="Times New Roman" w:hAnsi="Calibri" w:cs="Calibri"/>
          <w:sz w:val="24"/>
          <w:szCs w:val="24"/>
          <w:lang w:val="en-GB"/>
        </w:rPr>
        <w:t xml:space="preserve">, this means that there are no resources to invest in anything else within the education system. In addition, it repositions the discussions about frequent and notorious </w:t>
      </w:r>
      <w:r w:rsidR="000713E9" w:rsidRPr="00A21F5E">
        <w:rPr>
          <w:rFonts w:ascii="Calibri" w:eastAsia="Times New Roman" w:hAnsi="Calibri" w:cs="Calibri"/>
          <w:sz w:val="24"/>
          <w:szCs w:val="24"/>
          <w:lang w:val="en-GB"/>
        </w:rPr>
        <w:t>delays</w:t>
      </w:r>
      <w:r w:rsidRPr="00A21F5E">
        <w:rPr>
          <w:rFonts w:ascii="Calibri" w:eastAsia="Times New Roman" w:hAnsi="Calibri" w:cs="Calibri"/>
          <w:sz w:val="24"/>
          <w:szCs w:val="24"/>
          <w:lang w:val="en-GB"/>
        </w:rPr>
        <w:t xml:space="preserve"> in payment of teachers in the country. </w:t>
      </w:r>
    </w:p>
    <w:p w14:paraId="500C548D" w14:textId="7A8C5CEA" w:rsidR="009D1048" w:rsidRPr="00A21F5E" w:rsidRDefault="002F2ADC" w:rsidP="00C62472">
      <w:p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In this sense, information is widely disseminated in the country that the World Bank has taken over the payment of teachers' salaries for a long period. In the scenario described above about the delays, only the schools covered by international cooperation regularly paid the teachers. </w:t>
      </w:r>
    </w:p>
    <w:p w14:paraId="04148D27" w14:textId="76FC1F73" w:rsidR="009D1048" w:rsidRPr="00A21F5E" w:rsidRDefault="002F2ADC" w:rsidP="00DF3753">
      <w:p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If between 97% and 99% of total expenses are consumed with the payment of salaries, what explains the frequent delays? Where is the money for education in Guinea-Bissau?</w:t>
      </w:r>
    </w:p>
    <w:p w14:paraId="2377C22C" w14:textId="77777777" w:rsidR="009D1048" w:rsidRPr="00A21F5E" w:rsidRDefault="002F2ADC" w:rsidP="00DF3753">
      <w:p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Transparency and access to information on the implementation of public education policy are urgent. </w:t>
      </w:r>
    </w:p>
    <w:p w14:paraId="54131D08" w14:textId="11F957CC"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b/>
          <w:sz w:val="24"/>
          <w:szCs w:val="24"/>
          <w:lang w:val="en-GB"/>
        </w:rPr>
      </w:pPr>
      <w:r w:rsidRPr="00A21F5E">
        <w:rPr>
          <w:rFonts w:ascii="Calibri" w:eastAsia="Times New Roman" w:hAnsi="Calibri" w:cs="Calibri"/>
          <w:b/>
          <w:sz w:val="24"/>
          <w:szCs w:val="24"/>
          <w:lang w:val="en-GB"/>
        </w:rPr>
        <w:t xml:space="preserve">The capital Bissau concentrates more than 60% of public resources, but serves only 26% of students, while regions such as </w:t>
      </w:r>
      <w:proofErr w:type="spellStart"/>
      <w:r w:rsidRPr="00A21F5E">
        <w:rPr>
          <w:rFonts w:ascii="Calibri" w:eastAsia="Times New Roman" w:hAnsi="Calibri" w:cs="Calibri"/>
          <w:b/>
          <w:sz w:val="24"/>
          <w:szCs w:val="24"/>
          <w:lang w:val="en-GB"/>
        </w:rPr>
        <w:t>Oio</w:t>
      </w:r>
      <w:proofErr w:type="spellEnd"/>
      <w:r w:rsidRPr="00A21F5E">
        <w:rPr>
          <w:rFonts w:ascii="Calibri" w:eastAsia="Times New Roman" w:hAnsi="Calibri" w:cs="Calibri"/>
          <w:b/>
          <w:sz w:val="24"/>
          <w:szCs w:val="24"/>
          <w:lang w:val="en-GB"/>
        </w:rPr>
        <w:t xml:space="preserve">, with 14% of students, receive </w:t>
      </w:r>
      <w:r w:rsidRPr="00A21F5E">
        <w:rPr>
          <w:rFonts w:ascii="Calibri" w:eastAsia="Times New Roman" w:hAnsi="Calibri" w:cs="Calibri"/>
          <w:b/>
          <w:sz w:val="24"/>
          <w:szCs w:val="24"/>
          <w:lang w:val="en-GB"/>
        </w:rPr>
        <w:lastRenderedPageBreak/>
        <w:t xml:space="preserve">less than 4% of resources. This reveals a picture of </w:t>
      </w:r>
      <w:r w:rsidR="000713E9" w:rsidRPr="00A21F5E">
        <w:rPr>
          <w:rFonts w:ascii="Calibri" w:eastAsia="Times New Roman" w:hAnsi="Calibri" w:cs="Calibri"/>
          <w:b/>
          <w:sz w:val="24"/>
          <w:szCs w:val="24"/>
          <w:lang w:val="en-GB"/>
        </w:rPr>
        <w:t>a fragrant</w:t>
      </w:r>
      <w:r w:rsidRPr="00A21F5E">
        <w:rPr>
          <w:rFonts w:ascii="Calibri" w:eastAsia="Times New Roman" w:hAnsi="Calibri" w:cs="Calibri"/>
          <w:b/>
          <w:sz w:val="24"/>
          <w:szCs w:val="24"/>
          <w:lang w:val="en-GB"/>
        </w:rPr>
        <w:t xml:space="preserve"> lack of assistance from regions other than the capital and notably from rural areas. </w:t>
      </w:r>
    </w:p>
    <w:p w14:paraId="499E793A"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Lack of conditions in schools and in the management of public education </w:t>
      </w:r>
    </w:p>
    <w:p w14:paraId="5F9D8DFF"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following are concrete examples of the precarious situation of the education system: </w:t>
      </w:r>
    </w:p>
    <w:p w14:paraId="3A5D4701" w14:textId="7F6F6E15"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Schools suffer from a lack of school supplies, including </w:t>
      </w:r>
      <w:r w:rsidR="00A21F5E" w:rsidRPr="00A21F5E">
        <w:rPr>
          <w:rFonts w:ascii="Calibri" w:eastAsia="Times New Roman" w:hAnsi="Calibri" w:cs="Calibri"/>
          <w:sz w:val="24"/>
          <w:szCs w:val="24"/>
          <w:lang w:val="en-GB"/>
        </w:rPr>
        <w:t>books and</w:t>
      </w:r>
      <w:r w:rsidRPr="00A21F5E">
        <w:rPr>
          <w:rFonts w:ascii="Calibri" w:eastAsia="Times New Roman" w:hAnsi="Calibri" w:cs="Calibri"/>
          <w:sz w:val="24"/>
          <w:szCs w:val="24"/>
          <w:lang w:val="en-GB"/>
        </w:rPr>
        <w:t xml:space="preserve"> materials that would be essential to, for example, implement the new curriculum, mentioned by the State in its Report. They also suffer from the deficit of hired teachers and the lack of formalization of many hires.</w:t>
      </w:r>
    </w:p>
    <w:p w14:paraId="2779C343" w14:textId="77777777"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High positions in the management of public education – including the Ministry of Education – are occupied by people with low or no technical qualifications to work in the education portfolio. </w:t>
      </w:r>
    </w:p>
    <w:p w14:paraId="0544A946" w14:textId="77777777"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Strikes in schools are associated with </w:t>
      </w:r>
      <w:proofErr w:type="gramStart"/>
      <w:r w:rsidRPr="00A21F5E">
        <w:rPr>
          <w:rFonts w:ascii="Calibri" w:eastAsia="Times New Roman" w:hAnsi="Calibri" w:cs="Calibri"/>
          <w:sz w:val="24"/>
          <w:szCs w:val="24"/>
          <w:lang w:val="en-GB"/>
        </w:rPr>
        <w:t>a number of</w:t>
      </w:r>
      <w:proofErr w:type="gramEnd"/>
      <w:r w:rsidRPr="00A21F5E">
        <w:rPr>
          <w:rFonts w:ascii="Calibri" w:eastAsia="Times New Roman" w:hAnsi="Calibri" w:cs="Calibri"/>
          <w:sz w:val="24"/>
          <w:szCs w:val="24"/>
          <w:lang w:val="en-GB"/>
        </w:rPr>
        <w:t xml:space="preserve"> factors: (</w:t>
      </w:r>
      <w:proofErr w:type="spellStart"/>
      <w:r w:rsidRPr="00A21F5E">
        <w:rPr>
          <w:rFonts w:ascii="Calibri" w:eastAsia="Times New Roman" w:hAnsi="Calibri" w:cs="Calibri"/>
          <w:sz w:val="24"/>
          <w:szCs w:val="24"/>
          <w:lang w:val="en-GB"/>
        </w:rPr>
        <w:t>i</w:t>
      </w:r>
      <w:proofErr w:type="spellEnd"/>
      <w:r w:rsidRPr="00A21F5E">
        <w:rPr>
          <w:rFonts w:ascii="Calibri" w:eastAsia="Times New Roman" w:hAnsi="Calibri" w:cs="Calibri"/>
          <w:sz w:val="24"/>
          <w:szCs w:val="24"/>
          <w:lang w:val="en-GB"/>
        </w:rPr>
        <w:t>) lack of working conditions; (ii) negligible remuneration; (iii) delay in teachers' payments.  Regarding payment delays, the data are alarming: In 2024, teachers worked for 7 months and did not receive remuneration. In 2025, they received the equivalent of 2 months' salary.</w:t>
      </w:r>
    </w:p>
    <w:p w14:paraId="361EA44B" w14:textId="77777777"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During strikes, there is no openness on the part of the authorities to dialogue with the category. This reality has a more intense impact on women, since the category of basic education teachers in Guinea-Bissau is composed mostly of women.</w:t>
      </w:r>
    </w:p>
    <w:p w14:paraId="50919E1F" w14:textId="77777777" w:rsidR="009D1048" w:rsidRPr="00A21F5E" w:rsidRDefault="002F2ADC">
      <w:pPr>
        <w:numPr>
          <w:ilvl w:val="0"/>
          <w:numId w:val="2"/>
        </w:numPr>
        <w:pBdr>
          <w:top w:val="nil"/>
          <w:left w:val="nil"/>
          <w:bottom w:val="nil"/>
          <w:right w:val="nil"/>
          <w:between w:val="nil"/>
        </w:pBd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There is an unjustified differentiation between public and private schools, to the benefit of private schools and to the detriment of public schools.</w:t>
      </w:r>
    </w:p>
    <w:p w14:paraId="7D6BF309" w14:textId="3154991A"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School dropout affects girls more strongly </w:t>
      </w:r>
    </w:p>
    <w:p w14:paraId="31579010" w14:textId="6787A5A8"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Girls have shown excellent school performance. Despite this, they are the ones who suffer the most from school dropout due to a series of different factors, such as: (</w:t>
      </w:r>
      <w:proofErr w:type="spellStart"/>
      <w:r w:rsidRPr="00A21F5E">
        <w:rPr>
          <w:rFonts w:ascii="Calibri" w:eastAsia="Times New Roman" w:hAnsi="Calibri" w:cs="Calibri"/>
          <w:sz w:val="24"/>
          <w:szCs w:val="24"/>
          <w:lang w:val="en-GB"/>
        </w:rPr>
        <w:t>i</w:t>
      </w:r>
      <w:proofErr w:type="spellEnd"/>
      <w:r w:rsidRPr="00A21F5E">
        <w:rPr>
          <w:rFonts w:ascii="Calibri" w:eastAsia="Times New Roman" w:hAnsi="Calibri" w:cs="Calibri"/>
          <w:sz w:val="24"/>
          <w:szCs w:val="24"/>
          <w:lang w:val="en-GB"/>
        </w:rPr>
        <w:t>) child marriage from the age of 15 (or earlier), after which they can no longer attend school; (ii) teenage pregnancy; (iii) prejudice and discrimination based on gender stereotypes that place girls in a situation of inferiority, also committed within the school environment by teachers;  (iv) harassment against girls within the school environment, including by teachers; (v) the precariousness of schools reinforces family prejudices in the sense that there is no point in sending girls to school, since there are often no classes or activities are compromised due to lack of conditions.</w:t>
      </w:r>
    </w:p>
    <w:p w14:paraId="073E8FF4"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lastRenderedPageBreak/>
        <w:t xml:space="preserve">Women and higher education </w:t>
      </w:r>
    </w:p>
    <w:p w14:paraId="06254AD4" w14:textId="1B79ED9F"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While in basic education there are more female teachers, in relation to higher education, there are more men. The inversion of the representation between basic and higher education corroborates the data on vertical and horizontal segregation presented by the State on the </w:t>
      </w:r>
      <w:r w:rsidR="00C1256C" w:rsidRPr="00A21F5E">
        <w:rPr>
          <w:rFonts w:ascii="Calibri" w:eastAsia="Times New Roman" w:hAnsi="Calibri" w:cs="Calibri"/>
          <w:sz w:val="24"/>
          <w:szCs w:val="24"/>
          <w:lang w:val="en-GB"/>
        </w:rPr>
        <w:t>labour</w:t>
      </w:r>
      <w:r w:rsidRPr="00A21F5E">
        <w:rPr>
          <w:rFonts w:ascii="Calibri" w:eastAsia="Times New Roman" w:hAnsi="Calibri" w:cs="Calibri"/>
          <w:sz w:val="24"/>
          <w:szCs w:val="24"/>
          <w:lang w:val="en-GB"/>
        </w:rPr>
        <w:t xml:space="preserve"> market and the employment domain. In addition, for reasons of representation, it is very important for girls and young people to see female teachers in higher education.  Finally, it contributes to the confrontation of gender stereotypes when it breaks with the logic that some political and social spaces would be closed to women.</w:t>
      </w:r>
    </w:p>
    <w:p w14:paraId="5FB4498E" w14:textId="1EB0081D"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Women</w:t>
      </w:r>
      <w:r w:rsidR="00C1256C">
        <w:rPr>
          <w:rFonts w:ascii="Calibri" w:eastAsia="Times New Roman" w:hAnsi="Calibri" w:cs="Calibri"/>
          <w:b/>
          <w:sz w:val="24"/>
          <w:szCs w:val="24"/>
          <w:u w:val="single"/>
          <w:lang w:val="en-GB"/>
        </w:rPr>
        <w:t>’</w:t>
      </w:r>
      <w:r w:rsidRPr="00A21F5E">
        <w:rPr>
          <w:rFonts w:ascii="Calibri" w:eastAsia="Times New Roman" w:hAnsi="Calibri" w:cs="Calibri"/>
          <w:b/>
          <w:sz w:val="24"/>
          <w:szCs w:val="24"/>
          <w:u w:val="single"/>
          <w:lang w:val="en-GB"/>
        </w:rPr>
        <w:t xml:space="preserve">s literacy  </w:t>
      </w:r>
    </w:p>
    <w:p w14:paraId="2276C2AD"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data presented by the State in its report on women's literacy are questioned. The figures seem implausible in the eyes of organizations that work daily with women in the country, in addition to contrasting with data from other sources, such as UNESCO, which indicate a percentage of 62.55% of literate women and girls in the country between 15 and 24 years old. </w:t>
      </w:r>
    </w:p>
    <w:p w14:paraId="41172484"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While progress is evident, Guinea-Bissau still faces significant challenges in promoting female literacy and the female literacy rate remains below the global average of approximately </w:t>
      </w:r>
      <w:r w:rsidRPr="00A21F5E">
        <w:rPr>
          <w:rFonts w:ascii="Calibri" w:eastAsia="Times New Roman" w:hAnsi="Calibri" w:cs="Calibri"/>
          <w:b/>
          <w:sz w:val="24"/>
          <w:szCs w:val="24"/>
          <w:lang w:val="en-GB"/>
        </w:rPr>
        <w:t>87%</w:t>
      </w:r>
      <w:r w:rsidRPr="00A21F5E">
        <w:rPr>
          <w:rFonts w:ascii="Calibri" w:eastAsia="Times New Roman" w:hAnsi="Calibri" w:cs="Calibri"/>
          <w:sz w:val="24"/>
          <w:szCs w:val="24"/>
          <w:lang w:val="en-GB"/>
        </w:rPr>
        <w:t xml:space="preserve"> for young women, which is why actions that prioritize women's literacy are of critical importance. </w:t>
      </w:r>
    </w:p>
    <w:p w14:paraId="2FE0A23D"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School feeding policy with the installation of canteens in schools  </w:t>
      </w:r>
    </w:p>
    <w:p w14:paraId="57BCC02C" w14:textId="5F03717B"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guarantee of school meals is a very important factor to ensure the attendance and permanence of children in school, especially girls. This policy should be </w:t>
      </w:r>
      <w:r w:rsidR="00C1256C" w:rsidRPr="00A21F5E">
        <w:rPr>
          <w:rFonts w:ascii="Calibri" w:eastAsia="Times New Roman" w:hAnsi="Calibri" w:cs="Calibri"/>
          <w:sz w:val="24"/>
          <w:szCs w:val="24"/>
          <w:lang w:val="en-GB"/>
        </w:rPr>
        <w:t>universalized,</w:t>
      </w:r>
      <w:r w:rsidRPr="00A21F5E">
        <w:rPr>
          <w:rFonts w:ascii="Calibri" w:eastAsia="Times New Roman" w:hAnsi="Calibri" w:cs="Calibri"/>
          <w:sz w:val="24"/>
          <w:szCs w:val="24"/>
          <w:lang w:val="en-GB"/>
        </w:rPr>
        <w:t xml:space="preserve"> and school canteens should be installed in schools in the regions. </w:t>
      </w:r>
    </w:p>
    <w:p w14:paraId="7F2532CB" w14:textId="77777777" w:rsidR="009D1048" w:rsidRPr="00A21F5E" w:rsidRDefault="009D1048">
      <w:pPr>
        <w:rPr>
          <w:rFonts w:ascii="Calibri" w:eastAsia="Times New Roman" w:hAnsi="Calibri" w:cs="Calibri"/>
          <w:sz w:val="24"/>
          <w:szCs w:val="24"/>
          <w:lang w:val="en-GB"/>
        </w:rPr>
      </w:pPr>
    </w:p>
    <w:tbl>
      <w:tblPr>
        <w:tblStyle w:val="a"/>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DB653F" w:rsidRPr="00A21F5E" w14:paraId="3429DBB3" w14:textId="77777777">
        <w:tc>
          <w:tcPr>
            <w:tcW w:w="8494" w:type="dxa"/>
          </w:tcPr>
          <w:p w14:paraId="511A9BA4" w14:textId="77777777" w:rsidR="009D1048" w:rsidRPr="00A21F5E" w:rsidRDefault="009D1048">
            <w:pPr>
              <w:jc w:val="both"/>
              <w:rPr>
                <w:rFonts w:ascii="Calibri" w:eastAsia="Times New Roman" w:hAnsi="Calibri" w:cs="Calibri"/>
                <w:b/>
                <w:sz w:val="24"/>
                <w:szCs w:val="24"/>
                <w:lang w:val="en-GB"/>
              </w:rPr>
            </w:pPr>
          </w:p>
          <w:p w14:paraId="04D1D333" w14:textId="77777777" w:rsidR="009D1048" w:rsidRPr="00A21F5E" w:rsidRDefault="002F2ADC">
            <w:pPr>
              <w:rPr>
                <w:rFonts w:ascii="Calibri" w:eastAsia="Times New Roman" w:hAnsi="Calibri" w:cs="Calibri"/>
                <w:b/>
                <w:sz w:val="24"/>
                <w:szCs w:val="24"/>
                <w:u w:val="single"/>
                <w:lang w:val="en-GB"/>
              </w:rPr>
            </w:pPr>
            <w:bookmarkStart w:id="1" w:name="_heading=h.am2itbx3zn9z" w:colFirst="0" w:colLast="0"/>
            <w:bookmarkEnd w:id="1"/>
            <w:r w:rsidRPr="00A21F5E">
              <w:rPr>
                <w:rFonts w:ascii="Calibri" w:eastAsia="Times New Roman" w:hAnsi="Calibri" w:cs="Calibri"/>
                <w:b/>
                <w:sz w:val="24"/>
                <w:szCs w:val="24"/>
                <w:u w:val="single"/>
                <w:lang w:val="en-GB"/>
              </w:rPr>
              <w:t xml:space="preserve">Suggestions for recommendations to be made to the State:  </w:t>
            </w:r>
          </w:p>
          <w:p w14:paraId="009FFF3B" w14:textId="77777777" w:rsidR="009D1048" w:rsidRPr="00A21F5E" w:rsidRDefault="009D1048">
            <w:pPr>
              <w:rPr>
                <w:rFonts w:ascii="Calibri" w:eastAsia="Times New Roman" w:hAnsi="Calibri" w:cs="Calibri"/>
                <w:b/>
                <w:sz w:val="24"/>
                <w:szCs w:val="24"/>
                <w:u w:val="single"/>
                <w:lang w:val="en-GB"/>
              </w:rPr>
            </w:pPr>
          </w:p>
          <w:p w14:paraId="150F3AA6" w14:textId="1011E78A"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Prioritizing the education budget, aligning allocations with international commitments and ensuring that related investments are progressively proportional to the growth of economic activity</w:t>
            </w:r>
            <w:r w:rsidR="00C1256C">
              <w:rPr>
                <w:rFonts w:ascii="Calibri" w:eastAsia="Times New Roman" w:hAnsi="Calibri" w:cs="Calibri"/>
                <w:sz w:val="24"/>
                <w:szCs w:val="24"/>
                <w:lang w:val="en-GB"/>
              </w:rPr>
              <w:t>.</w:t>
            </w:r>
            <w:r w:rsidRPr="00A21F5E">
              <w:rPr>
                <w:rFonts w:ascii="Calibri" w:eastAsia="Times New Roman" w:hAnsi="Calibri" w:cs="Calibri"/>
                <w:sz w:val="24"/>
                <w:szCs w:val="24"/>
                <w:lang w:val="en-GB"/>
              </w:rPr>
              <w:t xml:space="preserve"> </w:t>
            </w:r>
          </w:p>
          <w:p w14:paraId="0449BF56" w14:textId="77777777" w:rsidR="009D1048" w:rsidRPr="00A21F5E" w:rsidRDefault="009D1048">
            <w:pPr>
              <w:ind w:left="720"/>
              <w:jc w:val="both"/>
              <w:rPr>
                <w:rFonts w:ascii="Calibri" w:eastAsia="Times New Roman" w:hAnsi="Calibri" w:cs="Calibri"/>
                <w:sz w:val="24"/>
                <w:szCs w:val="24"/>
                <w:lang w:val="en-GB"/>
              </w:rPr>
            </w:pPr>
          </w:p>
          <w:p w14:paraId="1C3DFABB" w14:textId="6886FFDE"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Universalize the School Feeding Policy so that all schools have a school canteen with food supply for children</w:t>
            </w:r>
            <w:r w:rsidR="00C1256C">
              <w:rPr>
                <w:rFonts w:ascii="Calibri" w:eastAsia="Times New Roman" w:hAnsi="Calibri" w:cs="Calibri"/>
                <w:sz w:val="24"/>
                <w:szCs w:val="24"/>
                <w:lang w:val="en-GB"/>
              </w:rPr>
              <w:t>.</w:t>
            </w:r>
          </w:p>
          <w:p w14:paraId="10C8A7C6"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highlight w:val="yellow"/>
                <w:lang w:val="en-GB"/>
              </w:rPr>
            </w:pPr>
          </w:p>
          <w:p w14:paraId="7CD90BDD" w14:textId="5383E854"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Implement human rights education actions and build, with a guarantee of popular participation, a National Plan for Human Rights Education, as a </w:t>
            </w:r>
            <w:r w:rsidRPr="00A21F5E">
              <w:rPr>
                <w:rFonts w:ascii="Calibri" w:eastAsia="Times New Roman" w:hAnsi="Calibri" w:cs="Calibri"/>
                <w:sz w:val="24"/>
                <w:szCs w:val="24"/>
                <w:lang w:val="en-GB"/>
              </w:rPr>
              <w:lastRenderedPageBreak/>
              <w:t>strategy to increase access to rights and the capacity to participate in public and political life and as a mechanism to confront discrimination against women associated with harmful social and cultural practices and gender stereotypes</w:t>
            </w:r>
            <w:r w:rsidR="00C1256C">
              <w:rPr>
                <w:rFonts w:ascii="Calibri" w:eastAsia="Times New Roman" w:hAnsi="Calibri" w:cs="Calibri"/>
                <w:sz w:val="24"/>
                <w:szCs w:val="24"/>
                <w:lang w:val="en-GB"/>
              </w:rPr>
              <w:t>.</w:t>
            </w:r>
          </w:p>
          <w:p w14:paraId="2DA916EF"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4AE1916F" w14:textId="2199240F"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Implement the Citizenship Education Program aimed at training and updating teachers</w:t>
            </w:r>
            <w:r w:rsidR="00C1256C">
              <w:rPr>
                <w:rFonts w:ascii="Calibri" w:eastAsia="Times New Roman" w:hAnsi="Calibri" w:cs="Calibri"/>
                <w:sz w:val="24"/>
                <w:szCs w:val="24"/>
                <w:lang w:val="en-GB"/>
              </w:rPr>
              <w:t>.</w:t>
            </w:r>
          </w:p>
          <w:p w14:paraId="4A953B85" w14:textId="77777777" w:rsidR="009D1048" w:rsidRPr="00A21F5E" w:rsidRDefault="009D1048">
            <w:pPr>
              <w:ind w:left="720"/>
              <w:jc w:val="both"/>
              <w:rPr>
                <w:rFonts w:ascii="Calibri" w:eastAsia="Times New Roman" w:hAnsi="Calibri" w:cs="Calibri"/>
                <w:sz w:val="24"/>
                <w:szCs w:val="24"/>
                <w:lang w:val="en-GB"/>
              </w:rPr>
            </w:pPr>
          </w:p>
          <w:p w14:paraId="5A19423E" w14:textId="65AAEC96"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Introduce GBV issues into school curricula and promote training actions aimed at traditional and religious leaders</w:t>
            </w:r>
            <w:r w:rsidR="00C1256C">
              <w:rPr>
                <w:rFonts w:ascii="Calibri" w:eastAsia="Times New Roman" w:hAnsi="Calibri" w:cs="Calibri"/>
                <w:sz w:val="24"/>
                <w:szCs w:val="24"/>
                <w:lang w:val="en-GB"/>
              </w:rPr>
              <w:t>.</w:t>
            </w:r>
          </w:p>
          <w:p w14:paraId="160F3811"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60E69B19" w14:textId="22D6769A"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Prioritize literacy actions and campaigns for adult women</w:t>
            </w:r>
            <w:r w:rsidR="00C1256C">
              <w:rPr>
                <w:rFonts w:ascii="Calibri" w:eastAsia="Times New Roman" w:hAnsi="Calibri" w:cs="Calibri"/>
                <w:sz w:val="24"/>
                <w:szCs w:val="24"/>
                <w:lang w:val="en-GB"/>
              </w:rPr>
              <w:t>.</w:t>
            </w:r>
          </w:p>
          <w:p w14:paraId="09D8ED65"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6217F0F7" w14:textId="4E3A8665"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Prioritize increasing women's schooling, in </w:t>
            </w:r>
            <w:r w:rsidR="00C1256C" w:rsidRPr="00A21F5E">
              <w:rPr>
                <w:rFonts w:ascii="Calibri" w:eastAsia="Times New Roman" w:hAnsi="Calibri" w:cs="Calibri"/>
                <w:sz w:val="24"/>
                <w:szCs w:val="24"/>
                <w:lang w:val="en-GB"/>
              </w:rPr>
              <w:t>favour</w:t>
            </w:r>
            <w:r w:rsidRPr="00A21F5E">
              <w:rPr>
                <w:rFonts w:ascii="Calibri" w:eastAsia="Times New Roman" w:hAnsi="Calibri" w:cs="Calibri"/>
                <w:sz w:val="24"/>
                <w:szCs w:val="24"/>
                <w:lang w:val="en-GB"/>
              </w:rPr>
              <w:t xml:space="preserve"> of women's own rights and </w:t>
            </w:r>
            <w:proofErr w:type="gramStart"/>
            <w:r w:rsidRPr="00A21F5E">
              <w:rPr>
                <w:rFonts w:ascii="Calibri" w:eastAsia="Times New Roman" w:hAnsi="Calibri" w:cs="Calibri"/>
                <w:sz w:val="24"/>
                <w:szCs w:val="24"/>
                <w:lang w:val="en-GB"/>
              </w:rPr>
              <w:t>taking into account</w:t>
            </w:r>
            <w:proofErr w:type="gramEnd"/>
            <w:r w:rsidRPr="00A21F5E">
              <w:rPr>
                <w:rFonts w:ascii="Calibri" w:eastAsia="Times New Roman" w:hAnsi="Calibri" w:cs="Calibri"/>
                <w:sz w:val="24"/>
                <w:szCs w:val="24"/>
                <w:lang w:val="en-GB"/>
              </w:rPr>
              <w:t xml:space="preserve"> that the increase in their schooling has a positive impact on their children's health, in addition to the increase in other social indicators</w:t>
            </w:r>
            <w:r w:rsidR="00C1256C">
              <w:rPr>
                <w:rFonts w:ascii="Calibri" w:eastAsia="Times New Roman" w:hAnsi="Calibri" w:cs="Calibri"/>
                <w:sz w:val="24"/>
                <w:szCs w:val="24"/>
                <w:lang w:val="en-GB"/>
              </w:rPr>
              <w:t>.</w:t>
            </w:r>
          </w:p>
          <w:p w14:paraId="4B841330"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24E10203" w14:textId="40B79BFC"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Establish dialogues with the category of teachers, as an instrument to improve the conditions of the education system and the education </w:t>
            </w:r>
            <w:proofErr w:type="gramStart"/>
            <w:r w:rsidRPr="00A21F5E">
              <w:rPr>
                <w:rFonts w:ascii="Calibri" w:eastAsia="Times New Roman" w:hAnsi="Calibri" w:cs="Calibri"/>
                <w:sz w:val="24"/>
                <w:szCs w:val="24"/>
                <w:lang w:val="en-GB"/>
              </w:rPr>
              <w:t>policy as a whole</w:t>
            </w:r>
            <w:proofErr w:type="gramEnd"/>
            <w:r w:rsidRPr="00A21F5E">
              <w:rPr>
                <w:rFonts w:ascii="Calibri" w:eastAsia="Times New Roman" w:hAnsi="Calibri" w:cs="Calibri"/>
                <w:sz w:val="24"/>
                <w:szCs w:val="24"/>
                <w:lang w:val="en-GB"/>
              </w:rPr>
              <w:t>. And to develop and implement a policy of valuing teachers, recognition of the important social role they play in the education and care of children and young people</w:t>
            </w:r>
            <w:r w:rsidR="00C1256C">
              <w:rPr>
                <w:rFonts w:ascii="Calibri" w:eastAsia="Times New Roman" w:hAnsi="Calibri" w:cs="Calibri"/>
                <w:sz w:val="24"/>
                <w:szCs w:val="24"/>
                <w:lang w:val="en-GB"/>
              </w:rPr>
              <w:t>.</w:t>
            </w:r>
          </w:p>
          <w:p w14:paraId="6717044E"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790D0EA8" w14:textId="258CEC32"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Increase the rate of women professors in higher education</w:t>
            </w:r>
            <w:r w:rsidR="00C1256C">
              <w:rPr>
                <w:rFonts w:ascii="Calibri" w:eastAsia="Times New Roman" w:hAnsi="Calibri" w:cs="Calibri"/>
                <w:sz w:val="24"/>
                <w:szCs w:val="24"/>
                <w:lang w:val="en-GB"/>
              </w:rPr>
              <w:t>.</w:t>
            </w:r>
          </w:p>
          <w:p w14:paraId="04F83992"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41C5574D" w14:textId="0AD9274C"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Ensure resources within the education budget for the construction of quality schools, with minimum structure, in the light of international parameters</w:t>
            </w:r>
            <w:r w:rsidR="00C1256C">
              <w:rPr>
                <w:rFonts w:ascii="Calibri" w:eastAsia="Times New Roman" w:hAnsi="Calibri" w:cs="Calibri"/>
                <w:sz w:val="24"/>
                <w:szCs w:val="24"/>
                <w:lang w:val="en-GB"/>
              </w:rPr>
              <w:t>.</w:t>
            </w:r>
          </w:p>
          <w:p w14:paraId="4AB306D4"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5119D565" w14:textId="48905A32"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Ensure that young people, especially in rural and marginalised areas, attend education, starting with "Programme 6-6"</w:t>
            </w:r>
            <w:r w:rsidR="00C1256C">
              <w:rPr>
                <w:rFonts w:ascii="Calibri" w:eastAsia="Times New Roman" w:hAnsi="Calibri" w:cs="Calibri"/>
                <w:sz w:val="24"/>
                <w:szCs w:val="24"/>
                <w:lang w:val="en-GB"/>
              </w:rPr>
              <w:t>.</w:t>
            </w:r>
          </w:p>
          <w:p w14:paraId="671C707C"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49143B5C" w14:textId="234260C3"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Ensure that linguistic and ethnic minority groups, such as Creole speakers, have equal access to education through continuous consultation</w:t>
            </w:r>
            <w:r w:rsidR="00C1256C">
              <w:rPr>
                <w:rFonts w:ascii="Calibri" w:eastAsia="Times New Roman" w:hAnsi="Calibri" w:cs="Calibri"/>
                <w:sz w:val="24"/>
                <w:szCs w:val="24"/>
                <w:lang w:val="en-GB"/>
              </w:rPr>
              <w:t>.</w:t>
            </w:r>
          </w:p>
          <w:p w14:paraId="28360AFF"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3C50928F" w14:textId="71F850FD"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Ensure the full implementation of Ordinance No. 02/GM/MEESJCD/2018 of the Ministry of Education of 2018, under which students with disabilities are exempt from paying tuition fees</w:t>
            </w:r>
            <w:r w:rsidR="00C1256C">
              <w:rPr>
                <w:rFonts w:ascii="Calibri" w:eastAsia="Times New Roman" w:hAnsi="Calibri" w:cs="Calibri"/>
                <w:sz w:val="24"/>
                <w:szCs w:val="24"/>
                <w:lang w:val="en-GB"/>
              </w:rPr>
              <w:t>.</w:t>
            </w:r>
          </w:p>
          <w:p w14:paraId="7A133B15"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4ECE8B3D" w14:textId="7BFE0B15"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Provide comprehensive training for newly qualified teachers and implement reforms in human resource management</w:t>
            </w:r>
            <w:r w:rsidR="00C1256C">
              <w:rPr>
                <w:rFonts w:ascii="Calibri" w:eastAsia="Times New Roman" w:hAnsi="Calibri" w:cs="Calibri"/>
                <w:sz w:val="24"/>
                <w:szCs w:val="24"/>
                <w:lang w:val="en-GB"/>
              </w:rPr>
              <w:t>.</w:t>
            </w:r>
          </w:p>
          <w:p w14:paraId="64C091AD" w14:textId="77777777" w:rsidR="009D1048" w:rsidRPr="00A21F5E" w:rsidRDefault="009D1048">
            <w:pPr>
              <w:pBdr>
                <w:top w:val="nil"/>
                <w:left w:val="nil"/>
                <w:bottom w:val="nil"/>
                <w:right w:val="nil"/>
                <w:between w:val="nil"/>
              </w:pBdr>
              <w:spacing w:after="160" w:line="259" w:lineRule="auto"/>
              <w:ind w:left="720"/>
              <w:rPr>
                <w:rFonts w:ascii="Calibri" w:eastAsia="Times New Roman" w:hAnsi="Calibri" w:cs="Calibri"/>
                <w:sz w:val="24"/>
                <w:szCs w:val="24"/>
                <w:lang w:val="en-GB"/>
              </w:rPr>
            </w:pPr>
          </w:p>
          <w:p w14:paraId="29E81B35" w14:textId="77777777" w:rsidR="009D1048" w:rsidRPr="00A21F5E" w:rsidRDefault="002F2ADC">
            <w:pPr>
              <w:numPr>
                <w:ilvl w:val="0"/>
                <w:numId w:val="3"/>
              </w:num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Continue regional efforts to combat drug use, such as previous seminars with the Economic Community of West African States (ECOWAS).</w:t>
            </w:r>
          </w:p>
          <w:p w14:paraId="4AA196FA" w14:textId="69B366D4" w:rsidR="006904DD" w:rsidRPr="00A21F5E" w:rsidRDefault="006904DD" w:rsidP="006904DD">
            <w:pPr>
              <w:jc w:val="both"/>
              <w:rPr>
                <w:rFonts w:ascii="Calibri" w:eastAsia="Times New Roman" w:hAnsi="Calibri" w:cs="Calibri"/>
                <w:sz w:val="24"/>
                <w:szCs w:val="24"/>
                <w:lang w:val="en-GB"/>
              </w:rPr>
            </w:pPr>
          </w:p>
        </w:tc>
      </w:tr>
    </w:tbl>
    <w:p w14:paraId="44DE2490" w14:textId="77777777" w:rsidR="009D1048" w:rsidRPr="00A21F5E" w:rsidRDefault="009D1048">
      <w:pPr>
        <w:rPr>
          <w:rFonts w:ascii="Calibri" w:hAnsi="Calibri" w:cs="Calibri"/>
          <w:lang w:val="en-GB"/>
        </w:rPr>
      </w:pPr>
    </w:p>
    <w:p w14:paraId="192D8D8B" w14:textId="77BE9DB6" w:rsidR="009D1048" w:rsidRPr="00A21F5E" w:rsidRDefault="002F2ADC">
      <w:pPr>
        <w:pStyle w:val="Heading2"/>
        <w:rPr>
          <w:rFonts w:ascii="Calibri" w:hAnsi="Calibri" w:cs="Calibri"/>
          <w:color w:val="auto"/>
          <w:lang w:val="en-GB"/>
        </w:rPr>
      </w:pPr>
      <w:r w:rsidRPr="00A21F5E">
        <w:rPr>
          <w:rFonts w:ascii="Calibri" w:hAnsi="Calibri" w:cs="Calibri"/>
          <w:color w:val="auto"/>
          <w:lang w:val="en-GB"/>
        </w:rPr>
        <w:t xml:space="preserve">2) Domain of </w:t>
      </w:r>
      <w:r w:rsidR="00C1256C" w:rsidRPr="00A21F5E">
        <w:rPr>
          <w:rFonts w:ascii="Calibri" w:hAnsi="Calibri" w:cs="Calibri"/>
          <w:color w:val="auto"/>
          <w:lang w:val="en-GB"/>
        </w:rPr>
        <w:t>labour</w:t>
      </w:r>
      <w:r w:rsidRPr="00A21F5E">
        <w:rPr>
          <w:rFonts w:ascii="Calibri" w:hAnsi="Calibri" w:cs="Calibri"/>
          <w:color w:val="auto"/>
          <w:lang w:val="en-GB"/>
        </w:rPr>
        <w:t xml:space="preserve"> and employment (Art. 11)</w:t>
      </w:r>
    </w:p>
    <w:p w14:paraId="039BD030"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Unemployment </w:t>
      </w:r>
    </w:p>
    <w:p w14:paraId="0B8E67E1" w14:textId="6D03C966"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The unemployment rates of women referred to by the State in its report (para. 91) are questioned. This is because the degree of unemployment among women is very high, as well as the level of informality.</w:t>
      </w:r>
    </w:p>
    <w:p w14:paraId="7133DD2E"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Naturalization of violence against women in the workplace and restrictions on employment  </w:t>
      </w:r>
    </w:p>
    <w:p w14:paraId="6DB9219F"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Sexual harassment against women in the workplace is very frequent and naturalized. In addition to this practice directly violating article 11 of CEDAW, it reinforces widespread prejudices, according to which it is "better" for women to stay at home. (Art. 11, 1, f – health and safety in working conditions)</w:t>
      </w:r>
    </w:p>
    <w:p w14:paraId="724BD0F6"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It is very common in Guinea Bissau for husbands to prohibit women from working. (Art. 11, 1, a, b and c – right to work, to the same possibilities of employment, free choice of profession and employment)</w:t>
      </w:r>
    </w:p>
    <w:p w14:paraId="619C657A"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Impacts on youth </w:t>
      </w:r>
    </w:p>
    <w:p w14:paraId="47EDD9C1" w14:textId="26708CB9"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lack of a national employment policy aimed at youth is a major gap. In this sense, the National Youth Entrepreneurship Agency (ANEJ) does not meet the demands and needs of young people in the country, which mainly affects young women who have less education. </w:t>
      </w:r>
    </w:p>
    <w:p w14:paraId="0AC79230"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The absence of regulation of the practice of internship puts many people in work situations without formalization and often without remuneration, without minimum guarantees related to employment.</w:t>
      </w:r>
    </w:p>
    <w:p w14:paraId="25400372"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Social Security Policies  </w:t>
      </w:r>
    </w:p>
    <w:p w14:paraId="23D0F53F" w14:textId="62515049"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In practical terms, there is no concrete guarantee of retirement. Despite the legal provision, the requests are not considered. According to information provided by the signatory organizations, there are more than 3 thousand applications submitted </w:t>
      </w:r>
      <w:r w:rsidRPr="00A21F5E">
        <w:rPr>
          <w:rFonts w:ascii="Calibri" w:eastAsia="Times New Roman" w:hAnsi="Calibri" w:cs="Calibri"/>
          <w:sz w:val="24"/>
          <w:szCs w:val="24"/>
          <w:lang w:val="en-GB"/>
        </w:rPr>
        <w:lastRenderedPageBreak/>
        <w:t>between 2020 and 2025 pending analysis. Other social benefits are not guaranteed to people employed in public institutions.</w:t>
      </w:r>
    </w:p>
    <w:tbl>
      <w:tblPr>
        <w:tblStyle w:val="a0"/>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DB653F" w:rsidRPr="00A21F5E" w14:paraId="177F9814" w14:textId="77777777">
        <w:tc>
          <w:tcPr>
            <w:tcW w:w="8494" w:type="dxa"/>
          </w:tcPr>
          <w:p w14:paraId="225D3AA5"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Suggested recommendation to be made to the State:  </w:t>
            </w:r>
          </w:p>
          <w:p w14:paraId="6D9F8DBA" w14:textId="1C7C465E"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Establishment of employment quota for women with disabilities</w:t>
            </w:r>
            <w:r w:rsidR="00213872">
              <w:rPr>
                <w:rFonts w:ascii="Calibri" w:eastAsia="Times New Roman" w:hAnsi="Calibri" w:cs="Calibri"/>
                <w:sz w:val="24"/>
                <w:szCs w:val="24"/>
                <w:lang w:val="en-GB"/>
              </w:rPr>
              <w:t>.</w:t>
            </w:r>
          </w:p>
          <w:p w14:paraId="1D0D04D8" w14:textId="77777777"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Development of a National Employment Policy aimed at Youth.</w:t>
            </w:r>
          </w:p>
        </w:tc>
      </w:tr>
    </w:tbl>
    <w:p w14:paraId="56F67B6C" w14:textId="77777777" w:rsidR="009D1048" w:rsidRPr="00A21F5E" w:rsidRDefault="009D1048">
      <w:pPr>
        <w:rPr>
          <w:rFonts w:ascii="Calibri" w:hAnsi="Calibri" w:cs="Calibri"/>
          <w:lang w:val="en-GB"/>
        </w:rPr>
      </w:pPr>
    </w:p>
    <w:p w14:paraId="48E9BA65" w14:textId="77777777" w:rsidR="009D1048" w:rsidRPr="00A21F5E" w:rsidRDefault="002F2ADC">
      <w:pPr>
        <w:pStyle w:val="Heading2"/>
        <w:rPr>
          <w:rFonts w:ascii="Calibri" w:hAnsi="Calibri" w:cs="Calibri"/>
          <w:b/>
          <w:color w:val="auto"/>
          <w:lang w:val="en-GB"/>
        </w:rPr>
      </w:pPr>
      <w:r w:rsidRPr="00A21F5E">
        <w:rPr>
          <w:rFonts w:ascii="Calibri" w:hAnsi="Calibri" w:cs="Calibri"/>
          <w:b/>
          <w:color w:val="auto"/>
          <w:lang w:val="en-GB"/>
        </w:rPr>
        <w:t>3) Economic and social life (Art. 13)</w:t>
      </w:r>
    </w:p>
    <w:p w14:paraId="49A09E91"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Guinean </w:t>
      </w:r>
      <w:r w:rsidRPr="00A21F5E">
        <w:rPr>
          <w:rFonts w:ascii="Calibri" w:eastAsia="Times New Roman" w:hAnsi="Calibri" w:cs="Calibri"/>
          <w:b/>
          <w:sz w:val="24"/>
          <w:szCs w:val="24"/>
          <w:u w:val="single"/>
          <w:lang w:val="en-GB"/>
        </w:rPr>
        <w:t>women's entrepreneurship is a very relevant aspect in Guinea-Bissau both in social and economic terms.</w:t>
      </w:r>
      <w:r w:rsidRPr="00A21F5E">
        <w:rPr>
          <w:rFonts w:ascii="Calibri" w:eastAsia="Times New Roman" w:hAnsi="Calibri" w:cs="Calibri"/>
          <w:sz w:val="24"/>
          <w:szCs w:val="24"/>
          <w:lang w:val="en-GB"/>
        </w:rPr>
        <w:t xml:space="preserve"> Despite this, there are no effective policies to encourage and support these activities. </w:t>
      </w:r>
    </w:p>
    <w:p w14:paraId="31EFED67" w14:textId="5398B0B6"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In this sense, difficulties in accessing microcredit constitute an obstacle to female entrepreneurship in the country. In addition, there is a widespread practice of political </w:t>
      </w:r>
      <w:r w:rsidR="00213872" w:rsidRPr="00A21F5E">
        <w:rPr>
          <w:rFonts w:ascii="Calibri" w:eastAsia="Times New Roman" w:hAnsi="Calibri" w:cs="Calibri"/>
          <w:sz w:val="24"/>
          <w:szCs w:val="24"/>
          <w:lang w:val="en-GB"/>
        </w:rPr>
        <w:t>favouritisms</w:t>
      </w:r>
      <w:r w:rsidRPr="00A21F5E">
        <w:rPr>
          <w:rFonts w:ascii="Calibri" w:eastAsia="Times New Roman" w:hAnsi="Calibri" w:cs="Calibri"/>
          <w:sz w:val="24"/>
          <w:szCs w:val="24"/>
          <w:lang w:val="en-GB"/>
        </w:rPr>
        <w:t xml:space="preserve"> associated with the granting of credit, that is, there is no equal access to credit.</w:t>
      </w:r>
    </w:p>
    <w:p w14:paraId="5C736241"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The informality rates of the economy are very high and high state rates make the process of formalization of economic activities unfeasible, with a special impact on women entrepreneurs.</w:t>
      </w:r>
    </w:p>
    <w:p w14:paraId="518D4FA6" w14:textId="77777777" w:rsidR="009D1048" w:rsidRPr="00A21F5E" w:rsidRDefault="009D1048">
      <w:pPr>
        <w:rPr>
          <w:rFonts w:ascii="Calibri" w:hAnsi="Calibri" w:cs="Calibri"/>
          <w:lang w:val="en-GB"/>
        </w:rPr>
      </w:pPr>
    </w:p>
    <w:tbl>
      <w:tblPr>
        <w:tblStyle w:val="a1"/>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DB653F" w:rsidRPr="00A21F5E" w14:paraId="173740B2" w14:textId="77777777">
        <w:tc>
          <w:tcPr>
            <w:tcW w:w="8494" w:type="dxa"/>
          </w:tcPr>
          <w:p w14:paraId="35356CB2" w14:textId="77777777" w:rsidR="009D1048" w:rsidRPr="00A21F5E" w:rsidRDefault="002F2ADC">
            <w:pPr>
              <w:rPr>
                <w:rFonts w:ascii="Calibri" w:hAnsi="Calibri" w:cs="Calibri"/>
                <w:b/>
                <w:u w:val="single"/>
                <w:lang w:val="en-GB"/>
              </w:rPr>
            </w:pPr>
            <w:r w:rsidRPr="00A21F5E">
              <w:rPr>
                <w:rFonts w:ascii="Calibri" w:hAnsi="Calibri" w:cs="Calibri"/>
                <w:b/>
                <w:u w:val="single"/>
                <w:lang w:val="en-GB"/>
              </w:rPr>
              <w:t xml:space="preserve">Suggestions for recommendations to be made to the State: </w:t>
            </w:r>
          </w:p>
          <w:p w14:paraId="5D97B6E3" w14:textId="34DAFC35"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Create programs to encourage women's entrepreneurship</w:t>
            </w:r>
            <w:r w:rsidR="00213872">
              <w:rPr>
                <w:rFonts w:ascii="Calibri" w:eastAsia="Times New Roman" w:hAnsi="Calibri" w:cs="Calibri"/>
                <w:sz w:val="24"/>
                <w:szCs w:val="24"/>
                <w:lang w:val="en-GB"/>
              </w:rPr>
              <w:t>.</w:t>
            </w:r>
          </w:p>
          <w:p w14:paraId="20501495" w14:textId="38939BB1" w:rsidR="009D1048" w:rsidRPr="00A21F5E" w:rsidRDefault="002F2ADC">
            <w:pPr>
              <w:numPr>
                <w:ilvl w:val="0"/>
                <w:numId w:val="3"/>
              </w:numPr>
              <w:spacing w:before="240" w:after="240" w:line="288" w:lineRule="auto"/>
              <w:jc w:val="both"/>
              <w:rPr>
                <w:rFonts w:ascii="Calibri" w:hAnsi="Calibri" w:cs="Calibri"/>
                <w:lang w:val="en-GB"/>
              </w:rPr>
            </w:pPr>
            <w:r w:rsidRPr="00A21F5E">
              <w:rPr>
                <w:rFonts w:ascii="Calibri" w:eastAsia="Times New Roman" w:hAnsi="Calibri" w:cs="Calibri"/>
                <w:sz w:val="24"/>
                <w:szCs w:val="24"/>
                <w:lang w:val="en-GB"/>
              </w:rPr>
              <w:t>Create microcredit programs for women victims of violence</w:t>
            </w:r>
            <w:r w:rsidR="00213872">
              <w:rPr>
                <w:rFonts w:ascii="Calibri" w:eastAsia="Times New Roman" w:hAnsi="Calibri" w:cs="Calibri"/>
                <w:sz w:val="24"/>
                <w:szCs w:val="24"/>
                <w:lang w:val="en-GB"/>
              </w:rPr>
              <w:t>.</w:t>
            </w:r>
            <w:r w:rsidRPr="00A21F5E">
              <w:rPr>
                <w:rFonts w:ascii="Calibri" w:eastAsia="Times New Roman" w:hAnsi="Calibri" w:cs="Calibri"/>
                <w:sz w:val="24"/>
                <w:szCs w:val="24"/>
                <w:lang w:val="en-GB"/>
              </w:rPr>
              <w:t xml:space="preserve"> </w:t>
            </w:r>
          </w:p>
          <w:p w14:paraId="3B32641B" w14:textId="77777777" w:rsidR="009D1048" w:rsidRPr="00A21F5E" w:rsidRDefault="002F2ADC">
            <w:pPr>
              <w:numPr>
                <w:ilvl w:val="0"/>
                <w:numId w:val="3"/>
              </w:numPr>
              <w:spacing w:before="240" w:after="240" w:line="288" w:lineRule="auto"/>
              <w:jc w:val="both"/>
              <w:rPr>
                <w:rFonts w:ascii="Calibri" w:hAnsi="Calibri" w:cs="Calibri"/>
                <w:lang w:val="en-GB"/>
              </w:rPr>
            </w:pPr>
            <w:r w:rsidRPr="00A21F5E">
              <w:rPr>
                <w:rFonts w:ascii="Calibri" w:eastAsia="Times New Roman" w:hAnsi="Calibri" w:cs="Calibri"/>
                <w:sz w:val="24"/>
                <w:szCs w:val="24"/>
                <w:lang w:val="en-GB"/>
              </w:rPr>
              <w:t xml:space="preserve">Ensure women's access to credit, on an equal and equitable basis with men. </w:t>
            </w:r>
          </w:p>
        </w:tc>
      </w:tr>
    </w:tbl>
    <w:p w14:paraId="3DB99AD2" w14:textId="77777777" w:rsidR="009D1048" w:rsidRPr="00A21F5E" w:rsidRDefault="009D1048">
      <w:pPr>
        <w:pStyle w:val="Heading2"/>
        <w:rPr>
          <w:rFonts w:ascii="Calibri" w:hAnsi="Calibri" w:cs="Calibri"/>
          <w:b/>
          <w:color w:val="auto"/>
          <w:lang w:val="en-GB"/>
        </w:rPr>
      </w:pPr>
    </w:p>
    <w:p w14:paraId="14753FEF" w14:textId="77777777" w:rsidR="009D1048" w:rsidRPr="00A21F5E" w:rsidRDefault="002F2ADC">
      <w:pPr>
        <w:pStyle w:val="Heading2"/>
        <w:rPr>
          <w:rFonts w:ascii="Calibri" w:hAnsi="Calibri" w:cs="Calibri"/>
          <w:b/>
          <w:color w:val="auto"/>
          <w:lang w:val="en-GB"/>
        </w:rPr>
      </w:pPr>
      <w:r w:rsidRPr="00A21F5E">
        <w:rPr>
          <w:rFonts w:ascii="Calibri" w:hAnsi="Calibri" w:cs="Calibri"/>
          <w:b/>
          <w:color w:val="auto"/>
          <w:lang w:val="en-GB"/>
        </w:rPr>
        <w:t>4) Rural women (art. 14)</w:t>
      </w:r>
    </w:p>
    <w:p w14:paraId="71227EE6"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Within the general framework of discrimination against women in access to rights in Guinea Bissau, those living in rural areas are most severely affected. This reality had already been highlighted by the CEDAW Committee in the last review of the country, when it highlighted: </w:t>
      </w:r>
    </w:p>
    <w:p w14:paraId="536B3DE8" w14:textId="77777777" w:rsidR="009D1048" w:rsidRPr="00A21F5E" w:rsidRDefault="002F2ADC">
      <w:pPr>
        <w:spacing w:before="240" w:after="240" w:line="288" w:lineRule="auto"/>
        <w:ind w:left="1418"/>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lastRenderedPageBreak/>
        <w:t xml:space="preserve">While welcoming the inclusion of strategies aimed at promoting gender equality and women's empowerment in the National Poverty Reduction Strategy, the Committee is concerned about the precarious situation of women in rural areas, who make up </w:t>
      </w:r>
      <w:proofErr w:type="gramStart"/>
      <w:r w:rsidRPr="00A21F5E">
        <w:rPr>
          <w:rFonts w:ascii="Calibri" w:eastAsia="Times New Roman" w:hAnsi="Calibri" w:cs="Calibri"/>
          <w:sz w:val="24"/>
          <w:szCs w:val="24"/>
          <w:lang w:val="en-GB"/>
        </w:rPr>
        <w:t>the majority of</w:t>
      </w:r>
      <w:proofErr w:type="gramEnd"/>
      <w:r w:rsidRPr="00A21F5E">
        <w:rPr>
          <w:rFonts w:ascii="Calibri" w:eastAsia="Times New Roman" w:hAnsi="Calibri" w:cs="Calibri"/>
          <w:sz w:val="24"/>
          <w:szCs w:val="24"/>
          <w:lang w:val="en-GB"/>
        </w:rPr>
        <w:t xml:space="preserve"> women in Guinea-Bissau and who live in situations of extreme poverty. He is particularly concerned about their access to education, including informal education, basic literacy and vocational training, health care and basic social services. He is also concerned about their access to and ownership of land, and access to credit facilities, productive resources and technology, the lack of which impedes their economic empowerment. Expresses particular concern about the persistence of traditional customs and practices in rural areas that violate the human rights of women and girls and negatively affect their equality and empowerment. (par. 39) </w:t>
      </w:r>
    </w:p>
    <w:p w14:paraId="5432CCF7" w14:textId="7777777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following are some concrete examples of how generalized situations of precarious public services have an even more serious impact on these women. </w:t>
      </w:r>
    </w:p>
    <w:p w14:paraId="3BEDF7D9"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Access to justice </w:t>
      </w:r>
    </w:p>
    <w:p w14:paraId="334A0AB0" w14:textId="4C2F8C46"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Women who live on the islands do not have access to justice, due to the lack of physical structure of justice in these locations. In addition, CAJs, which are in many cases a form of legal support and information in the regions, are not based on the islands. </w:t>
      </w:r>
    </w:p>
    <w:p w14:paraId="3A88C706"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Right to education</w:t>
      </w:r>
    </w:p>
    <w:p w14:paraId="2C47F6CA" w14:textId="43FDB324" w:rsidR="009D1048" w:rsidRPr="00A21F5E" w:rsidRDefault="002F2ADC">
      <w:pPr>
        <w:spacing w:before="240" w:after="240" w:line="288" w:lineRule="auto"/>
        <w:jc w:val="both"/>
        <w:rPr>
          <w:rFonts w:ascii="Calibri" w:eastAsia="Times New Roman" w:hAnsi="Calibri" w:cs="Calibri"/>
          <w:sz w:val="24"/>
          <w:szCs w:val="24"/>
          <w:lang w:val="en-GB"/>
        </w:rPr>
      </w:pPr>
      <w:proofErr w:type="gramStart"/>
      <w:r w:rsidRPr="00A21F5E">
        <w:rPr>
          <w:rFonts w:ascii="Calibri" w:eastAsia="Times New Roman" w:hAnsi="Calibri" w:cs="Calibri"/>
          <w:sz w:val="24"/>
          <w:szCs w:val="24"/>
          <w:lang w:val="en-GB"/>
        </w:rPr>
        <w:t>With regard to</w:t>
      </w:r>
      <w:proofErr w:type="gramEnd"/>
      <w:r w:rsidRPr="00A21F5E">
        <w:rPr>
          <w:rFonts w:ascii="Calibri" w:eastAsia="Times New Roman" w:hAnsi="Calibri" w:cs="Calibri"/>
          <w:sz w:val="24"/>
          <w:szCs w:val="24"/>
          <w:lang w:val="en-GB"/>
        </w:rPr>
        <w:t xml:space="preserve"> education, it can be said that the State in Guinea-Bissau ends in Bissau, the country's capital. In this sense, it is instructive the information that the capital concentrates 60% of the budget resources allocated to education, while it serves only 26% of the country's students. It is left to the 74% of students located outside the capital to divide the remaining 40% of the budget, in flagrant inequality of conditions.</w:t>
      </w:r>
    </w:p>
    <w:p w14:paraId="5FD37368" w14:textId="41EF29F7"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In rural areas, schools are very far </w:t>
      </w:r>
      <w:r w:rsidR="00213872" w:rsidRPr="00A21F5E">
        <w:rPr>
          <w:rFonts w:ascii="Calibri" w:eastAsia="Times New Roman" w:hAnsi="Calibri" w:cs="Calibri"/>
          <w:sz w:val="24"/>
          <w:szCs w:val="24"/>
          <w:lang w:val="en-GB"/>
        </w:rPr>
        <w:t>away,</w:t>
      </w:r>
      <w:r w:rsidRPr="00A21F5E">
        <w:rPr>
          <w:rFonts w:ascii="Calibri" w:eastAsia="Times New Roman" w:hAnsi="Calibri" w:cs="Calibri"/>
          <w:sz w:val="24"/>
          <w:szCs w:val="24"/>
          <w:lang w:val="en-GB"/>
        </w:rPr>
        <w:t xml:space="preserve"> and it is necessary to travel long distances between homes and schools. In this context, girls in rural areas are more strongly affected, because, as they are responsible for household chores, they have more difficulty in being absent from school. The commute time makes this even more difficult. The situation worsens with higher levels of schooling. </w:t>
      </w:r>
    </w:p>
    <w:p w14:paraId="4DFF3652" w14:textId="77777777" w:rsidR="009D1048"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Teachers in rural areas, in addition to the general difficulties faced by the category, work without isolation allowance and work in conditions of abandonment in rural areas.</w:t>
      </w:r>
    </w:p>
    <w:p w14:paraId="5225552C" w14:textId="77777777" w:rsidR="00213872" w:rsidRPr="00A21F5E" w:rsidRDefault="00213872">
      <w:pPr>
        <w:spacing w:before="240" w:after="240" w:line="288" w:lineRule="auto"/>
        <w:jc w:val="both"/>
        <w:rPr>
          <w:rFonts w:ascii="Calibri" w:eastAsia="Times New Roman" w:hAnsi="Calibri" w:cs="Calibri"/>
          <w:sz w:val="24"/>
          <w:szCs w:val="24"/>
          <w:lang w:val="en-GB"/>
        </w:rPr>
      </w:pPr>
    </w:p>
    <w:tbl>
      <w:tblPr>
        <w:tblStyle w:val="a2"/>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DB653F" w:rsidRPr="00A21F5E" w14:paraId="5C373E94" w14:textId="77777777">
        <w:tc>
          <w:tcPr>
            <w:tcW w:w="8494" w:type="dxa"/>
          </w:tcPr>
          <w:p w14:paraId="52D3C3F3" w14:textId="77777777" w:rsidR="009D1048" w:rsidRPr="00A21F5E" w:rsidRDefault="002F2ADC">
            <w:pPr>
              <w:jc w:val="center"/>
              <w:rPr>
                <w:rFonts w:ascii="Calibri" w:eastAsia="Times New Roman" w:hAnsi="Calibri" w:cs="Calibri"/>
                <w:b/>
                <w:sz w:val="24"/>
                <w:szCs w:val="24"/>
                <w:lang w:val="en-GB"/>
              </w:rPr>
            </w:pPr>
            <w:r w:rsidRPr="00A21F5E">
              <w:rPr>
                <w:rFonts w:ascii="Calibri" w:eastAsia="Times New Roman" w:hAnsi="Calibri" w:cs="Calibri"/>
                <w:b/>
                <w:sz w:val="24"/>
                <w:szCs w:val="24"/>
                <w:lang w:val="en-GB"/>
              </w:rPr>
              <w:lastRenderedPageBreak/>
              <w:t xml:space="preserve">Access to education for marginalized communities </w:t>
            </w:r>
          </w:p>
          <w:p w14:paraId="21112B27" w14:textId="77777777" w:rsidR="009D1048" w:rsidRPr="00A21F5E" w:rsidRDefault="009D1048">
            <w:pPr>
              <w:rPr>
                <w:rFonts w:ascii="Calibri" w:eastAsia="Times New Roman" w:hAnsi="Calibri" w:cs="Calibri"/>
                <w:sz w:val="24"/>
                <w:szCs w:val="24"/>
                <w:lang w:val="en-GB"/>
              </w:rPr>
            </w:pPr>
          </w:p>
          <w:p w14:paraId="2AB143E5" w14:textId="77777777"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In marginalized communities, such as the </w:t>
            </w:r>
            <w:proofErr w:type="spellStart"/>
            <w:r w:rsidRPr="00A21F5E">
              <w:rPr>
                <w:rFonts w:ascii="Calibri" w:eastAsia="Times New Roman" w:hAnsi="Calibri" w:cs="Calibri"/>
                <w:sz w:val="24"/>
                <w:szCs w:val="24"/>
                <w:lang w:val="en-GB"/>
              </w:rPr>
              <w:t>Bijagós</w:t>
            </w:r>
            <w:proofErr w:type="spellEnd"/>
            <w:r w:rsidRPr="00A21F5E">
              <w:rPr>
                <w:rFonts w:ascii="Calibri" w:eastAsia="Times New Roman" w:hAnsi="Calibri" w:cs="Calibri"/>
                <w:sz w:val="24"/>
                <w:szCs w:val="24"/>
                <w:lang w:val="en-GB"/>
              </w:rPr>
              <w:t xml:space="preserve"> Islands, access to education is limited due to a lack of resources, skilled personnel and equipment. For example, young people seeking higher education </w:t>
            </w:r>
            <w:proofErr w:type="gramStart"/>
            <w:r w:rsidRPr="00A21F5E">
              <w:rPr>
                <w:rFonts w:ascii="Calibri" w:eastAsia="Times New Roman" w:hAnsi="Calibri" w:cs="Calibri"/>
                <w:sz w:val="24"/>
                <w:szCs w:val="24"/>
                <w:lang w:val="en-GB"/>
              </w:rPr>
              <w:t>have to</w:t>
            </w:r>
            <w:proofErr w:type="gramEnd"/>
            <w:r w:rsidRPr="00A21F5E">
              <w:rPr>
                <w:rFonts w:ascii="Calibri" w:eastAsia="Times New Roman" w:hAnsi="Calibri" w:cs="Calibri"/>
                <w:sz w:val="24"/>
                <w:szCs w:val="24"/>
                <w:lang w:val="en-GB"/>
              </w:rPr>
              <w:t xml:space="preserve"> leave the islands for the mainland, where there are more opportunities but fewer chances to preserve their culture. Some of those who return bring with them much-needed skills, such as teaching and nursing, which helps to develop the islands, but many do not return, contributing to the erosion of the indigenous culture of the </w:t>
            </w:r>
            <w:proofErr w:type="spellStart"/>
            <w:r w:rsidRPr="00A21F5E">
              <w:rPr>
                <w:rFonts w:ascii="Calibri" w:eastAsia="Times New Roman" w:hAnsi="Calibri" w:cs="Calibri"/>
                <w:sz w:val="24"/>
                <w:szCs w:val="24"/>
                <w:lang w:val="en-GB"/>
              </w:rPr>
              <w:t>Bijagós</w:t>
            </w:r>
            <w:proofErr w:type="spellEnd"/>
            <w:r w:rsidRPr="00A21F5E">
              <w:rPr>
                <w:rFonts w:ascii="Calibri" w:eastAsia="Times New Roman" w:hAnsi="Calibri" w:cs="Calibri"/>
                <w:sz w:val="24"/>
                <w:szCs w:val="24"/>
                <w:lang w:val="en-GB"/>
              </w:rPr>
              <w:t>.</w:t>
            </w:r>
            <w:r w:rsidRPr="00A21F5E">
              <w:rPr>
                <w:rFonts w:ascii="Calibri" w:eastAsia="Times New Roman" w:hAnsi="Calibri" w:cs="Calibri"/>
                <w:sz w:val="24"/>
                <w:szCs w:val="24"/>
                <w:vertAlign w:val="superscript"/>
                <w:lang w:val="en-GB"/>
              </w:rPr>
              <w:footnoteReference w:id="3"/>
            </w:r>
            <w:r w:rsidRPr="00A21F5E">
              <w:rPr>
                <w:rFonts w:ascii="Calibri" w:eastAsia="Times New Roman" w:hAnsi="Calibri" w:cs="Calibri"/>
                <w:sz w:val="24"/>
                <w:szCs w:val="24"/>
                <w:lang w:val="en-GB"/>
              </w:rPr>
              <w:t xml:space="preserve"> </w:t>
            </w:r>
          </w:p>
          <w:p w14:paraId="6D868207" w14:textId="77777777" w:rsidR="009D1048" w:rsidRPr="00A21F5E" w:rsidRDefault="009D1048">
            <w:pPr>
              <w:jc w:val="both"/>
              <w:rPr>
                <w:rFonts w:ascii="Calibri" w:eastAsia="Times New Roman" w:hAnsi="Calibri" w:cs="Calibri"/>
                <w:sz w:val="24"/>
                <w:szCs w:val="24"/>
                <w:lang w:val="en-GB"/>
              </w:rPr>
            </w:pPr>
          </w:p>
        </w:tc>
      </w:tr>
    </w:tbl>
    <w:p w14:paraId="4E688D4E" w14:textId="77777777" w:rsidR="009D1048" w:rsidRPr="00A21F5E" w:rsidRDefault="002F2ADC">
      <w:pPr>
        <w:spacing w:before="240" w:after="240" w:line="288" w:lineRule="auto"/>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Health </w:t>
      </w:r>
    </w:p>
    <w:p w14:paraId="1C01C580" w14:textId="3BDEEA4E"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The lack of care for pregnant women and mothers is even more serious in rural areas. There are reports of </w:t>
      </w:r>
      <w:r w:rsidR="00213872" w:rsidRPr="00A21F5E">
        <w:rPr>
          <w:rFonts w:ascii="Calibri" w:eastAsia="Times New Roman" w:hAnsi="Calibri" w:cs="Calibri"/>
          <w:sz w:val="24"/>
          <w:szCs w:val="24"/>
          <w:lang w:val="en-GB"/>
        </w:rPr>
        <w:t>parturient</w:t>
      </w:r>
      <w:r w:rsidRPr="00A21F5E">
        <w:rPr>
          <w:rFonts w:ascii="Calibri" w:eastAsia="Times New Roman" w:hAnsi="Calibri" w:cs="Calibri"/>
          <w:sz w:val="24"/>
          <w:szCs w:val="24"/>
          <w:lang w:val="en-GB"/>
        </w:rPr>
        <w:t xml:space="preserve"> </w:t>
      </w:r>
      <w:r w:rsidR="00213872">
        <w:rPr>
          <w:rFonts w:ascii="Calibri" w:eastAsia="Times New Roman" w:hAnsi="Calibri" w:cs="Calibri"/>
          <w:sz w:val="24"/>
          <w:szCs w:val="24"/>
          <w:lang w:val="en-GB"/>
        </w:rPr>
        <w:t xml:space="preserve">women </w:t>
      </w:r>
      <w:r w:rsidRPr="00A21F5E">
        <w:rPr>
          <w:rFonts w:ascii="Calibri" w:eastAsia="Times New Roman" w:hAnsi="Calibri" w:cs="Calibri"/>
          <w:sz w:val="24"/>
          <w:szCs w:val="24"/>
          <w:lang w:val="en-GB"/>
        </w:rPr>
        <w:t xml:space="preserve">who need to be transported by motorcycle to health units, in search of care. </w:t>
      </w: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DB653F" w:rsidRPr="00A21F5E" w14:paraId="349DD974" w14:textId="77777777">
        <w:tc>
          <w:tcPr>
            <w:tcW w:w="8494" w:type="dxa"/>
          </w:tcPr>
          <w:p w14:paraId="0B028304" w14:textId="77777777" w:rsidR="009D1048" w:rsidRPr="00A21F5E" w:rsidRDefault="002F2ADC">
            <w:pPr>
              <w:spacing w:before="240" w:after="240" w:line="288" w:lineRule="auto"/>
              <w:jc w:val="both"/>
              <w:rPr>
                <w:rFonts w:ascii="Calibri" w:eastAsia="Times New Roman" w:hAnsi="Calibri" w:cs="Calibri"/>
                <w:sz w:val="24"/>
                <w:szCs w:val="24"/>
                <w:u w:val="single"/>
                <w:lang w:val="en-GB"/>
              </w:rPr>
            </w:pPr>
            <w:r w:rsidRPr="00A21F5E">
              <w:rPr>
                <w:rFonts w:ascii="Calibri" w:eastAsia="Times New Roman" w:hAnsi="Calibri" w:cs="Calibri"/>
                <w:b/>
                <w:sz w:val="24"/>
                <w:szCs w:val="24"/>
                <w:u w:val="single"/>
                <w:lang w:val="en-GB"/>
              </w:rPr>
              <w:t>Suggestions for questions to be asked to the State:</w:t>
            </w:r>
          </w:p>
          <w:p w14:paraId="7A68D6D0" w14:textId="77777777"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What explains the differentiation of the education budget for urban and rural areas, if the highest percentage of students is in the latter? </w:t>
            </w:r>
          </w:p>
          <w:p w14:paraId="2305E9C4" w14:textId="77777777" w:rsidR="009D1048" w:rsidRPr="00A21F5E" w:rsidRDefault="002F2ADC">
            <w:pPr>
              <w:jc w:val="center"/>
              <w:rPr>
                <w:rFonts w:ascii="Calibri" w:hAnsi="Calibri" w:cs="Calibri"/>
                <w:lang w:val="en-GB"/>
              </w:rPr>
            </w:pPr>
            <w:r w:rsidRPr="00A21F5E">
              <w:rPr>
                <w:rFonts w:ascii="Calibri" w:hAnsi="Calibri" w:cs="Calibri"/>
                <w:lang w:val="en-GB"/>
              </w:rPr>
              <w:t>**********************************</w:t>
            </w:r>
          </w:p>
          <w:p w14:paraId="34E5D5F3" w14:textId="77777777" w:rsidR="009D1048" w:rsidRPr="00A21F5E" w:rsidRDefault="009D1048">
            <w:pPr>
              <w:rPr>
                <w:rFonts w:ascii="Calibri" w:hAnsi="Calibri" w:cs="Calibri"/>
                <w:lang w:val="en-GB"/>
              </w:rPr>
            </w:pPr>
          </w:p>
          <w:p w14:paraId="704DABA2" w14:textId="77777777" w:rsidR="009D1048" w:rsidRPr="00A21F5E" w:rsidRDefault="002F2ADC">
            <w:pPr>
              <w:rPr>
                <w:rFonts w:ascii="Calibri" w:hAnsi="Calibri" w:cs="Calibri"/>
                <w:b/>
                <w:u w:val="single"/>
                <w:lang w:val="en-GB"/>
              </w:rPr>
            </w:pPr>
            <w:r w:rsidRPr="00A21F5E">
              <w:rPr>
                <w:rFonts w:ascii="Calibri" w:hAnsi="Calibri" w:cs="Calibri"/>
                <w:b/>
                <w:u w:val="single"/>
                <w:lang w:val="en-GB"/>
              </w:rPr>
              <w:t xml:space="preserve">Suggestions for recommendations to be made to the State: </w:t>
            </w:r>
          </w:p>
          <w:p w14:paraId="6EBE5651" w14:textId="77777777"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Develop and implement a national policy for the inclusion and empowerment of rural women, with a focus on removing structural barriers and promoting equal opportunities, through the following priority actions: </w:t>
            </w:r>
          </w:p>
          <w:p w14:paraId="170253FE" w14:textId="3EF4520B" w:rsidR="009D1048" w:rsidRPr="00A21F5E" w:rsidRDefault="002F2ADC" w:rsidP="00D36D6A">
            <w:pPr>
              <w:numPr>
                <w:ilvl w:val="1"/>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Access to Education: establish literacy and basic education programs aimed specifically at adult women in rural areas; offering incentives to families to keep girls in school, such as scholarships or school </w:t>
            </w:r>
            <w:r w:rsidR="00213872" w:rsidRPr="00A21F5E">
              <w:rPr>
                <w:rFonts w:ascii="Calibri" w:eastAsia="Times New Roman" w:hAnsi="Calibri" w:cs="Calibri"/>
                <w:sz w:val="24"/>
                <w:szCs w:val="24"/>
                <w:lang w:val="en-GB"/>
              </w:rPr>
              <w:t>meals.</w:t>
            </w:r>
            <w:r w:rsidRPr="00A21F5E">
              <w:rPr>
                <w:rFonts w:ascii="Calibri" w:eastAsia="Times New Roman" w:hAnsi="Calibri" w:cs="Calibri"/>
                <w:sz w:val="24"/>
                <w:szCs w:val="24"/>
                <w:lang w:val="en-GB"/>
              </w:rPr>
              <w:t xml:space="preserve"> </w:t>
            </w:r>
          </w:p>
          <w:p w14:paraId="4F5D06C6" w14:textId="3396F02C" w:rsidR="009D1048" w:rsidRPr="00A21F5E" w:rsidRDefault="002F2ADC" w:rsidP="00D36D6A">
            <w:pPr>
              <w:numPr>
                <w:ilvl w:val="1"/>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Reproductive Health and Rights: Expand access to community health posts with maternal and childcare and reproductive care; train and employ community health workers to sensitize and support women in their own languages and cultural contexts</w:t>
            </w:r>
            <w:r w:rsidR="00213872">
              <w:rPr>
                <w:rFonts w:ascii="Calibri" w:eastAsia="Times New Roman" w:hAnsi="Calibri" w:cs="Calibri"/>
                <w:sz w:val="24"/>
                <w:szCs w:val="24"/>
                <w:lang w:val="en-GB"/>
              </w:rPr>
              <w:t>.</w:t>
            </w:r>
          </w:p>
          <w:p w14:paraId="3ED9A90E" w14:textId="53B7F8B4" w:rsidR="009D1048" w:rsidRPr="00A21F5E" w:rsidRDefault="002F2ADC" w:rsidP="00330B12">
            <w:pPr>
              <w:numPr>
                <w:ilvl w:val="1"/>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Economic Empowerment: support women's agricultural cooperatives and the processing of local products, with access to microcredit, </w:t>
            </w:r>
            <w:r w:rsidRPr="00A21F5E">
              <w:rPr>
                <w:rFonts w:ascii="Calibri" w:eastAsia="Times New Roman" w:hAnsi="Calibri" w:cs="Calibri"/>
                <w:sz w:val="24"/>
                <w:szCs w:val="24"/>
                <w:lang w:val="en-GB"/>
              </w:rPr>
              <w:lastRenderedPageBreak/>
              <w:t xml:space="preserve">technical training and equipment; ensure that women have the right to land tenure and equal access to natural </w:t>
            </w:r>
            <w:r w:rsidR="00213872" w:rsidRPr="00A21F5E">
              <w:rPr>
                <w:rFonts w:ascii="Calibri" w:eastAsia="Times New Roman" w:hAnsi="Calibri" w:cs="Calibri"/>
                <w:sz w:val="24"/>
                <w:szCs w:val="24"/>
                <w:lang w:val="en-GB"/>
              </w:rPr>
              <w:t>resources.</w:t>
            </w:r>
            <w:r w:rsidRPr="00A21F5E">
              <w:rPr>
                <w:rFonts w:ascii="Calibri" w:eastAsia="Times New Roman" w:hAnsi="Calibri" w:cs="Calibri"/>
                <w:sz w:val="24"/>
                <w:szCs w:val="24"/>
                <w:lang w:val="en-GB"/>
              </w:rPr>
              <w:t xml:space="preserve"> </w:t>
            </w:r>
          </w:p>
          <w:p w14:paraId="3F3750BB" w14:textId="79F2AAE0" w:rsidR="009D1048" w:rsidRPr="00A21F5E" w:rsidRDefault="002F2ADC" w:rsidP="00330B12">
            <w:pPr>
              <w:numPr>
                <w:ilvl w:val="1"/>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Combating Gender-Based Violence and Discrimination: create accessible reporting and protection mechanisms against domestic violence and harmful traditional practices, such as forced marriages; sensitize community and religious leaders about women's rights, based on national legislation and ratified international treaties</w:t>
            </w:r>
            <w:r w:rsidR="00213872">
              <w:rPr>
                <w:rFonts w:ascii="Calibri" w:eastAsia="Times New Roman" w:hAnsi="Calibri" w:cs="Calibri"/>
                <w:sz w:val="24"/>
                <w:szCs w:val="24"/>
                <w:lang w:val="en-GB"/>
              </w:rPr>
              <w:t>.</w:t>
            </w:r>
            <w:r w:rsidRPr="00A21F5E">
              <w:rPr>
                <w:rFonts w:ascii="Calibri" w:eastAsia="Times New Roman" w:hAnsi="Calibri" w:cs="Calibri"/>
                <w:sz w:val="24"/>
                <w:szCs w:val="24"/>
                <w:lang w:val="en-GB"/>
              </w:rPr>
              <w:t xml:space="preserve">  </w:t>
            </w:r>
          </w:p>
          <w:p w14:paraId="4820FD2F" w14:textId="77777777" w:rsidR="009D1048" w:rsidRPr="00A21F5E" w:rsidRDefault="002F2ADC" w:rsidP="006B30C4">
            <w:pPr>
              <w:numPr>
                <w:ilvl w:val="1"/>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Political Participation and Representativeness: encourage and ensure the inclusion of women in local decision-making bodies, such as village councils and development committees; promote training campaigns in rural female leadership and civil rights. </w:t>
            </w:r>
          </w:p>
        </w:tc>
      </w:tr>
    </w:tbl>
    <w:p w14:paraId="26AC07C4" w14:textId="77777777" w:rsidR="009D1048" w:rsidRPr="00A21F5E" w:rsidRDefault="009D1048">
      <w:pPr>
        <w:rPr>
          <w:rFonts w:ascii="Calibri" w:hAnsi="Calibri" w:cs="Calibri"/>
          <w:lang w:val="en-GB"/>
        </w:rPr>
      </w:pPr>
    </w:p>
    <w:p w14:paraId="51E75065" w14:textId="77777777" w:rsidR="009D1048" w:rsidRPr="00A21F5E" w:rsidRDefault="002F2ADC">
      <w:pPr>
        <w:pStyle w:val="Heading2"/>
        <w:jc w:val="both"/>
        <w:rPr>
          <w:rFonts w:ascii="Calibri" w:hAnsi="Calibri" w:cs="Calibri"/>
          <w:b/>
          <w:color w:val="auto"/>
          <w:lang w:val="en-GB"/>
        </w:rPr>
      </w:pPr>
      <w:r w:rsidRPr="00A21F5E">
        <w:rPr>
          <w:rFonts w:ascii="Calibri" w:hAnsi="Calibri" w:cs="Calibri"/>
          <w:b/>
          <w:color w:val="auto"/>
          <w:lang w:val="en-GB"/>
        </w:rPr>
        <w:t>5) Legal Capacity (Art. 15) and Marriage and Family Relations (Art. 16)</w:t>
      </w:r>
    </w:p>
    <w:p w14:paraId="32041F90" w14:textId="77777777" w:rsidR="009D1048" w:rsidRPr="00A21F5E" w:rsidRDefault="009D1048">
      <w:pPr>
        <w:rPr>
          <w:rFonts w:ascii="Calibri" w:hAnsi="Calibri" w:cs="Calibri"/>
          <w:lang w:val="en-GB"/>
        </w:rPr>
      </w:pPr>
    </w:p>
    <w:p w14:paraId="633BAE3A" w14:textId="77777777" w:rsidR="009D1048" w:rsidRPr="00A21F5E" w:rsidRDefault="002F2ADC">
      <w:pPr>
        <w:jc w:val="both"/>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Property rights in the context of marriage and family relations</w:t>
      </w:r>
    </w:p>
    <w:p w14:paraId="0397DBE3" w14:textId="744F485B"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Women do not have the right to property during the term of the marriage, since, according to article 1674, the man is the head of the family and, according to article 1678, all property is the property of the head of the family, even the woman's own property.</w:t>
      </w:r>
    </w:p>
    <w:p w14:paraId="73DB4DC2" w14:textId="77777777"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Thus, women are deprived of the right to property, including over their own home where they live. In the context of the death of the husband, the wife is not entitled to the inheritance, it is considered part of the inheritance and, according to some customs, it is "given" to the husband's family. The same happens with the couple's assets that pass to the family of the deceased. </w:t>
      </w:r>
    </w:p>
    <w:p w14:paraId="3F42F174" w14:textId="77777777"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This discrimination is established by the Civil Code, in flagrant contravention of article 16 of CEDAW.</w:t>
      </w:r>
    </w:p>
    <w:p w14:paraId="0635D13A" w14:textId="77777777" w:rsidR="009D1048" w:rsidRPr="00A21F5E" w:rsidRDefault="002F2ADC">
      <w:pPr>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In this sense, the provision of article 26 of the Domestic Violence Law on property crimes ("16.1 Anyone who intentionally causes the deterioration or loss of objects, animals or material goods of the victim or his or her family nucleus is punished with a prison sentence of up to two years or a fine; </w:t>
      </w:r>
      <w:r w:rsidRPr="00A21F5E">
        <w:rPr>
          <w:rFonts w:ascii="Calibri" w:eastAsia="Times New Roman" w:hAnsi="Calibri" w:cs="Calibri"/>
          <w:i/>
          <w:sz w:val="24"/>
          <w:szCs w:val="24"/>
          <w:lang w:val="en-GB"/>
        </w:rPr>
        <w:t xml:space="preserve">16.2 Whoever, being a relative of one of the spouses, takes possession of the assets belonging to their family nucleus after the death of one of the spouses, is punished with a prison sentence of two to eight years in prison.") </w:t>
      </w:r>
      <w:r w:rsidRPr="00A21F5E">
        <w:rPr>
          <w:rFonts w:ascii="Calibri" w:eastAsia="Times New Roman" w:hAnsi="Calibri" w:cs="Calibri"/>
          <w:sz w:val="24"/>
          <w:szCs w:val="24"/>
          <w:lang w:val="en-GB"/>
        </w:rPr>
        <w:t xml:space="preserve">has not been able to offer protection to women. </w:t>
      </w:r>
    </w:p>
    <w:p w14:paraId="59A848A1" w14:textId="77777777" w:rsidR="009D1048" w:rsidRPr="00A21F5E" w:rsidRDefault="009D1048">
      <w:pPr>
        <w:rPr>
          <w:rFonts w:ascii="Calibri" w:hAnsi="Calibri" w:cs="Calibri"/>
          <w:lang w:val="en-GB"/>
        </w:rPr>
      </w:pPr>
    </w:p>
    <w:tbl>
      <w:tblPr>
        <w:tblStyle w:val="a4"/>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DB653F" w:rsidRPr="00A21F5E" w14:paraId="50315B87" w14:textId="77777777">
        <w:tc>
          <w:tcPr>
            <w:tcW w:w="8494" w:type="dxa"/>
          </w:tcPr>
          <w:p w14:paraId="27F728EC" w14:textId="77777777" w:rsidR="009D1048" w:rsidRPr="00A21F5E" w:rsidRDefault="002F2ADC">
            <w:pPr>
              <w:spacing w:before="240" w:after="240" w:line="288" w:lineRule="auto"/>
              <w:jc w:val="both"/>
              <w:rPr>
                <w:rFonts w:ascii="Calibri" w:eastAsia="Times New Roman" w:hAnsi="Calibri" w:cs="Calibri"/>
                <w:sz w:val="24"/>
                <w:szCs w:val="24"/>
                <w:u w:val="single"/>
                <w:lang w:val="en-GB"/>
              </w:rPr>
            </w:pPr>
            <w:r w:rsidRPr="00A21F5E">
              <w:rPr>
                <w:rFonts w:ascii="Calibri" w:eastAsia="Times New Roman" w:hAnsi="Calibri" w:cs="Calibri"/>
                <w:b/>
                <w:sz w:val="24"/>
                <w:szCs w:val="24"/>
                <w:u w:val="single"/>
                <w:lang w:val="en-GB"/>
              </w:rPr>
              <w:lastRenderedPageBreak/>
              <w:t>Suggestions for questions to be asked to the State:</w:t>
            </w:r>
          </w:p>
          <w:p w14:paraId="4FE9B6CE" w14:textId="77777777"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What is the procedure adopted by the State when it becomes aware of the occurrence of forced marriage involving underage girls? Which institutions are activated and what is done?</w:t>
            </w:r>
          </w:p>
          <w:p w14:paraId="5416EB34" w14:textId="77777777" w:rsidR="009D1048" w:rsidRPr="00A21F5E" w:rsidRDefault="002F2ADC">
            <w:pPr>
              <w:jc w:val="center"/>
              <w:rPr>
                <w:rFonts w:ascii="Calibri" w:eastAsia="Times New Roman" w:hAnsi="Calibri" w:cs="Calibri"/>
                <w:sz w:val="24"/>
                <w:szCs w:val="24"/>
                <w:lang w:val="en-GB"/>
              </w:rPr>
            </w:pPr>
            <w:r w:rsidRPr="00A21F5E">
              <w:rPr>
                <w:rFonts w:ascii="Calibri" w:eastAsia="Times New Roman" w:hAnsi="Calibri" w:cs="Calibri"/>
                <w:sz w:val="24"/>
                <w:szCs w:val="24"/>
                <w:lang w:val="en-GB"/>
              </w:rPr>
              <w:t>**********************************</w:t>
            </w:r>
          </w:p>
          <w:p w14:paraId="0E4A1916" w14:textId="77777777" w:rsidR="009D1048" w:rsidRPr="00A21F5E" w:rsidRDefault="009D1048">
            <w:pPr>
              <w:rPr>
                <w:rFonts w:ascii="Calibri" w:eastAsia="Times New Roman" w:hAnsi="Calibri" w:cs="Calibri"/>
                <w:sz w:val="24"/>
                <w:szCs w:val="24"/>
                <w:lang w:val="en-GB"/>
              </w:rPr>
            </w:pPr>
          </w:p>
          <w:p w14:paraId="4BB129BF" w14:textId="77777777" w:rsidR="009D1048" w:rsidRPr="00A21F5E" w:rsidRDefault="002F2ADC">
            <w:pPr>
              <w:rPr>
                <w:rFonts w:ascii="Calibri" w:eastAsia="Times New Roman" w:hAnsi="Calibri" w:cs="Calibri"/>
                <w:b/>
                <w:sz w:val="24"/>
                <w:szCs w:val="24"/>
                <w:u w:val="single"/>
                <w:lang w:val="en-GB"/>
              </w:rPr>
            </w:pPr>
            <w:r w:rsidRPr="00A21F5E">
              <w:rPr>
                <w:rFonts w:ascii="Calibri" w:eastAsia="Times New Roman" w:hAnsi="Calibri" w:cs="Calibri"/>
                <w:b/>
                <w:sz w:val="24"/>
                <w:szCs w:val="24"/>
                <w:u w:val="single"/>
                <w:lang w:val="en-GB"/>
              </w:rPr>
              <w:t xml:space="preserve">Suggestions for recommendations to be made to the State: </w:t>
            </w:r>
          </w:p>
          <w:p w14:paraId="669B6C89" w14:textId="45F1751D"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Take appropriate measures to eliminate all forms of discrimination against women with respect to land ownership and inheritance and specifically repeal provisions of the Civil Code incompatible with CEDAW</w:t>
            </w:r>
            <w:r w:rsidR="00213872">
              <w:rPr>
                <w:rFonts w:ascii="Calibri" w:eastAsia="Times New Roman" w:hAnsi="Calibri" w:cs="Calibri"/>
                <w:sz w:val="24"/>
                <w:szCs w:val="24"/>
                <w:lang w:val="en-GB"/>
              </w:rPr>
              <w:t>.</w:t>
            </w:r>
          </w:p>
          <w:p w14:paraId="739FB00A" w14:textId="77777777" w:rsidR="009D1048" w:rsidRPr="00A21F5E" w:rsidRDefault="002F2ADC">
            <w:pPr>
              <w:numPr>
                <w:ilvl w:val="0"/>
                <w:numId w:val="3"/>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Creation of a shelter for girls, so that they have some possibility of getting out of forced marriage. Due to lack of financial conditions, many times, despite wanting to leave, they remain within the marriage. </w:t>
            </w:r>
          </w:p>
        </w:tc>
      </w:tr>
    </w:tbl>
    <w:p w14:paraId="2E564187" w14:textId="7879C780" w:rsidR="009D1048" w:rsidRPr="00A21F5E" w:rsidRDefault="002F2ADC">
      <w:p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Finally, the preliminary recommendations made by </w:t>
      </w:r>
      <w:r w:rsidRPr="00A21F5E">
        <w:rPr>
          <w:rFonts w:ascii="Calibri" w:eastAsia="Times New Roman" w:hAnsi="Calibri" w:cs="Calibri"/>
          <w:b/>
          <w:sz w:val="24"/>
          <w:szCs w:val="24"/>
          <w:lang w:val="en-GB"/>
        </w:rPr>
        <w:t xml:space="preserve">the UN Rapporteur on Human Trafficking </w:t>
      </w:r>
      <w:r w:rsidRPr="00A21F5E">
        <w:rPr>
          <w:rFonts w:ascii="Calibri" w:eastAsia="Times New Roman" w:hAnsi="Calibri" w:cs="Calibri"/>
          <w:sz w:val="24"/>
          <w:szCs w:val="24"/>
          <w:lang w:val="en-GB"/>
        </w:rPr>
        <w:t xml:space="preserve">and directly related to the promotion of gender equality and women's </w:t>
      </w:r>
      <w:r w:rsidR="00213872" w:rsidRPr="00A21F5E">
        <w:rPr>
          <w:rFonts w:ascii="Calibri" w:eastAsia="Times New Roman" w:hAnsi="Calibri" w:cs="Calibri"/>
          <w:sz w:val="24"/>
          <w:szCs w:val="24"/>
          <w:lang w:val="en-GB"/>
        </w:rPr>
        <w:t>empowerment are</w:t>
      </w:r>
      <w:r w:rsidRPr="00A21F5E">
        <w:rPr>
          <w:rFonts w:ascii="Calibri" w:eastAsia="Times New Roman" w:hAnsi="Calibri" w:cs="Calibri"/>
          <w:sz w:val="24"/>
          <w:szCs w:val="24"/>
          <w:lang w:val="en-GB"/>
        </w:rPr>
        <w:t xml:space="preserve"> collated:</w:t>
      </w:r>
    </w:p>
    <w:p w14:paraId="3E1CB3D5" w14:textId="31664BE8" w:rsidR="009D1048" w:rsidRPr="00A21F5E" w:rsidRDefault="002F2ADC">
      <w:pPr>
        <w:numPr>
          <w:ilvl w:val="0"/>
          <w:numId w:val="1"/>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Continue to develop and implement, together with traditional leaders and civil society actors, in particular women's associations, especially in rural areas, awareness-raising programmes on women's rights, especially in the context of access to land ownership and hereditary rights, to ensure that women retain land and property rights also after the death of their husbands or in the event of divorce</w:t>
      </w:r>
      <w:r w:rsidR="00213872">
        <w:rPr>
          <w:rFonts w:ascii="Calibri" w:eastAsia="Times New Roman" w:hAnsi="Calibri" w:cs="Calibri"/>
          <w:sz w:val="24"/>
          <w:szCs w:val="24"/>
          <w:lang w:val="en-GB"/>
        </w:rPr>
        <w:t>.</w:t>
      </w:r>
    </w:p>
    <w:p w14:paraId="6E2BB969" w14:textId="4D17E740" w:rsidR="009D1048" w:rsidRPr="00A21F5E" w:rsidRDefault="002F2ADC">
      <w:pPr>
        <w:numPr>
          <w:ilvl w:val="0"/>
          <w:numId w:val="1"/>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With the support of development partners, develop mechanisms to ensure women's access to credit in all regions</w:t>
      </w:r>
      <w:r w:rsidR="00213872">
        <w:rPr>
          <w:rFonts w:ascii="Calibri" w:eastAsia="Times New Roman" w:hAnsi="Calibri" w:cs="Calibri"/>
          <w:sz w:val="24"/>
          <w:szCs w:val="24"/>
          <w:lang w:val="en-GB"/>
        </w:rPr>
        <w:t>.</w:t>
      </w:r>
    </w:p>
    <w:p w14:paraId="1E74D27B" w14:textId="77777777" w:rsidR="009D1048" w:rsidRPr="00A21F5E" w:rsidRDefault="002F2ADC">
      <w:pPr>
        <w:numPr>
          <w:ilvl w:val="0"/>
          <w:numId w:val="1"/>
        </w:numPr>
        <w:spacing w:before="240" w:after="240" w:line="288" w:lineRule="auto"/>
        <w:jc w:val="both"/>
        <w:rPr>
          <w:rFonts w:ascii="Calibri" w:eastAsia="Times New Roman" w:hAnsi="Calibri" w:cs="Calibri"/>
          <w:sz w:val="24"/>
          <w:szCs w:val="24"/>
          <w:lang w:val="en-GB"/>
        </w:rPr>
      </w:pPr>
      <w:r w:rsidRPr="00A21F5E">
        <w:rPr>
          <w:rFonts w:ascii="Calibri" w:eastAsia="Times New Roman" w:hAnsi="Calibri" w:cs="Calibri"/>
          <w:sz w:val="24"/>
          <w:szCs w:val="24"/>
          <w:lang w:val="en-GB"/>
        </w:rPr>
        <w:t xml:space="preserve">Improve economic diversity, especially in areas most dependent on cashew cultivation, as well as support (together with development partners) the modernisation of agricultural techniques. </w:t>
      </w:r>
    </w:p>
    <w:p w14:paraId="02BB6A5D" w14:textId="77777777" w:rsidR="009D1048" w:rsidRPr="00A21F5E" w:rsidRDefault="009D1048">
      <w:pPr>
        <w:spacing w:before="240" w:after="240" w:line="288" w:lineRule="auto"/>
        <w:jc w:val="both"/>
        <w:rPr>
          <w:rFonts w:ascii="Calibri" w:eastAsia="Times New Roman" w:hAnsi="Calibri" w:cs="Calibri"/>
          <w:sz w:val="24"/>
          <w:szCs w:val="24"/>
          <w:lang w:val="en-GB"/>
        </w:rPr>
      </w:pPr>
    </w:p>
    <w:p w14:paraId="6AEC35AB" w14:textId="2B71CBD4" w:rsidR="009D1048" w:rsidRPr="00A21F5E" w:rsidRDefault="009D1048">
      <w:pPr>
        <w:rPr>
          <w:rFonts w:ascii="Calibri" w:hAnsi="Calibri" w:cs="Calibri"/>
          <w:lang w:val="en-GB"/>
        </w:rPr>
      </w:pPr>
    </w:p>
    <w:sectPr w:rsidR="009D1048" w:rsidRPr="00A21F5E">
      <w:foot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BC055" w14:textId="77777777" w:rsidR="002F2ADC" w:rsidRDefault="002F2ADC">
      <w:pPr>
        <w:spacing w:after="0" w:line="240" w:lineRule="auto"/>
      </w:pPr>
      <w:r>
        <w:separator/>
      </w:r>
    </w:p>
  </w:endnote>
  <w:endnote w:type="continuationSeparator" w:id="0">
    <w:p w14:paraId="61871DFD" w14:textId="77777777" w:rsidR="002F2ADC" w:rsidRDefault="002F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8A2E2E3-8F0B-4825-9A1C-5B780297269E}"/>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975B301E-4B6B-40CB-A18F-FA8AC66661BE}"/>
    <w:embedBold r:id="rId3" w:fontKey="{F1107229-D607-49ED-A912-AF7D4EE1B675}"/>
    <w:embedItalic r:id="rId4" w:fontKey="{828F4959-3A27-40D7-92DD-87AECCF94AA3}"/>
  </w:font>
  <w:font w:name="Aptos Display">
    <w:charset w:val="00"/>
    <w:family w:val="swiss"/>
    <w:pitch w:val="variable"/>
    <w:sig w:usb0="20000287" w:usb1="00000003" w:usb2="00000000" w:usb3="00000000" w:csb0="0000019F" w:csb1="00000000"/>
    <w:embedRegular r:id="rId5" w:fontKey="{024D1251-D8EA-4AB1-AD01-CB14840CBB3A}"/>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embedRegular r:id="rId6" w:fontKey="{DFD93083-0CC9-4306-869C-0E1BFA63BCBE}"/>
    <w:embedBold r:id="rId7" w:fontKey="{C8DEBF02-B157-43F4-A878-2D3BD0A3CA8A}"/>
    <w:embedItalic r:id="rId8" w:fontKey="{51AA4C6A-87F8-437A-9F30-5353CA59F14F}"/>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D5072" w14:textId="77777777" w:rsidR="009D1048" w:rsidRDefault="002F2ADC">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075CB">
      <w:rPr>
        <w:noProof/>
        <w:color w:val="000000"/>
      </w:rPr>
      <w:t>1</w:t>
    </w:r>
    <w:r>
      <w:rPr>
        <w:color w:val="000000"/>
      </w:rPr>
      <w:fldChar w:fldCharType="end"/>
    </w:r>
  </w:p>
  <w:p w14:paraId="3D14131C" w14:textId="77777777" w:rsidR="009D1048" w:rsidRDefault="009D104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9F28A" w14:textId="77777777" w:rsidR="002F2ADC" w:rsidRDefault="002F2ADC">
      <w:pPr>
        <w:spacing w:after="0" w:line="240" w:lineRule="auto"/>
      </w:pPr>
      <w:r>
        <w:separator/>
      </w:r>
    </w:p>
  </w:footnote>
  <w:footnote w:type="continuationSeparator" w:id="0">
    <w:p w14:paraId="6A0600A4" w14:textId="77777777" w:rsidR="002F2ADC" w:rsidRDefault="002F2ADC">
      <w:pPr>
        <w:spacing w:after="0" w:line="240" w:lineRule="auto"/>
      </w:pPr>
      <w:r>
        <w:continuationSeparator/>
      </w:r>
    </w:p>
  </w:footnote>
  <w:footnote w:id="1">
    <w:p w14:paraId="7F8E0599" w14:textId="35125F20" w:rsidR="009D1048" w:rsidRPr="00CB7A4D" w:rsidRDefault="002F2ADC">
      <w:pPr>
        <w:pBdr>
          <w:top w:val="nil"/>
          <w:left w:val="nil"/>
          <w:bottom w:val="nil"/>
          <w:right w:val="nil"/>
          <w:between w:val="nil"/>
        </w:pBdr>
        <w:tabs>
          <w:tab w:val="right" w:pos="1021"/>
          <w:tab w:val="right" w:pos="0"/>
        </w:tabs>
        <w:spacing w:after="0" w:line="220" w:lineRule="auto"/>
        <w:ind w:right="1134"/>
        <w:rPr>
          <w:rFonts w:ascii="Calibri" w:eastAsia="Times New Roman" w:hAnsi="Calibri" w:cs="Calibri"/>
          <w:color w:val="000000"/>
          <w:sz w:val="20"/>
          <w:szCs w:val="20"/>
          <w:lang w:val="en-US"/>
        </w:rPr>
      </w:pPr>
      <w:r w:rsidRPr="00DF3753">
        <w:rPr>
          <w:rFonts w:ascii="Calibri" w:hAnsi="Calibri" w:cs="Calibri"/>
          <w:sz w:val="20"/>
          <w:szCs w:val="20"/>
          <w:vertAlign w:val="superscript"/>
        </w:rPr>
        <w:footnoteRef/>
      </w:r>
      <w:r w:rsidR="00DF3753" w:rsidRPr="00CB7A4D">
        <w:rPr>
          <w:rFonts w:ascii="Calibri" w:eastAsia="Times New Roman" w:hAnsi="Calibri" w:cs="Calibri"/>
          <w:color w:val="000000"/>
          <w:sz w:val="20"/>
          <w:szCs w:val="20"/>
          <w:lang w:val="en-US"/>
        </w:rPr>
        <w:t xml:space="preserve"> Ministry of Finance, Proposal GSB 2022, 2021, p. 121.</w:t>
      </w:r>
    </w:p>
  </w:footnote>
  <w:footnote w:id="2">
    <w:p w14:paraId="0679CAA0" w14:textId="77777777" w:rsidR="009D1048" w:rsidRPr="00CB7A4D" w:rsidRDefault="002F2ADC">
      <w:pPr>
        <w:pBdr>
          <w:top w:val="nil"/>
          <w:left w:val="nil"/>
          <w:bottom w:val="nil"/>
          <w:right w:val="nil"/>
          <w:between w:val="nil"/>
        </w:pBdr>
        <w:tabs>
          <w:tab w:val="right" w:pos="1021"/>
          <w:tab w:val="right" w:pos="0"/>
        </w:tabs>
        <w:spacing w:after="0" w:line="220" w:lineRule="auto"/>
        <w:rPr>
          <w:rFonts w:ascii="Calibri" w:eastAsia="Times New Roman" w:hAnsi="Calibri" w:cs="Calibri"/>
          <w:color w:val="000000"/>
          <w:sz w:val="20"/>
          <w:szCs w:val="20"/>
          <w:lang w:val="en-US"/>
        </w:rPr>
      </w:pPr>
      <w:r w:rsidRPr="00DF3753">
        <w:rPr>
          <w:rFonts w:ascii="Calibri" w:hAnsi="Calibri" w:cs="Calibri"/>
          <w:sz w:val="20"/>
          <w:szCs w:val="20"/>
          <w:vertAlign w:val="superscript"/>
        </w:rPr>
        <w:footnoteRef/>
      </w:r>
      <w:r w:rsidRPr="00CB7A4D">
        <w:rPr>
          <w:rFonts w:ascii="Calibri" w:eastAsia="Times New Roman" w:hAnsi="Calibri" w:cs="Calibri"/>
          <w:color w:val="000000"/>
          <w:sz w:val="20"/>
          <w:szCs w:val="20"/>
          <w:lang w:val="en-US"/>
        </w:rPr>
        <w:t xml:space="preserve"> "</w:t>
      </w:r>
      <w:r w:rsidRPr="00CB7A4D">
        <w:rPr>
          <w:rFonts w:ascii="Calibri" w:eastAsia="Times New Roman" w:hAnsi="Calibri" w:cs="Calibri"/>
          <w:i/>
          <w:color w:val="000000"/>
          <w:sz w:val="20"/>
          <w:szCs w:val="20"/>
          <w:lang w:val="en-US"/>
        </w:rPr>
        <w:t xml:space="preserve">Guinea-Bissau Budget Analysis: Education (2016-2022)", content extracted from the publication that examined the human rights dimensions of Guinea-Bissau's budget from 2016 to 2022). </w:t>
      </w:r>
    </w:p>
  </w:footnote>
  <w:footnote w:id="3">
    <w:p w14:paraId="095F2256" w14:textId="77777777" w:rsidR="009D1048" w:rsidRPr="00CB7A4D" w:rsidRDefault="002F2ADC">
      <w:pPr>
        <w:pBdr>
          <w:top w:val="nil"/>
          <w:left w:val="nil"/>
          <w:bottom w:val="nil"/>
          <w:right w:val="nil"/>
          <w:between w:val="nil"/>
        </w:pBdr>
        <w:tabs>
          <w:tab w:val="right" w:pos="1021"/>
        </w:tabs>
        <w:spacing w:after="0" w:line="220" w:lineRule="auto"/>
        <w:rPr>
          <w:rFonts w:ascii="Calibri" w:eastAsia="Times New Roman" w:hAnsi="Calibri" w:cs="Calibri"/>
          <w:color w:val="000000"/>
          <w:sz w:val="20"/>
          <w:szCs w:val="20"/>
          <w:lang w:val="en-US"/>
        </w:rPr>
      </w:pPr>
      <w:r w:rsidRPr="00DF3753">
        <w:rPr>
          <w:rFonts w:ascii="Calibri" w:hAnsi="Calibri" w:cs="Calibri"/>
          <w:sz w:val="20"/>
          <w:szCs w:val="20"/>
          <w:vertAlign w:val="superscript"/>
        </w:rPr>
        <w:footnoteRef/>
      </w:r>
      <w:r w:rsidRPr="00CB7A4D">
        <w:rPr>
          <w:rFonts w:ascii="Calibri" w:eastAsia="Times New Roman" w:hAnsi="Calibri" w:cs="Calibri"/>
          <w:color w:val="000000"/>
          <w:sz w:val="20"/>
          <w:szCs w:val="20"/>
          <w:lang w:val="en-US"/>
        </w:rPr>
        <w:t xml:space="preserve"> Excerpt from the report presented by the AJDPH during the Universal Periodic Review completed in 2025.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C7032"/>
    <w:multiLevelType w:val="multilevel"/>
    <w:tmpl w:val="0236156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8C76888"/>
    <w:multiLevelType w:val="multilevel"/>
    <w:tmpl w:val="0B8ECB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A04452D"/>
    <w:multiLevelType w:val="multilevel"/>
    <w:tmpl w:val="0F160C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48861542">
    <w:abstractNumId w:val="2"/>
  </w:num>
  <w:num w:numId="2" w16cid:durableId="1498496893">
    <w:abstractNumId w:val="1"/>
  </w:num>
  <w:num w:numId="3" w16cid:durableId="1856578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048"/>
    <w:rsid w:val="00033DB2"/>
    <w:rsid w:val="000713E9"/>
    <w:rsid w:val="0015559B"/>
    <w:rsid w:val="001D10C5"/>
    <w:rsid w:val="002075CB"/>
    <w:rsid w:val="00213872"/>
    <w:rsid w:val="002272CA"/>
    <w:rsid w:val="002F2ADC"/>
    <w:rsid w:val="00310971"/>
    <w:rsid w:val="00313FA1"/>
    <w:rsid w:val="0033035D"/>
    <w:rsid w:val="00330B12"/>
    <w:rsid w:val="00425AD8"/>
    <w:rsid w:val="004408C5"/>
    <w:rsid w:val="006904DD"/>
    <w:rsid w:val="006B30C4"/>
    <w:rsid w:val="00714A28"/>
    <w:rsid w:val="007F06CD"/>
    <w:rsid w:val="00827FD0"/>
    <w:rsid w:val="00940C41"/>
    <w:rsid w:val="00972C28"/>
    <w:rsid w:val="0099283A"/>
    <w:rsid w:val="009D1048"/>
    <w:rsid w:val="00A21F5E"/>
    <w:rsid w:val="00A379D5"/>
    <w:rsid w:val="00AC379C"/>
    <w:rsid w:val="00B66BF5"/>
    <w:rsid w:val="00C1256C"/>
    <w:rsid w:val="00C62472"/>
    <w:rsid w:val="00C65459"/>
    <w:rsid w:val="00CB7A4D"/>
    <w:rsid w:val="00D36D6A"/>
    <w:rsid w:val="00D37BF9"/>
    <w:rsid w:val="00DB653F"/>
    <w:rsid w:val="00DF3753"/>
    <w:rsid w:val="00E32E5D"/>
    <w:rsid w:val="00E748FE"/>
    <w:rsid w:val="00E97D1D"/>
    <w:rsid w:val="00EF0361"/>
    <w:rsid w:val="00F028A0"/>
    <w:rsid w:val="00F927EE"/>
    <w:rsid w:val="00FE374F"/>
    <w:rsid w:val="00FE5B53"/>
    <w:rsid w:val="00FF6B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D2C4D"/>
  <w15:docId w15:val="{67B6ECEE-5D03-469B-B112-1DFB3040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7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17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17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7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7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7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7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7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7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C17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17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17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17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7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7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7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7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7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77C"/>
    <w:rPr>
      <w:rFonts w:eastAsiaTheme="majorEastAsia" w:cstheme="majorBidi"/>
      <w:color w:val="272727" w:themeColor="text1" w:themeTint="D8"/>
    </w:rPr>
  </w:style>
  <w:style w:type="character" w:customStyle="1" w:styleId="TitleChar">
    <w:name w:val="Title Char"/>
    <w:basedOn w:val="DefaultParagraphFont"/>
    <w:link w:val="Title"/>
    <w:uiPriority w:val="10"/>
    <w:rsid w:val="00EC17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EC17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77C"/>
    <w:pPr>
      <w:spacing w:before="160"/>
      <w:jc w:val="center"/>
    </w:pPr>
    <w:rPr>
      <w:i/>
      <w:iCs/>
      <w:color w:val="404040" w:themeColor="text1" w:themeTint="BF"/>
    </w:rPr>
  </w:style>
  <w:style w:type="character" w:customStyle="1" w:styleId="QuoteChar">
    <w:name w:val="Quote Char"/>
    <w:basedOn w:val="DefaultParagraphFont"/>
    <w:link w:val="Quote"/>
    <w:uiPriority w:val="29"/>
    <w:rsid w:val="00EC177C"/>
    <w:rPr>
      <w:i/>
      <w:iCs/>
      <w:color w:val="404040" w:themeColor="text1" w:themeTint="BF"/>
    </w:rPr>
  </w:style>
  <w:style w:type="paragraph" w:styleId="ListParagraph">
    <w:name w:val="List Paragraph"/>
    <w:basedOn w:val="Normal"/>
    <w:uiPriority w:val="34"/>
    <w:qFormat/>
    <w:rsid w:val="00EC177C"/>
    <w:pPr>
      <w:ind w:left="720"/>
      <w:contextualSpacing/>
    </w:pPr>
  </w:style>
  <w:style w:type="character" w:styleId="IntenseEmphasis">
    <w:name w:val="Intense Emphasis"/>
    <w:basedOn w:val="DefaultParagraphFont"/>
    <w:uiPriority w:val="21"/>
    <w:qFormat/>
    <w:rsid w:val="00EC177C"/>
    <w:rPr>
      <w:i/>
      <w:iCs/>
      <w:color w:val="0F4761" w:themeColor="accent1" w:themeShade="BF"/>
    </w:rPr>
  </w:style>
  <w:style w:type="paragraph" w:styleId="IntenseQuote">
    <w:name w:val="Intense Quote"/>
    <w:basedOn w:val="Normal"/>
    <w:next w:val="Normal"/>
    <w:link w:val="IntenseQuoteChar"/>
    <w:uiPriority w:val="30"/>
    <w:qFormat/>
    <w:rsid w:val="00EC17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77C"/>
    <w:rPr>
      <w:i/>
      <w:iCs/>
      <w:color w:val="0F4761" w:themeColor="accent1" w:themeShade="BF"/>
    </w:rPr>
  </w:style>
  <w:style w:type="character" w:styleId="IntenseReference">
    <w:name w:val="Intense Reference"/>
    <w:basedOn w:val="DefaultParagraphFont"/>
    <w:uiPriority w:val="32"/>
    <w:qFormat/>
    <w:rsid w:val="00EC177C"/>
    <w:rPr>
      <w:b/>
      <w:bCs/>
      <w:smallCaps/>
      <w:color w:val="0F4761" w:themeColor="accent1" w:themeShade="BF"/>
      <w:spacing w:val="5"/>
    </w:rPr>
  </w:style>
  <w:style w:type="character" w:styleId="Hyperlink">
    <w:name w:val="Hyperlink"/>
    <w:basedOn w:val="DefaultParagraphFont"/>
    <w:uiPriority w:val="99"/>
    <w:unhideWhenUsed/>
    <w:rsid w:val="00EC177C"/>
    <w:rPr>
      <w:color w:val="467886" w:themeColor="hyperlink"/>
      <w:u w:val="single"/>
    </w:rPr>
  </w:style>
  <w:style w:type="character" w:styleId="UnresolvedMention">
    <w:name w:val="Unresolved Mention"/>
    <w:basedOn w:val="DefaultParagraphFont"/>
    <w:uiPriority w:val="99"/>
    <w:semiHidden/>
    <w:unhideWhenUsed/>
    <w:rsid w:val="00EC177C"/>
    <w:rPr>
      <w:color w:val="605E5C"/>
      <w:shd w:val="clear" w:color="auto" w:fill="E1DFDD"/>
    </w:rPr>
  </w:style>
  <w:style w:type="table" w:styleId="TableGrid">
    <w:name w:val="Table Grid"/>
    <w:basedOn w:val="TableNormal"/>
    <w:uiPriority w:val="39"/>
    <w:rsid w:val="00EC177C"/>
    <w:pPr>
      <w:spacing w:after="0" w:line="240" w:lineRule="auto"/>
    </w:pPr>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2AA7"/>
    <w:pPr>
      <w:spacing w:before="100" w:beforeAutospacing="1" w:after="100" w:afterAutospacing="1" w:line="276" w:lineRule="auto"/>
    </w:pPr>
    <w:rPr>
      <w:rFonts w:ascii="Times New Roman" w:eastAsia="Times New Roman" w:hAnsi="Times New Roman" w:cs="Times New Roman"/>
      <w:sz w:val="24"/>
      <w:szCs w:val="24"/>
      <w:lang w:val="pt-PT"/>
    </w:rPr>
  </w:style>
  <w:style w:type="paragraph" w:customStyle="1" w:styleId="SingleTxtG">
    <w:name w:val="_ Single Txt_G"/>
    <w:basedOn w:val="Normal"/>
    <w:link w:val="SingleTxtGChar"/>
    <w:qFormat/>
    <w:rsid w:val="00127E9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styleId="FootnoteReference">
    <w:name w:val="footnote reference"/>
    <w:aliases w:val="4_G"/>
    <w:basedOn w:val="DefaultParagraphFont"/>
    <w:uiPriority w:val="99"/>
    <w:qFormat/>
    <w:rsid w:val="00127E99"/>
    <w:rPr>
      <w:rFonts w:ascii="Times New Roman" w:hAnsi="Times New Roman"/>
      <w:sz w:val="18"/>
      <w:vertAlign w:val="superscript"/>
      <w:lang w:val="en-GB"/>
    </w:rPr>
  </w:style>
  <w:style w:type="paragraph" w:styleId="FootnoteText">
    <w:name w:val="footnote text"/>
    <w:aliases w:val="5_G"/>
    <w:basedOn w:val="Normal"/>
    <w:link w:val="FootnoteTextChar"/>
    <w:uiPriority w:val="99"/>
    <w:qFormat/>
    <w:rsid w:val="00127E99"/>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en-GB"/>
    </w:rPr>
  </w:style>
  <w:style w:type="character" w:customStyle="1" w:styleId="FootnoteTextChar">
    <w:name w:val="Footnote Text Char"/>
    <w:aliases w:val="5_G Char"/>
    <w:basedOn w:val="DefaultParagraphFont"/>
    <w:link w:val="FootnoteText"/>
    <w:uiPriority w:val="99"/>
    <w:rsid w:val="00127E99"/>
    <w:rPr>
      <w:rFonts w:ascii="Times New Roman" w:hAnsi="Times New Roman" w:cs="Times New Roman"/>
      <w:kern w:val="0"/>
      <w:sz w:val="18"/>
      <w:szCs w:val="20"/>
      <w:lang w:val="en-GB"/>
    </w:rPr>
  </w:style>
  <w:style w:type="character" w:customStyle="1" w:styleId="SingleTxtGChar">
    <w:name w:val="_ Single Txt_G Char"/>
    <w:link w:val="SingleTxtG"/>
    <w:locked/>
    <w:rsid w:val="00127E99"/>
    <w:rPr>
      <w:rFonts w:ascii="Times New Roman" w:hAnsi="Times New Roman" w:cs="Times New Roman"/>
      <w:kern w:val="0"/>
      <w:sz w:val="20"/>
      <w:szCs w:val="20"/>
      <w:lang w:val="en-GB"/>
    </w:rPr>
  </w:style>
  <w:style w:type="paragraph" w:styleId="Header">
    <w:name w:val="header"/>
    <w:basedOn w:val="Normal"/>
    <w:link w:val="HeaderChar"/>
    <w:uiPriority w:val="99"/>
    <w:unhideWhenUsed/>
    <w:rsid w:val="008F6EE2"/>
    <w:pPr>
      <w:tabs>
        <w:tab w:val="center" w:pos="4252"/>
        <w:tab w:val="right" w:pos="8504"/>
      </w:tabs>
      <w:spacing w:after="0" w:line="240" w:lineRule="auto"/>
    </w:pPr>
  </w:style>
  <w:style w:type="character" w:customStyle="1" w:styleId="HeaderChar">
    <w:name w:val="Header Char"/>
    <w:basedOn w:val="DefaultParagraphFont"/>
    <w:link w:val="Header"/>
    <w:uiPriority w:val="99"/>
    <w:rsid w:val="008F6EE2"/>
  </w:style>
  <w:style w:type="paragraph" w:styleId="Footer">
    <w:name w:val="footer"/>
    <w:basedOn w:val="Normal"/>
    <w:link w:val="FooterChar"/>
    <w:uiPriority w:val="99"/>
    <w:unhideWhenUsed/>
    <w:rsid w:val="008F6EE2"/>
    <w:pPr>
      <w:tabs>
        <w:tab w:val="center" w:pos="4252"/>
        <w:tab w:val="right" w:pos="8504"/>
      </w:tabs>
      <w:spacing w:after="0" w:line="240" w:lineRule="auto"/>
    </w:pPr>
  </w:style>
  <w:style w:type="character" w:customStyle="1" w:styleId="FooterChar">
    <w:name w:val="Footer Char"/>
    <w:basedOn w:val="DefaultParagraphFont"/>
    <w:link w:val="Footer"/>
    <w:uiPriority w:val="99"/>
    <w:rsid w:val="008F6EE2"/>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character" w:styleId="PlaceholderText">
    <w:name w:val="Placeholder Text"/>
    <w:basedOn w:val="DefaultParagraphFont"/>
    <w:uiPriority w:val="99"/>
    <w:semiHidden/>
    <w:rsid w:val="00CB7A4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Zg4TdBeld8Dp+axag9rdZ83qrQ==">CgMxLjAyDmgub2l3bTRhbzFlMjc2Mg5oLnF1NTBza3Q0cnk4aTIOaC5hbTJpdGJ4M3puOXo4AHIhMVpxbGxhMjFMU2k2MEN0c2JXbHZTdzlzSk83V1EyYm1G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13</Pages>
  <Words>4107</Words>
  <Characters>22876</Characters>
  <Application>Microsoft Office Word</Application>
  <DocSecurity>0</DocSecurity>
  <Lines>1039</Lines>
  <Paragraphs>219</Paragraphs>
  <ScaleCrop>false</ScaleCrop>
  <Company/>
  <LinksUpToDate>false</LinksUpToDate>
  <CharactersWithSpaces>26764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Gomes de Lima</dc:creator>
  <cp:lastModifiedBy>Camilla Silva Floeistrup</cp:lastModifiedBy>
  <cp:revision>9</cp:revision>
  <dcterms:created xsi:type="dcterms:W3CDTF">2025-05-19T21:18:00Z</dcterms:created>
  <dcterms:modified xsi:type="dcterms:W3CDTF">2025-05-19T21:26:00Z</dcterms:modified>
</cp:coreProperties>
</file>