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EE652" w14:textId="02901519" w:rsidR="006F792B" w:rsidRDefault="006F792B" w:rsidP="006F792B">
      <w:pPr>
        <w:shd w:val="clear" w:color="auto" w:fill="FFFFFF"/>
        <w:spacing w:before="240" w:after="240"/>
        <w:jc w:val="center"/>
        <w:rPr>
          <w:b/>
          <w:color w:val="222222"/>
          <w:sz w:val="24"/>
          <w:szCs w:val="24"/>
          <w:highlight w:val="white"/>
        </w:rPr>
      </w:pPr>
    </w:p>
    <w:p w14:paraId="27F157FE" w14:textId="03AE60B0" w:rsidR="006F792B" w:rsidRDefault="002D503A" w:rsidP="006F792B">
      <w:pPr>
        <w:shd w:val="clear" w:color="auto" w:fill="FFFFFF"/>
        <w:spacing w:before="240" w:after="240"/>
        <w:jc w:val="center"/>
        <w:rPr>
          <w:b/>
          <w:color w:val="222222"/>
          <w:sz w:val="24"/>
          <w:szCs w:val="24"/>
          <w:highlight w:val="white"/>
        </w:rPr>
      </w:pPr>
      <w:r w:rsidRPr="006F792B">
        <w:rPr>
          <w:rFonts w:ascii="Times New Roman" w:eastAsia="Times New Roman" w:hAnsi="Times New Roman" w:cs="Times New Roman"/>
          <w:noProof/>
          <w:sz w:val="24"/>
          <w:szCs w:val="24"/>
          <w:bdr w:val="none" w:sz="0" w:space="0" w:color="auto" w:frame="1"/>
          <w:lang w:val="en-GB" w:eastAsia="en-GB"/>
        </w:rPr>
        <w:drawing>
          <wp:anchor distT="0" distB="0" distL="114300" distR="114300" simplePos="0" relativeHeight="251659264" behindDoc="0" locked="0" layoutInCell="1" allowOverlap="1" wp14:anchorId="356913BB" wp14:editId="5E40219A">
            <wp:simplePos x="0" y="0"/>
            <wp:positionH relativeFrom="column">
              <wp:posOffset>1600200</wp:posOffset>
            </wp:positionH>
            <wp:positionV relativeFrom="paragraph">
              <wp:posOffset>163945</wp:posOffset>
            </wp:positionV>
            <wp:extent cx="2815936" cy="1407968"/>
            <wp:effectExtent l="0" t="0" r="3810" b="1905"/>
            <wp:wrapNone/>
            <wp:docPr id="5" name="Picture 5" descr="A picture containing graphics, text, fon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s, text, font, graphic de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5936" cy="14079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CB54CF" w14:textId="30C2AC40" w:rsidR="006F792B" w:rsidRDefault="006F792B" w:rsidP="006F792B">
      <w:pPr>
        <w:shd w:val="clear" w:color="auto" w:fill="FFFFFF"/>
        <w:spacing w:before="240" w:after="240"/>
        <w:jc w:val="center"/>
        <w:rPr>
          <w:b/>
          <w:color w:val="222222"/>
          <w:sz w:val="24"/>
          <w:szCs w:val="24"/>
          <w:highlight w:val="white"/>
        </w:rPr>
      </w:pPr>
    </w:p>
    <w:p w14:paraId="7FFC7517" w14:textId="1E642A10" w:rsidR="006F792B" w:rsidRDefault="006F792B" w:rsidP="006F792B">
      <w:pPr>
        <w:shd w:val="clear" w:color="auto" w:fill="FFFFFF"/>
        <w:spacing w:before="240" w:after="240"/>
        <w:jc w:val="center"/>
        <w:rPr>
          <w:b/>
          <w:color w:val="222222"/>
          <w:sz w:val="24"/>
          <w:szCs w:val="24"/>
          <w:highlight w:val="white"/>
        </w:rPr>
      </w:pPr>
    </w:p>
    <w:p w14:paraId="0B92276C" w14:textId="77777777" w:rsidR="006F792B" w:rsidRDefault="006F792B" w:rsidP="006F792B">
      <w:pPr>
        <w:shd w:val="clear" w:color="auto" w:fill="FFFFFF"/>
        <w:spacing w:before="240" w:after="240"/>
        <w:jc w:val="center"/>
        <w:rPr>
          <w:b/>
          <w:color w:val="222222"/>
          <w:sz w:val="24"/>
          <w:szCs w:val="24"/>
          <w:highlight w:val="white"/>
        </w:rPr>
      </w:pPr>
    </w:p>
    <w:p w14:paraId="5319F829" w14:textId="5D55E7B6" w:rsidR="006F792B" w:rsidRDefault="006F792B" w:rsidP="006F792B">
      <w:pPr>
        <w:shd w:val="clear" w:color="auto" w:fill="FFFFFF"/>
        <w:spacing w:before="240" w:after="240"/>
        <w:jc w:val="center"/>
        <w:rPr>
          <w:b/>
          <w:color w:val="222222"/>
          <w:sz w:val="24"/>
          <w:szCs w:val="24"/>
          <w:highlight w:val="white"/>
        </w:rPr>
      </w:pPr>
    </w:p>
    <w:p w14:paraId="43A717FE" w14:textId="77777777" w:rsidR="002D503A" w:rsidRDefault="002D503A" w:rsidP="006F792B">
      <w:pPr>
        <w:shd w:val="clear" w:color="auto" w:fill="FFFFFF"/>
        <w:spacing w:before="240" w:after="240"/>
        <w:jc w:val="center"/>
        <w:rPr>
          <w:b/>
          <w:color w:val="222222"/>
          <w:sz w:val="24"/>
          <w:szCs w:val="24"/>
          <w:highlight w:val="white"/>
        </w:rPr>
      </w:pPr>
    </w:p>
    <w:p w14:paraId="7387AC40" w14:textId="50A4A766" w:rsidR="009A1583" w:rsidRPr="006F792B" w:rsidRDefault="00A3305B" w:rsidP="006F792B">
      <w:pPr>
        <w:shd w:val="clear" w:color="auto" w:fill="FFFFFF"/>
        <w:spacing w:before="240" w:after="240"/>
        <w:jc w:val="center"/>
        <w:rPr>
          <w:b/>
          <w:color w:val="222222"/>
          <w:sz w:val="32"/>
          <w:szCs w:val="32"/>
          <w:highlight w:val="white"/>
        </w:rPr>
      </w:pPr>
      <w:r w:rsidRPr="006F792B">
        <w:rPr>
          <w:b/>
          <w:color w:val="222222"/>
          <w:sz w:val="32"/>
          <w:szCs w:val="32"/>
          <w:highlight w:val="white"/>
        </w:rPr>
        <w:t>Submission to the UN Committee on the Rights of the Child</w:t>
      </w:r>
    </w:p>
    <w:p w14:paraId="31B1960D" w14:textId="18BFD4FE" w:rsidR="00592523" w:rsidRDefault="00592523" w:rsidP="006F792B">
      <w:pPr>
        <w:shd w:val="clear" w:color="auto" w:fill="FFFFFF"/>
        <w:spacing w:before="240" w:after="240"/>
        <w:jc w:val="center"/>
        <w:rPr>
          <w:b/>
          <w:color w:val="222222"/>
          <w:sz w:val="24"/>
          <w:szCs w:val="24"/>
          <w:highlight w:val="white"/>
        </w:rPr>
      </w:pPr>
    </w:p>
    <w:p w14:paraId="125AE26D" w14:textId="082A0F48" w:rsidR="002D503A" w:rsidRPr="002D503A" w:rsidRDefault="002D503A" w:rsidP="006F792B">
      <w:pPr>
        <w:shd w:val="clear" w:color="auto" w:fill="FFFFFF"/>
        <w:spacing w:before="240" w:after="240"/>
        <w:jc w:val="center"/>
        <w:rPr>
          <w:b/>
          <w:color w:val="222222"/>
          <w:sz w:val="32"/>
          <w:szCs w:val="32"/>
          <w:highlight w:val="white"/>
        </w:rPr>
      </w:pPr>
      <w:r w:rsidRPr="002D503A">
        <w:rPr>
          <w:b/>
          <w:color w:val="222222"/>
          <w:sz w:val="32"/>
          <w:szCs w:val="32"/>
          <w:highlight w:val="white"/>
        </w:rPr>
        <w:t>April 2023</w:t>
      </w:r>
    </w:p>
    <w:p w14:paraId="66BF63B3" w14:textId="77777777" w:rsidR="002D503A" w:rsidRDefault="002D503A" w:rsidP="006F792B">
      <w:pPr>
        <w:shd w:val="clear" w:color="auto" w:fill="FFFFFF"/>
        <w:spacing w:before="240" w:after="240"/>
        <w:jc w:val="center"/>
        <w:rPr>
          <w:b/>
          <w:color w:val="222222"/>
          <w:sz w:val="24"/>
          <w:szCs w:val="24"/>
          <w:highlight w:val="white"/>
        </w:rPr>
      </w:pPr>
    </w:p>
    <w:p w14:paraId="6EFDE002" w14:textId="77777777" w:rsidR="006F792B" w:rsidRDefault="006F792B" w:rsidP="006F792B">
      <w:pPr>
        <w:shd w:val="clear" w:color="auto" w:fill="FFFFFF"/>
        <w:spacing w:before="240" w:after="240"/>
        <w:jc w:val="center"/>
        <w:rPr>
          <w:b/>
          <w:color w:val="222222"/>
          <w:sz w:val="24"/>
          <w:szCs w:val="24"/>
          <w:highlight w:val="white"/>
        </w:rPr>
      </w:pPr>
    </w:p>
    <w:tbl>
      <w:tblPr>
        <w:tblStyle w:val="TableGrid"/>
        <w:tblW w:w="0" w:type="auto"/>
        <w:tblLook w:val="04A0" w:firstRow="1" w:lastRow="0" w:firstColumn="1" w:lastColumn="0" w:noHBand="0" w:noVBand="1"/>
      </w:tblPr>
      <w:tblGrid>
        <w:gridCol w:w="9350"/>
      </w:tblGrid>
      <w:tr w:rsidR="006F792B" w:rsidRPr="002D503A" w14:paraId="3F43345F" w14:textId="77777777" w:rsidTr="006F792B">
        <w:tc>
          <w:tcPr>
            <w:tcW w:w="9350" w:type="dxa"/>
          </w:tcPr>
          <w:p w14:paraId="7F951A40" w14:textId="77777777" w:rsidR="006F792B" w:rsidRPr="002D503A" w:rsidRDefault="006F792B" w:rsidP="002D503A">
            <w:pPr>
              <w:shd w:val="clear" w:color="auto" w:fill="FFFFFF"/>
              <w:spacing w:before="240" w:after="240" w:line="276" w:lineRule="auto"/>
              <w:jc w:val="center"/>
              <w:rPr>
                <w:bCs/>
                <w:color w:val="222222"/>
                <w:sz w:val="32"/>
                <w:szCs w:val="32"/>
                <w:highlight w:val="white"/>
              </w:rPr>
            </w:pPr>
          </w:p>
          <w:p w14:paraId="0C4F180A" w14:textId="1E0B2584" w:rsidR="006F792B" w:rsidRPr="002D503A" w:rsidRDefault="006F792B" w:rsidP="002D503A">
            <w:pPr>
              <w:shd w:val="clear" w:color="auto" w:fill="FFFFFF"/>
              <w:spacing w:before="240" w:after="240" w:line="276" w:lineRule="auto"/>
              <w:jc w:val="center"/>
              <w:rPr>
                <w:bCs/>
                <w:color w:val="222222"/>
                <w:sz w:val="32"/>
                <w:szCs w:val="32"/>
                <w:highlight w:val="white"/>
              </w:rPr>
            </w:pPr>
            <w:r w:rsidRPr="002D503A">
              <w:rPr>
                <w:bCs/>
                <w:color w:val="222222"/>
                <w:sz w:val="32"/>
                <w:szCs w:val="32"/>
                <w:highlight w:val="white"/>
              </w:rPr>
              <w:t xml:space="preserve">This submission addresses the impact of the </w:t>
            </w:r>
            <w:r w:rsidRPr="00D31A7B">
              <w:rPr>
                <w:b/>
                <w:color w:val="222222"/>
                <w:sz w:val="32"/>
                <w:szCs w:val="32"/>
                <w:highlight w:val="white"/>
              </w:rPr>
              <w:t xml:space="preserve">Prevent </w:t>
            </w:r>
            <w:r w:rsidR="00D31A7B" w:rsidRPr="00D31A7B">
              <w:rPr>
                <w:b/>
                <w:color w:val="222222"/>
                <w:sz w:val="32"/>
                <w:szCs w:val="32"/>
                <w:highlight w:val="white"/>
              </w:rPr>
              <w:t>D</w:t>
            </w:r>
            <w:r w:rsidRPr="00D31A7B">
              <w:rPr>
                <w:b/>
                <w:color w:val="222222"/>
                <w:sz w:val="32"/>
                <w:szCs w:val="32"/>
                <w:highlight w:val="white"/>
              </w:rPr>
              <w:t>uty</w:t>
            </w:r>
            <w:r w:rsidRPr="002D503A">
              <w:rPr>
                <w:bCs/>
                <w:color w:val="222222"/>
                <w:sz w:val="32"/>
                <w:szCs w:val="32"/>
                <w:highlight w:val="white"/>
              </w:rPr>
              <w:t>, in particular its impact on the rights of children in the UK.</w:t>
            </w:r>
          </w:p>
          <w:p w14:paraId="13946714" w14:textId="77777777" w:rsidR="006F792B" w:rsidRPr="002D503A" w:rsidRDefault="006F792B" w:rsidP="002D503A">
            <w:pPr>
              <w:shd w:val="clear" w:color="auto" w:fill="FFFFFF"/>
              <w:spacing w:before="240" w:after="240" w:line="276" w:lineRule="auto"/>
              <w:jc w:val="center"/>
              <w:rPr>
                <w:bCs/>
                <w:color w:val="222222"/>
                <w:sz w:val="32"/>
                <w:szCs w:val="32"/>
                <w:highlight w:val="white"/>
              </w:rPr>
            </w:pPr>
          </w:p>
        </w:tc>
      </w:tr>
    </w:tbl>
    <w:p w14:paraId="64BAAE2C" w14:textId="1C87A1C4" w:rsidR="006F792B" w:rsidRDefault="006F792B" w:rsidP="006F792B">
      <w:pPr>
        <w:shd w:val="clear" w:color="auto" w:fill="FFFFFF"/>
        <w:spacing w:before="240" w:after="240"/>
        <w:jc w:val="center"/>
        <w:rPr>
          <w:b/>
          <w:color w:val="222222"/>
          <w:sz w:val="24"/>
          <w:szCs w:val="24"/>
          <w:highlight w:val="white"/>
        </w:rPr>
      </w:pPr>
    </w:p>
    <w:p w14:paraId="4882B4FB" w14:textId="77777777" w:rsidR="000444BC" w:rsidRDefault="000444BC">
      <w:pPr>
        <w:rPr>
          <w:color w:val="222222"/>
          <w:sz w:val="24"/>
          <w:szCs w:val="24"/>
          <w:highlight w:val="white"/>
        </w:rPr>
        <w:sectPr w:rsidR="000444BC" w:rsidSect="00D31A7B">
          <w:headerReference w:type="default" r:id="rId9"/>
          <w:footerReference w:type="even" r:id="rId10"/>
          <w:footerReference w:type="default" r:id="rId11"/>
          <w:pgSz w:w="12240" w:h="15840"/>
          <w:pgMar w:top="1440" w:right="1134" w:bottom="1440" w:left="1134" w:header="720" w:footer="720" w:gutter="0"/>
          <w:pgNumType w:start="1"/>
          <w:cols w:space="720"/>
        </w:sectPr>
      </w:pPr>
    </w:p>
    <w:p w14:paraId="2635136D" w14:textId="7C947636" w:rsidR="009A1583" w:rsidRPr="006F792B" w:rsidRDefault="00A3305B" w:rsidP="006F792B">
      <w:pPr>
        <w:pStyle w:val="Heading1"/>
        <w:rPr>
          <w:highlight w:val="white"/>
        </w:rPr>
      </w:pPr>
      <w:bookmarkStart w:id="0" w:name="_Toc132391305"/>
      <w:r w:rsidRPr="006F792B">
        <w:rPr>
          <w:highlight w:val="white"/>
        </w:rPr>
        <w:lastRenderedPageBreak/>
        <w:t>Introduction</w:t>
      </w:r>
      <w:bookmarkEnd w:id="0"/>
    </w:p>
    <w:p w14:paraId="2887AB45" w14:textId="6B8AB93A" w:rsidR="00397036" w:rsidRPr="007B576C" w:rsidRDefault="00A3305B" w:rsidP="00777156">
      <w:pPr>
        <w:pStyle w:val="Heading2"/>
      </w:pPr>
      <w:r w:rsidRPr="002B151A">
        <w:rPr>
          <w:highlight w:val="white"/>
        </w:rPr>
        <w:t xml:space="preserve">The Prevent </w:t>
      </w:r>
      <w:r w:rsidR="00BE1DC1">
        <w:rPr>
          <w:highlight w:val="white"/>
        </w:rPr>
        <w:t xml:space="preserve">duty is part of the broader Prevent </w:t>
      </w:r>
      <w:r w:rsidRPr="002B151A">
        <w:rPr>
          <w:highlight w:val="white"/>
        </w:rPr>
        <w:t>strategy of the United Kingdom’s</w:t>
      </w:r>
      <w:r w:rsidR="001A369E">
        <w:rPr>
          <w:highlight w:val="white"/>
        </w:rPr>
        <w:t xml:space="preserve"> overall</w:t>
      </w:r>
      <w:r w:rsidRPr="002B151A">
        <w:rPr>
          <w:highlight w:val="white"/>
        </w:rPr>
        <w:t xml:space="preserve"> counter-terrorism strategy</w:t>
      </w:r>
      <w:r w:rsidR="001A369E">
        <w:rPr>
          <w:highlight w:val="white"/>
        </w:rPr>
        <w:t>, CONTEST</w:t>
      </w:r>
      <w:r w:rsidR="002B151A" w:rsidRPr="002B151A">
        <w:rPr>
          <w:highlight w:val="white"/>
        </w:rPr>
        <w:t xml:space="preserve">. </w:t>
      </w:r>
      <w:r w:rsidR="00BE1DC1">
        <w:rPr>
          <w:highlight w:val="white"/>
        </w:rPr>
        <w:t>The stated</w:t>
      </w:r>
      <w:r w:rsidR="00BE1DC1" w:rsidRPr="002B151A">
        <w:rPr>
          <w:highlight w:val="white"/>
        </w:rPr>
        <w:t xml:space="preserve"> </w:t>
      </w:r>
      <w:r w:rsidR="005662B6" w:rsidRPr="002B151A">
        <w:rPr>
          <w:highlight w:val="white"/>
        </w:rPr>
        <w:t>aim</w:t>
      </w:r>
      <w:r w:rsidR="00BE1DC1">
        <w:rPr>
          <w:highlight w:val="white"/>
        </w:rPr>
        <w:t xml:space="preserve"> of the Prevent strategy</w:t>
      </w:r>
      <w:r w:rsidR="005662B6" w:rsidRPr="002B151A">
        <w:rPr>
          <w:highlight w:val="white"/>
        </w:rPr>
        <w:t xml:space="preserve"> is</w:t>
      </w:r>
      <w:r w:rsidR="00BE1DC1">
        <w:rPr>
          <w:highlight w:val="white"/>
        </w:rPr>
        <w:t xml:space="preserve"> to</w:t>
      </w:r>
      <w:r w:rsidR="005662B6" w:rsidRPr="002B151A">
        <w:rPr>
          <w:highlight w:val="white"/>
        </w:rPr>
        <w:t xml:space="preserve"> </w:t>
      </w:r>
      <w:r w:rsidR="003119A2">
        <w:rPr>
          <w:highlight w:val="white"/>
        </w:rPr>
        <w:t>"</w:t>
      </w:r>
      <w:r w:rsidR="003119A2" w:rsidRPr="003119A2">
        <w:rPr>
          <w:i/>
          <w:iCs/>
        </w:rPr>
        <w:t>reduce the threat to the UK from terrorism by stopping people becoming terrorists or supporting terrorism</w:t>
      </w:r>
      <w:r w:rsidR="003119A2">
        <w:rPr>
          <w:highlight w:val="white"/>
        </w:rPr>
        <w:t>"</w:t>
      </w:r>
      <w:r w:rsidR="005662B6" w:rsidRPr="002B151A">
        <w:rPr>
          <w:highlight w:val="white"/>
        </w:rPr>
        <w:t>.</w:t>
      </w:r>
      <w:r w:rsidR="003119A2">
        <w:rPr>
          <w:rStyle w:val="FootnoteReference"/>
          <w:color w:val="222222"/>
          <w:szCs w:val="24"/>
          <w:highlight w:val="white"/>
        </w:rPr>
        <w:footnoteReference w:id="1"/>
      </w:r>
      <w:r w:rsidR="005662B6" w:rsidRPr="002B151A">
        <w:rPr>
          <w:highlight w:val="white"/>
        </w:rPr>
        <w:t xml:space="preserve"> To achieve this, the Prevent strategy</w:t>
      </w:r>
      <w:r w:rsidRPr="002B151A">
        <w:rPr>
          <w:highlight w:val="white"/>
        </w:rPr>
        <w:t xml:space="preserve"> </w:t>
      </w:r>
      <w:r w:rsidR="00397036">
        <w:rPr>
          <w:highlight w:val="white"/>
        </w:rPr>
        <w:t xml:space="preserve">uses </w:t>
      </w:r>
      <w:r w:rsidR="00351313" w:rsidRPr="002B151A">
        <w:rPr>
          <w:highlight w:val="white"/>
        </w:rPr>
        <w:t>a</w:t>
      </w:r>
      <w:r w:rsidRPr="002B151A">
        <w:rPr>
          <w:highlight w:val="white"/>
        </w:rPr>
        <w:t xml:space="preserve"> pre-crime</w:t>
      </w:r>
      <w:r w:rsidR="00351313" w:rsidRPr="002B151A">
        <w:rPr>
          <w:highlight w:val="white"/>
        </w:rPr>
        <w:t xml:space="preserve"> approach to disrupt ideas and </w:t>
      </w:r>
      <w:proofErr w:type="spellStart"/>
      <w:r w:rsidR="00351313" w:rsidRPr="002B151A">
        <w:rPr>
          <w:highlight w:val="white"/>
        </w:rPr>
        <w:t>behaviours</w:t>
      </w:r>
      <w:proofErr w:type="spellEnd"/>
      <w:r w:rsidR="00351313" w:rsidRPr="002B151A">
        <w:rPr>
          <w:highlight w:val="white"/>
        </w:rPr>
        <w:t xml:space="preserve"> deemed to be </w:t>
      </w:r>
      <w:r w:rsidR="005662B6" w:rsidRPr="002B151A">
        <w:rPr>
          <w:highlight w:val="white"/>
        </w:rPr>
        <w:t xml:space="preserve">early </w:t>
      </w:r>
      <w:r w:rsidR="00351313" w:rsidRPr="002B151A">
        <w:rPr>
          <w:highlight w:val="white"/>
        </w:rPr>
        <w:t>indicators of “extremism”</w:t>
      </w:r>
      <w:r w:rsidRPr="002B151A">
        <w:rPr>
          <w:highlight w:val="white"/>
        </w:rPr>
        <w:t xml:space="preserve">. </w:t>
      </w:r>
      <w:r w:rsidR="0061014B">
        <w:rPr>
          <w:highlight w:val="white"/>
        </w:rPr>
        <w:t>The term</w:t>
      </w:r>
      <w:r w:rsidR="00397036">
        <w:rPr>
          <w:highlight w:val="white"/>
        </w:rPr>
        <w:t xml:space="preserve"> "pre-crime"</w:t>
      </w:r>
      <w:r w:rsidR="0061014B">
        <w:rPr>
          <w:highlight w:val="white"/>
        </w:rPr>
        <w:t xml:space="preserve"> refers to the fact that</w:t>
      </w:r>
      <w:r w:rsidR="007B576C" w:rsidRPr="007B576C">
        <w:t xml:space="preserve"> no</w:t>
      </w:r>
      <w:r w:rsidR="007B576C">
        <w:t xml:space="preserve"> </w:t>
      </w:r>
      <w:r w:rsidR="007B576C" w:rsidRPr="007B576C">
        <w:t>offences have been committed</w:t>
      </w:r>
      <w:r w:rsidR="00CE04A7">
        <w:t xml:space="preserve"> nor intended</w:t>
      </w:r>
      <w:r w:rsidR="007B576C" w:rsidRPr="007B576C">
        <w:t xml:space="preserve"> and where</w:t>
      </w:r>
      <w:r w:rsidR="007B576C">
        <w:t xml:space="preserve"> </w:t>
      </w:r>
      <w:r w:rsidR="007B576C" w:rsidRPr="007B576C">
        <w:t xml:space="preserve">the information gathered is, at </w:t>
      </w:r>
      <w:r w:rsidR="00BE1DC1">
        <w:t>deemed to be</w:t>
      </w:r>
      <w:r w:rsidR="007B576C" w:rsidRPr="007B576C">
        <w:t xml:space="preserve"> an</w:t>
      </w:r>
      <w:r w:rsidR="007B576C">
        <w:t xml:space="preserve"> </w:t>
      </w:r>
      <w:r w:rsidR="007B576C" w:rsidRPr="007B576C">
        <w:t>indication of a potential risk of an offence</w:t>
      </w:r>
      <w:r w:rsidR="007B576C">
        <w:t xml:space="preserve"> </w:t>
      </w:r>
      <w:r w:rsidR="007B576C" w:rsidRPr="007B576C">
        <w:t>being committed at some considerable</w:t>
      </w:r>
      <w:r w:rsidR="007B576C">
        <w:t xml:space="preserve"> </w:t>
      </w:r>
      <w:r w:rsidR="007B576C" w:rsidRPr="007B576C">
        <w:t>point in the future.</w:t>
      </w:r>
      <w:r w:rsidR="0061014B">
        <w:rPr>
          <w:rStyle w:val="FootnoteReference"/>
          <w:color w:val="222222"/>
          <w:szCs w:val="24"/>
        </w:rPr>
        <w:footnoteReference w:id="2"/>
      </w:r>
    </w:p>
    <w:p w14:paraId="5D36FEC2" w14:textId="0D4E32C8" w:rsidR="009A1583" w:rsidRPr="00CF57A0" w:rsidRDefault="00773196" w:rsidP="00777156">
      <w:pPr>
        <w:pStyle w:val="Heading2"/>
        <w:rPr>
          <w:highlight w:val="white"/>
        </w:rPr>
      </w:pPr>
      <w:r>
        <w:rPr>
          <w:highlight w:val="white"/>
        </w:rPr>
        <w:t xml:space="preserve">A key component to the </w:t>
      </w:r>
      <w:r w:rsidR="001D40F8" w:rsidRPr="002B151A">
        <w:rPr>
          <w:highlight w:val="white"/>
        </w:rPr>
        <w:t xml:space="preserve">Prevent </w:t>
      </w:r>
      <w:r w:rsidR="00B12B2D">
        <w:rPr>
          <w:highlight w:val="white"/>
        </w:rPr>
        <w:t xml:space="preserve">strategy </w:t>
      </w:r>
      <w:r>
        <w:rPr>
          <w:highlight w:val="white"/>
        </w:rPr>
        <w:t>is the imposition of a duty</w:t>
      </w:r>
      <w:r w:rsidR="00BE1DC1">
        <w:rPr>
          <w:highlight w:val="white"/>
        </w:rPr>
        <w:t>, known as the “</w:t>
      </w:r>
      <w:r w:rsidR="00BE1DC1" w:rsidRPr="00C351DF">
        <w:rPr>
          <w:b/>
          <w:bCs/>
          <w:highlight w:val="white"/>
        </w:rPr>
        <w:t>Prevent Duty</w:t>
      </w:r>
      <w:r w:rsidR="00BE1DC1">
        <w:rPr>
          <w:highlight w:val="white"/>
        </w:rPr>
        <w:t>”,</w:t>
      </w:r>
      <w:r>
        <w:rPr>
          <w:highlight w:val="white"/>
        </w:rPr>
        <w:t xml:space="preserve"> on "specified authorities"</w:t>
      </w:r>
      <w:r w:rsidR="00CF57A0">
        <w:rPr>
          <w:highlight w:val="white"/>
        </w:rPr>
        <w:t xml:space="preserve"> –</w:t>
      </w:r>
      <w:r>
        <w:rPr>
          <w:highlight w:val="white"/>
        </w:rPr>
        <w:t xml:space="preserve"> which</w:t>
      </w:r>
      <w:r w:rsidR="00AD6E34">
        <w:rPr>
          <w:highlight w:val="white"/>
        </w:rPr>
        <w:t>, importantly,</w:t>
      </w:r>
      <w:r>
        <w:rPr>
          <w:highlight w:val="white"/>
        </w:rPr>
        <w:t xml:space="preserve"> includes individuals in the</w:t>
      </w:r>
      <w:r w:rsidR="00233C67">
        <w:rPr>
          <w:highlight w:val="white"/>
        </w:rPr>
        <w:t xml:space="preserve"> child services and education sectors</w:t>
      </w:r>
      <w:r w:rsidR="00CF57A0">
        <w:rPr>
          <w:highlight w:val="white"/>
        </w:rPr>
        <w:t xml:space="preserve"> –</w:t>
      </w:r>
      <w:r w:rsidR="00AD6E34">
        <w:t xml:space="preserve"> </w:t>
      </w:r>
      <w:r w:rsidR="00CF57A0">
        <w:t xml:space="preserve">to </w:t>
      </w:r>
      <w:r w:rsidR="00CF57A0" w:rsidRPr="00CF57A0">
        <w:t xml:space="preserve">have </w:t>
      </w:r>
      <w:r w:rsidR="00AD6E34">
        <w:t>"</w:t>
      </w:r>
      <w:r w:rsidR="00CF57A0" w:rsidRPr="00CF57A0">
        <w:t>due regard to the need to prevent people from being drawn into terrorism</w:t>
      </w:r>
      <w:r>
        <w:t>"</w:t>
      </w:r>
      <w:r w:rsidR="00716B90">
        <w:t>.</w:t>
      </w:r>
      <w:r w:rsidR="00716B90">
        <w:rPr>
          <w:rStyle w:val="FootnoteReference"/>
          <w:color w:val="222222"/>
          <w:szCs w:val="24"/>
        </w:rPr>
        <w:footnoteReference w:id="3"/>
      </w:r>
      <w:r w:rsidR="00AD6E34">
        <w:t xml:space="preserve"> </w:t>
      </w:r>
      <w:r w:rsidR="004F34C9">
        <w:rPr>
          <w:highlight w:val="white"/>
        </w:rPr>
        <w:t>Any r</w:t>
      </w:r>
      <w:r w:rsidR="0053010F" w:rsidRPr="002B151A">
        <w:rPr>
          <w:highlight w:val="white"/>
        </w:rPr>
        <w:t xml:space="preserve">eferrals </w:t>
      </w:r>
      <w:r w:rsidR="00BE1DC1">
        <w:rPr>
          <w:highlight w:val="white"/>
        </w:rPr>
        <w:t>of individuals deemed to have crossed the threshold of “risk”</w:t>
      </w:r>
      <w:r w:rsidR="0053010F" w:rsidRPr="002B151A">
        <w:rPr>
          <w:highlight w:val="white"/>
        </w:rPr>
        <w:t xml:space="preserve"> </w:t>
      </w:r>
      <w:r w:rsidR="00235AAB">
        <w:rPr>
          <w:highlight w:val="white"/>
        </w:rPr>
        <w:t xml:space="preserve">by authorities </w:t>
      </w:r>
      <w:r w:rsidR="0053010F" w:rsidRPr="002B151A">
        <w:rPr>
          <w:highlight w:val="white"/>
        </w:rPr>
        <w:t xml:space="preserve">pursuant to the Prevent Duty are </w:t>
      </w:r>
      <w:r w:rsidR="004F34C9">
        <w:rPr>
          <w:highlight w:val="white"/>
        </w:rPr>
        <w:t xml:space="preserve">done </w:t>
      </w:r>
      <w:r w:rsidR="0053010F" w:rsidRPr="002B151A">
        <w:rPr>
          <w:highlight w:val="white"/>
        </w:rPr>
        <w:t xml:space="preserve">through the Government's Channel </w:t>
      </w:r>
      <w:proofErr w:type="spellStart"/>
      <w:r w:rsidR="00235AAB">
        <w:rPr>
          <w:highlight w:val="white"/>
        </w:rPr>
        <w:t>programme</w:t>
      </w:r>
      <w:proofErr w:type="spellEnd"/>
      <w:r w:rsidR="00235AAB">
        <w:rPr>
          <w:highlight w:val="white"/>
        </w:rPr>
        <w:t xml:space="preserve"> </w:t>
      </w:r>
      <w:r w:rsidR="0053010F" w:rsidRPr="002B151A">
        <w:rPr>
          <w:highlight w:val="white"/>
        </w:rPr>
        <w:t>and the Prevent Multi-Agency Panel</w:t>
      </w:r>
      <w:r w:rsidR="00BE1DC1">
        <w:rPr>
          <w:highlight w:val="white"/>
        </w:rPr>
        <w:t>. These cases are then</w:t>
      </w:r>
      <w:r w:rsidR="004F34C9">
        <w:rPr>
          <w:highlight w:val="white"/>
        </w:rPr>
        <w:t xml:space="preserve"> submitted</w:t>
      </w:r>
      <w:r w:rsidR="0053010F" w:rsidRPr="002B151A">
        <w:rPr>
          <w:highlight w:val="white"/>
        </w:rPr>
        <w:t xml:space="preserve"> for further review by counter</w:t>
      </w:r>
      <w:r w:rsidR="00BE1DC1">
        <w:rPr>
          <w:highlight w:val="white"/>
        </w:rPr>
        <w:t xml:space="preserve"> </w:t>
      </w:r>
      <w:r w:rsidR="0053010F" w:rsidRPr="002B151A">
        <w:rPr>
          <w:highlight w:val="white"/>
        </w:rPr>
        <w:t xml:space="preserve">terrorism authorities. </w:t>
      </w:r>
      <w:r w:rsidR="00351313" w:rsidRPr="002B151A">
        <w:rPr>
          <w:highlight w:val="white"/>
        </w:rPr>
        <w:t>The</w:t>
      </w:r>
      <w:r w:rsidR="00BE1DC1">
        <w:rPr>
          <w:highlight w:val="white"/>
        </w:rPr>
        <w:t xml:space="preserve"> threshold of “risk” is particularly low, since the guidelines for assessing </w:t>
      </w:r>
      <w:proofErr w:type="spellStart"/>
      <w:r w:rsidR="00BE1DC1">
        <w:rPr>
          <w:highlight w:val="white"/>
        </w:rPr>
        <w:t>behaviours</w:t>
      </w:r>
      <w:proofErr w:type="spellEnd"/>
      <w:r w:rsidR="00BE1DC1">
        <w:rPr>
          <w:highlight w:val="white"/>
        </w:rPr>
        <w:t xml:space="preserve"> and beliefs that are said to be indicators of</w:t>
      </w:r>
      <w:r w:rsidR="00B82DB3">
        <w:rPr>
          <w:highlight w:val="white"/>
        </w:rPr>
        <w:t xml:space="preserve"> "</w:t>
      </w:r>
      <w:proofErr w:type="spellStart"/>
      <w:r w:rsidR="00B82DB3">
        <w:rPr>
          <w:highlight w:val="white"/>
        </w:rPr>
        <w:t>radicalisation</w:t>
      </w:r>
      <w:proofErr w:type="spellEnd"/>
      <w:r w:rsidR="00B82DB3">
        <w:rPr>
          <w:highlight w:val="white"/>
        </w:rPr>
        <w:t xml:space="preserve">" </w:t>
      </w:r>
      <w:r w:rsidR="00A3305B" w:rsidRPr="002B151A">
        <w:rPr>
          <w:highlight w:val="white"/>
        </w:rPr>
        <w:t xml:space="preserve">have been widely </w:t>
      </w:r>
      <w:proofErr w:type="spellStart"/>
      <w:r w:rsidR="00A3305B" w:rsidRPr="002B151A">
        <w:rPr>
          <w:highlight w:val="white"/>
        </w:rPr>
        <w:t>critici</w:t>
      </w:r>
      <w:r w:rsidR="0041703E">
        <w:rPr>
          <w:highlight w:val="white"/>
        </w:rPr>
        <w:t>s</w:t>
      </w:r>
      <w:r w:rsidR="00A3305B" w:rsidRPr="002B151A">
        <w:rPr>
          <w:highlight w:val="white"/>
        </w:rPr>
        <w:t>ed</w:t>
      </w:r>
      <w:proofErr w:type="spellEnd"/>
      <w:r w:rsidR="00A3305B" w:rsidRPr="002B151A">
        <w:rPr>
          <w:highlight w:val="white"/>
        </w:rPr>
        <w:t xml:space="preserve"> for their lack of </w:t>
      </w:r>
      <w:r w:rsidR="00B15363">
        <w:rPr>
          <w:highlight w:val="white"/>
        </w:rPr>
        <w:t xml:space="preserve">academic and scientific </w:t>
      </w:r>
      <w:r w:rsidR="00A3305B" w:rsidRPr="002B151A">
        <w:rPr>
          <w:highlight w:val="white"/>
        </w:rPr>
        <w:t>validity</w:t>
      </w:r>
      <w:r w:rsidR="005B5ACC">
        <w:rPr>
          <w:rStyle w:val="FootnoteReference"/>
          <w:color w:val="222222"/>
          <w:szCs w:val="24"/>
          <w:highlight w:val="white"/>
        </w:rPr>
        <w:footnoteReference w:id="4"/>
      </w:r>
      <w:r w:rsidR="00BE1DC1">
        <w:rPr>
          <w:highlight w:val="white"/>
        </w:rPr>
        <w:t xml:space="preserve">, </w:t>
      </w:r>
      <w:proofErr w:type="spellStart"/>
      <w:proofErr w:type="gramStart"/>
      <w:r w:rsidR="00BE1DC1">
        <w:rPr>
          <w:highlight w:val="white"/>
        </w:rPr>
        <w:t>their</w:t>
      </w:r>
      <w:proofErr w:type="spellEnd"/>
      <w:r w:rsidR="00BE1DC1">
        <w:rPr>
          <w:highlight w:val="white"/>
        </w:rPr>
        <w:t xml:space="preserve"> </w:t>
      </w:r>
      <w:r w:rsidR="00351313" w:rsidRPr="002B151A">
        <w:rPr>
          <w:highlight w:val="white"/>
        </w:rPr>
        <w:t xml:space="preserve"> and</w:t>
      </w:r>
      <w:proofErr w:type="gramEnd"/>
      <w:r w:rsidR="00351313" w:rsidRPr="002B151A">
        <w:rPr>
          <w:highlight w:val="white"/>
        </w:rPr>
        <w:t xml:space="preserve"> </w:t>
      </w:r>
      <w:proofErr w:type="spellStart"/>
      <w:r w:rsidR="00351313" w:rsidRPr="002B151A">
        <w:rPr>
          <w:highlight w:val="white"/>
        </w:rPr>
        <w:t>criminalisation</w:t>
      </w:r>
      <w:proofErr w:type="spellEnd"/>
      <w:r w:rsidR="00351313" w:rsidRPr="002B151A">
        <w:rPr>
          <w:highlight w:val="white"/>
        </w:rPr>
        <w:t xml:space="preserve"> of beliefs, especially religious belief</w:t>
      </w:r>
      <w:r w:rsidR="00D03A8A">
        <w:rPr>
          <w:highlight w:val="white"/>
        </w:rPr>
        <w:t xml:space="preserve"> and practice</w:t>
      </w:r>
      <w:r w:rsidR="00D03A8A">
        <w:rPr>
          <w:rStyle w:val="FootnoteReference"/>
          <w:color w:val="222222"/>
          <w:szCs w:val="24"/>
          <w:highlight w:val="white"/>
        </w:rPr>
        <w:footnoteReference w:id="5"/>
      </w:r>
      <w:r w:rsidR="00A3305B" w:rsidRPr="002B151A">
        <w:rPr>
          <w:highlight w:val="white"/>
        </w:rPr>
        <w:t>.</w:t>
      </w:r>
      <w:r w:rsidR="00BE1DC1">
        <w:rPr>
          <w:highlight w:val="white"/>
        </w:rPr>
        <w:t xml:space="preserve"> This is supported by the fact that </w:t>
      </w:r>
      <w:r w:rsidR="00B15363">
        <w:rPr>
          <w:highlight w:val="white"/>
        </w:rPr>
        <w:t xml:space="preserve">only 13% </w:t>
      </w:r>
      <w:r w:rsidR="00BE1DC1">
        <w:rPr>
          <w:highlight w:val="white"/>
        </w:rPr>
        <w:t xml:space="preserve">of </w:t>
      </w:r>
      <w:r w:rsidR="00D03A8A">
        <w:rPr>
          <w:highlight w:val="white"/>
        </w:rPr>
        <w:t xml:space="preserve">Prevent </w:t>
      </w:r>
      <w:r w:rsidR="00BE1DC1">
        <w:rPr>
          <w:highlight w:val="white"/>
        </w:rPr>
        <w:t xml:space="preserve">referrals </w:t>
      </w:r>
      <w:r w:rsidR="00B15363">
        <w:rPr>
          <w:highlight w:val="white"/>
        </w:rPr>
        <w:t>have been</w:t>
      </w:r>
      <w:r w:rsidR="00BE1DC1">
        <w:rPr>
          <w:highlight w:val="white"/>
        </w:rPr>
        <w:t xml:space="preserve"> </w:t>
      </w:r>
      <w:r w:rsidR="00B15363">
        <w:rPr>
          <w:highlight w:val="white"/>
        </w:rPr>
        <w:t>adopted as Channel cases</w:t>
      </w:r>
      <w:r w:rsidR="00B15363">
        <w:rPr>
          <w:rStyle w:val="FootnoteReference"/>
          <w:color w:val="222222"/>
          <w:szCs w:val="24"/>
          <w:highlight w:val="white"/>
        </w:rPr>
        <w:footnoteReference w:id="6"/>
      </w:r>
      <w:r w:rsidR="00B15363">
        <w:rPr>
          <w:highlight w:val="white"/>
        </w:rPr>
        <w:t xml:space="preserve"> over the past two years, leaving 87% of individuals deeply impacted by what is in essence an encounter with security services</w:t>
      </w:r>
      <w:r w:rsidR="00BE1DC1">
        <w:rPr>
          <w:highlight w:val="white"/>
        </w:rPr>
        <w:t xml:space="preserve">. </w:t>
      </w:r>
      <w:r w:rsidR="00A3305B" w:rsidRPr="002B151A">
        <w:rPr>
          <w:highlight w:val="white"/>
        </w:rPr>
        <w:t xml:space="preserve"> </w:t>
      </w:r>
    </w:p>
    <w:p w14:paraId="219CA97F" w14:textId="68447D20" w:rsidR="00D03A8A" w:rsidRDefault="00A65031" w:rsidP="00777156">
      <w:pPr>
        <w:pStyle w:val="Heading2"/>
        <w:rPr>
          <w:highlight w:val="white"/>
        </w:rPr>
      </w:pPr>
      <w:r>
        <w:rPr>
          <w:highlight w:val="white"/>
        </w:rPr>
        <w:t>The Home Office started to publish the statistics with regards to Prevent referrals in 2015</w:t>
      </w:r>
      <w:r w:rsidR="005C3D22">
        <w:rPr>
          <w:highlight w:val="white"/>
        </w:rPr>
        <w:t xml:space="preserve"> with some limited data available </w:t>
      </w:r>
      <w:proofErr w:type="gramStart"/>
      <w:r w:rsidR="00BE1DC1">
        <w:rPr>
          <w:highlight w:val="white"/>
        </w:rPr>
        <w:t>for  the</w:t>
      </w:r>
      <w:proofErr w:type="gramEnd"/>
      <w:r w:rsidR="005C3D22">
        <w:rPr>
          <w:highlight w:val="white"/>
        </w:rPr>
        <w:t xml:space="preserve"> year 2014 before Prevent was enshrined in the CTSA 2015. </w:t>
      </w:r>
      <w:r w:rsidR="00A3305B" w:rsidRPr="002B151A">
        <w:rPr>
          <w:highlight w:val="white"/>
        </w:rPr>
        <w:t xml:space="preserve">According to the official </w:t>
      </w:r>
      <w:proofErr w:type="gramStart"/>
      <w:r w:rsidR="00A3305B" w:rsidRPr="002B151A">
        <w:rPr>
          <w:highlight w:val="white"/>
        </w:rPr>
        <w:t>Home</w:t>
      </w:r>
      <w:proofErr w:type="gramEnd"/>
      <w:r w:rsidR="00A3305B" w:rsidRPr="002B151A">
        <w:rPr>
          <w:highlight w:val="white"/>
        </w:rPr>
        <w:t xml:space="preserve"> Office statistics</w:t>
      </w:r>
      <w:r w:rsidR="00B15363">
        <w:rPr>
          <w:rStyle w:val="FootnoteReference"/>
          <w:color w:val="222222"/>
          <w:szCs w:val="24"/>
          <w:highlight w:val="white"/>
        </w:rPr>
        <w:footnoteReference w:id="7"/>
      </w:r>
      <w:r w:rsidR="00A3305B" w:rsidRPr="002B151A">
        <w:rPr>
          <w:highlight w:val="white"/>
        </w:rPr>
        <w:t xml:space="preserve">, </w:t>
      </w:r>
      <w:r w:rsidR="00D5188F">
        <w:rPr>
          <w:highlight w:val="white"/>
        </w:rPr>
        <w:t xml:space="preserve">between 2014 to </w:t>
      </w:r>
      <w:r w:rsidR="004D067E">
        <w:rPr>
          <w:highlight w:val="white"/>
        </w:rPr>
        <w:t xml:space="preserve">March </w:t>
      </w:r>
      <w:r w:rsidR="00D5188F">
        <w:rPr>
          <w:highlight w:val="white"/>
        </w:rPr>
        <w:t xml:space="preserve">2022, </w:t>
      </w:r>
      <w:r w:rsidR="00A3305B" w:rsidRPr="002B151A">
        <w:rPr>
          <w:highlight w:val="white"/>
        </w:rPr>
        <w:t xml:space="preserve">over 45,000 individuals </w:t>
      </w:r>
      <w:r w:rsidR="00D5188F">
        <w:rPr>
          <w:highlight w:val="white"/>
        </w:rPr>
        <w:t>were</w:t>
      </w:r>
      <w:r w:rsidR="00A3305B" w:rsidRPr="002B151A">
        <w:rPr>
          <w:highlight w:val="white"/>
        </w:rPr>
        <w:t xml:space="preserve"> referred to Prevent. </w:t>
      </w:r>
    </w:p>
    <w:p w14:paraId="21D8413A" w14:textId="2C23C8ED" w:rsidR="009A1583" w:rsidRPr="002B151A" w:rsidRDefault="00D03A8A" w:rsidP="00777156">
      <w:pPr>
        <w:pStyle w:val="Heading2"/>
        <w:rPr>
          <w:highlight w:val="white"/>
        </w:rPr>
      </w:pPr>
      <w:r>
        <w:rPr>
          <w:highlight w:val="white"/>
        </w:rPr>
        <w:lastRenderedPageBreak/>
        <w:t>What is most disturbing is that a</w:t>
      </w:r>
      <w:r w:rsidRPr="002B151A">
        <w:rPr>
          <w:highlight w:val="white"/>
        </w:rPr>
        <w:t xml:space="preserve">lthough </w:t>
      </w:r>
      <w:proofErr w:type="gramStart"/>
      <w:r w:rsidR="00A3305B" w:rsidRPr="002B151A">
        <w:rPr>
          <w:highlight w:val="white"/>
        </w:rPr>
        <w:t>Prevent</w:t>
      </w:r>
      <w:proofErr w:type="gramEnd"/>
      <w:r w:rsidR="00A3305B" w:rsidRPr="002B151A">
        <w:rPr>
          <w:highlight w:val="white"/>
        </w:rPr>
        <w:t xml:space="preserve"> applies to both children and adults, children make up the most significant proportion of Prevent referrals</w:t>
      </w:r>
      <w:r>
        <w:rPr>
          <w:highlight w:val="white"/>
        </w:rPr>
        <w:t>.</w:t>
      </w:r>
      <w:r w:rsidRPr="00D03A8A">
        <w:rPr>
          <w:highlight w:val="white"/>
        </w:rPr>
        <w:t xml:space="preserve"> </w:t>
      </w:r>
      <w:r w:rsidRPr="00C351DF">
        <w:t xml:space="preserve">The latest </w:t>
      </w:r>
      <w:proofErr w:type="gramStart"/>
      <w:r w:rsidRPr="00C351DF">
        <w:t>Home</w:t>
      </w:r>
      <w:proofErr w:type="gramEnd"/>
      <w:r w:rsidRPr="00C351DF">
        <w:t xml:space="preserve"> Office statistics cites young people aged 15 to 20 as the largest proportion (30%), but startling</w:t>
      </w:r>
      <w:r w:rsidR="000A397A">
        <w:t>ly,</w:t>
      </w:r>
      <w:r w:rsidRPr="00C351DF">
        <w:t xml:space="preserve"> those under 15 account for 29%.</w:t>
      </w:r>
      <w:r w:rsidRPr="00D03A8A">
        <w:rPr>
          <w:rStyle w:val="FootnoteReference"/>
          <w:color w:val="222222"/>
          <w:szCs w:val="24"/>
          <w:highlight w:val="white"/>
        </w:rPr>
        <w:footnoteReference w:id="8"/>
      </w:r>
      <w:r w:rsidR="001D40F8" w:rsidRPr="00D03A8A">
        <w:t>.</w:t>
      </w:r>
      <w:r w:rsidR="00351313" w:rsidRPr="00D03A8A">
        <w:t xml:space="preserve"> </w:t>
      </w:r>
      <w:r w:rsidR="00351313" w:rsidRPr="00D03A8A">
        <w:rPr>
          <w:highlight w:val="white"/>
        </w:rPr>
        <w:t>T</w:t>
      </w:r>
      <w:r w:rsidR="00A3305B" w:rsidRPr="002B151A">
        <w:rPr>
          <w:highlight w:val="white"/>
        </w:rPr>
        <w:t xml:space="preserve">he sector </w:t>
      </w:r>
      <w:r w:rsidR="001D40F8" w:rsidRPr="002B151A">
        <w:rPr>
          <w:highlight w:val="white"/>
        </w:rPr>
        <w:t xml:space="preserve">responsible for </w:t>
      </w:r>
      <w:r w:rsidR="00A3305B" w:rsidRPr="002B151A">
        <w:rPr>
          <w:highlight w:val="white"/>
        </w:rPr>
        <w:t xml:space="preserve">most of these referrals is </w:t>
      </w:r>
      <w:r w:rsidR="001D40F8" w:rsidRPr="002B151A">
        <w:rPr>
          <w:highlight w:val="white"/>
        </w:rPr>
        <w:t xml:space="preserve">the </w:t>
      </w:r>
      <w:r w:rsidR="00A3305B" w:rsidRPr="002B151A">
        <w:rPr>
          <w:highlight w:val="white"/>
        </w:rPr>
        <w:t>education</w:t>
      </w:r>
      <w:r w:rsidR="001D40F8" w:rsidRPr="002B151A">
        <w:rPr>
          <w:highlight w:val="white"/>
        </w:rPr>
        <w:t xml:space="preserve"> sector</w:t>
      </w:r>
      <w:r w:rsidR="00A3305B" w:rsidRPr="002B151A">
        <w:rPr>
          <w:highlight w:val="white"/>
        </w:rPr>
        <w:t xml:space="preserve">. </w:t>
      </w:r>
      <w:r>
        <w:rPr>
          <w:highlight w:val="white"/>
        </w:rPr>
        <w:t>This means that o</w:t>
      </w:r>
      <w:r w:rsidRPr="002B151A">
        <w:rPr>
          <w:highlight w:val="white"/>
        </w:rPr>
        <w:t xml:space="preserve">ver </w:t>
      </w:r>
      <w:r w:rsidR="001D40F8" w:rsidRPr="002B151A">
        <w:rPr>
          <w:highlight w:val="white"/>
        </w:rPr>
        <w:t xml:space="preserve">the period of </w:t>
      </w:r>
      <w:r w:rsidR="00A3305B" w:rsidRPr="002B151A">
        <w:rPr>
          <w:highlight w:val="white"/>
        </w:rPr>
        <w:t>2021 to 2022 alone</w:t>
      </w:r>
      <w:r w:rsidR="001D40F8" w:rsidRPr="002B151A">
        <w:rPr>
          <w:highlight w:val="white"/>
        </w:rPr>
        <w:t>,</w:t>
      </w:r>
      <w:r w:rsidR="00A3305B" w:rsidRPr="002B151A">
        <w:rPr>
          <w:highlight w:val="white"/>
        </w:rPr>
        <w:t xml:space="preserve"> </w:t>
      </w:r>
      <w:r>
        <w:rPr>
          <w:highlight w:val="white"/>
        </w:rPr>
        <w:t xml:space="preserve">Prevent Watch estimates that </w:t>
      </w:r>
      <w:r w:rsidR="00A3305B" w:rsidRPr="002B151A">
        <w:rPr>
          <w:highlight w:val="white"/>
        </w:rPr>
        <w:t xml:space="preserve">at least </w:t>
      </w:r>
      <w:r w:rsidR="00A37590">
        <w:rPr>
          <w:highlight w:val="white"/>
        </w:rPr>
        <w:t>six</w:t>
      </w:r>
      <w:r w:rsidR="00A3305B" w:rsidRPr="002B151A">
        <w:rPr>
          <w:highlight w:val="white"/>
        </w:rPr>
        <w:t xml:space="preserve"> children under the age of 14 were referred to Prevent </w:t>
      </w:r>
      <w:r w:rsidR="00A3305B" w:rsidRPr="002B151A">
        <w:rPr>
          <w:b/>
          <w:bCs/>
          <w:highlight w:val="white"/>
        </w:rPr>
        <w:t>for every school day</w:t>
      </w:r>
      <w:r w:rsidR="00A3305B" w:rsidRPr="002B151A">
        <w:rPr>
          <w:highlight w:val="white"/>
        </w:rPr>
        <w:t xml:space="preserve"> in England.</w:t>
      </w:r>
    </w:p>
    <w:p w14:paraId="5FD23006" w14:textId="79B68AD9" w:rsidR="004C5FDE" w:rsidRPr="002B151A" w:rsidRDefault="004C5FDE" w:rsidP="00777156">
      <w:pPr>
        <w:pStyle w:val="Heading2"/>
        <w:rPr>
          <w:highlight w:val="white"/>
        </w:rPr>
      </w:pPr>
      <w:r w:rsidRPr="002B151A">
        <w:rPr>
          <w:highlight w:val="white"/>
        </w:rPr>
        <w:t xml:space="preserve">Prevent Watch is an NGO that </w:t>
      </w:r>
      <w:r w:rsidR="001D40F8" w:rsidRPr="002B151A">
        <w:rPr>
          <w:highlight w:val="white"/>
        </w:rPr>
        <w:t xml:space="preserve">was founded </w:t>
      </w:r>
      <w:r w:rsidRPr="002B151A">
        <w:rPr>
          <w:highlight w:val="white"/>
        </w:rPr>
        <w:t xml:space="preserve">with the aim </w:t>
      </w:r>
      <w:r w:rsidR="00F66467" w:rsidRPr="002B151A">
        <w:rPr>
          <w:highlight w:val="white"/>
        </w:rPr>
        <w:t xml:space="preserve">of </w:t>
      </w:r>
      <w:r w:rsidRPr="002B151A">
        <w:rPr>
          <w:highlight w:val="white"/>
        </w:rPr>
        <w:t>support</w:t>
      </w:r>
      <w:r w:rsidR="00F66467" w:rsidRPr="002B151A">
        <w:rPr>
          <w:highlight w:val="white"/>
        </w:rPr>
        <w:t>ing</w:t>
      </w:r>
      <w:r w:rsidRPr="002B151A">
        <w:rPr>
          <w:highlight w:val="white"/>
        </w:rPr>
        <w:t xml:space="preserve"> individuals</w:t>
      </w:r>
      <w:r w:rsidR="00F66467" w:rsidRPr="002B151A">
        <w:rPr>
          <w:highlight w:val="white"/>
        </w:rPr>
        <w:t xml:space="preserve"> and their families</w:t>
      </w:r>
      <w:r w:rsidRPr="002B151A">
        <w:rPr>
          <w:highlight w:val="white"/>
        </w:rPr>
        <w:t xml:space="preserve"> </w:t>
      </w:r>
      <w:r w:rsidR="00F66467" w:rsidRPr="002B151A">
        <w:rPr>
          <w:highlight w:val="white"/>
        </w:rPr>
        <w:t xml:space="preserve">that had been </w:t>
      </w:r>
      <w:r w:rsidRPr="002B151A">
        <w:rPr>
          <w:highlight w:val="white"/>
        </w:rPr>
        <w:t xml:space="preserve">wrongly referred to Prevent or negatively impacted by an encounter with Prevent, even at the pre-referral stage. We are a community-funded </w:t>
      </w:r>
      <w:proofErr w:type="spellStart"/>
      <w:r w:rsidRPr="002B151A">
        <w:rPr>
          <w:highlight w:val="white"/>
        </w:rPr>
        <w:t>organisation</w:t>
      </w:r>
      <w:proofErr w:type="spellEnd"/>
      <w:r w:rsidRPr="002B151A">
        <w:rPr>
          <w:highlight w:val="white"/>
        </w:rPr>
        <w:t xml:space="preserve"> with no partisan affiliations. Prevent Watch also holds the largest body of cases of individuals impacted by </w:t>
      </w:r>
      <w:r w:rsidR="00BD30EC" w:rsidRPr="002B151A">
        <w:rPr>
          <w:highlight w:val="white"/>
        </w:rPr>
        <w:t>Prevent</w:t>
      </w:r>
      <w:r w:rsidRPr="002B151A">
        <w:rPr>
          <w:highlight w:val="white"/>
        </w:rPr>
        <w:t xml:space="preserve"> in the </w:t>
      </w:r>
      <w:proofErr w:type="gramStart"/>
      <w:r w:rsidRPr="002B151A">
        <w:rPr>
          <w:highlight w:val="white"/>
        </w:rPr>
        <w:t>UK</w:t>
      </w:r>
      <w:proofErr w:type="gramEnd"/>
      <w:r w:rsidRPr="002B151A">
        <w:rPr>
          <w:highlight w:val="white"/>
        </w:rPr>
        <w:t xml:space="preserve"> and we provide leading evidence locally and internationally of its </w:t>
      </w:r>
      <w:proofErr w:type="gramStart"/>
      <w:r w:rsidRPr="002B151A">
        <w:rPr>
          <w:highlight w:val="white"/>
        </w:rPr>
        <w:t>harms</w:t>
      </w:r>
      <w:proofErr w:type="gramEnd"/>
      <w:r w:rsidRPr="002B151A">
        <w:rPr>
          <w:highlight w:val="white"/>
        </w:rPr>
        <w:t>. To date, we have documented over 600 cases of individuals impacted by Prevent and more than half of our cases involve children.</w:t>
      </w:r>
    </w:p>
    <w:p w14:paraId="6D3DDEE5" w14:textId="102CAB1E" w:rsidR="004C5FDE" w:rsidRPr="002B151A" w:rsidRDefault="004C5FDE" w:rsidP="00777156">
      <w:pPr>
        <w:pStyle w:val="Heading2"/>
        <w:rPr>
          <w:highlight w:val="white"/>
        </w:rPr>
      </w:pPr>
      <w:r w:rsidRPr="002B151A">
        <w:rPr>
          <w:highlight w:val="white"/>
        </w:rPr>
        <w:t xml:space="preserve">The implementation of </w:t>
      </w:r>
      <w:r w:rsidR="003871B2">
        <w:rPr>
          <w:highlight w:val="white"/>
        </w:rPr>
        <w:t xml:space="preserve">the </w:t>
      </w:r>
      <w:r w:rsidRPr="002B151A">
        <w:rPr>
          <w:highlight w:val="white"/>
        </w:rPr>
        <w:t xml:space="preserve">Prevent </w:t>
      </w:r>
      <w:r w:rsidR="003871B2">
        <w:rPr>
          <w:highlight w:val="white"/>
        </w:rPr>
        <w:t xml:space="preserve">Duty </w:t>
      </w:r>
      <w:r w:rsidRPr="002B151A">
        <w:rPr>
          <w:highlight w:val="white"/>
        </w:rPr>
        <w:t xml:space="preserve">within schools and nurseries has already </w:t>
      </w:r>
      <w:r w:rsidR="00F66467" w:rsidRPr="002B151A">
        <w:rPr>
          <w:highlight w:val="white"/>
        </w:rPr>
        <w:t>caused</w:t>
      </w:r>
      <w:r w:rsidRPr="002B151A">
        <w:rPr>
          <w:highlight w:val="white"/>
        </w:rPr>
        <w:t xml:space="preserve"> significant harm</w:t>
      </w:r>
      <w:r w:rsidR="003871B2">
        <w:rPr>
          <w:highlight w:val="white"/>
        </w:rPr>
        <w:t xml:space="preserve"> </w:t>
      </w:r>
      <w:r w:rsidR="00F66467" w:rsidRPr="002B151A">
        <w:rPr>
          <w:highlight w:val="white"/>
        </w:rPr>
        <w:t xml:space="preserve">to </w:t>
      </w:r>
      <w:r w:rsidRPr="002B151A">
        <w:rPr>
          <w:highlight w:val="white"/>
        </w:rPr>
        <w:t xml:space="preserve">children and their families. Prevent has been widely </w:t>
      </w:r>
      <w:proofErr w:type="spellStart"/>
      <w:r w:rsidRPr="002B151A">
        <w:rPr>
          <w:highlight w:val="white"/>
        </w:rPr>
        <w:t>criticised</w:t>
      </w:r>
      <w:proofErr w:type="spellEnd"/>
      <w:r w:rsidRPr="002B151A">
        <w:rPr>
          <w:highlight w:val="white"/>
        </w:rPr>
        <w:t xml:space="preserve"> by </w:t>
      </w:r>
      <w:r w:rsidR="00F66467" w:rsidRPr="002B151A">
        <w:rPr>
          <w:highlight w:val="white"/>
        </w:rPr>
        <w:t>human rights and counter</w:t>
      </w:r>
      <w:r w:rsidR="001A7AFA">
        <w:rPr>
          <w:highlight w:val="white"/>
        </w:rPr>
        <w:t xml:space="preserve"> </w:t>
      </w:r>
      <w:r w:rsidR="00F66467" w:rsidRPr="002B151A">
        <w:rPr>
          <w:highlight w:val="white"/>
        </w:rPr>
        <w:t>terrorism commentators and academics</w:t>
      </w:r>
      <w:r w:rsidRPr="002B151A">
        <w:rPr>
          <w:highlight w:val="white"/>
        </w:rPr>
        <w:t xml:space="preserve"> for its </w:t>
      </w:r>
      <w:r w:rsidR="00F66467" w:rsidRPr="002B151A">
        <w:rPr>
          <w:highlight w:val="white"/>
        </w:rPr>
        <w:t xml:space="preserve">negative </w:t>
      </w:r>
      <w:r w:rsidRPr="002B151A">
        <w:rPr>
          <w:highlight w:val="white"/>
        </w:rPr>
        <w:t xml:space="preserve">impact on </w:t>
      </w:r>
      <w:r w:rsidR="00BE4E11">
        <w:rPr>
          <w:highlight w:val="white"/>
        </w:rPr>
        <w:t xml:space="preserve">society, it’s discrimination </w:t>
      </w:r>
      <w:r w:rsidR="001A7AFA">
        <w:rPr>
          <w:highlight w:val="white"/>
        </w:rPr>
        <w:t xml:space="preserve">against </w:t>
      </w:r>
      <w:r w:rsidR="00C457F2">
        <w:rPr>
          <w:highlight w:val="white"/>
        </w:rPr>
        <w:t>Muslims</w:t>
      </w:r>
      <w:r w:rsidR="004B264D">
        <w:rPr>
          <w:highlight w:val="white"/>
        </w:rPr>
        <w:t>, the disproportionate targeting of children</w:t>
      </w:r>
      <w:r w:rsidR="00C457F2">
        <w:rPr>
          <w:highlight w:val="white"/>
        </w:rPr>
        <w:t xml:space="preserve"> and the way in which it curtails </w:t>
      </w:r>
      <w:r w:rsidR="001A7AFA">
        <w:rPr>
          <w:highlight w:val="white"/>
        </w:rPr>
        <w:t xml:space="preserve">rights and </w:t>
      </w:r>
      <w:r w:rsidRPr="002B151A">
        <w:rPr>
          <w:highlight w:val="white"/>
        </w:rPr>
        <w:t>freedom</w:t>
      </w:r>
      <w:r w:rsidR="001A7AFA">
        <w:rPr>
          <w:highlight w:val="white"/>
        </w:rPr>
        <w:t>s, including freedom</w:t>
      </w:r>
      <w:r w:rsidRPr="002B151A">
        <w:rPr>
          <w:highlight w:val="white"/>
        </w:rPr>
        <w:t xml:space="preserve"> of religion speech</w:t>
      </w:r>
      <w:r w:rsidR="001A7AFA">
        <w:rPr>
          <w:highlight w:val="white"/>
        </w:rPr>
        <w:t xml:space="preserve"> and association. It has also been </w:t>
      </w:r>
      <w:proofErr w:type="spellStart"/>
      <w:r w:rsidR="001A7AFA">
        <w:rPr>
          <w:highlight w:val="white"/>
        </w:rPr>
        <w:t>criticised</w:t>
      </w:r>
      <w:proofErr w:type="spellEnd"/>
      <w:r w:rsidR="001A7AFA">
        <w:rPr>
          <w:highlight w:val="white"/>
        </w:rPr>
        <w:t xml:space="preserve"> by the UN for its</w:t>
      </w:r>
      <w:r w:rsidR="00D91A9E">
        <w:rPr>
          <w:highlight w:val="white"/>
        </w:rPr>
        <w:t xml:space="preserve"> </w:t>
      </w:r>
      <w:r w:rsidR="001A7AFA">
        <w:rPr>
          <w:highlight w:val="white"/>
        </w:rPr>
        <w:t xml:space="preserve">erosion of </w:t>
      </w:r>
      <w:r w:rsidR="00D91A9E">
        <w:rPr>
          <w:highlight w:val="white"/>
        </w:rPr>
        <w:t xml:space="preserve">privacy rights </w:t>
      </w:r>
      <w:r w:rsidR="00FE420A">
        <w:rPr>
          <w:highlight w:val="white"/>
        </w:rPr>
        <w:t>due to how data is retained and shared</w:t>
      </w:r>
      <w:r w:rsidR="001A7AFA">
        <w:rPr>
          <w:rStyle w:val="FootnoteReference"/>
          <w:color w:val="222222"/>
          <w:szCs w:val="24"/>
          <w:highlight w:val="white"/>
        </w:rPr>
        <w:footnoteReference w:id="9"/>
      </w:r>
      <w:r w:rsidR="00F66467" w:rsidRPr="002B151A">
        <w:rPr>
          <w:highlight w:val="white"/>
        </w:rPr>
        <w:t xml:space="preserve">. </w:t>
      </w:r>
      <w:r w:rsidRPr="002B151A">
        <w:rPr>
          <w:highlight w:val="white"/>
        </w:rPr>
        <w:t xml:space="preserve"> </w:t>
      </w:r>
    </w:p>
    <w:p w14:paraId="50E864AA" w14:textId="0E142994" w:rsidR="00B57FD7" w:rsidRDefault="00B57FD7">
      <w:pPr>
        <w:rPr>
          <w:color w:val="222222"/>
          <w:sz w:val="24"/>
          <w:szCs w:val="24"/>
          <w:highlight w:val="white"/>
        </w:rPr>
      </w:pPr>
      <w:r>
        <w:rPr>
          <w:color w:val="222222"/>
          <w:sz w:val="24"/>
          <w:szCs w:val="24"/>
          <w:highlight w:val="white"/>
        </w:rPr>
        <w:br w:type="page"/>
      </w:r>
    </w:p>
    <w:p w14:paraId="4BFCA07F" w14:textId="18EBD59F" w:rsidR="004C5FDE" w:rsidRPr="006F792B" w:rsidRDefault="00444197" w:rsidP="006F792B">
      <w:pPr>
        <w:pStyle w:val="Heading1"/>
        <w:rPr>
          <w:highlight w:val="white"/>
        </w:rPr>
      </w:pPr>
      <w:bookmarkStart w:id="1" w:name="_Toc132391306"/>
      <w:r w:rsidRPr="006F792B">
        <w:rPr>
          <w:highlight w:val="white"/>
        </w:rPr>
        <w:lastRenderedPageBreak/>
        <w:t>Evidence</w:t>
      </w:r>
      <w:bookmarkEnd w:id="1"/>
    </w:p>
    <w:p w14:paraId="200B59C2" w14:textId="66E5C9B4" w:rsidR="00444197" w:rsidRPr="006F792B" w:rsidRDefault="00444197" w:rsidP="006F792B">
      <w:pPr>
        <w:pStyle w:val="Heading2"/>
        <w:rPr>
          <w:highlight w:val="white"/>
        </w:rPr>
      </w:pPr>
      <w:bookmarkStart w:id="2" w:name="_Toc132391307"/>
      <w:r w:rsidRPr="006F792B">
        <w:rPr>
          <w:highlight w:val="white"/>
        </w:rPr>
        <w:t xml:space="preserve">The co-option of safeguarding policy </w:t>
      </w:r>
      <w:r w:rsidR="00AE6FE4" w:rsidRPr="006F792B">
        <w:rPr>
          <w:highlight w:val="white"/>
        </w:rPr>
        <w:t>by Prevent</w:t>
      </w:r>
      <w:bookmarkEnd w:id="2"/>
    </w:p>
    <w:p w14:paraId="6BEF7D72" w14:textId="67890456" w:rsidR="008406AC" w:rsidRDefault="00A3305B" w:rsidP="00777156">
      <w:pPr>
        <w:pStyle w:val="Heading2"/>
        <w:rPr>
          <w:highlight w:val="white"/>
        </w:rPr>
      </w:pPr>
      <w:r w:rsidRPr="002B151A">
        <w:rPr>
          <w:highlight w:val="white"/>
        </w:rPr>
        <w:t xml:space="preserve">When </w:t>
      </w:r>
      <w:r w:rsidR="00EC345B">
        <w:rPr>
          <w:highlight w:val="white"/>
        </w:rPr>
        <w:t xml:space="preserve">the </w:t>
      </w:r>
      <w:r w:rsidRPr="002B151A">
        <w:rPr>
          <w:highlight w:val="white"/>
        </w:rPr>
        <w:t xml:space="preserve">Prevent </w:t>
      </w:r>
      <w:r w:rsidR="00B42D6C">
        <w:rPr>
          <w:highlight w:val="white"/>
        </w:rPr>
        <w:t>D</w:t>
      </w:r>
      <w:r w:rsidR="00EC345B">
        <w:rPr>
          <w:highlight w:val="white"/>
        </w:rPr>
        <w:t xml:space="preserve">uty </w:t>
      </w:r>
      <w:r w:rsidRPr="002B151A">
        <w:rPr>
          <w:highlight w:val="white"/>
        </w:rPr>
        <w:t xml:space="preserve">was </w:t>
      </w:r>
      <w:r w:rsidR="00C6215F">
        <w:rPr>
          <w:highlight w:val="white"/>
        </w:rPr>
        <w:t>enshrined in</w:t>
      </w:r>
      <w:r w:rsidR="00F66467" w:rsidRPr="002B151A">
        <w:rPr>
          <w:highlight w:val="white"/>
        </w:rPr>
        <w:t xml:space="preserve"> the CTSA </w:t>
      </w:r>
      <w:r w:rsidRPr="002B151A">
        <w:rPr>
          <w:highlight w:val="white"/>
        </w:rPr>
        <w:t>2015, it was done so via the co-option of the label and notion of “safeguarding”.</w:t>
      </w:r>
      <w:r w:rsidR="00FB7BCB">
        <w:rPr>
          <w:highlight w:val="white"/>
        </w:rPr>
        <w:t xml:space="preserve"> It is important to note that this notion of safeguarding </w:t>
      </w:r>
      <w:r w:rsidR="009479D6">
        <w:rPr>
          <w:highlight w:val="white"/>
        </w:rPr>
        <w:t xml:space="preserve">children within education from extremism had hit the headlines in the previous years </w:t>
      </w:r>
      <w:proofErr w:type="gramStart"/>
      <w:r w:rsidR="009479D6">
        <w:rPr>
          <w:highlight w:val="white"/>
        </w:rPr>
        <w:t>as a result of</w:t>
      </w:r>
      <w:proofErr w:type="gramEnd"/>
      <w:r w:rsidR="009479D6">
        <w:rPr>
          <w:highlight w:val="white"/>
        </w:rPr>
        <w:t xml:space="preserve"> the Trojan Horse affair</w:t>
      </w:r>
      <w:r w:rsidR="000363E7">
        <w:rPr>
          <w:highlight w:val="white"/>
        </w:rPr>
        <w:t xml:space="preserve">. The Trojan Horse affair </w:t>
      </w:r>
      <w:r w:rsidR="00B57FD7">
        <w:rPr>
          <w:highlight w:val="white"/>
        </w:rPr>
        <w:t>occurred in the UK when</w:t>
      </w:r>
      <w:r w:rsidR="000363E7">
        <w:rPr>
          <w:highlight w:val="white"/>
        </w:rPr>
        <w:t xml:space="preserve"> a hoax letter claimed that children in Birmingham schools were being </w:t>
      </w:r>
      <w:r w:rsidR="00B57FD7">
        <w:rPr>
          <w:highlight w:val="white"/>
        </w:rPr>
        <w:t>“</w:t>
      </w:r>
      <w:proofErr w:type="spellStart"/>
      <w:r w:rsidR="000363E7">
        <w:rPr>
          <w:highlight w:val="white"/>
        </w:rPr>
        <w:t>Islamicised</w:t>
      </w:r>
      <w:proofErr w:type="spellEnd"/>
      <w:r w:rsidR="00B57FD7">
        <w:rPr>
          <w:highlight w:val="white"/>
        </w:rPr>
        <w:t>”</w:t>
      </w:r>
      <w:r w:rsidR="000363E7">
        <w:rPr>
          <w:highlight w:val="white"/>
        </w:rPr>
        <w:t>.</w:t>
      </w:r>
      <w:r w:rsidR="00B57FD7">
        <w:rPr>
          <w:highlight w:val="white"/>
        </w:rPr>
        <w:t xml:space="preserve"> After a lengthy but deeply biased enquiry, the case against the teachers collapsed and they were exonerated</w:t>
      </w:r>
      <w:r w:rsidR="00B57FD7">
        <w:rPr>
          <w:rStyle w:val="FootnoteReference"/>
          <w:color w:val="222222"/>
          <w:szCs w:val="24"/>
          <w:highlight w:val="white"/>
        </w:rPr>
        <w:footnoteReference w:id="10"/>
      </w:r>
      <w:r w:rsidR="00B57FD7">
        <w:rPr>
          <w:highlight w:val="white"/>
        </w:rPr>
        <w:t>.</w:t>
      </w:r>
      <w:r w:rsidRPr="002B151A">
        <w:rPr>
          <w:highlight w:val="white"/>
        </w:rPr>
        <w:t xml:space="preserve"> </w:t>
      </w:r>
      <w:r w:rsidR="00B57FD7">
        <w:rPr>
          <w:highlight w:val="white"/>
        </w:rPr>
        <w:t>However, this event created the impression of a</w:t>
      </w:r>
      <w:r w:rsidR="008406AC">
        <w:rPr>
          <w:highlight w:val="white"/>
        </w:rPr>
        <w:t xml:space="preserve"> </w:t>
      </w:r>
      <w:r w:rsidR="00B57FD7">
        <w:rPr>
          <w:highlight w:val="white"/>
        </w:rPr>
        <w:t>“</w:t>
      </w:r>
      <w:r w:rsidR="008406AC">
        <w:rPr>
          <w:highlight w:val="white"/>
        </w:rPr>
        <w:t>need to safeguard via the Prevent duty in schools</w:t>
      </w:r>
      <w:r w:rsidR="00B57FD7">
        <w:rPr>
          <w:highlight w:val="white"/>
        </w:rPr>
        <w:t>”. It was this event that shoehorned the Prevent Duty into education so that the notion of counter-extremism policing in schools was</w:t>
      </w:r>
      <w:r w:rsidR="008406AC">
        <w:rPr>
          <w:highlight w:val="white"/>
        </w:rPr>
        <w:t xml:space="preserve"> readily accepted.</w:t>
      </w:r>
    </w:p>
    <w:p w14:paraId="004B255E" w14:textId="4DFAA221" w:rsidR="009A1583" w:rsidRPr="002B151A" w:rsidRDefault="00A3305B" w:rsidP="00777156">
      <w:pPr>
        <w:pStyle w:val="Heading2"/>
        <w:rPr>
          <w:highlight w:val="white"/>
        </w:rPr>
      </w:pPr>
      <w:r w:rsidRPr="002B151A">
        <w:rPr>
          <w:highlight w:val="white"/>
        </w:rPr>
        <w:t xml:space="preserve">Every </w:t>
      </w:r>
      <w:proofErr w:type="spellStart"/>
      <w:r w:rsidRPr="002B151A">
        <w:rPr>
          <w:highlight w:val="white"/>
        </w:rPr>
        <w:t>organisation</w:t>
      </w:r>
      <w:proofErr w:type="spellEnd"/>
      <w:r w:rsidRPr="002B151A">
        <w:rPr>
          <w:highlight w:val="white"/>
        </w:rPr>
        <w:t xml:space="preserve"> that involves work with children </w:t>
      </w:r>
      <w:r w:rsidR="008406AC">
        <w:rPr>
          <w:highlight w:val="white"/>
        </w:rPr>
        <w:t>should</w:t>
      </w:r>
      <w:r w:rsidR="00F66467" w:rsidRPr="002B151A">
        <w:rPr>
          <w:highlight w:val="white"/>
        </w:rPr>
        <w:t xml:space="preserve">, by its nature, </w:t>
      </w:r>
      <w:r w:rsidRPr="002B151A">
        <w:rPr>
          <w:highlight w:val="white"/>
        </w:rPr>
        <w:t>have a safeguarding policy and procedure</w:t>
      </w:r>
      <w:r w:rsidR="00351313" w:rsidRPr="002B151A">
        <w:rPr>
          <w:highlight w:val="white"/>
        </w:rPr>
        <w:t>.</w:t>
      </w:r>
      <w:r w:rsidR="00856618">
        <w:rPr>
          <w:highlight w:val="white"/>
        </w:rPr>
        <w:t xml:space="preserve"> The Prevent duty has been firmly embedded into these safeguarding policies.</w:t>
      </w:r>
      <w:r w:rsidRPr="002B151A">
        <w:rPr>
          <w:highlight w:val="white"/>
        </w:rPr>
        <w:t xml:space="preserve"> </w:t>
      </w:r>
      <w:r w:rsidR="00351313" w:rsidRPr="002B151A">
        <w:rPr>
          <w:highlight w:val="white"/>
        </w:rPr>
        <w:t>T</w:t>
      </w:r>
      <w:r w:rsidRPr="002B151A">
        <w:rPr>
          <w:highlight w:val="white"/>
        </w:rPr>
        <w:t xml:space="preserve">he </w:t>
      </w:r>
      <w:r w:rsidR="00BE447D">
        <w:rPr>
          <w:highlight w:val="white"/>
        </w:rPr>
        <w:t>positioning</w:t>
      </w:r>
      <w:r w:rsidRPr="002B151A">
        <w:rPr>
          <w:highlight w:val="white"/>
        </w:rPr>
        <w:t xml:space="preserve"> of Prevent </w:t>
      </w:r>
      <w:r w:rsidR="00351313" w:rsidRPr="002B151A">
        <w:rPr>
          <w:highlight w:val="white"/>
        </w:rPr>
        <w:t>as part of</w:t>
      </w:r>
      <w:r w:rsidR="00BE447D">
        <w:rPr>
          <w:highlight w:val="white"/>
        </w:rPr>
        <w:t xml:space="preserve"> a</w:t>
      </w:r>
      <w:r w:rsidR="00351313" w:rsidRPr="002B151A">
        <w:rPr>
          <w:highlight w:val="white"/>
        </w:rPr>
        <w:t xml:space="preserve"> </w:t>
      </w:r>
      <w:r w:rsidRPr="002B151A">
        <w:rPr>
          <w:highlight w:val="white"/>
        </w:rPr>
        <w:t xml:space="preserve">safeguarding </w:t>
      </w:r>
      <w:r w:rsidR="00351313" w:rsidRPr="002B151A">
        <w:rPr>
          <w:highlight w:val="white"/>
        </w:rPr>
        <w:t xml:space="preserve">policy, </w:t>
      </w:r>
      <w:r w:rsidRPr="002B151A">
        <w:rPr>
          <w:highlight w:val="white"/>
        </w:rPr>
        <w:t xml:space="preserve">means that every </w:t>
      </w:r>
      <w:r w:rsidR="00351313" w:rsidRPr="002B151A">
        <w:rPr>
          <w:highlight w:val="white"/>
        </w:rPr>
        <w:t xml:space="preserve">sector that </w:t>
      </w:r>
      <w:r w:rsidR="005208AC">
        <w:rPr>
          <w:highlight w:val="white"/>
        </w:rPr>
        <w:t>deals</w:t>
      </w:r>
      <w:r w:rsidRPr="002B151A">
        <w:rPr>
          <w:highlight w:val="white"/>
        </w:rPr>
        <w:t xml:space="preserve"> </w:t>
      </w:r>
      <w:r w:rsidR="00351313" w:rsidRPr="002B151A">
        <w:rPr>
          <w:highlight w:val="white"/>
        </w:rPr>
        <w:t xml:space="preserve">with </w:t>
      </w:r>
      <w:r w:rsidRPr="002B151A">
        <w:rPr>
          <w:highlight w:val="white"/>
        </w:rPr>
        <w:t xml:space="preserve">children will </w:t>
      </w:r>
      <w:r w:rsidR="00EC345B">
        <w:rPr>
          <w:highlight w:val="white"/>
        </w:rPr>
        <w:t>involve someone who is</w:t>
      </w:r>
      <w:r w:rsidR="00351313" w:rsidRPr="002B151A">
        <w:rPr>
          <w:highlight w:val="white"/>
        </w:rPr>
        <w:t xml:space="preserve"> </w:t>
      </w:r>
      <w:r w:rsidR="00C31B6B">
        <w:rPr>
          <w:highlight w:val="white"/>
        </w:rPr>
        <w:t>trained in safeguarding</w:t>
      </w:r>
      <w:r w:rsidR="00B57FD7">
        <w:rPr>
          <w:highlight w:val="white"/>
        </w:rPr>
        <w:t>. T</w:t>
      </w:r>
      <w:r w:rsidR="00C31B6B">
        <w:rPr>
          <w:highlight w:val="white"/>
        </w:rPr>
        <w:t xml:space="preserve">he </w:t>
      </w:r>
      <w:proofErr w:type="spellStart"/>
      <w:r w:rsidR="00C31B6B">
        <w:rPr>
          <w:highlight w:val="white"/>
        </w:rPr>
        <w:t>normalisation</w:t>
      </w:r>
      <w:proofErr w:type="spellEnd"/>
      <w:r w:rsidR="00C31B6B">
        <w:rPr>
          <w:highlight w:val="white"/>
        </w:rPr>
        <w:t xml:space="preserve"> of Prevent within safeguarding has</w:t>
      </w:r>
      <w:r w:rsidR="00B57FD7">
        <w:rPr>
          <w:highlight w:val="white"/>
        </w:rPr>
        <w:t xml:space="preserve"> taken place, and even</w:t>
      </w:r>
      <w:r w:rsidR="00C31B6B">
        <w:rPr>
          <w:highlight w:val="white"/>
        </w:rPr>
        <w:t xml:space="preserve"> </w:t>
      </w:r>
      <w:r w:rsidR="005477DF">
        <w:rPr>
          <w:highlight w:val="white"/>
        </w:rPr>
        <w:t xml:space="preserve">professionals who are not under a legal duty to report to Prevent, </w:t>
      </w:r>
      <w:r w:rsidR="00B57FD7">
        <w:rPr>
          <w:highlight w:val="white"/>
        </w:rPr>
        <w:t xml:space="preserve">are </w:t>
      </w:r>
      <w:r w:rsidR="005477DF">
        <w:rPr>
          <w:highlight w:val="white"/>
        </w:rPr>
        <w:t>thinking and acting</w:t>
      </w:r>
      <w:r w:rsidR="00B57FD7">
        <w:rPr>
          <w:highlight w:val="white"/>
        </w:rPr>
        <w:t xml:space="preserve"> with children</w:t>
      </w:r>
      <w:r w:rsidR="005477DF">
        <w:rPr>
          <w:highlight w:val="white"/>
        </w:rPr>
        <w:t xml:space="preserve"> according to the definitions of extremism as outlined in the Prevent </w:t>
      </w:r>
      <w:r w:rsidR="00B57FD7">
        <w:rPr>
          <w:highlight w:val="white"/>
        </w:rPr>
        <w:t>Duty</w:t>
      </w:r>
      <w:r w:rsidR="005477DF">
        <w:rPr>
          <w:highlight w:val="white"/>
        </w:rPr>
        <w:t xml:space="preserve">. </w:t>
      </w:r>
    </w:p>
    <w:p w14:paraId="197E8087" w14:textId="77777777" w:rsidR="000776A7" w:rsidRDefault="006868E5" w:rsidP="000776A7">
      <w:pPr>
        <w:pStyle w:val="Heading2"/>
        <w:rPr>
          <w:highlight w:val="white"/>
        </w:rPr>
      </w:pPr>
      <w:r>
        <w:rPr>
          <w:highlight w:val="white"/>
        </w:rPr>
        <w:t xml:space="preserve">The result is that </w:t>
      </w:r>
      <w:r w:rsidR="00444197" w:rsidRPr="002B151A">
        <w:rPr>
          <w:highlight w:val="white"/>
        </w:rPr>
        <w:t>Prevent</w:t>
      </w:r>
      <w:r w:rsidR="00F66467" w:rsidRPr="002B151A">
        <w:rPr>
          <w:highlight w:val="white"/>
        </w:rPr>
        <w:t xml:space="preserve"> </w:t>
      </w:r>
      <w:r>
        <w:rPr>
          <w:highlight w:val="white"/>
        </w:rPr>
        <w:t>acts</w:t>
      </w:r>
      <w:r w:rsidR="00F66467" w:rsidRPr="002B151A">
        <w:rPr>
          <w:highlight w:val="white"/>
        </w:rPr>
        <w:t xml:space="preserve"> a</w:t>
      </w:r>
      <w:r>
        <w:rPr>
          <w:highlight w:val="white"/>
        </w:rPr>
        <w:t>s</w:t>
      </w:r>
      <w:r w:rsidR="00F66467" w:rsidRPr="002B151A">
        <w:rPr>
          <w:highlight w:val="white"/>
        </w:rPr>
        <w:t xml:space="preserve"> </w:t>
      </w:r>
      <w:r>
        <w:rPr>
          <w:highlight w:val="white"/>
        </w:rPr>
        <w:t xml:space="preserve">both </w:t>
      </w:r>
      <w:r w:rsidR="00F66467" w:rsidRPr="002B151A">
        <w:rPr>
          <w:highlight w:val="white"/>
        </w:rPr>
        <w:t xml:space="preserve">counterterrorism referral mechanism and, </w:t>
      </w:r>
      <w:r w:rsidR="00444197" w:rsidRPr="002B151A">
        <w:rPr>
          <w:highlight w:val="white"/>
        </w:rPr>
        <w:t>simultaneously</w:t>
      </w:r>
      <w:r w:rsidR="00F66467" w:rsidRPr="002B151A">
        <w:rPr>
          <w:highlight w:val="white"/>
        </w:rPr>
        <w:t>, a</w:t>
      </w:r>
      <w:r w:rsidR="00444197" w:rsidRPr="002B151A">
        <w:rPr>
          <w:highlight w:val="white"/>
        </w:rPr>
        <w:t xml:space="preserve"> “safeguarding”</w:t>
      </w:r>
      <w:r w:rsidR="00F66467" w:rsidRPr="002B151A">
        <w:rPr>
          <w:highlight w:val="white"/>
        </w:rPr>
        <w:t xml:space="preserve"> measure.</w:t>
      </w:r>
      <w:r w:rsidR="00444197" w:rsidRPr="002B151A">
        <w:rPr>
          <w:highlight w:val="white"/>
        </w:rPr>
        <w:t xml:space="preserve"> </w:t>
      </w:r>
      <w:r w:rsidR="00F66467" w:rsidRPr="002B151A">
        <w:rPr>
          <w:highlight w:val="white"/>
        </w:rPr>
        <w:t>T</w:t>
      </w:r>
      <w:r w:rsidR="00444197" w:rsidRPr="002B151A">
        <w:rPr>
          <w:highlight w:val="white"/>
        </w:rPr>
        <w:t xml:space="preserve">his has resulted in </w:t>
      </w:r>
      <w:r w:rsidR="004C5FDE" w:rsidRPr="002B151A">
        <w:rPr>
          <w:highlight w:val="white"/>
        </w:rPr>
        <w:t xml:space="preserve">the blending </w:t>
      </w:r>
      <w:r w:rsidR="00444197" w:rsidRPr="002B151A">
        <w:rPr>
          <w:highlight w:val="white"/>
        </w:rPr>
        <w:t xml:space="preserve">of national security </w:t>
      </w:r>
      <w:r w:rsidR="004C5FDE" w:rsidRPr="002B151A">
        <w:rPr>
          <w:highlight w:val="white"/>
        </w:rPr>
        <w:t>aims with</w:t>
      </w:r>
      <w:r w:rsidR="00444197" w:rsidRPr="002B151A">
        <w:rPr>
          <w:highlight w:val="white"/>
        </w:rPr>
        <w:t xml:space="preserve"> the role of social </w:t>
      </w:r>
      <w:r w:rsidR="004C5FDE" w:rsidRPr="002B151A">
        <w:rPr>
          <w:highlight w:val="white"/>
        </w:rPr>
        <w:t>workers</w:t>
      </w:r>
      <w:r>
        <w:rPr>
          <w:highlight w:val="white"/>
        </w:rPr>
        <w:t xml:space="preserve">, medical </w:t>
      </w:r>
      <w:proofErr w:type="gramStart"/>
      <w:r>
        <w:rPr>
          <w:highlight w:val="white"/>
        </w:rPr>
        <w:t>staff</w:t>
      </w:r>
      <w:proofErr w:type="gramEnd"/>
      <w:r w:rsidR="00444197" w:rsidRPr="002B151A">
        <w:rPr>
          <w:highlight w:val="white"/>
        </w:rPr>
        <w:t xml:space="preserve"> and teachers</w:t>
      </w:r>
      <w:r w:rsidR="004C5FDE" w:rsidRPr="002B151A">
        <w:rPr>
          <w:highlight w:val="white"/>
        </w:rPr>
        <w:t>. Much has been written on the deleterious effect of this on the trust that is at the core of public services</w:t>
      </w:r>
      <w:r>
        <w:rPr>
          <w:rStyle w:val="FootnoteReference"/>
          <w:color w:val="222222"/>
          <w:szCs w:val="24"/>
          <w:highlight w:val="white"/>
        </w:rPr>
        <w:footnoteReference w:id="11"/>
      </w:r>
      <w:r w:rsidR="004C5FDE" w:rsidRPr="002B151A">
        <w:rPr>
          <w:highlight w:val="white"/>
        </w:rPr>
        <w:t xml:space="preserve">. </w:t>
      </w:r>
    </w:p>
    <w:p w14:paraId="4E3F0A14" w14:textId="48950F73" w:rsidR="00BE6ADE" w:rsidRPr="000776A7" w:rsidRDefault="00F66467" w:rsidP="000776A7">
      <w:pPr>
        <w:pStyle w:val="Heading2"/>
        <w:rPr>
          <w:highlight w:val="white"/>
        </w:rPr>
      </w:pPr>
      <w:r w:rsidRPr="000776A7">
        <w:rPr>
          <w:highlight w:val="white"/>
        </w:rPr>
        <w:lastRenderedPageBreak/>
        <w:t>W</w:t>
      </w:r>
      <w:r w:rsidR="004C5FDE" w:rsidRPr="000776A7">
        <w:rPr>
          <w:highlight w:val="white"/>
        </w:rPr>
        <w:t xml:space="preserve">e </w:t>
      </w:r>
      <w:r w:rsidR="009058FC" w:rsidRPr="000776A7">
        <w:rPr>
          <w:highlight w:val="white"/>
        </w:rPr>
        <w:t xml:space="preserve">also </w:t>
      </w:r>
      <w:r w:rsidR="004C5FDE" w:rsidRPr="000776A7">
        <w:rPr>
          <w:highlight w:val="white"/>
        </w:rPr>
        <w:t xml:space="preserve">contend that </w:t>
      </w:r>
      <w:r w:rsidR="009058FC" w:rsidRPr="000776A7">
        <w:rPr>
          <w:highlight w:val="white"/>
        </w:rPr>
        <w:t xml:space="preserve">the way in which children referred through the Prevent strategy are questioned </w:t>
      </w:r>
      <w:r w:rsidR="001E495B" w:rsidRPr="000776A7">
        <w:rPr>
          <w:highlight w:val="white"/>
        </w:rPr>
        <w:t>is</w:t>
      </w:r>
      <w:r w:rsidR="00F43E8A" w:rsidRPr="000776A7">
        <w:rPr>
          <w:highlight w:val="white"/>
        </w:rPr>
        <w:t xml:space="preserve"> frighteningly</w:t>
      </w:r>
      <w:r w:rsidR="001E495B" w:rsidRPr="000776A7">
        <w:rPr>
          <w:highlight w:val="white"/>
        </w:rPr>
        <w:t xml:space="preserve"> inconsistent with how children are questioned </w:t>
      </w:r>
      <w:r w:rsidR="001D09B7" w:rsidRPr="000776A7">
        <w:rPr>
          <w:highlight w:val="white"/>
        </w:rPr>
        <w:t>i</w:t>
      </w:r>
      <w:r w:rsidR="00AE4C62" w:rsidRPr="000776A7">
        <w:rPr>
          <w:highlight w:val="white"/>
        </w:rPr>
        <w:t>f they had committed a crime</w:t>
      </w:r>
      <w:r w:rsidR="00F43E8A" w:rsidRPr="000776A7">
        <w:rPr>
          <w:highlight w:val="white"/>
        </w:rPr>
        <w:t>,</w:t>
      </w:r>
      <w:r w:rsidR="0061645E" w:rsidRPr="000776A7">
        <w:rPr>
          <w:highlight w:val="white"/>
        </w:rPr>
        <w:t xml:space="preserve"> since a Prevent “interview”</w:t>
      </w:r>
      <w:r w:rsidR="00F43E8A" w:rsidRPr="000776A7">
        <w:rPr>
          <w:highlight w:val="white"/>
        </w:rPr>
        <w:t xml:space="preserve"> </w:t>
      </w:r>
      <w:r w:rsidR="0061645E" w:rsidRPr="000776A7">
        <w:rPr>
          <w:highlight w:val="white"/>
        </w:rPr>
        <w:t xml:space="preserve">lacks </w:t>
      </w:r>
      <w:r w:rsidR="00F43E8A" w:rsidRPr="000776A7">
        <w:rPr>
          <w:highlight w:val="white"/>
        </w:rPr>
        <w:t>the usual safeguards</w:t>
      </w:r>
      <w:r w:rsidR="0018221D" w:rsidRPr="000776A7">
        <w:rPr>
          <w:highlight w:val="white"/>
        </w:rPr>
        <w:t xml:space="preserve"> as </w:t>
      </w:r>
      <w:r w:rsidR="002F2AF8" w:rsidRPr="000776A7">
        <w:rPr>
          <w:highlight w:val="white"/>
        </w:rPr>
        <w:t>ordained under PACE 1984</w:t>
      </w:r>
      <w:r w:rsidRPr="000776A7">
        <w:rPr>
          <w:highlight w:val="white"/>
        </w:rPr>
        <w:t xml:space="preserve">. </w:t>
      </w:r>
      <w:r w:rsidR="00BE6ADE" w:rsidRPr="000776A7">
        <w:rPr>
          <w:highlight w:val="white"/>
        </w:rPr>
        <w:t xml:space="preserve">Under the Prevent </w:t>
      </w:r>
      <w:proofErr w:type="spellStart"/>
      <w:r w:rsidR="00BE6ADE" w:rsidRPr="000776A7">
        <w:rPr>
          <w:highlight w:val="white"/>
        </w:rPr>
        <w:t>programme</w:t>
      </w:r>
      <w:proofErr w:type="spellEnd"/>
      <w:r w:rsidR="00BE6ADE" w:rsidRPr="000776A7">
        <w:rPr>
          <w:highlight w:val="white"/>
        </w:rPr>
        <w:t>, a</w:t>
      </w:r>
      <w:r w:rsidR="001D09B7" w:rsidRPr="000776A7">
        <w:rPr>
          <w:highlight w:val="white"/>
        </w:rPr>
        <w:t xml:space="preserve"> </w:t>
      </w:r>
      <w:r w:rsidR="004C5FDE" w:rsidRPr="000776A7">
        <w:rPr>
          <w:highlight w:val="white"/>
        </w:rPr>
        <w:t xml:space="preserve">child </w:t>
      </w:r>
      <w:r w:rsidR="00BE6ADE" w:rsidRPr="000776A7">
        <w:rPr>
          <w:highlight w:val="white"/>
        </w:rPr>
        <w:t xml:space="preserve">who has been referred to an authority </w:t>
      </w:r>
      <w:r w:rsidR="004C5FDE" w:rsidRPr="000776A7">
        <w:rPr>
          <w:highlight w:val="white"/>
        </w:rPr>
        <w:t>may be questioned by counter-terrorism police</w:t>
      </w:r>
      <w:r w:rsidR="00BE6ADE" w:rsidRPr="000776A7">
        <w:rPr>
          <w:highlight w:val="white"/>
        </w:rPr>
        <w:t xml:space="preserve"> </w:t>
      </w:r>
      <w:r w:rsidR="00C04EB7" w:rsidRPr="000776A7">
        <w:rPr>
          <w:highlight w:val="white"/>
        </w:rPr>
        <w:t>without a</w:t>
      </w:r>
      <w:r w:rsidR="004C5FDE" w:rsidRPr="000776A7">
        <w:rPr>
          <w:highlight w:val="white"/>
        </w:rPr>
        <w:t xml:space="preserve"> responsible parent or guardian present</w:t>
      </w:r>
      <w:r w:rsidR="0053010F" w:rsidRPr="000776A7">
        <w:rPr>
          <w:highlight w:val="white"/>
        </w:rPr>
        <w:t xml:space="preserve">. </w:t>
      </w:r>
      <w:r w:rsidR="003E16E4" w:rsidRPr="000776A7">
        <w:rPr>
          <w:highlight w:val="white"/>
        </w:rPr>
        <w:t xml:space="preserve">According to </w:t>
      </w:r>
      <w:r w:rsidR="00AE4C62" w:rsidRPr="000776A7">
        <w:rPr>
          <w:highlight w:val="white"/>
        </w:rPr>
        <w:t>the police</w:t>
      </w:r>
      <w:r w:rsidR="003E16E4" w:rsidRPr="000776A7">
        <w:rPr>
          <w:highlight w:val="white"/>
        </w:rPr>
        <w:t xml:space="preserve">, this is because </w:t>
      </w:r>
      <w:r w:rsidR="00BE6ADE" w:rsidRPr="000776A7">
        <w:rPr>
          <w:highlight w:val="white"/>
        </w:rPr>
        <w:t xml:space="preserve">the children are not subject to a criminal investigation and </w:t>
      </w:r>
      <w:r w:rsidR="003E16E4" w:rsidRPr="000776A7">
        <w:rPr>
          <w:highlight w:val="white"/>
        </w:rPr>
        <w:t xml:space="preserve">are </w:t>
      </w:r>
      <w:r w:rsidR="00BE6ADE" w:rsidRPr="000776A7">
        <w:rPr>
          <w:highlight w:val="white"/>
        </w:rPr>
        <w:t>therefore owed none of the protection afforded to suspects of crimes</w:t>
      </w:r>
      <w:r w:rsidR="0061645E">
        <w:rPr>
          <w:rStyle w:val="FootnoteReference"/>
          <w:color w:val="222222"/>
          <w:szCs w:val="24"/>
          <w:highlight w:val="white"/>
        </w:rPr>
        <w:footnoteReference w:id="12"/>
      </w:r>
      <w:r w:rsidR="00BE6ADE" w:rsidRPr="000776A7">
        <w:rPr>
          <w:highlight w:val="white"/>
        </w:rPr>
        <w:t xml:space="preserve">. We submit that the harsher standard of investigation to which children referred under Prevent are subjected </w:t>
      </w:r>
      <w:r w:rsidR="003E16E4" w:rsidRPr="000776A7">
        <w:rPr>
          <w:highlight w:val="white"/>
        </w:rPr>
        <w:t xml:space="preserve">– and which we explain fully below – </w:t>
      </w:r>
      <w:r w:rsidR="00BE6ADE" w:rsidRPr="000776A7">
        <w:rPr>
          <w:highlight w:val="white"/>
        </w:rPr>
        <w:t xml:space="preserve">is wholly inappropriate given their age, </w:t>
      </w:r>
      <w:proofErr w:type="gramStart"/>
      <w:r w:rsidR="00BE6ADE" w:rsidRPr="000776A7">
        <w:rPr>
          <w:highlight w:val="white"/>
        </w:rPr>
        <w:t>vulnerability</w:t>
      </w:r>
      <w:proofErr w:type="gramEnd"/>
      <w:r w:rsidR="00BE6ADE" w:rsidRPr="000776A7">
        <w:rPr>
          <w:highlight w:val="white"/>
        </w:rPr>
        <w:t xml:space="preserve"> and the lack of association with any crime.  </w:t>
      </w:r>
    </w:p>
    <w:p w14:paraId="24C984D1" w14:textId="257AA352" w:rsidR="0053010F" w:rsidRDefault="0061645E" w:rsidP="00777156">
      <w:pPr>
        <w:pStyle w:val="Heading2"/>
        <w:rPr>
          <w:highlight w:val="white"/>
        </w:rPr>
      </w:pPr>
      <w:r>
        <w:rPr>
          <w:highlight w:val="white"/>
        </w:rPr>
        <w:t xml:space="preserve">Not only this, </w:t>
      </w:r>
      <w:proofErr w:type="gramStart"/>
      <w:r>
        <w:rPr>
          <w:highlight w:val="white"/>
        </w:rPr>
        <w:t>t</w:t>
      </w:r>
      <w:r w:rsidRPr="002B151A">
        <w:rPr>
          <w:highlight w:val="white"/>
        </w:rPr>
        <w:t xml:space="preserve">he </w:t>
      </w:r>
      <w:r w:rsidR="0053010F" w:rsidRPr="002B151A">
        <w:rPr>
          <w:highlight w:val="white"/>
        </w:rPr>
        <w:t>children in these cases have</w:t>
      </w:r>
      <w:proofErr w:type="gramEnd"/>
      <w:r w:rsidR="0053010F" w:rsidRPr="002B151A">
        <w:rPr>
          <w:highlight w:val="white"/>
        </w:rPr>
        <w:t xml:space="preserve"> been</w:t>
      </w:r>
      <w:r w:rsidR="004C5FDE" w:rsidRPr="002B151A">
        <w:rPr>
          <w:highlight w:val="white"/>
        </w:rPr>
        <w:t xml:space="preserve"> asked leading questions</w:t>
      </w:r>
      <w:r>
        <w:rPr>
          <w:highlight w:val="white"/>
        </w:rPr>
        <w:t xml:space="preserve"> in order to produce heightened anxiety around normative religious belief and practices,</w:t>
      </w:r>
      <w:r w:rsidR="004C5FDE" w:rsidRPr="002B151A">
        <w:rPr>
          <w:highlight w:val="white"/>
        </w:rPr>
        <w:t xml:space="preserve"> </w:t>
      </w:r>
      <w:r w:rsidR="0053010F" w:rsidRPr="002B151A">
        <w:rPr>
          <w:highlight w:val="white"/>
        </w:rPr>
        <w:t>and</w:t>
      </w:r>
      <w:r>
        <w:rPr>
          <w:highlight w:val="white"/>
        </w:rPr>
        <w:t xml:space="preserve"> some have</w:t>
      </w:r>
      <w:r w:rsidR="0053010F" w:rsidRPr="002B151A">
        <w:rPr>
          <w:highlight w:val="white"/>
        </w:rPr>
        <w:t xml:space="preserve"> been</w:t>
      </w:r>
      <w:r w:rsidR="004C5FDE" w:rsidRPr="002B151A">
        <w:rPr>
          <w:highlight w:val="white"/>
        </w:rPr>
        <w:t xml:space="preserve"> intimidated </w:t>
      </w:r>
      <w:r w:rsidR="00AE6FE4" w:rsidRPr="002B151A">
        <w:rPr>
          <w:highlight w:val="white"/>
        </w:rPr>
        <w:t xml:space="preserve">and </w:t>
      </w:r>
      <w:proofErr w:type="spellStart"/>
      <w:r w:rsidR="00AE6FE4" w:rsidRPr="002B151A">
        <w:rPr>
          <w:highlight w:val="white"/>
        </w:rPr>
        <w:t>traumatised</w:t>
      </w:r>
      <w:proofErr w:type="spellEnd"/>
      <w:r w:rsidR="00AE6FE4" w:rsidRPr="002B151A">
        <w:rPr>
          <w:highlight w:val="white"/>
        </w:rPr>
        <w:t xml:space="preserve"> </w:t>
      </w:r>
      <w:r w:rsidR="004C5FDE" w:rsidRPr="002B151A">
        <w:rPr>
          <w:highlight w:val="white"/>
        </w:rPr>
        <w:t>by the process itself</w:t>
      </w:r>
      <w:r>
        <w:rPr>
          <w:rStyle w:val="FootnoteReference"/>
          <w:color w:val="222222"/>
          <w:szCs w:val="24"/>
          <w:highlight w:val="white"/>
        </w:rPr>
        <w:footnoteReference w:id="13"/>
      </w:r>
      <w:r w:rsidR="004C5FDE" w:rsidRPr="002B151A">
        <w:rPr>
          <w:highlight w:val="white"/>
        </w:rPr>
        <w:t>.</w:t>
      </w:r>
      <w:r w:rsidR="000123D9" w:rsidRPr="002B151A">
        <w:rPr>
          <w:highlight w:val="white"/>
        </w:rPr>
        <w:t xml:space="preserve"> </w:t>
      </w:r>
      <w:r w:rsidR="0019265A" w:rsidRPr="002B151A">
        <w:rPr>
          <w:highlight w:val="white"/>
        </w:rPr>
        <w:t>A</w:t>
      </w:r>
      <w:r w:rsidR="006E4A45">
        <w:rPr>
          <w:highlight w:val="white"/>
        </w:rPr>
        <w:t>s explained above, a</w:t>
      </w:r>
      <w:r w:rsidR="0019265A" w:rsidRPr="002B151A">
        <w:rPr>
          <w:highlight w:val="white"/>
        </w:rPr>
        <w:t>n essential feature of Prevent referrals is that they are made</w:t>
      </w:r>
      <w:r w:rsidR="006E4A45">
        <w:rPr>
          <w:highlight w:val="white"/>
        </w:rPr>
        <w:t xml:space="preserve"> at the "pre-crime" stage</w:t>
      </w:r>
      <w:r w:rsidR="0019265A" w:rsidRPr="002B151A">
        <w:rPr>
          <w:highlight w:val="white"/>
        </w:rPr>
        <w:t xml:space="preserve"> when no offence has been committed, and no intention to commit an offence has been formed. </w:t>
      </w:r>
    </w:p>
    <w:p w14:paraId="7CEF90B4" w14:textId="726F583C" w:rsidR="0061645E" w:rsidRDefault="001B7426" w:rsidP="00777156">
      <w:pPr>
        <w:pStyle w:val="Heading2"/>
        <w:rPr>
          <w:highlight w:val="white"/>
        </w:rPr>
      </w:pPr>
      <w:r>
        <w:rPr>
          <w:highlight w:val="white"/>
        </w:rPr>
        <w:t xml:space="preserve">In 2019, after a decade of concerns raised around Prevent by academics and </w:t>
      </w:r>
      <w:r w:rsidR="0061645E">
        <w:rPr>
          <w:highlight w:val="white"/>
        </w:rPr>
        <w:t>civil society groups</w:t>
      </w:r>
      <w:r>
        <w:rPr>
          <w:highlight w:val="white"/>
        </w:rPr>
        <w:t>, the government conceded to an Independent Review of Prevent. However, the terms of reference and</w:t>
      </w:r>
      <w:r w:rsidR="0061645E">
        <w:rPr>
          <w:highlight w:val="white"/>
        </w:rPr>
        <w:t xml:space="preserve"> the individuals chosen to lead the</w:t>
      </w:r>
      <w:r>
        <w:rPr>
          <w:highlight w:val="white"/>
        </w:rPr>
        <w:t xml:space="preserve"> </w:t>
      </w:r>
      <w:r w:rsidR="0061645E">
        <w:rPr>
          <w:highlight w:val="white"/>
        </w:rPr>
        <w:t xml:space="preserve">reviews </w:t>
      </w:r>
      <w:r>
        <w:rPr>
          <w:highlight w:val="white"/>
        </w:rPr>
        <w:t>were not deemed by civil society as truly independent</w:t>
      </w:r>
      <w:r w:rsidR="0061645E">
        <w:rPr>
          <w:highlight w:val="white"/>
        </w:rPr>
        <w:t xml:space="preserve">. </w:t>
      </w:r>
      <w:proofErr w:type="gramStart"/>
      <w:r w:rsidR="0061645E">
        <w:rPr>
          <w:highlight w:val="white"/>
        </w:rPr>
        <w:t>T</w:t>
      </w:r>
      <w:r>
        <w:rPr>
          <w:highlight w:val="white"/>
        </w:rPr>
        <w:t xml:space="preserve">he first choice Lord </w:t>
      </w:r>
      <w:proofErr w:type="spellStart"/>
      <w:r>
        <w:rPr>
          <w:highlight w:val="white"/>
        </w:rPr>
        <w:t>Carlile</w:t>
      </w:r>
      <w:proofErr w:type="spellEnd"/>
      <w:r>
        <w:rPr>
          <w:highlight w:val="white"/>
        </w:rPr>
        <w:t>,</w:t>
      </w:r>
      <w:proofErr w:type="gramEnd"/>
      <w:r>
        <w:rPr>
          <w:highlight w:val="white"/>
        </w:rPr>
        <w:t xml:space="preserve"> was bias</w:t>
      </w:r>
      <w:r w:rsidR="0061645E">
        <w:rPr>
          <w:highlight w:val="white"/>
        </w:rPr>
        <w:t>ed</w:t>
      </w:r>
      <w:r>
        <w:rPr>
          <w:highlight w:val="white"/>
        </w:rPr>
        <w:t xml:space="preserve"> due to his involvement in </w:t>
      </w:r>
      <w:r w:rsidR="0061645E">
        <w:rPr>
          <w:highlight w:val="white"/>
        </w:rPr>
        <w:t xml:space="preserve">revisions made to </w:t>
      </w:r>
      <w:r>
        <w:rPr>
          <w:highlight w:val="white"/>
        </w:rPr>
        <w:t>Prevent in 2011</w:t>
      </w:r>
      <w:r w:rsidR="0061645E">
        <w:rPr>
          <w:highlight w:val="white"/>
        </w:rPr>
        <w:t xml:space="preserve">. </w:t>
      </w:r>
      <w:proofErr w:type="gramStart"/>
      <w:r w:rsidR="0061645E">
        <w:rPr>
          <w:highlight w:val="white"/>
        </w:rPr>
        <w:t>The second reviewer</w:t>
      </w:r>
      <w:r>
        <w:rPr>
          <w:highlight w:val="white"/>
        </w:rPr>
        <w:t xml:space="preserve"> William Shawcross,</w:t>
      </w:r>
      <w:proofErr w:type="gramEnd"/>
      <w:r>
        <w:rPr>
          <w:highlight w:val="white"/>
        </w:rPr>
        <w:t xml:space="preserve"> is known for his </w:t>
      </w:r>
      <w:r w:rsidR="0061645E">
        <w:rPr>
          <w:highlight w:val="white"/>
        </w:rPr>
        <w:t xml:space="preserve">anti-Muslim sentiment and public </w:t>
      </w:r>
      <w:r>
        <w:rPr>
          <w:highlight w:val="white"/>
        </w:rPr>
        <w:t>comments</w:t>
      </w:r>
      <w:r w:rsidR="0061645E">
        <w:rPr>
          <w:highlight w:val="white"/>
        </w:rPr>
        <w:t xml:space="preserve"> against Islam and Muslims in Europe</w:t>
      </w:r>
      <w:r w:rsidR="0061645E">
        <w:rPr>
          <w:rStyle w:val="FootnoteReference"/>
          <w:color w:val="222222"/>
          <w:szCs w:val="24"/>
          <w:highlight w:val="white"/>
        </w:rPr>
        <w:footnoteReference w:id="14"/>
      </w:r>
      <w:r>
        <w:rPr>
          <w:highlight w:val="white"/>
        </w:rPr>
        <w:t>.</w:t>
      </w:r>
      <w:r w:rsidR="0061645E">
        <w:rPr>
          <w:highlight w:val="white"/>
        </w:rPr>
        <w:t xml:space="preserve"> As a result, the review was boycotted by over 600 civil society groups including Amnesty, </w:t>
      </w:r>
      <w:r w:rsidR="00DA0B5E">
        <w:rPr>
          <w:highlight w:val="white"/>
        </w:rPr>
        <w:t>Runnymede</w:t>
      </w:r>
      <w:r w:rsidR="0061645E">
        <w:rPr>
          <w:highlight w:val="white"/>
        </w:rPr>
        <w:t xml:space="preserve"> and </w:t>
      </w:r>
      <w:r w:rsidR="00DA0B5E">
        <w:rPr>
          <w:highlight w:val="white"/>
        </w:rPr>
        <w:t>CRIN</w:t>
      </w:r>
      <w:r w:rsidR="0061645E">
        <w:rPr>
          <w:highlight w:val="white"/>
        </w:rPr>
        <w:t xml:space="preserve">. </w:t>
      </w:r>
      <w:r w:rsidR="0004681C">
        <w:rPr>
          <w:highlight w:val="white"/>
        </w:rPr>
        <w:t>We took this opportunity to jointly produce the People’s Review of Prevent ("</w:t>
      </w:r>
      <w:r w:rsidR="0004681C" w:rsidRPr="00F97336">
        <w:rPr>
          <w:b/>
          <w:bCs/>
          <w:highlight w:val="white"/>
        </w:rPr>
        <w:t>PROP</w:t>
      </w:r>
      <w:r w:rsidR="0004681C">
        <w:rPr>
          <w:highlight w:val="white"/>
        </w:rPr>
        <w:t>")</w:t>
      </w:r>
      <w:r w:rsidR="0004681C">
        <w:rPr>
          <w:rStyle w:val="FootnoteReference"/>
          <w:color w:val="222222"/>
          <w:szCs w:val="24"/>
          <w:highlight w:val="white"/>
        </w:rPr>
        <w:footnoteReference w:id="15"/>
      </w:r>
      <w:r w:rsidR="0004681C">
        <w:rPr>
          <w:highlight w:val="white"/>
        </w:rPr>
        <w:t xml:space="preserve">, a report endorsed by the UN and several human rights organisations and based on 600 cases of individuals impacted by Prevent. </w:t>
      </w:r>
    </w:p>
    <w:p w14:paraId="64DE23F1" w14:textId="02F09BC5" w:rsidR="0004681C" w:rsidRDefault="0061645E" w:rsidP="00777156">
      <w:pPr>
        <w:pStyle w:val="Heading2"/>
        <w:rPr>
          <w:highlight w:val="white"/>
        </w:rPr>
      </w:pPr>
      <w:proofErr w:type="spellStart"/>
      <w:r>
        <w:rPr>
          <w:highlight w:val="white"/>
        </w:rPr>
        <w:t>Mr</w:t>
      </w:r>
      <w:proofErr w:type="spellEnd"/>
      <w:r>
        <w:rPr>
          <w:highlight w:val="white"/>
        </w:rPr>
        <w:t xml:space="preserve"> </w:t>
      </w:r>
      <w:proofErr w:type="spellStart"/>
      <w:r>
        <w:rPr>
          <w:highlight w:val="white"/>
        </w:rPr>
        <w:t>Shawcross</w:t>
      </w:r>
      <w:proofErr w:type="spellEnd"/>
      <w:r w:rsidR="001B7426">
        <w:rPr>
          <w:highlight w:val="white"/>
        </w:rPr>
        <w:t xml:space="preserve"> continued to do the review</w:t>
      </w:r>
      <w:r>
        <w:rPr>
          <w:highlight w:val="white"/>
        </w:rPr>
        <w:t xml:space="preserve"> and after a delay of almost two years, it</w:t>
      </w:r>
      <w:r w:rsidR="001B7426">
        <w:rPr>
          <w:highlight w:val="white"/>
        </w:rPr>
        <w:t xml:space="preserve"> was published in February 2023</w:t>
      </w:r>
      <w:r>
        <w:rPr>
          <w:highlight w:val="white"/>
        </w:rPr>
        <w:t xml:space="preserve"> with</w:t>
      </w:r>
      <w:r w:rsidR="001B7426">
        <w:rPr>
          <w:highlight w:val="white"/>
        </w:rPr>
        <w:t xml:space="preserve"> 34 recommendations which </w:t>
      </w:r>
      <w:r>
        <w:rPr>
          <w:highlight w:val="white"/>
        </w:rPr>
        <w:t>were readily</w:t>
      </w:r>
      <w:r w:rsidR="001B7426">
        <w:rPr>
          <w:highlight w:val="white"/>
        </w:rPr>
        <w:t xml:space="preserve"> accepted by the </w:t>
      </w:r>
      <w:r w:rsidR="00AD759B">
        <w:rPr>
          <w:highlight w:val="white"/>
        </w:rPr>
        <w:t>Home Secretary</w:t>
      </w:r>
      <w:r w:rsidR="006F24F0">
        <w:rPr>
          <w:highlight w:val="white"/>
        </w:rPr>
        <w:t xml:space="preserve"> despite serious flaws in </w:t>
      </w:r>
      <w:r>
        <w:rPr>
          <w:highlight w:val="white"/>
        </w:rPr>
        <w:t>his arguments and</w:t>
      </w:r>
      <w:r w:rsidR="006F24F0">
        <w:rPr>
          <w:highlight w:val="white"/>
        </w:rPr>
        <w:t xml:space="preserve"> evidence base</w:t>
      </w:r>
      <w:r>
        <w:rPr>
          <w:highlight w:val="white"/>
        </w:rPr>
        <w:t xml:space="preserve">, having taken from only </w:t>
      </w:r>
      <w:r w:rsidR="0004681C">
        <w:rPr>
          <w:highlight w:val="white"/>
        </w:rPr>
        <w:t xml:space="preserve">six Channel </w:t>
      </w:r>
      <w:r>
        <w:rPr>
          <w:highlight w:val="white"/>
        </w:rPr>
        <w:t>cases</w:t>
      </w:r>
      <w:r w:rsidR="0004681C">
        <w:rPr>
          <w:highlight w:val="white"/>
        </w:rPr>
        <w:t xml:space="preserve"> to reach his conclusions</w:t>
      </w:r>
      <w:r w:rsidR="0004681C">
        <w:rPr>
          <w:rStyle w:val="FootnoteReference"/>
          <w:color w:val="222222"/>
          <w:szCs w:val="24"/>
          <w:highlight w:val="white"/>
        </w:rPr>
        <w:footnoteReference w:id="16"/>
      </w:r>
      <w:r>
        <w:rPr>
          <w:highlight w:val="white"/>
        </w:rPr>
        <w:t xml:space="preserve">. </w:t>
      </w:r>
    </w:p>
    <w:p w14:paraId="0A1CEE90" w14:textId="639476E2" w:rsidR="001B7426" w:rsidRPr="002B151A" w:rsidRDefault="0061645E" w:rsidP="00777156">
      <w:pPr>
        <w:pStyle w:val="Heading2"/>
        <w:rPr>
          <w:highlight w:val="white"/>
        </w:rPr>
      </w:pPr>
      <w:r>
        <w:rPr>
          <w:highlight w:val="white"/>
        </w:rPr>
        <w:lastRenderedPageBreak/>
        <w:t>Prevent Watch has co-authored</w:t>
      </w:r>
      <w:r w:rsidR="006F24F0">
        <w:rPr>
          <w:highlight w:val="white"/>
        </w:rPr>
        <w:t xml:space="preserve"> A Response to</w:t>
      </w:r>
      <w:r>
        <w:rPr>
          <w:highlight w:val="white"/>
        </w:rPr>
        <w:t xml:space="preserve"> the</w:t>
      </w:r>
      <w:r w:rsidR="006F24F0">
        <w:rPr>
          <w:highlight w:val="white"/>
        </w:rPr>
        <w:t xml:space="preserve"> Shawcross report</w:t>
      </w:r>
      <w:r>
        <w:rPr>
          <w:highlight w:val="white"/>
        </w:rPr>
        <w:t xml:space="preserve"> in which we highlight his errors, </w:t>
      </w:r>
      <w:proofErr w:type="gramStart"/>
      <w:r>
        <w:rPr>
          <w:highlight w:val="white"/>
        </w:rPr>
        <w:t>bias</w:t>
      </w:r>
      <w:proofErr w:type="gramEnd"/>
      <w:r>
        <w:rPr>
          <w:highlight w:val="white"/>
        </w:rPr>
        <w:t xml:space="preserve"> and the danger of his recommendations, most particularly the recommendation that responsibility for Prevent become entirely under the Home Office, under an unelected authority from the Commission for Countering Extremism</w:t>
      </w:r>
      <w:r w:rsidR="0004681C">
        <w:rPr>
          <w:highlight w:val="white"/>
        </w:rPr>
        <w:t>, a startling slide in authoritarianism</w:t>
      </w:r>
      <w:r w:rsidR="0004681C">
        <w:rPr>
          <w:rStyle w:val="FootnoteReference"/>
          <w:color w:val="222222"/>
          <w:szCs w:val="24"/>
          <w:highlight w:val="white"/>
        </w:rPr>
        <w:footnoteReference w:id="17"/>
      </w:r>
      <w:r w:rsidR="006F24F0">
        <w:rPr>
          <w:highlight w:val="white"/>
        </w:rPr>
        <w:t>.</w:t>
      </w:r>
      <w:r>
        <w:rPr>
          <w:highlight w:val="white"/>
        </w:rPr>
        <w:t xml:space="preserve"> </w:t>
      </w:r>
    </w:p>
    <w:p w14:paraId="040E1AC7" w14:textId="62D074EC" w:rsidR="00444197" w:rsidRDefault="0004681C" w:rsidP="00777156">
      <w:pPr>
        <w:pStyle w:val="Heading2"/>
        <w:rPr>
          <w:highlight w:val="white"/>
        </w:rPr>
      </w:pPr>
      <w:r>
        <w:rPr>
          <w:highlight w:val="white"/>
        </w:rPr>
        <w:t>Additionally, the review</w:t>
      </w:r>
      <w:r w:rsidR="004C5FDE" w:rsidRPr="002B151A">
        <w:rPr>
          <w:highlight w:val="white"/>
        </w:rPr>
        <w:t xml:space="preserve"> recommends that individuals referred to Prevent are not seen as “victims” but as “agents”, laying the foundation for an even more aggressive and abusive approach to children </w:t>
      </w:r>
      <w:r w:rsidR="00221322" w:rsidRPr="002B151A">
        <w:rPr>
          <w:highlight w:val="white"/>
        </w:rPr>
        <w:t xml:space="preserve">referred to Prevent </w:t>
      </w:r>
      <w:r w:rsidR="004C5FDE" w:rsidRPr="002B151A">
        <w:rPr>
          <w:highlight w:val="white"/>
        </w:rPr>
        <w:t xml:space="preserve">who have committed no crime, nor </w:t>
      </w:r>
      <w:r>
        <w:rPr>
          <w:highlight w:val="white"/>
        </w:rPr>
        <w:t xml:space="preserve">should they ever be assumed to </w:t>
      </w:r>
      <w:r w:rsidR="004C5FDE" w:rsidRPr="002B151A">
        <w:rPr>
          <w:highlight w:val="white"/>
        </w:rPr>
        <w:t>intend to.</w:t>
      </w:r>
    </w:p>
    <w:p w14:paraId="72227BDD" w14:textId="77777777" w:rsidR="00777156" w:rsidRPr="00777156" w:rsidRDefault="00777156" w:rsidP="00777156">
      <w:pPr>
        <w:rPr>
          <w:highlight w:val="white"/>
        </w:rPr>
      </w:pPr>
    </w:p>
    <w:p w14:paraId="3BCAD789" w14:textId="2CF66CE5" w:rsidR="009A1583" w:rsidRPr="00BE0E5C" w:rsidRDefault="004C5FDE" w:rsidP="006F792B">
      <w:pPr>
        <w:pStyle w:val="Heading2"/>
        <w:rPr>
          <w:b/>
          <w:bCs/>
          <w:highlight w:val="white"/>
        </w:rPr>
      </w:pPr>
      <w:bookmarkStart w:id="3" w:name="_Toc132391308"/>
      <w:r w:rsidRPr="00BE0E5C">
        <w:rPr>
          <w:b/>
          <w:bCs/>
          <w:highlight w:val="white"/>
        </w:rPr>
        <w:t>Abuse of children’s rights</w:t>
      </w:r>
      <w:bookmarkEnd w:id="3"/>
    </w:p>
    <w:p w14:paraId="6FBB72A4" w14:textId="51374832" w:rsidR="009A1583" w:rsidRPr="002B151A" w:rsidRDefault="00A3305B" w:rsidP="00777156">
      <w:pPr>
        <w:pStyle w:val="Heading2"/>
        <w:rPr>
          <w:highlight w:val="white"/>
        </w:rPr>
      </w:pPr>
      <w:r w:rsidRPr="002B151A">
        <w:rPr>
          <w:highlight w:val="white"/>
        </w:rPr>
        <w:t xml:space="preserve">The evidence from </w:t>
      </w:r>
      <w:r w:rsidR="00351313" w:rsidRPr="002B151A">
        <w:rPr>
          <w:highlight w:val="white"/>
        </w:rPr>
        <w:t xml:space="preserve">the </w:t>
      </w:r>
      <w:r w:rsidRPr="002B151A">
        <w:rPr>
          <w:highlight w:val="white"/>
        </w:rPr>
        <w:t>cases</w:t>
      </w:r>
      <w:r w:rsidR="0004681C">
        <w:rPr>
          <w:highlight w:val="white"/>
        </w:rPr>
        <w:t xml:space="preserve"> detailed below</w:t>
      </w:r>
      <w:r w:rsidRPr="002B151A">
        <w:rPr>
          <w:highlight w:val="white"/>
        </w:rPr>
        <w:t xml:space="preserve"> </w:t>
      </w:r>
      <w:r w:rsidR="00545C3E">
        <w:rPr>
          <w:highlight w:val="white"/>
        </w:rPr>
        <w:t xml:space="preserve">overwhelmingly </w:t>
      </w:r>
      <w:r w:rsidRPr="002B151A">
        <w:rPr>
          <w:highlight w:val="white"/>
        </w:rPr>
        <w:t>suggest</w:t>
      </w:r>
      <w:r w:rsidR="00545C3E">
        <w:rPr>
          <w:highlight w:val="white"/>
        </w:rPr>
        <w:t>s</w:t>
      </w:r>
      <w:r w:rsidRPr="002B151A">
        <w:rPr>
          <w:highlight w:val="white"/>
        </w:rPr>
        <w:t xml:space="preserve"> </w:t>
      </w:r>
      <w:r w:rsidR="0019265A" w:rsidRPr="002B151A">
        <w:rPr>
          <w:highlight w:val="white"/>
        </w:rPr>
        <w:t xml:space="preserve">that </w:t>
      </w:r>
      <w:r w:rsidR="00184DCD">
        <w:rPr>
          <w:highlight w:val="white"/>
        </w:rPr>
        <w:t xml:space="preserve">the implementation of the Prevent strategy </w:t>
      </w:r>
      <w:r w:rsidR="00545C3E">
        <w:rPr>
          <w:highlight w:val="white"/>
        </w:rPr>
        <w:t xml:space="preserve">endangers </w:t>
      </w:r>
      <w:r w:rsidR="00A31334">
        <w:rPr>
          <w:highlight w:val="white"/>
        </w:rPr>
        <w:t>several</w:t>
      </w:r>
      <w:r w:rsidR="00545C3E">
        <w:rPr>
          <w:highlight w:val="white"/>
        </w:rPr>
        <w:t xml:space="preserve"> fundamental human rights under the European Charter of Human Rights ("</w:t>
      </w:r>
      <w:r w:rsidR="00545C3E" w:rsidRPr="00545C3E">
        <w:rPr>
          <w:b/>
          <w:bCs/>
          <w:highlight w:val="white"/>
        </w:rPr>
        <w:t>ECHR</w:t>
      </w:r>
      <w:r w:rsidR="00545C3E">
        <w:rPr>
          <w:highlight w:val="white"/>
        </w:rPr>
        <w:t xml:space="preserve">"), in respect of children. </w:t>
      </w:r>
      <w:r w:rsidR="00351313" w:rsidRPr="002B151A">
        <w:rPr>
          <w:highlight w:val="white"/>
        </w:rPr>
        <w:t>These include</w:t>
      </w:r>
      <w:r w:rsidRPr="002B151A">
        <w:rPr>
          <w:highlight w:val="white"/>
        </w:rPr>
        <w:t>:</w:t>
      </w:r>
    </w:p>
    <w:p w14:paraId="0529EF8C" w14:textId="08E4E569" w:rsidR="009A1583" w:rsidRPr="002B151A" w:rsidRDefault="00A3305B" w:rsidP="00592523">
      <w:pPr>
        <w:numPr>
          <w:ilvl w:val="0"/>
          <w:numId w:val="1"/>
        </w:numPr>
        <w:shd w:val="clear" w:color="auto" w:fill="FFFFFF"/>
        <w:spacing w:before="240"/>
        <w:jc w:val="both"/>
        <w:rPr>
          <w:color w:val="222222"/>
          <w:sz w:val="24"/>
          <w:szCs w:val="24"/>
          <w:highlight w:val="white"/>
        </w:rPr>
      </w:pPr>
      <w:r w:rsidRPr="002B151A">
        <w:rPr>
          <w:color w:val="222222"/>
          <w:sz w:val="24"/>
          <w:szCs w:val="24"/>
          <w:highlight w:val="white"/>
        </w:rPr>
        <w:t>Right to non-discrimination (Art</w:t>
      </w:r>
      <w:r w:rsidR="0019265A" w:rsidRPr="002B151A">
        <w:rPr>
          <w:color w:val="222222"/>
          <w:sz w:val="24"/>
          <w:szCs w:val="24"/>
          <w:highlight w:val="white"/>
        </w:rPr>
        <w:t>icle</w:t>
      </w:r>
      <w:r w:rsidRPr="002B151A">
        <w:rPr>
          <w:color w:val="222222"/>
          <w:sz w:val="24"/>
          <w:szCs w:val="24"/>
          <w:highlight w:val="white"/>
        </w:rPr>
        <w:t xml:space="preserve"> 2)</w:t>
      </w:r>
    </w:p>
    <w:p w14:paraId="34D78BFA" w14:textId="33B979AB"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t>Best interests of the child (Art</w:t>
      </w:r>
      <w:r w:rsidR="0019265A" w:rsidRPr="002B151A">
        <w:rPr>
          <w:color w:val="222222"/>
          <w:sz w:val="24"/>
          <w:szCs w:val="24"/>
          <w:highlight w:val="white"/>
        </w:rPr>
        <w:t>icle</w:t>
      </w:r>
      <w:r w:rsidRPr="002B151A">
        <w:rPr>
          <w:color w:val="222222"/>
          <w:sz w:val="24"/>
          <w:szCs w:val="24"/>
          <w:highlight w:val="white"/>
        </w:rPr>
        <w:t xml:space="preserve"> 3)</w:t>
      </w:r>
    </w:p>
    <w:p w14:paraId="4C21BF8D" w14:textId="1075D0BE"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t>Parental guidance and the child’s evolving capacities (Art</w:t>
      </w:r>
      <w:r w:rsidR="0019265A" w:rsidRPr="002B151A">
        <w:rPr>
          <w:color w:val="222222"/>
          <w:sz w:val="24"/>
          <w:szCs w:val="24"/>
          <w:highlight w:val="white"/>
        </w:rPr>
        <w:t>icle</w:t>
      </w:r>
      <w:r w:rsidRPr="002B151A">
        <w:rPr>
          <w:color w:val="222222"/>
          <w:sz w:val="24"/>
          <w:szCs w:val="24"/>
          <w:highlight w:val="white"/>
        </w:rPr>
        <w:t xml:space="preserve"> 5)</w:t>
      </w:r>
    </w:p>
    <w:p w14:paraId="45BE53DF" w14:textId="637C48C9"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t>The Child’s Opinion (Art</w:t>
      </w:r>
      <w:r w:rsidR="0019265A" w:rsidRPr="002B151A">
        <w:rPr>
          <w:color w:val="222222"/>
          <w:sz w:val="24"/>
          <w:szCs w:val="24"/>
          <w:highlight w:val="white"/>
        </w:rPr>
        <w:t>icle</w:t>
      </w:r>
      <w:r w:rsidRPr="002B151A">
        <w:rPr>
          <w:color w:val="222222"/>
          <w:sz w:val="24"/>
          <w:szCs w:val="24"/>
          <w:highlight w:val="white"/>
        </w:rPr>
        <w:t xml:space="preserve"> 12)</w:t>
      </w:r>
    </w:p>
    <w:p w14:paraId="31A46F13" w14:textId="40CA464C"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t>Freedom of expression (Art</w:t>
      </w:r>
      <w:r w:rsidR="0019265A" w:rsidRPr="002B151A">
        <w:rPr>
          <w:color w:val="222222"/>
          <w:sz w:val="24"/>
          <w:szCs w:val="24"/>
          <w:highlight w:val="white"/>
        </w:rPr>
        <w:t>icle</w:t>
      </w:r>
      <w:r w:rsidRPr="002B151A">
        <w:rPr>
          <w:color w:val="222222"/>
          <w:sz w:val="24"/>
          <w:szCs w:val="24"/>
          <w:highlight w:val="white"/>
        </w:rPr>
        <w:t xml:space="preserve"> 13)</w:t>
      </w:r>
    </w:p>
    <w:p w14:paraId="0C45F64F" w14:textId="2FB40EA5"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t xml:space="preserve">Freedom of thought, </w:t>
      </w:r>
      <w:proofErr w:type="gramStart"/>
      <w:r w:rsidRPr="002B151A">
        <w:rPr>
          <w:color w:val="222222"/>
          <w:sz w:val="24"/>
          <w:szCs w:val="24"/>
          <w:highlight w:val="white"/>
        </w:rPr>
        <w:t>conscience</w:t>
      </w:r>
      <w:proofErr w:type="gramEnd"/>
      <w:r w:rsidRPr="002B151A">
        <w:rPr>
          <w:color w:val="222222"/>
          <w:sz w:val="24"/>
          <w:szCs w:val="24"/>
          <w:highlight w:val="white"/>
        </w:rPr>
        <w:t xml:space="preserve"> and religion (Art</w:t>
      </w:r>
      <w:r w:rsidR="0019265A" w:rsidRPr="002B151A">
        <w:rPr>
          <w:color w:val="222222"/>
          <w:sz w:val="24"/>
          <w:szCs w:val="24"/>
          <w:highlight w:val="white"/>
        </w:rPr>
        <w:t>icle</w:t>
      </w:r>
      <w:r w:rsidRPr="002B151A">
        <w:rPr>
          <w:color w:val="222222"/>
          <w:sz w:val="24"/>
          <w:szCs w:val="24"/>
          <w:highlight w:val="white"/>
        </w:rPr>
        <w:t xml:space="preserve"> 14)</w:t>
      </w:r>
    </w:p>
    <w:p w14:paraId="7306F655" w14:textId="3A620F8A"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t>Freedom of association (Art</w:t>
      </w:r>
      <w:r w:rsidR="0019265A" w:rsidRPr="002B151A">
        <w:rPr>
          <w:color w:val="222222"/>
          <w:sz w:val="24"/>
          <w:szCs w:val="24"/>
          <w:highlight w:val="white"/>
        </w:rPr>
        <w:t>icle</w:t>
      </w:r>
      <w:r w:rsidRPr="002B151A">
        <w:rPr>
          <w:color w:val="222222"/>
          <w:sz w:val="24"/>
          <w:szCs w:val="24"/>
          <w:highlight w:val="white"/>
        </w:rPr>
        <w:t xml:space="preserve"> 15)</w:t>
      </w:r>
    </w:p>
    <w:p w14:paraId="6D251F93" w14:textId="7343D680"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lastRenderedPageBreak/>
        <w:t>Protection of privacy (Art</w:t>
      </w:r>
      <w:r w:rsidR="0019265A" w:rsidRPr="002B151A">
        <w:rPr>
          <w:color w:val="222222"/>
          <w:sz w:val="24"/>
          <w:szCs w:val="24"/>
          <w:highlight w:val="white"/>
        </w:rPr>
        <w:t>icle</w:t>
      </w:r>
      <w:r w:rsidRPr="002B151A">
        <w:rPr>
          <w:color w:val="222222"/>
          <w:sz w:val="24"/>
          <w:szCs w:val="24"/>
          <w:highlight w:val="white"/>
        </w:rPr>
        <w:t xml:space="preserve"> 16)</w:t>
      </w:r>
    </w:p>
    <w:p w14:paraId="44393E9E" w14:textId="638FC4E7"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t>Children with disabilities (Art</w:t>
      </w:r>
      <w:r w:rsidR="0019265A" w:rsidRPr="002B151A">
        <w:rPr>
          <w:color w:val="222222"/>
          <w:sz w:val="24"/>
          <w:szCs w:val="24"/>
          <w:highlight w:val="white"/>
        </w:rPr>
        <w:t>icle</w:t>
      </w:r>
      <w:r w:rsidRPr="002B151A">
        <w:rPr>
          <w:color w:val="222222"/>
          <w:sz w:val="24"/>
          <w:szCs w:val="24"/>
          <w:highlight w:val="white"/>
        </w:rPr>
        <w:t>23)</w:t>
      </w:r>
    </w:p>
    <w:p w14:paraId="632402BF" w14:textId="558B1967"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t>Right to education (Art</w:t>
      </w:r>
      <w:r w:rsidR="0019265A" w:rsidRPr="002B151A">
        <w:rPr>
          <w:color w:val="222222"/>
          <w:sz w:val="24"/>
          <w:szCs w:val="24"/>
          <w:highlight w:val="white"/>
        </w:rPr>
        <w:t>icle</w:t>
      </w:r>
      <w:r w:rsidRPr="002B151A">
        <w:rPr>
          <w:color w:val="222222"/>
          <w:sz w:val="24"/>
          <w:szCs w:val="24"/>
          <w:highlight w:val="white"/>
        </w:rPr>
        <w:t xml:space="preserve"> 28)</w:t>
      </w:r>
    </w:p>
    <w:p w14:paraId="778A40EF" w14:textId="00AC979A"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t>Children of minorities or indigenous peoples (Art</w:t>
      </w:r>
      <w:r w:rsidR="0019265A" w:rsidRPr="002B151A">
        <w:rPr>
          <w:color w:val="222222"/>
          <w:sz w:val="24"/>
          <w:szCs w:val="24"/>
          <w:highlight w:val="white"/>
        </w:rPr>
        <w:t>icle</w:t>
      </w:r>
      <w:r w:rsidRPr="002B151A">
        <w:rPr>
          <w:color w:val="222222"/>
          <w:sz w:val="24"/>
          <w:szCs w:val="24"/>
          <w:highlight w:val="white"/>
        </w:rPr>
        <w:t xml:space="preserve"> 30)</w:t>
      </w:r>
    </w:p>
    <w:p w14:paraId="0DEA1214" w14:textId="7A00A492" w:rsidR="009A1583" w:rsidRPr="002B151A" w:rsidRDefault="00A3305B" w:rsidP="00592523">
      <w:pPr>
        <w:numPr>
          <w:ilvl w:val="0"/>
          <w:numId w:val="1"/>
        </w:numPr>
        <w:shd w:val="clear" w:color="auto" w:fill="FFFFFF"/>
        <w:jc w:val="both"/>
        <w:rPr>
          <w:color w:val="222222"/>
          <w:sz w:val="24"/>
          <w:szCs w:val="24"/>
          <w:highlight w:val="white"/>
        </w:rPr>
      </w:pPr>
      <w:r w:rsidRPr="002B151A">
        <w:rPr>
          <w:color w:val="222222"/>
          <w:sz w:val="24"/>
          <w:szCs w:val="24"/>
          <w:highlight w:val="white"/>
        </w:rPr>
        <w:t>Torture and deprivation of liberty (Art</w:t>
      </w:r>
      <w:r w:rsidR="0019265A" w:rsidRPr="002B151A">
        <w:rPr>
          <w:color w:val="222222"/>
          <w:sz w:val="24"/>
          <w:szCs w:val="24"/>
          <w:highlight w:val="white"/>
        </w:rPr>
        <w:t>icle</w:t>
      </w:r>
      <w:r w:rsidRPr="002B151A">
        <w:rPr>
          <w:color w:val="222222"/>
          <w:sz w:val="24"/>
          <w:szCs w:val="24"/>
          <w:highlight w:val="white"/>
        </w:rPr>
        <w:t xml:space="preserve"> 37)</w:t>
      </w:r>
    </w:p>
    <w:p w14:paraId="717B88D4" w14:textId="545774C3" w:rsidR="00444197" w:rsidRPr="002B151A" w:rsidRDefault="00A3305B" w:rsidP="002B151A">
      <w:pPr>
        <w:numPr>
          <w:ilvl w:val="0"/>
          <w:numId w:val="1"/>
        </w:numPr>
        <w:shd w:val="clear" w:color="auto" w:fill="FFFFFF"/>
        <w:spacing w:after="240"/>
        <w:jc w:val="both"/>
        <w:rPr>
          <w:color w:val="222222"/>
          <w:sz w:val="24"/>
          <w:szCs w:val="24"/>
          <w:highlight w:val="white"/>
        </w:rPr>
      </w:pPr>
      <w:r w:rsidRPr="002B151A">
        <w:rPr>
          <w:color w:val="222222"/>
          <w:sz w:val="24"/>
          <w:szCs w:val="24"/>
          <w:highlight w:val="white"/>
        </w:rPr>
        <w:t>Administration of juvenile justice (Art</w:t>
      </w:r>
      <w:r w:rsidR="0019265A" w:rsidRPr="002B151A">
        <w:rPr>
          <w:color w:val="222222"/>
          <w:sz w:val="24"/>
          <w:szCs w:val="24"/>
          <w:highlight w:val="white"/>
        </w:rPr>
        <w:t>icle</w:t>
      </w:r>
      <w:r w:rsidRPr="002B151A">
        <w:rPr>
          <w:color w:val="222222"/>
          <w:sz w:val="24"/>
          <w:szCs w:val="24"/>
          <w:highlight w:val="white"/>
        </w:rPr>
        <w:t xml:space="preserve"> 40)</w:t>
      </w:r>
    </w:p>
    <w:p w14:paraId="55BE1DDB" w14:textId="1D9A964F" w:rsidR="009A1583" w:rsidRDefault="00F97336" w:rsidP="00777156">
      <w:pPr>
        <w:pStyle w:val="Heading2"/>
        <w:rPr>
          <w:highlight w:val="white"/>
        </w:rPr>
      </w:pPr>
      <w:r>
        <w:rPr>
          <w:highlight w:val="white"/>
        </w:rPr>
        <w:t>C</w:t>
      </w:r>
      <w:r w:rsidR="003B71BC" w:rsidRPr="002B151A">
        <w:rPr>
          <w:highlight w:val="white"/>
        </w:rPr>
        <w:t xml:space="preserve">ases </w:t>
      </w:r>
      <w:r w:rsidR="00914486">
        <w:rPr>
          <w:highlight w:val="white"/>
        </w:rPr>
        <w:t xml:space="preserve">including those </w:t>
      </w:r>
      <w:r w:rsidR="00545C3E">
        <w:rPr>
          <w:highlight w:val="white"/>
        </w:rPr>
        <w:t xml:space="preserve">gathered by Prevent Watch and published in the </w:t>
      </w:r>
      <w:r w:rsidR="0004681C">
        <w:rPr>
          <w:highlight w:val="white"/>
        </w:rPr>
        <w:t>PROP</w:t>
      </w:r>
      <w:r w:rsidR="00914486">
        <w:rPr>
          <w:highlight w:val="white"/>
        </w:rPr>
        <w:t xml:space="preserve"> and </w:t>
      </w:r>
      <w:r w:rsidR="000D39E3">
        <w:rPr>
          <w:highlight w:val="white"/>
        </w:rPr>
        <w:t>those published by the media,</w:t>
      </w:r>
      <w:r>
        <w:rPr>
          <w:highlight w:val="white"/>
        </w:rPr>
        <w:t xml:space="preserve"> </w:t>
      </w:r>
      <w:r w:rsidR="006A504E" w:rsidRPr="002B151A">
        <w:rPr>
          <w:highlight w:val="white"/>
        </w:rPr>
        <w:t xml:space="preserve">illustrate how </w:t>
      </w:r>
      <w:r w:rsidR="00545C3E">
        <w:rPr>
          <w:highlight w:val="white"/>
        </w:rPr>
        <w:t xml:space="preserve">the </w:t>
      </w:r>
      <w:r w:rsidR="006A504E" w:rsidRPr="002B151A">
        <w:rPr>
          <w:highlight w:val="white"/>
        </w:rPr>
        <w:t>Prevent</w:t>
      </w:r>
      <w:r w:rsidR="00545C3E">
        <w:rPr>
          <w:highlight w:val="white"/>
        </w:rPr>
        <w:t xml:space="preserve"> </w:t>
      </w:r>
      <w:proofErr w:type="spellStart"/>
      <w:r w:rsidR="00545C3E">
        <w:rPr>
          <w:highlight w:val="white"/>
        </w:rPr>
        <w:t>programme</w:t>
      </w:r>
      <w:proofErr w:type="spellEnd"/>
      <w:r w:rsidR="006A504E" w:rsidRPr="002B151A">
        <w:rPr>
          <w:highlight w:val="white"/>
        </w:rPr>
        <w:t xml:space="preserve"> undermines these children</w:t>
      </w:r>
      <w:r w:rsidR="0019265A" w:rsidRPr="002B151A">
        <w:rPr>
          <w:highlight w:val="white"/>
        </w:rPr>
        <w:t>'</w:t>
      </w:r>
      <w:r w:rsidR="006A504E" w:rsidRPr="002B151A">
        <w:rPr>
          <w:highlight w:val="white"/>
        </w:rPr>
        <w:t>s rights</w:t>
      </w:r>
      <w:r w:rsidR="00812C75">
        <w:rPr>
          <w:highlight w:val="white"/>
        </w:rPr>
        <w:t>, particularly those of Muslim children</w:t>
      </w:r>
      <w:r>
        <w:rPr>
          <w:highlight w:val="white"/>
        </w:rPr>
        <w:t xml:space="preserve">. Examples </w:t>
      </w:r>
      <w:r w:rsidR="006A504E" w:rsidRPr="002B151A">
        <w:rPr>
          <w:highlight w:val="white"/>
        </w:rPr>
        <w:t>are outlined in the tabl</w:t>
      </w:r>
      <w:r w:rsidR="0053010F" w:rsidRPr="002B151A">
        <w:rPr>
          <w:highlight w:val="white"/>
        </w:rPr>
        <w:t>e</w:t>
      </w:r>
      <w:r w:rsidR="006A504E" w:rsidRPr="002B151A">
        <w:rPr>
          <w:highlight w:val="white"/>
        </w:rPr>
        <w:t xml:space="preserve"> below:</w:t>
      </w:r>
      <w:r w:rsidR="003B71BC" w:rsidRPr="002B151A">
        <w:rPr>
          <w:highlight w:val="white"/>
        </w:rPr>
        <w:t xml:space="preserve"> </w:t>
      </w:r>
    </w:p>
    <w:p w14:paraId="4E85124A" w14:textId="621B868F" w:rsidR="001C75A2" w:rsidRDefault="001C75A2" w:rsidP="001C75A2">
      <w:pPr>
        <w:rPr>
          <w:highlight w:val="white"/>
        </w:rPr>
      </w:pPr>
    </w:p>
    <w:p w14:paraId="3A94A87E" w14:textId="77777777" w:rsidR="000776A7" w:rsidRDefault="000776A7" w:rsidP="001C75A2">
      <w:pPr>
        <w:rPr>
          <w:highlight w:val="white"/>
        </w:rPr>
        <w:sectPr w:rsidR="000776A7" w:rsidSect="00D31A7B">
          <w:headerReference w:type="default" r:id="rId12"/>
          <w:pgSz w:w="12240" w:h="15840"/>
          <w:pgMar w:top="1440" w:right="1134" w:bottom="1440" w:left="1134" w:header="737" w:footer="737" w:gutter="0"/>
          <w:pgNumType w:start="1"/>
          <w:cols w:space="720"/>
          <w:docGrid w:linePitch="299"/>
        </w:sectPr>
      </w:pPr>
    </w:p>
    <w:p w14:paraId="4B54EBC8" w14:textId="77777777" w:rsidR="000776A7" w:rsidRDefault="000776A7" w:rsidP="001C75A2">
      <w:pPr>
        <w:rPr>
          <w:highlight w:val="white"/>
        </w:rPr>
      </w:pPr>
    </w:p>
    <w:tbl>
      <w:tblPr>
        <w:tblStyle w:val="a"/>
        <w:tblW w:w="13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3"/>
        <w:gridCol w:w="1687"/>
        <w:gridCol w:w="8235"/>
        <w:gridCol w:w="2126"/>
      </w:tblGrid>
      <w:tr w:rsidR="000776A7" w:rsidRPr="002B151A" w14:paraId="3B42D252" w14:textId="77777777" w:rsidTr="000776A7">
        <w:tc>
          <w:tcPr>
            <w:tcW w:w="983" w:type="dxa"/>
            <w:shd w:val="clear" w:color="auto" w:fill="auto"/>
            <w:tcMar>
              <w:top w:w="100" w:type="dxa"/>
              <w:left w:w="100" w:type="dxa"/>
              <w:bottom w:w="100" w:type="dxa"/>
              <w:right w:w="100" w:type="dxa"/>
            </w:tcMar>
          </w:tcPr>
          <w:p w14:paraId="7BEDEB1B" w14:textId="77777777" w:rsidR="000776A7" w:rsidRPr="000776A7" w:rsidRDefault="000776A7" w:rsidP="00FE1DB2">
            <w:pPr>
              <w:widowControl w:val="0"/>
              <w:spacing w:line="240" w:lineRule="auto"/>
              <w:jc w:val="both"/>
              <w:rPr>
                <w:b/>
                <w:bCs/>
                <w:color w:val="222222"/>
                <w:sz w:val="24"/>
                <w:szCs w:val="24"/>
                <w:highlight w:val="white"/>
              </w:rPr>
            </w:pPr>
            <w:r w:rsidRPr="000776A7">
              <w:rPr>
                <w:b/>
                <w:bCs/>
                <w:color w:val="222222"/>
                <w:sz w:val="24"/>
                <w:szCs w:val="24"/>
                <w:highlight w:val="white"/>
              </w:rPr>
              <w:t>Article</w:t>
            </w:r>
          </w:p>
        </w:tc>
        <w:tc>
          <w:tcPr>
            <w:tcW w:w="1687" w:type="dxa"/>
            <w:shd w:val="clear" w:color="auto" w:fill="auto"/>
            <w:tcMar>
              <w:top w:w="100" w:type="dxa"/>
              <w:left w:w="100" w:type="dxa"/>
              <w:bottom w:w="100" w:type="dxa"/>
              <w:right w:w="100" w:type="dxa"/>
            </w:tcMar>
          </w:tcPr>
          <w:p w14:paraId="71615295" w14:textId="77777777" w:rsidR="000776A7" w:rsidRPr="000776A7" w:rsidRDefault="000776A7" w:rsidP="00FE1DB2">
            <w:pPr>
              <w:widowControl w:val="0"/>
              <w:spacing w:line="240" w:lineRule="auto"/>
              <w:jc w:val="both"/>
              <w:rPr>
                <w:b/>
                <w:bCs/>
                <w:color w:val="222222"/>
                <w:sz w:val="24"/>
                <w:szCs w:val="24"/>
                <w:highlight w:val="white"/>
              </w:rPr>
            </w:pPr>
            <w:r w:rsidRPr="000776A7">
              <w:rPr>
                <w:b/>
                <w:bCs/>
                <w:color w:val="222222"/>
                <w:sz w:val="24"/>
                <w:szCs w:val="24"/>
                <w:highlight w:val="white"/>
              </w:rPr>
              <w:t>Right</w:t>
            </w:r>
          </w:p>
        </w:tc>
        <w:tc>
          <w:tcPr>
            <w:tcW w:w="8235" w:type="dxa"/>
            <w:shd w:val="clear" w:color="auto" w:fill="auto"/>
            <w:tcMar>
              <w:top w:w="100" w:type="dxa"/>
              <w:left w:w="100" w:type="dxa"/>
              <w:bottom w:w="100" w:type="dxa"/>
              <w:right w:w="100" w:type="dxa"/>
            </w:tcMar>
          </w:tcPr>
          <w:p w14:paraId="3DAA0DFF" w14:textId="77777777" w:rsidR="000776A7" w:rsidRPr="000776A7" w:rsidRDefault="000776A7" w:rsidP="00FE1DB2">
            <w:pPr>
              <w:widowControl w:val="0"/>
              <w:spacing w:line="240" w:lineRule="auto"/>
              <w:jc w:val="both"/>
              <w:rPr>
                <w:b/>
                <w:bCs/>
                <w:color w:val="222222"/>
                <w:sz w:val="24"/>
                <w:szCs w:val="24"/>
                <w:highlight w:val="white"/>
              </w:rPr>
            </w:pPr>
            <w:r w:rsidRPr="000776A7">
              <w:rPr>
                <w:b/>
                <w:bCs/>
                <w:color w:val="222222"/>
                <w:sz w:val="24"/>
                <w:szCs w:val="24"/>
                <w:highlight w:val="white"/>
              </w:rPr>
              <w:t xml:space="preserve">Case Documented </w:t>
            </w:r>
            <w:proofErr w:type="gramStart"/>
            <w:r w:rsidRPr="000776A7">
              <w:rPr>
                <w:b/>
                <w:bCs/>
                <w:color w:val="222222"/>
                <w:sz w:val="24"/>
                <w:szCs w:val="24"/>
                <w:highlight w:val="white"/>
              </w:rPr>
              <w:t>By</w:t>
            </w:r>
            <w:proofErr w:type="gramEnd"/>
            <w:r w:rsidRPr="000776A7">
              <w:rPr>
                <w:b/>
                <w:bCs/>
                <w:color w:val="222222"/>
                <w:sz w:val="24"/>
                <w:szCs w:val="24"/>
                <w:highlight w:val="white"/>
              </w:rPr>
              <w:t xml:space="preserve"> Prevent Watch</w:t>
            </w:r>
          </w:p>
        </w:tc>
        <w:tc>
          <w:tcPr>
            <w:tcW w:w="2126" w:type="dxa"/>
            <w:shd w:val="clear" w:color="auto" w:fill="auto"/>
            <w:tcMar>
              <w:top w:w="100" w:type="dxa"/>
              <w:left w:w="100" w:type="dxa"/>
              <w:bottom w:w="100" w:type="dxa"/>
              <w:right w:w="100" w:type="dxa"/>
            </w:tcMar>
          </w:tcPr>
          <w:p w14:paraId="3FE7D0D2" w14:textId="77777777" w:rsidR="000776A7" w:rsidRPr="000776A7" w:rsidRDefault="000776A7" w:rsidP="00FE1DB2">
            <w:pPr>
              <w:widowControl w:val="0"/>
              <w:spacing w:line="240" w:lineRule="auto"/>
              <w:jc w:val="both"/>
              <w:rPr>
                <w:b/>
                <w:bCs/>
                <w:color w:val="222222"/>
                <w:sz w:val="24"/>
                <w:szCs w:val="24"/>
                <w:highlight w:val="white"/>
              </w:rPr>
            </w:pPr>
            <w:r w:rsidRPr="000776A7">
              <w:rPr>
                <w:b/>
                <w:bCs/>
                <w:color w:val="222222"/>
                <w:sz w:val="24"/>
                <w:szCs w:val="24"/>
                <w:highlight w:val="white"/>
              </w:rPr>
              <w:t>Reference</w:t>
            </w:r>
          </w:p>
        </w:tc>
      </w:tr>
      <w:tr w:rsidR="000776A7" w:rsidRPr="002B151A" w14:paraId="3F7C644C" w14:textId="77777777" w:rsidTr="000776A7">
        <w:tc>
          <w:tcPr>
            <w:tcW w:w="983" w:type="dxa"/>
            <w:shd w:val="clear" w:color="auto" w:fill="auto"/>
            <w:tcMar>
              <w:top w:w="100" w:type="dxa"/>
              <w:left w:w="100" w:type="dxa"/>
              <w:bottom w:w="100" w:type="dxa"/>
              <w:right w:w="100" w:type="dxa"/>
            </w:tcMar>
          </w:tcPr>
          <w:p w14:paraId="0D8B58F4" w14:textId="77777777" w:rsidR="000776A7" w:rsidRPr="002B151A" w:rsidRDefault="000776A7" w:rsidP="000776A7">
            <w:pPr>
              <w:shd w:val="clear" w:color="auto" w:fill="FFFFFF"/>
              <w:spacing w:before="240" w:after="240"/>
              <w:rPr>
                <w:color w:val="222222"/>
                <w:sz w:val="24"/>
                <w:szCs w:val="24"/>
                <w:highlight w:val="white"/>
              </w:rPr>
            </w:pPr>
            <w:r w:rsidRPr="002B151A">
              <w:rPr>
                <w:color w:val="222222"/>
                <w:sz w:val="24"/>
                <w:szCs w:val="24"/>
                <w:highlight w:val="white"/>
              </w:rPr>
              <w:t>2</w:t>
            </w:r>
          </w:p>
        </w:tc>
        <w:tc>
          <w:tcPr>
            <w:tcW w:w="1687" w:type="dxa"/>
            <w:shd w:val="clear" w:color="auto" w:fill="auto"/>
            <w:tcMar>
              <w:top w:w="100" w:type="dxa"/>
              <w:left w:w="100" w:type="dxa"/>
              <w:bottom w:w="100" w:type="dxa"/>
              <w:right w:w="100" w:type="dxa"/>
            </w:tcMar>
          </w:tcPr>
          <w:p w14:paraId="35E02EDB" w14:textId="77777777" w:rsidR="000776A7" w:rsidRPr="002B151A" w:rsidRDefault="000776A7" w:rsidP="000776A7">
            <w:pPr>
              <w:shd w:val="clear" w:color="auto" w:fill="FFFFFF"/>
              <w:spacing w:before="240" w:after="240"/>
              <w:rPr>
                <w:color w:val="222222"/>
                <w:sz w:val="24"/>
                <w:szCs w:val="24"/>
                <w:highlight w:val="white"/>
              </w:rPr>
            </w:pPr>
            <w:r w:rsidRPr="002B151A">
              <w:rPr>
                <w:color w:val="222222"/>
                <w:sz w:val="24"/>
                <w:szCs w:val="24"/>
                <w:highlight w:val="white"/>
              </w:rPr>
              <w:t>Right to non-discrimination</w:t>
            </w:r>
          </w:p>
        </w:tc>
        <w:tc>
          <w:tcPr>
            <w:tcW w:w="8235" w:type="dxa"/>
            <w:shd w:val="clear" w:color="auto" w:fill="auto"/>
            <w:tcMar>
              <w:top w:w="100" w:type="dxa"/>
              <w:left w:w="100" w:type="dxa"/>
              <w:bottom w:w="100" w:type="dxa"/>
              <w:right w:w="100" w:type="dxa"/>
            </w:tcMar>
          </w:tcPr>
          <w:p w14:paraId="74725375" w14:textId="77777777" w:rsidR="000776A7" w:rsidRPr="002B151A" w:rsidRDefault="000776A7" w:rsidP="000776A7">
            <w:pPr>
              <w:widowControl w:val="0"/>
              <w:spacing w:line="240" w:lineRule="auto"/>
              <w:rPr>
                <w:color w:val="222222"/>
                <w:sz w:val="24"/>
                <w:szCs w:val="24"/>
                <w:highlight w:val="white"/>
              </w:rPr>
            </w:pPr>
            <w:r w:rsidRPr="002B151A">
              <w:rPr>
                <w:color w:val="222222"/>
                <w:sz w:val="24"/>
                <w:szCs w:val="24"/>
                <w:highlight w:val="white"/>
              </w:rPr>
              <w:t>15-year-old Ilyas was referred to Prevent for refusing to participate in mixed gender PE lessons</w:t>
            </w:r>
            <w:r>
              <w:rPr>
                <w:color w:val="222222"/>
                <w:sz w:val="24"/>
                <w:szCs w:val="24"/>
                <w:highlight w:val="white"/>
              </w:rPr>
              <w:t>. W</w:t>
            </w:r>
            <w:r w:rsidRPr="002B151A">
              <w:rPr>
                <w:color w:val="222222"/>
                <w:sz w:val="24"/>
                <w:szCs w:val="24"/>
                <w:highlight w:val="white"/>
              </w:rPr>
              <w:t xml:space="preserve">hen he cited that this was due to religious reasons, he was referred by the teacher who deemed this an </w:t>
            </w:r>
            <w:r>
              <w:rPr>
                <w:color w:val="222222"/>
                <w:sz w:val="24"/>
                <w:szCs w:val="24"/>
                <w:highlight w:val="white"/>
              </w:rPr>
              <w:t>“</w:t>
            </w:r>
            <w:r w:rsidRPr="002B151A">
              <w:rPr>
                <w:color w:val="222222"/>
                <w:sz w:val="24"/>
                <w:szCs w:val="24"/>
                <w:highlight w:val="white"/>
              </w:rPr>
              <w:t>extreme</w:t>
            </w:r>
            <w:r>
              <w:rPr>
                <w:color w:val="222222"/>
                <w:sz w:val="24"/>
                <w:szCs w:val="24"/>
                <w:highlight w:val="white"/>
              </w:rPr>
              <w:t>”</w:t>
            </w:r>
            <w:r w:rsidRPr="002B151A">
              <w:rPr>
                <w:color w:val="222222"/>
                <w:sz w:val="24"/>
                <w:szCs w:val="24"/>
                <w:highlight w:val="white"/>
              </w:rPr>
              <w:t xml:space="preserve"> Muslim viewpoint. The referral was solely based on his religious views and </w:t>
            </w:r>
            <w:r>
              <w:rPr>
                <w:color w:val="222222"/>
                <w:sz w:val="24"/>
                <w:szCs w:val="24"/>
                <w:highlight w:val="white"/>
              </w:rPr>
              <w:t xml:space="preserve">had nothing to do with terrorism or violence. It </w:t>
            </w:r>
            <w:r w:rsidRPr="002B151A">
              <w:rPr>
                <w:color w:val="222222"/>
                <w:sz w:val="24"/>
                <w:szCs w:val="24"/>
                <w:highlight w:val="white"/>
              </w:rPr>
              <w:t>was therefore discriminat</w:t>
            </w:r>
            <w:r>
              <w:rPr>
                <w:color w:val="222222"/>
                <w:sz w:val="24"/>
                <w:szCs w:val="24"/>
                <w:highlight w:val="white"/>
              </w:rPr>
              <w:t>ion</w:t>
            </w:r>
            <w:r w:rsidRPr="002B151A">
              <w:rPr>
                <w:color w:val="222222"/>
                <w:sz w:val="24"/>
                <w:szCs w:val="24"/>
                <w:highlight w:val="white"/>
              </w:rPr>
              <w:t>.</w:t>
            </w:r>
          </w:p>
        </w:tc>
        <w:tc>
          <w:tcPr>
            <w:tcW w:w="2126" w:type="dxa"/>
            <w:shd w:val="clear" w:color="auto" w:fill="auto"/>
            <w:tcMar>
              <w:top w:w="100" w:type="dxa"/>
              <w:left w:w="100" w:type="dxa"/>
              <w:bottom w:w="100" w:type="dxa"/>
              <w:right w:w="100" w:type="dxa"/>
            </w:tcMar>
          </w:tcPr>
          <w:p w14:paraId="60F8AFC8" w14:textId="77777777" w:rsidR="000776A7" w:rsidRPr="002B151A" w:rsidRDefault="000776A7" w:rsidP="000776A7">
            <w:pPr>
              <w:widowControl w:val="0"/>
              <w:spacing w:line="240" w:lineRule="auto"/>
              <w:rPr>
                <w:color w:val="222222"/>
                <w:sz w:val="24"/>
                <w:szCs w:val="24"/>
                <w:highlight w:val="white"/>
              </w:rPr>
            </w:pPr>
            <w:r w:rsidRPr="00F91E27">
              <w:rPr>
                <w:color w:val="222222"/>
                <w:sz w:val="24"/>
                <w:szCs w:val="24"/>
                <w:highlight w:val="white"/>
                <w:u w:val="single"/>
              </w:rPr>
              <w:t>Case of Ilyas</w:t>
            </w:r>
            <w:r>
              <w:rPr>
                <w:color w:val="222222"/>
                <w:sz w:val="24"/>
                <w:szCs w:val="24"/>
                <w:highlight w:val="white"/>
              </w:rPr>
              <w:t>: Page 58, PROP</w:t>
            </w:r>
            <w:r w:rsidRPr="002B151A">
              <w:rPr>
                <w:color w:val="222222"/>
                <w:sz w:val="24"/>
                <w:szCs w:val="24"/>
                <w:highlight w:val="white"/>
              </w:rPr>
              <w:t xml:space="preserve"> </w:t>
            </w:r>
          </w:p>
        </w:tc>
      </w:tr>
      <w:tr w:rsidR="000776A7" w:rsidRPr="002B151A" w14:paraId="5801A2CB" w14:textId="77777777" w:rsidTr="000776A7">
        <w:tc>
          <w:tcPr>
            <w:tcW w:w="983" w:type="dxa"/>
            <w:shd w:val="clear" w:color="auto" w:fill="auto"/>
            <w:tcMar>
              <w:top w:w="100" w:type="dxa"/>
              <w:left w:w="100" w:type="dxa"/>
              <w:bottom w:w="100" w:type="dxa"/>
              <w:right w:w="100" w:type="dxa"/>
            </w:tcMar>
          </w:tcPr>
          <w:p w14:paraId="22208CE1"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3</w:t>
            </w:r>
          </w:p>
        </w:tc>
        <w:tc>
          <w:tcPr>
            <w:tcW w:w="1687" w:type="dxa"/>
            <w:shd w:val="clear" w:color="auto" w:fill="auto"/>
            <w:tcMar>
              <w:top w:w="100" w:type="dxa"/>
              <w:left w:w="100" w:type="dxa"/>
              <w:bottom w:w="100" w:type="dxa"/>
              <w:right w:w="100" w:type="dxa"/>
            </w:tcMar>
          </w:tcPr>
          <w:p w14:paraId="55C96256"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Best interests of the child</w:t>
            </w:r>
          </w:p>
        </w:tc>
        <w:tc>
          <w:tcPr>
            <w:tcW w:w="8235" w:type="dxa"/>
            <w:shd w:val="clear" w:color="auto" w:fill="auto"/>
            <w:tcMar>
              <w:top w:w="100" w:type="dxa"/>
              <w:left w:w="100" w:type="dxa"/>
              <w:bottom w:w="100" w:type="dxa"/>
              <w:right w:w="100" w:type="dxa"/>
            </w:tcMar>
          </w:tcPr>
          <w:p w14:paraId="29CE6BD7"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 xml:space="preserve">12-year-old Noah was being bullied at school and despite complaints by his mother, the bullying remained unresolved. He made an online friend who was deemed to be “extremist” in his thoughts and ideas by a teacher at school and this friend was suspected of “grooming” Noah. However, instead of the online perpetrator being pursued, Noah was referred to Prevent. Not only this, but the Prevent officer insisted that it was Noah who required intervention via Channel, as he was not a victim but rather a like-minded individual. </w:t>
            </w:r>
          </w:p>
          <w:p w14:paraId="6F0BCE7A" w14:textId="77777777" w:rsidR="000776A7" w:rsidRPr="000776A7" w:rsidRDefault="000776A7" w:rsidP="000776A7">
            <w:pPr>
              <w:widowControl w:val="0"/>
              <w:spacing w:line="240" w:lineRule="auto"/>
              <w:rPr>
                <w:color w:val="222222"/>
                <w:sz w:val="24"/>
                <w:szCs w:val="24"/>
                <w:highlight w:val="white"/>
              </w:rPr>
            </w:pPr>
          </w:p>
          <w:p w14:paraId="32FD0114"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 xml:space="preserve">Noah was extremely distressed by the referral and felt he had done something wrong. He expressed suicidal thoughts, and his family had to reach out for professional help for through private healthcare, because they had lost trust in public services (who are under the Prevent Duty). This was a direct result of the Prevent referral and the </w:t>
            </w:r>
            <w:proofErr w:type="gramStart"/>
            <w:r w:rsidRPr="000776A7">
              <w:rPr>
                <w:color w:val="222222"/>
                <w:sz w:val="24"/>
                <w:szCs w:val="24"/>
                <w:highlight w:val="white"/>
              </w:rPr>
              <w:t>manner in which</w:t>
            </w:r>
            <w:proofErr w:type="gramEnd"/>
            <w:r w:rsidRPr="000776A7">
              <w:rPr>
                <w:color w:val="222222"/>
                <w:sz w:val="24"/>
                <w:szCs w:val="24"/>
                <w:highlight w:val="white"/>
              </w:rPr>
              <w:t xml:space="preserve"> the family felt they had been harassed into accepting Channel intervention. Instead of the best interests of the child being taken into consideration, </w:t>
            </w:r>
            <w:proofErr w:type="gramStart"/>
            <w:r w:rsidRPr="000776A7">
              <w:rPr>
                <w:color w:val="222222"/>
                <w:sz w:val="24"/>
                <w:szCs w:val="24"/>
                <w:highlight w:val="white"/>
              </w:rPr>
              <w:t>Prevent</w:t>
            </w:r>
            <w:proofErr w:type="gramEnd"/>
            <w:r w:rsidRPr="000776A7">
              <w:rPr>
                <w:color w:val="222222"/>
                <w:sz w:val="24"/>
                <w:szCs w:val="24"/>
                <w:highlight w:val="white"/>
              </w:rPr>
              <w:t xml:space="preserve"> led to the child being viewed as a threat and alienated, causing further harm to him and his family.</w:t>
            </w:r>
          </w:p>
        </w:tc>
        <w:tc>
          <w:tcPr>
            <w:tcW w:w="2126" w:type="dxa"/>
            <w:shd w:val="clear" w:color="auto" w:fill="auto"/>
            <w:tcMar>
              <w:top w:w="100" w:type="dxa"/>
              <w:left w:w="100" w:type="dxa"/>
              <w:bottom w:w="100" w:type="dxa"/>
              <w:right w:w="100" w:type="dxa"/>
            </w:tcMar>
          </w:tcPr>
          <w:p w14:paraId="2F1F1F54"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u w:val="single"/>
              </w:rPr>
              <w:t>Case of Noah:</w:t>
            </w:r>
            <w:r w:rsidRPr="000776A7">
              <w:rPr>
                <w:color w:val="222222"/>
                <w:sz w:val="24"/>
                <w:szCs w:val="24"/>
                <w:highlight w:val="white"/>
              </w:rPr>
              <w:t xml:space="preserve"> Page 87, PROP</w:t>
            </w:r>
          </w:p>
        </w:tc>
      </w:tr>
      <w:tr w:rsidR="000776A7" w:rsidRPr="002B151A" w14:paraId="464965CE" w14:textId="77777777" w:rsidTr="000776A7">
        <w:tc>
          <w:tcPr>
            <w:tcW w:w="983" w:type="dxa"/>
            <w:shd w:val="clear" w:color="auto" w:fill="auto"/>
            <w:tcMar>
              <w:top w:w="100" w:type="dxa"/>
              <w:left w:w="100" w:type="dxa"/>
              <w:bottom w:w="100" w:type="dxa"/>
              <w:right w:w="100" w:type="dxa"/>
            </w:tcMar>
          </w:tcPr>
          <w:p w14:paraId="51CF3850"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 xml:space="preserve">5 </w:t>
            </w:r>
          </w:p>
        </w:tc>
        <w:tc>
          <w:tcPr>
            <w:tcW w:w="1687" w:type="dxa"/>
            <w:shd w:val="clear" w:color="auto" w:fill="auto"/>
            <w:tcMar>
              <w:top w:w="100" w:type="dxa"/>
              <w:left w:w="100" w:type="dxa"/>
              <w:bottom w:w="100" w:type="dxa"/>
              <w:right w:w="100" w:type="dxa"/>
            </w:tcMar>
          </w:tcPr>
          <w:p w14:paraId="15B0247D"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 xml:space="preserve">Parental guidance and the child’s </w:t>
            </w:r>
            <w:r w:rsidRPr="000776A7">
              <w:rPr>
                <w:color w:val="222222"/>
                <w:sz w:val="24"/>
                <w:szCs w:val="24"/>
                <w:highlight w:val="white"/>
              </w:rPr>
              <w:lastRenderedPageBreak/>
              <w:t xml:space="preserve">evolving capacities </w:t>
            </w:r>
          </w:p>
        </w:tc>
        <w:tc>
          <w:tcPr>
            <w:tcW w:w="8235" w:type="dxa"/>
            <w:shd w:val="clear" w:color="auto" w:fill="auto"/>
            <w:tcMar>
              <w:top w:w="100" w:type="dxa"/>
              <w:left w:w="100" w:type="dxa"/>
              <w:bottom w:w="100" w:type="dxa"/>
              <w:right w:w="100" w:type="dxa"/>
            </w:tcMar>
          </w:tcPr>
          <w:p w14:paraId="21749791" w14:textId="77777777" w:rsidR="000776A7" w:rsidRPr="000776A7" w:rsidRDefault="000776A7" w:rsidP="000776A7">
            <w:pPr>
              <w:widowControl w:val="0"/>
              <w:spacing w:line="240" w:lineRule="auto"/>
              <w:rPr>
                <w:color w:val="222222"/>
                <w:sz w:val="24"/>
                <w:szCs w:val="24"/>
                <w:highlight w:val="white"/>
              </w:rPr>
            </w:pPr>
            <w:proofErr w:type="spellStart"/>
            <w:r w:rsidRPr="000776A7">
              <w:rPr>
                <w:color w:val="222222"/>
                <w:sz w:val="24"/>
                <w:szCs w:val="24"/>
                <w:highlight w:val="white"/>
              </w:rPr>
              <w:lastRenderedPageBreak/>
              <w:t>Raheel</w:t>
            </w:r>
            <w:proofErr w:type="spellEnd"/>
            <w:r w:rsidRPr="000776A7">
              <w:rPr>
                <w:color w:val="222222"/>
                <w:sz w:val="24"/>
                <w:szCs w:val="24"/>
                <w:highlight w:val="white"/>
              </w:rPr>
              <w:t xml:space="preserve"> is a parent raising his children according to the Islamic faith. He has been approached by Prevent several times to engage but has refused. Prevent officers raised a concern with the social services at least twice due to </w:t>
            </w:r>
            <w:proofErr w:type="spellStart"/>
            <w:r w:rsidRPr="000776A7">
              <w:rPr>
                <w:color w:val="222222"/>
                <w:sz w:val="24"/>
                <w:szCs w:val="24"/>
                <w:highlight w:val="white"/>
              </w:rPr>
              <w:t>Raheel’s</w:t>
            </w:r>
            <w:proofErr w:type="spellEnd"/>
            <w:r w:rsidRPr="000776A7">
              <w:rPr>
                <w:color w:val="222222"/>
                <w:sz w:val="24"/>
                <w:szCs w:val="24"/>
                <w:highlight w:val="white"/>
              </w:rPr>
              <w:t xml:space="preserve"> “friendship group”. The social services have recommended that </w:t>
            </w:r>
            <w:proofErr w:type="spellStart"/>
            <w:r w:rsidRPr="000776A7">
              <w:rPr>
                <w:color w:val="222222"/>
                <w:sz w:val="24"/>
                <w:szCs w:val="24"/>
                <w:highlight w:val="white"/>
              </w:rPr>
              <w:lastRenderedPageBreak/>
              <w:t>Raheel</w:t>
            </w:r>
            <w:proofErr w:type="spellEnd"/>
            <w:r w:rsidRPr="000776A7">
              <w:rPr>
                <w:color w:val="222222"/>
                <w:sz w:val="24"/>
                <w:szCs w:val="24"/>
                <w:highlight w:val="white"/>
              </w:rPr>
              <w:t xml:space="preserve"> does not allow his friends into his home as they are a “bad influence”. The recommendation was made as his friends were described as </w:t>
            </w:r>
            <w:proofErr w:type="gramStart"/>
            <w:r w:rsidRPr="000776A7">
              <w:rPr>
                <w:color w:val="222222"/>
                <w:sz w:val="24"/>
                <w:szCs w:val="24"/>
                <w:highlight w:val="white"/>
              </w:rPr>
              <w:t>being ”associated</w:t>
            </w:r>
            <w:proofErr w:type="gramEnd"/>
            <w:r w:rsidRPr="000776A7">
              <w:rPr>
                <w:color w:val="222222"/>
                <w:sz w:val="24"/>
                <w:szCs w:val="24"/>
                <w:highlight w:val="white"/>
              </w:rPr>
              <w:t xml:space="preserve"> with extremists”. </w:t>
            </w:r>
          </w:p>
          <w:p w14:paraId="10E76C72" w14:textId="77777777" w:rsidR="000776A7" w:rsidRPr="000776A7" w:rsidRDefault="000776A7" w:rsidP="000776A7">
            <w:pPr>
              <w:widowControl w:val="0"/>
              <w:spacing w:line="240" w:lineRule="auto"/>
              <w:rPr>
                <w:color w:val="222222"/>
                <w:sz w:val="24"/>
                <w:szCs w:val="24"/>
                <w:highlight w:val="white"/>
              </w:rPr>
            </w:pPr>
          </w:p>
          <w:p w14:paraId="193811EE"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 xml:space="preserve">Not only can people deemed to be “extremist” never have a chance to challenge this view, but this designation can impact others in their circle or even their extended social circle as was the case here. </w:t>
            </w:r>
          </w:p>
          <w:p w14:paraId="17149A00" w14:textId="77777777" w:rsidR="000776A7" w:rsidRPr="000776A7" w:rsidRDefault="000776A7" w:rsidP="000776A7">
            <w:pPr>
              <w:widowControl w:val="0"/>
              <w:spacing w:line="240" w:lineRule="auto"/>
              <w:rPr>
                <w:color w:val="222222"/>
                <w:sz w:val="24"/>
                <w:szCs w:val="24"/>
                <w:highlight w:val="white"/>
              </w:rPr>
            </w:pPr>
          </w:p>
          <w:p w14:paraId="0C64B0DE"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 xml:space="preserve">This is an extraordinary recommendation; the same restrictions on friendship groups does not exist with people who have actually committed a crime in their past, </w:t>
            </w:r>
            <w:proofErr w:type="gramStart"/>
            <w:r w:rsidRPr="000776A7">
              <w:rPr>
                <w:color w:val="222222"/>
                <w:sz w:val="24"/>
                <w:szCs w:val="24"/>
                <w:highlight w:val="white"/>
              </w:rPr>
              <w:t>i.e.</w:t>
            </w:r>
            <w:proofErr w:type="gramEnd"/>
            <w:r w:rsidRPr="000776A7">
              <w:rPr>
                <w:color w:val="222222"/>
                <w:sz w:val="24"/>
                <w:szCs w:val="24"/>
                <w:highlight w:val="white"/>
              </w:rPr>
              <w:t xml:space="preserve"> ex-convicts.</w:t>
            </w:r>
          </w:p>
        </w:tc>
        <w:tc>
          <w:tcPr>
            <w:tcW w:w="2126" w:type="dxa"/>
            <w:shd w:val="clear" w:color="auto" w:fill="auto"/>
            <w:tcMar>
              <w:top w:w="100" w:type="dxa"/>
              <w:left w:w="100" w:type="dxa"/>
              <w:bottom w:w="100" w:type="dxa"/>
              <w:right w:w="100" w:type="dxa"/>
            </w:tcMar>
          </w:tcPr>
          <w:p w14:paraId="0DE1F757"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u w:val="single"/>
              </w:rPr>
              <w:lastRenderedPageBreak/>
              <w:t xml:space="preserve">Case of </w:t>
            </w:r>
            <w:proofErr w:type="spellStart"/>
            <w:r w:rsidRPr="000776A7">
              <w:rPr>
                <w:color w:val="222222"/>
                <w:sz w:val="24"/>
                <w:szCs w:val="24"/>
                <w:highlight w:val="white"/>
                <w:u w:val="single"/>
              </w:rPr>
              <w:t>Raheel</w:t>
            </w:r>
            <w:proofErr w:type="spellEnd"/>
            <w:r w:rsidRPr="000776A7">
              <w:rPr>
                <w:color w:val="222222"/>
                <w:sz w:val="24"/>
                <w:szCs w:val="24"/>
                <w:highlight w:val="white"/>
              </w:rPr>
              <w:t>:</w:t>
            </w:r>
          </w:p>
          <w:p w14:paraId="30DA6B0C"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Page 122, PROP</w:t>
            </w:r>
          </w:p>
        </w:tc>
      </w:tr>
      <w:tr w:rsidR="000776A7" w:rsidRPr="002B151A" w14:paraId="29C2F983" w14:textId="77777777" w:rsidTr="000776A7">
        <w:tc>
          <w:tcPr>
            <w:tcW w:w="983" w:type="dxa"/>
            <w:shd w:val="clear" w:color="auto" w:fill="auto"/>
            <w:tcMar>
              <w:top w:w="100" w:type="dxa"/>
              <w:left w:w="100" w:type="dxa"/>
              <w:bottom w:w="100" w:type="dxa"/>
              <w:right w:w="100" w:type="dxa"/>
            </w:tcMar>
          </w:tcPr>
          <w:p w14:paraId="08D35D64"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12</w:t>
            </w:r>
          </w:p>
        </w:tc>
        <w:tc>
          <w:tcPr>
            <w:tcW w:w="1687" w:type="dxa"/>
            <w:shd w:val="clear" w:color="auto" w:fill="auto"/>
            <w:tcMar>
              <w:top w:w="100" w:type="dxa"/>
              <w:left w:w="100" w:type="dxa"/>
              <w:bottom w:w="100" w:type="dxa"/>
              <w:right w:w="100" w:type="dxa"/>
            </w:tcMar>
          </w:tcPr>
          <w:p w14:paraId="2FB278BB"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The Child’s Opinion</w:t>
            </w:r>
          </w:p>
        </w:tc>
        <w:tc>
          <w:tcPr>
            <w:tcW w:w="8235" w:type="dxa"/>
            <w:shd w:val="clear" w:color="auto" w:fill="auto"/>
            <w:tcMar>
              <w:top w:w="100" w:type="dxa"/>
              <w:left w:w="100" w:type="dxa"/>
              <w:bottom w:w="100" w:type="dxa"/>
              <w:right w:w="100" w:type="dxa"/>
            </w:tcMar>
          </w:tcPr>
          <w:p w14:paraId="6CCE68A2" w14:textId="77777777" w:rsidR="000776A7" w:rsidRPr="000776A7" w:rsidRDefault="000776A7" w:rsidP="000776A7">
            <w:pPr>
              <w:widowControl w:val="0"/>
              <w:spacing w:line="240" w:lineRule="auto"/>
              <w:rPr>
                <w:color w:val="222222"/>
                <w:sz w:val="24"/>
                <w:szCs w:val="24"/>
                <w:highlight w:val="white"/>
              </w:rPr>
            </w:pPr>
            <w:proofErr w:type="spellStart"/>
            <w:r w:rsidRPr="000776A7">
              <w:rPr>
                <w:color w:val="222222"/>
                <w:sz w:val="24"/>
                <w:szCs w:val="24"/>
                <w:highlight w:val="white"/>
              </w:rPr>
              <w:t>Yunus</w:t>
            </w:r>
            <w:proofErr w:type="spellEnd"/>
            <w:r w:rsidRPr="000776A7">
              <w:rPr>
                <w:color w:val="222222"/>
                <w:sz w:val="24"/>
                <w:szCs w:val="24"/>
                <w:highlight w:val="white"/>
              </w:rPr>
              <w:t xml:space="preserve">, a secondary school boy, refused to engage with Prevent and then had his Child in Need plan escalated to a Child Protection Plan despite complying with all the other social care recommendations in his plan. Engagement in Prevent is always stated to be of a purely voluntary nature. The child’s wishes were not </w:t>
            </w:r>
            <w:proofErr w:type="gramStart"/>
            <w:r w:rsidRPr="000776A7">
              <w:rPr>
                <w:color w:val="222222"/>
                <w:sz w:val="24"/>
                <w:szCs w:val="24"/>
                <w:highlight w:val="white"/>
              </w:rPr>
              <w:t>taken into account</w:t>
            </w:r>
            <w:proofErr w:type="gramEnd"/>
            <w:r w:rsidRPr="000776A7">
              <w:rPr>
                <w:color w:val="222222"/>
                <w:sz w:val="24"/>
                <w:szCs w:val="24"/>
                <w:highlight w:val="white"/>
              </w:rPr>
              <w:t xml:space="preserve">; rather, he was compelled to engage with Prevent by this tactic. </w:t>
            </w:r>
          </w:p>
        </w:tc>
        <w:tc>
          <w:tcPr>
            <w:tcW w:w="2126" w:type="dxa"/>
            <w:shd w:val="clear" w:color="auto" w:fill="auto"/>
            <w:tcMar>
              <w:top w:w="100" w:type="dxa"/>
              <w:left w:w="100" w:type="dxa"/>
              <w:bottom w:w="100" w:type="dxa"/>
              <w:right w:w="100" w:type="dxa"/>
            </w:tcMar>
          </w:tcPr>
          <w:p w14:paraId="459112BA"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u w:val="single"/>
              </w:rPr>
              <w:t xml:space="preserve">Case of </w:t>
            </w:r>
            <w:proofErr w:type="spellStart"/>
            <w:r w:rsidRPr="000776A7">
              <w:rPr>
                <w:color w:val="222222"/>
                <w:sz w:val="24"/>
                <w:szCs w:val="24"/>
                <w:highlight w:val="white"/>
                <w:u w:val="single"/>
              </w:rPr>
              <w:t>Yunus</w:t>
            </w:r>
            <w:proofErr w:type="spellEnd"/>
            <w:r w:rsidRPr="000776A7">
              <w:rPr>
                <w:color w:val="222222"/>
                <w:sz w:val="24"/>
                <w:szCs w:val="24"/>
                <w:highlight w:val="white"/>
              </w:rPr>
              <w:t>:</w:t>
            </w:r>
          </w:p>
          <w:p w14:paraId="6988376B"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Page 119, PROP</w:t>
            </w:r>
          </w:p>
        </w:tc>
      </w:tr>
      <w:tr w:rsidR="000776A7" w:rsidRPr="002B151A" w14:paraId="2AA4C811" w14:textId="77777777" w:rsidTr="000776A7">
        <w:tc>
          <w:tcPr>
            <w:tcW w:w="983" w:type="dxa"/>
            <w:shd w:val="clear" w:color="auto" w:fill="auto"/>
            <w:tcMar>
              <w:top w:w="100" w:type="dxa"/>
              <w:left w:w="100" w:type="dxa"/>
              <w:bottom w:w="100" w:type="dxa"/>
              <w:right w:w="100" w:type="dxa"/>
            </w:tcMar>
          </w:tcPr>
          <w:p w14:paraId="37EAD0CF"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13</w:t>
            </w:r>
          </w:p>
        </w:tc>
        <w:tc>
          <w:tcPr>
            <w:tcW w:w="1687" w:type="dxa"/>
            <w:shd w:val="clear" w:color="auto" w:fill="auto"/>
            <w:tcMar>
              <w:top w:w="100" w:type="dxa"/>
              <w:left w:w="100" w:type="dxa"/>
              <w:bottom w:w="100" w:type="dxa"/>
              <w:right w:w="100" w:type="dxa"/>
            </w:tcMar>
          </w:tcPr>
          <w:p w14:paraId="46597435"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Freedom of expression</w:t>
            </w:r>
          </w:p>
        </w:tc>
        <w:tc>
          <w:tcPr>
            <w:tcW w:w="8235" w:type="dxa"/>
            <w:shd w:val="clear" w:color="auto" w:fill="auto"/>
            <w:tcMar>
              <w:top w:w="100" w:type="dxa"/>
              <w:left w:w="100" w:type="dxa"/>
              <w:bottom w:w="100" w:type="dxa"/>
              <w:right w:w="100" w:type="dxa"/>
            </w:tcMar>
          </w:tcPr>
          <w:p w14:paraId="70CBFB61"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Adil is an 8-year-old boy who attended a peaceful protest with his mother in solidarity with Palestine. He was subsequently referred to Prevent by his school.</w:t>
            </w:r>
          </w:p>
        </w:tc>
        <w:tc>
          <w:tcPr>
            <w:tcW w:w="2126" w:type="dxa"/>
            <w:shd w:val="clear" w:color="auto" w:fill="auto"/>
            <w:tcMar>
              <w:top w:w="100" w:type="dxa"/>
              <w:left w:w="100" w:type="dxa"/>
              <w:bottom w:w="100" w:type="dxa"/>
              <w:right w:w="100" w:type="dxa"/>
            </w:tcMar>
          </w:tcPr>
          <w:p w14:paraId="5C77A82E"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u w:val="single"/>
              </w:rPr>
              <w:t>Case of Adil</w:t>
            </w:r>
            <w:r w:rsidRPr="000776A7">
              <w:rPr>
                <w:color w:val="222222"/>
                <w:sz w:val="24"/>
                <w:szCs w:val="24"/>
                <w:highlight w:val="white"/>
              </w:rPr>
              <w:t>:</w:t>
            </w:r>
          </w:p>
          <w:p w14:paraId="757BD4EF"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Page 47, PROP</w:t>
            </w:r>
          </w:p>
        </w:tc>
      </w:tr>
      <w:tr w:rsidR="000776A7" w:rsidRPr="002B151A" w14:paraId="676B3105" w14:textId="77777777" w:rsidTr="000776A7">
        <w:tc>
          <w:tcPr>
            <w:tcW w:w="983" w:type="dxa"/>
            <w:shd w:val="clear" w:color="auto" w:fill="auto"/>
            <w:tcMar>
              <w:top w:w="100" w:type="dxa"/>
              <w:left w:w="100" w:type="dxa"/>
              <w:bottom w:w="100" w:type="dxa"/>
              <w:right w:w="100" w:type="dxa"/>
            </w:tcMar>
          </w:tcPr>
          <w:p w14:paraId="0E9BF5BE"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14 &amp; 15</w:t>
            </w:r>
          </w:p>
        </w:tc>
        <w:tc>
          <w:tcPr>
            <w:tcW w:w="1687" w:type="dxa"/>
            <w:shd w:val="clear" w:color="auto" w:fill="auto"/>
            <w:tcMar>
              <w:top w:w="100" w:type="dxa"/>
              <w:left w:w="100" w:type="dxa"/>
              <w:bottom w:w="100" w:type="dxa"/>
              <w:right w:w="100" w:type="dxa"/>
            </w:tcMar>
          </w:tcPr>
          <w:p w14:paraId="102F2B08"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 xml:space="preserve">Freedom of thought, </w:t>
            </w:r>
            <w:proofErr w:type="gramStart"/>
            <w:r w:rsidRPr="000776A7">
              <w:rPr>
                <w:color w:val="222222"/>
                <w:sz w:val="24"/>
                <w:szCs w:val="24"/>
                <w:highlight w:val="white"/>
              </w:rPr>
              <w:t>conscience</w:t>
            </w:r>
            <w:proofErr w:type="gramEnd"/>
            <w:r w:rsidRPr="000776A7">
              <w:rPr>
                <w:color w:val="222222"/>
                <w:sz w:val="24"/>
                <w:szCs w:val="24"/>
                <w:highlight w:val="white"/>
              </w:rPr>
              <w:t xml:space="preserve"> and religion &amp; </w:t>
            </w:r>
            <w:r w:rsidRPr="000776A7">
              <w:rPr>
                <w:color w:val="222222"/>
                <w:sz w:val="24"/>
                <w:szCs w:val="24"/>
                <w:highlight w:val="white"/>
              </w:rPr>
              <w:lastRenderedPageBreak/>
              <w:t>Freedom of association</w:t>
            </w:r>
          </w:p>
        </w:tc>
        <w:tc>
          <w:tcPr>
            <w:tcW w:w="8235" w:type="dxa"/>
            <w:shd w:val="clear" w:color="auto" w:fill="auto"/>
            <w:tcMar>
              <w:top w:w="100" w:type="dxa"/>
              <w:left w:w="100" w:type="dxa"/>
              <w:bottom w:w="100" w:type="dxa"/>
              <w:right w:w="100" w:type="dxa"/>
            </w:tcMar>
          </w:tcPr>
          <w:p w14:paraId="7C927D70"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lastRenderedPageBreak/>
              <w:t>Joel is a 16-year-old boy who withdrew a book from the school library about terrorism. He was referred to Prevent. Officers also raised the fact that he had previously attended an event by a faith-based charity that they claimed had “extremist associations”.</w:t>
            </w:r>
          </w:p>
        </w:tc>
        <w:tc>
          <w:tcPr>
            <w:tcW w:w="2126" w:type="dxa"/>
            <w:shd w:val="clear" w:color="auto" w:fill="auto"/>
            <w:tcMar>
              <w:top w:w="100" w:type="dxa"/>
              <w:left w:w="100" w:type="dxa"/>
              <w:bottom w:w="100" w:type="dxa"/>
              <w:right w:w="100" w:type="dxa"/>
            </w:tcMar>
          </w:tcPr>
          <w:p w14:paraId="1AE31FFC"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u w:val="single"/>
              </w:rPr>
              <w:t>Case of Joel</w:t>
            </w:r>
            <w:r w:rsidRPr="000776A7">
              <w:rPr>
                <w:color w:val="222222"/>
                <w:sz w:val="24"/>
                <w:szCs w:val="24"/>
                <w:highlight w:val="white"/>
              </w:rPr>
              <w:t>:</w:t>
            </w:r>
          </w:p>
          <w:p w14:paraId="164EC869"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Page 79, PROP</w:t>
            </w:r>
          </w:p>
        </w:tc>
      </w:tr>
      <w:tr w:rsidR="000776A7" w:rsidRPr="002B151A" w14:paraId="0E452B62" w14:textId="77777777" w:rsidTr="000776A7">
        <w:tc>
          <w:tcPr>
            <w:tcW w:w="983" w:type="dxa"/>
            <w:shd w:val="clear" w:color="auto" w:fill="auto"/>
            <w:tcMar>
              <w:top w:w="100" w:type="dxa"/>
              <w:left w:w="100" w:type="dxa"/>
              <w:bottom w:w="100" w:type="dxa"/>
              <w:right w:w="100" w:type="dxa"/>
            </w:tcMar>
          </w:tcPr>
          <w:p w14:paraId="16447498"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16</w:t>
            </w:r>
          </w:p>
        </w:tc>
        <w:tc>
          <w:tcPr>
            <w:tcW w:w="1687" w:type="dxa"/>
            <w:shd w:val="clear" w:color="auto" w:fill="auto"/>
            <w:tcMar>
              <w:top w:w="100" w:type="dxa"/>
              <w:left w:w="100" w:type="dxa"/>
              <w:bottom w:w="100" w:type="dxa"/>
              <w:right w:w="100" w:type="dxa"/>
            </w:tcMar>
          </w:tcPr>
          <w:p w14:paraId="5B39B4A6"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Protection of privacy</w:t>
            </w:r>
          </w:p>
        </w:tc>
        <w:tc>
          <w:tcPr>
            <w:tcW w:w="8235" w:type="dxa"/>
            <w:shd w:val="clear" w:color="auto" w:fill="auto"/>
            <w:tcMar>
              <w:top w:w="100" w:type="dxa"/>
              <w:left w:w="100" w:type="dxa"/>
              <w:bottom w:w="100" w:type="dxa"/>
              <w:right w:w="100" w:type="dxa"/>
            </w:tcMar>
          </w:tcPr>
          <w:p w14:paraId="4FD41E71"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 xml:space="preserve">Once they are referred to Prevent, children’s data is being stored alongside the data of criminals and it is retained for a minimum period of six years. Two cases of children’s data have been litigated, specifically children referred under Prevent, and both cases have been found in </w:t>
            </w:r>
            <w:proofErr w:type="spellStart"/>
            <w:r w:rsidRPr="000776A7">
              <w:rPr>
                <w:color w:val="222222"/>
                <w:sz w:val="24"/>
                <w:szCs w:val="24"/>
                <w:highlight w:val="white"/>
              </w:rPr>
              <w:t>favour</w:t>
            </w:r>
            <w:proofErr w:type="spellEnd"/>
            <w:r w:rsidRPr="000776A7">
              <w:rPr>
                <w:color w:val="222222"/>
                <w:sz w:val="24"/>
                <w:szCs w:val="24"/>
                <w:highlight w:val="white"/>
              </w:rPr>
              <w:t xml:space="preserve"> of the child. The judge has stated that the impact of this data retention on the child had not been appreciated by authorities, and that the data retention had been unlawful.</w:t>
            </w:r>
          </w:p>
        </w:tc>
        <w:tc>
          <w:tcPr>
            <w:tcW w:w="2126" w:type="dxa"/>
            <w:shd w:val="clear" w:color="auto" w:fill="auto"/>
            <w:tcMar>
              <w:top w:w="100" w:type="dxa"/>
              <w:left w:w="100" w:type="dxa"/>
              <w:bottom w:w="100" w:type="dxa"/>
              <w:right w:w="100" w:type="dxa"/>
            </w:tcMar>
          </w:tcPr>
          <w:p w14:paraId="17A0C299" w14:textId="77777777" w:rsidR="000776A7" w:rsidRPr="000776A7" w:rsidRDefault="00F3316F" w:rsidP="000776A7">
            <w:pPr>
              <w:widowControl w:val="0"/>
              <w:spacing w:line="240" w:lineRule="auto"/>
              <w:rPr>
                <w:color w:val="222222"/>
                <w:sz w:val="24"/>
                <w:szCs w:val="24"/>
                <w:highlight w:val="white"/>
              </w:rPr>
            </w:pPr>
            <w:hyperlink r:id="rId13">
              <w:r w:rsidR="000776A7" w:rsidRPr="000776A7">
                <w:rPr>
                  <w:color w:val="1155CC"/>
                  <w:sz w:val="24"/>
                  <w:szCs w:val="24"/>
                  <w:highlight w:val="white"/>
                  <w:u w:val="single"/>
                </w:rPr>
                <w:t>https://www.theguardian.com/uk-news/2019/dec/19/family-wins-fight-to-delete-child-from-met-prevent-anti-radicalisation-records</w:t>
              </w:r>
            </w:hyperlink>
          </w:p>
          <w:p w14:paraId="0D56307E" w14:textId="77777777" w:rsidR="000776A7" w:rsidRPr="000776A7" w:rsidRDefault="000776A7" w:rsidP="000776A7">
            <w:pPr>
              <w:widowControl w:val="0"/>
              <w:spacing w:line="240" w:lineRule="auto"/>
              <w:rPr>
                <w:color w:val="222222"/>
                <w:sz w:val="24"/>
                <w:szCs w:val="24"/>
                <w:highlight w:val="white"/>
              </w:rPr>
            </w:pPr>
          </w:p>
          <w:p w14:paraId="3E8EFB22" w14:textId="77777777" w:rsidR="000776A7" w:rsidRPr="000776A7" w:rsidRDefault="00F3316F" w:rsidP="000776A7">
            <w:pPr>
              <w:widowControl w:val="0"/>
              <w:spacing w:line="240" w:lineRule="auto"/>
              <w:rPr>
                <w:color w:val="222222"/>
                <w:sz w:val="24"/>
                <w:szCs w:val="24"/>
                <w:highlight w:val="white"/>
              </w:rPr>
            </w:pPr>
            <w:hyperlink r:id="rId14">
              <w:r w:rsidR="000776A7" w:rsidRPr="000776A7">
                <w:rPr>
                  <w:color w:val="1155CC"/>
                  <w:sz w:val="24"/>
                  <w:szCs w:val="24"/>
                  <w:highlight w:val="white"/>
                  <w:u w:val="single"/>
                </w:rPr>
                <w:t>https://dpglaw.co.uk/court-finds-data-retention-by-the-metropolitan-police-service-under-the-prevent-strategy-unlawful/</w:t>
              </w:r>
            </w:hyperlink>
            <w:r w:rsidR="000776A7" w:rsidRPr="000776A7">
              <w:rPr>
                <w:color w:val="222222"/>
                <w:sz w:val="24"/>
                <w:szCs w:val="24"/>
                <w:highlight w:val="white"/>
              </w:rPr>
              <w:t xml:space="preserve"> </w:t>
            </w:r>
          </w:p>
        </w:tc>
      </w:tr>
      <w:tr w:rsidR="000776A7" w:rsidRPr="002B151A" w14:paraId="4E5D36A5" w14:textId="77777777" w:rsidTr="000776A7">
        <w:tc>
          <w:tcPr>
            <w:tcW w:w="983" w:type="dxa"/>
            <w:shd w:val="clear" w:color="auto" w:fill="auto"/>
            <w:tcMar>
              <w:top w:w="100" w:type="dxa"/>
              <w:left w:w="100" w:type="dxa"/>
              <w:bottom w:w="100" w:type="dxa"/>
              <w:right w:w="100" w:type="dxa"/>
            </w:tcMar>
          </w:tcPr>
          <w:p w14:paraId="0E9E14E3"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23</w:t>
            </w:r>
          </w:p>
        </w:tc>
        <w:tc>
          <w:tcPr>
            <w:tcW w:w="1687" w:type="dxa"/>
            <w:shd w:val="clear" w:color="auto" w:fill="auto"/>
            <w:tcMar>
              <w:top w:w="100" w:type="dxa"/>
              <w:left w:w="100" w:type="dxa"/>
              <w:bottom w:w="100" w:type="dxa"/>
              <w:right w:w="100" w:type="dxa"/>
            </w:tcMar>
          </w:tcPr>
          <w:p w14:paraId="61940A7A"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Children with disabilities</w:t>
            </w:r>
          </w:p>
        </w:tc>
        <w:tc>
          <w:tcPr>
            <w:tcW w:w="8235" w:type="dxa"/>
            <w:shd w:val="clear" w:color="auto" w:fill="auto"/>
            <w:tcMar>
              <w:top w:w="100" w:type="dxa"/>
              <w:left w:w="100" w:type="dxa"/>
              <w:bottom w:w="100" w:type="dxa"/>
              <w:right w:w="100" w:type="dxa"/>
            </w:tcMar>
          </w:tcPr>
          <w:p w14:paraId="0762C523"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 xml:space="preserve">Instead of being treated as a condition requiring care, autism –is viewed under Prevent as a risk factor for vulnerability to </w:t>
            </w:r>
            <w:proofErr w:type="spellStart"/>
            <w:r w:rsidRPr="000776A7">
              <w:rPr>
                <w:color w:val="222222"/>
                <w:sz w:val="24"/>
                <w:szCs w:val="24"/>
                <w:highlight w:val="white"/>
              </w:rPr>
              <w:t>radicalisation</w:t>
            </w:r>
            <w:proofErr w:type="spellEnd"/>
            <w:r w:rsidRPr="000776A7">
              <w:rPr>
                <w:color w:val="222222"/>
                <w:sz w:val="24"/>
                <w:szCs w:val="24"/>
                <w:highlight w:val="white"/>
              </w:rPr>
              <w:t xml:space="preserve">. </w:t>
            </w:r>
            <w:proofErr w:type="gramStart"/>
            <w:r w:rsidRPr="000776A7">
              <w:rPr>
                <w:color w:val="222222"/>
                <w:sz w:val="24"/>
                <w:szCs w:val="24"/>
                <w:highlight w:val="white"/>
              </w:rPr>
              <w:t>A number of</w:t>
            </w:r>
            <w:proofErr w:type="gramEnd"/>
            <w:r w:rsidRPr="000776A7">
              <w:rPr>
                <w:color w:val="222222"/>
                <w:sz w:val="24"/>
                <w:szCs w:val="24"/>
                <w:highlight w:val="white"/>
              </w:rPr>
              <w:t xml:space="preserve"> autistic children have been </w:t>
            </w:r>
            <w:proofErr w:type="gramStart"/>
            <w:r w:rsidRPr="000776A7">
              <w:rPr>
                <w:color w:val="222222"/>
                <w:sz w:val="24"/>
                <w:szCs w:val="24"/>
                <w:highlight w:val="white"/>
              </w:rPr>
              <w:t>referred</w:t>
            </w:r>
            <w:proofErr w:type="gramEnd"/>
            <w:r w:rsidRPr="000776A7">
              <w:rPr>
                <w:color w:val="222222"/>
                <w:sz w:val="24"/>
                <w:szCs w:val="24"/>
                <w:highlight w:val="white"/>
              </w:rPr>
              <w:t xml:space="preserve"> including 11-year-old Omar who was referred by his primary school for his reaction to being kept in the teacher’s office all day, instead of dealing with him according to his EHCP plan. The teacher referred him to Prevent, claiming that Omar was writing “threatening messages”; they then linked this to his love of science and making ‘“devices”, citing this as a risk when flagging the case to Prevent. </w:t>
            </w:r>
          </w:p>
        </w:tc>
        <w:tc>
          <w:tcPr>
            <w:tcW w:w="2126" w:type="dxa"/>
            <w:shd w:val="clear" w:color="auto" w:fill="auto"/>
            <w:tcMar>
              <w:top w:w="100" w:type="dxa"/>
              <w:left w:w="100" w:type="dxa"/>
              <w:bottom w:w="100" w:type="dxa"/>
              <w:right w:w="100" w:type="dxa"/>
            </w:tcMar>
          </w:tcPr>
          <w:p w14:paraId="733188E2"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Case documented by Prevent Watch in 2023</w:t>
            </w:r>
          </w:p>
        </w:tc>
      </w:tr>
      <w:tr w:rsidR="000776A7" w:rsidRPr="002B151A" w14:paraId="3DDF65E2" w14:textId="77777777" w:rsidTr="000776A7">
        <w:tc>
          <w:tcPr>
            <w:tcW w:w="983" w:type="dxa"/>
            <w:shd w:val="clear" w:color="auto" w:fill="auto"/>
            <w:tcMar>
              <w:top w:w="100" w:type="dxa"/>
              <w:left w:w="100" w:type="dxa"/>
              <w:bottom w:w="100" w:type="dxa"/>
              <w:right w:w="100" w:type="dxa"/>
            </w:tcMar>
          </w:tcPr>
          <w:p w14:paraId="69062B2F"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lastRenderedPageBreak/>
              <w:t>28</w:t>
            </w:r>
          </w:p>
        </w:tc>
        <w:tc>
          <w:tcPr>
            <w:tcW w:w="1687" w:type="dxa"/>
            <w:shd w:val="clear" w:color="auto" w:fill="auto"/>
            <w:tcMar>
              <w:top w:w="100" w:type="dxa"/>
              <w:left w:w="100" w:type="dxa"/>
              <w:bottom w:w="100" w:type="dxa"/>
              <w:right w:w="100" w:type="dxa"/>
            </w:tcMar>
          </w:tcPr>
          <w:p w14:paraId="2CB3A2B6"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Right to education</w:t>
            </w:r>
          </w:p>
        </w:tc>
        <w:tc>
          <w:tcPr>
            <w:tcW w:w="8235" w:type="dxa"/>
            <w:shd w:val="clear" w:color="auto" w:fill="auto"/>
            <w:tcMar>
              <w:top w:w="100" w:type="dxa"/>
              <w:left w:w="100" w:type="dxa"/>
              <w:bottom w:w="100" w:type="dxa"/>
              <w:right w:w="100" w:type="dxa"/>
            </w:tcMar>
          </w:tcPr>
          <w:p w14:paraId="0275E488"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 xml:space="preserve">17-year-old </w:t>
            </w:r>
            <w:proofErr w:type="spellStart"/>
            <w:r w:rsidRPr="000776A7">
              <w:rPr>
                <w:color w:val="222222"/>
                <w:sz w:val="24"/>
                <w:szCs w:val="24"/>
                <w:highlight w:val="white"/>
              </w:rPr>
              <w:t>Yaqoub</w:t>
            </w:r>
            <w:proofErr w:type="spellEnd"/>
            <w:r w:rsidRPr="000776A7">
              <w:rPr>
                <w:color w:val="222222"/>
                <w:sz w:val="24"/>
                <w:szCs w:val="24"/>
                <w:highlight w:val="white"/>
              </w:rPr>
              <w:t xml:space="preserve"> missed over a week of sixth form when he was disciplined for breaking a school uniform policy. When the teacher spoke to Yaqoob about this breach of uniform policy he brought </w:t>
            </w:r>
            <w:proofErr w:type="spellStart"/>
            <w:r w:rsidRPr="000776A7">
              <w:rPr>
                <w:color w:val="222222"/>
                <w:sz w:val="24"/>
                <w:szCs w:val="24"/>
                <w:highlight w:val="white"/>
              </w:rPr>
              <w:t>Yaqoub’s</w:t>
            </w:r>
            <w:proofErr w:type="spellEnd"/>
            <w:r w:rsidRPr="000776A7">
              <w:rPr>
                <w:color w:val="222222"/>
                <w:sz w:val="24"/>
                <w:szCs w:val="24"/>
                <w:highlight w:val="white"/>
              </w:rPr>
              <w:t xml:space="preserve"> earlier Prevent referral from his previous school. This was then used as a reason to reinforce the idea that </w:t>
            </w:r>
            <w:proofErr w:type="spellStart"/>
            <w:r w:rsidRPr="000776A7">
              <w:rPr>
                <w:color w:val="222222"/>
                <w:sz w:val="24"/>
                <w:szCs w:val="24"/>
                <w:highlight w:val="white"/>
              </w:rPr>
              <w:t>Yaqoub</w:t>
            </w:r>
            <w:proofErr w:type="spellEnd"/>
            <w:r w:rsidRPr="000776A7">
              <w:rPr>
                <w:color w:val="222222"/>
                <w:sz w:val="24"/>
                <w:szCs w:val="24"/>
                <w:highlight w:val="white"/>
              </w:rPr>
              <w:t xml:space="preserve"> did not adhere to the “inclusivity” promoted by the </w:t>
            </w:r>
            <w:proofErr w:type="gramStart"/>
            <w:r w:rsidRPr="000776A7">
              <w:rPr>
                <w:color w:val="222222"/>
                <w:sz w:val="24"/>
                <w:szCs w:val="24"/>
                <w:highlight w:val="white"/>
              </w:rPr>
              <w:t>school</w:t>
            </w:r>
            <w:proofErr w:type="gramEnd"/>
            <w:r w:rsidRPr="000776A7">
              <w:rPr>
                <w:color w:val="222222"/>
                <w:sz w:val="24"/>
                <w:szCs w:val="24"/>
                <w:highlight w:val="white"/>
              </w:rPr>
              <w:t xml:space="preserve"> and he was told he should not come in to school. </w:t>
            </w:r>
          </w:p>
          <w:p w14:paraId="7FCCE2A9" w14:textId="77777777" w:rsidR="000776A7" w:rsidRPr="000776A7" w:rsidRDefault="000776A7" w:rsidP="000776A7">
            <w:pPr>
              <w:widowControl w:val="0"/>
              <w:spacing w:line="240" w:lineRule="auto"/>
              <w:rPr>
                <w:color w:val="222222"/>
                <w:sz w:val="24"/>
                <w:szCs w:val="24"/>
                <w:highlight w:val="white"/>
              </w:rPr>
            </w:pPr>
          </w:p>
          <w:p w14:paraId="72206282"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 xml:space="preserve">Although there was no decision to exclude or suspend or officially sanction him, </w:t>
            </w:r>
            <w:proofErr w:type="spellStart"/>
            <w:r w:rsidRPr="000776A7">
              <w:rPr>
                <w:color w:val="222222"/>
                <w:sz w:val="24"/>
                <w:szCs w:val="24"/>
                <w:highlight w:val="white"/>
              </w:rPr>
              <w:t>Yaqoub</w:t>
            </w:r>
            <w:proofErr w:type="spellEnd"/>
            <w:r w:rsidRPr="000776A7">
              <w:rPr>
                <w:color w:val="222222"/>
                <w:sz w:val="24"/>
                <w:szCs w:val="24"/>
                <w:highlight w:val="white"/>
              </w:rPr>
              <w:t xml:space="preserve"> was told to go home and ended up missing over a week of school as a result; this was only due to having been previously referred to Prevent and the sharing of data taken through Prevent, even when the referral went no further – this violated </w:t>
            </w:r>
            <w:proofErr w:type="spellStart"/>
            <w:r w:rsidRPr="000776A7">
              <w:rPr>
                <w:color w:val="222222"/>
                <w:sz w:val="24"/>
                <w:szCs w:val="24"/>
                <w:highlight w:val="white"/>
              </w:rPr>
              <w:t>Yaqoub’s</w:t>
            </w:r>
            <w:proofErr w:type="spellEnd"/>
            <w:r w:rsidRPr="000776A7">
              <w:rPr>
                <w:color w:val="222222"/>
                <w:sz w:val="24"/>
                <w:szCs w:val="24"/>
                <w:highlight w:val="white"/>
              </w:rPr>
              <w:t xml:space="preserve"> right to education.</w:t>
            </w:r>
          </w:p>
          <w:p w14:paraId="5F700265" w14:textId="77777777" w:rsidR="000776A7" w:rsidRPr="000776A7" w:rsidRDefault="000776A7" w:rsidP="000776A7">
            <w:pPr>
              <w:widowControl w:val="0"/>
              <w:spacing w:line="240" w:lineRule="auto"/>
              <w:rPr>
                <w:color w:val="222222"/>
                <w:sz w:val="24"/>
                <w:szCs w:val="24"/>
                <w:highlight w:val="white"/>
              </w:rPr>
            </w:pPr>
          </w:p>
        </w:tc>
        <w:tc>
          <w:tcPr>
            <w:tcW w:w="2126" w:type="dxa"/>
            <w:shd w:val="clear" w:color="auto" w:fill="auto"/>
            <w:tcMar>
              <w:top w:w="100" w:type="dxa"/>
              <w:left w:w="100" w:type="dxa"/>
              <w:bottom w:w="100" w:type="dxa"/>
              <w:right w:w="100" w:type="dxa"/>
            </w:tcMar>
          </w:tcPr>
          <w:p w14:paraId="6718CF8E"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Case documented by Prevent Watch in 2022</w:t>
            </w:r>
          </w:p>
        </w:tc>
      </w:tr>
      <w:tr w:rsidR="000776A7" w:rsidRPr="002B151A" w14:paraId="1B460F1E" w14:textId="77777777" w:rsidTr="000776A7">
        <w:tc>
          <w:tcPr>
            <w:tcW w:w="983" w:type="dxa"/>
            <w:shd w:val="clear" w:color="auto" w:fill="auto"/>
            <w:tcMar>
              <w:top w:w="100" w:type="dxa"/>
              <w:left w:w="100" w:type="dxa"/>
              <w:bottom w:w="100" w:type="dxa"/>
              <w:right w:w="100" w:type="dxa"/>
            </w:tcMar>
          </w:tcPr>
          <w:p w14:paraId="3E546D23"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30</w:t>
            </w:r>
          </w:p>
        </w:tc>
        <w:tc>
          <w:tcPr>
            <w:tcW w:w="1687" w:type="dxa"/>
            <w:shd w:val="clear" w:color="auto" w:fill="auto"/>
            <w:tcMar>
              <w:top w:w="100" w:type="dxa"/>
              <w:left w:w="100" w:type="dxa"/>
              <w:bottom w:w="100" w:type="dxa"/>
              <w:right w:w="100" w:type="dxa"/>
            </w:tcMar>
          </w:tcPr>
          <w:p w14:paraId="47EBAFFB"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Children of minorities or indigenous peoples</w:t>
            </w:r>
          </w:p>
        </w:tc>
        <w:tc>
          <w:tcPr>
            <w:tcW w:w="8235" w:type="dxa"/>
            <w:shd w:val="clear" w:color="auto" w:fill="auto"/>
            <w:tcMar>
              <w:top w:w="100" w:type="dxa"/>
              <w:left w:w="100" w:type="dxa"/>
              <w:bottom w:w="100" w:type="dxa"/>
              <w:right w:w="100" w:type="dxa"/>
            </w:tcMar>
          </w:tcPr>
          <w:p w14:paraId="37CB08F9"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 xml:space="preserve">An 8-year-old Palestinian refugee was viewed through the lens of Prevent by his school when he said that he did not like the UK and would rather be in Palestine, and that if it were not for the situation there, he would much rather be in Palestine. This was one of several comments the child made, and yet the rest of his statements were not taken into consideration, nor was the fact that he had suffered trauma or that such an expression was a natural longing for home, and that such a referral would worsen his experience of the UK considerably. </w:t>
            </w:r>
          </w:p>
        </w:tc>
        <w:tc>
          <w:tcPr>
            <w:tcW w:w="2126" w:type="dxa"/>
            <w:shd w:val="clear" w:color="auto" w:fill="auto"/>
            <w:tcMar>
              <w:top w:w="100" w:type="dxa"/>
              <w:left w:w="100" w:type="dxa"/>
              <w:bottom w:w="100" w:type="dxa"/>
              <w:right w:w="100" w:type="dxa"/>
            </w:tcMar>
          </w:tcPr>
          <w:p w14:paraId="03241BAB"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Case documented by Prevent Watch in 2023</w:t>
            </w:r>
          </w:p>
        </w:tc>
      </w:tr>
      <w:tr w:rsidR="000776A7" w:rsidRPr="002B151A" w14:paraId="68589339" w14:textId="77777777" w:rsidTr="000776A7">
        <w:tc>
          <w:tcPr>
            <w:tcW w:w="983" w:type="dxa"/>
            <w:shd w:val="clear" w:color="auto" w:fill="auto"/>
            <w:tcMar>
              <w:top w:w="100" w:type="dxa"/>
              <w:left w:w="100" w:type="dxa"/>
              <w:bottom w:w="100" w:type="dxa"/>
              <w:right w:w="100" w:type="dxa"/>
            </w:tcMar>
          </w:tcPr>
          <w:p w14:paraId="69BEBAE1"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37</w:t>
            </w:r>
          </w:p>
        </w:tc>
        <w:tc>
          <w:tcPr>
            <w:tcW w:w="1687" w:type="dxa"/>
            <w:shd w:val="clear" w:color="auto" w:fill="auto"/>
            <w:tcMar>
              <w:top w:w="100" w:type="dxa"/>
              <w:left w:w="100" w:type="dxa"/>
              <w:bottom w:w="100" w:type="dxa"/>
              <w:right w:w="100" w:type="dxa"/>
            </w:tcMar>
          </w:tcPr>
          <w:p w14:paraId="5514376F"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Torture and deprivation of liberty</w:t>
            </w:r>
          </w:p>
        </w:tc>
        <w:tc>
          <w:tcPr>
            <w:tcW w:w="8235" w:type="dxa"/>
            <w:shd w:val="clear" w:color="auto" w:fill="auto"/>
            <w:tcMar>
              <w:top w:w="100" w:type="dxa"/>
              <w:left w:w="100" w:type="dxa"/>
              <w:bottom w:w="100" w:type="dxa"/>
              <w:right w:w="100" w:type="dxa"/>
            </w:tcMar>
          </w:tcPr>
          <w:p w14:paraId="039F742C"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Adam is an 8-year-old who was interrogated by two counter terrorism officers and a social worker during his lunch time. This took place at school without the knowledge or consent of his parents. When the officers visited the family home later that day, he was terrified of seeing them and hid behind his family members. This interrogation of an 8-year-old was viewed as a form of torture by his family’s legal team who produced a supporting psychological assessment of the impact on Adam. This case is still being litigated.</w:t>
            </w:r>
          </w:p>
        </w:tc>
        <w:tc>
          <w:tcPr>
            <w:tcW w:w="2126" w:type="dxa"/>
            <w:shd w:val="clear" w:color="auto" w:fill="auto"/>
            <w:tcMar>
              <w:top w:w="100" w:type="dxa"/>
              <w:left w:w="100" w:type="dxa"/>
              <w:bottom w:w="100" w:type="dxa"/>
              <w:right w:w="100" w:type="dxa"/>
            </w:tcMar>
          </w:tcPr>
          <w:p w14:paraId="17385D1B"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Case of Adam in the People’s Review of Prevent</w:t>
            </w:r>
          </w:p>
        </w:tc>
      </w:tr>
      <w:tr w:rsidR="000776A7" w:rsidRPr="002B151A" w14:paraId="5FB2813E" w14:textId="77777777" w:rsidTr="000776A7">
        <w:tc>
          <w:tcPr>
            <w:tcW w:w="983" w:type="dxa"/>
            <w:shd w:val="clear" w:color="auto" w:fill="auto"/>
            <w:tcMar>
              <w:top w:w="100" w:type="dxa"/>
              <w:left w:w="100" w:type="dxa"/>
              <w:bottom w:w="100" w:type="dxa"/>
              <w:right w:w="100" w:type="dxa"/>
            </w:tcMar>
          </w:tcPr>
          <w:p w14:paraId="2914D750"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lastRenderedPageBreak/>
              <w:t>40</w:t>
            </w:r>
          </w:p>
        </w:tc>
        <w:tc>
          <w:tcPr>
            <w:tcW w:w="1687" w:type="dxa"/>
            <w:shd w:val="clear" w:color="auto" w:fill="auto"/>
            <w:tcMar>
              <w:top w:w="100" w:type="dxa"/>
              <w:left w:w="100" w:type="dxa"/>
              <w:bottom w:w="100" w:type="dxa"/>
              <w:right w:w="100" w:type="dxa"/>
            </w:tcMar>
          </w:tcPr>
          <w:p w14:paraId="1F94D73B" w14:textId="77777777" w:rsidR="000776A7" w:rsidRPr="000776A7" w:rsidRDefault="000776A7" w:rsidP="000776A7">
            <w:pPr>
              <w:shd w:val="clear" w:color="auto" w:fill="FFFFFF"/>
              <w:spacing w:before="240" w:after="240"/>
              <w:rPr>
                <w:color w:val="222222"/>
                <w:sz w:val="24"/>
                <w:szCs w:val="24"/>
                <w:highlight w:val="white"/>
              </w:rPr>
            </w:pPr>
            <w:r w:rsidRPr="000776A7">
              <w:rPr>
                <w:color w:val="222222"/>
                <w:sz w:val="24"/>
                <w:szCs w:val="24"/>
                <w:highlight w:val="white"/>
              </w:rPr>
              <w:t>Administration of juvenile justice</w:t>
            </w:r>
          </w:p>
        </w:tc>
        <w:tc>
          <w:tcPr>
            <w:tcW w:w="8235" w:type="dxa"/>
            <w:shd w:val="clear" w:color="auto" w:fill="auto"/>
            <w:tcMar>
              <w:top w:w="100" w:type="dxa"/>
              <w:left w:w="100" w:type="dxa"/>
              <w:bottom w:w="100" w:type="dxa"/>
              <w:right w:w="100" w:type="dxa"/>
            </w:tcMar>
          </w:tcPr>
          <w:p w14:paraId="2C11AAA2"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12-year-old Ibrahim was accused by a classmate of having been “homophobic”. Despite this not being remotely related to terrorism, the school referred the matter to Prevent and a Prevent officer interrogated Ibrahim alone for 32 minutes. During this session, the officer told the child that if he had made the alleged comment then he could get a criminal record. Throughout the interview the officer assumed that he had indeed made the comment by repeating that he was concerned that Ibrahim had a problem with homosexuality. This interrogation tactic to wear down an individual is familiar to counter terrorism work, but it is not suited to children.</w:t>
            </w:r>
          </w:p>
          <w:p w14:paraId="3CCBC52B" w14:textId="77777777" w:rsidR="000776A7" w:rsidRPr="000776A7" w:rsidRDefault="000776A7" w:rsidP="000776A7">
            <w:pPr>
              <w:widowControl w:val="0"/>
              <w:spacing w:line="240" w:lineRule="auto"/>
              <w:rPr>
                <w:color w:val="222222"/>
                <w:sz w:val="24"/>
                <w:szCs w:val="24"/>
                <w:highlight w:val="white"/>
              </w:rPr>
            </w:pPr>
          </w:p>
          <w:p w14:paraId="7057E4ED"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 xml:space="preserve">Not only does it violate the right to be presumed innocent, but it also violates the right of a child who is being questioned by police to have a guardian present. When PACE 1984 was raised in the complaint by parents to the police, it was suggested that since </w:t>
            </w:r>
            <w:proofErr w:type="gramStart"/>
            <w:r w:rsidRPr="000776A7">
              <w:rPr>
                <w:color w:val="222222"/>
                <w:sz w:val="24"/>
                <w:szCs w:val="24"/>
                <w:highlight w:val="white"/>
              </w:rPr>
              <w:t>Prevent</w:t>
            </w:r>
            <w:proofErr w:type="gramEnd"/>
            <w:r w:rsidRPr="000776A7">
              <w:rPr>
                <w:color w:val="222222"/>
                <w:sz w:val="24"/>
                <w:szCs w:val="24"/>
                <w:highlight w:val="white"/>
              </w:rPr>
              <w:t xml:space="preserve"> is not a criminal but pre-criminal intervention, PACE 1984 does not apply.</w:t>
            </w:r>
          </w:p>
        </w:tc>
        <w:tc>
          <w:tcPr>
            <w:tcW w:w="2126" w:type="dxa"/>
            <w:shd w:val="clear" w:color="auto" w:fill="auto"/>
            <w:tcMar>
              <w:top w:w="100" w:type="dxa"/>
              <w:left w:w="100" w:type="dxa"/>
              <w:bottom w:w="100" w:type="dxa"/>
              <w:right w:w="100" w:type="dxa"/>
            </w:tcMar>
          </w:tcPr>
          <w:p w14:paraId="76F63DEC" w14:textId="77777777" w:rsidR="000776A7" w:rsidRPr="000776A7" w:rsidRDefault="000776A7" w:rsidP="000776A7">
            <w:pPr>
              <w:widowControl w:val="0"/>
              <w:spacing w:line="240" w:lineRule="auto"/>
              <w:rPr>
                <w:color w:val="222222"/>
                <w:sz w:val="24"/>
                <w:szCs w:val="24"/>
                <w:highlight w:val="white"/>
              </w:rPr>
            </w:pPr>
            <w:r w:rsidRPr="000776A7">
              <w:rPr>
                <w:color w:val="222222"/>
                <w:sz w:val="24"/>
                <w:szCs w:val="24"/>
                <w:highlight w:val="white"/>
              </w:rPr>
              <w:t>Case of Ibrahim in the People’s Review of Prevent</w:t>
            </w:r>
          </w:p>
        </w:tc>
      </w:tr>
    </w:tbl>
    <w:p w14:paraId="0272B663" w14:textId="77777777" w:rsidR="000776A7" w:rsidRDefault="000776A7" w:rsidP="001C75A2">
      <w:pPr>
        <w:rPr>
          <w:highlight w:val="white"/>
        </w:rPr>
      </w:pPr>
    </w:p>
    <w:p w14:paraId="72E034D5" w14:textId="77777777" w:rsidR="000776A7" w:rsidRDefault="000776A7" w:rsidP="001C75A2">
      <w:pPr>
        <w:rPr>
          <w:highlight w:val="white"/>
        </w:rPr>
      </w:pPr>
    </w:p>
    <w:p w14:paraId="2750590F" w14:textId="77777777" w:rsidR="000776A7" w:rsidRDefault="000776A7" w:rsidP="001C75A2">
      <w:pPr>
        <w:rPr>
          <w:highlight w:val="white"/>
        </w:rPr>
      </w:pPr>
    </w:p>
    <w:p w14:paraId="4165DD77" w14:textId="77777777" w:rsidR="000776A7" w:rsidRDefault="000776A7" w:rsidP="001C75A2">
      <w:pPr>
        <w:rPr>
          <w:highlight w:val="white"/>
        </w:rPr>
      </w:pPr>
    </w:p>
    <w:p w14:paraId="7410AE08" w14:textId="50755C61" w:rsidR="000776A7" w:rsidRDefault="000776A7" w:rsidP="001C75A2">
      <w:pPr>
        <w:rPr>
          <w:highlight w:val="white"/>
        </w:rPr>
        <w:sectPr w:rsidR="000776A7" w:rsidSect="00D31A7B">
          <w:pgSz w:w="15840" w:h="12240" w:orient="landscape"/>
          <w:pgMar w:top="1440" w:right="1134" w:bottom="1440" w:left="1134" w:header="737" w:footer="737" w:gutter="0"/>
          <w:pgNumType w:start="1"/>
          <w:cols w:space="720"/>
          <w:docGrid w:linePitch="299"/>
        </w:sectPr>
      </w:pPr>
    </w:p>
    <w:p w14:paraId="57B95F0F" w14:textId="7EF2F700" w:rsidR="000123D9" w:rsidRPr="00BE0E5C" w:rsidRDefault="000123D9" w:rsidP="000776A7">
      <w:pPr>
        <w:pStyle w:val="Heading2"/>
        <w:rPr>
          <w:b/>
          <w:bCs/>
          <w:highlight w:val="white"/>
        </w:rPr>
      </w:pPr>
      <w:r w:rsidRPr="00BE0E5C">
        <w:rPr>
          <w:b/>
          <w:bCs/>
          <w:highlight w:val="white"/>
        </w:rPr>
        <w:lastRenderedPageBreak/>
        <w:t xml:space="preserve">The </w:t>
      </w:r>
      <w:r w:rsidR="00245989" w:rsidRPr="00BE0E5C">
        <w:rPr>
          <w:b/>
          <w:bCs/>
          <w:highlight w:val="white"/>
        </w:rPr>
        <w:t>G</w:t>
      </w:r>
      <w:r w:rsidRPr="00BE0E5C">
        <w:rPr>
          <w:b/>
          <w:bCs/>
          <w:highlight w:val="white"/>
        </w:rPr>
        <w:t>overnment review of Prevent</w:t>
      </w:r>
    </w:p>
    <w:p w14:paraId="3D6D9994" w14:textId="1176FF79" w:rsidR="000123D9" w:rsidRPr="002B151A" w:rsidRDefault="00A3305B" w:rsidP="00777156">
      <w:pPr>
        <w:pStyle w:val="Heading2"/>
        <w:rPr>
          <w:highlight w:val="white"/>
        </w:rPr>
      </w:pPr>
      <w:r w:rsidRPr="002B151A">
        <w:rPr>
          <w:highlight w:val="white"/>
        </w:rPr>
        <w:t xml:space="preserve">Prevent </w:t>
      </w:r>
      <w:r w:rsidR="000123D9" w:rsidRPr="002B151A">
        <w:rPr>
          <w:highlight w:val="white"/>
        </w:rPr>
        <w:t xml:space="preserve">had not </w:t>
      </w:r>
      <w:r w:rsidRPr="002B151A">
        <w:rPr>
          <w:highlight w:val="white"/>
        </w:rPr>
        <w:t xml:space="preserve">been </w:t>
      </w:r>
      <w:r w:rsidR="000123D9" w:rsidRPr="002B151A">
        <w:rPr>
          <w:highlight w:val="white"/>
        </w:rPr>
        <w:t xml:space="preserve">adequately </w:t>
      </w:r>
      <w:r w:rsidRPr="002B151A">
        <w:rPr>
          <w:highlight w:val="white"/>
        </w:rPr>
        <w:t>reviewed since its inception in 2003</w:t>
      </w:r>
      <w:r w:rsidR="000123D9" w:rsidRPr="002B151A">
        <w:rPr>
          <w:highlight w:val="white"/>
        </w:rPr>
        <w:t xml:space="preserve">, </w:t>
      </w:r>
      <w:r w:rsidR="00245989" w:rsidRPr="002B151A">
        <w:rPr>
          <w:highlight w:val="white"/>
        </w:rPr>
        <w:t xml:space="preserve">and </w:t>
      </w:r>
      <w:r w:rsidR="000123D9" w:rsidRPr="002B151A">
        <w:rPr>
          <w:highlight w:val="white"/>
        </w:rPr>
        <w:t xml:space="preserve">in </w:t>
      </w:r>
      <w:r w:rsidRPr="002B151A">
        <w:rPr>
          <w:highlight w:val="white"/>
        </w:rPr>
        <w:t xml:space="preserve">2019 the </w:t>
      </w:r>
      <w:r w:rsidR="00245989" w:rsidRPr="002B151A">
        <w:rPr>
          <w:highlight w:val="white"/>
        </w:rPr>
        <w:t>G</w:t>
      </w:r>
      <w:r w:rsidRPr="002B151A">
        <w:rPr>
          <w:highlight w:val="white"/>
        </w:rPr>
        <w:t xml:space="preserve">overnment conceded to an </w:t>
      </w:r>
      <w:r w:rsidR="000123D9" w:rsidRPr="002B151A">
        <w:rPr>
          <w:highlight w:val="white"/>
        </w:rPr>
        <w:t>“</w:t>
      </w:r>
      <w:r w:rsidRPr="002B151A">
        <w:rPr>
          <w:highlight w:val="white"/>
        </w:rPr>
        <w:t>independent</w:t>
      </w:r>
      <w:r w:rsidR="000123D9" w:rsidRPr="002B151A">
        <w:rPr>
          <w:highlight w:val="white"/>
        </w:rPr>
        <w:t>”</w:t>
      </w:r>
      <w:r w:rsidRPr="002B151A">
        <w:rPr>
          <w:highlight w:val="white"/>
        </w:rPr>
        <w:t xml:space="preserve"> review of Prevent. The review was conducted by William Shawcross</w:t>
      </w:r>
      <w:r w:rsidR="000123D9" w:rsidRPr="002B151A">
        <w:rPr>
          <w:highlight w:val="white"/>
        </w:rPr>
        <w:t xml:space="preserve"> who,</w:t>
      </w:r>
      <w:r w:rsidRPr="002B151A">
        <w:rPr>
          <w:highlight w:val="white"/>
        </w:rPr>
        <w:t xml:space="preserve"> despite being heavily boycotted for his</w:t>
      </w:r>
      <w:r w:rsidR="000123D9" w:rsidRPr="002B151A">
        <w:rPr>
          <w:highlight w:val="white"/>
        </w:rPr>
        <w:t xml:space="preserve"> well</w:t>
      </w:r>
      <w:r w:rsidR="00245989" w:rsidRPr="002B151A">
        <w:rPr>
          <w:highlight w:val="white"/>
        </w:rPr>
        <w:t>-</w:t>
      </w:r>
      <w:r w:rsidR="000123D9" w:rsidRPr="002B151A">
        <w:rPr>
          <w:highlight w:val="white"/>
        </w:rPr>
        <w:t>known anti-Islamic bias</w:t>
      </w:r>
      <w:r w:rsidR="00971ECF">
        <w:rPr>
          <w:rStyle w:val="FootnoteReference"/>
          <w:color w:val="222222"/>
          <w:szCs w:val="24"/>
          <w:highlight w:val="white"/>
        </w:rPr>
        <w:footnoteReference w:id="18"/>
      </w:r>
      <w:r w:rsidR="000123D9" w:rsidRPr="002B151A">
        <w:rPr>
          <w:highlight w:val="white"/>
        </w:rPr>
        <w:t xml:space="preserve"> and vocal support of Prevent</w:t>
      </w:r>
      <w:r w:rsidR="00971ECF">
        <w:rPr>
          <w:rStyle w:val="FootnoteReference"/>
          <w:color w:val="222222"/>
          <w:szCs w:val="24"/>
          <w:highlight w:val="white"/>
        </w:rPr>
        <w:footnoteReference w:id="19"/>
      </w:r>
      <w:r w:rsidR="000123D9" w:rsidRPr="002B151A">
        <w:rPr>
          <w:highlight w:val="white"/>
        </w:rPr>
        <w:t>,</w:t>
      </w:r>
      <w:r w:rsidRPr="002B151A">
        <w:rPr>
          <w:highlight w:val="white"/>
        </w:rPr>
        <w:t xml:space="preserve"> published his review on </w:t>
      </w:r>
      <w:r w:rsidR="00245989" w:rsidRPr="002B151A">
        <w:rPr>
          <w:highlight w:val="white"/>
        </w:rPr>
        <w:t xml:space="preserve">8 </w:t>
      </w:r>
      <w:r w:rsidRPr="002B151A">
        <w:rPr>
          <w:highlight w:val="white"/>
        </w:rPr>
        <w:t>Feb</w:t>
      </w:r>
      <w:r w:rsidR="00245989" w:rsidRPr="002B151A">
        <w:rPr>
          <w:highlight w:val="white"/>
        </w:rPr>
        <w:t>ruary</w:t>
      </w:r>
      <w:r w:rsidRPr="002B151A">
        <w:rPr>
          <w:highlight w:val="white"/>
        </w:rPr>
        <w:t xml:space="preserve"> 2023</w:t>
      </w:r>
      <w:r w:rsidR="00245989" w:rsidRPr="002B151A">
        <w:rPr>
          <w:highlight w:val="white"/>
        </w:rPr>
        <w:t xml:space="preserve"> (the "</w:t>
      </w:r>
      <w:r w:rsidR="00245989" w:rsidRPr="002B151A">
        <w:rPr>
          <w:b/>
          <w:bCs/>
          <w:highlight w:val="white"/>
        </w:rPr>
        <w:t>Government Review</w:t>
      </w:r>
      <w:r w:rsidR="00245989" w:rsidRPr="002B151A">
        <w:rPr>
          <w:highlight w:val="white"/>
        </w:rPr>
        <w:t>")</w:t>
      </w:r>
      <w:r w:rsidR="000123D9" w:rsidRPr="002B151A">
        <w:rPr>
          <w:highlight w:val="white"/>
        </w:rPr>
        <w:t xml:space="preserve">. The </w:t>
      </w:r>
      <w:r w:rsidR="00245989" w:rsidRPr="002B151A">
        <w:rPr>
          <w:highlight w:val="white"/>
        </w:rPr>
        <w:t>Government R</w:t>
      </w:r>
      <w:r w:rsidR="000123D9" w:rsidRPr="002B151A">
        <w:rPr>
          <w:highlight w:val="white"/>
        </w:rPr>
        <w:t xml:space="preserve">eview </w:t>
      </w:r>
      <w:r w:rsidR="00F818C8">
        <w:rPr>
          <w:highlight w:val="white"/>
        </w:rPr>
        <w:t xml:space="preserve">was </w:t>
      </w:r>
      <w:proofErr w:type="spellStart"/>
      <w:r w:rsidR="00F818C8">
        <w:rPr>
          <w:highlight w:val="white"/>
        </w:rPr>
        <w:t>criticised</w:t>
      </w:r>
      <w:proofErr w:type="spellEnd"/>
      <w:r w:rsidR="00F818C8">
        <w:rPr>
          <w:highlight w:val="white"/>
        </w:rPr>
        <w:t xml:space="preserve"> for not adhering to policies of independent reviews by Rights and Security International, who raised concerns of </w:t>
      </w:r>
      <w:proofErr w:type="gramStart"/>
      <w:r w:rsidR="00F818C8">
        <w:rPr>
          <w:highlight w:val="white"/>
        </w:rPr>
        <w:t>Home</w:t>
      </w:r>
      <w:proofErr w:type="gramEnd"/>
      <w:r w:rsidR="00F818C8">
        <w:rPr>
          <w:highlight w:val="white"/>
        </w:rPr>
        <w:t xml:space="preserve"> Office interference in the review</w:t>
      </w:r>
      <w:r w:rsidR="00F818C8">
        <w:rPr>
          <w:rStyle w:val="FootnoteReference"/>
          <w:color w:val="222222"/>
          <w:szCs w:val="24"/>
          <w:highlight w:val="white"/>
        </w:rPr>
        <w:footnoteReference w:id="20"/>
      </w:r>
      <w:r w:rsidR="00F818C8">
        <w:rPr>
          <w:highlight w:val="white"/>
        </w:rPr>
        <w:t xml:space="preserve">. Since then, it </w:t>
      </w:r>
      <w:r w:rsidR="000123D9" w:rsidRPr="002B151A">
        <w:rPr>
          <w:highlight w:val="white"/>
        </w:rPr>
        <w:t xml:space="preserve">has been widely </w:t>
      </w:r>
      <w:r w:rsidR="00245989" w:rsidRPr="002B151A">
        <w:rPr>
          <w:highlight w:val="white"/>
        </w:rPr>
        <w:t xml:space="preserve">condemned </w:t>
      </w:r>
      <w:r w:rsidR="00F818C8">
        <w:rPr>
          <w:highlight w:val="white"/>
        </w:rPr>
        <w:t xml:space="preserve">in the media </w:t>
      </w:r>
      <w:r w:rsidR="00245989" w:rsidRPr="002B151A">
        <w:rPr>
          <w:highlight w:val="white"/>
        </w:rPr>
        <w:t xml:space="preserve">for: </w:t>
      </w:r>
      <w:r w:rsidR="000123D9" w:rsidRPr="002B151A">
        <w:rPr>
          <w:highlight w:val="white"/>
        </w:rPr>
        <w:t>be</w:t>
      </w:r>
      <w:r w:rsidR="00245989" w:rsidRPr="002B151A">
        <w:rPr>
          <w:highlight w:val="white"/>
        </w:rPr>
        <w:t>ing</w:t>
      </w:r>
      <w:r w:rsidR="000123D9" w:rsidRPr="002B151A">
        <w:rPr>
          <w:highlight w:val="white"/>
        </w:rPr>
        <w:t xml:space="preserve"> highly anecdotal and biased</w:t>
      </w:r>
      <w:r w:rsidR="00245989" w:rsidRPr="002B151A">
        <w:rPr>
          <w:highlight w:val="white"/>
        </w:rPr>
        <w:t>;</w:t>
      </w:r>
      <w:r w:rsidR="000123D9" w:rsidRPr="002B151A">
        <w:rPr>
          <w:highlight w:val="white"/>
        </w:rPr>
        <w:t xml:space="preserve"> </w:t>
      </w:r>
      <w:r w:rsidR="00842372">
        <w:rPr>
          <w:highlight w:val="white"/>
        </w:rPr>
        <w:t>ignoring</w:t>
      </w:r>
      <w:r w:rsidR="000123D9" w:rsidRPr="002B151A">
        <w:rPr>
          <w:highlight w:val="white"/>
        </w:rPr>
        <w:t xml:space="preserve"> the rising problem of right-wing violence</w:t>
      </w:r>
      <w:r w:rsidR="00971ECF">
        <w:rPr>
          <w:highlight w:val="white"/>
        </w:rPr>
        <w:t xml:space="preserve"> (in fact, </w:t>
      </w:r>
      <w:proofErr w:type="spellStart"/>
      <w:r w:rsidR="00971ECF">
        <w:rPr>
          <w:highlight w:val="white"/>
        </w:rPr>
        <w:t>Mr</w:t>
      </w:r>
      <w:proofErr w:type="spellEnd"/>
      <w:r w:rsidR="00971ECF">
        <w:rPr>
          <w:highlight w:val="white"/>
        </w:rPr>
        <w:t xml:space="preserve"> </w:t>
      </w:r>
      <w:proofErr w:type="spellStart"/>
      <w:r w:rsidR="00971ECF">
        <w:rPr>
          <w:highlight w:val="white"/>
        </w:rPr>
        <w:t>Shawcross</w:t>
      </w:r>
      <w:proofErr w:type="spellEnd"/>
      <w:r w:rsidR="00971ECF">
        <w:rPr>
          <w:highlight w:val="white"/>
        </w:rPr>
        <w:t xml:space="preserve"> did not even mention right-wing attacks anywhere in his report and stated that the problem was being overreported, when statistics reveal the opposite)</w:t>
      </w:r>
      <w:r w:rsidR="00245989" w:rsidRPr="002B151A">
        <w:rPr>
          <w:highlight w:val="white"/>
        </w:rPr>
        <w:t>;</w:t>
      </w:r>
      <w:r w:rsidR="000123D9" w:rsidRPr="002B151A">
        <w:rPr>
          <w:highlight w:val="white"/>
        </w:rPr>
        <w:t xml:space="preserve"> and</w:t>
      </w:r>
      <w:r w:rsidR="00245989" w:rsidRPr="002B151A">
        <w:rPr>
          <w:highlight w:val="white"/>
        </w:rPr>
        <w:t>,</w:t>
      </w:r>
      <w:r w:rsidR="000123D9" w:rsidRPr="002B151A">
        <w:rPr>
          <w:highlight w:val="white"/>
        </w:rPr>
        <w:t xml:space="preserve"> </w:t>
      </w:r>
      <w:r w:rsidR="00842372">
        <w:rPr>
          <w:highlight w:val="white"/>
        </w:rPr>
        <w:t>failing</w:t>
      </w:r>
      <w:r w:rsidR="00245989" w:rsidRPr="002B151A">
        <w:rPr>
          <w:highlight w:val="white"/>
        </w:rPr>
        <w:t xml:space="preserve"> </w:t>
      </w:r>
      <w:r w:rsidR="000123D9" w:rsidRPr="002B151A">
        <w:rPr>
          <w:highlight w:val="white"/>
        </w:rPr>
        <w:t xml:space="preserve">to consider any evidence of </w:t>
      </w:r>
      <w:proofErr w:type="spellStart"/>
      <w:r w:rsidR="000123D9" w:rsidRPr="002B151A">
        <w:rPr>
          <w:highlight w:val="white"/>
        </w:rPr>
        <w:t>Prevent’s</w:t>
      </w:r>
      <w:proofErr w:type="spellEnd"/>
      <w:r w:rsidR="000123D9" w:rsidRPr="002B151A">
        <w:rPr>
          <w:highlight w:val="white"/>
        </w:rPr>
        <w:t xml:space="preserve"> harm</w:t>
      </w:r>
      <w:r w:rsidR="00245989" w:rsidRPr="002B151A">
        <w:rPr>
          <w:highlight w:val="white"/>
        </w:rPr>
        <w:t>ful</w:t>
      </w:r>
      <w:r w:rsidR="000123D9" w:rsidRPr="002B151A">
        <w:rPr>
          <w:highlight w:val="white"/>
        </w:rPr>
        <w:t xml:space="preserve"> </w:t>
      </w:r>
      <w:r w:rsidR="00245989" w:rsidRPr="002B151A">
        <w:rPr>
          <w:highlight w:val="white"/>
        </w:rPr>
        <w:t>impact, particularly on</w:t>
      </w:r>
      <w:r w:rsidR="000123D9" w:rsidRPr="002B151A">
        <w:rPr>
          <w:highlight w:val="white"/>
        </w:rPr>
        <w:t xml:space="preserve"> Muslim children.</w:t>
      </w:r>
    </w:p>
    <w:p w14:paraId="5AD1BFA4" w14:textId="0FD6C427" w:rsidR="000123D9" w:rsidRPr="002B151A" w:rsidRDefault="000123D9" w:rsidP="00777156">
      <w:pPr>
        <w:pStyle w:val="Heading2"/>
        <w:rPr>
          <w:highlight w:val="white"/>
        </w:rPr>
      </w:pPr>
      <w:r w:rsidRPr="002B151A">
        <w:rPr>
          <w:color w:val="222222"/>
          <w:highlight w:val="white"/>
        </w:rPr>
        <w:t>Although the review</w:t>
      </w:r>
      <w:r w:rsidR="00A3305B" w:rsidRPr="002B151A">
        <w:rPr>
          <w:color w:val="222222"/>
          <w:highlight w:val="white"/>
        </w:rPr>
        <w:t xml:space="preserve"> </w:t>
      </w:r>
      <w:r w:rsidR="00A3305B" w:rsidRPr="002B151A">
        <w:rPr>
          <w:highlight w:val="white"/>
        </w:rPr>
        <w:t>reinforces the fact that Prevent is not safeguarding</w:t>
      </w:r>
      <w:r w:rsidR="00A52A6C">
        <w:rPr>
          <w:highlight w:val="white"/>
        </w:rPr>
        <w:t xml:space="preserve"> by </w:t>
      </w:r>
      <w:proofErr w:type="spellStart"/>
      <w:r w:rsidR="00A52A6C">
        <w:rPr>
          <w:highlight w:val="white"/>
        </w:rPr>
        <w:t>Shawcross</w:t>
      </w:r>
      <w:proofErr w:type="spellEnd"/>
      <w:r w:rsidR="00A52A6C">
        <w:rPr>
          <w:highlight w:val="white"/>
        </w:rPr>
        <w:t xml:space="preserve"> himself</w:t>
      </w:r>
      <w:r w:rsidRPr="002B151A">
        <w:rPr>
          <w:highlight w:val="white"/>
        </w:rPr>
        <w:t xml:space="preserve">, </w:t>
      </w:r>
      <w:proofErr w:type="spellStart"/>
      <w:r w:rsidRPr="002B151A">
        <w:rPr>
          <w:highlight w:val="white"/>
        </w:rPr>
        <w:t>Mr</w:t>
      </w:r>
      <w:proofErr w:type="spellEnd"/>
      <w:r w:rsidRPr="002B151A">
        <w:rPr>
          <w:highlight w:val="white"/>
        </w:rPr>
        <w:t xml:space="preserve"> </w:t>
      </w:r>
      <w:proofErr w:type="spellStart"/>
      <w:r w:rsidRPr="002B151A">
        <w:rPr>
          <w:highlight w:val="white"/>
        </w:rPr>
        <w:t>Shawcross</w:t>
      </w:r>
      <w:proofErr w:type="spellEnd"/>
      <w:r w:rsidRPr="002B151A">
        <w:rPr>
          <w:highlight w:val="white"/>
        </w:rPr>
        <w:t xml:space="preserve"> </w:t>
      </w:r>
      <w:r w:rsidR="00CB4DB1">
        <w:rPr>
          <w:highlight w:val="white"/>
        </w:rPr>
        <w:t xml:space="preserve">then </w:t>
      </w:r>
      <w:r w:rsidRPr="002B151A">
        <w:rPr>
          <w:highlight w:val="white"/>
        </w:rPr>
        <w:t xml:space="preserve">failed </w:t>
      </w:r>
      <w:r w:rsidR="00A3305B" w:rsidRPr="002B151A">
        <w:rPr>
          <w:highlight w:val="white"/>
        </w:rPr>
        <w:t xml:space="preserve">to take this to its logical conclusion, which is to remove it from schools </w:t>
      </w:r>
      <w:r w:rsidRPr="002B151A">
        <w:rPr>
          <w:highlight w:val="white"/>
        </w:rPr>
        <w:t xml:space="preserve">entirely. </w:t>
      </w:r>
    </w:p>
    <w:p w14:paraId="6B468E1F" w14:textId="77777777" w:rsidR="00F818C8" w:rsidRDefault="00245989" w:rsidP="00777156">
      <w:pPr>
        <w:pStyle w:val="Heading2"/>
        <w:rPr>
          <w:color w:val="222222"/>
          <w:highlight w:val="white"/>
        </w:rPr>
      </w:pPr>
      <w:r w:rsidRPr="002B151A">
        <w:rPr>
          <w:color w:val="222222"/>
          <w:highlight w:val="white"/>
        </w:rPr>
        <w:t xml:space="preserve">On data privacy concerns associated with Prevent, the Government Review substantially oversimplified the issue in recommending </w:t>
      </w:r>
      <w:r w:rsidR="00F65415" w:rsidRPr="002B151A">
        <w:rPr>
          <w:color w:val="222222"/>
          <w:highlight w:val="white"/>
        </w:rPr>
        <w:t xml:space="preserve">that data be retained for three instead of six years. </w:t>
      </w:r>
      <w:r w:rsidR="00F8496C">
        <w:rPr>
          <w:color w:val="222222"/>
          <w:highlight w:val="white"/>
        </w:rPr>
        <w:t>In doing so, it appears t</w:t>
      </w:r>
      <w:r w:rsidRPr="002B151A">
        <w:rPr>
          <w:color w:val="222222"/>
          <w:highlight w:val="white"/>
        </w:rPr>
        <w:t>he Government Review</w:t>
      </w:r>
      <w:r w:rsidR="00F65415" w:rsidRPr="002B151A">
        <w:rPr>
          <w:color w:val="222222"/>
          <w:highlight w:val="white"/>
        </w:rPr>
        <w:t xml:space="preserve"> displays </w:t>
      </w:r>
      <w:r w:rsidR="00C5172F">
        <w:rPr>
          <w:color w:val="222222"/>
          <w:highlight w:val="white"/>
        </w:rPr>
        <w:t>a</w:t>
      </w:r>
      <w:r w:rsidR="00F65415" w:rsidRPr="002B151A">
        <w:rPr>
          <w:color w:val="222222"/>
          <w:highlight w:val="white"/>
        </w:rPr>
        <w:t xml:space="preserve"> lack of knowledge </w:t>
      </w:r>
      <w:proofErr w:type="gramStart"/>
      <w:r w:rsidR="00F65415" w:rsidRPr="002B151A">
        <w:rPr>
          <w:color w:val="222222"/>
          <w:highlight w:val="white"/>
        </w:rPr>
        <w:t>on the subject of data</w:t>
      </w:r>
      <w:proofErr w:type="gramEnd"/>
      <w:r w:rsidR="00F65415" w:rsidRPr="002B151A">
        <w:rPr>
          <w:color w:val="222222"/>
          <w:highlight w:val="white"/>
        </w:rPr>
        <w:t xml:space="preserve"> retention</w:t>
      </w:r>
      <w:r w:rsidR="00E6300C" w:rsidRPr="002B151A">
        <w:rPr>
          <w:color w:val="222222"/>
          <w:highlight w:val="white"/>
        </w:rPr>
        <w:t xml:space="preserve">. Currently, a Prevent referral and associated data </w:t>
      </w:r>
      <w:r w:rsidR="00C5172F">
        <w:rPr>
          <w:color w:val="222222"/>
          <w:highlight w:val="white"/>
        </w:rPr>
        <w:t>are</w:t>
      </w:r>
      <w:r w:rsidR="00E6300C" w:rsidRPr="002B151A">
        <w:rPr>
          <w:color w:val="222222"/>
          <w:highlight w:val="white"/>
        </w:rPr>
        <w:t xml:space="preserve"> retained for a minimum of six years and then reviewed under criteria that are not transparent</w:t>
      </w:r>
      <w:r w:rsidR="005A20E0" w:rsidRPr="002B151A">
        <w:rPr>
          <w:color w:val="222222"/>
          <w:highlight w:val="white"/>
        </w:rPr>
        <w:t xml:space="preserve">. This review is considered under </w:t>
      </w:r>
      <w:r w:rsidR="00A0793D">
        <w:rPr>
          <w:color w:val="222222"/>
          <w:highlight w:val="white"/>
        </w:rPr>
        <w:t>Management of Police Information (</w:t>
      </w:r>
      <w:r w:rsidR="005A20E0" w:rsidRPr="002B151A">
        <w:rPr>
          <w:color w:val="222222"/>
          <w:highlight w:val="white"/>
        </w:rPr>
        <w:t>MOPI</w:t>
      </w:r>
      <w:r w:rsidR="00A0793D">
        <w:rPr>
          <w:color w:val="222222"/>
          <w:highlight w:val="white"/>
        </w:rPr>
        <w:t>)</w:t>
      </w:r>
      <w:r w:rsidR="005A20E0" w:rsidRPr="002B151A">
        <w:rPr>
          <w:color w:val="222222"/>
          <w:highlight w:val="white"/>
        </w:rPr>
        <w:t xml:space="preserve"> guidance</w:t>
      </w:r>
      <w:r w:rsidR="00253850">
        <w:rPr>
          <w:color w:val="222222"/>
          <w:highlight w:val="white"/>
        </w:rPr>
        <w:t xml:space="preserve">, which is a framework </w:t>
      </w:r>
      <w:r w:rsidR="006D317D">
        <w:rPr>
          <w:color w:val="222222"/>
          <w:highlight w:val="white"/>
        </w:rPr>
        <w:t xml:space="preserve">of how </w:t>
      </w:r>
      <w:r w:rsidR="0085133A">
        <w:rPr>
          <w:color w:val="222222"/>
          <w:highlight w:val="white"/>
        </w:rPr>
        <w:t>police information should be managed,</w:t>
      </w:r>
      <w:r w:rsidR="005A20E0" w:rsidRPr="002B151A">
        <w:rPr>
          <w:color w:val="222222"/>
          <w:highlight w:val="white"/>
        </w:rPr>
        <w:t xml:space="preserve"> where </w:t>
      </w:r>
      <w:proofErr w:type="gramStart"/>
      <w:r w:rsidR="005A20E0" w:rsidRPr="002B151A">
        <w:rPr>
          <w:color w:val="222222"/>
          <w:highlight w:val="white"/>
        </w:rPr>
        <w:t>Prevent</w:t>
      </w:r>
      <w:proofErr w:type="gramEnd"/>
      <w:r w:rsidR="005A20E0" w:rsidRPr="002B151A">
        <w:rPr>
          <w:color w:val="222222"/>
          <w:highlight w:val="white"/>
        </w:rPr>
        <w:t xml:space="preserve"> is considered </w:t>
      </w:r>
      <w:r w:rsidR="009A0E1B" w:rsidRPr="002B151A">
        <w:rPr>
          <w:color w:val="222222"/>
          <w:highlight w:val="white"/>
        </w:rPr>
        <w:t>under the category of a terror offence and therefore could potentially be saved for 100 years on police databases.</w:t>
      </w:r>
      <w:r w:rsidR="00F65415" w:rsidRPr="002B151A">
        <w:rPr>
          <w:color w:val="222222"/>
          <w:highlight w:val="white"/>
        </w:rPr>
        <w:t xml:space="preserve"> </w:t>
      </w:r>
    </w:p>
    <w:p w14:paraId="0DCE776C" w14:textId="033A366C" w:rsidR="00F65415" w:rsidRPr="002B151A" w:rsidRDefault="009A0E1B" w:rsidP="00777156">
      <w:pPr>
        <w:pStyle w:val="Heading2"/>
        <w:rPr>
          <w:color w:val="222222"/>
          <w:highlight w:val="white"/>
        </w:rPr>
      </w:pPr>
      <w:r w:rsidRPr="002B151A">
        <w:rPr>
          <w:color w:val="222222"/>
          <w:highlight w:val="white"/>
        </w:rPr>
        <w:t xml:space="preserve">The recent suggestion to change the six year data retention to three year data retention is still not good enough as this is </w:t>
      </w:r>
      <w:proofErr w:type="spellStart"/>
      <w:r w:rsidRPr="002B151A">
        <w:rPr>
          <w:color w:val="222222"/>
          <w:highlight w:val="white"/>
        </w:rPr>
        <w:t>i</w:t>
      </w:r>
      <w:proofErr w:type="spellEnd"/>
      <w:r w:rsidRPr="002B151A">
        <w:rPr>
          <w:color w:val="222222"/>
          <w:highlight w:val="white"/>
        </w:rPr>
        <w:t>) only a minimum requirement,</w:t>
      </w:r>
      <w:r w:rsidR="002039AB" w:rsidRPr="002B151A">
        <w:rPr>
          <w:color w:val="222222"/>
          <w:highlight w:val="white"/>
        </w:rPr>
        <w:t xml:space="preserve"> ii</w:t>
      </w:r>
      <w:r w:rsidRPr="002B151A">
        <w:rPr>
          <w:color w:val="222222"/>
          <w:highlight w:val="white"/>
        </w:rPr>
        <w:t xml:space="preserve">) is still </w:t>
      </w:r>
      <w:r w:rsidR="0059337E">
        <w:rPr>
          <w:color w:val="222222"/>
          <w:highlight w:val="white"/>
        </w:rPr>
        <w:t xml:space="preserve">in respect of </w:t>
      </w:r>
      <w:proofErr w:type="spellStart"/>
      <w:r w:rsidRPr="002B151A">
        <w:rPr>
          <w:color w:val="222222"/>
          <w:highlight w:val="white"/>
        </w:rPr>
        <w:t>of</w:t>
      </w:r>
      <w:proofErr w:type="spellEnd"/>
      <w:r w:rsidRPr="002B151A">
        <w:rPr>
          <w:color w:val="222222"/>
          <w:highlight w:val="white"/>
        </w:rPr>
        <w:t xml:space="preserve"> individuals who have committed no cr</w:t>
      </w:r>
      <w:r w:rsidR="0059337E">
        <w:rPr>
          <w:color w:val="222222"/>
          <w:highlight w:val="white"/>
        </w:rPr>
        <w:t>i</w:t>
      </w:r>
      <w:r w:rsidRPr="002B151A">
        <w:rPr>
          <w:color w:val="222222"/>
          <w:highlight w:val="white"/>
        </w:rPr>
        <w:t>me and even under Prevent are considered as requiring no further action, iii) ar</w:t>
      </w:r>
      <w:r w:rsidR="002039AB" w:rsidRPr="002B151A">
        <w:rPr>
          <w:color w:val="222222"/>
          <w:highlight w:val="white"/>
        </w:rPr>
        <w:t>e not guaranteed to have their data removed in three years as upon review it could be considered suitable to re</w:t>
      </w:r>
      <w:r w:rsidR="00245989" w:rsidRPr="002B151A">
        <w:rPr>
          <w:color w:val="222222"/>
          <w:highlight w:val="white"/>
        </w:rPr>
        <w:t>t</w:t>
      </w:r>
      <w:r w:rsidR="002039AB" w:rsidRPr="002B151A">
        <w:rPr>
          <w:color w:val="222222"/>
          <w:highlight w:val="white"/>
        </w:rPr>
        <w:t>ain for longer.</w:t>
      </w:r>
      <w:r w:rsidRPr="002B151A">
        <w:rPr>
          <w:color w:val="222222"/>
          <w:highlight w:val="white"/>
        </w:rPr>
        <w:t xml:space="preserve">  </w:t>
      </w:r>
      <w:r w:rsidR="002039AB" w:rsidRPr="002B151A">
        <w:rPr>
          <w:color w:val="222222"/>
          <w:highlight w:val="white"/>
        </w:rPr>
        <w:t xml:space="preserve">Furthermore, each child </w:t>
      </w:r>
      <w:r w:rsidR="00601B50" w:rsidRPr="002B151A">
        <w:rPr>
          <w:color w:val="222222"/>
          <w:highlight w:val="white"/>
        </w:rPr>
        <w:t xml:space="preserve">subject to a </w:t>
      </w:r>
      <w:r w:rsidR="002039AB" w:rsidRPr="002B151A">
        <w:rPr>
          <w:color w:val="222222"/>
          <w:highlight w:val="white"/>
        </w:rPr>
        <w:t xml:space="preserve">Prevent referral is </w:t>
      </w:r>
      <w:r w:rsidR="00601B50" w:rsidRPr="002B151A">
        <w:rPr>
          <w:color w:val="222222"/>
          <w:highlight w:val="white"/>
        </w:rPr>
        <w:t>subject to</w:t>
      </w:r>
      <w:r w:rsidR="002039AB" w:rsidRPr="002B151A">
        <w:rPr>
          <w:color w:val="222222"/>
          <w:highlight w:val="white"/>
        </w:rPr>
        <w:t xml:space="preserve"> a social services referral and data can be stored with children</w:t>
      </w:r>
      <w:r w:rsidR="00601B50" w:rsidRPr="002B151A">
        <w:rPr>
          <w:color w:val="222222"/>
          <w:highlight w:val="white"/>
        </w:rPr>
        <w:t>'</w:t>
      </w:r>
      <w:r w:rsidR="002039AB" w:rsidRPr="002B151A">
        <w:rPr>
          <w:color w:val="222222"/>
          <w:highlight w:val="white"/>
        </w:rPr>
        <w:t>s services 25 years after the child turns 18.</w:t>
      </w:r>
    </w:p>
    <w:p w14:paraId="74750480" w14:textId="4C776397" w:rsidR="000123D9" w:rsidRPr="002B151A" w:rsidRDefault="00F65415" w:rsidP="00777156">
      <w:pPr>
        <w:pStyle w:val="Heading2"/>
        <w:rPr>
          <w:b/>
          <w:color w:val="222222"/>
          <w:highlight w:val="white"/>
        </w:rPr>
      </w:pPr>
      <w:r w:rsidRPr="002B151A">
        <w:rPr>
          <w:highlight w:val="white"/>
        </w:rPr>
        <w:lastRenderedPageBreak/>
        <w:t>Instead of exploring the implications of these crucial aspects of Prevent on children’s rights</w:t>
      </w:r>
      <w:r w:rsidR="00A3305B" w:rsidRPr="002B151A">
        <w:rPr>
          <w:highlight w:val="white"/>
        </w:rPr>
        <w:t xml:space="preserve">, </w:t>
      </w:r>
      <w:r w:rsidR="0059337E">
        <w:rPr>
          <w:highlight w:val="white"/>
        </w:rPr>
        <w:t>the Government Review</w:t>
      </w:r>
      <w:r w:rsidR="000123D9" w:rsidRPr="002B151A">
        <w:rPr>
          <w:highlight w:val="white"/>
        </w:rPr>
        <w:t xml:space="preserve"> </w:t>
      </w:r>
      <w:r w:rsidR="00A3305B" w:rsidRPr="002B151A">
        <w:rPr>
          <w:highlight w:val="white"/>
        </w:rPr>
        <w:t xml:space="preserve">suggests that </w:t>
      </w:r>
      <w:r w:rsidR="0059337E">
        <w:rPr>
          <w:highlight w:val="white"/>
        </w:rPr>
        <w:t xml:space="preserve">the UK </w:t>
      </w:r>
      <w:r w:rsidR="000123D9" w:rsidRPr="002B151A">
        <w:rPr>
          <w:highlight w:val="white"/>
        </w:rPr>
        <w:t xml:space="preserve">government </w:t>
      </w:r>
      <w:r w:rsidR="00A3305B" w:rsidRPr="002B151A">
        <w:rPr>
          <w:highlight w:val="white"/>
        </w:rPr>
        <w:t xml:space="preserve">should consider </w:t>
      </w:r>
      <w:r w:rsidR="00A3305B" w:rsidRPr="002B151A">
        <w:rPr>
          <w:b/>
          <w:color w:val="222222"/>
          <w:highlight w:val="white"/>
        </w:rPr>
        <w:t>“</w:t>
      </w:r>
      <w:r w:rsidR="00A3305B" w:rsidRPr="002B151A">
        <w:rPr>
          <w:b/>
          <w:i/>
          <w:color w:val="222222"/>
        </w:rPr>
        <w:t xml:space="preserve">extending the Prevent </w:t>
      </w:r>
      <w:r w:rsidR="00B42D6C">
        <w:rPr>
          <w:b/>
          <w:i/>
          <w:color w:val="222222"/>
        </w:rPr>
        <w:t>D</w:t>
      </w:r>
      <w:r w:rsidR="00A3305B" w:rsidRPr="002B151A">
        <w:rPr>
          <w:b/>
          <w:i/>
          <w:color w:val="222222"/>
        </w:rPr>
        <w:t>uty to broaden the touch points in place for frontline professionals to identify and refer relevant concerns to Prevent</w:t>
      </w:r>
      <w:r w:rsidR="00A3305B" w:rsidRPr="002B151A">
        <w:rPr>
          <w:b/>
          <w:color w:val="222222"/>
          <w:highlight w:val="white"/>
        </w:rPr>
        <w:t>”</w:t>
      </w:r>
      <w:r w:rsidR="000123D9" w:rsidRPr="002B151A">
        <w:rPr>
          <w:b/>
          <w:color w:val="222222"/>
          <w:highlight w:val="white"/>
        </w:rPr>
        <w:t>.</w:t>
      </w:r>
    </w:p>
    <w:p w14:paraId="07C18B15" w14:textId="30120D8F" w:rsidR="009A1583" w:rsidRPr="002B151A" w:rsidRDefault="000123D9" w:rsidP="00777156">
      <w:pPr>
        <w:pStyle w:val="Heading2"/>
        <w:rPr>
          <w:color w:val="222222"/>
          <w:highlight w:val="white"/>
        </w:rPr>
      </w:pPr>
      <w:r w:rsidRPr="002B151A">
        <w:rPr>
          <w:bCs/>
          <w:color w:val="222222"/>
          <w:highlight w:val="white"/>
        </w:rPr>
        <w:t>We believe</w:t>
      </w:r>
      <w:r w:rsidRPr="002B151A">
        <w:rPr>
          <w:b/>
          <w:color w:val="222222"/>
          <w:highlight w:val="white"/>
        </w:rPr>
        <w:t xml:space="preserve"> </w:t>
      </w:r>
      <w:r w:rsidRPr="002B151A">
        <w:rPr>
          <w:color w:val="222222"/>
          <w:highlight w:val="white"/>
        </w:rPr>
        <w:t>this would lead to more Prevent referrals of children and further exacerbate serious child protection issues already presented under Prevent.</w:t>
      </w:r>
    </w:p>
    <w:p w14:paraId="70ED38A9" w14:textId="529B3AC1" w:rsidR="000123D9" w:rsidRPr="000444BC" w:rsidRDefault="000123D9" w:rsidP="000444BC">
      <w:pPr>
        <w:pStyle w:val="Heading1"/>
        <w:rPr>
          <w:highlight w:val="white"/>
        </w:rPr>
      </w:pPr>
      <w:bookmarkStart w:id="4" w:name="_Toc132391309"/>
      <w:r w:rsidRPr="000444BC">
        <w:rPr>
          <w:highlight w:val="white"/>
        </w:rPr>
        <w:t>Recommendations</w:t>
      </w:r>
      <w:bookmarkEnd w:id="4"/>
    </w:p>
    <w:p w14:paraId="5E382F81" w14:textId="0C191632" w:rsidR="000123D9" w:rsidRPr="002A477E" w:rsidRDefault="000123D9" w:rsidP="00777156">
      <w:pPr>
        <w:pStyle w:val="Heading2"/>
        <w:rPr>
          <w:b/>
          <w:bCs/>
          <w:highlight w:val="white"/>
        </w:rPr>
      </w:pPr>
      <w:r w:rsidRPr="002A477E">
        <w:rPr>
          <w:b/>
          <w:bCs/>
          <w:highlight w:val="white"/>
        </w:rPr>
        <w:t>Based on</w:t>
      </w:r>
      <w:r w:rsidR="00A3305B" w:rsidRPr="002A477E">
        <w:rPr>
          <w:b/>
          <w:bCs/>
          <w:highlight w:val="white"/>
        </w:rPr>
        <w:t xml:space="preserve"> the </w:t>
      </w:r>
      <w:r w:rsidRPr="002A477E">
        <w:rPr>
          <w:b/>
          <w:bCs/>
          <w:highlight w:val="white"/>
        </w:rPr>
        <w:t xml:space="preserve">extraordinary </w:t>
      </w:r>
      <w:proofErr w:type="spellStart"/>
      <w:r w:rsidR="00A0793D" w:rsidRPr="002A477E">
        <w:rPr>
          <w:b/>
          <w:bCs/>
          <w:highlight w:val="white"/>
        </w:rPr>
        <w:t>criminalisation</w:t>
      </w:r>
      <w:proofErr w:type="spellEnd"/>
      <w:r w:rsidRPr="002A477E">
        <w:rPr>
          <w:b/>
          <w:bCs/>
          <w:highlight w:val="white"/>
        </w:rPr>
        <w:t xml:space="preserve"> of children, especially Muslim children, </w:t>
      </w:r>
      <w:proofErr w:type="gramStart"/>
      <w:r w:rsidR="00F65415" w:rsidRPr="002A477E">
        <w:rPr>
          <w:b/>
          <w:bCs/>
          <w:highlight w:val="white"/>
        </w:rPr>
        <w:t>Prevent</w:t>
      </w:r>
      <w:proofErr w:type="gramEnd"/>
      <w:r w:rsidRPr="002A477E">
        <w:rPr>
          <w:b/>
          <w:bCs/>
          <w:highlight w:val="white"/>
        </w:rPr>
        <w:t xml:space="preserve"> is discriminatory</w:t>
      </w:r>
      <w:r w:rsidR="00F65415" w:rsidRPr="002A477E">
        <w:rPr>
          <w:b/>
          <w:bCs/>
          <w:highlight w:val="white"/>
        </w:rPr>
        <w:t xml:space="preserve"> in its</w:t>
      </w:r>
      <w:r w:rsidR="00A3305B" w:rsidRPr="002A477E">
        <w:rPr>
          <w:b/>
          <w:bCs/>
          <w:highlight w:val="white"/>
        </w:rPr>
        <w:t xml:space="preserve"> targeting of children, particularly Muslim children</w:t>
      </w:r>
      <w:r w:rsidRPr="002A477E">
        <w:rPr>
          <w:b/>
          <w:bCs/>
          <w:highlight w:val="white"/>
        </w:rPr>
        <w:t>.</w:t>
      </w:r>
    </w:p>
    <w:p w14:paraId="4CCF1A9E" w14:textId="2970C780" w:rsidR="00F65415" w:rsidRPr="002A477E" w:rsidRDefault="000123D9" w:rsidP="00777156">
      <w:pPr>
        <w:pStyle w:val="Heading2"/>
        <w:rPr>
          <w:b/>
          <w:bCs/>
          <w:highlight w:val="white"/>
        </w:rPr>
      </w:pPr>
      <w:r w:rsidRPr="002A477E">
        <w:rPr>
          <w:b/>
          <w:bCs/>
          <w:highlight w:val="white"/>
        </w:rPr>
        <w:t>T</w:t>
      </w:r>
      <w:r w:rsidR="00A3305B" w:rsidRPr="002A477E">
        <w:rPr>
          <w:b/>
          <w:bCs/>
          <w:highlight w:val="white"/>
        </w:rPr>
        <w:t xml:space="preserve">he recent </w:t>
      </w:r>
      <w:r w:rsidRPr="002A477E">
        <w:rPr>
          <w:b/>
          <w:bCs/>
          <w:highlight w:val="white"/>
        </w:rPr>
        <w:t xml:space="preserve">government </w:t>
      </w:r>
      <w:r w:rsidR="00A3305B" w:rsidRPr="002A477E">
        <w:rPr>
          <w:b/>
          <w:bCs/>
          <w:highlight w:val="white"/>
        </w:rPr>
        <w:t>review</w:t>
      </w:r>
      <w:r w:rsidRPr="002A477E">
        <w:rPr>
          <w:b/>
          <w:bCs/>
          <w:highlight w:val="white"/>
        </w:rPr>
        <w:t xml:space="preserve"> led by William Shawcross</w:t>
      </w:r>
      <w:r w:rsidR="00F65415" w:rsidRPr="002A477E">
        <w:rPr>
          <w:b/>
          <w:bCs/>
          <w:highlight w:val="white"/>
        </w:rPr>
        <w:t xml:space="preserve"> has not acknowledged this, and in fact stands to worsen the situation </w:t>
      </w:r>
      <w:r w:rsidR="00601B50" w:rsidRPr="002A477E">
        <w:rPr>
          <w:b/>
          <w:bCs/>
          <w:highlight w:val="white"/>
        </w:rPr>
        <w:t xml:space="preserve">for </w:t>
      </w:r>
      <w:r w:rsidR="00F65415" w:rsidRPr="002A477E">
        <w:rPr>
          <w:b/>
          <w:bCs/>
          <w:highlight w:val="white"/>
        </w:rPr>
        <w:t>children</w:t>
      </w:r>
      <w:r w:rsidR="00601B50" w:rsidRPr="002A477E">
        <w:rPr>
          <w:b/>
          <w:bCs/>
          <w:highlight w:val="white"/>
        </w:rPr>
        <w:t xml:space="preserve"> subject to Prevent referrals.</w:t>
      </w:r>
      <w:r w:rsidR="00F65415" w:rsidRPr="002A477E">
        <w:rPr>
          <w:b/>
          <w:bCs/>
          <w:highlight w:val="white"/>
        </w:rPr>
        <w:t xml:space="preserve"> </w:t>
      </w:r>
    </w:p>
    <w:p w14:paraId="54F736C0" w14:textId="77777777" w:rsidR="00F818C8" w:rsidRPr="002A477E" w:rsidRDefault="00F65415" w:rsidP="00777156">
      <w:pPr>
        <w:pStyle w:val="Heading2"/>
        <w:rPr>
          <w:b/>
          <w:bCs/>
          <w:highlight w:val="white"/>
        </w:rPr>
      </w:pPr>
      <w:r w:rsidRPr="002A477E">
        <w:rPr>
          <w:b/>
          <w:bCs/>
          <w:highlight w:val="white"/>
        </w:rPr>
        <w:t xml:space="preserve">Expressions and ideas viewed as genuinely harmful may be dealt with under schools’ bullying policies. It is the right of children to express themselves, and indeed healthy expression is necessary for long-term social stability. </w:t>
      </w:r>
      <w:r w:rsidR="00DA2CE5" w:rsidRPr="002A477E">
        <w:rPr>
          <w:b/>
          <w:bCs/>
          <w:highlight w:val="white"/>
        </w:rPr>
        <w:t xml:space="preserve">Where criminal intent, harm or risk of either is identified in any setting there are already frameworks and procedures in place to highlight this to the relevant authority based on existing safeguarding and other policies particularly in settings involving children, </w:t>
      </w:r>
      <w:proofErr w:type="gramStart"/>
      <w:r w:rsidR="00DA2CE5" w:rsidRPr="002A477E">
        <w:rPr>
          <w:b/>
          <w:bCs/>
          <w:highlight w:val="white"/>
        </w:rPr>
        <w:t>i.e.</w:t>
      </w:r>
      <w:proofErr w:type="gramEnd"/>
      <w:r w:rsidR="00DA2CE5" w:rsidRPr="002A477E">
        <w:rPr>
          <w:b/>
          <w:bCs/>
          <w:highlight w:val="white"/>
        </w:rPr>
        <w:t xml:space="preserve"> without the introduction of precrime</w:t>
      </w:r>
      <w:r w:rsidR="001F06E8" w:rsidRPr="002A477E">
        <w:rPr>
          <w:b/>
          <w:bCs/>
          <w:highlight w:val="white"/>
        </w:rPr>
        <w:t xml:space="preserve">. </w:t>
      </w:r>
    </w:p>
    <w:p w14:paraId="27014753" w14:textId="55BF2293" w:rsidR="009A1583" w:rsidRPr="002A477E" w:rsidRDefault="001F06E8" w:rsidP="00777156">
      <w:pPr>
        <w:pStyle w:val="Heading2"/>
        <w:rPr>
          <w:b/>
          <w:bCs/>
          <w:highlight w:val="white"/>
        </w:rPr>
      </w:pPr>
      <w:r w:rsidRPr="002A477E">
        <w:rPr>
          <w:b/>
          <w:bCs/>
          <w:highlight w:val="white"/>
        </w:rPr>
        <w:t xml:space="preserve">Ultimately, it is necessary for children and parents to have trust </w:t>
      </w:r>
      <w:proofErr w:type="gramStart"/>
      <w:r w:rsidRPr="002A477E">
        <w:rPr>
          <w:b/>
          <w:bCs/>
          <w:highlight w:val="white"/>
        </w:rPr>
        <w:t>of</w:t>
      </w:r>
      <w:proofErr w:type="gramEnd"/>
      <w:r w:rsidRPr="002A477E">
        <w:rPr>
          <w:b/>
          <w:bCs/>
          <w:highlight w:val="white"/>
        </w:rPr>
        <w:t xml:space="preserve"> public bodies </w:t>
      </w:r>
      <w:proofErr w:type="gramStart"/>
      <w:r w:rsidRPr="002A477E">
        <w:rPr>
          <w:b/>
          <w:bCs/>
          <w:highlight w:val="white"/>
        </w:rPr>
        <w:t>in order to</w:t>
      </w:r>
      <w:proofErr w:type="gramEnd"/>
      <w:r w:rsidRPr="002A477E">
        <w:rPr>
          <w:b/>
          <w:bCs/>
          <w:highlight w:val="white"/>
        </w:rPr>
        <w:t xml:space="preserve"> work together</w:t>
      </w:r>
      <w:r w:rsidR="00F818C8" w:rsidRPr="002A477E">
        <w:rPr>
          <w:b/>
          <w:bCs/>
          <w:highlight w:val="white"/>
        </w:rPr>
        <w:t xml:space="preserve"> in the best interests of children. Currently, </w:t>
      </w:r>
      <w:proofErr w:type="gramStart"/>
      <w:r w:rsidR="00F818C8" w:rsidRPr="002A477E">
        <w:rPr>
          <w:b/>
          <w:bCs/>
          <w:highlight w:val="white"/>
        </w:rPr>
        <w:t>Prevent</w:t>
      </w:r>
      <w:proofErr w:type="gramEnd"/>
      <w:r w:rsidR="00F818C8" w:rsidRPr="002A477E">
        <w:rPr>
          <w:b/>
          <w:bCs/>
          <w:highlight w:val="white"/>
        </w:rPr>
        <w:t xml:space="preserve"> is eroding this trust meant to be at the core of</w:t>
      </w:r>
      <w:r w:rsidRPr="002A477E">
        <w:rPr>
          <w:b/>
          <w:bCs/>
          <w:highlight w:val="white"/>
        </w:rPr>
        <w:t xml:space="preserve"> support systems such as </w:t>
      </w:r>
      <w:r w:rsidR="00F86658" w:rsidRPr="002A477E">
        <w:rPr>
          <w:b/>
          <w:bCs/>
          <w:highlight w:val="white"/>
        </w:rPr>
        <w:t>children’s</w:t>
      </w:r>
      <w:r w:rsidRPr="002A477E">
        <w:rPr>
          <w:b/>
          <w:bCs/>
          <w:highlight w:val="white"/>
        </w:rPr>
        <w:t xml:space="preserve"> </w:t>
      </w:r>
      <w:r w:rsidR="00F86658" w:rsidRPr="002A477E">
        <w:rPr>
          <w:b/>
          <w:bCs/>
          <w:highlight w:val="white"/>
        </w:rPr>
        <w:t>support</w:t>
      </w:r>
      <w:r w:rsidRPr="002A477E">
        <w:rPr>
          <w:b/>
          <w:bCs/>
          <w:highlight w:val="white"/>
        </w:rPr>
        <w:t xml:space="preserve"> services</w:t>
      </w:r>
      <w:r w:rsidR="00F818C8" w:rsidRPr="002A477E">
        <w:rPr>
          <w:b/>
          <w:bCs/>
          <w:highlight w:val="white"/>
        </w:rPr>
        <w:t>; this is</w:t>
      </w:r>
      <w:r w:rsidRPr="002A477E">
        <w:rPr>
          <w:b/>
          <w:bCs/>
          <w:highlight w:val="white"/>
        </w:rPr>
        <w:t xml:space="preserve"> </w:t>
      </w:r>
      <w:r w:rsidR="00F86658" w:rsidRPr="002A477E">
        <w:rPr>
          <w:b/>
          <w:bCs/>
          <w:highlight w:val="white"/>
        </w:rPr>
        <w:t>unlikely when families feel they are suspect</w:t>
      </w:r>
      <w:r w:rsidR="00F818C8" w:rsidRPr="002A477E">
        <w:rPr>
          <w:b/>
          <w:bCs/>
          <w:highlight w:val="white"/>
        </w:rPr>
        <w:t>s,</w:t>
      </w:r>
      <w:r w:rsidR="00F86658" w:rsidRPr="002A477E">
        <w:rPr>
          <w:b/>
          <w:bCs/>
          <w:highlight w:val="white"/>
        </w:rPr>
        <w:t xml:space="preserve"> rather than in need of support.</w:t>
      </w:r>
    </w:p>
    <w:p w14:paraId="3ED0C302" w14:textId="6EF2153E" w:rsidR="00EE2BDC" w:rsidRPr="002A477E" w:rsidRDefault="00A3305B" w:rsidP="00777156">
      <w:pPr>
        <w:pStyle w:val="Heading2"/>
        <w:rPr>
          <w:b/>
          <w:bCs/>
          <w:highlight w:val="white"/>
        </w:rPr>
      </w:pPr>
      <w:r w:rsidRPr="002A477E">
        <w:rPr>
          <w:b/>
          <w:bCs/>
          <w:highlight w:val="white"/>
        </w:rPr>
        <w:t xml:space="preserve">We recommend that the </w:t>
      </w:r>
      <w:r w:rsidR="00601B50" w:rsidRPr="002A477E">
        <w:rPr>
          <w:b/>
          <w:bCs/>
          <w:highlight w:val="white"/>
        </w:rPr>
        <w:t>Committee on the Rights of the Child ask that the Govern</w:t>
      </w:r>
      <w:r w:rsidR="00812C75" w:rsidRPr="002A477E">
        <w:rPr>
          <w:b/>
          <w:bCs/>
          <w:highlight w:val="white"/>
        </w:rPr>
        <w:t>m</w:t>
      </w:r>
      <w:r w:rsidR="00601B50" w:rsidRPr="002A477E">
        <w:rPr>
          <w:b/>
          <w:bCs/>
          <w:highlight w:val="white"/>
        </w:rPr>
        <w:t>ent of the United Kingdom</w:t>
      </w:r>
      <w:r w:rsidRPr="002A477E">
        <w:rPr>
          <w:b/>
          <w:bCs/>
          <w:highlight w:val="white"/>
        </w:rPr>
        <w:t xml:space="preserve"> withdraw the Prevent </w:t>
      </w:r>
      <w:r w:rsidR="00B42D6C" w:rsidRPr="002A477E">
        <w:rPr>
          <w:b/>
          <w:bCs/>
          <w:highlight w:val="white"/>
        </w:rPr>
        <w:t>D</w:t>
      </w:r>
      <w:r w:rsidRPr="002A477E">
        <w:rPr>
          <w:b/>
          <w:bCs/>
          <w:highlight w:val="white"/>
        </w:rPr>
        <w:t>uty from schools immediately</w:t>
      </w:r>
      <w:r w:rsidR="00EE2BDC" w:rsidRPr="002A477E">
        <w:rPr>
          <w:b/>
          <w:bCs/>
          <w:highlight w:val="white"/>
        </w:rPr>
        <w:t xml:space="preserve"> by</w:t>
      </w:r>
      <w:r w:rsidR="00601B50" w:rsidRPr="002A477E">
        <w:rPr>
          <w:b/>
          <w:bCs/>
          <w:highlight w:val="white"/>
        </w:rPr>
        <w:t>:</w:t>
      </w:r>
    </w:p>
    <w:p w14:paraId="2313C6BB" w14:textId="350B53D4" w:rsidR="00EE2BDC" w:rsidRPr="002A477E" w:rsidRDefault="00EE2BDC" w:rsidP="00AF451B">
      <w:pPr>
        <w:pStyle w:val="Heading3"/>
        <w:rPr>
          <w:b/>
          <w:bCs/>
        </w:rPr>
      </w:pPr>
      <w:r w:rsidRPr="002A477E">
        <w:rPr>
          <w:b/>
          <w:bCs/>
          <w:highlight w:val="white"/>
        </w:rPr>
        <w:t xml:space="preserve">Removing the </w:t>
      </w:r>
      <w:r w:rsidR="00B42D6C" w:rsidRPr="002A477E">
        <w:rPr>
          <w:b/>
          <w:bCs/>
          <w:highlight w:val="white"/>
        </w:rPr>
        <w:t>Prevent D</w:t>
      </w:r>
      <w:r w:rsidRPr="002A477E">
        <w:rPr>
          <w:b/>
          <w:bCs/>
          <w:highlight w:val="white"/>
        </w:rPr>
        <w:t xml:space="preserve">uty from those working in the education </w:t>
      </w:r>
      <w:proofErr w:type="gramStart"/>
      <w:r w:rsidRPr="002A477E">
        <w:rPr>
          <w:b/>
          <w:bCs/>
          <w:highlight w:val="white"/>
        </w:rPr>
        <w:t>sector</w:t>
      </w:r>
      <w:r w:rsidR="00601B50" w:rsidRPr="002A477E">
        <w:rPr>
          <w:b/>
          <w:bCs/>
        </w:rPr>
        <w:t>;</w:t>
      </w:r>
      <w:proofErr w:type="gramEnd"/>
    </w:p>
    <w:p w14:paraId="39770191" w14:textId="200E2FD2" w:rsidR="009A1583" w:rsidRPr="002A477E" w:rsidRDefault="00601B50" w:rsidP="00AF451B">
      <w:pPr>
        <w:pStyle w:val="Heading3"/>
        <w:rPr>
          <w:b/>
          <w:bCs/>
        </w:rPr>
      </w:pPr>
      <w:r w:rsidRPr="002A477E">
        <w:rPr>
          <w:b/>
          <w:bCs/>
          <w:highlight w:val="white"/>
        </w:rPr>
        <w:lastRenderedPageBreak/>
        <w:t>Ceasing the</w:t>
      </w:r>
      <w:r w:rsidR="00EE2BDC" w:rsidRPr="002A477E">
        <w:rPr>
          <w:b/>
          <w:bCs/>
          <w:highlight w:val="white"/>
        </w:rPr>
        <w:t xml:space="preserve"> </w:t>
      </w:r>
      <w:r w:rsidRPr="002A477E">
        <w:rPr>
          <w:b/>
          <w:bCs/>
          <w:highlight w:val="white"/>
        </w:rPr>
        <w:t>retention</w:t>
      </w:r>
      <w:r w:rsidR="00EE2BDC" w:rsidRPr="002A477E">
        <w:rPr>
          <w:b/>
          <w:bCs/>
          <w:highlight w:val="white"/>
        </w:rPr>
        <w:t xml:space="preserve"> </w:t>
      </w:r>
      <w:r w:rsidRPr="002A477E">
        <w:rPr>
          <w:b/>
          <w:bCs/>
          <w:highlight w:val="white"/>
        </w:rPr>
        <w:t>of</w:t>
      </w:r>
      <w:r w:rsidR="00EE2BDC" w:rsidRPr="002A477E">
        <w:rPr>
          <w:b/>
          <w:bCs/>
          <w:highlight w:val="white"/>
        </w:rPr>
        <w:t xml:space="preserve"> Prevent referral information together with the child’s safeguarding file at school which follows the child throughout into higher education</w:t>
      </w:r>
      <w:r w:rsidRPr="002A477E">
        <w:rPr>
          <w:b/>
          <w:bCs/>
        </w:rPr>
        <w:t>; and</w:t>
      </w:r>
    </w:p>
    <w:p w14:paraId="710AFDA2" w14:textId="209E3CD1" w:rsidR="00EE2BDC" w:rsidRPr="002A477E" w:rsidRDefault="00601B50" w:rsidP="00AF451B">
      <w:pPr>
        <w:pStyle w:val="Heading3"/>
        <w:rPr>
          <w:b/>
          <w:bCs/>
        </w:rPr>
      </w:pPr>
      <w:r w:rsidRPr="002A477E">
        <w:rPr>
          <w:b/>
          <w:bCs/>
        </w:rPr>
        <w:t>Ceasing the retention of</w:t>
      </w:r>
      <w:r w:rsidR="00EE2BDC" w:rsidRPr="002A477E">
        <w:rPr>
          <w:b/>
          <w:bCs/>
        </w:rPr>
        <w:t xml:space="preserve"> Prevent data on police databases</w:t>
      </w:r>
      <w:r w:rsidR="00A0567E" w:rsidRPr="002A477E">
        <w:rPr>
          <w:b/>
          <w:bCs/>
        </w:rPr>
        <w:t xml:space="preserve">, </w:t>
      </w:r>
      <w:r w:rsidR="00EE2BDC" w:rsidRPr="002A477E">
        <w:rPr>
          <w:b/>
          <w:bCs/>
        </w:rPr>
        <w:t>especially for those who require no further action and make the criteria for retention more transparent</w:t>
      </w:r>
      <w:r w:rsidR="00A3305B" w:rsidRPr="002A477E">
        <w:rPr>
          <w:b/>
          <w:bCs/>
        </w:rPr>
        <w:t>/open to scrutiny</w:t>
      </w:r>
      <w:r w:rsidRPr="002A477E">
        <w:rPr>
          <w:b/>
          <w:bCs/>
        </w:rPr>
        <w:t xml:space="preserve">. </w:t>
      </w:r>
    </w:p>
    <w:p w14:paraId="718FE87A" w14:textId="6035B41B" w:rsidR="00777156" w:rsidRDefault="00777156" w:rsidP="00777156"/>
    <w:p w14:paraId="074B57D0" w14:textId="0FABCB3B" w:rsidR="00AF451B" w:rsidRPr="00777156" w:rsidRDefault="00AF451B" w:rsidP="00777156">
      <w:r>
        <w:t xml:space="preserve">[ </w:t>
      </w:r>
      <w:proofErr w:type="gramStart"/>
      <w:r>
        <w:t>End ]</w:t>
      </w:r>
      <w:proofErr w:type="gramEnd"/>
    </w:p>
    <w:sectPr w:rsidR="00AF451B" w:rsidRPr="00777156" w:rsidSect="00D31A7B">
      <w:pgSz w:w="12240" w:h="15840"/>
      <w:pgMar w:top="1440" w:right="1134" w:bottom="1440" w:left="1134" w:header="737" w:footer="73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5CBD7" w14:textId="77777777" w:rsidR="00543AF5" w:rsidRDefault="00543AF5" w:rsidP="003119A2">
      <w:pPr>
        <w:spacing w:line="240" w:lineRule="auto"/>
      </w:pPr>
      <w:r>
        <w:separator/>
      </w:r>
    </w:p>
  </w:endnote>
  <w:endnote w:type="continuationSeparator" w:id="0">
    <w:p w14:paraId="30EF56E7" w14:textId="77777777" w:rsidR="00543AF5" w:rsidRDefault="00543AF5" w:rsidP="003119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8136503"/>
      <w:docPartObj>
        <w:docPartGallery w:val="Page Numbers (Bottom of Page)"/>
        <w:docPartUnique/>
      </w:docPartObj>
    </w:sdtPr>
    <w:sdtEndPr>
      <w:rPr>
        <w:rStyle w:val="PageNumber"/>
      </w:rPr>
    </w:sdtEndPr>
    <w:sdtContent>
      <w:p w14:paraId="39DC2BF4" w14:textId="5EA279EB" w:rsidR="000444BC" w:rsidRDefault="000444BC" w:rsidP="00F047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00D808" w14:textId="77777777" w:rsidR="000444BC" w:rsidRDefault="000444BC" w:rsidP="000444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1859809"/>
      <w:docPartObj>
        <w:docPartGallery w:val="Page Numbers (Bottom of Page)"/>
        <w:docPartUnique/>
      </w:docPartObj>
    </w:sdtPr>
    <w:sdtEndPr>
      <w:rPr>
        <w:rStyle w:val="PageNumber"/>
      </w:rPr>
    </w:sdtEndPr>
    <w:sdtContent>
      <w:p w14:paraId="26E5C573" w14:textId="1071A750" w:rsidR="000444BC" w:rsidRDefault="000444BC" w:rsidP="00F047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1AF9D2E6" w14:textId="77777777" w:rsidR="000444BC" w:rsidRDefault="000444BC" w:rsidP="000444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1E178" w14:textId="77777777" w:rsidR="00543AF5" w:rsidRDefault="00543AF5" w:rsidP="003119A2">
      <w:pPr>
        <w:spacing w:line="240" w:lineRule="auto"/>
      </w:pPr>
      <w:r>
        <w:separator/>
      </w:r>
    </w:p>
  </w:footnote>
  <w:footnote w:type="continuationSeparator" w:id="0">
    <w:p w14:paraId="49719911" w14:textId="77777777" w:rsidR="00543AF5" w:rsidRDefault="00543AF5" w:rsidP="003119A2">
      <w:pPr>
        <w:spacing w:line="240" w:lineRule="auto"/>
      </w:pPr>
      <w:r>
        <w:continuationSeparator/>
      </w:r>
    </w:p>
  </w:footnote>
  <w:footnote w:id="1">
    <w:p w14:paraId="7FB91AC6" w14:textId="67323B27" w:rsidR="003119A2" w:rsidRPr="003119A2" w:rsidRDefault="003119A2">
      <w:pPr>
        <w:pStyle w:val="FootnoteText"/>
        <w:rPr>
          <w:lang w:val="en-GB"/>
        </w:rPr>
      </w:pPr>
      <w:r>
        <w:rPr>
          <w:rStyle w:val="FootnoteReference"/>
        </w:rPr>
        <w:footnoteRef/>
      </w:r>
      <w:r>
        <w:t xml:space="preserve"> </w:t>
      </w:r>
      <w:r>
        <w:rPr>
          <w:lang w:val="en-GB"/>
        </w:rPr>
        <w:t xml:space="preserve">See, for example, </w:t>
      </w:r>
      <w:r w:rsidR="001C62C6">
        <w:rPr>
          <w:lang w:val="en-GB"/>
        </w:rPr>
        <w:t xml:space="preserve">paragraph 5 of the UK Government's </w:t>
      </w:r>
      <w:r w:rsidR="001C62C6" w:rsidRPr="00B42D6C">
        <w:rPr>
          <w:i/>
          <w:iCs/>
          <w:lang w:val="en-GB"/>
        </w:rPr>
        <w:t>Prevent duty guidance</w:t>
      </w:r>
      <w:r w:rsidR="001C62C6">
        <w:rPr>
          <w:lang w:val="en-GB"/>
        </w:rPr>
        <w:t xml:space="preserve">, available </w:t>
      </w:r>
      <w:hyperlink r:id="rId1" w:history="1">
        <w:r w:rsidR="001C62C6" w:rsidRPr="001C62C6">
          <w:rPr>
            <w:rStyle w:val="Hyperlink"/>
            <w:lang w:val="en-GB"/>
          </w:rPr>
          <w:t>here</w:t>
        </w:r>
      </w:hyperlink>
      <w:r w:rsidR="001C62C6">
        <w:rPr>
          <w:lang w:val="en-GB"/>
        </w:rPr>
        <w:t>.</w:t>
      </w:r>
    </w:p>
  </w:footnote>
  <w:footnote w:id="2">
    <w:p w14:paraId="6FA1EF3A" w14:textId="4A604014" w:rsidR="0061014B" w:rsidRPr="0061014B" w:rsidRDefault="0061014B">
      <w:pPr>
        <w:pStyle w:val="FootnoteText"/>
        <w:rPr>
          <w:lang w:val="en-GB"/>
        </w:rPr>
      </w:pPr>
      <w:r>
        <w:rPr>
          <w:rStyle w:val="FootnoteReference"/>
        </w:rPr>
        <w:footnoteRef/>
      </w:r>
      <w:r>
        <w:t xml:space="preserve"> </w:t>
      </w:r>
      <w:r>
        <w:rPr>
          <w:lang w:val="en-GB"/>
        </w:rPr>
        <w:t>See</w:t>
      </w:r>
      <w:r w:rsidR="009E2C3D">
        <w:rPr>
          <w:lang w:val="en-GB"/>
        </w:rPr>
        <w:t xml:space="preserve"> page 10</w:t>
      </w:r>
    </w:p>
  </w:footnote>
  <w:footnote w:id="3">
    <w:p w14:paraId="7CFC41D5" w14:textId="04681362" w:rsidR="00716B90" w:rsidRPr="00716B90" w:rsidRDefault="00716B90">
      <w:pPr>
        <w:pStyle w:val="FootnoteText"/>
        <w:rPr>
          <w:lang w:val="en-GB"/>
        </w:rPr>
      </w:pPr>
      <w:r w:rsidRPr="00716B90">
        <w:rPr>
          <w:rStyle w:val="FootnoteReference"/>
        </w:rPr>
        <w:footnoteRef/>
      </w:r>
      <w:r w:rsidRPr="00716B90">
        <w:t xml:space="preserve"> </w:t>
      </w:r>
      <w:r w:rsidRPr="00716B90">
        <w:rPr>
          <w:color w:val="222222"/>
          <w:highlight w:val="white"/>
        </w:rPr>
        <w:t>Section 26(1) of the Counterterrorism and Security Act 2015 ("</w:t>
      </w:r>
      <w:r w:rsidRPr="00716B90">
        <w:rPr>
          <w:b/>
          <w:bCs/>
          <w:color w:val="222222"/>
          <w:highlight w:val="white"/>
        </w:rPr>
        <w:t>CTSA 2015</w:t>
      </w:r>
      <w:r w:rsidRPr="00716B90">
        <w:rPr>
          <w:color w:val="222222"/>
          <w:highlight w:val="white"/>
        </w:rPr>
        <w:t>")</w:t>
      </w:r>
      <w:r w:rsidRPr="00716B90">
        <w:rPr>
          <w:color w:val="222222"/>
        </w:rPr>
        <w:t>.</w:t>
      </w:r>
    </w:p>
  </w:footnote>
  <w:footnote w:id="4">
    <w:p w14:paraId="5CF80716" w14:textId="0EEE0626" w:rsidR="005B5ACC" w:rsidRDefault="005B5ACC">
      <w:pPr>
        <w:pStyle w:val="FootnoteText"/>
      </w:pPr>
      <w:r>
        <w:rPr>
          <w:rStyle w:val="FootnoteReference"/>
        </w:rPr>
        <w:footnoteRef/>
      </w:r>
      <w:r>
        <w:t xml:space="preserve"> </w:t>
      </w:r>
      <w:r>
        <w:rPr>
          <w:lang w:val="en-ZA"/>
        </w:rPr>
        <w:t xml:space="preserve">In a report published 2 March 2020, </w:t>
      </w:r>
      <w:r>
        <w:t>Fionnuala Ní Aoláin, UN Special Rapporteur on the protection and promotion of human rights and fundamental freedoms while countering terrorism</w:t>
      </w:r>
      <w:r>
        <w:rPr>
          <w:lang w:val="en-ZA"/>
        </w:rPr>
        <w:t>, paid</w:t>
      </w:r>
      <w:r>
        <w:t xml:space="preserve"> “particular attention to the lack of robust scientific data underpinning many of the claims made by States and international institutions to justify their prevention practices” and “severely criticize[d] these programmes for lacking any kind of systematic and empirically grounded evaluation process”. See: </w:t>
      </w:r>
      <w:hyperlink r:id="rId2" w:history="1">
        <w:r w:rsidRPr="005E102E">
          <w:rPr>
            <w:rStyle w:val="Hyperlink"/>
          </w:rPr>
          <w:t>https://www.ohchr.org/en/press-releases/2020/03/violent-extremism-prevention-programmes-should-not-violate-human-rights-un?LangID=E&amp;NewsID=25655</w:t>
        </w:r>
      </w:hyperlink>
      <w:r>
        <w:t xml:space="preserve">. </w:t>
      </w:r>
    </w:p>
    <w:p w14:paraId="66941277" w14:textId="77777777" w:rsidR="005B5ACC" w:rsidRDefault="005B5ACC">
      <w:pPr>
        <w:pStyle w:val="FootnoteText"/>
      </w:pPr>
    </w:p>
    <w:p w14:paraId="5A10F3C0" w14:textId="193DCC0B" w:rsidR="005B5ACC" w:rsidRDefault="005B5ACC">
      <w:pPr>
        <w:pStyle w:val="FootnoteText"/>
      </w:pPr>
      <w:r>
        <w:t xml:space="preserve">An open letter by academics in the UK was published against the study underpinning the Prevent guidelines by the Guardian at: </w:t>
      </w:r>
      <w:hyperlink r:id="rId3" w:history="1">
        <w:r w:rsidRPr="005E102E">
          <w:rPr>
            <w:rStyle w:val="Hyperlink"/>
          </w:rPr>
          <w:t>https://www.theguardian.com/uk-news/2016/sep/29/academics-criticise-prevent-anti-radicalisation-strategy-open-letter</w:t>
        </w:r>
      </w:hyperlink>
      <w:r>
        <w:t xml:space="preserve"> </w:t>
      </w:r>
    </w:p>
    <w:p w14:paraId="4E965B9C" w14:textId="77777777" w:rsidR="005B5ACC" w:rsidRDefault="005B5ACC">
      <w:pPr>
        <w:pStyle w:val="FootnoteText"/>
      </w:pPr>
    </w:p>
    <w:p w14:paraId="2AEE0B96" w14:textId="5E83DD96" w:rsidR="005B5ACC" w:rsidRDefault="005B5ACC">
      <w:pPr>
        <w:pStyle w:val="FootnoteText"/>
      </w:pPr>
      <w:r>
        <w:t xml:space="preserve">A report into the ERG22+ study underpinning the Prevent guidelines revealed that the indicators of radicalistion in the Prevent guidelines were derived from a small prison study, and not meant for general application. See: </w:t>
      </w:r>
      <w:hyperlink r:id="rId4" w:history="1">
        <w:r w:rsidRPr="005E102E">
          <w:rPr>
            <w:rStyle w:val="Hyperlink"/>
          </w:rPr>
          <w:t>https://cage.ngo/wp-content/uploads/2016/09/CAGE-Science-Pre-Crime-Report.pdf</w:t>
        </w:r>
      </w:hyperlink>
      <w:r>
        <w:t xml:space="preserve">  </w:t>
      </w:r>
    </w:p>
    <w:p w14:paraId="3B87A391" w14:textId="77777777" w:rsidR="005B5ACC" w:rsidRPr="00C351DF" w:rsidRDefault="005B5ACC">
      <w:pPr>
        <w:pStyle w:val="FootnoteText"/>
        <w:rPr>
          <w:lang w:val="en-ZA"/>
        </w:rPr>
      </w:pPr>
    </w:p>
  </w:footnote>
  <w:footnote w:id="5">
    <w:p w14:paraId="3A201FD9" w14:textId="77777777" w:rsidR="008D3A43" w:rsidRDefault="00D03A8A">
      <w:pPr>
        <w:pStyle w:val="FootnoteText"/>
      </w:pPr>
      <w:r>
        <w:rPr>
          <w:rStyle w:val="FootnoteReference"/>
        </w:rPr>
        <w:footnoteRef/>
      </w:r>
      <w:r>
        <w:t xml:space="preserve"> </w:t>
      </w:r>
      <w:r w:rsidR="008D3A43">
        <w:t xml:space="preserve">Much has been reported about individuals being referred to counter-extremism for beginning to wear the Muslim headscarf at work, and for children expressing religious beliefs in the classroom – these have been extensively documented by Prevent Watch. </w:t>
      </w:r>
    </w:p>
    <w:p w14:paraId="4522D8B5" w14:textId="77777777" w:rsidR="008D3A43" w:rsidRDefault="008D3A43">
      <w:pPr>
        <w:pStyle w:val="FootnoteText"/>
      </w:pPr>
    </w:p>
    <w:p w14:paraId="25AD293E" w14:textId="28970836" w:rsidR="00D03A8A" w:rsidRDefault="00D03A8A">
      <w:pPr>
        <w:pStyle w:val="FootnoteText"/>
      </w:pPr>
      <w:r>
        <w:t xml:space="preserve">Prof </w:t>
      </w:r>
      <w:r>
        <w:t xml:space="preserve">Ní Aoláin in her 2020 report warned that “large-scale violations of the rights of religious and ethnic minorities are being enabled by “deradicalization” policies and practice” and found “a persistent lack of meaningful consultation with the communities targeted by these prevention measures”. </w:t>
      </w:r>
    </w:p>
    <w:p w14:paraId="2B83837C" w14:textId="77777777" w:rsidR="00D03A8A" w:rsidRDefault="00D03A8A">
      <w:pPr>
        <w:pStyle w:val="FootnoteText"/>
      </w:pPr>
    </w:p>
    <w:p w14:paraId="3A1852B9" w14:textId="6BC1665D" w:rsidR="00D03A8A" w:rsidRDefault="00D03A8A">
      <w:pPr>
        <w:pStyle w:val="FootnoteText"/>
        <w:rPr>
          <w:lang w:val="en-ZA"/>
        </w:rPr>
      </w:pPr>
      <w:r>
        <w:t xml:space="preserve">See also the Open Society Justice Initiative’s </w:t>
      </w:r>
      <w:r w:rsidR="008D3A43">
        <w:t>2016</w:t>
      </w:r>
      <w:r>
        <w:t xml:space="preserve"> </w:t>
      </w:r>
      <w:r w:rsidR="008D3A43">
        <w:t>r</w:t>
      </w:r>
      <w:r>
        <w:t>eport ‘Eroding Trust: The UK’s Prevent Counter-Extremism Strategy in Health and Education</w:t>
      </w:r>
      <w:r w:rsidR="008D3A43">
        <w:t xml:space="preserve"> at: </w:t>
      </w:r>
      <w:hyperlink r:id="rId5" w:history="1">
        <w:r w:rsidR="008D3A43" w:rsidRPr="005E102E">
          <w:rPr>
            <w:rStyle w:val="Hyperlink"/>
          </w:rPr>
          <w:t>https://www.justiceinitiative.org/uploads/f87bd3ad-50fb-42d0-95a8-54ba85dce818/eroding-trust-20161017_0.pdf</w:t>
        </w:r>
      </w:hyperlink>
      <w:r w:rsidR="008D3A43">
        <w:t xml:space="preserve"> </w:t>
      </w:r>
    </w:p>
    <w:p w14:paraId="60495DE8" w14:textId="77777777" w:rsidR="00D03A8A" w:rsidRPr="00C351DF" w:rsidRDefault="00D03A8A">
      <w:pPr>
        <w:pStyle w:val="FootnoteText"/>
        <w:rPr>
          <w:lang w:val="en-ZA"/>
        </w:rPr>
      </w:pPr>
    </w:p>
  </w:footnote>
  <w:footnote w:id="6">
    <w:p w14:paraId="73E9453B" w14:textId="14C38319" w:rsidR="00B15363" w:rsidRPr="00C351DF" w:rsidRDefault="00B15363" w:rsidP="00C351DF">
      <w:pPr>
        <w:rPr>
          <w:sz w:val="20"/>
          <w:szCs w:val="20"/>
        </w:rPr>
      </w:pPr>
      <w:r w:rsidRPr="00C351DF">
        <w:rPr>
          <w:rStyle w:val="FootnoteReference"/>
          <w:sz w:val="20"/>
          <w:szCs w:val="20"/>
        </w:rPr>
        <w:footnoteRef/>
      </w:r>
      <w:r w:rsidRPr="00C351DF">
        <w:rPr>
          <w:sz w:val="20"/>
          <w:szCs w:val="20"/>
        </w:rPr>
        <w:t xml:space="preserve"> </w:t>
      </w:r>
      <w:r w:rsidRPr="00C351DF">
        <w:rPr>
          <w:sz w:val="20"/>
          <w:szCs w:val="20"/>
          <w:lang w:val="en-ZA"/>
        </w:rPr>
        <w:t xml:space="preserve">Home Office (Jan 2023) </w:t>
      </w:r>
      <w:r>
        <w:rPr>
          <w:sz w:val="20"/>
          <w:szCs w:val="20"/>
          <w:lang w:val="en-ZA"/>
        </w:rPr>
        <w:t>‘</w:t>
      </w:r>
      <w:r w:rsidRPr="00C351DF">
        <w:rPr>
          <w:sz w:val="20"/>
          <w:szCs w:val="20"/>
        </w:rPr>
        <w:t xml:space="preserve">Individuals referred to and supported through the Prevent </w:t>
      </w:r>
      <w:r w:rsidRPr="00C351DF">
        <w:rPr>
          <w:sz w:val="20"/>
          <w:szCs w:val="20"/>
        </w:rPr>
        <w:t>Programme, April 2021 to March 2022</w:t>
      </w:r>
      <w:r>
        <w:rPr>
          <w:sz w:val="20"/>
          <w:szCs w:val="20"/>
        </w:rPr>
        <w:t xml:space="preserve">’ (Gov.UK) Available at: </w:t>
      </w:r>
      <w:hyperlink r:id="rId6" w:history="1">
        <w:r w:rsidRPr="005E102E">
          <w:rPr>
            <w:rStyle w:val="Hyperlink"/>
            <w:sz w:val="20"/>
            <w:szCs w:val="20"/>
          </w:rPr>
          <w:t>https://www.gov.uk/government/statistics/individuals-referred-to-and-supported-through-the-prevent-programme-april-2021-to-march-2022/individuals-referred-to-and-supported-through-the-prevent-programme-april-2021-to-march-2022</w:t>
        </w:r>
      </w:hyperlink>
      <w:r>
        <w:rPr>
          <w:sz w:val="20"/>
          <w:szCs w:val="20"/>
        </w:rPr>
        <w:t xml:space="preserve"> </w:t>
      </w:r>
    </w:p>
    <w:p w14:paraId="63922B19" w14:textId="5711EAE2" w:rsidR="00B15363" w:rsidRPr="00C351DF" w:rsidRDefault="00B15363">
      <w:pPr>
        <w:pStyle w:val="FootnoteText"/>
        <w:rPr>
          <w:lang w:val="en-ZA"/>
        </w:rPr>
      </w:pPr>
    </w:p>
  </w:footnote>
  <w:footnote w:id="7">
    <w:p w14:paraId="3F9A21E6" w14:textId="6E5147AD" w:rsidR="00B15363" w:rsidRDefault="00B15363">
      <w:pPr>
        <w:pStyle w:val="FootnoteText"/>
        <w:rPr>
          <w:lang w:val="en-ZA"/>
        </w:rPr>
      </w:pPr>
      <w:r>
        <w:rPr>
          <w:rStyle w:val="FootnoteReference"/>
        </w:rPr>
        <w:footnoteRef/>
      </w:r>
      <w:r>
        <w:t xml:space="preserve"> </w:t>
      </w:r>
      <w:r>
        <w:rPr>
          <w:lang w:val="en-ZA"/>
        </w:rPr>
        <w:t>Ibid.</w:t>
      </w:r>
    </w:p>
    <w:p w14:paraId="60C06FE3" w14:textId="77777777" w:rsidR="00D03A8A" w:rsidRPr="00C351DF" w:rsidRDefault="00D03A8A">
      <w:pPr>
        <w:pStyle w:val="FootnoteText"/>
        <w:rPr>
          <w:lang w:val="en-ZA"/>
        </w:rPr>
      </w:pPr>
    </w:p>
  </w:footnote>
  <w:footnote w:id="8">
    <w:p w14:paraId="249A9743" w14:textId="489014CE" w:rsidR="001A7AFA" w:rsidRPr="00D31A7B" w:rsidRDefault="00D03A8A">
      <w:pPr>
        <w:pStyle w:val="FootnoteText"/>
        <w:rPr>
          <w:sz w:val="18"/>
          <w:szCs w:val="18"/>
        </w:rPr>
      </w:pPr>
      <w:r w:rsidRPr="00D31A7B">
        <w:rPr>
          <w:rStyle w:val="FootnoteReference"/>
          <w:sz w:val="18"/>
          <w:szCs w:val="18"/>
        </w:rPr>
        <w:footnoteRef/>
      </w:r>
      <w:r w:rsidRPr="00D31A7B">
        <w:rPr>
          <w:sz w:val="18"/>
          <w:szCs w:val="18"/>
        </w:rPr>
        <w:t xml:space="preserve"> </w:t>
      </w:r>
      <w:r w:rsidR="001A7AFA" w:rsidRPr="00D31A7B">
        <w:rPr>
          <w:sz w:val="18"/>
          <w:szCs w:val="18"/>
        </w:rPr>
        <w:t>Ibid.</w:t>
      </w:r>
    </w:p>
  </w:footnote>
  <w:footnote w:id="9">
    <w:p w14:paraId="0AD3AFB1" w14:textId="45B7A37A" w:rsidR="001A7AFA" w:rsidRPr="00D31A7B" w:rsidRDefault="001A7AFA">
      <w:pPr>
        <w:pStyle w:val="FootnoteText"/>
        <w:rPr>
          <w:sz w:val="18"/>
          <w:szCs w:val="18"/>
        </w:rPr>
      </w:pPr>
      <w:r w:rsidRPr="00D31A7B">
        <w:rPr>
          <w:rStyle w:val="FootnoteReference"/>
          <w:sz w:val="18"/>
          <w:szCs w:val="18"/>
        </w:rPr>
        <w:footnoteRef/>
      </w:r>
      <w:r w:rsidRPr="00D31A7B">
        <w:rPr>
          <w:sz w:val="18"/>
          <w:szCs w:val="18"/>
        </w:rPr>
        <w:t xml:space="preserve"> See, for example, the following: </w:t>
      </w:r>
    </w:p>
    <w:p w14:paraId="4908199A" w14:textId="31075E8E" w:rsidR="001A7AFA" w:rsidRPr="00D31A7B" w:rsidRDefault="001A7AFA" w:rsidP="00BE0E5C">
      <w:pPr>
        <w:pStyle w:val="FootnoteText"/>
        <w:numPr>
          <w:ilvl w:val="0"/>
          <w:numId w:val="5"/>
        </w:numPr>
        <w:rPr>
          <w:sz w:val="18"/>
          <w:szCs w:val="18"/>
        </w:rPr>
      </w:pPr>
      <w:r w:rsidRPr="00D31A7B">
        <w:rPr>
          <w:sz w:val="18"/>
          <w:szCs w:val="18"/>
        </w:rPr>
        <w:t>Amnesty International (Nov 2018) ‘Open letter on the UK’s ‘Prevent’ counter terrorism strategy’ (Press Release) Available at: https://www.amnesty.org.uk/press-releases/open-letter-uks-prevent-counter-terrorism-strategy</w:t>
      </w:r>
    </w:p>
    <w:p w14:paraId="3702BCB1" w14:textId="02C34242" w:rsidR="001A7AFA" w:rsidRPr="00D31A7B" w:rsidRDefault="001A7AFA" w:rsidP="00BE0E5C">
      <w:pPr>
        <w:pStyle w:val="ListParagraph"/>
        <w:numPr>
          <w:ilvl w:val="0"/>
          <w:numId w:val="5"/>
        </w:numPr>
        <w:rPr>
          <w:sz w:val="18"/>
          <w:szCs w:val="18"/>
          <w:lang w:val="en-ZA"/>
        </w:rPr>
      </w:pPr>
      <w:r w:rsidRPr="00D31A7B">
        <w:rPr>
          <w:sz w:val="18"/>
          <w:szCs w:val="18"/>
        </w:rPr>
        <w:t>RSI (March 2022) ‘Prevent-</w:t>
      </w:r>
      <w:r w:rsidRPr="00D31A7B">
        <w:rPr>
          <w:sz w:val="18"/>
          <w:szCs w:val="18"/>
        </w:rPr>
        <w:t xml:space="preserve">ing Dissent: How the U.K.’s counterterrorism strategy is eroding democracy’ (Rights and Security International) Available at: </w:t>
      </w:r>
      <w:hyperlink r:id="rId7" w:history="1">
        <w:r w:rsidRPr="00D31A7B">
          <w:rPr>
            <w:rStyle w:val="Hyperlink"/>
            <w:sz w:val="18"/>
            <w:szCs w:val="18"/>
            <w:lang w:val="en-ZA"/>
          </w:rPr>
          <w:t>https://www.rightsandsecurity.org/assets/downloads/Prevent-ing_dissent_How_the_UK%E2%80%99s_counter-terrorism_strategy_is_eroding_democracy.pdf</w:t>
        </w:r>
      </w:hyperlink>
    </w:p>
    <w:p w14:paraId="48BE6F1F" w14:textId="5A3C4D23" w:rsidR="00886579" w:rsidRPr="00D31A7B" w:rsidRDefault="001A7AFA" w:rsidP="00886579">
      <w:pPr>
        <w:pStyle w:val="ListParagraph"/>
        <w:numPr>
          <w:ilvl w:val="0"/>
          <w:numId w:val="5"/>
        </w:numPr>
        <w:rPr>
          <w:sz w:val="18"/>
          <w:szCs w:val="18"/>
        </w:rPr>
      </w:pPr>
      <w:r w:rsidRPr="00D31A7B">
        <w:rPr>
          <w:sz w:val="18"/>
          <w:szCs w:val="18"/>
          <w:lang w:val="en-ZA"/>
        </w:rPr>
        <w:t xml:space="preserve">Both reports by Prof. </w:t>
      </w:r>
      <w:r w:rsidRPr="00D31A7B">
        <w:rPr>
          <w:sz w:val="18"/>
          <w:szCs w:val="18"/>
        </w:rPr>
        <w:t>Fionnuala Ní Aoláin, UN Special Rapporteur on the protection and promotion of human rights and fundamental freedoms while countering terrorism</w:t>
      </w:r>
      <w:r w:rsidRPr="00D31A7B">
        <w:rPr>
          <w:sz w:val="18"/>
          <w:szCs w:val="18"/>
          <w:lang w:val="en-ZA"/>
        </w:rPr>
        <w:t xml:space="preserve"> in March 2020 (see footnote 4) and more recently</w:t>
      </w:r>
      <w:r w:rsidR="00B57FD7" w:rsidRPr="00D31A7B">
        <w:rPr>
          <w:sz w:val="18"/>
          <w:szCs w:val="18"/>
        </w:rPr>
        <w:t xml:space="preserve">: OHCHR (March 2023) </w:t>
      </w:r>
      <w:r w:rsidRPr="00D31A7B">
        <w:rPr>
          <w:sz w:val="18"/>
          <w:szCs w:val="18"/>
        </w:rPr>
        <w:t>‘Counter-terrorism and Security Are Frequently Used To Cover for the Adoption of High-risk and Highly Intrusive Technologies, Special Rapporteur Tells the Human Rights</w:t>
      </w:r>
      <w:r w:rsidR="00BE0E5C" w:rsidRPr="00D31A7B">
        <w:rPr>
          <w:sz w:val="18"/>
          <w:szCs w:val="18"/>
        </w:rPr>
        <w:t xml:space="preserve"> </w:t>
      </w:r>
      <w:r w:rsidRPr="00D31A7B">
        <w:rPr>
          <w:sz w:val="18"/>
          <w:szCs w:val="18"/>
        </w:rPr>
        <w:t>Council</w:t>
      </w:r>
      <w:r w:rsidR="00B57FD7" w:rsidRPr="00D31A7B">
        <w:rPr>
          <w:sz w:val="18"/>
          <w:szCs w:val="18"/>
        </w:rPr>
        <w:t>’ (Press Release) Available at</w:t>
      </w:r>
      <w:r w:rsidR="00D31A7B" w:rsidRPr="00D31A7B">
        <w:rPr>
          <w:sz w:val="18"/>
          <w:szCs w:val="18"/>
        </w:rPr>
        <w:t xml:space="preserve">: </w:t>
      </w:r>
      <w:r w:rsidR="00D31A7B" w:rsidRPr="00BE0E5C">
        <w:rPr>
          <w:sz w:val="20"/>
          <w:szCs w:val="20"/>
        </w:rPr>
        <w:t>https://www.ohchr.org/en/news/2023/03/counter-terrorism-and-security-are-frequently-used-cover-adoption-high-risk-and-highly</w:t>
      </w:r>
    </w:p>
  </w:footnote>
  <w:footnote w:id="10">
    <w:p w14:paraId="30F5CE74" w14:textId="57F54F5B" w:rsidR="00B57FD7" w:rsidRDefault="00B57FD7">
      <w:pPr>
        <w:pStyle w:val="FootnoteText"/>
        <w:rPr>
          <w:lang w:val="en-ZA"/>
        </w:rPr>
      </w:pPr>
      <w:r>
        <w:rPr>
          <w:rStyle w:val="FootnoteReference"/>
        </w:rPr>
        <w:footnoteRef/>
      </w:r>
      <w:r>
        <w:t xml:space="preserve"> </w:t>
      </w:r>
      <w:r>
        <w:rPr>
          <w:lang w:val="en-ZA"/>
        </w:rPr>
        <w:t>The full story is available at the New York Times in the form of a full investigative podcast (</w:t>
      </w:r>
      <w:r w:rsidRPr="00B57FD7">
        <w:rPr>
          <w:lang w:val="en-ZA"/>
        </w:rPr>
        <w:t>https://www.nytimes.com/interactive/2022/podcasts/trojan-horse-affair.html</w:t>
      </w:r>
      <w:r>
        <w:rPr>
          <w:lang w:val="en-ZA"/>
        </w:rPr>
        <w:t xml:space="preserve">) and also a summary report: </w:t>
      </w:r>
      <w:hyperlink r:id="rId8" w:history="1">
        <w:r w:rsidRPr="005E102E">
          <w:rPr>
            <w:rStyle w:val="Hyperlink"/>
            <w:lang w:val="en-ZA"/>
          </w:rPr>
          <w:t>https://www.nytimes.com/2022/03/11/podcasts/trojan-horse-podcast-takeaways.html</w:t>
        </w:r>
      </w:hyperlink>
    </w:p>
    <w:p w14:paraId="638B9A09" w14:textId="77777777" w:rsidR="00B57FD7" w:rsidRPr="00C351DF" w:rsidRDefault="00B57FD7">
      <w:pPr>
        <w:pStyle w:val="FootnoteText"/>
        <w:rPr>
          <w:lang w:val="en-ZA"/>
        </w:rPr>
      </w:pPr>
    </w:p>
  </w:footnote>
  <w:footnote w:id="11">
    <w:p w14:paraId="1F1A5869" w14:textId="4337CABD" w:rsidR="006868E5" w:rsidRDefault="006868E5">
      <w:pPr>
        <w:pStyle w:val="FootnoteText"/>
        <w:rPr>
          <w:lang w:val="en-ZA"/>
        </w:rPr>
      </w:pPr>
      <w:r>
        <w:rPr>
          <w:rStyle w:val="FootnoteReference"/>
        </w:rPr>
        <w:footnoteRef/>
      </w:r>
      <w:r>
        <w:t xml:space="preserve"> </w:t>
      </w:r>
      <w:r>
        <w:rPr>
          <w:lang w:val="en-ZA"/>
        </w:rPr>
        <w:t>The following reports, among others, are notable:</w:t>
      </w:r>
    </w:p>
    <w:p w14:paraId="60856620" w14:textId="2515750A" w:rsidR="006868E5" w:rsidRDefault="006868E5">
      <w:pPr>
        <w:pStyle w:val="FootnoteText"/>
        <w:rPr>
          <w:lang w:val="en-ZA"/>
        </w:rPr>
      </w:pPr>
      <w:r>
        <w:rPr>
          <w:lang w:val="en-ZA"/>
        </w:rPr>
        <w:t xml:space="preserve">Aked, H. (2020) </w:t>
      </w:r>
      <w:r>
        <w:t>False Positives: the Prevent counter-extremism policy in healthcare (MedAct) Available at:</w:t>
      </w:r>
      <w:r>
        <w:rPr>
          <w:lang w:val="en-ZA"/>
        </w:rPr>
        <w:t xml:space="preserve"> </w:t>
      </w:r>
      <w:hyperlink r:id="rId9" w:history="1">
        <w:r w:rsidRPr="005E102E">
          <w:rPr>
            <w:rStyle w:val="Hyperlink"/>
            <w:lang w:val="en-ZA"/>
          </w:rPr>
          <w:t>https://www.medact.org/wp-content/uploads/2020/07/MEDACT-False-Positives-WEB.pdf</w:t>
        </w:r>
      </w:hyperlink>
    </w:p>
    <w:p w14:paraId="39C35957" w14:textId="4E6980C9" w:rsidR="006868E5" w:rsidRPr="00C351DF" w:rsidRDefault="006868E5">
      <w:pPr>
        <w:pStyle w:val="FootnoteText"/>
        <w:rPr>
          <w:lang w:val="en-ZA"/>
        </w:rPr>
      </w:pPr>
      <w:r>
        <w:rPr>
          <w:lang w:val="en-ZA"/>
        </w:rPr>
        <w:t xml:space="preserve">Heath-Kelly, C. &amp; Strautsz, E. (2017) Counter-terrorism in the NHS: Evaluating Prevent Duty Safeguarding (University of Warwick) Available at: </w:t>
      </w:r>
      <w:hyperlink r:id="rId10" w:history="1">
        <w:r w:rsidRPr="005E102E">
          <w:rPr>
            <w:rStyle w:val="Hyperlink"/>
            <w:lang w:val="en-ZA"/>
          </w:rPr>
          <w:t>https://warwick.ac.uk/fac/soc/pais/people/heath-kelly/project_report_60pp.pdf</w:t>
        </w:r>
      </w:hyperlink>
    </w:p>
  </w:footnote>
  <w:footnote w:id="12">
    <w:p w14:paraId="378F8049" w14:textId="0918A2A9" w:rsidR="00D31A7B" w:rsidRPr="00C351DF" w:rsidRDefault="0061645E">
      <w:pPr>
        <w:pStyle w:val="FootnoteText"/>
        <w:rPr>
          <w:lang w:val="en-ZA"/>
        </w:rPr>
      </w:pPr>
      <w:r w:rsidRPr="002A477E">
        <w:rPr>
          <w:rStyle w:val="FootnoteReference"/>
        </w:rPr>
        <w:footnoteRef/>
      </w:r>
      <w:r w:rsidRPr="002A477E">
        <w:t xml:space="preserve"> </w:t>
      </w:r>
      <w:r w:rsidRPr="002A477E">
        <w:rPr>
          <w:lang w:val="en-ZA"/>
        </w:rPr>
        <w:t xml:space="preserve">Prevent Watch has emails from the police </w:t>
      </w:r>
      <w:r w:rsidR="002A477E" w:rsidRPr="002A477E">
        <w:rPr>
          <w:lang w:val="en-ZA"/>
        </w:rPr>
        <w:t>in 2021</w:t>
      </w:r>
      <w:r w:rsidRPr="002A477E">
        <w:rPr>
          <w:lang w:val="en-ZA"/>
        </w:rPr>
        <w:t xml:space="preserve"> </w:t>
      </w:r>
      <w:r w:rsidR="002A477E" w:rsidRPr="002A477E">
        <w:rPr>
          <w:lang w:val="en-ZA"/>
        </w:rPr>
        <w:t>confirming this</w:t>
      </w:r>
    </w:p>
  </w:footnote>
  <w:footnote w:id="13">
    <w:p w14:paraId="381EFC3E" w14:textId="16C8C845" w:rsidR="0061645E" w:rsidRPr="0004681C" w:rsidRDefault="0061645E">
      <w:pPr>
        <w:pStyle w:val="FootnoteText"/>
      </w:pPr>
      <w:r>
        <w:rPr>
          <w:rStyle w:val="FootnoteReference"/>
        </w:rPr>
        <w:footnoteRef/>
      </w:r>
      <w:r>
        <w:t xml:space="preserve"> In the People’s Review of Prevent we discuss and evidence this at length using cases</w:t>
      </w:r>
      <w:r w:rsidR="002A477E">
        <w:t xml:space="preserve"> exemplified in this submission</w:t>
      </w:r>
    </w:p>
  </w:footnote>
  <w:footnote w:id="14">
    <w:p w14:paraId="7C2C4EF5" w14:textId="08BF5533" w:rsidR="0061645E" w:rsidRPr="00BE0E5C" w:rsidRDefault="0061645E" w:rsidP="000776A7">
      <w:r w:rsidRPr="00C351DF">
        <w:rPr>
          <w:rStyle w:val="FootnoteReference"/>
          <w:sz w:val="20"/>
          <w:szCs w:val="20"/>
        </w:rPr>
        <w:footnoteRef/>
      </w:r>
      <w:r w:rsidRPr="00C351DF">
        <w:t xml:space="preserve"> </w:t>
      </w:r>
      <w:r w:rsidRPr="00C351DF">
        <w:rPr>
          <w:lang w:val="en-ZA"/>
        </w:rPr>
        <w:t>Amnesty International (</w:t>
      </w:r>
      <w:r w:rsidR="0004681C" w:rsidRPr="00C351DF">
        <w:rPr>
          <w:lang w:val="en-ZA"/>
        </w:rPr>
        <w:t xml:space="preserve">Feb 2012) </w:t>
      </w:r>
      <w:r w:rsidR="0004681C" w:rsidRPr="00C351DF">
        <w:t>UK: NGOs Condemn appointment of William Shawcross and announce civil society-led review of Prevent</w:t>
      </w:r>
      <w:r w:rsidR="0004681C">
        <w:t xml:space="preserve">’ (Press Release) Available at: </w:t>
      </w:r>
      <w:hyperlink r:id="rId11" w:history="1">
        <w:r w:rsidR="0004681C" w:rsidRPr="005E102E">
          <w:rPr>
            <w:rStyle w:val="Hyperlink"/>
            <w:sz w:val="20"/>
            <w:szCs w:val="20"/>
          </w:rPr>
          <w:t>https://www.amnesty.org/en/latest/press-release/2021/02/uk-ngos-condemn-appointment-of-william-shawcross-and-announce-civil-society-led-review-of-prevent/</w:t>
        </w:r>
      </w:hyperlink>
      <w:r w:rsidR="0004681C">
        <w:t xml:space="preserve"> </w:t>
      </w:r>
    </w:p>
  </w:footnote>
  <w:footnote w:id="15">
    <w:p w14:paraId="341C9805" w14:textId="663B1302" w:rsidR="0004681C" w:rsidRPr="00C351DF" w:rsidRDefault="0004681C" w:rsidP="000776A7">
      <w:pPr>
        <w:rPr>
          <w:lang w:val="en-ZA"/>
        </w:rPr>
      </w:pPr>
      <w:r>
        <w:rPr>
          <w:rStyle w:val="FootnoteReference"/>
        </w:rPr>
        <w:footnoteRef/>
      </w:r>
      <w:r>
        <w:t xml:space="preserve"> </w:t>
      </w:r>
      <w:r>
        <w:rPr>
          <w:lang w:val="en-ZA"/>
        </w:rPr>
        <w:t xml:space="preserve">The People’s Review of Prevent: </w:t>
      </w:r>
      <w:hyperlink r:id="rId12" w:history="1">
        <w:r w:rsidRPr="005E102E">
          <w:rPr>
            <w:rStyle w:val="Hyperlink"/>
            <w:lang w:val="en-ZA"/>
          </w:rPr>
          <w:t>https://peoplesreviewofprevent.org/</w:t>
        </w:r>
      </w:hyperlink>
    </w:p>
  </w:footnote>
  <w:footnote w:id="16">
    <w:p w14:paraId="74D84BD2" w14:textId="486FA29F" w:rsidR="0004681C" w:rsidRPr="00C351DF" w:rsidRDefault="0004681C" w:rsidP="000776A7">
      <w:pPr>
        <w:rPr>
          <w:lang w:val="en-ZA"/>
        </w:rPr>
      </w:pPr>
      <w:r w:rsidRPr="0004681C">
        <w:rPr>
          <w:rStyle w:val="FootnoteReference"/>
          <w:sz w:val="20"/>
          <w:szCs w:val="20"/>
        </w:rPr>
        <w:footnoteRef/>
      </w:r>
      <w:r w:rsidRPr="0004681C">
        <w:t xml:space="preserve"> </w:t>
      </w:r>
      <w:r w:rsidRPr="0004681C">
        <w:rPr>
          <w:lang w:val="en-ZA"/>
        </w:rPr>
        <w:t>Townsend, M. (Feb 2023) ‘</w:t>
      </w:r>
      <w:r w:rsidRPr="0004681C">
        <w:t xml:space="preserve">UK counter-terrorism report author accused of basing conclusions on ‘handful of </w:t>
      </w:r>
      <w:r>
        <w:t>c</w:t>
      </w:r>
      <w:r w:rsidRPr="0004681C">
        <w:t>ases’</w:t>
      </w:r>
      <w:r>
        <w:rPr>
          <w:lang w:val="en-ZA"/>
        </w:rPr>
        <w:t xml:space="preserve"> (The Guardian) Available at: </w:t>
      </w:r>
      <w:hyperlink r:id="rId13" w:history="1">
        <w:r w:rsidRPr="00DA0B5E">
          <w:rPr>
            <w:rStyle w:val="Hyperlink"/>
            <w:sz w:val="20"/>
            <w:szCs w:val="20"/>
          </w:rPr>
          <w:t>https://www.theguardian.com/uk-news/2023/feb/12/uk-counter-terrorism-report-william-shawcross-accused-by-critics</w:t>
        </w:r>
      </w:hyperlink>
    </w:p>
  </w:footnote>
  <w:footnote w:id="17">
    <w:p w14:paraId="3B4E7A1D" w14:textId="779EAC9D" w:rsidR="0004681C" w:rsidRDefault="0004681C" w:rsidP="000776A7">
      <w:pPr>
        <w:rPr>
          <w:rStyle w:val="field"/>
          <w:sz w:val="20"/>
          <w:szCs w:val="20"/>
        </w:rPr>
      </w:pPr>
      <w:r w:rsidRPr="00C351DF">
        <w:rPr>
          <w:rStyle w:val="FootnoteReference"/>
          <w:sz w:val="20"/>
          <w:szCs w:val="20"/>
        </w:rPr>
        <w:footnoteRef/>
      </w:r>
      <w:r w:rsidRPr="00C351DF">
        <w:t xml:space="preserve"> </w:t>
      </w:r>
      <w:r w:rsidRPr="00C351DF">
        <w:rPr>
          <w:lang w:val="en-ZA"/>
        </w:rPr>
        <w:t>Hooper, S. &amp; Ullah, A. (12 March 2023) ‘</w:t>
      </w:r>
      <w:r w:rsidRPr="00C351DF">
        <w:rPr>
          <w:rStyle w:val="field"/>
          <w:sz w:val="20"/>
          <w:szCs w:val="20"/>
        </w:rPr>
        <w:t>Prevent review: Shawcross reforms risk 'slide into authoritarianism', critics warn</w:t>
      </w:r>
      <w:r>
        <w:rPr>
          <w:rStyle w:val="field"/>
          <w:sz w:val="20"/>
          <w:szCs w:val="20"/>
        </w:rPr>
        <w:t xml:space="preserve">’ (Middle East Eye) Available at: </w:t>
      </w:r>
      <w:hyperlink r:id="rId14" w:history="1">
        <w:r w:rsidRPr="005E102E">
          <w:rPr>
            <w:rStyle w:val="Hyperlink"/>
            <w:sz w:val="20"/>
            <w:szCs w:val="20"/>
          </w:rPr>
          <w:t>https://www.middleeasteye.net/news/uk-prevent-review-shawcross-reforms-risk-authoritarian-slide-critics</w:t>
        </w:r>
      </w:hyperlink>
    </w:p>
    <w:p w14:paraId="30805606" w14:textId="77777777" w:rsidR="0004681C" w:rsidRPr="0004681C" w:rsidRDefault="0004681C" w:rsidP="00C351DF"/>
    <w:p w14:paraId="685CE4FF" w14:textId="4CAF8F03" w:rsidR="0004681C" w:rsidRDefault="0004681C">
      <w:pPr>
        <w:pStyle w:val="FootnoteText"/>
        <w:rPr>
          <w:lang w:val="en-ZA"/>
        </w:rPr>
      </w:pPr>
    </w:p>
    <w:p w14:paraId="72D646C9" w14:textId="77777777" w:rsidR="0004681C" w:rsidRPr="00C351DF" w:rsidRDefault="0004681C">
      <w:pPr>
        <w:pStyle w:val="FootnoteText"/>
        <w:rPr>
          <w:lang w:val="en-ZA"/>
        </w:rPr>
      </w:pPr>
    </w:p>
  </w:footnote>
  <w:footnote w:id="18">
    <w:p w14:paraId="3AD1E0A4" w14:textId="1A58718B" w:rsidR="00971ECF" w:rsidRPr="00E62C35" w:rsidRDefault="00971ECF">
      <w:pPr>
        <w:pStyle w:val="FootnoteText"/>
      </w:pPr>
      <w:r>
        <w:rPr>
          <w:rStyle w:val="FootnoteReference"/>
        </w:rPr>
        <w:footnoteRef/>
      </w:r>
      <w:r>
        <w:t xml:space="preserve"> </w:t>
      </w:r>
      <w:r>
        <w:rPr>
          <w:lang w:val="en-ZA"/>
        </w:rPr>
        <w:t xml:space="preserve">As head of the Charity Commission, William Shawcross </w:t>
      </w:r>
      <w:r>
        <w:t xml:space="preserve">was accused of unduly and openly targeting Muslim organisations. </w:t>
      </w:r>
    </w:p>
  </w:footnote>
  <w:footnote w:id="19">
    <w:p w14:paraId="62159D53" w14:textId="7AD2E19A" w:rsidR="00971ECF" w:rsidRPr="00C351DF" w:rsidRDefault="00971ECF">
      <w:pPr>
        <w:pStyle w:val="FootnoteText"/>
        <w:rPr>
          <w:lang w:val="en-ZA"/>
        </w:rPr>
      </w:pPr>
      <w:r>
        <w:rPr>
          <w:rStyle w:val="FootnoteReference"/>
        </w:rPr>
        <w:footnoteRef/>
      </w:r>
      <w:r>
        <w:t xml:space="preserve"> The Government Review endorses </w:t>
      </w:r>
      <w:r>
        <w:t xml:space="preserve">Prevent’s worst biases against Muslims, at the expense of logic and evidence. See ‘The Response to the Shawcross Review’ at </w:t>
      </w:r>
      <w:r w:rsidRPr="00971ECF">
        <w:t>https://peoplesreviewofprevent.org/</w:t>
      </w:r>
    </w:p>
  </w:footnote>
  <w:footnote w:id="20">
    <w:p w14:paraId="2ED295A8" w14:textId="7E5EE304" w:rsidR="00F818C8" w:rsidRPr="00C351DF" w:rsidRDefault="00F818C8" w:rsidP="00BE0E5C">
      <w:pPr>
        <w:pStyle w:val="FootnoteText"/>
      </w:pPr>
      <w:r w:rsidRPr="00C351DF">
        <w:rPr>
          <w:rStyle w:val="FootnoteReference"/>
        </w:rPr>
        <w:footnoteRef/>
      </w:r>
      <w:r w:rsidRPr="00BE0E5C">
        <w:rPr>
          <w:rStyle w:val="FootnoteReference"/>
        </w:rPr>
        <w:t xml:space="preserve"> Rights and Security International (Jan 2023) ‘Emails raise concerns about potential Home Office interference in the Independent Review of Prevent, says Rights &amp; Security International’ (Press release). Available at: </w:t>
      </w:r>
      <w:hyperlink r:id="rId15" w:history="1">
        <w:r w:rsidRPr="00BE0E5C">
          <w:rPr>
            <w:rStyle w:val="FootnoteReference"/>
          </w:rPr>
          <w:t>https://www.rightsandsecurity.org/impact/entry/emails-raise-concerns-about-potential-home-office-interference-in-the-independent-review-of-prevent-says-rights-security-international</w:t>
        </w:r>
      </w:hyperlink>
      <w:r>
        <w:t xml:space="preserve"> </w:t>
      </w:r>
    </w:p>
    <w:p w14:paraId="6A8E0F47" w14:textId="5FC40E65" w:rsidR="00F818C8" w:rsidRPr="00C351DF" w:rsidRDefault="00F818C8">
      <w:pPr>
        <w:pStyle w:val="FootnoteText"/>
        <w:rPr>
          <w:lang w:val="en-Z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5E927" w14:textId="3311F9CA" w:rsidR="006F792B" w:rsidRPr="000444BC" w:rsidRDefault="006F792B" w:rsidP="000444BC">
    <w:pPr>
      <w:spacing w:line="240" w:lineRule="auto"/>
      <w:rPr>
        <w:rFonts w:ascii="Times New Roman" w:eastAsia="Times New Roman" w:hAnsi="Times New Roman" w:cs="Times New Roman"/>
        <w:sz w:val="24"/>
        <w:szCs w:val="24"/>
        <w:lang w:val="en-GB" w:eastAsia="en-GB"/>
      </w:rPr>
    </w:pPr>
    <w:r w:rsidRPr="006F792B">
      <w:rPr>
        <w:rFonts w:ascii="Times New Roman" w:eastAsia="Times New Roman" w:hAnsi="Times New Roman" w:cs="Times New Roman"/>
        <w:sz w:val="24"/>
        <w:szCs w:val="24"/>
        <w:bdr w:val="none" w:sz="0" w:space="0" w:color="auto" w:frame="1"/>
        <w:lang w:val="en-GB" w:eastAsia="en-GB"/>
      </w:rPr>
      <w:fldChar w:fldCharType="begin"/>
    </w:r>
    <w:r w:rsidRPr="006F792B">
      <w:rPr>
        <w:rFonts w:ascii="Times New Roman" w:eastAsia="Times New Roman" w:hAnsi="Times New Roman" w:cs="Times New Roman"/>
        <w:sz w:val="24"/>
        <w:szCs w:val="24"/>
        <w:bdr w:val="none" w:sz="0" w:space="0" w:color="auto" w:frame="1"/>
        <w:lang w:val="en-GB" w:eastAsia="en-GB"/>
      </w:rPr>
      <w:instrText xml:space="preserve"> INCLUDEPICTURE "https://lh3.googleusercontent.com/GHZXiprbHkNblquVn9yrneTUO5uafMsTPmUUd90ognhDjeZ-0c_e-NYOFaxxBdqQ19zZ0flXMRMDLz5lsSPDVGNhq82uMnzXjVTOVmiuyuTp4x66QuiYs9QbqCr-QSeKvAFAPFZyqSe9" \* MERGEFORMATINET </w:instrText>
    </w:r>
    <w:r w:rsidR="00F3316F">
      <w:rPr>
        <w:rFonts w:ascii="Times New Roman" w:eastAsia="Times New Roman" w:hAnsi="Times New Roman" w:cs="Times New Roman"/>
        <w:sz w:val="24"/>
        <w:szCs w:val="24"/>
        <w:bdr w:val="none" w:sz="0" w:space="0" w:color="auto" w:frame="1"/>
        <w:lang w:val="en-GB" w:eastAsia="en-GB"/>
      </w:rPr>
      <w:fldChar w:fldCharType="separate"/>
    </w:r>
    <w:r w:rsidRPr="006F792B">
      <w:rPr>
        <w:rFonts w:ascii="Times New Roman" w:eastAsia="Times New Roman" w:hAnsi="Times New Roman" w:cs="Times New Roman"/>
        <w:sz w:val="24"/>
        <w:szCs w:val="24"/>
        <w:bdr w:val="none" w:sz="0" w:space="0" w:color="auto" w:frame="1"/>
        <w:lang w:val="en-GB" w:eastAsia="en-GB"/>
      </w:rPr>
      <w:fldChar w:fldCharType="end"/>
    </w:r>
    <w:r w:rsidR="000444BC">
      <w:rPr>
        <w:noProof/>
      </w:rPr>
      <mc:AlternateContent>
        <mc:Choice Requires="wps">
          <w:drawing>
            <wp:anchor distT="0" distB="0" distL="114300" distR="114300" simplePos="0" relativeHeight="251659264" behindDoc="0" locked="0" layoutInCell="1" allowOverlap="1" wp14:anchorId="15387744" wp14:editId="6B76BEB4">
              <wp:simplePos x="0" y="0"/>
              <wp:positionH relativeFrom="column">
                <wp:posOffset>72736</wp:posOffset>
              </wp:positionH>
              <wp:positionV relativeFrom="paragraph">
                <wp:posOffset>219595</wp:posOffset>
              </wp:positionV>
              <wp:extent cx="5943600" cy="0"/>
              <wp:effectExtent l="0" t="0" r="12700" b="12700"/>
              <wp:wrapNone/>
              <wp:docPr id="2" name="Straight Connector 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122181"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75pt,17.3pt" to="473.7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" strokecolor="black [304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4E46C" w14:textId="666D5BB7" w:rsidR="000444BC" w:rsidRPr="006F792B" w:rsidRDefault="000444BC" w:rsidP="006F792B">
    <w:pPr>
      <w:spacing w:line="240" w:lineRule="auto"/>
      <w:rPr>
        <w:rFonts w:ascii="Times New Roman" w:eastAsia="Times New Roman" w:hAnsi="Times New Roman" w:cs="Times New Roman"/>
        <w:sz w:val="24"/>
        <w:szCs w:val="24"/>
        <w:lang w:val="en-GB" w:eastAsia="en-GB"/>
      </w:rPr>
    </w:pPr>
    <w:r w:rsidRPr="006F792B">
      <w:rPr>
        <w:rFonts w:ascii="Times New Roman" w:eastAsia="Times New Roman" w:hAnsi="Times New Roman" w:cs="Times New Roman"/>
        <w:noProof/>
        <w:sz w:val="24"/>
        <w:szCs w:val="24"/>
        <w:bdr w:val="none" w:sz="0" w:space="0" w:color="auto" w:frame="1"/>
        <w:lang w:val="en-GB" w:eastAsia="en-GB"/>
      </w:rPr>
      <w:drawing>
        <wp:anchor distT="0" distB="0" distL="114300" distR="114300" simplePos="0" relativeHeight="251663360" behindDoc="0" locked="0" layoutInCell="1" allowOverlap="1" wp14:anchorId="0C646728" wp14:editId="075AF133">
          <wp:simplePos x="0" y="0"/>
          <wp:positionH relativeFrom="column">
            <wp:posOffset>4260273</wp:posOffset>
          </wp:positionH>
          <wp:positionV relativeFrom="paragraph">
            <wp:posOffset>-322118</wp:posOffset>
          </wp:positionV>
          <wp:extent cx="1828800" cy="914400"/>
          <wp:effectExtent l="0" t="0" r="0" b="0"/>
          <wp:wrapNone/>
          <wp:docPr id="1" name="Picture 1" descr="A picture containing graphics, text, fon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s, text, font, graphic desig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792B">
      <w:rPr>
        <w:rFonts w:ascii="Times New Roman" w:eastAsia="Times New Roman" w:hAnsi="Times New Roman" w:cs="Times New Roman"/>
        <w:sz w:val="24"/>
        <w:szCs w:val="24"/>
        <w:bdr w:val="none" w:sz="0" w:space="0" w:color="auto" w:frame="1"/>
        <w:lang w:val="en-GB" w:eastAsia="en-GB"/>
      </w:rPr>
      <w:fldChar w:fldCharType="begin"/>
    </w:r>
    <w:r w:rsidRPr="006F792B">
      <w:rPr>
        <w:rFonts w:ascii="Times New Roman" w:eastAsia="Times New Roman" w:hAnsi="Times New Roman" w:cs="Times New Roman"/>
        <w:sz w:val="24"/>
        <w:szCs w:val="24"/>
        <w:bdr w:val="none" w:sz="0" w:space="0" w:color="auto" w:frame="1"/>
        <w:lang w:val="en-GB" w:eastAsia="en-GB"/>
      </w:rPr>
      <w:instrText xml:space="preserve"> INCLUDEPICTURE "https://lh3.googleusercontent.com/GHZXiprbHkNblquVn9yrneTUO5uafMsTPmUUd90ognhDjeZ-0c_e-NYOFaxxBdqQ19zZ0flXMRMDLz5lsSPDVGNhq82uMnzXjVTOVmiuyuTp4x66QuiYs9QbqCr-QSeKvAFAPFZyqSe9" \* MERGEFORMATINET </w:instrText>
    </w:r>
    <w:r w:rsidR="00F3316F">
      <w:rPr>
        <w:rFonts w:ascii="Times New Roman" w:eastAsia="Times New Roman" w:hAnsi="Times New Roman" w:cs="Times New Roman"/>
        <w:sz w:val="24"/>
        <w:szCs w:val="24"/>
        <w:bdr w:val="none" w:sz="0" w:space="0" w:color="auto" w:frame="1"/>
        <w:lang w:val="en-GB" w:eastAsia="en-GB"/>
      </w:rPr>
      <w:fldChar w:fldCharType="separate"/>
    </w:r>
    <w:r w:rsidRPr="006F792B">
      <w:rPr>
        <w:rFonts w:ascii="Times New Roman" w:eastAsia="Times New Roman" w:hAnsi="Times New Roman" w:cs="Times New Roman"/>
        <w:sz w:val="24"/>
        <w:szCs w:val="24"/>
        <w:bdr w:val="none" w:sz="0" w:space="0" w:color="auto" w:frame="1"/>
        <w:lang w:val="en-GB" w:eastAsia="en-GB"/>
      </w:rPr>
      <w:fldChar w:fldCharType="end"/>
    </w:r>
  </w:p>
  <w:p w14:paraId="05A9FC1D" w14:textId="77777777" w:rsidR="000444BC" w:rsidRDefault="000444BC">
    <w:pPr>
      <w:pStyle w:val="Header"/>
    </w:pPr>
  </w:p>
  <w:p w14:paraId="4FD6542B" w14:textId="6868D2B0" w:rsidR="002D503A" w:rsidRDefault="002D503A">
    <w:pPr>
      <w:pStyle w:val="Header"/>
    </w:pPr>
    <w:r>
      <w:rPr>
        <w:noProof/>
      </w:rPr>
      <mc:AlternateContent>
        <mc:Choice Requires="wps">
          <w:drawing>
            <wp:anchor distT="0" distB="0" distL="114300" distR="114300" simplePos="0" relativeHeight="251664384" behindDoc="0" locked="0" layoutInCell="1" allowOverlap="1" wp14:anchorId="18679EC1" wp14:editId="4891CE49">
              <wp:simplePos x="0" y="0"/>
              <wp:positionH relativeFrom="column">
                <wp:posOffset>10391</wp:posOffset>
              </wp:positionH>
              <wp:positionV relativeFrom="paragraph">
                <wp:posOffset>89708</wp:posOffset>
              </wp:positionV>
              <wp:extent cx="5922818" cy="0"/>
              <wp:effectExtent l="0" t="0" r="8255" b="12700"/>
              <wp:wrapNone/>
              <wp:docPr id="4" name="Straight Connector 4"/>
              <wp:cNvGraphicFramePr/>
              <a:graphic xmlns:a="http://schemas.openxmlformats.org/drawingml/2006/main">
                <a:graphicData uri="http://schemas.microsoft.com/office/word/2010/wordprocessingShape">
                  <wps:wsp>
                    <wps:cNvCnPr/>
                    <wps:spPr>
                      <a:xfrm>
                        <a:off x="0" y="0"/>
                        <a:ext cx="59228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1DC20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8pt,7.05pt" to="467.1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" strokecolor="black [3040]"/>
          </w:pict>
        </mc:Fallback>
      </mc:AlternateContent>
    </w:r>
  </w:p>
  <w:p w14:paraId="773BC219" w14:textId="1CA3920D" w:rsidR="000444BC" w:rsidRDefault="000444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7642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8A4506C"/>
    <w:multiLevelType w:val="multilevel"/>
    <w:tmpl w:val="C884E6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A7A3A27"/>
    <w:multiLevelType w:val="hybridMultilevel"/>
    <w:tmpl w:val="AC163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F793999"/>
    <w:multiLevelType w:val="hybridMultilevel"/>
    <w:tmpl w:val="6CA697B6"/>
    <w:lvl w:ilvl="0" w:tplc="067ABB0C">
      <w:start w:val="1"/>
      <w:numFmt w:val="lowerRoman"/>
      <w:lvlText w:val="%1)"/>
      <w:lvlJc w:val="left"/>
      <w:pPr>
        <w:ind w:left="1080" w:hanging="720"/>
      </w:pPr>
      <w:rPr>
        <w:rFonts w:hint="default"/>
        <w:b/>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DA0290"/>
    <w:multiLevelType w:val="multilevel"/>
    <w:tmpl w:val="F920C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8684778">
    <w:abstractNumId w:val="4"/>
  </w:num>
  <w:num w:numId="2" w16cid:durableId="1834104748">
    <w:abstractNumId w:val="1"/>
  </w:num>
  <w:num w:numId="3" w16cid:durableId="247541235">
    <w:abstractNumId w:val="3"/>
  </w:num>
  <w:num w:numId="4" w16cid:durableId="1643264814">
    <w:abstractNumId w:val="0"/>
  </w:num>
  <w:num w:numId="5" w16cid:durableId="1018891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583"/>
    <w:rsid w:val="00006597"/>
    <w:rsid w:val="000123D9"/>
    <w:rsid w:val="000363E7"/>
    <w:rsid w:val="000444BC"/>
    <w:rsid w:val="0004681C"/>
    <w:rsid w:val="000474CA"/>
    <w:rsid w:val="000776A7"/>
    <w:rsid w:val="000A27EC"/>
    <w:rsid w:val="000A397A"/>
    <w:rsid w:val="000C11CA"/>
    <w:rsid w:val="000D39E3"/>
    <w:rsid w:val="000F185A"/>
    <w:rsid w:val="001007EF"/>
    <w:rsid w:val="0018221D"/>
    <w:rsid w:val="00184DCD"/>
    <w:rsid w:val="00186E75"/>
    <w:rsid w:val="0019265A"/>
    <w:rsid w:val="001A369E"/>
    <w:rsid w:val="001A46D4"/>
    <w:rsid w:val="001A7AFA"/>
    <w:rsid w:val="001B2D87"/>
    <w:rsid w:val="001B7426"/>
    <w:rsid w:val="001C62C6"/>
    <w:rsid w:val="001C75A2"/>
    <w:rsid w:val="001D09B7"/>
    <w:rsid w:val="001D40F8"/>
    <w:rsid w:val="001E495B"/>
    <w:rsid w:val="001E6915"/>
    <w:rsid w:val="001F06E8"/>
    <w:rsid w:val="00200667"/>
    <w:rsid w:val="002008A4"/>
    <w:rsid w:val="002039AB"/>
    <w:rsid w:val="00221322"/>
    <w:rsid w:val="00233C67"/>
    <w:rsid w:val="00235AAB"/>
    <w:rsid w:val="002404FC"/>
    <w:rsid w:val="00245989"/>
    <w:rsid w:val="00253850"/>
    <w:rsid w:val="002A477E"/>
    <w:rsid w:val="002B151A"/>
    <w:rsid w:val="002B6125"/>
    <w:rsid w:val="002D503A"/>
    <w:rsid w:val="002D5BFD"/>
    <w:rsid w:val="002F2AF8"/>
    <w:rsid w:val="003119A2"/>
    <w:rsid w:val="003149A1"/>
    <w:rsid w:val="003262EE"/>
    <w:rsid w:val="003507FF"/>
    <w:rsid w:val="00351313"/>
    <w:rsid w:val="003566BC"/>
    <w:rsid w:val="00363AD2"/>
    <w:rsid w:val="00367C2C"/>
    <w:rsid w:val="003871B2"/>
    <w:rsid w:val="00397036"/>
    <w:rsid w:val="003B71BC"/>
    <w:rsid w:val="003D134B"/>
    <w:rsid w:val="003E16E4"/>
    <w:rsid w:val="003E19BF"/>
    <w:rsid w:val="0041703E"/>
    <w:rsid w:val="00444197"/>
    <w:rsid w:val="00447038"/>
    <w:rsid w:val="004B264D"/>
    <w:rsid w:val="004C5FDE"/>
    <w:rsid w:val="004D067E"/>
    <w:rsid w:val="004F34C9"/>
    <w:rsid w:val="005208AC"/>
    <w:rsid w:val="0053010F"/>
    <w:rsid w:val="00542861"/>
    <w:rsid w:val="00543AF5"/>
    <w:rsid w:val="00545C3E"/>
    <w:rsid w:val="005477DF"/>
    <w:rsid w:val="005662B6"/>
    <w:rsid w:val="00592523"/>
    <w:rsid w:val="0059337E"/>
    <w:rsid w:val="005A20E0"/>
    <w:rsid w:val="005B5ACC"/>
    <w:rsid w:val="005C147C"/>
    <w:rsid w:val="005C3D22"/>
    <w:rsid w:val="005E3FD6"/>
    <w:rsid w:val="005F7C3B"/>
    <w:rsid w:val="00601B50"/>
    <w:rsid w:val="006031F9"/>
    <w:rsid w:val="0061014B"/>
    <w:rsid w:val="0061645E"/>
    <w:rsid w:val="006225CE"/>
    <w:rsid w:val="006828A4"/>
    <w:rsid w:val="006868E5"/>
    <w:rsid w:val="0069539E"/>
    <w:rsid w:val="006A504E"/>
    <w:rsid w:val="006C0FDD"/>
    <w:rsid w:val="006D317D"/>
    <w:rsid w:val="006E4A45"/>
    <w:rsid w:val="006F24F0"/>
    <w:rsid w:val="006F792B"/>
    <w:rsid w:val="00716B90"/>
    <w:rsid w:val="00721018"/>
    <w:rsid w:val="00722DB0"/>
    <w:rsid w:val="00773196"/>
    <w:rsid w:val="00777156"/>
    <w:rsid w:val="007B576C"/>
    <w:rsid w:val="007D7CA2"/>
    <w:rsid w:val="00807469"/>
    <w:rsid w:val="00812C75"/>
    <w:rsid w:val="008406AC"/>
    <w:rsid w:val="00842372"/>
    <w:rsid w:val="0085133A"/>
    <w:rsid w:val="00856618"/>
    <w:rsid w:val="00865C20"/>
    <w:rsid w:val="008739BE"/>
    <w:rsid w:val="00884198"/>
    <w:rsid w:val="00886579"/>
    <w:rsid w:val="008D1E8C"/>
    <w:rsid w:val="008D3A43"/>
    <w:rsid w:val="008F3289"/>
    <w:rsid w:val="008F5DB5"/>
    <w:rsid w:val="009058FC"/>
    <w:rsid w:val="00914486"/>
    <w:rsid w:val="00925082"/>
    <w:rsid w:val="009479D6"/>
    <w:rsid w:val="009502FA"/>
    <w:rsid w:val="00971ECF"/>
    <w:rsid w:val="009A0E1B"/>
    <w:rsid w:val="009A1583"/>
    <w:rsid w:val="009C1BFA"/>
    <w:rsid w:val="009C6130"/>
    <w:rsid w:val="009C6856"/>
    <w:rsid w:val="009E2C3D"/>
    <w:rsid w:val="009F1F29"/>
    <w:rsid w:val="00A0567E"/>
    <w:rsid w:val="00A0793D"/>
    <w:rsid w:val="00A226CF"/>
    <w:rsid w:val="00A31334"/>
    <w:rsid w:val="00A3305B"/>
    <w:rsid w:val="00A37590"/>
    <w:rsid w:val="00A52A6C"/>
    <w:rsid w:val="00A65031"/>
    <w:rsid w:val="00A65776"/>
    <w:rsid w:val="00A72439"/>
    <w:rsid w:val="00A733BB"/>
    <w:rsid w:val="00A83D65"/>
    <w:rsid w:val="00AD102B"/>
    <w:rsid w:val="00AD6E34"/>
    <w:rsid w:val="00AD759B"/>
    <w:rsid w:val="00AE4C62"/>
    <w:rsid w:val="00AE5A79"/>
    <w:rsid w:val="00AE6FE4"/>
    <w:rsid w:val="00AF451B"/>
    <w:rsid w:val="00B12B2D"/>
    <w:rsid w:val="00B15363"/>
    <w:rsid w:val="00B42D6C"/>
    <w:rsid w:val="00B471DC"/>
    <w:rsid w:val="00B475D8"/>
    <w:rsid w:val="00B57FD7"/>
    <w:rsid w:val="00B82DB3"/>
    <w:rsid w:val="00BD30EC"/>
    <w:rsid w:val="00BE0E5C"/>
    <w:rsid w:val="00BE1DC1"/>
    <w:rsid w:val="00BE447D"/>
    <w:rsid w:val="00BE4E11"/>
    <w:rsid w:val="00BE6ADE"/>
    <w:rsid w:val="00BF4CBB"/>
    <w:rsid w:val="00C04EB7"/>
    <w:rsid w:val="00C22EEF"/>
    <w:rsid w:val="00C30C83"/>
    <w:rsid w:val="00C31B6B"/>
    <w:rsid w:val="00C351DF"/>
    <w:rsid w:val="00C457F2"/>
    <w:rsid w:val="00C5172F"/>
    <w:rsid w:val="00C567E5"/>
    <w:rsid w:val="00C6215F"/>
    <w:rsid w:val="00C928AB"/>
    <w:rsid w:val="00C95B4B"/>
    <w:rsid w:val="00CB4DB1"/>
    <w:rsid w:val="00CC4CC2"/>
    <w:rsid w:val="00CE0437"/>
    <w:rsid w:val="00CE04A7"/>
    <w:rsid w:val="00CF57A0"/>
    <w:rsid w:val="00D0210D"/>
    <w:rsid w:val="00D03A8A"/>
    <w:rsid w:val="00D31A7B"/>
    <w:rsid w:val="00D46530"/>
    <w:rsid w:val="00D5188F"/>
    <w:rsid w:val="00D51933"/>
    <w:rsid w:val="00D5709C"/>
    <w:rsid w:val="00D91A9E"/>
    <w:rsid w:val="00DA0B5E"/>
    <w:rsid w:val="00DA2CE5"/>
    <w:rsid w:val="00DA7381"/>
    <w:rsid w:val="00E15BBD"/>
    <w:rsid w:val="00E62C35"/>
    <w:rsid w:val="00E6300C"/>
    <w:rsid w:val="00E8193F"/>
    <w:rsid w:val="00EC0A4A"/>
    <w:rsid w:val="00EC345B"/>
    <w:rsid w:val="00EE2BDC"/>
    <w:rsid w:val="00F3316F"/>
    <w:rsid w:val="00F43E8A"/>
    <w:rsid w:val="00F45328"/>
    <w:rsid w:val="00F65415"/>
    <w:rsid w:val="00F66467"/>
    <w:rsid w:val="00F818C8"/>
    <w:rsid w:val="00F8496C"/>
    <w:rsid w:val="00F86658"/>
    <w:rsid w:val="00F91E27"/>
    <w:rsid w:val="00F92B1F"/>
    <w:rsid w:val="00F97336"/>
    <w:rsid w:val="00FB7BCB"/>
    <w:rsid w:val="00FC2E32"/>
    <w:rsid w:val="00FE2DCD"/>
    <w:rsid w:val="00FE420A"/>
    <w:rsid w:val="00FF39E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686F5"/>
  <w15:docId w15:val="{8E29E4E1-E257-42B6-AEF3-136F011AF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Z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numPr>
        <w:numId w:val="4"/>
      </w:numPr>
      <w:spacing w:before="400" w:after="120"/>
      <w:outlineLvl w:val="0"/>
    </w:pPr>
    <w:rPr>
      <w:sz w:val="40"/>
      <w:szCs w:val="40"/>
    </w:rPr>
  </w:style>
  <w:style w:type="paragraph" w:styleId="Heading2">
    <w:name w:val="heading 2"/>
    <w:basedOn w:val="Normal"/>
    <w:next w:val="Normal"/>
    <w:uiPriority w:val="9"/>
    <w:unhideWhenUsed/>
    <w:qFormat/>
    <w:rsid w:val="00777156"/>
    <w:pPr>
      <w:keepNext/>
      <w:keepLines/>
      <w:numPr>
        <w:ilvl w:val="1"/>
        <w:numId w:val="4"/>
      </w:numPr>
      <w:spacing w:before="360" w:after="120"/>
      <w:outlineLvl w:val="1"/>
    </w:pPr>
    <w:rPr>
      <w:sz w:val="24"/>
      <w:szCs w:val="32"/>
    </w:rPr>
  </w:style>
  <w:style w:type="paragraph" w:styleId="Heading3">
    <w:name w:val="heading 3"/>
    <w:basedOn w:val="Normal"/>
    <w:next w:val="Normal"/>
    <w:uiPriority w:val="9"/>
    <w:unhideWhenUsed/>
    <w:qFormat/>
    <w:rsid w:val="00777156"/>
    <w:pPr>
      <w:keepNext/>
      <w:keepLines/>
      <w:numPr>
        <w:ilvl w:val="2"/>
        <w:numId w:val="4"/>
      </w:numPr>
      <w:spacing w:before="320" w:after="80"/>
      <w:outlineLvl w:val="2"/>
    </w:pPr>
    <w:rPr>
      <w:color w:val="434343"/>
      <w:sz w:val="24"/>
      <w:szCs w:val="28"/>
    </w:rPr>
  </w:style>
  <w:style w:type="paragraph" w:styleId="Heading4">
    <w:name w:val="heading 4"/>
    <w:basedOn w:val="Normal"/>
    <w:next w:val="Normal"/>
    <w:uiPriority w:val="9"/>
    <w:unhideWhenUsed/>
    <w:qFormat/>
    <w:pPr>
      <w:keepNext/>
      <w:keepLines/>
      <w:numPr>
        <w:ilvl w:val="3"/>
        <w:numId w:val="4"/>
      </w:numP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numPr>
        <w:ilvl w:val="4"/>
        <w:numId w:val="4"/>
      </w:numPr>
      <w:spacing w:before="240" w:after="80"/>
      <w:outlineLvl w:val="4"/>
    </w:pPr>
    <w:rPr>
      <w:color w:val="666666"/>
    </w:rPr>
  </w:style>
  <w:style w:type="paragraph" w:styleId="Heading6">
    <w:name w:val="heading 6"/>
    <w:basedOn w:val="Normal"/>
    <w:next w:val="Normal"/>
    <w:uiPriority w:val="9"/>
    <w:semiHidden/>
    <w:unhideWhenUsed/>
    <w:qFormat/>
    <w:pPr>
      <w:keepNext/>
      <w:keepLines/>
      <w:numPr>
        <w:ilvl w:val="5"/>
        <w:numId w:val="4"/>
      </w:numPr>
      <w:spacing w:before="240" w:after="80"/>
      <w:outlineLvl w:val="5"/>
    </w:pPr>
    <w:rPr>
      <w:i/>
      <w:color w:val="666666"/>
    </w:rPr>
  </w:style>
  <w:style w:type="paragraph" w:styleId="Heading7">
    <w:name w:val="heading 7"/>
    <w:basedOn w:val="Normal"/>
    <w:next w:val="Normal"/>
    <w:link w:val="Heading7Char"/>
    <w:uiPriority w:val="9"/>
    <w:semiHidden/>
    <w:unhideWhenUsed/>
    <w:qFormat/>
    <w:rsid w:val="006F792B"/>
    <w:pPr>
      <w:keepNext/>
      <w:keepLines/>
      <w:numPr>
        <w:ilvl w:val="6"/>
        <w:numId w:val="4"/>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F792B"/>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792B"/>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351313"/>
    <w:pPr>
      <w:spacing w:line="240" w:lineRule="auto"/>
    </w:pPr>
  </w:style>
  <w:style w:type="character" w:styleId="CommentReference">
    <w:name w:val="annotation reference"/>
    <w:basedOn w:val="DefaultParagraphFont"/>
    <w:uiPriority w:val="99"/>
    <w:semiHidden/>
    <w:unhideWhenUsed/>
    <w:rsid w:val="00444197"/>
    <w:rPr>
      <w:sz w:val="16"/>
      <w:szCs w:val="16"/>
    </w:rPr>
  </w:style>
  <w:style w:type="paragraph" w:styleId="CommentText">
    <w:name w:val="annotation text"/>
    <w:basedOn w:val="Normal"/>
    <w:link w:val="CommentTextChar"/>
    <w:uiPriority w:val="99"/>
    <w:unhideWhenUsed/>
    <w:rsid w:val="00444197"/>
    <w:pPr>
      <w:spacing w:line="240" w:lineRule="auto"/>
    </w:pPr>
    <w:rPr>
      <w:sz w:val="20"/>
      <w:szCs w:val="20"/>
    </w:rPr>
  </w:style>
  <w:style w:type="character" w:customStyle="1" w:styleId="CommentTextChar">
    <w:name w:val="Comment Text Char"/>
    <w:basedOn w:val="DefaultParagraphFont"/>
    <w:link w:val="CommentText"/>
    <w:uiPriority w:val="99"/>
    <w:rsid w:val="00444197"/>
    <w:rPr>
      <w:sz w:val="20"/>
      <w:szCs w:val="20"/>
    </w:rPr>
  </w:style>
  <w:style w:type="paragraph" w:styleId="CommentSubject">
    <w:name w:val="annotation subject"/>
    <w:basedOn w:val="CommentText"/>
    <w:next w:val="CommentText"/>
    <w:link w:val="CommentSubjectChar"/>
    <w:uiPriority w:val="99"/>
    <w:semiHidden/>
    <w:unhideWhenUsed/>
    <w:rsid w:val="00444197"/>
    <w:rPr>
      <w:b/>
      <w:bCs/>
    </w:rPr>
  </w:style>
  <w:style w:type="character" w:customStyle="1" w:styleId="CommentSubjectChar">
    <w:name w:val="Comment Subject Char"/>
    <w:basedOn w:val="CommentTextChar"/>
    <w:link w:val="CommentSubject"/>
    <w:uiPriority w:val="99"/>
    <w:semiHidden/>
    <w:rsid w:val="00444197"/>
    <w:rPr>
      <w:b/>
      <w:bCs/>
      <w:sz w:val="20"/>
      <w:szCs w:val="20"/>
    </w:rPr>
  </w:style>
  <w:style w:type="paragraph" w:styleId="ListParagraph">
    <w:name w:val="List Paragraph"/>
    <w:basedOn w:val="Normal"/>
    <w:uiPriority w:val="34"/>
    <w:qFormat/>
    <w:rsid w:val="004C5FDE"/>
    <w:pPr>
      <w:ind w:left="720"/>
      <w:contextualSpacing/>
    </w:pPr>
  </w:style>
  <w:style w:type="character" w:styleId="Hyperlink">
    <w:name w:val="Hyperlink"/>
    <w:basedOn w:val="DefaultParagraphFont"/>
    <w:uiPriority w:val="99"/>
    <w:unhideWhenUsed/>
    <w:rsid w:val="00592523"/>
    <w:rPr>
      <w:color w:val="0000FF" w:themeColor="hyperlink"/>
      <w:u w:val="single"/>
    </w:rPr>
  </w:style>
  <w:style w:type="character" w:styleId="UnresolvedMention">
    <w:name w:val="Unresolved Mention"/>
    <w:basedOn w:val="DefaultParagraphFont"/>
    <w:uiPriority w:val="99"/>
    <w:semiHidden/>
    <w:unhideWhenUsed/>
    <w:rsid w:val="00592523"/>
    <w:rPr>
      <w:color w:val="605E5C"/>
      <w:shd w:val="clear" w:color="auto" w:fill="E1DFDD"/>
    </w:rPr>
  </w:style>
  <w:style w:type="paragraph" w:styleId="FootnoteText">
    <w:name w:val="footnote text"/>
    <w:basedOn w:val="Normal"/>
    <w:link w:val="FootnoteTextChar"/>
    <w:uiPriority w:val="99"/>
    <w:semiHidden/>
    <w:unhideWhenUsed/>
    <w:rsid w:val="003119A2"/>
    <w:pPr>
      <w:spacing w:line="240" w:lineRule="auto"/>
    </w:pPr>
    <w:rPr>
      <w:sz w:val="20"/>
      <w:szCs w:val="20"/>
    </w:rPr>
  </w:style>
  <w:style w:type="character" w:customStyle="1" w:styleId="FootnoteTextChar">
    <w:name w:val="Footnote Text Char"/>
    <w:basedOn w:val="DefaultParagraphFont"/>
    <w:link w:val="FootnoteText"/>
    <w:uiPriority w:val="99"/>
    <w:semiHidden/>
    <w:rsid w:val="003119A2"/>
    <w:rPr>
      <w:sz w:val="20"/>
      <w:szCs w:val="20"/>
    </w:rPr>
  </w:style>
  <w:style w:type="character" w:styleId="FootnoteReference">
    <w:name w:val="footnote reference"/>
    <w:basedOn w:val="DefaultParagraphFont"/>
    <w:uiPriority w:val="99"/>
    <w:semiHidden/>
    <w:unhideWhenUsed/>
    <w:rsid w:val="003119A2"/>
    <w:rPr>
      <w:vertAlign w:val="superscript"/>
    </w:rPr>
  </w:style>
  <w:style w:type="character" w:customStyle="1" w:styleId="field">
    <w:name w:val="field"/>
    <w:basedOn w:val="DefaultParagraphFont"/>
    <w:rsid w:val="0004681C"/>
  </w:style>
  <w:style w:type="paragraph" w:styleId="Header">
    <w:name w:val="header"/>
    <w:basedOn w:val="Normal"/>
    <w:link w:val="HeaderChar"/>
    <w:uiPriority w:val="99"/>
    <w:unhideWhenUsed/>
    <w:rsid w:val="006F792B"/>
    <w:pPr>
      <w:tabs>
        <w:tab w:val="center" w:pos="4680"/>
        <w:tab w:val="right" w:pos="9360"/>
      </w:tabs>
      <w:spacing w:line="240" w:lineRule="auto"/>
    </w:pPr>
  </w:style>
  <w:style w:type="character" w:customStyle="1" w:styleId="HeaderChar">
    <w:name w:val="Header Char"/>
    <w:basedOn w:val="DefaultParagraphFont"/>
    <w:link w:val="Header"/>
    <w:uiPriority w:val="99"/>
    <w:rsid w:val="006F792B"/>
  </w:style>
  <w:style w:type="paragraph" w:styleId="Footer">
    <w:name w:val="footer"/>
    <w:basedOn w:val="Normal"/>
    <w:link w:val="FooterChar"/>
    <w:uiPriority w:val="99"/>
    <w:unhideWhenUsed/>
    <w:rsid w:val="006F792B"/>
    <w:pPr>
      <w:tabs>
        <w:tab w:val="center" w:pos="4680"/>
        <w:tab w:val="right" w:pos="9360"/>
      </w:tabs>
      <w:spacing w:line="240" w:lineRule="auto"/>
    </w:pPr>
  </w:style>
  <w:style w:type="character" w:customStyle="1" w:styleId="FooterChar">
    <w:name w:val="Footer Char"/>
    <w:basedOn w:val="DefaultParagraphFont"/>
    <w:link w:val="Footer"/>
    <w:uiPriority w:val="99"/>
    <w:rsid w:val="006F792B"/>
  </w:style>
  <w:style w:type="table" w:styleId="TableGrid">
    <w:name w:val="Table Grid"/>
    <w:basedOn w:val="TableNormal"/>
    <w:uiPriority w:val="39"/>
    <w:rsid w:val="006F79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6F792B"/>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6F792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792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6F792B"/>
    <w:pPr>
      <w:numPr>
        <w:numId w:val="0"/>
      </w:num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6F792B"/>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6F792B"/>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6F792B"/>
    <w:pPr>
      <w:ind w:left="440"/>
    </w:pPr>
    <w:rPr>
      <w:rFonts w:asciiTheme="minorHAnsi" w:hAnsiTheme="minorHAnsi"/>
      <w:sz w:val="20"/>
      <w:szCs w:val="20"/>
    </w:rPr>
  </w:style>
  <w:style w:type="paragraph" w:styleId="TOC4">
    <w:name w:val="toc 4"/>
    <w:basedOn w:val="Normal"/>
    <w:next w:val="Normal"/>
    <w:autoRedefine/>
    <w:uiPriority w:val="39"/>
    <w:semiHidden/>
    <w:unhideWhenUsed/>
    <w:rsid w:val="006F792B"/>
    <w:pPr>
      <w:ind w:left="660"/>
    </w:pPr>
    <w:rPr>
      <w:rFonts w:asciiTheme="minorHAnsi" w:hAnsiTheme="minorHAnsi"/>
      <w:sz w:val="20"/>
      <w:szCs w:val="20"/>
    </w:rPr>
  </w:style>
  <w:style w:type="paragraph" w:styleId="TOC5">
    <w:name w:val="toc 5"/>
    <w:basedOn w:val="Normal"/>
    <w:next w:val="Normal"/>
    <w:autoRedefine/>
    <w:uiPriority w:val="39"/>
    <w:semiHidden/>
    <w:unhideWhenUsed/>
    <w:rsid w:val="006F792B"/>
    <w:pPr>
      <w:ind w:left="880"/>
    </w:pPr>
    <w:rPr>
      <w:rFonts w:asciiTheme="minorHAnsi" w:hAnsiTheme="minorHAnsi"/>
      <w:sz w:val="20"/>
      <w:szCs w:val="20"/>
    </w:rPr>
  </w:style>
  <w:style w:type="paragraph" w:styleId="TOC6">
    <w:name w:val="toc 6"/>
    <w:basedOn w:val="Normal"/>
    <w:next w:val="Normal"/>
    <w:autoRedefine/>
    <w:uiPriority w:val="39"/>
    <w:semiHidden/>
    <w:unhideWhenUsed/>
    <w:rsid w:val="006F792B"/>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6F792B"/>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6F792B"/>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6F792B"/>
    <w:pPr>
      <w:ind w:left="1760"/>
    </w:pPr>
    <w:rPr>
      <w:rFonts w:asciiTheme="minorHAnsi" w:hAnsiTheme="minorHAnsi"/>
      <w:sz w:val="20"/>
      <w:szCs w:val="20"/>
    </w:rPr>
  </w:style>
  <w:style w:type="character" w:styleId="PageNumber">
    <w:name w:val="page number"/>
    <w:basedOn w:val="DefaultParagraphFont"/>
    <w:uiPriority w:val="99"/>
    <w:semiHidden/>
    <w:unhideWhenUsed/>
    <w:rsid w:val="00044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4610">
      <w:bodyDiv w:val="1"/>
      <w:marLeft w:val="0"/>
      <w:marRight w:val="0"/>
      <w:marTop w:val="0"/>
      <w:marBottom w:val="0"/>
      <w:divBdr>
        <w:top w:val="none" w:sz="0" w:space="0" w:color="auto"/>
        <w:left w:val="none" w:sz="0" w:space="0" w:color="auto"/>
        <w:bottom w:val="none" w:sz="0" w:space="0" w:color="auto"/>
        <w:right w:val="none" w:sz="0" w:space="0" w:color="auto"/>
      </w:divBdr>
    </w:div>
    <w:div w:id="103963930">
      <w:bodyDiv w:val="1"/>
      <w:marLeft w:val="0"/>
      <w:marRight w:val="0"/>
      <w:marTop w:val="0"/>
      <w:marBottom w:val="0"/>
      <w:divBdr>
        <w:top w:val="none" w:sz="0" w:space="0" w:color="auto"/>
        <w:left w:val="none" w:sz="0" w:space="0" w:color="auto"/>
        <w:bottom w:val="none" w:sz="0" w:space="0" w:color="auto"/>
        <w:right w:val="none" w:sz="0" w:space="0" w:color="auto"/>
      </w:divBdr>
    </w:div>
    <w:div w:id="375128877">
      <w:bodyDiv w:val="1"/>
      <w:marLeft w:val="0"/>
      <w:marRight w:val="0"/>
      <w:marTop w:val="0"/>
      <w:marBottom w:val="0"/>
      <w:divBdr>
        <w:top w:val="none" w:sz="0" w:space="0" w:color="auto"/>
        <w:left w:val="none" w:sz="0" w:space="0" w:color="auto"/>
        <w:bottom w:val="none" w:sz="0" w:space="0" w:color="auto"/>
        <w:right w:val="none" w:sz="0" w:space="0" w:color="auto"/>
      </w:divBdr>
    </w:div>
    <w:div w:id="535390995">
      <w:bodyDiv w:val="1"/>
      <w:marLeft w:val="0"/>
      <w:marRight w:val="0"/>
      <w:marTop w:val="0"/>
      <w:marBottom w:val="0"/>
      <w:divBdr>
        <w:top w:val="none" w:sz="0" w:space="0" w:color="auto"/>
        <w:left w:val="none" w:sz="0" w:space="0" w:color="auto"/>
        <w:bottom w:val="none" w:sz="0" w:space="0" w:color="auto"/>
        <w:right w:val="none" w:sz="0" w:space="0" w:color="auto"/>
      </w:divBdr>
    </w:div>
    <w:div w:id="752895683">
      <w:bodyDiv w:val="1"/>
      <w:marLeft w:val="0"/>
      <w:marRight w:val="0"/>
      <w:marTop w:val="0"/>
      <w:marBottom w:val="0"/>
      <w:divBdr>
        <w:top w:val="none" w:sz="0" w:space="0" w:color="auto"/>
        <w:left w:val="none" w:sz="0" w:space="0" w:color="auto"/>
        <w:bottom w:val="none" w:sz="0" w:space="0" w:color="auto"/>
        <w:right w:val="none" w:sz="0" w:space="0" w:color="auto"/>
      </w:divBdr>
    </w:div>
    <w:div w:id="1086422120">
      <w:bodyDiv w:val="1"/>
      <w:marLeft w:val="0"/>
      <w:marRight w:val="0"/>
      <w:marTop w:val="0"/>
      <w:marBottom w:val="0"/>
      <w:divBdr>
        <w:top w:val="none" w:sz="0" w:space="0" w:color="auto"/>
        <w:left w:val="none" w:sz="0" w:space="0" w:color="auto"/>
        <w:bottom w:val="none" w:sz="0" w:space="0" w:color="auto"/>
        <w:right w:val="none" w:sz="0" w:space="0" w:color="auto"/>
      </w:divBdr>
    </w:div>
    <w:div w:id="1134368652">
      <w:bodyDiv w:val="1"/>
      <w:marLeft w:val="0"/>
      <w:marRight w:val="0"/>
      <w:marTop w:val="0"/>
      <w:marBottom w:val="0"/>
      <w:divBdr>
        <w:top w:val="none" w:sz="0" w:space="0" w:color="auto"/>
        <w:left w:val="none" w:sz="0" w:space="0" w:color="auto"/>
        <w:bottom w:val="none" w:sz="0" w:space="0" w:color="auto"/>
        <w:right w:val="none" w:sz="0" w:space="0" w:color="auto"/>
      </w:divBdr>
    </w:div>
    <w:div w:id="1223062358">
      <w:bodyDiv w:val="1"/>
      <w:marLeft w:val="0"/>
      <w:marRight w:val="0"/>
      <w:marTop w:val="0"/>
      <w:marBottom w:val="0"/>
      <w:divBdr>
        <w:top w:val="none" w:sz="0" w:space="0" w:color="auto"/>
        <w:left w:val="none" w:sz="0" w:space="0" w:color="auto"/>
        <w:bottom w:val="none" w:sz="0" w:space="0" w:color="auto"/>
        <w:right w:val="none" w:sz="0" w:space="0" w:color="auto"/>
      </w:divBdr>
      <w:divsChild>
        <w:div w:id="445152100">
          <w:marLeft w:val="0"/>
          <w:marRight w:val="0"/>
          <w:marTop w:val="0"/>
          <w:marBottom w:val="0"/>
          <w:divBdr>
            <w:top w:val="none" w:sz="0" w:space="0" w:color="auto"/>
            <w:left w:val="none" w:sz="0" w:space="0" w:color="auto"/>
            <w:bottom w:val="none" w:sz="0" w:space="0" w:color="auto"/>
            <w:right w:val="none" w:sz="0" w:space="0" w:color="auto"/>
          </w:divBdr>
          <w:divsChild>
            <w:div w:id="1532185342">
              <w:marLeft w:val="0"/>
              <w:marRight w:val="0"/>
              <w:marTop w:val="0"/>
              <w:marBottom w:val="0"/>
              <w:divBdr>
                <w:top w:val="none" w:sz="0" w:space="0" w:color="auto"/>
                <w:left w:val="none" w:sz="0" w:space="0" w:color="auto"/>
                <w:bottom w:val="none" w:sz="0" w:space="0" w:color="auto"/>
                <w:right w:val="none" w:sz="0" w:space="0" w:color="auto"/>
              </w:divBdr>
              <w:divsChild>
                <w:div w:id="33496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uk-news/2019/dec/19/family-wins-fight-to-delete-child-from-met-prevent-anti-radicalisation-recor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pglaw.co.uk/court-finds-data-retention-by-the-metropolitan-police-service-under-the-prevent-strategy-unlawfu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ytimes.com/2022/03/11/podcasts/trojan-horse-podcast-takeaways.html" TargetMode="External"/><Relationship Id="rId13" Type="http://schemas.openxmlformats.org/officeDocument/2006/relationships/hyperlink" Target="https://www.theguardian.com/uk-news/2023/feb/12/uk-counter-terrorism-report-william-shawcross-accused-by-critics" TargetMode="External"/><Relationship Id="rId3" Type="http://schemas.openxmlformats.org/officeDocument/2006/relationships/hyperlink" Target="https://www.theguardian.com/uk-news/2016/sep/29/academics-criticise-prevent-anti-radicalisation-strategy-open-letter" TargetMode="External"/><Relationship Id="rId7" Type="http://schemas.openxmlformats.org/officeDocument/2006/relationships/hyperlink" Target="https://www.rightsandsecurity.org/assets/downloads/Prevent-ing_dissent_How_the_UK%E2%80%99s_counter-terrorism_strategy_is_eroding_democracy.pdf" TargetMode="External"/><Relationship Id="rId12" Type="http://schemas.openxmlformats.org/officeDocument/2006/relationships/hyperlink" Target="https://peoplesreviewofprevent.org/" TargetMode="External"/><Relationship Id="rId2" Type="http://schemas.openxmlformats.org/officeDocument/2006/relationships/hyperlink" Target="https://www.ohchr.org/en/press-releases/2020/03/violent-extremism-prevention-programmes-should-not-violate-human-rights-un?LangID=E&amp;NewsID=25655" TargetMode="External"/><Relationship Id="rId1" Type="http://schemas.openxmlformats.org/officeDocument/2006/relationships/hyperlink" Target="https://www.legislation.gov.uk/ukdsi/2015/9780111133309/pdfs/ukdsiod_9780111133309_en.pdf" TargetMode="External"/><Relationship Id="rId6" Type="http://schemas.openxmlformats.org/officeDocument/2006/relationships/hyperlink" Target="https://www.gov.uk/government/statistics/individuals-referred-to-and-supported-through-the-prevent-programme-april-2021-to-march-2022/individuals-referred-to-and-supported-through-the-prevent-programme-april-2021-to-march-2022" TargetMode="External"/><Relationship Id="rId11" Type="http://schemas.openxmlformats.org/officeDocument/2006/relationships/hyperlink" Target="https://www.amnesty.org/en/latest/press-release/2021/02/uk-ngos-condemn-appointment-of-william-shawcross-and-announce-civil-society-led-review-of-prevent/" TargetMode="External"/><Relationship Id="rId5" Type="http://schemas.openxmlformats.org/officeDocument/2006/relationships/hyperlink" Target="https://www.justiceinitiative.org/uploads/f87bd3ad-50fb-42d0-95a8-54ba85dce818/eroding-trust-20161017_0.pdf" TargetMode="External"/><Relationship Id="rId15" Type="http://schemas.openxmlformats.org/officeDocument/2006/relationships/hyperlink" Target="https://www.rightsandsecurity.org/impact/entry/emails-raise-concerns-about-potential-home-office-interference-in-the-independent-review-of-prevent-says-rights-security-international" TargetMode="External"/><Relationship Id="rId10" Type="http://schemas.openxmlformats.org/officeDocument/2006/relationships/hyperlink" Target="https://warwick.ac.uk/fac/soc/pais/people/heath-kelly/project_report_60pp.pdf" TargetMode="External"/><Relationship Id="rId4" Type="http://schemas.openxmlformats.org/officeDocument/2006/relationships/hyperlink" Target="https://cage.ngo/wp-content/uploads/2016/09/CAGE-Science-Pre-Crime-Report.pdf" TargetMode="External"/><Relationship Id="rId9" Type="http://schemas.openxmlformats.org/officeDocument/2006/relationships/hyperlink" Target="https://www.medact.org/wp-content/uploads/2020/07/MEDACT-False-Positives-WEB.pdf" TargetMode="External"/><Relationship Id="rId14" Type="http://schemas.openxmlformats.org/officeDocument/2006/relationships/hyperlink" Target="https://www.middleeasteye.net/news/uk-prevent-review-shawcross-reforms-risk-authoritarian-slide-critic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1A478-E9FF-465F-A481-0028B030F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3519</Words>
  <Characters>20063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Tahirah Amatullah</dc:creator>
  <cp:lastModifiedBy>Erigence YAMTOIDE NDADE NOUBA(OHCHR Intern)</cp:lastModifiedBy>
  <cp:revision>2</cp:revision>
  <dcterms:created xsi:type="dcterms:W3CDTF">2023-04-19T15:27:00Z</dcterms:created>
  <dcterms:modified xsi:type="dcterms:W3CDTF">2023-04-19T15:27:00Z</dcterms:modified>
</cp:coreProperties>
</file>