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04961" w14:textId="77777777" w:rsidR="00F2181B" w:rsidRDefault="00BB111D">
      <w:pPr>
        <w:spacing w:before="120" w:line="360" w:lineRule="auto"/>
        <w:jc w:val="both"/>
        <w:rPr>
          <w:b/>
          <w:sz w:val="24"/>
          <w:szCs w:val="24"/>
        </w:rPr>
      </w:pPr>
      <w:r>
        <w:rPr>
          <w:b/>
          <w:sz w:val="24"/>
          <w:szCs w:val="24"/>
        </w:rPr>
        <w:t>Committee on Economic, Social and Cultural Rights</w:t>
      </w:r>
    </w:p>
    <w:p w14:paraId="784C05E5" w14:textId="77777777" w:rsidR="00F2181B" w:rsidRDefault="00BB111D">
      <w:pPr>
        <w:spacing w:line="360" w:lineRule="auto"/>
        <w:jc w:val="both"/>
        <w:rPr>
          <w:sz w:val="24"/>
          <w:szCs w:val="24"/>
        </w:rPr>
      </w:pPr>
      <w:r>
        <w:rPr>
          <w:sz w:val="24"/>
          <w:szCs w:val="24"/>
        </w:rPr>
        <w:t>Office of the United Nations High Commissioner for Human Rights</w:t>
      </w:r>
    </w:p>
    <w:p w14:paraId="178B258B" w14:textId="77777777" w:rsidR="00F2181B" w:rsidRPr="00BB111D" w:rsidRDefault="00BB111D">
      <w:pPr>
        <w:spacing w:line="360" w:lineRule="auto"/>
        <w:jc w:val="both"/>
        <w:rPr>
          <w:sz w:val="24"/>
          <w:szCs w:val="24"/>
          <w:lang w:val="fr-FR"/>
        </w:rPr>
      </w:pPr>
      <w:r w:rsidRPr="00BB111D">
        <w:rPr>
          <w:sz w:val="24"/>
          <w:szCs w:val="24"/>
          <w:lang w:val="fr-FR"/>
        </w:rPr>
        <w:t xml:space="preserve">Palais Wilson – 52, Rue des Pâquis CH-1201 </w:t>
      </w:r>
    </w:p>
    <w:p w14:paraId="502C0901" w14:textId="77777777" w:rsidR="00F2181B" w:rsidRDefault="00BB111D">
      <w:pPr>
        <w:spacing w:line="360" w:lineRule="auto"/>
        <w:jc w:val="both"/>
        <w:rPr>
          <w:sz w:val="24"/>
          <w:szCs w:val="24"/>
        </w:rPr>
      </w:pPr>
      <w:r>
        <w:rPr>
          <w:sz w:val="24"/>
          <w:szCs w:val="24"/>
        </w:rPr>
        <w:t>Geneva (Switzerland)</w:t>
      </w:r>
    </w:p>
    <w:p w14:paraId="44625E74" w14:textId="77777777" w:rsidR="00F2181B" w:rsidRDefault="00F2181B">
      <w:pPr>
        <w:spacing w:line="360" w:lineRule="auto"/>
        <w:jc w:val="both"/>
        <w:rPr>
          <w:sz w:val="24"/>
          <w:szCs w:val="24"/>
        </w:rPr>
      </w:pPr>
    </w:p>
    <w:p w14:paraId="0CCE61FC" w14:textId="77777777" w:rsidR="00F2181B" w:rsidRDefault="00BB111D">
      <w:pPr>
        <w:spacing w:line="360" w:lineRule="auto"/>
        <w:jc w:val="right"/>
        <w:rPr>
          <w:sz w:val="24"/>
          <w:szCs w:val="24"/>
        </w:rPr>
      </w:pPr>
      <w:r>
        <w:rPr>
          <w:sz w:val="24"/>
          <w:szCs w:val="24"/>
        </w:rPr>
        <w:t>Rio de Janeiro, August 28th, 2023</w:t>
      </w:r>
    </w:p>
    <w:p w14:paraId="6491ABDB" w14:textId="77777777" w:rsidR="00F2181B" w:rsidRDefault="00F2181B">
      <w:pPr>
        <w:spacing w:line="360" w:lineRule="auto"/>
        <w:jc w:val="right"/>
        <w:rPr>
          <w:sz w:val="24"/>
          <w:szCs w:val="24"/>
        </w:rPr>
      </w:pPr>
    </w:p>
    <w:p w14:paraId="437AC9F3" w14:textId="77777777" w:rsidR="00F2181B" w:rsidRDefault="00BB111D">
      <w:pPr>
        <w:spacing w:line="360" w:lineRule="auto"/>
        <w:ind w:left="3960"/>
        <w:jc w:val="both"/>
        <w:rPr>
          <w:b/>
          <w:sz w:val="24"/>
          <w:szCs w:val="24"/>
        </w:rPr>
      </w:pPr>
      <w:r>
        <w:rPr>
          <w:b/>
          <w:sz w:val="24"/>
          <w:szCs w:val="24"/>
        </w:rPr>
        <w:t>Re: Information on Brazil, submitted for consideration by the Committee on Economic, Social and Cultural Rights (the “CESCR”) for the 74</w:t>
      </w:r>
      <w:r>
        <w:rPr>
          <w:b/>
          <w:sz w:val="24"/>
          <w:szCs w:val="24"/>
          <w:vertAlign w:val="superscript"/>
        </w:rPr>
        <w:t>th</w:t>
      </w:r>
      <w:r>
        <w:rPr>
          <w:b/>
          <w:sz w:val="24"/>
          <w:szCs w:val="24"/>
        </w:rPr>
        <w:t xml:space="preserve"> Session, in relation to the its third periodic report</w:t>
      </w:r>
    </w:p>
    <w:p w14:paraId="58A23D80" w14:textId="77777777" w:rsidR="00F2181B" w:rsidRDefault="00F2181B">
      <w:pPr>
        <w:spacing w:line="360" w:lineRule="auto"/>
        <w:jc w:val="both"/>
        <w:rPr>
          <w:b/>
          <w:sz w:val="24"/>
          <w:szCs w:val="24"/>
        </w:rPr>
      </w:pPr>
    </w:p>
    <w:p w14:paraId="631E499D" w14:textId="77777777" w:rsidR="00F2181B" w:rsidRDefault="00BB111D">
      <w:pPr>
        <w:spacing w:line="360" w:lineRule="auto"/>
        <w:jc w:val="both"/>
        <w:rPr>
          <w:sz w:val="24"/>
          <w:szCs w:val="24"/>
        </w:rPr>
      </w:pPr>
      <w:r>
        <w:rPr>
          <w:sz w:val="24"/>
          <w:szCs w:val="24"/>
        </w:rPr>
        <w:t>Distinguished Committee members,</w:t>
      </w:r>
    </w:p>
    <w:p w14:paraId="1BFAFE61" w14:textId="77777777" w:rsidR="00F2181B" w:rsidRDefault="00F2181B">
      <w:pPr>
        <w:spacing w:line="360" w:lineRule="auto"/>
        <w:jc w:val="both"/>
        <w:rPr>
          <w:sz w:val="24"/>
          <w:szCs w:val="24"/>
        </w:rPr>
      </w:pPr>
    </w:p>
    <w:p w14:paraId="06FD89C3" w14:textId="77777777" w:rsidR="00F2181B" w:rsidRDefault="00BB111D">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00000"/>
          <w:sz w:val="24"/>
          <w:szCs w:val="24"/>
        </w:rPr>
        <w:t>The Center for Justice and I</w:t>
      </w:r>
      <w:r>
        <w:rPr>
          <w:color w:val="000000"/>
          <w:sz w:val="24"/>
          <w:szCs w:val="24"/>
        </w:rPr>
        <w:t>nternational Law (CEJIL) is a regional non-governmental organization that promotes the full enjoyment of human rights in the Americas through the effective use of Inter-American System tools and other international human rights law protection mechanisms. C</w:t>
      </w:r>
      <w:r>
        <w:rPr>
          <w:color w:val="000000"/>
          <w:sz w:val="24"/>
          <w:szCs w:val="24"/>
        </w:rPr>
        <w:t>EJIL seeks to contribute to the review of Brazil by the Committee on Economic, Social and Cultural Rights in its 74</w:t>
      </w:r>
      <w:r>
        <w:rPr>
          <w:color w:val="000000"/>
          <w:sz w:val="24"/>
          <w:szCs w:val="24"/>
          <w:vertAlign w:val="superscript"/>
        </w:rPr>
        <w:t>th</w:t>
      </w:r>
      <w:r>
        <w:rPr>
          <w:color w:val="000000"/>
          <w:sz w:val="24"/>
          <w:szCs w:val="24"/>
        </w:rPr>
        <w:t xml:space="preserve"> Session by providing information concerning Brazil’s compliance with its obligations to protect, respect, and fulfill the rights protected</w:t>
      </w:r>
      <w:r>
        <w:rPr>
          <w:color w:val="000000"/>
          <w:sz w:val="24"/>
          <w:szCs w:val="24"/>
        </w:rPr>
        <w:t xml:space="preserve"> under the International Covenant on Economic, Social and Cultural Rights (ICESCR).</w:t>
      </w:r>
    </w:p>
    <w:p w14:paraId="479AABFF"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This document focuses on the topic of climate change, presenting data on the impacts that this </w:t>
      </w:r>
      <w:r>
        <w:rPr>
          <w:sz w:val="24"/>
          <w:szCs w:val="24"/>
        </w:rPr>
        <w:t>phenomenon</w:t>
      </w:r>
      <w:r>
        <w:rPr>
          <w:color w:val="000000"/>
          <w:sz w:val="24"/>
          <w:szCs w:val="24"/>
        </w:rPr>
        <w:t xml:space="preserve"> can cause in relation to the human rights of individuals in Brazil</w:t>
      </w:r>
      <w:r>
        <w:rPr>
          <w:color w:val="000000"/>
          <w:sz w:val="24"/>
          <w:szCs w:val="24"/>
        </w:rPr>
        <w:t xml:space="preserve"> and worldwide. Additionally, it exposes the </w:t>
      </w:r>
      <w:r>
        <w:rPr>
          <w:sz w:val="24"/>
          <w:szCs w:val="24"/>
        </w:rPr>
        <w:t xml:space="preserve">context </w:t>
      </w:r>
      <w:r>
        <w:rPr>
          <w:color w:val="000000"/>
          <w:sz w:val="24"/>
          <w:szCs w:val="24"/>
        </w:rPr>
        <w:t xml:space="preserve">of lack of data and </w:t>
      </w:r>
      <w:r>
        <w:rPr>
          <w:sz w:val="24"/>
          <w:szCs w:val="24"/>
        </w:rPr>
        <w:t>absence</w:t>
      </w:r>
      <w:r>
        <w:rPr>
          <w:color w:val="000000"/>
          <w:sz w:val="24"/>
          <w:szCs w:val="24"/>
        </w:rPr>
        <w:t xml:space="preserve"> of concrete public policies for the reversal of th</w:t>
      </w:r>
      <w:r>
        <w:rPr>
          <w:sz w:val="24"/>
          <w:szCs w:val="24"/>
        </w:rPr>
        <w:t>e current scenario. Moreover</w:t>
      </w:r>
      <w:r>
        <w:rPr>
          <w:color w:val="000000"/>
          <w:sz w:val="24"/>
          <w:szCs w:val="24"/>
        </w:rPr>
        <w:t xml:space="preserve">, </w:t>
      </w:r>
      <w:r>
        <w:rPr>
          <w:sz w:val="24"/>
          <w:szCs w:val="24"/>
        </w:rPr>
        <w:t>it</w:t>
      </w:r>
      <w:r>
        <w:rPr>
          <w:color w:val="000000"/>
          <w:sz w:val="24"/>
          <w:szCs w:val="24"/>
        </w:rPr>
        <w:t xml:space="preserve"> mentions the risk situation faced by defenders of the right to land and the environment in B</w:t>
      </w:r>
      <w:r>
        <w:rPr>
          <w:color w:val="000000"/>
          <w:sz w:val="24"/>
          <w:szCs w:val="24"/>
        </w:rPr>
        <w:t>razil</w:t>
      </w:r>
      <w:r>
        <w:rPr>
          <w:sz w:val="24"/>
          <w:szCs w:val="24"/>
        </w:rPr>
        <w:t>.</w:t>
      </w:r>
      <w:r>
        <w:rPr>
          <w:color w:val="000000"/>
          <w:sz w:val="24"/>
          <w:szCs w:val="24"/>
        </w:rPr>
        <w:t xml:space="preserve"> </w:t>
      </w:r>
      <w:r>
        <w:rPr>
          <w:sz w:val="24"/>
          <w:szCs w:val="24"/>
        </w:rPr>
        <w:t>Finally, it</w:t>
      </w:r>
      <w:r>
        <w:rPr>
          <w:color w:val="000000"/>
          <w:sz w:val="24"/>
          <w:szCs w:val="24"/>
        </w:rPr>
        <w:t xml:space="preserve"> present</w:t>
      </w:r>
      <w:r>
        <w:rPr>
          <w:sz w:val="24"/>
          <w:szCs w:val="24"/>
        </w:rPr>
        <w:t>s</w:t>
      </w:r>
      <w:r>
        <w:rPr>
          <w:color w:val="000000"/>
          <w:sz w:val="24"/>
          <w:szCs w:val="24"/>
        </w:rPr>
        <w:t xml:space="preserve"> specific recommendations.</w:t>
      </w:r>
    </w:p>
    <w:p w14:paraId="13C52B48" w14:textId="77777777" w:rsidR="00F2181B" w:rsidRDefault="00F2181B">
      <w:pPr>
        <w:spacing w:line="360" w:lineRule="auto"/>
        <w:rPr>
          <w:sz w:val="24"/>
          <w:szCs w:val="24"/>
        </w:rPr>
      </w:pPr>
    </w:p>
    <w:p w14:paraId="0E1A343D" w14:textId="77777777" w:rsidR="00F2181B" w:rsidRDefault="00BB111D">
      <w:pPr>
        <w:numPr>
          <w:ilvl w:val="0"/>
          <w:numId w:val="2"/>
        </w:numPr>
        <w:pBdr>
          <w:top w:val="nil"/>
          <w:left w:val="nil"/>
          <w:bottom w:val="nil"/>
          <w:right w:val="nil"/>
          <w:between w:val="nil"/>
        </w:pBdr>
        <w:spacing w:line="360" w:lineRule="auto"/>
        <w:jc w:val="both"/>
        <w:rPr>
          <w:b/>
          <w:color w:val="000000"/>
          <w:sz w:val="24"/>
          <w:szCs w:val="24"/>
        </w:rPr>
      </w:pPr>
      <w:r>
        <w:rPr>
          <w:b/>
          <w:color w:val="000000"/>
          <w:sz w:val="24"/>
          <w:szCs w:val="24"/>
        </w:rPr>
        <w:lastRenderedPageBreak/>
        <w:t xml:space="preserve">Climate change: </w:t>
      </w:r>
      <w:r>
        <w:rPr>
          <w:b/>
          <w:sz w:val="24"/>
          <w:szCs w:val="24"/>
        </w:rPr>
        <w:t>the need to improve public policies to reduce emissions and protect environmental defenders</w:t>
      </w:r>
    </w:p>
    <w:p w14:paraId="1E52BBCA" w14:textId="77777777" w:rsidR="00F2181B" w:rsidRDefault="00F2181B">
      <w:pPr>
        <w:pBdr>
          <w:top w:val="nil"/>
          <w:left w:val="nil"/>
          <w:bottom w:val="nil"/>
          <w:right w:val="nil"/>
          <w:between w:val="nil"/>
        </w:pBdr>
        <w:spacing w:line="360" w:lineRule="auto"/>
        <w:ind w:left="720"/>
        <w:rPr>
          <w:color w:val="000000"/>
          <w:sz w:val="24"/>
          <w:szCs w:val="24"/>
        </w:rPr>
      </w:pPr>
    </w:p>
    <w:p w14:paraId="66FAEDA0"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sz w:val="24"/>
          <w:szCs w:val="24"/>
        </w:rPr>
        <w:t>F</w:t>
      </w:r>
      <w:r>
        <w:rPr>
          <w:color w:val="000000"/>
          <w:sz w:val="24"/>
          <w:szCs w:val="24"/>
        </w:rPr>
        <w:t xml:space="preserve">irst of all, we highlight the </w:t>
      </w:r>
      <w:r>
        <w:rPr>
          <w:sz w:val="24"/>
          <w:szCs w:val="24"/>
        </w:rPr>
        <w:t>lack</w:t>
      </w:r>
      <w:r>
        <w:rPr>
          <w:color w:val="000000"/>
          <w:sz w:val="24"/>
          <w:szCs w:val="24"/>
        </w:rPr>
        <w:t xml:space="preserve"> of an official, public and accessible data system that would allow civil society to monitor the </w:t>
      </w:r>
      <w:r>
        <w:rPr>
          <w:sz w:val="24"/>
          <w:szCs w:val="24"/>
        </w:rPr>
        <w:t>policies</w:t>
      </w:r>
      <w:r>
        <w:rPr>
          <w:color w:val="000000"/>
          <w:sz w:val="24"/>
          <w:szCs w:val="24"/>
        </w:rPr>
        <w:t xml:space="preserve"> announced by the government.</w:t>
      </w:r>
    </w:p>
    <w:p w14:paraId="437B0AA3"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sz w:val="24"/>
          <w:szCs w:val="24"/>
        </w:rPr>
        <w:t>T</w:t>
      </w:r>
      <w:r>
        <w:rPr>
          <w:color w:val="000000"/>
          <w:sz w:val="24"/>
          <w:szCs w:val="24"/>
        </w:rPr>
        <w:t xml:space="preserve">he </w:t>
      </w:r>
      <w:r>
        <w:rPr>
          <w:sz w:val="24"/>
          <w:szCs w:val="24"/>
        </w:rPr>
        <w:t>little</w:t>
      </w:r>
      <w:r>
        <w:rPr>
          <w:color w:val="000000"/>
          <w:sz w:val="24"/>
          <w:szCs w:val="24"/>
        </w:rPr>
        <w:t xml:space="preserve"> data that is available, however, clearly </w:t>
      </w:r>
      <w:r>
        <w:rPr>
          <w:sz w:val="24"/>
          <w:szCs w:val="24"/>
        </w:rPr>
        <w:t>signals</w:t>
      </w:r>
      <w:r>
        <w:rPr>
          <w:color w:val="000000"/>
          <w:sz w:val="24"/>
          <w:szCs w:val="24"/>
        </w:rPr>
        <w:t xml:space="preserve"> the serious impacts that climate change has </w:t>
      </w:r>
      <w:r>
        <w:rPr>
          <w:sz w:val="24"/>
          <w:szCs w:val="24"/>
        </w:rPr>
        <w:t xml:space="preserve">already produced </w:t>
      </w:r>
      <w:r>
        <w:rPr>
          <w:sz w:val="24"/>
          <w:szCs w:val="24"/>
        </w:rPr>
        <w:t xml:space="preserve">and could </w:t>
      </w:r>
      <w:r>
        <w:rPr>
          <w:color w:val="000000"/>
          <w:sz w:val="24"/>
          <w:szCs w:val="24"/>
        </w:rPr>
        <w:t>cause in Brazil, undermining the international obligations of the State in relation to numerous rights provided for in the International Covenant on Economic, Social and Cultural Rights, such as the right to adequate food and housing and the cont</w:t>
      </w:r>
      <w:r>
        <w:rPr>
          <w:color w:val="000000"/>
          <w:sz w:val="24"/>
          <w:szCs w:val="24"/>
        </w:rPr>
        <w:t xml:space="preserve">inuous improvement of living conditions (art. 11.1 of the </w:t>
      </w:r>
      <w:r>
        <w:rPr>
          <w:sz w:val="24"/>
          <w:szCs w:val="24"/>
        </w:rPr>
        <w:t>Covenant</w:t>
      </w:r>
      <w:r>
        <w:rPr>
          <w:color w:val="000000"/>
          <w:sz w:val="24"/>
          <w:szCs w:val="24"/>
        </w:rPr>
        <w:t xml:space="preserve">) and the right to the highest attainable standard of physical and mental health (art. 12.1 </w:t>
      </w:r>
      <w:r>
        <w:rPr>
          <w:sz w:val="24"/>
          <w:szCs w:val="24"/>
        </w:rPr>
        <w:t>of the Covenant</w:t>
      </w:r>
      <w:r>
        <w:rPr>
          <w:color w:val="000000"/>
          <w:sz w:val="24"/>
          <w:szCs w:val="24"/>
        </w:rPr>
        <w:t>).</w:t>
      </w:r>
    </w:p>
    <w:p w14:paraId="6253DE30"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In this sense, the National Institute for Space Research (INPE) has partnered wi</w:t>
      </w:r>
      <w:r>
        <w:rPr>
          <w:color w:val="000000"/>
          <w:sz w:val="24"/>
          <w:szCs w:val="24"/>
        </w:rPr>
        <w:t xml:space="preserve">th the Met Office Hadley Centre (MOHC) to assess the implications of global climate change for Brazil, as well as assess the impact of deforestation </w:t>
      </w:r>
      <w:r>
        <w:rPr>
          <w:sz w:val="24"/>
          <w:szCs w:val="24"/>
        </w:rPr>
        <w:t>i</w:t>
      </w:r>
      <w:r>
        <w:rPr>
          <w:color w:val="000000"/>
          <w:sz w:val="24"/>
          <w:szCs w:val="24"/>
        </w:rPr>
        <w:t>n the country. In this research</w:t>
      </w:r>
      <w:r>
        <w:rPr>
          <w:color w:val="000000"/>
          <w:sz w:val="24"/>
          <w:szCs w:val="24"/>
          <w:vertAlign w:val="superscript"/>
        </w:rPr>
        <w:footnoteReference w:id="1"/>
      </w:r>
      <w:r>
        <w:rPr>
          <w:color w:val="000000"/>
          <w:sz w:val="24"/>
          <w:szCs w:val="24"/>
        </w:rPr>
        <w:t xml:space="preserve">, the MOHC–INPE model </w:t>
      </w:r>
      <w:r>
        <w:rPr>
          <w:sz w:val="24"/>
          <w:szCs w:val="24"/>
        </w:rPr>
        <w:t>indicates</w:t>
      </w:r>
      <w:r>
        <w:rPr>
          <w:color w:val="000000"/>
          <w:sz w:val="24"/>
          <w:szCs w:val="24"/>
        </w:rPr>
        <w:t xml:space="preserve"> that the temperature rise in Brazil could</w:t>
      </w:r>
      <w:r>
        <w:rPr>
          <w:color w:val="000000"/>
          <w:sz w:val="24"/>
          <w:szCs w:val="24"/>
        </w:rPr>
        <w:t xml:space="preserve"> be 20% higher than the world average during the twenty-first century. </w:t>
      </w:r>
      <w:r>
        <w:rPr>
          <w:sz w:val="24"/>
          <w:szCs w:val="24"/>
        </w:rPr>
        <w:t xml:space="preserve">It </w:t>
      </w:r>
      <w:r>
        <w:rPr>
          <w:color w:val="000000"/>
          <w:sz w:val="24"/>
          <w:szCs w:val="24"/>
        </w:rPr>
        <w:t>also predicts a decrease in rainfall across parts of Brazil due to warmer waters in the Atlantic and Pacific oceans, which will trigger changes in wind patterns across South America.</w:t>
      </w:r>
      <w:r>
        <w:rPr>
          <w:color w:val="000000"/>
          <w:sz w:val="24"/>
          <w:szCs w:val="24"/>
        </w:rPr>
        <w:t xml:space="preserve"> This would lead to major economic impacts in Brazil: for instance, more than 70% of Brazil's energy comes from hydroelectric sources, so reducing rainfall could limit electricity supply, which would affect industrial activities in Brazil's most economical</w:t>
      </w:r>
      <w:r>
        <w:rPr>
          <w:color w:val="000000"/>
          <w:sz w:val="24"/>
          <w:szCs w:val="24"/>
        </w:rPr>
        <w:t>ly important regions.</w:t>
      </w:r>
    </w:p>
    <w:p w14:paraId="467FC283"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According to a ranking created by scientists from Columbia and Yale universities, Brazil ranked 81st in the Environmental Performance Index</w:t>
      </w:r>
      <w:r>
        <w:rPr>
          <w:color w:val="000000"/>
          <w:sz w:val="24"/>
          <w:szCs w:val="24"/>
          <w:vertAlign w:val="superscript"/>
        </w:rPr>
        <w:footnoteReference w:id="2"/>
      </w:r>
      <w:r>
        <w:rPr>
          <w:color w:val="000000"/>
          <w:sz w:val="24"/>
          <w:szCs w:val="24"/>
        </w:rPr>
        <w:t xml:space="preserve">, which takes into account 40 indicators that show how countries are improving the </w:t>
      </w:r>
      <w:r>
        <w:rPr>
          <w:color w:val="000000"/>
          <w:sz w:val="24"/>
          <w:szCs w:val="24"/>
        </w:rPr>
        <w:lastRenderedPageBreak/>
        <w:t xml:space="preserve">health of </w:t>
      </w:r>
      <w:r>
        <w:rPr>
          <w:color w:val="000000"/>
          <w:sz w:val="24"/>
          <w:szCs w:val="24"/>
        </w:rPr>
        <w:t>their environment, making progress in protecting their ecosystems and making climate change less intense. Among the categories analyzed by the scientists are forest preservation, recycling, greenhouse gas emissions and ocean pollution</w:t>
      </w:r>
      <w:r>
        <w:rPr>
          <w:color w:val="000000"/>
          <w:sz w:val="24"/>
          <w:szCs w:val="24"/>
          <w:vertAlign w:val="superscript"/>
        </w:rPr>
        <w:footnoteReference w:id="3"/>
      </w:r>
      <w:r>
        <w:rPr>
          <w:color w:val="000000"/>
          <w:sz w:val="24"/>
          <w:szCs w:val="24"/>
        </w:rPr>
        <w:t>.</w:t>
      </w:r>
    </w:p>
    <w:p w14:paraId="2E55E4B9"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Moreover, in 2021,</w:t>
      </w:r>
      <w:r>
        <w:rPr>
          <w:color w:val="000000"/>
          <w:sz w:val="24"/>
          <w:szCs w:val="24"/>
        </w:rPr>
        <w:t xml:space="preserve"> the Amazon recorded the highest rate of deforestation in 15 years</w:t>
      </w:r>
      <w:r>
        <w:rPr>
          <w:sz w:val="24"/>
          <w:szCs w:val="24"/>
        </w:rPr>
        <w:t xml:space="preserve"> and t</w:t>
      </w:r>
      <w:r>
        <w:rPr>
          <w:color w:val="000000"/>
          <w:sz w:val="24"/>
          <w:szCs w:val="24"/>
        </w:rPr>
        <w:t>here was an increase of 21.97% compared to 2020, with a deforestation of 13,235 km² of vegetation</w:t>
      </w:r>
      <w:r>
        <w:rPr>
          <w:sz w:val="24"/>
          <w:szCs w:val="24"/>
          <w:vertAlign w:val="superscript"/>
        </w:rPr>
        <w:footnoteReference w:id="4"/>
      </w:r>
      <w:r>
        <w:rPr>
          <w:color w:val="000000"/>
          <w:sz w:val="24"/>
          <w:szCs w:val="24"/>
        </w:rPr>
        <w:t>.</w:t>
      </w:r>
    </w:p>
    <w:p w14:paraId="30344B79"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Besides that, there have been setbacks in Brazil regarding environmental policies. For instance, </w:t>
      </w:r>
      <w:r>
        <w:rPr>
          <w:sz w:val="24"/>
          <w:szCs w:val="24"/>
        </w:rPr>
        <w:t>t</w:t>
      </w:r>
      <w:r>
        <w:rPr>
          <w:color w:val="000000"/>
          <w:sz w:val="24"/>
          <w:szCs w:val="24"/>
        </w:rPr>
        <w:t>he nationally determined contributions</w:t>
      </w:r>
      <w:r>
        <w:rPr>
          <w:sz w:val="24"/>
          <w:szCs w:val="24"/>
        </w:rPr>
        <w:t xml:space="preserve"> </w:t>
      </w:r>
      <w:r>
        <w:rPr>
          <w:color w:val="000000"/>
          <w:sz w:val="24"/>
          <w:szCs w:val="24"/>
        </w:rPr>
        <w:t>under the Paris Agreement</w:t>
      </w:r>
      <w:r>
        <w:rPr>
          <w:sz w:val="24"/>
          <w:szCs w:val="24"/>
          <w:vertAlign w:val="superscript"/>
        </w:rPr>
        <w:footnoteReference w:id="5"/>
      </w:r>
      <w:r>
        <w:rPr>
          <w:color w:val="000000"/>
          <w:sz w:val="24"/>
          <w:szCs w:val="24"/>
        </w:rPr>
        <w:t xml:space="preserve"> were revised twice during the Bolsonaro government. In the last revision, in April 2022, th</w:t>
      </w:r>
      <w:r>
        <w:rPr>
          <w:color w:val="000000"/>
          <w:sz w:val="24"/>
          <w:szCs w:val="24"/>
        </w:rPr>
        <w:t>e government used an accounting maneuver that allowed it to increase the percentage of cuts by increasing emissions, rather than decreasing them</w:t>
      </w:r>
      <w:r>
        <w:rPr>
          <w:color w:val="000000"/>
          <w:sz w:val="24"/>
          <w:szCs w:val="24"/>
          <w:vertAlign w:val="superscript"/>
        </w:rPr>
        <w:footnoteReference w:id="6"/>
      </w:r>
      <w:r>
        <w:rPr>
          <w:color w:val="000000"/>
          <w:sz w:val="24"/>
          <w:szCs w:val="24"/>
        </w:rPr>
        <w:t>.</w:t>
      </w:r>
    </w:p>
    <w:p w14:paraId="6140389F"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sz w:val="24"/>
          <w:szCs w:val="24"/>
        </w:rPr>
        <w:t>In this last review of its nationally determined contributions, t</w:t>
      </w:r>
      <w:r>
        <w:rPr>
          <w:color w:val="000000"/>
          <w:sz w:val="24"/>
          <w:szCs w:val="24"/>
        </w:rPr>
        <w:t xml:space="preserve">he Brazilian government did not mentioned other </w:t>
      </w:r>
      <w:r>
        <w:rPr>
          <w:sz w:val="24"/>
          <w:szCs w:val="24"/>
        </w:rPr>
        <w:t>commitments made</w:t>
      </w:r>
      <w:r>
        <w:rPr>
          <w:color w:val="000000"/>
          <w:sz w:val="24"/>
          <w:szCs w:val="24"/>
        </w:rPr>
        <w:t xml:space="preserve"> at the Glasgow Climate Conference, COP26, such as the goal of zero deforestation and reducing methane emissions by at least 30</w:t>
      </w:r>
      <w:r>
        <w:rPr>
          <w:color w:val="000000"/>
          <w:sz w:val="24"/>
          <w:szCs w:val="24"/>
        </w:rPr>
        <w:t>% by 2030</w:t>
      </w:r>
      <w:r>
        <w:rPr>
          <w:color w:val="000000"/>
          <w:sz w:val="24"/>
          <w:szCs w:val="24"/>
          <w:vertAlign w:val="superscript"/>
        </w:rPr>
        <w:footnoteReference w:id="7"/>
      </w:r>
      <w:r>
        <w:rPr>
          <w:color w:val="000000"/>
          <w:sz w:val="24"/>
          <w:szCs w:val="24"/>
        </w:rPr>
        <w:t>.</w:t>
      </w:r>
      <w:r>
        <w:rPr>
          <w:sz w:val="24"/>
          <w:szCs w:val="24"/>
        </w:rPr>
        <w:t xml:space="preserve"> </w:t>
      </w:r>
    </w:p>
    <w:p w14:paraId="77C91987"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In 2023, President Lula da Silva announced that his government will </w:t>
      </w:r>
      <w:r>
        <w:rPr>
          <w:sz w:val="24"/>
          <w:szCs w:val="24"/>
        </w:rPr>
        <w:t>comply with</w:t>
      </w:r>
      <w:r>
        <w:rPr>
          <w:color w:val="000000"/>
          <w:sz w:val="24"/>
          <w:szCs w:val="24"/>
        </w:rPr>
        <w:t xml:space="preserve"> the climate goals assumed by the country under the Paris Agreement, commit</w:t>
      </w:r>
      <w:r>
        <w:rPr>
          <w:sz w:val="24"/>
          <w:szCs w:val="24"/>
        </w:rPr>
        <w:t>ting itself</w:t>
      </w:r>
      <w:r>
        <w:rPr>
          <w:color w:val="000000"/>
          <w:sz w:val="24"/>
          <w:szCs w:val="24"/>
        </w:rPr>
        <w:t xml:space="preserve"> to act firmly in the face of climate change</w:t>
      </w:r>
      <w:r>
        <w:rPr>
          <w:color w:val="000000"/>
          <w:sz w:val="24"/>
          <w:szCs w:val="24"/>
          <w:vertAlign w:val="superscript"/>
        </w:rPr>
        <w:footnoteReference w:id="8"/>
      </w:r>
      <w:r>
        <w:rPr>
          <w:color w:val="000000"/>
          <w:sz w:val="24"/>
          <w:szCs w:val="24"/>
        </w:rPr>
        <w:t xml:space="preserve">. However, there are </w:t>
      </w:r>
      <w:r>
        <w:rPr>
          <w:color w:val="000000"/>
          <w:sz w:val="24"/>
          <w:szCs w:val="24"/>
        </w:rPr>
        <w:lastRenderedPageBreak/>
        <w:t>no clear s</w:t>
      </w:r>
      <w:r>
        <w:rPr>
          <w:color w:val="000000"/>
          <w:sz w:val="24"/>
          <w:szCs w:val="24"/>
        </w:rPr>
        <w:t xml:space="preserve">igns that the environmental agenda is actually being considered a priority for the government. For instance, a commission of the National Congress approved measures that </w:t>
      </w:r>
      <w:r>
        <w:rPr>
          <w:sz w:val="24"/>
          <w:szCs w:val="24"/>
        </w:rPr>
        <w:t>weakened</w:t>
      </w:r>
      <w:r>
        <w:rPr>
          <w:color w:val="000000"/>
          <w:sz w:val="24"/>
          <w:szCs w:val="24"/>
        </w:rPr>
        <w:t xml:space="preserve"> the </w:t>
      </w:r>
      <w:r>
        <w:rPr>
          <w:sz w:val="24"/>
          <w:szCs w:val="24"/>
        </w:rPr>
        <w:t>M</w:t>
      </w:r>
      <w:r>
        <w:rPr>
          <w:color w:val="000000"/>
          <w:sz w:val="24"/>
          <w:szCs w:val="24"/>
        </w:rPr>
        <w:t>inistries of the Environment and Indigenous Peoples</w:t>
      </w:r>
      <w:r>
        <w:rPr>
          <w:color w:val="000000"/>
          <w:sz w:val="24"/>
          <w:szCs w:val="24"/>
          <w:vertAlign w:val="superscript"/>
        </w:rPr>
        <w:footnoteReference w:id="9"/>
      </w:r>
      <w:r>
        <w:rPr>
          <w:color w:val="000000"/>
          <w:sz w:val="24"/>
          <w:szCs w:val="24"/>
        </w:rPr>
        <w:t xml:space="preserve">. With the </w:t>
      </w:r>
      <w:r>
        <w:rPr>
          <w:sz w:val="24"/>
          <w:szCs w:val="24"/>
        </w:rPr>
        <w:t>changes</w:t>
      </w:r>
      <w:r>
        <w:rPr>
          <w:color w:val="000000"/>
          <w:sz w:val="24"/>
          <w:szCs w:val="24"/>
        </w:rPr>
        <w:t>,</w:t>
      </w:r>
      <w:r>
        <w:rPr>
          <w:color w:val="000000"/>
          <w:sz w:val="24"/>
          <w:szCs w:val="24"/>
        </w:rPr>
        <w:t xml:space="preserve"> the Minister of the Environment, Marina Silva, lost control over the Rural Environmental Registry (CAR) and the National Water Agency (ANA)</w:t>
      </w:r>
      <w:r>
        <w:rPr>
          <w:color w:val="000000"/>
          <w:sz w:val="24"/>
          <w:szCs w:val="24"/>
          <w:vertAlign w:val="superscript"/>
        </w:rPr>
        <w:footnoteReference w:id="10"/>
      </w:r>
      <w:r>
        <w:rPr>
          <w:color w:val="000000"/>
          <w:sz w:val="24"/>
          <w:szCs w:val="24"/>
        </w:rPr>
        <w:t>.</w:t>
      </w:r>
    </w:p>
    <w:p w14:paraId="78E55437"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Recently, in the Fourth Meeting of Presidents of the States Parties to the Amazon Cooperation Treaty (Amazon Sum</w:t>
      </w:r>
      <w:r>
        <w:rPr>
          <w:color w:val="000000"/>
          <w:sz w:val="24"/>
          <w:szCs w:val="24"/>
        </w:rPr>
        <w:t>mit), the region's leaders determined, among other measures, to (i) urge developed countries to fulfill their commitments to provide and mobilize resources, including the goal of mobilizing US$ 100 billion per year in climate finance to support the needs o</w:t>
      </w:r>
      <w:r>
        <w:rPr>
          <w:color w:val="000000"/>
          <w:sz w:val="24"/>
          <w:szCs w:val="24"/>
        </w:rPr>
        <w:t>f developing countries; (ii) promote innovative financing mechanisms for climate action, including the exchange of debt for climate action by developed countries; and (iii) strengthen cooperation among scientific and university institutions in the States P</w:t>
      </w:r>
      <w:r>
        <w:rPr>
          <w:color w:val="000000"/>
          <w:sz w:val="24"/>
          <w:szCs w:val="24"/>
        </w:rPr>
        <w:t>arties to deepen understanding of the interrelationships between climate change and forest ecosystems and peatlands in the Amazon</w:t>
      </w:r>
      <w:r>
        <w:rPr>
          <w:color w:val="000000"/>
          <w:sz w:val="24"/>
          <w:szCs w:val="24"/>
          <w:vertAlign w:val="superscript"/>
        </w:rPr>
        <w:footnoteReference w:id="11"/>
      </w:r>
      <w:r>
        <w:rPr>
          <w:color w:val="000000"/>
          <w:sz w:val="24"/>
          <w:szCs w:val="24"/>
        </w:rPr>
        <w:t>.</w:t>
      </w:r>
    </w:p>
    <w:p w14:paraId="10DCABB5"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The press </w:t>
      </w:r>
      <w:r>
        <w:rPr>
          <w:sz w:val="24"/>
          <w:szCs w:val="24"/>
        </w:rPr>
        <w:t>reported</w:t>
      </w:r>
      <w:r>
        <w:rPr>
          <w:color w:val="000000"/>
          <w:sz w:val="24"/>
          <w:szCs w:val="24"/>
        </w:rPr>
        <w:t xml:space="preserve">, however, the existence of a conflict over oil exploration in the Amazon. The president of Colombia has </w:t>
      </w:r>
      <w:r>
        <w:rPr>
          <w:color w:val="000000"/>
          <w:sz w:val="24"/>
          <w:szCs w:val="24"/>
        </w:rPr>
        <w:t xml:space="preserve">linked climate denialism to those who justify the maintenance of investments in fossil fuels, saying it is necessary to make an </w:t>
      </w:r>
      <w:r>
        <w:rPr>
          <w:sz w:val="24"/>
          <w:szCs w:val="24"/>
        </w:rPr>
        <w:t>“</w:t>
      </w:r>
      <w:r>
        <w:rPr>
          <w:color w:val="000000"/>
          <w:sz w:val="24"/>
          <w:szCs w:val="24"/>
        </w:rPr>
        <w:t>energy transition</w:t>
      </w:r>
      <w:r>
        <w:rPr>
          <w:sz w:val="24"/>
          <w:szCs w:val="24"/>
        </w:rPr>
        <w:t>”</w:t>
      </w:r>
      <w:r>
        <w:rPr>
          <w:color w:val="000000"/>
          <w:sz w:val="24"/>
          <w:szCs w:val="24"/>
        </w:rPr>
        <w:t>.</w:t>
      </w:r>
      <w:r>
        <w:rPr>
          <w:color w:val="000000"/>
          <w:sz w:val="24"/>
          <w:szCs w:val="24"/>
          <w:vertAlign w:val="superscript"/>
        </w:rPr>
        <w:footnoteReference w:id="12"/>
      </w:r>
    </w:p>
    <w:p w14:paraId="7CB3FD9E"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sz w:val="24"/>
          <w:szCs w:val="24"/>
        </w:rPr>
        <w:t xml:space="preserve">Regarding the investment in fossil fuels in Brazil, </w:t>
      </w:r>
      <w:r>
        <w:rPr>
          <w:color w:val="000000"/>
          <w:sz w:val="24"/>
          <w:szCs w:val="24"/>
        </w:rPr>
        <w:t>this year, Petrobras filed, at the Brazilian Institut</w:t>
      </w:r>
      <w:r>
        <w:rPr>
          <w:color w:val="000000"/>
          <w:sz w:val="24"/>
          <w:szCs w:val="24"/>
        </w:rPr>
        <w:t xml:space="preserve">e of the Environment and Renewable Natural Resources (Ibama), a request for reanalysis of the environmental license for oil exploration </w:t>
      </w:r>
      <w:r>
        <w:rPr>
          <w:color w:val="000000"/>
          <w:sz w:val="24"/>
          <w:szCs w:val="24"/>
        </w:rPr>
        <w:lastRenderedPageBreak/>
        <w:t>in the Foz do Amazonas basin</w:t>
      </w:r>
      <w:r>
        <w:rPr>
          <w:color w:val="000000"/>
          <w:sz w:val="24"/>
          <w:szCs w:val="24"/>
          <w:vertAlign w:val="superscript"/>
        </w:rPr>
        <w:footnoteReference w:id="13"/>
      </w:r>
      <w:r>
        <w:rPr>
          <w:color w:val="000000"/>
          <w:sz w:val="24"/>
          <w:szCs w:val="24"/>
        </w:rPr>
        <w:t>. The oil company wants the environmental agency to reconsider the rejection of the licens</w:t>
      </w:r>
      <w:r>
        <w:rPr>
          <w:color w:val="000000"/>
          <w:sz w:val="24"/>
          <w:szCs w:val="24"/>
        </w:rPr>
        <w:t>e, since it needs the authorization of Ibama to start drilling an exploratory well</w:t>
      </w:r>
      <w:r>
        <w:rPr>
          <w:sz w:val="24"/>
          <w:szCs w:val="24"/>
        </w:rPr>
        <w:t>.</w:t>
      </w:r>
      <w:r>
        <w:rPr>
          <w:color w:val="000000"/>
          <w:sz w:val="24"/>
          <w:szCs w:val="24"/>
          <w:vertAlign w:val="superscript"/>
        </w:rPr>
        <w:footnoteReference w:id="14"/>
      </w:r>
      <w:r>
        <w:rPr>
          <w:color w:val="000000"/>
          <w:sz w:val="24"/>
          <w:szCs w:val="24"/>
        </w:rPr>
        <w:t xml:space="preserve">. </w:t>
      </w:r>
    </w:p>
    <w:p w14:paraId="20157F73"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Despite President Lula da Silva stating that the government will not issue a license for Petrobras to research a possible oil exploration basin near the mouth of the Am</w:t>
      </w:r>
      <w:r>
        <w:rPr>
          <w:color w:val="000000"/>
          <w:sz w:val="24"/>
          <w:szCs w:val="24"/>
        </w:rPr>
        <w:t>azon River, on the marine coast of Amapá, if this generates environmental problems for the region, he said he believes it’s “difficult" that such risks on the environment exists, since, according to him, the point of possible exploration is 530 km away fro</w:t>
      </w:r>
      <w:r>
        <w:rPr>
          <w:color w:val="000000"/>
          <w:sz w:val="24"/>
          <w:szCs w:val="24"/>
        </w:rPr>
        <w:t>m the mouth of the river</w:t>
      </w:r>
      <w:r>
        <w:rPr>
          <w:color w:val="000000"/>
          <w:sz w:val="24"/>
          <w:szCs w:val="24"/>
          <w:vertAlign w:val="superscript"/>
        </w:rPr>
        <w:footnoteReference w:id="15"/>
      </w:r>
      <w:r>
        <w:rPr>
          <w:color w:val="000000"/>
          <w:sz w:val="24"/>
          <w:szCs w:val="24"/>
        </w:rPr>
        <w:t>.</w:t>
      </w:r>
    </w:p>
    <w:p w14:paraId="73C72BBA"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It is worth mentioning that the technical document pointed out that Petrobras' plan for the area does not present guarantees for assistance to the fauna in possible accidents involving oil spill</w:t>
      </w:r>
      <w:r>
        <w:rPr>
          <w:color w:val="000000"/>
          <w:sz w:val="24"/>
          <w:szCs w:val="24"/>
          <w:vertAlign w:val="superscript"/>
        </w:rPr>
        <w:footnoteReference w:id="16"/>
      </w:r>
      <w:r>
        <w:rPr>
          <w:color w:val="000000"/>
          <w:sz w:val="24"/>
          <w:szCs w:val="24"/>
        </w:rPr>
        <w:t xml:space="preserve">. Another point highlighted are </w:t>
      </w:r>
      <w:r>
        <w:rPr>
          <w:color w:val="000000"/>
          <w:sz w:val="24"/>
          <w:szCs w:val="24"/>
        </w:rPr>
        <w:t>gaps in the prediction of impacts of the activity in three indigenous lands in Oiapoque</w:t>
      </w:r>
      <w:r>
        <w:rPr>
          <w:color w:val="000000"/>
          <w:sz w:val="24"/>
          <w:szCs w:val="24"/>
          <w:vertAlign w:val="superscript"/>
        </w:rPr>
        <w:footnoteReference w:id="17"/>
      </w:r>
      <w:r>
        <w:rPr>
          <w:color w:val="000000"/>
          <w:sz w:val="24"/>
          <w:szCs w:val="24"/>
        </w:rPr>
        <w:t>.</w:t>
      </w:r>
    </w:p>
    <w:p w14:paraId="3AE56D51"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Another point directly related to this matter is the current state of risk and lack of protection faced by human rights defenders who work to guarantee the</w:t>
      </w:r>
      <w:r>
        <w:rPr>
          <w:sz w:val="24"/>
          <w:szCs w:val="24"/>
        </w:rPr>
        <w:t xml:space="preserve"> </w:t>
      </w:r>
      <w:r>
        <w:rPr>
          <w:color w:val="000000"/>
          <w:sz w:val="24"/>
          <w:szCs w:val="24"/>
        </w:rPr>
        <w:t>access to</w:t>
      </w:r>
      <w:r>
        <w:rPr>
          <w:color w:val="000000"/>
          <w:sz w:val="24"/>
          <w:szCs w:val="24"/>
        </w:rPr>
        <w:t xml:space="preserve"> land and the preservation of the environment. In this regard, the representative of the United Nations High Commissioner for Human Rights for South America, Amerigo Incalcaterra, said in a joint statement with the Special Rapporteur of the IACHR on Human </w:t>
      </w:r>
      <w:r>
        <w:rPr>
          <w:color w:val="000000"/>
          <w:sz w:val="24"/>
          <w:szCs w:val="24"/>
        </w:rPr>
        <w:t>Rights Defenders that “Brazil is one of the most dangerous countries for human rights defenders, especially as a result of activities related to the land dispute, to decent work and the protection of the environment.”</w:t>
      </w:r>
      <w:r>
        <w:rPr>
          <w:color w:val="000000"/>
          <w:sz w:val="24"/>
          <w:szCs w:val="24"/>
          <w:vertAlign w:val="superscript"/>
        </w:rPr>
        <w:footnoteReference w:id="18"/>
      </w:r>
      <w:r>
        <w:rPr>
          <w:color w:val="000000"/>
          <w:sz w:val="24"/>
          <w:szCs w:val="24"/>
        </w:rPr>
        <w:t xml:space="preserve"> </w:t>
      </w:r>
    </w:p>
    <w:p w14:paraId="0E9F81E3"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Regarding activities linked to land disputes, the Pastoral Land Commission (CPT) reports an intensification of conflicts in the countryside, both in terms of </w:t>
      </w:r>
      <w:r>
        <w:rPr>
          <w:color w:val="000000"/>
          <w:sz w:val="24"/>
          <w:szCs w:val="24"/>
        </w:rPr>
        <w:lastRenderedPageBreak/>
        <w:t>the number of incidents and severity, with a significant increase in killings, threats and other f</w:t>
      </w:r>
      <w:r>
        <w:rPr>
          <w:color w:val="000000"/>
          <w:sz w:val="24"/>
          <w:szCs w:val="24"/>
        </w:rPr>
        <w:t>orms of violence. In 2022, 2,018 occurrences of conflicts and 47 murders in the countryside were documented</w:t>
      </w:r>
      <w:r>
        <w:rPr>
          <w:color w:val="000000"/>
          <w:sz w:val="24"/>
          <w:szCs w:val="24"/>
          <w:vertAlign w:val="superscript"/>
        </w:rPr>
        <w:footnoteReference w:id="19"/>
      </w:r>
      <w:r>
        <w:rPr>
          <w:color w:val="000000"/>
          <w:sz w:val="24"/>
          <w:szCs w:val="24"/>
        </w:rPr>
        <w:t xml:space="preserve">, representing a significant increase compared to 2021, when 1,838 </w:t>
      </w:r>
      <w:r>
        <w:rPr>
          <w:sz w:val="24"/>
          <w:szCs w:val="24"/>
        </w:rPr>
        <w:t>occurrences</w:t>
      </w:r>
      <w:r>
        <w:rPr>
          <w:color w:val="000000"/>
          <w:sz w:val="24"/>
          <w:szCs w:val="24"/>
        </w:rPr>
        <w:t xml:space="preserve"> and 36 murders were recorded.</w:t>
      </w:r>
      <w:r>
        <w:rPr>
          <w:color w:val="000000"/>
          <w:sz w:val="24"/>
          <w:szCs w:val="24"/>
          <w:vertAlign w:val="superscript"/>
        </w:rPr>
        <w:footnoteReference w:id="20"/>
      </w:r>
      <w:r>
        <w:rPr>
          <w:color w:val="000000"/>
          <w:sz w:val="24"/>
          <w:szCs w:val="24"/>
        </w:rPr>
        <w:t xml:space="preserve"> </w:t>
      </w:r>
    </w:p>
    <w:p w14:paraId="1846A38E"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The concentration of land in the ha</w:t>
      </w:r>
      <w:r>
        <w:rPr>
          <w:color w:val="000000"/>
          <w:sz w:val="24"/>
          <w:szCs w:val="24"/>
        </w:rPr>
        <w:t>nds of a few is the main cause of agrarian conflicts in all regions of Brazil</w:t>
      </w:r>
      <w:r>
        <w:rPr>
          <w:sz w:val="24"/>
          <w:szCs w:val="24"/>
        </w:rPr>
        <w:t xml:space="preserve"> and is </w:t>
      </w:r>
      <w:r>
        <w:rPr>
          <w:color w:val="000000"/>
          <w:sz w:val="24"/>
          <w:szCs w:val="24"/>
        </w:rPr>
        <w:t>responsible for the high rates of violence in rural areas.</w:t>
      </w:r>
      <w:r>
        <w:rPr>
          <w:color w:val="000000"/>
          <w:sz w:val="24"/>
          <w:szCs w:val="24"/>
          <w:vertAlign w:val="superscript"/>
        </w:rPr>
        <w:footnoteReference w:id="21"/>
      </w:r>
      <w:r>
        <w:rPr>
          <w:color w:val="000000"/>
          <w:sz w:val="24"/>
          <w:szCs w:val="24"/>
        </w:rPr>
        <w:t xml:space="preserve"> A recent study by Oxfam highlights that </w:t>
      </w:r>
      <w:r>
        <w:rPr>
          <w:sz w:val="24"/>
          <w:szCs w:val="24"/>
        </w:rPr>
        <w:t>“</w:t>
      </w:r>
      <w:r>
        <w:rPr>
          <w:color w:val="000000"/>
          <w:sz w:val="24"/>
          <w:szCs w:val="24"/>
        </w:rPr>
        <w:t>[t]he development model that prevails in Latin America is based on th</w:t>
      </w:r>
      <w:r>
        <w:rPr>
          <w:color w:val="000000"/>
          <w:sz w:val="24"/>
          <w:szCs w:val="24"/>
        </w:rPr>
        <w:t>e extreme exploitation of natural resources and favors the concentration of land by a few people</w:t>
      </w:r>
      <w:r>
        <w:rPr>
          <w:sz w:val="24"/>
          <w:szCs w:val="24"/>
        </w:rPr>
        <w:t>”</w:t>
      </w:r>
      <w:r>
        <w:rPr>
          <w:color w:val="000000"/>
          <w:sz w:val="24"/>
          <w:szCs w:val="24"/>
          <w:vertAlign w:val="superscript"/>
        </w:rPr>
        <w:footnoteReference w:id="22"/>
      </w:r>
      <w:r>
        <w:rPr>
          <w:color w:val="000000"/>
          <w:sz w:val="24"/>
          <w:szCs w:val="24"/>
        </w:rPr>
        <w:t>.</w:t>
      </w:r>
    </w:p>
    <w:p w14:paraId="68FD3A00"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The Brazilian state is currently promoting a reform of its Policy for the Protection of Human Rights Defenders, through the Sales Pimenta Working Group</w:t>
      </w:r>
      <w:r>
        <w:rPr>
          <w:color w:val="000000"/>
          <w:sz w:val="24"/>
          <w:szCs w:val="24"/>
          <w:vertAlign w:val="superscript"/>
        </w:rPr>
        <w:footnoteReference w:id="23"/>
      </w:r>
      <w:r>
        <w:rPr>
          <w:color w:val="000000"/>
          <w:sz w:val="24"/>
          <w:szCs w:val="24"/>
        </w:rPr>
        <w:t xml:space="preserve">. </w:t>
      </w:r>
      <w:r>
        <w:rPr>
          <w:color w:val="000000"/>
          <w:sz w:val="24"/>
          <w:szCs w:val="24"/>
        </w:rPr>
        <w:t>Gabriel Sales Pimenta was a defender of the right to land</w:t>
      </w:r>
      <w:r>
        <w:rPr>
          <w:sz w:val="24"/>
          <w:szCs w:val="24"/>
        </w:rPr>
        <w:t xml:space="preserve"> </w:t>
      </w:r>
      <w:r>
        <w:rPr>
          <w:color w:val="000000"/>
          <w:sz w:val="24"/>
          <w:szCs w:val="24"/>
        </w:rPr>
        <w:t xml:space="preserve">murdered in the 80s in the state of Pará. The Inter-American Court of Human Rights considered Brazil responsible for the impunity regarding </w:t>
      </w:r>
      <w:r>
        <w:rPr>
          <w:sz w:val="24"/>
          <w:szCs w:val="24"/>
        </w:rPr>
        <w:t>his</w:t>
      </w:r>
      <w:r>
        <w:rPr>
          <w:color w:val="000000"/>
          <w:sz w:val="24"/>
          <w:szCs w:val="24"/>
        </w:rPr>
        <w:t xml:space="preserve"> death and </w:t>
      </w:r>
      <w:r>
        <w:rPr>
          <w:sz w:val="24"/>
          <w:szCs w:val="24"/>
        </w:rPr>
        <w:t>established</w:t>
      </w:r>
      <w:r>
        <w:rPr>
          <w:color w:val="000000"/>
          <w:sz w:val="24"/>
          <w:szCs w:val="24"/>
        </w:rPr>
        <w:t xml:space="preserve"> that the country must adopt spec</w:t>
      </w:r>
      <w:r>
        <w:rPr>
          <w:color w:val="000000"/>
          <w:sz w:val="24"/>
          <w:szCs w:val="24"/>
        </w:rPr>
        <w:t>ific standards in its Program o</w:t>
      </w:r>
      <w:r>
        <w:rPr>
          <w:sz w:val="24"/>
          <w:szCs w:val="24"/>
        </w:rPr>
        <w:t>f</w:t>
      </w:r>
      <w:r>
        <w:rPr>
          <w:color w:val="000000"/>
          <w:sz w:val="24"/>
          <w:szCs w:val="24"/>
        </w:rPr>
        <w:t xml:space="preserve"> Protection </w:t>
      </w:r>
      <w:r>
        <w:rPr>
          <w:sz w:val="24"/>
          <w:szCs w:val="24"/>
        </w:rPr>
        <w:t>of</w:t>
      </w:r>
      <w:r>
        <w:rPr>
          <w:color w:val="000000"/>
          <w:sz w:val="24"/>
          <w:szCs w:val="24"/>
        </w:rPr>
        <w:t xml:space="preserve"> Human Rights Defenders: “a) the equal participation of human rights defenders, civil society organizations, and experts in the development of legal frameworks for the protection of this group; b) flexible crit</w:t>
      </w:r>
      <w:r>
        <w:rPr>
          <w:color w:val="000000"/>
          <w:sz w:val="24"/>
          <w:szCs w:val="24"/>
        </w:rPr>
        <w:t xml:space="preserve">eria for the inclusion of beneficiaries, taking into account the comments already made by this Court regarding the concept of a human rights defender; c) the development of a risk analysis model that adequately determines the risks and protection needs of </w:t>
      </w:r>
      <w:r>
        <w:rPr>
          <w:color w:val="000000"/>
          <w:sz w:val="24"/>
          <w:szCs w:val="24"/>
        </w:rPr>
        <w:t xml:space="preserve">each defender or group; d) the design of protection plans that take into account the risks faced by each defender and the nature of their work; e) the promotion of a culture that </w:t>
      </w:r>
      <w:r>
        <w:rPr>
          <w:color w:val="000000"/>
          <w:sz w:val="24"/>
          <w:szCs w:val="24"/>
        </w:rPr>
        <w:lastRenderedPageBreak/>
        <w:t>legitimizes and safeguards the work of human rights defenders; and f) the pro</w:t>
      </w:r>
      <w:r>
        <w:rPr>
          <w:color w:val="000000"/>
          <w:sz w:val="24"/>
          <w:szCs w:val="24"/>
        </w:rPr>
        <w:t>vision of sufficient human and financial resources to address the real protection needs of human rights defenders, as well as proper execution of the allocated budget.”</w:t>
      </w:r>
      <w:r>
        <w:rPr>
          <w:color w:val="000000"/>
          <w:sz w:val="24"/>
          <w:szCs w:val="24"/>
          <w:vertAlign w:val="superscript"/>
        </w:rPr>
        <w:footnoteReference w:id="24"/>
      </w:r>
      <w:r>
        <w:rPr>
          <w:color w:val="000000"/>
          <w:sz w:val="24"/>
          <w:szCs w:val="24"/>
        </w:rPr>
        <w:t>.</w:t>
      </w:r>
    </w:p>
    <w:p w14:paraId="55A713C6"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In addition to these standards, we consider that is also fundamental an analysis of </w:t>
      </w:r>
      <w:r>
        <w:rPr>
          <w:color w:val="000000"/>
          <w:sz w:val="24"/>
          <w:szCs w:val="24"/>
        </w:rPr>
        <w:t>the specific needs of defenders of the right to land and the environment, including an intersectional approach, in relation with other additional aspects of vulnerability, such as race and gender. Finally, it is essential that the State also seek the adopt</w:t>
      </w:r>
      <w:r>
        <w:rPr>
          <w:color w:val="000000"/>
          <w:sz w:val="24"/>
          <w:szCs w:val="24"/>
        </w:rPr>
        <w:t>ion of structural measures that attack the root of the problem, such as the creation of a policy of land deconcentration and the fight against structural impunity related to violence in the countryside.</w:t>
      </w:r>
      <w:r>
        <w:rPr>
          <w:color w:val="000000"/>
          <w:sz w:val="24"/>
          <w:szCs w:val="24"/>
        </w:rPr>
        <w:br/>
      </w:r>
    </w:p>
    <w:p w14:paraId="05AE83DA" w14:textId="77777777" w:rsidR="00F2181B" w:rsidRDefault="00BB111D">
      <w:pPr>
        <w:numPr>
          <w:ilvl w:val="0"/>
          <w:numId w:val="2"/>
        </w:numPr>
        <w:pBdr>
          <w:top w:val="nil"/>
          <w:left w:val="nil"/>
          <w:bottom w:val="nil"/>
          <w:right w:val="nil"/>
          <w:between w:val="nil"/>
        </w:pBdr>
        <w:spacing w:line="360" w:lineRule="auto"/>
        <w:jc w:val="both"/>
        <w:rPr>
          <w:color w:val="000000"/>
          <w:sz w:val="24"/>
          <w:szCs w:val="24"/>
        </w:rPr>
      </w:pPr>
      <w:r>
        <w:rPr>
          <w:b/>
          <w:color w:val="000000"/>
          <w:sz w:val="24"/>
          <w:szCs w:val="24"/>
        </w:rPr>
        <w:t>Recommendations</w:t>
      </w:r>
      <w:r>
        <w:rPr>
          <w:b/>
          <w:color w:val="000000"/>
          <w:sz w:val="24"/>
          <w:szCs w:val="24"/>
        </w:rPr>
        <w:br/>
      </w:r>
    </w:p>
    <w:p w14:paraId="1304EB69" w14:textId="77777777" w:rsidR="00F2181B" w:rsidRDefault="00BB111D">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The CEJIL respectfully requests the</w:t>
      </w:r>
      <w:r>
        <w:rPr>
          <w:color w:val="000000"/>
          <w:sz w:val="24"/>
          <w:szCs w:val="24"/>
        </w:rPr>
        <w:t xml:space="preserve"> Committee to recommend the State of Brazil on the following:</w:t>
      </w:r>
      <w:r>
        <w:rPr>
          <w:color w:val="000000"/>
          <w:sz w:val="24"/>
          <w:szCs w:val="24"/>
        </w:rPr>
        <w:br/>
      </w:r>
    </w:p>
    <w:p w14:paraId="3EC7CAE0" w14:textId="77777777" w:rsidR="00F2181B" w:rsidRDefault="00BB111D">
      <w:pPr>
        <w:numPr>
          <w:ilvl w:val="0"/>
          <w:numId w:val="3"/>
        </w:numPr>
        <w:pBdr>
          <w:top w:val="nil"/>
          <w:left w:val="nil"/>
          <w:bottom w:val="nil"/>
          <w:right w:val="nil"/>
          <w:between w:val="nil"/>
        </w:pBdr>
        <w:spacing w:after="100" w:line="360" w:lineRule="auto"/>
        <w:ind w:left="360"/>
        <w:jc w:val="both"/>
        <w:rPr>
          <w:color w:val="000000"/>
          <w:sz w:val="24"/>
          <w:szCs w:val="24"/>
          <w:highlight w:val="white"/>
        </w:rPr>
      </w:pPr>
      <w:r>
        <w:rPr>
          <w:color w:val="000000"/>
          <w:sz w:val="24"/>
          <w:szCs w:val="24"/>
          <w:highlight w:val="white"/>
        </w:rPr>
        <w:t>C</w:t>
      </w:r>
      <w:r>
        <w:rPr>
          <w:sz w:val="24"/>
          <w:szCs w:val="24"/>
          <w:highlight w:val="white"/>
        </w:rPr>
        <w:t>reate a system for collecting and producing data on climate change, which has official, public, accessible data, produced according to the best available scientific knowledge;</w:t>
      </w:r>
    </w:p>
    <w:p w14:paraId="11BEC1E7" w14:textId="77777777" w:rsidR="00F2181B" w:rsidRDefault="00BB111D">
      <w:pPr>
        <w:numPr>
          <w:ilvl w:val="0"/>
          <w:numId w:val="3"/>
        </w:numPr>
        <w:pBdr>
          <w:top w:val="nil"/>
          <w:left w:val="nil"/>
          <w:bottom w:val="nil"/>
          <w:right w:val="nil"/>
          <w:between w:val="nil"/>
        </w:pBdr>
        <w:spacing w:after="100" w:line="360" w:lineRule="auto"/>
        <w:ind w:left="360"/>
        <w:jc w:val="both"/>
        <w:rPr>
          <w:color w:val="000000"/>
          <w:sz w:val="24"/>
          <w:szCs w:val="24"/>
          <w:highlight w:val="white"/>
        </w:rPr>
      </w:pPr>
      <w:r>
        <w:rPr>
          <w:sz w:val="24"/>
          <w:szCs w:val="24"/>
          <w:highlight w:val="white"/>
        </w:rPr>
        <w:t>Review the goals related to emissions adopted before the international community, in order to align them with the real need of the Brazilian and world population in the face of the imminent impacts derived from climate change;</w:t>
      </w:r>
    </w:p>
    <w:p w14:paraId="5E217C2E" w14:textId="77777777" w:rsidR="00F2181B" w:rsidRDefault="00BB111D">
      <w:pPr>
        <w:numPr>
          <w:ilvl w:val="0"/>
          <w:numId w:val="3"/>
        </w:numPr>
        <w:pBdr>
          <w:top w:val="nil"/>
          <w:left w:val="nil"/>
          <w:bottom w:val="nil"/>
          <w:right w:val="nil"/>
          <w:between w:val="nil"/>
        </w:pBdr>
        <w:spacing w:after="100" w:line="360" w:lineRule="auto"/>
        <w:ind w:left="360"/>
        <w:jc w:val="both"/>
        <w:rPr>
          <w:color w:val="000000"/>
          <w:sz w:val="24"/>
          <w:szCs w:val="24"/>
          <w:highlight w:val="white"/>
        </w:rPr>
      </w:pPr>
      <w:r>
        <w:rPr>
          <w:sz w:val="24"/>
          <w:szCs w:val="24"/>
          <w:highlight w:val="white"/>
        </w:rPr>
        <w:t>Establish clear schedules and</w:t>
      </w:r>
      <w:r>
        <w:rPr>
          <w:sz w:val="24"/>
          <w:szCs w:val="24"/>
          <w:highlight w:val="white"/>
        </w:rPr>
        <w:t xml:space="preserve"> indicators and a sufficient budget for the adoption of public policies aimed at achieving these goals;</w:t>
      </w:r>
    </w:p>
    <w:p w14:paraId="45A5D291" w14:textId="77777777" w:rsidR="00F2181B" w:rsidRDefault="00BB111D">
      <w:pPr>
        <w:numPr>
          <w:ilvl w:val="0"/>
          <w:numId w:val="3"/>
        </w:numPr>
        <w:pBdr>
          <w:top w:val="nil"/>
          <w:left w:val="nil"/>
          <w:bottom w:val="nil"/>
          <w:right w:val="nil"/>
          <w:between w:val="nil"/>
        </w:pBdr>
        <w:spacing w:after="100" w:line="360" w:lineRule="auto"/>
        <w:ind w:left="360"/>
        <w:jc w:val="both"/>
        <w:rPr>
          <w:sz w:val="24"/>
          <w:szCs w:val="24"/>
          <w:highlight w:val="white"/>
        </w:rPr>
      </w:pPr>
      <w:r>
        <w:rPr>
          <w:sz w:val="24"/>
          <w:szCs w:val="24"/>
          <w:highlight w:val="white"/>
        </w:rPr>
        <w:t>Ensure access to information and the participation of civil society in all policies related to climate change</w:t>
      </w:r>
      <w:r>
        <w:rPr>
          <w:sz w:val="24"/>
          <w:szCs w:val="24"/>
        </w:rPr>
        <w:t>;</w:t>
      </w:r>
    </w:p>
    <w:p w14:paraId="058BE70F" w14:textId="77777777" w:rsidR="00F2181B" w:rsidRDefault="00BB111D">
      <w:pPr>
        <w:numPr>
          <w:ilvl w:val="0"/>
          <w:numId w:val="3"/>
        </w:numPr>
        <w:pBdr>
          <w:top w:val="nil"/>
          <w:left w:val="nil"/>
          <w:bottom w:val="nil"/>
          <w:right w:val="nil"/>
          <w:between w:val="nil"/>
        </w:pBdr>
        <w:spacing w:after="100" w:line="360" w:lineRule="auto"/>
        <w:ind w:left="360"/>
        <w:jc w:val="both"/>
        <w:rPr>
          <w:sz w:val="24"/>
          <w:szCs w:val="24"/>
        </w:rPr>
      </w:pPr>
      <w:r>
        <w:rPr>
          <w:sz w:val="24"/>
          <w:szCs w:val="24"/>
        </w:rPr>
        <w:lastRenderedPageBreak/>
        <w:t xml:space="preserve">Ensure that the reform of the Program of </w:t>
      </w:r>
      <w:r>
        <w:rPr>
          <w:sz w:val="24"/>
          <w:szCs w:val="24"/>
        </w:rPr>
        <w:t>Protection of Human Rights Defenders complies with the parameters established in the judgment of the Sales Pimenta v. Brasil case, in addition to considering the specificities of defenders of the right to land and the environment, including other factors t</w:t>
      </w:r>
      <w:r>
        <w:rPr>
          <w:sz w:val="24"/>
          <w:szCs w:val="24"/>
        </w:rPr>
        <w:t>hat aggravate their vulnerability, such as race and gender;</w:t>
      </w:r>
    </w:p>
    <w:p w14:paraId="632BF0E1" w14:textId="77777777" w:rsidR="00F2181B" w:rsidRDefault="00BB111D">
      <w:pPr>
        <w:numPr>
          <w:ilvl w:val="0"/>
          <w:numId w:val="3"/>
        </w:numPr>
        <w:pBdr>
          <w:top w:val="nil"/>
          <w:left w:val="nil"/>
          <w:bottom w:val="nil"/>
          <w:right w:val="nil"/>
          <w:between w:val="nil"/>
        </w:pBdr>
        <w:spacing w:after="100" w:line="360" w:lineRule="auto"/>
        <w:ind w:left="360"/>
        <w:jc w:val="both"/>
        <w:rPr>
          <w:sz w:val="24"/>
          <w:szCs w:val="24"/>
        </w:rPr>
      </w:pPr>
      <w:r>
        <w:rPr>
          <w:sz w:val="24"/>
          <w:szCs w:val="24"/>
        </w:rPr>
        <w:t>Promote public policies that address some of the structural causes of climate change and violence against human rights defenders in Brazil, such as land concentration and impunity in the countrysi</w:t>
      </w:r>
      <w:r>
        <w:rPr>
          <w:sz w:val="24"/>
          <w:szCs w:val="24"/>
        </w:rPr>
        <w:t>de.</w:t>
      </w:r>
    </w:p>
    <w:p w14:paraId="27C4DE0D" w14:textId="77777777" w:rsidR="00F2181B" w:rsidRDefault="00F2181B">
      <w:pPr>
        <w:pBdr>
          <w:top w:val="nil"/>
          <w:left w:val="nil"/>
          <w:bottom w:val="nil"/>
          <w:right w:val="nil"/>
          <w:between w:val="nil"/>
        </w:pBdr>
        <w:spacing w:after="100" w:line="360" w:lineRule="auto"/>
        <w:ind w:left="360"/>
        <w:jc w:val="both"/>
        <w:rPr>
          <w:color w:val="000000"/>
          <w:sz w:val="24"/>
          <w:szCs w:val="24"/>
          <w:shd w:val="clear" w:color="auto" w:fill="FFF2CC"/>
        </w:rPr>
      </w:pPr>
    </w:p>
    <w:p w14:paraId="46876B4B" w14:textId="77777777" w:rsidR="00F2181B" w:rsidRDefault="00BB111D">
      <w:pPr>
        <w:spacing w:after="100" w:line="360" w:lineRule="auto"/>
        <w:jc w:val="both"/>
        <w:rPr>
          <w:rFonts w:ascii="Calibri" w:eastAsia="Calibri" w:hAnsi="Calibri" w:cs="Calibri"/>
        </w:rPr>
      </w:pPr>
      <w:r>
        <w:rPr>
          <w:sz w:val="24"/>
          <w:szCs w:val="24"/>
        </w:rPr>
        <w:t>Sincerely,</w:t>
      </w:r>
    </w:p>
    <w:tbl>
      <w:tblPr>
        <w:tblStyle w:val="a"/>
        <w:tblW w:w="8504" w:type="dxa"/>
        <w:jc w:val="center"/>
        <w:tblInd w:w="0" w:type="dxa"/>
        <w:tblLayout w:type="fixed"/>
        <w:tblLook w:val="0400" w:firstRow="0" w:lastRow="0" w:firstColumn="0" w:lastColumn="0" w:noHBand="0" w:noVBand="1"/>
      </w:tblPr>
      <w:tblGrid>
        <w:gridCol w:w="2917"/>
        <w:gridCol w:w="2935"/>
        <w:gridCol w:w="2652"/>
      </w:tblGrid>
      <w:tr w:rsidR="00F2181B" w14:paraId="0A01848F" w14:textId="77777777">
        <w:trPr>
          <w:trHeight w:val="3519"/>
          <w:jc w:val="center"/>
        </w:trPr>
        <w:tc>
          <w:tcPr>
            <w:tcW w:w="2917" w:type="dxa"/>
            <w:shd w:val="clear" w:color="auto" w:fill="auto"/>
          </w:tcPr>
          <w:p w14:paraId="542BFC87" w14:textId="77777777" w:rsidR="00F2181B" w:rsidRDefault="00BB111D">
            <w:pPr>
              <w:spacing w:after="200"/>
            </w:pPr>
            <w:r>
              <w:rPr>
                <w:noProof/>
              </w:rPr>
              <w:drawing>
                <wp:anchor distT="0" distB="0" distL="0" distR="0" simplePos="0" relativeHeight="251658240" behindDoc="1" locked="0" layoutInCell="1" hidden="0" allowOverlap="1" wp14:anchorId="4C904D92" wp14:editId="56FCC569">
                  <wp:simplePos x="0" y="0"/>
                  <wp:positionH relativeFrom="column">
                    <wp:posOffset>238125</wp:posOffset>
                  </wp:positionH>
                  <wp:positionV relativeFrom="paragraph">
                    <wp:posOffset>323112</wp:posOffset>
                  </wp:positionV>
                  <wp:extent cx="1249680" cy="701040"/>
                  <wp:effectExtent l="15576" t="28587" r="15576" b="28587"/>
                  <wp:wrapNone/>
                  <wp:docPr id="4" name="image1.png" descr="Texto preto sobre fundo branc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Texto preto sobre fundo branco&#10;&#10;Descrição gerada automaticamente"/>
                          <pic:cNvPicPr preferRelativeResize="0"/>
                        </pic:nvPicPr>
                        <pic:blipFill>
                          <a:blip r:embed="rId8"/>
                          <a:srcRect/>
                          <a:stretch>
                            <a:fillRect/>
                          </a:stretch>
                        </pic:blipFill>
                        <pic:spPr>
                          <a:xfrm rot="159414">
                            <a:off x="0" y="0"/>
                            <a:ext cx="1249680" cy="701040"/>
                          </a:xfrm>
                          <a:prstGeom prst="rect">
                            <a:avLst/>
                          </a:prstGeom>
                          <a:ln/>
                        </pic:spPr>
                      </pic:pic>
                    </a:graphicData>
                  </a:graphic>
                </wp:anchor>
              </w:drawing>
            </w:r>
          </w:p>
          <w:p w14:paraId="3683B08B" w14:textId="77777777" w:rsidR="00F2181B" w:rsidRDefault="00F2181B">
            <w:pPr>
              <w:spacing w:after="200"/>
            </w:pPr>
          </w:p>
          <w:p w14:paraId="751894BE" w14:textId="77777777" w:rsidR="00F2181B" w:rsidRDefault="00BB111D">
            <w:pPr>
              <w:spacing w:after="200" w:line="240" w:lineRule="auto"/>
              <w:ind w:left="38"/>
              <w:jc w:val="center"/>
              <w:rPr>
                <w:rFonts w:ascii="Arial" w:eastAsia="Arial" w:hAnsi="Arial" w:cs="Arial"/>
                <w:sz w:val="24"/>
                <w:szCs w:val="24"/>
              </w:rPr>
            </w:pPr>
            <w:r>
              <w:rPr>
                <w:sz w:val="24"/>
                <w:szCs w:val="24"/>
              </w:rPr>
              <w:br/>
            </w:r>
            <w:r>
              <w:rPr>
                <w:rFonts w:ascii="Arial" w:eastAsia="Arial" w:hAnsi="Arial" w:cs="Arial"/>
                <w:sz w:val="24"/>
                <w:szCs w:val="24"/>
              </w:rPr>
              <w:t>Helena Rocha</w:t>
            </w:r>
            <w:r>
              <w:rPr>
                <w:rFonts w:ascii="Arial" w:eastAsia="Arial" w:hAnsi="Arial" w:cs="Arial"/>
                <w:sz w:val="24"/>
                <w:szCs w:val="24"/>
              </w:rPr>
              <w:br/>
              <w:t>CEJIL</w:t>
            </w:r>
          </w:p>
          <w:p w14:paraId="4B0F2B78" w14:textId="77777777" w:rsidR="00F2181B" w:rsidRDefault="00F2181B">
            <w:pPr>
              <w:spacing w:after="200"/>
              <w:ind w:left="38"/>
              <w:jc w:val="center"/>
            </w:pPr>
          </w:p>
          <w:p w14:paraId="20036A8B" w14:textId="77777777" w:rsidR="00F2181B" w:rsidRDefault="00F2181B">
            <w:pPr>
              <w:spacing w:after="200"/>
            </w:pPr>
            <w:bookmarkStart w:id="0" w:name="_heading=h.1t3h5sf" w:colFirst="0" w:colLast="0"/>
            <w:bookmarkEnd w:id="0"/>
          </w:p>
          <w:p w14:paraId="3E1B2911" w14:textId="77777777" w:rsidR="00F2181B" w:rsidRDefault="00F2181B">
            <w:pPr>
              <w:spacing w:after="200"/>
              <w:ind w:left="38"/>
              <w:jc w:val="center"/>
            </w:pPr>
          </w:p>
        </w:tc>
        <w:tc>
          <w:tcPr>
            <w:tcW w:w="2935" w:type="dxa"/>
            <w:shd w:val="clear" w:color="auto" w:fill="auto"/>
          </w:tcPr>
          <w:p w14:paraId="33035176" w14:textId="77777777" w:rsidR="00F2181B" w:rsidRDefault="00F2181B">
            <w:pPr>
              <w:spacing w:line="240" w:lineRule="auto"/>
              <w:rPr>
                <w:rFonts w:ascii="Times New Roman" w:eastAsia="Times New Roman" w:hAnsi="Times New Roman" w:cs="Times New Roman"/>
                <w:sz w:val="24"/>
                <w:szCs w:val="24"/>
              </w:rPr>
            </w:pPr>
          </w:p>
          <w:p w14:paraId="2158DF01" w14:textId="77777777" w:rsidR="00F2181B" w:rsidRDefault="00F2181B">
            <w:pPr>
              <w:spacing w:line="240" w:lineRule="auto"/>
              <w:rPr>
                <w:rFonts w:ascii="Times New Roman" w:eastAsia="Times New Roman" w:hAnsi="Times New Roman" w:cs="Times New Roman"/>
                <w:sz w:val="24"/>
                <w:szCs w:val="24"/>
              </w:rPr>
            </w:pPr>
          </w:p>
          <w:p w14:paraId="696FF99C" w14:textId="77777777" w:rsidR="00F2181B" w:rsidRDefault="00BB111D">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A2E3226" wp14:editId="1946AFF4">
                  <wp:extent cx="1466366" cy="465225"/>
                  <wp:effectExtent l="0" t="0" r="0" b="0"/>
                  <wp:docPr id="6" name="image2.png" descr="ssinatura%20Lucas%20cortada.png"/>
                  <wp:cNvGraphicFramePr/>
                  <a:graphic xmlns:a="http://schemas.openxmlformats.org/drawingml/2006/main">
                    <a:graphicData uri="http://schemas.openxmlformats.org/drawingml/2006/picture">
                      <pic:pic xmlns:pic="http://schemas.openxmlformats.org/drawingml/2006/picture">
                        <pic:nvPicPr>
                          <pic:cNvPr id="0" name="image2.png" descr="ssinatura%20Lucas%20cortada.png"/>
                          <pic:cNvPicPr preferRelativeResize="0"/>
                        </pic:nvPicPr>
                        <pic:blipFill>
                          <a:blip r:embed="rId9"/>
                          <a:srcRect/>
                          <a:stretch>
                            <a:fillRect/>
                          </a:stretch>
                        </pic:blipFill>
                        <pic:spPr>
                          <a:xfrm>
                            <a:off x="0" y="0"/>
                            <a:ext cx="1466366" cy="465225"/>
                          </a:xfrm>
                          <a:prstGeom prst="rect">
                            <a:avLst/>
                          </a:prstGeom>
                          <a:ln/>
                        </pic:spPr>
                      </pic:pic>
                    </a:graphicData>
                  </a:graphic>
                </wp:inline>
              </w:drawing>
            </w:r>
          </w:p>
          <w:p w14:paraId="07C7C41F" w14:textId="77777777" w:rsidR="00F2181B" w:rsidRDefault="00BB111D">
            <w:pPr>
              <w:spacing w:line="240" w:lineRule="auto"/>
              <w:rPr>
                <w:rFonts w:ascii="Arial" w:eastAsia="Arial" w:hAnsi="Arial" w:cs="Arial"/>
                <w:sz w:val="24"/>
                <w:szCs w:val="24"/>
              </w:rPr>
            </w:pPr>
            <w:r>
              <w:rPr>
                <w:rFonts w:ascii="Arial" w:eastAsia="Arial" w:hAnsi="Arial" w:cs="Arial"/>
                <w:sz w:val="24"/>
                <w:szCs w:val="24"/>
              </w:rPr>
              <w:t xml:space="preserve">    Lucas Arnaud</w:t>
            </w:r>
          </w:p>
          <w:p w14:paraId="15BB82B3" w14:textId="77777777" w:rsidR="00F2181B" w:rsidRDefault="00BB111D">
            <w:pPr>
              <w:spacing w:line="240" w:lineRule="auto"/>
              <w:rPr>
                <w:rFonts w:ascii="Arial" w:eastAsia="Arial" w:hAnsi="Arial" w:cs="Arial"/>
                <w:sz w:val="24"/>
                <w:szCs w:val="24"/>
              </w:rPr>
            </w:pPr>
            <w:r>
              <w:rPr>
                <w:rFonts w:ascii="Arial" w:eastAsia="Arial" w:hAnsi="Arial" w:cs="Arial"/>
                <w:sz w:val="24"/>
                <w:szCs w:val="24"/>
              </w:rPr>
              <w:t xml:space="preserve">         CEJIL</w:t>
            </w:r>
          </w:p>
        </w:tc>
        <w:tc>
          <w:tcPr>
            <w:tcW w:w="2652" w:type="dxa"/>
          </w:tcPr>
          <w:p w14:paraId="5591D1A9" w14:textId="77777777" w:rsidR="00F2181B" w:rsidRDefault="00F2181B">
            <w:pPr>
              <w:spacing w:after="200"/>
              <w:ind w:left="38"/>
              <w:jc w:val="center"/>
            </w:pPr>
          </w:p>
          <w:p w14:paraId="562528EB" w14:textId="77777777" w:rsidR="00F2181B" w:rsidRDefault="00F2181B">
            <w:pPr>
              <w:spacing w:after="200"/>
              <w:ind w:left="38"/>
              <w:jc w:val="center"/>
            </w:pPr>
          </w:p>
          <w:p w14:paraId="6A9FA81E" w14:textId="77777777" w:rsidR="00F2181B" w:rsidRDefault="00F2181B">
            <w:pPr>
              <w:spacing w:after="200"/>
              <w:ind w:left="38"/>
              <w:jc w:val="center"/>
            </w:pPr>
          </w:p>
        </w:tc>
      </w:tr>
      <w:tr w:rsidR="00F2181B" w14:paraId="6D9978CC" w14:textId="77777777">
        <w:trPr>
          <w:trHeight w:val="2620"/>
          <w:jc w:val="center"/>
        </w:trPr>
        <w:tc>
          <w:tcPr>
            <w:tcW w:w="2917" w:type="dxa"/>
            <w:shd w:val="clear" w:color="auto" w:fill="auto"/>
          </w:tcPr>
          <w:p w14:paraId="77470683" w14:textId="77777777" w:rsidR="00F2181B" w:rsidRDefault="00F2181B">
            <w:pPr>
              <w:spacing w:after="200"/>
            </w:pPr>
          </w:p>
          <w:p w14:paraId="7AD1C201" w14:textId="77777777" w:rsidR="00F2181B" w:rsidRDefault="00F2181B">
            <w:pPr>
              <w:spacing w:after="200"/>
              <w:ind w:left="38"/>
              <w:jc w:val="center"/>
            </w:pPr>
          </w:p>
        </w:tc>
        <w:tc>
          <w:tcPr>
            <w:tcW w:w="2935" w:type="dxa"/>
            <w:shd w:val="clear" w:color="auto" w:fill="auto"/>
          </w:tcPr>
          <w:p w14:paraId="5C0C884A" w14:textId="77777777" w:rsidR="00F2181B" w:rsidRDefault="00F2181B">
            <w:pPr>
              <w:spacing w:after="200"/>
            </w:pPr>
          </w:p>
          <w:p w14:paraId="67D55652" w14:textId="77777777" w:rsidR="00F2181B" w:rsidRDefault="00F2181B">
            <w:pPr>
              <w:spacing w:after="200"/>
              <w:ind w:left="38"/>
              <w:jc w:val="center"/>
            </w:pPr>
          </w:p>
          <w:p w14:paraId="7E5D8704" w14:textId="77777777" w:rsidR="00F2181B" w:rsidRDefault="00F2181B">
            <w:pPr>
              <w:spacing w:after="200"/>
              <w:ind w:left="38"/>
              <w:jc w:val="center"/>
            </w:pPr>
          </w:p>
        </w:tc>
        <w:tc>
          <w:tcPr>
            <w:tcW w:w="2652" w:type="dxa"/>
          </w:tcPr>
          <w:p w14:paraId="65118EA0" w14:textId="77777777" w:rsidR="00F2181B" w:rsidRDefault="00BB111D">
            <w:pPr>
              <w:spacing w:after="200"/>
              <w:ind w:left="38"/>
              <w:jc w:val="center"/>
            </w:pPr>
            <w:r>
              <w:t xml:space="preserve"> </w:t>
            </w:r>
          </w:p>
        </w:tc>
      </w:tr>
    </w:tbl>
    <w:p w14:paraId="33BC20CC" w14:textId="77777777" w:rsidR="00F2181B" w:rsidRDefault="00F2181B">
      <w:pPr>
        <w:spacing w:after="200" w:line="240" w:lineRule="auto"/>
        <w:rPr>
          <w:rFonts w:ascii="Calibri" w:eastAsia="Calibri" w:hAnsi="Calibri" w:cs="Calibri"/>
        </w:rPr>
      </w:pPr>
    </w:p>
    <w:p w14:paraId="53430128" w14:textId="77777777" w:rsidR="00F2181B" w:rsidRDefault="00F2181B">
      <w:pPr>
        <w:spacing w:after="100" w:line="360" w:lineRule="auto"/>
        <w:jc w:val="both"/>
        <w:rPr>
          <w:sz w:val="24"/>
          <w:szCs w:val="24"/>
        </w:rPr>
      </w:pPr>
    </w:p>
    <w:sectPr w:rsidR="00F2181B">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16DDF" w14:textId="77777777" w:rsidR="00000000" w:rsidRDefault="00BB111D">
      <w:pPr>
        <w:spacing w:line="240" w:lineRule="auto"/>
      </w:pPr>
      <w:r>
        <w:separator/>
      </w:r>
    </w:p>
  </w:endnote>
  <w:endnote w:type="continuationSeparator" w:id="0">
    <w:p w14:paraId="35A3A8C9" w14:textId="77777777" w:rsidR="00000000" w:rsidRDefault="00BB11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6DF15" w14:textId="77777777" w:rsidR="00F2181B" w:rsidRDefault="00BB111D">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8D671" w14:textId="77777777" w:rsidR="00000000" w:rsidRDefault="00BB111D">
      <w:pPr>
        <w:spacing w:line="240" w:lineRule="auto"/>
      </w:pPr>
      <w:r>
        <w:separator/>
      </w:r>
    </w:p>
  </w:footnote>
  <w:footnote w:type="continuationSeparator" w:id="0">
    <w:p w14:paraId="0ACEE06B" w14:textId="77777777" w:rsidR="00000000" w:rsidRDefault="00BB111D">
      <w:pPr>
        <w:spacing w:line="240" w:lineRule="auto"/>
      </w:pPr>
      <w:r>
        <w:continuationSeparator/>
      </w:r>
    </w:p>
  </w:footnote>
  <w:footnote w:id="1">
    <w:p w14:paraId="164085D8" w14:textId="77777777" w:rsidR="00F2181B" w:rsidRDefault="00BB111D">
      <w:pPr>
        <w:spacing w:line="240" w:lineRule="auto"/>
        <w:jc w:val="both"/>
        <w:rPr>
          <w:sz w:val="20"/>
          <w:szCs w:val="20"/>
        </w:rPr>
      </w:pPr>
      <w:r>
        <w:rPr>
          <w:vertAlign w:val="superscript"/>
        </w:rPr>
        <w:footnoteRef/>
      </w:r>
      <w:r>
        <w:rPr>
          <w:sz w:val="20"/>
          <w:szCs w:val="20"/>
        </w:rPr>
        <w:t xml:space="preserve"> MOHC, CCST, INPE. Future climate change in Brazil: GHGs, deforestation and impacts. Available in: </w:t>
      </w:r>
      <w:hyperlink r:id="rId1">
        <w:r>
          <w:rPr>
            <w:color w:val="1155CC"/>
            <w:sz w:val="20"/>
            <w:szCs w:val="20"/>
            <w:u w:val="single"/>
          </w:rPr>
          <w:t>http://www.inpe.br/noticias/arquivos/pdf/INPEHadley_folheto.pdf</w:t>
        </w:r>
      </w:hyperlink>
      <w:r>
        <w:rPr>
          <w:sz w:val="20"/>
          <w:szCs w:val="20"/>
        </w:rPr>
        <w:t>, last accessed: Aug 28th, 2023.</w:t>
      </w:r>
    </w:p>
  </w:footnote>
  <w:footnote w:id="2">
    <w:p w14:paraId="445B747A"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G1. Brasil fica em 81º lugar no Índice de Desempenho Ambiental. </w:t>
      </w:r>
      <w:r>
        <w:rPr>
          <w:sz w:val="20"/>
          <w:szCs w:val="20"/>
        </w:rPr>
        <w:t xml:space="preserve">Available in: </w:t>
      </w:r>
      <w:hyperlink r:id="rId2">
        <w:r>
          <w:rPr>
            <w:color w:val="1155CC"/>
            <w:sz w:val="20"/>
            <w:szCs w:val="20"/>
            <w:u w:val="single"/>
          </w:rPr>
          <w:t>https://g1.globo.com/jornal-nacional/noticia/2022/06/01/brasil-fica-em-81-lugar-no-indice-de-desempenho-ambiental.ghtml</w:t>
        </w:r>
      </w:hyperlink>
      <w:r>
        <w:rPr>
          <w:sz w:val="20"/>
          <w:szCs w:val="20"/>
        </w:rPr>
        <w:t xml:space="preserve">, last accessed: Aug 28th, 2023. </w:t>
      </w:r>
    </w:p>
  </w:footnote>
  <w:footnote w:id="3">
    <w:p w14:paraId="03905154" w14:textId="77777777" w:rsidR="00F2181B" w:rsidRDefault="00BB111D">
      <w:pPr>
        <w:spacing w:line="240" w:lineRule="auto"/>
        <w:jc w:val="both"/>
        <w:rPr>
          <w:sz w:val="20"/>
          <w:szCs w:val="20"/>
        </w:rPr>
      </w:pPr>
      <w:r>
        <w:rPr>
          <w:vertAlign w:val="superscript"/>
        </w:rPr>
        <w:footnoteRef/>
      </w:r>
      <w:r>
        <w:rPr>
          <w:sz w:val="20"/>
          <w:szCs w:val="20"/>
        </w:rPr>
        <w:t xml:space="preserve"> EPI. Brazil. Available in: </w:t>
      </w:r>
      <w:hyperlink r:id="rId3">
        <w:r>
          <w:rPr>
            <w:color w:val="1155CC"/>
            <w:sz w:val="20"/>
            <w:szCs w:val="20"/>
            <w:u w:val="single"/>
          </w:rPr>
          <w:t>https://epi.yale.edu/epi-results/2022/country/bra</w:t>
        </w:r>
      </w:hyperlink>
      <w:r>
        <w:rPr>
          <w:sz w:val="20"/>
          <w:szCs w:val="20"/>
        </w:rPr>
        <w:t xml:space="preserve">, last accessed: Aug 28th, 2023. </w:t>
      </w:r>
    </w:p>
  </w:footnote>
  <w:footnote w:id="4">
    <w:p w14:paraId="528CB14C"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BBC. COP 27: 3 gráficos que mostram piora do Brasil em desmatamento, queimadas e emissões de CO2. </w:t>
      </w:r>
      <w:r>
        <w:rPr>
          <w:sz w:val="20"/>
          <w:szCs w:val="20"/>
        </w:rPr>
        <w:t xml:space="preserve">Available in: </w:t>
      </w:r>
      <w:hyperlink r:id="rId4" w:anchor=":~:text=Em%202021%2C%20o%20pa%C3%ADs%20emitiu,2%2C64%20bilh%C3%B5es%20de%20toneladas">
        <w:r>
          <w:rPr>
            <w:color w:val="1155CC"/>
            <w:sz w:val="20"/>
            <w:szCs w:val="20"/>
            <w:u w:val="single"/>
          </w:rPr>
          <w:t>https://www.bbc.com/portuguese/brasil-63614414#:~:text=Em%202021%2C%20o%20país%20emitiu,2%2C64%20bilhões%20de%20toneladas</w:t>
        </w:r>
      </w:hyperlink>
      <w:r>
        <w:rPr>
          <w:sz w:val="20"/>
          <w:szCs w:val="20"/>
        </w:rPr>
        <w:t>, last accessed: Aug 28</w:t>
      </w:r>
      <w:r>
        <w:rPr>
          <w:sz w:val="20"/>
          <w:szCs w:val="20"/>
        </w:rPr>
        <w:t>th, 2023.</w:t>
      </w:r>
    </w:p>
  </w:footnote>
  <w:footnote w:id="5">
    <w:p w14:paraId="7A7A89C5" w14:textId="77777777" w:rsidR="00F2181B" w:rsidRDefault="00BB111D">
      <w:pPr>
        <w:spacing w:line="240" w:lineRule="auto"/>
        <w:jc w:val="both"/>
        <w:rPr>
          <w:sz w:val="20"/>
          <w:szCs w:val="20"/>
        </w:rPr>
      </w:pPr>
      <w:r>
        <w:rPr>
          <w:vertAlign w:val="superscript"/>
        </w:rPr>
        <w:footnoteRef/>
      </w:r>
      <w:r>
        <w:rPr>
          <w:sz w:val="20"/>
          <w:szCs w:val="20"/>
        </w:rPr>
        <w:t xml:space="preserve"> Available in: </w:t>
      </w:r>
      <w:hyperlink r:id="rId5">
        <w:r>
          <w:rPr>
            <w:color w:val="1155CC"/>
            <w:sz w:val="20"/>
            <w:szCs w:val="20"/>
            <w:u w:val="single"/>
          </w:rPr>
          <w:t>https://www4.unfccc.int/sites/ndcstaging/PublishedDocuments/Brazil%20First/Updated%</w:t>
        </w:r>
        <w:r>
          <w:rPr>
            <w:color w:val="1155CC"/>
            <w:sz w:val="20"/>
            <w:szCs w:val="20"/>
            <w:u w:val="single"/>
          </w:rPr>
          <w:t>20-%20First%20NDC%20-%20%20FINAL%20-%20PDF.pdf</w:t>
        </w:r>
      </w:hyperlink>
      <w:r>
        <w:rPr>
          <w:sz w:val="20"/>
          <w:szCs w:val="20"/>
        </w:rPr>
        <w:t>, last accessed: Aug 28th, 2023.</w:t>
      </w:r>
    </w:p>
  </w:footnote>
  <w:footnote w:id="6">
    <w:p w14:paraId="4A04509D"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El País. Brasil eleva metas ambientais na COP26, mas não convence. </w:t>
      </w:r>
      <w:r>
        <w:rPr>
          <w:sz w:val="20"/>
          <w:szCs w:val="20"/>
        </w:rPr>
        <w:t xml:space="preserve">Available in: </w:t>
      </w:r>
      <w:hyperlink r:id="rId6">
        <w:r>
          <w:rPr>
            <w:color w:val="1155CC"/>
            <w:sz w:val="20"/>
            <w:szCs w:val="20"/>
            <w:u w:val="single"/>
          </w:rPr>
          <w:t>https://brasil.elpais.com/brasil/2021-11-01/brasil-eleva-metas-ambientais-na-cop26-mas-nao-convence.html</w:t>
        </w:r>
      </w:hyperlink>
      <w:r>
        <w:rPr>
          <w:sz w:val="20"/>
          <w:szCs w:val="20"/>
        </w:rPr>
        <w:t>, last accessed: Aug 28th, 2023.</w:t>
      </w:r>
    </w:p>
  </w:footnote>
  <w:footnote w:id="7">
    <w:p w14:paraId="22956F3A"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CNN Brasil. COP26: Brasil assina compromisso global pela redução de emissão de gás metano e</w:t>
      </w:r>
      <w:r w:rsidRPr="00BB111D">
        <w:rPr>
          <w:sz w:val="20"/>
          <w:szCs w:val="20"/>
          <w:lang w:val="es-ES_tradnl"/>
        </w:rPr>
        <w:t xml:space="preserve">m 30%. </w:t>
      </w:r>
      <w:r>
        <w:rPr>
          <w:sz w:val="20"/>
          <w:szCs w:val="20"/>
        </w:rPr>
        <w:t xml:space="preserve">Available in: </w:t>
      </w:r>
      <w:hyperlink r:id="rId7">
        <w:r>
          <w:rPr>
            <w:color w:val="1155CC"/>
            <w:sz w:val="20"/>
            <w:szCs w:val="20"/>
            <w:u w:val="single"/>
          </w:rPr>
          <w:t>https://www.cnnbrasil.com.br/internacional/paises-aderem-ao-pacto-de-reducao-de-emissoes-de-metano/</w:t>
        </w:r>
      </w:hyperlink>
      <w:r>
        <w:rPr>
          <w:sz w:val="20"/>
          <w:szCs w:val="20"/>
        </w:rPr>
        <w:t xml:space="preserve">, last accessed: Aug 28th, 2023; BBC news Brasil. </w:t>
      </w:r>
      <w:r w:rsidRPr="00BB111D">
        <w:rPr>
          <w:sz w:val="20"/>
          <w:szCs w:val="20"/>
          <w:lang w:val="es-ES_tradnl"/>
        </w:rPr>
        <w:t xml:space="preserve">COP26: Brasil promete reduzir emissões pela metade até 2030 e zerar desmatamento 2 anos antes. </w:t>
      </w:r>
      <w:r>
        <w:rPr>
          <w:sz w:val="20"/>
          <w:szCs w:val="20"/>
        </w:rPr>
        <w:t xml:space="preserve">Available in: </w:t>
      </w:r>
      <w:hyperlink r:id="rId8">
        <w:r>
          <w:rPr>
            <w:color w:val="1155CC"/>
            <w:sz w:val="20"/>
            <w:szCs w:val="20"/>
            <w:u w:val="single"/>
          </w:rPr>
          <w:t>https://www.bbc.</w:t>
        </w:r>
        <w:r>
          <w:rPr>
            <w:color w:val="1155CC"/>
            <w:sz w:val="20"/>
            <w:szCs w:val="20"/>
            <w:u w:val="single"/>
          </w:rPr>
          <w:t>com/portuguese/brasil-59065366</w:t>
        </w:r>
      </w:hyperlink>
      <w:r>
        <w:rPr>
          <w:sz w:val="20"/>
          <w:szCs w:val="20"/>
        </w:rPr>
        <w:t xml:space="preserve">, last accessed: Aug 28th, 2023. </w:t>
      </w:r>
    </w:p>
  </w:footnote>
  <w:footnote w:id="8">
    <w:p w14:paraId="59D8D5E4"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Veja. Leia a íntegra do discurso de Lula no Dia Mundial do Meio Ambiente. </w:t>
      </w:r>
      <w:r>
        <w:rPr>
          <w:sz w:val="20"/>
          <w:szCs w:val="20"/>
        </w:rPr>
        <w:t xml:space="preserve">Available in: </w:t>
      </w:r>
      <w:hyperlink r:id="rId9">
        <w:r>
          <w:rPr>
            <w:color w:val="1155CC"/>
            <w:sz w:val="20"/>
            <w:szCs w:val="20"/>
            <w:u w:val="single"/>
          </w:rPr>
          <w:t>https://veja.abril.com.br/coluna/radar/leia-a-integra-do-discurso-de-lula-no-dia-mundial-do-meio-ambiente</w:t>
        </w:r>
      </w:hyperlink>
      <w:r>
        <w:rPr>
          <w:sz w:val="20"/>
          <w:szCs w:val="20"/>
        </w:rPr>
        <w:t>, last accessed: Aug 28th, 2023.</w:t>
      </w:r>
    </w:p>
  </w:footnote>
  <w:footnote w:id="9">
    <w:p w14:paraId="6E927327"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G1. Comissão do Co</w:t>
      </w:r>
      <w:r w:rsidRPr="00BB111D">
        <w:rPr>
          <w:sz w:val="20"/>
          <w:szCs w:val="20"/>
          <w:lang w:val="es-ES_tradnl"/>
        </w:rPr>
        <w:t xml:space="preserve">ngresso aprova medidas que esvaziam os ministérios do Meio Ambiente e dos Povos Indígenas. </w:t>
      </w:r>
      <w:r>
        <w:rPr>
          <w:sz w:val="20"/>
          <w:szCs w:val="20"/>
        </w:rPr>
        <w:t xml:space="preserve">Available in: </w:t>
      </w:r>
      <w:hyperlink r:id="rId10">
        <w:r>
          <w:rPr>
            <w:color w:val="1155CC"/>
            <w:sz w:val="20"/>
            <w:szCs w:val="20"/>
            <w:u w:val="single"/>
          </w:rPr>
          <w:t>https://g1.globo.com/jornal-nacional/noticia/2023/05/24/comissao-do-congresso-aprova-medidas-que-esvaziam-os-ministerios-do-meio-ambiente-e-dos-povos-indigenas.ghtml</w:t>
        </w:r>
      </w:hyperlink>
      <w:r>
        <w:rPr>
          <w:sz w:val="20"/>
          <w:szCs w:val="20"/>
        </w:rPr>
        <w:t>, last accessed: Aug 28</w:t>
      </w:r>
      <w:r>
        <w:rPr>
          <w:sz w:val="20"/>
          <w:szCs w:val="20"/>
        </w:rPr>
        <w:t>th, 2023.</w:t>
      </w:r>
    </w:p>
  </w:footnote>
  <w:footnote w:id="10">
    <w:p w14:paraId="03588B85" w14:textId="77777777" w:rsidR="00F2181B" w:rsidRPr="00BB111D" w:rsidRDefault="00BB111D">
      <w:pPr>
        <w:spacing w:line="240" w:lineRule="auto"/>
        <w:rPr>
          <w:sz w:val="20"/>
          <w:szCs w:val="20"/>
          <w:lang w:val="es-ES_tradnl"/>
        </w:rPr>
      </w:pPr>
      <w:r>
        <w:rPr>
          <w:vertAlign w:val="superscript"/>
        </w:rPr>
        <w:footnoteRef/>
      </w:r>
      <w:r w:rsidRPr="00BB111D">
        <w:rPr>
          <w:sz w:val="20"/>
          <w:szCs w:val="20"/>
          <w:lang w:val="es-ES_tradnl"/>
        </w:rPr>
        <w:t xml:space="preserve"> </w:t>
      </w:r>
      <w:r w:rsidRPr="00BB111D">
        <w:rPr>
          <w:i/>
          <w:sz w:val="20"/>
          <w:szCs w:val="20"/>
          <w:lang w:val="es-ES_tradnl"/>
        </w:rPr>
        <w:t>Ibid</w:t>
      </w:r>
      <w:r w:rsidRPr="00BB111D">
        <w:rPr>
          <w:sz w:val="20"/>
          <w:szCs w:val="20"/>
          <w:lang w:val="es-ES_tradnl"/>
        </w:rPr>
        <w:t>.</w:t>
      </w:r>
    </w:p>
  </w:footnote>
  <w:footnote w:id="11">
    <w:p w14:paraId="76ED139A"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Ministério das Relações Exteriores. Declaração Presidencial por ocasião da Cúpula da Amazônia – IV Reunião de Presidentes dos Estados Partes no Tratado de Cooperação Amazônica. </w:t>
      </w:r>
      <w:r>
        <w:rPr>
          <w:sz w:val="20"/>
          <w:szCs w:val="20"/>
        </w:rPr>
        <w:t xml:space="preserve">Available in: </w:t>
      </w:r>
      <w:hyperlink r:id="rId11">
        <w:r>
          <w:rPr>
            <w:color w:val="1155CC"/>
            <w:sz w:val="20"/>
            <w:szCs w:val="20"/>
            <w:u w:val="single"/>
          </w:rPr>
          <w:t>https://www.gov.br/mre/pt-br/canais_atendimento/imprensa/notas-a-imprensa/declaracao-p</w:t>
        </w:r>
        <w:r>
          <w:rPr>
            <w:color w:val="1155CC"/>
            <w:sz w:val="20"/>
            <w:szCs w:val="20"/>
            <w:u w:val="single"/>
          </w:rPr>
          <w:t>residencial-por-ocasiao-da-cupula-da-amazonia-2013-iv-reuniao-de-presidentes-dos-estados-partes-no-tratado-de-cooperacao-amazonica</w:t>
        </w:r>
      </w:hyperlink>
      <w:r>
        <w:rPr>
          <w:sz w:val="20"/>
          <w:szCs w:val="20"/>
        </w:rPr>
        <w:t>, last accessed: Aug. 28th, 2023.</w:t>
      </w:r>
    </w:p>
  </w:footnote>
  <w:footnote w:id="12">
    <w:p w14:paraId="0015F42F"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Nexo. Petro, da Colômbia, se contrapõe a Lula na Cúpula</w:t>
      </w:r>
      <w:r w:rsidRPr="00BB111D">
        <w:rPr>
          <w:sz w:val="20"/>
          <w:szCs w:val="20"/>
          <w:lang w:val="es-ES_tradnl"/>
        </w:rPr>
        <w:t xml:space="preserve"> da Amazônia. </w:t>
      </w:r>
      <w:r>
        <w:rPr>
          <w:sz w:val="20"/>
          <w:szCs w:val="20"/>
        </w:rPr>
        <w:t xml:space="preserve">Available in: </w:t>
      </w:r>
      <w:hyperlink r:id="rId12">
        <w:r>
          <w:rPr>
            <w:color w:val="1155CC"/>
            <w:sz w:val="20"/>
            <w:szCs w:val="20"/>
            <w:u w:val="single"/>
          </w:rPr>
          <w:t>https://www.nexojornal.com.br/extra/2023/08/08/Petro-da-Colômbia-se-contrapõe-a-Lula</w:t>
        </w:r>
        <w:r>
          <w:rPr>
            <w:color w:val="1155CC"/>
            <w:sz w:val="20"/>
            <w:szCs w:val="20"/>
            <w:u w:val="single"/>
          </w:rPr>
          <w:t>-na-Cúpula-da-Amazônia</w:t>
        </w:r>
      </w:hyperlink>
      <w:r>
        <w:rPr>
          <w:sz w:val="20"/>
          <w:szCs w:val="20"/>
        </w:rPr>
        <w:t>, last accessed: Aug. 28th, 2023.</w:t>
      </w:r>
    </w:p>
  </w:footnote>
  <w:footnote w:id="13">
    <w:p w14:paraId="65455EA7"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w:t>
      </w:r>
      <w:r w:rsidRPr="00BB111D">
        <w:rPr>
          <w:sz w:val="20"/>
          <w:szCs w:val="20"/>
          <w:lang w:val="es-ES_tradnl"/>
        </w:rPr>
        <w:t xml:space="preserve">G1. Após Ibama negar licença, Lula diz achar difícil haver problema em exploração de petróleo na foz do Amazonas.  </w:t>
      </w:r>
      <w:r>
        <w:rPr>
          <w:sz w:val="20"/>
          <w:szCs w:val="20"/>
        </w:rPr>
        <w:t xml:space="preserve">Available in: </w:t>
      </w:r>
      <w:hyperlink r:id="rId13">
        <w:r>
          <w:rPr>
            <w:color w:val="1155CC"/>
            <w:sz w:val="20"/>
            <w:szCs w:val="20"/>
            <w:u w:val="single"/>
          </w:rPr>
          <w:t>https://g1.globo.com/politica/noticia/2023/05/22/lula-diz-que-acha-dificil-mas-petroleo-na-foz-do-amazonas-nao-sera-explorado-se-tiver-problema-para-a-amazonia.ghtml</w:t>
        </w:r>
      </w:hyperlink>
      <w:r>
        <w:rPr>
          <w:sz w:val="20"/>
          <w:szCs w:val="20"/>
        </w:rPr>
        <w:t>, last accessed: Aug. 28th, 2023.</w:t>
      </w:r>
    </w:p>
  </w:footnote>
  <w:footnote w:id="14">
    <w:p w14:paraId="314D139F" w14:textId="77777777" w:rsidR="00F2181B" w:rsidRPr="00BB111D" w:rsidRDefault="00BB111D">
      <w:pPr>
        <w:spacing w:line="240" w:lineRule="auto"/>
        <w:jc w:val="both"/>
        <w:rPr>
          <w:sz w:val="20"/>
          <w:szCs w:val="20"/>
          <w:lang w:val="es-ES_tradnl"/>
        </w:rPr>
      </w:pPr>
      <w:r>
        <w:rPr>
          <w:vertAlign w:val="superscript"/>
        </w:rPr>
        <w:footnoteRef/>
      </w:r>
      <w:r w:rsidRPr="00BB111D">
        <w:rPr>
          <w:sz w:val="20"/>
          <w:szCs w:val="20"/>
          <w:lang w:val="es-ES_tradnl"/>
        </w:rPr>
        <w:t xml:space="preserve"> </w:t>
      </w:r>
      <w:r w:rsidRPr="00BB111D">
        <w:rPr>
          <w:i/>
          <w:sz w:val="20"/>
          <w:szCs w:val="20"/>
          <w:lang w:val="es-ES_tradnl"/>
        </w:rPr>
        <w:t>Ibid</w:t>
      </w:r>
      <w:r w:rsidRPr="00BB111D">
        <w:rPr>
          <w:sz w:val="20"/>
          <w:szCs w:val="20"/>
          <w:lang w:val="es-ES_tradnl"/>
        </w:rPr>
        <w:t>.</w:t>
      </w:r>
    </w:p>
  </w:footnote>
  <w:footnote w:id="15">
    <w:p w14:paraId="74F691E7" w14:textId="77777777" w:rsidR="00F2181B" w:rsidRPr="00BB111D" w:rsidRDefault="00BB111D">
      <w:pPr>
        <w:spacing w:line="240" w:lineRule="auto"/>
        <w:rPr>
          <w:sz w:val="20"/>
          <w:szCs w:val="20"/>
          <w:lang w:val="es-ES_tradnl"/>
        </w:rPr>
      </w:pPr>
      <w:r>
        <w:rPr>
          <w:vertAlign w:val="superscript"/>
        </w:rPr>
        <w:footnoteRef/>
      </w:r>
      <w:r w:rsidRPr="00BB111D">
        <w:rPr>
          <w:sz w:val="20"/>
          <w:szCs w:val="20"/>
          <w:lang w:val="es-ES_tradnl"/>
        </w:rPr>
        <w:t xml:space="preserve"> </w:t>
      </w:r>
      <w:r w:rsidRPr="00BB111D">
        <w:rPr>
          <w:i/>
          <w:sz w:val="20"/>
          <w:szCs w:val="20"/>
          <w:lang w:val="es-ES_tradnl"/>
        </w:rPr>
        <w:t>Ibid</w:t>
      </w:r>
      <w:r w:rsidRPr="00BB111D">
        <w:rPr>
          <w:sz w:val="20"/>
          <w:szCs w:val="20"/>
          <w:lang w:val="es-ES_tradnl"/>
        </w:rPr>
        <w:t>.</w:t>
      </w:r>
    </w:p>
  </w:footnote>
  <w:footnote w:id="16">
    <w:p w14:paraId="32482E46"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IBAMA. Parecer Técnico no 128/2023-Coexp/CGMac/Dilic. </w:t>
      </w:r>
      <w:r>
        <w:rPr>
          <w:sz w:val="20"/>
          <w:szCs w:val="20"/>
        </w:rPr>
        <w:t xml:space="preserve">Available in: </w:t>
      </w:r>
      <w:hyperlink r:id="rId14">
        <w:r>
          <w:rPr>
            <w:color w:val="1155CC"/>
            <w:sz w:val="20"/>
            <w:szCs w:val="20"/>
            <w:u w:val="single"/>
          </w:rPr>
          <w:t>https://www.gov.br/ibama/pt-br/assuntos/noticias/2023/ibama-nega-licenca-de-perfuracao-na-bacia-da-fo</w:t>
        </w:r>
        <w:r>
          <w:rPr>
            <w:color w:val="1155CC"/>
            <w:sz w:val="20"/>
            <w:szCs w:val="20"/>
            <w:u w:val="single"/>
          </w:rPr>
          <w:t>z-do-amazonas/parecer-coexp-fza-59.pdf</w:t>
        </w:r>
      </w:hyperlink>
      <w:r>
        <w:rPr>
          <w:sz w:val="20"/>
          <w:szCs w:val="20"/>
        </w:rPr>
        <w:t>, last accessed: Aug. 28th, 2023.</w:t>
      </w:r>
    </w:p>
  </w:footnote>
  <w:footnote w:id="17">
    <w:p w14:paraId="162407E0" w14:textId="77777777" w:rsidR="00F2181B" w:rsidRPr="00BB111D" w:rsidRDefault="00BB111D">
      <w:pPr>
        <w:spacing w:line="240" w:lineRule="auto"/>
        <w:jc w:val="both"/>
        <w:rPr>
          <w:sz w:val="20"/>
          <w:szCs w:val="20"/>
          <w:lang w:val="es-ES_tradnl"/>
        </w:rPr>
      </w:pPr>
      <w:r>
        <w:rPr>
          <w:vertAlign w:val="superscript"/>
        </w:rPr>
        <w:footnoteRef/>
      </w:r>
      <w:r w:rsidRPr="00BB111D">
        <w:rPr>
          <w:rFonts w:ascii="Times New Roman" w:eastAsia="Times New Roman" w:hAnsi="Times New Roman" w:cs="Times New Roman"/>
          <w:sz w:val="20"/>
          <w:szCs w:val="20"/>
          <w:lang w:val="es-ES_tradnl"/>
        </w:rPr>
        <w:t xml:space="preserve"> </w:t>
      </w:r>
      <w:r w:rsidRPr="00BB111D">
        <w:rPr>
          <w:i/>
          <w:sz w:val="20"/>
          <w:szCs w:val="20"/>
          <w:lang w:val="es-ES_tradnl"/>
        </w:rPr>
        <w:t>Ibid</w:t>
      </w:r>
      <w:r w:rsidRPr="00BB111D">
        <w:rPr>
          <w:sz w:val="20"/>
          <w:szCs w:val="20"/>
          <w:lang w:val="es-ES_tradnl"/>
        </w:rPr>
        <w:t>.</w:t>
      </w:r>
    </w:p>
  </w:footnote>
  <w:footnote w:id="18">
    <w:p w14:paraId="7F4EEB0C" w14:textId="77777777" w:rsidR="00F2181B" w:rsidRDefault="00BB111D">
      <w:pPr>
        <w:spacing w:line="240" w:lineRule="auto"/>
        <w:ind w:left="6" w:right="45"/>
        <w:jc w:val="both"/>
        <w:rPr>
          <w:sz w:val="20"/>
          <w:szCs w:val="20"/>
        </w:rPr>
      </w:pPr>
      <w:r>
        <w:rPr>
          <w:vertAlign w:val="superscript"/>
        </w:rPr>
        <w:footnoteRef/>
      </w:r>
      <w:r w:rsidRPr="00BB111D">
        <w:rPr>
          <w:sz w:val="20"/>
          <w:szCs w:val="20"/>
          <w:lang w:val="es-ES_tradnl"/>
        </w:rPr>
        <w:t xml:space="preserve"> CIDH. ONU Direitos Humanos e CIDH manifestam preocupação com a proteção de defensores de direitos humanos no Brasil. </w:t>
      </w:r>
      <w:r>
        <w:rPr>
          <w:sz w:val="20"/>
          <w:szCs w:val="20"/>
        </w:rPr>
        <w:t xml:space="preserve">Available in: </w:t>
      </w:r>
      <w:hyperlink r:id="rId15">
        <w:r>
          <w:rPr>
            <w:color w:val="0000FF"/>
            <w:sz w:val="20"/>
            <w:szCs w:val="20"/>
            <w:u w:val="single"/>
          </w:rPr>
          <w:t>https://www.oas.org/pt/cidh/prensa/notas/2017/039.asp</w:t>
        </w:r>
      </w:hyperlink>
      <w:r>
        <w:rPr>
          <w:sz w:val="20"/>
          <w:szCs w:val="20"/>
        </w:rPr>
        <w:t>, last accessed: Aug. 28th, 2023.</w:t>
      </w:r>
    </w:p>
  </w:footnote>
  <w:footnote w:id="19">
    <w:p w14:paraId="119C20ED" w14:textId="77777777" w:rsidR="00F2181B" w:rsidRDefault="00BB111D">
      <w:pPr>
        <w:spacing w:line="240" w:lineRule="auto"/>
        <w:jc w:val="both"/>
        <w:rPr>
          <w:sz w:val="20"/>
          <w:szCs w:val="20"/>
        </w:rPr>
      </w:pPr>
      <w:r>
        <w:rPr>
          <w:vertAlign w:val="superscript"/>
        </w:rPr>
        <w:footnoteRef/>
      </w:r>
      <w:r w:rsidRPr="00BB111D">
        <w:rPr>
          <w:sz w:val="20"/>
          <w:szCs w:val="20"/>
          <w:lang w:val="es-ES_tradnl"/>
        </w:rPr>
        <w:t xml:space="preserve"> CPT. Conflitos no Campo Brasil 2022. </w:t>
      </w:r>
      <w:r>
        <w:rPr>
          <w:sz w:val="20"/>
          <w:szCs w:val="20"/>
        </w:rPr>
        <w:t xml:space="preserve">Available in: </w:t>
      </w:r>
      <w:hyperlink r:id="rId16">
        <w:r>
          <w:rPr>
            <w:color w:val="1155CC"/>
            <w:sz w:val="20"/>
            <w:szCs w:val="20"/>
            <w:u w:val="single"/>
          </w:rPr>
          <w:t>https://www.cptnacional.org.br/downlods?task=download.send&amp;id=14302&amp;catid=41&amp;m=0</w:t>
        </w:r>
      </w:hyperlink>
      <w:r>
        <w:rPr>
          <w:sz w:val="20"/>
          <w:szCs w:val="20"/>
        </w:rPr>
        <w:t>, p. 5, last accessed: Aug. 28th, 2023.</w:t>
      </w:r>
    </w:p>
  </w:footnote>
  <w:footnote w:id="20">
    <w:p w14:paraId="2DA7D76D" w14:textId="77777777" w:rsidR="00F2181B" w:rsidRDefault="00BB111D">
      <w:pPr>
        <w:spacing w:line="240" w:lineRule="auto"/>
        <w:rPr>
          <w:sz w:val="20"/>
          <w:szCs w:val="20"/>
        </w:rPr>
      </w:pPr>
      <w:r>
        <w:rPr>
          <w:vertAlign w:val="superscript"/>
        </w:rPr>
        <w:footnoteRef/>
      </w:r>
      <w:r>
        <w:rPr>
          <w:sz w:val="20"/>
          <w:szCs w:val="20"/>
        </w:rPr>
        <w:t xml:space="preserve"> </w:t>
      </w:r>
      <w:r>
        <w:rPr>
          <w:i/>
          <w:sz w:val="20"/>
          <w:szCs w:val="20"/>
        </w:rPr>
        <w:t>Ibid</w:t>
      </w:r>
      <w:r>
        <w:rPr>
          <w:sz w:val="20"/>
          <w:szCs w:val="20"/>
        </w:rPr>
        <w:t>, pp. 7 and 127.</w:t>
      </w:r>
    </w:p>
  </w:footnote>
  <w:footnote w:id="21">
    <w:p w14:paraId="1B003456" w14:textId="77777777" w:rsidR="00F2181B" w:rsidRDefault="00BB111D">
      <w:pPr>
        <w:spacing w:line="240" w:lineRule="auto"/>
        <w:jc w:val="both"/>
        <w:rPr>
          <w:sz w:val="20"/>
          <w:szCs w:val="20"/>
        </w:rPr>
      </w:pPr>
      <w:r>
        <w:rPr>
          <w:vertAlign w:val="superscript"/>
        </w:rPr>
        <w:footnoteRef/>
      </w:r>
      <w:r>
        <w:rPr>
          <w:sz w:val="20"/>
          <w:szCs w:val="20"/>
        </w:rPr>
        <w:t xml:space="preserve"> Human Rights Watch. The Struggle for Land in Brazil: R</w:t>
      </w:r>
      <w:r>
        <w:rPr>
          <w:sz w:val="20"/>
          <w:szCs w:val="20"/>
        </w:rPr>
        <w:t>ural Violence Continues, 1992, p. 13.</w:t>
      </w:r>
    </w:p>
  </w:footnote>
  <w:footnote w:id="22">
    <w:p w14:paraId="71E48282" w14:textId="77777777" w:rsidR="00F2181B" w:rsidRDefault="00BB111D">
      <w:pPr>
        <w:spacing w:line="240" w:lineRule="auto"/>
        <w:jc w:val="both"/>
        <w:rPr>
          <w:sz w:val="20"/>
          <w:szCs w:val="20"/>
        </w:rPr>
      </w:pPr>
      <w:r>
        <w:rPr>
          <w:vertAlign w:val="superscript"/>
        </w:rPr>
        <w:footnoteRef/>
      </w:r>
      <w:r>
        <w:rPr>
          <w:sz w:val="20"/>
          <w:szCs w:val="20"/>
        </w:rPr>
        <w:t xml:space="preserve"> OXFAM. Menos de 1% das propriedades agrícolas é dona de quase metade da área rural brasileira. Available in: </w:t>
      </w:r>
      <w:hyperlink r:id="rId17">
        <w:r>
          <w:rPr>
            <w:color w:val="1155CC"/>
            <w:sz w:val="20"/>
            <w:szCs w:val="20"/>
            <w:u w:val="single"/>
          </w:rPr>
          <w:t>https://www.oxfam.org.br/publicacao/menos-de-1-das-propriedades-agricolas-e-dona-de-quase-metade-da-area-rural-brasileira/</w:t>
        </w:r>
      </w:hyperlink>
      <w:r>
        <w:rPr>
          <w:sz w:val="20"/>
          <w:szCs w:val="20"/>
        </w:rPr>
        <w:t>, last accessed: Aug. 28th, 2023.</w:t>
      </w:r>
    </w:p>
  </w:footnote>
  <w:footnote w:id="23">
    <w:p w14:paraId="666FA910" w14:textId="77777777" w:rsidR="00F2181B" w:rsidRDefault="00BB111D">
      <w:pPr>
        <w:spacing w:line="240" w:lineRule="auto"/>
        <w:jc w:val="both"/>
        <w:rPr>
          <w:sz w:val="20"/>
          <w:szCs w:val="20"/>
        </w:rPr>
      </w:pPr>
      <w:r>
        <w:rPr>
          <w:vertAlign w:val="superscript"/>
        </w:rPr>
        <w:footnoteRef/>
      </w:r>
      <w:r>
        <w:rPr>
          <w:sz w:val="20"/>
          <w:szCs w:val="20"/>
        </w:rPr>
        <w:t xml:space="preserve"> Ministério dos Direitos Humanos e da Cidadania. Grupo de Trabalho Técnico Sales Pimenta proporá políticas de segurança para defensores dos direitos humanos, liberdade de expressão e meio ambiente. Available in: </w:t>
      </w:r>
      <w:hyperlink r:id="rId18">
        <w:r>
          <w:rPr>
            <w:color w:val="1155CC"/>
            <w:sz w:val="20"/>
            <w:szCs w:val="20"/>
            <w:u w:val="single"/>
          </w:rPr>
          <w:t>https://www.gov.br/mdh/pt-br/assuntos/noticias/2023/junho/grupo-de-trabalho-te</w:t>
        </w:r>
        <w:r>
          <w:rPr>
            <w:color w:val="1155CC"/>
            <w:sz w:val="20"/>
            <w:szCs w:val="20"/>
            <w:u w:val="single"/>
          </w:rPr>
          <w:t>cnico-sales-pimenta-propora-politicas-de-seguranca-para-defensores-dos-direitos-humanos-liberdade-de-expressao-e-meio-ambiente</w:t>
        </w:r>
      </w:hyperlink>
      <w:r>
        <w:rPr>
          <w:sz w:val="20"/>
          <w:szCs w:val="20"/>
        </w:rPr>
        <w:t>, , last accessed: Aug. 28th, 2023.</w:t>
      </w:r>
    </w:p>
  </w:footnote>
  <w:footnote w:id="24">
    <w:p w14:paraId="64B5C41F" w14:textId="77777777" w:rsidR="00F2181B" w:rsidRDefault="00BB111D">
      <w:pPr>
        <w:spacing w:line="240" w:lineRule="auto"/>
        <w:jc w:val="both"/>
        <w:rPr>
          <w:sz w:val="20"/>
          <w:szCs w:val="20"/>
        </w:rPr>
      </w:pPr>
      <w:r>
        <w:rPr>
          <w:vertAlign w:val="superscript"/>
        </w:rPr>
        <w:footnoteRef/>
      </w:r>
      <w:r>
        <w:rPr>
          <w:sz w:val="20"/>
          <w:szCs w:val="20"/>
        </w:rPr>
        <w:t xml:space="preserve"> IACHR.  Case of Sales Pimenta. v. Brazil. Judgment of Jun</w:t>
      </w:r>
      <w:r>
        <w:rPr>
          <w:sz w:val="20"/>
          <w:szCs w:val="20"/>
        </w:rPr>
        <w:t xml:space="preserve">e 30, 2022. Preliminary objections, merits, reparations, and costs. Series C, No. 454. Available in: </w:t>
      </w:r>
      <w:hyperlink r:id="rId19">
        <w:r>
          <w:rPr>
            <w:color w:val="1155CC"/>
            <w:sz w:val="20"/>
            <w:szCs w:val="20"/>
            <w:u w:val="single"/>
          </w:rPr>
          <w:t>https://www.corteidh.or.cr/docs/casos/articulos/seriec_454_ing.pdf</w:t>
        </w:r>
      </w:hyperlink>
      <w:r>
        <w:rPr>
          <w:sz w:val="20"/>
          <w:szCs w:val="20"/>
        </w:rPr>
        <w:t>, last accessed: Aug. 28th,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54A1D" w14:textId="77777777" w:rsidR="00F2181B" w:rsidRDefault="00BB111D">
    <w:pPr>
      <w:jc w:val="center"/>
    </w:pPr>
    <w:r>
      <w:rPr>
        <w:noProof/>
      </w:rPr>
      <w:drawing>
        <wp:inline distT="114300" distB="114300" distL="114300" distR="114300" wp14:anchorId="55E85568" wp14:editId="4D216C32">
          <wp:extent cx="2012156" cy="804863"/>
          <wp:effectExtent l="0" t="0" r="0" b="0"/>
          <wp:docPr id="5" name="image3.jpg"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jpg" descr="Logotipo&#10;&#10;Descrição gerada automaticamente"/>
                  <pic:cNvPicPr preferRelativeResize="0"/>
                </pic:nvPicPr>
                <pic:blipFill>
                  <a:blip r:embed="rId1"/>
                  <a:srcRect t="4888" b="4888"/>
                  <a:stretch>
                    <a:fillRect/>
                  </a:stretch>
                </pic:blipFill>
                <pic:spPr>
                  <a:xfrm>
                    <a:off x="0" y="0"/>
                    <a:ext cx="2012156" cy="80486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62049"/>
    <w:multiLevelType w:val="multilevel"/>
    <w:tmpl w:val="93AA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E50D69"/>
    <w:multiLevelType w:val="multilevel"/>
    <w:tmpl w:val="35AEC0E4"/>
    <w:lvl w:ilvl="0">
      <w:start w:val="1"/>
      <w:numFmt w:val="lowerLetter"/>
      <w:pStyle w:val="ListBulle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B4E555E"/>
    <w:multiLevelType w:val="multilevel"/>
    <w:tmpl w:val="86BA38A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13065755">
    <w:abstractNumId w:val="0"/>
  </w:num>
  <w:num w:numId="2" w16cid:durableId="748696215">
    <w:abstractNumId w:val="2"/>
  </w:num>
  <w:num w:numId="3" w16cid:durableId="1357922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81B"/>
    <w:rsid w:val="00BB111D"/>
    <w:rsid w:val="00F2181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8007"/>
  <w15:docId w15:val="{46951EE0-AC97-4492-96BD-2500A82C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53"/>
  </w:style>
  <w:style w:type="paragraph" w:styleId="Heading1">
    <w:name w:val="heading 1"/>
    <w:basedOn w:val="Normal"/>
    <w:next w:val="Normal"/>
    <w:link w:val="Heading1Char"/>
    <w:uiPriority w:val="9"/>
    <w:qFormat/>
    <w:rsid w:val="009B6662"/>
    <w:pPr>
      <w:keepNext/>
      <w:keepLines/>
      <w:spacing w:before="400" w:after="120"/>
      <w:outlineLvl w:val="0"/>
    </w:pPr>
    <w:rPr>
      <w:sz w:val="40"/>
      <w:szCs w:val="40"/>
    </w:rPr>
  </w:style>
  <w:style w:type="paragraph" w:styleId="Heading2">
    <w:name w:val="heading 2"/>
    <w:basedOn w:val="Normal"/>
    <w:next w:val="Normal"/>
    <w:link w:val="Heading2Char"/>
    <w:uiPriority w:val="9"/>
    <w:semiHidden/>
    <w:unhideWhenUsed/>
    <w:qFormat/>
    <w:rsid w:val="009B6662"/>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rsid w:val="009B6662"/>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9B6662"/>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rsid w:val="009B6662"/>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rsid w:val="009B666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6662"/>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9B6662"/>
    <w:rPr>
      <w:rFonts w:ascii="Arial" w:eastAsia="Arial" w:hAnsi="Arial" w:cs="Arial"/>
      <w:kern w:val="0"/>
      <w:sz w:val="40"/>
      <w:szCs w:val="40"/>
      <w:lang w:val="es"/>
    </w:rPr>
  </w:style>
  <w:style w:type="character" w:customStyle="1" w:styleId="Heading2Char">
    <w:name w:val="Heading 2 Char"/>
    <w:basedOn w:val="DefaultParagraphFont"/>
    <w:link w:val="Heading2"/>
    <w:uiPriority w:val="9"/>
    <w:rsid w:val="009B6662"/>
    <w:rPr>
      <w:rFonts w:ascii="Arial" w:eastAsia="Arial" w:hAnsi="Arial" w:cs="Arial"/>
      <w:kern w:val="0"/>
      <w:sz w:val="32"/>
      <w:szCs w:val="32"/>
      <w:lang w:val="es"/>
    </w:rPr>
  </w:style>
  <w:style w:type="character" w:customStyle="1" w:styleId="Heading3Char">
    <w:name w:val="Heading 3 Char"/>
    <w:basedOn w:val="DefaultParagraphFont"/>
    <w:link w:val="Heading3"/>
    <w:uiPriority w:val="9"/>
    <w:rsid w:val="009B6662"/>
    <w:rPr>
      <w:rFonts w:ascii="Arial" w:eastAsia="Arial" w:hAnsi="Arial" w:cs="Arial"/>
      <w:color w:val="434343"/>
      <w:kern w:val="0"/>
      <w:sz w:val="28"/>
      <w:szCs w:val="28"/>
      <w:lang w:val="es"/>
    </w:rPr>
  </w:style>
  <w:style w:type="character" w:customStyle="1" w:styleId="Heading4Char">
    <w:name w:val="Heading 4 Char"/>
    <w:basedOn w:val="DefaultParagraphFont"/>
    <w:link w:val="Heading4"/>
    <w:uiPriority w:val="9"/>
    <w:rsid w:val="009B6662"/>
    <w:rPr>
      <w:rFonts w:ascii="Arial" w:eastAsia="Arial" w:hAnsi="Arial" w:cs="Arial"/>
      <w:color w:val="666666"/>
      <w:kern w:val="0"/>
      <w:sz w:val="24"/>
      <w:szCs w:val="24"/>
      <w:lang w:val="es"/>
    </w:rPr>
  </w:style>
  <w:style w:type="character" w:customStyle="1" w:styleId="Heading5Char">
    <w:name w:val="Heading 5 Char"/>
    <w:basedOn w:val="DefaultParagraphFont"/>
    <w:link w:val="Heading5"/>
    <w:uiPriority w:val="9"/>
    <w:semiHidden/>
    <w:rsid w:val="009B6662"/>
    <w:rPr>
      <w:rFonts w:ascii="Arial" w:eastAsia="Arial" w:hAnsi="Arial" w:cs="Arial"/>
      <w:color w:val="666666"/>
      <w:kern w:val="0"/>
      <w:lang w:val="es"/>
    </w:rPr>
  </w:style>
  <w:style w:type="character" w:customStyle="1" w:styleId="Heading6Char">
    <w:name w:val="Heading 6 Char"/>
    <w:basedOn w:val="DefaultParagraphFont"/>
    <w:link w:val="Heading6"/>
    <w:uiPriority w:val="9"/>
    <w:semiHidden/>
    <w:rsid w:val="009B6662"/>
    <w:rPr>
      <w:rFonts w:ascii="Arial" w:eastAsia="Arial" w:hAnsi="Arial" w:cs="Arial"/>
      <w:i/>
      <w:color w:val="666666"/>
      <w:kern w:val="0"/>
      <w:lang w:val="es"/>
    </w:rPr>
  </w:style>
  <w:style w:type="table" w:customStyle="1" w:styleId="TableNormal5">
    <w:name w:val="Table Normal5"/>
    <w:rsid w:val="009B6662"/>
    <w:tblPr>
      <w:tblCellMar>
        <w:top w:w="0" w:type="dxa"/>
        <w:left w:w="0" w:type="dxa"/>
        <w:bottom w:w="0" w:type="dxa"/>
        <w:right w:w="0" w:type="dxa"/>
      </w:tblCellMar>
    </w:tblPr>
  </w:style>
  <w:style w:type="character" w:customStyle="1" w:styleId="TitleChar">
    <w:name w:val="Title Char"/>
    <w:basedOn w:val="DefaultParagraphFont"/>
    <w:link w:val="Title"/>
    <w:uiPriority w:val="10"/>
    <w:rsid w:val="009B6662"/>
    <w:rPr>
      <w:rFonts w:ascii="Arial" w:eastAsia="Arial" w:hAnsi="Arial" w:cs="Arial"/>
      <w:kern w:val="0"/>
      <w:sz w:val="52"/>
      <w:szCs w:val="52"/>
      <w:lang w:val="es"/>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character" w:customStyle="1" w:styleId="SubtitleChar">
    <w:name w:val="Subtitle Char"/>
    <w:basedOn w:val="DefaultParagraphFont"/>
    <w:link w:val="Subtitle"/>
    <w:uiPriority w:val="11"/>
    <w:rsid w:val="009B6662"/>
    <w:rPr>
      <w:rFonts w:ascii="Arial" w:eastAsia="Arial" w:hAnsi="Arial" w:cs="Arial"/>
      <w:color w:val="666666"/>
      <w:kern w:val="0"/>
      <w:sz w:val="30"/>
      <w:szCs w:val="30"/>
      <w:lang w:val="es"/>
    </w:rPr>
  </w:style>
  <w:style w:type="paragraph" w:styleId="ListParagraph">
    <w:name w:val="List Paragraph"/>
    <w:basedOn w:val="Normal"/>
    <w:uiPriority w:val="34"/>
    <w:qFormat/>
    <w:rsid w:val="00A879D8"/>
    <w:pPr>
      <w:ind w:left="720"/>
      <w:contextualSpacing/>
    </w:pPr>
  </w:style>
  <w:style w:type="paragraph" w:styleId="EndnoteText">
    <w:name w:val="endnote text"/>
    <w:aliases w:val="en,2_G"/>
    <w:basedOn w:val="Normal"/>
    <w:link w:val="EndnoteTextChar"/>
    <w:uiPriority w:val="99"/>
    <w:unhideWhenUsed/>
    <w:qFormat/>
    <w:rsid w:val="006215D3"/>
    <w:pPr>
      <w:spacing w:after="240" w:line="240" w:lineRule="auto"/>
    </w:pPr>
    <w:rPr>
      <w:rFonts w:ascii="Times New Roman" w:eastAsia="Calibri" w:hAnsi="Times New Roman" w:cs="Times New Roman"/>
      <w:sz w:val="20"/>
      <w:szCs w:val="20"/>
      <w:lang w:val="en-GB"/>
    </w:rPr>
  </w:style>
  <w:style w:type="character" w:customStyle="1" w:styleId="EndnoteTextChar">
    <w:name w:val="Endnote Text Char"/>
    <w:aliases w:val="en Char,2_G Char"/>
    <w:basedOn w:val="DefaultParagraphFont"/>
    <w:link w:val="EndnoteText"/>
    <w:uiPriority w:val="99"/>
    <w:qFormat/>
    <w:rsid w:val="006215D3"/>
    <w:rPr>
      <w:rFonts w:ascii="Times New Roman" w:eastAsia="Calibri" w:hAnsi="Times New Roman" w:cs="Times New Roman"/>
      <w:kern w:val="0"/>
      <w:sz w:val="20"/>
      <w:szCs w:val="20"/>
      <w:lang w:val="en-GB"/>
    </w:rPr>
  </w:style>
  <w:style w:type="character" w:styleId="EndnoteReference">
    <w:name w:val="endnote reference"/>
    <w:aliases w:val="1_G"/>
    <w:uiPriority w:val="99"/>
    <w:unhideWhenUsed/>
    <w:qFormat/>
    <w:rsid w:val="006215D3"/>
    <w:rPr>
      <w:vertAlign w:val="superscript"/>
    </w:rPr>
  </w:style>
  <w:style w:type="paragraph" w:styleId="ListBullet">
    <w:name w:val="List Bullet"/>
    <w:basedOn w:val="Normal"/>
    <w:unhideWhenUsed/>
    <w:rsid w:val="006215D3"/>
    <w:pPr>
      <w:widowControl w:val="0"/>
      <w:numPr>
        <w:numId w:val="3"/>
      </w:numPr>
      <w:tabs>
        <w:tab w:val="left" w:pos="1440"/>
      </w:tabs>
      <w:spacing w:after="240" w:line="240" w:lineRule="auto"/>
      <w:ind w:left="1440"/>
      <w:jc w:val="both"/>
    </w:pPr>
    <w:rPr>
      <w:rFonts w:ascii="Times New Roman" w:eastAsiaTheme="minorHAnsi" w:hAnsi="Times New Roman" w:cs="Times New Roman"/>
      <w:sz w:val="24"/>
      <w:szCs w:val="24"/>
    </w:rPr>
  </w:style>
  <w:style w:type="paragraph" w:styleId="Header">
    <w:name w:val="header"/>
    <w:basedOn w:val="Normal"/>
    <w:link w:val="HeaderChar"/>
    <w:uiPriority w:val="99"/>
    <w:unhideWhenUsed/>
    <w:rsid w:val="006F725A"/>
    <w:pPr>
      <w:tabs>
        <w:tab w:val="center" w:pos="4252"/>
        <w:tab w:val="right" w:pos="8504"/>
      </w:tabs>
      <w:spacing w:line="240" w:lineRule="auto"/>
    </w:pPr>
  </w:style>
  <w:style w:type="character" w:customStyle="1" w:styleId="HeaderChar">
    <w:name w:val="Header Char"/>
    <w:basedOn w:val="DefaultParagraphFont"/>
    <w:link w:val="Header"/>
    <w:uiPriority w:val="99"/>
    <w:rsid w:val="006F725A"/>
  </w:style>
  <w:style w:type="paragraph" w:styleId="Footer">
    <w:name w:val="footer"/>
    <w:basedOn w:val="Normal"/>
    <w:link w:val="FooterChar"/>
    <w:uiPriority w:val="99"/>
    <w:unhideWhenUsed/>
    <w:rsid w:val="006F725A"/>
    <w:pPr>
      <w:tabs>
        <w:tab w:val="center" w:pos="4252"/>
        <w:tab w:val="right" w:pos="8504"/>
      </w:tabs>
      <w:spacing w:line="240" w:lineRule="auto"/>
    </w:pPr>
  </w:style>
  <w:style w:type="character" w:customStyle="1" w:styleId="FooterChar">
    <w:name w:val="Footer Char"/>
    <w:basedOn w:val="DefaultParagraphFont"/>
    <w:link w:val="Footer"/>
    <w:uiPriority w:val="99"/>
    <w:rsid w:val="006F725A"/>
  </w:style>
  <w:style w:type="table" w:customStyle="1" w:styleId="a">
    <w:basedOn w:val="TableNormal1"/>
    <w:rPr>
      <w:rFonts w:ascii="Calibri" w:eastAsia="Calibri" w:hAnsi="Calibri" w:cs="Calibri"/>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bc.com/portuguese/brasil-59065366" TargetMode="External"/><Relationship Id="rId13" Type="http://schemas.openxmlformats.org/officeDocument/2006/relationships/hyperlink" Target="https://g1.globo.com/politica/noticia/2023/05/22/lula-diz-que-acha-dificil-mas-petroleo-na-foz-do-amazonas-nao-sera-explorado-se-tiver-problema-para-a-amazonia.ghtml" TargetMode="External"/><Relationship Id="rId18" Type="http://schemas.openxmlformats.org/officeDocument/2006/relationships/hyperlink" Target="https://www.gov.br/mdh/pt-br/assuntos/noticias/2023/junho/grupo-de-trabalho-tecnico-sales-pimenta-propora-politicas-de-seguranca-para-defensores-dos-direitos-humanos-liberdade-de-expressao-e-meio-ambiente" TargetMode="External"/><Relationship Id="rId3" Type="http://schemas.openxmlformats.org/officeDocument/2006/relationships/hyperlink" Target="https://epi.yale.edu/epi-results/2022/country/bra" TargetMode="External"/><Relationship Id="rId7" Type="http://schemas.openxmlformats.org/officeDocument/2006/relationships/hyperlink" Target="https://www.cnnbrasil.com.br/internacional/paises-aderem-ao-pacto-de-reducao-de-emissoes-de-metano/" TargetMode="External"/><Relationship Id="rId12" Type="http://schemas.openxmlformats.org/officeDocument/2006/relationships/hyperlink" Target="https://www.nexojornal.com.br/extra/2023/08/08/Petro-da-Col%C3%B4mbia-se-contrap%C3%B5e-a-Lula-na-C%C3%BApula-da-Amaz%C3%B4nia" TargetMode="External"/><Relationship Id="rId17" Type="http://schemas.openxmlformats.org/officeDocument/2006/relationships/hyperlink" Target="https://www.oxfam.org.br/publicacao/menos-de-1-das-propriedades-agricolas-e-dona-de-quase-metade-da-area-rural-brasileira/" TargetMode="External"/><Relationship Id="rId2" Type="http://schemas.openxmlformats.org/officeDocument/2006/relationships/hyperlink" Target="https://g1.globo.com/jornal-nacional/noticia/2022/06/01/brasil-fica-em-81-lugar-no-indice-de-desempenho-ambiental.ghtml" TargetMode="External"/><Relationship Id="rId16" Type="http://schemas.openxmlformats.org/officeDocument/2006/relationships/hyperlink" Target="https://www.cptnacional.org.br/downlods?task=download.send&amp;id=14302&amp;catid=41&amp;m=0" TargetMode="External"/><Relationship Id="rId1" Type="http://schemas.openxmlformats.org/officeDocument/2006/relationships/hyperlink" Target="http://www.inpe.br/noticias/arquivos/pdf/INPEHadley_folheto.pdf" TargetMode="External"/><Relationship Id="rId6" Type="http://schemas.openxmlformats.org/officeDocument/2006/relationships/hyperlink" Target="https://brasil.elpais.com/brasil/2021-11-01/brasil-eleva-metas-ambientais-na-cop26-mas-nao-convence.html" TargetMode="External"/><Relationship Id="rId11" Type="http://schemas.openxmlformats.org/officeDocument/2006/relationships/hyperlink" Target="https://www.gov.br/mre/pt-br/canais_atendimento/imprensa/notas-a-imprensa/declaracao-presidencial-por-ocasiao-da-cupula-da-amazonia-2013-iv-reuniao-de-presidentes-dos-estados-partes-no-tratado-de-cooperacao-amazonica" TargetMode="External"/><Relationship Id="rId5" Type="http://schemas.openxmlformats.org/officeDocument/2006/relationships/hyperlink" Target="https://www4.unfccc.int/sites/ndcstaging/PublishedDocuments/Brazil%20First/Updated%20-%20First%20NDC%20-%20%20FINAL%20-%20PDF.pdf" TargetMode="External"/><Relationship Id="rId15" Type="http://schemas.openxmlformats.org/officeDocument/2006/relationships/hyperlink" Target="https://www.oas.org/pt/cidh/prensa/notas/2017/039.asp" TargetMode="External"/><Relationship Id="rId10" Type="http://schemas.openxmlformats.org/officeDocument/2006/relationships/hyperlink" Target="https://g1.globo.com/jornal-nacional/noticia/2023/05/24/comissao-do-congresso-aprova-medidas-que-esvaziam-os-ministerios-do-meio-ambiente-e-dos-povos-indigenas.ghtml" TargetMode="External"/><Relationship Id="rId19" Type="http://schemas.openxmlformats.org/officeDocument/2006/relationships/hyperlink" Target="https://www.corteidh.or.cr/docs/casos/articulos/seriec_454_ing.pdf" TargetMode="External"/><Relationship Id="rId4" Type="http://schemas.openxmlformats.org/officeDocument/2006/relationships/hyperlink" Target="https://www.bbc.com/portuguese/brasil-63614414" TargetMode="External"/><Relationship Id="rId9" Type="http://schemas.openxmlformats.org/officeDocument/2006/relationships/hyperlink" Target="https://veja.abril.com.br/coluna/radar/leia-a-integra-do-discurso-de-lula-no-dia-mundial-do-meio-ambiente" TargetMode="External"/><Relationship Id="rId14" Type="http://schemas.openxmlformats.org/officeDocument/2006/relationships/hyperlink" Target="https://www.gov.br/ibama/pt-br/assuntos/noticias/2023/ibama-nega-licenca-de-perfuracao-na-bacia-da-foz-do-amazonas/parecer-coexp-fza-5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RXyK4ESOf6Gw7P+zLE5CHnzMZg==">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1926</Words>
  <Characters>10346</Characters>
  <Application>Microsoft Office Word</Application>
  <DocSecurity>0</DocSecurity>
  <Lines>211</Lines>
  <Paragraphs>47</Paragraphs>
  <ScaleCrop>false</ScaleCrop>
  <Company>OHCHR</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danicejil@outlook.com</dc:creator>
  <cp:lastModifiedBy>Celine Reynaud</cp:lastModifiedBy>
  <cp:revision>2</cp:revision>
  <dcterms:created xsi:type="dcterms:W3CDTF">2023-08-30T08:37:00Z</dcterms:created>
  <dcterms:modified xsi:type="dcterms:W3CDTF">2023-08-30T08:37:00Z</dcterms:modified>
</cp:coreProperties>
</file>