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16C09" w14:textId="3488DD36" w:rsidR="622A1CA5" w:rsidRPr="004A4780" w:rsidRDefault="622A1CA5" w:rsidP="007D4C86">
      <w:pPr>
        <w:spacing w:line="240" w:lineRule="auto"/>
        <w:jc w:val="center"/>
        <w:rPr>
          <w:rFonts w:ascii="Verdana" w:hAnsi="Verdana"/>
        </w:rPr>
      </w:pPr>
      <w:r w:rsidRPr="004A4780">
        <w:rPr>
          <w:rFonts w:ascii="Verdana" w:hAnsi="Verdana"/>
          <w:noProof/>
          <w:lang w:val="en-US"/>
        </w:rPr>
        <w:drawing>
          <wp:anchor distT="0" distB="0" distL="114300" distR="114300" simplePos="0" relativeHeight="251658240" behindDoc="0" locked="0" layoutInCell="1" allowOverlap="1" wp14:anchorId="52F6F5B7" wp14:editId="0566BB28">
            <wp:simplePos x="0" y="0"/>
            <wp:positionH relativeFrom="column">
              <wp:posOffset>3589655</wp:posOffset>
            </wp:positionH>
            <wp:positionV relativeFrom="paragraph">
              <wp:posOffset>0</wp:posOffset>
            </wp:positionV>
            <wp:extent cx="2138680" cy="824230"/>
            <wp:effectExtent l="0" t="0" r="0" b="1270"/>
            <wp:wrapSquare wrapText="bothSides"/>
            <wp:docPr id="2064741544" name="Picture 206474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138680" cy="824230"/>
                    </a:xfrm>
                    <a:prstGeom prst="rect">
                      <a:avLst/>
                    </a:prstGeom>
                  </pic:spPr>
                </pic:pic>
              </a:graphicData>
            </a:graphic>
            <wp14:sizeRelH relativeFrom="page">
              <wp14:pctWidth>0</wp14:pctWidth>
            </wp14:sizeRelH>
            <wp14:sizeRelV relativeFrom="page">
              <wp14:pctHeight>0</wp14:pctHeight>
            </wp14:sizeRelV>
          </wp:anchor>
        </w:drawing>
      </w:r>
    </w:p>
    <w:p w14:paraId="5CE762AF" w14:textId="2DD8146C" w:rsidR="622A1CA5" w:rsidRPr="004A4780" w:rsidRDefault="622A1CA5" w:rsidP="007D4C86">
      <w:pPr>
        <w:spacing w:line="240" w:lineRule="auto"/>
        <w:jc w:val="center"/>
        <w:rPr>
          <w:rFonts w:ascii="Verdana" w:hAnsi="Verdana"/>
          <w:b/>
          <w:bCs/>
        </w:rPr>
      </w:pPr>
    </w:p>
    <w:p w14:paraId="4FF80A63" w14:textId="77777777" w:rsidR="004A4780" w:rsidRPr="004A4780" w:rsidRDefault="004A4780" w:rsidP="007D4C86">
      <w:pPr>
        <w:spacing w:line="240" w:lineRule="auto"/>
        <w:jc w:val="center"/>
        <w:rPr>
          <w:rFonts w:ascii="Verdana" w:hAnsi="Verdana"/>
          <w:b/>
          <w:bCs/>
        </w:rPr>
      </w:pPr>
    </w:p>
    <w:p w14:paraId="72EDF41F" w14:textId="77777777" w:rsidR="004A4780" w:rsidRPr="004A4780" w:rsidRDefault="004A4780" w:rsidP="007D4C86">
      <w:pPr>
        <w:spacing w:line="240" w:lineRule="auto"/>
        <w:jc w:val="center"/>
        <w:rPr>
          <w:rFonts w:ascii="Verdana" w:hAnsi="Verdana"/>
          <w:b/>
          <w:bCs/>
        </w:rPr>
      </w:pPr>
    </w:p>
    <w:p w14:paraId="45B029F4" w14:textId="77777777" w:rsidR="004A4780" w:rsidRDefault="004A4780" w:rsidP="007D4C86">
      <w:pPr>
        <w:spacing w:line="240" w:lineRule="auto"/>
        <w:rPr>
          <w:rFonts w:ascii="Verdana" w:hAnsi="Verdana"/>
          <w:b/>
          <w:bCs/>
        </w:rPr>
      </w:pPr>
    </w:p>
    <w:p w14:paraId="15C3BFBA" w14:textId="5AAC8763" w:rsidR="004255A9" w:rsidRPr="004255A9" w:rsidRDefault="004255A9" w:rsidP="007D4C86">
      <w:pPr>
        <w:spacing w:line="240" w:lineRule="auto"/>
        <w:jc w:val="center"/>
        <w:rPr>
          <w:rFonts w:ascii="Verdana" w:hAnsi="Verdana"/>
          <w:b/>
          <w:bCs/>
          <w:sz w:val="24"/>
          <w:szCs w:val="24"/>
        </w:rPr>
      </w:pPr>
      <w:r w:rsidRPr="004255A9">
        <w:rPr>
          <w:rFonts w:ascii="Verdana" w:hAnsi="Verdana"/>
          <w:b/>
          <w:bCs/>
          <w:sz w:val="24"/>
          <w:szCs w:val="24"/>
        </w:rPr>
        <w:t>UNITED NATIONS HUMAN RIGHTS COMMITTEE</w:t>
      </w:r>
    </w:p>
    <w:p w14:paraId="20311A6C" w14:textId="2629527B" w:rsidR="00CF7389" w:rsidRDefault="008224B1" w:rsidP="007D4C86">
      <w:pPr>
        <w:spacing w:line="240" w:lineRule="auto"/>
        <w:jc w:val="center"/>
        <w:rPr>
          <w:rFonts w:ascii="Verdana" w:hAnsi="Verdana"/>
          <w:b/>
          <w:bCs/>
        </w:rPr>
      </w:pPr>
      <w:r w:rsidRPr="08F69120">
        <w:rPr>
          <w:rFonts w:ascii="Verdana" w:hAnsi="Verdana"/>
          <w:b/>
          <w:bCs/>
        </w:rPr>
        <w:t>140</w:t>
      </w:r>
      <w:r w:rsidR="00E46B3F" w:rsidRPr="08F69120">
        <w:rPr>
          <w:rFonts w:ascii="Verdana" w:hAnsi="Verdana"/>
          <w:b/>
          <w:bCs/>
          <w:vertAlign w:val="superscript"/>
        </w:rPr>
        <w:t>th</w:t>
      </w:r>
      <w:r w:rsidRPr="08F69120">
        <w:rPr>
          <w:rFonts w:ascii="Verdana" w:hAnsi="Verdana"/>
          <w:b/>
          <w:bCs/>
        </w:rPr>
        <w:t xml:space="preserve"> </w:t>
      </w:r>
      <w:r w:rsidR="004255A9" w:rsidRPr="08F69120">
        <w:rPr>
          <w:rFonts w:ascii="Verdana" w:hAnsi="Verdana"/>
          <w:b/>
          <w:bCs/>
        </w:rPr>
        <w:t xml:space="preserve">Session of the UN Human Rights Committee </w:t>
      </w:r>
    </w:p>
    <w:p w14:paraId="5F04D177" w14:textId="16CF5563" w:rsidR="004255A9" w:rsidRDefault="008224B1" w:rsidP="007D4C86">
      <w:pPr>
        <w:spacing w:line="240" w:lineRule="auto"/>
        <w:jc w:val="center"/>
        <w:rPr>
          <w:rFonts w:ascii="Verdana" w:hAnsi="Verdana"/>
          <w:b/>
          <w:bCs/>
        </w:rPr>
      </w:pPr>
      <w:r w:rsidRPr="08F69120">
        <w:rPr>
          <w:rFonts w:ascii="Verdana" w:hAnsi="Verdana"/>
          <w:b/>
          <w:bCs/>
        </w:rPr>
        <w:t>4</w:t>
      </w:r>
      <w:r w:rsidR="004255A9" w:rsidRPr="08F69120">
        <w:rPr>
          <w:rFonts w:ascii="Verdana" w:hAnsi="Verdana"/>
          <w:b/>
          <w:bCs/>
        </w:rPr>
        <w:t xml:space="preserve"> March to 2</w:t>
      </w:r>
      <w:r w:rsidR="608EB86F" w:rsidRPr="08F69120">
        <w:rPr>
          <w:rFonts w:ascii="Verdana" w:hAnsi="Verdana"/>
          <w:b/>
          <w:bCs/>
        </w:rPr>
        <w:t>8</w:t>
      </w:r>
      <w:r w:rsidR="004255A9" w:rsidRPr="08F69120">
        <w:rPr>
          <w:rFonts w:ascii="Verdana" w:hAnsi="Verdana"/>
          <w:b/>
          <w:bCs/>
        </w:rPr>
        <w:t xml:space="preserve"> March 202</w:t>
      </w:r>
      <w:r w:rsidRPr="08F69120">
        <w:rPr>
          <w:rFonts w:ascii="Verdana" w:hAnsi="Verdana"/>
          <w:b/>
          <w:bCs/>
        </w:rPr>
        <w:t>4</w:t>
      </w:r>
    </w:p>
    <w:p w14:paraId="2B560589" w14:textId="49B292CF" w:rsidR="004255A9" w:rsidRPr="004255A9" w:rsidRDefault="004255A9" w:rsidP="007D4C86">
      <w:pPr>
        <w:spacing w:line="240" w:lineRule="auto"/>
        <w:jc w:val="center"/>
        <w:rPr>
          <w:rFonts w:ascii="Verdana" w:hAnsi="Verdana"/>
          <w:b/>
          <w:bCs/>
          <w:sz w:val="24"/>
          <w:szCs w:val="24"/>
        </w:rPr>
      </w:pPr>
      <w:r w:rsidRPr="004255A9">
        <w:rPr>
          <w:rFonts w:ascii="Verdana" w:hAnsi="Verdana"/>
          <w:b/>
          <w:bCs/>
          <w:sz w:val="24"/>
          <w:szCs w:val="24"/>
        </w:rPr>
        <w:t>SUBMISSION OF THE INTERNATIONAL COMMISSION OF JURISTS TO THE UN HUMAN RIGHTS COMMITTEE IN VIEW OF THE COMMITTEE’S EXAMINATION</w:t>
      </w:r>
      <w:r w:rsidR="00130561">
        <w:rPr>
          <w:rFonts w:ascii="Verdana" w:hAnsi="Verdana"/>
          <w:b/>
          <w:bCs/>
          <w:sz w:val="24"/>
          <w:szCs w:val="24"/>
        </w:rPr>
        <w:t xml:space="preserve"> OF INFORMATION SUBMITTED BY THE REPUBLIC OF TUNISIA ON THE IMPLEMENTATION OF THE COMMITTEE’S RECOMMENDATIONS </w:t>
      </w:r>
      <w:r w:rsidRPr="00130561">
        <w:rPr>
          <w:rFonts w:ascii="Verdana" w:hAnsi="Verdana"/>
          <w:b/>
          <w:bCs/>
          <w:sz w:val="24"/>
          <w:szCs w:val="24"/>
        </w:rPr>
        <w:t xml:space="preserve">UNDER ARTICLE </w:t>
      </w:r>
      <w:r w:rsidR="00130561" w:rsidRPr="00130561">
        <w:rPr>
          <w:rFonts w:ascii="Verdana" w:hAnsi="Verdana"/>
          <w:b/>
          <w:bCs/>
          <w:sz w:val="24"/>
          <w:szCs w:val="24"/>
        </w:rPr>
        <w:t xml:space="preserve">75 </w:t>
      </w:r>
      <w:r w:rsidRPr="00130561">
        <w:rPr>
          <w:rFonts w:ascii="Verdana" w:hAnsi="Verdana"/>
          <w:b/>
          <w:bCs/>
          <w:sz w:val="24"/>
          <w:szCs w:val="24"/>
        </w:rPr>
        <w:t xml:space="preserve">OF THE </w:t>
      </w:r>
      <w:r w:rsidR="00130561">
        <w:rPr>
          <w:rFonts w:ascii="Verdana" w:hAnsi="Verdana"/>
          <w:b/>
          <w:bCs/>
          <w:sz w:val="24"/>
          <w:szCs w:val="24"/>
        </w:rPr>
        <w:t>COMMITTEE’S RULES OF PROCEDURE</w:t>
      </w:r>
    </w:p>
    <w:p w14:paraId="0AF3FB24" w14:textId="77777777" w:rsidR="004255A9" w:rsidRDefault="004255A9" w:rsidP="007D4C86">
      <w:pPr>
        <w:spacing w:line="240" w:lineRule="auto"/>
        <w:rPr>
          <w:rFonts w:ascii="Verdana" w:hAnsi="Verdana"/>
          <w:b/>
          <w:bCs/>
        </w:rPr>
      </w:pPr>
    </w:p>
    <w:p w14:paraId="57967B1E" w14:textId="4009D1C6" w:rsidR="004255A9" w:rsidRPr="004255A9" w:rsidRDefault="004255A9" w:rsidP="007D4C86">
      <w:pPr>
        <w:spacing w:line="240" w:lineRule="auto"/>
        <w:jc w:val="center"/>
        <w:rPr>
          <w:rFonts w:ascii="Verdana" w:hAnsi="Verdana"/>
          <w:sz w:val="18"/>
          <w:szCs w:val="18"/>
        </w:rPr>
      </w:pPr>
      <w:r w:rsidRPr="006F634F">
        <w:rPr>
          <w:rFonts w:ascii="Verdana" w:hAnsi="Verdana"/>
          <w:sz w:val="18"/>
          <w:szCs w:val="18"/>
        </w:rPr>
        <w:t xml:space="preserve">Submitted on </w:t>
      </w:r>
      <w:r w:rsidR="007D4C86" w:rsidRPr="006F634F">
        <w:rPr>
          <w:rFonts w:ascii="Verdana" w:hAnsi="Verdana"/>
          <w:sz w:val="18"/>
          <w:szCs w:val="18"/>
        </w:rPr>
        <w:t>12</w:t>
      </w:r>
      <w:r w:rsidR="007D4C86" w:rsidRPr="006F634F">
        <w:rPr>
          <w:rFonts w:ascii="Verdana" w:hAnsi="Verdana"/>
          <w:sz w:val="18"/>
          <w:szCs w:val="18"/>
        </w:rPr>
        <w:t xml:space="preserve"> </w:t>
      </w:r>
      <w:r w:rsidRPr="006F634F">
        <w:rPr>
          <w:rFonts w:ascii="Verdana" w:hAnsi="Verdana"/>
          <w:sz w:val="18"/>
          <w:szCs w:val="18"/>
        </w:rPr>
        <w:t>December 2023</w:t>
      </w:r>
    </w:p>
    <w:p w14:paraId="599D5141" w14:textId="77777777" w:rsidR="004255A9" w:rsidRPr="004255A9" w:rsidRDefault="004255A9" w:rsidP="007D4C86">
      <w:pPr>
        <w:spacing w:line="240" w:lineRule="auto"/>
        <w:jc w:val="center"/>
        <w:rPr>
          <w:rFonts w:ascii="Verdana" w:hAnsi="Verdana"/>
          <w:sz w:val="18"/>
          <w:szCs w:val="18"/>
        </w:rPr>
      </w:pPr>
    </w:p>
    <w:p w14:paraId="29C003CF" w14:textId="648A0E7C" w:rsidR="004255A9" w:rsidRDefault="004255A9" w:rsidP="00185CA0">
      <w:pPr>
        <w:pStyle w:val="NormalWeb"/>
        <w:jc w:val="both"/>
        <w:rPr>
          <w:rFonts w:ascii="Verdana" w:hAnsi="Verdana"/>
          <w:i/>
          <w:iCs/>
          <w:sz w:val="18"/>
          <w:szCs w:val="18"/>
          <w:lang w:val="en-US"/>
        </w:rPr>
      </w:pPr>
      <w:r w:rsidRPr="004255A9">
        <w:rPr>
          <w:rFonts w:ascii="Verdana" w:hAnsi="Verdana"/>
          <w:i/>
          <w:iCs/>
          <w:sz w:val="18"/>
          <w:szCs w:val="18"/>
        </w:rPr>
        <w:t>Composed of 60 eminent judges and lawyers from all regions of the world, the</w:t>
      </w:r>
      <w:r w:rsidRPr="004255A9">
        <w:rPr>
          <w:rFonts w:ascii="Verdana" w:hAnsi="Verdana"/>
          <w:i/>
          <w:iCs/>
          <w:sz w:val="18"/>
          <w:szCs w:val="18"/>
          <w:lang w:val="en-US"/>
        </w:rPr>
        <w:t xml:space="preserve"> </w:t>
      </w:r>
      <w:r w:rsidRPr="004255A9">
        <w:rPr>
          <w:rFonts w:ascii="Verdana" w:hAnsi="Verdana"/>
          <w:i/>
          <w:iCs/>
          <w:sz w:val="18"/>
          <w:szCs w:val="18"/>
        </w:rPr>
        <w:t>International Commission of Jurists promotes and protects human rights through the</w:t>
      </w:r>
      <w:r w:rsidRPr="004255A9">
        <w:rPr>
          <w:rFonts w:ascii="Verdana" w:hAnsi="Verdana"/>
          <w:i/>
          <w:iCs/>
          <w:sz w:val="18"/>
          <w:szCs w:val="18"/>
          <w:lang w:val="en-US"/>
        </w:rPr>
        <w:t xml:space="preserve"> </w:t>
      </w:r>
      <w:r w:rsidRPr="004255A9">
        <w:rPr>
          <w:rFonts w:ascii="Verdana" w:hAnsi="Verdana"/>
          <w:i/>
          <w:iCs/>
          <w:sz w:val="18"/>
          <w:szCs w:val="18"/>
        </w:rPr>
        <w:t xml:space="preserve">Rule of Law, by using its unique legal expertise to develop and strengthen national and international justice systems. Established in 1952, in consultative status with the Economic and Social Council in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w:t>
      </w:r>
      <w:r w:rsidR="00D7310B" w:rsidRPr="004255A9">
        <w:rPr>
          <w:rFonts w:ascii="Verdana" w:hAnsi="Verdana"/>
          <w:i/>
          <w:iCs/>
          <w:sz w:val="18"/>
          <w:szCs w:val="18"/>
        </w:rPr>
        <w:t>profession</w:t>
      </w:r>
      <w:r>
        <w:rPr>
          <w:rFonts w:ascii="Verdana" w:hAnsi="Verdana"/>
          <w:i/>
          <w:iCs/>
          <w:sz w:val="18"/>
          <w:szCs w:val="18"/>
          <w:lang w:val="en-US"/>
        </w:rPr>
        <w:t>.</w:t>
      </w:r>
    </w:p>
    <w:p w14:paraId="019D3417" w14:textId="77777777" w:rsidR="004255A9" w:rsidRDefault="004255A9" w:rsidP="00185CA0">
      <w:pPr>
        <w:pStyle w:val="NormalWeb"/>
        <w:jc w:val="both"/>
        <w:rPr>
          <w:rFonts w:ascii="Verdana" w:hAnsi="Verdana"/>
          <w:i/>
          <w:iCs/>
          <w:sz w:val="18"/>
          <w:szCs w:val="18"/>
          <w:lang w:val="en-US"/>
        </w:rPr>
      </w:pPr>
    </w:p>
    <w:p w14:paraId="19D407F9" w14:textId="77777777" w:rsidR="004255A9" w:rsidRDefault="004255A9" w:rsidP="00185CA0">
      <w:pPr>
        <w:pStyle w:val="NormalWeb"/>
        <w:jc w:val="both"/>
        <w:rPr>
          <w:rFonts w:ascii="Verdana" w:hAnsi="Verdana"/>
          <w:i/>
          <w:iCs/>
          <w:sz w:val="18"/>
          <w:szCs w:val="18"/>
          <w:lang w:val="en-US"/>
        </w:rPr>
      </w:pPr>
    </w:p>
    <w:p w14:paraId="12D24387" w14:textId="77777777" w:rsidR="00186814" w:rsidRDefault="00186814" w:rsidP="00185CA0">
      <w:pPr>
        <w:pStyle w:val="NormalWeb"/>
        <w:jc w:val="both"/>
        <w:rPr>
          <w:rFonts w:ascii="Verdana" w:hAnsi="Verdana"/>
          <w:i/>
          <w:iCs/>
          <w:sz w:val="18"/>
          <w:szCs w:val="18"/>
          <w:lang w:val="en-US"/>
        </w:rPr>
      </w:pPr>
    </w:p>
    <w:p w14:paraId="2775594D" w14:textId="77777777" w:rsidR="00186814" w:rsidRDefault="00186814" w:rsidP="00185CA0">
      <w:pPr>
        <w:pStyle w:val="NormalWeb"/>
        <w:jc w:val="both"/>
        <w:rPr>
          <w:rFonts w:ascii="Verdana" w:hAnsi="Verdana"/>
          <w:i/>
          <w:iCs/>
          <w:sz w:val="18"/>
          <w:szCs w:val="18"/>
          <w:lang w:val="en-US"/>
        </w:rPr>
      </w:pPr>
    </w:p>
    <w:p w14:paraId="5BEFAED8" w14:textId="77777777" w:rsidR="00186814" w:rsidRDefault="00186814" w:rsidP="00185CA0">
      <w:pPr>
        <w:pStyle w:val="NormalWeb"/>
        <w:jc w:val="both"/>
        <w:rPr>
          <w:rFonts w:ascii="Verdana" w:hAnsi="Verdana"/>
          <w:i/>
          <w:iCs/>
          <w:sz w:val="18"/>
          <w:szCs w:val="18"/>
          <w:lang w:val="en-US"/>
        </w:rPr>
      </w:pPr>
    </w:p>
    <w:p w14:paraId="15138670" w14:textId="77777777" w:rsidR="00186814" w:rsidRDefault="00186814" w:rsidP="00185CA0">
      <w:pPr>
        <w:pStyle w:val="NormalWeb"/>
        <w:jc w:val="both"/>
        <w:rPr>
          <w:rFonts w:ascii="Verdana" w:hAnsi="Verdana"/>
          <w:i/>
          <w:iCs/>
          <w:sz w:val="18"/>
          <w:szCs w:val="18"/>
          <w:lang w:val="en-US"/>
        </w:rPr>
      </w:pPr>
    </w:p>
    <w:p w14:paraId="4708ACB2" w14:textId="77777777" w:rsidR="00186814" w:rsidRDefault="00186814" w:rsidP="00185CA0">
      <w:pPr>
        <w:pStyle w:val="NormalWeb"/>
        <w:jc w:val="both"/>
        <w:rPr>
          <w:rFonts w:ascii="Verdana" w:hAnsi="Verdana"/>
          <w:i/>
          <w:iCs/>
          <w:sz w:val="18"/>
          <w:szCs w:val="18"/>
          <w:lang w:val="en-US"/>
        </w:rPr>
      </w:pPr>
    </w:p>
    <w:p w14:paraId="6BDF713F" w14:textId="0DC35657" w:rsidR="004255A9" w:rsidRPr="004255A9" w:rsidRDefault="004255A9" w:rsidP="007D4C86">
      <w:pPr>
        <w:pStyle w:val="NormalWeb"/>
        <w:contextualSpacing/>
        <w:jc w:val="both"/>
        <w:rPr>
          <w:rFonts w:ascii="Verdana" w:hAnsi="Verdana"/>
          <w:i/>
          <w:iCs/>
          <w:sz w:val="18"/>
          <w:szCs w:val="18"/>
        </w:rPr>
      </w:pPr>
      <w:r>
        <w:rPr>
          <w:rFonts w:ascii="Verdana" w:hAnsi="Verdana"/>
          <w:i/>
          <w:iCs/>
          <w:sz w:val="20"/>
          <w:szCs w:val="20"/>
        </w:rPr>
        <w:t xml:space="preserve"> </w:t>
      </w:r>
    </w:p>
    <w:p w14:paraId="48E4D8C8" w14:textId="485E86CC" w:rsidR="004255A9" w:rsidRPr="007D4C86" w:rsidRDefault="004255A9" w:rsidP="00E5742F">
      <w:pPr>
        <w:pStyle w:val="NormalWeb"/>
        <w:contextualSpacing/>
        <w:jc w:val="center"/>
        <w:rPr>
          <w:rFonts w:ascii="Verdana" w:hAnsi="Verdana"/>
          <w:sz w:val="19"/>
          <w:szCs w:val="19"/>
        </w:rPr>
      </w:pPr>
      <w:r w:rsidRPr="007D4C86">
        <w:rPr>
          <w:rFonts w:ascii="Verdana" w:hAnsi="Verdana"/>
          <w:sz w:val="19"/>
          <w:szCs w:val="19"/>
        </w:rPr>
        <w:t>International Commission of Jurists</w:t>
      </w:r>
      <w:r w:rsidRPr="007D4C86">
        <w:rPr>
          <w:rFonts w:ascii="Verdana" w:hAnsi="Verdana"/>
          <w:sz w:val="19"/>
          <w:szCs w:val="19"/>
        </w:rPr>
        <w:br/>
      </w:r>
      <w:r w:rsidR="17BE0787" w:rsidRPr="007D4C86">
        <w:rPr>
          <w:rFonts w:ascii="Verdana" w:eastAsiaTheme="minorEastAsia" w:hAnsi="Verdana" w:cstheme="minorBidi"/>
          <w:sz w:val="19"/>
          <w:szCs w:val="19"/>
        </w:rPr>
        <w:t xml:space="preserve"> P.O. Box 1740</w:t>
      </w:r>
      <w:r w:rsidRPr="007D4C86">
        <w:rPr>
          <w:rFonts w:ascii="Verdana" w:hAnsi="Verdana"/>
          <w:sz w:val="19"/>
          <w:szCs w:val="19"/>
        </w:rPr>
        <w:t xml:space="preserve">, Rue des </w:t>
      </w:r>
      <w:proofErr w:type="spellStart"/>
      <w:r w:rsidRPr="007D4C86">
        <w:rPr>
          <w:rFonts w:ascii="Verdana" w:hAnsi="Verdana"/>
          <w:sz w:val="19"/>
          <w:szCs w:val="19"/>
        </w:rPr>
        <w:t>B</w:t>
      </w:r>
      <w:r w:rsidR="4027EE28" w:rsidRPr="007D4C86">
        <w:rPr>
          <w:rFonts w:ascii="Verdana" w:hAnsi="Verdana"/>
          <w:sz w:val="19"/>
          <w:szCs w:val="19"/>
        </w:rPr>
        <w:t>uis</w:t>
      </w:r>
      <w:proofErr w:type="spellEnd"/>
      <w:r w:rsidRPr="007D4C86">
        <w:rPr>
          <w:rFonts w:ascii="Verdana" w:hAnsi="Verdana"/>
          <w:sz w:val="19"/>
          <w:szCs w:val="19"/>
        </w:rPr>
        <w:t>, 3,</w:t>
      </w:r>
      <w:r w:rsidRPr="007D4C86">
        <w:rPr>
          <w:rFonts w:ascii="Verdana" w:hAnsi="Verdana"/>
          <w:sz w:val="19"/>
          <w:szCs w:val="19"/>
        </w:rPr>
        <w:br/>
      </w:r>
      <w:r w:rsidR="28C7EE44" w:rsidRPr="007D4C86">
        <w:rPr>
          <w:rFonts w:ascii="Verdana" w:eastAsiaTheme="minorEastAsia" w:hAnsi="Verdana" w:cstheme="minorBidi"/>
          <w:sz w:val="19"/>
          <w:szCs w:val="19"/>
        </w:rPr>
        <w:t xml:space="preserve">1211 Geneva 1, Switzerland </w:t>
      </w:r>
      <w:r w:rsidRPr="007D4C86">
        <w:rPr>
          <w:rFonts w:ascii="Verdana" w:eastAsia="MS Mincho" w:hAnsi="Verdana" w:cs="MS Mincho"/>
          <w:sz w:val="19"/>
          <w:szCs w:val="19"/>
        </w:rPr>
        <w:t> </w:t>
      </w:r>
      <w:r w:rsidRPr="007D4C86">
        <w:rPr>
          <w:rFonts w:ascii="Verdana" w:hAnsi="Verdana"/>
          <w:sz w:val="19"/>
          <w:szCs w:val="19"/>
        </w:rPr>
        <w:br/>
        <w:t xml:space="preserve">Tel: +41(0) 22 979 3800 – Fax: +41(0) 22 979 3801 – </w:t>
      </w:r>
    </w:p>
    <w:p w14:paraId="76085DA4" w14:textId="00586ED8" w:rsidR="004255A9" w:rsidRPr="007D4C86" w:rsidRDefault="004255A9" w:rsidP="00E5742F">
      <w:pPr>
        <w:pStyle w:val="NormalWeb"/>
        <w:contextualSpacing/>
        <w:jc w:val="center"/>
        <w:rPr>
          <w:rFonts w:ascii="Verdana" w:hAnsi="Verdana"/>
          <w:sz w:val="19"/>
          <w:szCs w:val="19"/>
        </w:rPr>
      </w:pPr>
      <w:r w:rsidRPr="007D4C86">
        <w:rPr>
          <w:rFonts w:ascii="Verdana" w:hAnsi="Verdana"/>
          <w:sz w:val="19"/>
          <w:szCs w:val="19"/>
        </w:rPr>
        <w:t xml:space="preserve">Website: http://www.icj.org - E-mail: </w:t>
      </w:r>
      <w:r w:rsidR="006F634F">
        <w:rPr>
          <w:rFonts w:ascii="Verdana" w:hAnsi="Verdana"/>
          <w:color w:val="0260BF"/>
          <w:sz w:val="19"/>
          <w:szCs w:val="19"/>
        </w:rPr>
        <w:t>info</w:t>
      </w:r>
      <w:r w:rsidRPr="007D4C86">
        <w:rPr>
          <w:rFonts w:ascii="Verdana" w:hAnsi="Verdana"/>
          <w:color w:val="0260BF"/>
          <w:sz w:val="19"/>
          <w:szCs w:val="19"/>
        </w:rPr>
        <w:t>@icj.org</w:t>
      </w:r>
    </w:p>
    <w:p w14:paraId="35CA96AD" w14:textId="1C07B84D" w:rsidR="004255A9" w:rsidRPr="002C0ECF" w:rsidRDefault="004255A9" w:rsidP="00B30D6D">
      <w:pPr>
        <w:pStyle w:val="Default"/>
        <w:spacing w:line="240" w:lineRule="auto"/>
        <w:jc w:val="center"/>
        <w:rPr>
          <w:rFonts w:ascii="Verdana" w:eastAsia="Verdana" w:hAnsi="Verdana" w:cs="Verdana"/>
          <w:color w:val="2E74B5" w:themeColor="accent5" w:themeShade="BF"/>
          <w:sz w:val="18"/>
          <w:szCs w:val="18"/>
        </w:rPr>
      </w:pPr>
      <w:r w:rsidRPr="002C0ECF">
        <w:rPr>
          <w:rFonts w:ascii="Verdana" w:eastAsia="Verdana" w:hAnsi="Verdana" w:cs="Verdana"/>
          <w:color w:val="2E74B5" w:themeColor="accent5" w:themeShade="BF"/>
          <w:sz w:val="18"/>
          <w:szCs w:val="18"/>
        </w:rPr>
        <w:lastRenderedPageBreak/>
        <w:t xml:space="preserve">Contents </w:t>
      </w:r>
    </w:p>
    <w:p w14:paraId="1666334D" w14:textId="45695C4E" w:rsidR="004255A9" w:rsidRPr="00185CA0" w:rsidRDefault="004255A9" w:rsidP="00B30D6D">
      <w:pPr>
        <w:pStyle w:val="Default"/>
        <w:spacing w:line="240" w:lineRule="auto"/>
        <w:rPr>
          <w:rFonts w:ascii="Verdana" w:eastAsia="Verdana" w:hAnsi="Verdana" w:cs="Verdana"/>
          <w:sz w:val="18"/>
          <w:szCs w:val="18"/>
        </w:rPr>
      </w:pPr>
    </w:p>
    <w:p w14:paraId="40D3A4FA" w14:textId="7606F3D9" w:rsidR="004255A9" w:rsidRPr="00185CA0" w:rsidRDefault="004255A9" w:rsidP="00B30D6D">
      <w:pPr>
        <w:pStyle w:val="Default"/>
        <w:numPr>
          <w:ilvl w:val="0"/>
          <w:numId w:val="5"/>
        </w:numPr>
        <w:spacing w:line="240" w:lineRule="auto"/>
        <w:rPr>
          <w:rFonts w:ascii="Verdana" w:eastAsia="Verdana" w:hAnsi="Verdana" w:cs="Verdana"/>
          <w:sz w:val="18"/>
          <w:szCs w:val="18"/>
        </w:rPr>
      </w:pPr>
      <w:r w:rsidRPr="00185CA0">
        <w:rPr>
          <w:rFonts w:ascii="Verdana" w:eastAsia="Verdana" w:hAnsi="Verdana" w:cs="Verdana"/>
          <w:sz w:val="18"/>
          <w:szCs w:val="18"/>
        </w:rPr>
        <w:t>Introduction</w:t>
      </w:r>
      <w:r w:rsidR="00D45EA0">
        <w:rPr>
          <w:rFonts w:ascii="Verdana" w:eastAsia="Verdana" w:hAnsi="Verdana" w:cs="Verdana"/>
          <w:sz w:val="18"/>
          <w:szCs w:val="18"/>
        </w:rPr>
        <w:t>………………………………………………………………………………………………………………………3</w:t>
      </w:r>
    </w:p>
    <w:p w14:paraId="6997DFDA" w14:textId="1DD78F6E" w:rsidR="004255A9" w:rsidRPr="00185CA0" w:rsidRDefault="004255A9" w:rsidP="00B30D6D">
      <w:pPr>
        <w:pStyle w:val="Default"/>
        <w:numPr>
          <w:ilvl w:val="0"/>
          <w:numId w:val="5"/>
        </w:numPr>
        <w:spacing w:line="240" w:lineRule="auto"/>
        <w:rPr>
          <w:rFonts w:ascii="Verdana" w:eastAsia="Verdana" w:hAnsi="Verdana" w:cs="Verdana"/>
          <w:sz w:val="18"/>
          <w:szCs w:val="18"/>
        </w:rPr>
      </w:pPr>
      <w:r w:rsidRPr="00185CA0">
        <w:rPr>
          <w:rFonts w:ascii="Verdana" w:eastAsia="Verdana" w:hAnsi="Verdana" w:cs="Verdana"/>
          <w:sz w:val="18"/>
          <w:szCs w:val="18"/>
        </w:rPr>
        <w:t>The Constitutional Court</w:t>
      </w:r>
      <w:r w:rsidR="00D45EA0">
        <w:rPr>
          <w:rFonts w:ascii="Verdana" w:eastAsia="Verdana" w:hAnsi="Verdana" w:cs="Verdana"/>
          <w:sz w:val="18"/>
          <w:szCs w:val="18"/>
        </w:rPr>
        <w:t>…………………………………………………………………………………………………</w:t>
      </w:r>
      <w:r w:rsidR="006032C4">
        <w:rPr>
          <w:rFonts w:ascii="Verdana" w:eastAsia="Verdana" w:hAnsi="Verdana" w:cs="Verdana"/>
          <w:sz w:val="18"/>
          <w:szCs w:val="18"/>
        </w:rPr>
        <w:t>.</w:t>
      </w:r>
      <w:r w:rsidR="00D45EA0">
        <w:rPr>
          <w:rFonts w:ascii="Verdana" w:eastAsia="Verdana" w:hAnsi="Verdana" w:cs="Verdana"/>
          <w:sz w:val="18"/>
          <w:szCs w:val="18"/>
        </w:rPr>
        <w:t>3</w:t>
      </w:r>
    </w:p>
    <w:p w14:paraId="170CB75C" w14:textId="0AAEBF43" w:rsidR="004255A9" w:rsidRPr="00185CA0" w:rsidRDefault="04937EFF" w:rsidP="00B30D6D">
      <w:pPr>
        <w:pStyle w:val="Default"/>
        <w:numPr>
          <w:ilvl w:val="0"/>
          <w:numId w:val="5"/>
        </w:numPr>
        <w:spacing w:line="240" w:lineRule="auto"/>
        <w:rPr>
          <w:rFonts w:ascii="Verdana" w:eastAsia="Verdana" w:hAnsi="Verdana" w:cs="Verdana"/>
          <w:sz w:val="18"/>
          <w:szCs w:val="18"/>
        </w:rPr>
      </w:pPr>
      <w:r w:rsidRPr="00B30D6D">
        <w:rPr>
          <w:rFonts w:ascii="Verdana" w:eastAsia="Verdana" w:hAnsi="Verdana" w:cs="Verdana"/>
          <w:sz w:val="18"/>
          <w:szCs w:val="18"/>
        </w:rPr>
        <w:t>The abuse of counter-terrorism legislation to arbitrarily prosecute perceived political dissidents, including members of the judiciary</w:t>
      </w:r>
      <w:r w:rsidR="00D45EA0">
        <w:rPr>
          <w:rFonts w:ascii="Verdana" w:eastAsia="Verdana" w:hAnsi="Verdana" w:cs="Verdana"/>
          <w:sz w:val="18"/>
          <w:szCs w:val="18"/>
        </w:rPr>
        <w:t>………………………………………………………………</w:t>
      </w:r>
      <w:proofErr w:type="gramStart"/>
      <w:r w:rsidR="00E755CE">
        <w:rPr>
          <w:rFonts w:ascii="Verdana" w:eastAsia="Verdana" w:hAnsi="Verdana" w:cs="Verdana"/>
          <w:sz w:val="18"/>
          <w:szCs w:val="18"/>
        </w:rPr>
        <w:t>7</w:t>
      </w:r>
      <w:proofErr w:type="gramEnd"/>
    </w:p>
    <w:p w14:paraId="186353A8" w14:textId="77777777" w:rsidR="00AF35D6" w:rsidRDefault="00AF35D6" w:rsidP="00B30D6D">
      <w:pPr>
        <w:pStyle w:val="Default"/>
        <w:spacing w:line="240" w:lineRule="auto"/>
        <w:rPr>
          <w:rFonts w:ascii="Verdana" w:eastAsia="Verdana" w:hAnsi="Verdana" w:cs="Verdana"/>
          <w:sz w:val="18"/>
          <w:szCs w:val="18"/>
        </w:rPr>
      </w:pPr>
    </w:p>
    <w:p w14:paraId="75E4DC1D" w14:textId="77777777" w:rsidR="004255A9" w:rsidRPr="00241738" w:rsidRDefault="004255A9" w:rsidP="00B30D6D">
      <w:pPr>
        <w:pStyle w:val="Default"/>
        <w:spacing w:line="240" w:lineRule="auto"/>
        <w:rPr>
          <w:rFonts w:ascii="Verdana" w:eastAsia="Verdana" w:hAnsi="Verdana" w:cs="Verdana"/>
          <w:sz w:val="18"/>
          <w:szCs w:val="18"/>
        </w:rPr>
      </w:pPr>
    </w:p>
    <w:p w14:paraId="253C5C4D" w14:textId="77777777" w:rsidR="004255A9" w:rsidRPr="00241738" w:rsidRDefault="004255A9" w:rsidP="00B30D6D">
      <w:pPr>
        <w:pStyle w:val="Default"/>
        <w:spacing w:line="240" w:lineRule="auto"/>
        <w:rPr>
          <w:rFonts w:ascii="Verdana" w:eastAsia="Verdana" w:hAnsi="Verdana" w:cs="Verdana"/>
          <w:sz w:val="18"/>
          <w:szCs w:val="18"/>
        </w:rPr>
      </w:pPr>
    </w:p>
    <w:p w14:paraId="7D5006AD" w14:textId="77777777" w:rsidR="004255A9" w:rsidRPr="00241738" w:rsidRDefault="004255A9" w:rsidP="00B30D6D">
      <w:pPr>
        <w:pStyle w:val="Default"/>
        <w:spacing w:line="240" w:lineRule="auto"/>
        <w:rPr>
          <w:rFonts w:ascii="Verdana" w:eastAsia="Verdana" w:hAnsi="Verdana" w:cs="Verdana"/>
          <w:sz w:val="18"/>
          <w:szCs w:val="18"/>
        </w:rPr>
      </w:pPr>
    </w:p>
    <w:p w14:paraId="32DCE54D" w14:textId="77777777" w:rsidR="004255A9" w:rsidRPr="00241738" w:rsidRDefault="004255A9" w:rsidP="00B30D6D">
      <w:pPr>
        <w:pStyle w:val="Default"/>
        <w:spacing w:line="240" w:lineRule="auto"/>
        <w:rPr>
          <w:rFonts w:ascii="Verdana" w:eastAsia="Verdana" w:hAnsi="Verdana" w:cs="Verdana"/>
          <w:sz w:val="18"/>
          <w:szCs w:val="18"/>
        </w:rPr>
      </w:pPr>
    </w:p>
    <w:p w14:paraId="6D1627F5" w14:textId="77777777" w:rsidR="004255A9" w:rsidRPr="00241738" w:rsidRDefault="004255A9" w:rsidP="00B30D6D">
      <w:pPr>
        <w:pStyle w:val="Default"/>
        <w:spacing w:line="240" w:lineRule="auto"/>
        <w:rPr>
          <w:rFonts w:ascii="Verdana" w:eastAsia="Verdana" w:hAnsi="Verdana" w:cs="Verdana"/>
          <w:sz w:val="18"/>
          <w:szCs w:val="18"/>
        </w:rPr>
      </w:pPr>
    </w:p>
    <w:p w14:paraId="73FD0559" w14:textId="77777777" w:rsidR="004255A9" w:rsidRPr="00241738" w:rsidRDefault="004255A9" w:rsidP="00B30D6D">
      <w:pPr>
        <w:pStyle w:val="Default"/>
        <w:spacing w:line="240" w:lineRule="auto"/>
        <w:rPr>
          <w:rFonts w:ascii="Verdana" w:eastAsia="Verdana" w:hAnsi="Verdana" w:cs="Verdana"/>
          <w:sz w:val="18"/>
          <w:szCs w:val="18"/>
        </w:rPr>
      </w:pPr>
    </w:p>
    <w:p w14:paraId="7401B943" w14:textId="77777777" w:rsidR="004255A9" w:rsidRDefault="004255A9" w:rsidP="00B30D6D">
      <w:pPr>
        <w:pStyle w:val="Default"/>
        <w:spacing w:line="240" w:lineRule="auto"/>
        <w:rPr>
          <w:rFonts w:ascii="Verdana" w:eastAsia="Verdana" w:hAnsi="Verdana" w:cs="Verdana"/>
          <w:sz w:val="18"/>
          <w:szCs w:val="18"/>
        </w:rPr>
      </w:pPr>
    </w:p>
    <w:p w14:paraId="388D4A82" w14:textId="77777777" w:rsidR="00241738" w:rsidRPr="00241738" w:rsidRDefault="00241738" w:rsidP="00B30D6D">
      <w:pPr>
        <w:pStyle w:val="Default"/>
        <w:spacing w:line="240" w:lineRule="auto"/>
        <w:rPr>
          <w:rFonts w:ascii="Verdana" w:eastAsia="Verdana" w:hAnsi="Verdana" w:cs="Verdana"/>
          <w:sz w:val="18"/>
          <w:szCs w:val="18"/>
        </w:rPr>
      </w:pPr>
    </w:p>
    <w:p w14:paraId="3BCC98A2" w14:textId="77777777" w:rsidR="004255A9" w:rsidRPr="00241738" w:rsidRDefault="004255A9" w:rsidP="00B30D6D">
      <w:pPr>
        <w:pStyle w:val="Default"/>
        <w:spacing w:line="240" w:lineRule="auto"/>
        <w:rPr>
          <w:rFonts w:ascii="Verdana" w:eastAsia="Verdana" w:hAnsi="Verdana" w:cs="Verdana"/>
          <w:sz w:val="18"/>
          <w:szCs w:val="18"/>
        </w:rPr>
      </w:pPr>
    </w:p>
    <w:p w14:paraId="5EDE225D" w14:textId="77777777" w:rsidR="004255A9" w:rsidRPr="00241738" w:rsidRDefault="004255A9" w:rsidP="00B30D6D">
      <w:pPr>
        <w:pStyle w:val="Default"/>
        <w:spacing w:line="240" w:lineRule="auto"/>
        <w:rPr>
          <w:rFonts w:ascii="Verdana" w:eastAsia="Verdana" w:hAnsi="Verdana" w:cs="Verdana"/>
          <w:sz w:val="18"/>
          <w:szCs w:val="18"/>
        </w:rPr>
      </w:pPr>
    </w:p>
    <w:p w14:paraId="47DF3B4C" w14:textId="77777777" w:rsidR="004255A9" w:rsidRPr="00241738" w:rsidRDefault="004255A9" w:rsidP="00B30D6D">
      <w:pPr>
        <w:pStyle w:val="Default"/>
        <w:spacing w:line="240" w:lineRule="auto"/>
        <w:rPr>
          <w:rFonts w:ascii="Verdana" w:eastAsia="Verdana" w:hAnsi="Verdana" w:cs="Verdana"/>
          <w:sz w:val="18"/>
          <w:szCs w:val="18"/>
        </w:rPr>
      </w:pPr>
    </w:p>
    <w:p w14:paraId="4C6A197C" w14:textId="77777777" w:rsidR="004255A9" w:rsidRPr="00241738" w:rsidRDefault="004255A9" w:rsidP="00B30D6D">
      <w:pPr>
        <w:pStyle w:val="Default"/>
        <w:spacing w:line="240" w:lineRule="auto"/>
        <w:rPr>
          <w:rFonts w:ascii="Verdana" w:eastAsia="Verdana" w:hAnsi="Verdana" w:cs="Verdana"/>
          <w:sz w:val="18"/>
          <w:szCs w:val="18"/>
        </w:rPr>
      </w:pPr>
    </w:p>
    <w:p w14:paraId="1C7698B5" w14:textId="77777777" w:rsidR="004255A9" w:rsidRPr="00241738" w:rsidRDefault="004255A9" w:rsidP="00B30D6D">
      <w:pPr>
        <w:pStyle w:val="Default"/>
        <w:spacing w:line="240" w:lineRule="auto"/>
        <w:rPr>
          <w:rFonts w:ascii="Verdana" w:eastAsia="Verdana" w:hAnsi="Verdana" w:cs="Verdana"/>
          <w:sz w:val="18"/>
          <w:szCs w:val="18"/>
        </w:rPr>
      </w:pPr>
    </w:p>
    <w:p w14:paraId="314BA712" w14:textId="77777777" w:rsidR="004255A9" w:rsidRPr="00241738" w:rsidRDefault="004255A9" w:rsidP="00B30D6D">
      <w:pPr>
        <w:pStyle w:val="Default"/>
        <w:spacing w:line="240" w:lineRule="auto"/>
        <w:rPr>
          <w:rFonts w:ascii="Verdana" w:eastAsia="Verdana" w:hAnsi="Verdana" w:cs="Verdana"/>
          <w:sz w:val="18"/>
          <w:szCs w:val="18"/>
        </w:rPr>
      </w:pPr>
    </w:p>
    <w:p w14:paraId="66F80D5F" w14:textId="77777777" w:rsidR="004255A9" w:rsidRPr="00241738" w:rsidRDefault="004255A9" w:rsidP="00B30D6D">
      <w:pPr>
        <w:pStyle w:val="Default"/>
        <w:spacing w:line="240" w:lineRule="auto"/>
        <w:rPr>
          <w:rFonts w:ascii="Verdana" w:eastAsia="Verdana" w:hAnsi="Verdana" w:cs="Verdana"/>
          <w:color w:val="4472C4" w:themeColor="accent1"/>
          <w:sz w:val="18"/>
          <w:szCs w:val="18"/>
        </w:rPr>
      </w:pPr>
    </w:p>
    <w:p w14:paraId="2BBAC5E1" w14:textId="77777777" w:rsidR="004255A9" w:rsidRPr="00241738" w:rsidRDefault="004255A9" w:rsidP="00B30D6D">
      <w:pPr>
        <w:pStyle w:val="Default"/>
        <w:spacing w:line="240" w:lineRule="auto"/>
        <w:rPr>
          <w:rFonts w:ascii="Verdana" w:eastAsia="Verdana" w:hAnsi="Verdana" w:cs="Verdana"/>
          <w:sz w:val="18"/>
          <w:szCs w:val="18"/>
        </w:rPr>
      </w:pPr>
    </w:p>
    <w:p w14:paraId="1636B5A2" w14:textId="77777777" w:rsidR="004255A9" w:rsidRPr="00241738" w:rsidRDefault="004255A9" w:rsidP="00B30D6D">
      <w:pPr>
        <w:pStyle w:val="Default"/>
        <w:spacing w:line="240" w:lineRule="auto"/>
        <w:rPr>
          <w:rFonts w:ascii="Verdana" w:eastAsia="Verdana" w:hAnsi="Verdana" w:cs="Verdana"/>
          <w:sz w:val="18"/>
          <w:szCs w:val="18"/>
        </w:rPr>
      </w:pPr>
    </w:p>
    <w:p w14:paraId="7D749D78" w14:textId="77777777" w:rsidR="004255A9" w:rsidRPr="00241738" w:rsidRDefault="004255A9" w:rsidP="00B30D6D">
      <w:pPr>
        <w:pStyle w:val="Default"/>
        <w:spacing w:line="240" w:lineRule="auto"/>
        <w:rPr>
          <w:rFonts w:ascii="Verdana" w:eastAsia="Verdana" w:hAnsi="Verdana" w:cs="Verdana"/>
          <w:sz w:val="18"/>
          <w:szCs w:val="18"/>
        </w:rPr>
      </w:pPr>
    </w:p>
    <w:p w14:paraId="4B7448DB" w14:textId="77777777" w:rsidR="004255A9" w:rsidRPr="00241738" w:rsidRDefault="004255A9" w:rsidP="00B30D6D">
      <w:pPr>
        <w:pStyle w:val="Default"/>
        <w:spacing w:line="240" w:lineRule="auto"/>
        <w:rPr>
          <w:rFonts w:ascii="Verdana" w:eastAsia="Verdana" w:hAnsi="Verdana" w:cs="Verdana"/>
          <w:sz w:val="18"/>
          <w:szCs w:val="18"/>
        </w:rPr>
      </w:pPr>
    </w:p>
    <w:p w14:paraId="0FE054DF" w14:textId="77777777" w:rsidR="004255A9" w:rsidRPr="00241738" w:rsidRDefault="004255A9" w:rsidP="00B30D6D">
      <w:pPr>
        <w:pStyle w:val="Default"/>
        <w:spacing w:line="240" w:lineRule="auto"/>
        <w:rPr>
          <w:rFonts w:ascii="Verdana" w:eastAsia="Verdana" w:hAnsi="Verdana" w:cs="Verdana"/>
          <w:sz w:val="18"/>
          <w:szCs w:val="18"/>
        </w:rPr>
      </w:pPr>
    </w:p>
    <w:p w14:paraId="0D48E6AB" w14:textId="77777777" w:rsidR="00D67384" w:rsidRPr="00241738" w:rsidRDefault="00D67384" w:rsidP="00B30D6D">
      <w:pPr>
        <w:pStyle w:val="Default"/>
        <w:spacing w:line="240" w:lineRule="auto"/>
        <w:rPr>
          <w:rFonts w:ascii="Verdana" w:eastAsia="Verdana" w:hAnsi="Verdana" w:cs="Verdana"/>
          <w:sz w:val="18"/>
          <w:szCs w:val="18"/>
        </w:rPr>
      </w:pPr>
    </w:p>
    <w:p w14:paraId="13D3AE96" w14:textId="77777777" w:rsidR="004255A9" w:rsidRDefault="004255A9" w:rsidP="00185CA0">
      <w:pPr>
        <w:pStyle w:val="Default"/>
        <w:spacing w:line="240" w:lineRule="auto"/>
        <w:rPr>
          <w:rFonts w:ascii="Verdana" w:eastAsia="Verdana" w:hAnsi="Verdana" w:cs="Verdana"/>
          <w:sz w:val="18"/>
          <w:szCs w:val="18"/>
        </w:rPr>
      </w:pPr>
    </w:p>
    <w:p w14:paraId="2B6A5D04" w14:textId="77777777" w:rsidR="00185CA0" w:rsidRDefault="00185CA0" w:rsidP="00185CA0">
      <w:pPr>
        <w:pStyle w:val="Default"/>
        <w:spacing w:line="240" w:lineRule="auto"/>
        <w:rPr>
          <w:rFonts w:ascii="Verdana" w:eastAsia="Verdana" w:hAnsi="Verdana" w:cs="Verdana"/>
          <w:sz w:val="18"/>
          <w:szCs w:val="18"/>
        </w:rPr>
      </w:pPr>
    </w:p>
    <w:p w14:paraId="418048B2" w14:textId="77777777" w:rsidR="00185CA0" w:rsidRDefault="00185CA0" w:rsidP="00B30D6D">
      <w:pPr>
        <w:pStyle w:val="Default"/>
        <w:spacing w:line="240" w:lineRule="auto"/>
        <w:rPr>
          <w:rFonts w:ascii="Verdana" w:eastAsia="Verdana" w:hAnsi="Verdana" w:cs="Verdana"/>
          <w:sz w:val="18"/>
          <w:szCs w:val="18"/>
        </w:rPr>
      </w:pPr>
    </w:p>
    <w:p w14:paraId="5E1BCB9E" w14:textId="77777777" w:rsidR="00D45EA0" w:rsidRDefault="00D45EA0" w:rsidP="00B30D6D">
      <w:pPr>
        <w:pStyle w:val="Default"/>
        <w:spacing w:line="240" w:lineRule="auto"/>
        <w:rPr>
          <w:rFonts w:ascii="Verdana" w:eastAsia="Verdana" w:hAnsi="Verdana" w:cs="Verdana"/>
          <w:sz w:val="18"/>
          <w:szCs w:val="18"/>
        </w:rPr>
      </w:pPr>
    </w:p>
    <w:p w14:paraId="45AE0EF0" w14:textId="77777777" w:rsidR="00D45EA0" w:rsidRDefault="00D45EA0" w:rsidP="00B30D6D">
      <w:pPr>
        <w:pStyle w:val="Default"/>
        <w:spacing w:line="240" w:lineRule="auto"/>
        <w:rPr>
          <w:rFonts w:ascii="Verdana" w:eastAsia="Verdana" w:hAnsi="Verdana" w:cs="Verdana"/>
          <w:sz w:val="18"/>
          <w:szCs w:val="18"/>
        </w:rPr>
      </w:pPr>
    </w:p>
    <w:p w14:paraId="631F4598" w14:textId="77777777" w:rsidR="00D45EA0" w:rsidRDefault="00D45EA0" w:rsidP="00B30D6D">
      <w:pPr>
        <w:pStyle w:val="Default"/>
        <w:spacing w:line="240" w:lineRule="auto"/>
        <w:rPr>
          <w:rFonts w:ascii="Verdana" w:eastAsia="Verdana" w:hAnsi="Verdana" w:cs="Verdana"/>
          <w:sz w:val="18"/>
          <w:szCs w:val="18"/>
        </w:rPr>
      </w:pPr>
    </w:p>
    <w:p w14:paraId="2547FC6B" w14:textId="77777777" w:rsidR="00D45EA0" w:rsidRPr="00241738" w:rsidRDefault="00D45EA0" w:rsidP="00B30D6D">
      <w:pPr>
        <w:pStyle w:val="Default"/>
        <w:spacing w:line="240" w:lineRule="auto"/>
        <w:rPr>
          <w:rFonts w:ascii="Verdana" w:eastAsia="Verdana" w:hAnsi="Verdana" w:cs="Verdana"/>
          <w:sz w:val="18"/>
          <w:szCs w:val="18"/>
        </w:rPr>
      </w:pPr>
    </w:p>
    <w:p w14:paraId="5B92E448" w14:textId="77777777" w:rsidR="004255A9" w:rsidRDefault="004255A9" w:rsidP="00B30D6D">
      <w:pPr>
        <w:pStyle w:val="Default"/>
        <w:spacing w:line="240" w:lineRule="auto"/>
        <w:rPr>
          <w:rFonts w:ascii="Verdana" w:eastAsia="Verdana" w:hAnsi="Verdana" w:cs="Verdana"/>
          <w:sz w:val="18"/>
          <w:szCs w:val="18"/>
        </w:rPr>
      </w:pPr>
    </w:p>
    <w:p w14:paraId="66010D46" w14:textId="27DC8523" w:rsidR="004255A9" w:rsidRPr="00241738" w:rsidRDefault="004255A9" w:rsidP="00B30D6D">
      <w:pPr>
        <w:pStyle w:val="Default"/>
        <w:tabs>
          <w:tab w:val="left" w:pos="2077"/>
        </w:tabs>
        <w:spacing w:line="240" w:lineRule="auto"/>
        <w:rPr>
          <w:rFonts w:ascii="Verdana" w:eastAsia="Verdana" w:hAnsi="Verdana" w:cs="Verdana"/>
          <w:sz w:val="18"/>
          <w:szCs w:val="18"/>
        </w:rPr>
      </w:pPr>
      <w:r w:rsidRPr="00241738">
        <w:rPr>
          <w:rFonts w:ascii="Verdana" w:eastAsia="Verdana" w:hAnsi="Verdana" w:cs="Verdana"/>
          <w:sz w:val="18"/>
          <w:szCs w:val="18"/>
        </w:rPr>
        <w:tab/>
      </w:r>
    </w:p>
    <w:p w14:paraId="4632B940" w14:textId="5D0D26E0" w:rsidR="00241738" w:rsidRPr="008F5DAB" w:rsidRDefault="00694C7D" w:rsidP="00B30D6D">
      <w:pPr>
        <w:pStyle w:val="Default"/>
        <w:numPr>
          <w:ilvl w:val="0"/>
          <w:numId w:val="6"/>
        </w:numPr>
        <w:tabs>
          <w:tab w:val="left" w:pos="2077"/>
        </w:tabs>
        <w:spacing w:after="0" w:line="240" w:lineRule="auto"/>
        <w:jc w:val="both"/>
        <w:rPr>
          <w:rFonts w:ascii="Verdana" w:eastAsia="Verdana" w:hAnsi="Verdana" w:cs="Verdana"/>
          <w:color w:val="2E74B5" w:themeColor="accent5" w:themeShade="BF"/>
          <w:sz w:val="19"/>
          <w:szCs w:val="19"/>
        </w:rPr>
      </w:pPr>
      <w:r w:rsidRPr="008F5DAB">
        <w:rPr>
          <w:rFonts w:ascii="Verdana" w:eastAsia="Verdana" w:hAnsi="Verdana" w:cs="Verdana"/>
          <w:color w:val="2E74B5" w:themeColor="accent5" w:themeShade="BF"/>
          <w:sz w:val="19"/>
          <w:szCs w:val="19"/>
        </w:rPr>
        <w:lastRenderedPageBreak/>
        <w:t xml:space="preserve">Introduction </w:t>
      </w:r>
    </w:p>
    <w:p w14:paraId="028DF667" w14:textId="1A3FB4B4" w:rsidR="00FB0A66" w:rsidRPr="008F5DAB" w:rsidRDefault="008E4C65" w:rsidP="00B30D6D">
      <w:pPr>
        <w:pStyle w:val="Default"/>
        <w:numPr>
          <w:ilvl w:val="0"/>
          <w:numId w:val="7"/>
        </w:numPr>
        <w:spacing w:beforeLines="120" w:before="288" w:after="0" w:line="240" w:lineRule="auto"/>
        <w:ind w:left="641" w:hanging="357"/>
        <w:jc w:val="both"/>
        <w:rPr>
          <w:rFonts w:ascii="Verdana" w:eastAsia="Verdana" w:hAnsi="Verdana" w:cs="Verdana"/>
          <w:sz w:val="19"/>
          <w:szCs w:val="19"/>
        </w:rPr>
      </w:pPr>
      <w:r w:rsidRPr="008F5DAB">
        <w:rPr>
          <w:rFonts w:ascii="Verdana" w:eastAsia="Verdana" w:hAnsi="Verdana" w:cs="Verdana"/>
          <w:sz w:val="19"/>
          <w:szCs w:val="19"/>
        </w:rPr>
        <w:t>On 3 and 4 March 2020, the Human Rights Committee (</w:t>
      </w:r>
      <w:r w:rsidR="00DF60A2" w:rsidRPr="008F5DAB">
        <w:rPr>
          <w:rFonts w:ascii="Verdana" w:eastAsia="Verdana" w:hAnsi="Verdana" w:cs="Verdana"/>
          <w:sz w:val="19"/>
          <w:szCs w:val="19"/>
        </w:rPr>
        <w:t>t</w:t>
      </w:r>
      <w:r w:rsidRPr="008F5DAB">
        <w:rPr>
          <w:rFonts w:ascii="Verdana" w:eastAsia="Verdana" w:hAnsi="Verdana" w:cs="Verdana"/>
          <w:sz w:val="19"/>
          <w:szCs w:val="19"/>
        </w:rPr>
        <w:t>he Committee) examined the Republic of Tunisia’s sixth periodic report</w:t>
      </w:r>
      <w:r w:rsidR="00FB0A66" w:rsidRPr="008F5DAB">
        <w:rPr>
          <w:rFonts w:ascii="Verdana" w:eastAsia="Verdana" w:hAnsi="Verdana" w:cs="Verdana"/>
          <w:sz w:val="19"/>
          <w:szCs w:val="19"/>
        </w:rPr>
        <w:t xml:space="preserve"> under article 40 of the International Covenant on Civil and Political Rights (ICCPR)</w:t>
      </w:r>
      <w:r w:rsidRPr="008F5DAB">
        <w:rPr>
          <w:rFonts w:ascii="Verdana" w:eastAsia="Verdana" w:hAnsi="Verdana" w:cs="Verdana"/>
          <w:sz w:val="19"/>
          <w:szCs w:val="19"/>
        </w:rPr>
        <w:t>.</w:t>
      </w:r>
      <w:r w:rsidR="00FB0A66" w:rsidRPr="008F5DAB">
        <w:rPr>
          <w:rFonts w:ascii="Verdana" w:eastAsia="Verdana" w:hAnsi="Verdana" w:cs="Verdana"/>
          <w:sz w:val="19"/>
          <w:szCs w:val="19"/>
        </w:rPr>
        <w:t xml:space="preserve"> </w:t>
      </w:r>
      <w:r w:rsidR="00AC177D" w:rsidRPr="008F5DAB">
        <w:rPr>
          <w:rFonts w:ascii="Verdana" w:eastAsia="Verdana" w:hAnsi="Verdana" w:cs="Verdana"/>
          <w:sz w:val="19"/>
          <w:szCs w:val="19"/>
        </w:rPr>
        <w:t xml:space="preserve">In advance of </w:t>
      </w:r>
      <w:r w:rsidR="00FB0A66" w:rsidRPr="008F5DAB">
        <w:rPr>
          <w:rFonts w:ascii="Verdana" w:eastAsia="Verdana" w:hAnsi="Verdana" w:cs="Verdana"/>
          <w:sz w:val="19"/>
          <w:szCs w:val="19"/>
        </w:rPr>
        <w:t xml:space="preserve">the </w:t>
      </w:r>
      <w:r w:rsidR="00AC177D" w:rsidRPr="008F5DAB">
        <w:rPr>
          <w:rFonts w:ascii="Verdana" w:eastAsia="Verdana" w:hAnsi="Verdana" w:cs="Verdana"/>
          <w:sz w:val="19"/>
          <w:szCs w:val="19"/>
        </w:rPr>
        <w:t xml:space="preserve">Committee’s </w:t>
      </w:r>
      <w:r w:rsidR="00FB0A66" w:rsidRPr="008F5DAB">
        <w:rPr>
          <w:rFonts w:ascii="Verdana" w:eastAsia="Verdana" w:hAnsi="Verdana" w:cs="Verdana"/>
          <w:sz w:val="19"/>
          <w:szCs w:val="19"/>
        </w:rPr>
        <w:t xml:space="preserve">review, the International Commission of Jurists (ICJ) </w:t>
      </w:r>
      <w:r w:rsidR="00AC177D" w:rsidRPr="008F5DAB">
        <w:rPr>
          <w:rFonts w:ascii="Verdana" w:eastAsia="Verdana" w:hAnsi="Verdana" w:cs="Verdana"/>
          <w:sz w:val="19"/>
          <w:szCs w:val="19"/>
        </w:rPr>
        <w:t xml:space="preserve">made a </w:t>
      </w:r>
      <w:r w:rsidR="007819B6" w:rsidRPr="008F5DAB">
        <w:rPr>
          <w:rFonts w:ascii="Verdana" w:eastAsia="Verdana" w:hAnsi="Verdana" w:cs="Verdana"/>
          <w:sz w:val="19"/>
          <w:szCs w:val="19"/>
        </w:rPr>
        <w:t>submi</w:t>
      </w:r>
      <w:r w:rsidR="00AC177D" w:rsidRPr="008F5DAB">
        <w:rPr>
          <w:rFonts w:ascii="Verdana" w:eastAsia="Verdana" w:hAnsi="Verdana" w:cs="Verdana"/>
          <w:sz w:val="19"/>
          <w:szCs w:val="19"/>
        </w:rPr>
        <w:t>ssion</w:t>
      </w:r>
      <w:r w:rsidR="00FB0A66" w:rsidRPr="008F5DAB">
        <w:rPr>
          <w:rFonts w:ascii="Verdana" w:eastAsia="Verdana" w:hAnsi="Verdana" w:cs="Verdana"/>
          <w:sz w:val="19"/>
          <w:szCs w:val="19"/>
        </w:rPr>
        <w:t xml:space="preserve"> pertaining to</w:t>
      </w:r>
      <w:r w:rsidR="00AF35D6" w:rsidRPr="008F5DAB">
        <w:rPr>
          <w:rFonts w:ascii="Verdana" w:eastAsia="Verdana" w:hAnsi="Verdana" w:cs="Verdana"/>
          <w:sz w:val="19"/>
          <w:szCs w:val="19"/>
        </w:rPr>
        <w:t xml:space="preserve"> Tunisia’s</w:t>
      </w:r>
      <w:r w:rsidR="00FB0A66" w:rsidRPr="008F5DAB">
        <w:rPr>
          <w:rFonts w:ascii="Verdana" w:eastAsia="Verdana" w:hAnsi="Verdana" w:cs="Verdana"/>
          <w:sz w:val="19"/>
          <w:szCs w:val="19"/>
        </w:rPr>
        <w:t xml:space="preserve"> (a) Constitutional and legal framework</w:t>
      </w:r>
      <w:r w:rsidR="00513331" w:rsidRPr="008F5DAB">
        <w:rPr>
          <w:rFonts w:ascii="Verdana" w:eastAsia="Verdana" w:hAnsi="Verdana" w:cs="Verdana"/>
          <w:sz w:val="19"/>
          <w:szCs w:val="19"/>
        </w:rPr>
        <w:t xml:space="preserve">; </w:t>
      </w:r>
      <w:r w:rsidR="00FB0A66" w:rsidRPr="008F5DAB">
        <w:rPr>
          <w:rFonts w:ascii="Verdana" w:eastAsia="Verdana" w:hAnsi="Verdana" w:cs="Verdana"/>
          <w:sz w:val="19"/>
          <w:szCs w:val="19"/>
        </w:rPr>
        <w:t>(b) implementation of transitional justice; and (c) legal framework on judicial independence and accountability</w:t>
      </w:r>
      <w:r w:rsidR="00513331" w:rsidRPr="008F5DAB">
        <w:rPr>
          <w:rFonts w:ascii="Verdana" w:eastAsia="Verdana" w:hAnsi="Verdana" w:cs="Verdana"/>
          <w:sz w:val="19"/>
          <w:szCs w:val="19"/>
        </w:rPr>
        <w:t>.</w:t>
      </w:r>
      <w:r w:rsidR="00513331" w:rsidRPr="008F5DAB">
        <w:rPr>
          <w:rStyle w:val="FootnoteReference"/>
          <w:rFonts w:ascii="Verdana" w:eastAsia="Verdana" w:hAnsi="Verdana" w:cs="Verdana"/>
          <w:sz w:val="19"/>
          <w:szCs w:val="19"/>
        </w:rPr>
        <w:footnoteReference w:id="2"/>
      </w:r>
    </w:p>
    <w:p w14:paraId="457ABF97" w14:textId="5BA10AF1" w:rsidR="008224B1" w:rsidRPr="00755729" w:rsidRDefault="008E4C65" w:rsidP="00B30D6D">
      <w:pPr>
        <w:pStyle w:val="Default"/>
        <w:numPr>
          <w:ilvl w:val="0"/>
          <w:numId w:val="7"/>
        </w:numPr>
        <w:spacing w:beforeLines="120" w:before="288" w:after="0" w:line="240" w:lineRule="auto"/>
        <w:jc w:val="both"/>
        <w:rPr>
          <w:rFonts w:ascii="Verdana" w:eastAsia="Verdana" w:hAnsi="Verdana" w:cs="Verdana"/>
          <w:sz w:val="19"/>
          <w:szCs w:val="19"/>
        </w:rPr>
      </w:pPr>
      <w:r w:rsidRPr="00755729">
        <w:rPr>
          <w:rFonts w:ascii="Verdana" w:eastAsia="Verdana" w:hAnsi="Verdana" w:cs="Verdana"/>
          <w:sz w:val="19"/>
          <w:szCs w:val="19"/>
        </w:rPr>
        <w:t xml:space="preserve">On 27 March 2020, the Committee adopted its </w:t>
      </w:r>
      <w:r w:rsidR="00F47251" w:rsidRPr="00755729">
        <w:rPr>
          <w:rFonts w:ascii="Verdana" w:eastAsia="Verdana" w:hAnsi="Verdana" w:cs="Verdana"/>
          <w:sz w:val="19"/>
          <w:szCs w:val="19"/>
        </w:rPr>
        <w:t>C</w:t>
      </w:r>
      <w:r w:rsidRPr="00755729">
        <w:rPr>
          <w:rFonts w:ascii="Verdana" w:eastAsia="Verdana" w:hAnsi="Verdana" w:cs="Verdana"/>
          <w:sz w:val="19"/>
          <w:szCs w:val="19"/>
        </w:rPr>
        <w:t xml:space="preserve">oncluding </w:t>
      </w:r>
      <w:r w:rsidR="00A51B61" w:rsidRPr="00755729">
        <w:rPr>
          <w:rFonts w:ascii="Verdana" w:eastAsia="Verdana" w:hAnsi="Verdana" w:cs="Verdana"/>
          <w:sz w:val="19"/>
          <w:szCs w:val="19"/>
        </w:rPr>
        <w:t>o</w:t>
      </w:r>
      <w:r w:rsidRPr="00755729">
        <w:rPr>
          <w:rFonts w:ascii="Verdana" w:eastAsia="Verdana" w:hAnsi="Verdana" w:cs="Verdana"/>
          <w:sz w:val="19"/>
          <w:szCs w:val="19"/>
        </w:rPr>
        <w:t>bservations</w:t>
      </w:r>
      <w:r w:rsidR="00A51B61" w:rsidRPr="00755729">
        <w:rPr>
          <w:rFonts w:ascii="Verdana" w:eastAsia="Verdana" w:hAnsi="Verdana" w:cs="Verdana"/>
          <w:sz w:val="19"/>
          <w:szCs w:val="19"/>
        </w:rPr>
        <w:t xml:space="preserve"> </w:t>
      </w:r>
      <w:r w:rsidR="00A51B61" w:rsidRPr="00755729">
        <w:rPr>
          <w:rFonts w:ascii="Verdana" w:eastAsia="Verdana" w:hAnsi="Verdana" w:cs="Verdana"/>
          <w:bCs/>
          <w:sz w:val="19"/>
          <w:szCs w:val="19"/>
          <w:lang w:val="en-US"/>
        </w:rPr>
        <w:t xml:space="preserve">on the sixth periodic report of Tunisia </w:t>
      </w:r>
      <w:r w:rsidR="00160022" w:rsidRPr="00755729">
        <w:rPr>
          <w:rFonts w:ascii="Verdana" w:eastAsia="Verdana" w:hAnsi="Verdana" w:cs="Verdana"/>
          <w:sz w:val="19"/>
          <w:szCs w:val="19"/>
        </w:rPr>
        <w:t xml:space="preserve">and </w:t>
      </w:r>
      <w:r w:rsidR="00A51B61" w:rsidRPr="00755729">
        <w:rPr>
          <w:rFonts w:ascii="Verdana" w:eastAsia="Verdana" w:hAnsi="Verdana" w:cs="Verdana"/>
          <w:sz w:val="19"/>
          <w:szCs w:val="19"/>
        </w:rPr>
        <w:t xml:space="preserve">requested the State party </w:t>
      </w:r>
      <w:r w:rsidRPr="00755729">
        <w:rPr>
          <w:rFonts w:ascii="Verdana" w:eastAsia="Verdana" w:hAnsi="Verdana" w:cs="Verdana"/>
          <w:sz w:val="19"/>
          <w:szCs w:val="19"/>
        </w:rPr>
        <w:t xml:space="preserve">to provide </w:t>
      </w:r>
      <w:r w:rsidR="00755729" w:rsidRPr="00755729">
        <w:rPr>
          <w:rFonts w:ascii="Verdana" w:eastAsia="Verdana" w:hAnsi="Verdana" w:cs="Verdana"/>
          <w:sz w:val="19"/>
          <w:szCs w:val="19"/>
          <w:lang w:val="en-US"/>
        </w:rPr>
        <w:t xml:space="preserve">follow-up </w:t>
      </w:r>
      <w:r w:rsidRPr="00755729">
        <w:rPr>
          <w:rFonts w:ascii="Verdana" w:eastAsia="Verdana" w:hAnsi="Verdana" w:cs="Verdana"/>
          <w:sz w:val="19"/>
          <w:szCs w:val="19"/>
        </w:rPr>
        <w:t>information</w:t>
      </w:r>
      <w:r w:rsidR="00B80EBB" w:rsidRPr="00755729">
        <w:rPr>
          <w:rFonts w:ascii="Verdana" w:eastAsia="Verdana" w:hAnsi="Verdana" w:cs="Verdana"/>
          <w:sz w:val="19"/>
          <w:szCs w:val="19"/>
        </w:rPr>
        <w:t xml:space="preserve"> by 27 March 2022</w:t>
      </w:r>
      <w:r w:rsidRPr="00755729">
        <w:rPr>
          <w:rFonts w:ascii="Verdana" w:eastAsia="Verdana" w:hAnsi="Verdana" w:cs="Verdana"/>
          <w:sz w:val="19"/>
          <w:szCs w:val="19"/>
        </w:rPr>
        <w:t xml:space="preserve"> on the implementation of </w:t>
      </w:r>
      <w:r w:rsidR="00A51B61" w:rsidRPr="00755729">
        <w:rPr>
          <w:rFonts w:ascii="Verdana" w:eastAsia="Verdana" w:hAnsi="Verdana" w:cs="Verdana"/>
          <w:sz w:val="19"/>
          <w:szCs w:val="19"/>
        </w:rPr>
        <w:t>its</w:t>
      </w:r>
      <w:r w:rsidR="00AF35D6" w:rsidRPr="00755729">
        <w:rPr>
          <w:rFonts w:ascii="Verdana" w:eastAsia="Verdana" w:hAnsi="Verdana" w:cs="Verdana"/>
          <w:sz w:val="19"/>
          <w:szCs w:val="19"/>
        </w:rPr>
        <w:t xml:space="preserve"> </w:t>
      </w:r>
      <w:r w:rsidRPr="00755729">
        <w:rPr>
          <w:rFonts w:ascii="Verdana" w:eastAsia="Verdana" w:hAnsi="Verdana" w:cs="Verdana"/>
          <w:sz w:val="19"/>
          <w:szCs w:val="19"/>
        </w:rPr>
        <w:t xml:space="preserve">recommendations regarding the Constitutional Court, </w:t>
      </w:r>
      <w:r w:rsidR="00A51B61" w:rsidRPr="00755729">
        <w:rPr>
          <w:rFonts w:ascii="Verdana" w:eastAsia="Verdana" w:hAnsi="Verdana" w:cs="Verdana"/>
          <w:sz w:val="19"/>
          <w:szCs w:val="19"/>
        </w:rPr>
        <w:t xml:space="preserve">the </w:t>
      </w:r>
      <w:r w:rsidRPr="00755729">
        <w:rPr>
          <w:rFonts w:ascii="Verdana" w:eastAsia="Verdana" w:hAnsi="Verdana" w:cs="Verdana"/>
          <w:sz w:val="19"/>
          <w:szCs w:val="19"/>
        </w:rPr>
        <w:t>state of emergency and counter</w:t>
      </w:r>
      <w:r w:rsidR="00AF35D6" w:rsidRPr="00755729">
        <w:rPr>
          <w:rFonts w:ascii="Verdana" w:eastAsia="Verdana" w:hAnsi="Verdana" w:cs="Verdana"/>
          <w:sz w:val="19"/>
          <w:szCs w:val="19"/>
        </w:rPr>
        <w:t>-</w:t>
      </w:r>
      <w:r w:rsidRPr="00755729">
        <w:rPr>
          <w:rFonts w:ascii="Verdana" w:eastAsia="Verdana" w:hAnsi="Verdana" w:cs="Verdana"/>
          <w:sz w:val="19"/>
          <w:szCs w:val="19"/>
        </w:rPr>
        <w:t>terrorism, and freedom of peaceful assembly and excessive use of force by the State’s agents.</w:t>
      </w:r>
      <w:r w:rsidRPr="008F5DAB">
        <w:rPr>
          <w:rStyle w:val="FootnoteReference"/>
          <w:rFonts w:ascii="Verdana" w:eastAsia="Verdana" w:hAnsi="Verdana" w:cs="Verdana"/>
          <w:sz w:val="19"/>
          <w:szCs w:val="19"/>
        </w:rPr>
        <w:footnoteReference w:id="3"/>
      </w:r>
      <w:r w:rsidR="00DF60A2" w:rsidRPr="00755729">
        <w:rPr>
          <w:rFonts w:ascii="Verdana" w:eastAsia="Verdana" w:hAnsi="Verdana" w:cs="Verdana"/>
          <w:sz w:val="19"/>
          <w:szCs w:val="19"/>
        </w:rPr>
        <w:t xml:space="preserve"> </w:t>
      </w:r>
      <w:r w:rsidR="00D7310B" w:rsidRPr="00755729">
        <w:rPr>
          <w:rFonts w:ascii="Verdana" w:eastAsia="Verdana" w:hAnsi="Verdana" w:cs="Verdana"/>
          <w:sz w:val="19"/>
          <w:szCs w:val="19"/>
        </w:rPr>
        <w:t xml:space="preserve">On 4 April 2022, the Committee received information from </w:t>
      </w:r>
      <w:r w:rsidR="00EB7521" w:rsidRPr="00755729">
        <w:rPr>
          <w:rFonts w:ascii="Verdana" w:eastAsia="Verdana" w:hAnsi="Verdana" w:cs="Verdana"/>
          <w:sz w:val="19"/>
          <w:szCs w:val="19"/>
        </w:rPr>
        <w:t>Tunisia</w:t>
      </w:r>
      <w:r w:rsidR="00755729">
        <w:rPr>
          <w:rFonts w:ascii="Verdana" w:eastAsia="Verdana" w:hAnsi="Verdana" w:cs="Verdana"/>
          <w:sz w:val="19"/>
          <w:szCs w:val="19"/>
        </w:rPr>
        <w:t xml:space="preserve"> on follow-up to the Committee’s concluding observations on the above-mentioned concerns</w:t>
      </w:r>
      <w:r w:rsidR="00D7310B" w:rsidRPr="00755729">
        <w:rPr>
          <w:rFonts w:ascii="Verdana" w:eastAsia="Verdana" w:hAnsi="Verdana" w:cs="Verdana"/>
          <w:sz w:val="19"/>
          <w:szCs w:val="19"/>
        </w:rPr>
        <w:t>.</w:t>
      </w:r>
      <w:r w:rsidR="006F634F">
        <w:rPr>
          <w:rStyle w:val="FootnoteReference"/>
          <w:rFonts w:ascii="Verdana" w:eastAsia="Verdana" w:hAnsi="Verdana" w:cs="Verdana"/>
          <w:sz w:val="19"/>
          <w:szCs w:val="19"/>
        </w:rPr>
        <w:footnoteReference w:id="4"/>
      </w:r>
      <w:r w:rsidR="00D7310B" w:rsidRPr="00755729">
        <w:rPr>
          <w:rFonts w:ascii="Verdana" w:eastAsia="Verdana" w:hAnsi="Verdana" w:cs="Verdana"/>
          <w:sz w:val="19"/>
          <w:szCs w:val="19"/>
        </w:rPr>
        <w:t xml:space="preserve"> </w:t>
      </w:r>
      <w:r w:rsidR="008224B1" w:rsidRPr="00755729">
        <w:rPr>
          <w:rFonts w:ascii="Verdana" w:eastAsia="Verdana" w:hAnsi="Verdana" w:cs="Verdana"/>
          <w:sz w:val="19"/>
          <w:szCs w:val="19"/>
        </w:rPr>
        <w:t xml:space="preserve">During </w:t>
      </w:r>
      <w:r w:rsidR="00F14F57">
        <w:rPr>
          <w:rFonts w:ascii="Verdana" w:eastAsia="Verdana" w:hAnsi="Verdana" w:cs="Verdana"/>
          <w:sz w:val="19"/>
          <w:szCs w:val="19"/>
        </w:rPr>
        <w:t>the Committee’s</w:t>
      </w:r>
      <w:r w:rsidR="00F14F57" w:rsidRPr="00755729">
        <w:rPr>
          <w:rFonts w:ascii="Verdana" w:eastAsia="Verdana" w:hAnsi="Verdana" w:cs="Verdana"/>
          <w:sz w:val="19"/>
          <w:szCs w:val="19"/>
        </w:rPr>
        <w:t xml:space="preserve"> </w:t>
      </w:r>
      <w:r w:rsidR="008224B1" w:rsidRPr="00755729">
        <w:rPr>
          <w:rFonts w:ascii="Verdana" w:eastAsia="Verdana" w:hAnsi="Verdana" w:cs="Verdana"/>
          <w:sz w:val="19"/>
          <w:szCs w:val="19"/>
        </w:rPr>
        <w:t>140</w:t>
      </w:r>
      <w:r w:rsidR="000E16F3" w:rsidRPr="00755729">
        <w:rPr>
          <w:rFonts w:ascii="Verdana" w:eastAsia="Verdana" w:hAnsi="Verdana" w:cs="Verdana"/>
          <w:sz w:val="19"/>
          <w:szCs w:val="19"/>
          <w:vertAlign w:val="superscript"/>
        </w:rPr>
        <w:t>th</w:t>
      </w:r>
      <w:r w:rsidR="00D7310B" w:rsidRPr="00755729">
        <w:rPr>
          <w:rFonts w:ascii="Verdana" w:eastAsia="Verdana" w:hAnsi="Verdana" w:cs="Verdana"/>
          <w:sz w:val="19"/>
          <w:szCs w:val="19"/>
          <w:vertAlign w:val="superscript"/>
        </w:rPr>
        <w:t xml:space="preserve"> </w:t>
      </w:r>
      <w:r w:rsidR="008224B1" w:rsidRPr="00755729">
        <w:rPr>
          <w:rFonts w:ascii="Verdana" w:eastAsia="Verdana" w:hAnsi="Verdana" w:cs="Verdana"/>
          <w:sz w:val="19"/>
          <w:szCs w:val="19"/>
        </w:rPr>
        <w:t>session</w:t>
      </w:r>
      <w:r w:rsidR="00996EE3" w:rsidRPr="00755729">
        <w:rPr>
          <w:rFonts w:ascii="Verdana" w:eastAsia="Verdana" w:hAnsi="Verdana" w:cs="Verdana"/>
          <w:sz w:val="19"/>
          <w:szCs w:val="19"/>
        </w:rPr>
        <w:t>,</w:t>
      </w:r>
      <w:r w:rsidR="008224B1" w:rsidRPr="00755729">
        <w:rPr>
          <w:rFonts w:ascii="Verdana" w:eastAsia="Verdana" w:hAnsi="Verdana" w:cs="Verdana"/>
          <w:sz w:val="19"/>
          <w:szCs w:val="19"/>
        </w:rPr>
        <w:t xml:space="preserve"> from 4 to 2</w:t>
      </w:r>
      <w:r w:rsidR="00D7310B" w:rsidRPr="00755729">
        <w:rPr>
          <w:rFonts w:ascii="Verdana" w:eastAsia="Verdana" w:hAnsi="Verdana" w:cs="Verdana"/>
          <w:sz w:val="19"/>
          <w:szCs w:val="19"/>
        </w:rPr>
        <w:t xml:space="preserve">8 </w:t>
      </w:r>
      <w:r w:rsidR="008224B1" w:rsidRPr="00755729">
        <w:rPr>
          <w:rFonts w:ascii="Verdana" w:eastAsia="Verdana" w:hAnsi="Verdana" w:cs="Verdana"/>
          <w:sz w:val="19"/>
          <w:szCs w:val="19"/>
        </w:rPr>
        <w:t xml:space="preserve">March 2024, </w:t>
      </w:r>
      <w:r w:rsidR="00D7310B" w:rsidRPr="00755729">
        <w:rPr>
          <w:rFonts w:ascii="Verdana" w:eastAsia="Verdana" w:hAnsi="Verdana" w:cs="Verdana"/>
          <w:sz w:val="19"/>
          <w:szCs w:val="19"/>
        </w:rPr>
        <w:t>this</w:t>
      </w:r>
      <w:r w:rsidRPr="00755729">
        <w:rPr>
          <w:rFonts w:ascii="Verdana" w:eastAsia="Verdana" w:hAnsi="Verdana" w:cs="Verdana"/>
          <w:sz w:val="19"/>
          <w:szCs w:val="19"/>
        </w:rPr>
        <w:t xml:space="preserve"> info</w:t>
      </w:r>
      <w:r w:rsidR="00D7310B" w:rsidRPr="00755729">
        <w:rPr>
          <w:rFonts w:ascii="Verdana" w:eastAsia="Verdana" w:hAnsi="Verdana" w:cs="Verdana"/>
          <w:sz w:val="19"/>
          <w:szCs w:val="19"/>
        </w:rPr>
        <w:t>rmation</w:t>
      </w:r>
      <w:r w:rsidR="00996EE3" w:rsidRPr="00755729">
        <w:rPr>
          <w:rFonts w:ascii="Verdana" w:eastAsia="Verdana" w:hAnsi="Verdana" w:cs="Verdana"/>
          <w:sz w:val="19"/>
          <w:szCs w:val="19"/>
        </w:rPr>
        <w:t xml:space="preserve"> </w:t>
      </w:r>
      <w:r w:rsidR="00F14F57">
        <w:rPr>
          <w:rFonts w:ascii="Verdana" w:eastAsia="Verdana" w:hAnsi="Verdana" w:cs="Verdana"/>
          <w:sz w:val="19"/>
          <w:szCs w:val="19"/>
        </w:rPr>
        <w:t>and Tunisia’s implementation of the Committee’s recommendations on the same issues will be reviewed</w:t>
      </w:r>
      <w:r w:rsidR="00D7310B" w:rsidRPr="00755729">
        <w:rPr>
          <w:rFonts w:ascii="Verdana" w:eastAsia="Verdana" w:hAnsi="Verdana" w:cs="Verdana"/>
          <w:sz w:val="19"/>
          <w:szCs w:val="19"/>
        </w:rPr>
        <w:t xml:space="preserve">. </w:t>
      </w:r>
    </w:p>
    <w:p w14:paraId="2F8A3283" w14:textId="4F2D05FD" w:rsidR="00241738" w:rsidRPr="008F5DAB" w:rsidRDefault="00DF60A2" w:rsidP="00B30D6D">
      <w:pPr>
        <w:pStyle w:val="Default"/>
        <w:numPr>
          <w:ilvl w:val="0"/>
          <w:numId w:val="7"/>
        </w:numPr>
        <w:spacing w:beforeLines="120" w:before="288" w:after="0" w:line="240" w:lineRule="auto"/>
        <w:jc w:val="both"/>
        <w:rPr>
          <w:rFonts w:ascii="Verdana" w:eastAsia="Verdana" w:hAnsi="Verdana" w:cs="Verdana"/>
          <w:sz w:val="19"/>
          <w:szCs w:val="19"/>
        </w:rPr>
      </w:pPr>
      <w:r w:rsidRPr="008F5DAB">
        <w:rPr>
          <w:rFonts w:ascii="Verdana" w:eastAsia="Verdana" w:hAnsi="Verdana" w:cs="Verdana"/>
          <w:sz w:val="19"/>
          <w:szCs w:val="19"/>
        </w:rPr>
        <w:t xml:space="preserve">In the context of </w:t>
      </w:r>
      <w:r w:rsidR="00D67384" w:rsidRPr="008F5DAB">
        <w:rPr>
          <w:rFonts w:ascii="Verdana" w:eastAsia="Verdana" w:hAnsi="Verdana" w:cs="Verdana"/>
          <w:sz w:val="19"/>
          <w:szCs w:val="19"/>
        </w:rPr>
        <w:t>the Committee’s follow-up</w:t>
      </w:r>
      <w:r w:rsidRPr="008F5DAB">
        <w:rPr>
          <w:rFonts w:ascii="Verdana" w:eastAsia="Verdana" w:hAnsi="Verdana" w:cs="Verdana"/>
          <w:sz w:val="19"/>
          <w:szCs w:val="19"/>
        </w:rPr>
        <w:t xml:space="preserve"> </w:t>
      </w:r>
      <w:r w:rsidR="00D67384" w:rsidRPr="008F5DAB">
        <w:rPr>
          <w:rFonts w:ascii="Verdana" w:eastAsia="Verdana" w:hAnsi="Verdana" w:cs="Verdana"/>
          <w:sz w:val="19"/>
          <w:szCs w:val="19"/>
        </w:rPr>
        <w:t>procedure</w:t>
      </w:r>
      <w:r w:rsidRPr="008F5DAB">
        <w:rPr>
          <w:rFonts w:ascii="Verdana" w:eastAsia="Verdana" w:hAnsi="Verdana" w:cs="Verdana"/>
          <w:sz w:val="19"/>
          <w:szCs w:val="19"/>
        </w:rPr>
        <w:t xml:space="preserve">, the </w:t>
      </w:r>
      <w:r w:rsidR="007819B6" w:rsidRPr="008F5DAB">
        <w:rPr>
          <w:rFonts w:ascii="Verdana" w:eastAsia="Verdana" w:hAnsi="Verdana" w:cs="Verdana"/>
          <w:sz w:val="19"/>
          <w:szCs w:val="19"/>
        </w:rPr>
        <w:t>ICJ</w:t>
      </w:r>
      <w:r w:rsidRPr="008F5DAB">
        <w:rPr>
          <w:rFonts w:ascii="Verdana" w:eastAsia="Verdana" w:hAnsi="Verdana" w:cs="Verdana"/>
          <w:sz w:val="19"/>
          <w:szCs w:val="19"/>
        </w:rPr>
        <w:t xml:space="preserve"> wishes to bring to the Committee’s attention </w:t>
      </w:r>
      <w:r w:rsidR="00F14F57">
        <w:rPr>
          <w:rFonts w:ascii="Verdana" w:eastAsia="Verdana" w:hAnsi="Verdana" w:cs="Verdana"/>
          <w:sz w:val="19"/>
          <w:szCs w:val="19"/>
        </w:rPr>
        <w:t>its concerns</w:t>
      </w:r>
      <w:r w:rsidR="00F14F57" w:rsidRPr="008F5DAB">
        <w:rPr>
          <w:rFonts w:ascii="Verdana" w:eastAsia="Verdana" w:hAnsi="Verdana" w:cs="Verdana"/>
          <w:sz w:val="19"/>
          <w:szCs w:val="19"/>
        </w:rPr>
        <w:t xml:space="preserve"> </w:t>
      </w:r>
      <w:r w:rsidRPr="008F5DAB">
        <w:rPr>
          <w:rFonts w:ascii="Verdana" w:eastAsia="Verdana" w:hAnsi="Verdana" w:cs="Verdana"/>
          <w:sz w:val="19"/>
          <w:szCs w:val="19"/>
        </w:rPr>
        <w:t>pertaining to Tunisia’s</w:t>
      </w:r>
      <w:r w:rsidR="00557025" w:rsidRPr="008F5DAB">
        <w:rPr>
          <w:rFonts w:ascii="Verdana" w:eastAsia="Verdana" w:hAnsi="Verdana" w:cs="Verdana"/>
          <w:sz w:val="19"/>
          <w:szCs w:val="19"/>
        </w:rPr>
        <w:t xml:space="preserve"> obligations under</w:t>
      </w:r>
      <w:r w:rsidRPr="008F5DAB">
        <w:rPr>
          <w:rFonts w:ascii="Verdana" w:eastAsia="Verdana" w:hAnsi="Verdana" w:cs="Verdana"/>
          <w:sz w:val="19"/>
          <w:szCs w:val="19"/>
        </w:rPr>
        <w:t xml:space="preserve"> </w:t>
      </w:r>
      <w:r w:rsidR="005A0112" w:rsidRPr="008F5DAB">
        <w:rPr>
          <w:rFonts w:ascii="Verdana" w:eastAsia="Verdana" w:hAnsi="Verdana" w:cs="Verdana"/>
          <w:sz w:val="19"/>
          <w:szCs w:val="19"/>
        </w:rPr>
        <w:t xml:space="preserve">articles 2, 4, 14, 19 and 25 of </w:t>
      </w:r>
      <w:r w:rsidR="007819B6" w:rsidRPr="008F5DAB">
        <w:rPr>
          <w:rFonts w:ascii="Verdana" w:eastAsia="Verdana" w:hAnsi="Verdana" w:cs="Verdana"/>
          <w:sz w:val="19"/>
          <w:szCs w:val="19"/>
        </w:rPr>
        <w:t xml:space="preserve">the </w:t>
      </w:r>
      <w:r w:rsidRPr="008F5DAB">
        <w:rPr>
          <w:rFonts w:ascii="Verdana" w:eastAsia="Verdana" w:hAnsi="Verdana" w:cs="Verdana"/>
          <w:sz w:val="19"/>
          <w:szCs w:val="19"/>
        </w:rPr>
        <w:t>ICCPR</w:t>
      </w:r>
      <w:r w:rsidR="00D67384" w:rsidRPr="008F5DAB">
        <w:rPr>
          <w:rFonts w:ascii="Verdana" w:eastAsia="Verdana" w:hAnsi="Verdana" w:cs="Verdana"/>
          <w:sz w:val="19"/>
          <w:szCs w:val="19"/>
        </w:rPr>
        <w:t xml:space="preserve"> as they relate to the Constitutional Court and </w:t>
      </w:r>
      <w:r w:rsidR="001A2BA9" w:rsidRPr="008F5DAB">
        <w:rPr>
          <w:rFonts w:ascii="Verdana" w:eastAsia="Verdana" w:hAnsi="Verdana" w:cs="Verdana"/>
          <w:sz w:val="19"/>
          <w:szCs w:val="19"/>
        </w:rPr>
        <w:t xml:space="preserve">the </w:t>
      </w:r>
      <w:r w:rsidR="00782A2F" w:rsidRPr="008F5DAB">
        <w:rPr>
          <w:rFonts w:ascii="Verdana" w:eastAsia="Verdana" w:hAnsi="Verdana" w:cs="Verdana"/>
          <w:sz w:val="19"/>
          <w:szCs w:val="19"/>
        </w:rPr>
        <w:t>abuse of the</w:t>
      </w:r>
      <w:r w:rsidR="001A2BA9" w:rsidRPr="008F5DAB">
        <w:rPr>
          <w:rFonts w:ascii="Verdana" w:eastAsia="Verdana" w:hAnsi="Verdana" w:cs="Verdana"/>
          <w:sz w:val="19"/>
          <w:szCs w:val="19"/>
        </w:rPr>
        <w:t xml:space="preserve"> counter</w:t>
      </w:r>
      <w:r w:rsidR="00AF35D6" w:rsidRPr="008F5DAB">
        <w:rPr>
          <w:rFonts w:ascii="Verdana" w:eastAsia="Verdana" w:hAnsi="Verdana" w:cs="Verdana"/>
          <w:sz w:val="19"/>
          <w:szCs w:val="19"/>
        </w:rPr>
        <w:t>-</w:t>
      </w:r>
      <w:r w:rsidR="001A2BA9" w:rsidRPr="008F5DAB">
        <w:rPr>
          <w:rFonts w:ascii="Verdana" w:eastAsia="Verdana" w:hAnsi="Verdana" w:cs="Verdana"/>
          <w:sz w:val="19"/>
          <w:szCs w:val="19"/>
        </w:rPr>
        <w:t xml:space="preserve">terrorism </w:t>
      </w:r>
      <w:r w:rsidR="00782A2F" w:rsidRPr="008F5DAB">
        <w:rPr>
          <w:rFonts w:ascii="Verdana" w:eastAsia="Verdana" w:hAnsi="Verdana" w:cs="Verdana"/>
          <w:sz w:val="19"/>
          <w:szCs w:val="19"/>
        </w:rPr>
        <w:t xml:space="preserve">legislation to </w:t>
      </w:r>
      <w:r w:rsidR="000177C3" w:rsidRPr="008F5DAB">
        <w:rPr>
          <w:rFonts w:ascii="Verdana" w:eastAsia="Verdana" w:hAnsi="Verdana" w:cs="Verdana"/>
          <w:sz w:val="19"/>
          <w:szCs w:val="19"/>
        </w:rPr>
        <w:t xml:space="preserve">arbitrarily </w:t>
      </w:r>
      <w:r w:rsidR="00782A2F" w:rsidRPr="008F5DAB">
        <w:rPr>
          <w:rFonts w:ascii="Verdana" w:eastAsia="Verdana" w:hAnsi="Verdana" w:cs="Verdana"/>
          <w:sz w:val="19"/>
          <w:szCs w:val="19"/>
        </w:rPr>
        <w:t xml:space="preserve">prosecute perceived political </w:t>
      </w:r>
      <w:r w:rsidR="000177C3" w:rsidRPr="008F5DAB">
        <w:rPr>
          <w:rFonts w:ascii="Verdana" w:eastAsia="Verdana" w:hAnsi="Verdana" w:cs="Verdana"/>
          <w:sz w:val="19"/>
          <w:szCs w:val="19"/>
        </w:rPr>
        <w:t>dissidents</w:t>
      </w:r>
      <w:r w:rsidR="00782A2F" w:rsidRPr="008F5DAB">
        <w:rPr>
          <w:rFonts w:ascii="Verdana" w:eastAsia="Verdana" w:hAnsi="Verdana" w:cs="Verdana"/>
          <w:sz w:val="19"/>
          <w:szCs w:val="19"/>
        </w:rPr>
        <w:t>, including members of the judiciary</w:t>
      </w:r>
      <w:r w:rsidR="00197E15" w:rsidRPr="008F5DAB">
        <w:rPr>
          <w:rFonts w:ascii="Verdana" w:eastAsia="Verdana" w:hAnsi="Verdana" w:cs="Verdana"/>
          <w:sz w:val="19"/>
          <w:szCs w:val="19"/>
        </w:rPr>
        <w:t>.</w:t>
      </w:r>
    </w:p>
    <w:p w14:paraId="6F01F0DD" w14:textId="3197ABDD" w:rsidR="00241738" w:rsidRPr="008F5DAB" w:rsidRDefault="00DF60A2" w:rsidP="00B30D6D">
      <w:pPr>
        <w:pStyle w:val="Default"/>
        <w:numPr>
          <w:ilvl w:val="0"/>
          <w:numId w:val="6"/>
        </w:numPr>
        <w:tabs>
          <w:tab w:val="left" w:pos="2077"/>
        </w:tabs>
        <w:spacing w:beforeLines="120" w:before="288" w:after="0" w:line="240" w:lineRule="auto"/>
        <w:jc w:val="both"/>
        <w:rPr>
          <w:rFonts w:ascii="Verdana" w:eastAsia="Verdana" w:hAnsi="Verdana" w:cs="Verdana"/>
          <w:color w:val="2E74B5" w:themeColor="accent5" w:themeShade="BF"/>
          <w:sz w:val="19"/>
          <w:szCs w:val="19"/>
        </w:rPr>
      </w:pPr>
      <w:r w:rsidRPr="008F5DAB">
        <w:rPr>
          <w:rFonts w:ascii="Verdana" w:eastAsia="Verdana" w:hAnsi="Verdana" w:cs="Verdana"/>
          <w:color w:val="2E74B5" w:themeColor="accent5" w:themeShade="BF"/>
          <w:sz w:val="19"/>
          <w:szCs w:val="19"/>
        </w:rPr>
        <w:t xml:space="preserve">The Constitutional Court </w:t>
      </w:r>
    </w:p>
    <w:p w14:paraId="5A1159C3" w14:textId="33D6C010" w:rsidR="004E0D96" w:rsidRPr="008F5DAB" w:rsidRDefault="003171C6" w:rsidP="00B30D6D">
      <w:pPr>
        <w:pStyle w:val="ListParagraph"/>
        <w:numPr>
          <w:ilvl w:val="0"/>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color w:val="000000" w:themeColor="text1"/>
          <w:sz w:val="19"/>
          <w:szCs w:val="19"/>
        </w:rPr>
        <w:t>In its</w:t>
      </w:r>
      <w:r w:rsidR="00C56257" w:rsidRPr="008F5DAB">
        <w:rPr>
          <w:rFonts w:ascii="Verdana" w:hAnsi="Verdana"/>
          <w:color w:val="000000" w:themeColor="text1"/>
          <w:sz w:val="19"/>
          <w:szCs w:val="19"/>
        </w:rPr>
        <w:t xml:space="preserve"> 2020</w:t>
      </w:r>
      <w:r w:rsidR="00621BD6" w:rsidRPr="008F5DAB">
        <w:rPr>
          <w:rFonts w:ascii="Verdana" w:hAnsi="Verdana"/>
          <w:color w:val="000000" w:themeColor="text1"/>
          <w:sz w:val="19"/>
          <w:szCs w:val="19"/>
        </w:rPr>
        <w:t xml:space="preserve"> </w:t>
      </w:r>
      <w:r w:rsidR="00F47251" w:rsidRPr="008F5DAB">
        <w:rPr>
          <w:rFonts w:ascii="Verdana" w:hAnsi="Verdana"/>
          <w:color w:val="000000" w:themeColor="text1"/>
          <w:sz w:val="19"/>
          <w:szCs w:val="19"/>
        </w:rPr>
        <w:t>C</w:t>
      </w:r>
      <w:r w:rsidR="00621BD6" w:rsidRPr="008F5DAB">
        <w:rPr>
          <w:rFonts w:ascii="Verdana" w:hAnsi="Verdana"/>
          <w:color w:val="000000" w:themeColor="text1"/>
          <w:sz w:val="19"/>
          <w:szCs w:val="19"/>
        </w:rPr>
        <w:t xml:space="preserve">oncluding </w:t>
      </w:r>
      <w:r w:rsidR="001360A9">
        <w:rPr>
          <w:rFonts w:ascii="Verdana" w:hAnsi="Verdana"/>
          <w:color w:val="000000" w:themeColor="text1"/>
          <w:sz w:val="19"/>
          <w:szCs w:val="19"/>
        </w:rPr>
        <w:t>o</w:t>
      </w:r>
      <w:r w:rsidR="00621BD6" w:rsidRPr="008F5DAB">
        <w:rPr>
          <w:rFonts w:ascii="Verdana" w:hAnsi="Verdana"/>
          <w:color w:val="000000" w:themeColor="text1"/>
          <w:sz w:val="19"/>
          <w:szCs w:val="19"/>
        </w:rPr>
        <w:t>bservations</w:t>
      </w:r>
      <w:r w:rsidRPr="008F5DAB">
        <w:rPr>
          <w:rFonts w:ascii="Verdana" w:hAnsi="Verdana"/>
          <w:color w:val="000000" w:themeColor="text1"/>
          <w:sz w:val="19"/>
          <w:szCs w:val="19"/>
        </w:rPr>
        <w:t>, the Committee</w:t>
      </w:r>
      <w:r w:rsidR="00621BD6" w:rsidRPr="008F5DAB">
        <w:rPr>
          <w:rFonts w:ascii="Verdana" w:hAnsi="Verdana"/>
          <w:color w:val="000000" w:themeColor="text1"/>
          <w:sz w:val="19"/>
          <w:szCs w:val="19"/>
        </w:rPr>
        <w:t xml:space="preserve"> </w:t>
      </w:r>
      <w:r w:rsidR="00AB299E" w:rsidRPr="008F5DAB">
        <w:rPr>
          <w:rFonts w:ascii="Verdana" w:hAnsi="Verdana"/>
          <w:color w:val="000000" w:themeColor="text1"/>
          <w:sz w:val="19"/>
          <w:szCs w:val="19"/>
        </w:rPr>
        <w:t xml:space="preserve">expressed </w:t>
      </w:r>
      <w:r w:rsidR="00621BD6" w:rsidRPr="008F5DAB">
        <w:rPr>
          <w:rFonts w:ascii="Verdana" w:hAnsi="Verdana"/>
          <w:color w:val="000000" w:themeColor="text1"/>
          <w:sz w:val="19"/>
          <w:szCs w:val="19"/>
        </w:rPr>
        <w:t xml:space="preserve">concern at </w:t>
      </w:r>
      <w:r w:rsidR="0021120B" w:rsidRPr="008F5DAB">
        <w:rPr>
          <w:rFonts w:ascii="Verdana" w:hAnsi="Verdana"/>
          <w:color w:val="000000" w:themeColor="text1"/>
          <w:sz w:val="19"/>
          <w:szCs w:val="19"/>
        </w:rPr>
        <w:t xml:space="preserve">Tunisia’s </w:t>
      </w:r>
      <w:r w:rsidRPr="008F5DAB">
        <w:rPr>
          <w:rFonts w:ascii="Verdana" w:hAnsi="Verdana"/>
          <w:color w:val="000000" w:themeColor="text1"/>
          <w:sz w:val="19"/>
          <w:szCs w:val="19"/>
        </w:rPr>
        <w:t>delays in</w:t>
      </w:r>
      <w:r w:rsidR="00621BD6" w:rsidRPr="008F5DAB">
        <w:rPr>
          <w:rFonts w:ascii="Verdana" w:hAnsi="Verdana"/>
          <w:color w:val="000000" w:themeColor="text1"/>
          <w:sz w:val="19"/>
          <w:szCs w:val="19"/>
        </w:rPr>
        <w:t xml:space="preserve"> formally establish</w:t>
      </w:r>
      <w:r w:rsidRPr="008F5DAB">
        <w:rPr>
          <w:rFonts w:ascii="Verdana" w:hAnsi="Verdana"/>
          <w:color w:val="000000" w:themeColor="text1"/>
          <w:sz w:val="19"/>
          <w:szCs w:val="19"/>
        </w:rPr>
        <w:t>ing</w:t>
      </w:r>
      <w:r w:rsidR="001C1295" w:rsidRPr="008F5DAB">
        <w:rPr>
          <w:rFonts w:ascii="Verdana" w:hAnsi="Verdana"/>
          <w:color w:val="000000" w:themeColor="text1"/>
          <w:sz w:val="19"/>
          <w:szCs w:val="19"/>
        </w:rPr>
        <w:t xml:space="preserve"> </w:t>
      </w:r>
      <w:r w:rsidR="00621BD6" w:rsidRPr="008F5DAB">
        <w:rPr>
          <w:rFonts w:ascii="Verdana" w:hAnsi="Verdana"/>
          <w:color w:val="000000" w:themeColor="text1"/>
          <w:sz w:val="19"/>
          <w:szCs w:val="19"/>
        </w:rPr>
        <w:t>the Constitutional Court</w:t>
      </w:r>
      <w:r w:rsidR="00AF35D6" w:rsidRPr="008F5DAB">
        <w:rPr>
          <w:rFonts w:ascii="Verdana" w:hAnsi="Verdana"/>
          <w:color w:val="000000" w:themeColor="text1"/>
          <w:sz w:val="19"/>
          <w:szCs w:val="19"/>
        </w:rPr>
        <w:t>. Under the 2014 Constitution</w:t>
      </w:r>
      <w:r w:rsidR="001360A9">
        <w:rPr>
          <w:rFonts w:ascii="Verdana" w:hAnsi="Verdana"/>
          <w:color w:val="000000" w:themeColor="text1"/>
          <w:sz w:val="19"/>
          <w:szCs w:val="19"/>
        </w:rPr>
        <w:t xml:space="preserve"> </w:t>
      </w:r>
      <w:r w:rsidR="001360A9" w:rsidRPr="001360A9">
        <w:rPr>
          <w:rFonts w:ascii="Verdana" w:hAnsi="Verdana"/>
          <w:color w:val="000000" w:themeColor="text1"/>
          <w:sz w:val="19"/>
          <w:szCs w:val="19"/>
        </w:rPr>
        <w:t xml:space="preserve">– </w:t>
      </w:r>
      <w:r w:rsidR="001360A9">
        <w:rPr>
          <w:rFonts w:ascii="Verdana" w:hAnsi="Verdana"/>
          <w:color w:val="000000" w:themeColor="text1"/>
          <w:sz w:val="19"/>
          <w:szCs w:val="19"/>
        </w:rPr>
        <w:t xml:space="preserve">that is, the constitutional text in force at the time of the Committee’s review of Tunisia’s sixth periodic report </w:t>
      </w:r>
      <w:r w:rsidR="001360A9" w:rsidRPr="001360A9">
        <w:rPr>
          <w:rFonts w:ascii="Verdana" w:hAnsi="Verdana"/>
          <w:color w:val="000000" w:themeColor="text1"/>
          <w:sz w:val="19"/>
          <w:szCs w:val="19"/>
        </w:rPr>
        <w:t>–</w:t>
      </w:r>
      <w:r w:rsidR="00AF35D6" w:rsidRPr="008F5DAB">
        <w:rPr>
          <w:rFonts w:ascii="Verdana" w:hAnsi="Verdana"/>
          <w:color w:val="000000" w:themeColor="text1"/>
          <w:sz w:val="19"/>
          <w:szCs w:val="19"/>
        </w:rPr>
        <w:t xml:space="preserve"> the Court was </w:t>
      </w:r>
      <w:r w:rsidR="00EB7521" w:rsidRPr="008F5DAB">
        <w:rPr>
          <w:rFonts w:ascii="Verdana" w:hAnsi="Verdana"/>
          <w:color w:val="000000" w:themeColor="text1"/>
          <w:sz w:val="19"/>
          <w:szCs w:val="19"/>
        </w:rPr>
        <w:t xml:space="preserve">mandated to </w:t>
      </w:r>
      <w:r w:rsidR="0021120B" w:rsidRPr="008F5DAB">
        <w:rPr>
          <w:rFonts w:ascii="Verdana" w:hAnsi="Verdana"/>
          <w:sz w:val="19"/>
          <w:szCs w:val="19"/>
        </w:rPr>
        <w:t>ensur</w:t>
      </w:r>
      <w:r w:rsidR="00EB7521" w:rsidRPr="008F5DAB">
        <w:rPr>
          <w:rFonts w:ascii="Verdana" w:hAnsi="Verdana"/>
          <w:sz w:val="19"/>
          <w:szCs w:val="19"/>
        </w:rPr>
        <w:t>e</w:t>
      </w:r>
      <w:r w:rsidR="0021120B" w:rsidRPr="008F5DAB">
        <w:rPr>
          <w:rFonts w:ascii="Verdana" w:hAnsi="Verdana"/>
          <w:sz w:val="19"/>
          <w:szCs w:val="19"/>
        </w:rPr>
        <w:t xml:space="preserve"> that the actions of public authorities were in line with the </w:t>
      </w:r>
      <w:r w:rsidR="00AF35D6" w:rsidRPr="008F5DAB">
        <w:rPr>
          <w:rFonts w:ascii="Verdana" w:hAnsi="Verdana"/>
          <w:sz w:val="19"/>
          <w:szCs w:val="19"/>
        </w:rPr>
        <w:t>Constitution and</w:t>
      </w:r>
      <w:r w:rsidR="00EB7521" w:rsidRPr="008F5DAB">
        <w:rPr>
          <w:rFonts w:ascii="Verdana" w:hAnsi="Verdana"/>
          <w:sz w:val="19"/>
          <w:szCs w:val="19"/>
        </w:rPr>
        <w:t xml:space="preserve"> </w:t>
      </w:r>
      <w:r w:rsidR="00AF35D6" w:rsidRPr="008F5DAB">
        <w:rPr>
          <w:rFonts w:ascii="Verdana" w:hAnsi="Verdana"/>
          <w:sz w:val="19"/>
          <w:szCs w:val="19"/>
        </w:rPr>
        <w:t xml:space="preserve">was </w:t>
      </w:r>
      <w:r w:rsidR="0021120B" w:rsidRPr="008F5DAB">
        <w:rPr>
          <w:rFonts w:ascii="Verdana" w:hAnsi="Verdana"/>
          <w:sz w:val="19"/>
          <w:szCs w:val="19"/>
        </w:rPr>
        <w:t>responsible for reviewing and ruling on the constitutionality of</w:t>
      </w:r>
      <w:r w:rsidR="00197E15" w:rsidRPr="008F5DAB">
        <w:rPr>
          <w:rFonts w:ascii="Verdana" w:hAnsi="Verdana"/>
          <w:sz w:val="19"/>
          <w:szCs w:val="19"/>
        </w:rPr>
        <w:t xml:space="preserve">, </w:t>
      </w:r>
      <w:r w:rsidR="00197E15" w:rsidRPr="008F5DAB">
        <w:rPr>
          <w:rFonts w:ascii="Verdana" w:hAnsi="Verdana"/>
          <w:i/>
          <w:iCs/>
          <w:sz w:val="19"/>
          <w:szCs w:val="19"/>
        </w:rPr>
        <w:t>inter alia</w:t>
      </w:r>
      <w:r w:rsidR="00197E15" w:rsidRPr="008F5DAB">
        <w:rPr>
          <w:rFonts w:ascii="Verdana" w:hAnsi="Verdana"/>
          <w:sz w:val="19"/>
          <w:szCs w:val="19"/>
        </w:rPr>
        <w:t xml:space="preserve">, draft laws and </w:t>
      </w:r>
      <w:r w:rsidR="004E0D96" w:rsidRPr="008F5DAB">
        <w:rPr>
          <w:rFonts w:ascii="Verdana" w:hAnsi="Verdana"/>
          <w:sz w:val="19"/>
          <w:szCs w:val="19"/>
        </w:rPr>
        <w:t>presidential declarations relating to “exceptional circumstances</w:t>
      </w:r>
      <w:r w:rsidR="00AF35D6" w:rsidRPr="008F5DAB">
        <w:rPr>
          <w:rFonts w:ascii="Verdana" w:hAnsi="Verdana"/>
          <w:sz w:val="19"/>
          <w:szCs w:val="19"/>
        </w:rPr>
        <w:t>”</w:t>
      </w:r>
      <w:r w:rsidR="004E0D96" w:rsidRPr="008F5DAB">
        <w:rPr>
          <w:rFonts w:ascii="Verdana" w:hAnsi="Verdana"/>
          <w:sz w:val="19"/>
          <w:szCs w:val="19"/>
        </w:rPr>
        <w:t>.</w:t>
      </w:r>
      <w:r w:rsidR="0021120B" w:rsidRPr="008F5DAB">
        <w:rPr>
          <w:rFonts w:ascii="Verdana" w:hAnsi="Verdana"/>
          <w:sz w:val="19"/>
          <w:szCs w:val="19"/>
        </w:rPr>
        <w:t xml:space="preserve"> </w:t>
      </w:r>
    </w:p>
    <w:p w14:paraId="3BBE8959" w14:textId="2F16817E" w:rsidR="004E0D96" w:rsidRPr="008F5DAB" w:rsidRDefault="00200782" w:rsidP="00B30D6D">
      <w:pPr>
        <w:pStyle w:val="NormalWeb"/>
        <w:numPr>
          <w:ilvl w:val="0"/>
          <w:numId w:val="8"/>
        </w:numPr>
        <w:spacing w:beforeLines="120" w:before="288" w:beforeAutospacing="0" w:after="0" w:afterAutospacing="0"/>
        <w:ind w:left="641" w:hanging="357"/>
        <w:jc w:val="both"/>
        <w:rPr>
          <w:rFonts w:ascii="Verdana" w:hAnsi="Verdana"/>
          <w:sz w:val="19"/>
          <w:szCs w:val="19"/>
        </w:rPr>
      </w:pPr>
      <w:r w:rsidRPr="008F5DAB">
        <w:rPr>
          <w:rFonts w:ascii="Verdana" w:hAnsi="Verdana"/>
          <w:color w:val="000000"/>
          <w:sz w:val="19"/>
          <w:szCs w:val="19"/>
        </w:rPr>
        <w:t xml:space="preserve">ICJ </w:t>
      </w:r>
      <w:r w:rsidR="0012114B" w:rsidRPr="008F5DAB">
        <w:rPr>
          <w:rFonts w:ascii="Verdana" w:hAnsi="Verdana"/>
          <w:color w:val="000000"/>
          <w:sz w:val="19"/>
          <w:szCs w:val="19"/>
        </w:rPr>
        <w:t xml:space="preserve">apprised the Committee of the delays </w:t>
      </w:r>
      <w:r w:rsidR="007057B9">
        <w:rPr>
          <w:rFonts w:ascii="Verdana" w:hAnsi="Verdana"/>
          <w:color w:val="000000"/>
          <w:sz w:val="19"/>
          <w:szCs w:val="19"/>
        </w:rPr>
        <w:t>in</w:t>
      </w:r>
      <w:r w:rsidR="0012114B" w:rsidRPr="008F5DAB">
        <w:rPr>
          <w:rFonts w:ascii="Verdana" w:hAnsi="Verdana"/>
          <w:color w:val="000000"/>
          <w:sz w:val="19"/>
          <w:szCs w:val="19"/>
        </w:rPr>
        <w:t xml:space="preserve"> the establishment of the Constitutional Court in its </w:t>
      </w:r>
      <w:r w:rsidR="00124719" w:rsidRPr="008F5DAB">
        <w:rPr>
          <w:rFonts w:ascii="Verdana" w:hAnsi="Verdana"/>
          <w:color w:val="000000"/>
          <w:sz w:val="19"/>
          <w:szCs w:val="19"/>
        </w:rPr>
        <w:t xml:space="preserve">2020 </w:t>
      </w:r>
      <w:r w:rsidRPr="008F5DAB">
        <w:rPr>
          <w:rFonts w:ascii="Verdana" w:hAnsi="Verdana"/>
          <w:color w:val="000000"/>
          <w:sz w:val="19"/>
          <w:szCs w:val="19"/>
        </w:rPr>
        <w:t>submission</w:t>
      </w:r>
      <w:r w:rsidR="0012114B" w:rsidRPr="008F5DAB">
        <w:rPr>
          <w:rFonts w:ascii="Verdana" w:hAnsi="Verdana"/>
          <w:color w:val="000000"/>
          <w:sz w:val="19"/>
          <w:szCs w:val="19"/>
        </w:rPr>
        <w:t>, which stemmed largely from the inability of the Assembly of Peoples’ Representatives (APR) to reach a two-thirds majority for the nomination of its members to the Constitutional Court</w:t>
      </w:r>
      <w:r w:rsidR="0012114B" w:rsidRPr="008F5DAB">
        <w:rPr>
          <w:rFonts w:ascii="Verdana" w:hAnsi="Verdana"/>
          <w:sz w:val="19"/>
          <w:szCs w:val="19"/>
        </w:rPr>
        <w:t>.</w:t>
      </w:r>
      <w:r w:rsidR="00124719" w:rsidRPr="008F5DAB">
        <w:rPr>
          <w:rStyle w:val="FootnoteReference"/>
          <w:rFonts w:ascii="Verdana" w:hAnsi="Verdana"/>
          <w:sz w:val="19"/>
          <w:szCs w:val="19"/>
        </w:rPr>
        <w:footnoteReference w:id="5"/>
      </w:r>
    </w:p>
    <w:p w14:paraId="6B5CADC2" w14:textId="25DC2D36" w:rsidR="004E0D96" w:rsidRPr="008F5DAB" w:rsidRDefault="00F408B7" w:rsidP="00B30D6D">
      <w:pPr>
        <w:pStyle w:val="NormalWeb"/>
        <w:numPr>
          <w:ilvl w:val="0"/>
          <w:numId w:val="8"/>
        </w:numPr>
        <w:spacing w:beforeLines="120" w:before="288" w:beforeAutospacing="0" w:after="0" w:afterAutospacing="0"/>
        <w:ind w:left="641" w:hanging="357"/>
        <w:jc w:val="both"/>
        <w:rPr>
          <w:rFonts w:ascii="Verdana" w:hAnsi="Verdana"/>
          <w:sz w:val="19"/>
          <w:szCs w:val="19"/>
        </w:rPr>
      </w:pPr>
      <w:r w:rsidRPr="008F5DAB">
        <w:rPr>
          <w:rFonts w:ascii="Verdana" w:hAnsi="Verdana"/>
          <w:color w:val="000000"/>
          <w:sz w:val="19"/>
          <w:szCs w:val="19"/>
        </w:rPr>
        <w:t>In</w:t>
      </w:r>
      <w:r w:rsidR="00FE1DF4" w:rsidRPr="008F5DAB">
        <w:rPr>
          <w:rFonts w:ascii="Verdana" w:hAnsi="Verdana"/>
          <w:color w:val="000000"/>
          <w:sz w:val="19"/>
          <w:szCs w:val="19"/>
        </w:rPr>
        <w:t xml:space="preserve"> </w:t>
      </w:r>
      <w:r w:rsidR="0028071C" w:rsidRPr="008F5DAB">
        <w:rPr>
          <w:rFonts w:ascii="Verdana" w:hAnsi="Verdana"/>
          <w:color w:val="000000"/>
          <w:sz w:val="19"/>
          <w:szCs w:val="19"/>
        </w:rPr>
        <w:t>it</w:t>
      </w:r>
      <w:r w:rsidR="00EB7521" w:rsidRPr="008F5DAB">
        <w:rPr>
          <w:rFonts w:ascii="Verdana" w:hAnsi="Verdana"/>
          <w:color w:val="000000"/>
          <w:sz w:val="19"/>
          <w:szCs w:val="19"/>
        </w:rPr>
        <w:t>s</w:t>
      </w:r>
      <w:r w:rsidRPr="008F5DAB">
        <w:rPr>
          <w:rFonts w:ascii="Verdana" w:hAnsi="Verdana"/>
          <w:color w:val="000000"/>
          <w:sz w:val="19"/>
          <w:szCs w:val="19"/>
        </w:rPr>
        <w:t xml:space="preserve"> submission of </w:t>
      </w:r>
      <w:r w:rsidR="007057B9">
        <w:rPr>
          <w:rFonts w:ascii="Verdana" w:hAnsi="Verdana"/>
          <w:color w:val="000000"/>
          <w:sz w:val="19"/>
          <w:szCs w:val="19"/>
        </w:rPr>
        <w:t>follow-up</w:t>
      </w:r>
      <w:r w:rsidR="007057B9" w:rsidRPr="008F5DAB">
        <w:rPr>
          <w:rFonts w:ascii="Verdana" w:hAnsi="Verdana"/>
          <w:color w:val="000000"/>
          <w:sz w:val="19"/>
          <w:szCs w:val="19"/>
        </w:rPr>
        <w:t xml:space="preserve"> </w:t>
      </w:r>
      <w:r w:rsidRPr="008F5DAB">
        <w:rPr>
          <w:rFonts w:ascii="Verdana" w:hAnsi="Verdana"/>
          <w:color w:val="000000"/>
          <w:sz w:val="19"/>
          <w:szCs w:val="19"/>
        </w:rPr>
        <w:t xml:space="preserve">information to the Committee of April 2022, </w:t>
      </w:r>
      <w:r w:rsidR="0028071C" w:rsidRPr="008F5DAB">
        <w:rPr>
          <w:rFonts w:ascii="Verdana" w:hAnsi="Verdana"/>
          <w:color w:val="000000"/>
          <w:sz w:val="19"/>
          <w:szCs w:val="19"/>
        </w:rPr>
        <w:t xml:space="preserve">Tunisia </w:t>
      </w:r>
      <w:r w:rsidRPr="008F5DAB">
        <w:rPr>
          <w:rFonts w:ascii="Verdana" w:hAnsi="Verdana"/>
          <w:color w:val="000000"/>
          <w:sz w:val="19"/>
          <w:szCs w:val="19"/>
        </w:rPr>
        <w:t>note</w:t>
      </w:r>
      <w:r w:rsidR="0028071C" w:rsidRPr="008F5DAB">
        <w:rPr>
          <w:rFonts w:ascii="Verdana" w:hAnsi="Verdana"/>
          <w:color w:val="000000"/>
          <w:sz w:val="19"/>
          <w:szCs w:val="19"/>
        </w:rPr>
        <w:t>d</w:t>
      </w:r>
      <w:r w:rsidRPr="008F5DAB">
        <w:rPr>
          <w:rFonts w:ascii="Verdana" w:hAnsi="Verdana"/>
          <w:color w:val="000000"/>
          <w:sz w:val="19"/>
          <w:szCs w:val="19"/>
        </w:rPr>
        <w:t xml:space="preserve"> its efforts to </w:t>
      </w:r>
      <w:r w:rsidR="00D86AB9" w:rsidRPr="008F5DAB">
        <w:rPr>
          <w:rFonts w:ascii="Verdana" w:hAnsi="Verdana"/>
          <w:color w:val="000000"/>
          <w:sz w:val="19"/>
          <w:szCs w:val="19"/>
        </w:rPr>
        <w:t xml:space="preserve">facilitate the </w:t>
      </w:r>
      <w:r w:rsidRPr="008F5DAB">
        <w:rPr>
          <w:rFonts w:ascii="Verdana" w:hAnsi="Verdana"/>
          <w:color w:val="000000"/>
          <w:sz w:val="19"/>
          <w:szCs w:val="19"/>
        </w:rPr>
        <w:t>establish</w:t>
      </w:r>
      <w:r w:rsidR="00D86AB9" w:rsidRPr="008F5DAB">
        <w:rPr>
          <w:rFonts w:ascii="Verdana" w:hAnsi="Verdana"/>
          <w:color w:val="000000"/>
          <w:sz w:val="19"/>
          <w:szCs w:val="19"/>
        </w:rPr>
        <w:t>ment of</w:t>
      </w:r>
      <w:r w:rsidRPr="008F5DAB">
        <w:rPr>
          <w:rFonts w:ascii="Verdana" w:hAnsi="Verdana"/>
          <w:color w:val="000000"/>
          <w:sz w:val="19"/>
          <w:szCs w:val="19"/>
        </w:rPr>
        <w:t xml:space="preserve"> the Constitutional Court through the amendment of Organic </w:t>
      </w:r>
      <w:r w:rsidR="0028071C" w:rsidRPr="008F5DAB">
        <w:rPr>
          <w:rFonts w:ascii="Verdana" w:hAnsi="Verdana"/>
          <w:color w:val="000000"/>
          <w:sz w:val="19"/>
          <w:szCs w:val="19"/>
        </w:rPr>
        <w:t xml:space="preserve">Law </w:t>
      </w:r>
      <w:r w:rsidRPr="008F5DAB">
        <w:rPr>
          <w:rFonts w:ascii="Verdana" w:hAnsi="Verdana"/>
          <w:color w:val="000000"/>
          <w:sz w:val="19"/>
          <w:szCs w:val="19"/>
        </w:rPr>
        <w:t xml:space="preserve">No. 50 of 2015. </w:t>
      </w:r>
      <w:r w:rsidR="0028071C" w:rsidRPr="008F5DAB">
        <w:rPr>
          <w:rFonts w:ascii="Verdana" w:hAnsi="Verdana"/>
          <w:color w:val="000000"/>
          <w:sz w:val="19"/>
          <w:szCs w:val="19"/>
        </w:rPr>
        <w:t>The ICJ notes, h</w:t>
      </w:r>
      <w:r w:rsidR="00D86AB9" w:rsidRPr="008F5DAB">
        <w:rPr>
          <w:rFonts w:ascii="Verdana" w:hAnsi="Verdana"/>
          <w:color w:val="000000"/>
          <w:sz w:val="19"/>
          <w:szCs w:val="19"/>
        </w:rPr>
        <w:t>owever,</w:t>
      </w:r>
      <w:r w:rsidR="004A6153" w:rsidRPr="008F5DAB">
        <w:rPr>
          <w:rFonts w:ascii="Verdana" w:hAnsi="Verdana"/>
          <w:color w:val="000000"/>
          <w:sz w:val="19"/>
          <w:szCs w:val="19"/>
        </w:rPr>
        <w:t xml:space="preserve"> </w:t>
      </w:r>
      <w:r w:rsidR="0028071C" w:rsidRPr="008F5DAB">
        <w:rPr>
          <w:rFonts w:ascii="Verdana" w:hAnsi="Verdana"/>
          <w:color w:val="000000"/>
          <w:sz w:val="19"/>
          <w:szCs w:val="19"/>
        </w:rPr>
        <w:t xml:space="preserve">that </w:t>
      </w:r>
      <w:r w:rsidR="004A6153" w:rsidRPr="008F5DAB">
        <w:rPr>
          <w:rFonts w:ascii="Verdana" w:hAnsi="Verdana"/>
          <w:color w:val="000000"/>
          <w:sz w:val="19"/>
          <w:szCs w:val="19"/>
        </w:rPr>
        <w:t>in April 2021,</w:t>
      </w:r>
      <w:r w:rsidR="00D86AB9" w:rsidRPr="008F5DAB">
        <w:rPr>
          <w:rFonts w:ascii="Verdana" w:hAnsi="Verdana"/>
          <w:color w:val="000000"/>
          <w:sz w:val="19"/>
          <w:szCs w:val="19"/>
        </w:rPr>
        <w:t xml:space="preserve"> despite parliamentary consensus</w:t>
      </w:r>
      <w:r w:rsidR="007057B9">
        <w:rPr>
          <w:rFonts w:ascii="Verdana" w:hAnsi="Verdana"/>
          <w:color w:val="000000"/>
          <w:sz w:val="19"/>
          <w:szCs w:val="19"/>
        </w:rPr>
        <w:t xml:space="preserve"> on </w:t>
      </w:r>
      <w:r w:rsidR="007057B9" w:rsidRPr="008F5DAB">
        <w:rPr>
          <w:rFonts w:ascii="Verdana" w:hAnsi="Verdana"/>
          <w:color w:val="000000"/>
          <w:sz w:val="19"/>
          <w:szCs w:val="19"/>
        </w:rPr>
        <w:t>the amendment to the Organic Law</w:t>
      </w:r>
      <w:r w:rsidR="00D86AB9" w:rsidRPr="008F5DAB">
        <w:rPr>
          <w:rFonts w:ascii="Verdana" w:hAnsi="Verdana"/>
          <w:color w:val="000000"/>
          <w:sz w:val="19"/>
          <w:szCs w:val="19"/>
        </w:rPr>
        <w:t xml:space="preserve">, </w:t>
      </w:r>
      <w:r w:rsidR="004E0D96" w:rsidRPr="008F5DAB">
        <w:rPr>
          <w:rFonts w:ascii="Verdana" w:hAnsi="Verdana"/>
          <w:color w:val="000000"/>
          <w:sz w:val="19"/>
          <w:szCs w:val="19"/>
        </w:rPr>
        <w:t xml:space="preserve">the </w:t>
      </w:r>
      <w:r w:rsidR="00FF79A8" w:rsidRPr="008F5DAB">
        <w:rPr>
          <w:rFonts w:ascii="Verdana" w:hAnsi="Verdana"/>
          <w:color w:val="000000"/>
          <w:sz w:val="19"/>
          <w:szCs w:val="19"/>
        </w:rPr>
        <w:t>President</w:t>
      </w:r>
      <w:r w:rsidR="0028071C" w:rsidRPr="008F5DAB">
        <w:rPr>
          <w:rFonts w:ascii="Verdana" w:hAnsi="Verdana"/>
          <w:color w:val="000000"/>
          <w:sz w:val="19"/>
          <w:szCs w:val="19"/>
        </w:rPr>
        <w:t xml:space="preserve"> </w:t>
      </w:r>
      <w:r w:rsidR="0028071C" w:rsidRPr="008F5DAB">
        <w:rPr>
          <w:rFonts w:ascii="Verdana" w:hAnsi="Verdana"/>
          <w:color w:val="000000"/>
          <w:sz w:val="19"/>
          <w:szCs w:val="19"/>
        </w:rPr>
        <w:lastRenderedPageBreak/>
        <w:t>of Tunisia</w:t>
      </w:r>
      <w:r w:rsidR="00FF79A8" w:rsidRPr="008F5DAB">
        <w:rPr>
          <w:rFonts w:ascii="Verdana" w:hAnsi="Verdana"/>
          <w:color w:val="000000"/>
          <w:sz w:val="19"/>
          <w:szCs w:val="19"/>
        </w:rPr>
        <w:t xml:space="preserve"> </w:t>
      </w:r>
      <w:r w:rsidR="00D86AB9" w:rsidRPr="008F5DAB">
        <w:rPr>
          <w:rFonts w:ascii="Verdana" w:hAnsi="Verdana"/>
          <w:color w:val="000000"/>
          <w:sz w:val="19"/>
          <w:szCs w:val="19"/>
        </w:rPr>
        <w:t xml:space="preserve">refused to </w:t>
      </w:r>
      <w:r w:rsidR="0028071C" w:rsidRPr="008F5DAB">
        <w:rPr>
          <w:rFonts w:ascii="Verdana" w:hAnsi="Verdana"/>
          <w:color w:val="000000"/>
          <w:sz w:val="19"/>
          <w:szCs w:val="19"/>
        </w:rPr>
        <w:t xml:space="preserve">promulgate </w:t>
      </w:r>
      <w:r w:rsidR="007057B9">
        <w:rPr>
          <w:rFonts w:ascii="Verdana" w:hAnsi="Verdana"/>
          <w:color w:val="000000"/>
          <w:sz w:val="19"/>
          <w:szCs w:val="19"/>
        </w:rPr>
        <w:t xml:space="preserve">such </w:t>
      </w:r>
      <w:r w:rsidR="00D67384" w:rsidRPr="008F5DAB">
        <w:rPr>
          <w:rFonts w:ascii="Verdana" w:hAnsi="Verdana"/>
          <w:color w:val="000000"/>
          <w:sz w:val="19"/>
          <w:szCs w:val="19"/>
        </w:rPr>
        <w:t>amendment</w:t>
      </w:r>
      <w:r w:rsidR="00EB7521" w:rsidRPr="008F5DAB">
        <w:rPr>
          <w:rFonts w:ascii="Verdana" w:hAnsi="Verdana"/>
          <w:color w:val="000000"/>
          <w:sz w:val="19"/>
          <w:szCs w:val="19"/>
        </w:rPr>
        <w:t xml:space="preserve"> </w:t>
      </w:r>
      <w:r w:rsidR="00D86AB9" w:rsidRPr="008F5DAB">
        <w:rPr>
          <w:rFonts w:ascii="Verdana" w:hAnsi="Verdana"/>
          <w:color w:val="000000"/>
          <w:sz w:val="19"/>
          <w:szCs w:val="19"/>
        </w:rPr>
        <w:t xml:space="preserve">on the </w:t>
      </w:r>
      <w:r w:rsidR="004E0D96" w:rsidRPr="00B30D6D">
        <w:rPr>
          <w:rFonts w:ascii="Verdana" w:hAnsi="Verdana"/>
          <w:color w:val="000000"/>
          <w:sz w:val="19"/>
          <w:szCs w:val="19"/>
        </w:rPr>
        <w:t xml:space="preserve">legally dubious </w:t>
      </w:r>
      <w:r w:rsidR="00D86AB9" w:rsidRPr="00B30D6D">
        <w:rPr>
          <w:rFonts w:ascii="Verdana" w:hAnsi="Verdana"/>
          <w:color w:val="000000"/>
          <w:sz w:val="19"/>
          <w:szCs w:val="19"/>
        </w:rPr>
        <w:t>basis</w:t>
      </w:r>
      <w:r w:rsidR="00D86AB9" w:rsidRPr="008F5DAB">
        <w:rPr>
          <w:rFonts w:ascii="Verdana" w:hAnsi="Verdana"/>
          <w:color w:val="000000"/>
          <w:sz w:val="19"/>
          <w:szCs w:val="19"/>
        </w:rPr>
        <w:t xml:space="preserve"> that the deadline for establishing the Court had passed.</w:t>
      </w:r>
      <w:r w:rsidR="00D86AB9" w:rsidRPr="008F5DAB">
        <w:rPr>
          <w:rStyle w:val="FootnoteReference"/>
          <w:rFonts w:ascii="Verdana" w:hAnsi="Verdana"/>
          <w:color w:val="111111"/>
          <w:sz w:val="19"/>
          <w:szCs w:val="19"/>
          <w:shd w:val="clear" w:color="auto" w:fill="FFFFFF"/>
        </w:rPr>
        <w:footnoteReference w:id="6"/>
      </w:r>
      <w:r w:rsidR="00D86AB9" w:rsidRPr="008F5DAB">
        <w:rPr>
          <w:rFonts w:ascii="Verdana" w:hAnsi="Verdana"/>
          <w:color w:val="000000"/>
          <w:sz w:val="19"/>
          <w:szCs w:val="19"/>
        </w:rPr>
        <w:t xml:space="preserve"> </w:t>
      </w:r>
    </w:p>
    <w:p w14:paraId="4A8A0DA5" w14:textId="268446E5" w:rsidR="00EB7521" w:rsidRPr="008F5DAB" w:rsidRDefault="004E0D96" w:rsidP="00B30D6D">
      <w:pPr>
        <w:pStyle w:val="NormalWeb"/>
        <w:numPr>
          <w:ilvl w:val="0"/>
          <w:numId w:val="7"/>
        </w:numPr>
        <w:spacing w:beforeLines="120" w:before="288" w:beforeAutospacing="0" w:after="0" w:afterAutospacing="0"/>
        <w:ind w:left="641" w:hanging="357"/>
        <w:jc w:val="both"/>
        <w:rPr>
          <w:rFonts w:ascii="Verdana" w:hAnsi="Verdana"/>
          <w:color w:val="000000"/>
          <w:sz w:val="19"/>
          <w:szCs w:val="19"/>
        </w:rPr>
      </w:pPr>
      <w:r w:rsidRPr="008F5DAB">
        <w:rPr>
          <w:rFonts w:ascii="Verdana" w:hAnsi="Verdana"/>
          <w:color w:val="000000"/>
          <w:sz w:val="19"/>
          <w:szCs w:val="19"/>
        </w:rPr>
        <w:t>The</w:t>
      </w:r>
      <w:r w:rsidR="00543B54" w:rsidRPr="008F5DAB">
        <w:rPr>
          <w:rFonts w:ascii="Verdana" w:hAnsi="Verdana"/>
          <w:color w:val="000000"/>
          <w:sz w:val="19"/>
          <w:szCs w:val="19"/>
        </w:rPr>
        <w:t xml:space="preserve"> </w:t>
      </w:r>
      <w:r w:rsidR="00291573">
        <w:rPr>
          <w:rFonts w:ascii="Verdana" w:hAnsi="Verdana"/>
          <w:color w:val="000000"/>
          <w:sz w:val="19"/>
          <w:szCs w:val="19"/>
        </w:rPr>
        <w:t xml:space="preserve">failure to establish </w:t>
      </w:r>
      <w:r w:rsidR="00543B54" w:rsidRPr="008F5DAB">
        <w:rPr>
          <w:rFonts w:ascii="Verdana" w:hAnsi="Verdana"/>
          <w:color w:val="000000"/>
          <w:sz w:val="19"/>
          <w:szCs w:val="19"/>
        </w:rPr>
        <w:t xml:space="preserve">a constitutional court has </w:t>
      </w:r>
      <w:r w:rsidR="00291573">
        <w:rPr>
          <w:rFonts w:ascii="Verdana" w:hAnsi="Verdana"/>
          <w:color w:val="000000"/>
          <w:sz w:val="19"/>
          <w:szCs w:val="19"/>
        </w:rPr>
        <w:t>facilitated</w:t>
      </w:r>
      <w:r w:rsidR="00543B54" w:rsidRPr="008F5DAB">
        <w:rPr>
          <w:rFonts w:ascii="Verdana" w:hAnsi="Verdana"/>
          <w:color w:val="000000"/>
          <w:sz w:val="19"/>
          <w:szCs w:val="19"/>
        </w:rPr>
        <w:t xml:space="preserve"> a significant deterioration of the rule of law in Tunisia</w:t>
      </w:r>
      <w:r w:rsidR="009E4934">
        <w:rPr>
          <w:rFonts w:ascii="Verdana" w:hAnsi="Verdana"/>
          <w:color w:val="000000"/>
          <w:sz w:val="19"/>
          <w:szCs w:val="19"/>
        </w:rPr>
        <w:t>. With respect to this</w:t>
      </w:r>
      <w:r w:rsidRPr="008F5DAB">
        <w:rPr>
          <w:rFonts w:ascii="Verdana" w:hAnsi="Verdana"/>
          <w:color w:val="000000"/>
          <w:sz w:val="19"/>
          <w:szCs w:val="19"/>
        </w:rPr>
        <w:t xml:space="preserve">, </w:t>
      </w:r>
      <w:r w:rsidRPr="008F5DAB">
        <w:rPr>
          <w:rFonts w:ascii="Verdana" w:hAnsi="Verdana"/>
          <w:sz w:val="19"/>
          <w:szCs w:val="19"/>
        </w:rPr>
        <w:t>o</w:t>
      </w:r>
      <w:r w:rsidR="00EB7521" w:rsidRPr="008F5DAB">
        <w:rPr>
          <w:rFonts w:ascii="Verdana" w:hAnsi="Verdana"/>
          <w:sz w:val="19"/>
          <w:szCs w:val="19"/>
        </w:rPr>
        <w:t xml:space="preserve">n 25 July 2021, invoking article 80 of the 2014 Constitution on exceptional measures, </w:t>
      </w:r>
      <w:r w:rsidR="00FF79A8" w:rsidRPr="008F5DAB">
        <w:rPr>
          <w:rFonts w:ascii="Verdana" w:hAnsi="Verdana"/>
          <w:sz w:val="19"/>
          <w:szCs w:val="19"/>
        </w:rPr>
        <w:t>the President</w:t>
      </w:r>
      <w:r w:rsidR="00EB7521" w:rsidRPr="008F5DAB">
        <w:rPr>
          <w:rFonts w:ascii="Verdana" w:hAnsi="Verdana"/>
          <w:sz w:val="19"/>
          <w:szCs w:val="19"/>
        </w:rPr>
        <w:t xml:space="preserve"> declared himself the head of the executive branch and suspended the Parliament.</w:t>
      </w:r>
      <w:r w:rsidR="00F47251" w:rsidRPr="008F5DAB">
        <w:rPr>
          <w:rStyle w:val="FootnoteReference"/>
          <w:rFonts w:ascii="Verdana" w:hAnsi="Verdana"/>
          <w:sz w:val="19"/>
          <w:szCs w:val="19"/>
        </w:rPr>
        <w:footnoteReference w:id="7"/>
      </w:r>
      <w:r w:rsidR="00EB7521" w:rsidRPr="008F5DAB">
        <w:rPr>
          <w:rFonts w:ascii="Verdana" w:hAnsi="Verdana"/>
          <w:sz w:val="19"/>
          <w:szCs w:val="19"/>
        </w:rPr>
        <w:t xml:space="preserve"> </w:t>
      </w:r>
      <w:r w:rsidR="00FF79A8" w:rsidRPr="008F5DAB">
        <w:rPr>
          <w:rFonts w:ascii="Verdana" w:hAnsi="Verdana"/>
          <w:sz w:val="19"/>
          <w:szCs w:val="19"/>
        </w:rPr>
        <w:t>Based on</w:t>
      </w:r>
      <w:r w:rsidR="00EB7521" w:rsidRPr="008F5DAB">
        <w:rPr>
          <w:rFonts w:ascii="Verdana" w:hAnsi="Verdana"/>
          <w:sz w:val="19"/>
          <w:szCs w:val="19"/>
        </w:rPr>
        <w:t xml:space="preserve"> the “state of exception”, he adopted the following Decrees:</w:t>
      </w:r>
    </w:p>
    <w:p w14:paraId="6E5AB54A" w14:textId="77777777" w:rsidR="00EB7521" w:rsidRPr="008F5DAB" w:rsidRDefault="00EB7521" w:rsidP="00B30D6D">
      <w:pPr>
        <w:pStyle w:val="ListParagraph"/>
        <w:numPr>
          <w:ilvl w:val="1"/>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No. 69 of 26 July 2021, terminating the duties of the Head and members of Government;</w:t>
      </w:r>
    </w:p>
    <w:p w14:paraId="220A6DC6" w14:textId="77777777" w:rsidR="00EB7521" w:rsidRPr="008F5DAB" w:rsidRDefault="00EB7521" w:rsidP="00B30D6D">
      <w:pPr>
        <w:pStyle w:val="ListParagraph"/>
        <w:numPr>
          <w:ilvl w:val="1"/>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No. 80 of 29 July 2021, suspending the Parliament and lifting the immunity of its members for one month, starting from 25 July 2021;</w:t>
      </w:r>
    </w:p>
    <w:p w14:paraId="678034E8" w14:textId="77777777" w:rsidR="00EB7521" w:rsidRPr="008F5DAB" w:rsidRDefault="00EB7521" w:rsidP="00B30D6D">
      <w:pPr>
        <w:pStyle w:val="ListParagraph"/>
        <w:numPr>
          <w:ilvl w:val="1"/>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No. 109 of 24 August 2021, extending the exceptional measures on the suspension of the Parliament and lifting the immunity of its members until further notice;</w:t>
      </w:r>
    </w:p>
    <w:p w14:paraId="5B337AA3" w14:textId="521D4ABE" w:rsidR="00EB7521" w:rsidRPr="008F5DAB" w:rsidRDefault="00EB7521" w:rsidP="00B30D6D">
      <w:pPr>
        <w:pStyle w:val="ListParagraph"/>
        <w:numPr>
          <w:ilvl w:val="1"/>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 xml:space="preserve">No. 117 of 22 September 2021 on exceptional measures, suspending most of the 2014 Constitution, </w:t>
      </w:r>
      <w:r w:rsidR="009E4934">
        <w:rPr>
          <w:rFonts w:ascii="Verdana" w:hAnsi="Verdana"/>
          <w:sz w:val="19"/>
          <w:szCs w:val="19"/>
        </w:rPr>
        <w:t xml:space="preserve">arrogating to </w:t>
      </w:r>
      <w:r w:rsidRPr="008F5DAB">
        <w:rPr>
          <w:rFonts w:ascii="Verdana" w:hAnsi="Verdana"/>
          <w:sz w:val="19"/>
          <w:szCs w:val="19"/>
        </w:rPr>
        <w:t xml:space="preserve">himself full executive and legislative powers, including to rule and legislate by decree, and removing the Provisional Instance, which had been </w:t>
      </w:r>
      <w:r w:rsidR="0028071C" w:rsidRPr="008F5DAB">
        <w:rPr>
          <w:rFonts w:ascii="Verdana" w:hAnsi="Verdana"/>
          <w:sz w:val="19"/>
          <w:szCs w:val="19"/>
        </w:rPr>
        <w:t xml:space="preserve">created </w:t>
      </w:r>
      <w:r w:rsidRPr="008F5DAB">
        <w:rPr>
          <w:rFonts w:ascii="Verdana" w:hAnsi="Verdana"/>
          <w:sz w:val="19"/>
          <w:szCs w:val="19"/>
        </w:rPr>
        <w:t xml:space="preserve">pursuant to the 2014 Constitution to verify the constitutionality of draft laws until the establishment of a Constitutional Court; </w:t>
      </w:r>
      <w:r w:rsidR="00851A0D" w:rsidRPr="008F5DAB">
        <w:rPr>
          <w:rFonts w:ascii="Verdana" w:hAnsi="Verdana"/>
          <w:sz w:val="19"/>
          <w:szCs w:val="19"/>
        </w:rPr>
        <w:t>and</w:t>
      </w:r>
    </w:p>
    <w:p w14:paraId="112DC511" w14:textId="45E54526" w:rsidR="004E0D96" w:rsidRPr="008F5DAB" w:rsidRDefault="00EB7521" w:rsidP="00B30D6D">
      <w:pPr>
        <w:pStyle w:val="ListParagraph"/>
        <w:numPr>
          <w:ilvl w:val="1"/>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Nos. 137 and 138 of 11 October 2021, pertaining to the appointment of the Head and members of Government, respectively</w:t>
      </w:r>
      <w:r w:rsidR="00851A0D" w:rsidRPr="008F5DAB">
        <w:rPr>
          <w:rFonts w:ascii="Verdana" w:hAnsi="Verdana"/>
          <w:sz w:val="19"/>
          <w:szCs w:val="19"/>
        </w:rPr>
        <w:t>.</w:t>
      </w:r>
    </w:p>
    <w:p w14:paraId="7FC98E2B" w14:textId="6A34717F" w:rsidR="00FF79A8" w:rsidRPr="008F5DAB" w:rsidRDefault="00FF79A8" w:rsidP="00B30D6D">
      <w:pPr>
        <w:pStyle w:val="ListParagraph"/>
        <w:numPr>
          <w:ilvl w:val="0"/>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In the absence of the Constitutional Court, the President’s actions proceeded without due scrutiny</w:t>
      </w:r>
      <w:r w:rsidR="008A3611" w:rsidRPr="008F5DAB">
        <w:rPr>
          <w:rFonts w:ascii="Verdana" w:hAnsi="Verdana"/>
          <w:sz w:val="19"/>
          <w:szCs w:val="19"/>
        </w:rPr>
        <w:t xml:space="preserve"> and </w:t>
      </w:r>
      <w:r w:rsidR="009E4934">
        <w:rPr>
          <w:rFonts w:ascii="Verdana" w:hAnsi="Verdana"/>
          <w:sz w:val="19"/>
          <w:szCs w:val="19"/>
        </w:rPr>
        <w:t xml:space="preserve">eschewed any </w:t>
      </w:r>
      <w:r w:rsidR="008A3611" w:rsidRPr="008F5DAB">
        <w:rPr>
          <w:rFonts w:ascii="Verdana" w:hAnsi="Verdana"/>
          <w:sz w:val="19"/>
          <w:szCs w:val="19"/>
        </w:rPr>
        <w:t>accountability</w:t>
      </w:r>
      <w:r w:rsidRPr="008F5DAB">
        <w:rPr>
          <w:rFonts w:ascii="Verdana" w:hAnsi="Verdana"/>
          <w:sz w:val="19"/>
          <w:szCs w:val="19"/>
        </w:rPr>
        <w:t>.</w:t>
      </w:r>
      <w:r w:rsidR="008A3611" w:rsidRPr="008F5DAB">
        <w:rPr>
          <w:rFonts w:ascii="Verdana" w:hAnsi="Verdana"/>
          <w:sz w:val="19"/>
          <w:szCs w:val="19"/>
        </w:rPr>
        <w:t xml:space="preserve"> </w:t>
      </w:r>
      <w:r w:rsidR="0028071C" w:rsidRPr="008F5DAB">
        <w:rPr>
          <w:rFonts w:ascii="Verdana" w:hAnsi="Verdana"/>
          <w:sz w:val="19"/>
          <w:szCs w:val="19"/>
        </w:rPr>
        <w:t>T</w:t>
      </w:r>
      <w:r w:rsidRPr="008F5DAB">
        <w:rPr>
          <w:rFonts w:ascii="Verdana" w:hAnsi="Verdana"/>
          <w:sz w:val="19"/>
          <w:szCs w:val="19"/>
        </w:rPr>
        <w:t>he Provisional Instance</w:t>
      </w:r>
      <w:r w:rsidR="008A3611" w:rsidRPr="008F5DAB">
        <w:rPr>
          <w:rFonts w:ascii="Verdana" w:hAnsi="Verdana"/>
          <w:sz w:val="19"/>
          <w:szCs w:val="19"/>
        </w:rPr>
        <w:t xml:space="preserve"> was</w:t>
      </w:r>
      <w:r w:rsidRPr="008F5DAB">
        <w:rPr>
          <w:rFonts w:ascii="Verdana" w:hAnsi="Verdana"/>
          <w:sz w:val="19"/>
          <w:szCs w:val="19"/>
        </w:rPr>
        <w:t xml:space="preserve"> only entrusted with the review of draft laws before promulgation and did not fulfil the other functions of a Constitutional Court, </w:t>
      </w:r>
      <w:r w:rsidR="008A3611" w:rsidRPr="008F5DAB">
        <w:rPr>
          <w:rFonts w:ascii="Verdana" w:hAnsi="Verdana"/>
          <w:sz w:val="19"/>
          <w:szCs w:val="19"/>
        </w:rPr>
        <w:t>including</w:t>
      </w:r>
      <w:r w:rsidRPr="008F5DAB">
        <w:rPr>
          <w:rFonts w:ascii="Verdana" w:hAnsi="Verdana"/>
          <w:sz w:val="19"/>
          <w:szCs w:val="19"/>
        </w:rPr>
        <w:t xml:space="preserve"> the review of “exceptional circumstances” further to a declaration of a “state of exception”</w:t>
      </w:r>
      <w:r w:rsidR="008A3611" w:rsidRPr="008F5DAB">
        <w:rPr>
          <w:rFonts w:ascii="Verdana" w:hAnsi="Verdana"/>
          <w:sz w:val="19"/>
          <w:szCs w:val="19"/>
        </w:rPr>
        <w:t xml:space="preserve"> by the President.</w:t>
      </w:r>
      <w:r w:rsidRPr="008F5DAB">
        <w:rPr>
          <w:rFonts w:ascii="Verdana" w:hAnsi="Verdana"/>
          <w:sz w:val="19"/>
          <w:szCs w:val="19"/>
        </w:rPr>
        <w:t xml:space="preserve"> </w:t>
      </w:r>
      <w:r w:rsidR="008A3611" w:rsidRPr="008F5DAB">
        <w:rPr>
          <w:rFonts w:ascii="Verdana" w:hAnsi="Verdana"/>
          <w:sz w:val="19"/>
          <w:szCs w:val="19"/>
        </w:rPr>
        <w:t xml:space="preserve">In any event, </w:t>
      </w:r>
      <w:r w:rsidRPr="008F5DAB">
        <w:rPr>
          <w:rFonts w:ascii="Verdana" w:hAnsi="Verdana"/>
          <w:sz w:val="19"/>
          <w:szCs w:val="19"/>
        </w:rPr>
        <w:t xml:space="preserve">Decree 2021-117 </w:t>
      </w:r>
      <w:r w:rsidR="0012114B" w:rsidRPr="008F5DAB">
        <w:rPr>
          <w:rFonts w:ascii="Verdana" w:hAnsi="Verdana"/>
          <w:sz w:val="19"/>
          <w:szCs w:val="19"/>
        </w:rPr>
        <w:t xml:space="preserve">issued by the President </w:t>
      </w:r>
      <w:r w:rsidRPr="008F5DAB">
        <w:rPr>
          <w:rFonts w:ascii="Verdana" w:hAnsi="Verdana"/>
          <w:sz w:val="19"/>
          <w:szCs w:val="19"/>
        </w:rPr>
        <w:t>in September 2021</w:t>
      </w:r>
      <w:r w:rsidR="009E4934">
        <w:rPr>
          <w:rFonts w:ascii="Verdana" w:hAnsi="Verdana"/>
          <w:sz w:val="19"/>
          <w:szCs w:val="19"/>
        </w:rPr>
        <w:t xml:space="preserve"> </w:t>
      </w:r>
      <w:r w:rsidR="009E4934" w:rsidRPr="008F5DAB">
        <w:rPr>
          <w:rFonts w:ascii="Verdana" w:hAnsi="Verdana"/>
          <w:sz w:val="19"/>
          <w:szCs w:val="19"/>
        </w:rPr>
        <w:t xml:space="preserve">dissolved </w:t>
      </w:r>
      <w:r w:rsidR="009E4934">
        <w:rPr>
          <w:rFonts w:ascii="Verdana" w:hAnsi="Verdana"/>
          <w:sz w:val="19"/>
          <w:szCs w:val="19"/>
        </w:rPr>
        <w:t xml:space="preserve">the </w:t>
      </w:r>
      <w:r w:rsidR="009E4934" w:rsidRPr="008F5DAB">
        <w:rPr>
          <w:rFonts w:ascii="Verdana" w:hAnsi="Verdana"/>
          <w:sz w:val="19"/>
          <w:szCs w:val="19"/>
        </w:rPr>
        <w:t>Provisional Instance</w:t>
      </w:r>
      <w:r w:rsidR="0012114B" w:rsidRPr="008F5DAB">
        <w:rPr>
          <w:rFonts w:ascii="Verdana" w:hAnsi="Verdana"/>
          <w:sz w:val="19"/>
          <w:szCs w:val="19"/>
        </w:rPr>
        <w:t>.</w:t>
      </w:r>
    </w:p>
    <w:p w14:paraId="00836131" w14:textId="79C06C07" w:rsidR="00E5742F" w:rsidRPr="00B30D6D" w:rsidRDefault="008A3611" w:rsidP="00B30D6D">
      <w:pPr>
        <w:pStyle w:val="ListParagraph"/>
        <w:numPr>
          <w:ilvl w:val="0"/>
          <w:numId w:val="7"/>
        </w:numPr>
        <w:spacing w:beforeLines="120" w:before="288" w:after="0" w:line="240" w:lineRule="auto"/>
        <w:contextualSpacing w:val="0"/>
        <w:jc w:val="both"/>
        <w:rPr>
          <w:rFonts w:ascii="Verdana" w:hAnsi="Verdana"/>
          <w:color w:val="000000"/>
          <w:sz w:val="19"/>
          <w:szCs w:val="19"/>
        </w:rPr>
      </w:pPr>
      <w:r w:rsidRPr="008F5DAB">
        <w:rPr>
          <w:rFonts w:ascii="Verdana" w:hAnsi="Verdana"/>
          <w:sz w:val="19"/>
          <w:szCs w:val="19"/>
        </w:rPr>
        <w:t xml:space="preserve">Further, </w:t>
      </w:r>
      <w:r w:rsidR="008522D0">
        <w:rPr>
          <w:rFonts w:ascii="Verdana" w:hAnsi="Verdana"/>
          <w:sz w:val="19"/>
          <w:szCs w:val="19"/>
        </w:rPr>
        <w:t>while</w:t>
      </w:r>
      <w:r w:rsidR="008522D0" w:rsidRPr="008F5DAB">
        <w:rPr>
          <w:rFonts w:ascii="Verdana" w:hAnsi="Verdana"/>
          <w:sz w:val="19"/>
          <w:szCs w:val="19"/>
        </w:rPr>
        <w:t xml:space="preserve"> </w:t>
      </w:r>
      <w:r w:rsidR="00FF79A8" w:rsidRPr="008F5DAB">
        <w:rPr>
          <w:rFonts w:ascii="Verdana" w:hAnsi="Verdana"/>
          <w:sz w:val="19"/>
          <w:szCs w:val="19"/>
        </w:rPr>
        <w:t xml:space="preserve">article 80 of the 2014 Constitution </w:t>
      </w:r>
      <w:r w:rsidR="008522D0">
        <w:rPr>
          <w:rFonts w:ascii="Verdana" w:hAnsi="Verdana"/>
          <w:sz w:val="19"/>
          <w:szCs w:val="19"/>
        </w:rPr>
        <w:t>empowered</w:t>
      </w:r>
      <w:r w:rsidR="008522D0" w:rsidRPr="008F5DAB">
        <w:rPr>
          <w:rFonts w:ascii="Verdana" w:hAnsi="Verdana"/>
          <w:sz w:val="19"/>
          <w:szCs w:val="19"/>
        </w:rPr>
        <w:t xml:space="preserve"> </w:t>
      </w:r>
      <w:r w:rsidR="00FF79A8" w:rsidRPr="008F5DAB">
        <w:rPr>
          <w:rFonts w:ascii="Verdana" w:hAnsi="Verdana"/>
          <w:sz w:val="19"/>
          <w:szCs w:val="19"/>
        </w:rPr>
        <w:t xml:space="preserve">the President of the Republic to take “any measures necessitated by the exceptional </w:t>
      </w:r>
      <w:r w:rsidR="007E2B12">
        <w:rPr>
          <w:rFonts w:ascii="Verdana" w:hAnsi="Verdana"/>
          <w:sz w:val="19"/>
          <w:szCs w:val="19"/>
        </w:rPr>
        <w:t>circumstances</w:t>
      </w:r>
      <w:r w:rsidR="00FF79A8" w:rsidRPr="008F5DAB">
        <w:rPr>
          <w:rFonts w:ascii="Verdana" w:hAnsi="Verdana"/>
          <w:sz w:val="19"/>
          <w:szCs w:val="19"/>
        </w:rPr>
        <w:t xml:space="preserve">”, if ever taken, such measures </w:t>
      </w:r>
      <w:r w:rsidR="0012114B" w:rsidRPr="008F5DAB">
        <w:rPr>
          <w:rFonts w:ascii="Verdana" w:hAnsi="Verdana"/>
          <w:sz w:val="19"/>
          <w:szCs w:val="19"/>
        </w:rPr>
        <w:t>should have</w:t>
      </w:r>
      <w:r w:rsidR="00FF79A8" w:rsidRPr="008F5DAB">
        <w:rPr>
          <w:rFonts w:ascii="Verdana" w:hAnsi="Verdana"/>
          <w:sz w:val="19"/>
          <w:szCs w:val="19"/>
        </w:rPr>
        <w:t xml:space="preserve"> be</w:t>
      </w:r>
      <w:r w:rsidR="0012114B" w:rsidRPr="008F5DAB">
        <w:rPr>
          <w:rFonts w:ascii="Verdana" w:hAnsi="Verdana"/>
          <w:sz w:val="19"/>
          <w:szCs w:val="19"/>
        </w:rPr>
        <w:t>en</w:t>
      </w:r>
      <w:r w:rsidR="00FF79A8" w:rsidRPr="008F5DAB">
        <w:rPr>
          <w:rFonts w:ascii="Verdana" w:hAnsi="Verdana"/>
          <w:sz w:val="19"/>
          <w:szCs w:val="19"/>
        </w:rPr>
        <w:t xml:space="preserve"> </w:t>
      </w:r>
      <w:r w:rsidR="008522D0">
        <w:rPr>
          <w:rFonts w:ascii="Verdana" w:hAnsi="Verdana"/>
          <w:sz w:val="19"/>
          <w:szCs w:val="19"/>
        </w:rPr>
        <w:t xml:space="preserve">adopted </w:t>
      </w:r>
      <w:r w:rsidR="00FF79A8" w:rsidRPr="008F5DAB">
        <w:rPr>
          <w:rFonts w:ascii="Verdana" w:hAnsi="Verdana"/>
          <w:sz w:val="19"/>
          <w:szCs w:val="19"/>
        </w:rPr>
        <w:t xml:space="preserve">within the framework of substantive and formal conditions according to which the Constitutional Court </w:t>
      </w:r>
      <w:r w:rsidR="008A3D75" w:rsidRPr="008F5DAB">
        <w:rPr>
          <w:rFonts w:ascii="Verdana" w:hAnsi="Verdana"/>
          <w:sz w:val="19"/>
          <w:szCs w:val="19"/>
        </w:rPr>
        <w:t xml:space="preserve">– which, in any event was never established – </w:t>
      </w:r>
      <w:r w:rsidR="00FF79A8" w:rsidRPr="008F5DAB">
        <w:rPr>
          <w:rFonts w:ascii="Verdana" w:hAnsi="Verdana"/>
          <w:sz w:val="19"/>
          <w:szCs w:val="19"/>
        </w:rPr>
        <w:t xml:space="preserve">would play a significant role pursuant to the 2014 Constitution. In the absence of a Constitutional Court, </w:t>
      </w:r>
      <w:r w:rsidR="004E0D96" w:rsidRPr="008F5DAB">
        <w:rPr>
          <w:rFonts w:ascii="Verdana" w:hAnsi="Verdana"/>
          <w:sz w:val="19"/>
          <w:szCs w:val="19"/>
        </w:rPr>
        <w:t xml:space="preserve">the </w:t>
      </w:r>
      <w:r w:rsidR="00FF79A8" w:rsidRPr="008F5DAB">
        <w:rPr>
          <w:rFonts w:ascii="Verdana" w:hAnsi="Verdana"/>
          <w:sz w:val="19"/>
          <w:szCs w:val="19"/>
        </w:rPr>
        <w:t xml:space="preserve">President failed to meet the formal condition of informing the President of the Constitutional Court before taking any measures purportedly in </w:t>
      </w:r>
      <w:r w:rsidR="008A3D75">
        <w:rPr>
          <w:rFonts w:ascii="Verdana" w:hAnsi="Verdana"/>
          <w:sz w:val="19"/>
          <w:szCs w:val="19"/>
        </w:rPr>
        <w:t xml:space="preserve">response to such </w:t>
      </w:r>
      <w:r w:rsidR="00FF79A8" w:rsidRPr="008F5DAB">
        <w:rPr>
          <w:rFonts w:ascii="Verdana" w:hAnsi="Verdana"/>
          <w:sz w:val="19"/>
          <w:szCs w:val="19"/>
        </w:rPr>
        <w:t xml:space="preserve">exceptional circumstances. Moreover, and </w:t>
      </w:r>
      <w:r w:rsidR="004E0D96" w:rsidRPr="008F5DAB">
        <w:rPr>
          <w:rFonts w:ascii="Verdana" w:hAnsi="Verdana"/>
          <w:sz w:val="19"/>
          <w:szCs w:val="19"/>
        </w:rPr>
        <w:t>considering the</w:t>
      </w:r>
      <w:r w:rsidR="00FF79A8" w:rsidRPr="008F5DAB">
        <w:rPr>
          <w:rFonts w:ascii="Verdana" w:hAnsi="Verdana"/>
          <w:sz w:val="19"/>
          <w:szCs w:val="19"/>
        </w:rPr>
        <w:t xml:space="preserve"> President</w:t>
      </w:r>
      <w:r w:rsidR="004E0D96" w:rsidRPr="008F5DAB">
        <w:rPr>
          <w:rFonts w:ascii="Verdana" w:hAnsi="Verdana"/>
          <w:sz w:val="19"/>
          <w:szCs w:val="19"/>
        </w:rPr>
        <w:t>’s</w:t>
      </w:r>
      <w:r w:rsidR="00FF79A8" w:rsidRPr="008F5DAB">
        <w:rPr>
          <w:rFonts w:ascii="Verdana" w:hAnsi="Verdana"/>
          <w:sz w:val="19"/>
          <w:szCs w:val="19"/>
        </w:rPr>
        <w:t xml:space="preserve"> decision to suspend the Parliament, neither the Speaker of the APR nor 30 of its members could </w:t>
      </w:r>
      <w:r w:rsidR="00004AF7">
        <w:rPr>
          <w:rFonts w:ascii="Verdana" w:hAnsi="Verdana"/>
          <w:sz w:val="19"/>
          <w:szCs w:val="19"/>
        </w:rPr>
        <w:t xml:space="preserve">have </w:t>
      </w:r>
      <w:r w:rsidR="00FF79A8" w:rsidRPr="008F5DAB">
        <w:rPr>
          <w:rFonts w:ascii="Verdana" w:hAnsi="Verdana"/>
          <w:sz w:val="19"/>
          <w:szCs w:val="19"/>
        </w:rPr>
        <w:t>request</w:t>
      </w:r>
      <w:r w:rsidR="00004AF7">
        <w:rPr>
          <w:rFonts w:ascii="Verdana" w:hAnsi="Verdana"/>
          <w:sz w:val="19"/>
          <w:szCs w:val="19"/>
        </w:rPr>
        <w:t>ed</w:t>
      </w:r>
      <w:r w:rsidR="00FF79A8" w:rsidRPr="008F5DAB">
        <w:rPr>
          <w:rFonts w:ascii="Verdana" w:hAnsi="Verdana"/>
          <w:sz w:val="19"/>
          <w:szCs w:val="19"/>
        </w:rPr>
        <w:t xml:space="preserve"> the Constitutional Court to review substantively whether the circumstances remained “exceptional” after 30 days of </w:t>
      </w:r>
      <w:r w:rsidR="00004AF7">
        <w:rPr>
          <w:rFonts w:ascii="Verdana" w:hAnsi="Verdana"/>
          <w:sz w:val="19"/>
          <w:szCs w:val="19"/>
        </w:rPr>
        <w:t xml:space="preserve">the </w:t>
      </w:r>
      <w:r w:rsidR="00FF79A8" w:rsidRPr="008F5DAB">
        <w:rPr>
          <w:rFonts w:ascii="Verdana" w:hAnsi="Verdana"/>
          <w:sz w:val="19"/>
          <w:szCs w:val="19"/>
        </w:rPr>
        <w:t xml:space="preserve">President </w:t>
      </w:r>
      <w:r w:rsidR="005F4F36">
        <w:rPr>
          <w:rFonts w:ascii="Verdana" w:hAnsi="Verdana"/>
          <w:sz w:val="19"/>
          <w:szCs w:val="19"/>
        </w:rPr>
        <w:t xml:space="preserve">having </w:t>
      </w:r>
      <w:proofErr w:type="gramStart"/>
      <w:r w:rsidR="00FF79A8" w:rsidRPr="008F5DAB">
        <w:rPr>
          <w:rFonts w:ascii="Verdana" w:hAnsi="Verdana"/>
          <w:sz w:val="19"/>
          <w:szCs w:val="19"/>
        </w:rPr>
        <w:t>declar</w:t>
      </w:r>
      <w:r w:rsidR="00004AF7">
        <w:rPr>
          <w:rFonts w:ascii="Verdana" w:hAnsi="Verdana"/>
          <w:sz w:val="19"/>
          <w:szCs w:val="19"/>
        </w:rPr>
        <w:t>ing</w:t>
      </w:r>
      <w:proofErr w:type="gramEnd"/>
      <w:r w:rsidR="00004AF7">
        <w:rPr>
          <w:rFonts w:ascii="Verdana" w:hAnsi="Verdana"/>
          <w:sz w:val="19"/>
          <w:szCs w:val="19"/>
        </w:rPr>
        <w:t xml:space="preserve"> them so</w:t>
      </w:r>
      <w:r w:rsidR="00FF79A8" w:rsidRPr="008F5DAB">
        <w:rPr>
          <w:rFonts w:ascii="Verdana" w:hAnsi="Verdana"/>
          <w:sz w:val="19"/>
          <w:szCs w:val="19"/>
        </w:rPr>
        <w:t xml:space="preserve">. As a result, the purported exceptional nature of the circumstances invoked to justify the President taking such measures, and consequently their constitutionality, has never been verified. Having arrogated all legislative and executive powers to himself, </w:t>
      </w:r>
      <w:r w:rsidR="004E0D96" w:rsidRPr="008F5DAB">
        <w:rPr>
          <w:rFonts w:ascii="Verdana" w:hAnsi="Verdana"/>
          <w:sz w:val="19"/>
          <w:szCs w:val="19"/>
        </w:rPr>
        <w:t xml:space="preserve">the </w:t>
      </w:r>
      <w:r w:rsidR="00FF79A8" w:rsidRPr="008F5DAB">
        <w:rPr>
          <w:rFonts w:ascii="Verdana" w:hAnsi="Verdana"/>
          <w:sz w:val="19"/>
          <w:szCs w:val="19"/>
        </w:rPr>
        <w:t>President ha</w:t>
      </w:r>
      <w:r w:rsidR="00B30ED3" w:rsidRPr="008F5DAB">
        <w:rPr>
          <w:rFonts w:ascii="Verdana" w:hAnsi="Verdana"/>
          <w:sz w:val="19"/>
          <w:szCs w:val="19"/>
        </w:rPr>
        <w:t>d</w:t>
      </w:r>
      <w:r w:rsidR="00FF79A8" w:rsidRPr="008F5DAB">
        <w:rPr>
          <w:rFonts w:ascii="Verdana" w:hAnsi="Verdana"/>
          <w:sz w:val="19"/>
          <w:szCs w:val="19"/>
        </w:rPr>
        <w:t xml:space="preserve"> all the prerogatives to decide whether the circumstances remained “exceptional” and, consequently, to justify the prolongation of the measures he ha</w:t>
      </w:r>
      <w:r w:rsidR="00B30ED3" w:rsidRPr="008F5DAB">
        <w:rPr>
          <w:rFonts w:ascii="Verdana" w:hAnsi="Verdana"/>
          <w:sz w:val="19"/>
          <w:szCs w:val="19"/>
        </w:rPr>
        <w:t>d</w:t>
      </w:r>
      <w:r w:rsidR="00FF79A8" w:rsidRPr="008F5DAB">
        <w:rPr>
          <w:rFonts w:ascii="Verdana" w:hAnsi="Verdana"/>
          <w:sz w:val="19"/>
          <w:szCs w:val="19"/>
        </w:rPr>
        <w:t xml:space="preserve"> adopted.</w:t>
      </w:r>
    </w:p>
    <w:p w14:paraId="24DFDED4" w14:textId="65FD3B7B" w:rsidR="00E5742F" w:rsidRPr="008F5DAB" w:rsidRDefault="00EB7521" w:rsidP="00B30D6D">
      <w:pPr>
        <w:pStyle w:val="ListParagraph"/>
        <w:numPr>
          <w:ilvl w:val="0"/>
          <w:numId w:val="7"/>
        </w:numPr>
        <w:spacing w:beforeLines="120" w:before="288" w:after="0" w:line="240" w:lineRule="auto"/>
        <w:ind w:left="646"/>
        <w:contextualSpacing w:val="0"/>
        <w:jc w:val="both"/>
        <w:rPr>
          <w:rFonts w:ascii="Verdana" w:hAnsi="Verdana"/>
          <w:sz w:val="19"/>
          <w:szCs w:val="19"/>
        </w:rPr>
      </w:pPr>
      <w:r w:rsidRPr="008F5DAB">
        <w:rPr>
          <w:rFonts w:ascii="Verdana" w:hAnsi="Verdana"/>
          <w:sz w:val="19"/>
          <w:szCs w:val="19"/>
        </w:rPr>
        <w:lastRenderedPageBreak/>
        <w:t xml:space="preserve">On 13 December 2021, the President announced a further suspension of the </w:t>
      </w:r>
      <w:r w:rsidR="0012114B" w:rsidRPr="008F5DAB">
        <w:rPr>
          <w:rFonts w:ascii="Verdana" w:hAnsi="Verdana"/>
          <w:sz w:val="19"/>
          <w:szCs w:val="19"/>
        </w:rPr>
        <w:t>APR</w:t>
      </w:r>
      <w:r w:rsidRPr="008F5DAB">
        <w:rPr>
          <w:rFonts w:ascii="Verdana" w:hAnsi="Verdana"/>
          <w:sz w:val="19"/>
          <w:szCs w:val="19"/>
        </w:rPr>
        <w:t xml:space="preserve"> until 17 December 2022 and a referendum on a new constitution on 25 July 2022.</w:t>
      </w:r>
      <w:r w:rsidR="0012114B" w:rsidRPr="008F5DAB">
        <w:rPr>
          <w:rFonts w:ascii="Verdana" w:hAnsi="Verdana"/>
          <w:sz w:val="19"/>
          <w:szCs w:val="19"/>
        </w:rPr>
        <w:t xml:space="preserve"> </w:t>
      </w:r>
      <w:r w:rsidRPr="008F5DAB">
        <w:rPr>
          <w:rFonts w:ascii="Verdana" w:hAnsi="Verdana"/>
          <w:sz w:val="19"/>
          <w:szCs w:val="19"/>
        </w:rPr>
        <w:t>Drafted in secret</w:t>
      </w:r>
      <w:r w:rsidR="008A3611" w:rsidRPr="008F5DAB">
        <w:rPr>
          <w:rFonts w:ascii="Verdana" w:hAnsi="Verdana"/>
          <w:sz w:val="19"/>
          <w:szCs w:val="19"/>
        </w:rPr>
        <w:t xml:space="preserve"> via a</w:t>
      </w:r>
      <w:r w:rsidRPr="008F5DAB">
        <w:rPr>
          <w:rFonts w:ascii="Verdana" w:hAnsi="Verdana"/>
          <w:sz w:val="19"/>
          <w:szCs w:val="19"/>
        </w:rPr>
        <w:t xml:space="preserve"> process devoid of legal basis </w:t>
      </w:r>
      <w:r w:rsidR="008A3611" w:rsidRPr="008F5DAB">
        <w:rPr>
          <w:rFonts w:ascii="Verdana" w:hAnsi="Verdana"/>
          <w:sz w:val="19"/>
          <w:szCs w:val="19"/>
        </w:rPr>
        <w:t>that</w:t>
      </w:r>
      <w:r w:rsidRPr="008F5DAB">
        <w:rPr>
          <w:rFonts w:ascii="Verdana" w:hAnsi="Verdana"/>
          <w:sz w:val="19"/>
          <w:szCs w:val="19"/>
        </w:rPr>
        <w:t xml:space="preserve"> violated Tunisians’ rights to participate in constitution-making, </w:t>
      </w:r>
      <w:r w:rsidR="008A3611" w:rsidRPr="008F5DAB">
        <w:rPr>
          <w:rFonts w:ascii="Verdana" w:hAnsi="Verdana"/>
          <w:sz w:val="19"/>
          <w:szCs w:val="19"/>
        </w:rPr>
        <w:t xml:space="preserve">the new constitution </w:t>
      </w:r>
      <w:r w:rsidRPr="008F5DAB">
        <w:rPr>
          <w:rFonts w:ascii="Verdana" w:hAnsi="Verdana"/>
          <w:sz w:val="19"/>
          <w:szCs w:val="19"/>
        </w:rPr>
        <w:t xml:space="preserve">was adopted on 25 July 2022 following a </w:t>
      </w:r>
      <w:r w:rsidR="00185CA0" w:rsidRPr="008F5DAB">
        <w:rPr>
          <w:rFonts w:ascii="Verdana" w:hAnsi="Verdana"/>
          <w:sz w:val="19"/>
          <w:szCs w:val="19"/>
        </w:rPr>
        <w:t xml:space="preserve">democratically flawed </w:t>
      </w:r>
      <w:r w:rsidRPr="008F5DAB">
        <w:rPr>
          <w:rFonts w:ascii="Verdana" w:hAnsi="Verdana"/>
          <w:sz w:val="19"/>
          <w:szCs w:val="19"/>
        </w:rPr>
        <w:t xml:space="preserve">referendum, </w:t>
      </w:r>
      <w:r w:rsidR="008A3611" w:rsidRPr="008F5DAB">
        <w:rPr>
          <w:rFonts w:ascii="Verdana" w:hAnsi="Verdana"/>
          <w:sz w:val="19"/>
          <w:szCs w:val="19"/>
        </w:rPr>
        <w:t xml:space="preserve">for which </w:t>
      </w:r>
      <w:r w:rsidRPr="008F5DAB">
        <w:rPr>
          <w:rFonts w:ascii="Verdana" w:hAnsi="Verdana"/>
          <w:sz w:val="19"/>
          <w:szCs w:val="19"/>
        </w:rPr>
        <w:t xml:space="preserve">no participation threshold </w:t>
      </w:r>
      <w:r w:rsidR="008A3611" w:rsidRPr="008F5DAB">
        <w:rPr>
          <w:rFonts w:ascii="Verdana" w:hAnsi="Verdana"/>
          <w:sz w:val="19"/>
          <w:szCs w:val="19"/>
        </w:rPr>
        <w:t xml:space="preserve">was </w:t>
      </w:r>
      <w:r w:rsidRPr="008F5DAB">
        <w:rPr>
          <w:rFonts w:ascii="Verdana" w:hAnsi="Verdana"/>
          <w:sz w:val="19"/>
          <w:szCs w:val="19"/>
        </w:rPr>
        <w:t>provided, and in which just over a quarter of the eligible electorate cast their vote.</w:t>
      </w:r>
      <w:r w:rsidR="00747A4D" w:rsidRPr="008F5DAB">
        <w:rPr>
          <w:rStyle w:val="FootnoteReference"/>
          <w:rFonts w:ascii="Verdana" w:hAnsi="Verdana"/>
          <w:sz w:val="19"/>
          <w:szCs w:val="19"/>
        </w:rPr>
        <w:footnoteReference w:id="8"/>
      </w:r>
    </w:p>
    <w:p w14:paraId="26A0D187" w14:textId="77777777" w:rsidR="00E5742F" w:rsidRPr="00B30D6D" w:rsidRDefault="00E5742F" w:rsidP="00B30D6D">
      <w:pPr>
        <w:pStyle w:val="ListParagraph"/>
        <w:spacing w:beforeLines="120" w:before="288" w:after="0" w:line="240" w:lineRule="auto"/>
        <w:ind w:left="646"/>
        <w:jc w:val="both"/>
        <w:rPr>
          <w:rFonts w:ascii="Verdana" w:hAnsi="Verdana"/>
          <w:sz w:val="19"/>
          <w:szCs w:val="19"/>
        </w:rPr>
      </w:pPr>
    </w:p>
    <w:p w14:paraId="3DC60F0A" w14:textId="569E6B71" w:rsidR="004E0D96" w:rsidRPr="008F5DAB" w:rsidRDefault="00B80EBB" w:rsidP="00B30D6D">
      <w:pPr>
        <w:pStyle w:val="ListParagraph"/>
        <w:numPr>
          <w:ilvl w:val="0"/>
          <w:numId w:val="7"/>
        </w:numPr>
        <w:spacing w:after="0" w:line="240" w:lineRule="auto"/>
        <w:ind w:left="646"/>
        <w:jc w:val="both"/>
        <w:rPr>
          <w:rFonts w:ascii="Verdana" w:hAnsi="Verdana"/>
          <w:color w:val="000000"/>
          <w:sz w:val="19"/>
          <w:szCs w:val="19"/>
        </w:rPr>
      </w:pPr>
      <w:r w:rsidRPr="008F5DAB">
        <w:rPr>
          <w:rFonts w:ascii="Verdana" w:hAnsi="Verdana"/>
          <w:color w:val="000000" w:themeColor="text1"/>
          <w:sz w:val="19"/>
          <w:szCs w:val="19"/>
        </w:rPr>
        <w:t xml:space="preserve">Article 125 of the </w:t>
      </w:r>
      <w:r w:rsidR="008A3611" w:rsidRPr="008F5DAB">
        <w:rPr>
          <w:rFonts w:ascii="Verdana" w:hAnsi="Verdana"/>
          <w:color w:val="000000" w:themeColor="text1"/>
          <w:sz w:val="19"/>
          <w:szCs w:val="19"/>
        </w:rPr>
        <w:t>new</w:t>
      </w:r>
      <w:r w:rsidRPr="008F5DAB">
        <w:rPr>
          <w:rFonts w:ascii="Verdana" w:hAnsi="Verdana"/>
          <w:color w:val="000000" w:themeColor="text1"/>
          <w:sz w:val="19"/>
          <w:szCs w:val="19"/>
        </w:rPr>
        <w:t xml:space="preserve"> Constitution reduces the composition of the </w:t>
      </w:r>
      <w:r w:rsidR="004E0D96" w:rsidRPr="008F5DAB">
        <w:rPr>
          <w:rFonts w:ascii="Verdana" w:hAnsi="Verdana"/>
          <w:color w:val="000000" w:themeColor="text1"/>
          <w:sz w:val="19"/>
          <w:szCs w:val="19"/>
        </w:rPr>
        <w:t xml:space="preserve">Constitutional </w:t>
      </w:r>
      <w:r w:rsidRPr="008F5DAB">
        <w:rPr>
          <w:rFonts w:ascii="Verdana" w:hAnsi="Verdana"/>
          <w:color w:val="000000" w:themeColor="text1"/>
          <w:sz w:val="19"/>
          <w:szCs w:val="19"/>
        </w:rPr>
        <w:t xml:space="preserve">Court to a nine-judge bench. The nine judges are to be named by a presidential order, where the first third (i.e., three judges) are the most senior judges of the Cassation Court, the second third are </w:t>
      </w:r>
      <w:r w:rsidR="00BD4D00" w:rsidRPr="008F5DAB">
        <w:rPr>
          <w:rFonts w:ascii="Verdana" w:hAnsi="Verdana"/>
          <w:color w:val="000000" w:themeColor="text1"/>
          <w:sz w:val="19"/>
          <w:szCs w:val="19"/>
        </w:rPr>
        <w:t xml:space="preserve">the most senior judges of </w:t>
      </w:r>
      <w:r w:rsidRPr="008F5DAB">
        <w:rPr>
          <w:rFonts w:ascii="Verdana" w:hAnsi="Verdana"/>
          <w:color w:val="000000" w:themeColor="text1"/>
          <w:sz w:val="19"/>
          <w:szCs w:val="19"/>
        </w:rPr>
        <w:t xml:space="preserve">the High Administrative Court and the last third are </w:t>
      </w:r>
      <w:r w:rsidR="00BD4D00" w:rsidRPr="008F5DAB">
        <w:rPr>
          <w:rFonts w:ascii="Verdana" w:hAnsi="Verdana"/>
          <w:color w:val="000000" w:themeColor="text1"/>
          <w:sz w:val="19"/>
          <w:szCs w:val="19"/>
        </w:rPr>
        <w:t xml:space="preserve">the most senior members of </w:t>
      </w:r>
      <w:r w:rsidRPr="008F5DAB">
        <w:rPr>
          <w:rFonts w:ascii="Verdana" w:hAnsi="Verdana"/>
          <w:color w:val="000000" w:themeColor="text1"/>
          <w:sz w:val="19"/>
          <w:szCs w:val="19"/>
        </w:rPr>
        <w:t xml:space="preserve">the Financial Court. </w:t>
      </w:r>
    </w:p>
    <w:p w14:paraId="6608C5B0" w14:textId="44A10319" w:rsidR="004E0D96" w:rsidRPr="008F5DAB" w:rsidRDefault="00B80EBB" w:rsidP="00B30D6D">
      <w:pPr>
        <w:pStyle w:val="ListParagraph"/>
        <w:numPr>
          <w:ilvl w:val="0"/>
          <w:numId w:val="7"/>
        </w:numPr>
        <w:spacing w:beforeLines="120" w:before="288" w:after="0" w:line="240" w:lineRule="auto"/>
        <w:contextualSpacing w:val="0"/>
        <w:jc w:val="both"/>
        <w:rPr>
          <w:rFonts w:ascii="Verdana" w:hAnsi="Verdana"/>
          <w:sz w:val="19"/>
          <w:szCs w:val="19"/>
        </w:rPr>
      </w:pPr>
      <w:r w:rsidRPr="008F5DAB">
        <w:rPr>
          <w:rFonts w:ascii="Verdana" w:hAnsi="Verdana"/>
          <w:color w:val="000000"/>
          <w:sz w:val="19"/>
          <w:szCs w:val="19"/>
        </w:rPr>
        <w:t xml:space="preserve">In addition, the </w:t>
      </w:r>
      <w:r w:rsidR="009727AA" w:rsidRPr="008F5DAB">
        <w:rPr>
          <w:rFonts w:ascii="Verdana" w:hAnsi="Verdana"/>
          <w:color w:val="000000"/>
          <w:sz w:val="19"/>
          <w:szCs w:val="19"/>
        </w:rPr>
        <w:t>new</w:t>
      </w:r>
      <w:r w:rsidRPr="008F5DAB">
        <w:rPr>
          <w:rFonts w:ascii="Verdana" w:hAnsi="Verdana"/>
          <w:color w:val="000000"/>
          <w:sz w:val="19"/>
          <w:szCs w:val="19"/>
        </w:rPr>
        <w:t xml:space="preserve"> Constitution weakens the powers of the Constitutional Court. Article 127 provides a list of the Constitutional Court’s </w:t>
      </w:r>
      <w:r w:rsidRPr="008F5DAB">
        <w:rPr>
          <w:rFonts w:ascii="Verdana" w:hAnsi="Verdana"/>
          <w:color w:val="000000"/>
          <w:sz w:val="19"/>
          <w:szCs w:val="19"/>
          <w:lang w:val="en-US"/>
        </w:rPr>
        <w:t>competencies</w:t>
      </w:r>
      <w:r w:rsidRPr="008F5DAB">
        <w:rPr>
          <w:rFonts w:ascii="Verdana" w:hAnsi="Verdana"/>
          <w:color w:val="000000"/>
          <w:sz w:val="19"/>
          <w:szCs w:val="19"/>
        </w:rPr>
        <w:t xml:space="preserve"> in reviewing the constitutionality of, </w:t>
      </w:r>
      <w:r w:rsidRPr="008F5DAB">
        <w:rPr>
          <w:rFonts w:ascii="Verdana" w:hAnsi="Verdana"/>
          <w:i/>
          <w:iCs/>
          <w:color w:val="000000"/>
          <w:sz w:val="19"/>
          <w:szCs w:val="19"/>
        </w:rPr>
        <w:t>inter alia</w:t>
      </w:r>
      <w:r w:rsidRPr="008F5DAB">
        <w:rPr>
          <w:rFonts w:ascii="Verdana" w:hAnsi="Verdana"/>
          <w:color w:val="000000"/>
          <w:sz w:val="19"/>
          <w:szCs w:val="19"/>
        </w:rPr>
        <w:t xml:space="preserve">, draft constitutional amendments; draft laws; treaties; and laws referred to it by domestic courts. </w:t>
      </w:r>
    </w:p>
    <w:p w14:paraId="66CD61EC" w14:textId="2C624F64" w:rsidR="008A3611" w:rsidRPr="008F5DAB" w:rsidRDefault="00B80EBB" w:rsidP="00B30D6D">
      <w:pPr>
        <w:pStyle w:val="ListParagraph"/>
        <w:numPr>
          <w:ilvl w:val="0"/>
          <w:numId w:val="7"/>
        </w:numPr>
        <w:spacing w:beforeLines="120" w:before="288" w:after="0" w:line="240" w:lineRule="auto"/>
        <w:contextualSpacing w:val="0"/>
        <w:jc w:val="both"/>
        <w:rPr>
          <w:rFonts w:ascii="Verdana" w:hAnsi="Verdana"/>
          <w:sz w:val="19"/>
          <w:szCs w:val="19"/>
        </w:rPr>
      </w:pPr>
      <w:r w:rsidRPr="008F5DAB">
        <w:rPr>
          <w:rFonts w:ascii="Verdana" w:hAnsi="Verdana"/>
          <w:color w:val="000000"/>
          <w:sz w:val="19"/>
          <w:szCs w:val="19"/>
        </w:rPr>
        <w:t xml:space="preserve">Contrary to </w:t>
      </w:r>
      <w:r w:rsidR="00C16B81" w:rsidRPr="008F5DAB">
        <w:rPr>
          <w:rFonts w:ascii="Verdana" w:hAnsi="Verdana"/>
          <w:color w:val="000000"/>
          <w:sz w:val="19"/>
          <w:szCs w:val="19"/>
        </w:rPr>
        <w:t>a</w:t>
      </w:r>
      <w:r w:rsidRPr="008F5DAB">
        <w:rPr>
          <w:rFonts w:ascii="Verdana" w:hAnsi="Verdana"/>
          <w:color w:val="000000"/>
          <w:sz w:val="19"/>
          <w:szCs w:val="19"/>
        </w:rPr>
        <w:t xml:space="preserve">rticle 80 of the 2014 Constitution, under </w:t>
      </w:r>
      <w:r w:rsidR="00C16B81" w:rsidRPr="008F5DAB">
        <w:rPr>
          <w:rFonts w:ascii="Verdana" w:hAnsi="Verdana"/>
          <w:color w:val="000000"/>
          <w:sz w:val="19"/>
          <w:szCs w:val="19"/>
        </w:rPr>
        <w:t>a</w:t>
      </w:r>
      <w:r w:rsidRPr="008F5DAB">
        <w:rPr>
          <w:rFonts w:ascii="Verdana" w:hAnsi="Verdana"/>
          <w:color w:val="000000"/>
          <w:sz w:val="19"/>
          <w:szCs w:val="19"/>
        </w:rPr>
        <w:t xml:space="preserve">rticle 96 of the </w:t>
      </w:r>
      <w:r w:rsidR="009727AA" w:rsidRPr="008F5DAB">
        <w:rPr>
          <w:rFonts w:ascii="Verdana" w:hAnsi="Verdana"/>
          <w:color w:val="000000"/>
          <w:sz w:val="19"/>
          <w:szCs w:val="19"/>
        </w:rPr>
        <w:t>new</w:t>
      </w:r>
      <w:r w:rsidRPr="008F5DAB">
        <w:rPr>
          <w:rFonts w:ascii="Verdana" w:hAnsi="Verdana"/>
          <w:color w:val="000000"/>
          <w:sz w:val="19"/>
          <w:szCs w:val="19"/>
        </w:rPr>
        <w:t xml:space="preserve"> Constitution, the Constitutional Court </w:t>
      </w:r>
      <w:r w:rsidR="009727AA" w:rsidRPr="008F5DAB">
        <w:rPr>
          <w:rFonts w:ascii="Verdana" w:hAnsi="Verdana"/>
          <w:color w:val="000000"/>
          <w:sz w:val="19"/>
          <w:szCs w:val="19"/>
        </w:rPr>
        <w:t xml:space="preserve">has no </w:t>
      </w:r>
      <w:r w:rsidRPr="008F5DAB">
        <w:rPr>
          <w:rFonts w:ascii="Verdana" w:hAnsi="Verdana"/>
          <w:color w:val="000000"/>
          <w:sz w:val="19"/>
          <w:szCs w:val="19"/>
        </w:rPr>
        <w:t>power or role in relation to the President of the Republic</w:t>
      </w:r>
      <w:r w:rsidR="00C16B81" w:rsidRPr="008F5DAB">
        <w:rPr>
          <w:rFonts w:ascii="Verdana" w:hAnsi="Verdana"/>
          <w:color w:val="000000"/>
          <w:sz w:val="19"/>
          <w:szCs w:val="19"/>
        </w:rPr>
        <w:t>’s</w:t>
      </w:r>
      <w:r w:rsidRPr="008F5DAB">
        <w:rPr>
          <w:rFonts w:ascii="Verdana" w:hAnsi="Verdana"/>
          <w:color w:val="000000"/>
          <w:sz w:val="19"/>
          <w:szCs w:val="19"/>
        </w:rPr>
        <w:t xml:space="preserve"> declaration of a “state of exception”. In particular, the President is no longer required to inform the president of the Constitutional Court ahead of such a declaration, and members of the </w:t>
      </w:r>
      <w:r w:rsidR="009727AA" w:rsidRPr="008F5DAB">
        <w:rPr>
          <w:rFonts w:ascii="Verdana" w:hAnsi="Verdana"/>
          <w:color w:val="000000"/>
          <w:sz w:val="19"/>
          <w:szCs w:val="19"/>
        </w:rPr>
        <w:t>AP</w:t>
      </w:r>
      <w:r w:rsidR="0012114B" w:rsidRPr="008F5DAB">
        <w:rPr>
          <w:rFonts w:ascii="Verdana" w:hAnsi="Verdana"/>
          <w:color w:val="000000"/>
          <w:sz w:val="19"/>
          <w:szCs w:val="19"/>
        </w:rPr>
        <w:t>R</w:t>
      </w:r>
      <w:r w:rsidRPr="008F5DAB">
        <w:rPr>
          <w:rFonts w:ascii="Verdana" w:hAnsi="Verdana"/>
          <w:color w:val="000000"/>
          <w:sz w:val="19"/>
          <w:szCs w:val="19"/>
        </w:rPr>
        <w:t xml:space="preserve"> are no longer entitled to apply to the Constitutional Court with a view to verifying whether or not the circumstances necessitating such a declaration remain valid. </w:t>
      </w:r>
      <w:r w:rsidR="005F4F36">
        <w:rPr>
          <w:rFonts w:ascii="Verdana" w:hAnsi="Verdana"/>
          <w:color w:val="000000"/>
          <w:sz w:val="19"/>
          <w:szCs w:val="19"/>
        </w:rPr>
        <w:t>Conversely, t</w:t>
      </w:r>
      <w:r w:rsidRPr="008F5DAB">
        <w:rPr>
          <w:rFonts w:ascii="Verdana" w:hAnsi="Verdana"/>
          <w:color w:val="000000"/>
          <w:sz w:val="19"/>
          <w:szCs w:val="19"/>
        </w:rPr>
        <w:t>o safeguard the rule of law and the indivisibility of all human rights, all measures adopted to address an emergency, including those taken pursuant to a declared “state of emergency” must be subject to judicial oversight and review.</w:t>
      </w:r>
      <w:r w:rsidRPr="008F5DAB">
        <w:rPr>
          <w:rFonts w:ascii="Verdana" w:hAnsi="Verdana"/>
          <w:sz w:val="19"/>
          <w:szCs w:val="19"/>
          <w:vertAlign w:val="superscript"/>
        </w:rPr>
        <w:footnoteReference w:id="9"/>
      </w:r>
      <w:r w:rsidRPr="008F5DAB">
        <w:rPr>
          <w:rFonts w:ascii="Verdana" w:hAnsi="Verdana"/>
          <w:color w:val="000000"/>
          <w:sz w:val="19"/>
          <w:szCs w:val="19"/>
        </w:rPr>
        <w:t xml:space="preserve"> </w:t>
      </w:r>
      <w:r w:rsidR="005F4F36">
        <w:rPr>
          <w:rFonts w:ascii="Verdana" w:hAnsi="Verdana"/>
          <w:color w:val="000000"/>
          <w:sz w:val="19"/>
          <w:szCs w:val="19"/>
        </w:rPr>
        <w:t>In addition, a</w:t>
      </w:r>
      <w:r w:rsidRPr="008F5DAB">
        <w:rPr>
          <w:rFonts w:ascii="Verdana" w:hAnsi="Verdana"/>
          <w:color w:val="000000"/>
          <w:sz w:val="19"/>
          <w:szCs w:val="19"/>
        </w:rPr>
        <w:t>ffected persons must have the right to challenge the legality of these measures, including their conformity with national or international law through fair and effective judicial proceedings.</w:t>
      </w:r>
    </w:p>
    <w:p w14:paraId="0E5A8291" w14:textId="264AF6FC" w:rsidR="002B0B43" w:rsidRPr="008F5DAB" w:rsidRDefault="003436D8" w:rsidP="00B30D6D">
      <w:pPr>
        <w:pStyle w:val="ListParagraph"/>
        <w:numPr>
          <w:ilvl w:val="0"/>
          <w:numId w:val="7"/>
        </w:numPr>
        <w:spacing w:beforeLines="120" w:before="288" w:after="0" w:line="240" w:lineRule="auto"/>
        <w:contextualSpacing w:val="0"/>
        <w:jc w:val="both"/>
        <w:rPr>
          <w:rFonts w:ascii="Verdana" w:hAnsi="Verdana"/>
          <w:sz w:val="19"/>
          <w:szCs w:val="19"/>
        </w:rPr>
      </w:pPr>
      <w:r w:rsidRPr="008F5DAB">
        <w:rPr>
          <w:rFonts w:ascii="Verdana" w:hAnsi="Verdana"/>
          <w:sz w:val="19"/>
          <w:szCs w:val="19"/>
        </w:rPr>
        <w:t>In September 2022, the African Court of Human and Peoples’ Rights rendered a ruling</w:t>
      </w:r>
      <w:r w:rsidR="0020603D" w:rsidRPr="008F5DAB">
        <w:rPr>
          <w:rFonts w:ascii="Verdana" w:hAnsi="Verdana"/>
          <w:sz w:val="19"/>
          <w:szCs w:val="19"/>
        </w:rPr>
        <w:t xml:space="preserve"> that </w:t>
      </w:r>
      <w:r w:rsidR="0020603D" w:rsidRPr="008F5DAB">
        <w:rPr>
          <w:rFonts w:ascii="Verdana" w:hAnsi="Verdana" w:cs="Calibri"/>
          <w:sz w:val="19"/>
          <w:szCs w:val="19"/>
        </w:rPr>
        <w:t>ordered Tunisia to repeal the decree</w:t>
      </w:r>
      <w:r w:rsidR="00C16B81" w:rsidRPr="008F5DAB">
        <w:rPr>
          <w:rFonts w:ascii="Verdana" w:hAnsi="Verdana" w:cs="Calibri"/>
          <w:sz w:val="19"/>
          <w:szCs w:val="19"/>
        </w:rPr>
        <w:t>s adopted pursuant to article 80 of the Constitution</w:t>
      </w:r>
      <w:r w:rsidR="0020603D" w:rsidRPr="008F5DAB">
        <w:rPr>
          <w:rFonts w:ascii="Verdana" w:hAnsi="Verdana" w:cs="Calibri"/>
          <w:sz w:val="19"/>
          <w:szCs w:val="19"/>
        </w:rPr>
        <w:t xml:space="preserve">, to return to constitutional democracy within two years and to ensure the establishment and operation of an independent </w:t>
      </w:r>
      <w:r w:rsidR="001C0A5A" w:rsidRPr="008F5DAB">
        <w:rPr>
          <w:rFonts w:ascii="Verdana" w:hAnsi="Verdana" w:cs="Calibri"/>
          <w:sz w:val="19"/>
          <w:szCs w:val="19"/>
        </w:rPr>
        <w:t>C</w:t>
      </w:r>
      <w:r w:rsidR="0020603D" w:rsidRPr="008F5DAB">
        <w:rPr>
          <w:rFonts w:ascii="Verdana" w:hAnsi="Verdana" w:cs="Calibri"/>
          <w:sz w:val="19"/>
          <w:szCs w:val="19"/>
        </w:rPr>
        <w:t xml:space="preserve">onstitutional </w:t>
      </w:r>
      <w:r w:rsidR="001C0A5A" w:rsidRPr="008F5DAB">
        <w:rPr>
          <w:rFonts w:ascii="Verdana" w:hAnsi="Verdana" w:cs="Calibri"/>
          <w:sz w:val="19"/>
          <w:szCs w:val="19"/>
        </w:rPr>
        <w:t>C</w:t>
      </w:r>
      <w:r w:rsidR="0020603D" w:rsidRPr="008F5DAB">
        <w:rPr>
          <w:rFonts w:ascii="Verdana" w:hAnsi="Verdana" w:cs="Calibri"/>
          <w:sz w:val="19"/>
          <w:szCs w:val="19"/>
        </w:rPr>
        <w:t>ourt within the same period.</w:t>
      </w:r>
      <w:r w:rsidR="0020603D" w:rsidRPr="008F5DAB">
        <w:rPr>
          <w:rStyle w:val="FootnoteReference"/>
          <w:rFonts w:ascii="Verdana" w:hAnsi="Verdana"/>
          <w:sz w:val="19"/>
          <w:szCs w:val="19"/>
        </w:rPr>
        <w:footnoteReference w:id="10"/>
      </w:r>
      <w:r w:rsidR="0020603D" w:rsidRPr="008F5DAB">
        <w:rPr>
          <w:rFonts w:ascii="Verdana" w:hAnsi="Verdana"/>
          <w:sz w:val="19"/>
          <w:szCs w:val="19"/>
        </w:rPr>
        <w:t xml:space="preserve"> </w:t>
      </w:r>
    </w:p>
    <w:p w14:paraId="6963C136" w14:textId="1EDE57A2" w:rsidR="004E0D96" w:rsidRPr="008F5DAB" w:rsidRDefault="009727AA" w:rsidP="00B30D6D">
      <w:pPr>
        <w:pStyle w:val="ListParagraph"/>
        <w:numPr>
          <w:ilvl w:val="0"/>
          <w:numId w:val="7"/>
        </w:numPr>
        <w:spacing w:beforeLines="120" w:before="288" w:after="0" w:line="240" w:lineRule="auto"/>
        <w:contextualSpacing w:val="0"/>
        <w:jc w:val="both"/>
        <w:rPr>
          <w:rFonts w:ascii="Verdana" w:hAnsi="Verdana"/>
          <w:sz w:val="19"/>
          <w:szCs w:val="19"/>
        </w:rPr>
      </w:pPr>
      <w:r w:rsidRPr="008F5DAB">
        <w:rPr>
          <w:rFonts w:ascii="Verdana" w:hAnsi="Verdana"/>
          <w:sz w:val="19"/>
          <w:szCs w:val="19"/>
        </w:rPr>
        <w:t xml:space="preserve">As of December 2023, the </w:t>
      </w:r>
      <w:r w:rsidRPr="008F5DAB">
        <w:rPr>
          <w:rFonts w:ascii="Verdana" w:hAnsi="Verdana"/>
          <w:color w:val="000000"/>
          <w:sz w:val="19"/>
          <w:szCs w:val="19"/>
        </w:rPr>
        <w:t>Constitutional Court, even in its fundamentally weakened form under the new constitution, has yet to be established</w:t>
      </w:r>
      <w:r w:rsidR="002B0B43" w:rsidRPr="008F5DAB">
        <w:rPr>
          <w:rFonts w:ascii="Verdana" w:hAnsi="Verdana"/>
          <w:color w:val="000000"/>
          <w:sz w:val="19"/>
          <w:szCs w:val="19"/>
        </w:rPr>
        <w:t>. Consequently, Tunisia</w:t>
      </w:r>
      <w:r w:rsidR="004E0D96" w:rsidRPr="008F5DAB">
        <w:rPr>
          <w:rFonts w:ascii="Verdana" w:hAnsi="Verdana"/>
          <w:color w:val="000000"/>
          <w:sz w:val="19"/>
          <w:szCs w:val="19"/>
        </w:rPr>
        <w:t xml:space="preserve"> falls far short of </w:t>
      </w:r>
      <w:r w:rsidR="001A3EAD" w:rsidRPr="008F5DAB">
        <w:rPr>
          <w:rFonts w:ascii="Verdana" w:hAnsi="Verdana"/>
          <w:color w:val="000000"/>
          <w:sz w:val="19"/>
          <w:szCs w:val="19"/>
        </w:rPr>
        <w:t xml:space="preserve">meeting </w:t>
      </w:r>
      <w:r w:rsidR="002B0B43" w:rsidRPr="008F5DAB">
        <w:rPr>
          <w:rFonts w:ascii="Verdana" w:hAnsi="Verdana"/>
          <w:color w:val="000000"/>
          <w:sz w:val="19"/>
          <w:szCs w:val="19"/>
        </w:rPr>
        <w:t>its</w:t>
      </w:r>
      <w:r w:rsidR="001A3EAD" w:rsidRPr="008F5DAB">
        <w:rPr>
          <w:rFonts w:ascii="Verdana" w:hAnsi="Verdana"/>
          <w:color w:val="000000"/>
          <w:sz w:val="19"/>
          <w:szCs w:val="19"/>
        </w:rPr>
        <w:t xml:space="preserve"> following obligations under the ICCPR:  </w:t>
      </w:r>
    </w:p>
    <w:p w14:paraId="0E8C8B88" w14:textId="5B8602D2" w:rsidR="001A3EAD" w:rsidRPr="008F5DAB" w:rsidRDefault="001A3EAD" w:rsidP="006454FE">
      <w:pPr>
        <w:pStyle w:val="ListParagraph"/>
        <w:numPr>
          <w:ilvl w:val="1"/>
          <w:numId w:val="7"/>
        </w:numPr>
        <w:spacing w:beforeLines="120" w:before="288" w:after="0" w:line="240" w:lineRule="auto"/>
        <w:contextualSpacing w:val="0"/>
        <w:jc w:val="both"/>
        <w:rPr>
          <w:rFonts w:ascii="Verdana" w:hAnsi="Verdana"/>
          <w:sz w:val="19"/>
          <w:szCs w:val="19"/>
        </w:rPr>
      </w:pPr>
      <w:r w:rsidRPr="008F5DAB">
        <w:rPr>
          <w:rFonts w:ascii="Verdana" w:hAnsi="Verdana"/>
          <w:color w:val="000000" w:themeColor="text1"/>
          <w:sz w:val="19"/>
          <w:szCs w:val="19"/>
        </w:rPr>
        <w:t xml:space="preserve">Article 2(3). By failing to establish a Constitutional Court, and by severely limiting the </w:t>
      </w:r>
      <w:r w:rsidR="00B03EC8" w:rsidRPr="008F5DAB">
        <w:rPr>
          <w:rFonts w:ascii="Verdana" w:hAnsi="Verdana"/>
          <w:color w:val="000000" w:themeColor="text1"/>
          <w:sz w:val="19"/>
          <w:szCs w:val="19"/>
        </w:rPr>
        <w:t xml:space="preserve">independence and </w:t>
      </w:r>
      <w:r w:rsidRPr="008F5DAB">
        <w:rPr>
          <w:rFonts w:ascii="Verdana" w:hAnsi="Verdana"/>
          <w:color w:val="000000" w:themeColor="text1"/>
          <w:sz w:val="19"/>
          <w:szCs w:val="19"/>
        </w:rPr>
        <w:t xml:space="preserve">powers of the Constitutional Court under the new </w:t>
      </w:r>
      <w:r w:rsidR="00B03EC8" w:rsidRPr="008F5DAB">
        <w:rPr>
          <w:rFonts w:ascii="Verdana" w:hAnsi="Verdana"/>
          <w:color w:val="000000" w:themeColor="text1"/>
          <w:sz w:val="19"/>
          <w:szCs w:val="19"/>
        </w:rPr>
        <w:t>C</w:t>
      </w:r>
      <w:r w:rsidRPr="008F5DAB">
        <w:rPr>
          <w:rFonts w:ascii="Verdana" w:hAnsi="Verdana"/>
          <w:color w:val="000000" w:themeColor="text1"/>
          <w:sz w:val="19"/>
          <w:szCs w:val="19"/>
        </w:rPr>
        <w:t>onstitution</w:t>
      </w:r>
      <w:r w:rsidR="009007F9">
        <w:rPr>
          <w:rFonts w:ascii="Verdana" w:hAnsi="Verdana"/>
          <w:color w:val="000000" w:themeColor="text1"/>
          <w:sz w:val="19"/>
          <w:szCs w:val="19"/>
        </w:rPr>
        <w:t xml:space="preserve"> </w:t>
      </w:r>
      <w:r w:rsidR="009007F9" w:rsidRPr="008F5DAB">
        <w:rPr>
          <w:rFonts w:ascii="Verdana" w:hAnsi="Verdana"/>
          <w:sz w:val="19"/>
          <w:szCs w:val="19"/>
        </w:rPr>
        <w:t>–</w:t>
      </w:r>
      <w:r w:rsidR="009007F9">
        <w:rPr>
          <w:rFonts w:ascii="Verdana" w:hAnsi="Verdana"/>
          <w:color w:val="000000" w:themeColor="text1"/>
          <w:sz w:val="19"/>
          <w:szCs w:val="19"/>
        </w:rPr>
        <w:t xml:space="preserve"> </w:t>
      </w:r>
      <w:r w:rsidRPr="008F5DAB">
        <w:rPr>
          <w:rFonts w:ascii="Verdana" w:hAnsi="Verdana"/>
          <w:color w:val="000000" w:themeColor="text1"/>
          <w:sz w:val="19"/>
          <w:szCs w:val="19"/>
        </w:rPr>
        <w:t xml:space="preserve">should </w:t>
      </w:r>
      <w:r w:rsidR="009007F9">
        <w:rPr>
          <w:rFonts w:ascii="Verdana" w:hAnsi="Verdana"/>
          <w:color w:val="000000" w:themeColor="text1"/>
          <w:sz w:val="19"/>
          <w:szCs w:val="19"/>
        </w:rPr>
        <w:t xml:space="preserve">one ever </w:t>
      </w:r>
      <w:r w:rsidRPr="008F5DAB">
        <w:rPr>
          <w:rFonts w:ascii="Verdana" w:hAnsi="Verdana"/>
          <w:color w:val="000000" w:themeColor="text1"/>
          <w:sz w:val="19"/>
          <w:szCs w:val="19"/>
        </w:rPr>
        <w:t>be established</w:t>
      </w:r>
      <w:r w:rsidR="009007F9">
        <w:rPr>
          <w:rFonts w:ascii="Verdana" w:hAnsi="Verdana"/>
          <w:color w:val="000000" w:themeColor="text1"/>
          <w:sz w:val="19"/>
          <w:szCs w:val="19"/>
        </w:rPr>
        <w:t xml:space="preserve"> </w:t>
      </w:r>
      <w:r w:rsidR="009007F9" w:rsidRPr="008F5DAB">
        <w:rPr>
          <w:rFonts w:ascii="Verdana" w:hAnsi="Verdana"/>
          <w:sz w:val="19"/>
          <w:szCs w:val="19"/>
        </w:rPr>
        <w:t>–</w:t>
      </w:r>
      <w:r w:rsidRPr="008F5DAB">
        <w:rPr>
          <w:rFonts w:ascii="Verdana" w:hAnsi="Verdana"/>
          <w:color w:val="000000" w:themeColor="text1"/>
          <w:sz w:val="19"/>
          <w:szCs w:val="19"/>
        </w:rPr>
        <w:t xml:space="preserve"> Tunisia has failed to provide recourse to </w:t>
      </w:r>
      <w:r w:rsidR="00EA2408" w:rsidRPr="008F5DAB">
        <w:rPr>
          <w:rFonts w:ascii="Verdana" w:hAnsi="Verdana"/>
          <w:color w:val="000000" w:themeColor="text1"/>
          <w:sz w:val="19"/>
          <w:szCs w:val="19"/>
        </w:rPr>
        <w:t>resolve disputes about</w:t>
      </w:r>
      <w:r w:rsidRPr="008F5DAB">
        <w:rPr>
          <w:rFonts w:ascii="Verdana" w:hAnsi="Verdana"/>
          <w:color w:val="000000" w:themeColor="text1"/>
          <w:sz w:val="19"/>
          <w:szCs w:val="19"/>
        </w:rPr>
        <w:t xml:space="preserve"> the constitutionality of the </w:t>
      </w:r>
      <w:r w:rsidR="00AB299E" w:rsidRPr="008F5DAB">
        <w:rPr>
          <w:rFonts w:ascii="Verdana" w:hAnsi="Verdana"/>
          <w:color w:val="000000" w:themeColor="text1"/>
          <w:sz w:val="19"/>
          <w:szCs w:val="19"/>
        </w:rPr>
        <w:t xml:space="preserve">exceptional </w:t>
      </w:r>
      <w:r w:rsidRPr="008F5DAB">
        <w:rPr>
          <w:rFonts w:ascii="Verdana" w:hAnsi="Verdana"/>
          <w:color w:val="000000" w:themeColor="text1"/>
          <w:sz w:val="19"/>
          <w:szCs w:val="19"/>
        </w:rPr>
        <w:t xml:space="preserve">decrees promulgated by the President, </w:t>
      </w:r>
      <w:r w:rsidR="00EA2408" w:rsidRPr="008F5DAB">
        <w:rPr>
          <w:rFonts w:ascii="Verdana" w:hAnsi="Verdana"/>
          <w:color w:val="000000" w:themeColor="text1"/>
          <w:sz w:val="19"/>
          <w:szCs w:val="19"/>
        </w:rPr>
        <w:t>including by</w:t>
      </w:r>
      <w:r w:rsidR="00185CA0" w:rsidRPr="008F5DAB">
        <w:rPr>
          <w:rFonts w:ascii="Verdana" w:hAnsi="Verdana"/>
          <w:color w:val="000000" w:themeColor="text1"/>
          <w:sz w:val="19"/>
          <w:szCs w:val="19"/>
        </w:rPr>
        <w:t xml:space="preserve"> removing the power of</w:t>
      </w:r>
      <w:r w:rsidRPr="008F5DAB">
        <w:rPr>
          <w:rFonts w:ascii="Verdana" w:hAnsi="Verdana"/>
          <w:color w:val="000000" w:themeColor="text1"/>
          <w:sz w:val="19"/>
          <w:szCs w:val="19"/>
        </w:rPr>
        <w:t xml:space="preserve"> the legislature</w:t>
      </w:r>
      <w:r w:rsidR="002B0B43" w:rsidRPr="008F5DAB">
        <w:rPr>
          <w:rFonts w:ascii="Verdana" w:hAnsi="Verdana"/>
          <w:color w:val="000000" w:themeColor="text1"/>
          <w:sz w:val="19"/>
          <w:szCs w:val="19"/>
        </w:rPr>
        <w:t xml:space="preserve"> </w:t>
      </w:r>
      <w:r w:rsidR="00185CA0" w:rsidRPr="008F5DAB">
        <w:rPr>
          <w:rFonts w:ascii="Verdana" w:hAnsi="Verdana"/>
          <w:color w:val="000000" w:themeColor="text1"/>
          <w:sz w:val="19"/>
          <w:szCs w:val="19"/>
        </w:rPr>
        <w:t>to challenge the constitutionality of such decrees</w:t>
      </w:r>
      <w:r w:rsidR="005A0112" w:rsidRPr="008F5DAB">
        <w:rPr>
          <w:rFonts w:ascii="Verdana" w:hAnsi="Verdana"/>
          <w:color w:val="000000" w:themeColor="text1"/>
          <w:sz w:val="19"/>
          <w:szCs w:val="19"/>
        </w:rPr>
        <w:t>; an</w:t>
      </w:r>
      <w:r w:rsidR="00185CA0" w:rsidRPr="008F5DAB">
        <w:rPr>
          <w:rFonts w:ascii="Verdana" w:hAnsi="Verdana"/>
          <w:color w:val="000000" w:themeColor="text1"/>
          <w:sz w:val="19"/>
          <w:szCs w:val="19"/>
        </w:rPr>
        <w:t>d</w:t>
      </w:r>
    </w:p>
    <w:p w14:paraId="050AD357" w14:textId="430DFB04" w:rsidR="005A0112" w:rsidRPr="008F5DAB" w:rsidRDefault="005A0112" w:rsidP="00B30D6D">
      <w:pPr>
        <w:pStyle w:val="ListParagraph"/>
        <w:numPr>
          <w:ilvl w:val="1"/>
          <w:numId w:val="7"/>
        </w:numPr>
        <w:spacing w:beforeLines="120" w:before="288" w:after="0" w:line="240" w:lineRule="auto"/>
        <w:contextualSpacing w:val="0"/>
        <w:jc w:val="both"/>
        <w:rPr>
          <w:rFonts w:ascii="Verdana" w:hAnsi="Verdana"/>
          <w:sz w:val="19"/>
          <w:szCs w:val="19"/>
        </w:rPr>
      </w:pPr>
      <w:r w:rsidRPr="008F5DAB">
        <w:rPr>
          <w:rFonts w:ascii="Verdana" w:hAnsi="Verdana"/>
          <w:color w:val="000000" w:themeColor="text1"/>
          <w:sz w:val="19"/>
          <w:szCs w:val="19"/>
        </w:rPr>
        <w:t>Article 4(1)</w:t>
      </w:r>
      <w:r w:rsidR="079F6B50" w:rsidRPr="008F5DAB">
        <w:rPr>
          <w:rFonts w:ascii="Verdana" w:hAnsi="Verdana"/>
          <w:color w:val="000000" w:themeColor="text1"/>
          <w:sz w:val="19"/>
          <w:szCs w:val="19"/>
        </w:rPr>
        <w:t xml:space="preserve"> and (3)</w:t>
      </w:r>
      <w:r w:rsidRPr="008F5DAB">
        <w:rPr>
          <w:rFonts w:ascii="Verdana" w:hAnsi="Verdana"/>
          <w:color w:val="000000" w:themeColor="text1"/>
          <w:sz w:val="19"/>
          <w:szCs w:val="19"/>
        </w:rPr>
        <w:t xml:space="preserve">. By failing to specify the nature of the public emergency that necessitates the suspension of the </w:t>
      </w:r>
      <w:r w:rsidR="002B0B43" w:rsidRPr="008F5DAB">
        <w:rPr>
          <w:rFonts w:ascii="Verdana" w:hAnsi="Verdana"/>
          <w:color w:val="000000" w:themeColor="text1"/>
          <w:sz w:val="19"/>
          <w:szCs w:val="19"/>
        </w:rPr>
        <w:t>C</w:t>
      </w:r>
      <w:r w:rsidRPr="008F5DAB">
        <w:rPr>
          <w:rFonts w:ascii="Verdana" w:hAnsi="Verdana"/>
          <w:color w:val="000000" w:themeColor="text1"/>
          <w:sz w:val="19"/>
          <w:szCs w:val="19"/>
        </w:rPr>
        <w:t xml:space="preserve">onstitution, and the corollary interference </w:t>
      </w:r>
      <w:r w:rsidRPr="008F5DAB">
        <w:rPr>
          <w:rFonts w:ascii="Verdana" w:hAnsi="Verdana"/>
          <w:color w:val="000000" w:themeColor="text1"/>
          <w:sz w:val="19"/>
          <w:szCs w:val="19"/>
        </w:rPr>
        <w:lastRenderedPageBreak/>
        <w:t>with ICCPR rights</w:t>
      </w:r>
      <w:r w:rsidR="00EA2408" w:rsidRPr="008F5DAB">
        <w:rPr>
          <w:rFonts w:ascii="Verdana" w:hAnsi="Verdana"/>
          <w:color w:val="000000" w:themeColor="text1"/>
          <w:sz w:val="19"/>
          <w:szCs w:val="19"/>
        </w:rPr>
        <w:t>, and by</w:t>
      </w:r>
      <w:r w:rsidR="3BE7C27B" w:rsidRPr="008F5DAB">
        <w:rPr>
          <w:rFonts w:ascii="Verdana" w:hAnsi="Verdana"/>
          <w:color w:val="000000" w:themeColor="text1"/>
          <w:sz w:val="19"/>
          <w:szCs w:val="19"/>
        </w:rPr>
        <w:t xml:space="preserve"> fail</w:t>
      </w:r>
      <w:r w:rsidR="00EA2408" w:rsidRPr="008F5DAB">
        <w:rPr>
          <w:rFonts w:ascii="Verdana" w:hAnsi="Verdana"/>
          <w:color w:val="000000" w:themeColor="text1"/>
          <w:sz w:val="19"/>
          <w:szCs w:val="19"/>
        </w:rPr>
        <w:t>ing</w:t>
      </w:r>
      <w:r w:rsidR="3BE7C27B" w:rsidRPr="008F5DAB">
        <w:rPr>
          <w:rFonts w:ascii="Verdana" w:hAnsi="Verdana"/>
          <w:color w:val="000000" w:themeColor="text1"/>
          <w:sz w:val="19"/>
          <w:szCs w:val="19"/>
        </w:rPr>
        <w:t xml:space="preserve"> to notify the derogation</w:t>
      </w:r>
      <w:r w:rsidR="00EA2408" w:rsidRPr="008F5DAB">
        <w:rPr>
          <w:rFonts w:ascii="Verdana" w:hAnsi="Verdana"/>
          <w:color w:val="000000" w:themeColor="text1"/>
          <w:sz w:val="19"/>
          <w:szCs w:val="19"/>
        </w:rPr>
        <w:t xml:space="preserve"> to these rights</w:t>
      </w:r>
      <w:r w:rsidRPr="008F5DAB">
        <w:rPr>
          <w:rFonts w:ascii="Verdana" w:hAnsi="Verdana"/>
          <w:color w:val="000000" w:themeColor="text1"/>
          <w:sz w:val="19"/>
          <w:szCs w:val="19"/>
        </w:rPr>
        <w:t xml:space="preserve">, </w:t>
      </w:r>
      <w:r w:rsidR="00DA03C0" w:rsidRPr="008F5DAB">
        <w:rPr>
          <w:rFonts w:ascii="Verdana" w:hAnsi="Verdana"/>
          <w:color w:val="000000" w:themeColor="text1"/>
          <w:sz w:val="19"/>
          <w:szCs w:val="19"/>
        </w:rPr>
        <w:t>Tunisia</w:t>
      </w:r>
      <w:r w:rsidRPr="008F5DAB">
        <w:rPr>
          <w:rFonts w:ascii="Verdana" w:hAnsi="Verdana"/>
          <w:color w:val="000000" w:themeColor="text1"/>
          <w:sz w:val="19"/>
          <w:szCs w:val="19"/>
        </w:rPr>
        <w:t xml:space="preserve"> has failed to meet </w:t>
      </w:r>
      <w:r w:rsidR="00DA03C0" w:rsidRPr="008F5DAB">
        <w:rPr>
          <w:rFonts w:ascii="Verdana" w:hAnsi="Verdana"/>
          <w:color w:val="000000" w:themeColor="text1"/>
          <w:sz w:val="19"/>
          <w:szCs w:val="19"/>
        </w:rPr>
        <w:t xml:space="preserve">its </w:t>
      </w:r>
      <w:r w:rsidRPr="008F5DAB">
        <w:rPr>
          <w:rFonts w:ascii="Verdana" w:hAnsi="Verdana"/>
          <w:color w:val="000000" w:themeColor="text1"/>
          <w:sz w:val="19"/>
          <w:szCs w:val="19"/>
        </w:rPr>
        <w:t>obligations to prove</w:t>
      </w:r>
      <w:r w:rsidR="00DA03C0" w:rsidRPr="008F5DAB">
        <w:rPr>
          <w:rFonts w:ascii="Verdana" w:hAnsi="Verdana"/>
          <w:color w:val="000000" w:themeColor="text1"/>
          <w:sz w:val="19"/>
          <w:szCs w:val="19"/>
        </w:rPr>
        <w:t xml:space="preserve"> and</w:t>
      </w:r>
      <w:r w:rsidRPr="008F5DAB">
        <w:rPr>
          <w:rFonts w:ascii="Verdana" w:hAnsi="Verdana"/>
          <w:color w:val="000000" w:themeColor="text1"/>
          <w:sz w:val="19"/>
          <w:szCs w:val="19"/>
        </w:rPr>
        <w:t xml:space="preserve"> </w:t>
      </w:r>
      <w:r w:rsidR="00DA03C0" w:rsidRPr="008F5DAB">
        <w:rPr>
          <w:rFonts w:ascii="Verdana" w:hAnsi="Verdana"/>
          <w:color w:val="000000" w:themeColor="text1"/>
          <w:sz w:val="19"/>
          <w:szCs w:val="19"/>
        </w:rPr>
        <w:t xml:space="preserve">ensure </w:t>
      </w:r>
      <w:r w:rsidRPr="008F5DAB">
        <w:rPr>
          <w:rFonts w:ascii="Verdana" w:hAnsi="Verdana"/>
          <w:color w:val="000000" w:themeColor="text1"/>
          <w:sz w:val="19"/>
          <w:szCs w:val="19"/>
        </w:rPr>
        <w:t>that the measures are “strictly required by the exigencies of the situation</w:t>
      </w:r>
      <w:r w:rsidR="002B0B43" w:rsidRPr="008F5DAB">
        <w:rPr>
          <w:rFonts w:ascii="Verdana" w:hAnsi="Verdana"/>
          <w:color w:val="000000" w:themeColor="text1"/>
          <w:sz w:val="19"/>
          <w:szCs w:val="19"/>
        </w:rPr>
        <w:t>”</w:t>
      </w:r>
      <w:r w:rsidRPr="008F5DAB">
        <w:rPr>
          <w:rFonts w:ascii="Verdana" w:hAnsi="Verdana"/>
          <w:color w:val="000000" w:themeColor="text1"/>
          <w:sz w:val="19"/>
          <w:szCs w:val="19"/>
        </w:rPr>
        <w:t xml:space="preserve">.  </w:t>
      </w:r>
    </w:p>
    <w:p w14:paraId="6C4E68DC" w14:textId="2AA1FA08" w:rsidR="00241738" w:rsidRPr="008F5DAB" w:rsidRDefault="00241738" w:rsidP="00B30D6D">
      <w:pPr>
        <w:pStyle w:val="Default"/>
        <w:spacing w:beforeLines="120" w:before="288" w:after="0" w:line="240" w:lineRule="auto"/>
        <w:rPr>
          <w:rFonts w:ascii="Verdana" w:eastAsia="Verdana" w:hAnsi="Verdana" w:cs="Verdana"/>
          <w:b/>
          <w:bCs/>
          <w:sz w:val="19"/>
          <w:szCs w:val="19"/>
        </w:rPr>
      </w:pPr>
      <w:r w:rsidRPr="008F5DAB">
        <w:rPr>
          <w:rFonts w:ascii="Verdana" w:eastAsia="Verdana" w:hAnsi="Verdana" w:cs="Verdana"/>
          <w:b/>
          <w:bCs/>
          <w:sz w:val="19"/>
          <w:szCs w:val="19"/>
        </w:rPr>
        <w:t>Considering the above concerns, the Committee should recommend that Tunisia:</w:t>
      </w:r>
    </w:p>
    <w:p w14:paraId="0B9F1CCA" w14:textId="37614C1F" w:rsidR="00034808" w:rsidRPr="008F5DAB" w:rsidRDefault="00605466" w:rsidP="00B30D6D">
      <w:pPr>
        <w:pStyle w:val="ListParagraph"/>
        <w:numPr>
          <w:ilvl w:val="0"/>
          <w:numId w:val="18"/>
        </w:numPr>
        <w:spacing w:beforeLines="120" w:before="288" w:after="0" w:line="240" w:lineRule="auto"/>
        <w:contextualSpacing w:val="0"/>
        <w:jc w:val="both"/>
        <w:rPr>
          <w:rFonts w:ascii="Verdana" w:hAnsi="Verdana"/>
          <w:b/>
          <w:bCs/>
          <w:color w:val="000000"/>
          <w:sz w:val="19"/>
          <w:szCs w:val="19"/>
        </w:rPr>
      </w:pPr>
      <w:r w:rsidRPr="008F5DAB">
        <w:rPr>
          <w:rFonts w:ascii="Verdana" w:hAnsi="Verdana"/>
          <w:b/>
          <w:bCs/>
          <w:color w:val="000000" w:themeColor="text1"/>
          <w:sz w:val="19"/>
          <w:szCs w:val="19"/>
        </w:rPr>
        <w:t>R</w:t>
      </w:r>
      <w:r w:rsidR="00034808" w:rsidRPr="008F5DAB">
        <w:rPr>
          <w:rFonts w:ascii="Verdana" w:hAnsi="Verdana"/>
          <w:b/>
          <w:bCs/>
          <w:color w:val="000000" w:themeColor="text1"/>
          <w:sz w:val="19"/>
          <w:szCs w:val="19"/>
        </w:rPr>
        <w:t xml:space="preserve">e-establish </w:t>
      </w:r>
      <w:r w:rsidRPr="008F5DAB">
        <w:rPr>
          <w:rFonts w:ascii="Verdana" w:hAnsi="Verdana"/>
          <w:b/>
          <w:bCs/>
          <w:color w:val="000000" w:themeColor="text1"/>
          <w:sz w:val="19"/>
          <w:szCs w:val="19"/>
        </w:rPr>
        <w:t xml:space="preserve">a democratic </w:t>
      </w:r>
      <w:r w:rsidR="00034808" w:rsidRPr="008F5DAB">
        <w:rPr>
          <w:rFonts w:ascii="Verdana" w:hAnsi="Verdana"/>
          <w:b/>
          <w:bCs/>
          <w:color w:val="000000" w:themeColor="text1"/>
          <w:sz w:val="19"/>
          <w:szCs w:val="19"/>
        </w:rPr>
        <w:t>constitutional order;</w:t>
      </w:r>
    </w:p>
    <w:p w14:paraId="3C6E70EF" w14:textId="50EA4D44" w:rsidR="00EA21F3" w:rsidRPr="008F5DAB" w:rsidRDefault="00EA21F3" w:rsidP="00B30D6D">
      <w:pPr>
        <w:pStyle w:val="ListParagraph"/>
        <w:numPr>
          <w:ilvl w:val="0"/>
          <w:numId w:val="18"/>
        </w:numPr>
        <w:spacing w:beforeLines="120" w:before="288" w:after="0" w:line="240" w:lineRule="auto"/>
        <w:contextualSpacing w:val="0"/>
        <w:jc w:val="both"/>
        <w:rPr>
          <w:rFonts w:ascii="Verdana" w:hAnsi="Verdana"/>
          <w:b/>
          <w:bCs/>
          <w:color w:val="000000"/>
          <w:sz w:val="19"/>
          <w:szCs w:val="19"/>
        </w:rPr>
      </w:pPr>
      <w:r w:rsidRPr="008F5DAB">
        <w:rPr>
          <w:rFonts w:ascii="Verdana" w:hAnsi="Verdana"/>
          <w:b/>
          <w:bCs/>
          <w:color w:val="000000"/>
          <w:sz w:val="19"/>
          <w:szCs w:val="19"/>
        </w:rPr>
        <w:t xml:space="preserve">Enshrine guarantees for the independence of the Constitutional Court, including the independence of its members, as well as </w:t>
      </w:r>
      <w:r w:rsidR="00F906E1">
        <w:rPr>
          <w:rFonts w:ascii="Verdana" w:hAnsi="Verdana"/>
          <w:b/>
          <w:bCs/>
          <w:color w:val="000000"/>
          <w:sz w:val="19"/>
          <w:szCs w:val="19"/>
        </w:rPr>
        <w:t xml:space="preserve">an </w:t>
      </w:r>
      <w:r w:rsidRPr="008F5DAB">
        <w:rPr>
          <w:rFonts w:ascii="Verdana" w:hAnsi="Verdana"/>
          <w:b/>
          <w:bCs/>
          <w:color w:val="000000"/>
          <w:sz w:val="19"/>
          <w:szCs w:val="19"/>
        </w:rPr>
        <w:t>independent appointment procedure for the selection of its members;</w:t>
      </w:r>
    </w:p>
    <w:p w14:paraId="57581067" w14:textId="2A13F767" w:rsidR="00034808" w:rsidRPr="008F5DAB" w:rsidRDefault="00034808" w:rsidP="00B30D6D">
      <w:pPr>
        <w:numPr>
          <w:ilvl w:val="0"/>
          <w:numId w:val="18"/>
        </w:numPr>
        <w:spacing w:beforeLines="120" w:before="288" w:after="0" w:line="240" w:lineRule="auto"/>
        <w:jc w:val="both"/>
        <w:rPr>
          <w:rFonts w:ascii="Verdana" w:hAnsi="Verdana"/>
          <w:b/>
          <w:bCs/>
          <w:color w:val="000000"/>
          <w:sz w:val="19"/>
          <w:szCs w:val="19"/>
        </w:rPr>
      </w:pPr>
      <w:r w:rsidRPr="008F5DAB">
        <w:rPr>
          <w:rFonts w:ascii="Verdana" w:hAnsi="Verdana"/>
          <w:b/>
          <w:bCs/>
          <w:color w:val="000000"/>
          <w:sz w:val="19"/>
          <w:szCs w:val="19"/>
        </w:rPr>
        <w:t xml:space="preserve">Clearly and unambiguously recognize the primacy of the Constitution over all other aspects of domestic law, and ensure that domestic laws </w:t>
      </w:r>
      <w:r w:rsidR="00CC6D8E" w:rsidRPr="008F5DAB">
        <w:rPr>
          <w:rFonts w:ascii="Verdana" w:hAnsi="Verdana"/>
          <w:b/>
          <w:bCs/>
          <w:color w:val="000000"/>
          <w:sz w:val="19"/>
          <w:szCs w:val="19"/>
        </w:rPr>
        <w:t xml:space="preserve">be </w:t>
      </w:r>
      <w:r w:rsidRPr="008F5DAB">
        <w:rPr>
          <w:rFonts w:ascii="Verdana" w:hAnsi="Verdana"/>
          <w:b/>
          <w:bCs/>
          <w:color w:val="000000"/>
          <w:sz w:val="19"/>
          <w:szCs w:val="19"/>
        </w:rPr>
        <w:t xml:space="preserve">adopted and implemented in full compliance with the </w:t>
      </w:r>
      <w:proofErr w:type="gramStart"/>
      <w:r w:rsidRPr="008F5DAB">
        <w:rPr>
          <w:rFonts w:ascii="Verdana" w:hAnsi="Verdana"/>
          <w:b/>
          <w:bCs/>
          <w:color w:val="000000"/>
          <w:sz w:val="19"/>
          <w:szCs w:val="19"/>
        </w:rPr>
        <w:t>Constitution;</w:t>
      </w:r>
      <w:proofErr w:type="gramEnd"/>
    </w:p>
    <w:p w14:paraId="687A1A74" w14:textId="5B070501" w:rsidR="00034808" w:rsidRPr="008F5DAB" w:rsidRDefault="00034808" w:rsidP="00B30D6D">
      <w:pPr>
        <w:numPr>
          <w:ilvl w:val="0"/>
          <w:numId w:val="18"/>
        </w:numPr>
        <w:spacing w:beforeLines="120" w:before="288" w:after="0" w:line="240" w:lineRule="auto"/>
        <w:jc w:val="both"/>
        <w:rPr>
          <w:rFonts w:ascii="Verdana" w:hAnsi="Verdana"/>
          <w:b/>
          <w:bCs/>
          <w:color w:val="000000"/>
          <w:sz w:val="19"/>
          <w:szCs w:val="19"/>
        </w:rPr>
      </w:pPr>
      <w:r w:rsidRPr="008F5DAB">
        <w:rPr>
          <w:rFonts w:ascii="Verdana" w:hAnsi="Verdana"/>
          <w:b/>
          <w:bCs/>
          <w:color w:val="000000"/>
          <w:sz w:val="19"/>
          <w:szCs w:val="19"/>
        </w:rPr>
        <w:t xml:space="preserve">Ensure that the Constitution and domestic laws comply and </w:t>
      </w:r>
      <w:r w:rsidR="00CC6D8E" w:rsidRPr="008F5DAB">
        <w:rPr>
          <w:rFonts w:ascii="Verdana" w:hAnsi="Verdana"/>
          <w:b/>
          <w:bCs/>
          <w:color w:val="000000"/>
          <w:sz w:val="19"/>
          <w:szCs w:val="19"/>
        </w:rPr>
        <w:t xml:space="preserve">be </w:t>
      </w:r>
      <w:r w:rsidRPr="008F5DAB">
        <w:rPr>
          <w:rFonts w:ascii="Verdana" w:hAnsi="Verdana"/>
          <w:b/>
          <w:bCs/>
          <w:color w:val="000000"/>
          <w:sz w:val="19"/>
          <w:szCs w:val="19"/>
        </w:rPr>
        <w:t xml:space="preserve">consistent with Tunisia’s obligations under international law in spirit and </w:t>
      </w:r>
      <w:proofErr w:type="gramStart"/>
      <w:r w:rsidRPr="008F5DAB">
        <w:rPr>
          <w:rFonts w:ascii="Verdana" w:hAnsi="Verdana"/>
          <w:b/>
          <w:bCs/>
          <w:color w:val="000000"/>
          <w:sz w:val="19"/>
          <w:szCs w:val="19"/>
        </w:rPr>
        <w:t>letter;</w:t>
      </w:r>
      <w:proofErr w:type="gramEnd"/>
    </w:p>
    <w:p w14:paraId="2F55C895" w14:textId="3757E85B" w:rsidR="00034808" w:rsidRPr="008F5DAB" w:rsidRDefault="00034808" w:rsidP="00B30D6D">
      <w:pPr>
        <w:numPr>
          <w:ilvl w:val="0"/>
          <w:numId w:val="18"/>
        </w:numPr>
        <w:spacing w:beforeLines="120" w:before="288" w:after="0" w:line="240" w:lineRule="auto"/>
        <w:jc w:val="both"/>
        <w:rPr>
          <w:rFonts w:ascii="Verdana" w:hAnsi="Verdana"/>
          <w:b/>
          <w:bCs/>
          <w:color w:val="000000"/>
          <w:sz w:val="19"/>
          <w:szCs w:val="19"/>
        </w:rPr>
      </w:pPr>
      <w:r w:rsidRPr="008F5DAB">
        <w:rPr>
          <w:rFonts w:ascii="Verdana" w:hAnsi="Verdana"/>
          <w:b/>
          <w:bCs/>
          <w:color w:val="000000"/>
          <w:sz w:val="19"/>
          <w:szCs w:val="19"/>
        </w:rPr>
        <w:t xml:space="preserve">Fully embed the rule of law in the framework for the functioning of the State, including by ensuring the separation of powers, attribution of competences and adequate checks and balances between the legislature, the executive and the judiciary, as independent </w:t>
      </w:r>
      <w:r w:rsidR="00012AB9">
        <w:rPr>
          <w:rFonts w:ascii="Verdana" w:hAnsi="Verdana"/>
          <w:b/>
          <w:bCs/>
          <w:color w:val="000000"/>
          <w:sz w:val="19"/>
          <w:szCs w:val="19"/>
        </w:rPr>
        <w:t xml:space="preserve">branches of the State </w:t>
      </w:r>
      <w:r w:rsidRPr="008F5DAB">
        <w:rPr>
          <w:rFonts w:ascii="Verdana" w:hAnsi="Verdana"/>
          <w:b/>
          <w:bCs/>
          <w:color w:val="000000"/>
          <w:sz w:val="19"/>
          <w:szCs w:val="19"/>
        </w:rPr>
        <w:t xml:space="preserve">and not as mere functions of the </w:t>
      </w:r>
      <w:proofErr w:type="gramStart"/>
      <w:r w:rsidRPr="008F5DAB">
        <w:rPr>
          <w:rFonts w:ascii="Verdana" w:hAnsi="Verdana"/>
          <w:b/>
          <w:bCs/>
          <w:color w:val="000000"/>
          <w:sz w:val="19"/>
          <w:szCs w:val="19"/>
        </w:rPr>
        <w:t>State;</w:t>
      </w:r>
      <w:proofErr w:type="gramEnd"/>
    </w:p>
    <w:p w14:paraId="480A5C46" w14:textId="540502EA" w:rsidR="004E61F9" w:rsidRPr="008F5DAB" w:rsidRDefault="00034808" w:rsidP="00B30D6D">
      <w:pPr>
        <w:numPr>
          <w:ilvl w:val="0"/>
          <w:numId w:val="18"/>
        </w:numPr>
        <w:spacing w:beforeLines="120" w:before="288" w:after="0" w:line="240" w:lineRule="auto"/>
        <w:jc w:val="both"/>
        <w:rPr>
          <w:rFonts w:ascii="Verdana" w:hAnsi="Verdana"/>
          <w:b/>
          <w:bCs/>
          <w:color w:val="000000"/>
          <w:sz w:val="19"/>
          <w:szCs w:val="19"/>
        </w:rPr>
      </w:pPr>
      <w:r w:rsidRPr="008F5DAB">
        <w:rPr>
          <w:rFonts w:ascii="Verdana" w:hAnsi="Verdana"/>
          <w:b/>
          <w:bCs/>
          <w:color w:val="000000"/>
          <w:sz w:val="19"/>
          <w:szCs w:val="19"/>
        </w:rPr>
        <w:t>Clearly specify that presidential immunity cannot be used to shield the President of the Republic from accountability in case of serious violations of the Constitution, including interference in the legislat</w:t>
      </w:r>
      <w:r w:rsidR="00AF709F">
        <w:rPr>
          <w:rFonts w:ascii="Verdana" w:hAnsi="Verdana"/>
          <w:b/>
          <w:bCs/>
          <w:color w:val="000000"/>
          <w:sz w:val="19"/>
          <w:szCs w:val="19"/>
        </w:rPr>
        <w:t>ure</w:t>
      </w:r>
      <w:r w:rsidRPr="008F5DAB">
        <w:rPr>
          <w:rFonts w:ascii="Verdana" w:hAnsi="Verdana"/>
          <w:b/>
          <w:bCs/>
          <w:color w:val="000000"/>
          <w:sz w:val="19"/>
          <w:szCs w:val="19"/>
        </w:rPr>
        <w:t xml:space="preserve"> and</w:t>
      </w:r>
      <w:r w:rsidR="00AF709F">
        <w:rPr>
          <w:rFonts w:ascii="Verdana" w:hAnsi="Verdana"/>
          <w:b/>
          <w:bCs/>
          <w:color w:val="000000"/>
          <w:sz w:val="19"/>
          <w:szCs w:val="19"/>
        </w:rPr>
        <w:t>/or</w:t>
      </w:r>
      <w:r w:rsidRPr="008F5DAB">
        <w:rPr>
          <w:rFonts w:ascii="Verdana" w:hAnsi="Verdana"/>
          <w:b/>
          <w:bCs/>
          <w:color w:val="000000"/>
          <w:sz w:val="19"/>
          <w:szCs w:val="19"/>
        </w:rPr>
        <w:t xml:space="preserve"> the judiciary;</w:t>
      </w:r>
      <w:r w:rsidR="00EA21F3" w:rsidRPr="008F5DAB">
        <w:rPr>
          <w:rFonts w:ascii="Verdana" w:hAnsi="Verdana"/>
          <w:b/>
          <w:bCs/>
          <w:color w:val="000000"/>
          <w:sz w:val="19"/>
          <w:szCs w:val="19"/>
        </w:rPr>
        <w:t xml:space="preserve"> and</w:t>
      </w:r>
    </w:p>
    <w:p w14:paraId="695850D2" w14:textId="18C029F9" w:rsidR="0012114B" w:rsidRPr="007F16A4" w:rsidRDefault="00034808" w:rsidP="00B30D6D">
      <w:pPr>
        <w:numPr>
          <w:ilvl w:val="0"/>
          <w:numId w:val="18"/>
        </w:numPr>
        <w:spacing w:beforeLines="120" w:before="288" w:after="0" w:line="240" w:lineRule="auto"/>
        <w:jc w:val="both"/>
        <w:rPr>
          <w:rFonts w:ascii="Verdana" w:hAnsi="Verdana"/>
          <w:sz w:val="19"/>
          <w:szCs w:val="19"/>
        </w:rPr>
      </w:pPr>
      <w:r w:rsidRPr="008F5DAB">
        <w:rPr>
          <w:rFonts w:ascii="Verdana" w:hAnsi="Verdana"/>
          <w:b/>
          <w:bCs/>
          <w:color w:val="000000" w:themeColor="text1"/>
          <w:sz w:val="19"/>
          <w:szCs w:val="19"/>
        </w:rPr>
        <w:t>Ens</w:t>
      </w:r>
      <w:r w:rsidR="004E61F9" w:rsidRPr="008F5DAB">
        <w:rPr>
          <w:rFonts w:ascii="Verdana" w:hAnsi="Verdana"/>
          <w:b/>
          <w:bCs/>
          <w:color w:val="000000" w:themeColor="text1"/>
          <w:sz w:val="19"/>
          <w:szCs w:val="19"/>
        </w:rPr>
        <w:t>ur</w:t>
      </w:r>
      <w:r w:rsidRPr="008F5DAB">
        <w:rPr>
          <w:rFonts w:ascii="Verdana" w:hAnsi="Verdana"/>
          <w:b/>
          <w:bCs/>
          <w:color w:val="000000" w:themeColor="text1"/>
          <w:sz w:val="19"/>
          <w:szCs w:val="19"/>
        </w:rPr>
        <w:t>e the Constitution</w:t>
      </w:r>
      <w:r w:rsidR="00012AB9">
        <w:rPr>
          <w:rFonts w:ascii="Verdana" w:hAnsi="Verdana"/>
          <w:b/>
          <w:bCs/>
          <w:color w:val="000000" w:themeColor="text1"/>
          <w:sz w:val="19"/>
          <w:szCs w:val="19"/>
        </w:rPr>
        <w:t xml:space="preserve">’s </w:t>
      </w:r>
      <w:r w:rsidR="00012AB9" w:rsidRPr="008F5DAB">
        <w:rPr>
          <w:rFonts w:ascii="Verdana" w:hAnsi="Verdana"/>
          <w:b/>
          <w:bCs/>
          <w:color w:val="000000" w:themeColor="text1"/>
          <w:sz w:val="19"/>
          <w:szCs w:val="19"/>
        </w:rPr>
        <w:t xml:space="preserve">“state of exception” </w:t>
      </w:r>
      <w:r w:rsidR="00012AB9">
        <w:rPr>
          <w:rFonts w:ascii="Verdana" w:hAnsi="Verdana"/>
          <w:b/>
          <w:bCs/>
          <w:color w:val="000000" w:themeColor="text1"/>
          <w:sz w:val="19"/>
          <w:szCs w:val="19"/>
        </w:rPr>
        <w:t xml:space="preserve">provisions comply </w:t>
      </w:r>
      <w:r w:rsidRPr="008F5DAB">
        <w:rPr>
          <w:rFonts w:ascii="Verdana" w:hAnsi="Verdana"/>
          <w:b/>
          <w:bCs/>
          <w:color w:val="000000" w:themeColor="text1"/>
          <w:sz w:val="19"/>
          <w:szCs w:val="19"/>
        </w:rPr>
        <w:t xml:space="preserve">with Tunisia’s obligations under international law, including by incorporating all aspects of </w:t>
      </w:r>
      <w:r w:rsidR="00605466" w:rsidRPr="008F5DAB">
        <w:rPr>
          <w:rFonts w:ascii="Verdana" w:hAnsi="Verdana"/>
          <w:b/>
          <w:bCs/>
          <w:color w:val="000000" w:themeColor="text1"/>
          <w:sz w:val="19"/>
          <w:szCs w:val="19"/>
        </w:rPr>
        <w:t>a</w:t>
      </w:r>
      <w:r w:rsidRPr="008F5DAB">
        <w:rPr>
          <w:rFonts w:ascii="Verdana" w:hAnsi="Verdana"/>
          <w:b/>
          <w:bCs/>
          <w:color w:val="000000" w:themeColor="text1"/>
          <w:sz w:val="19"/>
          <w:szCs w:val="19"/>
        </w:rPr>
        <w:t>rticle 4 of the ICCPR, as well as the additional non-derogable rights</w:t>
      </w:r>
      <w:r w:rsidR="004E61F9" w:rsidRPr="008F5DAB">
        <w:rPr>
          <w:rFonts w:ascii="Verdana" w:hAnsi="Verdana"/>
          <w:b/>
          <w:bCs/>
          <w:color w:val="000000" w:themeColor="text1"/>
          <w:sz w:val="19"/>
          <w:szCs w:val="19"/>
        </w:rPr>
        <w:t xml:space="preserve"> </w:t>
      </w:r>
      <w:r w:rsidRPr="008F5DAB">
        <w:rPr>
          <w:rFonts w:ascii="Verdana" w:hAnsi="Verdana"/>
          <w:b/>
          <w:bCs/>
          <w:color w:val="000000" w:themeColor="text1"/>
          <w:sz w:val="19"/>
          <w:szCs w:val="19"/>
        </w:rPr>
        <w:t>mentioned by the UN Human Rights Committee in its General Comment 29.</w:t>
      </w:r>
    </w:p>
    <w:p w14:paraId="1DBB683D"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7F439B58"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51180E48"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57D7BEEA"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1E42B53C"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3798D518"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4650EBA4" w14:textId="77777777" w:rsidR="007F16A4" w:rsidRDefault="007F16A4" w:rsidP="007F16A4">
      <w:pPr>
        <w:spacing w:beforeLines="120" w:before="288" w:after="0" w:line="240" w:lineRule="auto"/>
        <w:jc w:val="both"/>
        <w:rPr>
          <w:rFonts w:ascii="Verdana" w:hAnsi="Verdana"/>
          <w:b/>
          <w:bCs/>
          <w:color w:val="000000" w:themeColor="text1"/>
          <w:sz w:val="19"/>
          <w:szCs w:val="19"/>
        </w:rPr>
      </w:pPr>
    </w:p>
    <w:p w14:paraId="47C079C3" w14:textId="77777777" w:rsidR="00D45EA0" w:rsidRDefault="00D45EA0" w:rsidP="007F16A4">
      <w:pPr>
        <w:spacing w:beforeLines="120" w:before="288" w:after="0" w:line="240" w:lineRule="auto"/>
        <w:jc w:val="both"/>
        <w:rPr>
          <w:rFonts w:ascii="Verdana" w:hAnsi="Verdana"/>
          <w:b/>
          <w:bCs/>
          <w:color w:val="000000" w:themeColor="text1"/>
          <w:sz w:val="19"/>
          <w:szCs w:val="19"/>
        </w:rPr>
      </w:pPr>
    </w:p>
    <w:p w14:paraId="71750E84" w14:textId="77777777" w:rsidR="00D45EA0" w:rsidRDefault="00D45EA0" w:rsidP="007F16A4">
      <w:pPr>
        <w:spacing w:beforeLines="120" w:before="288" w:after="0" w:line="240" w:lineRule="auto"/>
        <w:jc w:val="both"/>
        <w:rPr>
          <w:rFonts w:ascii="Verdana" w:hAnsi="Verdana"/>
          <w:b/>
          <w:bCs/>
          <w:color w:val="000000" w:themeColor="text1"/>
          <w:sz w:val="19"/>
          <w:szCs w:val="19"/>
        </w:rPr>
      </w:pPr>
    </w:p>
    <w:p w14:paraId="4BFC8CC9" w14:textId="77777777" w:rsidR="007F16A4" w:rsidRPr="008F5DAB" w:rsidRDefault="007F16A4" w:rsidP="007F16A4">
      <w:pPr>
        <w:spacing w:beforeLines="120" w:before="288" w:after="0" w:line="240" w:lineRule="auto"/>
        <w:jc w:val="both"/>
        <w:rPr>
          <w:rFonts w:ascii="Verdana" w:hAnsi="Verdana"/>
          <w:sz w:val="19"/>
          <w:szCs w:val="19"/>
        </w:rPr>
      </w:pPr>
    </w:p>
    <w:p w14:paraId="0D8F8CFE" w14:textId="6DEBEED0" w:rsidR="001C0A5A" w:rsidRPr="00B30D6D" w:rsidRDefault="00FA1A0E" w:rsidP="00B30D6D">
      <w:pPr>
        <w:pStyle w:val="Default"/>
        <w:numPr>
          <w:ilvl w:val="0"/>
          <w:numId w:val="6"/>
        </w:numPr>
        <w:spacing w:beforeLines="120" w:before="288" w:after="0" w:line="240" w:lineRule="auto"/>
        <w:rPr>
          <w:rFonts w:ascii="Verdana" w:hAnsi="Verdana"/>
          <w:color w:val="000000"/>
          <w:sz w:val="19"/>
          <w:szCs w:val="19"/>
        </w:rPr>
      </w:pPr>
      <w:r w:rsidRPr="008F5DAB">
        <w:rPr>
          <w:rFonts w:ascii="Verdana" w:eastAsia="Verdana" w:hAnsi="Verdana" w:cs="Verdana"/>
          <w:color w:val="2E74B5" w:themeColor="accent5" w:themeShade="BF"/>
          <w:sz w:val="19"/>
          <w:szCs w:val="19"/>
        </w:rPr>
        <w:lastRenderedPageBreak/>
        <w:t>The abuse of c</w:t>
      </w:r>
      <w:r w:rsidR="00034808" w:rsidRPr="008F5DAB">
        <w:rPr>
          <w:rFonts w:ascii="Verdana" w:eastAsia="Verdana" w:hAnsi="Verdana" w:cs="Verdana"/>
          <w:color w:val="2E74B5" w:themeColor="accent5" w:themeShade="BF"/>
          <w:sz w:val="19"/>
          <w:szCs w:val="19"/>
        </w:rPr>
        <w:t>ounter</w:t>
      </w:r>
      <w:r w:rsidR="0012114B" w:rsidRPr="008F5DAB">
        <w:rPr>
          <w:rFonts w:ascii="Verdana" w:eastAsia="Verdana" w:hAnsi="Verdana" w:cs="Verdana"/>
          <w:color w:val="2E74B5" w:themeColor="accent5" w:themeShade="BF"/>
          <w:sz w:val="19"/>
          <w:szCs w:val="19"/>
        </w:rPr>
        <w:t>-</w:t>
      </w:r>
      <w:r w:rsidR="00034808" w:rsidRPr="008F5DAB">
        <w:rPr>
          <w:rFonts w:ascii="Verdana" w:eastAsia="Verdana" w:hAnsi="Verdana" w:cs="Verdana"/>
          <w:color w:val="2E74B5" w:themeColor="accent5" w:themeShade="BF"/>
          <w:sz w:val="19"/>
          <w:szCs w:val="19"/>
        </w:rPr>
        <w:t>terrorism</w:t>
      </w:r>
      <w:r w:rsidRPr="008F5DAB">
        <w:rPr>
          <w:rFonts w:ascii="Verdana" w:eastAsia="Verdana" w:hAnsi="Verdana" w:cs="Verdana"/>
          <w:color w:val="2E74B5" w:themeColor="accent5" w:themeShade="BF"/>
          <w:sz w:val="19"/>
          <w:szCs w:val="19"/>
        </w:rPr>
        <w:t xml:space="preserve"> legislation to</w:t>
      </w:r>
      <w:r w:rsidR="00034808" w:rsidRPr="008F5DAB">
        <w:rPr>
          <w:rFonts w:ascii="Verdana" w:eastAsia="Verdana" w:hAnsi="Verdana" w:cs="Verdana"/>
          <w:color w:val="2E74B5" w:themeColor="accent5" w:themeShade="BF"/>
          <w:sz w:val="19"/>
          <w:szCs w:val="19"/>
        </w:rPr>
        <w:t xml:space="preserve"> </w:t>
      </w:r>
      <w:r w:rsidR="001A2BA9" w:rsidRPr="008F5DAB">
        <w:rPr>
          <w:rFonts w:ascii="Verdana" w:eastAsia="Verdana" w:hAnsi="Verdana" w:cs="Verdana"/>
          <w:color w:val="2E74B5" w:themeColor="accent5" w:themeShade="BF"/>
          <w:sz w:val="19"/>
          <w:szCs w:val="19"/>
        </w:rPr>
        <w:t>arbitrar</w:t>
      </w:r>
      <w:r w:rsidRPr="008F5DAB">
        <w:rPr>
          <w:rFonts w:ascii="Verdana" w:eastAsia="Verdana" w:hAnsi="Verdana" w:cs="Verdana"/>
          <w:color w:val="2E74B5" w:themeColor="accent5" w:themeShade="BF"/>
          <w:sz w:val="19"/>
          <w:szCs w:val="19"/>
        </w:rPr>
        <w:t>il</w:t>
      </w:r>
      <w:r w:rsidR="001A2BA9" w:rsidRPr="008F5DAB">
        <w:rPr>
          <w:rFonts w:ascii="Verdana" w:eastAsia="Verdana" w:hAnsi="Verdana" w:cs="Verdana"/>
          <w:color w:val="2E74B5" w:themeColor="accent5" w:themeShade="BF"/>
          <w:sz w:val="19"/>
          <w:szCs w:val="19"/>
        </w:rPr>
        <w:t>y prosecut</w:t>
      </w:r>
      <w:r w:rsidRPr="008F5DAB">
        <w:rPr>
          <w:rFonts w:ascii="Verdana" w:eastAsia="Verdana" w:hAnsi="Verdana" w:cs="Verdana"/>
          <w:color w:val="2E74B5" w:themeColor="accent5" w:themeShade="BF"/>
          <w:sz w:val="19"/>
          <w:szCs w:val="19"/>
        </w:rPr>
        <w:t>e</w:t>
      </w:r>
      <w:r w:rsidR="001A2BA9" w:rsidRPr="008F5DAB">
        <w:rPr>
          <w:rFonts w:ascii="Verdana" w:eastAsia="Verdana" w:hAnsi="Verdana" w:cs="Verdana"/>
          <w:color w:val="2E74B5" w:themeColor="accent5" w:themeShade="BF"/>
          <w:sz w:val="19"/>
          <w:szCs w:val="19"/>
        </w:rPr>
        <w:t xml:space="preserve"> </w:t>
      </w:r>
      <w:r w:rsidR="00BA58FC" w:rsidRPr="008F5DAB">
        <w:rPr>
          <w:rFonts w:ascii="Verdana" w:eastAsia="Verdana" w:hAnsi="Verdana" w:cs="Verdana"/>
          <w:color w:val="2E74B5" w:themeColor="accent5" w:themeShade="BF"/>
          <w:sz w:val="19"/>
          <w:szCs w:val="19"/>
        </w:rPr>
        <w:t xml:space="preserve">perceived political dissidents, including members of </w:t>
      </w:r>
      <w:r w:rsidR="001A2BA9" w:rsidRPr="008F5DAB">
        <w:rPr>
          <w:rFonts w:ascii="Verdana" w:eastAsia="Verdana" w:hAnsi="Verdana" w:cs="Verdana"/>
          <w:color w:val="2E74B5" w:themeColor="accent5" w:themeShade="BF"/>
          <w:sz w:val="19"/>
          <w:szCs w:val="19"/>
        </w:rPr>
        <w:t xml:space="preserve">the </w:t>
      </w:r>
      <w:proofErr w:type="gramStart"/>
      <w:r w:rsidR="001A2BA9" w:rsidRPr="008F5DAB">
        <w:rPr>
          <w:rFonts w:ascii="Verdana" w:eastAsia="Verdana" w:hAnsi="Verdana" w:cs="Verdana"/>
          <w:color w:val="2E74B5" w:themeColor="accent5" w:themeShade="BF"/>
          <w:sz w:val="19"/>
          <w:szCs w:val="19"/>
        </w:rPr>
        <w:t>judiciary</w:t>
      </w:r>
      <w:proofErr w:type="gramEnd"/>
      <w:r w:rsidR="001A2BA9" w:rsidRPr="008F5DAB">
        <w:rPr>
          <w:rFonts w:ascii="Verdana" w:eastAsia="Verdana" w:hAnsi="Verdana" w:cs="Verdana"/>
          <w:color w:val="2E74B5" w:themeColor="accent5" w:themeShade="BF"/>
          <w:sz w:val="19"/>
          <w:szCs w:val="19"/>
        </w:rPr>
        <w:t xml:space="preserve"> </w:t>
      </w:r>
    </w:p>
    <w:p w14:paraId="2B64D043" w14:textId="1438D43C" w:rsidR="00A15E7C" w:rsidRPr="007D4C86" w:rsidRDefault="00F47251" w:rsidP="007D4C86">
      <w:pPr>
        <w:pStyle w:val="ListParagraph"/>
        <w:numPr>
          <w:ilvl w:val="0"/>
          <w:numId w:val="7"/>
        </w:numPr>
        <w:spacing w:beforeLines="120" w:before="288" w:after="0" w:line="240" w:lineRule="auto"/>
        <w:contextualSpacing w:val="0"/>
        <w:jc w:val="both"/>
        <w:rPr>
          <w:rFonts w:ascii="Verdana" w:hAnsi="Verdana"/>
          <w:color w:val="000000" w:themeColor="text1"/>
          <w:sz w:val="19"/>
          <w:szCs w:val="19"/>
        </w:rPr>
      </w:pPr>
      <w:r w:rsidRPr="00B30D6D">
        <w:rPr>
          <w:rFonts w:ascii="Verdana" w:hAnsi="Verdana"/>
          <w:color w:val="000000" w:themeColor="text1"/>
          <w:sz w:val="19"/>
          <w:szCs w:val="19"/>
        </w:rPr>
        <w:t xml:space="preserve">In its 2020 Concluding </w:t>
      </w:r>
      <w:r w:rsidR="00BF02C8">
        <w:rPr>
          <w:rFonts w:ascii="Verdana" w:hAnsi="Verdana"/>
          <w:color w:val="000000" w:themeColor="text1"/>
          <w:sz w:val="19"/>
          <w:szCs w:val="19"/>
        </w:rPr>
        <w:t>o</w:t>
      </w:r>
      <w:r w:rsidRPr="00B30D6D">
        <w:rPr>
          <w:rFonts w:ascii="Verdana" w:hAnsi="Verdana"/>
          <w:color w:val="000000" w:themeColor="text1"/>
          <w:sz w:val="19"/>
          <w:szCs w:val="19"/>
        </w:rPr>
        <w:t xml:space="preserve">bservations, the Committee </w:t>
      </w:r>
      <w:r w:rsidR="00BF02C8">
        <w:rPr>
          <w:rFonts w:ascii="Verdana" w:hAnsi="Verdana"/>
          <w:color w:val="000000" w:themeColor="text1"/>
          <w:sz w:val="19"/>
          <w:szCs w:val="19"/>
        </w:rPr>
        <w:t>expressed</w:t>
      </w:r>
      <w:r w:rsidR="00BF02C8" w:rsidRPr="00B30D6D">
        <w:rPr>
          <w:rFonts w:ascii="Verdana" w:hAnsi="Verdana"/>
          <w:color w:val="000000" w:themeColor="text1"/>
          <w:sz w:val="19"/>
          <w:szCs w:val="19"/>
        </w:rPr>
        <w:t xml:space="preserve"> </w:t>
      </w:r>
      <w:r w:rsidR="008C32C4" w:rsidRPr="00B30D6D">
        <w:rPr>
          <w:rFonts w:ascii="Verdana" w:hAnsi="Verdana"/>
          <w:color w:val="000000" w:themeColor="text1"/>
          <w:sz w:val="19"/>
          <w:szCs w:val="19"/>
        </w:rPr>
        <w:t>concern regarding</w:t>
      </w:r>
      <w:r w:rsidR="00110A98" w:rsidRPr="00B30D6D">
        <w:rPr>
          <w:rFonts w:ascii="Verdana" w:hAnsi="Verdana"/>
          <w:color w:val="000000" w:themeColor="text1"/>
          <w:sz w:val="19"/>
          <w:szCs w:val="19"/>
        </w:rPr>
        <w:t xml:space="preserve"> </w:t>
      </w:r>
      <w:r w:rsidR="008C32C4" w:rsidRPr="00B30D6D">
        <w:rPr>
          <w:rFonts w:ascii="Verdana" w:hAnsi="Verdana"/>
          <w:color w:val="000000" w:themeColor="text1"/>
          <w:sz w:val="19"/>
          <w:szCs w:val="19"/>
        </w:rPr>
        <w:t>“the improper use of counter-</w:t>
      </w:r>
      <w:r w:rsidR="00110A98" w:rsidRPr="00B30D6D">
        <w:rPr>
          <w:rFonts w:ascii="Verdana" w:hAnsi="Verdana"/>
          <w:color w:val="000000" w:themeColor="text1"/>
          <w:sz w:val="19"/>
          <w:szCs w:val="19"/>
        </w:rPr>
        <w:t>terrorism</w:t>
      </w:r>
      <w:r w:rsidR="008C32C4" w:rsidRPr="00B30D6D">
        <w:rPr>
          <w:rFonts w:ascii="Verdana" w:hAnsi="Verdana"/>
          <w:color w:val="000000" w:themeColor="text1"/>
          <w:sz w:val="19"/>
          <w:szCs w:val="19"/>
        </w:rPr>
        <w:t xml:space="preserve"> legislation to criminalize conduct linked to the exercise</w:t>
      </w:r>
      <w:r w:rsidR="00110A98" w:rsidRPr="00B30D6D">
        <w:rPr>
          <w:rFonts w:ascii="Verdana" w:hAnsi="Verdana"/>
          <w:color w:val="000000" w:themeColor="text1"/>
          <w:sz w:val="19"/>
          <w:szCs w:val="19"/>
        </w:rPr>
        <w:t xml:space="preserve"> of the right to freedom of expression and peaceful assembly.”</w:t>
      </w:r>
      <w:r w:rsidR="00110A98" w:rsidRPr="00B30D6D">
        <w:rPr>
          <w:rStyle w:val="FootnoteReference"/>
          <w:rFonts w:ascii="Verdana" w:hAnsi="Verdana"/>
          <w:color w:val="000000" w:themeColor="text1"/>
          <w:sz w:val="19"/>
          <w:szCs w:val="19"/>
        </w:rPr>
        <w:footnoteReference w:id="11"/>
      </w:r>
      <w:r w:rsidR="004E61F9" w:rsidRPr="008F5DAB">
        <w:rPr>
          <w:rFonts w:ascii="Verdana" w:hAnsi="Verdana"/>
          <w:color w:val="000000" w:themeColor="text1"/>
          <w:sz w:val="19"/>
          <w:szCs w:val="19"/>
        </w:rPr>
        <w:t xml:space="preserve"> Since the</w:t>
      </w:r>
      <w:r w:rsidR="0014293F" w:rsidRPr="008F5DAB">
        <w:rPr>
          <w:rFonts w:ascii="Verdana" w:hAnsi="Verdana"/>
          <w:color w:val="000000" w:themeColor="text1"/>
          <w:sz w:val="19"/>
          <w:szCs w:val="19"/>
        </w:rPr>
        <w:t xml:space="preserve"> declaration of a state of exception</w:t>
      </w:r>
      <w:r w:rsidR="004E61F9" w:rsidRPr="008F5DAB">
        <w:rPr>
          <w:rFonts w:ascii="Verdana" w:hAnsi="Verdana"/>
          <w:color w:val="000000" w:themeColor="text1"/>
          <w:sz w:val="19"/>
          <w:szCs w:val="19"/>
        </w:rPr>
        <w:t>, the ICJ has documented a growing number of arbitrary prosecutions of members of the judiciary and perceived political dissidents</w:t>
      </w:r>
      <w:r w:rsidR="0014293F" w:rsidRPr="008F5DAB">
        <w:rPr>
          <w:rFonts w:ascii="Verdana" w:hAnsi="Verdana"/>
          <w:color w:val="000000" w:themeColor="text1"/>
          <w:sz w:val="19"/>
          <w:szCs w:val="19"/>
        </w:rPr>
        <w:t xml:space="preserve"> under counter-terrorism legislation</w:t>
      </w:r>
      <w:r w:rsidR="004E61F9" w:rsidRPr="008F5DAB">
        <w:rPr>
          <w:rFonts w:ascii="Verdana" w:hAnsi="Verdana"/>
          <w:color w:val="000000" w:themeColor="text1"/>
          <w:sz w:val="19"/>
          <w:szCs w:val="19"/>
        </w:rPr>
        <w:t xml:space="preserve">. </w:t>
      </w:r>
    </w:p>
    <w:p w14:paraId="04DAF4A0" w14:textId="09DAD688" w:rsidR="00F47251" w:rsidRPr="00B30D6D" w:rsidRDefault="004E61F9" w:rsidP="006454FE">
      <w:pPr>
        <w:spacing w:beforeLines="120" w:before="288" w:after="0" w:line="240" w:lineRule="auto"/>
        <w:ind w:firstLine="644"/>
        <w:jc w:val="both"/>
        <w:rPr>
          <w:rFonts w:ascii="Verdana" w:hAnsi="Verdana"/>
          <w:i/>
          <w:iCs/>
          <w:color w:val="000000" w:themeColor="text1"/>
          <w:sz w:val="19"/>
          <w:szCs w:val="19"/>
        </w:rPr>
      </w:pPr>
      <w:r w:rsidRPr="00B30D6D">
        <w:rPr>
          <w:rFonts w:ascii="Verdana" w:hAnsi="Verdana"/>
          <w:i/>
          <w:iCs/>
          <w:color w:val="000000" w:themeColor="text1"/>
          <w:sz w:val="19"/>
          <w:szCs w:val="19"/>
        </w:rPr>
        <w:t xml:space="preserve">Prosecution of </w:t>
      </w:r>
      <w:r w:rsidRPr="008F5DAB">
        <w:rPr>
          <w:rFonts w:ascii="Verdana" w:hAnsi="Verdana"/>
          <w:i/>
          <w:iCs/>
          <w:color w:val="000000" w:themeColor="text1"/>
          <w:sz w:val="19"/>
          <w:szCs w:val="19"/>
        </w:rPr>
        <w:t>members of the</w:t>
      </w:r>
      <w:r w:rsidRPr="00B30D6D">
        <w:rPr>
          <w:rFonts w:ascii="Verdana" w:hAnsi="Verdana"/>
          <w:i/>
          <w:iCs/>
          <w:color w:val="000000" w:themeColor="text1"/>
          <w:sz w:val="19"/>
          <w:szCs w:val="19"/>
        </w:rPr>
        <w:t xml:space="preserve"> judiciary </w:t>
      </w:r>
    </w:p>
    <w:p w14:paraId="055EBB0A" w14:textId="04ED2400" w:rsidR="00197E15" w:rsidRPr="00B30D6D" w:rsidRDefault="00EB7521" w:rsidP="00B30D6D">
      <w:pPr>
        <w:pStyle w:val="ListParagraph"/>
        <w:numPr>
          <w:ilvl w:val="0"/>
          <w:numId w:val="7"/>
        </w:numPr>
        <w:spacing w:beforeLines="120" w:before="288" w:after="0" w:line="240" w:lineRule="auto"/>
        <w:contextualSpacing w:val="0"/>
        <w:jc w:val="both"/>
        <w:rPr>
          <w:rFonts w:ascii="Verdana" w:hAnsi="Verdana"/>
          <w:sz w:val="19"/>
          <w:szCs w:val="19"/>
          <w:lang w:val="en-US"/>
        </w:rPr>
      </w:pPr>
      <w:r w:rsidRPr="00B30D6D">
        <w:rPr>
          <w:rFonts w:ascii="Verdana" w:hAnsi="Verdana"/>
          <w:color w:val="000000" w:themeColor="text1"/>
          <w:sz w:val="19"/>
          <w:szCs w:val="19"/>
          <w:lang w:val="en-US"/>
        </w:rPr>
        <w:t>In the aftermath of</w:t>
      </w:r>
      <w:r w:rsidR="0014293F" w:rsidRPr="008F5DAB">
        <w:rPr>
          <w:rFonts w:ascii="Verdana" w:hAnsi="Verdana"/>
          <w:color w:val="000000" w:themeColor="text1"/>
          <w:sz w:val="19"/>
          <w:szCs w:val="19"/>
          <w:lang w:val="en-US"/>
        </w:rPr>
        <w:t xml:space="preserve"> the</w:t>
      </w:r>
      <w:r w:rsidRPr="00B30D6D">
        <w:rPr>
          <w:rFonts w:ascii="Verdana" w:hAnsi="Verdana"/>
          <w:color w:val="000000" w:themeColor="text1"/>
          <w:sz w:val="19"/>
          <w:szCs w:val="19"/>
          <w:lang w:val="en-US"/>
        </w:rPr>
        <w:t xml:space="preserve"> </w:t>
      </w:r>
      <w:r w:rsidR="0014293F" w:rsidRPr="008F5DAB">
        <w:rPr>
          <w:rFonts w:ascii="Verdana" w:hAnsi="Verdana"/>
          <w:color w:val="000000" w:themeColor="text1"/>
          <w:sz w:val="19"/>
          <w:szCs w:val="19"/>
        </w:rPr>
        <w:t>exceptional measures</w:t>
      </w:r>
      <w:r w:rsidR="0014293F" w:rsidRPr="008F5DAB">
        <w:rPr>
          <w:rFonts w:ascii="Verdana" w:hAnsi="Verdana"/>
          <w:color w:val="000000" w:themeColor="text1"/>
          <w:sz w:val="19"/>
          <w:szCs w:val="19"/>
          <w:lang w:val="en-US"/>
        </w:rPr>
        <w:t xml:space="preserve"> announced</w:t>
      </w:r>
      <w:r w:rsidR="007B6562" w:rsidRPr="00B30D6D">
        <w:rPr>
          <w:rFonts w:ascii="Verdana" w:hAnsi="Verdana"/>
          <w:color w:val="000000" w:themeColor="text1"/>
          <w:sz w:val="19"/>
          <w:szCs w:val="19"/>
          <w:lang w:val="en-US"/>
        </w:rPr>
        <w:t xml:space="preserve"> </w:t>
      </w:r>
      <w:r w:rsidRPr="00B30D6D">
        <w:rPr>
          <w:rFonts w:ascii="Verdana" w:hAnsi="Verdana"/>
          <w:color w:val="000000" w:themeColor="text1"/>
          <w:sz w:val="19"/>
          <w:szCs w:val="19"/>
          <w:lang w:val="en-US"/>
        </w:rPr>
        <w:t xml:space="preserve">on 25 July 2021, the President </w:t>
      </w:r>
      <w:r w:rsidR="0085184C" w:rsidRPr="00B30D6D">
        <w:rPr>
          <w:rFonts w:ascii="Verdana" w:hAnsi="Verdana"/>
          <w:color w:val="000000" w:themeColor="text1"/>
          <w:sz w:val="19"/>
          <w:szCs w:val="19"/>
          <w:lang w:val="en-US"/>
        </w:rPr>
        <w:t xml:space="preserve">announced </w:t>
      </w:r>
      <w:r w:rsidR="00197E15" w:rsidRPr="00B30D6D">
        <w:rPr>
          <w:rFonts w:ascii="Verdana" w:hAnsi="Verdana"/>
          <w:color w:val="000000" w:themeColor="text1"/>
          <w:sz w:val="19"/>
          <w:szCs w:val="19"/>
          <w:lang w:val="en-US"/>
        </w:rPr>
        <w:t>steps</w:t>
      </w:r>
      <w:r w:rsidRPr="00B30D6D">
        <w:rPr>
          <w:rFonts w:ascii="Verdana" w:hAnsi="Verdana"/>
          <w:color w:val="000000" w:themeColor="text1"/>
          <w:sz w:val="19"/>
          <w:szCs w:val="19"/>
          <w:lang w:val="en-US"/>
        </w:rPr>
        <w:t xml:space="preserve"> to</w:t>
      </w:r>
      <w:r w:rsidR="0085184C" w:rsidRPr="00B30D6D">
        <w:rPr>
          <w:rFonts w:ascii="Verdana" w:hAnsi="Verdana"/>
          <w:color w:val="000000" w:themeColor="text1"/>
          <w:sz w:val="19"/>
          <w:szCs w:val="19"/>
          <w:lang w:val="en-US"/>
        </w:rPr>
        <w:t xml:space="preserve"> purportedly</w:t>
      </w:r>
      <w:r w:rsidRPr="00B30D6D">
        <w:rPr>
          <w:rFonts w:ascii="Verdana" w:hAnsi="Verdana"/>
          <w:color w:val="000000" w:themeColor="text1"/>
          <w:sz w:val="19"/>
          <w:szCs w:val="19"/>
          <w:lang w:val="en-US"/>
        </w:rPr>
        <w:t xml:space="preserve"> “cleanse” and “purify” the judiciary</w:t>
      </w:r>
      <w:r w:rsidRPr="00B30D6D">
        <w:rPr>
          <w:rStyle w:val="FootnoteReference"/>
          <w:rFonts w:ascii="Verdana" w:hAnsi="Verdana"/>
          <w:color w:val="000000" w:themeColor="text1"/>
          <w:sz w:val="19"/>
          <w:szCs w:val="19"/>
        </w:rPr>
        <w:footnoteReference w:id="12"/>
      </w:r>
      <w:r w:rsidRPr="00B30D6D">
        <w:rPr>
          <w:rFonts w:ascii="Verdana" w:hAnsi="Verdana"/>
          <w:color w:val="000000" w:themeColor="text1"/>
          <w:sz w:val="19"/>
          <w:szCs w:val="19"/>
        </w:rPr>
        <w:t xml:space="preserve"> and attacked the </w:t>
      </w:r>
      <w:r w:rsidR="00037DB0" w:rsidRPr="00B30D6D">
        <w:rPr>
          <w:rFonts w:ascii="Verdana" w:hAnsi="Verdana"/>
          <w:color w:val="000000" w:themeColor="text1"/>
          <w:sz w:val="19"/>
          <w:szCs w:val="19"/>
        </w:rPr>
        <w:t>High Judicial Council (</w:t>
      </w:r>
      <w:r w:rsidR="00091D2B" w:rsidRPr="00B30D6D">
        <w:rPr>
          <w:rFonts w:ascii="Verdana" w:hAnsi="Verdana"/>
          <w:color w:val="000000" w:themeColor="text1"/>
          <w:sz w:val="19"/>
          <w:szCs w:val="19"/>
        </w:rPr>
        <w:t>HJC</w:t>
      </w:r>
      <w:r w:rsidR="00037DB0" w:rsidRPr="00B30D6D">
        <w:rPr>
          <w:rFonts w:ascii="Verdana" w:hAnsi="Verdana"/>
          <w:color w:val="000000" w:themeColor="text1"/>
          <w:sz w:val="19"/>
          <w:szCs w:val="19"/>
        </w:rPr>
        <w:t>)</w:t>
      </w:r>
      <w:r w:rsidR="00C22627" w:rsidRPr="008F5DAB">
        <w:rPr>
          <w:rFonts w:ascii="Verdana" w:hAnsi="Verdana"/>
          <w:color w:val="000000" w:themeColor="text1"/>
          <w:sz w:val="19"/>
          <w:szCs w:val="19"/>
        </w:rPr>
        <w:t xml:space="preserve"> </w:t>
      </w:r>
      <w:r w:rsidR="00B30D6D" w:rsidRPr="00B30D6D">
        <w:rPr>
          <w:rFonts w:ascii="Verdana" w:hAnsi="Verdana"/>
          <w:color w:val="000000" w:themeColor="text1"/>
          <w:sz w:val="19"/>
          <w:szCs w:val="19"/>
        </w:rPr>
        <w:t xml:space="preserve">– </w:t>
      </w:r>
      <w:r w:rsidR="00C22627" w:rsidRPr="008F5DAB">
        <w:rPr>
          <w:rFonts w:ascii="Verdana" w:hAnsi="Verdana"/>
          <w:color w:val="000000" w:themeColor="text1"/>
          <w:sz w:val="19"/>
          <w:szCs w:val="19"/>
          <w:lang w:val="en-US"/>
        </w:rPr>
        <w:t>a constitutional</w:t>
      </w:r>
      <w:r w:rsidR="007B6562" w:rsidRPr="008F5DAB">
        <w:rPr>
          <w:rFonts w:ascii="Verdana" w:hAnsi="Verdana"/>
          <w:color w:val="000000" w:themeColor="text1"/>
          <w:sz w:val="19"/>
          <w:szCs w:val="19"/>
          <w:lang w:val="en-US"/>
        </w:rPr>
        <w:t xml:space="preserve"> independent body composed of “magistrates”</w:t>
      </w:r>
      <w:r w:rsidR="007B6562" w:rsidRPr="008F5DAB">
        <w:rPr>
          <w:rStyle w:val="FootnoteReference"/>
          <w:rFonts w:ascii="Verdana" w:hAnsi="Verdana"/>
          <w:color w:val="000000" w:themeColor="text1"/>
          <w:sz w:val="19"/>
          <w:szCs w:val="19"/>
          <w:lang w:val="en-US"/>
        </w:rPr>
        <w:footnoteReference w:id="13"/>
      </w:r>
      <w:r w:rsidR="007B6562" w:rsidRPr="008F5DAB">
        <w:rPr>
          <w:rFonts w:ascii="Verdana" w:hAnsi="Verdana"/>
          <w:color w:val="000000" w:themeColor="text1"/>
          <w:sz w:val="19"/>
          <w:szCs w:val="19"/>
          <w:lang w:val="en-US"/>
        </w:rPr>
        <w:t xml:space="preserve"> with a mandate to oversee the organization of the judiciary</w:t>
      </w:r>
      <w:r w:rsidR="00C22627" w:rsidRPr="008F5DAB">
        <w:rPr>
          <w:rFonts w:ascii="Verdana" w:hAnsi="Verdana"/>
          <w:color w:val="000000" w:themeColor="text1"/>
          <w:sz w:val="19"/>
          <w:szCs w:val="19"/>
          <w:lang w:val="en-US"/>
        </w:rPr>
        <w:t xml:space="preserve"> </w:t>
      </w:r>
      <w:r w:rsidR="00B30D6D" w:rsidRPr="00B30D6D">
        <w:rPr>
          <w:rFonts w:ascii="Verdana" w:hAnsi="Verdana"/>
          <w:color w:val="000000" w:themeColor="text1"/>
          <w:sz w:val="19"/>
          <w:szCs w:val="19"/>
        </w:rPr>
        <w:t xml:space="preserve">– </w:t>
      </w:r>
      <w:r w:rsidRPr="00B30D6D">
        <w:rPr>
          <w:rFonts w:ascii="Verdana" w:hAnsi="Verdana"/>
          <w:color w:val="000000" w:themeColor="text1"/>
          <w:sz w:val="19"/>
          <w:szCs w:val="19"/>
          <w:lang w:val="en-US"/>
        </w:rPr>
        <w:t>and its members,</w:t>
      </w:r>
      <w:r w:rsidRPr="00B30D6D">
        <w:rPr>
          <w:rStyle w:val="FootnoteReference"/>
          <w:rFonts w:ascii="Verdana" w:hAnsi="Verdana"/>
          <w:color w:val="000000" w:themeColor="text1"/>
          <w:sz w:val="19"/>
          <w:szCs w:val="19"/>
          <w:lang w:val="en-US"/>
        </w:rPr>
        <w:footnoteReference w:id="14"/>
      </w:r>
      <w:r w:rsidRPr="00B30D6D">
        <w:rPr>
          <w:rFonts w:ascii="Verdana" w:hAnsi="Verdana"/>
          <w:color w:val="000000" w:themeColor="text1"/>
          <w:sz w:val="19"/>
          <w:szCs w:val="19"/>
          <w:lang w:val="en-US"/>
        </w:rPr>
        <w:t xml:space="preserve"> </w:t>
      </w:r>
      <w:r w:rsidRPr="00B30D6D">
        <w:rPr>
          <w:rFonts w:ascii="Verdana" w:hAnsi="Verdana"/>
          <w:color w:val="000000" w:themeColor="text1"/>
          <w:sz w:val="19"/>
          <w:szCs w:val="19"/>
        </w:rPr>
        <w:t>limiting certain</w:t>
      </w:r>
      <w:r w:rsidRPr="00B30D6D">
        <w:rPr>
          <w:rFonts w:ascii="Verdana" w:hAnsi="Verdana"/>
          <w:color w:val="000000" w:themeColor="text1"/>
          <w:sz w:val="19"/>
          <w:szCs w:val="19"/>
          <w:lang w:val="en-US"/>
        </w:rPr>
        <w:t xml:space="preserve"> </w:t>
      </w:r>
      <w:r w:rsidR="009B0C26">
        <w:rPr>
          <w:rFonts w:ascii="Verdana" w:hAnsi="Verdana"/>
          <w:color w:val="000000" w:themeColor="text1"/>
          <w:sz w:val="19"/>
          <w:szCs w:val="19"/>
          <w:lang w:val="en-US"/>
        </w:rPr>
        <w:t xml:space="preserve">of their </w:t>
      </w:r>
      <w:r w:rsidRPr="00B30D6D">
        <w:rPr>
          <w:rFonts w:ascii="Verdana" w:hAnsi="Verdana"/>
          <w:color w:val="000000" w:themeColor="text1"/>
          <w:sz w:val="19"/>
          <w:szCs w:val="19"/>
        </w:rPr>
        <w:t>financial benefits.</w:t>
      </w:r>
      <w:r w:rsidRPr="00B30D6D">
        <w:rPr>
          <w:rStyle w:val="FootnoteReference"/>
          <w:rFonts w:ascii="Verdana" w:hAnsi="Verdana"/>
          <w:color w:val="000000" w:themeColor="text1"/>
          <w:sz w:val="19"/>
          <w:szCs w:val="19"/>
        </w:rPr>
        <w:footnoteReference w:id="15"/>
      </w:r>
      <w:r w:rsidRPr="00B30D6D">
        <w:rPr>
          <w:rFonts w:ascii="Verdana" w:hAnsi="Verdana"/>
          <w:color w:val="000000" w:themeColor="text1"/>
          <w:sz w:val="19"/>
          <w:szCs w:val="19"/>
        </w:rPr>
        <w:t xml:space="preserve"> </w:t>
      </w:r>
      <w:r w:rsidRPr="00B30D6D">
        <w:rPr>
          <w:rFonts w:ascii="Verdana" w:hAnsi="Verdana"/>
          <w:color w:val="000000" w:themeColor="text1"/>
          <w:sz w:val="19"/>
          <w:szCs w:val="19"/>
          <w:lang w:val="en-US"/>
        </w:rPr>
        <w:t xml:space="preserve">On 12 February 2022, the President issued </w:t>
      </w:r>
      <w:r w:rsidRPr="00B30D6D">
        <w:rPr>
          <w:rFonts w:ascii="Verdana" w:hAnsi="Verdana"/>
          <w:sz w:val="19"/>
          <w:szCs w:val="19"/>
        </w:rPr>
        <w:t>Decree-Law 2022-11</w:t>
      </w:r>
      <w:r w:rsidRPr="00B30D6D">
        <w:rPr>
          <w:rFonts w:ascii="Verdana" w:hAnsi="Verdana"/>
          <w:sz w:val="19"/>
          <w:szCs w:val="19"/>
          <w:lang w:val="en-US"/>
        </w:rPr>
        <w:t>, declaring the HJ</w:t>
      </w:r>
      <w:r w:rsidR="00185CA0" w:rsidRPr="00B30D6D">
        <w:rPr>
          <w:rFonts w:ascii="Verdana" w:hAnsi="Verdana"/>
          <w:sz w:val="19"/>
          <w:szCs w:val="19"/>
          <w:lang w:val="en-US"/>
        </w:rPr>
        <w:t>C</w:t>
      </w:r>
      <w:r w:rsidRPr="00B30D6D">
        <w:rPr>
          <w:rFonts w:ascii="Verdana" w:hAnsi="Verdana"/>
          <w:sz w:val="19"/>
          <w:szCs w:val="19"/>
          <w:lang w:val="en-US"/>
        </w:rPr>
        <w:t xml:space="preserve">’s dissolution and replacing it with a provisional body, the </w:t>
      </w:r>
      <w:r w:rsidR="00037DB0" w:rsidRPr="00B30D6D">
        <w:rPr>
          <w:rFonts w:ascii="Verdana" w:hAnsi="Verdana"/>
          <w:sz w:val="19"/>
          <w:szCs w:val="19"/>
          <w:lang w:val="en-US"/>
        </w:rPr>
        <w:t>“</w:t>
      </w:r>
      <w:r w:rsidRPr="00B30D6D">
        <w:rPr>
          <w:rFonts w:ascii="Verdana" w:hAnsi="Verdana"/>
          <w:sz w:val="19"/>
          <w:szCs w:val="19"/>
          <w:lang w:val="en-US"/>
        </w:rPr>
        <w:t>T</w:t>
      </w:r>
      <w:r w:rsidR="00037DB0" w:rsidRPr="00B30D6D">
        <w:rPr>
          <w:rFonts w:ascii="Verdana" w:hAnsi="Verdana"/>
          <w:sz w:val="19"/>
          <w:szCs w:val="19"/>
          <w:lang w:val="en-US"/>
        </w:rPr>
        <w:t xml:space="preserve">emporary </w:t>
      </w:r>
      <w:r w:rsidRPr="00B30D6D">
        <w:rPr>
          <w:rFonts w:ascii="Verdana" w:hAnsi="Verdana"/>
          <w:sz w:val="19"/>
          <w:szCs w:val="19"/>
          <w:lang w:val="en-US"/>
        </w:rPr>
        <w:t>HJC</w:t>
      </w:r>
      <w:r w:rsidR="00037DB0" w:rsidRPr="00B30D6D">
        <w:rPr>
          <w:rFonts w:ascii="Verdana" w:hAnsi="Verdana"/>
          <w:sz w:val="19"/>
          <w:szCs w:val="19"/>
          <w:lang w:val="en-US"/>
        </w:rPr>
        <w:t>”</w:t>
      </w:r>
      <w:r w:rsidR="00197E15" w:rsidRPr="00B30D6D">
        <w:rPr>
          <w:rFonts w:ascii="Verdana" w:hAnsi="Verdana"/>
          <w:sz w:val="19"/>
          <w:szCs w:val="19"/>
          <w:lang w:val="en-US"/>
        </w:rPr>
        <w:t>, thereby significantly eroding the independence of the judiciary.</w:t>
      </w:r>
    </w:p>
    <w:p w14:paraId="71D8A311" w14:textId="6C772A79" w:rsidR="005C7CA1" w:rsidRPr="008F5DAB" w:rsidRDefault="00197E15" w:rsidP="006454FE">
      <w:pPr>
        <w:pStyle w:val="ListParagraph"/>
        <w:numPr>
          <w:ilvl w:val="0"/>
          <w:numId w:val="7"/>
        </w:numPr>
        <w:spacing w:beforeLines="120" w:before="288" w:after="0" w:line="240" w:lineRule="auto"/>
        <w:contextualSpacing w:val="0"/>
        <w:jc w:val="both"/>
        <w:rPr>
          <w:rFonts w:ascii="Verdana" w:hAnsi="Verdana" w:cstheme="minorHAnsi"/>
          <w:sz w:val="19"/>
          <w:szCs w:val="19"/>
          <w:lang w:val="en-US"/>
        </w:rPr>
      </w:pPr>
      <w:r w:rsidRPr="008F5DAB">
        <w:rPr>
          <w:rFonts w:ascii="Verdana" w:hAnsi="Verdana"/>
          <w:sz w:val="19"/>
          <w:szCs w:val="19"/>
          <w:lang w:val="en-US"/>
        </w:rPr>
        <w:t>O</w:t>
      </w:r>
      <w:r w:rsidR="008A3611" w:rsidRPr="008F5DAB">
        <w:rPr>
          <w:rFonts w:ascii="Verdana" w:hAnsi="Verdana"/>
          <w:sz w:val="19"/>
          <w:szCs w:val="19"/>
          <w:lang w:val="en-US"/>
        </w:rPr>
        <w:t xml:space="preserve">n 1 June 2022, </w:t>
      </w:r>
      <w:r w:rsidR="00851A0D" w:rsidRPr="008F5DAB">
        <w:rPr>
          <w:rFonts w:ascii="Verdana" w:hAnsi="Verdana"/>
          <w:sz w:val="19"/>
          <w:szCs w:val="19"/>
          <w:lang w:val="en-US"/>
        </w:rPr>
        <w:t xml:space="preserve">the </w:t>
      </w:r>
      <w:r w:rsidR="0014293F" w:rsidRPr="008F5DAB">
        <w:rPr>
          <w:rFonts w:ascii="Verdana" w:hAnsi="Verdana"/>
          <w:sz w:val="19"/>
          <w:szCs w:val="19"/>
          <w:lang w:val="en-US"/>
        </w:rPr>
        <w:t>P</w:t>
      </w:r>
      <w:r w:rsidR="00851A0D" w:rsidRPr="008F5DAB">
        <w:rPr>
          <w:rFonts w:ascii="Verdana" w:hAnsi="Verdana"/>
          <w:sz w:val="19"/>
          <w:szCs w:val="19"/>
          <w:lang w:val="en-US"/>
        </w:rPr>
        <w:t>resident</w:t>
      </w:r>
      <w:r w:rsidR="0014293F" w:rsidRPr="008F5DAB">
        <w:rPr>
          <w:rFonts w:ascii="Verdana" w:hAnsi="Verdana"/>
          <w:sz w:val="19"/>
          <w:szCs w:val="19"/>
          <w:lang w:val="en-US"/>
        </w:rPr>
        <w:t xml:space="preserve"> issued Decree-Law 2022-35, granting himself the power to</w:t>
      </w:r>
      <w:r w:rsidR="008A3611" w:rsidRPr="008F5DAB">
        <w:rPr>
          <w:rFonts w:ascii="Verdana" w:hAnsi="Verdana"/>
          <w:sz w:val="19"/>
          <w:szCs w:val="19"/>
          <w:lang w:val="en-US"/>
        </w:rPr>
        <w:t xml:space="preserve"> unilaterally and summarily dismiss</w:t>
      </w:r>
      <w:r w:rsidR="0014293F" w:rsidRPr="008F5DAB">
        <w:rPr>
          <w:rFonts w:ascii="Verdana" w:hAnsi="Verdana"/>
          <w:sz w:val="19"/>
          <w:szCs w:val="19"/>
          <w:lang w:val="en-US"/>
        </w:rPr>
        <w:t xml:space="preserve"> magistrates and</w:t>
      </w:r>
      <w:r w:rsidR="0094555B" w:rsidRPr="008F5DAB">
        <w:rPr>
          <w:rFonts w:ascii="Verdana" w:hAnsi="Verdana"/>
          <w:sz w:val="19"/>
          <w:szCs w:val="19"/>
          <w:lang w:val="en-US"/>
        </w:rPr>
        <w:t xml:space="preserve">, on the same day, ordered the </w:t>
      </w:r>
      <w:proofErr w:type="gramStart"/>
      <w:r w:rsidR="0094555B" w:rsidRPr="008F5DAB">
        <w:rPr>
          <w:rFonts w:ascii="Verdana" w:hAnsi="Verdana"/>
          <w:sz w:val="19"/>
          <w:szCs w:val="19"/>
          <w:lang w:val="en-US"/>
        </w:rPr>
        <w:t>dismissal</w:t>
      </w:r>
      <w:r w:rsidR="0014293F" w:rsidRPr="008F5DAB">
        <w:rPr>
          <w:rFonts w:ascii="Verdana" w:hAnsi="Verdana"/>
          <w:sz w:val="19"/>
          <w:szCs w:val="19"/>
          <w:lang w:val="en-US"/>
        </w:rPr>
        <w:t xml:space="preserve"> </w:t>
      </w:r>
      <w:r w:rsidR="008A3611" w:rsidRPr="008F5DAB">
        <w:rPr>
          <w:rFonts w:ascii="Verdana" w:hAnsi="Verdana"/>
          <w:sz w:val="19"/>
          <w:szCs w:val="19"/>
          <w:lang w:val="en-US"/>
        </w:rPr>
        <w:t xml:space="preserve"> 57</w:t>
      </w:r>
      <w:proofErr w:type="gramEnd"/>
      <w:r w:rsidR="008A3611" w:rsidRPr="008F5DAB">
        <w:rPr>
          <w:rFonts w:ascii="Verdana" w:hAnsi="Verdana"/>
          <w:sz w:val="19"/>
          <w:szCs w:val="19"/>
          <w:lang w:val="en-US"/>
        </w:rPr>
        <w:t xml:space="preserve"> magistrates</w:t>
      </w:r>
      <w:r w:rsidR="00037DB0" w:rsidRPr="008F5DAB">
        <w:rPr>
          <w:rFonts w:ascii="Verdana" w:hAnsi="Verdana"/>
          <w:sz w:val="19"/>
          <w:szCs w:val="19"/>
          <w:lang w:val="en-US"/>
        </w:rPr>
        <w:t xml:space="preserve"> </w:t>
      </w:r>
      <w:r w:rsidR="008A3611" w:rsidRPr="008F5DAB">
        <w:rPr>
          <w:rFonts w:ascii="Verdana" w:hAnsi="Verdana"/>
          <w:sz w:val="19"/>
          <w:szCs w:val="19"/>
          <w:lang w:val="en-US"/>
        </w:rPr>
        <w:t>– namely, 34 judges and 23 prosecutors – based on vague accusations of “moral and financial corruption” and “obstruction of judicial proceedings”.</w:t>
      </w:r>
      <w:r w:rsidR="008A3611" w:rsidRPr="008F5DAB">
        <w:rPr>
          <w:rStyle w:val="FootnoteReference"/>
          <w:rFonts w:ascii="Verdana" w:hAnsi="Verdana"/>
          <w:sz w:val="19"/>
          <w:szCs w:val="19"/>
          <w:lang w:val="en-US"/>
        </w:rPr>
        <w:footnoteReference w:id="16"/>
      </w:r>
      <w:r w:rsidR="008A3611" w:rsidRPr="008F5DAB">
        <w:rPr>
          <w:rFonts w:ascii="Verdana" w:hAnsi="Verdana"/>
          <w:sz w:val="19"/>
          <w:szCs w:val="19"/>
          <w:lang w:val="en-US"/>
        </w:rPr>
        <w:t xml:space="preserve"> </w:t>
      </w:r>
      <w:r w:rsidR="0014293F" w:rsidRPr="008F5DAB">
        <w:rPr>
          <w:rFonts w:ascii="Verdana" w:hAnsi="Verdana"/>
          <w:sz w:val="19"/>
          <w:szCs w:val="19"/>
          <w:lang w:val="en-US"/>
        </w:rPr>
        <w:t>Pursuant to Decree-Law</w:t>
      </w:r>
      <w:r w:rsidR="0094555B" w:rsidRPr="008F5DAB">
        <w:rPr>
          <w:rFonts w:ascii="Verdana" w:hAnsi="Verdana"/>
          <w:sz w:val="19"/>
          <w:szCs w:val="19"/>
          <w:lang w:val="en-US"/>
        </w:rPr>
        <w:t xml:space="preserve"> 2022-35, criminal proceedings are automatically </w:t>
      </w:r>
      <w:r w:rsidR="00D96EFC" w:rsidRPr="008F5DAB">
        <w:rPr>
          <w:rFonts w:ascii="Verdana" w:hAnsi="Verdana"/>
          <w:sz w:val="19"/>
          <w:szCs w:val="19"/>
          <w:lang w:val="en-US"/>
        </w:rPr>
        <w:t>instigated</w:t>
      </w:r>
      <w:r w:rsidR="0094555B" w:rsidRPr="008F5DAB">
        <w:rPr>
          <w:rFonts w:ascii="Verdana" w:hAnsi="Verdana"/>
          <w:sz w:val="19"/>
          <w:szCs w:val="19"/>
          <w:lang w:val="en-US"/>
        </w:rPr>
        <w:t xml:space="preserve"> against dismissed magistrates.</w:t>
      </w:r>
    </w:p>
    <w:p w14:paraId="09A39FDB" w14:textId="3045D7C3" w:rsidR="009B760D" w:rsidRPr="00B30D6D" w:rsidRDefault="00827E50" w:rsidP="009B760D">
      <w:pPr>
        <w:pStyle w:val="ListParagraph"/>
        <w:numPr>
          <w:ilvl w:val="0"/>
          <w:numId w:val="7"/>
        </w:numPr>
        <w:spacing w:beforeLines="120" w:before="288" w:after="0" w:line="240" w:lineRule="auto"/>
        <w:contextualSpacing w:val="0"/>
        <w:jc w:val="both"/>
        <w:rPr>
          <w:rFonts w:ascii="Verdana" w:hAnsi="Verdana"/>
          <w:sz w:val="19"/>
          <w:szCs w:val="19"/>
        </w:rPr>
      </w:pPr>
      <w:r w:rsidRPr="008F5DAB">
        <w:rPr>
          <w:rFonts w:ascii="Verdana" w:hAnsi="Verdana"/>
          <w:sz w:val="19"/>
          <w:szCs w:val="19"/>
          <w:lang w:val="en-US"/>
        </w:rPr>
        <w:t>M</w:t>
      </w:r>
      <w:r w:rsidR="001A2BA9" w:rsidRPr="008F5DAB">
        <w:rPr>
          <w:rFonts w:ascii="Verdana" w:hAnsi="Verdana"/>
          <w:sz w:val="19"/>
          <w:szCs w:val="19"/>
          <w:lang w:val="en-US"/>
        </w:rPr>
        <w:t xml:space="preserve">ore than half of the </w:t>
      </w:r>
      <w:r w:rsidR="00D96EFC" w:rsidRPr="008F5DAB">
        <w:rPr>
          <w:rFonts w:ascii="Verdana" w:hAnsi="Verdana"/>
          <w:sz w:val="19"/>
          <w:szCs w:val="19"/>
          <w:lang w:val="en-US"/>
        </w:rPr>
        <w:t xml:space="preserve">criminal </w:t>
      </w:r>
      <w:r w:rsidR="001A2BA9" w:rsidRPr="008F5DAB">
        <w:rPr>
          <w:rFonts w:ascii="Verdana" w:hAnsi="Verdana"/>
          <w:sz w:val="19"/>
          <w:szCs w:val="19"/>
          <w:lang w:val="en-US"/>
        </w:rPr>
        <w:t xml:space="preserve">cases </w:t>
      </w:r>
      <w:r w:rsidR="008F6AF8" w:rsidRPr="008F5DAB">
        <w:rPr>
          <w:rFonts w:ascii="Verdana" w:hAnsi="Verdana"/>
          <w:sz w:val="19"/>
          <w:szCs w:val="19"/>
          <w:lang w:val="en-US"/>
        </w:rPr>
        <w:t xml:space="preserve">against the dismissed magistrates </w:t>
      </w:r>
      <w:r w:rsidR="001A2BA9" w:rsidRPr="008F5DAB">
        <w:rPr>
          <w:rFonts w:ascii="Verdana" w:hAnsi="Verdana"/>
          <w:sz w:val="19"/>
          <w:szCs w:val="19"/>
          <w:lang w:val="en-US"/>
        </w:rPr>
        <w:t xml:space="preserve">examined by the ICJ, </w:t>
      </w:r>
      <w:r w:rsidRPr="008F5DAB">
        <w:rPr>
          <w:rFonts w:ascii="Verdana" w:hAnsi="Verdana"/>
          <w:sz w:val="19"/>
          <w:szCs w:val="19"/>
          <w:lang w:val="en-US"/>
        </w:rPr>
        <w:t>were</w:t>
      </w:r>
      <w:r w:rsidR="6C02FBD7" w:rsidRPr="008F5DAB">
        <w:rPr>
          <w:rFonts w:ascii="Verdana" w:hAnsi="Verdana"/>
          <w:sz w:val="19"/>
          <w:szCs w:val="19"/>
          <w:lang w:val="en-US"/>
        </w:rPr>
        <w:t xml:space="preserve"> </w:t>
      </w:r>
      <w:r w:rsidR="001A2BA9" w:rsidRPr="008F5DAB">
        <w:rPr>
          <w:rFonts w:ascii="Verdana" w:hAnsi="Verdana"/>
          <w:sz w:val="19"/>
          <w:szCs w:val="19"/>
          <w:lang w:val="en-US"/>
        </w:rPr>
        <w:t>based</w:t>
      </w:r>
      <w:r w:rsidRPr="008F5DAB">
        <w:rPr>
          <w:rFonts w:ascii="Verdana" w:hAnsi="Verdana"/>
          <w:sz w:val="19"/>
          <w:szCs w:val="19"/>
          <w:lang w:val="en-US"/>
        </w:rPr>
        <w:t>, among others,</w:t>
      </w:r>
      <w:r w:rsidR="001A2BA9" w:rsidRPr="008F5DAB">
        <w:rPr>
          <w:rFonts w:ascii="Verdana" w:hAnsi="Verdana"/>
          <w:sz w:val="19"/>
          <w:szCs w:val="19"/>
          <w:lang w:val="en-US"/>
        </w:rPr>
        <w:t xml:space="preserve"> on “terrorism-related” charges</w:t>
      </w:r>
      <w:r w:rsidR="009B0C26">
        <w:rPr>
          <w:rFonts w:ascii="Verdana" w:hAnsi="Verdana"/>
          <w:sz w:val="19"/>
          <w:szCs w:val="19"/>
          <w:lang w:val="en-US"/>
        </w:rPr>
        <w:t>,</w:t>
      </w:r>
      <w:r w:rsidRPr="008F5DAB">
        <w:rPr>
          <w:rFonts w:ascii="Verdana" w:hAnsi="Verdana"/>
          <w:sz w:val="19"/>
          <w:szCs w:val="19"/>
          <w:lang w:val="en-US"/>
        </w:rPr>
        <w:t xml:space="preserve"> such as</w:t>
      </w:r>
      <w:r w:rsidR="377F5A7F" w:rsidRPr="008F5DAB">
        <w:rPr>
          <w:rFonts w:ascii="Verdana" w:eastAsia="Verdana" w:hAnsi="Verdana" w:cs="Verdana"/>
          <w:sz w:val="19"/>
          <w:szCs w:val="19"/>
          <w:lang w:val="en-US"/>
        </w:rPr>
        <w:t xml:space="preserve"> “establishing a terrorist enterprise” and “failure to</w:t>
      </w:r>
      <w:r w:rsidR="377F5A7F" w:rsidRPr="001C3168">
        <w:rPr>
          <w:rFonts w:ascii="Verdana" w:eastAsia="Verdana" w:hAnsi="Verdana" w:cs="Verdana"/>
          <w:sz w:val="19"/>
          <w:szCs w:val="19"/>
          <w:lang w:val="en-US"/>
        </w:rPr>
        <w:t xml:space="preserve"> report on terrorist crimes” under </w:t>
      </w:r>
      <w:r w:rsidRPr="008F5DAB">
        <w:rPr>
          <w:rFonts w:ascii="Verdana" w:eastAsia="Verdana" w:hAnsi="Verdana" w:cs="Verdana"/>
          <w:sz w:val="19"/>
          <w:szCs w:val="19"/>
          <w:lang w:val="en-US"/>
        </w:rPr>
        <w:t>the</w:t>
      </w:r>
      <w:r w:rsidR="377F5A7F" w:rsidRPr="008F5DAB">
        <w:rPr>
          <w:rFonts w:ascii="Verdana" w:eastAsia="Verdana" w:hAnsi="Verdana" w:cs="Verdana"/>
          <w:sz w:val="19"/>
          <w:szCs w:val="19"/>
          <w:lang w:val="en-US"/>
        </w:rPr>
        <w:t xml:space="preserve"> “counter-terrorism” </w:t>
      </w:r>
      <w:r w:rsidR="377F5A7F" w:rsidRPr="001C3168">
        <w:rPr>
          <w:rFonts w:ascii="Verdana" w:eastAsia="Verdana" w:hAnsi="Verdana" w:cs="Verdana"/>
          <w:sz w:val="19"/>
          <w:szCs w:val="19"/>
        </w:rPr>
        <w:t>Law 2015-26 of 7 August 2015 (hereinafter the “counter-terrorism” Law)</w:t>
      </w:r>
      <w:r w:rsidR="377F5A7F" w:rsidRPr="001C3168">
        <w:rPr>
          <w:rFonts w:ascii="Verdana" w:eastAsia="Verdana" w:hAnsi="Verdana" w:cs="Verdana"/>
          <w:sz w:val="19"/>
          <w:szCs w:val="19"/>
          <w:lang w:val="en-US"/>
        </w:rPr>
        <w:t>.</w:t>
      </w:r>
      <w:r w:rsidR="009B0C26" w:rsidRPr="00BD704C">
        <w:rPr>
          <w:rFonts w:ascii="Verdana" w:eastAsia="Verdana" w:hAnsi="Verdana" w:cs="Verdana"/>
          <w:sz w:val="19"/>
          <w:szCs w:val="19"/>
          <w:vertAlign w:val="superscript"/>
        </w:rPr>
        <w:footnoteReference w:id="17"/>
      </w:r>
      <w:r w:rsidR="377F5A7F" w:rsidRPr="00B30D6D">
        <w:rPr>
          <w:rFonts w:ascii="Verdana" w:eastAsia="Arial" w:hAnsi="Verdana" w:cs="Arial"/>
          <w:sz w:val="19"/>
          <w:szCs w:val="19"/>
          <w:lang w:val="en-US"/>
        </w:rPr>
        <w:t xml:space="preserve"> </w:t>
      </w:r>
      <w:r w:rsidR="00B3491F" w:rsidRPr="008F5DAB">
        <w:rPr>
          <w:rFonts w:ascii="Verdana" w:eastAsia="Arial" w:hAnsi="Verdana" w:cs="Arial"/>
          <w:sz w:val="19"/>
          <w:szCs w:val="19"/>
          <w:lang w:val="en-US"/>
        </w:rPr>
        <w:t xml:space="preserve">These criminal investigations were instigated </w:t>
      </w:r>
      <w:r w:rsidR="009B760D" w:rsidRPr="008F5DAB">
        <w:rPr>
          <w:rFonts w:ascii="Verdana" w:eastAsia="Arial" w:hAnsi="Verdana" w:cs="Arial"/>
          <w:sz w:val="19"/>
          <w:szCs w:val="19"/>
          <w:lang w:val="en-US"/>
        </w:rPr>
        <w:t xml:space="preserve">after their dismissal </w:t>
      </w:r>
      <w:r w:rsidR="00B3491F" w:rsidRPr="008F5DAB">
        <w:rPr>
          <w:rFonts w:ascii="Verdana" w:eastAsia="Arial" w:hAnsi="Verdana" w:cs="Arial"/>
          <w:sz w:val="19"/>
          <w:szCs w:val="19"/>
          <w:lang w:val="en-US"/>
        </w:rPr>
        <w:t>on the sole basis of police or ministerial reports about the refusal of the magistrates concerned to open investigations or issue search warrants in “terrorism-related” cases</w:t>
      </w:r>
      <w:r w:rsidR="00D141AE" w:rsidRPr="008F5DAB">
        <w:rPr>
          <w:rFonts w:ascii="Verdana" w:eastAsia="Arial" w:hAnsi="Verdana" w:cs="Arial"/>
          <w:sz w:val="19"/>
          <w:szCs w:val="19"/>
          <w:lang w:val="en-US"/>
        </w:rPr>
        <w:t xml:space="preserve"> or, in one case, about alleged collusion with political parties </w:t>
      </w:r>
      <w:r w:rsidR="00CA5CA5" w:rsidRPr="008F5DAB">
        <w:rPr>
          <w:rFonts w:ascii="Verdana" w:eastAsia="Arial" w:hAnsi="Verdana" w:cs="Arial"/>
          <w:sz w:val="19"/>
          <w:szCs w:val="19"/>
          <w:lang w:val="en-US"/>
        </w:rPr>
        <w:t>in “terrorism” cases</w:t>
      </w:r>
      <w:r w:rsidR="009B760D" w:rsidRPr="008F5DAB">
        <w:rPr>
          <w:rFonts w:ascii="Verdana" w:eastAsia="Arial" w:hAnsi="Verdana" w:cs="Arial"/>
          <w:sz w:val="19"/>
          <w:szCs w:val="19"/>
          <w:lang w:val="en-US"/>
        </w:rPr>
        <w:t>,</w:t>
      </w:r>
      <w:r w:rsidR="00CA5CA5" w:rsidRPr="008F5DAB">
        <w:rPr>
          <w:rFonts w:ascii="Verdana" w:eastAsia="Arial" w:hAnsi="Verdana" w:cs="Arial"/>
          <w:sz w:val="19"/>
          <w:szCs w:val="19"/>
          <w:lang w:val="en-US"/>
        </w:rPr>
        <w:t xml:space="preserve"> without any supporting evidence</w:t>
      </w:r>
      <w:r w:rsidR="00B3491F" w:rsidRPr="008F5DAB">
        <w:rPr>
          <w:rFonts w:ascii="Verdana" w:eastAsia="Arial" w:hAnsi="Verdana" w:cs="Arial"/>
          <w:sz w:val="19"/>
          <w:szCs w:val="19"/>
          <w:lang w:val="en-US"/>
        </w:rPr>
        <w:t xml:space="preserve">. </w:t>
      </w:r>
      <w:r w:rsidR="00CA5CA5" w:rsidRPr="008F5DAB">
        <w:rPr>
          <w:rFonts w:ascii="Verdana" w:eastAsia="Arial" w:hAnsi="Verdana" w:cs="Arial"/>
          <w:sz w:val="19"/>
          <w:szCs w:val="19"/>
          <w:lang w:val="en-US"/>
        </w:rPr>
        <w:t xml:space="preserve">In another case, similar accusations were based on a letter of denunciation relying on </w:t>
      </w:r>
      <w:r w:rsidR="1C759391" w:rsidRPr="00B30D6D">
        <w:rPr>
          <w:rFonts w:ascii="Verdana" w:hAnsi="Verdana"/>
          <w:sz w:val="19"/>
          <w:szCs w:val="19"/>
        </w:rPr>
        <w:t xml:space="preserve">social media posts critical </w:t>
      </w:r>
      <w:r w:rsidR="00D50A01" w:rsidRPr="00B30D6D">
        <w:rPr>
          <w:rFonts w:ascii="Verdana" w:hAnsi="Verdana"/>
          <w:sz w:val="19"/>
          <w:szCs w:val="19"/>
        </w:rPr>
        <w:t>of</w:t>
      </w:r>
      <w:r w:rsidR="1C759391" w:rsidRPr="00B30D6D">
        <w:rPr>
          <w:rFonts w:ascii="Verdana" w:hAnsi="Verdana"/>
          <w:sz w:val="19"/>
          <w:szCs w:val="19"/>
        </w:rPr>
        <w:t xml:space="preserve"> the </w:t>
      </w:r>
      <w:r w:rsidR="00CA5CA5" w:rsidRPr="00B30D6D">
        <w:rPr>
          <w:rFonts w:ascii="Verdana" w:hAnsi="Verdana"/>
          <w:sz w:val="19"/>
          <w:szCs w:val="19"/>
        </w:rPr>
        <w:t>P</w:t>
      </w:r>
      <w:r w:rsidR="1C759391" w:rsidRPr="00B30D6D">
        <w:rPr>
          <w:rFonts w:ascii="Verdana" w:hAnsi="Verdana"/>
          <w:sz w:val="19"/>
          <w:szCs w:val="19"/>
        </w:rPr>
        <w:t xml:space="preserve">resident following his power grab on 25 July 2021. </w:t>
      </w:r>
      <w:r w:rsidR="00885951" w:rsidRPr="00B30D6D">
        <w:rPr>
          <w:rFonts w:ascii="Verdana" w:hAnsi="Verdana"/>
          <w:sz w:val="19"/>
          <w:szCs w:val="19"/>
        </w:rPr>
        <w:t xml:space="preserve">Another judge is being prosecuted and detained </w:t>
      </w:r>
      <w:r w:rsidR="009B0C26">
        <w:rPr>
          <w:rFonts w:ascii="Verdana" w:hAnsi="Verdana"/>
          <w:sz w:val="19"/>
          <w:szCs w:val="19"/>
        </w:rPr>
        <w:t>on</w:t>
      </w:r>
      <w:r w:rsidR="009B760D" w:rsidRPr="00B30D6D">
        <w:rPr>
          <w:rFonts w:ascii="Verdana" w:hAnsi="Verdana"/>
          <w:sz w:val="19"/>
          <w:szCs w:val="19"/>
        </w:rPr>
        <w:t xml:space="preserve"> similar charges in relation to </w:t>
      </w:r>
      <w:r w:rsidR="009B760D" w:rsidRPr="00B30D6D">
        <w:rPr>
          <w:rFonts w:ascii="Verdana" w:hAnsi="Verdana"/>
          <w:sz w:val="19"/>
          <w:szCs w:val="19"/>
        </w:rPr>
        <w:lastRenderedPageBreak/>
        <w:t xml:space="preserve">decisions he </w:t>
      </w:r>
      <w:r w:rsidR="009B0C26">
        <w:rPr>
          <w:rFonts w:ascii="Verdana" w:hAnsi="Verdana"/>
          <w:sz w:val="19"/>
          <w:szCs w:val="19"/>
        </w:rPr>
        <w:t xml:space="preserve">had </w:t>
      </w:r>
      <w:r w:rsidR="009B760D" w:rsidRPr="00B30D6D">
        <w:rPr>
          <w:rFonts w:ascii="Verdana" w:hAnsi="Verdana"/>
          <w:sz w:val="19"/>
          <w:szCs w:val="19"/>
        </w:rPr>
        <w:t>made while investigating the killing of a political leader</w:t>
      </w:r>
      <w:proofErr w:type="gramStart"/>
      <w:r w:rsidR="009B760D" w:rsidRPr="00B30D6D">
        <w:rPr>
          <w:rFonts w:ascii="Verdana" w:hAnsi="Verdana"/>
          <w:sz w:val="19"/>
          <w:szCs w:val="19"/>
        </w:rPr>
        <w:t>, in particular</w:t>
      </w:r>
      <w:r w:rsidR="009B0C26">
        <w:rPr>
          <w:rFonts w:ascii="Verdana" w:hAnsi="Verdana"/>
          <w:sz w:val="19"/>
          <w:szCs w:val="19"/>
        </w:rPr>
        <w:t>,</w:t>
      </w:r>
      <w:r w:rsidR="009B760D" w:rsidRPr="00B30D6D">
        <w:rPr>
          <w:rFonts w:ascii="Verdana" w:hAnsi="Verdana"/>
          <w:sz w:val="19"/>
          <w:szCs w:val="19"/>
        </w:rPr>
        <w:t xml:space="preserve"> with</w:t>
      </w:r>
      <w:proofErr w:type="gramEnd"/>
      <w:r w:rsidR="009B760D" w:rsidRPr="00B30D6D">
        <w:rPr>
          <w:rFonts w:ascii="Verdana" w:hAnsi="Verdana"/>
          <w:sz w:val="19"/>
          <w:szCs w:val="19"/>
        </w:rPr>
        <w:t xml:space="preserve"> respect to issuing arrest warrants and hearing witnesses.</w:t>
      </w:r>
      <w:r w:rsidR="007F16A4">
        <w:rPr>
          <w:rStyle w:val="FootnoteReference"/>
          <w:rFonts w:ascii="Verdana" w:hAnsi="Verdana"/>
          <w:sz w:val="19"/>
          <w:szCs w:val="19"/>
        </w:rPr>
        <w:footnoteReference w:id="18"/>
      </w:r>
    </w:p>
    <w:p w14:paraId="021BF138" w14:textId="5E09D626" w:rsidR="009B760D" w:rsidRPr="00996EE3" w:rsidRDefault="009B760D" w:rsidP="009B760D">
      <w:pPr>
        <w:pStyle w:val="ListParagraph"/>
        <w:numPr>
          <w:ilvl w:val="0"/>
          <w:numId w:val="7"/>
        </w:numPr>
        <w:spacing w:beforeLines="120" w:before="288" w:after="0" w:line="240" w:lineRule="auto"/>
        <w:contextualSpacing w:val="0"/>
        <w:jc w:val="both"/>
        <w:rPr>
          <w:rStyle w:val="eop"/>
          <w:rFonts w:ascii="Verdana" w:hAnsi="Verdana"/>
          <w:sz w:val="19"/>
          <w:szCs w:val="19"/>
        </w:rPr>
      </w:pPr>
      <w:r w:rsidRPr="008F5DAB">
        <w:rPr>
          <w:rStyle w:val="normaltextrun"/>
          <w:rFonts w:ascii="Verdana" w:hAnsi="Verdana" w:cs="Segoe UI"/>
          <w:sz w:val="19"/>
          <w:szCs w:val="19"/>
          <w:lang w:val="en-US"/>
        </w:rPr>
        <w:t xml:space="preserve">The ICJ is deeply concerned that in these </w:t>
      </w:r>
      <w:r w:rsidR="002A0113" w:rsidRPr="001C3168">
        <w:rPr>
          <w:rStyle w:val="normaltextrun"/>
          <w:rFonts w:ascii="Verdana" w:hAnsi="Verdana" w:cs="Segoe UI"/>
          <w:sz w:val="19"/>
          <w:szCs w:val="19"/>
          <w:lang w:val="en-US"/>
        </w:rPr>
        <w:t xml:space="preserve">“terrorism” </w:t>
      </w:r>
      <w:r w:rsidRPr="001C3168">
        <w:rPr>
          <w:rStyle w:val="normaltextrun"/>
          <w:rFonts w:ascii="Verdana" w:hAnsi="Verdana" w:cs="Segoe UI"/>
          <w:sz w:val="19"/>
          <w:szCs w:val="19"/>
          <w:lang w:val="en-US"/>
        </w:rPr>
        <w:t xml:space="preserve">cases, the dismissed magistrates are subjected to criminal proceedings </w:t>
      </w:r>
      <w:r w:rsidRPr="00A51B61">
        <w:rPr>
          <w:rStyle w:val="normaltextrun"/>
          <w:rFonts w:ascii="Verdana" w:hAnsi="Verdana" w:cs="Segoe UI"/>
          <w:sz w:val="19"/>
          <w:szCs w:val="19"/>
        </w:rPr>
        <w:t>solely</w:t>
      </w:r>
      <w:r w:rsidRPr="00A51B61">
        <w:rPr>
          <w:rStyle w:val="normaltextrun"/>
          <w:rFonts w:ascii="Verdana" w:hAnsi="Verdana" w:cs="Segoe UI"/>
          <w:sz w:val="19"/>
          <w:szCs w:val="19"/>
          <w:lang w:val="en-US"/>
        </w:rPr>
        <w:t xml:space="preserve"> for the </w:t>
      </w:r>
      <w:r w:rsidR="009B0C26">
        <w:rPr>
          <w:rStyle w:val="normaltextrun"/>
          <w:rFonts w:ascii="Verdana" w:hAnsi="Verdana" w:cs="Segoe UI"/>
          <w:sz w:val="19"/>
          <w:szCs w:val="19"/>
          <w:lang w:val="en-US"/>
        </w:rPr>
        <w:t xml:space="preserve">legitimate </w:t>
      </w:r>
      <w:r w:rsidRPr="00A51B61">
        <w:rPr>
          <w:rStyle w:val="normaltextrun"/>
          <w:rFonts w:ascii="Verdana" w:hAnsi="Verdana" w:cs="Segoe UI"/>
          <w:sz w:val="19"/>
          <w:szCs w:val="19"/>
          <w:lang w:val="en-US"/>
        </w:rPr>
        <w:t>discharge of their duties in the course of their work consistent with the law and ethical standards or for the legitimate exercise of their right to freedom of expression. </w:t>
      </w:r>
      <w:r w:rsidRPr="00996EE3">
        <w:rPr>
          <w:rStyle w:val="eop"/>
          <w:rFonts w:ascii="Verdana" w:hAnsi="Verdana" w:cs="Segoe UI"/>
          <w:sz w:val="19"/>
          <w:szCs w:val="19"/>
        </w:rPr>
        <w:t> </w:t>
      </w:r>
    </w:p>
    <w:p w14:paraId="6FE4B46B" w14:textId="7F6A08A6" w:rsidR="009B760D" w:rsidRPr="00B30D6D" w:rsidRDefault="009B760D" w:rsidP="006454FE">
      <w:pPr>
        <w:pStyle w:val="ListParagraph"/>
        <w:numPr>
          <w:ilvl w:val="0"/>
          <w:numId w:val="7"/>
        </w:numPr>
        <w:spacing w:beforeLines="120" w:before="288" w:after="0" w:line="240" w:lineRule="auto"/>
        <w:contextualSpacing w:val="0"/>
        <w:jc w:val="both"/>
        <w:rPr>
          <w:rFonts w:ascii="Verdana" w:hAnsi="Verdana"/>
          <w:sz w:val="19"/>
          <w:szCs w:val="19"/>
        </w:rPr>
      </w:pPr>
      <w:r w:rsidRPr="00996EE3">
        <w:rPr>
          <w:rStyle w:val="normaltextrun"/>
          <w:rFonts w:ascii="Verdana" w:hAnsi="Verdana" w:cs="Segoe UI"/>
          <w:sz w:val="19"/>
          <w:szCs w:val="19"/>
          <w:lang w:val="en-US"/>
        </w:rPr>
        <w:t>The abusive resort to and enforcement of counter-terrorism legislation are also an indication of arbitrariness. Indeed, in the specific cases reviewed by the ICJ, neither the security reports nor the decisions to prosecute the concerned judges and prosecutors establish or provide any evidence of the “terrorist enterprises” these judges and prosecutors have been accused of establishing, nor about the purported “terrorist crimes” they have been accused of failing to report and under what circumstances.</w:t>
      </w:r>
      <w:r w:rsidR="00C10924" w:rsidRPr="00996EE3">
        <w:rPr>
          <w:rStyle w:val="normaltextrun"/>
          <w:rFonts w:ascii="Verdana" w:hAnsi="Verdana" w:cs="Segoe UI"/>
          <w:sz w:val="19"/>
          <w:szCs w:val="19"/>
          <w:lang w:val="en-US"/>
        </w:rPr>
        <w:t xml:space="preserve"> </w:t>
      </w:r>
      <w:proofErr w:type="gramStart"/>
      <w:r w:rsidR="00C10924" w:rsidRPr="00996EE3">
        <w:rPr>
          <w:rStyle w:val="normaltextrun"/>
          <w:rFonts w:ascii="Verdana" w:hAnsi="Verdana"/>
          <w:color w:val="000000"/>
          <w:sz w:val="19"/>
          <w:szCs w:val="19"/>
          <w:shd w:val="clear" w:color="auto" w:fill="FFFFFF"/>
        </w:rPr>
        <w:t>In light of</w:t>
      </w:r>
      <w:proofErr w:type="gramEnd"/>
      <w:r w:rsidR="00C10924" w:rsidRPr="00996EE3">
        <w:rPr>
          <w:rStyle w:val="normaltextrun"/>
          <w:rFonts w:ascii="Verdana" w:hAnsi="Verdana"/>
          <w:color w:val="000000"/>
          <w:sz w:val="19"/>
          <w:szCs w:val="19"/>
          <w:shd w:val="clear" w:color="auto" w:fill="FFFFFF"/>
        </w:rPr>
        <w:t xml:space="preserve"> the above, the ICJ considers that these prosecutions are arbitrary and abuse the counter-terrorism</w:t>
      </w:r>
      <w:r w:rsidR="00D45EA0">
        <w:rPr>
          <w:rStyle w:val="normaltextrun"/>
          <w:rFonts w:ascii="Verdana" w:hAnsi="Verdana"/>
          <w:color w:val="000000"/>
          <w:sz w:val="19"/>
          <w:szCs w:val="19"/>
          <w:shd w:val="clear" w:color="auto" w:fill="FFFFFF"/>
        </w:rPr>
        <w:t xml:space="preserve"> </w:t>
      </w:r>
      <w:r w:rsidR="00C10924" w:rsidRPr="00996EE3">
        <w:rPr>
          <w:rStyle w:val="normaltextrun"/>
          <w:rFonts w:ascii="Verdana" w:hAnsi="Verdana"/>
          <w:color w:val="000000"/>
          <w:sz w:val="19"/>
          <w:szCs w:val="19"/>
          <w:shd w:val="clear" w:color="auto" w:fill="FFFFFF"/>
        </w:rPr>
        <w:t>legislative framework for the purpose of violating the concerned judges’ and prosecutors’ rights and independence.</w:t>
      </w:r>
      <w:r w:rsidR="00C10924" w:rsidRPr="00996EE3">
        <w:rPr>
          <w:rStyle w:val="eop"/>
          <w:rFonts w:ascii="Verdana" w:hAnsi="Verdana"/>
          <w:color w:val="000000"/>
          <w:sz w:val="19"/>
          <w:szCs w:val="19"/>
          <w:shd w:val="clear" w:color="auto" w:fill="FFFFFF"/>
        </w:rPr>
        <w:t> </w:t>
      </w:r>
      <w:r w:rsidRPr="00996EE3">
        <w:rPr>
          <w:rStyle w:val="normaltextrun"/>
          <w:rFonts w:ascii="Verdana" w:hAnsi="Verdana" w:cs="Segoe UI"/>
          <w:sz w:val="19"/>
          <w:szCs w:val="19"/>
          <w:lang w:val="en-US"/>
        </w:rPr>
        <w:t>   </w:t>
      </w:r>
      <w:r w:rsidRPr="00996EE3">
        <w:rPr>
          <w:rStyle w:val="eop"/>
          <w:rFonts w:ascii="Verdana" w:hAnsi="Verdana" w:cs="Segoe UI"/>
          <w:sz w:val="19"/>
          <w:szCs w:val="19"/>
        </w:rPr>
        <w:t> </w:t>
      </w:r>
    </w:p>
    <w:p w14:paraId="7D8560C7" w14:textId="293BC3D6" w:rsidR="08F69120" w:rsidRPr="00B30D6D" w:rsidRDefault="004E61F9" w:rsidP="00A77672">
      <w:pPr>
        <w:pStyle w:val="ListParagraph"/>
        <w:spacing w:beforeLines="120" w:before="288" w:after="0" w:line="240" w:lineRule="auto"/>
        <w:ind w:left="644"/>
        <w:contextualSpacing w:val="0"/>
        <w:jc w:val="both"/>
        <w:rPr>
          <w:rFonts w:ascii="Verdana" w:eastAsia="Verdana" w:hAnsi="Verdana" w:cs="Verdana"/>
          <w:sz w:val="19"/>
          <w:szCs w:val="19"/>
        </w:rPr>
      </w:pPr>
      <w:r w:rsidRPr="008F5DAB">
        <w:rPr>
          <w:rFonts w:ascii="Verdana" w:eastAsia="Verdana" w:hAnsi="Verdana" w:cs="Verdana"/>
          <w:i/>
          <w:iCs/>
          <w:sz w:val="19"/>
          <w:szCs w:val="19"/>
        </w:rPr>
        <w:t>Prosecution of perceived political dissidents</w:t>
      </w:r>
    </w:p>
    <w:p w14:paraId="78F8BA69" w14:textId="3A7A10BD" w:rsidR="08F69120" w:rsidRPr="00B30D6D" w:rsidRDefault="004E61F9" w:rsidP="00B30D6D">
      <w:pPr>
        <w:pStyle w:val="ListParagraph"/>
        <w:numPr>
          <w:ilvl w:val="0"/>
          <w:numId w:val="7"/>
        </w:numPr>
        <w:spacing w:beforeLines="120" w:before="288" w:after="0" w:line="240" w:lineRule="auto"/>
        <w:contextualSpacing w:val="0"/>
        <w:jc w:val="both"/>
        <w:rPr>
          <w:rFonts w:ascii="Verdana" w:hAnsi="Verdana"/>
          <w:sz w:val="19"/>
          <w:szCs w:val="19"/>
        </w:rPr>
      </w:pPr>
      <w:r w:rsidRPr="008F5DAB">
        <w:rPr>
          <w:rFonts w:ascii="Verdana" w:eastAsia="Verdana" w:hAnsi="Verdana" w:cs="Verdana"/>
          <w:sz w:val="19"/>
          <w:szCs w:val="19"/>
        </w:rPr>
        <w:t xml:space="preserve">In addition to the arbitrary prosecution of </w:t>
      </w:r>
      <w:r w:rsidR="00C10924" w:rsidRPr="008F5DAB">
        <w:rPr>
          <w:rFonts w:ascii="Verdana" w:eastAsia="Verdana" w:hAnsi="Verdana" w:cs="Verdana"/>
          <w:sz w:val="19"/>
          <w:szCs w:val="19"/>
        </w:rPr>
        <w:t>magistrates</w:t>
      </w:r>
      <w:r w:rsidRPr="008F5DAB">
        <w:rPr>
          <w:rFonts w:ascii="Verdana" w:eastAsia="Verdana" w:hAnsi="Verdana" w:cs="Verdana"/>
          <w:sz w:val="19"/>
          <w:szCs w:val="19"/>
        </w:rPr>
        <w:t>, s</w:t>
      </w:r>
      <w:r w:rsidR="646D5D51" w:rsidRPr="001C3168">
        <w:rPr>
          <w:rFonts w:ascii="Verdana" w:eastAsia="Verdana" w:hAnsi="Verdana" w:cs="Verdana"/>
          <w:sz w:val="19"/>
          <w:szCs w:val="19"/>
        </w:rPr>
        <w:t>ince February 2023</w:t>
      </w:r>
      <w:r w:rsidR="00523176" w:rsidRPr="008F5DAB">
        <w:rPr>
          <w:rFonts w:ascii="Verdana" w:eastAsia="Verdana" w:hAnsi="Verdana" w:cs="Verdana"/>
          <w:sz w:val="19"/>
          <w:szCs w:val="19"/>
        </w:rPr>
        <w:t>,</w:t>
      </w:r>
      <w:r w:rsidR="646D5D51" w:rsidRPr="001C3168">
        <w:rPr>
          <w:rFonts w:ascii="Verdana" w:eastAsia="Verdana" w:hAnsi="Verdana" w:cs="Verdana"/>
          <w:sz w:val="19"/>
          <w:szCs w:val="19"/>
        </w:rPr>
        <w:t xml:space="preserve"> the Tunisian authorities have</w:t>
      </w:r>
      <w:r w:rsidR="00102F63" w:rsidRPr="008F5DAB">
        <w:rPr>
          <w:rFonts w:ascii="Verdana" w:eastAsia="Verdana" w:hAnsi="Verdana" w:cs="Verdana"/>
          <w:sz w:val="19"/>
          <w:szCs w:val="19"/>
        </w:rPr>
        <w:t xml:space="preserve"> </w:t>
      </w:r>
      <w:r w:rsidR="00B9013C" w:rsidRPr="008F5DAB">
        <w:rPr>
          <w:rFonts w:ascii="Verdana" w:eastAsia="Verdana" w:hAnsi="Verdana" w:cs="Verdana"/>
          <w:sz w:val="19"/>
          <w:szCs w:val="19"/>
        </w:rPr>
        <w:t xml:space="preserve">further </w:t>
      </w:r>
      <w:r w:rsidR="00102F63" w:rsidRPr="008F5DAB">
        <w:rPr>
          <w:rFonts w:ascii="Verdana" w:eastAsia="Verdana" w:hAnsi="Verdana" w:cs="Verdana"/>
          <w:sz w:val="19"/>
          <w:szCs w:val="19"/>
        </w:rPr>
        <w:t>abusively relied on counter-terrorism</w:t>
      </w:r>
      <w:r w:rsidR="00D45EA0">
        <w:rPr>
          <w:rFonts w:ascii="Verdana" w:eastAsia="Verdana" w:hAnsi="Verdana" w:cs="Verdana"/>
          <w:sz w:val="19"/>
          <w:szCs w:val="19"/>
        </w:rPr>
        <w:t xml:space="preserve"> </w:t>
      </w:r>
      <w:r w:rsidR="00102F63" w:rsidRPr="008F5DAB">
        <w:rPr>
          <w:rFonts w:ascii="Verdana" w:eastAsia="Verdana" w:hAnsi="Verdana" w:cs="Verdana"/>
          <w:sz w:val="19"/>
          <w:szCs w:val="19"/>
        </w:rPr>
        <w:t xml:space="preserve">legislation </w:t>
      </w:r>
      <w:r w:rsidR="00225179" w:rsidRPr="008F5DAB">
        <w:rPr>
          <w:rFonts w:ascii="Verdana" w:eastAsia="Verdana" w:hAnsi="Verdana" w:cs="Verdana"/>
          <w:sz w:val="19"/>
          <w:szCs w:val="19"/>
        </w:rPr>
        <w:t>to arrest and detain</w:t>
      </w:r>
      <w:r w:rsidR="646D5D51" w:rsidRPr="001C3168">
        <w:rPr>
          <w:rFonts w:ascii="Verdana" w:eastAsia="Verdana" w:hAnsi="Verdana" w:cs="Verdana"/>
          <w:sz w:val="19"/>
          <w:szCs w:val="19"/>
        </w:rPr>
        <w:t xml:space="preserve"> </w:t>
      </w:r>
      <w:r w:rsidR="00A15E7C">
        <w:rPr>
          <w:rFonts w:ascii="Verdana" w:eastAsia="Verdana" w:hAnsi="Verdana" w:cs="Verdana"/>
          <w:sz w:val="19"/>
          <w:szCs w:val="19"/>
        </w:rPr>
        <w:t>17</w:t>
      </w:r>
      <w:r w:rsidR="646D5D51" w:rsidRPr="008F5DAB">
        <w:rPr>
          <w:rFonts w:ascii="Verdana" w:eastAsia="Verdana" w:hAnsi="Verdana" w:cs="Verdana"/>
          <w:sz w:val="19"/>
          <w:szCs w:val="19"/>
        </w:rPr>
        <w:t xml:space="preserve"> </w:t>
      </w:r>
      <w:r w:rsidR="646D5D51" w:rsidRPr="001C3168">
        <w:rPr>
          <w:rFonts w:ascii="Verdana" w:eastAsia="Verdana" w:hAnsi="Verdana" w:cs="Verdana"/>
          <w:sz w:val="19"/>
          <w:szCs w:val="19"/>
        </w:rPr>
        <w:t xml:space="preserve">political activists, </w:t>
      </w:r>
      <w:r w:rsidR="00B9013C" w:rsidRPr="008F5DAB">
        <w:rPr>
          <w:rFonts w:ascii="Verdana" w:eastAsia="Verdana" w:hAnsi="Verdana" w:cs="Verdana"/>
          <w:sz w:val="19"/>
          <w:szCs w:val="19"/>
        </w:rPr>
        <w:t xml:space="preserve">businessmen, </w:t>
      </w:r>
      <w:r w:rsidR="646D5D51" w:rsidRPr="001C3168">
        <w:rPr>
          <w:rFonts w:ascii="Verdana" w:eastAsia="Verdana" w:hAnsi="Verdana" w:cs="Verdana"/>
          <w:sz w:val="19"/>
          <w:szCs w:val="19"/>
        </w:rPr>
        <w:t xml:space="preserve">journalists </w:t>
      </w:r>
      <w:r w:rsidR="002A0113" w:rsidRPr="008F5DAB">
        <w:rPr>
          <w:rFonts w:ascii="Verdana" w:eastAsia="Verdana" w:hAnsi="Verdana" w:cs="Verdana"/>
          <w:sz w:val="19"/>
          <w:szCs w:val="19"/>
        </w:rPr>
        <w:t xml:space="preserve">and lawyers, </w:t>
      </w:r>
      <w:r w:rsidR="646D5D51" w:rsidRPr="008F5DAB">
        <w:rPr>
          <w:rFonts w:ascii="Verdana" w:eastAsia="Verdana" w:hAnsi="Verdana" w:cs="Verdana"/>
          <w:sz w:val="19"/>
          <w:szCs w:val="19"/>
        </w:rPr>
        <w:t xml:space="preserve">on </w:t>
      </w:r>
      <w:r w:rsidRPr="008F5DAB">
        <w:rPr>
          <w:rFonts w:ascii="Verdana" w:eastAsia="Verdana" w:hAnsi="Verdana" w:cs="Verdana"/>
          <w:sz w:val="19"/>
          <w:szCs w:val="19"/>
        </w:rPr>
        <w:t>spurious</w:t>
      </w:r>
      <w:r w:rsidR="646D5D51" w:rsidRPr="008F5DAB">
        <w:rPr>
          <w:rFonts w:ascii="Verdana" w:eastAsia="Verdana" w:hAnsi="Verdana" w:cs="Verdana"/>
          <w:sz w:val="19"/>
          <w:szCs w:val="19"/>
        </w:rPr>
        <w:t xml:space="preserve"> </w:t>
      </w:r>
      <w:r w:rsidR="646D5D51" w:rsidRPr="001C3168">
        <w:rPr>
          <w:rFonts w:ascii="Verdana" w:eastAsia="Verdana" w:hAnsi="Verdana" w:cs="Verdana"/>
          <w:sz w:val="19"/>
          <w:szCs w:val="19"/>
        </w:rPr>
        <w:t>charges of conspiracy</w:t>
      </w:r>
      <w:r w:rsidRPr="008F5DAB">
        <w:rPr>
          <w:rFonts w:ascii="Verdana" w:eastAsia="Verdana" w:hAnsi="Verdana" w:cs="Verdana"/>
          <w:sz w:val="19"/>
          <w:szCs w:val="19"/>
        </w:rPr>
        <w:t xml:space="preserve"> against the </w:t>
      </w:r>
      <w:r w:rsidR="00EA02F2" w:rsidRPr="008F5DAB">
        <w:rPr>
          <w:rFonts w:ascii="Verdana" w:eastAsia="Verdana" w:hAnsi="Verdana" w:cs="Verdana"/>
          <w:sz w:val="19"/>
          <w:szCs w:val="19"/>
        </w:rPr>
        <w:t>S</w:t>
      </w:r>
      <w:r w:rsidRPr="008F5DAB">
        <w:rPr>
          <w:rFonts w:ascii="Verdana" w:eastAsia="Verdana" w:hAnsi="Verdana" w:cs="Verdana"/>
          <w:sz w:val="19"/>
          <w:szCs w:val="19"/>
        </w:rPr>
        <w:t>tate.</w:t>
      </w:r>
      <w:r w:rsidR="00225179" w:rsidRPr="008F5DAB">
        <w:rPr>
          <w:rFonts w:ascii="Verdana" w:hAnsi="Verdana"/>
          <w:sz w:val="19"/>
          <w:szCs w:val="19"/>
          <w:vertAlign w:val="superscript"/>
        </w:rPr>
        <w:footnoteReference w:id="19"/>
      </w:r>
      <w:r w:rsidRPr="008F5DAB">
        <w:rPr>
          <w:rFonts w:ascii="Verdana" w:eastAsia="Verdana" w:hAnsi="Verdana" w:cs="Verdana"/>
          <w:sz w:val="19"/>
          <w:szCs w:val="19"/>
        </w:rPr>
        <w:t xml:space="preserve"> </w:t>
      </w:r>
      <w:r w:rsidR="646D5D51" w:rsidRPr="001C3168">
        <w:rPr>
          <w:rFonts w:ascii="Verdana" w:eastAsia="Verdana" w:hAnsi="Verdana" w:cs="Verdana"/>
          <w:sz w:val="19"/>
          <w:szCs w:val="19"/>
        </w:rPr>
        <w:t>The investigations fall under</w:t>
      </w:r>
      <w:r w:rsidR="00225179" w:rsidRPr="008F5DAB">
        <w:rPr>
          <w:rFonts w:ascii="Verdana" w:eastAsia="Verdana" w:hAnsi="Verdana" w:cs="Verdana"/>
          <w:sz w:val="19"/>
          <w:szCs w:val="19"/>
        </w:rPr>
        <w:t>, among other</w:t>
      </w:r>
      <w:r w:rsidR="00BE07BB" w:rsidRPr="008F5DAB">
        <w:rPr>
          <w:rFonts w:ascii="Verdana" w:eastAsia="Verdana" w:hAnsi="Verdana" w:cs="Verdana"/>
          <w:sz w:val="19"/>
          <w:szCs w:val="19"/>
        </w:rPr>
        <w:t xml:space="preserve"> legal provision</w:t>
      </w:r>
      <w:r w:rsidR="00225179" w:rsidRPr="008F5DAB">
        <w:rPr>
          <w:rFonts w:ascii="Verdana" w:eastAsia="Verdana" w:hAnsi="Verdana" w:cs="Verdana"/>
          <w:sz w:val="19"/>
          <w:szCs w:val="19"/>
        </w:rPr>
        <w:t>s,</w:t>
      </w:r>
      <w:r w:rsidR="646D5D51" w:rsidRPr="008F5DAB">
        <w:rPr>
          <w:rFonts w:ascii="Verdana" w:eastAsia="Verdana" w:hAnsi="Verdana" w:cs="Verdana"/>
          <w:sz w:val="19"/>
          <w:szCs w:val="19"/>
        </w:rPr>
        <w:t xml:space="preserve"> </w:t>
      </w:r>
      <w:r w:rsidR="646D5D51" w:rsidRPr="001C3168">
        <w:rPr>
          <w:rFonts w:ascii="Verdana" w:eastAsia="Verdana" w:hAnsi="Verdana" w:cs="Verdana"/>
          <w:sz w:val="19"/>
          <w:szCs w:val="19"/>
        </w:rPr>
        <w:t xml:space="preserve">dozens of articles of the </w:t>
      </w:r>
      <w:r w:rsidR="00C10924" w:rsidRPr="008F5DAB">
        <w:rPr>
          <w:rFonts w:ascii="Verdana" w:eastAsia="Verdana" w:hAnsi="Verdana" w:cs="Verdana"/>
          <w:sz w:val="19"/>
          <w:szCs w:val="19"/>
        </w:rPr>
        <w:t>“</w:t>
      </w:r>
      <w:r w:rsidR="646D5D51" w:rsidRPr="008F5DAB">
        <w:rPr>
          <w:rFonts w:ascii="Verdana" w:eastAsia="Verdana" w:hAnsi="Verdana" w:cs="Verdana"/>
          <w:sz w:val="19"/>
          <w:szCs w:val="19"/>
        </w:rPr>
        <w:t>counter-terrorism</w:t>
      </w:r>
      <w:r w:rsidR="00C10924" w:rsidRPr="008F5DAB">
        <w:rPr>
          <w:rFonts w:ascii="Verdana" w:eastAsia="Verdana" w:hAnsi="Verdana" w:cs="Verdana"/>
          <w:sz w:val="19"/>
          <w:szCs w:val="19"/>
        </w:rPr>
        <w:t>”</w:t>
      </w:r>
      <w:r w:rsidR="646D5D51" w:rsidRPr="008F5DAB">
        <w:rPr>
          <w:rFonts w:ascii="Verdana" w:eastAsia="Verdana" w:hAnsi="Verdana" w:cs="Verdana"/>
          <w:sz w:val="19"/>
          <w:szCs w:val="19"/>
        </w:rPr>
        <w:t xml:space="preserve"> </w:t>
      </w:r>
      <w:r w:rsidR="00C10924" w:rsidRPr="008F5DAB">
        <w:rPr>
          <w:rFonts w:ascii="Verdana" w:eastAsia="Verdana" w:hAnsi="Verdana" w:cs="Verdana"/>
          <w:sz w:val="19"/>
          <w:szCs w:val="19"/>
        </w:rPr>
        <w:t>L</w:t>
      </w:r>
      <w:r w:rsidR="646D5D51" w:rsidRPr="001C3168">
        <w:rPr>
          <w:rFonts w:ascii="Verdana" w:eastAsia="Verdana" w:hAnsi="Verdana" w:cs="Verdana"/>
          <w:sz w:val="19"/>
          <w:szCs w:val="19"/>
        </w:rPr>
        <w:t xml:space="preserve">aw, including </w:t>
      </w:r>
      <w:r w:rsidR="00C10924" w:rsidRPr="008F5DAB">
        <w:rPr>
          <w:rFonts w:ascii="Verdana" w:eastAsia="Verdana" w:hAnsi="Verdana" w:cs="Verdana"/>
          <w:sz w:val="19"/>
          <w:szCs w:val="19"/>
        </w:rPr>
        <w:t>a</w:t>
      </w:r>
      <w:r w:rsidR="646D5D51" w:rsidRPr="001C3168">
        <w:rPr>
          <w:rFonts w:ascii="Verdana" w:eastAsia="Verdana" w:hAnsi="Verdana" w:cs="Verdana"/>
          <w:sz w:val="19"/>
          <w:szCs w:val="19"/>
        </w:rPr>
        <w:t xml:space="preserve">rticle 32, which provides for up to 20 years' imprisonment </w:t>
      </w:r>
      <w:r w:rsidR="00BD0D14">
        <w:rPr>
          <w:rFonts w:ascii="Verdana" w:eastAsia="Verdana" w:hAnsi="Verdana" w:cs="Verdana"/>
          <w:sz w:val="19"/>
          <w:szCs w:val="19"/>
        </w:rPr>
        <w:t xml:space="preserve">upon conviction </w:t>
      </w:r>
      <w:r w:rsidR="646D5D51" w:rsidRPr="001C3168">
        <w:rPr>
          <w:rFonts w:ascii="Verdana" w:eastAsia="Verdana" w:hAnsi="Verdana" w:cs="Verdana"/>
          <w:sz w:val="19"/>
          <w:szCs w:val="19"/>
        </w:rPr>
        <w:t>for "forming a terrorist organisation</w:t>
      </w:r>
      <w:r w:rsidR="00C10924" w:rsidRPr="008F5DAB">
        <w:rPr>
          <w:rFonts w:ascii="Verdana" w:eastAsia="Verdana" w:hAnsi="Verdana" w:cs="Verdana"/>
          <w:sz w:val="19"/>
          <w:szCs w:val="19"/>
        </w:rPr>
        <w:t xml:space="preserve"> or conspiracy</w:t>
      </w:r>
      <w:r w:rsidR="646D5D51" w:rsidRPr="008F5DAB">
        <w:rPr>
          <w:rFonts w:ascii="Verdana" w:eastAsia="Verdana" w:hAnsi="Verdana" w:cs="Verdana"/>
          <w:sz w:val="19"/>
          <w:szCs w:val="19"/>
        </w:rPr>
        <w:t>".</w:t>
      </w:r>
      <w:r w:rsidR="00225179" w:rsidRPr="008F5DAB">
        <w:rPr>
          <w:rFonts w:ascii="Verdana" w:eastAsia="Verdana" w:hAnsi="Verdana" w:cs="Verdana"/>
          <w:sz w:val="19"/>
          <w:szCs w:val="19"/>
        </w:rPr>
        <w:t xml:space="preserve"> </w:t>
      </w:r>
      <w:r w:rsidR="00EA02F2" w:rsidRPr="008F5DAB">
        <w:rPr>
          <w:rFonts w:ascii="Verdana" w:eastAsia="Verdana" w:hAnsi="Verdana" w:cs="Verdana"/>
          <w:sz w:val="19"/>
          <w:szCs w:val="19"/>
        </w:rPr>
        <w:t xml:space="preserve">Having reviewed one of these criminal cases, </w:t>
      </w:r>
      <w:r w:rsidR="00225179" w:rsidRPr="008F5DAB">
        <w:rPr>
          <w:rFonts w:ascii="Verdana" w:eastAsia="Verdana" w:hAnsi="Verdana" w:cs="Verdana"/>
          <w:sz w:val="19"/>
          <w:szCs w:val="19"/>
        </w:rPr>
        <w:t xml:space="preserve">Amnesty International has deemed these </w:t>
      </w:r>
      <w:r w:rsidR="00BE07BB" w:rsidRPr="008F5DAB">
        <w:rPr>
          <w:rFonts w:ascii="Verdana" w:eastAsia="Verdana" w:hAnsi="Verdana" w:cs="Verdana"/>
          <w:sz w:val="19"/>
          <w:szCs w:val="19"/>
        </w:rPr>
        <w:t>accusations</w:t>
      </w:r>
      <w:r w:rsidR="00225179" w:rsidRPr="008F5DAB">
        <w:rPr>
          <w:rFonts w:ascii="Verdana" w:eastAsia="Verdana" w:hAnsi="Verdana" w:cs="Verdana"/>
          <w:sz w:val="19"/>
          <w:szCs w:val="19"/>
        </w:rPr>
        <w:t xml:space="preserve"> unfounded</w:t>
      </w:r>
      <w:r w:rsidR="00BE07BB" w:rsidRPr="008F5DAB">
        <w:rPr>
          <w:rFonts w:ascii="Verdana" w:eastAsia="Verdana" w:hAnsi="Verdana" w:cs="Verdana"/>
          <w:sz w:val="19"/>
          <w:szCs w:val="19"/>
        </w:rPr>
        <w:t xml:space="preserve"> and the continued detention of the persons </w:t>
      </w:r>
      <w:r w:rsidR="00A77672" w:rsidRPr="00A77672">
        <w:rPr>
          <w:rFonts w:ascii="Verdana" w:eastAsia="Verdana" w:hAnsi="Verdana" w:cs="Verdana"/>
          <w:sz w:val="19"/>
          <w:szCs w:val="19"/>
        </w:rPr>
        <w:t xml:space="preserve">charged </w:t>
      </w:r>
      <w:r w:rsidR="00BE07BB" w:rsidRPr="008F5DAB">
        <w:rPr>
          <w:rFonts w:ascii="Verdana" w:eastAsia="Verdana" w:hAnsi="Verdana" w:cs="Verdana"/>
          <w:sz w:val="19"/>
          <w:szCs w:val="19"/>
        </w:rPr>
        <w:t>arbitrary</w:t>
      </w:r>
      <w:r w:rsidR="00225179" w:rsidRPr="008F5DAB">
        <w:rPr>
          <w:rFonts w:ascii="Verdana" w:eastAsia="Verdana" w:hAnsi="Verdana" w:cs="Verdana"/>
          <w:sz w:val="19"/>
          <w:szCs w:val="19"/>
        </w:rPr>
        <w:t>.</w:t>
      </w:r>
      <w:r w:rsidR="00225179" w:rsidRPr="008F5DAB">
        <w:rPr>
          <w:rFonts w:ascii="Verdana" w:eastAsia="Verdana" w:hAnsi="Verdana" w:cs="Verdana"/>
          <w:sz w:val="19"/>
          <w:szCs w:val="19"/>
          <w:vertAlign w:val="superscript"/>
        </w:rPr>
        <w:footnoteReference w:id="20"/>
      </w:r>
      <w:r w:rsidR="002A0113" w:rsidRPr="008F5DAB">
        <w:rPr>
          <w:rFonts w:ascii="Verdana" w:eastAsia="Verdana" w:hAnsi="Verdana" w:cs="Verdana"/>
          <w:sz w:val="19"/>
          <w:szCs w:val="19"/>
        </w:rPr>
        <w:t xml:space="preserve"> </w:t>
      </w:r>
    </w:p>
    <w:p w14:paraId="548A79CF" w14:textId="000F2F17" w:rsidR="00184FB2" w:rsidRPr="00A77672" w:rsidRDefault="00AF35D6" w:rsidP="00A77672">
      <w:pPr>
        <w:pStyle w:val="ListParagraph"/>
        <w:numPr>
          <w:ilvl w:val="0"/>
          <w:numId w:val="7"/>
        </w:numPr>
        <w:snapToGrid w:val="0"/>
        <w:spacing w:beforeLines="120" w:before="288" w:after="0" w:line="240" w:lineRule="auto"/>
        <w:contextualSpacing w:val="0"/>
        <w:jc w:val="both"/>
        <w:rPr>
          <w:rFonts w:ascii="Verdana" w:hAnsi="Verdana"/>
          <w:sz w:val="19"/>
          <w:szCs w:val="19"/>
          <w:lang w:val="en-US"/>
        </w:rPr>
      </w:pPr>
      <w:r w:rsidRPr="008F5DAB">
        <w:rPr>
          <w:rFonts w:ascii="Verdana" w:hAnsi="Verdana"/>
          <w:sz w:val="19"/>
          <w:szCs w:val="19"/>
          <w:lang w:val="en-US"/>
        </w:rPr>
        <w:t xml:space="preserve">The ICJ is </w:t>
      </w:r>
      <w:r w:rsidR="00046A52" w:rsidRPr="008F5DAB">
        <w:rPr>
          <w:rFonts w:ascii="Verdana" w:hAnsi="Verdana"/>
          <w:sz w:val="19"/>
          <w:szCs w:val="19"/>
          <w:lang w:val="en-US"/>
        </w:rPr>
        <w:t xml:space="preserve">deeply </w:t>
      </w:r>
      <w:r w:rsidRPr="008F5DAB">
        <w:rPr>
          <w:rFonts w:ascii="Verdana" w:hAnsi="Verdana"/>
          <w:sz w:val="19"/>
          <w:szCs w:val="19"/>
          <w:lang w:val="en-US"/>
        </w:rPr>
        <w:t xml:space="preserve">concerned that Tunisia is </w:t>
      </w:r>
      <w:r w:rsidR="00046A52" w:rsidRPr="008F5DAB">
        <w:rPr>
          <w:rFonts w:ascii="Verdana" w:hAnsi="Verdana"/>
          <w:sz w:val="19"/>
          <w:szCs w:val="19"/>
          <w:lang w:val="en-US"/>
        </w:rPr>
        <w:t>ab</w:t>
      </w:r>
      <w:r w:rsidRPr="008F5DAB">
        <w:rPr>
          <w:rFonts w:ascii="Verdana" w:hAnsi="Verdana"/>
          <w:sz w:val="19"/>
          <w:szCs w:val="19"/>
          <w:lang w:val="en-US"/>
        </w:rPr>
        <w:t xml:space="preserve">using </w:t>
      </w:r>
      <w:r w:rsidR="00FE0F13">
        <w:rPr>
          <w:rFonts w:ascii="Verdana" w:hAnsi="Verdana"/>
          <w:sz w:val="19"/>
          <w:szCs w:val="19"/>
          <w:lang w:val="en-US"/>
        </w:rPr>
        <w:t xml:space="preserve">its </w:t>
      </w:r>
      <w:r w:rsidR="00D45EA0">
        <w:rPr>
          <w:rFonts w:ascii="Verdana" w:hAnsi="Verdana"/>
          <w:sz w:val="19"/>
          <w:szCs w:val="19"/>
          <w:lang w:val="en-US"/>
        </w:rPr>
        <w:t>c</w:t>
      </w:r>
      <w:r w:rsidRPr="008F5DAB">
        <w:rPr>
          <w:rFonts w:ascii="Verdana" w:hAnsi="Verdana"/>
          <w:sz w:val="19"/>
          <w:szCs w:val="19"/>
          <w:lang w:val="en-US"/>
        </w:rPr>
        <w:t>ounter</w:t>
      </w:r>
      <w:r w:rsidR="00EC0BB8" w:rsidRPr="008F5DAB">
        <w:rPr>
          <w:rFonts w:ascii="Verdana" w:hAnsi="Verdana"/>
          <w:sz w:val="19"/>
          <w:szCs w:val="19"/>
          <w:lang w:val="en-US"/>
        </w:rPr>
        <w:t>-</w:t>
      </w:r>
      <w:r w:rsidRPr="008F5DAB">
        <w:rPr>
          <w:rFonts w:ascii="Verdana" w:hAnsi="Verdana"/>
          <w:sz w:val="19"/>
          <w:szCs w:val="19"/>
          <w:lang w:val="en-US"/>
        </w:rPr>
        <w:t>terrorism</w:t>
      </w:r>
      <w:r w:rsidR="00D45EA0">
        <w:rPr>
          <w:rFonts w:ascii="Verdana" w:hAnsi="Verdana"/>
          <w:sz w:val="19"/>
          <w:szCs w:val="19"/>
          <w:lang w:val="en-US"/>
        </w:rPr>
        <w:t xml:space="preserve"> </w:t>
      </w:r>
      <w:r w:rsidR="00046A52" w:rsidRPr="008F5DAB">
        <w:rPr>
          <w:rFonts w:ascii="Verdana" w:hAnsi="Verdana"/>
          <w:sz w:val="19"/>
          <w:szCs w:val="19"/>
          <w:lang w:val="en-US"/>
        </w:rPr>
        <w:t xml:space="preserve">legislation </w:t>
      </w:r>
      <w:r w:rsidRPr="008F5DAB">
        <w:rPr>
          <w:rFonts w:ascii="Verdana" w:hAnsi="Verdana"/>
          <w:sz w:val="19"/>
          <w:szCs w:val="19"/>
          <w:lang w:val="en-US"/>
        </w:rPr>
        <w:t xml:space="preserve">to arbitrarily prosecute </w:t>
      </w:r>
      <w:r w:rsidR="00BE07BB" w:rsidRPr="008F5DAB">
        <w:rPr>
          <w:rFonts w:ascii="Verdana" w:hAnsi="Verdana"/>
          <w:sz w:val="19"/>
          <w:szCs w:val="19"/>
          <w:lang w:val="en-US"/>
        </w:rPr>
        <w:t xml:space="preserve">and detain </w:t>
      </w:r>
      <w:r w:rsidR="002A0113" w:rsidRPr="008F5DAB">
        <w:rPr>
          <w:rFonts w:ascii="Verdana" w:hAnsi="Verdana"/>
          <w:sz w:val="19"/>
          <w:szCs w:val="19"/>
          <w:lang w:val="en-US"/>
        </w:rPr>
        <w:t xml:space="preserve">perceived </w:t>
      </w:r>
      <w:r w:rsidR="0C8E3D8F" w:rsidRPr="008F5DAB">
        <w:rPr>
          <w:rFonts w:ascii="Verdana" w:hAnsi="Verdana"/>
          <w:sz w:val="19"/>
          <w:szCs w:val="19"/>
          <w:lang w:val="en-US"/>
        </w:rPr>
        <w:t>political opponents</w:t>
      </w:r>
      <w:r w:rsidR="003A0FCA" w:rsidRPr="008F5DAB">
        <w:rPr>
          <w:rFonts w:ascii="Verdana" w:hAnsi="Verdana"/>
          <w:sz w:val="19"/>
          <w:szCs w:val="19"/>
          <w:lang w:val="en-US"/>
        </w:rPr>
        <w:t xml:space="preserve"> and</w:t>
      </w:r>
      <w:r w:rsidR="0C8E3D8F" w:rsidRPr="008F5DAB">
        <w:rPr>
          <w:rFonts w:ascii="Verdana" w:hAnsi="Verdana"/>
          <w:sz w:val="19"/>
          <w:szCs w:val="19"/>
          <w:lang w:val="en-US"/>
        </w:rPr>
        <w:t xml:space="preserve"> lawyers</w:t>
      </w:r>
      <w:r w:rsidR="003A0FCA" w:rsidRPr="008F5DAB">
        <w:rPr>
          <w:rFonts w:ascii="Verdana" w:hAnsi="Verdana"/>
          <w:sz w:val="19"/>
          <w:szCs w:val="19"/>
          <w:lang w:val="en-US"/>
        </w:rPr>
        <w:t>,</w:t>
      </w:r>
      <w:r w:rsidR="0C8E3D8F" w:rsidRPr="008F5DAB">
        <w:rPr>
          <w:rFonts w:ascii="Verdana" w:hAnsi="Verdana"/>
          <w:sz w:val="19"/>
          <w:szCs w:val="19"/>
          <w:lang w:val="en-US"/>
        </w:rPr>
        <w:t xml:space="preserve"> </w:t>
      </w:r>
      <w:r w:rsidR="003A0FCA" w:rsidRPr="008F5DAB">
        <w:rPr>
          <w:rFonts w:ascii="Verdana" w:hAnsi="Verdana"/>
          <w:sz w:val="19"/>
          <w:szCs w:val="19"/>
          <w:lang w:val="en-US"/>
        </w:rPr>
        <w:t xml:space="preserve">as part of its crackdown on political opposition, </w:t>
      </w:r>
      <w:r w:rsidR="0C8E3D8F" w:rsidRPr="008F5DAB">
        <w:rPr>
          <w:rFonts w:ascii="Verdana" w:hAnsi="Verdana"/>
          <w:sz w:val="19"/>
          <w:szCs w:val="19"/>
          <w:lang w:val="en-US"/>
        </w:rPr>
        <w:t xml:space="preserve">and </w:t>
      </w:r>
      <w:r w:rsidR="00A77672">
        <w:rPr>
          <w:rFonts w:ascii="Verdana" w:hAnsi="Verdana"/>
          <w:sz w:val="19"/>
          <w:szCs w:val="19"/>
          <w:lang w:val="en-US"/>
        </w:rPr>
        <w:t xml:space="preserve">against </w:t>
      </w:r>
      <w:r w:rsidRPr="008F5DAB">
        <w:rPr>
          <w:rFonts w:ascii="Verdana" w:hAnsi="Verdana"/>
          <w:sz w:val="19"/>
          <w:szCs w:val="19"/>
          <w:lang w:val="en-US"/>
        </w:rPr>
        <w:t>members of the judiciary</w:t>
      </w:r>
      <w:r w:rsidR="00FE0F13">
        <w:rPr>
          <w:rFonts w:ascii="Verdana" w:hAnsi="Verdana"/>
          <w:sz w:val="19"/>
          <w:szCs w:val="19"/>
          <w:lang w:val="en-US"/>
        </w:rPr>
        <w:t>,</w:t>
      </w:r>
      <w:r w:rsidRPr="008F5DAB">
        <w:rPr>
          <w:rFonts w:ascii="Verdana" w:hAnsi="Verdana"/>
          <w:sz w:val="19"/>
          <w:szCs w:val="19"/>
          <w:lang w:val="en-US"/>
        </w:rPr>
        <w:t xml:space="preserve"> part </w:t>
      </w:r>
      <w:r w:rsidR="00FE0F13">
        <w:rPr>
          <w:rFonts w:ascii="Verdana" w:hAnsi="Verdana"/>
          <w:sz w:val="19"/>
          <w:szCs w:val="19"/>
          <w:lang w:val="en-US"/>
        </w:rPr>
        <w:t xml:space="preserve">and parcel </w:t>
      </w:r>
      <w:r w:rsidRPr="008F5DAB">
        <w:rPr>
          <w:rFonts w:ascii="Verdana" w:hAnsi="Verdana"/>
          <w:sz w:val="19"/>
          <w:szCs w:val="19"/>
          <w:lang w:val="en-US"/>
        </w:rPr>
        <w:t>of its ongoing erosion of judicial independence</w:t>
      </w:r>
      <w:r w:rsidR="00184FB2" w:rsidRPr="008F5DAB">
        <w:rPr>
          <w:rFonts w:ascii="Verdana" w:hAnsi="Verdana"/>
          <w:sz w:val="19"/>
          <w:szCs w:val="19"/>
          <w:lang w:val="en-US"/>
        </w:rPr>
        <w:t xml:space="preserve">. </w:t>
      </w:r>
      <w:r w:rsidR="00FE0F13">
        <w:rPr>
          <w:rFonts w:ascii="Verdana" w:hAnsi="Verdana"/>
          <w:sz w:val="19"/>
          <w:szCs w:val="19"/>
          <w:lang w:val="en-US"/>
        </w:rPr>
        <w:t>In so doing,</w:t>
      </w:r>
      <w:r w:rsidR="00184FB2" w:rsidRPr="008F5DAB">
        <w:rPr>
          <w:rFonts w:ascii="Verdana" w:hAnsi="Verdana"/>
          <w:sz w:val="19"/>
          <w:szCs w:val="19"/>
          <w:lang w:val="en-US"/>
        </w:rPr>
        <w:t xml:space="preserve"> Tunisia</w:t>
      </w:r>
      <w:r w:rsidR="00FE0F13">
        <w:rPr>
          <w:rFonts w:ascii="Verdana" w:hAnsi="Verdana"/>
          <w:sz w:val="19"/>
          <w:szCs w:val="19"/>
          <w:lang w:val="en-US"/>
        </w:rPr>
        <w:t xml:space="preserve"> has contravened the following</w:t>
      </w:r>
      <w:r w:rsidR="00742561" w:rsidRPr="008F5DAB">
        <w:rPr>
          <w:rFonts w:ascii="Verdana" w:hAnsi="Verdana"/>
          <w:sz w:val="19"/>
          <w:szCs w:val="19"/>
          <w:lang w:val="en-US"/>
        </w:rPr>
        <w:t xml:space="preserve"> obligations</w:t>
      </w:r>
      <w:r w:rsidR="00184FB2" w:rsidRPr="008F5DAB">
        <w:rPr>
          <w:rFonts w:ascii="Verdana" w:hAnsi="Verdana"/>
          <w:sz w:val="19"/>
          <w:szCs w:val="19"/>
          <w:lang w:val="en-US"/>
        </w:rPr>
        <w:t xml:space="preserve"> under the</w:t>
      </w:r>
      <w:r w:rsidR="0012114B" w:rsidRPr="008F5DAB">
        <w:rPr>
          <w:rFonts w:ascii="Verdana" w:hAnsi="Verdana"/>
          <w:sz w:val="19"/>
          <w:szCs w:val="19"/>
          <w:lang w:val="en-US"/>
        </w:rPr>
        <w:t xml:space="preserve"> </w:t>
      </w:r>
      <w:r w:rsidR="00184FB2" w:rsidRPr="008F5DAB">
        <w:rPr>
          <w:rFonts w:ascii="Verdana" w:hAnsi="Verdana"/>
          <w:sz w:val="19"/>
          <w:szCs w:val="19"/>
          <w:lang w:val="en-US"/>
        </w:rPr>
        <w:t>ICCPR:</w:t>
      </w:r>
    </w:p>
    <w:p w14:paraId="1019AB09" w14:textId="67EC0909" w:rsidR="00002C13" w:rsidRPr="006454FE" w:rsidRDefault="5BF2E39B" w:rsidP="00A77672">
      <w:pPr>
        <w:pStyle w:val="ListParagraph"/>
        <w:numPr>
          <w:ilvl w:val="1"/>
          <w:numId w:val="7"/>
        </w:numPr>
        <w:spacing w:beforeLines="120" w:before="288" w:after="0" w:line="240" w:lineRule="auto"/>
        <w:ind w:left="1361" w:hanging="357"/>
        <w:contextualSpacing w:val="0"/>
        <w:jc w:val="both"/>
        <w:rPr>
          <w:rFonts w:ascii="Verdana" w:hAnsi="Verdana"/>
          <w:sz w:val="19"/>
          <w:szCs w:val="19"/>
          <w:lang w:val="en-US"/>
        </w:rPr>
      </w:pPr>
      <w:r w:rsidRPr="008F5DAB">
        <w:rPr>
          <w:rFonts w:ascii="Verdana" w:hAnsi="Verdana"/>
          <w:color w:val="000000" w:themeColor="text1"/>
          <w:sz w:val="19"/>
          <w:szCs w:val="19"/>
          <w:lang w:val="en-US"/>
        </w:rPr>
        <w:t>Article 9</w:t>
      </w:r>
      <w:r w:rsidR="03E13BFF" w:rsidRPr="008F5DAB">
        <w:rPr>
          <w:rFonts w:ascii="Verdana" w:hAnsi="Verdana"/>
          <w:color w:val="000000" w:themeColor="text1"/>
          <w:sz w:val="19"/>
          <w:szCs w:val="19"/>
          <w:lang w:val="en-US"/>
        </w:rPr>
        <w:t xml:space="preserve">(1). By arbitrarily detaining </w:t>
      </w:r>
      <w:r w:rsidR="002A0113" w:rsidRPr="008F5DAB">
        <w:rPr>
          <w:rFonts w:ascii="Verdana" w:hAnsi="Verdana"/>
          <w:color w:val="000000" w:themeColor="text1"/>
          <w:sz w:val="19"/>
          <w:szCs w:val="19"/>
          <w:lang w:val="en-US"/>
        </w:rPr>
        <w:t xml:space="preserve">perceived </w:t>
      </w:r>
      <w:r w:rsidR="03E13BFF" w:rsidRPr="008F5DAB">
        <w:rPr>
          <w:rFonts w:ascii="Verdana" w:hAnsi="Verdana"/>
          <w:color w:val="000000" w:themeColor="text1"/>
          <w:sz w:val="19"/>
          <w:szCs w:val="19"/>
          <w:lang w:val="en-US"/>
        </w:rPr>
        <w:t>political opponents</w:t>
      </w:r>
      <w:r w:rsidR="00C22627" w:rsidRPr="008F5DAB">
        <w:rPr>
          <w:rFonts w:ascii="Verdana" w:hAnsi="Verdana"/>
          <w:color w:val="000000" w:themeColor="text1"/>
          <w:sz w:val="19"/>
          <w:szCs w:val="19"/>
          <w:lang w:val="en-US"/>
        </w:rPr>
        <w:t xml:space="preserve">, </w:t>
      </w:r>
      <w:proofErr w:type="gramStart"/>
      <w:r w:rsidR="00C22627" w:rsidRPr="008F5DAB">
        <w:rPr>
          <w:rFonts w:ascii="Verdana" w:hAnsi="Verdana"/>
          <w:color w:val="000000" w:themeColor="text1"/>
          <w:sz w:val="19"/>
          <w:szCs w:val="19"/>
          <w:lang w:val="en-US"/>
        </w:rPr>
        <w:t>lawyers</w:t>
      </w:r>
      <w:proofErr w:type="gramEnd"/>
      <w:r w:rsidR="00C22627" w:rsidRPr="008F5DAB">
        <w:rPr>
          <w:rFonts w:ascii="Verdana" w:hAnsi="Verdana"/>
          <w:color w:val="000000" w:themeColor="text1"/>
          <w:sz w:val="19"/>
          <w:szCs w:val="19"/>
          <w:lang w:val="en-US"/>
        </w:rPr>
        <w:t xml:space="preserve"> or judges</w:t>
      </w:r>
      <w:r w:rsidR="315BF62E" w:rsidRPr="008F5DAB">
        <w:rPr>
          <w:rFonts w:ascii="Verdana" w:hAnsi="Verdana"/>
          <w:color w:val="000000" w:themeColor="text1"/>
          <w:sz w:val="19"/>
          <w:szCs w:val="19"/>
          <w:lang w:val="en-US"/>
        </w:rPr>
        <w:t xml:space="preserve"> </w:t>
      </w:r>
      <w:r w:rsidR="5D514A55" w:rsidRPr="008F5DAB">
        <w:rPr>
          <w:rFonts w:ascii="Verdana" w:hAnsi="Verdana"/>
          <w:color w:val="000000" w:themeColor="text1"/>
          <w:sz w:val="19"/>
          <w:szCs w:val="19"/>
          <w:lang w:val="en-US"/>
        </w:rPr>
        <w:t xml:space="preserve">under </w:t>
      </w:r>
      <w:r w:rsidR="006032C4">
        <w:rPr>
          <w:rFonts w:ascii="Verdana" w:hAnsi="Verdana"/>
          <w:color w:val="000000" w:themeColor="text1"/>
          <w:sz w:val="19"/>
          <w:szCs w:val="19"/>
          <w:lang w:val="en-US"/>
        </w:rPr>
        <w:t>c</w:t>
      </w:r>
      <w:r w:rsidR="5D514A55" w:rsidRPr="008F5DAB">
        <w:rPr>
          <w:rFonts w:ascii="Verdana" w:hAnsi="Verdana"/>
          <w:sz w:val="19"/>
          <w:szCs w:val="19"/>
          <w:lang w:val="en-US"/>
        </w:rPr>
        <w:t>ounter-terrorism</w:t>
      </w:r>
      <w:r w:rsidR="006032C4">
        <w:rPr>
          <w:rFonts w:ascii="Verdana" w:hAnsi="Verdana"/>
          <w:sz w:val="19"/>
          <w:szCs w:val="19"/>
          <w:lang w:val="en-US"/>
        </w:rPr>
        <w:t xml:space="preserve"> </w:t>
      </w:r>
      <w:r w:rsidR="5D514A55" w:rsidRPr="008F5DAB">
        <w:rPr>
          <w:rFonts w:ascii="Verdana" w:hAnsi="Verdana"/>
          <w:sz w:val="19"/>
          <w:szCs w:val="19"/>
          <w:lang w:val="en-US"/>
        </w:rPr>
        <w:t xml:space="preserve">provisions without </w:t>
      </w:r>
      <w:r w:rsidR="074FE060" w:rsidRPr="008F5DAB">
        <w:rPr>
          <w:rFonts w:ascii="Verdana" w:hAnsi="Verdana"/>
          <w:sz w:val="19"/>
          <w:szCs w:val="19"/>
          <w:lang w:val="en-US"/>
        </w:rPr>
        <w:t>reliable evidence, Tu</w:t>
      </w:r>
      <w:r w:rsidR="02427790" w:rsidRPr="008F5DAB">
        <w:rPr>
          <w:rFonts w:ascii="Verdana" w:hAnsi="Verdana"/>
          <w:sz w:val="19"/>
          <w:szCs w:val="19"/>
          <w:lang w:val="en-US"/>
        </w:rPr>
        <w:t xml:space="preserve">nisia is unlawfully interfering with </w:t>
      </w:r>
      <w:r w:rsidR="124A89D0" w:rsidRPr="008F5DAB">
        <w:rPr>
          <w:rFonts w:ascii="Verdana" w:hAnsi="Verdana"/>
          <w:sz w:val="19"/>
          <w:szCs w:val="19"/>
          <w:lang w:val="en-US"/>
        </w:rPr>
        <w:t>the</w:t>
      </w:r>
      <w:r w:rsidR="00C22627" w:rsidRPr="008F5DAB">
        <w:rPr>
          <w:rFonts w:ascii="Verdana" w:hAnsi="Verdana"/>
          <w:sz w:val="19"/>
          <w:szCs w:val="19"/>
          <w:lang w:val="en-US"/>
        </w:rPr>
        <w:t>ir</w:t>
      </w:r>
      <w:r w:rsidR="124A89D0" w:rsidRPr="008F5DAB">
        <w:rPr>
          <w:rFonts w:ascii="Verdana" w:hAnsi="Verdana"/>
          <w:sz w:val="19"/>
          <w:szCs w:val="19"/>
          <w:lang w:val="en-US"/>
        </w:rPr>
        <w:t xml:space="preserve"> right</w:t>
      </w:r>
      <w:r w:rsidR="2048862D" w:rsidRPr="006454FE">
        <w:rPr>
          <w:rFonts w:ascii="Verdana" w:hAnsi="Verdana"/>
          <w:sz w:val="19"/>
          <w:szCs w:val="19"/>
          <w:lang w:val="en-US"/>
        </w:rPr>
        <w:t xml:space="preserve"> </w:t>
      </w:r>
      <w:r w:rsidR="20C46D8E" w:rsidRPr="006454FE">
        <w:rPr>
          <w:rFonts w:ascii="Verdana" w:hAnsi="Verdana"/>
          <w:sz w:val="19"/>
          <w:szCs w:val="19"/>
          <w:lang w:val="en-US"/>
        </w:rPr>
        <w:t>to liberty</w:t>
      </w:r>
      <w:r w:rsidR="7DAA42F7" w:rsidRPr="006454FE">
        <w:rPr>
          <w:rFonts w:ascii="Verdana" w:hAnsi="Verdana"/>
          <w:sz w:val="19"/>
          <w:szCs w:val="19"/>
          <w:lang w:val="en-US"/>
        </w:rPr>
        <w:t>.</w:t>
      </w:r>
      <w:r w:rsidR="074FE060" w:rsidRPr="008F5DAB">
        <w:rPr>
          <w:rFonts w:ascii="Verdana" w:hAnsi="Verdana"/>
          <w:sz w:val="19"/>
          <w:szCs w:val="19"/>
          <w:lang w:val="en-US"/>
        </w:rPr>
        <w:t xml:space="preserve"> </w:t>
      </w:r>
    </w:p>
    <w:p w14:paraId="21A2215D" w14:textId="42A97D5E" w:rsidR="00002C13" w:rsidRPr="006454FE" w:rsidRDefault="00184FB2" w:rsidP="006454FE">
      <w:pPr>
        <w:pStyle w:val="ListParagraph"/>
        <w:numPr>
          <w:ilvl w:val="1"/>
          <w:numId w:val="7"/>
        </w:numPr>
        <w:snapToGrid w:val="0"/>
        <w:spacing w:beforeLines="120" w:before="288" w:after="0" w:line="240" w:lineRule="auto"/>
        <w:ind w:left="1361" w:hanging="357"/>
        <w:contextualSpacing w:val="0"/>
        <w:jc w:val="both"/>
        <w:rPr>
          <w:rFonts w:ascii="Verdana" w:hAnsi="Verdana"/>
          <w:color w:val="000000" w:themeColor="text1"/>
          <w:sz w:val="19"/>
          <w:szCs w:val="19"/>
          <w:lang w:val="en-US"/>
        </w:rPr>
      </w:pPr>
      <w:r w:rsidRPr="008F5DAB">
        <w:rPr>
          <w:rFonts w:ascii="Verdana" w:hAnsi="Verdana"/>
          <w:color w:val="000000" w:themeColor="text1"/>
          <w:sz w:val="19"/>
          <w:szCs w:val="19"/>
          <w:lang w:val="en-US"/>
        </w:rPr>
        <w:t>Article 14(1). Through interference in the appointment</w:t>
      </w:r>
      <w:r w:rsidR="00C22627" w:rsidRPr="008F5DAB">
        <w:rPr>
          <w:rFonts w:ascii="Verdana" w:hAnsi="Verdana"/>
          <w:color w:val="000000" w:themeColor="text1"/>
          <w:sz w:val="19"/>
          <w:szCs w:val="19"/>
          <w:lang w:val="en-US"/>
        </w:rPr>
        <w:t>, career</w:t>
      </w:r>
      <w:r w:rsidR="00FE0F13">
        <w:rPr>
          <w:rFonts w:ascii="Verdana" w:hAnsi="Verdana"/>
          <w:color w:val="000000" w:themeColor="text1"/>
          <w:sz w:val="19"/>
          <w:szCs w:val="19"/>
          <w:lang w:val="en-US"/>
        </w:rPr>
        <w:t xml:space="preserve">, </w:t>
      </w:r>
      <w:r w:rsidR="00C22627" w:rsidRPr="008F5DAB">
        <w:rPr>
          <w:rFonts w:ascii="Verdana" w:hAnsi="Verdana"/>
          <w:color w:val="000000" w:themeColor="text1"/>
          <w:sz w:val="19"/>
          <w:szCs w:val="19"/>
          <w:lang w:val="en-US"/>
        </w:rPr>
        <w:t>disciplining</w:t>
      </w:r>
      <w:r w:rsidRPr="008F5DAB">
        <w:rPr>
          <w:rFonts w:ascii="Verdana" w:hAnsi="Verdana"/>
          <w:color w:val="000000" w:themeColor="text1"/>
          <w:sz w:val="19"/>
          <w:szCs w:val="19"/>
          <w:lang w:val="en-US"/>
        </w:rPr>
        <w:t xml:space="preserve"> </w:t>
      </w:r>
      <w:r w:rsidR="00FE0F13">
        <w:rPr>
          <w:rFonts w:ascii="Verdana" w:hAnsi="Verdana"/>
          <w:color w:val="000000" w:themeColor="text1"/>
          <w:sz w:val="19"/>
          <w:szCs w:val="19"/>
          <w:lang w:val="en-US"/>
        </w:rPr>
        <w:t xml:space="preserve">and dismissal </w:t>
      </w:r>
      <w:r w:rsidRPr="008F5DAB">
        <w:rPr>
          <w:rFonts w:ascii="Verdana" w:hAnsi="Verdana"/>
          <w:color w:val="000000" w:themeColor="text1"/>
          <w:sz w:val="19"/>
          <w:szCs w:val="19"/>
          <w:lang w:val="en-US"/>
        </w:rPr>
        <w:t>of judges</w:t>
      </w:r>
      <w:r w:rsidR="00EC0BB8" w:rsidRPr="008F5DAB">
        <w:rPr>
          <w:rFonts w:ascii="Verdana" w:hAnsi="Verdana"/>
          <w:color w:val="000000" w:themeColor="text1"/>
          <w:sz w:val="19"/>
          <w:szCs w:val="19"/>
          <w:lang w:val="en-US"/>
        </w:rPr>
        <w:t xml:space="preserve">, </w:t>
      </w:r>
      <w:r w:rsidRPr="008F5DAB">
        <w:rPr>
          <w:rFonts w:ascii="Verdana" w:hAnsi="Verdana"/>
          <w:color w:val="000000" w:themeColor="text1"/>
          <w:sz w:val="19"/>
          <w:szCs w:val="19"/>
          <w:lang w:val="en-US"/>
        </w:rPr>
        <w:t>prosecutors</w:t>
      </w:r>
      <w:r w:rsidR="00EC0BB8" w:rsidRPr="008F5DAB">
        <w:rPr>
          <w:rFonts w:ascii="Verdana" w:hAnsi="Verdana"/>
          <w:color w:val="000000" w:themeColor="text1"/>
          <w:sz w:val="19"/>
          <w:szCs w:val="19"/>
          <w:lang w:val="en-US"/>
        </w:rPr>
        <w:t xml:space="preserve"> and HJC members</w:t>
      </w:r>
      <w:r w:rsidRPr="008F5DAB">
        <w:rPr>
          <w:rFonts w:ascii="Verdana" w:hAnsi="Verdana"/>
          <w:color w:val="000000" w:themeColor="text1"/>
          <w:sz w:val="19"/>
          <w:szCs w:val="19"/>
          <w:lang w:val="en-US"/>
        </w:rPr>
        <w:t>, the President has undermined the independen</w:t>
      </w:r>
      <w:r w:rsidR="00FE0F13">
        <w:rPr>
          <w:rFonts w:ascii="Verdana" w:hAnsi="Verdana"/>
          <w:color w:val="000000" w:themeColor="text1"/>
          <w:sz w:val="19"/>
          <w:szCs w:val="19"/>
          <w:lang w:val="en-US"/>
        </w:rPr>
        <w:t xml:space="preserve">ce </w:t>
      </w:r>
      <w:r w:rsidRPr="008F5DAB">
        <w:rPr>
          <w:rFonts w:ascii="Verdana" w:hAnsi="Verdana"/>
          <w:color w:val="000000" w:themeColor="text1"/>
          <w:sz w:val="19"/>
          <w:szCs w:val="19"/>
          <w:lang w:val="en-US"/>
        </w:rPr>
        <w:t>and impartial</w:t>
      </w:r>
      <w:r w:rsidR="00FE0F13">
        <w:rPr>
          <w:rFonts w:ascii="Verdana" w:hAnsi="Verdana"/>
          <w:color w:val="000000" w:themeColor="text1"/>
          <w:sz w:val="19"/>
          <w:szCs w:val="19"/>
          <w:lang w:val="en-US"/>
        </w:rPr>
        <w:t>ity</w:t>
      </w:r>
      <w:r w:rsidRPr="008F5DAB">
        <w:rPr>
          <w:rFonts w:ascii="Verdana" w:hAnsi="Verdana"/>
          <w:color w:val="000000" w:themeColor="text1"/>
          <w:sz w:val="19"/>
          <w:szCs w:val="19"/>
          <w:lang w:val="en-US"/>
        </w:rPr>
        <w:t xml:space="preserve"> </w:t>
      </w:r>
      <w:r w:rsidR="00FE0F13">
        <w:rPr>
          <w:rFonts w:ascii="Verdana" w:hAnsi="Verdana"/>
          <w:color w:val="000000" w:themeColor="text1"/>
          <w:sz w:val="19"/>
          <w:szCs w:val="19"/>
          <w:lang w:val="en-US"/>
        </w:rPr>
        <w:t xml:space="preserve">of </w:t>
      </w:r>
      <w:r w:rsidRPr="008F5DAB">
        <w:rPr>
          <w:rFonts w:ascii="Verdana" w:hAnsi="Verdana"/>
          <w:color w:val="000000" w:themeColor="text1"/>
          <w:sz w:val="19"/>
          <w:szCs w:val="19"/>
          <w:lang w:val="en-US"/>
        </w:rPr>
        <w:t>tribunals presid</w:t>
      </w:r>
      <w:r w:rsidR="00B950E0">
        <w:rPr>
          <w:rFonts w:ascii="Verdana" w:hAnsi="Verdana"/>
          <w:color w:val="000000" w:themeColor="text1"/>
          <w:sz w:val="19"/>
          <w:szCs w:val="19"/>
          <w:lang w:val="en-US"/>
        </w:rPr>
        <w:t xml:space="preserve">ing </w:t>
      </w:r>
      <w:r w:rsidRPr="008F5DAB">
        <w:rPr>
          <w:rFonts w:ascii="Verdana" w:hAnsi="Verdana"/>
          <w:color w:val="000000" w:themeColor="text1"/>
          <w:sz w:val="19"/>
          <w:szCs w:val="19"/>
          <w:lang w:val="en-US"/>
        </w:rPr>
        <w:t xml:space="preserve">over </w:t>
      </w:r>
      <w:r w:rsidR="00EC0BB8" w:rsidRPr="008F5DAB">
        <w:rPr>
          <w:rFonts w:ascii="Verdana" w:hAnsi="Verdana"/>
          <w:color w:val="000000" w:themeColor="text1"/>
          <w:sz w:val="19"/>
          <w:szCs w:val="19"/>
          <w:lang w:val="en-US"/>
        </w:rPr>
        <w:t xml:space="preserve">criminal </w:t>
      </w:r>
      <w:r w:rsidRPr="008F5DAB">
        <w:rPr>
          <w:rFonts w:ascii="Verdana" w:hAnsi="Verdana"/>
          <w:color w:val="000000" w:themeColor="text1"/>
          <w:sz w:val="19"/>
          <w:szCs w:val="19"/>
          <w:lang w:val="en-US"/>
        </w:rPr>
        <w:t>investigation</w:t>
      </w:r>
      <w:r w:rsidR="00EC0BB8" w:rsidRPr="008F5DAB">
        <w:rPr>
          <w:rFonts w:ascii="Verdana" w:hAnsi="Verdana"/>
          <w:color w:val="000000" w:themeColor="text1"/>
          <w:sz w:val="19"/>
          <w:szCs w:val="19"/>
          <w:lang w:val="en-US"/>
        </w:rPr>
        <w:t>s</w:t>
      </w:r>
      <w:r w:rsidRPr="008F5DAB">
        <w:rPr>
          <w:rFonts w:ascii="Verdana" w:hAnsi="Verdana"/>
          <w:color w:val="000000" w:themeColor="text1"/>
          <w:sz w:val="19"/>
          <w:szCs w:val="19"/>
          <w:lang w:val="en-US"/>
        </w:rPr>
        <w:t xml:space="preserve"> and prosecution</w:t>
      </w:r>
      <w:r w:rsidR="00EC0BB8" w:rsidRPr="008F5DAB">
        <w:rPr>
          <w:rFonts w:ascii="Verdana" w:hAnsi="Verdana"/>
          <w:color w:val="000000" w:themeColor="text1"/>
          <w:sz w:val="19"/>
          <w:szCs w:val="19"/>
          <w:lang w:val="en-US"/>
        </w:rPr>
        <w:t>s, including</w:t>
      </w:r>
      <w:r w:rsidRPr="008F5DAB">
        <w:rPr>
          <w:rFonts w:ascii="Verdana" w:hAnsi="Verdana"/>
          <w:color w:val="000000" w:themeColor="text1"/>
          <w:sz w:val="19"/>
          <w:szCs w:val="19"/>
          <w:lang w:val="en-US"/>
        </w:rPr>
        <w:t xml:space="preserve"> </w:t>
      </w:r>
      <w:r w:rsidR="00FE0F13">
        <w:rPr>
          <w:rFonts w:ascii="Verdana" w:hAnsi="Verdana"/>
          <w:color w:val="000000" w:themeColor="text1"/>
          <w:sz w:val="19"/>
          <w:szCs w:val="19"/>
          <w:lang w:val="en-US"/>
        </w:rPr>
        <w:t xml:space="preserve">with respect to </w:t>
      </w:r>
      <w:r w:rsidR="00D45EA0">
        <w:rPr>
          <w:rFonts w:ascii="Verdana" w:hAnsi="Verdana"/>
          <w:color w:val="000000" w:themeColor="text1"/>
          <w:sz w:val="19"/>
          <w:szCs w:val="19"/>
          <w:lang w:val="en-US"/>
        </w:rPr>
        <w:t>c</w:t>
      </w:r>
      <w:r w:rsidR="00EC0BB8" w:rsidRPr="008F5DAB">
        <w:rPr>
          <w:rFonts w:ascii="Verdana" w:hAnsi="Verdana"/>
          <w:color w:val="000000" w:themeColor="text1"/>
          <w:sz w:val="19"/>
          <w:szCs w:val="19"/>
          <w:lang w:val="en-US"/>
        </w:rPr>
        <w:t>ounter-terrorism</w:t>
      </w:r>
      <w:r w:rsidR="00D45EA0">
        <w:rPr>
          <w:rFonts w:ascii="Verdana" w:hAnsi="Verdana"/>
          <w:color w:val="000000" w:themeColor="text1"/>
          <w:sz w:val="19"/>
          <w:szCs w:val="19"/>
          <w:lang w:val="en-US"/>
        </w:rPr>
        <w:t xml:space="preserve"> </w:t>
      </w:r>
      <w:r w:rsidR="00EC0BB8" w:rsidRPr="008F5DAB">
        <w:rPr>
          <w:rFonts w:ascii="Verdana" w:hAnsi="Verdana"/>
          <w:color w:val="000000" w:themeColor="text1"/>
          <w:sz w:val="19"/>
          <w:szCs w:val="19"/>
          <w:lang w:val="en-US"/>
        </w:rPr>
        <w:t xml:space="preserve">proceedings against </w:t>
      </w:r>
      <w:r w:rsidR="00C22627" w:rsidRPr="008F5DAB">
        <w:rPr>
          <w:rFonts w:ascii="Verdana" w:hAnsi="Verdana"/>
          <w:color w:val="000000" w:themeColor="text1"/>
          <w:sz w:val="19"/>
          <w:szCs w:val="19"/>
          <w:lang w:val="en-US"/>
        </w:rPr>
        <w:t xml:space="preserve">perceived </w:t>
      </w:r>
      <w:r w:rsidR="5DB017E3" w:rsidRPr="008F5DAB">
        <w:rPr>
          <w:rFonts w:ascii="Verdana" w:hAnsi="Verdana"/>
          <w:color w:val="000000" w:themeColor="text1"/>
          <w:sz w:val="19"/>
          <w:szCs w:val="19"/>
          <w:lang w:val="en-US"/>
        </w:rPr>
        <w:t xml:space="preserve">political opponents and </w:t>
      </w:r>
      <w:r w:rsidR="00EC0BB8" w:rsidRPr="008F5DAB">
        <w:rPr>
          <w:rFonts w:ascii="Verdana" w:hAnsi="Verdana"/>
          <w:color w:val="000000" w:themeColor="text1"/>
          <w:sz w:val="19"/>
          <w:szCs w:val="19"/>
          <w:lang w:val="en-US"/>
        </w:rPr>
        <w:t>members of the</w:t>
      </w:r>
      <w:r w:rsidRPr="008F5DAB">
        <w:rPr>
          <w:rFonts w:ascii="Verdana" w:hAnsi="Verdana"/>
          <w:color w:val="000000" w:themeColor="text1"/>
          <w:sz w:val="19"/>
          <w:szCs w:val="19"/>
          <w:lang w:val="en-US"/>
        </w:rPr>
        <w:t xml:space="preserve"> judiciary</w:t>
      </w:r>
      <w:r w:rsidR="00EC0BB8" w:rsidRPr="008F5DAB">
        <w:rPr>
          <w:rFonts w:ascii="Verdana" w:hAnsi="Verdana"/>
          <w:color w:val="000000" w:themeColor="text1"/>
          <w:sz w:val="19"/>
          <w:szCs w:val="19"/>
          <w:lang w:val="en-US"/>
        </w:rPr>
        <w:t>;</w:t>
      </w:r>
      <w:r w:rsidR="00002C13" w:rsidRPr="008F5DAB">
        <w:rPr>
          <w:rFonts w:ascii="Verdana" w:hAnsi="Verdana"/>
          <w:color w:val="000000" w:themeColor="text1"/>
          <w:sz w:val="19"/>
          <w:szCs w:val="19"/>
          <w:lang w:val="en-US"/>
        </w:rPr>
        <w:t xml:space="preserve"> and</w:t>
      </w:r>
    </w:p>
    <w:p w14:paraId="593FD69E" w14:textId="4855A868" w:rsidR="00002C13" w:rsidRPr="007D4C86" w:rsidRDefault="00184FB2" w:rsidP="006454FE">
      <w:pPr>
        <w:pStyle w:val="ListParagraph"/>
        <w:numPr>
          <w:ilvl w:val="1"/>
          <w:numId w:val="7"/>
        </w:numPr>
        <w:snapToGrid w:val="0"/>
        <w:spacing w:beforeLines="120" w:before="288" w:after="0" w:line="240" w:lineRule="auto"/>
        <w:contextualSpacing w:val="0"/>
        <w:jc w:val="both"/>
        <w:rPr>
          <w:rFonts w:ascii="Verdana" w:hAnsi="Verdana"/>
          <w:sz w:val="19"/>
          <w:szCs w:val="19"/>
          <w:lang w:val="en-US"/>
        </w:rPr>
      </w:pPr>
      <w:r w:rsidRPr="008F5DAB">
        <w:rPr>
          <w:rFonts w:ascii="Verdana" w:hAnsi="Verdana"/>
          <w:sz w:val="19"/>
          <w:szCs w:val="19"/>
          <w:lang w:val="en-US"/>
        </w:rPr>
        <w:lastRenderedPageBreak/>
        <w:t>Article 19</w:t>
      </w:r>
      <w:r w:rsidR="00EC0BB8" w:rsidRPr="008F5DAB">
        <w:rPr>
          <w:rFonts w:ascii="Verdana" w:hAnsi="Verdana"/>
          <w:sz w:val="19"/>
          <w:szCs w:val="19"/>
          <w:lang w:val="en-US"/>
        </w:rPr>
        <w:t xml:space="preserve"> (1) and (3). By arbitrarily investigating and prosecuting members of the judiciary</w:t>
      </w:r>
      <w:r w:rsidR="1E93E833" w:rsidRPr="008F5DAB">
        <w:rPr>
          <w:rFonts w:ascii="Verdana" w:hAnsi="Verdana"/>
          <w:sz w:val="19"/>
          <w:szCs w:val="19"/>
          <w:lang w:val="en-US"/>
        </w:rPr>
        <w:t>, political opponents and lawyers</w:t>
      </w:r>
      <w:r w:rsidR="00EC0BB8" w:rsidRPr="008F5DAB">
        <w:rPr>
          <w:rFonts w:ascii="Verdana" w:hAnsi="Verdana"/>
          <w:sz w:val="19"/>
          <w:szCs w:val="19"/>
          <w:lang w:val="en-US"/>
        </w:rPr>
        <w:t xml:space="preserve"> under counter-terrorism provisions, Tunisia is unlawfully interfering with the</w:t>
      </w:r>
      <w:r w:rsidR="016F258E" w:rsidRPr="008F5DAB">
        <w:rPr>
          <w:rFonts w:ascii="Verdana" w:hAnsi="Verdana"/>
          <w:sz w:val="19"/>
          <w:szCs w:val="19"/>
          <w:lang w:val="en-US"/>
        </w:rPr>
        <w:t>ir</w:t>
      </w:r>
      <w:r w:rsidR="00EC0BB8" w:rsidRPr="008F5DAB">
        <w:rPr>
          <w:rFonts w:ascii="Verdana" w:hAnsi="Verdana"/>
          <w:sz w:val="19"/>
          <w:szCs w:val="19"/>
          <w:lang w:val="en-US"/>
        </w:rPr>
        <w:t xml:space="preserve"> right to express their opinions</w:t>
      </w:r>
      <w:r w:rsidR="00B950E0">
        <w:rPr>
          <w:rFonts w:ascii="Verdana" w:hAnsi="Verdana"/>
          <w:sz w:val="19"/>
          <w:szCs w:val="19"/>
          <w:lang w:val="en-US"/>
        </w:rPr>
        <w:t xml:space="preserve"> both in their professional and personal capacity</w:t>
      </w:r>
      <w:r w:rsidR="00D45EA0">
        <w:rPr>
          <w:rFonts w:ascii="Verdana" w:hAnsi="Verdana"/>
          <w:sz w:val="19"/>
          <w:szCs w:val="19"/>
          <w:lang w:val="en-US"/>
        </w:rPr>
        <w:t>.</w:t>
      </w:r>
    </w:p>
    <w:p w14:paraId="3FFB2B75" w14:textId="0D5C32AE" w:rsidR="00771CEF" w:rsidRPr="007D4C86" w:rsidRDefault="00771CEF" w:rsidP="007D4C86">
      <w:pPr>
        <w:snapToGrid w:val="0"/>
        <w:spacing w:beforeLines="120" w:before="288" w:after="0" w:line="240" w:lineRule="auto"/>
        <w:jc w:val="both"/>
        <w:rPr>
          <w:rFonts w:ascii="Verdana" w:eastAsia="Verdana" w:hAnsi="Verdana" w:cs="Verdana"/>
          <w:b/>
          <w:bCs/>
          <w:sz w:val="19"/>
          <w:szCs w:val="19"/>
        </w:rPr>
      </w:pPr>
      <w:r w:rsidRPr="007D4C86">
        <w:rPr>
          <w:rFonts w:ascii="Verdana" w:eastAsia="Verdana" w:hAnsi="Verdana" w:cs="Verdana"/>
          <w:b/>
          <w:bCs/>
          <w:sz w:val="19"/>
          <w:szCs w:val="19"/>
        </w:rPr>
        <w:t>Considering the above concerns, the Committee should recommend that Tunisia:</w:t>
      </w:r>
    </w:p>
    <w:p w14:paraId="796DB4F7" w14:textId="35E7218C" w:rsidR="00241738" w:rsidRPr="007D4C86" w:rsidRDefault="00241738" w:rsidP="007D4C86">
      <w:pPr>
        <w:pStyle w:val="ListParagraph"/>
        <w:numPr>
          <w:ilvl w:val="0"/>
          <w:numId w:val="19"/>
        </w:numPr>
        <w:snapToGrid w:val="0"/>
        <w:spacing w:beforeLines="120" w:before="288" w:after="0" w:line="240" w:lineRule="auto"/>
        <w:contextualSpacing w:val="0"/>
        <w:jc w:val="both"/>
        <w:rPr>
          <w:rFonts w:ascii="Verdana" w:hAnsi="Verdana"/>
          <w:b/>
          <w:bCs/>
          <w:sz w:val="19"/>
          <w:szCs w:val="19"/>
          <w:lang w:val="en-US"/>
        </w:rPr>
      </w:pPr>
      <w:r w:rsidRPr="008F5DAB">
        <w:rPr>
          <w:rFonts w:ascii="Verdana" w:hAnsi="Verdana"/>
          <w:b/>
          <w:bCs/>
          <w:sz w:val="19"/>
          <w:szCs w:val="19"/>
          <w:lang w:val="en-US"/>
        </w:rPr>
        <w:t xml:space="preserve">Revoke all presidential decrees that undermine the independence of the judiciary, including Decree-Laws 2022-11 and </w:t>
      </w:r>
      <w:proofErr w:type="gramStart"/>
      <w:r w:rsidRPr="008F5DAB">
        <w:rPr>
          <w:rFonts w:ascii="Verdana" w:hAnsi="Verdana"/>
          <w:b/>
          <w:bCs/>
          <w:sz w:val="19"/>
          <w:szCs w:val="19"/>
          <w:lang w:val="en-US"/>
        </w:rPr>
        <w:t>35</w:t>
      </w:r>
      <w:r w:rsidR="5A53308E" w:rsidRPr="008F5DAB">
        <w:rPr>
          <w:rFonts w:ascii="Verdana" w:hAnsi="Verdana"/>
          <w:b/>
          <w:bCs/>
          <w:sz w:val="19"/>
          <w:szCs w:val="19"/>
          <w:lang w:val="en-US"/>
        </w:rPr>
        <w:t>;</w:t>
      </w:r>
      <w:proofErr w:type="gramEnd"/>
    </w:p>
    <w:p w14:paraId="0328DB44" w14:textId="7EFEBD17" w:rsidR="6232D71D" w:rsidRPr="007D4C86" w:rsidRDefault="00002C13" w:rsidP="007D4C86">
      <w:pPr>
        <w:pStyle w:val="ListParagraph"/>
        <w:numPr>
          <w:ilvl w:val="0"/>
          <w:numId w:val="19"/>
        </w:numPr>
        <w:spacing w:beforeLines="120" w:before="288" w:after="0" w:line="240" w:lineRule="auto"/>
        <w:contextualSpacing w:val="0"/>
        <w:jc w:val="both"/>
        <w:rPr>
          <w:rFonts w:ascii="Verdana" w:hAnsi="Verdana"/>
          <w:b/>
          <w:bCs/>
          <w:sz w:val="19"/>
          <w:szCs w:val="19"/>
          <w:lang w:val="en-US"/>
        </w:rPr>
      </w:pPr>
      <w:r w:rsidRPr="008F5DAB">
        <w:rPr>
          <w:rFonts w:ascii="Verdana" w:hAnsi="Verdana"/>
          <w:b/>
          <w:bCs/>
          <w:sz w:val="19"/>
          <w:szCs w:val="19"/>
          <w:lang w:val="en-US"/>
        </w:rPr>
        <w:t>H</w:t>
      </w:r>
      <w:r w:rsidR="6232D71D" w:rsidRPr="008F5DAB">
        <w:rPr>
          <w:rFonts w:ascii="Verdana" w:hAnsi="Verdana"/>
          <w:b/>
          <w:bCs/>
          <w:sz w:val="19"/>
          <w:szCs w:val="19"/>
          <w:lang w:val="en-US"/>
        </w:rPr>
        <w:t xml:space="preserve">alt attacks on the judiciary as an institution and against individual </w:t>
      </w:r>
      <w:r w:rsidR="6232D71D" w:rsidRPr="007D4C86">
        <w:rPr>
          <w:rFonts w:ascii="Verdana" w:hAnsi="Verdana"/>
          <w:b/>
          <w:bCs/>
          <w:sz w:val="19"/>
          <w:szCs w:val="19"/>
          <w:lang w:val="en-US"/>
        </w:rPr>
        <w:t xml:space="preserve">judges, and ensure that judges be able to act independently and impartially in </w:t>
      </w:r>
      <w:proofErr w:type="spellStart"/>
      <w:r w:rsidR="6232D71D" w:rsidRPr="007D4C86">
        <w:rPr>
          <w:rFonts w:ascii="Verdana" w:hAnsi="Verdana"/>
          <w:b/>
          <w:bCs/>
          <w:sz w:val="19"/>
          <w:szCs w:val="19"/>
          <w:lang w:val="en-US"/>
        </w:rPr>
        <w:t>defence</w:t>
      </w:r>
      <w:proofErr w:type="spellEnd"/>
      <w:r w:rsidR="6232D71D" w:rsidRPr="007D4C86">
        <w:rPr>
          <w:rFonts w:ascii="Verdana" w:hAnsi="Verdana"/>
          <w:b/>
          <w:bCs/>
          <w:sz w:val="19"/>
          <w:szCs w:val="19"/>
          <w:lang w:val="en-US"/>
        </w:rPr>
        <w:t xml:space="preserve"> of the rule of law, the separation of powers and human </w:t>
      </w:r>
      <w:proofErr w:type="gramStart"/>
      <w:r w:rsidR="6232D71D" w:rsidRPr="007D4C86">
        <w:rPr>
          <w:rFonts w:ascii="Verdana" w:hAnsi="Verdana"/>
          <w:b/>
          <w:bCs/>
          <w:sz w:val="19"/>
          <w:szCs w:val="19"/>
          <w:lang w:val="en-US"/>
        </w:rPr>
        <w:t>rights;</w:t>
      </w:r>
      <w:proofErr w:type="gramEnd"/>
    </w:p>
    <w:p w14:paraId="07252F76" w14:textId="026C5FA0" w:rsidR="2FD6EC92" w:rsidRPr="007D4C86" w:rsidRDefault="00046A52" w:rsidP="007D4C86">
      <w:pPr>
        <w:pStyle w:val="ListParagraph"/>
        <w:numPr>
          <w:ilvl w:val="0"/>
          <w:numId w:val="19"/>
        </w:numPr>
        <w:spacing w:beforeLines="120" w:before="288" w:after="0" w:line="240" w:lineRule="auto"/>
        <w:contextualSpacing w:val="0"/>
        <w:jc w:val="both"/>
        <w:rPr>
          <w:rFonts w:ascii="Verdana" w:hAnsi="Verdana"/>
          <w:b/>
          <w:bCs/>
          <w:sz w:val="19"/>
          <w:szCs w:val="19"/>
          <w:lang w:val="en-US"/>
        </w:rPr>
      </w:pPr>
      <w:r w:rsidRPr="008F5DAB">
        <w:rPr>
          <w:rFonts w:ascii="Verdana" w:hAnsi="Verdana"/>
          <w:b/>
          <w:bCs/>
          <w:sz w:val="19"/>
          <w:szCs w:val="19"/>
          <w:lang w:val="en-US"/>
        </w:rPr>
        <w:t>Stop abusing “</w:t>
      </w:r>
      <w:proofErr w:type="gramStart"/>
      <w:r w:rsidRPr="008F5DAB">
        <w:rPr>
          <w:rFonts w:ascii="Verdana" w:hAnsi="Verdana"/>
          <w:b/>
          <w:bCs/>
          <w:sz w:val="19"/>
          <w:szCs w:val="19"/>
          <w:lang w:val="en-US"/>
        </w:rPr>
        <w:t>counter-terrorism</w:t>
      </w:r>
      <w:proofErr w:type="gramEnd"/>
      <w:r w:rsidRPr="008F5DAB">
        <w:rPr>
          <w:rFonts w:ascii="Verdana" w:hAnsi="Verdana"/>
          <w:b/>
          <w:bCs/>
          <w:sz w:val="19"/>
          <w:szCs w:val="19"/>
          <w:lang w:val="en-US"/>
        </w:rPr>
        <w:t>” legislation for the purpose of arbitrarily prosecuting and detaining dissidents</w:t>
      </w:r>
      <w:r w:rsidR="003A0FCA" w:rsidRPr="008F5DAB">
        <w:rPr>
          <w:rFonts w:ascii="Verdana" w:hAnsi="Verdana"/>
          <w:b/>
          <w:bCs/>
          <w:sz w:val="19"/>
          <w:szCs w:val="19"/>
          <w:lang w:val="en-US"/>
        </w:rPr>
        <w:t xml:space="preserve"> or independent judges</w:t>
      </w:r>
      <w:r w:rsidRPr="008F5DAB">
        <w:rPr>
          <w:rFonts w:ascii="Verdana" w:hAnsi="Verdana"/>
          <w:b/>
          <w:bCs/>
          <w:sz w:val="19"/>
          <w:szCs w:val="19"/>
          <w:lang w:val="en-US"/>
        </w:rPr>
        <w:t xml:space="preserve"> and, in particular, d</w:t>
      </w:r>
      <w:r w:rsidR="2FD6EC92" w:rsidRPr="008F5DAB">
        <w:rPr>
          <w:rFonts w:ascii="Verdana" w:hAnsi="Verdana"/>
          <w:b/>
          <w:bCs/>
          <w:sz w:val="19"/>
          <w:szCs w:val="19"/>
          <w:lang w:val="en-US"/>
        </w:rPr>
        <w:t xml:space="preserve">rop all charges against anyone being prosecuted </w:t>
      </w:r>
      <w:r w:rsidR="2FD6EC92" w:rsidRPr="007D4C86">
        <w:rPr>
          <w:rFonts w:ascii="Verdana" w:hAnsi="Verdana"/>
          <w:b/>
          <w:bCs/>
          <w:sz w:val="19"/>
          <w:szCs w:val="19"/>
          <w:lang w:val="en-US"/>
        </w:rPr>
        <w:t xml:space="preserve">for the legitimate exercise of their freedom of expression and provide reparation for the harm suffered as a result of such arbitrary prosecution and, as applicable, </w:t>
      </w:r>
      <w:r w:rsidR="00FB6227" w:rsidRPr="008F5DAB">
        <w:rPr>
          <w:rFonts w:ascii="Verdana" w:hAnsi="Verdana"/>
          <w:b/>
          <w:bCs/>
          <w:sz w:val="19"/>
          <w:szCs w:val="19"/>
          <w:lang w:val="en-US"/>
        </w:rPr>
        <w:t>arbitrary</w:t>
      </w:r>
      <w:r w:rsidR="2FD6EC92" w:rsidRPr="007D4C86">
        <w:rPr>
          <w:rFonts w:ascii="Verdana" w:hAnsi="Verdana"/>
          <w:b/>
          <w:bCs/>
          <w:sz w:val="19"/>
          <w:szCs w:val="19"/>
          <w:lang w:val="en-US"/>
        </w:rPr>
        <w:t xml:space="preserve"> detention</w:t>
      </w:r>
      <w:r w:rsidR="003A0FCA" w:rsidRPr="008F5DAB">
        <w:rPr>
          <w:rFonts w:ascii="Verdana" w:hAnsi="Verdana"/>
          <w:b/>
          <w:bCs/>
          <w:sz w:val="19"/>
          <w:szCs w:val="19"/>
          <w:lang w:val="en-US"/>
        </w:rPr>
        <w:t>.</w:t>
      </w:r>
      <w:r w:rsidR="2FD6EC92" w:rsidRPr="007D4C86">
        <w:rPr>
          <w:rFonts w:ascii="Verdana" w:hAnsi="Verdana"/>
          <w:b/>
          <w:bCs/>
          <w:sz w:val="19"/>
          <w:szCs w:val="19"/>
          <w:lang w:val="en-US"/>
        </w:rPr>
        <w:t xml:space="preserve"> </w:t>
      </w:r>
    </w:p>
    <w:p w14:paraId="396C4204" w14:textId="55AEE128" w:rsidR="00A26603" w:rsidRPr="002B068C" w:rsidRDefault="00A26603" w:rsidP="00A77672">
      <w:pPr>
        <w:pStyle w:val="Default"/>
        <w:spacing w:beforeLines="120" w:before="288" w:after="0" w:line="240" w:lineRule="auto"/>
        <w:rPr>
          <w:rFonts w:ascii="Verdana" w:eastAsia="Verdana" w:hAnsi="Verdana" w:cs="Verdana"/>
          <w:sz w:val="18"/>
          <w:szCs w:val="18"/>
        </w:rPr>
      </w:pPr>
    </w:p>
    <w:sectPr w:rsidR="00A26603" w:rsidRPr="002B068C" w:rsidSect="002C0ECF">
      <w:headerReference w:type="default" r:id="rId12"/>
      <w:footerReference w:type="even" r:id="rId13"/>
      <w:footerReference w:type="default" r:id="rId14"/>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9F777" w14:textId="77777777" w:rsidR="009732B8" w:rsidRDefault="009732B8">
      <w:pPr>
        <w:spacing w:after="0" w:line="240" w:lineRule="auto"/>
      </w:pPr>
      <w:r>
        <w:separator/>
      </w:r>
    </w:p>
  </w:endnote>
  <w:endnote w:type="continuationSeparator" w:id="0">
    <w:p w14:paraId="1A99EA47" w14:textId="77777777" w:rsidR="009732B8" w:rsidRDefault="009732B8">
      <w:pPr>
        <w:spacing w:after="0" w:line="240" w:lineRule="auto"/>
      </w:pPr>
      <w:r>
        <w:continuationSeparator/>
      </w:r>
    </w:p>
  </w:endnote>
  <w:endnote w:type="continuationNotice" w:id="1">
    <w:p w14:paraId="089A09C1" w14:textId="77777777" w:rsidR="009732B8" w:rsidRDefault="009732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0A6F2" w14:textId="46F4B4A3" w:rsidR="00FE0F13" w:rsidRDefault="00FE0F13" w:rsidP="002C0EC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10AC7A68" w14:textId="77777777" w:rsidR="00FE0F13" w:rsidRDefault="00FE0F13" w:rsidP="00EA21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4498344"/>
      <w:docPartObj>
        <w:docPartGallery w:val="Page Numbers (Bottom of Page)"/>
        <w:docPartUnique/>
      </w:docPartObj>
    </w:sdtPr>
    <w:sdtContent>
      <w:p w14:paraId="4EE1E57B" w14:textId="20ACD4D1" w:rsidR="00FE0F13" w:rsidRDefault="00FE0F13" w:rsidP="002C0ECF">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096D80">
          <w:rPr>
            <w:rStyle w:val="PageNumber"/>
            <w:noProof/>
          </w:rPr>
          <w:t>9</w:t>
        </w:r>
        <w:r>
          <w:rPr>
            <w:rStyle w:val="PageNumber"/>
          </w:rPr>
          <w:fldChar w:fldCharType="end"/>
        </w:r>
      </w:p>
    </w:sdtContent>
  </w:sdt>
  <w:p w14:paraId="2E1F3D5B" w14:textId="7B97D0CD" w:rsidR="00FE0F13" w:rsidRDefault="00FE0F13" w:rsidP="00EA21F3">
    <w:pPr>
      <w:pStyle w:val="Footer"/>
      <w:framePr w:wrap="none" w:vAnchor="text" w:hAnchor="margin" w:xAlign="center" w:y="1"/>
      <w:ind w:right="360"/>
      <w:rPr>
        <w:rStyle w:val="PageNumber"/>
      </w:rPr>
    </w:pPr>
  </w:p>
  <w:tbl>
    <w:tblPr>
      <w:tblW w:w="0" w:type="auto"/>
      <w:tblLayout w:type="fixed"/>
      <w:tblLook w:val="06A0" w:firstRow="1" w:lastRow="0" w:firstColumn="1" w:lastColumn="0" w:noHBand="1" w:noVBand="1"/>
    </w:tblPr>
    <w:tblGrid>
      <w:gridCol w:w="3005"/>
      <w:gridCol w:w="3005"/>
      <w:gridCol w:w="3005"/>
    </w:tblGrid>
    <w:tr w:rsidR="00FE0F13" w14:paraId="48422BB6" w14:textId="77777777" w:rsidTr="622A1CA5">
      <w:trPr>
        <w:trHeight w:val="300"/>
      </w:trPr>
      <w:tc>
        <w:tcPr>
          <w:tcW w:w="3005" w:type="dxa"/>
        </w:tcPr>
        <w:p w14:paraId="41E9D99B" w14:textId="0DC2F109" w:rsidR="00FE0F13" w:rsidRDefault="00FE0F13" w:rsidP="002C0ECF">
          <w:pPr>
            <w:pStyle w:val="Header"/>
            <w:ind w:left="-115"/>
            <w:jc w:val="right"/>
          </w:pPr>
        </w:p>
      </w:tc>
      <w:tc>
        <w:tcPr>
          <w:tcW w:w="3005" w:type="dxa"/>
        </w:tcPr>
        <w:p w14:paraId="237A9C39" w14:textId="6CCA86FB" w:rsidR="00FE0F13" w:rsidRDefault="00FE0F13" w:rsidP="622A1CA5">
          <w:pPr>
            <w:pStyle w:val="Header"/>
            <w:jc w:val="center"/>
          </w:pPr>
        </w:p>
      </w:tc>
      <w:tc>
        <w:tcPr>
          <w:tcW w:w="3005" w:type="dxa"/>
        </w:tcPr>
        <w:p w14:paraId="26E64F32" w14:textId="21783EAB" w:rsidR="00FE0F13" w:rsidRDefault="00FE0F13" w:rsidP="622A1CA5">
          <w:pPr>
            <w:pStyle w:val="Header"/>
            <w:ind w:right="-115"/>
            <w:jc w:val="right"/>
          </w:pPr>
        </w:p>
      </w:tc>
    </w:tr>
  </w:tbl>
  <w:p w14:paraId="246C9B68" w14:textId="70E22362" w:rsidR="00FE0F13" w:rsidRDefault="00FE0F13" w:rsidP="622A1C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D59F0" w14:textId="77777777" w:rsidR="009732B8" w:rsidRDefault="009732B8">
      <w:pPr>
        <w:spacing w:after="0" w:line="240" w:lineRule="auto"/>
      </w:pPr>
      <w:r>
        <w:separator/>
      </w:r>
    </w:p>
  </w:footnote>
  <w:footnote w:type="continuationSeparator" w:id="0">
    <w:p w14:paraId="70AEDD24" w14:textId="77777777" w:rsidR="009732B8" w:rsidRDefault="009732B8">
      <w:pPr>
        <w:spacing w:after="0" w:line="240" w:lineRule="auto"/>
      </w:pPr>
      <w:r>
        <w:continuationSeparator/>
      </w:r>
    </w:p>
  </w:footnote>
  <w:footnote w:type="continuationNotice" w:id="1">
    <w:p w14:paraId="1DEE97B9" w14:textId="77777777" w:rsidR="009732B8" w:rsidRDefault="009732B8">
      <w:pPr>
        <w:spacing w:after="0" w:line="240" w:lineRule="auto"/>
      </w:pPr>
    </w:p>
  </w:footnote>
  <w:footnote w:id="2">
    <w:p w14:paraId="47A7F9BB" w14:textId="29FA6500" w:rsidR="00FE0F13" w:rsidRPr="00D45EA0" w:rsidRDefault="00FE0F13" w:rsidP="003317FF">
      <w:pPr>
        <w:pStyle w:val="NormalWeb"/>
        <w:spacing w:after="0" w:afterAutospacing="0"/>
        <w:ind w:left="284" w:hanging="284"/>
        <w:rPr>
          <w:rFonts w:ascii="Verdana" w:hAnsi="Verdana"/>
          <w:sz w:val="16"/>
          <w:szCs w:val="16"/>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ICJ, Submission of the International Commission of Jurists to the UN Human Rights Committee in view of the Committee’s examination of Tunisia’s sixth periodic report under article 40 of the International Covenant on Civil and Political Rights, 3 February 2020, available at </w:t>
      </w:r>
      <w:hyperlink r:id="rId1" w:history="1">
        <w:r w:rsidRPr="00D45EA0">
          <w:rPr>
            <w:rStyle w:val="Hyperlink"/>
            <w:rFonts w:ascii="Verdana" w:hAnsi="Verdana"/>
            <w:sz w:val="16"/>
            <w:szCs w:val="16"/>
            <w:lang w:val="en-US"/>
          </w:rPr>
          <w:t>https://tbinternet.ohchr.org/_layouts/15/treatybodyexternal/SessionDetails1.aspx?SessionID=1371&amp;Lang=en</w:t>
        </w:r>
      </w:hyperlink>
      <w:r w:rsidRPr="00D45EA0">
        <w:rPr>
          <w:rFonts w:ascii="Verdana" w:hAnsi="Verdana"/>
          <w:sz w:val="16"/>
          <w:szCs w:val="16"/>
          <w:lang w:val="en-US"/>
        </w:rPr>
        <w:t>.</w:t>
      </w:r>
      <w:r w:rsidRPr="00D45EA0">
        <w:rPr>
          <w:rFonts w:ascii="Verdana" w:hAnsi="Verdana"/>
          <w:b/>
          <w:bCs/>
          <w:sz w:val="16"/>
          <w:szCs w:val="16"/>
        </w:rPr>
        <w:t xml:space="preserve"> </w:t>
      </w:r>
    </w:p>
  </w:footnote>
  <w:footnote w:id="3">
    <w:p w14:paraId="2E823B20" w14:textId="08524F21" w:rsidR="00FE0F13" w:rsidRPr="00D45EA0" w:rsidRDefault="00FE0F13"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United Nations Human Rights Committee, UN Doc. CCPR/C/TUN/CO/6, para. 54, available at </w:t>
      </w:r>
      <w:hyperlink r:id="rId2" w:history="1">
        <w:r w:rsidRPr="00D45EA0">
          <w:rPr>
            <w:rStyle w:val="Hyperlink"/>
            <w:rFonts w:ascii="Verdana" w:hAnsi="Verdana"/>
            <w:sz w:val="16"/>
            <w:szCs w:val="16"/>
            <w:lang w:val="en-US"/>
          </w:rPr>
          <w:t>https://tbinternet.ohchr.org/_layouts/15/treatybodyexternal/Download.aspx?symbolno=CCPR%2FC%2FTUN%2FCO%2F6&amp;Lang=en</w:t>
        </w:r>
      </w:hyperlink>
      <w:r w:rsidRPr="00D45EA0">
        <w:rPr>
          <w:rFonts w:ascii="Verdana" w:hAnsi="Verdana"/>
          <w:sz w:val="16"/>
          <w:szCs w:val="16"/>
          <w:lang w:val="en-US"/>
        </w:rPr>
        <w:t xml:space="preserve">. </w:t>
      </w:r>
    </w:p>
  </w:footnote>
  <w:footnote w:id="4">
    <w:p w14:paraId="4C2D9B6A" w14:textId="2E313B25" w:rsidR="006F634F" w:rsidRPr="00D45EA0" w:rsidRDefault="006F634F"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United Nations Human Rights Committee, Information received from Tunisia on follow-up to the concluding observations on its sixth periodic report, 4 April 2022, available at: </w:t>
      </w:r>
      <w:hyperlink r:id="rId3" w:history="1">
        <w:r w:rsidRPr="00D45EA0">
          <w:rPr>
            <w:rStyle w:val="Hyperlink"/>
            <w:rFonts w:ascii="Verdana" w:hAnsi="Verdana"/>
            <w:sz w:val="16"/>
            <w:szCs w:val="16"/>
            <w:lang w:val="en-US"/>
          </w:rPr>
          <w:t>https://docstore.ohchr.org/SelfServices/FilesHandler.ashx?enc=6QkG1d%2FPPRiCAqhKb7yhshmKtQJn68GxgXXTdAYdq%2FuxzvdQ2iI3zTm0LvdWHhYzM</w:t>
        </w:r>
        <w:r w:rsidRPr="00D45EA0">
          <w:rPr>
            <w:rStyle w:val="Hyperlink"/>
            <w:rFonts w:ascii="Verdana" w:hAnsi="Verdana"/>
            <w:sz w:val="16"/>
            <w:szCs w:val="16"/>
            <w:lang w:val="en-US"/>
          </w:rPr>
          <w:t>H</w:t>
        </w:r>
        <w:r w:rsidRPr="00D45EA0">
          <w:rPr>
            <w:rStyle w:val="Hyperlink"/>
            <w:rFonts w:ascii="Verdana" w:hAnsi="Verdana"/>
            <w:sz w:val="16"/>
            <w:szCs w:val="16"/>
            <w:lang w:val="en-US"/>
          </w:rPr>
          <w:t>C2%2BraKp5DTxq5eIpIs9CB7X%2FGrKBRE0NbD0zgUxKAnpIcO5fKph3JsiWbXRdlI</w:t>
        </w:r>
      </w:hyperlink>
      <w:r w:rsidRPr="00D45EA0">
        <w:rPr>
          <w:rFonts w:ascii="Verdana" w:hAnsi="Verdana"/>
          <w:sz w:val="16"/>
          <w:szCs w:val="16"/>
          <w:lang w:val="en-US"/>
        </w:rPr>
        <w:t xml:space="preserve">. </w:t>
      </w:r>
    </w:p>
  </w:footnote>
  <w:footnote w:id="5">
    <w:p w14:paraId="3107243C" w14:textId="721A53C6" w:rsidR="00FE0F13" w:rsidRPr="00D45EA0" w:rsidRDefault="00FE0F13"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Constitution of Tunisia 2014, article 148(5).</w:t>
      </w:r>
    </w:p>
  </w:footnote>
  <w:footnote w:id="6">
    <w:p w14:paraId="7DD2D1F6" w14:textId="3100984C" w:rsidR="00FE0F13" w:rsidRPr="00D45EA0" w:rsidRDefault="00FE0F13" w:rsidP="003317FF">
      <w:pPr>
        <w:pStyle w:val="FootnoteText"/>
        <w:ind w:left="284" w:hanging="284"/>
        <w:contextualSpacing/>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Inkyfada, Without a Constitutional Court “we have no defence against authoritarianism”,  29 July 2021, available at: </w:t>
      </w:r>
      <w:hyperlink r:id="rId4" w:history="1">
        <w:r w:rsidRPr="00D45EA0">
          <w:rPr>
            <w:rStyle w:val="Hyperlink"/>
            <w:rFonts w:ascii="Verdana" w:hAnsi="Verdana"/>
            <w:sz w:val="16"/>
            <w:szCs w:val="16"/>
          </w:rPr>
          <w:t>https://inkyfada.com/en/2021/07/29/constitutinal-court-delay-kais-saied-tunisia/</w:t>
        </w:r>
      </w:hyperlink>
      <w:r w:rsidRPr="00D45EA0">
        <w:rPr>
          <w:rFonts w:ascii="Verdana" w:hAnsi="Verdana"/>
          <w:sz w:val="16"/>
          <w:szCs w:val="16"/>
        </w:rPr>
        <w:t xml:space="preserve">. </w:t>
      </w:r>
    </w:p>
  </w:footnote>
  <w:footnote w:id="7">
    <w:p w14:paraId="2E1E4556" w14:textId="009C7DCB" w:rsidR="00FE0F13" w:rsidRPr="00D45EA0" w:rsidRDefault="00FE0F13"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ICJ, Tunisia: President’s power grab is an assault on the rule of law, 26 July 2021: </w:t>
      </w:r>
      <w:hyperlink r:id="rId5" w:history="1">
        <w:r w:rsidRPr="00D45EA0">
          <w:rPr>
            <w:rStyle w:val="Hyperlink"/>
            <w:rFonts w:ascii="Verdana" w:hAnsi="Verdana"/>
            <w:sz w:val="16"/>
            <w:szCs w:val="16"/>
          </w:rPr>
          <w:t>https://www.icj.org/tunisia-presidents-power-grab-is-an-assault-on-the-rule-of-law/</w:t>
        </w:r>
      </w:hyperlink>
      <w:r w:rsidRPr="00D45EA0">
        <w:rPr>
          <w:rFonts w:ascii="Verdana" w:hAnsi="Verdana"/>
          <w:sz w:val="16"/>
          <w:szCs w:val="16"/>
          <w:lang w:val="en-US"/>
        </w:rPr>
        <w:t>.</w:t>
      </w:r>
    </w:p>
  </w:footnote>
  <w:footnote w:id="8">
    <w:p w14:paraId="5593BD05" w14:textId="1BC8FC24" w:rsidR="00FE0F13" w:rsidRPr="00D45EA0" w:rsidRDefault="00FE0F13"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ICJ, Fundamentally flawed: Tunisia’s 2022 constitution-making process, June 2022, available at: </w:t>
      </w:r>
      <w:hyperlink r:id="rId6" w:history="1">
        <w:r w:rsidRPr="00D45EA0">
          <w:rPr>
            <w:rStyle w:val="Hyperlink"/>
            <w:rFonts w:ascii="Verdana" w:hAnsi="Verdana"/>
            <w:sz w:val="16"/>
            <w:szCs w:val="16"/>
            <w:lang w:val="en-US"/>
          </w:rPr>
          <w:t>https://icj2.wpenginepowered.com/wp-content/uploads/2022/07/Tunisia-draft-constitution-question-and-answer-briefing-2022-ENG.pdf</w:t>
        </w:r>
      </w:hyperlink>
      <w:r w:rsidRPr="00D45EA0">
        <w:rPr>
          <w:rFonts w:ascii="Verdana" w:hAnsi="Verdana"/>
          <w:sz w:val="16"/>
          <w:szCs w:val="16"/>
          <w:lang w:val="en-US"/>
        </w:rPr>
        <w:t xml:space="preserve">.  </w:t>
      </w:r>
    </w:p>
  </w:footnote>
  <w:footnote w:id="9">
    <w:p w14:paraId="6AAEB6B0" w14:textId="31ED5546" w:rsidR="00FE0F13" w:rsidRPr="00D45EA0" w:rsidRDefault="00FE0F13" w:rsidP="003317FF">
      <w:pPr>
        <w:pStyle w:val="FootnoteText"/>
        <w:ind w:left="284" w:hanging="284"/>
        <w:rPr>
          <w:rFonts w:ascii="Verdana" w:hAnsi="Verdana"/>
          <w:sz w:val="16"/>
          <w:szCs w:val="16"/>
        </w:rPr>
      </w:pPr>
      <w:r w:rsidRPr="00D45EA0">
        <w:rPr>
          <w:rStyle w:val="FootnoteReference"/>
          <w:rFonts w:ascii="Verdana" w:hAnsi="Verdana"/>
          <w:sz w:val="16"/>
          <w:szCs w:val="16"/>
        </w:rPr>
        <w:footnoteRef/>
      </w:r>
      <w:r w:rsidRPr="00D45EA0">
        <w:rPr>
          <w:rFonts w:ascii="Verdana" w:hAnsi="Verdana"/>
          <w:sz w:val="16"/>
          <w:szCs w:val="16"/>
        </w:rPr>
        <w:t xml:space="preserve"> ICJ, Legal Commentary to the ICJ Geneva Declaration: Upholding the Rule of Law and the Role of Judges and Lawyers in Times of Crisis, 2011, p. xvi-xvii, available at: </w:t>
      </w:r>
      <w:hyperlink r:id="rId7" w:history="1">
        <w:r w:rsidRPr="00D45EA0">
          <w:rPr>
            <w:rStyle w:val="Hyperlink"/>
            <w:rFonts w:ascii="Verdana" w:hAnsi="Verdana"/>
            <w:sz w:val="16"/>
            <w:szCs w:val="16"/>
          </w:rPr>
          <w:t>https://www.icj.org/wp-content/uploads/2011/05/ICJ-genevadeclaration-publication-2011.pdf</w:t>
        </w:r>
      </w:hyperlink>
      <w:r w:rsidRPr="00D45EA0">
        <w:rPr>
          <w:rFonts w:ascii="Verdana" w:hAnsi="Verdana"/>
          <w:sz w:val="16"/>
          <w:szCs w:val="16"/>
        </w:rPr>
        <w:t>.</w:t>
      </w:r>
    </w:p>
  </w:footnote>
  <w:footnote w:id="10">
    <w:p w14:paraId="0547B890" w14:textId="0F241562" w:rsidR="00FE0F13" w:rsidRPr="00D45EA0" w:rsidRDefault="00FE0F13"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African Court of Human and Peoples’ Rights, Application 017/2021, </w:t>
      </w:r>
      <w:proofErr w:type="spellStart"/>
      <w:r w:rsidRPr="00D45EA0">
        <w:rPr>
          <w:rFonts w:ascii="Verdana" w:hAnsi="Verdana"/>
          <w:i/>
          <w:iCs/>
          <w:sz w:val="16"/>
          <w:szCs w:val="16"/>
        </w:rPr>
        <w:t>Brahim</w:t>
      </w:r>
      <w:proofErr w:type="spellEnd"/>
      <w:r w:rsidRPr="00D45EA0">
        <w:rPr>
          <w:rFonts w:ascii="Verdana" w:hAnsi="Verdana"/>
          <w:i/>
          <w:iCs/>
          <w:sz w:val="16"/>
          <w:szCs w:val="16"/>
        </w:rPr>
        <w:t xml:space="preserve"> Ben Mohammed Ben </w:t>
      </w:r>
      <w:proofErr w:type="spellStart"/>
      <w:r w:rsidRPr="00D45EA0">
        <w:rPr>
          <w:rFonts w:ascii="Verdana" w:hAnsi="Verdana"/>
          <w:i/>
          <w:iCs/>
          <w:sz w:val="16"/>
          <w:szCs w:val="16"/>
        </w:rPr>
        <w:t>Brahim</w:t>
      </w:r>
      <w:proofErr w:type="spellEnd"/>
      <w:r w:rsidRPr="00D45EA0">
        <w:rPr>
          <w:rFonts w:ascii="Verdana" w:hAnsi="Verdana"/>
          <w:i/>
          <w:iCs/>
          <w:sz w:val="16"/>
          <w:szCs w:val="16"/>
        </w:rPr>
        <w:t xml:space="preserve"> </w:t>
      </w:r>
      <w:proofErr w:type="spellStart"/>
      <w:r w:rsidRPr="00D45EA0">
        <w:rPr>
          <w:rFonts w:ascii="Verdana" w:hAnsi="Verdana"/>
          <w:i/>
          <w:iCs/>
          <w:sz w:val="16"/>
          <w:szCs w:val="16"/>
        </w:rPr>
        <w:t>Belguith</w:t>
      </w:r>
      <w:proofErr w:type="spellEnd"/>
      <w:r w:rsidRPr="00D45EA0">
        <w:rPr>
          <w:rFonts w:ascii="Verdana" w:hAnsi="Verdana"/>
          <w:i/>
          <w:iCs/>
          <w:sz w:val="16"/>
          <w:szCs w:val="16"/>
        </w:rPr>
        <w:t xml:space="preserve"> v. Republic of Tunisia,</w:t>
      </w:r>
      <w:r w:rsidRPr="00D45EA0">
        <w:rPr>
          <w:rFonts w:ascii="Verdana" w:hAnsi="Verdana"/>
          <w:sz w:val="16"/>
          <w:szCs w:val="16"/>
        </w:rPr>
        <w:t xml:space="preserve"> 22 September 2022, available at: </w:t>
      </w:r>
      <w:hyperlink r:id="rId8" w:history="1">
        <w:r w:rsidRPr="00D45EA0">
          <w:rPr>
            <w:rStyle w:val="Hyperlink"/>
            <w:rFonts w:ascii="Verdana" w:hAnsi="Verdana"/>
            <w:sz w:val="16"/>
            <w:szCs w:val="16"/>
          </w:rPr>
          <w:t>https://www.african-court.org/cpmt/details-case/0172021</w:t>
        </w:r>
      </w:hyperlink>
      <w:r w:rsidRPr="00D45EA0">
        <w:rPr>
          <w:rFonts w:ascii="Verdana" w:hAnsi="Verdana"/>
          <w:sz w:val="16"/>
          <w:szCs w:val="16"/>
        </w:rPr>
        <w:t>.</w:t>
      </w:r>
    </w:p>
  </w:footnote>
  <w:footnote w:id="11">
    <w:p w14:paraId="49C253D2" w14:textId="20638D86" w:rsidR="00FE0F13" w:rsidRPr="00D45EA0" w:rsidRDefault="00FE0F13" w:rsidP="003317FF">
      <w:pPr>
        <w:pStyle w:val="FootnoteText"/>
        <w:ind w:left="284" w:hanging="284"/>
        <w:contextualSpacing/>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United Nations Human Rights Committee, UN Doc. CCPR/C/TUN/CO/6, supra note 2, para. 31(b). </w:t>
      </w:r>
    </w:p>
  </w:footnote>
  <w:footnote w:id="12">
    <w:p w14:paraId="4612D3AC" w14:textId="41C6988B" w:rsidR="00FE0F13" w:rsidRPr="00D45EA0" w:rsidRDefault="00FE0F13" w:rsidP="003317FF">
      <w:pPr>
        <w:pStyle w:val="FootnoteText"/>
        <w:ind w:left="284" w:hanging="284"/>
        <w:contextualSpacing/>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Meeting between President Kais Saied and the President of the HJC on 4 October 2021, available at: </w:t>
      </w:r>
      <w:hyperlink r:id="rId9" w:history="1">
        <w:r w:rsidRPr="00D45EA0">
          <w:rPr>
            <w:rStyle w:val="Hyperlink"/>
            <w:rFonts w:ascii="Verdana" w:hAnsi="Verdana"/>
            <w:sz w:val="16"/>
            <w:szCs w:val="16"/>
          </w:rPr>
          <w:t>https://www.youtube.com/watch?v=aASeWtHj25Q&amp;ab_channel=WataniaReplay</w:t>
        </w:r>
      </w:hyperlink>
      <w:r w:rsidRPr="00D45EA0">
        <w:rPr>
          <w:rFonts w:ascii="Verdana" w:hAnsi="Verdana"/>
          <w:sz w:val="16"/>
          <w:szCs w:val="16"/>
          <w:lang w:val="en-US"/>
        </w:rPr>
        <w:t>. See also:</w:t>
      </w:r>
      <w:r w:rsidRPr="00D45EA0">
        <w:rPr>
          <w:rFonts w:ascii="Verdana" w:eastAsia="Times New Roman" w:hAnsi="Verdana" w:cs="Times New Roman"/>
          <w:color w:val="1B2937"/>
          <w:kern w:val="36"/>
          <w:sz w:val="16"/>
          <w:szCs w:val="16"/>
        </w:rPr>
        <w:t xml:space="preserve"> Meeting between President Kais Saied and members of the HJC on 6 December 2021, available at:</w:t>
      </w:r>
      <w:r w:rsidRPr="00D45EA0">
        <w:rPr>
          <w:rFonts w:ascii="Verdana" w:hAnsi="Verdana"/>
          <w:sz w:val="16"/>
          <w:szCs w:val="16"/>
          <w:lang w:val="en-US"/>
        </w:rPr>
        <w:t xml:space="preserve"> </w:t>
      </w:r>
      <w:hyperlink r:id="rId10" w:history="1">
        <w:r w:rsidRPr="00D45EA0">
          <w:rPr>
            <w:rStyle w:val="Hyperlink"/>
            <w:rFonts w:ascii="Verdana" w:hAnsi="Verdana"/>
            <w:sz w:val="16"/>
            <w:szCs w:val="16"/>
          </w:rPr>
          <w:t>https://www.facebook.com/watch/?v=897148007667462</w:t>
        </w:r>
      </w:hyperlink>
      <w:r w:rsidRPr="00D45EA0">
        <w:rPr>
          <w:rFonts w:ascii="Verdana" w:hAnsi="Verdana"/>
          <w:sz w:val="16"/>
          <w:szCs w:val="16"/>
          <w:lang w:val="en-US"/>
        </w:rPr>
        <w:t>.</w:t>
      </w:r>
    </w:p>
  </w:footnote>
  <w:footnote w:id="13">
    <w:p w14:paraId="675DA3ED" w14:textId="77777777" w:rsidR="00FE0F13" w:rsidRPr="00D45EA0" w:rsidRDefault="00FE0F13" w:rsidP="003317FF">
      <w:pPr>
        <w:pStyle w:val="FootnoteText"/>
        <w:ind w:left="284" w:hanging="284"/>
        <w:contextualSpacing/>
        <w:rPr>
          <w:rFonts w:ascii="Verdana" w:hAnsi="Verdana"/>
          <w:sz w:val="16"/>
          <w:szCs w:val="16"/>
        </w:rPr>
      </w:pPr>
      <w:r w:rsidRPr="00D45EA0">
        <w:rPr>
          <w:rStyle w:val="FootnoteReference"/>
          <w:rFonts w:ascii="Verdana" w:hAnsi="Verdana"/>
          <w:sz w:val="16"/>
          <w:szCs w:val="16"/>
        </w:rPr>
        <w:footnoteRef/>
      </w:r>
      <w:r w:rsidRPr="00D45EA0">
        <w:rPr>
          <w:rFonts w:ascii="Verdana" w:hAnsi="Verdana"/>
          <w:sz w:val="16"/>
          <w:szCs w:val="16"/>
        </w:rPr>
        <w:t xml:space="preserve"> In the Tunisian justice system, both judges and prosecutors form part of the judiciary and are called “magistrates”, all being subject to Law 67-29 of 14 July 1967 on the organization of the judiciary and the statute of magistrates. They have a similar status, except in terms of hierarchy, and may move from one position to the other.</w:t>
      </w:r>
    </w:p>
  </w:footnote>
  <w:footnote w:id="14">
    <w:p w14:paraId="5B4F39C3" w14:textId="2032AFB8" w:rsidR="00FE0F13" w:rsidRPr="00D45EA0" w:rsidRDefault="00FE0F13" w:rsidP="003317FF">
      <w:pPr>
        <w:pStyle w:val="FootnoteText"/>
        <w:ind w:left="284" w:hanging="284"/>
        <w:rPr>
          <w:rFonts w:ascii="Verdana" w:hAnsi="Verdana"/>
          <w:sz w:val="16"/>
          <w:szCs w:val="16"/>
          <w:lang w:val="fr-FR"/>
        </w:rPr>
      </w:pPr>
      <w:r w:rsidRPr="00D45EA0">
        <w:rPr>
          <w:rStyle w:val="FootnoteReference"/>
          <w:rFonts w:ascii="Verdana" w:hAnsi="Verdana"/>
          <w:sz w:val="16"/>
          <w:szCs w:val="16"/>
        </w:rPr>
        <w:footnoteRef/>
      </w:r>
      <w:r w:rsidRPr="00D45EA0">
        <w:rPr>
          <w:rFonts w:ascii="Verdana" w:hAnsi="Verdana"/>
          <w:sz w:val="16"/>
          <w:szCs w:val="16"/>
          <w:lang w:val="fr-FR"/>
        </w:rPr>
        <w:t xml:space="preserve"> </w:t>
      </w:r>
      <w:r w:rsidRPr="00D45EA0">
        <w:rPr>
          <w:rFonts w:ascii="Verdana" w:hAnsi="Verdana"/>
          <w:sz w:val="16"/>
          <w:szCs w:val="16"/>
          <w:lang w:val="uz-Cyrl-UZ"/>
        </w:rPr>
        <w:t>Tunisie: Kaïs Saïed fait le procès de la justice</w:t>
      </w:r>
      <w:r w:rsidRPr="00D45EA0">
        <w:rPr>
          <w:rFonts w:ascii="Verdana" w:hAnsi="Verdana"/>
          <w:sz w:val="16"/>
          <w:szCs w:val="16"/>
          <w:lang w:val="fr-FR"/>
        </w:rPr>
        <w:t xml:space="preserve">, 8 </w:t>
      </w:r>
      <w:proofErr w:type="spellStart"/>
      <w:r w:rsidRPr="00D45EA0">
        <w:rPr>
          <w:rFonts w:ascii="Verdana" w:hAnsi="Verdana"/>
          <w:sz w:val="16"/>
          <w:szCs w:val="16"/>
          <w:lang w:val="fr-FR"/>
        </w:rPr>
        <w:t>December</w:t>
      </w:r>
      <w:proofErr w:type="spellEnd"/>
      <w:r w:rsidRPr="00D45EA0">
        <w:rPr>
          <w:rFonts w:ascii="Verdana" w:hAnsi="Verdana"/>
          <w:sz w:val="16"/>
          <w:szCs w:val="16"/>
          <w:lang w:val="fr-FR"/>
        </w:rPr>
        <w:t xml:space="preserve"> 2021, </w:t>
      </w:r>
      <w:proofErr w:type="spellStart"/>
      <w:r w:rsidRPr="00D45EA0">
        <w:rPr>
          <w:rFonts w:ascii="Verdana" w:hAnsi="Verdana"/>
          <w:sz w:val="16"/>
          <w:szCs w:val="16"/>
          <w:lang w:val="fr-FR"/>
        </w:rPr>
        <w:t>available</w:t>
      </w:r>
      <w:proofErr w:type="spellEnd"/>
      <w:r w:rsidRPr="00D45EA0">
        <w:rPr>
          <w:rFonts w:ascii="Verdana" w:hAnsi="Verdana"/>
          <w:sz w:val="16"/>
          <w:szCs w:val="16"/>
          <w:lang w:val="fr-FR"/>
        </w:rPr>
        <w:t xml:space="preserve"> at: </w:t>
      </w:r>
      <w:hyperlink r:id="rId11" w:history="1">
        <w:r w:rsidRPr="00D45EA0">
          <w:rPr>
            <w:rStyle w:val="Hyperlink"/>
            <w:rFonts w:ascii="Verdana" w:hAnsi="Verdana"/>
            <w:sz w:val="16"/>
            <w:szCs w:val="16"/>
            <w:lang w:val="fr-FR"/>
          </w:rPr>
          <w:t>https://www.jeuneafrique.com/1278365/politique/tunisie-kais-saied-fait-le-proces-de-la-justice/</w:t>
        </w:r>
      </w:hyperlink>
      <w:r w:rsidRPr="00D45EA0">
        <w:rPr>
          <w:rFonts w:ascii="Verdana" w:hAnsi="Verdana"/>
          <w:sz w:val="16"/>
          <w:szCs w:val="16"/>
          <w:lang w:val="fr-FR"/>
        </w:rPr>
        <w:t xml:space="preserve"> (French </w:t>
      </w:r>
      <w:proofErr w:type="spellStart"/>
      <w:r w:rsidRPr="00D45EA0">
        <w:rPr>
          <w:rFonts w:ascii="Verdana" w:hAnsi="Verdana"/>
          <w:sz w:val="16"/>
          <w:szCs w:val="16"/>
          <w:lang w:val="fr-FR"/>
        </w:rPr>
        <w:t>only</w:t>
      </w:r>
      <w:proofErr w:type="spellEnd"/>
      <w:r w:rsidRPr="00D45EA0">
        <w:rPr>
          <w:rFonts w:ascii="Verdana" w:hAnsi="Verdana"/>
          <w:sz w:val="16"/>
          <w:szCs w:val="16"/>
          <w:lang w:val="fr-FR"/>
        </w:rPr>
        <w:t>).</w:t>
      </w:r>
    </w:p>
  </w:footnote>
  <w:footnote w:id="15">
    <w:p w14:paraId="0967C43C" w14:textId="5A9E917F" w:rsidR="00FE0F13" w:rsidRPr="00D45EA0" w:rsidRDefault="00FE0F13" w:rsidP="003317FF">
      <w:pPr>
        <w:pStyle w:val="FootnoteText"/>
        <w:ind w:left="284" w:hanging="284"/>
        <w:rPr>
          <w:rStyle w:val="FootnoteReference"/>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lang w:val="en-US"/>
        </w:rPr>
        <w:t xml:space="preserve"> Decree-Law No. 2022-4 of 19 January 2022, amending Organic Law No. 2016-34 of 28 April 2016 on the High Judicial Council. </w:t>
      </w:r>
      <w:hyperlink r:id="rId12">
        <w:r w:rsidRPr="00D45EA0">
          <w:rPr>
            <w:rStyle w:val="Hyperlink"/>
            <w:rFonts w:ascii="Verdana" w:hAnsi="Verdana"/>
            <w:sz w:val="16"/>
            <w:szCs w:val="16"/>
            <w:lang w:val="en-US"/>
          </w:rPr>
          <w:t>https://legislation-securite.tn/law/105166</w:t>
        </w:r>
      </w:hyperlink>
    </w:p>
  </w:footnote>
  <w:footnote w:id="16">
    <w:p w14:paraId="124885D4" w14:textId="77777777" w:rsidR="00FE0F13" w:rsidRPr="00D45EA0" w:rsidRDefault="00FE0F13" w:rsidP="003317FF">
      <w:pPr>
        <w:pStyle w:val="FootnoteText"/>
        <w:ind w:left="284" w:hanging="284"/>
        <w:contextualSpacing/>
        <w:rPr>
          <w:rFonts w:ascii="Verdana" w:hAnsi="Verdana"/>
          <w:sz w:val="16"/>
          <w:szCs w:val="16"/>
        </w:rPr>
      </w:pPr>
      <w:r w:rsidRPr="00D45EA0">
        <w:rPr>
          <w:rStyle w:val="FootnoteReference"/>
          <w:rFonts w:ascii="Verdana" w:hAnsi="Verdana"/>
          <w:sz w:val="16"/>
          <w:szCs w:val="16"/>
        </w:rPr>
        <w:footnoteRef/>
      </w:r>
      <w:r w:rsidRPr="00D45EA0">
        <w:rPr>
          <w:rFonts w:ascii="Verdana" w:hAnsi="Verdana"/>
          <w:sz w:val="16"/>
          <w:szCs w:val="16"/>
        </w:rPr>
        <w:t xml:space="preserve"> Order 2022-516 of 1 June 2022, based on Decree-Law 2022-35 of 1 June 2022 amending Decree-Law 2022-11.</w:t>
      </w:r>
    </w:p>
  </w:footnote>
  <w:footnote w:id="17">
    <w:p w14:paraId="3A44C80A" w14:textId="61ACEAE9" w:rsidR="00FE0F13" w:rsidRPr="00D45EA0" w:rsidRDefault="00FE0F13" w:rsidP="003317FF">
      <w:pPr>
        <w:pStyle w:val="FootnoteText"/>
        <w:ind w:left="284" w:hanging="284"/>
        <w:contextualSpacing/>
        <w:rPr>
          <w:rFonts w:ascii="Verdana" w:eastAsia="Verdana" w:hAnsi="Verdana" w:cs="Verdana"/>
          <w:sz w:val="16"/>
          <w:szCs w:val="16"/>
        </w:rPr>
      </w:pPr>
      <w:r w:rsidRPr="00D45EA0">
        <w:rPr>
          <w:rFonts w:ascii="Verdana" w:hAnsi="Verdana"/>
          <w:sz w:val="16"/>
          <w:szCs w:val="16"/>
          <w:vertAlign w:val="superscript"/>
        </w:rPr>
        <w:footnoteRef/>
      </w:r>
      <w:r w:rsidRPr="00D45EA0">
        <w:rPr>
          <w:rFonts w:ascii="Verdana" w:hAnsi="Verdana"/>
          <w:sz w:val="16"/>
          <w:szCs w:val="16"/>
        </w:rPr>
        <w:t xml:space="preserve"> </w:t>
      </w:r>
      <w:r w:rsidRPr="00D45EA0">
        <w:rPr>
          <w:rFonts w:ascii="Verdana" w:eastAsia="Verdana" w:hAnsi="Verdana" w:cs="Verdana"/>
          <w:sz w:val="16"/>
          <w:szCs w:val="16"/>
        </w:rPr>
        <w:t>Organic Law No. 2015-26 of 7 August 2015 on combating terrorism and preventing money-</w:t>
      </w:r>
      <w:r w:rsidR="007F16A4" w:rsidRPr="00D45EA0">
        <w:rPr>
          <w:rFonts w:ascii="Verdana" w:eastAsia="Verdana" w:hAnsi="Verdana" w:cs="Verdana"/>
          <w:sz w:val="16"/>
          <w:szCs w:val="16"/>
        </w:rPr>
        <w:t xml:space="preserve">   </w:t>
      </w:r>
      <w:r w:rsidRPr="00D45EA0">
        <w:rPr>
          <w:rFonts w:ascii="Verdana" w:eastAsia="Verdana" w:hAnsi="Verdana" w:cs="Verdana"/>
          <w:sz w:val="16"/>
          <w:szCs w:val="16"/>
        </w:rPr>
        <w:t>laundering as amended by Organic Law No. 2019-09 of 23 January 2019.</w:t>
      </w:r>
    </w:p>
  </w:footnote>
  <w:footnote w:id="18">
    <w:p w14:paraId="02732F68" w14:textId="59E37369" w:rsidR="007F16A4" w:rsidRPr="00D45EA0" w:rsidRDefault="007F16A4" w:rsidP="003317FF">
      <w:pPr>
        <w:pStyle w:val="FootnoteText"/>
        <w:ind w:left="284" w:hanging="284"/>
        <w:rPr>
          <w:rFonts w:ascii="Verdana" w:hAnsi="Verdana"/>
          <w:sz w:val="16"/>
          <w:szCs w:val="16"/>
          <w:lang w:val="en-US"/>
        </w:rPr>
      </w:pPr>
      <w:r w:rsidRPr="00D45EA0">
        <w:rPr>
          <w:rStyle w:val="FootnoteReference"/>
          <w:rFonts w:ascii="Verdana" w:hAnsi="Verdana"/>
          <w:sz w:val="16"/>
          <w:szCs w:val="16"/>
        </w:rPr>
        <w:footnoteRef/>
      </w:r>
      <w:r w:rsidRPr="00D45EA0">
        <w:rPr>
          <w:rFonts w:ascii="Verdana" w:hAnsi="Verdana"/>
          <w:sz w:val="16"/>
          <w:szCs w:val="16"/>
        </w:rPr>
        <w:t xml:space="preserve"> </w:t>
      </w:r>
      <w:r w:rsidRPr="00D45EA0">
        <w:rPr>
          <w:rFonts w:ascii="Verdana" w:hAnsi="Verdana"/>
          <w:sz w:val="16"/>
          <w:szCs w:val="16"/>
          <w:lang w:val="en-US"/>
        </w:rPr>
        <w:t xml:space="preserve">For more details see ICJ, Attacks on Judges and Prosecutors in Tunisia: Arbitrary dismissals and prosecutions, 12 December 2023, available at: </w:t>
      </w:r>
      <w:hyperlink r:id="rId13" w:history="1">
        <w:r w:rsidRPr="00D45EA0">
          <w:rPr>
            <w:rStyle w:val="Hyperlink"/>
            <w:rFonts w:ascii="Verdana" w:hAnsi="Verdana"/>
            <w:sz w:val="16"/>
            <w:szCs w:val="16"/>
            <w:lang w:val="en-US"/>
          </w:rPr>
          <w:t>https://www.icj.org/tunisia-authorities-must-end-attacks-on-judges-and-prosecutors/</w:t>
        </w:r>
      </w:hyperlink>
      <w:r w:rsidRPr="00D45EA0">
        <w:rPr>
          <w:rFonts w:ascii="Verdana" w:hAnsi="Verdana"/>
          <w:sz w:val="16"/>
          <w:szCs w:val="16"/>
          <w:lang w:val="en-US"/>
        </w:rPr>
        <w:t xml:space="preserve">. </w:t>
      </w:r>
    </w:p>
  </w:footnote>
  <w:footnote w:id="19">
    <w:p w14:paraId="32EA7B28" w14:textId="37C65D01" w:rsidR="00FE0F13" w:rsidRPr="00D45EA0" w:rsidRDefault="00FE0F13" w:rsidP="003317FF">
      <w:pPr>
        <w:pStyle w:val="FootnoteText"/>
        <w:ind w:left="284" w:hanging="284"/>
        <w:rPr>
          <w:rFonts w:ascii="Verdana" w:hAnsi="Verdana"/>
          <w:sz w:val="16"/>
          <w:szCs w:val="16"/>
        </w:rPr>
      </w:pPr>
      <w:r w:rsidRPr="00D45EA0">
        <w:rPr>
          <w:rFonts w:ascii="Verdana" w:hAnsi="Verdana"/>
          <w:sz w:val="16"/>
          <w:szCs w:val="16"/>
          <w:vertAlign w:val="superscript"/>
        </w:rPr>
        <w:footnoteRef/>
      </w:r>
      <w:r w:rsidRPr="00D45EA0">
        <w:rPr>
          <w:rFonts w:ascii="Verdana" w:hAnsi="Verdana"/>
          <w:sz w:val="16"/>
          <w:szCs w:val="16"/>
          <w:vertAlign w:val="superscript"/>
        </w:rPr>
        <w:t xml:space="preserve"> </w:t>
      </w:r>
      <w:r w:rsidRPr="00D45EA0">
        <w:rPr>
          <w:rFonts w:ascii="Verdana" w:hAnsi="Verdana"/>
          <w:sz w:val="16"/>
          <w:szCs w:val="16"/>
        </w:rPr>
        <w:t>See Inkyfada, "Conspiracy Against State Security": Empty Files to Eliminate Opposition, 24 March</w:t>
      </w:r>
      <w:r w:rsidR="007F16A4" w:rsidRPr="00D45EA0">
        <w:rPr>
          <w:rFonts w:ascii="Verdana" w:hAnsi="Verdana"/>
          <w:sz w:val="16"/>
          <w:szCs w:val="16"/>
        </w:rPr>
        <w:t xml:space="preserve"> </w:t>
      </w:r>
      <w:r w:rsidRPr="00D45EA0">
        <w:rPr>
          <w:rFonts w:ascii="Verdana" w:hAnsi="Verdana"/>
          <w:sz w:val="16"/>
          <w:szCs w:val="16"/>
        </w:rPr>
        <w:t xml:space="preserve">2023, available at: </w:t>
      </w:r>
      <w:hyperlink r:id="rId14" w:history="1">
        <w:r w:rsidRPr="00D45EA0">
          <w:rPr>
            <w:rStyle w:val="Hyperlink"/>
            <w:rFonts w:ascii="Verdana" w:hAnsi="Verdana"/>
            <w:sz w:val="16"/>
            <w:szCs w:val="16"/>
          </w:rPr>
          <w:t>https://inkyfada.com/en/2023/03/24/conspiracy-state-security-opposition-tunisia</w:t>
        </w:r>
      </w:hyperlink>
      <w:r w:rsidRPr="00D45EA0">
        <w:rPr>
          <w:rFonts w:ascii="Verdana" w:hAnsi="Verdana"/>
          <w:sz w:val="16"/>
          <w:szCs w:val="16"/>
        </w:rPr>
        <w:t xml:space="preserve">. </w:t>
      </w:r>
      <w:r w:rsidRPr="00D45EA0">
        <w:rPr>
          <w:rFonts w:ascii="Verdana" w:hAnsi="Verdana"/>
          <w:sz w:val="16"/>
          <w:szCs w:val="16"/>
        </w:rPr>
        <w:t>In a statement issued on 14 February 2023, the UN High Commissioner for Human Rights</w:t>
      </w:r>
      <w:r w:rsidR="007F16A4" w:rsidRPr="00D45EA0">
        <w:rPr>
          <w:rFonts w:ascii="Verdana" w:hAnsi="Verdana"/>
          <w:sz w:val="16"/>
          <w:szCs w:val="16"/>
        </w:rPr>
        <w:t xml:space="preserve"> </w:t>
      </w:r>
      <w:r w:rsidRPr="00D45EA0">
        <w:rPr>
          <w:rFonts w:ascii="Verdana" w:hAnsi="Verdana"/>
          <w:sz w:val="16"/>
          <w:szCs w:val="16"/>
        </w:rPr>
        <w:t>expressed concern over “the deepening crackdown against perceived political opponents.” See OHCHR,</w:t>
      </w:r>
      <w:r w:rsidR="007F16A4" w:rsidRPr="00D45EA0">
        <w:rPr>
          <w:rFonts w:ascii="Verdana" w:hAnsi="Verdana"/>
          <w:sz w:val="16"/>
          <w:szCs w:val="16"/>
        </w:rPr>
        <w:t xml:space="preserve"> </w:t>
      </w:r>
      <w:r w:rsidRPr="00D45EA0">
        <w:rPr>
          <w:rFonts w:ascii="Verdana" w:hAnsi="Verdana"/>
          <w:sz w:val="16"/>
          <w:szCs w:val="16"/>
        </w:rPr>
        <w:t>Arrest of perceived political opponents and civil society in Tunisia, 14 February 2023, available at:</w:t>
      </w:r>
      <w:r w:rsidR="007F16A4" w:rsidRPr="00D45EA0">
        <w:rPr>
          <w:rFonts w:ascii="Verdana" w:hAnsi="Verdana"/>
          <w:color w:val="4472C4" w:themeColor="accent1"/>
          <w:sz w:val="16"/>
          <w:szCs w:val="16"/>
          <w:u w:val="single"/>
        </w:rPr>
        <w:fldChar w:fldCharType="begin"/>
      </w:r>
      <w:r w:rsidR="007F16A4" w:rsidRPr="00D45EA0">
        <w:rPr>
          <w:rFonts w:ascii="Verdana" w:hAnsi="Verdana"/>
          <w:color w:val="4472C4" w:themeColor="accent1"/>
          <w:sz w:val="16"/>
          <w:szCs w:val="16"/>
          <w:u w:val="single"/>
        </w:rPr>
        <w:instrText>HYPERLINK "https://www.ohchr.org/en/press-briefing-notes/2023/02/arrest-perceived-political-opponents-and-civil-society-tunisia"</w:instrText>
      </w:r>
      <w:r w:rsidR="007F16A4" w:rsidRPr="00D45EA0">
        <w:rPr>
          <w:rFonts w:ascii="Verdana" w:hAnsi="Verdana"/>
          <w:color w:val="4472C4" w:themeColor="accent1"/>
          <w:sz w:val="16"/>
          <w:szCs w:val="16"/>
          <w:u w:val="single"/>
        </w:rPr>
        <w:fldChar w:fldCharType="separate"/>
      </w:r>
      <w:r w:rsidR="007F16A4" w:rsidRPr="00D45EA0">
        <w:rPr>
          <w:rStyle w:val="Hyperlink"/>
          <w:rFonts w:ascii="Verdana" w:hAnsi="Verdana"/>
          <w:sz w:val="16"/>
          <w:szCs w:val="16"/>
        </w:rPr>
        <w:t>https://www.ohchr.org/en/press-briefing-notes/2023/02/arrest-perceived-political-opponents-and-civil-society-tunisia</w:t>
      </w:r>
      <w:r w:rsidR="007F16A4" w:rsidRPr="00D45EA0">
        <w:rPr>
          <w:rFonts w:ascii="Verdana" w:hAnsi="Verdana"/>
          <w:color w:val="4472C4" w:themeColor="accent1"/>
          <w:sz w:val="16"/>
          <w:szCs w:val="16"/>
          <w:u w:val="single"/>
        </w:rPr>
        <w:fldChar w:fldCharType="end"/>
      </w:r>
      <w:r w:rsidR="00A15E7C" w:rsidRPr="00D45EA0">
        <w:rPr>
          <w:rFonts w:ascii="Verdana" w:hAnsi="Verdana"/>
          <w:color w:val="4472C4" w:themeColor="accent1"/>
          <w:sz w:val="16"/>
          <w:szCs w:val="16"/>
          <w:u w:val="single"/>
        </w:rPr>
        <w:t xml:space="preserve">. </w:t>
      </w:r>
    </w:p>
  </w:footnote>
  <w:footnote w:id="20">
    <w:p w14:paraId="6B0731E6" w14:textId="6F72E150" w:rsidR="00FE0F13" w:rsidRPr="00D45EA0" w:rsidRDefault="00FE0F13" w:rsidP="003317FF">
      <w:pPr>
        <w:pStyle w:val="FootnoteText"/>
        <w:ind w:left="284" w:hanging="284"/>
        <w:rPr>
          <w:rFonts w:ascii="Verdana" w:hAnsi="Verdana"/>
          <w:sz w:val="16"/>
          <w:szCs w:val="16"/>
        </w:rPr>
      </w:pPr>
      <w:r w:rsidRPr="00D45EA0">
        <w:rPr>
          <w:rFonts w:ascii="Verdana" w:hAnsi="Verdana"/>
          <w:sz w:val="16"/>
          <w:szCs w:val="16"/>
          <w:vertAlign w:val="superscript"/>
        </w:rPr>
        <w:footnoteRef/>
      </w:r>
      <w:r w:rsidRPr="00D45EA0">
        <w:rPr>
          <w:rFonts w:ascii="Verdana" w:hAnsi="Verdana"/>
          <w:sz w:val="16"/>
          <w:szCs w:val="16"/>
          <w:vertAlign w:val="superscript"/>
        </w:rPr>
        <w:t xml:space="preserve"> </w:t>
      </w:r>
      <w:r w:rsidRPr="00D45EA0">
        <w:rPr>
          <w:rFonts w:ascii="Verdana" w:hAnsi="Verdana"/>
          <w:sz w:val="16"/>
          <w:szCs w:val="16"/>
        </w:rPr>
        <w:t>See, Amnesty</w:t>
      </w:r>
      <w:r w:rsidR="007F16A4" w:rsidRPr="00D45EA0">
        <w:rPr>
          <w:rFonts w:ascii="Verdana" w:hAnsi="Verdana"/>
          <w:sz w:val="16"/>
          <w:szCs w:val="16"/>
        </w:rPr>
        <w:t xml:space="preserve"> International</w:t>
      </w:r>
      <w:r w:rsidRPr="00D45EA0">
        <w:rPr>
          <w:rFonts w:ascii="Verdana" w:hAnsi="Verdana"/>
          <w:sz w:val="16"/>
          <w:szCs w:val="16"/>
        </w:rPr>
        <w:t xml:space="preserve">, Tunisia: Drop trumped-up charges against arbitrarily detained political dissidents, 10 October 2023: </w:t>
      </w:r>
      <w:hyperlink r:id="rId15" w:history="1">
        <w:r w:rsidRPr="00D45EA0">
          <w:rPr>
            <w:rStyle w:val="Hyperlink"/>
            <w:rFonts w:ascii="Verdana" w:hAnsi="Verdana"/>
            <w:sz w:val="16"/>
            <w:szCs w:val="16"/>
          </w:rPr>
          <w:t>https://www.amnesty.org/en/latest/news/2023/10/tunisia-drop-trumped-up-charges-against-arbitrarily-detained-political-dissidents/</w:t>
        </w:r>
      </w:hyperlink>
      <w:r w:rsidRPr="00D45EA0">
        <w:rPr>
          <w:rStyle w:val="Hyperlink"/>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FE0F13" w14:paraId="6CB8B484" w14:textId="77777777" w:rsidTr="622A1CA5">
      <w:trPr>
        <w:trHeight w:val="300"/>
      </w:trPr>
      <w:tc>
        <w:tcPr>
          <w:tcW w:w="3005" w:type="dxa"/>
        </w:tcPr>
        <w:p w14:paraId="3C67EC1B" w14:textId="09A84CB3" w:rsidR="00FE0F13" w:rsidRDefault="00FE0F13" w:rsidP="622A1CA5">
          <w:pPr>
            <w:pStyle w:val="Header"/>
            <w:ind w:left="-115"/>
          </w:pPr>
        </w:p>
      </w:tc>
      <w:tc>
        <w:tcPr>
          <w:tcW w:w="3005" w:type="dxa"/>
        </w:tcPr>
        <w:p w14:paraId="3609056A" w14:textId="4E7A99E6" w:rsidR="00FE0F13" w:rsidRDefault="00FE0F13" w:rsidP="622A1CA5">
          <w:pPr>
            <w:pStyle w:val="Header"/>
            <w:jc w:val="center"/>
          </w:pPr>
        </w:p>
      </w:tc>
      <w:tc>
        <w:tcPr>
          <w:tcW w:w="3005" w:type="dxa"/>
        </w:tcPr>
        <w:p w14:paraId="721841E0" w14:textId="4EBC9CE1" w:rsidR="00FE0F13" w:rsidRDefault="00FE0F13" w:rsidP="622A1CA5">
          <w:pPr>
            <w:pStyle w:val="Header"/>
            <w:ind w:right="-115"/>
            <w:jc w:val="right"/>
          </w:pPr>
        </w:p>
      </w:tc>
    </w:tr>
  </w:tbl>
  <w:p w14:paraId="6EFC8ACC" w14:textId="57A1F0FE" w:rsidR="00FE0F13" w:rsidRDefault="00FE0F13" w:rsidP="622A1C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7AAB"/>
    <w:multiLevelType w:val="hybridMultilevel"/>
    <w:tmpl w:val="3E7A4920"/>
    <w:lvl w:ilvl="0" w:tplc="FFFFFFFF">
      <w:start w:val="1"/>
      <w:numFmt w:val="decimal"/>
      <w:lvlText w:val="%1."/>
      <w:lvlJc w:val="left"/>
      <w:pPr>
        <w:ind w:left="644" w:hanging="360"/>
      </w:pPr>
      <w:rPr>
        <w:strike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A2D0CC9"/>
    <w:multiLevelType w:val="hybridMultilevel"/>
    <w:tmpl w:val="28BAB7D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F268B6"/>
    <w:multiLevelType w:val="hybridMultilevel"/>
    <w:tmpl w:val="C8FE39F6"/>
    <w:lvl w:ilvl="0" w:tplc="DBC8049E">
      <w:start w:val="1"/>
      <w:numFmt w:val="upperRoman"/>
      <w:lvlText w:val="%1."/>
      <w:lvlJc w:val="left"/>
      <w:pPr>
        <w:ind w:left="720" w:hanging="720"/>
      </w:pPr>
      <w:rPr>
        <w:rFonts w:hint="default"/>
        <w:color w:val="2E74B5" w:themeColor="accent5" w:themeShade="BF"/>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300347"/>
    <w:multiLevelType w:val="hybridMultilevel"/>
    <w:tmpl w:val="8726467E"/>
    <w:lvl w:ilvl="0" w:tplc="0409000F">
      <w:start w:val="1"/>
      <w:numFmt w:val="decimal"/>
      <w:lvlText w:val="%1."/>
      <w:lvlJc w:val="left"/>
      <w:pPr>
        <w:ind w:left="720" w:hanging="360"/>
      </w:pPr>
      <w:rPr>
        <w:color w:val="00000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296B0C"/>
    <w:multiLevelType w:val="hybridMultilevel"/>
    <w:tmpl w:val="78AE081C"/>
    <w:lvl w:ilvl="0" w:tplc="E7D6B2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B0257E"/>
    <w:multiLevelType w:val="multilevel"/>
    <w:tmpl w:val="FCEED638"/>
    <w:lvl w:ilvl="0">
      <w:start w:val="4"/>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 w15:restartNumberingAfterBreak="0">
    <w:nsid w:val="262169EC"/>
    <w:multiLevelType w:val="hybridMultilevel"/>
    <w:tmpl w:val="FAC61768"/>
    <w:lvl w:ilvl="0" w:tplc="56BC005E">
      <w:start w:val="1"/>
      <w:numFmt w:val="lowerRoman"/>
      <w:lvlText w:val="%1)"/>
      <w:lvlJc w:val="left"/>
      <w:pPr>
        <w:ind w:left="1080" w:hanging="720"/>
      </w:pPr>
      <w:rPr>
        <w:rFonts w:ascii="Verdana" w:hAnsi="Verdan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0C418B"/>
    <w:multiLevelType w:val="hybridMultilevel"/>
    <w:tmpl w:val="3AF2E6AA"/>
    <w:lvl w:ilvl="0" w:tplc="31E22E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7017CE"/>
    <w:multiLevelType w:val="hybridMultilevel"/>
    <w:tmpl w:val="FF480A5A"/>
    <w:lvl w:ilvl="0" w:tplc="FFFFFFFF">
      <w:start w:val="1"/>
      <w:numFmt w:val="decimal"/>
      <w:lvlText w:val="%1."/>
      <w:lvlJc w:val="left"/>
      <w:pPr>
        <w:ind w:left="644" w:hanging="360"/>
      </w:pPr>
      <w:rPr>
        <w:rFonts w:hint="default"/>
        <w:strike w:val="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3C832513"/>
    <w:multiLevelType w:val="hybridMultilevel"/>
    <w:tmpl w:val="EB0E3BE4"/>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3EF73BDD"/>
    <w:multiLevelType w:val="hybridMultilevel"/>
    <w:tmpl w:val="FF1EDFC6"/>
    <w:lvl w:ilvl="0" w:tplc="04090001">
      <w:start w:val="1"/>
      <w:numFmt w:val="bullet"/>
      <w:lvlText w:val=""/>
      <w:lvlJc w:val="left"/>
      <w:pPr>
        <w:ind w:left="720" w:hanging="360"/>
      </w:pPr>
      <w:rPr>
        <w:rFonts w:ascii="Symbol" w:hAnsi="Symbol" w:hint="default"/>
        <w:color w:val="00000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47E40AF"/>
    <w:multiLevelType w:val="hybridMultilevel"/>
    <w:tmpl w:val="7EB4218E"/>
    <w:lvl w:ilvl="0" w:tplc="C1649524">
      <w:start w:val="1"/>
      <w:numFmt w:val="bullet"/>
      <w:lvlText w:val="-"/>
      <w:lvlJc w:val="left"/>
      <w:pPr>
        <w:ind w:left="1800" w:hanging="360"/>
      </w:pPr>
      <w:rPr>
        <w:rFonts w:ascii="Verdana" w:hAnsi="Verdana" w:hint="default"/>
      </w:rPr>
    </w:lvl>
    <w:lvl w:ilvl="1" w:tplc="0226B3C0">
      <w:start w:val="1"/>
      <w:numFmt w:val="bullet"/>
      <w:lvlText w:val="o"/>
      <w:lvlJc w:val="left"/>
      <w:pPr>
        <w:ind w:left="1440" w:hanging="360"/>
      </w:pPr>
      <w:rPr>
        <w:rFonts w:ascii="Courier New" w:hAnsi="Courier New" w:hint="default"/>
      </w:rPr>
    </w:lvl>
    <w:lvl w:ilvl="2" w:tplc="551EC32C">
      <w:start w:val="1"/>
      <w:numFmt w:val="bullet"/>
      <w:lvlText w:val=""/>
      <w:lvlJc w:val="left"/>
      <w:pPr>
        <w:ind w:left="2160" w:hanging="360"/>
      </w:pPr>
      <w:rPr>
        <w:rFonts w:ascii="Wingdings" w:hAnsi="Wingdings" w:hint="default"/>
      </w:rPr>
    </w:lvl>
    <w:lvl w:ilvl="3" w:tplc="1AE6635E">
      <w:start w:val="1"/>
      <w:numFmt w:val="bullet"/>
      <w:lvlText w:val=""/>
      <w:lvlJc w:val="left"/>
      <w:pPr>
        <w:ind w:left="2880" w:hanging="360"/>
      </w:pPr>
      <w:rPr>
        <w:rFonts w:ascii="Symbol" w:hAnsi="Symbol" w:hint="default"/>
      </w:rPr>
    </w:lvl>
    <w:lvl w:ilvl="4" w:tplc="82F0CF22">
      <w:start w:val="1"/>
      <w:numFmt w:val="bullet"/>
      <w:lvlText w:val="o"/>
      <w:lvlJc w:val="left"/>
      <w:pPr>
        <w:ind w:left="3600" w:hanging="360"/>
      </w:pPr>
      <w:rPr>
        <w:rFonts w:ascii="Courier New" w:hAnsi="Courier New" w:hint="default"/>
      </w:rPr>
    </w:lvl>
    <w:lvl w:ilvl="5" w:tplc="F1AE38C6">
      <w:start w:val="1"/>
      <w:numFmt w:val="bullet"/>
      <w:lvlText w:val=""/>
      <w:lvlJc w:val="left"/>
      <w:pPr>
        <w:ind w:left="4320" w:hanging="360"/>
      </w:pPr>
      <w:rPr>
        <w:rFonts w:ascii="Wingdings" w:hAnsi="Wingdings" w:hint="default"/>
      </w:rPr>
    </w:lvl>
    <w:lvl w:ilvl="6" w:tplc="71AAE48C">
      <w:start w:val="1"/>
      <w:numFmt w:val="bullet"/>
      <w:lvlText w:val=""/>
      <w:lvlJc w:val="left"/>
      <w:pPr>
        <w:ind w:left="5040" w:hanging="360"/>
      </w:pPr>
      <w:rPr>
        <w:rFonts w:ascii="Symbol" w:hAnsi="Symbol" w:hint="default"/>
      </w:rPr>
    </w:lvl>
    <w:lvl w:ilvl="7" w:tplc="4A922860">
      <w:start w:val="1"/>
      <w:numFmt w:val="bullet"/>
      <w:lvlText w:val="o"/>
      <w:lvlJc w:val="left"/>
      <w:pPr>
        <w:ind w:left="5760" w:hanging="360"/>
      </w:pPr>
      <w:rPr>
        <w:rFonts w:ascii="Courier New" w:hAnsi="Courier New" w:hint="default"/>
      </w:rPr>
    </w:lvl>
    <w:lvl w:ilvl="8" w:tplc="55507942">
      <w:start w:val="1"/>
      <w:numFmt w:val="bullet"/>
      <w:lvlText w:val=""/>
      <w:lvlJc w:val="left"/>
      <w:pPr>
        <w:ind w:left="6480" w:hanging="360"/>
      </w:pPr>
      <w:rPr>
        <w:rFonts w:ascii="Wingdings" w:hAnsi="Wingdings" w:hint="default"/>
      </w:rPr>
    </w:lvl>
  </w:abstractNum>
  <w:abstractNum w:abstractNumId="12" w15:restartNumberingAfterBreak="0">
    <w:nsid w:val="45686075"/>
    <w:multiLevelType w:val="hybridMultilevel"/>
    <w:tmpl w:val="A0C67004"/>
    <w:lvl w:ilvl="0" w:tplc="CEAE9D90">
      <w:start w:val="2"/>
      <w:numFmt w:val="decimal"/>
      <w:lvlText w:val="%1."/>
      <w:lvlJc w:val="left"/>
      <w:pPr>
        <w:ind w:left="1080" w:hanging="360"/>
      </w:pPr>
    </w:lvl>
    <w:lvl w:ilvl="1" w:tplc="3E3833B2">
      <w:start w:val="1"/>
      <w:numFmt w:val="lowerLetter"/>
      <w:lvlText w:val="%2."/>
      <w:lvlJc w:val="left"/>
      <w:pPr>
        <w:ind w:left="1440" w:hanging="360"/>
      </w:pPr>
    </w:lvl>
    <w:lvl w:ilvl="2" w:tplc="84728EEC">
      <w:start w:val="1"/>
      <w:numFmt w:val="lowerRoman"/>
      <w:lvlText w:val="%3."/>
      <w:lvlJc w:val="right"/>
      <w:pPr>
        <w:ind w:left="2160" w:hanging="180"/>
      </w:pPr>
    </w:lvl>
    <w:lvl w:ilvl="3" w:tplc="A0EE76E2">
      <w:start w:val="1"/>
      <w:numFmt w:val="decimal"/>
      <w:lvlText w:val="%4."/>
      <w:lvlJc w:val="left"/>
      <w:pPr>
        <w:ind w:left="2880" w:hanging="360"/>
      </w:pPr>
    </w:lvl>
    <w:lvl w:ilvl="4" w:tplc="226CF558">
      <w:start w:val="1"/>
      <w:numFmt w:val="lowerLetter"/>
      <w:lvlText w:val="%5."/>
      <w:lvlJc w:val="left"/>
      <w:pPr>
        <w:ind w:left="3600" w:hanging="360"/>
      </w:pPr>
    </w:lvl>
    <w:lvl w:ilvl="5" w:tplc="B7FCC9F4">
      <w:start w:val="1"/>
      <w:numFmt w:val="lowerRoman"/>
      <w:lvlText w:val="%6."/>
      <w:lvlJc w:val="right"/>
      <w:pPr>
        <w:ind w:left="4320" w:hanging="180"/>
      </w:pPr>
    </w:lvl>
    <w:lvl w:ilvl="6" w:tplc="09EE648C">
      <w:start w:val="1"/>
      <w:numFmt w:val="decimal"/>
      <w:lvlText w:val="%7."/>
      <w:lvlJc w:val="left"/>
      <w:pPr>
        <w:ind w:left="5040" w:hanging="360"/>
      </w:pPr>
    </w:lvl>
    <w:lvl w:ilvl="7" w:tplc="B6B0024A">
      <w:start w:val="1"/>
      <w:numFmt w:val="lowerLetter"/>
      <w:lvlText w:val="%8."/>
      <w:lvlJc w:val="left"/>
      <w:pPr>
        <w:ind w:left="5760" w:hanging="360"/>
      </w:pPr>
    </w:lvl>
    <w:lvl w:ilvl="8" w:tplc="08527C1E">
      <w:start w:val="1"/>
      <w:numFmt w:val="lowerRoman"/>
      <w:lvlText w:val="%9."/>
      <w:lvlJc w:val="right"/>
      <w:pPr>
        <w:ind w:left="6480" w:hanging="180"/>
      </w:pPr>
    </w:lvl>
  </w:abstractNum>
  <w:abstractNum w:abstractNumId="13" w15:restartNumberingAfterBreak="0">
    <w:nsid w:val="49A33771"/>
    <w:multiLevelType w:val="hybridMultilevel"/>
    <w:tmpl w:val="7550D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A441F7"/>
    <w:multiLevelType w:val="hybridMultilevel"/>
    <w:tmpl w:val="3FD2F0A8"/>
    <w:lvl w:ilvl="0" w:tplc="0AE667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D5A62"/>
    <w:multiLevelType w:val="hybridMultilevel"/>
    <w:tmpl w:val="21C4B0B6"/>
    <w:lvl w:ilvl="0" w:tplc="D9948BA2">
      <w:start w:val="1"/>
      <w:numFmt w:val="bullet"/>
      <w:lvlText w:val="-"/>
      <w:lvlJc w:val="left"/>
      <w:pPr>
        <w:ind w:left="1800" w:hanging="360"/>
      </w:pPr>
      <w:rPr>
        <w:rFonts w:ascii="Verdana" w:hAnsi="Verdana" w:hint="default"/>
      </w:rPr>
    </w:lvl>
    <w:lvl w:ilvl="1" w:tplc="66DA5044">
      <w:start w:val="1"/>
      <w:numFmt w:val="bullet"/>
      <w:lvlText w:val="o"/>
      <w:lvlJc w:val="left"/>
      <w:pPr>
        <w:ind w:left="1440" w:hanging="360"/>
      </w:pPr>
      <w:rPr>
        <w:rFonts w:ascii="Courier New" w:hAnsi="Courier New" w:hint="default"/>
      </w:rPr>
    </w:lvl>
    <w:lvl w:ilvl="2" w:tplc="9488BC90">
      <w:start w:val="1"/>
      <w:numFmt w:val="bullet"/>
      <w:lvlText w:val=""/>
      <w:lvlJc w:val="left"/>
      <w:pPr>
        <w:ind w:left="2160" w:hanging="360"/>
      </w:pPr>
      <w:rPr>
        <w:rFonts w:ascii="Wingdings" w:hAnsi="Wingdings" w:hint="default"/>
      </w:rPr>
    </w:lvl>
    <w:lvl w:ilvl="3" w:tplc="8AD0D67A">
      <w:start w:val="1"/>
      <w:numFmt w:val="bullet"/>
      <w:lvlText w:val=""/>
      <w:lvlJc w:val="left"/>
      <w:pPr>
        <w:ind w:left="2880" w:hanging="360"/>
      </w:pPr>
      <w:rPr>
        <w:rFonts w:ascii="Symbol" w:hAnsi="Symbol" w:hint="default"/>
      </w:rPr>
    </w:lvl>
    <w:lvl w:ilvl="4" w:tplc="A77CEB72">
      <w:start w:val="1"/>
      <w:numFmt w:val="bullet"/>
      <w:lvlText w:val="o"/>
      <w:lvlJc w:val="left"/>
      <w:pPr>
        <w:ind w:left="3600" w:hanging="360"/>
      </w:pPr>
      <w:rPr>
        <w:rFonts w:ascii="Courier New" w:hAnsi="Courier New" w:hint="default"/>
      </w:rPr>
    </w:lvl>
    <w:lvl w:ilvl="5" w:tplc="F236A39A">
      <w:start w:val="1"/>
      <w:numFmt w:val="bullet"/>
      <w:lvlText w:val=""/>
      <w:lvlJc w:val="left"/>
      <w:pPr>
        <w:ind w:left="4320" w:hanging="360"/>
      </w:pPr>
      <w:rPr>
        <w:rFonts w:ascii="Wingdings" w:hAnsi="Wingdings" w:hint="default"/>
      </w:rPr>
    </w:lvl>
    <w:lvl w:ilvl="6" w:tplc="C2664F5C">
      <w:start w:val="1"/>
      <w:numFmt w:val="bullet"/>
      <w:lvlText w:val=""/>
      <w:lvlJc w:val="left"/>
      <w:pPr>
        <w:ind w:left="5040" w:hanging="360"/>
      </w:pPr>
      <w:rPr>
        <w:rFonts w:ascii="Symbol" w:hAnsi="Symbol" w:hint="default"/>
      </w:rPr>
    </w:lvl>
    <w:lvl w:ilvl="7" w:tplc="D6CAAF98">
      <w:start w:val="1"/>
      <w:numFmt w:val="bullet"/>
      <w:lvlText w:val="o"/>
      <w:lvlJc w:val="left"/>
      <w:pPr>
        <w:ind w:left="5760" w:hanging="360"/>
      </w:pPr>
      <w:rPr>
        <w:rFonts w:ascii="Courier New" w:hAnsi="Courier New" w:hint="default"/>
      </w:rPr>
    </w:lvl>
    <w:lvl w:ilvl="8" w:tplc="FA9CEEFC">
      <w:start w:val="1"/>
      <w:numFmt w:val="bullet"/>
      <w:lvlText w:val=""/>
      <w:lvlJc w:val="left"/>
      <w:pPr>
        <w:ind w:left="6480" w:hanging="360"/>
      </w:pPr>
      <w:rPr>
        <w:rFonts w:ascii="Wingdings" w:hAnsi="Wingdings" w:hint="default"/>
      </w:rPr>
    </w:lvl>
  </w:abstractNum>
  <w:abstractNum w:abstractNumId="16" w15:restartNumberingAfterBreak="0">
    <w:nsid w:val="5C4C1B6A"/>
    <w:multiLevelType w:val="hybridMultilevel"/>
    <w:tmpl w:val="FF480A5A"/>
    <w:lvl w:ilvl="0" w:tplc="FFFFFFFF">
      <w:start w:val="1"/>
      <w:numFmt w:val="decimal"/>
      <w:lvlText w:val="%1."/>
      <w:lvlJc w:val="left"/>
      <w:pPr>
        <w:ind w:left="644" w:hanging="360"/>
      </w:pPr>
      <w:rPr>
        <w:rFonts w:hint="default"/>
        <w:strike w:val="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 w15:restartNumberingAfterBreak="0">
    <w:nsid w:val="5C70782A"/>
    <w:multiLevelType w:val="hybridMultilevel"/>
    <w:tmpl w:val="8000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10671A"/>
    <w:multiLevelType w:val="hybridMultilevel"/>
    <w:tmpl w:val="2244EDD4"/>
    <w:lvl w:ilvl="0" w:tplc="851C08AC">
      <w:start w:val="1"/>
      <w:numFmt w:val="decimal"/>
      <w:lvlText w:val="%1."/>
      <w:lvlJc w:val="left"/>
      <w:pPr>
        <w:ind w:left="720" w:hanging="360"/>
      </w:pPr>
      <w:rPr>
        <w:rFonts w:ascii="Verdana" w:eastAsiaTheme="minorHAnsi" w:hAnsi="Verdana" w:cstheme="minorBidi"/>
        <w:color w:val="0000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ED6C4A"/>
    <w:multiLevelType w:val="hybridMultilevel"/>
    <w:tmpl w:val="D2963B8C"/>
    <w:lvl w:ilvl="0" w:tplc="04090013">
      <w:start w:val="1"/>
      <w:numFmt w:val="upperRoman"/>
      <w:lvlText w:val="%1."/>
      <w:lvlJc w:val="right"/>
      <w:pPr>
        <w:ind w:left="720" w:hanging="360"/>
      </w:pPr>
      <w:rPr>
        <w:color w:val="000000"/>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F5BE8F6"/>
    <w:multiLevelType w:val="hybridMultilevel"/>
    <w:tmpl w:val="5BF05824"/>
    <w:lvl w:ilvl="0" w:tplc="DA2A23F4">
      <w:start w:val="1"/>
      <w:numFmt w:val="bullet"/>
      <w:lvlText w:val="-"/>
      <w:lvlJc w:val="left"/>
      <w:pPr>
        <w:ind w:left="1800" w:hanging="360"/>
      </w:pPr>
      <w:rPr>
        <w:rFonts w:ascii="Verdana" w:hAnsi="Verdana" w:hint="default"/>
      </w:rPr>
    </w:lvl>
    <w:lvl w:ilvl="1" w:tplc="9F3A0578">
      <w:start w:val="1"/>
      <w:numFmt w:val="bullet"/>
      <w:lvlText w:val="o"/>
      <w:lvlJc w:val="left"/>
      <w:pPr>
        <w:ind w:left="1440" w:hanging="360"/>
      </w:pPr>
      <w:rPr>
        <w:rFonts w:ascii="Courier New" w:hAnsi="Courier New" w:hint="default"/>
      </w:rPr>
    </w:lvl>
    <w:lvl w:ilvl="2" w:tplc="24B0F620">
      <w:start w:val="1"/>
      <w:numFmt w:val="bullet"/>
      <w:lvlText w:val=""/>
      <w:lvlJc w:val="left"/>
      <w:pPr>
        <w:ind w:left="2160" w:hanging="360"/>
      </w:pPr>
      <w:rPr>
        <w:rFonts w:ascii="Wingdings" w:hAnsi="Wingdings" w:hint="default"/>
      </w:rPr>
    </w:lvl>
    <w:lvl w:ilvl="3" w:tplc="C6F4F120">
      <w:start w:val="1"/>
      <w:numFmt w:val="bullet"/>
      <w:lvlText w:val=""/>
      <w:lvlJc w:val="left"/>
      <w:pPr>
        <w:ind w:left="2880" w:hanging="360"/>
      </w:pPr>
      <w:rPr>
        <w:rFonts w:ascii="Symbol" w:hAnsi="Symbol" w:hint="default"/>
      </w:rPr>
    </w:lvl>
    <w:lvl w:ilvl="4" w:tplc="F2B4AAF0">
      <w:start w:val="1"/>
      <w:numFmt w:val="bullet"/>
      <w:lvlText w:val="o"/>
      <w:lvlJc w:val="left"/>
      <w:pPr>
        <w:ind w:left="3600" w:hanging="360"/>
      </w:pPr>
      <w:rPr>
        <w:rFonts w:ascii="Courier New" w:hAnsi="Courier New" w:hint="default"/>
      </w:rPr>
    </w:lvl>
    <w:lvl w:ilvl="5" w:tplc="47CE4124">
      <w:start w:val="1"/>
      <w:numFmt w:val="bullet"/>
      <w:lvlText w:val=""/>
      <w:lvlJc w:val="left"/>
      <w:pPr>
        <w:ind w:left="4320" w:hanging="360"/>
      </w:pPr>
      <w:rPr>
        <w:rFonts w:ascii="Wingdings" w:hAnsi="Wingdings" w:hint="default"/>
      </w:rPr>
    </w:lvl>
    <w:lvl w:ilvl="6" w:tplc="7D2A2BBE">
      <w:start w:val="1"/>
      <w:numFmt w:val="bullet"/>
      <w:lvlText w:val=""/>
      <w:lvlJc w:val="left"/>
      <w:pPr>
        <w:ind w:left="5040" w:hanging="360"/>
      </w:pPr>
      <w:rPr>
        <w:rFonts w:ascii="Symbol" w:hAnsi="Symbol" w:hint="default"/>
      </w:rPr>
    </w:lvl>
    <w:lvl w:ilvl="7" w:tplc="693C8108">
      <w:start w:val="1"/>
      <w:numFmt w:val="bullet"/>
      <w:lvlText w:val="o"/>
      <w:lvlJc w:val="left"/>
      <w:pPr>
        <w:ind w:left="5760" w:hanging="360"/>
      </w:pPr>
      <w:rPr>
        <w:rFonts w:ascii="Courier New" w:hAnsi="Courier New" w:hint="default"/>
      </w:rPr>
    </w:lvl>
    <w:lvl w:ilvl="8" w:tplc="93329334">
      <w:start w:val="1"/>
      <w:numFmt w:val="bullet"/>
      <w:lvlText w:val=""/>
      <w:lvlJc w:val="left"/>
      <w:pPr>
        <w:ind w:left="6480" w:hanging="360"/>
      </w:pPr>
      <w:rPr>
        <w:rFonts w:ascii="Wingdings" w:hAnsi="Wingdings" w:hint="default"/>
      </w:rPr>
    </w:lvl>
  </w:abstractNum>
  <w:num w:numId="1" w16cid:durableId="1966807208">
    <w:abstractNumId w:val="11"/>
  </w:num>
  <w:num w:numId="2" w16cid:durableId="2112432245">
    <w:abstractNumId w:val="15"/>
  </w:num>
  <w:num w:numId="3" w16cid:durableId="966085979">
    <w:abstractNumId w:val="20"/>
  </w:num>
  <w:num w:numId="4" w16cid:durableId="1664626848">
    <w:abstractNumId w:val="12"/>
  </w:num>
  <w:num w:numId="5" w16cid:durableId="1481269744">
    <w:abstractNumId w:val="14"/>
  </w:num>
  <w:num w:numId="6" w16cid:durableId="375853636">
    <w:abstractNumId w:val="2"/>
  </w:num>
  <w:num w:numId="7" w16cid:durableId="52583328">
    <w:abstractNumId w:val="0"/>
  </w:num>
  <w:num w:numId="8" w16cid:durableId="932275777">
    <w:abstractNumId w:val="5"/>
  </w:num>
  <w:num w:numId="9" w16cid:durableId="503710220">
    <w:abstractNumId w:val="16"/>
  </w:num>
  <w:num w:numId="10" w16cid:durableId="817065899">
    <w:abstractNumId w:val="8"/>
  </w:num>
  <w:num w:numId="11" w16cid:durableId="410470731">
    <w:abstractNumId w:val="17"/>
  </w:num>
  <w:num w:numId="12" w16cid:durableId="1749964533">
    <w:abstractNumId w:val="6"/>
  </w:num>
  <w:num w:numId="13" w16cid:durableId="1012024735">
    <w:abstractNumId w:val="9"/>
  </w:num>
  <w:num w:numId="14" w16cid:durableId="1940333067">
    <w:abstractNumId w:val="18"/>
  </w:num>
  <w:num w:numId="15" w16cid:durableId="32581583">
    <w:abstractNumId w:val="4"/>
  </w:num>
  <w:num w:numId="16" w16cid:durableId="81072527">
    <w:abstractNumId w:val="19"/>
  </w:num>
  <w:num w:numId="17" w16cid:durableId="1882859800">
    <w:abstractNumId w:val="3"/>
  </w:num>
  <w:num w:numId="18" w16cid:durableId="402217105">
    <w:abstractNumId w:val="10"/>
  </w:num>
  <w:num w:numId="19" w16cid:durableId="95097707">
    <w:abstractNumId w:val="13"/>
  </w:num>
  <w:num w:numId="20" w16cid:durableId="1560166741">
    <w:abstractNumId w:val="1"/>
  </w:num>
  <w:num w:numId="21" w16cid:durableId="3409314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695F4C2"/>
    <w:rsid w:val="00002C13"/>
    <w:rsid w:val="00004AF7"/>
    <w:rsid w:val="00012AB9"/>
    <w:rsid w:val="000177C3"/>
    <w:rsid w:val="00030449"/>
    <w:rsid w:val="00034808"/>
    <w:rsid w:val="00037DB0"/>
    <w:rsid w:val="00046A52"/>
    <w:rsid w:val="00091D2B"/>
    <w:rsid w:val="00096D80"/>
    <w:rsid w:val="000B216F"/>
    <w:rsid w:val="000BA3B2"/>
    <w:rsid w:val="000D8AA6"/>
    <w:rsid w:val="000E16F3"/>
    <w:rsid w:val="00102F63"/>
    <w:rsid w:val="00110A98"/>
    <w:rsid w:val="001117D9"/>
    <w:rsid w:val="00117834"/>
    <w:rsid w:val="0012114B"/>
    <w:rsid w:val="00124719"/>
    <w:rsid w:val="00130561"/>
    <w:rsid w:val="00135264"/>
    <w:rsid w:val="001360A9"/>
    <w:rsid w:val="0014293F"/>
    <w:rsid w:val="00160022"/>
    <w:rsid w:val="00184FB2"/>
    <w:rsid w:val="00185CA0"/>
    <w:rsid w:val="00186814"/>
    <w:rsid w:val="00197E15"/>
    <w:rsid w:val="001A1812"/>
    <w:rsid w:val="001A2BA9"/>
    <w:rsid w:val="001A3EAD"/>
    <w:rsid w:val="001A7623"/>
    <w:rsid w:val="001C0A5A"/>
    <w:rsid w:val="001C1295"/>
    <w:rsid w:val="001C3168"/>
    <w:rsid w:val="001E599D"/>
    <w:rsid w:val="00200782"/>
    <w:rsid w:val="0020603D"/>
    <w:rsid w:val="0021120B"/>
    <w:rsid w:val="00225179"/>
    <w:rsid w:val="0022FEF5"/>
    <w:rsid w:val="00241738"/>
    <w:rsid w:val="0028071C"/>
    <w:rsid w:val="00291573"/>
    <w:rsid w:val="002A0113"/>
    <w:rsid w:val="002B068C"/>
    <w:rsid w:val="002B0B43"/>
    <w:rsid w:val="002B1702"/>
    <w:rsid w:val="002B4FB4"/>
    <w:rsid w:val="002C0ECF"/>
    <w:rsid w:val="002D5F6C"/>
    <w:rsid w:val="003171C6"/>
    <w:rsid w:val="00321344"/>
    <w:rsid w:val="003317FF"/>
    <w:rsid w:val="003436D8"/>
    <w:rsid w:val="00362267"/>
    <w:rsid w:val="0037765F"/>
    <w:rsid w:val="003A0FCA"/>
    <w:rsid w:val="003E5998"/>
    <w:rsid w:val="003E5F21"/>
    <w:rsid w:val="004255A9"/>
    <w:rsid w:val="0043513B"/>
    <w:rsid w:val="004448C5"/>
    <w:rsid w:val="00483307"/>
    <w:rsid w:val="004A4780"/>
    <w:rsid w:val="004A6153"/>
    <w:rsid w:val="004B308E"/>
    <w:rsid w:val="004BCECD"/>
    <w:rsid w:val="004E0D96"/>
    <w:rsid w:val="004E61F9"/>
    <w:rsid w:val="00513331"/>
    <w:rsid w:val="00521596"/>
    <w:rsid w:val="00523176"/>
    <w:rsid w:val="005251D0"/>
    <w:rsid w:val="00543B54"/>
    <w:rsid w:val="00557025"/>
    <w:rsid w:val="00585370"/>
    <w:rsid w:val="0058604D"/>
    <w:rsid w:val="005A0112"/>
    <w:rsid w:val="005C7CA1"/>
    <w:rsid w:val="005F4F36"/>
    <w:rsid w:val="006032C4"/>
    <w:rsid w:val="00605466"/>
    <w:rsid w:val="00621BD6"/>
    <w:rsid w:val="006454FE"/>
    <w:rsid w:val="00694C7D"/>
    <w:rsid w:val="006A330B"/>
    <w:rsid w:val="006F3962"/>
    <w:rsid w:val="006F634F"/>
    <w:rsid w:val="006F7A21"/>
    <w:rsid w:val="007003AC"/>
    <w:rsid w:val="007057B9"/>
    <w:rsid w:val="00742561"/>
    <w:rsid w:val="00747A4D"/>
    <w:rsid w:val="00755729"/>
    <w:rsid w:val="00771CEF"/>
    <w:rsid w:val="007819B6"/>
    <w:rsid w:val="00782A2F"/>
    <w:rsid w:val="00786032"/>
    <w:rsid w:val="007B6562"/>
    <w:rsid w:val="007D4C86"/>
    <w:rsid w:val="007E2B12"/>
    <w:rsid w:val="007E564D"/>
    <w:rsid w:val="007F16A4"/>
    <w:rsid w:val="008224B1"/>
    <w:rsid w:val="00827E50"/>
    <w:rsid w:val="00833160"/>
    <w:rsid w:val="0085184C"/>
    <w:rsid w:val="00851A0D"/>
    <w:rsid w:val="008522D0"/>
    <w:rsid w:val="00870346"/>
    <w:rsid w:val="00885951"/>
    <w:rsid w:val="00891BDA"/>
    <w:rsid w:val="008A3611"/>
    <w:rsid w:val="008A3D75"/>
    <w:rsid w:val="008C32C4"/>
    <w:rsid w:val="008E4C65"/>
    <w:rsid w:val="008F5DAB"/>
    <w:rsid w:val="008F6AF8"/>
    <w:rsid w:val="009007F9"/>
    <w:rsid w:val="00941A94"/>
    <w:rsid w:val="0094555B"/>
    <w:rsid w:val="009727AA"/>
    <w:rsid w:val="009732B8"/>
    <w:rsid w:val="009746D3"/>
    <w:rsid w:val="00996EE3"/>
    <w:rsid w:val="009B0C26"/>
    <w:rsid w:val="009B760D"/>
    <w:rsid w:val="009D6662"/>
    <w:rsid w:val="009E4934"/>
    <w:rsid w:val="009E62AC"/>
    <w:rsid w:val="009E63F2"/>
    <w:rsid w:val="009F66A7"/>
    <w:rsid w:val="00A15E7C"/>
    <w:rsid w:val="00A17BAB"/>
    <w:rsid w:val="00A26603"/>
    <w:rsid w:val="00A43246"/>
    <w:rsid w:val="00A51B61"/>
    <w:rsid w:val="00A52892"/>
    <w:rsid w:val="00A77672"/>
    <w:rsid w:val="00A84AC7"/>
    <w:rsid w:val="00A992D4"/>
    <w:rsid w:val="00AA1F37"/>
    <w:rsid w:val="00AB299E"/>
    <w:rsid w:val="00AB56A6"/>
    <w:rsid w:val="00AC177D"/>
    <w:rsid w:val="00AE7865"/>
    <w:rsid w:val="00AF2EF7"/>
    <w:rsid w:val="00AF35D6"/>
    <w:rsid w:val="00AF709F"/>
    <w:rsid w:val="00B03EC8"/>
    <w:rsid w:val="00B30D6D"/>
    <w:rsid w:val="00B30ED3"/>
    <w:rsid w:val="00B3491F"/>
    <w:rsid w:val="00B46996"/>
    <w:rsid w:val="00B80EBB"/>
    <w:rsid w:val="00B9013C"/>
    <w:rsid w:val="00B950E0"/>
    <w:rsid w:val="00BA58FC"/>
    <w:rsid w:val="00BC3A61"/>
    <w:rsid w:val="00BC5519"/>
    <w:rsid w:val="00BD0D14"/>
    <w:rsid w:val="00BD4D00"/>
    <w:rsid w:val="00BD704C"/>
    <w:rsid w:val="00BE07BB"/>
    <w:rsid w:val="00BF02C8"/>
    <w:rsid w:val="00C10924"/>
    <w:rsid w:val="00C16B81"/>
    <w:rsid w:val="00C22627"/>
    <w:rsid w:val="00C56257"/>
    <w:rsid w:val="00C85744"/>
    <w:rsid w:val="00CA5CA5"/>
    <w:rsid w:val="00CB0100"/>
    <w:rsid w:val="00CC6D8E"/>
    <w:rsid w:val="00CF7389"/>
    <w:rsid w:val="00D141AE"/>
    <w:rsid w:val="00D23CF5"/>
    <w:rsid w:val="00D448CA"/>
    <w:rsid w:val="00D45EA0"/>
    <w:rsid w:val="00D469C9"/>
    <w:rsid w:val="00D50A01"/>
    <w:rsid w:val="00D67384"/>
    <w:rsid w:val="00D7310B"/>
    <w:rsid w:val="00D86AB9"/>
    <w:rsid w:val="00D96EFC"/>
    <w:rsid w:val="00D9752F"/>
    <w:rsid w:val="00DA03C0"/>
    <w:rsid w:val="00DBA64A"/>
    <w:rsid w:val="00DC55AE"/>
    <w:rsid w:val="00DF60A2"/>
    <w:rsid w:val="00E15390"/>
    <w:rsid w:val="00E46B3F"/>
    <w:rsid w:val="00E5742F"/>
    <w:rsid w:val="00E755CE"/>
    <w:rsid w:val="00EA02F2"/>
    <w:rsid w:val="00EA2070"/>
    <w:rsid w:val="00EA21F3"/>
    <w:rsid w:val="00EA2408"/>
    <w:rsid w:val="00EB34A7"/>
    <w:rsid w:val="00EB7521"/>
    <w:rsid w:val="00EC0BB8"/>
    <w:rsid w:val="00F03A90"/>
    <w:rsid w:val="00F14F57"/>
    <w:rsid w:val="00F373FC"/>
    <w:rsid w:val="00F408B7"/>
    <w:rsid w:val="00F4100E"/>
    <w:rsid w:val="00F42C1D"/>
    <w:rsid w:val="00F47251"/>
    <w:rsid w:val="00F906E1"/>
    <w:rsid w:val="00FA1A0E"/>
    <w:rsid w:val="00FB0A66"/>
    <w:rsid w:val="00FB6227"/>
    <w:rsid w:val="00FE0F13"/>
    <w:rsid w:val="00FE1DF4"/>
    <w:rsid w:val="00FF7623"/>
    <w:rsid w:val="00FF79A8"/>
    <w:rsid w:val="0105E3BC"/>
    <w:rsid w:val="013A2098"/>
    <w:rsid w:val="0159D5C9"/>
    <w:rsid w:val="016F258E"/>
    <w:rsid w:val="0194E6F4"/>
    <w:rsid w:val="01A004BF"/>
    <w:rsid w:val="021F5B3D"/>
    <w:rsid w:val="023694F3"/>
    <w:rsid w:val="02427790"/>
    <w:rsid w:val="02C6827A"/>
    <w:rsid w:val="03B4598E"/>
    <w:rsid w:val="03E13BFF"/>
    <w:rsid w:val="03E29727"/>
    <w:rsid w:val="03EC3F82"/>
    <w:rsid w:val="03F0A710"/>
    <w:rsid w:val="04143943"/>
    <w:rsid w:val="043FB53B"/>
    <w:rsid w:val="04678487"/>
    <w:rsid w:val="04937EFF"/>
    <w:rsid w:val="04B92A00"/>
    <w:rsid w:val="053CD30F"/>
    <w:rsid w:val="057CFB7C"/>
    <w:rsid w:val="059F1C29"/>
    <w:rsid w:val="05EF8D93"/>
    <w:rsid w:val="06334493"/>
    <w:rsid w:val="063C4505"/>
    <w:rsid w:val="0695F4C2"/>
    <w:rsid w:val="06D5DEED"/>
    <w:rsid w:val="06D8A3C1"/>
    <w:rsid w:val="074FE060"/>
    <w:rsid w:val="07752540"/>
    <w:rsid w:val="079F6B50"/>
    <w:rsid w:val="081279C7"/>
    <w:rsid w:val="0824C9B9"/>
    <w:rsid w:val="084B0D0A"/>
    <w:rsid w:val="08F69120"/>
    <w:rsid w:val="093FCA17"/>
    <w:rsid w:val="09762180"/>
    <w:rsid w:val="09769E4D"/>
    <w:rsid w:val="099F37E8"/>
    <w:rsid w:val="09FA00BA"/>
    <w:rsid w:val="0B3DDD32"/>
    <w:rsid w:val="0B3FB774"/>
    <w:rsid w:val="0B6E7C4E"/>
    <w:rsid w:val="0B7A497A"/>
    <w:rsid w:val="0BE6B2FF"/>
    <w:rsid w:val="0C1EA947"/>
    <w:rsid w:val="0C32F2FE"/>
    <w:rsid w:val="0C43F9CE"/>
    <w:rsid w:val="0C8E3D8F"/>
    <w:rsid w:val="0C9F1F1E"/>
    <w:rsid w:val="0CB0851B"/>
    <w:rsid w:val="0CEC3883"/>
    <w:rsid w:val="0D424187"/>
    <w:rsid w:val="0D5B55C3"/>
    <w:rsid w:val="0D754306"/>
    <w:rsid w:val="0D75C9DB"/>
    <w:rsid w:val="0D85F413"/>
    <w:rsid w:val="0D981C98"/>
    <w:rsid w:val="0DAAD239"/>
    <w:rsid w:val="0E04F131"/>
    <w:rsid w:val="0E2B928E"/>
    <w:rsid w:val="0E822E56"/>
    <w:rsid w:val="0EB5C493"/>
    <w:rsid w:val="0EDE11E8"/>
    <w:rsid w:val="0F4004C7"/>
    <w:rsid w:val="0F666BF4"/>
    <w:rsid w:val="0F78ABAA"/>
    <w:rsid w:val="0FB192F0"/>
    <w:rsid w:val="0FCCB774"/>
    <w:rsid w:val="0FD00DDF"/>
    <w:rsid w:val="0FD8AFD4"/>
    <w:rsid w:val="0FF72BC0"/>
    <w:rsid w:val="103B3AC7"/>
    <w:rsid w:val="1073FA18"/>
    <w:rsid w:val="1096D5E9"/>
    <w:rsid w:val="10A655F0"/>
    <w:rsid w:val="11450410"/>
    <w:rsid w:val="11B9CF18"/>
    <w:rsid w:val="11D50BE7"/>
    <w:rsid w:val="124A89D0"/>
    <w:rsid w:val="124AF77E"/>
    <w:rsid w:val="124D5016"/>
    <w:rsid w:val="124D6D01"/>
    <w:rsid w:val="12825596"/>
    <w:rsid w:val="12E89343"/>
    <w:rsid w:val="1317A176"/>
    <w:rsid w:val="1361B811"/>
    <w:rsid w:val="13C40507"/>
    <w:rsid w:val="13F1277A"/>
    <w:rsid w:val="14136D21"/>
    <w:rsid w:val="145D5913"/>
    <w:rsid w:val="146555FA"/>
    <w:rsid w:val="14B9BDEB"/>
    <w:rsid w:val="14DB61FB"/>
    <w:rsid w:val="14EA9906"/>
    <w:rsid w:val="1519E8D5"/>
    <w:rsid w:val="156ECC0A"/>
    <w:rsid w:val="15CD2550"/>
    <w:rsid w:val="15D9C625"/>
    <w:rsid w:val="15EE350F"/>
    <w:rsid w:val="16C8371E"/>
    <w:rsid w:val="1717F982"/>
    <w:rsid w:val="171A5FDF"/>
    <w:rsid w:val="171E054C"/>
    <w:rsid w:val="173D965E"/>
    <w:rsid w:val="174D945E"/>
    <w:rsid w:val="175D883C"/>
    <w:rsid w:val="17BE0787"/>
    <w:rsid w:val="17E13F32"/>
    <w:rsid w:val="182D5793"/>
    <w:rsid w:val="183EE01A"/>
    <w:rsid w:val="18B3DFC7"/>
    <w:rsid w:val="19C927F4"/>
    <w:rsid w:val="1A753720"/>
    <w:rsid w:val="1A97D754"/>
    <w:rsid w:val="1B966BEC"/>
    <w:rsid w:val="1BC109BE"/>
    <w:rsid w:val="1BC821DF"/>
    <w:rsid w:val="1BFEDF40"/>
    <w:rsid w:val="1C110781"/>
    <w:rsid w:val="1C3D5C78"/>
    <w:rsid w:val="1C759391"/>
    <w:rsid w:val="1CC676C7"/>
    <w:rsid w:val="1CCAB7DA"/>
    <w:rsid w:val="1D2836C4"/>
    <w:rsid w:val="1D3465EF"/>
    <w:rsid w:val="1D36EEC2"/>
    <w:rsid w:val="1DAA0AC3"/>
    <w:rsid w:val="1DACD7E2"/>
    <w:rsid w:val="1DC87440"/>
    <w:rsid w:val="1DC87DE7"/>
    <w:rsid w:val="1E303FB6"/>
    <w:rsid w:val="1E93E833"/>
    <w:rsid w:val="1EF31ADA"/>
    <w:rsid w:val="1F0AA6D8"/>
    <w:rsid w:val="1F2EBBBD"/>
    <w:rsid w:val="1F587FBE"/>
    <w:rsid w:val="1F728284"/>
    <w:rsid w:val="1F923874"/>
    <w:rsid w:val="20279D14"/>
    <w:rsid w:val="2048862D"/>
    <w:rsid w:val="207DB234"/>
    <w:rsid w:val="2097F399"/>
    <w:rsid w:val="20C46D8E"/>
    <w:rsid w:val="20DE183A"/>
    <w:rsid w:val="20E478A4"/>
    <w:rsid w:val="21832894"/>
    <w:rsid w:val="21B1D88F"/>
    <w:rsid w:val="21B22806"/>
    <w:rsid w:val="221DA412"/>
    <w:rsid w:val="22804905"/>
    <w:rsid w:val="231B4136"/>
    <w:rsid w:val="238B06F6"/>
    <w:rsid w:val="241D3C13"/>
    <w:rsid w:val="244AC82F"/>
    <w:rsid w:val="24691080"/>
    <w:rsid w:val="249E8431"/>
    <w:rsid w:val="24A9BCE7"/>
    <w:rsid w:val="2507256B"/>
    <w:rsid w:val="254466A8"/>
    <w:rsid w:val="25BD5894"/>
    <w:rsid w:val="2640FC49"/>
    <w:rsid w:val="265A0A48"/>
    <w:rsid w:val="26937D32"/>
    <w:rsid w:val="2693C2CE"/>
    <w:rsid w:val="26CB5692"/>
    <w:rsid w:val="26FC9060"/>
    <w:rsid w:val="2738AFB8"/>
    <w:rsid w:val="27C43B6B"/>
    <w:rsid w:val="27EEB259"/>
    <w:rsid w:val="280F7245"/>
    <w:rsid w:val="286C8ACA"/>
    <w:rsid w:val="287C076A"/>
    <w:rsid w:val="28892075"/>
    <w:rsid w:val="28C33334"/>
    <w:rsid w:val="28C7EE44"/>
    <w:rsid w:val="28E21D0D"/>
    <w:rsid w:val="2951CAF8"/>
    <w:rsid w:val="295A67AD"/>
    <w:rsid w:val="29A618A6"/>
    <w:rsid w:val="29AB42A6"/>
    <w:rsid w:val="2A653B20"/>
    <w:rsid w:val="2A92C40D"/>
    <w:rsid w:val="2AC8101B"/>
    <w:rsid w:val="2ACFA6E4"/>
    <w:rsid w:val="2AD9C9EC"/>
    <w:rsid w:val="2AF4966C"/>
    <w:rsid w:val="2B7E7A76"/>
    <w:rsid w:val="2BD2C4DA"/>
    <w:rsid w:val="2C26D625"/>
    <w:rsid w:val="2C3A30EA"/>
    <w:rsid w:val="2C71976A"/>
    <w:rsid w:val="2C8E42C2"/>
    <w:rsid w:val="2C99CEB1"/>
    <w:rsid w:val="2C9AD0CE"/>
    <w:rsid w:val="2CCCC4DA"/>
    <w:rsid w:val="2D20B6F5"/>
    <w:rsid w:val="2D441D76"/>
    <w:rsid w:val="2D4E34F3"/>
    <w:rsid w:val="2DEDBD86"/>
    <w:rsid w:val="2E877330"/>
    <w:rsid w:val="2F37C93D"/>
    <w:rsid w:val="2F52B9FC"/>
    <w:rsid w:val="2F5A8C5D"/>
    <w:rsid w:val="2FC2A861"/>
    <w:rsid w:val="2FD6EC92"/>
    <w:rsid w:val="3032584B"/>
    <w:rsid w:val="30347B55"/>
    <w:rsid w:val="3035BEA0"/>
    <w:rsid w:val="307166CB"/>
    <w:rsid w:val="3079F399"/>
    <w:rsid w:val="30C1FA20"/>
    <w:rsid w:val="31406050"/>
    <w:rsid w:val="315BF62E"/>
    <w:rsid w:val="31940EAE"/>
    <w:rsid w:val="31CC1DD6"/>
    <w:rsid w:val="323B1B9D"/>
    <w:rsid w:val="329B3715"/>
    <w:rsid w:val="33580AAE"/>
    <w:rsid w:val="33BA1E45"/>
    <w:rsid w:val="33C617F6"/>
    <w:rsid w:val="33CD3F70"/>
    <w:rsid w:val="33D74E8A"/>
    <w:rsid w:val="3408089A"/>
    <w:rsid w:val="3455BD4B"/>
    <w:rsid w:val="34665774"/>
    <w:rsid w:val="34764C10"/>
    <w:rsid w:val="3490AF40"/>
    <w:rsid w:val="34B27D04"/>
    <w:rsid w:val="34E5EF54"/>
    <w:rsid w:val="35078AA1"/>
    <w:rsid w:val="35419667"/>
    <w:rsid w:val="35631920"/>
    <w:rsid w:val="3593BCE2"/>
    <w:rsid w:val="35A29D87"/>
    <w:rsid w:val="35FEE046"/>
    <w:rsid w:val="3604C2EF"/>
    <w:rsid w:val="365EFBB7"/>
    <w:rsid w:val="368DA79C"/>
    <w:rsid w:val="368FAB70"/>
    <w:rsid w:val="36BB837A"/>
    <w:rsid w:val="370DBDF6"/>
    <w:rsid w:val="371DBE83"/>
    <w:rsid w:val="377AFA08"/>
    <w:rsid w:val="377F5A7F"/>
    <w:rsid w:val="379E0B96"/>
    <w:rsid w:val="37A92895"/>
    <w:rsid w:val="37B42B7E"/>
    <w:rsid w:val="37DAAF48"/>
    <w:rsid w:val="37F736D1"/>
    <w:rsid w:val="383F2B63"/>
    <w:rsid w:val="385D9A3B"/>
    <w:rsid w:val="386F85FD"/>
    <w:rsid w:val="3870A684"/>
    <w:rsid w:val="38A8797B"/>
    <w:rsid w:val="38B536B7"/>
    <w:rsid w:val="38D4E26A"/>
    <w:rsid w:val="38FE68C1"/>
    <w:rsid w:val="392E767A"/>
    <w:rsid w:val="39DF50E7"/>
    <w:rsid w:val="39E9FC51"/>
    <w:rsid w:val="39FC6243"/>
    <w:rsid w:val="3A0A893F"/>
    <w:rsid w:val="3A82696A"/>
    <w:rsid w:val="3B379AB8"/>
    <w:rsid w:val="3B4695AA"/>
    <w:rsid w:val="3B818817"/>
    <w:rsid w:val="3B8339A1"/>
    <w:rsid w:val="3BA88538"/>
    <w:rsid w:val="3BAA4434"/>
    <w:rsid w:val="3BCA2E01"/>
    <w:rsid w:val="3BD1A2C8"/>
    <w:rsid w:val="3BE658EA"/>
    <w:rsid w:val="3BE7C27B"/>
    <w:rsid w:val="3C16F812"/>
    <w:rsid w:val="3C1E39CB"/>
    <w:rsid w:val="3C1FE708"/>
    <w:rsid w:val="3C49C8AC"/>
    <w:rsid w:val="3C4CA5BE"/>
    <w:rsid w:val="3C7E0408"/>
    <w:rsid w:val="3C8F947C"/>
    <w:rsid w:val="3CED843A"/>
    <w:rsid w:val="3D39E3F5"/>
    <w:rsid w:val="3D9020C4"/>
    <w:rsid w:val="3D968667"/>
    <w:rsid w:val="3DBEFA6E"/>
    <w:rsid w:val="3E260750"/>
    <w:rsid w:val="3E286F85"/>
    <w:rsid w:val="3E5178D3"/>
    <w:rsid w:val="3E624A5B"/>
    <w:rsid w:val="3E95448A"/>
    <w:rsid w:val="3F048756"/>
    <w:rsid w:val="3F499961"/>
    <w:rsid w:val="3F79BA1D"/>
    <w:rsid w:val="3FA3B9D7"/>
    <w:rsid w:val="3FF72B00"/>
    <w:rsid w:val="4027EE28"/>
    <w:rsid w:val="40398E99"/>
    <w:rsid w:val="408B0FEF"/>
    <w:rsid w:val="408B1E18"/>
    <w:rsid w:val="40A2AD50"/>
    <w:rsid w:val="41022619"/>
    <w:rsid w:val="417DA778"/>
    <w:rsid w:val="4197FB3F"/>
    <w:rsid w:val="42611D95"/>
    <w:rsid w:val="4271B65C"/>
    <w:rsid w:val="42A1E5A4"/>
    <w:rsid w:val="43272185"/>
    <w:rsid w:val="4351DAAA"/>
    <w:rsid w:val="43570DDF"/>
    <w:rsid w:val="43896A4E"/>
    <w:rsid w:val="43ACF544"/>
    <w:rsid w:val="4439C6DB"/>
    <w:rsid w:val="443FEC78"/>
    <w:rsid w:val="449F3F5B"/>
    <w:rsid w:val="44FE21CA"/>
    <w:rsid w:val="456B1DBA"/>
    <w:rsid w:val="457BCCBC"/>
    <w:rsid w:val="457E653A"/>
    <w:rsid w:val="46BE76CB"/>
    <w:rsid w:val="46D41F6C"/>
    <w:rsid w:val="46FE1B7D"/>
    <w:rsid w:val="47583E31"/>
    <w:rsid w:val="47C53CBB"/>
    <w:rsid w:val="47DD7DEC"/>
    <w:rsid w:val="48091927"/>
    <w:rsid w:val="4840E038"/>
    <w:rsid w:val="48B37E91"/>
    <w:rsid w:val="48F40E92"/>
    <w:rsid w:val="491C3A31"/>
    <w:rsid w:val="491F13D6"/>
    <w:rsid w:val="49598ACA"/>
    <w:rsid w:val="4967DB9F"/>
    <w:rsid w:val="49993F93"/>
    <w:rsid w:val="49DE6183"/>
    <w:rsid w:val="49F1D8A4"/>
    <w:rsid w:val="4A6806EB"/>
    <w:rsid w:val="4AB427AB"/>
    <w:rsid w:val="4B451B04"/>
    <w:rsid w:val="4B8117A2"/>
    <w:rsid w:val="4BBCCF15"/>
    <w:rsid w:val="4BD64BF4"/>
    <w:rsid w:val="4BE030BD"/>
    <w:rsid w:val="4BF97BF8"/>
    <w:rsid w:val="4C040C94"/>
    <w:rsid w:val="4C9A7404"/>
    <w:rsid w:val="4CB9F3BC"/>
    <w:rsid w:val="4D5C98DF"/>
    <w:rsid w:val="4D98C0E3"/>
    <w:rsid w:val="4DD8358A"/>
    <w:rsid w:val="4E3CC7AA"/>
    <w:rsid w:val="4E44FE51"/>
    <w:rsid w:val="4E95F5B5"/>
    <w:rsid w:val="4EC5B43A"/>
    <w:rsid w:val="4F42CEC5"/>
    <w:rsid w:val="4F570F77"/>
    <w:rsid w:val="4F8DE5A9"/>
    <w:rsid w:val="4F8E0F5E"/>
    <w:rsid w:val="4FF9264B"/>
    <w:rsid w:val="50004763"/>
    <w:rsid w:val="505A92B4"/>
    <w:rsid w:val="5065155D"/>
    <w:rsid w:val="509D7412"/>
    <w:rsid w:val="50BBAC0C"/>
    <w:rsid w:val="50C6D80B"/>
    <w:rsid w:val="50C9089D"/>
    <w:rsid w:val="5106D7E3"/>
    <w:rsid w:val="51206FBA"/>
    <w:rsid w:val="51274C16"/>
    <w:rsid w:val="515DD42D"/>
    <w:rsid w:val="5163910F"/>
    <w:rsid w:val="516B3C0D"/>
    <w:rsid w:val="517BB962"/>
    <w:rsid w:val="51AB83C0"/>
    <w:rsid w:val="51FFA88A"/>
    <w:rsid w:val="520EDAEB"/>
    <w:rsid w:val="52547F28"/>
    <w:rsid w:val="5262A86C"/>
    <w:rsid w:val="5278BC43"/>
    <w:rsid w:val="5286DD0C"/>
    <w:rsid w:val="52B566B7"/>
    <w:rsid w:val="52C1649F"/>
    <w:rsid w:val="52F3398C"/>
    <w:rsid w:val="52F51AB3"/>
    <w:rsid w:val="5318AF2A"/>
    <w:rsid w:val="53D25604"/>
    <w:rsid w:val="542C25FE"/>
    <w:rsid w:val="542E51EE"/>
    <w:rsid w:val="54C4A5CB"/>
    <w:rsid w:val="54D0310D"/>
    <w:rsid w:val="550AB306"/>
    <w:rsid w:val="550EE7CC"/>
    <w:rsid w:val="55226B08"/>
    <w:rsid w:val="55339F64"/>
    <w:rsid w:val="553CEDB0"/>
    <w:rsid w:val="55609E6A"/>
    <w:rsid w:val="558EE528"/>
    <w:rsid w:val="55CE6D47"/>
    <w:rsid w:val="564FFC70"/>
    <w:rsid w:val="5654F486"/>
    <w:rsid w:val="56629923"/>
    <w:rsid w:val="56E93C25"/>
    <w:rsid w:val="56FACFE4"/>
    <w:rsid w:val="572611C5"/>
    <w:rsid w:val="57B0D151"/>
    <w:rsid w:val="57CDFCAC"/>
    <w:rsid w:val="58337312"/>
    <w:rsid w:val="585F8545"/>
    <w:rsid w:val="586B426E"/>
    <w:rsid w:val="58E059E6"/>
    <w:rsid w:val="594D99D1"/>
    <w:rsid w:val="59AC026A"/>
    <w:rsid w:val="59CF4373"/>
    <w:rsid w:val="5A09BB1A"/>
    <w:rsid w:val="5A11F7AD"/>
    <w:rsid w:val="5A53308E"/>
    <w:rsid w:val="5A6537A0"/>
    <w:rsid w:val="5A7AC2EF"/>
    <w:rsid w:val="5ABC8383"/>
    <w:rsid w:val="5AE4DC04"/>
    <w:rsid w:val="5B0A98B2"/>
    <w:rsid w:val="5B9FEC5C"/>
    <w:rsid w:val="5BF2E39B"/>
    <w:rsid w:val="5C1765DB"/>
    <w:rsid w:val="5C4F1E88"/>
    <w:rsid w:val="5C5BA70B"/>
    <w:rsid w:val="5C761AD8"/>
    <w:rsid w:val="5CDE651E"/>
    <w:rsid w:val="5D14EB77"/>
    <w:rsid w:val="5D3A5F8B"/>
    <w:rsid w:val="5D3AFF88"/>
    <w:rsid w:val="5D514A55"/>
    <w:rsid w:val="5D9B11A1"/>
    <w:rsid w:val="5DB017E3"/>
    <w:rsid w:val="5EC0EC56"/>
    <w:rsid w:val="5ECAA799"/>
    <w:rsid w:val="5ED62FEC"/>
    <w:rsid w:val="5EE34359"/>
    <w:rsid w:val="5F8A7C9E"/>
    <w:rsid w:val="5FB214BD"/>
    <w:rsid w:val="606F99F0"/>
    <w:rsid w:val="60778B93"/>
    <w:rsid w:val="608EB86F"/>
    <w:rsid w:val="60AC1D58"/>
    <w:rsid w:val="619019C5"/>
    <w:rsid w:val="6197F1AE"/>
    <w:rsid w:val="62150546"/>
    <w:rsid w:val="622A1CA5"/>
    <w:rsid w:val="6232D71D"/>
    <w:rsid w:val="626288F8"/>
    <w:rsid w:val="62A25840"/>
    <w:rsid w:val="6327634E"/>
    <w:rsid w:val="634181BF"/>
    <w:rsid w:val="636071A3"/>
    <w:rsid w:val="63A5A968"/>
    <w:rsid w:val="63C02A8F"/>
    <w:rsid w:val="63C5A58B"/>
    <w:rsid w:val="63DFC931"/>
    <w:rsid w:val="63EF8DED"/>
    <w:rsid w:val="64094F63"/>
    <w:rsid w:val="643AE1ED"/>
    <w:rsid w:val="644E55C0"/>
    <w:rsid w:val="646D5D51"/>
    <w:rsid w:val="646F126D"/>
    <w:rsid w:val="64BCC182"/>
    <w:rsid w:val="64CA8184"/>
    <w:rsid w:val="64DBBB1C"/>
    <w:rsid w:val="65309AD1"/>
    <w:rsid w:val="653361B8"/>
    <w:rsid w:val="6547298A"/>
    <w:rsid w:val="654DF360"/>
    <w:rsid w:val="659CC78E"/>
    <w:rsid w:val="662FD7EB"/>
    <w:rsid w:val="66B84D54"/>
    <w:rsid w:val="66EEE1DB"/>
    <w:rsid w:val="66FE891B"/>
    <w:rsid w:val="6719F1B7"/>
    <w:rsid w:val="67324BAE"/>
    <w:rsid w:val="67ABD29B"/>
    <w:rsid w:val="68859422"/>
    <w:rsid w:val="68996D81"/>
    <w:rsid w:val="68DCC086"/>
    <w:rsid w:val="69060F17"/>
    <w:rsid w:val="692E7254"/>
    <w:rsid w:val="69AF1E8D"/>
    <w:rsid w:val="6A1FBBB7"/>
    <w:rsid w:val="6A533970"/>
    <w:rsid w:val="6A7890E7"/>
    <w:rsid w:val="6A86A8D1"/>
    <w:rsid w:val="6AEC1406"/>
    <w:rsid w:val="6AFE4E38"/>
    <w:rsid w:val="6B355B64"/>
    <w:rsid w:val="6B3D4ED2"/>
    <w:rsid w:val="6B560B16"/>
    <w:rsid w:val="6B8194A2"/>
    <w:rsid w:val="6C02FBD7"/>
    <w:rsid w:val="6C2D72F1"/>
    <w:rsid w:val="6C74B56F"/>
    <w:rsid w:val="6C89EFCF"/>
    <w:rsid w:val="6CB4395E"/>
    <w:rsid w:val="6CBCA983"/>
    <w:rsid w:val="6CD42221"/>
    <w:rsid w:val="6D3C04F5"/>
    <w:rsid w:val="6D790B6A"/>
    <w:rsid w:val="6DBAE9B2"/>
    <w:rsid w:val="6E8F8DAE"/>
    <w:rsid w:val="6EAC0336"/>
    <w:rsid w:val="6F3728C7"/>
    <w:rsid w:val="6F43831C"/>
    <w:rsid w:val="6F4C020A"/>
    <w:rsid w:val="6F8183BE"/>
    <w:rsid w:val="6FBD91D4"/>
    <w:rsid w:val="6FDAECA5"/>
    <w:rsid w:val="702B5E0F"/>
    <w:rsid w:val="702D8AA6"/>
    <w:rsid w:val="70968D6F"/>
    <w:rsid w:val="70E7D26B"/>
    <w:rsid w:val="712CFB5F"/>
    <w:rsid w:val="714B0179"/>
    <w:rsid w:val="715AD480"/>
    <w:rsid w:val="715F2602"/>
    <w:rsid w:val="716071E1"/>
    <w:rsid w:val="71CD4F13"/>
    <w:rsid w:val="71FB1861"/>
    <w:rsid w:val="71FE15D3"/>
    <w:rsid w:val="72177E44"/>
    <w:rsid w:val="7227B106"/>
    <w:rsid w:val="722DA76B"/>
    <w:rsid w:val="72303604"/>
    <w:rsid w:val="72B92480"/>
    <w:rsid w:val="72BC4B5C"/>
    <w:rsid w:val="72CD6A71"/>
    <w:rsid w:val="72DE2934"/>
    <w:rsid w:val="72E94B78"/>
    <w:rsid w:val="734084F0"/>
    <w:rsid w:val="73805D90"/>
    <w:rsid w:val="73B2DE08"/>
    <w:rsid w:val="73ECC9F5"/>
    <w:rsid w:val="73F946D5"/>
    <w:rsid w:val="747480CA"/>
    <w:rsid w:val="74B8CA16"/>
    <w:rsid w:val="74E12979"/>
    <w:rsid w:val="751C2DF1"/>
    <w:rsid w:val="755F8B19"/>
    <w:rsid w:val="75795F81"/>
    <w:rsid w:val="758DD46C"/>
    <w:rsid w:val="75BB438E"/>
    <w:rsid w:val="75C05896"/>
    <w:rsid w:val="75C08A2B"/>
    <w:rsid w:val="75CE6F91"/>
    <w:rsid w:val="7614B89F"/>
    <w:rsid w:val="765A92B8"/>
    <w:rsid w:val="76C9BEDE"/>
    <w:rsid w:val="76EA7ECA"/>
    <w:rsid w:val="7710DFFD"/>
    <w:rsid w:val="78316D2E"/>
    <w:rsid w:val="78435786"/>
    <w:rsid w:val="784A9A2F"/>
    <w:rsid w:val="78A739C9"/>
    <w:rsid w:val="78A8DB09"/>
    <w:rsid w:val="7919E264"/>
    <w:rsid w:val="79B3BD70"/>
    <w:rsid w:val="79CAA0CB"/>
    <w:rsid w:val="7A146F0E"/>
    <w:rsid w:val="7A679057"/>
    <w:rsid w:val="7A9A78E5"/>
    <w:rsid w:val="7A9FEA9F"/>
    <w:rsid w:val="7ABC8743"/>
    <w:rsid w:val="7AF59E8B"/>
    <w:rsid w:val="7B0D2A2F"/>
    <w:rsid w:val="7B1270D9"/>
    <w:rsid w:val="7B545D52"/>
    <w:rsid w:val="7B5DA17A"/>
    <w:rsid w:val="7BC7A098"/>
    <w:rsid w:val="7BDB4634"/>
    <w:rsid w:val="7C42EFE6"/>
    <w:rsid w:val="7CA5F5B7"/>
    <w:rsid w:val="7D1FCA00"/>
    <w:rsid w:val="7D2463BF"/>
    <w:rsid w:val="7D3C5396"/>
    <w:rsid w:val="7D572F1C"/>
    <w:rsid w:val="7D69DBB6"/>
    <w:rsid w:val="7DAA42F7"/>
    <w:rsid w:val="7DB6E55B"/>
    <w:rsid w:val="7DD9CEE8"/>
    <w:rsid w:val="7DE1D892"/>
    <w:rsid w:val="7E489F08"/>
    <w:rsid w:val="7E87F268"/>
    <w:rsid w:val="7ED63CAA"/>
    <w:rsid w:val="7F68F6C7"/>
    <w:rsid w:val="7F735BC2"/>
    <w:rsid w:val="7FE6C0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95F4C2"/>
  <w15:docId w15:val="{4D9DF528-AFBD-E047-8D2E-9659B11B3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5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uiPriority w:val="1"/>
    <w:rsid w:val="6719F1B7"/>
    <w:pPr>
      <w:spacing w:before="160"/>
    </w:pPr>
    <w:rPr>
      <w:rFonts w:ascii="Helvetica Neue" w:eastAsia="Helvetica Neue" w:hAnsi="Helvetica Neue" w:cs="Helvetica Neue"/>
      <w:color w:val="000000" w:themeColor="text1"/>
      <w:sz w:val="24"/>
      <w:szCs w:val="24"/>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8604D"/>
    <w:rPr>
      <w:b/>
      <w:bCs/>
    </w:rPr>
  </w:style>
  <w:style w:type="character" w:customStyle="1" w:styleId="CommentSubjectChar">
    <w:name w:val="Comment Subject Char"/>
    <w:basedOn w:val="CommentTextChar"/>
    <w:link w:val="CommentSubject"/>
    <w:uiPriority w:val="99"/>
    <w:semiHidden/>
    <w:rsid w:val="0058604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4255A9"/>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4255A9"/>
  </w:style>
  <w:style w:type="paragraph" w:styleId="FootnoteText">
    <w:name w:val="footnote text"/>
    <w:basedOn w:val="Normal"/>
    <w:link w:val="FootnoteTextChar"/>
    <w:uiPriority w:val="99"/>
    <w:unhideWhenUsed/>
    <w:rsid w:val="008E4C65"/>
    <w:pPr>
      <w:spacing w:after="0" w:line="240" w:lineRule="auto"/>
    </w:pPr>
    <w:rPr>
      <w:sz w:val="20"/>
      <w:szCs w:val="20"/>
    </w:rPr>
  </w:style>
  <w:style w:type="character" w:customStyle="1" w:styleId="FootnoteTextChar">
    <w:name w:val="Footnote Text Char"/>
    <w:basedOn w:val="DefaultParagraphFont"/>
    <w:link w:val="FootnoteText"/>
    <w:uiPriority w:val="99"/>
    <w:rsid w:val="008E4C65"/>
    <w:rPr>
      <w:sz w:val="20"/>
      <w:szCs w:val="20"/>
    </w:rPr>
  </w:style>
  <w:style w:type="character" w:styleId="FootnoteReference">
    <w:name w:val="footnote reference"/>
    <w:aliases w:val="4_G,Footnote number,referencia nota al pie,Footnotes refss,Appel note de bas de page,f,Footnote Text Char1 Car Car Car Car,Footnote Text Char Char Car Car Car Car,Char Car Car Car Car,Char Char Char Car Car Car Car Car,BVI f,BVI fnr"/>
    <w:basedOn w:val="DefaultParagraphFont"/>
    <w:uiPriority w:val="99"/>
    <w:unhideWhenUsed/>
    <w:qFormat/>
    <w:rsid w:val="008E4C65"/>
    <w:rPr>
      <w:vertAlign w:val="superscript"/>
    </w:rPr>
  </w:style>
  <w:style w:type="character" w:customStyle="1" w:styleId="UnresolvedMention1">
    <w:name w:val="Unresolved Mention1"/>
    <w:basedOn w:val="DefaultParagraphFont"/>
    <w:uiPriority w:val="99"/>
    <w:semiHidden/>
    <w:unhideWhenUsed/>
    <w:rsid w:val="00D7310B"/>
    <w:rPr>
      <w:color w:val="605E5C"/>
      <w:shd w:val="clear" w:color="auto" w:fill="E1DFDD"/>
    </w:rPr>
  </w:style>
  <w:style w:type="paragraph" w:styleId="ListParagraph">
    <w:name w:val="List Paragraph"/>
    <w:basedOn w:val="Normal"/>
    <w:uiPriority w:val="34"/>
    <w:qFormat/>
    <w:rsid w:val="00B80EBB"/>
    <w:pPr>
      <w:ind w:left="720"/>
      <w:contextualSpacing/>
    </w:pPr>
  </w:style>
  <w:style w:type="character" w:styleId="FollowedHyperlink">
    <w:name w:val="FollowedHyperlink"/>
    <w:basedOn w:val="DefaultParagraphFont"/>
    <w:uiPriority w:val="99"/>
    <w:semiHidden/>
    <w:unhideWhenUsed/>
    <w:rsid w:val="00557025"/>
    <w:rPr>
      <w:color w:val="954F72" w:themeColor="followedHyperlink"/>
      <w:u w:val="single"/>
    </w:rPr>
  </w:style>
  <w:style w:type="character" w:styleId="Emphasis">
    <w:name w:val="Emphasis"/>
    <w:basedOn w:val="DefaultParagraphFont"/>
    <w:uiPriority w:val="20"/>
    <w:qFormat/>
    <w:rsid w:val="001A2BA9"/>
    <w:rPr>
      <w:i/>
      <w:iCs/>
    </w:rPr>
  </w:style>
  <w:style w:type="character" w:customStyle="1" w:styleId="normaltextrun">
    <w:name w:val="normaltextrun"/>
    <w:basedOn w:val="DefaultParagraphFont"/>
    <w:rsid w:val="001A2BA9"/>
  </w:style>
  <w:style w:type="character" w:customStyle="1" w:styleId="eop">
    <w:name w:val="eop"/>
    <w:basedOn w:val="DefaultParagraphFont"/>
    <w:rsid w:val="001A2BA9"/>
  </w:style>
  <w:style w:type="character" w:customStyle="1" w:styleId="Heading1Char">
    <w:name w:val="Heading 1 Char"/>
    <w:basedOn w:val="DefaultParagraphFont"/>
    <w:link w:val="Heading1"/>
    <w:uiPriority w:val="9"/>
    <w:rsid w:val="00AF35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35D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F35D6"/>
    <w:pPr>
      <w:spacing w:before="120" w:after="0"/>
    </w:pPr>
    <w:rPr>
      <w:rFonts w:cstheme="minorHAnsi"/>
      <w:b/>
      <w:bCs/>
      <w:i/>
      <w:iCs/>
      <w:sz w:val="24"/>
      <w:szCs w:val="24"/>
    </w:rPr>
  </w:style>
  <w:style w:type="paragraph" w:styleId="TOC2">
    <w:name w:val="toc 2"/>
    <w:basedOn w:val="Normal"/>
    <w:next w:val="Normal"/>
    <w:autoRedefine/>
    <w:uiPriority w:val="39"/>
    <w:unhideWhenUsed/>
    <w:rsid w:val="00AF35D6"/>
    <w:pPr>
      <w:spacing w:before="120" w:after="0"/>
      <w:ind w:left="220"/>
    </w:pPr>
    <w:rPr>
      <w:rFonts w:cstheme="minorHAnsi"/>
      <w:b/>
      <w:bCs/>
    </w:rPr>
  </w:style>
  <w:style w:type="paragraph" w:styleId="TOC3">
    <w:name w:val="toc 3"/>
    <w:basedOn w:val="Normal"/>
    <w:next w:val="Normal"/>
    <w:autoRedefine/>
    <w:uiPriority w:val="39"/>
    <w:unhideWhenUsed/>
    <w:rsid w:val="00AF35D6"/>
    <w:pPr>
      <w:spacing w:after="0"/>
      <w:ind w:left="440"/>
    </w:pPr>
    <w:rPr>
      <w:rFonts w:cstheme="minorHAnsi"/>
      <w:sz w:val="20"/>
      <w:szCs w:val="20"/>
    </w:rPr>
  </w:style>
  <w:style w:type="paragraph" w:styleId="TOC4">
    <w:name w:val="toc 4"/>
    <w:basedOn w:val="Normal"/>
    <w:next w:val="Normal"/>
    <w:autoRedefine/>
    <w:uiPriority w:val="39"/>
    <w:unhideWhenUsed/>
    <w:rsid w:val="00AF35D6"/>
    <w:pPr>
      <w:spacing w:after="0"/>
      <w:ind w:left="660"/>
    </w:pPr>
    <w:rPr>
      <w:rFonts w:cstheme="minorHAnsi"/>
      <w:sz w:val="20"/>
      <w:szCs w:val="20"/>
    </w:rPr>
  </w:style>
  <w:style w:type="paragraph" w:styleId="TOC5">
    <w:name w:val="toc 5"/>
    <w:basedOn w:val="Normal"/>
    <w:next w:val="Normal"/>
    <w:autoRedefine/>
    <w:uiPriority w:val="39"/>
    <w:unhideWhenUsed/>
    <w:rsid w:val="00AF35D6"/>
    <w:pPr>
      <w:spacing w:after="0"/>
      <w:ind w:left="880"/>
    </w:pPr>
    <w:rPr>
      <w:rFonts w:cstheme="minorHAnsi"/>
      <w:sz w:val="20"/>
      <w:szCs w:val="20"/>
    </w:rPr>
  </w:style>
  <w:style w:type="paragraph" w:styleId="TOC6">
    <w:name w:val="toc 6"/>
    <w:basedOn w:val="Normal"/>
    <w:next w:val="Normal"/>
    <w:autoRedefine/>
    <w:uiPriority w:val="39"/>
    <w:unhideWhenUsed/>
    <w:rsid w:val="00AF35D6"/>
    <w:pPr>
      <w:spacing w:after="0"/>
      <w:ind w:left="1100"/>
    </w:pPr>
    <w:rPr>
      <w:rFonts w:cstheme="minorHAnsi"/>
      <w:sz w:val="20"/>
      <w:szCs w:val="20"/>
    </w:rPr>
  </w:style>
  <w:style w:type="paragraph" w:styleId="TOC7">
    <w:name w:val="toc 7"/>
    <w:basedOn w:val="Normal"/>
    <w:next w:val="Normal"/>
    <w:autoRedefine/>
    <w:uiPriority w:val="39"/>
    <w:unhideWhenUsed/>
    <w:rsid w:val="00AF35D6"/>
    <w:pPr>
      <w:spacing w:after="0"/>
      <w:ind w:left="1320"/>
    </w:pPr>
    <w:rPr>
      <w:rFonts w:cstheme="minorHAnsi"/>
      <w:sz w:val="20"/>
      <w:szCs w:val="20"/>
    </w:rPr>
  </w:style>
  <w:style w:type="paragraph" w:styleId="TOC8">
    <w:name w:val="toc 8"/>
    <w:basedOn w:val="Normal"/>
    <w:next w:val="Normal"/>
    <w:autoRedefine/>
    <w:uiPriority w:val="39"/>
    <w:unhideWhenUsed/>
    <w:rsid w:val="00AF35D6"/>
    <w:pPr>
      <w:spacing w:after="0"/>
      <w:ind w:left="1540"/>
    </w:pPr>
    <w:rPr>
      <w:rFonts w:cstheme="minorHAnsi"/>
      <w:sz w:val="20"/>
      <w:szCs w:val="20"/>
    </w:rPr>
  </w:style>
  <w:style w:type="paragraph" w:styleId="TOC9">
    <w:name w:val="toc 9"/>
    <w:basedOn w:val="Normal"/>
    <w:next w:val="Normal"/>
    <w:autoRedefine/>
    <w:uiPriority w:val="39"/>
    <w:unhideWhenUsed/>
    <w:rsid w:val="00AF35D6"/>
    <w:pPr>
      <w:spacing w:after="0"/>
      <w:ind w:left="1760"/>
    </w:pPr>
    <w:rPr>
      <w:rFonts w:cstheme="minorHAnsi"/>
      <w:sz w:val="20"/>
      <w:szCs w:val="20"/>
    </w:rPr>
  </w:style>
  <w:style w:type="paragraph" w:styleId="Revision">
    <w:name w:val="Revision"/>
    <w:hidden/>
    <w:uiPriority w:val="99"/>
    <w:semiHidden/>
    <w:rsid w:val="00E46B3F"/>
    <w:pPr>
      <w:spacing w:after="0" w:line="240" w:lineRule="auto"/>
    </w:pPr>
  </w:style>
  <w:style w:type="paragraph" w:styleId="BalloonText">
    <w:name w:val="Balloon Text"/>
    <w:basedOn w:val="Normal"/>
    <w:link w:val="BalloonTextChar"/>
    <w:uiPriority w:val="99"/>
    <w:semiHidden/>
    <w:unhideWhenUsed/>
    <w:rsid w:val="004B308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08E"/>
    <w:rPr>
      <w:rFonts w:ascii="Lucida Grande" w:hAnsi="Lucida Grande" w:cs="Lucida Grande"/>
      <w:sz w:val="18"/>
      <w:szCs w:val="18"/>
    </w:rPr>
  </w:style>
  <w:style w:type="character" w:customStyle="1" w:styleId="UnresolvedMention2">
    <w:name w:val="Unresolved Mention2"/>
    <w:basedOn w:val="DefaultParagraphFont"/>
    <w:uiPriority w:val="99"/>
    <w:semiHidden/>
    <w:unhideWhenUsed/>
    <w:rsid w:val="00002C13"/>
    <w:rPr>
      <w:color w:val="605E5C"/>
      <w:shd w:val="clear" w:color="auto" w:fill="E1DFDD"/>
    </w:rPr>
  </w:style>
  <w:style w:type="paragraph" w:customStyle="1" w:styleId="paragraph">
    <w:name w:val="paragraph"/>
    <w:basedOn w:val="Normal"/>
    <w:rsid w:val="009B76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15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005917">
      <w:bodyDiv w:val="1"/>
      <w:marLeft w:val="0"/>
      <w:marRight w:val="0"/>
      <w:marTop w:val="0"/>
      <w:marBottom w:val="0"/>
      <w:divBdr>
        <w:top w:val="none" w:sz="0" w:space="0" w:color="auto"/>
        <w:left w:val="none" w:sz="0" w:space="0" w:color="auto"/>
        <w:bottom w:val="none" w:sz="0" w:space="0" w:color="auto"/>
        <w:right w:val="none" w:sz="0" w:space="0" w:color="auto"/>
      </w:divBdr>
    </w:div>
    <w:div w:id="286357592">
      <w:bodyDiv w:val="1"/>
      <w:marLeft w:val="0"/>
      <w:marRight w:val="0"/>
      <w:marTop w:val="0"/>
      <w:marBottom w:val="0"/>
      <w:divBdr>
        <w:top w:val="none" w:sz="0" w:space="0" w:color="auto"/>
        <w:left w:val="none" w:sz="0" w:space="0" w:color="auto"/>
        <w:bottom w:val="none" w:sz="0" w:space="0" w:color="auto"/>
        <w:right w:val="none" w:sz="0" w:space="0" w:color="auto"/>
      </w:divBdr>
      <w:divsChild>
        <w:div w:id="74979974">
          <w:marLeft w:val="0"/>
          <w:marRight w:val="0"/>
          <w:marTop w:val="0"/>
          <w:marBottom w:val="0"/>
          <w:divBdr>
            <w:top w:val="none" w:sz="0" w:space="0" w:color="auto"/>
            <w:left w:val="none" w:sz="0" w:space="0" w:color="auto"/>
            <w:bottom w:val="none" w:sz="0" w:space="0" w:color="auto"/>
            <w:right w:val="none" w:sz="0" w:space="0" w:color="auto"/>
          </w:divBdr>
          <w:divsChild>
            <w:div w:id="378552741">
              <w:marLeft w:val="0"/>
              <w:marRight w:val="0"/>
              <w:marTop w:val="0"/>
              <w:marBottom w:val="0"/>
              <w:divBdr>
                <w:top w:val="none" w:sz="0" w:space="0" w:color="auto"/>
                <w:left w:val="none" w:sz="0" w:space="0" w:color="auto"/>
                <w:bottom w:val="none" w:sz="0" w:space="0" w:color="auto"/>
                <w:right w:val="none" w:sz="0" w:space="0" w:color="auto"/>
              </w:divBdr>
              <w:divsChild>
                <w:div w:id="20240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775925">
      <w:bodyDiv w:val="1"/>
      <w:marLeft w:val="0"/>
      <w:marRight w:val="0"/>
      <w:marTop w:val="0"/>
      <w:marBottom w:val="0"/>
      <w:divBdr>
        <w:top w:val="none" w:sz="0" w:space="0" w:color="auto"/>
        <w:left w:val="none" w:sz="0" w:space="0" w:color="auto"/>
        <w:bottom w:val="none" w:sz="0" w:space="0" w:color="auto"/>
        <w:right w:val="none" w:sz="0" w:space="0" w:color="auto"/>
      </w:divBdr>
      <w:divsChild>
        <w:div w:id="1630934522">
          <w:marLeft w:val="0"/>
          <w:marRight w:val="0"/>
          <w:marTop w:val="0"/>
          <w:marBottom w:val="0"/>
          <w:divBdr>
            <w:top w:val="none" w:sz="0" w:space="0" w:color="auto"/>
            <w:left w:val="none" w:sz="0" w:space="0" w:color="auto"/>
            <w:bottom w:val="none" w:sz="0" w:space="0" w:color="auto"/>
            <w:right w:val="none" w:sz="0" w:space="0" w:color="auto"/>
          </w:divBdr>
          <w:divsChild>
            <w:div w:id="2125690807">
              <w:marLeft w:val="0"/>
              <w:marRight w:val="0"/>
              <w:marTop w:val="0"/>
              <w:marBottom w:val="0"/>
              <w:divBdr>
                <w:top w:val="none" w:sz="0" w:space="0" w:color="auto"/>
                <w:left w:val="none" w:sz="0" w:space="0" w:color="auto"/>
                <w:bottom w:val="none" w:sz="0" w:space="0" w:color="auto"/>
                <w:right w:val="none" w:sz="0" w:space="0" w:color="auto"/>
              </w:divBdr>
              <w:divsChild>
                <w:div w:id="19807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770681">
      <w:bodyDiv w:val="1"/>
      <w:marLeft w:val="0"/>
      <w:marRight w:val="0"/>
      <w:marTop w:val="0"/>
      <w:marBottom w:val="0"/>
      <w:divBdr>
        <w:top w:val="none" w:sz="0" w:space="0" w:color="auto"/>
        <w:left w:val="none" w:sz="0" w:space="0" w:color="auto"/>
        <w:bottom w:val="none" w:sz="0" w:space="0" w:color="auto"/>
        <w:right w:val="none" w:sz="0" w:space="0" w:color="auto"/>
      </w:divBdr>
      <w:divsChild>
        <w:div w:id="984313521">
          <w:marLeft w:val="0"/>
          <w:marRight w:val="0"/>
          <w:marTop w:val="0"/>
          <w:marBottom w:val="0"/>
          <w:divBdr>
            <w:top w:val="none" w:sz="0" w:space="0" w:color="auto"/>
            <w:left w:val="none" w:sz="0" w:space="0" w:color="auto"/>
            <w:bottom w:val="none" w:sz="0" w:space="0" w:color="auto"/>
            <w:right w:val="none" w:sz="0" w:space="0" w:color="auto"/>
          </w:divBdr>
          <w:divsChild>
            <w:div w:id="2112235281">
              <w:marLeft w:val="0"/>
              <w:marRight w:val="0"/>
              <w:marTop w:val="0"/>
              <w:marBottom w:val="0"/>
              <w:divBdr>
                <w:top w:val="none" w:sz="0" w:space="0" w:color="auto"/>
                <w:left w:val="none" w:sz="0" w:space="0" w:color="auto"/>
                <w:bottom w:val="none" w:sz="0" w:space="0" w:color="auto"/>
                <w:right w:val="none" w:sz="0" w:space="0" w:color="auto"/>
              </w:divBdr>
              <w:divsChild>
                <w:div w:id="3960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90768">
      <w:bodyDiv w:val="1"/>
      <w:marLeft w:val="0"/>
      <w:marRight w:val="0"/>
      <w:marTop w:val="0"/>
      <w:marBottom w:val="0"/>
      <w:divBdr>
        <w:top w:val="none" w:sz="0" w:space="0" w:color="auto"/>
        <w:left w:val="none" w:sz="0" w:space="0" w:color="auto"/>
        <w:bottom w:val="none" w:sz="0" w:space="0" w:color="auto"/>
        <w:right w:val="none" w:sz="0" w:space="0" w:color="auto"/>
      </w:divBdr>
      <w:divsChild>
        <w:div w:id="2091584831">
          <w:marLeft w:val="0"/>
          <w:marRight w:val="0"/>
          <w:marTop w:val="0"/>
          <w:marBottom w:val="0"/>
          <w:divBdr>
            <w:top w:val="none" w:sz="0" w:space="0" w:color="auto"/>
            <w:left w:val="none" w:sz="0" w:space="0" w:color="auto"/>
            <w:bottom w:val="none" w:sz="0" w:space="0" w:color="auto"/>
            <w:right w:val="none" w:sz="0" w:space="0" w:color="auto"/>
          </w:divBdr>
          <w:divsChild>
            <w:div w:id="1332684502">
              <w:marLeft w:val="0"/>
              <w:marRight w:val="0"/>
              <w:marTop w:val="0"/>
              <w:marBottom w:val="0"/>
              <w:divBdr>
                <w:top w:val="none" w:sz="0" w:space="0" w:color="auto"/>
                <w:left w:val="none" w:sz="0" w:space="0" w:color="auto"/>
                <w:bottom w:val="none" w:sz="0" w:space="0" w:color="auto"/>
                <w:right w:val="none" w:sz="0" w:space="0" w:color="auto"/>
              </w:divBdr>
              <w:divsChild>
                <w:div w:id="11359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55035">
      <w:bodyDiv w:val="1"/>
      <w:marLeft w:val="0"/>
      <w:marRight w:val="0"/>
      <w:marTop w:val="0"/>
      <w:marBottom w:val="0"/>
      <w:divBdr>
        <w:top w:val="none" w:sz="0" w:space="0" w:color="auto"/>
        <w:left w:val="none" w:sz="0" w:space="0" w:color="auto"/>
        <w:bottom w:val="none" w:sz="0" w:space="0" w:color="auto"/>
        <w:right w:val="none" w:sz="0" w:space="0" w:color="auto"/>
      </w:divBdr>
      <w:divsChild>
        <w:div w:id="1363094359">
          <w:marLeft w:val="0"/>
          <w:marRight w:val="0"/>
          <w:marTop w:val="0"/>
          <w:marBottom w:val="0"/>
          <w:divBdr>
            <w:top w:val="none" w:sz="0" w:space="0" w:color="auto"/>
            <w:left w:val="none" w:sz="0" w:space="0" w:color="auto"/>
            <w:bottom w:val="none" w:sz="0" w:space="0" w:color="auto"/>
            <w:right w:val="none" w:sz="0" w:space="0" w:color="auto"/>
          </w:divBdr>
          <w:divsChild>
            <w:div w:id="400719566">
              <w:marLeft w:val="0"/>
              <w:marRight w:val="0"/>
              <w:marTop w:val="0"/>
              <w:marBottom w:val="0"/>
              <w:divBdr>
                <w:top w:val="none" w:sz="0" w:space="0" w:color="auto"/>
                <w:left w:val="none" w:sz="0" w:space="0" w:color="auto"/>
                <w:bottom w:val="none" w:sz="0" w:space="0" w:color="auto"/>
                <w:right w:val="none" w:sz="0" w:space="0" w:color="auto"/>
              </w:divBdr>
              <w:divsChild>
                <w:div w:id="61690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751213">
      <w:bodyDiv w:val="1"/>
      <w:marLeft w:val="0"/>
      <w:marRight w:val="0"/>
      <w:marTop w:val="0"/>
      <w:marBottom w:val="0"/>
      <w:divBdr>
        <w:top w:val="none" w:sz="0" w:space="0" w:color="auto"/>
        <w:left w:val="none" w:sz="0" w:space="0" w:color="auto"/>
        <w:bottom w:val="none" w:sz="0" w:space="0" w:color="auto"/>
        <w:right w:val="none" w:sz="0" w:space="0" w:color="auto"/>
      </w:divBdr>
      <w:divsChild>
        <w:div w:id="824051742">
          <w:marLeft w:val="0"/>
          <w:marRight w:val="0"/>
          <w:marTop w:val="0"/>
          <w:marBottom w:val="0"/>
          <w:divBdr>
            <w:top w:val="none" w:sz="0" w:space="0" w:color="auto"/>
            <w:left w:val="none" w:sz="0" w:space="0" w:color="auto"/>
            <w:bottom w:val="none" w:sz="0" w:space="0" w:color="auto"/>
            <w:right w:val="none" w:sz="0" w:space="0" w:color="auto"/>
          </w:divBdr>
        </w:div>
        <w:div w:id="2038047461">
          <w:marLeft w:val="0"/>
          <w:marRight w:val="0"/>
          <w:marTop w:val="0"/>
          <w:marBottom w:val="0"/>
          <w:divBdr>
            <w:top w:val="none" w:sz="0" w:space="0" w:color="auto"/>
            <w:left w:val="none" w:sz="0" w:space="0" w:color="auto"/>
            <w:bottom w:val="none" w:sz="0" w:space="0" w:color="auto"/>
            <w:right w:val="none" w:sz="0" w:space="0" w:color="auto"/>
          </w:divBdr>
        </w:div>
        <w:div w:id="820542411">
          <w:marLeft w:val="0"/>
          <w:marRight w:val="0"/>
          <w:marTop w:val="0"/>
          <w:marBottom w:val="0"/>
          <w:divBdr>
            <w:top w:val="none" w:sz="0" w:space="0" w:color="auto"/>
            <w:left w:val="none" w:sz="0" w:space="0" w:color="auto"/>
            <w:bottom w:val="none" w:sz="0" w:space="0" w:color="auto"/>
            <w:right w:val="none" w:sz="0" w:space="0" w:color="auto"/>
          </w:divBdr>
        </w:div>
      </w:divsChild>
    </w:div>
    <w:div w:id="1076322318">
      <w:bodyDiv w:val="1"/>
      <w:marLeft w:val="0"/>
      <w:marRight w:val="0"/>
      <w:marTop w:val="0"/>
      <w:marBottom w:val="0"/>
      <w:divBdr>
        <w:top w:val="none" w:sz="0" w:space="0" w:color="auto"/>
        <w:left w:val="none" w:sz="0" w:space="0" w:color="auto"/>
        <w:bottom w:val="none" w:sz="0" w:space="0" w:color="auto"/>
        <w:right w:val="none" w:sz="0" w:space="0" w:color="auto"/>
      </w:divBdr>
      <w:divsChild>
        <w:div w:id="653803349">
          <w:marLeft w:val="0"/>
          <w:marRight w:val="0"/>
          <w:marTop w:val="0"/>
          <w:marBottom w:val="0"/>
          <w:divBdr>
            <w:top w:val="none" w:sz="0" w:space="0" w:color="auto"/>
            <w:left w:val="none" w:sz="0" w:space="0" w:color="auto"/>
            <w:bottom w:val="none" w:sz="0" w:space="0" w:color="auto"/>
            <w:right w:val="none" w:sz="0" w:space="0" w:color="auto"/>
          </w:divBdr>
          <w:divsChild>
            <w:div w:id="480776601">
              <w:marLeft w:val="0"/>
              <w:marRight w:val="0"/>
              <w:marTop w:val="0"/>
              <w:marBottom w:val="0"/>
              <w:divBdr>
                <w:top w:val="none" w:sz="0" w:space="0" w:color="auto"/>
                <w:left w:val="none" w:sz="0" w:space="0" w:color="auto"/>
                <w:bottom w:val="none" w:sz="0" w:space="0" w:color="auto"/>
                <w:right w:val="none" w:sz="0" w:space="0" w:color="auto"/>
              </w:divBdr>
              <w:divsChild>
                <w:div w:id="10527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166009">
      <w:bodyDiv w:val="1"/>
      <w:marLeft w:val="0"/>
      <w:marRight w:val="0"/>
      <w:marTop w:val="0"/>
      <w:marBottom w:val="0"/>
      <w:divBdr>
        <w:top w:val="none" w:sz="0" w:space="0" w:color="auto"/>
        <w:left w:val="none" w:sz="0" w:space="0" w:color="auto"/>
        <w:bottom w:val="none" w:sz="0" w:space="0" w:color="auto"/>
        <w:right w:val="none" w:sz="0" w:space="0" w:color="auto"/>
      </w:divBdr>
      <w:divsChild>
        <w:div w:id="1878662662">
          <w:marLeft w:val="0"/>
          <w:marRight w:val="0"/>
          <w:marTop w:val="0"/>
          <w:marBottom w:val="0"/>
          <w:divBdr>
            <w:top w:val="none" w:sz="0" w:space="0" w:color="auto"/>
            <w:left w:val="none" w:sz="0" w:space="0" w:color="auto"/>
            <w:bottom w:val="none" w:sz="0" w:space="0" w:color="auto"/>
            <w:right w:val="none" w:sz="0" w:space="0" w:color="auto"/>
          </w:divBdr>
        </w:div>
        <w:div w:id="1287275125">
          <w:marLeft w:val="0"/>
          <w:marRight w:val="0"/>
          <w:marTop w:val="0"/>
          <w:marBottom w:val="0"/>
          <w:divBdr>
            <w:top w:val="none" w:sz="0" w:space="0" w:color="auto"/>
            <w:left w:val="none" w:sz="0" w:space="0" w:color="auto"/>
            <w:bottom w:val="none" w:sz="0" w:space="0" w:color="auto"/>
            <w:right w:val="none" w:sz="0" w:space="0" w:color="auto"/>
          </w:divBdr>
        </w:div>
        <w:div w:id="507984722">
          <w:marLeft w:val="0"/>
          <w:marRight w:val="0"/>
          <w:marTop w:val="0"/>
          <w:marBottom w:val="0"/>
          <w:divBdr>
            <w:top w:val="none" w:sz="0" w:space="0" w:color="auto"/>
            <w:left w:val="none" w:sz="0" w:space="0" w:color="auto"/>
            <w:bottom w:val="none" w:sz="0" w:space="0" w:color="auto"/>
            <w:right w:val="none" w:sz="0" w:space="0" w:color="auto"/>
          </w:divBdr>
        </w:div>
      </w:divsChild>
    </w:div>
    <w:div w:id="1345745248">
      <w:bodyDiv w:val="1"/>
      <w:marLeft w:val="0"/>
      <w:marRight w:val="0"/>
      <w:marTop w:val="0"/>
      <w:marBottom w:val="0"/>
      <w:divBdr>
        <w:top w:val="none" w:sz="0" w:space="0" w:color="auto"/>
        <w:left w:val="none" w:sz="0" w:space="0" w:color="auto"/>
        <w:bottom w:val="none" w:sz="0" w:space="0" w:color="auto"/>
        <w:right w:val="none" w:sz="0" w:space="0" w:color="auto"/>
      </w:divBdr>
      <w:divsChild>
        <w:div w:id="1273708303">
          <w:marLeft w:val="0"/>
          <w:marRight w:val="0"/>
          <w:marTop w:val="0"/>
          <w:marBottom w:val="0"/>
          <w:divBdr>
            <w:top w:val="none" w:sz="0" w:space="0" w:color="auto"/>
            <w:left w:val="none" w:sz="0" w:space="0" w:color="auto"/>
            <w:bottom w:val="none" w:sz="0" w:space="0" w:color="auto"/>
            <w:right w:val="none" w:sz="0" w:space="0" w:color="auto"/>
          </w:divBdr>
          <w:divsChild>
            <w:div w:id="662009192">
              <w:marLeft w:val="0"/>
              <w:marRight w:val="0"/>
              <w:marTop w:val="0"/>
              <w:marBottom w:val="0"/>
              <w:divBdr>
                <w:top w:val="none" w:sz="0" w:space="0" w:color="auto"/>
                <w:left w:val="none" w:sz="0" w:space="0" w:color="auto"/>
                <w:bottom w:val="none" w:sz="0" w:space="0" w:color="auto"/>
                <w:right w:val="none" w:sz="0" w:space="0" w:color="auto"/>
              </w:divBdr>
              <w:divsChild>
                <w:div w:id="192717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62166">
      <w:bodyDiv w:val="1"/>
      <w:marLeft w:val="0"/>
      <w:marRight w:val="0"/>
      <w:marTop w:val="0"/>
      <w:marBottom w:val="0"/>
      <w:divBdr>
        <w:top w:val="none" w:sz="0" w:space="0" w:color="auto"/>
        <w:left w:val="none" w:sz="0" w:space="0" w:color="auto"/>
        <w:bottom w:val="none" w:sz="0" w:space="0" w:color="auto"/>
        <w:right w:val="none" w:sz="0" w:space="0" w:color="auto"/>
      </w:divBdr>
      <w:divsChild>
        <w:div w:id="1248882588">
          <w:marLeft w:val="0"/>
          <w:marRight w:val="0"/>
          <w:marTop w:val="0"/>
          <w:marBottom w:val="0"/>
          <w:divBdr>
            <w:top w:val="none" w:sz="0" w:space="0" w:color="auto"/>
            <w:left w:val="none" w:sz="0" w:space="0" w:color="auto"/>
            <w:bottom w:val="none" w:sz="0" w:space="0" w:color="auto"/>
            <w:right w:val="none" w:sz="0" w:space="0" w:color="auto"/>
          </w:divBdr>
          <w:divsChild>
            <w:div w:id="1235622912">
              <w:marLeft w:val="0"/>
              <w:marRight w:val="0"/>
              <w:marTop w:val="0"/>
              <w:marBottom w:val="0"/>
              <w:divBdr>
                <w:top w:val="none" w:sz="0" w:space="0" w:color="auto"/>
                <w:left w:val="none" w:sz="0" w:space="0" w:color="auto"/>
                <w:bottom w:val="none" w:sz="0" w:space="0" w:color="auto"/>
                <w:right w:val="none" w:sz="0" w:space="0" w:color="auto"/>
              </w:divBdr>
              <w:divsChild>
                <w:div w:id="4399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75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frican-court.org/cpmt/details-case/0172021" TargetMode="External"/><Relationship Id="rId13" Type="http://schemas.openxmlformats.org/officeDocument/2006/relationships/hyperlink" Target="https://www.icj.org/tunisia-authorities-must-end-attacks-on-judges-and-prosecutors/" TargetMode="External"/><Relationship Id="rId3" Type="http://schemas.openxmlformats.org/officeDocument/2006/relationships/hyperlink" Target="https://docstore.ohchr.org/SelfServices/FilesHandler.ashx?enc=6QkG1d%2FPPRiCAqhKb7yhshmKtQJn68GxgXXTdAYdq%2FuxzvdQ2iI3zTm0LvdWHhYzMHC2%2BraKp5DTxq5eIpIs9CB7X%2FGrKBRE0NbD0zgUxKAnpIcO5fKph3JsiWbXRdlI" TargetMode="External"/><Relationship Id="rId7" Type="http://schemas.openxmlformats.org/officeDocument/2006/relationships/hyperlink" Target="https://www.icj.org/wp-content/uploads/2011/05/ICJ-genevadeclaration-publication-2011.pdf" TargetMode="External"/><Relationship Id="rId12" Type="http://schemas.openxmlformats.org/officeDocument/2006/relationships/hyperlink" Target="https://legislation-securite.tn/law/105166" TargetMode="External"/><Relationship Id="rId2" Type="http://schemas.openxmlformats.org/officeDocument/2006/relationships/hyperlink" Target="https://tbinternet.ohchr.org/_layouts/15/treatybodyexternal/Download.aspx?symbolno=CCPR%2FC%2FTUN%2FCO%2F6&amp;Lang=en" TargetMode="External"/><Relationship Id="rId1" Type="http://schemas.openxmlformats.org/officeDocument/2006/relationships/hyperlink" Target="https://tbinternet.ohchr.org/_layouts/15/treatybodyexternal/SessionDetails1.aspx?SessionID=1371&amp;Lang=en" TargetMode="External"/><Relationship Id="rId6" Type="http://schemas.openxmlformats.org/officeDocument/2006/relationships/hyperlink" Target="https://icj2.wpenginepowered.com/wp-content/uploads/2022/07/Tunisia-draft-constitution-question-and-answer-briefing-2022-ENG.pdf" TargetMode="External"/><Relationship Id="rId11" Type="http://schemas.openxmlformats.org/officeDocument/2006/relationships/hyperlink" Target="https://www.jeuneafrique.com/1278365/politique/tunisie-kais-saied-fait-le-proces-de-la-justice/" TargetMode="External"/><Relationship Id="rId5" Type="http://schemas.openxmlformats.org/officeDocument/2006/relationships/hyperlink" Target="https://www.icj.org/tunisia-presidents-power-grab-is-an-assault-on-the-rule-of-law/" TargetMode="External"/><Relationship Id="rId15" Type="http://schemas.openxmlformats.org/officeDocument/2006/relationships/hyperlink" Target="https://www.amnesty.org/en/latest/news/2023/10/tunisia-drop-trumped-up-charges-against-arbitrarily-detained-political-dissidents/" TargetMode="External"/><Relationship Id="rId10" Type="http://schemas.openxmlformats.org/officeDocument/2006/relationships/hyperlink" Target="https://www.facebook.com/watch/?v=897148007667462" TargetMode="External"/><Relationship Id="rId4" Type="http://schemas.openxmlformats.org/officeDocument/2006/relationships/hyperlink" Target="https://inkyfada.com/en/2021/07/29/constitutinal-court-delay-kais-saied-tunisia/" TargetMode="External"/><Relationship Id="rId9" Type="http://schemas.openxmlformats.org/officeDocument/2006/relationships/hyperlink" Target="https://www.youtube.com/watch?v=aASeWtHj25Q&amp;ab_channel=WataniaReplay" TargetMode="External"/><Relationship Id="rId14" Type="http://schemas.openxmlformats.org/officeDocument/2006/relationships/hyperlink" Target="https://inkyfada.com/en/2023/03/24/conspiracy-state-security-opposition-tuni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B83B74BB6D43418D96C5C0347657B0" ma:contentTypeVersion="17" ma:contentTypeDescription="Create a new document." ma:contentTypeScope="" ma:versionID="a1e0af75f6a2b18a1db08964d2cdc4d4">
  <xsd:schema xmlns:xsd="http://www.w3.org/2001/XMLSchema" xmlns:xs="http://www.w3.org/2001/XMLSchema" xmlns:p="http://schemas.microsoft.com/office/2006/metadata/properties" xmlns:ns2="bb3ecb18-a33d-4cd3-b3a6-85219d97bca0" xmlns:ns3="71056d69-d9f1-48b4-a5f7-abbdf356d7f1" targetNamespace="http://schemas.microsoft.com/office/2006/metadata/properties" ma:root="true" ma:fieldsID="6d05a540a2d2008d624957f2580eeea6" ns2:_="" ns3:_="">
    <xsd:import namespace="bb3ecb18-a33d-4cd3-b3a6-85219d97bca0"/>
    <xsd:import namespace="71056d69-d9f1-48b4-a5f7-abbdf356d7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3ecb18-a33d-4cd3-b3a6-85219d97bc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0d16443-9bc6-4362-962f-f5d6ca4165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056d69-d9f1-48b4-a5f7-abbdf356d7f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9397c3e-6acd-49cf-92d6-90186906e484}" ma:internalName="TaxCatchAll" ma:showField="CatchAllData" ma:web="71056d69-d9f1-48b4-a5f7-abbdf356d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71056d69-d9f1-48b4-a5f7-abbdf356d7f1">
      <UserInfo>
        <DisplayName/>
        <AccountId xsi:nil="true"/>
        <AccountType/>
      </UserInfo>
    </SharedWithUsers>
    <lcf76f155ced4ddcb4097134ff3c332f xmlns="bb3ecb18-a33d-4cd3-b3a6-85219d97bca0">
      <Terms xmlns="http://schemas.microsoft.com/office/infopath/2007/PartnerControls"/>
    </lcf76f155ced4ddcb4097134ff3c332f>
    <TaxCatchAll xmlns="71056d69-d9f1-48b4-a5f7-abbdf356d7f1" xsi:nil="true"/>
  </documentManagement>
</p:properties>
</file>

<file path=customXml/itemProps1.xml><?xml version="1.0" encoding="utf-8"?>
<ds:datastoreItem xmlns:ds="http://schemas.openxmlformats.org/officeDocument/2006/customXml" ds:itemID="{1F6F8B5D-778C-4422-9767-B39C6C8BE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3ecb18-a33d-4cd3-b3a6-85219d97bca0"/>
    <ds:schemaRef ds:uri="71056d69-d9f1-48b4-a5f7-abbdf356d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99EC32-F1F8-46A2-9E87-00EE92A1A334}">
  <ds:schemaRefs>
    <ds:schemaRef ds:uri="http://schemas.microsoft.com/sharepoint/v3/contenttype/forms"/>
  </ds:schemaRefs>
</ds:datastoreItem>
</file>

<file path=customXml/itemProps3.xml><?xml version="1.0" encoding="utf-8"?>
<ds:datastoreItem xmlns:ds="http://schemas.openxmlformats.org/officeDocument/2006/customXml" ds:itemID="{BBF2AA54-3DC0-4A47-BB23-465230CC8FE8}">
  <ds:schemaRefs>
    <ds:schemaRef ds:uri="http://schemas.openxmlformats.org/officeDocument/2006/bibliography"/>
  </ds:schemaRefs>
</ds:datastoreItem>
</file>

<file path=customXml/itemProps4.xml><?xml version="1.0" encoding="utf-8"?>
<ds:datastoreItem xmlns:ds="http://schemas.openxmlformats.org/officeDocument/2006/customXml" ds:itemID="{1E0BEF9E-FE04-4F4D-953A-90ED56D6C45B}">
  <ds:schemaRefs>
    <ds:schemaRef ds:uri="http://schemas.microsoft.com/office/2006/metadata/properties"/>
    <ds:schemaRef ds:uri="http://schemas.microsoft.com/office/infopath/2007/PartnerControls"/>
    <ds:schemaRef ds:uri="71056d69-d9f1-48b4-a5f7-abbdf356d7f1"/>
    <ds:schemaRef ds:uri="bb3ecb18-a33d-4cd3-b3a6-85219d97bca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2962</Words>
  <Characters>16888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researcher</dc:creator>
  <cp:keywords/>
  <dc:description/>
  <cp:lastModifiedBy>Stephen Collins</cp:lastModifiedBy>
  <cp:revision>2</cp:revision>
  <dcterms:created xsi:type="dcterms:W3CDTF">2023-12-18T10:06:00Z</dcterms:created>
  <dcterms:modified xsi:type="dcterms:W3CDTF">2023-12-18T10:06:00Z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0x010100EBB83B74BB6D43418D96C5C0347657B0</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_activity">
    <vt:lpwstr>{"FileActivityType":"8","FileActivityTimeStamp":"2023-11-21T08:37:04.207Z","FileActivityUsersOnPage":[{"DisplayName":"Legal researcher","Id":"ny@icj.org"}],"FileActivityNavigationId":null}</vt:lpwstr>
  </property>
  <property fmtid="{D5CDD505-2E9C-101B-9397-08002B2CF9AE}" pid="9" name="TriggerFlowInfo">
    <vt:lpwstr/>
  </property>
</Properties>
</file>