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56E9C" w14:paraId="30D48BCA" w14:textId="77777777" w:rsidTr="00E56873">
        <w:trPr>
          <w:cantSplit/>
          <w:trHeight w:hRule="exact" w:val="851"/>
        </w:trPr>
        <w:tc>
          <w:tcPr>
            <w:tcW w:w="1276" w:type="dxa"/>
            <w:tcBorders>
              <w:bottom w:val="single" w:sz="4" w:space="0" w:color="auto"/>
            </w:tcBorders>
            <w:vAlign w:val="bottom"/>
          </w:tcPr>
          <w:p w14:paraId="0CA4376A" w14:textId="77777777" w:rsidR="00B56E9C" w:rsidRPr="00ED616A" w:rsidRDefault="00B56E9C" w:rsidP="00E56873">
            <w:pPr>
              <w:pStyle w:val="SingleTxtG"/>
            </w:pPr>
          </w:p>
        </w:tc>
        <w:tc>
          <w:tcPr>
            <w:tcW w:w="2268" w:type="dxa"/>
            <w:tcBorders>
              <w:bottom w:val="single" w:sz="4" w:space="0" w:color="auto"/>
            </w:tcBorders>
            <w:vAlign w:val="bottom"/>
          </w:tcPr>
          <w:p w14:paraId="12EE9C9A" w14:textId="77777777" w:rsidR="00B56E9C" w:rsidRPr="00B97172" w:rsidRDefault="00B56E9C" w:rsidP="00E5687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6FA712C" w14:textId="1745A894" w:rsidR="00B56E9C" w:rsidRPr="002E51B7" w:rsidRDefault="00A778E0" w:rsidP="00AE066F">
            <w:pPr>
              <w:jc w:val="right"/>
            </w:pPr>
            <w:r w:rsidRPr="00A778E0">
              <w:rPr>
                <w:sz w:val="40"/>
              </w:rPr>
              <w:t>CEDAW</w:t>
            </w:r>
            <w:r>
              <w:t>/C/PSWG/7</w:t>
            </w:r>
            <w:r w:rsidR="00AE066F">
              <w:t>7</w:t>
            </w:r>
            <w:r>
              <w:t>/1</w:t>
            </w:r>
          </w:p>
        </w:tc>
      </w:tr>
      <w:tr w:rsidR="00B56E9C" w14:paraId="09D2DA27" w14:textId="77777777" w:rsidTr="00E56873">
        <w:trPr>
          <w:cantSplit/>
          <w:trHeight w:hRule="exact" w:val="2835"/>
        </w:trPr>
        <w:tc>
          <w:tcPr>
            <w:tcW w:w="1276" w:type="dxa"/>
            <w:tcBorders>
              <w:top w:val="single" w:sz="4" w:space="0" w:color="auto"/>
              <w:bottom w:val="single" w:sz="12" w:space="0" w:color="auto"/>
            </w:tcBorders>
          </w:tcPr>
          <w:p w14:paraId="65037FF3" w14:textId="77777777" w:rsidR="00B56E9C" w:rsidRDefault="008D10AB" w:rsidP="00E56873">
            <w:pPr>
              <w:spacing w:before="120"/>
              <w:jc w:val="center"/>
            </w:pPr>
            <w:r>
              <w:rPr>
                <w:noProof/>
                <w:lang w:eastAsia="en-GB"/>
              </w:rPr>
              <w:drawing>
                <wp:inline distT="0" distB="0" distL="0" distR="0" wp14:anchorId="33E4E641" wp14:editId="6F621F7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5076A0" w14:textId="77777777" w:rsidR="00B56E9C" w:rsidRPr="000B4EF7" w:rsidRDefault="00B56E9C" w:rsidP="00E5687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14:paraId="73E3C0CC" w14:textId="77777777" w:rsidR="00B56E9C" w:rsidRDefault="00B56E9C" w:rsidP="00E56873">
            <w:pPr>
              <w:spacing w:before="120" w:line="420" w:lineRule="exact"/>
            </w:pPr>
          </w:p>
        </w:tc>
        <w:tc>
          <w:tcPr>
            <w:tcW w:w="2835" w:type="dxa"/>
            <w:tcBorders>
              <w:top w:val="single" w:sz="4" w:space="0" w:color="auto"/>
              <w:bottom w:val="single" w:sz="12" w:space="0" w:color="auto"/>
            </w:tcBorders>
          </w:tcPr>
          <w:p w14:paraId="036848CD" w14:textId="77777777" w:rsidR="00B56E9C" w:rsidRDefault="00A778E0" w:rsidP="00A778E0">
            <w:pPr>
              <w:spacing w:before="240" w:line="240" w:lineRule="exact"/>
            </w:pPr>
            <w:r>
              <w:t>Distr.: Genera</w:t>
            </w:r>
          </w:p>
          <w:p w14:paraId="52BD8928" w14:textId="596AD2BC" w:rsidR="00A778E0" w:rsidRDefault="00AE066F" w:rsidP="00A778E0">
            <w:pPr>
              <w:spacing w:line="240" w:lineRule="exact"/>
            </w:pPr>
            <w:r>
              <w:t>6</w:t>
            </w:r>
            <w:r w:rsidR="00A778E0">
              <w:t xml:space="preserve"> </w:t>
            </w:r>
            <w:r>
              <w:t>March</w:t>
            </w:r>
            <w:r w:rsidR="00A778E0">
              <w:t xml:space="preserve"> 20</w:t>
            </w:r>
            <w:r>
              <w:t>20</w:t>
            </w:r>
          </w:p>
          <w:p w14:paraId="4C43B592" w14:textId="77777777" w:rsidR="00A778E0" w:rsidRDefault="00A778E0" w:rsidP="00A778E0">
            <w:pPr>
              <w:spacing w:line="240" w:lineRule="exact"/>
            </w:pPr>
          </w:p>
          <w:p w14:paraId="5C998D69" w14:textId="77777777" w:rsidR="00A778E0" w:rsidRDefault="00A778E0" w:rsidP="00A778E0">
            <w:pPr>
              <w:spacing w:line="240" w:lineRule="exact"/>
            </w:pPr>
            <w:r>
              <w:t>Original: English</w:t>
            </w:r>
          </w:p>
        </w:tc>
      </w:tr>
    </w:tbl>
    <w:p w14:paraId="7907B7F2" w14:textId="77777777" w:rsidR="00A778E0" w:rsidRDefault="00A778E0" w:rsidP="00A778E0">
      <w:pPr>
        <w:pStyle w:val="H1"/>
        <w:ind w:left="0" w:right="4080" w:firstLine="0"/>
      </w:pPr>
      <w:r>
        <w:t xml:space="preserve">Committee on the Elimination of Discrimination against Women </w:t>
      </w:r>
    </w:p>
    <w:p w14:paraId="3828BE71" w14:textId="77777777" w:rsidR="00A778E0" w:rsidRPr="008B2B8A" w:rsidRDefault="00A778E0" w:rsidP="00A778E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B2B8A">
        <w:t>Pre-sessional working group</w:t>
      </w:r>
    </w:p>
    <w:p w14:paraId="0E1ED4E3" w14:textId="722364D0" w:rsidR="00A778E0" w:rsidRDefault="00A778E0" w:rsidP="00A778E0">
      <w:pPr>
        <w:pStyle w:val="Session"/>
      </w:pPr>
      <w:r>
        <w:t>Seventy-</w:t>
      </w:r>
      <w:r w:rsidR="00AE066F">
        <w:t>seventh</w:t>
      </w:r>
      <w:r>
        <w:t xml:space="preserve"> session</w:t>
      </w:r>
    </w:p>
    <w:p w14:paraId="4FD9C827" w14:textId="643BD5E5" w:rsidR="00A778E0" w:rsidRDefault="00AE066F" w:rsidP="00A778E0">
      <w:r>
        <w:t>2</w:t>
      </w:r>
      <w:r w:rsidR="00A778E0">
        <w:t>-</w:t>
      </w:r>
      <w:r>
        <w:t>6</w:t>
      </w:r>
      <w:r w:rsidR="00A778E0">
        <w:t xml:space="preserve"> </w:t>
      </w:r>
      <w:r>
        <w:t>March</w:t>
      </w:r>
      <w:r w:rsidR="00A778E0">
        <w:t xml:space="preserve"> 20</w:t>
      </w:r>
      <w:r>
        <w:t>20</w:t>
      </w:r>
    </w:p>
    <w:p w14:paraId="70E06924" w14:textId="77777777" w:rsidR="00A778E0" w:rsidRDefault="00A778E0" w:rsidP="00A778E0">
      <w:pPr>
        <w:pStyle w:val="HChG"/>
      </w:pPr>
      <w:r>
        <w:tab/>
      </w:r>
      <w:r>
        <w:tab/>
        <w:t>Consideration of reports submitted by States parties under article 18 of the Convention on the Elimination of All Forms of Discrimination against Women</w:t>
      </w:r>
    </w:p>
    <w:p w14:paraId="6C2E7646" w14:textId="77777777" w:rsidR="00A778E0" w:rsidRDefault="00A778E0" w:rsidP="00A778E0">
      <w:pPr>
        <w:pStyle w:val="H23G"/>
      </w:pPr>
      <w:r>
        <w:tab/>
      </w:r>
      <w:r>
        <w:tab/>
        <w:t>Report of the pre-sessional working group</w:t>
      </w:r>
    </w:p>
    <w:p w14:paraId="4D7C405C" w14:textId="77777777" w:rsidR="00A778E0" w:rsidRDefault="00A778E0" w:rsidP="00A778E0">
      <w:pPr>
        <w:pStyle w:val="SingleTxtG"/>
      </w:pPr>
      <w:r>
        <w:t>1.</w:t>
      </w:r>
      <w:r>
        <w:tab/>
        <w:t>It is the practice of the Committee on the Elimination of Discrimination against Women to convene a pre-sessional working group for five days to prepare lists of issues and questions relating to the initial and periodic reports that will be considered by the Committee at an upcoming session.</w:t>
      </w:r>
    </w:p>
    <w:p w14:paraId="32BDD6AD" w14:textId="400E237C" w:rsidR="00A778E0" w:rsidRDefault="00A778E0" w:rsidP="00A778E0">
      <w:pPr>
        <w:pStyle w:val="SingleTxtG"/>
      </w:pPr>
      <w:r>
        <w:t>2.</w:t>
      </w:r>
      <w:r>
        <w:tab/>
        <w:t>The Committee decided that the pre-sessional working group for the seventy</w:t>
      </w:r>
      <w:r>
        <w:noBreakHyphen/>
      </w:r>
      <w:r w:rsidR="00AE066F">
        <w:t>seventh</w:t>
      </w:r>
      <w:r>
        <w:t xml:space="preserve"> session of the Committee would meet from </w:t>
      </w:r>
      <w:r w:rsidR="00AE066F">
        <w:t>2</w:t>
      </w:r>
      <w:r>
        <w:t xml:space="preserve"> to </w:t>
      </w:r>
      <w:r w:rsidR="00AE066F">
        <w:t>6</w:t>
      </w:r>
      <w:r>
        <w:t xml:space="preserve"> </w:t>
      </w:r>
      <w:r w:rsidR="00AE066F">
        <w:t>March</w:t>
      </w:r>
      <w:r>
        <w:t xml:space="preserve"> 20</w:t>
      </w:r>
      <w:r w:rsidR="00AE066F">
        <w:t>20</w:t>
      </w:r>
      <w:r>
        <w:t>, immediately after the seventy-</w:t>
      </w:r>
      <w:r w:rsidR="00AE066F">
        <w:t>fifth</w:t>
      </w:r>
      <w:r>
        <w:t xml:space="preserve"> session, in order to ensure that sufficient time would be available to States parties to submit their written replies to the lists of issues and questions and to ensure their timely translation.</w:t>
      </w:r>
    </w:p>
    <w:p w14:paraId="37E168BD" w14:textId="77777777" w:rsidR="00A778E0" w:rsidRDefault="00A778E0" w:rsidP="00A778E0">
      <w:pPr>
        <w:pStyle w:val="SingleTxtG"/>
      </w:pPr>
      <w:r>
        <w:t>3.</w:t>
      </w:r>
      <w:r>
        <w:tab/>
        <w:t>The following experts were designated as members of the pre-sessional working group and attended the session:</w:t>
      </w:r>
    </w:p>
    <w:p w14:paraId="5D7BF5D9" w14:textId="530C326F" w:rsidR="00A778E0" w:rsidRPr="00B523B6" w:rsidRDefault="00A778E0" w:rsidP="00A778E0">
      <w:pPr>
        <w:pStyle w:val="SingleTxt"/>
        <w:ind w:left="1742"/>
      </w:pPr>
      <w:r w:rsidRPr="00B523B6">
        <w:t xml:space="preserve">Ms. </w:t>
      </w:r>
      <w:r w:rsidR="00AE066F">
        <w:t xml:space="preserve">Hiroko </w:t>
      </w:r>
      <w:proofErr w:type="spellStart"/>
      <w:r w:rsidR="00AE066F">
        <w:t>Akizuki</w:t>
      </w:r>
      <w:proofErr w:type="spellEnd"/>
    </w:p>
    <w:p w14:paraId="779361D7" w14:textId="77777777" w:rsidR="00A778E0" w:rsidRPr="00B523B6" w:rsidRDefault="00A778E0" w:rsidP="00A778E0">
      <w:pPr>
        <w:pStyle w:val="SingleTxt"/>
        <w:ind w:left="1742"/>
      </w:pPr>
      <w:r w:rsidRPr="00B523B6">
        <w:t>M</w:t>
      </w:r>
      <w:r w:rsidR="009770F5" w:rsidRPr="00B523B6">
        <w:t>r</w:t>
      </w:r>
      <w:r w:rsidRPr="00B523B6">
        <w:t xml:space="preserve">. </w:t>
      </w:r>
      <w:r w:rsidR="009770F5" w:rsidRPr="00B523B6">
        <w:t>Gunnar Bergby</w:t>
      </w:r>
    </w:p>
    <w:p w14:paraId="6C1D7767" w14:textId="15F7A5DE" w:rsidR="00A778E0" w:rsidRPr="00B523B6" w:rsidRDefault="00A778E0" w:rsidP="00A778E0">
      <w:pPr>
        <w:pStyle w:val="SingleTxt"/>
        <w:ind w:left="1742"/>
      </w:pPr>
      <w:r w:rsidRPr="00B523B6">
        <w:t xml:space="preserve">Ms. </w:t>
      </w:r>
      <w:r w:rsidR="00AE066F">
        <w:t xml:space="preserve">Rhoda </w:t>
      </w:r>
      <w:proofErr w:type="spellStart"/>
      <w:r w:rsidR="00AE066F">
        <w:t>Reddock</w:t>
      </w:r>
      <w:proofErr w:type="spellEnd"/>
    </w:p>
    <w:p w14:paraId="417AA5D3" w14:textId="7D2F5E49" w:rsidR="00A778E0" w:rsidRPr="00B523B6" w:rsidRDefault="00A778E0" w:rsidP="00A778E0">
      <w:pPr>
        <w:pStyle w:val="SingleTxt"/>
        <w:ind w:left="1742"/>
      </w:pPr>
      <w:r w:rsidRPr="00B523B6">
        <w:t>M</w:t>
      </w:r>
      <w:r w:rsidR="00AE066F">
        <w:t>r</w:t>
      </w:r>
      <w:r w:rsidRPr="00B523B6">
        <w:t xml:space="preserve">. </w:t>
      </w:r>
      <w:proofErr w:type="spellStart"/>
      <w:r w:rsidR="00AE066F">
        <w:t>Elgun</w:t>
      </w:r>
      <w:proofErr w:type="spellEnd"/>
      <w:r w:rsidR="00AE066F">
        <w:t xml:space="preserve"> </w:t>
      </w:r>
      <w:proofErr w:type="spellStart"/>
      <w:r w:rsidR="00AE066F">
        <w:t>Safarov</w:t>
      </w:r>
      <w:proofErr w:type="spellEnd"/>
    </w:p>
    <w:p w14:paraId="19386FCA" w14:textId="1D41099D" w:rsidR="00A778E0" w:rsidRPr="00EB5A4A" w:rsidRDefault="00A778E0" w:rsidP="00A778E0">
      <w:pPr>
        <w:pStyle w:val="SingleTxt"/>
        <w:ind w:left="1742"/>
      </w:pPr>
      <w:r w:rsidRPr="00EB5A4A">
        <w:t>Ms.</w:t>
      </w:r>
      <w:r>
        <w:t xml:space="preserve"> </w:t>
      </w:r>
      <w:proofErr w:type="spellStart"/>
      <w:r w:rsidR="00AE066F">
        <w:t>Franceline</w:t>
      </w:r>
      <w:proofErr w:type="spellEnd"/>
      <w:r w:rsidR="00AE066F">
        <w:t xml:space="preserve"> Toe </w:t>
      </w:r>
      <w:proofErr w:type="spellStart"/>
      <w:r w:rsidR="00AE066F">
        <w:t>Bouda</w:t>
      </w:r>
      <w:proofErr w:type="spellEnd"/>
    </w:p>
    <w:p w14:paraId="25254D95" w14:textId="631A7F82" w:rsidR="00A778E0" w:rsidRDefault="00A778E0" w:rsidP="00A778E0">
      <w:pPr>
        <w:pStyle w:val="SingleTxtG"/>
      </w:pPr>
      <w:r>
        <w:t>4.</w:t>
      </w:r>
      <w:r>
        <w:tab/>
        <w:t xml:space="preserve">The pre-sessional working group elected Ms. </w:t>
      </w:r>
      <w:proofErr w:type="spellStart"/>
      <w:r w:rsidR="00AE066F">
        <w:t>Reddock</w:t>
      </w:r>
      <w:proofErr w:type="spellEnd"/>
      <w:r>
        <w:t xml:space="preserve"> as its Chair.</w:t>
      </w:r>
    </w:p>
    <w:p w14:paraId="231E259F" w14:textId="4ED6894F" w:rsidR="00A778E0" w:rsidRDefault="00A778E0" w:rsidP="00A778E0">
      <w:pPr>
        <w:pStyle w:val="SingleTxtG"/>
      </w:pPr>
      <w:r>
        <w:t>5.</w:t>
      </w:r>
      <w:r>
        <w:tab/>
        <w:t xml:space="preserve">The pre-sessional working group prepared lists of issues and questions with regard to the reports of </w:t>
      </w:r>
      <w:r w:rsidR="00AE066F">
        <w:t>Azerbaijan</w:t>
      </w:r>
      <w:r w:rsidRPr="005B2CBE">
        <w:t xml:space="preserve">, </w:t>
      </w:r>
      <w:r w:rsidR="00AE066F">
        <w:t>Nicaragua</w:t>
      </w:r>
      <w:r>
        <w:t xml:space="preserve">, </w:t>
      </w:r>
      <w:r w:rsidR="00AE066F">
        <w:t>Senegal, South Africa</w:t>
      </w:r>
      <w:r>
        <w:t xml:space="preserve"> and </w:t>
      </w:r>
      <w:r w:rsidR="00AE066F">
        <w:t>Yemen</w:t>
      </w:r>
      <w:r>
        <w:t xml:space="preserve">, in addition to lists of issues prior to reporting for </w:t>
      </w:r>
      <w:r w:rsidR="00AE066F">
        <w:t>Germany</w:t>
      </w:r>
      <w:r w:rsidR="009770F5">
        <w:t xml:space="preserve">, </w:t>
      </w:r>
      <w:r w:rsidR="00AE066F">
        <w:t>Japan</w:t>
      </w:r>
      <w:r>
        <w:t xml:space="preserve"> and </w:t>
      </w:r>
      <w:r w:rsidR="00AE066F">
        <w:t>Ukraine</w:t>
      </w:r>
      <w:r>
        <w:t xml:space="preserve">. In that regard, it was guided by </w:t>
      </w:r>
      <w:r>
        <w:lastRenderedPageBreak/>
        <w:t xml:space="preserve">Committee decisions 49/IX, </w:t>
      </w:r>
      <w:r w:rsidRPr="000C56BA">
        <w:rPr>
          <w:rStyle w:val="Hyperlink"/>
        </w:rPr>
        <w:t>59/</w:t>
      </w:r>
      <w:r>
        <w:rPr>
          <w:rStyle w:val="Hyperlink"/>
        </w:rPr>
        <w:t>IV</w:t>
      </w:r>
      <w:r w:rsidRPr="000C56BA">
        <w:t xml:space="preserve"> </w:t>
      </w:r>
      <w:r>
        <w:t xml:space="preserve">and </w:t>
      </w:r>
      <w:r w:rsidRPr="000C56BA">
        <w:rPr>
          <w:rStyle w:val="Hyperlink"/>
        </w:rPr>
        <w:t>64/</w:t>
      </w:r>
      <w:r>
        <w:rPr>
          <w:rStyle w:val="Hyperlink"/>
        </w:rPr>
        <w:t>II</w:t>
      </w:r>
      <w:r>
        <w:t>, according to which the Committee decided to limit lists of issues and questions and lists of issues prior to reporting to 20 and 25 paragraphs, respectively. However, in practice and exceptionally, some lists of issues and questions contain a maximum of 2</w:t>
      </w:r>
      <w:r w:rsidRPr="005E1CA7">
        <w:t>3</w:t>
      </w:r>
      <w:r>
        <w:t xml:space="preserve"> paragraphs.</w:t>
      </w:r>
    </w:p>
    <w:p w14:paraId="56960C18" w14:textId="7146236D" w:rsidR="00A778E0" w:rsidRDefault="00A778E0" w:rsidP="00A778E0">
      <w:pPr>
        <w:pStyle w:val="SingleTxtG"/>
      </w:pPr>
      <w:r>
        <w:t>6.</w:t>
      </w:r>
      <w:r>
        <w:tab/>
        <w:t>To assist in the preparation of the lists of issues and questions, the pre-sessional working group had at its disposal electronic versions of the core documents of the States parties listed above</w:t>
      </w:r>
      <w:r w:rsidR="001F2D7E">
        <w:t>. It also had at its disposal the reports of the States parties listed above</w:t>
      </w:r>
      <w:r>
        <w:t xml:space="preserve">, with the exception of </w:t>
      </w:r>
      <w:r w:rsidR="009F313C">
        <w:t>Germany</w:t>
      </w:r>
      <w:r w:rsidR="009770F5">
        <w:t xml:space="preserve">, </w:t>
      </w:r>
      <w:r w:rsidR="009F313C">
        <w:t>Japan</w:t>
      </w:r>
      <w:r w:rsidR="009770F5">
        <w:t xml:space="preserve"> and </w:t>
      </w:r>
      <w:r w:rsidR="009F313C">
        <w:t>Ukraine</w:t>
      </w:r>
      <w:r w:rsidR="009770F5">
        <w:t xml:space="preserve"> which will submit their periodic reports in response to the list of issues prior to reporting</w:t>
      </w:r>
      <w:r>
        <w:t xml:space="preserve">; the general recommendations adopted by the Committee; draft lists of issues and questions </w:t>
      </w:r>
      <w:r w:rsidR="004A7B39">
        <w:t xml:space="preserve">and lists of issues prior to reporting </w:t>
      </w:r>
      <w:r>
        <w:t>prepared by the secretariat; and other pertinent information, including concluding observations of the Committee and other treaty bodies, as relevant. In preparing the lists, the pre-sessional working group paid particular attention to the States parties’ follow-up to the concluding observations of the Committee on their previous reports.</w:t>
      </w:r>
    </w:p>
    <w:p w14:paraId="555ACB8F" w14:textId="77777777" w:rsidR="00A778E0" w:rsidRDefault="00A778E0" w:rsidP="00A778E0">
      <w:pPr>
        <w:pStyle w:val="SingleTxtG"/>
      </w:pPr>
      <w:r>
        <w:t>7.</w:t>
      </w:r>
      <w:r>
        <w:tab/>
        <w:t xml:space="preserve">The pre-sessional working group benefited from written and oral information submitted by entities of the United Nations system and non-governmental organizations </w:t>
      </w:r>
      <w:r w:rsidR="004A7B39">
        <w:t xml:space="preserve">as well as national human rights institutions </w:t>
      </w:r>
      <w:r>
        <w:t>with regard to the States parties listed above.</w:t>
      </w:r>
    </w:p>
    <w:p w14:paraId="17401ACC" w14:textId="77777777" w:rsidR="00A778E0" w:rsidRDefault="00A778E0" w:rsidP="00A778E0">
      <w:pPr>
        <w:pStyle w:val="SingleTxtG"/>
      </w:pPr>
      <w:r>
        <w:t>8.</w:t>
      </w:r>
      <w:r>
        <w:tab/>
        <w:t>The lists of issues and questions and lists of issues prior to reporting adopted by the pre-sessional working group were transmitted to the States parties concerned and are contained in the following documents:</w:t>
      </w:r>
    </w:p>
    <w:p w14:paraId="1150C287" w14:textId="1FD98269" w:rsidR="00A778E0" w:rsidRDefault="00DC648C" w:rsidP="00A778E0">
      <w:pPr>
        <w:pStyle w:val="SingleTxtG"/>
      </w:pPr>
      <w:r>
        <w:tab/>
      </w:r>
      <w:r w:rsidR="00A778E0">
        <w:tab/>
        <w:t>(a)</w:t>
      </w:r>
      <w:r w:rsidR="00A778E0">
        <w:tab/>
        <w:t>List of issues and q</w:t>
      </w:r>
      <w:bookmarkStart w:id="0" w:name="_GoBack"/>
      <w:bookmarkEnd w:id="0"/>
      <w:r w:rsidR="00A778E0">
        <w:t xml:space="preserve">uestions in relation to the </w:t>
      </w:r>
      <w:r w:rsidR="009F313C">
        <w:t>sixth</w:t>
      </w:r>
      <w:r w:rsidR="00A778E0">
        <w:t xml:space="preserve"> periodic report of </w:t>
      </w:r>
      <w:r w:rsidR="009F313C">
        <w:t>Azerbaijan</w:t>
      </w:r>
      <w:r w:rsidR="00A778E0" w:rsidDel="005B2CBE">
        <w:t xml:space="preserve"> </w:t>
      </w:r>
      <w:r w:rsidR="00A778E0">
        <w:t>(</w:t>
      </w:r>
      <w:r w:rsidR="00A778E0" w:rsidRPr="005B2CBE">
        <w:t>CEDAW/C/</w:t>
      </w:r>
      <w:r w:rsidR="009F313C">
        <w:t>AZE</w:t>
      </w:r>
      <w:r w:rsidR="00A778E0" w:rsidRPr="005B2CBE">
        <w:t>/</w:t>
      </w:r>
      <w:r w:rsidR="00A778E0">
        <w:t>Q/</w:t>
      </w:r>
      <w:r w:rsidR="009F313C">
        <w:t>6</w:t>
      </w:r>
      <w:r w:rsidR="00A778E0">
        <w:t>);</w:t>
      </w:r>
    </w:p>
    <w:p w14:paraId="62437448" w14:textId="414F6EF6" w:rsidR="00A778E0" w:rsidRDefault="00DC648C" w:rsidP="00A778E0">
      <w:pPr>
        <w:pStyle w:val="SingleTxtG"/>
      </w:pPr>
      <w:r>
        <w:tab/>
      </w:r>
      <w:r w:rsidR="00A778E0">
        <w:tab/>
        <w:t>(b)</w:t>
      </w:r>
      <w:r w:rsidR="00A778E0">
        <w:tab/>
        <w:t xml:space="preserve">List of issues and questions in relation to the </w:t>
      </w:r>
      <w:r w:rsidR="009F313C">
        <w:t xml:space="preserve">combined </w:t>
      </w:r>
      <w:r w:rsidR="00162A3A">
        <w:t>seventh</w:t>
      </w:r>
      <w:r w:rsidR="00A778E0">
        <w:t xml:space="preserve"> </w:t>
      </w:r>
      <w:r w:rsidR="009F313C">
        <w:t xml:space="preserve">to tenth </w:t>
      </w:r>
      <w:r w:rsidR="00A778E0">
        <w:t>periodic report</w:t>
      </w:r>
      <w:r w:rsidR="009F313C">
        <w:t>s</w:t>
      </w:r>
      <w:r w:rsidR="00A778E0">
        <w:t xml:space="preserve"> of </w:t>
      </w:r>
      <w:r w:rsidR="009F313C">
        <w:t>Nicaragua</w:t>
      </w:r>
      <w:r w:rsidR="00A778E0" w:rsidDel="005B2CBE">
        <w:t xml:space="preserve"> </w:t>
      </w:r>
      <w:r w:rsidR="00A778E0">
        <w:t>(</w:t>
      </w:r>
      <w:r w:rsidR="00A778E0" w:rsidRPr="005B2CBE">
        <w:t>CEDAW/C/</w:t>
      </w:r>
      <w:r w:rsidR="009F313C">
        <w:t>NIC</w:t>
      </w:r>
      <w:r w:rsidR="00A778E0" w:rsidRPr="005B2CBE">
        <w:t>/</w:t>
      </w:r>
      <w:r w:rsidR="00A778E0">
        <w:t>Q/</w:t>
      </w:r>
      <w:r w:rsidR="00162A3A">
        <w:t>7</w:t>
      </w:r>
      <w:r w:rsidR="009F313C">
        <w:t>-10</w:t>
      </w:r>
      <w:r w:rsidR="00A778E0">
        <w:t>);</w:t>
      </w:r>
    </w:p>
    <w:p w14:paraId="50D0D3AF" w14:textId="12E8EBAF" w:rsidR="00A778E0" w:rsidRDefault="00DC648C" w:rsidP="00A778E0">
      <w:pPr>
        <w:pStyle w:val="SingleTxtG"/>
      </w:pPr>
      <w:r>
        <w:tab/>
      </w:r>
      <w:r w:rsidR="00A778E0">
        <w:tab/>
        <w:t>(c)</w:t>
      </w:r>
      <w:r w:rsidR="00A778E0">
        <w:tab/>
        <w:t xml:space="preserve">List of issues and questions in relation to the </w:t>
      </w:r>
      <w:r w:rsidR="007D7A7D">
        <w:t>eighth</w:t>
      </w:r>
      <w:r w:rsidR="00A778E0">
        <w:t xml:space="preserve"> periodic report of </w:t>
      </w:r>
      <w:r w:rsidR="007D7A7D">
        <w:t>Senegal</w:t>
      </w:r>
      <w:r w:rsidR="00A778E0" w:rsidDel="005B2CBE">
        <w:t xml:space="preserve"> </w:t>
      </w:r>
      <w:r w:rsidR="00A778E0">
        <w:t>(CEDAW/C/</w:t>
      </w:r>
      <w:r w:rsidR="007D7A7D">
        <w:t>SEN</w:t>
      </w:r>
      <w:r w:rsidR="00A778E0">
        <w:t>/Q/</w:t>
      </w:r>
      <w:r w:rsidR="007D7A7D">
        <w:t>8</w:t>
      </w:r>
      <w:r w:rsidR="00A778E0">
        <w:t>);</w:t>
      </w:r>
    </w:p>
    <w:p w14:paraId="52925E08" w14:textId="7727EEA6" w:rsidR="00A778E0" w:rsidRDefault="00DC648C" w:rsidP="00DC648C">
      <w:pPr>
        <w:pStyle w:val="SingleTxtG"/>
      </w:pPr>
      <w:r>
        <w:tab/>
      </w:r>
      <w:r w:rsidR="00A778E0">
        <w:tab/>
        <w:t>(d)</w:t>
      </w:r>
      <w:r w:rsidR="00A778E0">
        <w:tab/>
        <w:t xml:space="preserve">List of issues and questions in relation to the </w:t>
      </w:r>
      <w:r w:rsidR="00162A3A">
        <w:t>sixth</w:t>
      </w:r>
      <w:r w:rsidR="00A778E0">
        <w:t xml:space="preserve"> periodic report of </w:t>
      </w:r>
      <w:r w:rsidR="007D7A7D">
        <w:t>South Africa</w:t>
      </w:r>
      <w:r w:rsidR="00A778E0" w:rsidDel="005B2CBE">
        <w:t xml:space="preserve"> </w:t>
      </w:r>
      <w:r w:rsidR="00A778E0">
        <w:t>(CEDAW/C/</w:t>
      </w:r>
      <w:r w:rsidR="007D7A7D">
        <w:t>ZAF</w:t>
      </w:r>
      <w:r w:rsidR="00A778E0">
        <w:t>/Q/</w:t>
      </w:r>
      <w:r w:rsidR="007D7A7D">
        <w:t>5</w:t>
      </w:r>
      <w:r w:rsidR="00A778E0">
        <w:t>);</w:t>
      </w:r>
    </w:p>
    <w:p w14:paraId="066E7722" w14:textId="3C2E8585" w:rsidR="007D7A7D" w:rsidRDefault="007D7A7D" w:rsidP="005E1CA7">
      <w:pPr>
        <w:pStyle w:val="SingleTxtG"/>
        <w:ind w:firstLine="567"/>
      </w:pPr>
      <w:r>
        <w:t>(e)</w:t>
      </w:r>
      <w:r>
        <w:tab/>
        <w:t>List of issues and questions in relation to the combined seventh and eighth periodic reports of Yemen</w:t>
      </w:r>
      <w:r w:rsidDel="005B2CBE">
        <w:t xml:space="preserve"> </w:t>
      </w:r>
      <w:r>
        <w:t>(CEDAW/C/YEM/Q/7-8/Rev.1);</w:t>
      </w:r>
    </w:p>
    <w:p w14:paraId="542E3B49" w14:textId="488CD266" w:rsidR="00A778E0" w:rsidRDefault="00DC648C" w:rsidP="00A778E0">
      <w:pPr>
        <w:pStyle w:val="SingleTxtG"/>
      </w:pPr>
      <w:r>
        <w:tab/>
      </w:r>
      <w:r w:rsidR="00A778E0">
        <w:tab/>
        <w:t>(</w:t>
      </w:r>
      <w:r w:rsidR="007D7A7D">
        <w:t>f</w:t>
      </w:r>
      <w:r w:rsidR="00A778E0">
        <w:t>)</w:t>
      </w:r>
      <w:r w:rsidR="00A778E0" w:rsidRPr="005B2CBE">
        <w:t xml:space="preserve"> </w:t>
      </w:r>
      <w:r w:rsidR="00A778E0">
        <w:tab/>
        <w:t xml:space="preserve">List of issues and questions </w:t>
      </w:r>
      <w:r w:rsidR="00162A3A">
        <w:t>prior to the submission of</w:t>
      </w:r>
      <w:r w:rsidR="00A778E0">
        <w:t xml:space="preserve"> the </w:t>
      </w:r>
      <w:r w:rsidR="007D7A7D">
        <w:t>ninth</w:t>
      </w:r>
      <w:r w:rsidR="00A778E0">
        <w:t xml:space="preserve"> periodic report of </w:t>
      </w:r>
      <w:r w:rsidR="007D7A7D">
        <w:t>Germany</w:t>
      </w:r>
      <w:r w:rsidR="00A778E0" w:rsidRPr="005B2CBE">
        <w:t xml:space="preserve"> </w:t>
      </w:r>
      <w:r w:rsidR="00A778E0">
        <w:t>(CEDAW/C/</w:t>
      </w:r>
      <w:r w:rsidR="007D7A7D">
        <w:t>DEU</w:t>
      </w:r>
      <w:r w:rsidR="00A778E0">
        <w:t>/</w:t>
      </w:r>
      <w:r w:rsidR="00162A3A">
        <w:t>QPR/</w:t>
      </w:r>
      <w:r w:rsidR="007D7A7D">
        <w:t>9</w:t>
      </w:r>
      <w:r w:rsidR="00A778E0">
        <w:t>);</w:t>
      </w:r>
    </w:p>
    <w:p w14:paraId="0CA54C52" w14:textId="6F153A69" w:rsidR="00A778E0" w:rsidRDefault="00DC648C" w:rsidP="00A778E0">
      <w:pPr>
        <w:pStyle w:val="SingleTxtG"/>
      </w:pPr>
      <w:r>
        <w:tab/>
      </w:r>
      <w:r w:rsidR="00A778E0">
        <w:tab/>
        <w:t>(</w:t>
      </w:r>
      <w:r w:rsidR="00FE50AB">
        <w:t>f</w:t>
      </w:r>
      <w:r w:rsidR="00A778E0">
        <w:t>)</w:t>
      </w:r>
      <w:r w:rsidR="00A778E0">
        <w:tab/>
        <w:t xml:space="preserve">List of issues and questions prior to the submission of the </w:t>
      </w:r>
      <w:r w:rsidR="007D7A7D">
        <w:t>ninth</w:t>
      </w:r>
      <w:r w:rsidR="00A778E0">
        <w:t xml:space="preserve"> periodic report of </w:t>
      </w:r>
      <w:r w:rsidR="007D7A7D">
        <w:t>Japan</w:t>
      </w:r>
      <w:r w:rsidR="00A778E0">
        <w:t xml:space="preserve"> (CEDAW/C/</w:t>
      </w:r>
      <w:r w:rsidR="007D7A7D">
        <w:t>JPN</w:t>
      </w:r>
      <w:r w:rsidR="00A778E0">
        <w:t>/QPR/</w:t>
      </w:r>
      <w:r w:rsidR="007D7A7D">
        <w:t>9</w:t>
      </w:r>
      <w:r w:rsidR="00A778E0">
        <w:t>);</w:t>
      </w:r>
    </w:p>
    <w:p w14:paraId="3C6D8F60" w14:textId="57F33879" w:rsidR="00A778E0" w:rsidRDefault="00DC648C" w:rsidP="00A778E0">
      <w:pPr>
        <w:pStyle w:val="SingleTxtG"/>
      </w:pPr>
      <w:r>
        <w:tab/>
      </w:r>
      <w:r w:rsidR="00A778E0">
        <w:tab/>
        <w:t>(</w:t>
      </w:r>
      <w:r w:rsidR="00FE50AB">
        <w:t>g</w:t>
      </w:r>
      <w:r w:rsidR="00A778E0">
        <w:t>)</w:t>
      </w:r>
      <w:r w:rsidR="00A778E0">
        <w:tab/>
        <w:t xml:space="preserve">List of issues and questions prior to the submission of the </w:t>
      </w:r>
      <w:r w:rsidR="007D7A7D">
        <w:t>ninth</w:t>
      </w:r>
      <w:r w:rsidR="00A778E0">
        <w:t xml:space="preserve"> periodic report of </w:t>
      </w:r>
      <w:r w:rsidR="007D7A7D">
        <w:t>Ukraine</w:t>
      </w:r>
      <w:r w:rsidR="00A778E0">
        <w:t xml:space="preserve"> (CEDAW/C/</w:t>
      </w:r>
      <w:r w:rsidR="007D7A7D">
        <w:t>UKR</w:t>
      </w:r>
      <w:r w:rsidR="00A778E0">
        <w:t>/QPR/</w:t>
      </w:r>
      <w:r w:rsidR="007D7A7D">
        <w:t>9</w:t>
      </w:r>
      <w:r w:rsidR="00A778E0">
        <w:t>).</w:t>
      </w:r>
    </w:p>
    <w:p w14:paraId="52222872" w14:textId="448A92A9" w:rsidR="006B08F1" w:rsidRDefault="00A778E0" w:rsidP="00A778E0">
      <w:pPr>
        <w:pStyle w:val="SingleTxtG"/>
      </w:pPr>
      <w:r>
        <w:t>9.</w:t>
      </w:r>
      <w:r>
        <w:tab/>
        <w:t>In accordance with Committee decisions 22/IV</w:t>
      </w:r>
      <w:r w:rsidR="001F2D7E">
        <w:t xml:space="preserve"> (A/55/38 (SUPP), p. 4)</w:t>
      </w:r>
      <w:r>
        <w:t xml:space="preserve">, 25/II </w:t>
      </w:r>
      <w:r w:rsidR="001F2D7E">
        <w:t xml:space="preserve">(A/56/38 (SUPP), p. 45) </w:t>
      </w:r>
      <w:r>
        <w:t>and 31/III</w:t>
      </w:r>
      <w:r w:rsidR="001F2D7E">
        <w:t xml:space="preserve"> (A/59/38 (SUPP), p. 95)</w:t>
      </w:r>
      <w:r>
        <w:t xml:space="preserve">, the lists of issues and questions focused on themes addressed by the </w:t>
      </w:r>
      <w:r>
        <w:lastRenderedPageBreak/>
        <w:t>Convention, as well as on the linkages between relevant themes and the Sustainable Development Goals. Those themes include the constitutional and legislative framework; access to justice; women, peace and security, where applicable; national machinery for the advancement of women; national human rights institutions; temporary special measures for the advancement of women; stereotypes and harmful practices; gender</w:t>
      </w:r>
      <w:r>
        <w:noBreakHyphen/>
        <w:t xml:space="preserve">based violence against women and girls; trafficking in women and girls and exploitation of prostitution; participation of women in political and public life; nationality; education; employment; health; economic and social life; </w:t>
      </w:r>
      <w:r w:rsidRPr="00BF53A2">
        <w:t>disaster risk reduction and climate change</w:t>
      </w:r>
      <w:r>
        <w:t xml:space="preserve">; rural women; </w:t>
      </w:r>
      <w:r w:rsidR="001F2D7E">
        <w:t xml:space="preserve">equality in marriage and family relations; and </w:t>
      </w:r>
      <w:r>
        <w:t xml:space="preserve">intersecting forms of discrimination faced by women, such as older women, </w:t>
      </w:r>
      <w:r w:rsidR="004C51CD">
        <w:t xml:space="preserve">widows, </w:t>
      </w:r>
      <w:r>
        <w:t xml:space="preserve">women with disabilities, </w:t>
      </w:r>
      <w:r w:rsidR="00494736">
        <w:t xml:space="preserve">women living with HIV/AIDS, </w:t>
      </w:r>
      <w:r w:rsidR="001F2D7E">
        <w:t xml:space="preserve">women using drugs, </w:t>
      </w:r>
      <w:r>
        <w:t xml:space="preserve">women in detention, indigenous women, </w:t>
      </w:r>
      <w:r w:rsidR="001F2D7E">
        <w:t xml:space="preserve">women human rights defenders, </w:t>
      </w:r>
      <w:r>
        <w:t>women in poverty, women belonging to ethnic minority groups, refugee women and migrant women, asylum-seeking women, lesbian, bisexual and transgen</w:t>
      </w:r>
      <w:r w:rsidR="00DC648C">
        <w:t>der women and intersex persons</w:t>
      </w:r>
      <w:r>
        <w:t>.</w:t>
      </w:r>
    </w:p>
    <w:p w14:paraId="03767DB3" w14:textId="10DA5F25" w:rsidR="00A778E0" w:rsidRPr="006B08F1" w:rsidRDefault="006B08F1" w:rsidP="006B08F1">
      <w:pPr>
        <w:pStyle w:val="SingleTxtG"/>
        <w:spacing w:before="240" w:after="0"/>
        <w:jc w:val="center"/>
      </w:pPr>
      <w:r>
        <w:tab/>
      </w:r>
      <w:r>
        <w:rPr>
          <w:u w:val="single"/>
        </w:rPr>
        <w:tab/>
      </w:r>
      <w:r>
        <w:rPr>
          <w:u w:val="single"/>
        </w:rPr>
        <w:tab/>
      </w:r>
      <w:r>
        <w:rPr>
          <w:u w:val="single"/>
        </w:rPr>
        <w:tab/>
      </w:r>
    </w:p>
    <w:sectPr w:rsidR="00A778E0" w:rsidRPr="006B08F1" w:rsidSect="00A778E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680B97" w14:textId="77777777" w:rsidR="004743F9" w:rsidRDefault="004743F9"/>
  </w:endnote>
  <w:endnote w:type="continuationSeparator" w:id="0">
    <w:p w14:paraId="43AF301A" w14:textId="77777777" w:rsidR="004743F9" w:rsidRDefault="004743F9"/>
  </w:endnote>
  <w:endnote w:type="continuationNotice" w:id="1">
    <w:p w14:paraId="38360D2D" w14:textId="77777777" w:rsidR="004743F9" w:rsidRDefault="004743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AFC06" w14:textId="7833A869" w:rsidR="00A778E0" w:rsidRPr="00A778E0" w:rsidRDefault="00A778E0" w:rsidP="00A778E0">
    <w:pPr>
      <w:pStyle w:val="Footer"/>
      <w:tabs>
        <w:tab w:val="right" w:pos="9638"/>
      </w:tabs>
      <w:rPr>
        <w:sz w:val="18"/>
      </w:rPr>
    </w:pPr>
    <w:r w:rsidRPr="00A778E0">
      <w:rPr>
        <w:b/>
        <w:sz w:val="18"/>
      </w:rPr>
      <w:fldChar w:fldCharType="begin"/>
    </w:r>
    <w:r w:rsidRPr="00A778E0">
      <w:rPr>
        <w:b/>
        <w:sz w:val="18"/>
      </w:rPr>
      <w:instrText xml:space="preserve"> PAGE  \* MERGEFORMAT </w:instrText>
    </w:r>
    <w:r w:rsidRPr="00A778E0">
      <w:rPr>
        <w:b/>
        <w:sz w:val="18"/>
      </w:rPr>
      <w:fldChar w:fldCharType="separate"/>
    </w:r>
    <w:r w:rsidR="003861A5">
      <w:rPr>
        <w:b/>
        <w:noProof/>
        <w:sz w:val="18"/>
      </w:rPr>
      <w:t>2</w:t>
    </w:r>
    <w:r w:rsidRPr="00A778E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CD35C" w14:textId="6D859F17" w:rsidR="00A778E0" w:rsidRPr="00A778E0" w:rsidRDefault="00A778E0" w:rsidP="00A778E0">
    <w:pPr>
      <w:pStyle w:val="Footer"/>
      <w:tabs>
        <w:tab w:val="right" w:pos="9638"/>
      </w:tabs>
      <w:rPr>
        <w:b/>
        <w:sz w:val="18"/>
      </w:rPr>
    </w:pPr>
    <w:r>
      <w:tab/>
    </w:r>
    <w:r w:rsidRPr="00A778E0">
      <w:rPr>
        <w:b/>
        <w:sz w:val="18"/>
      </w:rPr>
      <w:fldChar w:fldCharType="begin"/>
    </w:r>
    <w:r w:rsidRPr="00A778E0">
      <w:rPr>
        <w:b/>
        <w:sz w:val="18"/>
      </w:rPr>
      <w:instrText xml:space="preserve"> PAGE  \* MERGEFORMAT </w:instrText>
    </w:r>
    <w:r w:rsidRPr="00A778E0">
      <w:rPr>
        <w:b/>
        <w:sz w:val="18"/>
      </w:rPr>
      <w:fldChar w:fldCharType="separate"/>
    </w:r>
    <w:r w:rsidR="00DC648C">
      <w:rPr>
        <w:b/>
        <w:noProof/>
        <w:sz w:val="18"/>
      </w:rPr>
      <w:t>3</w:t>
    </w:r>
    <w:r w:rsidRPr="00A778E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7E8BB" w14:textId="3972BE1F" w:rsidR="00DE0130" w:rsidRPr="00A778E0" w:rsidRDefault="008D10AB" w:rsidP="009B4A1B">
    <w:pPr>
      <w:pStyle w:val="Footer"/>
      <w:rPr>
        <w:sz w:val="20"/>
      </w:rPr>
    </w:pPr>
    <w:r>
      <w:rPr>
        <w:noProof/>
        <w:lang w:eastAsia="en-GB"/>
      </w:rPr>
      <w:drawing>
        <wp:anchor distT="0" distB="0" distL="114300" distR="114300" simplePos="0" relativeHeight="251660288" behindDoc="0" locked="1" layoutInCell="1" allowOverlap="1" wp14:anchorId="19B87E28" wp14:editId="55CC7E00">
          <wp:simplePos x="0" y="0"/>
          <wp:positionH relativeFrom="margin">
            <wp:posOffset>5003800</wp:posOffset>
          </wp:positionH>
          <wp:positionV relativeFrom="margin">
            <wp:posOffset>9323705</wp:posOffset>
          </wp:positionV>
          <wp:extent cx="933450" cy="228600"/>
          <wp:effectExtent l="0" t="0" r="0"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5DA7AB" w14:textId="77777777" w:rsidR="004743F9" w:rsidRPr="000B175B" w:rsidRDefault="004743F9" w:rsidP="000B175B">
      <w:pPr>
        <w:tabs>
          <w:tab w:val="right" w:pos="2155"/>
        </w:tabs>
        <w:spacing w:after="80"/>
        <w:ind w:left="680"/>
        <w:rPr>
          <w:u w:val="single"/>
        </w:rPr>
      </w:pPr>
      <w:r>
        <w:rPr>
          <w:u w:val="single"/>
        </w:rPr>
        <w:tab/>
      </w:r>
    </w:p>
  </w:footnote>
  <w:footnote w:type="continuationSeparator" w:id="0">
    <w:p w14:paraId="60811A2C" w14:textId="77777777" w:rsidR="004743F9" w:rsidRPr="00FC68B7" w:rsidRDefault="004743F9" w:rsidP="00FC68B7">
      <w:pPr>
        <w:tabs>
          <w:tab w:val="left" w:pos="2155"/>
        </w:tabs>
        <w:spacing w:after="80"/>
        <w:ind w:left="680"/>
        <w:rPr>
          <w:u w:val="single"/>
        </w:rPr>
      </w:pPr>
      <w:r>
        <w:rPr>
          <w:u w:val="single"/>
        </w:rPr>
        <w:tab/>
      </w:r>
    </w:p>
  </w:footnote>
  <w:footnote w:type="continuationNotice" w:id="1">
    <w:p w14:paraId="4FD6E438" w14:textId="77777777" w:rsidR="004743F9" w:rsidRDefault="004743F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0FF29" w14:textId="6F2D5668" w:rsidR="00A778E0" w:rsidRPr="00A778E0" w:rsidRDefault="003861A5">
    <w:pPr>
      <w:pStyle w:val="Header"/>
    </w:pPr>
    <w:r>
      <w:fldChar w:fldCharType="begin"/>
    </w:r>
    <w:r>
      <w:instrText xml:space="preserve"> TITLE  \* MERGEFORMAT </w:instrText>
    </w:r>
    <w:r>
      <w:fldChar w:fldCharType="separate"/>
    </w:r>
    <w:r>
      <w:t>CEDAW/C/PSWG/77</w:t>
    </w:r>
    <w:r w:rsidR="00A778E0">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E4961" w14:textId="77777777" w:rsidR="00A778E0" w:rsidRPr="00A778E0" w:rsidRDefault="003861A5" w:rsidP="00A778E0">
    <w:pPr>
      <w:pStyle w:val="Header"/>
      <w:jc w:val="right"/>
    </w:pPr>
    <w:r>
      <w:fldChar w:fldCharType="begin"/>
    </w:r>
    <w:r>
      <w:instrText xml:space="preserve"> TITLE  \* MERG</w:instrText>
    </w:r>
    <w:r>
      <w:instrText xml:space="preserve">EFORMAT </w:instrText>
    </w:r>
    <w:r>
      <w:fldChar w:fldCharType="separate"/>
    </w:r>
    <w:r w:rsidR="00A778E0">
      <w:t>CEDAW/C/PSWG/76/1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1"/>
  </w:num>
  <w:num w:numId="14">
    <w:abstractNumId w:val="10"/>
  </w:num>
  <w:num w:numId="15">
    <w:abstractNumId w:val="15"/>
  </w:num>
  <w:num w:numId="1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8E0"/>
    <w:rsid w:val="0001325F"/>
    <w:rsid w:val="00017FCF"/>
    <w:rsid w:val="00024D1E"/>
    <w:rsid w:val="00032FF2"/>
    <w:rsid w:val="00050F6B"/>
    <w:rsid w:val="000551DC"/>
    <w:rsid w:val="00060D59"/>
    <w:rsid w:val="00072C8C"/>
    <w:rsid w:val="000733B5"/>
    <w:rsid w:val="00077485"/>
    <w:rsid w:val="000931C0"/>
    <w:rsid w:val="000A4E05"/>
    <w:rsid w:val="000A5D3B"/>
    <w:rsid w:val="000B175B"/>
    <w:rsid w:val="000B3288"/>
    <w:rsid w:val="000B3A0F"/>
    <w:rsid w:val="000B4EF7"/>
    <w:rsid w:val="000C1462"/>
    <w:rsid w:val="000C2D2E"/>
    <w:rsid w:val="000C4C9C"/>
    <w:rsid w:val="000C56BA"/>
    <w:rsid w:val="000E0415"/>
    <w:rsid w:val="001103AA"/>
    <w:rsid w:val="00155467"/>
    <w:rsid w:val="00161C52"/>
    <w:rsid w:val="00162A3A"/>
    <w:rsid w:val="00171B53"/>
    <w:rsid w:val="0017510C"/>
    <w:rsid w:val="00180D95"/>
    <w:rsid w:val="0018711F"/>
    <w:rsid w:val="001A207A"/>
    <w:rsid w:val="001B4B04"/>
    <w:rsid w:val="001C453A"/>
    <w:rsid w:val="001C6663"/>
    <w:rsid w:val="001C7895"/>
    <w:rsid w:val="001D26DF"/>
    <w:rsid w:val="001D2F63"/>
    <w:rsid w:val="001E5AA0"/>
    <w:rsid w:val="001F2D7E"/>
    <w:rsid w:val="001F521D"/>
    <w:rsid w:val="002007C7"/>
    <w:rsid w:val="00200F9C"/>
    <w:rsid w:val="00202DA8"/>
    <w:rsid w:val="00211E0B"/>
    <w:rsid w:val="00214645"/>
    <w:rsid w:val="002537C1"/>
    <w:rsid w:val="002631A3"/>
    <w:rsid w:val="002706A2"/>
    <w:rsid w:val="00296A49"/>
    <w:rsid w:val="002A5E23"/>
    <w:rsid w:val="002B0464"/>
    <w:rsid w:val="002B288B"/>
    <w:rsid w:val="002B6071"/>
    <w:rsid w:val="002C6D5C"/>
    <w:rsid w:val="002E09A8"/>
    <w:rsid w:val="002F026F"/>
    <w:rsid w:val="002F175C"/>
    <w:rsid w:val="0030234C"/>
    <w:rsid w:val="003041C9"/>
    <w:rsid w:val="00310D11"/>
    <w:rsid w:val="003229D8"/>
    <w:rsid w:val="003305AB"/>
    <w:rsid w:val="00346E64"/>
    <w:rsid w:val="00352709"/>
    <w:rsid w:val="003601CD"/>
    <w:rsid w:val="00371178"/>
    <w:rsid w:val="00374573"/>
    <w:rsid w:val="0038343B"/>
    <w:rsid w:val="003861A5"/>
    <w:rsid w:val="003A4810"/>
    <w:rsid w:val="003A6810"/>
    <w:rsid w:val="003B1815"/>
    <w:rsid w:val="003C2CC4"/>
    <w:rsid w:val="003D159A"/>
    <w:rsid w:val="003D4B23"/>
    <w:rsid w:val="003D5672"/>
    <w:rsid w:val="003E3B08"/>
    <w:rsid w:val="003E723B"/>
    <w:rsid w:val="00405DDC"/>
    <w:rsid w:val="00410C89"/>
    <w:rsid w:val="004325CB"/>
    <w:rsid w:val="00436D26"/>
    <w:rsid w:val="0044179B"/>
    <w:rsid w:val="00443418"/>
    <w:rsid w:val="0045495B"/>
    <w:rsid w:val="004743F9"/>
    <w:rsid w:val="004856CD"/>
    <w:rsid w:val="00486AA4"/>
    <w:rsid w:val="00490E1A"/>
    <w:rsid w:val="00494736"/>
    <w:rsid w:val="004A42C3"/>
    <w:rsid w:val="004A7B39"/>
    <w:rsid w:val="004B0B18"/>
    <w:rsid w:val="004B4C46"/>
    <w:rsid w:val="004B7C8A"/>
    <w:rsid w:val="004C51CD"/>
    <w:rsid w:val="004D17DB"/>
    <w:rsid w:val="004D25E4"/>
    <w:rsid w:val="00514346"/>
    <w:rsid w:val="00517B36"/>
    <w:rsid w:val="005420F2"/>
    <w:rsid w:val="00556720"/>
    <w:rsid w:val="00577235"/>
    <w:rsid w:val="005B2CBE"/>
    <w:rsid w:val="005B3DB3"/>
    <w:rsid w:val="005B5E1E"/>
    <w:rsid w:val="005C49C8"/>
    <w:rsid w:val="005C6A79"/>
    <w:rsid w:val="005E1CA7"/>
    <w:rsid w:val="005F2F1C"/>
    <w:rsid w:val="006001EE"/>
    <w:rsid w:val="00611FC4"/>
    <w:rsid w:val="00612565"/>
    <w:rsid w:val="006137E4"/>
    <w:rsid w:val="006176FB"/>
    <w:rsid w:val="00621B32"/>
    <w:rsid w:val="00640B26"/>
    <w:rsid w:val="00674235"/>
    <w:rsid w:val="006A78E5"/>
    <w:rsid w:val="006B08F1"/>
    <w:rsid w:val="006B4BDB"/>
    <w:rsid w:val="006C2D6B"/>
    <w:rsid w:val="006E564B"/>
    <w:rsid w:val="00707CAD"/>
    <w:rsid w:val="00717E48"/>
    <w:rsid w:val="0072632A"/>
    <w:rsid w:val="007309F3"/>
    <w:rsid w:val="00747B84"/>
    <w:rsid w:val="00755F69"/>
    <w:rsid w:val="00764DD9"/>
    <w:rsid w:val="00777887"/>
    <w:rsid w:val="007A620C"/>
    <w:rsid w:val="007B0F20"/>
    <w:rsid w:val="007B112D"/>
    <w:rsid w:val="007B6BA5"/>
    <w:rsid w:val="007C2ACD"/>
    <w:rsid w:val="007C2D17"/>
    <w:rsid w:val="007C3390"/>
    <w:rsid w:val="007C4F4B"/>
    <w:rsid w:val="007D7A7D"/>
    <w:rsid w:val="007E61A6"/>
    <w:rsid w:val="007E7ADD"/>
    <w:rsid w:val="007F1EE6"/>
    <w:rsid w:val="007F6462"/>
    <w:rsid w:val="007F6611"/>
    <w:rsid w:val="008242D7"/>
    <w:rsid w:val="00832D01"/>
    <w:rsid w:val="00846D29"/>
    <w:rsid w:val="00855FFA"/>
    <w:rsid w:val="00860B80"/>
    <w:rsid w:val="008723C3"/>
    <w:rsid w:val="00876AA4"/>
    <w:rsid w:val="00876F3F"/>
    <w:rsid w:val="008979B1"/>
    <w:rsid w:val="00897AF5"/>
    <w:rsid w:val="008A156F"/>
    <w:rsid w:val="008A2966"/>
    <w:rsid w:val="008A6B25"/>
    <w:rsid w:val="008A6C4F"/>
    <w:rsid w:val="008B2335"/>
    <w:rsid w:val="008B2B8A"/>
    <w:rsid w:val="008D10AB"/>
    <w:rsid w:val="008E0548"/>
    <w:rsid w:val="008E5CCA"/>
    <w:rsid w:val="008F1C5D"/>
    <w:rsid w:val="00907491"/>
    <w:rsid w:val="009223CA"/>
    <w:rsid w:val="009369F6"/>
    <w:rsid w:val="00936D09"/>
    <w:rsid w:val="00940F93"/>
    <w:rsid w:val="009603EF"/>
    <w:rsid w:val="009616D1"/>
    <w:rsid w:val="009770F5"/>
    <w:rsid w:val="00991399"/>
    <w:rsid w:val="00991D0E"/>
    <w:rsid w:val="00994B9F"/>
    <w:rsid w:val="009B4A1B"/>
    <w:rsid w:val="009C09F0"/>
    <w:rsid w:val="009C0EE8"/>
    <w:rsid w:val="009C14AA"/>
    <w:rsid w:val="009D0338"/>
    <w:rsid w:val="009E1969"/>
    <w:rsid w:val="009E425C"/>
    <w:rsid w:val="009F313C"/>
    <w:rsid w:val="00A01489"/>
    <w:rsid w:val="00A20AC0"/>
    <w:rsid w:val="00A21AD8"/>
    <w:rsid w:val="00A22850"/>
    <w:rsid w:val="00A247CC"/>
    <w:rsid w:val="00A35617"/>
    <w:rsid w:val="00A61CCD"/>
    <w:rsid w:val="00A72F22"/>
    <w:rsid w:val="00A748A6"/>
    <w:rsid w:val="00A776B4"/>
    <w:rsid w:val="00A778E0"/>
    <w:rsid w:val="00A93A73"/>
    <w:rsid w:val="00A94361"/>
    <w:rsid w:val="00A9513A"/>
    <w:rsid w:val="00AA2E74"/>
    <w:rsid w:val="00AB10D5"/>
    <w:rsid w:val="00AC1552"/>
    <w:rsid w:val="00AC617F"/>
    <w:rsid w:val="00AE066F"/>
    <w:rsid w:val="00AF5DB1"/>
    <w:rsid w:val="00B01054"/>
    <w:rsid w:val="00B06775"/>
    <w:rsid w:val="00B10192"/>
    <w:rsid w:val="00B14480"/>
    <w:rsid w:val="00B27732"/>
    <w:rsid w:val="00B27E2C"/>
    <w:rsid w:val="00B30179"/>
    <w:rsid w:val="00B40842"/>
    <w:rsid w:val="00B46622"/>
    <w:rsid w:val="00B523B6"/>
    <w:rsid w:val="00B56E9C"/>
    <w:rsid w:val="00B64B1F"/>
    <w:rsid w:val="00B6553F"/>
    <w:rsid w:val="00B80003"/>
    <w:rsid w:val="00B81E12"/>
    <w:rsid w:val="00B935E3"/>
    <w:rsid w:val="00BB5C7D"/>
    <w:rsid w:val="00BC74E9"/>
    <w:rsid w:val="00BE6B98"/>
    <w:rsid w:val="00BF53A2"/>
    <w:rsid w:val="00BF5B27"/>
    <w:rsid w:val="00BF68A8"/>
    <w:rsid w:val="00BF6BE0"/>
    <w:rsid w:val="00C14C63"/>
    <w:rsid w:val="00C21E5D"/>
    <w:rsid w:val="00C3206E"/>
    <w:rsid w:val="00C463DD"/>
    <w:rsid w:val="00C4724C"/>
    <w:rsid w:val="00C475AB"/>
    <w:rsid w:val="00C53A77"/>
    <w:rsid w:val="00C629A0"/>
    <w:rsid w:val="00C745C3"/>
    <w:rsid w:val="00C75FB9"/>
    <w:rsid w:val="00C779E4"/>
    <w:rsid w:val="00CC00AC"/>
    <w:rsid w:val="00CC24D2"/>
    <w:rsid w:val="00CC7EA0"/>
    <w:rsid w:val="00CD4AC4"/>
    <w:rsid w:val="00CE4A8F"/>
    <w:rsid w:val="00D2031B"/>
    <w:rsid w:val="00D218CB"/>
    <w:rsid w:val="00D25FE2"/>
    <w:rsid w:val="00D27CF8"/>
    <w:rsid w:val="00D43252"/>
    <w:rsid w:val="00D4473E"/>
    <w:rsid w:val="00D51E7F"/>
    <w:rsid w:val="00D526E8"/>
    <w:rsid w:val="00D62730"/>
    <w:rsid w:val="00D7767E"/>
    <w:rsid w:val="00D978C6"/>
    <w:rsid w:val="00DA3B9E"/>
    <w:rsid w:val="00DA3C1C"/>
    <w:rsid w:val="00DC648C"/>
    <w:rsid w:val="00DC7B16"/>
    <w:rsid w:val="00DE0130"/>
    <w:rsid w:val="00E109FB"/>
    <w:rsid w:val="00E11FF1"/>
    <w:rsid w:val="00E1715B"/>
    <w:rsid w:val="00E20A6E"/>
    <w:rsid w:val="00E22CE3"/>
    <w:rsid w:val="00E41739"/>
    <w:rsid w:val="00E56873"/>
    <w:rsid w:val="00E61D3D"/>
    <w:rsid w:val="00E63389"/>
    <w:rsid w:val="00E71BC8"/>
    <w:rsid w:val="00E7260F"/>
    <w:rsid w:val="00E870C2"/>
    <w:rsid w:val="00E96630"/>
    <w:rsid w:val="00EA1702"/>
    <w:rsid w:val="00EB3D5D"/>
    <w:rsid w:val="00EB5A4A"/>
    <w:rsid w:val="00ED32A3"/>
    <w:rsid w:val="00ED42F5"/>
    <w:rsid w:val="00ED616A"/>
    <w:rsid w:val="00ED7A2A"/>
    <w:rsid w:val="00EF1D7F"/>
    <w:rsid w:val="00F010D9"/>
    <w:rsid w:val="00F020FA"/>
    <w:rsid w:val="00F214DA"/>
    <w:rsid w:val="00F27BF6"/>
    <w:rsid w:val="00F30184"/>
    <w:rsid w:val="00F32B3C"/>
    <w:rsid w:val="00F34583"/>
    <w:rsid w:val="00F40393"/>
    <w:rsid w:val="00F41BC3"/>
    <w:rsid w:val="00F504DF"/>
    <w:rsid w:val="00F5593E"/>
    <w:rsid w:val="00F7416C"/>
    <w:rsid w:val="00F8600E"/>
    <w:rsid w:val="00F94BC6"/>
    <w:rsid w:val="00FA271C"/>
    <w:rsid w:val="00FC49F5"/>
    <w:rsid w:val="00FC68B7"/>
    <w:rsid w:val="00FD74C5"/>
    <w:rsid w:val="00FE2211"/>
    <w:rsid w:val="00FE3A59"/>
    <w:rsid w:val="00FE50AB"/>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270038E"/>
  <w15:docId w15:val="{DE548D2A-533D-444E-8267-7B043FD5C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0548"/>
    <w:pPr>
      <w:suppressAutoHyphens/>
      <w:spacing w:line="240" w:lineRule="atLeast"/>
    </w:pPr>
    <w:rPr>
      <w:lang w:val="en-GB"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semiHidden/>
    <w:qFormat/>
    <w:rsid w:val="00E61D3D"/>
    <w:pPr>
      <w:spacing w:line="240" w:lineRule="auto"/>
      <w:outlineLvl w:val="1"/>
    </w:pPr>
  </w:style>
  <w:style w:type="paragraph" w:styleId="Heading3">
    <w:name w:val="heading 3"/>
    <w:basedOn w:val="Normal"/>
    <w:next w:val="Normal"/>
    <w:semiHidden/>
    <w:qFormat/>
    <w:rsid w:val="00E61D3D"/>
    <w:pPr>
      <w:spacing w:line="240" w:lineRule="auto"/>
      <w:outlineLvl w:val="2"/>
    </w:pPr>
  </w:style>
  <w:style w:type="paragraph" w:styleId="Heading4">
    <w:name w:val="heading 4"/>
    <w:basedOn w:val="Normal"/>
    <w:next w:val="Normal"/>
    <w:semiHidden/>
    <w:qFormat/>
    <w:rsid w:val="00E61D3D"/>
    <w:pPr>
      <w:spacing w:line="240" w:lineRule="auto"/>
      <w:outlineLvl w:val="3"/>
    </w:pPr>
  </w:style>
  <w:style w:type="paragraph" w:styleId="Heading5">
    <w:name w:val="heading 5"/>
    <w:basedOn w:val="Normal"/>
    <w:next w:val="Normal"/>
    <w:semiHidden/>
    <w:qFormat/>
    <w:rsid w:val="00E61D3D"/>
    <w:pPr>
      <w:spacing w:line="240" w:lineRule="auto"/>
      <w:outlineLvl w:val="4"/>
    </w:pPr>
  </w:style>
  <w:style w:type="paragraph" w:styleId="Heading6">
    <w:name w:val="heading 6"/>
    <w:basedOn w:val="Normal"/>
    <w:next w:val="Normal"/>
    <w:semiHidden/>
    <w:qFormat/>
    <w:rsid w:val="00E61D3D"/>
    <w:pPr>
      <w:spacing w:line="240" w:lineRule="auto"/>
      <w:outlineLvl w:val="5"/>
    </w:pPr>
  </w:style>
  <w:style w:type="paragraph" w:styleId="Heading7">
    <w:name w:val="heading 7"/>
    <w:basedOn w:val="Normal"/>
    <w:next w:val="Normal"/>
    <w:semiHidden/>
    <w:qFormat/>
    <w:rsid w:val="00E61D3D"/>
    <w:pPr>
      <w:spacing w:line="240" w:lineRule="auto"/>
      <w:outlineLvl w:val="6"/>
    </w:pPr>
  </w:style>
  <w:style w:type="paragraph" w:styleId="Heading8">
    <w:name w:val="heading 8"/>
    <w:basedOn w:val="Normal"/>
    <w:next w:val="Normal"/>
    <w:semiHidden/>
    <w:qFormat/>
    <w:rsid w:val="00E61D3D"/>
    <w:pPr>
      <w:spacing w:line="240" w:lineRule="auto"/>
      <w:outlineLvl w:val="7"/>
    </w:pPr>
  </w:style>
  <w:style w:type="paragraph" w:styleId="Heading9">
    <w:name w:val="heading 9"/>
    <w:basedOn w:val="Normal"/>
    <w:next w:val="Normal"/>
    <w:semiHidden/>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E61D3D"/>
    <w:pPr>
      <w:keepNext/>
      <w:keepLines/>
      <w:tabs>
        <w:tab w:val="right" w:pos="851"/>
      </w:tabs>
      <w:spacing w:before="360" w:after="240" w:line="300" w:lineRule="exact"/>
      <w:ind w:left="1134" w:right="1134" w:hanging="1134"/>
    </w:pPr>
    <w:rPr>
      <w:b/>
      <w:sz w:val="28"/>
    </w:rPr>
  </w:style>
  <w:style w:type="paragraph" w:styleId="BalloonText">
    <w:name w:val="Balloon Text"/>
    <w:basedOn w:val="Normal"/>
    <w:link w:val="BalloonTextChar"/>
    <w:semiHidden/>
    <w:rsid w:val="008E0548"/>
    <w:pPr>
      <w:spacing w:line="240" w:lineRule="auto"/>
    </w:pPr>
    <w:rPr>
      <w:rFonts w:ascii="Tahoma" w:hAnsi="Tahoma" w:cs="Tahoma"/>
      <w:sz w:val="16"/>
      <w:szCs w:val="16"/>
    </w:rPr>
  </w:style>
  <w:style w:type="paragraph" w:customStyle="1" w:styleId="SingleTxtG">
    <w:name w:val="_ Single Txt_G"/>
    <w:basedOn w:val="Normal"/>
    <w:qFormat/>
    <w:rsid w:val="00E61D3D"/>
    <w:pPr>
      <w:spacing w:after="120"/>
      <w:ind w:left="1134" w:right="1134"/>
      <w:jc w:val="both"/>
    </w:pPr>
  </w:style>
  <w:style w:type="character" w:styleId="PageNumber">
    <w:name w:val="page number"/>
    <w:aliases w:val="7_G"/>
    <w:basedOn w:val="DefaultParagraphFont"/>
    <w:qFormat/>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E61D3D"/>
    <w:rPr>
      <w:rFonts w:ascii="Times New Roman" w:hAnsi="Times New Roman"/>
      <w:sz w:val="18"/>
      <w:vertAlign w:val="superscript"/>
    </w:rPr>
  </w:style>
  <w:style w:type="character" w:styleId="FootnoteReference">
    <w:name w:val="footnote reference"/>
    <w:aliases w:val="4_G"/>
    <w:basedOn w:val="DefaultParagraphFont"/>
    <w:qFormat/>
    <w:rsid w:val="00E61D3D"/>
    <w:rPr>
      <w:rFonts w:ascii="Times New Roman" w:hAnsi="Times New Roman"/>
      <w:sz w:val="18"/>
      <w:vertAlign w:val="superscript"/>
    </w:rPr>
  </w:style>
  <w:style w:type="paragraph" w:styleId="FootnoteText">
    <w:name w:val="footnote text"/>
    <w:aliases w:val="5_G"/>
    <w:basedOn w:val="Normal"/>
    <w:qFormat/>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qFormat/>
    <w:rsid w:val="00E61D3D"/>
    <w:pPr>
      <w:numPr>
        <w:numId w:val="14"/>
      </w:numPr>
      <w:spacing w:after="120"/>
      <w:ind w:right="1134"/>
      <w:jc w:val="both"/>
    </w:pPr>
  </w:style>
  <w:style w:type="paragraph" w:styleId="EndnoteText">
    <w:name w:val="endnote text"/>
    <w:aliases w:val="2_G"/>
    <w:basedOn w:val="FootnoteText"/>
    <w:qFormat/>
    <w:rsid w:val="00E61D3D"/>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qFormat/>
    <w:rsid w:val="00E61D3D"/>
    <w:pPr>
      <w:numPr>
        <w:numId w:val="15"/>
      </w:numPr>
      <w:spacing w:after="120"/>
      <w:ind w:right="1134"/>
      <w:jc w:val="both"/>
    </w:pPr>
  </w:style>
  <w:style w:type="paragraph" w:customStyle="1" w:styleId="H1G">
    <w:name w:val="_ H_1_G"/>
    <w:basedOn w:val="Normal"/>
    <w:next w:val="Normal"/>
    <w:qFormat/>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semiHidden/>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semiHidden/>
    <w:qFormat/>
    <w:rsid w:val="008A6C4F"/>
    <w:rPr>
      <w:b/>
      <w:bCs/>
    </w:rPr>
  </w:style>
  <w:style w:type="paragraph" w:styleId="Subtitle">
    <w:name w:val="Subtitle"/>
    <w:basedOn w:val="Normal"/>
    <w:semiHidden/>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qFormat/>
    <w:rsid w:val="00E61D3D"/>
    <w:pPr>
      <w:spacing w:line="240" w:lineRule="auto"/>
    </w:pPr>
    <w:rPr>
      <w:sz w:val="16"/>
    </w:rPr>
  </w:style>
  <w:style w:type="paragraph" w:styleId="Header">
    <w:name w:val="header"/>
    <w:aliases w:val="6_G"/>
    <w:basedOn w:val="Normal"/>
    <w:qFormat/>
    <w:rsid w:val="00E61D3D"/>
    <w:pPr>
      <w:pBdr>
        <w:bottom w:val="single" w:sz="4" w:space="4" w:color="auto"/>
      </w:pBdr>
      <w:spacing w:line="240" w:lineRule="auto"/>
    </w:pPr>
    <w:rPr>
      <w:b/>
      <w:sz w:val="18"/>
    </w:rPr>
  </w:style>
  <w:style w:type="character" w:customStyle="1" w:styleId="BalloonTextChar">
    <w:name w:val="Balloon Text Char"/>
    <w:basedOn w:val="DefaultParagraphFont"/>
    <w:link w:val="BalloonText"/>
    <w:semiHidden/>
    <w:rsid w:val="008E0548"/>
    <w:rPr>
      <w:rFonts w:ascii="Tahoma" w:hAnsi="Tahoma" w:cs="Tahoma"/>
      <w:sz w:val="16"/>
      <w:szCs w:val="16"/>
      <w:lang w:val="en-GB" w:eastAsia="en-US"/>
    </w:rPr>
  </w:style>
  <w:style w:type="paragraph" w:customStyle="1" w:styleId="ParNoG">
    <w:name w:val="_ParNo_G"/>
    <w:basedOn w:val="SingleTxtG"/>
    <w:qFormat/>
    <w:rsid w:val="00A21AD8"/>
    <w:pPr>
      <w:numPr>
        <w:numId w:val="16"/>
      </w:numPr>
      <w:kinsoku w:val="0"/>
      <w:overflowPunct w:val="0"/>
      <w:autoSpaceDE w:val="0"/>
      <w:autoSpaceDN w:val="0"/>
      <w:adjustRightInd w:val="0"/>
      <w:snapToGrid w:val="0"/>
    </w:pPr>
  </w:style>
  <w:style w:type="paragraph" w:customStyle="1" w:styleId="H1">
    <w:name w:val="_ H_1"/>
    <w:basedOn w:val="Normal"/>
    <w:next w:val="SingleTxt"/>
    <w:rsid w:val="00A778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customStyle="1" w:styleId="H23">
    <w:name w:val="_ H_2/3"/>
    <w:basedOn w:val="Normal"/>
    <w:next w:val="Normal"/>
    <w:rsid w:val="00A778E0"/>
    <w:pPr>
      <w:spacing w:line="240" w:lineRule="exact"/>
      <w:outlineLvl w:val="1"/>
    </w:pPr>
    <w:rPr>
      <w:rFonts w:eastAsiaTheme="minorHAnsi"/>
      <w:b/>
      <w:spacing w:val="4"/>
      <w:w w:val="103"/>
      <w:kern w:val="14"/>
      <w:lang w:val="en-US"/>
    </w:rPr>
  </w:style>
  <w:style w:type="paragraph" w:customStyle="1" w:styleId="SingleTxt">
    <w:name w:val="__Single Txt"/>
    <w:basedOn w:val="Normal"/>
    <w:rsid w:val="00A778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paragraph" w:customStyle="1" w:styleId="TitleH1">
    <w:name w:val="Title_H1"/>
    <w:basedOn w:val="Normal"/>
    <w:next w:val="SingleTxt"/>
    <w:qFormat/>
    <w:rsid w:val="00A778E0"/>
    <w:pPr>
      <w:keepNext/>
      <w:keepLines/>
      <w:spacing w:line="270" w:lineRule="exact"/>
      <w:ind w:left="1267" w:right="1267" w:hanging="1267"/>
      <w:outlineLvl w:val="0"/>
    </w:pPr>
    <w:rPr>
      <w:rFonts w:eastAsiaTheme="minorHAnsi"/>
      <w:b/>
      <w:spacing w:val="4"/>
      <w:w w:val="103"/>
      <w:kern w:val="14"/>
      <w:sz w:val="24"/>
    </w:rPr>
  </w:style>
  <w:style w:type="paragraph" w:customStyle="1" w:styleId="TitleHCH">
    <w:name w:val="Title_H_CH"/>
    <w:basedOn w:val="H1"/>
    <w:next w:val="Normal"/>
    <w:qFormat/>
    <w:rsid w:val="00A778E0"/>
    <w:pPr>
      <w:spacing w:line="300" w:lineRule="exact"/>
      <w:ind w:left="0" w:right="0" w:firstLine="0"/>
    </w:pPr>
    <w:rPr>
      <w:spacing w:val="-2"/>
      <w:sz w:val="28"/>
    </w:rPr>
  </w:style>
  <w:style w:type="paragraph" w:customStyle="1" w:styleId="Session">
    <w:name w:val="Session"/>
    <w:basedOn w:val="H23"/>
    <w:rsid w:val="00A778E0"/>
  </w:style>
  <w:style w:type="paragraph" w:customStyle="1" w:styleId="HM">
    <w:name w:val="_ H __M"/>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60" w:lineRule="exact"/>
      <w:outlineLvl w:val="0"/>
    </w:pPr>
    <w:rPr>
      <w:rFonts w:eastAsiaTheme="minorHAnsi"/>
      <w:b/>
      <w:spacing w:val="-3"/>
      <w:w w:val="99"/>
      <w:kern w:val="14"/>
      <w:sz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AW\CEDAW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62F9AD-C23D-45B1-B632-BCD6C3EF7A9D}">
  <ds:schemaRefs>
    <ds:schemaRef ds:uri="http://schemas.openxmlformats.org/officeDocument/2006/bibliography"/>
  </ds:schemaRefs>
</ds:datastoreItem>
</file>

<file path=customXml/itemProps2.xml><?xml version="1.0" encoding="utf-8"?>
<ds:datastoreItem xmlns:ds="http://schemas.openxmlformats.org/officeDocument/2006/customXml" ds:itemID="{643B5DE1-EEA4-4B75-A952-B3B3157BA3C7}"/>
</file>

<file path=customXml/itemProps3.xml><?xml version="1.0" encoding="utf-8"?>
<ds:datastoreItem xmlns:ds="http://schemas.openxmlformats.org/officeDocument/2006/customXml" ds:itemID="{DE5500FB-950E-46BA-81D8-1002ACD6E88A}"/>
</file>

<file path=customXml/itemProps4.xml><?xml version="1.0" encoding="utf-8"?>
<ds:datastoreItem xmlns:ds="http://schemas.openxmlformats.org/officeDocument/2006/customXml" ds:itemID="{9A603460-AAA6-4501-B711-CC00318E4CD3}"/>
</file>

<file path=docProps/app.xml><?xml version="1.0" encoding="utf-8"?>
<Properties xmlns="http://schemas.openxmlformats.org/officeDocument/2006/extended-properties" xmlns:vt="http://schemas.openxmlformats.org/officeDocument/2006/docPropsVTypes">
  <Template>CEDAW_E.dotm</Template>
  <TotalTime>1</TotalTime>
  <Pages>2</Pages>
  <Words>851</Words>
  <Characters>4853</Characters>
  <Application>Microsoft Office Word</Application>
  <DocSecurity>4</DocSecurity>
  <Lines>40</Lines>
  <Paragraphs>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CEDAW/C/PSWG/76/1</vt:lpstr>
      <vt:lpstr>United Nations</vt:lpstr>
    </vt:vector>
  </TitlesOfParts>
  <Company>CSD</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CEDAW/C/PSWG/76/1</dc:title>
  <dc:creator>Irene del Pilar Sandoval</dc:creator>
  <cp:lastModifiedBy>SERIDJ Youcef</cp:lastModifiedBy>
  <cp:revision>2</cp:revision>
  <cp:lastPrinted>2008-01-29T13:17:00Z</cp:lastPrinted>
  <dcterms:created xsi:type="dcterms:W3CDTF">2020-03-09T17:58:00Z</dcterms:created>
  <dcterms:modified xsi:type="dcterms:W3CDTF">2020-03-09T17:58:00Z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1904707</vt:lpwstr>
  </property>
  <property fmtid="{D5CDD505-2E9C-101B-9397-08002B2CF9AE}" pid="3" name="ODSRefJobNo">
    <vt:lpwstr>1907923E</vt:lpwstr>
  </property>
  <property fmtid="{D5CDD505-2E9C-101B-9397-08002B2CF9AE}" pid="4" name="Symbol1">
    <vt:lpwstr>CEDAW/C/PSWG/74/1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 3</vt:lpwstr>
  </property>
  <property fmtid="{D5CDD505-2E9C-101B-9397-08002B2CF9AE}" pid="12" name="Operator">
    <vt:lpwstr>MD (Final)</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
    <vt:lpwstr>Seventy-fourth session_x000d_</vt:lpwstr>
  </property>
  <property fmtid="{D5CDD505-2E9C-101B-9397-08002B2CF9AE}" pid="16" name="Title1">
    <vt:lpwstr>		Consideration of reports submitted by States parties under article 18 of the Convention on the Elimination of All Forms of Discrimination against Women_x000d_</vt:lpwstr>
  </property>
  <property fmtid="{D5CDD505-2E9C-101B-9397-08002B2CF9AE}" pid="17" name="Title2">
    <vt:lpwstr>		Report of the pre-sessional working group_x000d_</vt:lpwstr>
  </property>
  <property fmtid="{D5CDD505-2E9C-101B-9397-08002B2CF9AE}" pid="18" name="ContentTypeId">
    <vt:lpwstr>0x010100F397614B75B84E4C841CE911BA0CCB9D</vt:lpwstr>
  </property>
</Properties>
</file>